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A0EF0" w:rsidRPr="00233D47" w:rsidTr="00233846">
        <w:trPr>
          <w:trHeight w:hRule="exact" w:val="851"/>
        </w:trPr>
        <w:tc>
          <w:tcPr>
            <w:tcW w:w="1276" w:type="dxa"/>
            <w:tcBorders>
              <w:bottom w:val="single" w:sz="4" w:space="0" w:color="auto"/>
            </w:tcBorders>
          </w:tcPr>
          <w:p w:rsidR="005A0EF0" w:rsidRPr="00233D47" w:rsidRDefault="005A0EF0" w:rsidP="00233846"/>
        </w:tc>
        <w:tc>
          <w:tcPr>
            <w:tcW w:w="2268" w:type="dxa"/>
            <w:tcBorders>
              <w:bottom w:val="single" w:sz="4" w:space="0" w:color="auto"/>
            </w:tcBorders>
            <w:vAlign w:val="bottom"/>
          </w:tcPr>
          <w:p w:rsidR="005A0EF0" w:rsidRPr="00233D47" w:rsidRDefault="005A0EF0" w:rsidP="00233846">
            <w:pPr>
              <w:spacing w:after="80" w:line="300" w:lineRule="exact"/>
              <w:rPr>
                <w:sz w:val="28"/>
              </w:rPr>
            </w:pPr>
            <w:r w:rsidRPr="00233D47">
              <w:rPr>
                <w:sz w:val="28"/>
              </w:rPr>
              <w:t>Nations Unies</w:t>
            </w:r>
          </w:p>
        </w:tc>
        <w:tc>
          <w:tcPr>
            <w:tcW w:w="6095" w:type="dxa"/>
            <w:gridSpan w:val="2"/>
            <w:tcBorders>
              <w:bottom w:val="single" w:sz="4" w:space="0" w:color="auto"/>
            </w:tcBorders>
            <w:vAlign w:val="bottom"/>
          </w:tcPr>
          <w:p w:rsidR="005A0EF0" w:rsidRPr="00233D47" w:rsidRDefault="005A41DD" w:rsidP="005A41DD">
            <w:pPr>
              <w:jc w:val="right"/>
            </w:pPr>
            <w:r w:rsidRPr="005A41DD">
              <w:rPr>
                <w:sz w:val="40"/>
              </w:rPr>
              <w:t>CCPR</w:t>
            </w:r>
            <w:r>
              <w:t>/C/111/D/2030/2011</w:t>
            </w:r>
          </w:p>
        </w:tc>
      </w:tr>
      <w:tr w:rsidR="005A0EF0" w:rsidRPr="00233D47" w:rsidTr="00233846">
        <w:trPr>
          <w:trHeight w:hRule="exact" w:val="2835"/>
        </w:trPr>
        <w:tc>
          <w:tcPr>
            <w:tcW w:w="1276" w:type="dxa"/>
            <w:tcBorders>
              <w:top w:val="single" w:sz="4" w:space="0" w:color="auto"/>
              <w:bottom w:val="single" w:sz="12" w:space="0" w:color="auto"/>
            </w:tcBorders>
          </w:tcPr>
          <w:p w:rsidR="005A0EF0" w:rsidRPr="00233D47" w:rsidRDefault="005A0EF0" w:rsidP="00233846">
            <w:pPr>
              <w:spacing w:before="120"/>
              <w:jc w:val="center"/>
            </w:pPr>
            <w:r w:rsidRPr="00233D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A0EF0" w:rsidRPr="00233D47" w:rsidRDefault="005A0EF0" w:rsidP="00233846">
            <w:pPr>
              <w:spacing w:before="120" w:line="380" w:lineRule="exact"/>
              <w:rPr>
                <w:b/>
                <w:sz w:val="34"/>
                <w:szCs w:val="34"/>
              </w:rPr>
            </w:pPr>
            <w:r w:rsidRPr="00233D47">
              <w:rPr>
                <w:b/>
                <w:sz w:val="34"/>
                <w:szCs w:val="34"/>
              </w:rPr>
              <w:t>Pacte international relatif</w:t>
            </w:r>
            <w:r w:rsidRPr="00233D47">
              <w:rPr>
                <w:b/>
                <w:sz w:val="34"/>
                <w:szCs w:val="34"/>
              </w:rPr>
              <w:br/>
              <w:t>aux droits civils et politiques</w:t>
            </w:r>
          </w:p>
        </w:tc>
        <w:tc>
          <w:tcPr>
            <w:tcW w:w="2835" w:type="dxa"/>
            <w:tcBorders>
              <w:top w:val="single" w:sz="4" w:space="0" w:color="auto"/>
              <w:bottom w:val="single" w:sz="12" w:space="0" w:color="auto"/>
            </w:tcBorders>
          </w:tcPr>
          <w:p w:rsidR="005A41DD" w:rsidRDefault="005A0EF0" w:rsidP="00233846">
            <w:pPr>
              <w:spacing w:before="240"/>
            </w:pPr>
            <w:r w:rsidRPr="00233D47">
              <w:t xml:space="preserve">Distr. </w:t>
            </w:r>
            <w:r>
              <w:t>générale</w:t>
            </w:r>
          </w:p>
          <w:p w:rsidR="005A41DD" w:rsidRDefault="005A41DD" w:rsidP="005A41DD">
            <w:pPr>
              <w:spacing w:line="240" w:lineRule="exact"/>
            </w:pPr>
            <w:r>
              <w:t>25 août 2014</w:t>
            </w:r>
          </w:p>
          <w:p w:rsidR="005A41DD" w:rsidRDefault="005A41DD" w:rsidP="005A41DD">
            <w:pPr>
              <w:spacing w:line="240" w:lineRule="exact"/>
            </w:pPr>
            <w:r>
              <w:t>Français</w:t>
            </w:r>
          </w:p>
          <w:p w:rsidR="005A0EF0" w:rsidRPr="00233D47" w:rsidRDefault="005A41DD" w:rsidP="005A41DD">
            <w:pPr>
              <w:spacing w:line="240" w:lineRule="exact"/>
            </w:pPr>
            <w:r>
              <w:t>Original: anglais</w:t>
            </w:r>
          </w:p>
        </w:tc>
      </w:tr>
    </w:tbl>
    <w:p w:rsidR="00642728" w:rsidRPr="005B01E9" w:rsidRDefault="00642728" w:rsidP="00FD511F">
      <w:pPr>
        <w:spacing w:before="120" w:line="240" w:lineRule="exact"/>
        <w:rPr>
          <w:b/>
          <w:sz w:val="24"/>
          <w:szCs w:val="24"/>
        </w:rPr>
      </w:pPr>
      <w:r w:rsidRPr="005B01E9">
        <w:rPr>
          <w:b/>
          <w:sz w:val="24"/>
          <w:szCs w:val="24"/>
        </w:rPr>
        <w:t>C</w:t>
      </w:r>
      <w:r w:rsidR="00FD511F" w:rsidRPr="005B01E9">
        <w:rPr>
          <w:b/>
          <w:sz w:val="24"/>
          <w:szCs w:val="24"/>
        </w:rPr>
        <w:t>omité des droits de l</w:t>
      </w:r>
      <w:r w:rsidR="00D61D26" w:rsidRPr="005B01E9">
        <w:rPr>
          <w:b/>
          <w:sz w:val="24"/>
          <w:szCs w:val="24"/>
        </w:rPr>
        <w:t>’</w:t>
      </w:r>
      <w:r w:rsidR="00FD511F" w:rsidRPr="005B01E9">
        <w:rPr>
          <w:b/>
          <w:sz w:val="24"/>
          <w:szCs w:val="24"/>
        </w:rPr>
        <w:t>homme</w:t>
      </w:r>
    </w:p>
    <w:p w:rsidR="00BA1175" w:rsidRPr="005B01E9" w:rsidRDefault="00BA1175" w:rsidP="00BA1175">
      <w:pPr>
        <w:pStyle w:val="HChG"/>
      </w:pPr>
      <w:r w:rsidRPr="005B01E9">
        <w:tab/>
      </w:r>
      <w:r w:rsidRPr="005B01E9">
        <w:tab/>
        <w:t>Communication n</w:t>
      </w:r>
      <w:r w:rsidRPr="005B01E9">
        <w:rPr>
          <w:vertAlign w:val="superscript"/>
        </w:rPr>
        <w:t>o</w:t>
      </w:r>
      <w:r w:rsidRPr="005B01E9">
        <w:t> </w:t>
      </w:r>
      <w:r w:rsidR="005A41DD">
        <w:t>2030/2011</w:t>
      </w:r>
    </w:p>
    <w:p w:rsidR="005A41DD" w:rsidRDefault="00FD511F" w:rsidP="00BA1175">
      <w:pPr>
        <w:pStyle w:val="H1G"/>
        <w:rPr>
          <w:szCs w:val="24"/>
        </w:rPr>
      </w:pPr>
      <w:r w:rsidRPr="005B01E9">
        <w:tab/>
      </w:r>
      <w:r w:rsidRPr="005B01E9">
        <w:tab/>
      </w:r>
      <w:r w:rsidR="0092636E" w:rsidRPr="005B01E9">
        <w:rPr>
          <w:szCs w:val="24"/>
        </w:rPr>
        <w:t xml:space="preserve">Constatations adoptées par le Comité à sa </w:t>
      </w:r>
      <w:r w:rsidR="005A41DD" w:rsidRPr="001C308F">
        <w:rPr>
          <w:szCs w:val="24"/>
        </w:rPr>
        <w:t>111</w:t>
      </w:r>
      <w:r w:rsidR="005A41DD" w:rsidRPr="005A41DD">
        <w:rPr>
          <w:szCs w:val="24"/>
          <w:vertAlign w:val="superscript"/>
        </w:rPr>
        <w:t>e</w:t>
      </w:r>
      <w:r w:rsidR="005A41DD">
        <w:rPr>
          <w:szCs w:val="24"/>
        </w:rPr>
        <w:t> </w:t>
      </w:r>
      <w:r w:rsidR="005A41DD" w:rsidRPr="00EB24AC">
        <w:rPr>
          <w:szCs w:val="24"/>
        </w:rPr>
        <w:t>session</w:t>
      </w:r>
      <w:r w:rsidR="005A41DD">
        <w:rPr>
          <w:szCs w:val="24"/>
        </w:rPr>
        <w:br/>
        <w:t>(7-25 juillet 2014)</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3969"/>
      </w:tblGrid>
      <w:tr w:rsidR="0092636E" w:rsidRPr="005B01E9" w:rsidTr="00FB7502">
        <w:tc>
          <w:tcPr>
            <w:tcW w:w="2835" w:type="dxa"/>
          </w:tcPr>
          <w:p w:rsidR="0092636E" w:rsidRPr="005B01E9" w:rsidRDefault="0092636E" w:rsidP="003B6A72">
            <w:pPr>
              <w:rPr>
                <w:i/>
              </w:rPr>
            </w:pPr>
            <w:r w:rsidRPr="005B01E9">
              <w:rPr>
                <w:i/>
              </w:rPr>
              <w:t>Communication présentée par</w:t>
            </w:r>
            <w:r w:rsidR="003B6A72" w:rsidRPr="005B01E9">
              <w:t>:</w:t>
            </w:r>
          </w:p>
        </w:tc>
        <w:tc>
          <w:tcPr>
            <w:tcW w:w="3969" w:type="dxa"/>
          </w:tcPr>
          <w:p w:rsidR="0092636E" w:rsidRPr="005B01E9" w:rsidRDefault="005A41DD" w:rsidP="00D61D26">
            <w:pPr>
              <w:spacing w:after="120"/>
            </w:pPr>
            <w:r w:rsidRPr="00A7686D">
              <w:rPr>
                <w:lang w:val="fr-FR"/>
              </w:rPr>
              <w:t xml:space="preserve">Vasily Poliakov </w:t>
            </w:r>
            <w:r w:rsidRPr="00A7686D">
              <w:rPr>
                <w:bCs/>
                <w:lang w:val="fr-FR"/>
              </w:rPr>
              <w:t>(</w:t>
            </w:r>
            <w:r w:rsidRPr="00A7686D">
              <w:rPr>
                <w:lang w:val="fr-FR"/>
              </w:rPr>
              <w:t>non représenté par un conseil</w:t>
            </w:r>
            <w:r w:rsidRPr="00A7686D">
              <w:rPr>
                <w:bCs/>
                <w:lang w:val="fr-FR"/>
              </w:rPr>
              <w:t>)</w:t>
            </w:r>
          </w:p>
        </w:tc>
      </w:tr>
      <w:tr w:rsidR="0092636E" w:rsidRPr="005B01E9" w:rsidTr="00FB7502">
        <w:tc>
          <w:tcPr>
            <w:tcW w:w="2835" w:type="dxa"/>
          </w:tcPr>
          <w:p w:rsidR="0092636E" w:rsidRPr="005B01E9" w:rsidRDefault="0092636E" w:rsidP="003B6A72">
            <w:pPr>
              <w:rPr>
                <w:i/>
              </w:rPr>
            </w:pPr>
            <w:r w:rsidRPr="005B01E9">
              <w:rPr>
                <w:i/>
              </w:rPr>
              <w:t>Au nom de</w:t>
            </w:r>
            <w:r w:rsidR="003B6A72" w:rsidRPr="005B01E9">
              <w:t>:</w:t>
            </w:r>
          </w:p>
        </w:tc>
        <w:tc>
          <w:tcPr>
            <w:tcW w:w="3969" w:type="dxa"/>
          </w:tcPr>
          <w:p w:rsidR="0092636E" w:rsidRPr="005B01E9" w:rsidRDefault="005A41DD" w:rsidP="008433B5">
            <w:pPr>
              <w:spacing w:after="120"/>
            </w:pPr>
            <w:r>
              <w:t>L’auteur</w:t>
            </w:r>
          </w:p>
        </w:tc>
      </w:tr>
      <w:tr w:rsidR="0092636E" w:rsidRPr="005B01E9" w:rsidTr="00FB7502">
        <w:tc>
          <w:tcPr>
            <w:tcW w:w="2835" w:type="dxa"/>
          </w:tcPr>
          <w:p w:rsidR="0092636E" w:rsidRPr="005B01E9" w:rsidRDefault="0092636E" w:rsidP="003B6A72">
            <w:pPr>
              <w:rPr>
                <w:i/>
              </w:rPr>
            </w:pPr>
            <w:r w:rsidRPr="005B01E9">
              <w:rPr>
                <w:i/>
              </w:rPr>
              <w:t>État partie</w:t>
            </w:r>
            <w:r w:rsidR="003B6A72" w:rsidRPr="005B01E9">
              <w:t>:</w:t>
            </w:r>
          </w:p>
        </w:tc>
        <w:tc>
          <w:tcPr>
            <w:tcW w:w="3969" w:type="dxa"/>
          </w:tcPr>
          <w:p w:rsidR="0092636E" w:rsidRPr="005B01E9" w:rsidRDefault="005A41DD" w:rsidP="003B6A72">
            <w:pPr>
              <w:spacing w:after="120"/>
            </w:pPr>
            <w:r>
              <w:t>Bélarus</w:t>
            </w:r>
          </w:p>
        </w:tc>
      </w:tr>
      <w:tr w:rsidR="0092636E" w:rsidRPr="005B01E9" w:rsidTr="00FB7502">
        <w:tc>
          <w:tcPr>
            <w:tcW w:w="2835" w:type="dxa"/>
          </w:tcPr>
          <w:p w:rsidR="0092636E" w:rsidRPr="005B01E9" w:rsidRDefault="0092636E" w:rsidP="003B6A72">
            <w:pPr>
              <w:rPr>
                <w:i/>
              </w:rPr>
            </w:pPr>
            <w:r w:rsidRPr="005B01E9">
              <w:rPr>
                <w:i/>
              </w:rPr>
              <w:t>Date de la communication</w:t>
            </w:r>
            <w:r w:rsidR="003B6A72" w:rsidRPr="005B01E9">
              <w:t>:</w:t>
            </w:r>
          </w:p>
        </w:tc>
        <w:tc>
          <w:tcPr>
            <w:tcW w:w="3969" w:type="dxa"/>
          </w:tcPr>
          <w:p w:rsidR="0092636E" w:rsidRPr="005B01E9" w:rsidRDefault="005A41DD" w:rsidP="003B6A72">
            <w:pPr>
              <w:spacing w:after="120"/>
            </w:pPr>
            <w:r>
              <w:t>28 janvier 2010</w:t>
            </w:r>
            <w:r w:rsidR="005B01E9" w:rsidRPr="005B01E9">
              <w:t xml:space="preserve"> </w:t>
            </w:r>
            <w:r w:rsidR="0092636E" w:rsidRPr="005B01E9">
              <w:t>(date de la lettre initiale)</w:t>
            </w:r>
          </w:p>
        </w:tc>
      </w:tr>
      <w:tr w:rsidR="0092636E" w:rsidRPr="005B01E9" w:rsidTr="00FB7502">
        <w:tc>
          <w:tcPr>
            <w:tcW w:w="2835" w:type="dxa"/>
          </w:tcPr>
          <w:p w:rsidR="0092636E" w:rsidRPr="005B01E9" w:rsidRDefault="0092636E" w:rsidP="003B6A72">
            <w:pPr>
              <w:rPr>
                <w:i/>
              </w:rPr>
            </w:pPr>
            <w:r w:rsidRPr="005B01E9">
              <w:rPr>
                <w:i/>
              </w:rPr>
              <w:t>Références</w:t>
            </w:r>
            <w:r w:rsidR="003B6A72" w:rsidRPr="005B01E9">
              <w:t>:</w:t>
            </w:r>
          </w:p>
        </w:tc>
        <w:tc>
          <w:tcPr>
            <w:tcW w:w="3969" w:type="dxa"/>
          </w:tcPr>
          <w:p w:rsidR="0092636E" w:rsidRPr="005B01E9" w:rsidRDefault="005A41DD" w:rsidP="003B6A72">
            <w:pPr>
              <w:spacing w:after="120"/>
            </w:pPr>
            <w:r w:rsidRPr="00BF6F4D">
              <w:t>Décision prise par le Rapporteur spécial en </w:t>
            </w:r>
            <w:r>
              <w:t>application de</w:t>
            </w:r>
            <w:r w:rsidRPr="00BF6F4D">
              <w:t xml:space="preserve"> </w:t>
            </w:r>
            <w:r>
              <w:t>l’article </w:t>
            </w:r>
            <w:r w:rsidRPr="00BF6F4D">
              <w:t>97 du règlement intérieur, communiquée à l</w:t>
            </w:r>
            <w:r>
              <w:t>’</w:t>
            </w:r>
            <w:r w:rsidRPr="00BF6F4D">
              <w:t xml:space="preserve">État partie le </w:t>
            </w:r>
            <w:r>
              <w:t>17 février 2011</w:t>
            </w:r>
            <w:r w:rsidRPr="00A7686D">
              <w:t xml:space="preserve"> </w:t>
            </w:r>
            <w:r w:rsidRPr="00BF6F4D">
              <w:t>(non publiée sous forme de document)</w:t>
            </w:r>
          </w:p>
        </w:tc>
      </w:tr>
      <w:tr w:rsidR="0092636E" w:rsidRPr="005B01E9" w:rsidTr="00FB7502">
        <w:tc>
          <w:tcPr>
            <w:tcW w:w="2835" w:type="dxa"/>
          </w:tcPr>
          <w:p w:rsidR="0092636E" w:rsidRPr="005B01E9" w:rsidRDefault="0092636E" w:rsidP="003B6A72">
            <w:pPr>
              <w:rPr>
                <w:i/>
              </w:rPr>
            </w:pPr>
            <w:r w:rsidRPr="005B01E9">
              <w:rPr>
                <w:i/>
              </w:rPr>
              <w:t>Date des constatations</w:t>
            </w:r>
            <w:r w:rsidR="00497C34" w:rsidRPr="005B01E9">
              <w:t>:</w:t>
            </w:r>
          </w:p>
        </w:tc>
        <w:tc>
          <w:tcPr>
            <w:tcW w:w="3969" w:type="dxa"/>
            <w:vAlign w:val="bottom"/>
          </w:tcPr>
          <w:p w:rsidR="0092636E" w:rsidRPr="005B01E9" w:rsidRDefault="005A41DD" w:rsidP="003B6A72">
            <w:pPr>
              <w:spacing w:after="120"/>
            </w:pPr>
            <w:r>
              <w:t>17 juillet 2014</w:t>
            </w:r>
          </w:p>
        </w:tc>
      </w:tr>
      <w:tr w:rsidR="0092636E" w:rsidRPr="005B01E9" w:rsidTr="00FB7502">
        <w:tc>
          <w:tcPr>
            <w:tcW w:w="2835" w:type="dxa"/>
          </w:tcPr>
          <w:p w:rsidR="0092636E" w:rsidRPr="005B01E9" w:rsidRDefault="0092636E" w:rsidP="003B6A72">
            <w:pPr>
              <w:rPr>
                <w:i/>
              </w:rPr>
            </w:pPr>
            <w:r w:rsidRPr="005B01E9">
              <w:rPr>
                <w:i/>
              </w:rPr>
              <w:t>Objet</w:t>
            </w:r>
            <w:r w:rsidR="003B6A72" w:rsidRPr="005B01E9">
              <w:t>:</w:t>
            </w:r>
          </w:p>
        </w:tc>
        <w:tc>
          <w:tcPr>
            <w:tcW w:w="3969" w:type="dxa"/>
          </w:tcPr>
          <w:p w:rsidR="0092636E" w:rsidRPr="005B01E9" w:rsidRDefault="005A41DD" w:rsidP="003B6A72">
            <w:pPr>
              <w:spacing w:after="120"/>
            </w:pPr>
            <w:r w:rsidRPr="00A7686D">
              <w:rPr>
                <w:lang w:val="fr-FR"/>
              </w:rPr>
              <w:t>Refus d</w:t>
            </w:r>
            <w:r>
              <w:rPr>
                <w:lang w:val="fr-FR"/>
              </w:rPr>
              <w:t>’autoriser la tenue</w:t>
            </w:r>
            <w:r>
              <w:rPr>
                <w:lang w:val="fr-FR"/>
              </w:rPr>
              <w:br/>
            </w:r>
            <w:r w:rsidRPr="00A7686D">
              <w:rPr>
                <w:lang w:val="fr-FR"/>
              </w:rPr>
              <w:t>d</w:t>
            </w:r>
            <w:r>
              <w:rPr>
                <w:lang w:val="fr-FR"/>
              </w:rPr>
              <w:t>’</w:t>
            </w:r>
            <w:r w:rsidRPr="00A7686D">
              <w:rPr>
                <w:lang w:val="fr-FR"/>
              </w:rPr>
              <w:t>une manifestation</w:t>
            </w:r>
          </w:p>
        </w:tc>
      </w:tr>
      <w:tr w:rsidR="00500302" w:rsidRPr="005B01E9" w:rsidTr="000D1077">
        <w:tc>
          <w:tcPr>
            <w:tcW w:w="2835" w:type="dxa"/>
          </w:tcPr>
          <w:p w:rsidR="00500302" w:rsidRPr="005B01E9" w:rsidRDefault="00500302" w:rsidP="000D1077">
            <w:pPr>
              <w:rPr>
                <w:i/>
              </w:rPr>
            </w:pPr>
            <w:r w:rsidRPr="005B01E9">
              <w:rPr>
                <w:i/>
              </w:rPr>
              <w:t>Question(s) de fond</w:t>
            </w:r>
            <w:r w:rsidRPr="005B01E9">
              <w:t>:</w:t>
            </w:r>
          </w:p>
        </w:tc>
        <w:tc>
          <w:tcPr>
            <w:tcW w:w="3969" w:type="dxa"/>
            <w:vAlign w:val="bottom"/>
          </w:tcPr>
          <w:p w:rsidR="00500302" w:rsidRPr="005B01E9" w:rsidRDefault="00500302" w:rsidP="000D1077">
            <w:pPr>
              <w:spacing w:after="120"/>
            </w:pPr>
            <w:r w:rsidRPr="007620FD">
              <w:rPr>
                <w:lang w:val="fr-FR"/>
              </w:rPr>
              <w:t>Liberté de réunion</w:t>
            </w:r>
          </w:p>
        </w:tc>
      </w:tr>
      <w:tr w:rsidR="0092636E" w:rsidRPr="005B01E9" w:rsidTr="00FB7502">
        <w:tc>
          <w:tcPr>
            <w:tcW w:w="2835" w:type="dxa"/>
          </w:tcPr>
          <w:p w:rsidR="0092636E" w:rsidRPr="005B01E9" w:rsidRDefault="0092636E" w:rsidP="003B6A72">
            <w:pPr>
              <w:rPr>
                <w:i/>
              </w:rPr>
            </w:pPr>
            <w:r w:rsidRPr="005B01E9">
              <w:rPr>
                <w:i/>
              </w:rPr>
              <w:t>Question</w:t>
            </w:r>
            <w:r w:rsidR="004E6FFF" w:rsidRPr="005B01E9">
              <w:rPr>
                <w:i/>
              </w:rPr>
              <w:t>(</w:t>
            </w:r>
            <w:r w:rsidRPr="005B01E9">
              <w:rPr>
                <w:i/>
              </w:rPr>
              <w:t>s</w:t>
            </w:r>
            <w:r w:rsidR="004E6FFF" w:rsidRPr="005B01E9">
              <w:rPr>
                <w:i/>
              </w:rPr>
              <w:t>)</w:t>
            </w:r>
            <w:r w:rsidRPr="005B01E9">
              <w:rPr>
                <w:i/>
              </w:rPr>
              <w:t xml:space="preserve"> de procédure</w:t>
            </w:r>
            <w:r w:rsidR="003B6A72" w:rsidRPr="005B01E9">
              <w:t>:</w:t>
            </w:r>
          </w:p>
        </w:tc>
        <w:tc>
          <w:tcPr>
            <w:tcW w:w="3969" w:type="dxa"/>
          </w:tcPr>
          <w:p w:rsidR="0092636E" w:rsidRPr="005B01E9" w:rsidRDefault="005A41DD" w:rsidP="003B6A72">
            <w:pPr>
              <w:spacing w:after="120"/>
            </w:pPr>
            <w:r w:rsidRPr="007620FD">
              <w:rPr>
                <w:lang w:val="fr-FR"/>
              </w:rPr>
              <w:t>Non-épuisement</w:t>
            </w:r>
            <w:r>
              <w:rPr>
                <w:lang w:val="fr-FR"/>
              </w:rPr>
              <w:t xml:space="preserve"> </w:t>
            </w:r>
            <w:r w:rsidRPr="001B7D78">
              <w:rPr>
                <w:lang w:val="fr-FR"/>
              </w:rPr>
              <w:t>des recours internes</w:t>
            </w:r>
          </w:p>
        </w:tc>
      </w:tr>
      <w:tr w:rsidR="008433B5" w:rsidRPr="005B01E9" w:rsidTr="0023102D">
        <w:tc>
          <w:tcPr>
            <w:tcW w:w="2835" w:type="dxa"/>
          </w:tcPr>
          <w:p w:rsidR="008433B5" w:rsidRPr="005B01E9" w:rsidRDefault="008433B5" w:rsidP="003B6A72">
            <w:pPr>
              <w:rPr>
                <w:i/>
              </w:rPr>
            </w:pPr>
            <w:r w:rsidRPr="005B01E9">
              <w:rPr>
                <w:i/>
              </w:rPr>
              <w:t>Article(s) du Pacte</w:t>
            </w:r>
            <w:r w:rsidR="003B6A72" w:rsidRPr="005B01E9">
              <w:t>:</w:t>
            </w:r>
          </w:p>
        </w:tc>
        <w:tc>
          <w:tcPr>
            <w:tcW w:w="3969" w:type="dxa"/>
            <w:vAlign w:val="bottom"/>
          </w:tcPr>
          <w:p w:rsidR="008433B5" w:rsidRPr="005B01E9" w:rsidRDefault="005A41DD" w:rsidP="008433B5">
            <w:pPr>
              <w:spacing w:after="120"/>
            </w:pPr>
            <w:r w:rsidRPr="007620FD">
              <w:rPr>
                <w:lang w:val="fr-FR"/>
              </w:rPr>
              <w:t>2 (par. 2)</w:t>
            </w:r>
            <w:r>
              <w:rPr>
                <w:lang w:val="fr-FR"/>
              </w:rPr>
              <w:t xml:space="preserve"> et</w:t>
            </w:r>
            <w:r w:rsidRPr="007620FD">
              <w:rPr>
                <w:lang w:val="fr-FR"/>
              </w:rPr>
              <w:t xml:space="preserve"> 21</w:t>
            </w:r>
          </w:p>
        </w:tc>
      </w:tr>
      <w:tr w:rsidR="008433B5" w:rsidRPr="005B01E9" w:rsidTr="0023102D">
        <w:tc>
          <w:tcPr>
            <w:tcW w:w="2835" w:type="dxa"/>
          </w:tcPr>
          <w:p w:rsidR="008433B5" w:rsidRPr="005B01E9" w:rsidRDefault="008433B5" w:rsidP="003B6A72">
            <w:pPr>
              <w:rPr>
                <w:i/>
              </w:rPr>
            </w:pPr>
            <w:r w:rsidRPr="005B01E9">
              <w:rPr>
                <w:i/>
              </w:rPr>
              <w:t>Article(s) du Protocole facultatif</w:t>
            </w:r>
            <w:r w:rsidR="003B6A72" w:rsidRPr="005B01E9">
              <w:t>:</w:t>
            </w:r>
          </w:p>
        </w:tc>
        <w:tc>
          <w:tcPr>
            <w:tcW w:w="3969" w:type="dxa"/>
            <w:vAlign w:val="bottom"/>
          </w:tcPr>
          <w:p w:rsidR="008433B5" w:rsidRPr="005B01E9" w:rsidRDefault="005A41DD" w:rsidP="008433B5">
            <w:pPr>
              <w:spacing w:after="120"/>
            </w:pPr>
            <w:r w:rsidRPr="007620FD">
              <w:rPr>
                <w:lang w:val="fr-FR"/>
              </w:rPr>
              <w:t>2 et 5 (par. 2 b))</w:t>
            </w:r>
          </w:p>
        </w:tc>
      </w:tr>
    </w:tbl>
    <w:p w:rsidR="00642728" w:rsidRPr="005B01E9" w:rsidRDefault="007B0586" w:rsidP="007B0586">
      <w:pPr>
        <w:pStyle w:val="HChG"/>
      </w:pPr>
      <w:r w:rsidRPr="005B01E9">
        <w:br w:type="page"/>
      </w:r>
      <w:r w:rsidR="00642728" w:rsidRPr="005B01E9">
        <w:t>A</w:t>
      </w:r>
      <w:r w:rsidR="00B57784" w:rsidRPr="005B01E9">
        <w:t>nnexe</w:t>
      </w:r>
    </w:p>
    <w:p w:rsidR="00642728" w:rsidRPr="005B01E9" w:rsidRDefault="00B57784" w:rsidP="008433B5">
      <w:pPr>
        <w:pStyle w:val="HChG"/>
      </w:pPr>
      <w:r w:rsidRPr="005B01E9">
        <w:tab/>
      </w:r>
      <w:r w:rsidRPr="005B01E9">
        <w:tab/>
      </w:r>
      <w:r w:rsidR="008433B5" w:rsidRPr="005B01E9">
        <w:t>Constatations du Comité des droits de l</w:t>
      </w:r>
      <w:r w:rsidR="00D61D26" w:rsidRPr="005B01E9">
        <w:t>’</w:t>
      </w:r>
      <w:r w:rsidR="008433B5" w:rsidRPr="005B01E9">
        <w:t>homme au titre</w:t>
      </w:r>
      <w:r w:rsidR="008433B5" w:rsidRPr="005B01E9">
        <w:br/>
        <w:t>du paragraphe 4 de l</w:t>
      </w:r>
      <w:r w:rsidR="00D61D26" w:rsidRPr="005B01E9">
        <w:t>’</w:t>
      </w:r>
      <w:r w:rsidR="008433B5" w:rsidRPr="005B01E9">
        <w:t>article 5 du Protocole facultatif</w:t>
      </w:r>
      <w:r w:rsidR="008433B5" w:rsidRPr="005B01E9">
        <w:br/>
        <w:t>se rapportant au Pacte international relatif aux droits</w:t>
      </w:r>
      <w:r w:rsidR="008433B5" w:rsidRPr="005B01E9">
        <w:br/>
        <w:t>civils et politiques (</w:t>
      </w:r>
      <w:r w:rsidR="001F13AD">
        <w:t>111</w:t>
      </w:r>
      <w:r w:rsidR="001F13AD" w:rsidRPr="001F13AD">
        <w:rPr>
          <w:vertAlign w:val="superscript"/>
        </w:rPr>
        <w:t>e</w:t>
      </w:r>
      <w:r w:rsidR="001F13AD">
        <w:t> </w:t>
      </w:r>
      <w:r w:rsidR="008433B5" w:rsidRPr="005B01E9">
        <w:t>session)</w:t>
      </w:r>
    </w:p>
    <w:p w:rsidR="00642728" w:rsidRPr="005B01E9" w:rsidRDefault="00642728" w:rsidP="00BA405E">
      <w:pPr>
        <w:pStyle w:val="SingleTxtG"/>
      </w:pPr>
      <w:r w:rsidRPr="005B01E9">
        <w:t>concernant la</w:t>
      </w:r>
    </w:p>
    <w:p w:rsidR="00642728" w:rsidRPr="005B01E9" w:rsidRDefault="00B57784" w:rsidP="00757D82">
      <w:pPr>
        <w:pStyle w:val="H1G"/>
      </w:pPr>
      <w:r w:rsidRPr="005B01E9">
        <w:tab/>
      </w:r>
      <w:r w:rsidRPr="005B01E9">
        <w:tab/>
      </w:r>
      <w:r w:rsidR="00642728" w:rsidRPr="005B01E9">
        <w:t xml:space="preserve">Communication </w:t>
      </w:r>
      <w:r w:rsidR="001F13AD" w:rsidRPr="00C14D2A">
        <w:t>n</w:t>
      </w:r>
      <w:r w:rsidR="001F13AD" w:rsidRPr="00C14D2A">
        <w:rPr>
          <w:vertAlign w:val="superscript"/>
        </w:rPr>
        <w:t>o</w:t>
      </w:r>
      <w:r w:rsidR="001F13AD">
        <w:t> 2030/2011</w:t>
      </w:r>
      <w:r w:rsidR="001F13AD" w:rsidRPr="001F13AD">
        <w:rPr>
          <w:rStyle w:val="FootnoteReference"/>
          <w:b w:val="0"/>
          <w:sz w:val="20"/>
          <w:vertAlign w:val="baseline"/>
        </w:rPr>
        <w:footnoteReference w:customMarkFollows="1" w:id="2"/>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8433B5" w:rsidRPr="005B01E9" w:rsidTr="008433B5">
        <w:tc>
          <w:tcPr>
            <w:tcW w:w="2410" w:type="dxa"/>
          </w:tcPr>
          <w:p w:rsidR="008433B5" w:rsidRPr="005B01E9" w:rsidRDefault="008433B5" w:rsidP="005D29C8">
            <w:pPr>
              <w:spacing w:after="120"/>
              <w:rPr>
                <w:i/>
              </w:rPr>
            </w:pPr>
            <w:r w:rsidRPr="005B01E9">
              <w:rPr>
                <w:i/>
              </w:rPr>
              <w:t>Présentée par</w:t>
            </w:r>
            <w:r w:rsidRPr="005B01E9">
              <w:t>:</w:t>
            </w:r>
          </w:p>
        </w:tc>
        <w:tc>
          <w:tcPr>
            <w:tcW w:w="4394" w:type="dxa"/>
          </w:tcPr>
          <w:p w:rsidR="008433B5" w:rsidRPr="005B01E9" w:rsidRDefault="001F13AD" w:rsidP="008433B5">
            <w:pPr>
              <w:spacing w:after="120"/>
            </w:pPr>
            <w:r w:rsidRPr="00BB7A35">
              <w:rPr>
                <w:lang w:val="fr-FR"/>
              </w:rPr>
              <w:t xml:space="preserve">Vasily Poliakov </w:t>
            </w:r>
            <w:r w:rsidRPr="00BB7A35">
              <w:rPr>
                <w:bCs/>
                <w:lang w:val="fr-FR"/>
              </w:rPr>
              <w:t>(</w:t>
            </w:r>
            <w:r w:rsidRPr="00BB7A35">
              <w:rPr>
                <w:lang w:val="fr-FR"/>
              </w:rPr>
              <w:t>non représenté par un conseil</w:t>
            </w:r>
            <w:r w:rsidRPr="00BB7A35">
              <w:rPr>
                <w:bCs/>
                <w:lang w:val="fr-FR"/>
              </w:rPr>
              <w:t>)</w:t>
            </w:r>
          </w:p>
        </w:tc>
      </w:tr>
      <w:tr w:rsidR="008433B5" w:rsidRPr="005B01E9" w:rsidTr="008433B5">
        <w:tc>
          <w:tcPr>
            <w:tcW w:w="2410" w:type="dxa"/>
          </w:tcPr>
          <w:p w:rsidR="008433B5" w:rsidRPr="005B01E9" w:rsidRDefault="008433B5" w:rsidP="005D29C8">
            <w:pPr>
              <w:spacing w:after="120"/>
              <w:rPr>
                <w:i/>
              </w:rPr>
            </w:pPr>
            <w:r w:rsidRPr="005B01E9">
              <w:rPr>
                <w:i/>
              </w:rPr>
              <w:t>Au nom de</w:t>
            </w:r>
            <w:r w:rsidRPr="005B01E9">
              <w:t>:</w:t>
            </w:r>
          </w:p>
        </w:tc>
        <w:tc>
          <w:tcPr>
            <w:tcW w:w="4394" w:type="dxa"/>
          </w:tcPr>
          <w:p w:rsidR="008433B5" w:rsidRPr="005B01E9" w:rsidRDefault="001F13AD" w:rsidP="008433B5">
            <w:pPr>
              <w:spacing w:after="120"/>
            </w:pPr>
            <w:r w:rsidRPr="007620FD">
              <w:rPr>
                <w:lang w:val="fr-FR"/>
              </w:rPr>
              <w:t>L</w:t>
            </w:r>
            <w:r>
              <w:rPr>
                <w:lang w:val="fr-FR"/>
              </w:rPr>
              <w:t>’</w:t>
            </w:r>
            <w:r w:rsidRPr="007620FD">
              <w:rPr>
                <w:lang w:val="fr-FR"/>
              </w:rPr>
              <w:t>auteur</w:t>
            </w:r>
          </w:p>
        </w:tc>
      </w:tr>
      <w:tr w:rsidR="008433B5" w:rsidRPr="005B01E9" w:rsidTr="008433B5">
        <w:tc>
          <w:tcPr>
            <w:tcW w:w="2410" w:type="dxa"/>
          </w:tcPr>
          <w:p w:rsidR="008433B5" w:rsidRPr="005B01E9" w:rsidRDefault="008433B5" w:rsidP="005D29C8">
            <w:pPr>
              <w:spacing w:after="120"/>
              <w:rPr>
                <w:i/>
              </w:rPr>
            </w:pPr>
            <w:r w:rsidRPr="005B01E9">
              <w:rPr>
                <w:i/>
              </w:rPr>
              <w:t>État partie</w:t>
            </w:r>
            <w:r w:rsidRPr="005B01E9">
              <w:t>:</w:t>
            </w:r>
          </w:p>
        </w:tc>
        <w:tc>
          <w:tcPr>
            <w:tcW w:w="4394" w:type="dxa"/>
          </w:tcPr>
          <w:p w:rsidR="008433B5" w:rsidRPr="005B01E9" w:rsidRDefault="001F13AD" w:rsidP="008433B5">
            <w:pPr>
              <w:spacing w:after="120"/>
            </w:pPr>
            <w:r w:rsidRPr="007620FD">
              <w:rPr>
                <w:lang w:val="fr-FR"/>
              </w:rPr>
              <w:t>Bélarus</w:t>
            </w:r>
          </w:p>
        </w:tc>
      </w:tr>
      <w:tr w:rsidR="008433B5" w:rsidRPr="005B01E9" w:rsidTr="008433B5">
        <w:tc>
          <w:tcPr>
            <w:tcW w:w="2410" w:type="dxa"/>
          </w:tcPr>
          <w:p w:rsidR="008433B5" w:rsidRPr="005B01E9" w:rsidRDefault="008433B5" w:rsidP="001F13AD">
            <w:pPr>
              <w:spacing w:after="120"/>
              <w:rPr>
                <w:i/>
              </w:rPr>
            </w:pPr>
            <w:r w:rsidRPr="005B01E9">
              <w:rPr>
                <w:i/>
              </w:rPr>
              <w:t>Date de la communication</w:t>
            </w:r>
            <w:r w:rsidRPr="005B01E9">
              <w:t>:</w:t>
            </w:r>
          </w:p>
        </w:tc>
        <w:tc>
          <w:tcPr>
            <w:tcW w:w="4394" w:type="dxa"/>
          </w:tcPr>
          <w:p w:rsidR="008433B5" w:rsidRPr="005B01E9" w:rsidRDefault="001F13AD" w:rsidP="008433B5">
            <w:pPr>
              <w:spacing w:after="120"/>
            </w:pPr>
            <w:r w:rsidRPr="007620FD">
              <w:rPr>
                <w:lang w:val="fr-FR"/>
              </w:rPr>
              <w:t>28</w:t>
            </w:r>
            <w:r>
              <w:rPr>
                <w:lang w:val="fr-FR"/>
              </w:rPr>
              <w:t> </w:t>
            </w:r>
            <w:r w:rsidRPr="007620FD">
              <w:rPr>
                <w:lang w:val="fr-FR"/>
              </w:rPr>
              <w:t>janvier 2010</w:t>
            </w:r>
            <w:r w:rsidR="00DD7420">
              <w:rPr>
                <w:lang w:val="fr-FR"/>
              </w:rPr>
              <w:t xml:space="preserve"> </w:t>
            </w:r>
            <w:r w:rsidR="008433B5" w:rsidRPr="005B01E9">
              <w:t>(date de la lettre initiale)</w:t>
            </w:r>
          </w:p>
        </w:tc>
      </w:tr>
    </w:tbl>
    <w:p w:rsidR="008433B5" w:rsidRPr="005B01E9" w:rsidRDefault="008433B5" w:rsidP="008433B5">
      <w:pPr>
        <w:pStyle w:val="SingleTxtG"/>
        <w:ind w:firstLine="567"/>
      </w:pPr>
      <w:r w:rsidRPr="005B01E9">
        <w:rPr>
          <w:i/>
          <w:iCs/>
        </w:rPr>
        <w:t>Le Comité des droits de l</w:t>
      </w:r>
      <w:r w:rsidR="00D61D26" w:rsidRPr="005B01E9">
        <w:rPr>
          <w:i/>
          <w:iCs/>
        </w:rPr>
        <w:t>’</w:t>
      </w:r>
      <w:r w:rsidRPr="005B01E9">
        <w:rPr>
          <w:i/>
          <w:iCs/>
        </w:rPr>
        <w:t>homme</w:t>
      </w:r>
      <w:r w:rsidRPr="005B01E9">
        <w:t>, institué en vertu de l</w:t>
      </w:r>
      <w:r w:rsidR="00D61D26" w:rsidRPr="005B01E9">
        <w:t>’</w:t>
      </w:r>
      <w:r w:rsidRPr="005B01E9">
        <w:t>article</w:t>
      </w:r>
      <w:r w:rsidR="001F13AD">
        <w:t> </w:t>
      </w:r>
      <w:r w:rsidRPr="005B01E9">
        <w:t>28 du Pacte international relatif aux droits civils et politiques,</w:t>
      </w:r>
    </w:p>
    <w:p w:rsidR="001F13AD" w:rsidRPr="00BF6F4D" w:rsidRDefault="001F13AD" w:rsidP="001F13AD">
      <w:pPr>
        <w:pStyle w:val="SingleTxtG"/>
        <w:ind w:firstLine="567"/>
      </w:pPr>
      <w:r w:rsidRPr="00BF6F4D">
        <w:rPr>
          <w:i/>
          <w:iCs/>
        </w:rPr>
        <w:t xml:space="preserve">Réuni le </w:t>
      </w:r>
      <w:r w:rsidRPr="003D51EE">
        <w:rPr>
          <w:iCs/>
        </w:rPr>
        <w:t>17</w:t>
      </w:r>
      <w:r>
        <w:rPr>
          <w:i/>
          <w:iCs/>
        </w:rPr>
        <w:t> </w:t>
      </w:r>
      <w:r w:rsidRPr="00BB7A35">
        <w:rPr>
          <w:iCs/>
        </w:rPr>
        <w:t>juillet 2014</w:t>
      </w:r>
      <w:r w:rsidRPr="00BF6F4D">
        <w:t>,</w:t>
      </w:r>
    </w:p>
    <w:p w:rsidR="001F13AD" w:rsidRPr="00BF6F4D" w:rsidRDefault="001F13AD" w:rsidP="001F13AD">
      <w:pPr>
        <w:pStyle w:val="SingleTxtG"/>
        <w:ind w:firstLine="567"/>
      </w:pPr>
      <w:r w:rsidRPr="00BF6F4D">
        <w:rPr>
          <w:i/>
          <w:iCs/>
        </w:rPr>
        <w:t>Ayant achevé</w:t>
      </w:r>
      <w:r w:rsidRPr="00BF6F4D">
        <w:t xml:space="preserve"> l</w:t>
      </w:r>
      <w:r>
        <w:t xml:space="preserve">’examen de la communication </w:t>
      </w:r>
      <w:r w:rsidRPr="00C14D2A">
        <w:t>n</w:t>
      </w:r>
      <w:r w:rsidRPr="00C14D2A">
        <w:rPr>
          <w:vertAlign w:val="superscript"/>
        </w:rPr>
        <w:t>o</w:t>
      </w:r>
      <w:r>
        <w:t> 2030/2011,</w:t>
      </w:r>
      <w:r w:rsidRPr="00BB7A35">
        <w:t xml:space="preserve"> </w:t>
      </w:r>
      <w:r w:rsidRPr="00BF6F4D">
        <w:t xml:space="preserve">présentée </w:t>
      </w:r>
      <w:r w:rsidRPr="007620FD">
        <w:rPr>
          <w:lang w:val="fr-FR"/>
        </w:rPr>
        <w:t>par Vasily</w:t>
      </w:r>
      <w:r>
        <w:rPr>
          <w:lang w:val="fr-FR"/>
        </w:rPr>
        <w:t> </w:t>
      </w:r>
      <w:r w:rsidRPr="007620FD">
        <w:rPr>
          <w:lang w:val="fr-FR"/>
        </w:rPr>
        <w:t>Poliakov</w:t>
      </w:r>
      <w:r>
        <w:rPr>
          <w:lang w:val="fr-FR"/>
        </w:rPr>
        <w:t xml:space="preserve"> </w:t>
      </w:r>
      <w:r w:rsidRPr="00BF6F4D">
        <w:t>en vertu du Protocole facultatif se rapportant au Pacte international relatif aux droits civils et politiques,</w:t>
      </w:r>
    </w:p>
    <w:p w:rsidR="001F13AD" w:rsidRPr="00BF6F4D" w:rsidRDefault="001F13AD" w:rsidP="001F13AD">
      <w:pPr>
        <w:pStyle w:val="SingleTxtG"/>
        <w:ind w:firstLine="567"/>
      </w:pPr>
      <w:r w:rsidRPr="00BF6F4D">
        <w:rPr>
          <w:i/>
          <w:iCs/>
        </w:rPr>
        <w:t>Ayant tenu compte</w:t>
      </w:r>
      <w:r w:rsidRPr="00BF6F4D">
        <w:t xml:space="preserve"> de toutes les informations écrites qu</w:t>
      </w:r>
      <w:r>
        <w:t>i lui ont été communiquées par l’auteur</w:t>
      </w:r>
      <w:r w:rsidRPr="00BF6F4D">
        <w:t xml:space="preserve"> de la communication et l</w:t>
      </w:r>
      <w:r>
        <w:t>’</w:t>
      </w:r>
      <w:r w:rsidRPr="00BF6F4D">
        <w:t>État partie,</w:t>
      </w:r>
    </w:p>
    <w:p w:rsidR="001F13AD" w:rsidRPr="00BF6F4D" w:rsidRDefault="001F13AD" w:rsidP="001F13AD">
      <w:pPr>
        <w:pStyle w:val="SingleTxtG"/>
        <w:ind w:firstLine="567"/>
      </w:pPr>
      <w:r w:rsidRPr="00BF6F4D">
        <w:rPr>
          <w:i/>
          <w:iCs/>
        </w:rPr>
        <w:t>Adopte</w:t>
      </w:r>
      <w:r w:rsidRPr="00BF6F4D">
        <w:t xml:space="preserve"> ce qui suit:</w:t>
      </w:r>
    </w:p>
    <w:p w:rsidR="001F13AD" w:rsidRPr="00BF6F4D" w:rsidRDefault="001F13AD" w:rsidP="001F13AD">
      <w:pPr>
        <w:pStyle w:val="H1G"/>
      </w:pPr>
      <w:r w:rsidRPr="00BF6F4D">
        <w:tab/>
      </w:r>
      <w:r w:rsidRPr="00BF6F4D">
        <w:tab/>
        <w:t>Constatations au titre du paragraphe 4 de l</w:t>
      </w:r>
      <w:r>
        <w:t>’</w:t>
      </w:r>
      <w:r w:rsidRPr="00BF6F4D">
        <w:t>article 5</w:t>
      </w:r>
      <w:r w:rsidRPr="00BF6F4D">
        <w:br/>
        <w:t xml:space="preserve">du Protocole </w:t>
      </w:r>
      <w:r w:rsidRPr="001F13AD">
        <w:t>facultatif</w:t>
      </w:r>
    </w:p>
    <w:p w:rsidR="001F13AD" w:rsidRPr="00FE3116" w:rsidRDefault="001F13AD" w:rsidP="001F13AD">
      <w:pPr>
        <w:pStyle w:val="ParNoG"/>
        <w:rPr>
          <w:lang w:val="fr-FR"/>
        </w:rPr>
      </w:pPr>
      <w:r w:rsidRPr="00FE3116">
        <w:rPr>
          <w:lang w:val="fr-FR"/>
        </w:rPr>
        <w:t>L</w:t>
      </w:r>
      <w:r>
        <w:rPr>
          <w:lang w:val="fr-FR"/>
        </w:rPr>
        <w:t>’</w:t>
      </w:r>
      <w:r w:rsidRPr="00FE3116">
        <w:rPr>
          <w:lang w:val="fr-FR"/>
        </w:rPr>
        <w:t xml:space="preserve">auteur de la communication est Vasily Poliakov, de nationalité bélarussienne, né en 1969. Il </w:t>
      </w:r>
      <w:r>
        <w:rPr>
          <w:lang w:val="fr-FR"/>
        </w:rPr>
        <w:t>affirme être</w:t>
      </w:r>
      <w:r w:rsidRPr="00FE3116">
        <w:rPr>
          <w:lang w:val="fr-FR"/>
        </w:rPr>
        <w:t xml:space="preserve"> victime de violations par le Bélarus des droits qu</w:t>
      </w:r>
      <w:r>
        <w:rPr>
          <w:lang w:val="fr-FR"/>
        </w:rPr>
        <w:t>’</w:t>
      </w:r>
      <w:r w:rsidRPr="00FE3116">
        <w:rPr>
          <w:lang w:val="fr-FR"/>
        </w:rPr>
        <w:t>il tient de l</w:t>
      </w:r>
      <w:r>
        <w:rPr>
          <w:lang w:val="fr-FR"/>
        </w:rPr>
        <w:t>’</w:t>
      </w:r>
      <w:r w:rsidRPr="00FE3116">
        <w:rPr>
          <w:lang w:val="fr-FR"/>
        </w:rPr>
        <w:t>article</w:t>
      </w:r>
      <w:r>
        <w:rPr>
          <w:lang w:val="fr-FR"/>
        </w:rPr>
        <w:t> </w:t>
      </w:r>
      <w:r w:rsidRPr="00FE3116">
        <w:rPr>
          <w:lang w:val="fr-FR"/>
        </w:rPr>
        <w:t>21 du Pacte international relatif aux droits civils et politiques, ainsi que de l</w:t>
      </w:r>
      <w:r>
        <w:rPr>
          <w:lang w:val="fr-FR"/>
        </w:rPr>
        <w:t>’</w:t>
      </w:r>
      <w:r w:rsidRPr="00FE3116">
        <w:rPr>
          <w:lang w:val="fr-FR"/>
        </w:rPr>
        <w:t>article</w:t>
      </w:r>
      <w:r>
        <w:rPr>
          <w:lang w:val="fr-FR"/>
        </w:rPr>
        <w:t> </w:t>
      </w:r>
      <w:r w:rsidRPr="00FE3116">
        <w:rPr>
          <w:lang w:val="fr-FR"/>
        </w:rPr>
        <w:t>2 (par.</w:t>
      </w:r>
      <w:r>
        <w:rPr>
          <w:lang w:val="fr-FR"/>
        </w:rPr>
        <w:t> </w:t>
      </w:r>
      <w:r w:rsidRPr="00FE3116">
        <w:rPr>
          <w:lang w:val="fr-FR"/>
        </w:rPr>
        <w:t>2) du Pacte lu conjointement avec l</w:t>
      </w:r>
      <w:r>
        <w:rPr>
          <w:lang w:val="fr-FR"/>
        </w:rPr>
        <w:t>’</w:t>
      </w:r>
      <w:r w:rsidRPr="00FE3116">
        <w:rPr>
          <w:lang w:val="fr-FR"/>
        </w:rPr>
        <w:t>article</w:t>
      </w:r>
      <w:r>
        <w:rPr>
          <w:lang w:val="fr-FR"/>
        </w:rPr>
        <w:t> </w:t>
      </w:r>
      <w:r w:rsidRPr="00FE3116">
        <w:rPr>
          <w:lang w:val="fr-FR"/>
        </w:rPr>
        <w:t>21</w:t>
      </w:r>
      <w:r>
        <w:rPr>
          <w:rStyle w:val="FootnoteReference"/>
        </w:rPr>
        <w:footnoteReference w:id="3"/>
      </w:r>
      <w:r w:rsidRPr="00FE3116">
        <w:rPr>
          <w:lang w:val="fr-FR"/>
        </w:rPr>
        <w:t>. L</w:t>
      </w:r>
      <w:r>
        <w:rPr>
          <w:lang w:val="fr-FR"/>
        </w:rPr>
        <w:t>’</w:t>
      </w:r>
      <w:r w:rsidRPr="00FE3116">
        <w:rPr>
          <w:lang w:val="fr-FR"/>
        </w:rPr>
        <w:t>auteur n</w:t>
      </w:r>
      <w:r>
        <w:rPr>
          <w:lang w:val="fr-FR"/>
        </w:rPr>
        <w:t>’</w:t>
      </w:r>
      <w:r w:rsidRPr="00FE3116">
        <w:rPr>
          <w:lang w:val="fr-FR"/>
        </w:rPr>
        <w:t>est pas représenté par un conseil.</w:t>
      </w:r>
    </w:p>
    <w:p w:rsidR="001F13AD" w:rsidRPr="00FE3116" w:rsidRDefault="001F13AD" w:rsidP="001F13AD">
      <w:pPr>
        <w:pStyle w:val="H23G"/>
        <w:rPr>
          <w:lang w:val="fr-FR"/>
        </w:rPr>
      </w:pPr>
      <w:r w:rsidRPr="00FE3116">
        <w:rPr>
          <w:lang w:val="fr-FR"/>
        </w:rPr>
        <w:tab/>
      </w:r>
      <w:r w:rsidRPr="00FE3116">
        <w:rPr>
          <w:lang w:val="fr-FR"/>
        </w:rPr>
        <w:tab/>
        <w:t xml:space="preserve">Rappel des faits présentés </w:t>
      </w:r>
      <w:r w:rsidRPr="001F13AD">
        <w:t>par</w:t>
      </w:r>
      <w:r w:rsidRPr="00FE3116">
        <w:rPr>
          <w:lang w:val="fr-FR"/>
        </w:rPr>
        <w:t xml:space="preserve"> l</w:t>
      </w:r>
      <w:r>
        <w:rPr>
          <w:lang w:val="fr-FR"/>
        </w:rPr>
        <w:t>’</w:t>
      </w:r>
      <w:r w:rsidRPr="00FE3116">
        <w:rPr>
          <w:lang w:val="fr-FR"/>
        </w:rPr>
        <w:t>auteur</w:t>
      </w:r>
    </w:p>
    <w:p w:rsidR="001F13AD" w:rsidRPr="00FE3116" w:rsidRDefault="001F13AD" w:rsidP="001F13AD">
      <w:pPr>
        <w:pStyle w:val="SingleTxtG"/>
        <w:keepLines/>
        <w:rPr>
          <w:lang w:val="fr-FR"/>
        </w:rPr>
      </w:pPr>
      <w:r w:rsidRPr="00FE3116">
        <w:rPr>
          <w:lang w:val="fr-FR"/>
        </w:rPr>
        <w:t>2.1</w:t>
      </w:r>
      <w:r w:rsidRPr="00FE3116">
        <w:rPr>
          <w:lang w:val="fr-FR"/>
        </w:rPr>
        <w:tab/>
        <w:t>Le 9</w:t>
      </w:r>
      <w:r>
        <w:rPr>
          <w:lang w:val="fr-FR"/>
        </w:rPr>
        <w:t> </w:t>
      </w:r>
      <w:r w:rsidRPr="00FE3116">
        <w:rPr>
          <w:lang w:val="fr-FR"/>
        </w:rPr>
        <w:t>septembre 2008, l</w:t>
      </w:r>
      <w:r>
        <w:rPr>
          <w:lang w:val="fr-FR"/>
        </w:rPr>
        <w:t>’</w:t>
      </w:r>
      <w:r w:rsidRPr="00FE3116">
        <w:rPr>
          <w:lang w:val="fr-FR"/>
        </w:rPr>
        <w:t xml:space="preserve">auteur a </w:t>
      </w:r>
      <w:r>
        <w:rPr>
          <w:lang w:val="fr-FR"/>
        </w:rPr>
        <w:t>sollicité,</w:t>
      </w:r>
      <w:r w:rsidRPr="00FE3116">
        <w:rPr>
          <w:lang w:val="fr-FR"/>
        </w:rPr>
        <w:t xml:space="preserve"> auprès du Comité exécutif de la </w:t>
      </w:r>
      <w:r>
        <w:rPr>
          <w:lang w:val="fr-FR"/>
        </w:rPr>
        <w:t>ville</w:t>
      </w:r>
      <w:r w:rsidRPr="00FE3116">
        <w:rPr>
          <w:lang w:val="fr-FR"/>
        </w:rPr>
        <w:t xml:space="preserve"> de Gomel</w:t>
      </w:r>
      <w:r>
        <w:rPr>
          <w:lang w:val="fr-FR"/>
        </w:rPr>
        <w:t>,</w:t>
      </w:r>
      <w:r w:rsidRPr="00FE3116">
        <w:rPr>
          <w:lang w:val="fr-FR"/>
        </w:rPr>
        <w:t xml:space="preserve"> l</w:t>
      </w:r>
      <w:r>
        <w:rPr>
          <w:lang w:val="fr-FR"/>
        </w:rPr>
        <w:t>’</w:t>
      </w:r>
      <w:r w:rsidRPr="00FE3116">
        <w:rPr>
          <w:lang w:val="fr-FR"/>
        </w:rPr>
        <w:t>autorisation d</w:t>
      </w:r>
      <w:r>
        <w:rPr>
          <w:lang w:val="fr-FR"/>
        </w:rPr>
        <w:t>’</w:t>
      </w:r>
      <w:r w:rsidRPr="00FE3116">
        <w:rPr>
          <w:lang w:val="fr-FR"/>
        </w:rPr>
        <w:t>organiser, le 18 sep</w:t>
      </w:r>
      <w:r>
        <w:rPr>
          <w:lang w:val="fr-FR"/>
        </w:rPr>
        <w:t xml:space="preserve">tembre 2008, une manifestation </w:t>
      </w:r>
      <w:r w:rsidRPr="00FE3116">
        <w:rPr>
          <w:lang w:val="fr-FR"/>
        </w:rPr>
        <w:t>sous la forme d</w:t>
      </w:r>
      <w:r>
        <w:rPr>
          <w:lang w:val="fr-FR"/>
        </w:rPr>
        <w:t>’un piquet</w:t>
      </w:r>
      <w:r w:rsidRPr="00FE3116">
        <w:rPr>
          <w:lang w:val="fr-FR"/>
        </w:rPr>
        <w:t xml:space="preserve"> pour </w:t>
      </w:r>
      <w:r>
        <w:rPr>
          <w:lang w:val="fr-FR"/>
        </w:rPr>
        <w:t>inciter</w:t>
      </w:r>
      <w:r w:rsidRPr="00FE3116">
        <w:rPr>
          <w:lang w:val="fr-FR"/>
        </w:rPr>
        <w:t xml:space="preserve"> les citoyens </w:t>
      </w:r>
      <w:r>
        <w:rPr>
          <w:lang w:val="fr-FR"/>
        </w:rPr>
        <w:t>à l’abstention lors des</w:t>
      </w:r>
      <w:r w:rsidRPr="00FE3116">
        <w:rPr>
          <w:lang w:val="fr-FR"/>
        </w:rPr>
        <w:t xml:space="preserve"> élections législatives du 28</w:t>
      </w:r>
      <w:r>
        <w:rPr>
          <w:lang w:val="fr-FR"/>
        </w:rPr>
        <w:t> </w:t>
      </w:r>
      <w:r w:rsidRPr="00FE3116">
        <w:rPr>
          <w:lang w:val="fr-FR"/>
        </w:rPr>
        <w:t>septembre 2008. Conf</w:t>
      </w:r>
      <w:r>
        <w:rPr>
          <w:lang w:val="fr-FR"/>
        </w:rPr>
        <w:t xml:space="preserve">ormément à la loi, il a joint à </w:t>
      </w:r>
      <w:r w:rsidRPr="00FE3116">
        <w:rPr>
          <w:lang w:val="fr-FR"/>
        </w:rPr>
        <w:t>sa</w:t>
      </w:r>
      <w:r>
        <w:rPr>
          <w:lang w:val="fr-FR"/>
        </w:rPr>
        <w:t xml:space="preserve"> </w:t>
      </w:r>
      <w:r w:rsidRPr="00FE3116">
        <w:rPr>
          <w:lang w:val="fr-FR"/>
        </w:rPr>
        <w:t>demande un document signé dans lequel il s</w:t>
      </w:r>
      <w:r>
        <w:rPr>
          <w:lang w:val="fr-FR"/>
        </w:rPr>
        <w:t>’</w:t>
      </w:r>
      <w:r w:rsidRPr="00FE3116">
        <w:rPr>
          <w:lang w:val="fr-FR"/>
        </w:rPr>
        <w:t>engageait à organiser et</w:t>
      </w:r>
      <w:r w:rsidR="00DD7420">
        <w:rPr>
          <w:lang w:val="fr-FR"/>
        </w:rPr>
        <w:t xml:space="preserve"> </w:t>
      </w:r>
      <w:r w:rsidRPr="00FE3116">
        <w:rPr>
          <w:lang w:val="fr-FR"/>
        </w:rPr>
        <w:t>diriger cette</w:t>
      </w:r>
      <w:r>
        <w:rPr>
          <w:lang w:val="fr-FR"/>
        </w:rPr>
        <w:t xml:space="preserve"> </w:t>
      </w:r>
      <w:r w:rsidRPr="00FE3116">
        <w:rPr>
          <w:lang w:val="fr-FR"/>
        </w:rPr>
        <w:t>manifestation.</w:t>
      </w:r>
    </w:p>
    <w:p w:rsidR="001F13AD" w:rsidRPr="00FE3116" w:rsidRDefault="001F13AD" w:rsidP="001F13AD">
      <w:pPr>
        <w:pStyle w:val="SingleTxtG"/>
        <w:rPr>
          <w:lang w:val="fr-FR"/>
        </w:rPr>
      </w:pPr>
      <w:r>
        <w:rPr>
          <w:lang w:val="fr-FR"/>
        </w:rPr>
        <w:t>2.2</w:t>
      </w:r>
      <w:r w:rsidRPr="00FE3116">
        <w:rPr>
          <w:lang w:val="fr-FR"/>
        </w:rPr>
        <w:tab/>
      </w:r>
      <w:r>
        <w:rPr>
          <w:lang w:val="fr-FR"/>
        </w:rPr>
        <w:t>Par une décision du</w:t>
      </w:r>
      <w:r w:rsidRPr="00FE3116">
        <w:rPr>
          <w:lang w:val="fr-FR"/>
        </w:rPr>
        <w:t xml:space="preserve"> 12</w:t>
      </w:r>
      <w:r>
        <w:rPr>
          <w:lang w:val="fr-FR"/>
        </w:rPr>
        <w:t> </w:t>
      </w:r>
      <w:r w:rsidRPr="001F13AD">
        <w:t>septembre</w:t>
      </w:r>
      <w:r w:rsidRPr="00FE3116">
        <w:rPr>
          <w:lang w:val="fr-FR"/>
        </w:rPr>
        <w:t xml:space="preserve"> 2008, le Comi</w:t>
      </w:r>
      <w:r>
        <w:rPr>
          <w:lang w:val="fr-FR"/>
        </w:rPr>
        <w:t>té exécutif a interdit</w:t>
      </w:r>
      <w:r w:rsidRPr="00FE3116">
        <w:rPr>
          <w:lang w:val="fr-FR"/>
        </w:rPr>
        <w:t xml:space="preserve"> la </w:t>
      </w:r>
      <w:r w:rsidRPr="008A4B3D">
        <w:t>manifestation</w:t>
      </w:r>
      <w:r w:rsidRPr="00FE3116">
        <w:rPr>
          <w:lang w:val="fr-FR"/>
        </w:rPr>
        <w:t>. À une date non précisée, l</w:t>
      </w:r>
      <w:r>
        <w:rPr>
          <w:lang w:val="fr-FR"/>
        </w:rPr>
        <w:t>’</w:t>
      </w:r>
      <w:r w:rsidRPr="00FE3116">
        <w:rPr>
          <w:lang w:val="fr-FR"/>
        </w:rPr>
        <w:t xml:space="preserve">auteur a fait appel de cette décision devant le tribunal régional central de Gomel, </w:t>
      </w:r>
      <w:r>
        <w:rPr>
          <w:lang w:val="fr-FR"/>
        </w:rPr>
        <w:t>qui l’a</w:t>
      </w:r>
      <w:r w:rsidRPr="00FE3116">
        <w:rPr>
          <w:lang w:val="fr-FR"/>
        </w:rPr>
        <w:t xml:space="preserve"> débouté le 15 octobre 2008. À la fin d</w:t>
      </w:r>
      <w:r>
        <w:rPr>
          <w:lang w:val="fr-FR"/>
        </w:rPr>
        <w:t>’</w:t>
      </w:r>
      <w:r w:rsidRPr="00FE3116">
        <w:rPr>
          <w:lang w:val="fr-FR"/>
        </w:rPr>
        <w:t>octobre 2008, il a formé un recours en annulation contre la décision du tribunal régional devant le tribunal de district de Gomel. Le 9</w:t>
      </w:r>
      <w:r>
        <w:rPr>
          <w:lang w:val="fr-FR"/>
        </w:rPr>
        <w:t> </w:t>
      </w:r>
      <w:r w:rsidRPr="00FE3116">
        <w:rPr>
          <w:lang w:val="fr-FR"/>
        </w:rPr>
        <w:t xml:space="preserve">décembre 2008, le tribunal de district a </w:t>
      </w:r>
      <w:r>
        <w:rPr>
          <w:lang w:val="fr-FR"/>
        </w:rPr>
        <w:t xml:space="preserve">rendu une décision </w:t>
      </w:r>
      <w:r w:rsidRPr="00FE3116">
        <w:rPr>
          <w:lang w:val="fr-FR"/>
        </w:rPr>
        <w:t>confirm</w:t>
      </w:r>
      <w:r>
        <w:rPr>
          <w:lang w:val="fr-FR"/>
        </w:rPr>
        <w:t>ant</w:t>
      </w:r>
      <w:r w:rsidRPr="00FE3116">
        <w:rPr>
          <w:lang w:val="fr-FR"/>
        </w:rPr>
        <w:t xml:space="preserve"> le jugemen</w:t>
      </w:r>
      <w:r>
        <w:rPr>
          <w:lang w:val="fr-FR"/>
        </w:rPr>
        <w:t>t du tribunal régional et rejetant l</w:t>
      </w:r>
      <w:r w:rsidRPr="00FE3116">
        <w:rPr>
          <w:lang w:val="fr-FR"/>
        </w:rPr>
        <w:t xml:space="preserve">e recours. Le tribunal </w:t>
      </w:r>
      <w:r>
        <w:rPr>
          <w:lang w:val="fr-FR"/>
        </w:rPr>
        <w:t xml:space="preserve">de district </w:t>
      </w:r>
      <w:r w:rsidRPr="00FE3116">
        <w:rPr>
          <w:lang w:val="fr-FR"/>
        </w:rPr>
        <w:t xml:space="preserve">a fondé sa décision exclusivement sur les dispositions du droit interne, </w:t>
      </w:r>
      <w:r>
        <w:rPr>
          <w:lang w:val="fr-FR"/>
        </w:rPr>
        <w:t>malgré le fait</w:t>
      </w:r>
      <w:r w:rsidRPr="00FE3116">
        <w:rPr>
          <w:lang w:val="fr-FR"/>
        </w:rPr>
        <w:t xml:space="preserve"> que l</w:t>
      </w:r>
      <w:r>
        <w:rPr>
          <w:lang w:val="fr-FR"/>
        </w:rPr>
        <w:t>’auteur avait</w:t>
      </w:r>
      <w:r w:rsidRPr="00FE3116">
        <w:rPr>
          <w:lang w:val="fr-FR"/>
        </w:rPr>
        <w:t xml:space="preserve"> fait état, dans son recours, de violations par le Bélarus de</w:t>
      </w:r>
      <w:r>
        <w:rPr>
          <w:lang w:val="fr-FR"/>
        </w:rPr>
        <w:t xml:space="preserve"> se</w:t>
      </w:r>
      <w:r w:rsidRPr="00FE3116">
        <w:rPr>
          <w:lang w:val="fr-FR"/>
        </w:rPr>
        <w:t xml:space="preserve">s obligations </w:t>
      </w:r>
      <w:r>
        <w:rPr>
          <w:lang w:val="fr-FR"/>
        </w:rPr>
        <w:t>au regard</w:t>
      </w:r>
      <w:r w:rsidRPr="00FE3116">
        <w:rPr>
          <w:lang w:val="fr-FR"/>
        </w:rPr>
        <w:t xml:space="preserve"> du droit international. L</w:t>
      </w:r>
      <w:r>
        <w:rPr>
          <w:lang w:val="fr-FR"/>
        </w:rPr>
        <w:t>’</w:t>
      </w:r>
      <w:r w:rsidRPr="00FE3116">
        <w:rPr>
          <w:lang w:val="fr-FR"/>
        </w:rPr>
        <w:t>auteur affirme qu</w:t>
      </w:r>
      <w:r>
        <w:rPr>
          <w:lang w:val="fr-FR"/>
        </w:rPr>
        <w:t>’</w:t>
      </w:r>
      <w:r w:rsidRPr="00FE3116">
        <w:rPr>
          <w:lang w:val="fr-FR"/>
        </w:rPr>
        <w:t>il a épuisé tous les recours internes utiles</w:t>
      </w:r>
      <w:r>
        <w:rPr>
          <w:lang w:val="fr-FR"/>
        </w:rPr>
        <w:t xml:space="preserve"> </w:t>
      </w:r>
      <w:r w:rsidRPr="00FE3116">
        <w:rPr>
          <w:lang w:val="fr-FR"/>
        </w:rPr>
        <w:t>disponibles.</w:t>
      </w:r>
    </w:p>
    <w:p w:rsidR="001F13AD" w:rsidRPr="00FE3116" w:rsidRDefault="001F13AD" w:rsidP="001F13AD">
      <w:pPr>
        <w:pStyle w:val="H23G"/>
        <w:rPr>
          <w:lang w:val="fr-FR"/>
        </w:rPr>
      </w:pPr>
      <w:r w:rsidRPr="00FE3116">
        <w:rPr>
          <w:lang w:val="fr-FR"/>
        </w:rPr>
        <w:tab/>
      </w:r>
      <w:r w:rsidRPr="00FE3116">
        <w:rPr>
          <w:lang w:val="fr-FR"/>
        </w:rPr>
        <w:tab/>
        <w:t>Teneur de la plainte</w:t>
      </w:r>
    </w:p>
    <w:p w:rsidR="001F13AD" w:rsidRPr="00FE3116" w:rsidRDefault="001F13AD" w:rsidP="001F13AD">
      <w:pPr>
        <w:pStyle w:val="SingleTxtG"/>
        <w:rPr>
          <w:lang w:val="fr-FR"/>
        </w:rPr>
      </w:pPr>
      <w:r w:rsidRPr="00FE3116">
        <w:rPr>
          <w:lang w:val="fr-FR"/>
        </w:rPr>
        <w:t>3.1</w:t>
      </w:r>
      <w:r w:rsidRPr="00FE3116">
        <w:rPr>
          <w:lang w:val="fr-FR"/>
        </w:rPr>
        <w:tab/>
        <w:t>L</w:t>
      </w:r>
      <w:r>
        <w:rPr>
          <w:lang w:val="fr-FR"/>
        </w:rPr>
        <w:t>’</w:t>
      </w:r>
      <w:r w:rsidRPr="00FE3116">
        <w:rPr>
          <w:lang w:val="fr-FR"/>
        </w:rPr>
        <w:t xml:space="preserve">auteur fait valoir </w:t>
      </w:r>
      <w:r>
        <w:rPr>
          <w:lang w:val="fr-FR"/>
        </w:rPr>
        <w:t xml:space="preserve">que </w:t>
      </w:r>
      <w:r w:rsidRPr="00FE3116">
        <w:rPr>
          <w:lang w:val="fr-FR"/>
        </w:rPr>
        <w:t>l</w:t>
      </w:r>
      <w:r>
        <w:rPr>
          <w:lang w:val="fr-FR"/>
        </w:rPr>
        <w:t>’</w:t>
      </w:r>
      <w:r w:rsidRPr="00FE3116">
        <w:rPr>
          <w:lang w:val="fr-FR"/>
        </w:rPr>
        <w:t>article</w:t>
      </w:r>
      <w:r>
        <w:rPr>
          <w:lang w:val="fr-FR"/>
        </w:rPr>
        <w:t> </w:t>
      </w:r>
      <w:r w:rsidRPr="00FE3116">
        <w:rPr>
          <w:lang w:val="fr-FR"/>
        </w:rPr>
        <w:t>21 du Pacte</w:t>
      </w:r>
      <w:r>
        <w:rPr>
          <w:lang w:val="fr-FR"/>
        </w:rPr>
        <w:t xml:space="preserve"> dispose que</w:t>
      </w:r>
      <w:r w:rsidRPr="00FE3116">
        <w:rPr>
          <w:lang w:val="fr-FR"/>
        </w:rPr>
        <w:t xml:space="preserve"> la liberté de réunion</w:t>
      </w:r>
      <w:r>
        <w:rPr>
          <w:lang w:val="fr-FR"/>
        </w:rPr>
        <w:t xml:space="preserve"> </w:t>
      </w:r>
      <w:r w:rsidRPr="00FE3116">
        <w:rPr>
          <w:lang w:val="fr-FR"/>
        </w:rPr>
        <w:t>ne peut faire l</w:t>
      </w:r>
      <w:r>
        <w:rPr>
          <w:lang w:val="fr-FR"/>
        </w:rPr>
        <w:t>’</w:t>
      </w:r>
      <w:r w:rsidRPr="00FE3116">
        <w:rPr>
          <w:lang w:val="fr-FR"/>
        </w:rPr>
        <w:t>objet de restrictions, à moins que celles-ci ne soient nécessaires dans l</w:t>
      </w:r>
      <w:r>
        <w:rPr>
          <w:lang w:val="fr-FR"/>
        </w:rPr>
        <w:t>’</w:t>
      </w:r>
      <w:r w:rsidRPr="00FE3116">
        <w:rPr>
          <w:lang w:val="fr-FR"/>
        </w:rPr>
        <w:t>i</w:t>
      </w:r>
      <w:r>
        <w:rPr>
          <w:lang w:val="fr-FR"/>
        </w:rPr>
        <w:t>ntérêt de la sécurité nationale ou</w:t>
      </w:r>
      <w:r w:rsidRPr="00FE3116">
        <w:rPr>
          <w:lang w:val="fr-FR"/>
        </w:rPr>
        <w:t xml:space="preserve"> de l</w:t>
      </w:r>
      <w:r>
        <w:rPr>
          <w:lang w:val="fr-FR"/>
        </w:rPr>
        <w:t>’</w:t>
      </w:r>
      <w:r w:rsidRPr="00FE3116">
        <w:rPr>
          <w:lang w:val="fr-FR"/>
        </w:rPr>
        <w:t>ordre public ou pour protéger la</w:t>
      </w:r>
      <w:r>
        <w:rPr>
          <w:lang w:val="fr-FR"/>
        </w:rPr>
        <w:t xml:space="preserve"> santé ou la moralité publiques</w:t>
      </w:r>
      <w:r w:rsidRPr="00FE3116">
        <w:rPr>
          <w:lang w:val="fr-FR"/>
        </w:rPr>
        <w:t xml:space="preserve"> ou les droits et libertés d</w:t>
      </w:r>
      <w:r>
        <w:rPr>
          <w:lang w:val="fr-FR"/>
        </w:rPr>
        <w:t>’</w:t>
      </w:r>
      <w:r w:rsidRPr="00FE3116">
        <w:rPr>
          <w:lang w:val="fr-FR"/>
        </w:rPr>
        <w:t>autrui. Les motifs invoqués pour rejeter la demande d</w:t>
      </w:r>
      <w:r>
        <w:rPr>
          <w:lang w:val="fr-FR"/>
        </w:rPr>
        <w:t>’</w:t>
      </w:r>
      <w:r w:rsidRPr="00FE3116">
        <w:rPr>
          <w:lang w:val="fr-FR"/>
        </w:rPr>
        <w:t>autorisation de l</w:t>
      </w:r>
      <w:r>
        <w:rPr>
          <w:lang w:val="fr-FR"/>
        </w:rPr>
        <w:t>’</w:t>
      </w:r>
      <w:r w:rsidRPr="00FE3116">
        <w:rPr>
          <w:lang w:val="fr-FR"/>
        </w:rPr>
        <w:t>auteur étaient les suivants: la demande ne précisait pas les modalités du déroulement de la manifestation et n</w:t>
      </w:r>
      <w:r>
        <w:rPr>
          <w:lang w:val="fr-FR"/>
        </w:rPr>
        <w:t>’</w:t>
      </w:r>
      <w:r w:rsidRPr="00FE3116">
        <w:rPr>
          <w:lang w:val="fr-FR"/>
        </w:rPr>
        <w:t>était pas conforme au point</w:t>
      </w:r>
      <w:r>
        <w:rPr>
          <w:lang w:val="fr-FR"/>
        </w:rPr>
        <w:t> </w:t>
      </w:r>
      <w:r w:rsidRPr="00FE3116">
        <w:rPr>
          <w:lang w:val="fr-FR"/>
        </w:rPr>
        <w:t xml:space="preserve">2 de la décision </w:t>
      </w:r>
      <w:r w:rsidRPr="00F93B53">
        <w:rPr>
          <w:lang w:val="fr-FR"/>
        </w:rPr>
        <w:t>n</w:t>
      </w:r>
      <w:r w:rsidRPr="00F93B53">
        <w:rPr>
          <w:vertAlign w:val="superscript"/>
          <w:lang w:val="fr-FR"/>
        </w:rPr>
        <w:t>o</w:t>
      </w:r>
      <w:r>
        <w:rPr>
          <w:lang w:val="fr-FR"/>
        </w:rPr>
        <w:t> </w:t>
      </w:r>
      <w:r w:rsidRPr="00FE3116">
        <w:rPr>
          <w:lang w:val="fr-FR"/>
        </w:rPr>
        <w:t xml:space="preserve">299 du Comité exécutif </w:t>
      </w:r>
      <w:r>
        <w:rPr>
          <w:lang w:val="fr-FR"/>
        </w:rPr>
        <w:t>de la ville</w:t>
      </w:r>
      <w:r w:rsidRPr="00FE3116">
        <w:rPr>
          <w:lang w:val="fr-FR"/>
        </w:rPr>
        <w:t xml:space="preserve"> de Gomel</w:t>
      </w:r>
      <w:r>
        <w:rPr>
          <w:lang w:val="fr-FR"/>
        </w:rPr>
        <w:t>,</w:t>
      </w:r>
      <w:r w:rsidRPr="00FE3116">
        <w:rPr>
          <w:lang w:val="fr-FR"/>
        </w:rPr>
        <w:t xml:space="preserve"> en date du 2</w:t>
      </w:r>
      <w:r>
        <w:rPr>
          <w:lang w:val="fr-FR"/>
        </w:rPr>
        <w:t> avril 2008</w:t>
      </w:r>
      <w:r w:rsidRPr="00FE3116">
        <w:rPr>
          <w:lang w:val="fr-FR"/>
        </w:rPr>
        <w:t xml:space="preserve"> </w:t>
      </w:r>
      <w:r>
        <w:t>(«Rassemblements publics à Gomel»),</w:t>
      </w:r>
      <w:r w:rsidRPr="00FE3116">
        <w:rPr>
          <w:lang w:val="fr-FR"/>
        </w:rPr>
        <w:t xml:space="preserve"> qui prévoit que de tels rassemblements ne peuvent </w:t>
      </w:r>
      <w:r>
        <w:rPr>
          <w:lang w:val="fr-FR"/>
        </w:rPr>
        <w:t>avoir lieu</w:t>
      </w:r>
      <w:r w:rsidRPr="00FE3116">
        <w:rPr>
          <w:lang w:val="fr-FR"/>
        </w:rPr>
        <w:t xml:space="preserve"> que si les organisateurs sont en mesure de présenter des </w:t>
      </w:r>
      <w:r>
        <w:rPr>
          <w:lang w:val="fr-FR"/>
        </w:rPr>
        <w:t>engagements écrits du</w:t>
      </w:r>
      <w:r w:rsidRPr="00FE3116">
        <w:rPr>
          <w:lang w:val="fr-FR"/>
        </w:rPr>
        <w:t xml:space="preserve"> Département de l</w:t>
      </w:r>
      <w:r>
        <w:rPr>
          <w:lang w:val="fr-FR"/>
        </w:rPr>
        <w:t>’</w:t>
      </w:r>
      <w:r w:rsidRPr="00FE3116">
        <w:rPr>
          <w:lang w:val="fr-FR"/>
        </w:rPr>
        <w:t>intérieur de l</w:t>
      </w:r>
      <w:r>
        <w:rPr>
          <w:lang w:val="fr-FR"/>
        </w:rPr>
        <w:t>’</w:t>
      </w:r>
      <w:r w:rsidRPr="00FE3116">
        <w:rPr>
          <w:lang w:val="fr-FR"/>
        </w:rPr>
        <w:t>administration du district (afin d</w:t>
      </w:r>
      <w:r>
        <w:rPr>
          <w:lang w:val="fr-FR"/>
        </w:rPr>
        <w:t>’</w:t>
      </w:r>
      <w:r w:rsidRPr="00FE3116">
        <w:rPr>
          <w:lang w:val="fr-FR"/>
        </w:rPr>
        <w:t>assurer l</w:t>
      </w:r>
      <w:r>
        <w:rPr>
          <w:lang w:val="fr-FR"/>
        </w:rPr>
        <w:t>’</w:t>
      </w:r>
      <w:r w:rsidRPr="00FE3116">
        <w:rPr>
          <w:lang w:val="fr-FR"/>
        </w:rPr>
        <w:t xml:space="preserve">ordre public pendant la manifestation), </w:t>
      </w:r>
      <w:r>
        <w:rPr>
          <w:lang w:val="fr-FR"/>
        </w:rPr>
        <w:t>du</w:t>
      </w:r>
      <w:r w:rsidRPr="00FE3116">
        <w:rPr>
          <w:lang w:val="fr-FR"/>
        </w:rPr>
        <w:t xml:space="preserve"> Département de la santé (pour garantir la fourniture de soins médicaux pendant </w:t>
      </w:r>
      <w:r>
        <w:rPr>
          <w:lang w:val="fr-FR"/>
        </w:rPr>
        <w:t>la manifestation</w:t>
      </w:r>
      <w:r w:rsidRPr="00FE3116">
        <w:rPr>
          <w:lang w:val="fr-FR"/>
        </w:rPr>
        <w:t xml:space="preserve">) et </w:t>
      </w:r>
      <w:r>
        <w:rPr>
          <w:lang w:val="fr-FR"/>
        </w:rPr>
        <w:t>du</w:t>
      </w:r>
      <w:r w:rsidRPr="00FE3116">
        <w:rPr>
          <w:lang w:val="fr-FR"/>
        </w:rPr>
        <w:t xml:space="preserve"> Département des services à la collectivité (en vue d</w:t>
      </w:r>
      <w:r>
        <w:rPr>
          <w:lang w:val="fr-FR"/>
        </w:rPr>
        <w:t>’</w:t>
      </w:r>
      <w:r w:rsidRPr="00FE3116">
        <w:rPr>
          <w:lang w:val="fr-FR"/>
        </w:rPr>
        <w:t xml:space="preserve">assurer le nettoyage du site après </w:t>
      </w:r>
      <w:r>
        <w:rPr>
          <w:lang w:val="fr-FR"/>
        </w:rPr>
        <w:t>la manifestation</w:t>
      </w:r>
      <w:r w:rsidRPr="00FE3116">
        <w:rPr>
          <w:lang w:val="fr-FR"/>
        </w:rPr>
        <w:t>). L</w:t>
      </w:r>
      <w:r>
        <w:rPr>
          <w:lang w:val="fr-FR"/>
        </w:rPr>
        <w:t>’</w:t>
      </w:r>
      <w:r w:rsidRPr="00FE3116">
        <w:rPr>
          <w:lang w:val="fr-FR"/>
        </w:rPr>
        <w:t>auteur affirme qu</w:t>
      </w:r>
      <w:r>
        <w:rPr>
          <w:lang w:val="fr-FR"/>
        </w:rPr>
        <w:t>’</w:t>
      </w:r>
      <w:r w:rsidRPr="00FE3116">
        <w:rPr>
          <w:lang w:val="fr-FR"/>
        </w:rPr>
        <w:t>aucun des motifs mentionnés ci-dessus ne peut légitimement justifier de</w:t>
      </w:r>
      <w:r>
        <w:rPr>
          <w:lang w:val="fr-FR"/>
        </w:rPr>
        <w:t>s</w:t>
      </w:r>
      <w:r w:rsidRPr="00FE3116">
        <w:rPr>
          <w:lang w:val="fr-FR"/>
        </w:rPr>
        <w:t xml:space="preserve"> restrictions à l</w:t>
      </w:r>
      <w:r>
        <w:rPr>
          <w:lang w:val="fr-FR"/>
        </w:rPr>
        <w:t>’</w:t>
      </w:r>
      <w:r w:rsidRPr="00FE3116">
        <w:rPr>
          <w:lang w:val="fr-FR"/>
        </w:rPr>
        <w:t xml:space="preserve">exercice </w:t>
      </w:r>
      <w:r>
        <w:rPr>
          <w:lang w:val="fr-FR"/>
        </w:rPr>
        <w:t xml:space="preserve">du </w:t>
      </w:r>
      <w:r w:rsidRPr="00FE3116">
        <w:rPr>
          <w:lang w:val="fr-FR"/>
        </w:rPr>
        <w:t>droit à la liberté de</w:t>
      </w:r>
      <w:r>
        <w:rPr>
          <w:lang w:val="fr-FR"/>
        </w:rPr>
        <w:t> </w:t>
      </w:r>
      <w:r w:rsidRPr="00FE3116">
        <w:rPr>
          <w:lang w:val="fr-FR"/>
        </w:rPr>
        <w:t>réunion qu</w:t>
      </w:r>
      <w:r>
        <w:rPr>
          <w:lang w:val="fr-FR"/>
        </w:rPr>
        <w:t>’</w:t>
      </w:r>
      <w:r w:rsidRPr="00FE3116">
        <w:rPr>
          <w:lang w:val="fr-FR"/>
        </w:rPr>
        <w:t>il tient de l</w:t>
      </w:r>
      <w:r>
        <w:rPr>
          <w:lang w:val="fr-FR"/>
        </w:rPr>
        <w:t>’</w:t>
      </w:r>
      <w:r w:rsidRPr="00FE3116">
        <w:rPr>
          <w:lang w:val="fr-FR"/>
        </w:rPr>
        <w:t>article</w:t>
      </w:r>
      <w:r>
        <w:rPr>
          <w:lang w:val="fr-FR"/>
        </w:rPr>
        <w:t> </w:t>
      </w:r>
      <w:r w:rsidRPr="00FE3116">
        <w:rPr>
          <w:lang w:val="fr-FR"/>
        </w:rPr>
        <w:t>21 du Pacte.</w:t>
      </w:r>
    </w:p>
    <w:p w:rsidR="001F13AD" w:rsidRPr="00FE3116" w:rsidRDefault="001F13AD" w:rsidP="001F13AD">
      <w:pPr>
        <w:pStyle w:val="SingleTxtG"/>
        <w:rPr>
          <w:lang w:val="fr-FR"/>
        </w:rPr>
      </w:pPr>
      <w:r w:rsidRPr="00FE3116">
        <w:rPr>
          <w:lang w:val="fr-FR"/>
        </w:rPr>
        <w:t>3.2</w:t>
      </w:r>
      <w:r w:rsidRPr="00FE3116">
        <w:rPr>
          <w:lang w:val="fr-FR"/>
        </w:rPr>
        <w:tab/>
        <w:t>L</w:t>
      </w:r>
      <w:r>
        <w:rPr>
          <w:lang w:val="fr-FR"/>
        </w:rPr>
        <w:t>’</w:t>
      </w:r>
      <w:r w:rsidRPr="00FE3116">
        <w:rPr>
          <w:lang w:val="fr-FR"/>
        </w:rPr>
        <w:t>auteur fait également valoir que l</w:t>
      </w:r>
      <w:r>
        <w:rPr>
          <w:lang w:val="fr-FR"/>
        </w:rPr>
        <w:t>’</w:t>
      </w:r>
      <w:r w:rsidRPr="00FE3116">
        <w:rPr>
          <w:lang w:val="fr-FR"/>
        </w:rPr>
        <w:t>article</w:t>
      </w:r>
      <w:r>
        <w:rPr>
          <w:lang w:val="fr-FR"/>
        </w:rPr>
        <w:t> </w:t>
      </w:r>
      <w:r w:rsidRPr="00FE3116">
        <w:rPr>
          <w:lang w:val="fr-FR"/>
        </w:rPr>
        <w:t>6 d</w:t>
      </w:r>
      <w:r>
        <w:rPr>
          <w:lang w:val="fr-FR"/>
        </w:rPr>
        <w:t xml:space="preserve">e la loi de 1997 intitulée </w:t>
      </w:r>
      <w:r>
        <w:t>«</w:t>
      </w:r>
      <w:r>
        <w:rPr>
          <w:lang w:val="fr-FR"/>
        </w:rPr>
        <w:t>M</w:t>
      </w:r>
      <w:r w:rsidRPr="00FE3116">
        <w:rPr>
          <w:lang w:val="fr-FR"/>
        </w:rPr>
        <w:t xml:space="preserve">anifestations publiques en République du Bélarus» autorise </w:t>
      </w:r>
      <w:r w:rsidRPr="00FE3116">
        <w:t>les pouvoirs publics</w:t>
      </w:r>
      <w:r w:rsidRPr="00FE3116">
        <w:rPr>
          <w:lang w:val="fr-FR"/>
        </w:rPr>
        <w:t xml:space="preserve">, pour assurer la sécurité publique et le </w:t>
      </w:r>
      <w:r>
        <w:rPr>
          <w:lang w:val="fr-FR"/>
        </w:rPr>
        <w:t xml:space="preserve">cours </w:t>
      </w:r>
      <w:r w:rsidRPr="00FE3116">
        <w:rPr>
          <w:lang w:val="fr-FR"/>
        </w:rPr>
        <w:t>normal de la circulation, à demander aux organisateurs d</w:t>
      </w:r>
      <w:r>
        <w:rPr>
          <w:lang w:val="fr-FR"/>
        </w:rPr>
        <w:t>’une manifestation d’en</w:t>
      </w:r>
      <w:r w:rsidRPr="00FE3116">
        <w:rPr>
          <w:lang w:val="fr-FR"/>
        </w:rPr>
        <w:t xml:space="preserve"> modifier la date, l</w:t>
      </w:r>
      <w:r>
        <w:rPr>
          <w:lang w:val="fr-FR"/>
        </w:rPr>
        <w:t>’</w:t>
      </w:r>
      <w:r w:rsidRPr="00FE3116">
        <w:rPr>
          <w:lang w:val="fr-FR"/>
        </w:rPr>
        <w:t>heur</w:t>
      </w:r>
      <w:r>
        <w:rPr>
          <w:lang w:val="fr-FR"/>
        </w:rPr>
        <w:t>e ou le lieu</w:t>
      </w:r>
      <w:r w:rsidRPr="00FE3116">
        <w:rPr>
          <w:lang w:val="fr-FR"/>
        </w:rPr>
        <w:t>. L</w:t>
      </w:r>
      <w:r>
        <w:rPr>
          <w:lang w:val="fr-FR"/>
        </w:rPr>
        <w:t>’</w:t>
      </w:r>
      <w:r w:rsidRPr="00FE3116">
        <w:rPr>
          <w:lang w:val="fr-FR"/>
        </w:rPr>
        <w:t xml:space="preserve">auteur souligne que </w:t>
      </w:r>
      <w:r w:rsidRPr="00FE3116">
        <w:t>les pouvoirs publics</w:t>
      </w:r>
      <w:r w:rsidRPr="00FE3116">
        <w:rPr>
          <w:lang w:val="fr-FR"/>
        </w:rPr>
        <w:t xml:space="preserve"> n</w:t>
      </w:r>
      <w:r>
        <w:rPr>
          <w:lang w:val="fr-FR"/>
        </w:rPr>
        <w:t>’</w:t>
      </w:r>
      <w:r w:rsidRPr="00FE3116">
        <w:rPr>
          <w:lang w:val="fr-FR"/>
        </w:rPr>
        <w:t xml:space="preserve">ont jamais pris contact avec lui, </w:t>
      </w:r>
      <w:r>
        <w:rPr>
          <w:lang w:val="fr-FR"/>
        </w:rPr>
        <w:t>l’</w:t>
      </w:r>
      <w:r w:rsidRPr="00FE3116">
        <w:rPr>
          <w:lang w:val="fr-FR"/>
        </w:rPr>
        <w:t xml:space="preserve">organisateur, pour discuter de tels changements ou de problèmes que la demande aurait posés, sur le plan </w:t>
      </w:r>
      <w:r>
        <w:rPr>
          <w:lang w:val="fr-FR"/>
        </w:rPr>
        <w:t>de la procédure ou sur le fond.</w:t>
      </w:r>
    </w:p>
    <w:p w:rsidR="001F13AD" w:rsidRPr="00FE3116" w:rsidRDefault="001F13AD" w:rsidP="001F13AD">
      <w:pPr>
        <w:pStyle w:val="SingleTxtG"/>
        <w:rPr>
          <w:lang w:val="fr-FR"/>
        </w:rPr>
      </w:pPr>
      <w:r w:rsidRPr="00FE3116">
        <w:rPr>
          <w:lang w:val="fr-FR"/>
        </w:rPr>
        <w:t>3.3</w:t>
      </w:r>
      <w:r w:rsidRPr="00FE3116">
        <w:rPr>
          <w:lang w:val="fr-FR"/>
        </w:rPr>
        <w:tab/>
        <w:t>L</w:t>
      </w:r>
      <w:r>
        <w:rPr>
          <w:lang w:val="fr-FR"/>
        </w:rPr>
        <w:t>’</w:t>
      </w:r>
      <w:r w:rsidRPr="00FE3116">
        <w:rPr>
          <w:lang w:val="fr-FR"/>
        </w:rPr>
        <w:t xml:space="preserve">auteur affirme en outre que les organisateurs </w:t>
      </w:r>
      <w:r>
        <w:rPr>
          <w:lang w:val="fr-FR"/>
        </w:rPr>
        <w:t>de manifestations publiques</w:t>
      </w:r>
      <w:r w:rsidRPr="00FE3116">
        <w:rPr>
          <w:lang w:val="fr-FR"/>
        </w:rPr>
        <w:t xml:space="preserve"> se heurtent à des obstacles importants en raison de la décision </w:t>
      </w:r>
      <w:r w:rsidRPr="00F93B53">
        <w:rPr>
          <w:lang w:val="fr-FR"/>
        </w:rPr>
        <w:t>n</w:t>
      </w:r>
      <w:r w:rsidRPr="00F93B53">
        <w:rPr>
          <w:vertAlign w:val="superscript"/>
          <w:lang w:val="fr-FR"/>
        </w:rPr>
        <w:t>o</w:t>
      </w:r>
      <w:r>
        <w:rPr>
          <w:lang w:val="fr-FR"/>
        </w:rPr>
        <w:t> </w:t>
      </w:r>
      <w:r w:rsidRPr="00FE3116">
        <w:rPr>
          <w:lang w:val="fr-FR"/>
        </w:rPr>
        <w:t xml:space="preserve">299 du Comité exécutif en date du 2 avril 2008 qui, par exemple, les oblige à </w:t>
      </w:r>
      <w:r>
        <w:rPr>
          <w:lang w:val="fr-FR"/>
        </w:rPr>
        <w:t>obtenir des engagements de</w:t>
      </w:r>
      <w:r w:rsidRPr="00FE3116">
        <w:rPr>
          <w:lang w:val="fr-FR"/>
        </w:rPr>
        <w:t xml:space="preserve"> trois </w:t>
      </w:r>
      <w:r>
        <w:rPr>
          <w:lang w:val="fr-FR"/>
        </w:rPr>
        <w:t>services administratifs</w:t>
      </w:r>
      <w:r w:rsidRPr="00FE3116">
        <w:rPr>
          <w:lang w:val="fr-FR"/>
        </w:rPr>
        <w:t xml:space="preserve"> différents et établit que les réunions publiques ne peuvent être organisées que dans un lieu déterminé, à la périphérie de </w:t>
      </w:r>
      <w:r>
        <w:rPr>
          <w:lang w:val="fr-FR"/>
        </w:rPr>
        <w:t xml:space="preserve">la ville de </w:t>
      </w:r>
      <w:r w:rsidRPr="00FE3116">
        <w:rPr>
          <w:lang w:val="fr-FR"/>
        </w:rPr>
        <w:t>Gomel. L</w:t>
      </w:r>
      <w:r>
        <w:rPr>
          <w:lang w:val="fr-FR"/>
        </w:rPr>
        <w:t>’</w:t>
      </w:r>
      <w:r w:rsidRPr="00FE3116">
        <w:rPr>
          <w:lang w:val="fr-FR"/>
        </w:rPr>
        <w:t xml:space="preserve">auteur soutient que les restrictions </w:t>
      </w:r>
      <w:r>
        <w:rPr>
          <w:lang w:val="fr-FR"/>
        </w:rPr>
        <w:t>susmentionnées</w:t>
      </w:r>
      <w:r w:rsidRPr="00FE3116">
        <w:rPr>
          <w:lang w:val="fr-FR"/>
        </w:rPr>
        <w:t xml:space="preserve"> constituent </w:t>
      </w:r>
      <w:r>
        <w:rPr>
          <w:lang w:val="fr-FR"/>
        </w:rPr>
        <w:t>un</w:t>
      </w:r>
      <w:r w:rsidRPr="00FE3116">
        <w:rPr>
          <w:lang w:val="fr-FR"/>
        </w:rPr>
        <w:t xml:space="preserve"> </w:t>
      </w:r>
      <w:r>
        <w:rPr>
          <w:lang w:val="fr-FR"/>
        </w:rPr>
        <w:t>manquement aux</w:t>
      </w:r>
      <w:r w:rsidRPr="00FE3116">
        <w:rPr>
          <w:lang w:val="fr-FR"/>
        </w:rPr>
        <w:t xml:space="preserve"> obligations </w:t>
      </w:r>
      <w:r>
        <w:rPr>
          <w:lang w:val="fr-FR"/>
        </w:rPr>
        <w:t>de</w:t>
      </w:r>
      <w:r w:rsidRPr="00FE3116">
        <w:rPr>
          <w:lang w:val="fr-FR"/>
        </w:rPr>
        <w:t xml:space="preserve"> l</w:t>
      </w:r>
      <w:r>
        <w:rPr>
          <w:lang w:val="fr-FR"/>
        </w:rPr>
        <w:t>’</w:t>
      </w:r>
      <w:r w:rsidRPr="00FE3116">
        <w:rPr>
          <w:lang w:val="fr-FR"/>
        </w:rPr>
        <w:t xml:space="preserve">État partie </w:t>
      </w:r>
      <w:r>
        <w:rPr>
          <w:lang w:val="fr-FR"/>
        </w:rPr>
        <w:t>au titre</w:t>
      </w:r>
      <w:r w:rsidRPr="00FE3116">
        <w:rPr>
          <w:lang w:val="fr-FR"/>
        </w:rPr>
        <w:t xml:space="preserve"> du paragraphe</w:t>
      </w:r>
      <w:r>
        <w:rPr>
          <w:lang w:val="fr-FR"/>
        </w:rPr>
        <w:t> </w:t>
      </w:r>
      <w:r w:rsidRPr="00FE3116">
        <w:rPr>
          <w:lang w:val="fr-FR"/>
        </w:rPr>
        <w:t>2 de l</w:t>
      </w:r>
      <w:r>
        <w:rPr>
          <w:lang w:val="fr-FR"/>
        </w:rPr>
        <w:t>’</w:t>
      </w:r>
      <w:r w:rsidRPr="00FE3116">
        <w:rPr>
          <w:lang w:val="fr-FR"/>
        </w:rPr>
        <w:t>article</w:t>
      </w:r>
      <w:r>
        <w:rPr>
          <w:lang w:val="fr-FR"/>
        </w:rPr>
        <w:t> </w:t>
      </w:r>
      <w:r w:rsidRPr="00FE3116">
        <w:rPr>
          <w:lang w:val="fr-FR"/>
        </w:rPr>
        <w:t>2 du Pacte, car l</w:t>
      </w:r>
      <w:r>
        <w:rPr>
          <w:lang w:val="fr-FR"/>
        </w:rPr>
        <w:t>’</w:t>
      </w:r>
      <w:r w:rsidRPr="00FE3116">
        <w:rPr>
          <w:lang w:val="fr-FR"/>
        </w:rPr>
        <w:t>État partie n</w:t>
      </w:r>
      <w:r>
        <w:rPr>
          <w:lang w:val="fr-FR"/>
        </w:rPr>
        <w:t>’</w:t>
      </w:r>
      <w:r w:rsidRPr="00FE3116">
        <w:rPr>
          <w:lang w:val="fr-FR"/>
        </w:rPr>
        <w:t>a pas f</w:t>
      </w:r>
      <w:r>
        <w:rPr>
          <w:lang w:val="fr-FR"/>
        </w:rPr>
        <w:t>ait le nécessaire pour adopter d</w:t>
      </w:r>
      <w:r w:rsidRPr="00FE3116">
        <w:rPr>
          <w:lang w:val="fr-FR"/>
        </w:rPr>
        <w:t xml:space="preserve">es lois ou mesures </w:t>
      </w:r>
      <w:r>
        <w:rPr>
          <w:lang w:val="fr-FR"/>
        </w:rPr>
        <w:t>qui auraient permis de</w:t>
      </w:r>
      <w:r w:rsidRPr="00FE3116">
        <w:rPr>
          <w:lang w:val="fr-FR"/>
        </w:rPr>
        <w:t xml:space="preserve"> donner effet aux droits reconnus dans l</w:t>
      </w:r>
      <w:r>
        <w:rPr>
          <w:lang w:val="fr-FR"/>
        </w:rPr>
        <w:t>’</w:t>
      </w:r>
      <w:r w:rsidRPr="00FE3116">
        <w:rPr>
          <w:lang w:val="fr-FR"/>
        </w:rPr>
        <w:t>article</w:t>
      </w:r>
      <w:r>
        <w:rPr>
          <w:lang w:val="fr-FR"/>
        </w:rPr>
        <w:t> </w:t>
      </w:r>
      <w:r w:rsidRPr="00FE3116">
        <w:rPr>
          <w:lang w:val="fr-FR"/>
        </w:rPr>
        <w:t>21 du Pacte.</w:t>
      </w:r>
    </w:p>
    <w:p w:rsidR="001F13AD" w:rsidRPr="00FE3116" w:rsidRDefault="001F13AD" w:rsidP="001F13AD">
      <w:pPr>
        <w:pStyle w:val="H23G"/>
        <w:rPr>
          <w:lang w:val="fr-FR"/>
        </w:rPr>
      </w:pPr>
      <w:r w:rsidRPr="00FE3116">
        <w:rPr>
          <w:lang w:val="fr-FR"/>
        </w:rPr>
        <w:tab/>
      </w:r>
      <w:r w:rsidRPr="00FE3116">
        <w:rPr>
          <w:lang w:val="fr-FR"/>
        </w:rPr>
        <w:tab/>
        <w:t>Observations de l</w:t>
      </w:r>
      <w:r>
        <w:rPr>
          <w:lang w:val="fr-FR"/>
        </w:rPr>
        <w:t>’</w:t>
      </w:r>
      <w:r w:rsidRPr="00FE3116">
        <w:rPr>
          <w:lang w:val="fr-FR"/>
        </w:rPr>
        <w:t xml:space="preserve">État partie sur la </w:t>
      </w:r>
      <w:r w:rsidRPr="001F13AD">
        <w:t>recevabilité</w:t>
      </w:r>
      <w:r w:rsidRPr="00FE3116">
        <w:rPr>
          <w:lang w:val="fr-FR"/>
        </w:rPr>
        <w:t xml:space="preserve"> et sur le fond</w:t>
      </w:r>
    </w:p>
    <w:p w:rsidR="001F13AD" w:rsidRPr="00FE3116" w:rsidRDefault="001F13AD" w:rsidP="001F13AD">
      <w:pPr>
        <w:pStyle w:val="SingleTxtG"/>
        <w:rPr>
          <w:lang w:val="fr-FR"/>
        </w:rPr>
      </w:pPr>
      <w:r w:rsidRPr="00FE3116">
        <w:rPr>
          <w:lang w:val="fr-FR"/>
        </w:rPr>
        <w:t>4.1</w:t>
      </w:r>
      <w:r w:rsidRPr="00FE3116">
        <w:rPr>
          <w:lang w:val="fr-FR"/>
        </w:rPr>
        <w:tab/>
      </w:r>
      <w:r>
        <w:rPr>
          <w:lang w:val="fr-FR"/>
        </w:rPr>
        <w:t>Dans une note en date du</w:t>
      </w:r>
      <w:r w:rsidRPr="00FE3116">
        <w:rPr>
          <w:lang w:val="fr-FR"/>
        </w:rPr>
        <w:t xml:space="preserve"> 5</w:t>
      </w:r>
      <w:r>
        <w:rPr>
          <w:lang w:val="fr-FR"/>
        </w:rPr>
        <w:t> </w:t>
      </w:r>
      <w:r w:rsidRPr="00FE3116">
        <w:rPr>
          <w:lang w:val="fr-FR"/>
        </w:rPr>
        <w:t>octobre 2011, l</w:t>
      </w:r>
      <w:r>
        <w:rPr>
          <w:lang w:val="fr-FR"/>
        </w:rPr>
        <w:t>’</w:t>
      </w:r>
      <w:r w:rsidRPr="00FE3116">
        <w:rPr>
          <w:lang w:val="fr-FR"/>
        </w:rPr>
        <w:t xml:space="preserve">État partie fait valoir </w:t>
      </w:r>
      <w:r w:rsidRPr="00FE3116">
        <w:t>qu</w:t>
      </w:r>
      <w:r>
        <w:t>’</w:t>
      </w:r>
      <w:r w:rsidRPr="00FE3116">
        <w:t>au</w:t>
      </w:r>
      <w:r>
        <w:t xml:space="preserve">cun motif de droit ne justifie d’examiner </w:t>
      </w:r>
      <w:r w:rsidRPr="00FE3116">
        <w:t xml:space="preserve">la recevabilité </w:t>
      </w:r>
      <w:r>
        <w:t>ni</w:t>
      </w:r>
      <w:r w:rsidRPr="00FE3116">
        <w:t xml:space="preserve"> le fond</w:t>
      </w:r>
      <w:r>
        <w:t xml:space="preserve"> </w:t>
      </w:r>
      <w:r w:rsidRPr="00FE3116">
        <w:t>de la communication</w:t>
      </w:r>
      <w:r w:rsidRPr="00FE3116">
        <w:rPr>
          <w:lang w:val="fr-FR"/>
        </w:rPr>
        <w:t xml:space="preserve">, car </w:t>
      </w:r>
      <w:r>
        <w:rPr>
          <w:lang w:val="fr-FR"/>
        </w:rPr>
        <w:t>c</w:t>
      </w:r>
      <w:r w:rsidRPr="00FE3116">
        <w:rPr>
          <w:lang w:val="fr-FR"/>
        </w:rPr>
        <w:t>elle</w:t>
      </w:r>
      <w:r>
        <w:rPr>
          <w:lang w:val="fr-FR"/>
        </w:rPr>
        <w:t>-ci</w:t>
      </w:r>
      <w:r w:rsidRPr="00FE3116">
        <w:rPr>
          <w:lang w:val="fr-FR"/>
        </w:rPr>
        <w:t xml:space="preserve"> a été enregistrée en violation de l</w:t>
      </w:r>
      <w:r>
        <w:rPr>
          <w:lang w:val="fr-FR"/>
        </w:rPr>
        <w:t>’</w:t>
      </w:r>
      <w:r w:rsidRPr="00FE3116">
        <w:rPr>
          <w:lang w:val="fr-FR"/>
        </w:rPr>
        <w:t>article premier du Protocole facultatif. Il affirme que l</w:t>
      </w:r>
      <w:r>
        <w:rPr>
          <w:lang w:val="fr-FR"/>
        </w:rPr>
        <w:t>’</w:t>
      </w:r>
      <w:r w:rsidRPr="00FE3116">
        <w:rPr>
          <w:lang w:val="fr-FR"/>
        </w:rPr>
        <w:t>auteur n</w:t>
      </w:r>
      <w:r>
        <w:rPr>
          <w:lang w:val="fr-FR"/>
        </w:rPr>
        <w:t>’</w:t>
      </w:r>
      <w:r w:rsidRPr="00FE3116">
        <w:rPr>
          <w:lang w:val="fr-FR"/>
        </w:rPr>
        <w:t xml:space="preserve">a pas épuisé tous les recours internes disponibles </w:t>
      </w:r>
      <w:r>
        <w:rPr>
          <w:lang w:val="fr-FR"/>
        </w:rPr>
        <w:t>comme l’exige</w:t>
      </w:r>
      <w:r w:rsidRPr="00FE3116">
        <w:rPr>
          <w:lang w:val="fr-FR"/>
        </w:rPr>
        <w:t xml:space="preserve"> l</w:t>
      </w:r>
      <w:r>
        <w:rPr>
          <w:lang w:val="fr-FR"/>
        </w:rPr>
        <w:t>’</w:t>
      </w:r>
      <w:r w:rsidRPr="00FE3116">
        <w:rPr>
          <w:lang w:val="fr-FR"/>
        </w:rPr>
        <w:t>article</w:t>
      </w:r>
      <w:r>
        <w:rPr>
          <w:lang w:val="fr-FR"/>
        </w:rPr>
        <w:t> </w:t>
      </w:r>
      <w:r w:rsidRPr="00FE3116">
        <w:rPr>
          <w:lang w:val="fr-FR"/>
        </w:rPr>
        <w:t>2 du Protocole facultatif, puisqu</w:t>
      </w:r>
      <w:r>
        <w:rPr>
          <w:lang w:val="fr-FR"/>
        </w:rPr>
        <w:t>’</w:t>
      </w:r>
      <w:r w:rsidRPr="00FE3116">
        <w:rPr>
          <w:lang w:val="fr-FR"/>
        </w:rPr>
        <w:t>il n</w:t>
      </w:r>
      <w:r>
        <w:rPr>
          <w:lang w:val="fr-FR"/>
        </w:rPr>
        <w:t>’</w:t>
      </w:r>
      <w:r w:rsidRPr="00FE3116">
        <w:rPr>
          <w:lang w:val="fr-FR"/>
        </w:rPr>
        <w:t>a pas déposé de demande de contrôle de la décision le concernant auprès du Président de la</w:t>
      </w:r>
      <w:r>
        <w:rPr>
          <w:lang w:val="fr-FR"/>
        </w:rPr>
        <w:t xml:space="preserve"> Cour suprême, des services du P</w:t>
      </w:r>
      <w:r w:rsidRPr="00FE3116">
        <w:rPr>
          <w:lang w:val="fr-FR"/>
        </w:rPr>
        <w:t>rocureur général ou</w:t>
      </w:r>
      <w:r>
        <w:rPr>
          <w:lang w:val="fr-FR"/>
        </w:rPr>
        <w:t xml:space="preserve"> </w:t>
      </w:r>
      <w:r w:rsidRPr="00FE3116">
        <w:rPr>
          <w:lang w:val="fr-FR"/>
        </w:rPr>
        <w:t>des</w:t>
      </w:r>
      <w:r>
        <w:rPr>
          <w:lang w:val="fr-FR"/>
        </w:rPr>
        <w:t> </w:t>
      </w:r>
      <w:r>
        <w:t>p</w:t>
      </w:r>
      <w:r w:rsidRPr="00FE3116">
        <w:t>rocureurs en chef des districts</w:t>
      </w:r>
      <w:r w:rsidRPr="00FE3116">
        <w:rPr>
          <w:lang w:val="fr-FR"/>
        </w:rPr>
        <w:t>.</w:t>
      </w:r>
    </w:p>
    <w:p w:rsidR="001F13AD" w:rsidRPr="00AB1513" w:rsidRDefault="001F13AD" w:rsidP="001F13AD">
      <w:pPr>
        <w:pStyle w:val="SingleTxtG"/>
      </w:pPr>
      <w:r w:rsidRPr="00FE3116">
        <w:rPr>
          <w:lang w:val="fr-FR"/>
        </w:rPr>
        <w:t>4.2</w:t>
      </w:r>
      <w:r w:rsidRPr="00FE3116">
        <w:rPr>
          <w:lang w:val="fr-FR"/>
        </w:rPr>
        <w:tab/>
      </w:r>
      <w:r>
        <w:rPr>
          <w:lang w:val="fr-FR"/>
        </w:rPr>
        <w:t xml:space="preserve">Dans une note </w:t>
      </w:r>
      <w:r>
        <w:t>e</w:t>
      </w:r>
      <w:r w:rsidRPr="00FE3116">
        <w:t>n date du 25 janvier 2012, l</w:t>
      </w:r>
      <w:r>
        <w:t>’</w:t>
      </w:r>
      <w:r w:rsidRPr="00FE3116">
        <w:t xml:space="preserve">État partie fait </w:t>
      </w:r>
      <w:r>
        <w:t>observer</w:t>
      </w:r>
      <w:r w:rsidRPr="00FE3116">
        <w:rPr>
          <w:lang w:val="fr-FR"/>
        </w:rPr>
        <w:t xml:space="preserve"> </w:t>
      </w:r>
      <w:r>
        <w:t>qu’en adhérant</w:t>
      </w:r>
      <w:r w:rsidRPr="00FE3116">
        <w:t xml:space="preserve"> au Protocole facultatif, il a reconnu la compétence du Comité en vertu de l</w:t>
      </w:r>
      <w:r>
        <w:t>’</w:t>
      </w:r>
      <w:r w:rsidRPr="00FE3116">
        <w:t>article premier</w:t>
      </w:r>
      <w:r>
        <w:t xml:space="preserve"> de ce texte</w:t>
      </w:r>
      <w:r w:rsidRPr="00FE3116">
        <w:t xml:space="preserve">, mais que cette compétence est </w:t>
      </w:r>
      <w:r>
        <w:t>reconnue sous réserve</w:t>
      </w:r>
      <w:r w:rsidR="00DD7420">
        <w:t xml:space="preserve"> </w:t>
      </w:r>
      <w:r w:rsidRPr="00FE3116">
        <w:t>d</w:t>
      </w:r>
      <w:r>
        <w:t>’</w:t>
      </w:r>
      <w:r w:rsidRPr="00FE3116">
        <w:t xml:space="preserve">autres dispositions du Protocole facultatif, notamment </w:t>
      </w:r>
      <w:r w:rsidRPr="007A4BFB">
        <w:t>celles qui énoncent les conditions à remplir par les auteurs des communications et les critères de recevabilité, en particu</w:t>
      </w:r>
      <w:r>
        <w:t>lier l’article 2 et l’article 5</w:t>
      </w:r>
      <w:r w:rsidRPr="007A4BFB">
        <w:t xml:space="preserve">. </w:t>
      </w:r>
      <w:r w:rsidRPr="00FE3116">
        <w:t xml:space="preserve">Il soutient que </w:t>
      </w:r>
      <w:r>
        <w:t>l</w:t>
      </w:r>
      <w:r w:rsidRPr="00D15973">
        <w:t>e Protocole facultatif ne fait pas obligation aux États parties d’accepter le Règlement intérieur du Comité</w:t>
      </w:r>
      <w:r>
        <w:t>,</w:t>
      </w:r>
      <w:r w:rsidRPr="00D15973">
        <w:t xml:space="preserve"> ni l’interprétation que fait celui-ci</w:t>
      </w:r>
      <w:r>
        <w:t xml:space="preserve"> des dispositions du Protocole</w:t>
      </w:r>
      <w:r w:rsidRPr="00FE3116">
        <w:t xml:space="preserve">, qui «ne peut être </w:t>
      </w:r>
      <w:r>
        <w:t>valable</w:t>
      </w:r>
      <w:r w:rsidRPr="00FE3116">
        <w:t xml:space="preserve"> que </w:t>
      </w:r>
      <w:r>
        <w:t xml:space="preserve">si </w:t>
      </w:r>
      <w:r w:rsidRPr="00FE3116">
        <w:t xml:space="preserve">elle est </w:t>
      </w:r>
      <w:r>
        <w:t>conforme</w:t>
      </w:r>
      <w:r w:rsidRPr="00FE3116">
        <w:t xml:space="preserve"> à la Convention de Vienne sur le droit des traités». </w:t>
      </w:r>
      <w:r>
        <w:t>L’</w:t>
      </w:r>
      <w:r w:rsidRPr="00FE3116">
        <w:t>État partie affirme qu</w:t>
      </w:r>
      <w:r>
        <w:t>’</w:t>
      </w:r>
      <w:r w:rsidRPr="00FE3116">
        <w:t>«en ce qui concerne la procédure d</w:t>
      </w:r>
      <w:r>
        <w:t>’</w:t>
      </w:r>
      <w:r w:rsidRPr="00FE3116">
        <w:t xml:space="preserve">examen des </w:t>
      </w:r>
      <w:r>
        <w:t>communications</w:t>
      </w:r>
      <w:r w:rsidRPr="00FE3116">
        <w:t>, les États parties doivent s</w:t>
      </w:r>
      <w:r>
        <w:t>’</w:t>
      </w:r>
      <w:r w:rsidRPr="00FE3116">
        <w:t xml:space="preserve">appuyer en premier lieu sur les dispositions du Protocole facultatif» et que </w:t>
      </w:r>
      <w:r w:rsidRPr="006441E1">
        <w:t xml:space="preserve">«la pratique bien établie du Comité, ses méthodes de travail et sa jurisprudence, auxquelles </w:t>
      </w:r>
      <w:r>
        <w:t>le Comité</w:t>
      </w:r>
      <w:r w:rsidRPr="006441E1">
        <w:t xml:space="preserve"> renvoie, ne relèvent pas du Protocole facultatif».</w:t>
      </w:r>
      <w:r>
        <w:t xml:space="preserve"> Il </w:t>
      </w:r>
      <w:r w:rsidRPr="00AB1513">
        <w:t xml:space="preserve">ajoute qu’il considérera toute communication enregistrée en violation des dispositions du Protocole facultatif comme incompatible avec celui-ci et qu’il la rejettera sans faire d’observations sur la recevabilité ou sur le fond. </w:t>
      </w:r>
      <w:r>
        <w:t>L’</w:t>
      </w:r>
      <w:r w:rsidRPr="00FE3116">
        <w:t xml:space="preserve">État partie </w:t>
      </w:r>
      <w:r w:rsidRPr="00AB1513">
        <w:t>déclare en outre que les décisions prises par le Comité au sujet de communications ainsi «rejetées» seront considérées par ses autorités comme «non valides».</w:t>
      </w:r>
    </w:p>
    <w:p w:rsidR="001F13AD" w:rsidRPr="00FE3116" w:rsidRDefault="001F13AD" w:rsidP="001F13AD">
      <w:pPr>
        <w:pStyle w:val="H23G"/>
        <w:rPr>
          <w:lang w:val="fr-FR"/>
        </w:rPr>
      </w:pPr>
      <w:r w:rsidRPr="00FE3116">
        <w:rPr>
          <w:lang w:val="fr-FR"/>
        </w:rPr>
        <w:tab/>
      </w:r>
      <w:r w:rsidRPr="00FE3116">
        <w:rPr>
          <w:lang w:val="fr-FR"/>
        </w:rPr>
        <w:tab/>
      </w:r>
      <w:r>
        <w:rPr>
          <w:lang w:val="fr-FR"/>
        </w:rPr>
        <w:t>Commentaires</w:t>
      </w:r>
      <w:r w:rsidRPr="00FE3116">
        <w:rPr>
          <w:lang w:val="fr-FR"/>
        </w:rPr>
        <w:t xml:space="preserve"> de l</w:t>
      </w:r>
      <w:r>
        <w:rPr>
          <w:lang w:val="fr-FR"/>
        </w:rPr>
        <w:t>’</w:t>
      </w:r>
      <w:r w:rsidRPr="00FE3116">
        <w:rPr>
          <w:lang w:val="fr-FR"/>
        </w:rPr>
        <w:t>auteur</w:t>
      </w:r>
      <w:r>
        <w:rPr>
          <w:lang w:val="fr-FR"/>
        </w:rPr>
        <w:t xml:space="preserve"> sur les observations de </w:t>
      </w:r>
      <w:r w:rsidRPr="001F13AD">
        <w:t>l’État</w:t>
      </w:r>
      <w:r>
        <w:t xml:space="preserve"> partie</w:t>
      </w:r>
    </w:p>
    <w:p w:rsidR="001F13AD" w:rsidRPr="00FE3116" w:rsidRDefault="001F13AD" w:rsidP="001F13AD">
      <w:pPr>
        <w:pStyle w:val="SingleTxtG"/>
        <w:rPr>
          <w:lang w:val="fr-FR"/>
        </w:rPr>
      </w:pPr>
      <w:r w:rsidRPr="00FE3116">
        <w:rPr>
          <w:lang w:val="fr-FR"/>
        </w:rPr>
        <w:t>5.1</w:t>
      </w:r>
      <w:r w:rsidRPr="00FE3116">
        <w:rPr>
          <w:lang w:val="fr-FR"/>
        </w:rPr>
        <w:tab/>
      </w:r>
      <w:r>
        <w:rPr>
          <w:lang w:val="fr-FR"/>
        </w:rPr>
        <w:t>Dans une note en date du</w:t>
      </w:r>
      <w:r w:rsidRPr="00FE3116">
        <w:rPr>
          <w:lang w:val="fr-FR"/>
        </w:rPr>
        <w:t xml:space="preserve"> 21</w:t>
      </w:r>
      <w:r>
        <w:rPr>
          <w:lang w:val="fr-FR"/>
        </w:rPr>
        <w:t> </w:t>
      </w:r>
      <w:r w:rsidRPr="00FE3116">
        <w:rPr>
          <w:lang w:val="fr-FR"/>
        </w:rPr>
        <w:t>mars 2012, l</w:t>
      </w:r>
      <w:r>
        <w:rPr>
          <w:lang w:val="fr-FR"/>
        </w:rPr>
        <w:t>’</w:t>
      </w:r>
      <w:r w:rsidRPr="00FE3116">
        <w:rPr>
          <w:lang w:val="fr-FR"/>
        </w:rPr>
        <w:t>auteur fait valoir que l</w:t>
      </w:r>
      <w:r>
        <w:rPr>
          <w:lang w:val="fr-FR"/>
        </w:rPr>
        <w:t>’</w:t>
      </w:r>
      <w:r w:rsidRPr="00FE3116">
        <w:rPr>
          <w:lang w:val="fr-FR"/>
        </w:rPr>
        <w:t>État partie remet en cause le droit du Comité d</w:t>
      </w:r>
      <w:r>
        <w:rPr>
          <w:lang w:val="fr-FR"/>
        </w:rPr>
        <w:t>’</w:t>
      </w:r>
      <w:r w:rsidRPr="00FE3116">
        <w:rPr>
          <w:lang w:val="fr-FR"/>
        </w:rPr>
        <w:t>établir son règlement intérieur, ainsi que la pratique habituelle des organes internationaux consistant à se doter de règles internes pour assurer leur bon fonc</w:t>
      </w:r>
      <w:r>
        <w:rPr>
          <w:lang w:val="fr-FR"/>
        </w:rPr>
        <w:t>tionnement. Il souligne que le R</w:t>
      </w:r>
      <w:r w:rsidRPr="00FE3116">
        <w:rPr>
          <w:lang w:val="fr-FR"/>
        </w:rPr>
        <w:t>èglement intérieur n</w:t>
      </w:r>
      <w:r>
        <w:rPr>
          <w:lang w:val="fr-FR"/>
        </w:rPr>
        <w:t>’</w:t>
      </w:r>
      <w:r w:rsidRPr="00FE3116">
        <w:rPr>
          <w:lang w:val="fr-FR"/>
        </w:rPr>
        <w:t xml:space="preserve">est pas contraire au Pacte et </w:t>
      </w:r>
      <w:r>
        <w:rPr>
          <w:lang w:val="fr-FR"/>
        </w:rPr>
        <w:t xml:space="preserve">qu’il </w:t>
      </w:r>
      <w:r w:rsidRPr="00FE3116">
        <w:rPr>
          <w:lang w:val="fr-FR"/>
        </w:rPr>
        <w:t xml:space="preserve">est accepté par les États comme relevant de la compétence du Comité. </w:t>
      </w:r>
      <w:r>
        <w:rPr>
          <w:lang w:val="fr-FR"/>
        </w:rPr>
        <w:t>De plus, e</w:t>
      </w:r>
      <w:r w:rsidRPr="00FE3116">
        <w:rPr>
          <w:lang w:val="fr-FR"/>
        </w:rPr>
        <w:t>n</w:t>
      </w:r>
      <w:r>
        <w:rPr>
          <w:lang w:val="fr-FR"/>
        </w:rPr>
        <w:t xml:space="preserve"> </w:t>
      </w:r>
      <w:r w:rsidRPr="00FE3116">
        <w:rPr>
          <w:lang w:val="fr-FR"/>
        </w:rPr>
        <w:t>l</w:t>
      </w:r>
      <w:r>
        <w:rPr>
          <w:lang w:val="fr-FR"/>
        </w:rPr>
        <w:t>’</w:t>
      </w:r>
      <w:r w:rsidRPr="00FE3116">
        <w:rPr>
          <w:lang w:val="fr-FR"/>
        </w:rPr>
        <w:t>absence de tels règlements, les organes internationaux ne seraient pas en mesure de</w:t>
      </w:r>
      <w:r>
        <w:rPr>
          <w:lang w:val="fr-FR"/>
        </w:rPr>
        <w:t> </w:t>
      </w:r>
      <w:r w:rsidRPr="00FE3116">
        <w:rPr>
          <w:lang w:val="fr-FR"/>
        </w:rPr>
        <w:t xml:space="preserve">fonctionner </w:t>
      </w:r>
      <w:r>
        <w:rPr>
          <w:lang w:val="fr-FR"/>
        </w:rPr>
        <w:t>correctement</w:t>
      </w:r>
      <w:r w:rsidRPr="00FE3116">
        <w:rPr>
          <w:lang w:val="fr-FR"/>
        </w:rPr>
        <w:t>.</w:t>
      </w:r>
    </w:p>
    <w:p w:rsidR="001F13AD" w:rsidRPr="00FE3116" w:rsidRDefault="001F13AD" w:rsidP="001F13AD">
      <w:pPr>
        <w:pStyle w:val="SingleTxtG"/>
        <w:rPr>
          <w:lang w:val="fr-FR"/>
        </w:rPr>
      </w:pPr>
      <w:r w:rsidRPr="00FE3116">
        <w:rPr>
          <w:lang w:val="fr-FR"/>
        </w:rPr>
        <w:t>5.2</w:t>
      </w:r>
      <w:r w:rsidRPr="00FE3116">
        <w:rPr>
          <w:lang w:val="fr-FR"/>
        </w:rPr>
        <w:tab/>
        <w:t>L</w:t>
      </w:r>
      <w:r>
        <w:rPr>
          <w:lang w:val="fr-FR"/>
        </w:rPr>
        <w:t>’</w:t>
      </w:r>
      <w:r w:rsidRPr="00FE3116">
        <w:rPr>
          <w:lang w:val="fr-FR"/>
        </w:rPr>
        <w:t xml:space="preserve">auteur ajoute </w:t>
      </w:r>
      <w:r>
        <w:rPr>
          <w:lang w:val="fr-FR"/>
        </w:rPr>
        <w:t>qu’</w:t>
      </w:r>
      <w:r w:rsidRPr="00FE3116">
        <w:rPr>
          <w:lang w:val="fr-FR"/>
        </w:rPr>
        <w:t xml:space="preserve">en devenant partie au Protocole facultatif, </w:t>
      </w:r>
      <w:r>
        <w:rPr>
          <w:lang w:val="fr-FR"/>
        </w:rPr>
        <w:t>le Bélarus</w:t>
      </w:r>
      <w:r w:rsidRPr="00FE3116">
        <w:rPr>
          <w:lang w:val="fr-FR"/>
        </w:rPr>
        <w:t xml:space="preserve"> a reconnu que le Comité avait compétence non seulement pour déterminer s</w:t>
      </w:r>
      <w:r>
        <w:rPr>
          <w:lang w:val="fr-FR"/>
        </w:rPr>
        <w:t>’</w:t>
      </w:r>
      <w:r w:rsidRPr="00FE3116">
        <w:rPr>
          <w:lang w:val="fr-FR"/>
        </w:rPr>
        <w:t>il y</w:t>
      </w:r>
      <w:r>
        <w:rPr>
          <w:lang w:val="fr-FR"/>
        </w:rPr>
        <w:t xml:space="preserve"> a eu ou non violation du Pacte</w:t>
      </w:r>
      <w:r w:rsidRPr="00FE3116">
        <w:rPr>
          <w:lang w:val="fr-FR"/>
        </w:rPr>
        <w:t xml:space="preserve"> mais aussi, conformément au paragraphe</w:t>
      </w:r>
      <w:r>
        <w:rPr>
          <w:lang w:val="fr-FR"/>
        </w:rPr>
        <w:t> </w:t>
      </w:r>
      <w:r w:rsidRPr="00FE3116">
        <w:rPr>
          <w:lang w:val="fr-FR"/>
        </w:rPr>
        <w:t>4 de l</w:t>
      </w:r>
      <w:r>
        <w:rPr>
          <w:lang w:val="fr-FR"/>
        </w:rPr>
        <w:t>’</w:t>
      </w:r>
      <w:r w:rsidRPr="00FE3116">
        <w:rPr>
          <w:lang w:val="fr-FR"/>
        </w:rPr>
        <w:t>article</w:t>
      </w:r>
      <w:r>
        <w:rPr>
          <w:lang w:val="fr-FR"/>
        </w:rPr>
        <w:t> </w:t>
      </w:r>
      <w:r w:rsidRPr="00FE3116">
        <w:rPr>
          <w:lang w:val="fr-FR"/>
        </w:rPr>
        <w:t>40 du Pacte, pour adresser aux États parties ses propres rapports, ainsi que toutes observations générales qu</w:t>
      </w:r>
      <w:r>
        <w:rPr>
          <w:lang w:val="fr-FR"/>
        </w:rPr>
        <w:t>’</w:t>
      </w:r>
      <w:r w:rsidRPr="00FE3116">
        <w:rPr>
          <w:lang w:val="fr-FR"/>
        </w:rPr>
        <w:t xml:space="preserve">il jugerait appropriées. </w:t>
      </w:r>
      <w:r>
        <w:rPr>
          <w:lang w:val="fr-FR"/>
        </w:rPr>
        <w:t>Conformément à</w:t>
      </w:r>
      <w:r w:rsidRPr="00FE3116">
        <w:rPr>
          <w:lang w:val="fr-FR"/>
        </w:rPr>
        <w:t xml:space="preserve"> l</w:t>
      </w:r>
      <w:r>
        <w:rPr>
          <w:lang w:val="fr-FR"/>
        </w:rPr>
        <w:t>’</w:t>
      </w:r>
      <w:r w:rsidRPr="00FE3116">
        <w:rPr>
          <w:lang w:val="fr-FR"/>
        </w:rPr>
        <w:t>article</w:t>
      </w:r>
      <w:r>
        <w:rPr>
          <w:lang w:val="fr-FR"/>
        </w:rPr>
        <w:t> </w:t>
      </w:r>
      <w:r w:rsidRPr="00FE3116">
        <w:rPr>
          <w:lang w:val="fr-FR"/>
        </w:rPr>
        <w:t>2</w:t>
      </w:r>
      <w:r>
        <w:rPr>
          <w:lang w:val="fr-FR"/>
        </w:rPr>
        <w:t xml:space="preserve"> a) </w:t>
      </w:r>
      <w:r w:rsidRPr="00FE3116">
        <w:rPr>
          <w:lang w:val="fr-FR"/>
        </w:rPr>
        <w:t>du Pacte, l</w:t>
      </w:r>
      <w:r>
        <w:rPr>
          <w:lang w:val="fr-FR"/>
        </w:rPr>
        <w:t>’</w:t>
      </w:r>
      <w:r w:rsidRPr="00FE3116">
        <w:rPr>
          <w:lang w:val="fr-FR"/>
        </w:rPr>
        <w:t>État partie est également tenu de veiller à ce que toute personne se trouvant sur son territoire et relevant de sa compétence dispose d</w:t>
      </w:r>
      <w:r>
        <w:rPr>
          <w:lang w:val="fr-FR"/>
        </w:rPr>
        <w:t>’</w:t>
      </w:r>
      <w:r w:rsidRPr="00FE3116">
        <w:rPr>
          <w:lang w:val="fr-FR"/>
        </w:rPr>
        <w:t>un recours utile</w:t>
      </w:r>
      <w:r>
        <w:rPr>
          <w:lang w:val="fr-FR"/>
        </w:rPr>
        <w:t xml:space="preserve"> en cas de violation de ses droits au titre du Pacte</w:t>
      </w:r>
      <w:r w:rsidRPr="00FE3116">
        <w:rPr>
          <w:lang w:val="fr-FR"/>
        </w:rPr>
        <w:t>. En reconnaissant que le Comité avait compétence pour se prononcer, dans des cas concrets, sur l</w:t>
      </w:r>
      <w:r>
        <w:rPr>
          <w:lang w:val="fr-FR"/>
        </w:rPr>
        <w:t>’</w:t>
      </w:r>
      <w:r w:rsidRPr="00FE3116">
        <w:rPr>
          <w:lang w:val="fr-FR"/>
        </w:rPr>
        <w:t>utilité d</w:t>
      </w:r>
      <w:r>
        <w:rPr>
          <w:lang w:val="fr-FR"/>
        </w:rPr>
        <w:t>’</w:t>
      </w:r>
      <w:r w:rsidRPr="00FE3116">
        <w:rPr>
          <w:lang w:val="fr-FR"/>
        </w:rPr>
        <w:t>un recours interne, l</w:t>
      </w:r>
      <w:r>
        <w:rPr>
          <w:lang w:val="fr-FR"/>
        </w:rPr>
        <w:t>’</w:t>
      </w:r>
      <w:r w:rsidRPr="00FE3116">
        <w:rPr>
          <w:lang w:val="fr-FR"/>
        </w:rPr>
        <w:t>État partie s</w:t>
      </w:r>
      <w:r>
        <w:rPr>
          <w:lang w:val="fr-FR"/>
        </w:rPr>
        <w:t>’</w:t>
      </w:r>
      <w:r w:rsidRPr="00FE3116">
        <w:rPr>
          <w:lang w:val="fr-FR"/>
        </w:rPr>
        <w:t xml:space="preserve">est également engagé </w:t>
      </w:r>
      <w:r>
        <w:rPr>
          <w:lang w:val="fr-FR"/>
        </w:rPr>
        <w:t>à prendre en considération les O</w:t>
      </w:r>
      <w:r w:rsidRPr="00FE3116">
        <w:rPr>
          <w:lang w:val="fr-FR"/>
        </w:rPr>
        <w:t xml:space="preserve">bservations générales du Comité. Enfin, le rôle du Comité consiste notamment à interpréter les dispositions du Pacte et à élaborer une jurisprudence. En refusant de reconnaître les pratiques </w:t>
      </w:r>
      <w:r>
        <w:rPr>
          <w:lang w:val="fr-FR"/>
        </w:rPr>
        <w:t>habituelles</w:t>
      </w:r>
      <w:r w:rsidRPr="00FE3116">
        <w:rPr>
          <w:lang w:val="fr-FR"/>
        </w:rPr>
        <w:t xml:space="preserve">, les méthodes de travail et la jurisprudence du Comité, le Bélarus refuse </w:t>
      </w:r>
      <w:r>
        <w:rPr>
          <w:lang w:val="fr-FR"/>
        </w:rPr>
        <w:t>de fait de reconnaître l</w:t>
      </w:r>
      <w:r w:rsidRPr="00FE3116">
        <w:rPr>
          <w:lang w:val="fr-FR"/>
        </w:rPr>
        <w:t xml:space="preserve">a compétence </w:t>
      </w:r>
      <w:r>
        <w:rPr>
          <w:lang w:val="fr-FR"/>
        </w:rPr>
        <w:t>du Comité pour</w:t>
      </w:r>
      <w:r w:rsidRPr="00FE3116">
        <w:rPr>
          <w:lang w:val="fr-FR"/>
        </w:rPr>
        <w:t xml:space="preserve"> </w:t>
      </w:r>
      <w:r>
        <w:rPr>
          <w:lang w:val="fr-FR"/>
        </w:rPr>
        <w:t xml:space="preserve">interpréter le </w:t>
      </w:r>
      <w:r w:rsidRPr="00FE3116">
        <w:rPr>
          <w:lang w:val="fr-FR"/>
        </w:rPr>
        <w:t>Pacte, ce qui est contraire à l</w:t>
      </w:r>
      <w:r>
        <w:rPr>
          <w:lang w:val="fr-FR"/>
        </w:rPr>
        <w:t>’objet et au but de cet organe</w:t>
      </w:r>
      <w:r w:rsidRPr="00FE3116">
        <w:rPr>
          <w:lang w:val="fr-FR"/>
        </w:rPr>
        <w:t>.</w:t>
      </w:r>
    </w:p>
    <w:p w:rsidR="001F13AD" w:rsidRPr="00FE3116" w:rsidRDefault="001F13AD" w:rsidP="001F13AD">
      <w:pPr>
        <w:pStyle w:val="SingleTxtG"/>
        <w:rPr>
          <w:lang w:val="fr-FR"/>
        </w:rPr>
      </w:pPr>
      <w:r w:rsidRPr="00FE3116">
        <w:rPr>
          <w:lang w:val="fr-FR"/>
        </w:rPr>
        <w:t>5.3</w:t>
      </w:r>
      <w:r w:rsidRPr="00FE3116">
        <w:rPr>
          <w:lang w:val="fr-FR"/>
        </w:rPr>
        <w:tab/>
        <w:t>L</w:t>
      </w:r>
      <w:r>
        <w:rPr>
          <w:lang w:val="fr-FR"/>
        </w:rPr>
        <w:t>’</w:t>
      </w:r>
      <w:r w:rsidRPr="00FE3116">
        <w:rPr>
          <w:lang w:val="fr-FR"/>
        </w:rPr>
        <w:t>auteur fait valoir que l</w:t>
      </w:r>
      <w:r>
        <w:rPr>
          <w:lang w:val="fr-FR"/>
        </w:rPr>
        <w:t>’</w:t>
      </w:r>
      <w:r w:rsidRPr="00FE3116">
        <w:rPr>
          <w:lang w:val="fr-FR"/>
        </w:rPr>
        <w:t>État partie, puisqu</w:t>
      </w:r>
      <w:r>
        <w:rPr>
          <w:lang w:val="fr-FR"/>
        </w:rPr>
        <w:t>’</w:t>
      </w:r>
      <w:r w:rsidRPr="00FE3116">
        <w:rPr>
          <w:lang w:val="fr-FR"/>
        </w:rPr>
        <w:t>il a reconnu de son plein gré la compétence du Comité, n</w:t>
      </w:r>
      <w:r>
        <w:rPr>
          <w:lang w:val="fr-FR"/>
        </w:rPr>
        <w:t>’</w:t>
      </w:r>
      <w:r w:rsidRPr="00FE3116">
        <w:rPr>
          <w:lang w:val="fr-FR"/>
        </w:rPr>
        <w:t>a pas le droit d</w:t>
      </w:r>
      <w:r>
        <w:rPr>
          <w:lang w:val="fr-FR"/>
        </w:rPr>
        <w:t>’</w:t>
      </w:r>
      <w:r w:rsidRPr="00FE3116">
        <w:rPr>
          <w:lang w:val="fr-FR"/>
        </w:rPr>
        <w:t>empiéter sur ses compétences et de ne pas tenir compte de son avis</w:t>
      </w:r>
      <w:r>
        <w:rPr>
          <w:rStyle w:val="FootnoteReference"/>
        </w:rPr>
        <w:footnoteReference w:id="4"/>
      </w:r>
      <w:r w:rsidRPr="00FE3116">
        <w:rPr>
          <w:lang w:val="fr-FR"/>
        </w:rPr>
        <w:t>. L</w:t>
      </w:r>
      <w:r>
        <w:rPr>
          <w:lang w:val="fr-FR"/>
        </w:rPr>
        <w:t>’</w:t>
      </w:r>
      <w:r w:rsidRPr="00FE3116">
        <w:rPr>
          <w:lang w:val="fr-FR"/>
        </w:rPr>
        <w:t xml:space="preserve">État partie est non seulement tenu de mettre en œuvre les décisions du Comité, mais aussi de reconnaître ses </w:t>
      </w:r>
      <w:r>
        <w:rPr>
          <w:lang w:val="fr-FR"/>
        </w:rPr>
        <w:t>critères</w:t>
      </w:r>
      <w:r w:rsidRPr="00FE3116">
        <w:rPr>
          <w:lang w:val="fr-FR"/>
        </w:rPr>
        <w:t>, ses pratiques, ses méthodes</w:t>
      </w:r>
      <w:r>
        <w:rPr>
          <w:lang w:val="fr-FR"/>
        </w:rPr>
        <w:t xml:space="preserve"> de travail et sa jurisprudence. Cet argument</w:t>
      </w:r>
      <w:r w:rsidRPr="00FE3116">
        <w:rPr>
          <w:lang w:val="fr-FR"/>
        </w:rPr>
        <w:t xml:space="preserve"> </w:t>
      </w:r>
      <w:r>
        <w:rPr>
          <w:lang w:val="fr-FR"/>
        </w:rPr>
        <w:t xml:space="preserve">est fondé sur le </w:t>
      </w:r>
      <w:r w:rsidRPr="00FE3116">
        <w:rPr>
          <w:lang w:val="fr-FR"/>
        </w:rPr>
        <w:t>principe le plus important du droit international</w:t>
      </w:r>
      <w:r>
        <w:rPr>
          <w:lang w:val="fr-FR"/>
        </w:rPr>
        <w:t xml:space="preserve"> − la règle </w:t>
      </w:r>
      <w:r w:rsidRPr="00FE3116">
        <w:rPr>
          <w:i/>
          <w:lang w:val="fr-FR"/>
        </w:rPr>
        <w:t>pacta sunt servanda</w:t>
      </w:r>
      <w:r>
        <w:rPr>
          <w:lang w:val="fr-FR"/>
        </w:rPr>
        <w:t> − qui veut que</w:t>
      </w:r>
      <w:r w:rsidRPr="00FE3116">
        <w:rPr>
          <w:lang w:val="fr-FR"/>
        </w:rPr>
        <w:t xml:space="preserve"> tout traité en vigueur oblige les</w:t>
      </w:r>
      <w:r>
        <w:rPr>
          <w:lang w:val="fr-FR"/>
        </w:rPr>
        <w:t> </w:t>
      </w:r>
      <w:r w:rsidRPr="00FE3116">
        <w:rPr>
          <w:lang w:val="fr-FR"/>
        </w:rPr>
        <w:t>parties et</w:t>
      </w:r>
      <w:r>
        <w:rPr>
          <w:lang w:val="fr-FR"/>
        </w:rPr>
        <w:t> </w:t>
      </w:r>
      <w:r w:rsidRPr="00FE3116">
        <w:rPr>
          <w:lang w:val="fr-FR"/>
        </w:rPr>
        <w:t>doi</w:t>
      </w:r>
      <w:r>
        <w:rPr>
          <w:lang w:val="fr-FR"/>
        </w:rPr>
        <w:t>t</w:t>
      </w:r>
      <w:r w:rsidRPr="00FE3116">
        <w:rPr>
          <w:lang w:val="fr-FR"/>
        </w:rPr>
        <w:t xml:space="preserve"> être appliqué par elles de bonne foi.</w:t>
      </w:r>
    </w:p>
    <w:p w:rsidR="001F13AD" w:rsidRPr="00FE3116" w:rsidRDefault="001F13AD" w:rsidP="001F13AD">
      <w:pPr>
        <w:pStyle w:val="SingleTxtG"/>
        <w:rPr>
          <w:lang w:val="fr-FR"/>
        </w:rPr>
      </w:pPr>
      <w:r w:rsidRPr="00FE3116">
        <w:rPr>
          <w:lang w:val="fr-FR"/>
        </w:rPr>
        <w:t>5.4</w:t>
      </w:r>
      <w:r w:rsidRPr="00FE3116">
        <w:rPr>
          <w:lang w:val="fr-FR"/>
        </w:rPr>
        <w:tab/>
        <w:t>En ce qui concerne l</w:t>
      </w:r>
      <w:r>
        <w:rPr>
          <w:lang w:val="fr-FR"/>
        </w:rPr>
        <w:t>’</w:t>
      </w:r>
      <w:r w:rsidRPr="00FE3116">
        <w:rPr>
          <w:lang w:val="fr-FR"/>
        </w:rPr>
        <w:t>argument du non-épuisement des voies de recours internes, l</w:t>
      </w:r>
      <w:r>
        <w:rPr>
          <w:lang w:val="fr-FR"/>
        </w:rPr>
        <w:t>’</w:t>
      </w:r>
      <w:r w:rsidRPr="00FE3116">
        <w:rPr>
          <w:lang w:val="fr-FR"/>
        </w:rPr>
        <w:t>auteur fait valoir que ces voies de recours doivent être disponibles et utiles et que, selon la jurisprudence du Comité, un recours est utile lorsqu</w:t>
      </w:r>
      <w:r>
        <w:rPr>
          <w:lang w:val="fr-FR"/>
        </w:rPr>
        <w:t>’</w:t>
      </w:r>
      <w:r w:rsidRPr="00FE3116">
        <w:rPr>
          <w:lang w:val="fr-FR"/>
        </w:rPr>
        <w:t>il as</w:t>
      </w:r>
      <w:r>
        <w:rPr>
          <w:lang w:val="fr-FR"/>
        </w:rPr>
        <w:t>sure</w:t>
      </w:r>
      <w:r w:rsidRPr="00FE3116">
        <w:rPr>
          <w:lang w:val="fr-FR"/>
        </w:rPr>
        <w:t xml:space="preserve"> à l</w:t>
      </w:r>
      <w:r>
        <w:rPr>
          <w:lang w:val="fr-FR"/>
        </w:rPr>
        <w:t>’</w:t>
      </w:r>
      <w:r w:rsidRPr="00FE3116">
        <w:rPr>
          <w:lang w:val="fr-FR"/>
        </w:rPr>
        <w:t>auteur une indemnisation et qu</w:t>
      </w:r>
      <w:r>
        <w:rPr>
          <w:lang w:val="fr-FR"/>
        </w:rPr>
        <w:t>’</w:t>
      </w:r>
      <w:r w:rsidRPr="00FE3116">
        <w:rPr>
          <w:lang w:val="fr-FR"/>
        </w:rPr>
        <w:t>il lui offre des perspectives raisonnables d</w:t>
      </w:r>
      <w:r>
        <w:rPr>
          <w:lang w:val="fr-FR"/>
        </w:rPr>
        <w:t>’</w:t>
      </w:r>
      <w:r w:rsidRPr="00FE3116">
        <w:rPr>
          <w:lang w:val="fr-FR"/>
        </w:rPr>
        <w:t xml:space="preserve">obtenir réparation. </w:t>
      </w:r>
      <w:r>
        <w:rPr>
          <w:lang w:val="fr-FR"/>
        </w:rPr>
        <w:t>Renvoyant</w:t>
      </w:r>
      <w:r w:rsidRPr="00FE3116">
        <w:rPr>
          <w:lang w:val="fr-FR"/>
        </w:rPr>
        <w:t xml:space="preserve"> à la jurisprudence constante du Comité</w:t>
      </w:r>
      <w:r>
        <w:rPr>
          <w:lang w:val="fr-FR"/>
        </w:rPr>
        <w:t>, l’auteur rappelle</w:t>
      </w:r>
      <w:r w:rsidRPr="00FE3116">
        <w:rPr>
          <w:lang w:val="fr-FR"/>
        </w:rPr>
        <w:t xml:space="preserve"> </w:t>
      </w:r>
      <w:r>
        <w:rPr>
          <w:lang w:val="fr-FR"/>
        </w:rPr>
        <w:t>que</w:t>
      </w:r>
      <w:r w:rsidRPr="00FE3116">
        <w:rPr>
          <w:lang w:val="fr-FR"/>
        </w:rPr>
        <w:t xml:space="preserve"> la procédure de contrôle, procédure de réexamen discrétionnaire courante dans les anciennes républiques soviétiques, ne constitue pas</w:t>
      </w:r>
      <w:r>
        <w:rPr>
          <w:lang w:val="fr-FR"/>
        </w:rPr>
        <w:t xml:space="preserve"> </w:t>
      </w:r>
      <w:r w:rsidRPr="00FE3116">
        <w:rPr>
          <w:lang w:val="fr-FR"/>
        </w:rPr>
        <w:t>une voie de recours utile aux fins de l</w:t>
      </w:r>
      <w:r>
        <w:rPr>
          <w:lang w:val="fr-FR"/>
        </w:rPr>
        <w:t>’</w:t>
      </w:r>
      <w:r w:rsidRPr="00FE3116">
        <w:rPr>
          <w:lang w:val="fr-FR"/>
        </w:rPr>
        <w:t xml:space="preserve">épuisement des recours internes. </w:t>
      </w:r>
      <w:r>
        <w:rPr>
          <w:lang w:val="fr-FR"/>
        </w:rPr>
        <w:t>Il fait observer</w:t>
      </w:r>
      <w:r w:rsidRPr="00FE3116">
        <w:rPr>
          <w:lang w:val="fr-FR"/>
        </w:rPr>
        <w:t xml:space="preserve"> en outre que la Cour européenne des droits de l</w:t>
      </w:r>
      <w:r>
        <w:rPr>
          <w:lang w:val="fr-FR"/>
        </w:rPr>
        <w:t>’</w:t>
      </w:r>
      <w:r w:rsidRPr="00FE3116">
        <w:rPr>
          <w:lang w:val="fr-FR"/>
        </w:rPr>
        <w:t xml:space="preserve">homme applique </w:t>
      </w:r>
      <w:r>
        <w:rPr>
          <w:lang w:val="fr-FR"/>
        </w:rPr>
        <w:t>un critère</w:t>
      </w:r>
      <w:r w:rsidRPr="00FE3116">
        <w:rPr>
          <w:lang w:val="fr-FR"/>
        </w:rPr>
        <w:t xml:space="preserve"> similaire</w:t>
      </w:r>
      <w:r>
        <w:rPr>
          <w:rStyle w:val="FootnoteReference"/>
        </w:rPr>
        <w:footnoteReference w:id="5"/>
      </w:r>
      <w:r w:rsidRPr="00FE3116">
        <w:rPr>
          <w:lang w:val="fr-FR"/>
        </w:rPr>
        <w:t>. Il souligne également que</w:t>
      </w:r>
      <w:r w:rsidR="00850F40">
        <w:rPr>
          <w:lang w:val="fr-FR"/>
        </w:rPr>
        <w:t xml:space="preserve"> </w:t>
      </w:r>
      <w:r w:rsidRPr="00FE3116">
        <w:rPr>
          <w:lang w:val="fr-FR"/>
        </w:rPr>
        <w:t>l</w:t>
      </w:r>
      <w:r>
        <w:rPr>
          <w:lang w:val="fr-FR"/>
        </w:rPr>
        <w:t>’</w:t>
      </w:r>
      <w:r w:rsidRPr="00FE3116">
        <w:rPr>
          <w:lang w:val="fr-FR"/>
        </w:rPr>
        <w:t>inutilité de cette voie de recours a été confirmée récemment dans le cas de Vladislav</w:t>
      </w:r>
      <w:r>
        <w:rPr>
          <w:lang w:val="fr-FR"/>
        </w:rPr>
        <w:t> </w:t>
      </w:r>
      <w:r w:rsidRPr="00FE3116">
        <w:rPr>
          <w:lang w:val="fr-FR"/>
        </w:rPr>
        <w:t>Kovalev, qui a été exécuté alors que la Cour suprême réexaminait son dossier dans le cadre d</w:t>
      </w:r>
      <w:r>
        <w:rPr>
          <w:lang w:val="fr-FR"/>
        </w:rPr>
        <w:t>’</w:t>
      </w:r>
      <w:r w:rsidRPr="00FE3116">
        <w:rPr>
          <w:lang w:val="fr-FR"/>
        </w:rPr>
        <w:t>une procédure de contrôle.</w:t>
      </w:r>
    </w:p>
    <w:p w:rsidR="001F13AD" w:rsidRPr="00FE3116" w:rsidRDefault="001F13AD" w:rsidP="00850F40">
      <w:pPr>
        <w:pStyle w:val="H23G"/>
        <w:rPr>
          <w:lang w:val="fr-FR"/>
        </w:rPr>
      </w:pPr>
      <w:r w:rsidRPr="00FE3116">
        <w:rPr>
          <w:lang w:val="fr-FR"/>
        </w:rPr>
        <w:tab/>
      </w:r>
      <w:r w:rsidRPr="00FE3116">
        <w:rPr>
          <w:lang w:val="fr-FR"/>
        </w:rPr>
        <w:tab/>
        <w:t>Délibérations du Comité</w:t>
      </w:r>
    </w:p>
    <w:p w:rsidR="001F13AD" w:rsidRPr="00FE3116" w:rsidRDefault="001F13AD" w:rsidP="00850F40">
      <w:pPr>
        <w:pStyle w:val="H4G"/>
        <w:rPr>
          <w:lang w:val="fr-FR"/>
        </w:rPr>
      </w:pPr>
      <w:r w:rsidRPr="00FE3116">
        <w:rPr>
          <w:lang w:val="fr-FR"/>
        </w:rPr>
        <w:tab/>
      </w:r>
      <w:r w:rsidRPr="00FE3116">
        <w:rPr>
          <w:lang w:val="fr-FR"/>
        </w:rPr>
        <w:tab/>
      </w:r>
      <w:r w:rsidRPr="00FE3116">
        <w:t xml:space="preserve">Défaut de </w:t>
      </w:r>
      <w:r w:rsidRPr="00850F40">
        <w:t>coopération</w:t>
      </w:r>
      <w:r w:rsidRPr="00FE3116">
        <w:t xml:space="preserve"> de l</w:t>
      </w:r>
      <w:r>
        <w:t>’</w:t>
      </w:r>
      <w:r w:rsidRPr="00FE3116">
        <w:t>État partie</w:t>
      </w:r>
    </w:p>
    <w:p w:rsidR="001F13AD" w:rsidRPr="00FE3116" w:rsidRDefault="001F13AD" w:rsidP="001F13AD">
      <w:pPr>
        <w:pStyle w:val="SingleTxtG"/>
        <w:rPr>
          <w:lang w:val="fr-FR"/>
        </w:rPr>
      </w:pPr>
      <w:r w:rsidRPr="00FE3116">
        <w:rPr>
          <w:lang w:val="fr-FR"/>
        </w:rPr>
        <w:t>6.1</w:t>
      </w:r>
      <w:r w:rsidRPr="00FE3116">
        <w:rPr>
          <w:lang w:val="fr-FR"/>
        </w:rPr>
        <w:tab/>
      </w:r>
      <w:r w:rsidRPr="00FE3116">
        <w:t xml:space="preserve">Le Comité prend note des </w:t>
      </w:r>
      <w:r>
        <w:t>affirmations</w:t>
      </w:r>
      <w:r w:rsidRPr="00FE3116">
        <w:t xml:space="preserve"> de l</w:t>
      </w:r>
      <w:r>
        <w:t>’</w:t>
      </w:r>
      <w:r w:rsidRPr="00FE3116">
        <w:t>État partie, à savoir qu</w:t>
      </w:r>
      <w:r>
        <w:t>’</w:t>
      </w:r>
      <w:r w:rsidRPr="00FE3116">
        <w:t>aucun motif de droit ne justifi</w:t>
      </w:r>
      <w:r>
        <w:t>e</w:t>
      </w:r>
      <w:r w:rsidRPr="00FE3116">
        <w:t xml:space="preserve"> l</w:t>
      </w:r>
      <w:r>
        <w:t>’</w:t>
      </w:r>
      <w:r w:rsidRPr="00FE3116">
        <w:t>examen de la communicatio</w:t>
      </w:r>
      <w:r>
        <w:t>n,</w:t>
      </w:r>
      <w:r w:rsidRPr="00FE3116">
        <w:t xml:space="preserve"> étant donné qu</w:t>
      </w:r>
      <w:r>
        <w:t>’</w:t>
      </w:r>
      <w:r w:rsidRPr="00FE3116">
        <w:t>elle a été enregistrée en violation de l</w:t>
      </w:r>
      <w:r>
        <w:t>’</w:t>
      </w:r>
      <w:r w:rsidRPr="00FE3116">
        <w:t>article </w:t>
      </w:r>
      <w:r>
        <w:t>premier du Protocole facultatif et que</w:t>
      </w:r>
      <w:r w:rsidRPr="00FE3116">
        <w:t xml:space="preserve"> l</w:t>
      </w:r>
      <w:r>
        <w:t>’</w:t>
      </w:r>
      <w:r w:rsidRPr="00FE3116">
        <w:t>auteur n</w:t>
      </w:r>
      <w:r>
        <w:t>’a</w:t>
      </w:r>
      <w:r w:rsidRPr="00FE3116">
        <w:t xml:space="preserve"> pas épuisé les recours internes; que l</w:t>
      </w:r>
      <w:r>
        <w:t>’</w:t>
      </w:r>
      <w:r w:rsidRPr="00FE3116">
        <w:t>État partie n</w:t>
      </w:r>
      <w:r>
        <w:t>’</w:t>
      </w:r>
      <w:r w:rsidRPr="00FE3116">
        <w:t>est pas tenu de reconnaître le Règlement intérieur du Comité et l</w:t>
      </w:r>
      <w:r>
        <w:t>’</w:t>
      </w:r>
      <w:r w:rsidRPr="00FE3116">
        <w:t xml:space="preserve">interprétation que fait le Comité des dispositions du Protocole facultatif; </w:t>
      </w:r>
      <w:r>
        <w:t xml:space="preserve">et </w:t>
      </w:r>
      <w:r w:rsidRPr="00FE3116">
        <w:t xml:space="preserve">que </w:t>
      </w:r>
      <w:r>
        <w:t>toute décision prise</w:t>
      </w:r>
      <w:r w:rsidRPr="00FE3116">
        <w:t xml:space="preserve"> par le Comité concernant la</w:t>
      </w:r>
      <w:r w:rsidR="00850F40">
        <w:t xml:space="preserve"> </w:t>
      </w:r>
      <w:r>
        <w:t xml:space="preserve">présente </w:t>
      </w:r>
      <w:r w:rsidRPr="00FE3116">
        <w:t xml:space="preserve">communication </w:t>
      </w:r>
      <w:r>
        <w:t>sera considérée</w:t>
      </w:r>
      <w:r w:rsidRPr="00FE3116">
        <w:t xml:space="preserve"> </w:t>
      </w:r>
      <w:r w:rsidR="00850F40">
        <w:t xml:space="preserve">comme «non </w:t>
      </w:r>
      <w:r>
        <w:t>valide».</w:t>
      </w:r>
    </w:p>
    <w:p w:rsidR="001F13AD" w:rsidRPr="00FE3116" w:rsidRDefault="001F13AD" w:rsidP="001F13AD">
      <w:pPr>
        <w:pStyle w:val="SingleTxtG"/>
        <w:rPr>
          <w:lang w:val="fr-FR"/>
        </w:rPr>
      </w:pPr>
      <w:r w:rsidRPr="00FE3116">
        <w:rPr>
          <w:lang w:val="fr-FR"/>
        </w:rPr>
        <w:t>6.2</w:t>
      </w:r>
      <w:r w:rsidRPr="00FE3116">
        <w:rPr>
          <w:lang w:val="fr-FR"/>
        </w:rPr>
        <w:tab/>
      </w:r>
      <w:r w:rsidRPr="00FE3116">
        <w:t>Le Comité rappelle que le paragraphe</w:t>
      </w:r>
      <w:r>
        <w:t> </w:t>
      </w:r>
      <w:r w:rsidRPr="00FE3116">
        <w:t>2 de l</w:t>
      </w:r>
      <w:r>
        <w:t>’</w:t>
      </w:r>
      <w:r w:rsidRPr="00FE3116">
        <w:t>article</w:t>
      </w:r>
      <w:r>
        <w:t> </w:t>
      </w:r>
      <w:r w:rsidRPr="00FE3116">
        <w:t>39 du Pacte international relatif aux droits civils et politiques l</w:t>
      </w:r>
      <w:r>
        <w:t>’</w:t>
      </w:r>
      <w:r w:rsidRPr="00FE3116">
        <w:t>autorise à établir son propre règlement intérieur, que les États parties sont convenus d</w:t>
      </w:r>
      <w:r>
        <w:t>’</w:t>
      </w:r>
      <w:r w:rsidRPr="00FE3116">
        <w:t>accepter. Le Comité fait observer en outre que tout État partie qui adhère au Protocole facultatif reconnaît que le Comité des droits de l</w:t>
      </w:r>
      <w:r>
        <w:t>’</w:t>
      </w:r>
      <w:r w:rsidRPr="00FE3116">
        <w:t>homme a compétence pour recevoir et examiner des communications émanant de particuliers qui se déclarent victimes de violations de l</w:t>
      </w:r>
      <w:r>
        <w:t>’</w:t>
      </w:r>
      <w:r w:rsidRPr="00FE3116">
        <w:t>un quelconque des droits énoncés dans le Pacte (préambule et art</w:t>
      </w:r>
      <w:r>
        <w:t>. </w:t>
      </w:r>
      <w:r w:rsidR="00BE507A">
        <w:t>1</w:t>
      </w:r>
      <w:r w:rsidRPr="00FE3116">
        <w:t>). En adhérant au Protocole facultatif, les États parties s</w:t>
      </w:r>
      <w:r>
        <w:t>’</w:t>
      </w:r>
      <w:r w:rsidRPr="00FE3116">
        <w:t>engagent implicitement à coopérer de bonne foi avec le Comité pour lui permettre et lui donner les moyens d</w:t>
      </w:r>
      <w:r>
        <w:t>’</w:t>
      </w:r>
      <w:r w:rsidRPr="00FE3116">
        <w:t>examiner les communications qui lui sont soumises et, après l</w:t>
      </w:r>
      <w:r>
        <w:t>’</w:t>
      </w:r>
      <w:r w:rsidRPr="00FE3116">
        <w:t>examen, de faire part de ses constatations à l</w:t>
      </w:r>
      <w:r>
        <w:t>’</w:t>
      </w:r>
      <w:r w:rsidRPr="00FE3116">
        <w:t xml:space="preserve">État partie </w:t>
      </w:r>
      <w:r>
        <w:t xml:space="preserve">concerné </w:t>
      </w:r>
      <w:r w:rsidRPr="00FE3116">
        <w:t>et au particulier (art</w:t>
      </w:r>
      <w:r>
        <w:t>.</w:t>
      </w:r>
      <w:r w:rsidRPr="00FE3116">
        <w:t> 5, par</w:t>
      </w:r>
      <w:r>
        <w:t>. </w:t>
      </w:r>
      <w:r w:rsidRPr="00FE3116">
        <w:t>1 et 4). Pour un État partie, l</w:t>
      </w:r>
      <w:r>
        <w:t>’</w:t>
      </w:r>
      <w:r w:rsidRPr="00FE3116">
        <w:t>adoption d</w:t>
      </w:r>
      <w:r>
        <w:t>’</w:t>
      </w:r>
      <w:r w:rsidRPr="00FE3116">
        <w:t>une mesure, quelle qu</w:t>
      </w:r>
      <w:r>
        <w:t>’</w:t>
      </w:r>
      <w:r w:rsidRPr="00FE3116">
        <w:t>elle soit, qui empêche le Comité de prendre connaissance d</w:t>
      </w:r>
      <w:r>
        <w:t>’</w:t>
      </w:r>
      <w:r w:rsidRPr="00FE3116">
        <w:t>une communication et d</w:t>
      </w:r>
      <w:r>
        <w:t>’</w:t>
      </w:r>
      <w:r w:rsidRPr="00FE3116">
        <w:t>en mener l</w:t>
      </w:r>
      <w:r>
        <w:t>’</w:t>
      </w:r>
      <w:r w:rsidRPr="00FE3116">
        <w:t>examen à bonne fin, et l</w:t>
      </w:r>
      <w:r>
        <w:t>’</w:t>
      </w:r>
      <w:r w:rsidRPr="00FE3116">
        <w:t>empêche de faire part de ses constatations, est incompatible avec ces obligations</w:t>
      </w:r>
      <w:r w:rsidRPr="00F33D1A">
        <w:rPr>
          <w:rStyle w:val="FootnoteReference"/>
        </w:rPr>
        <w:footnoteReference w:id="6"/>
      </w:r>
      <w:r w:rsidRPr="00FE3116">
        <w:t xml:space="preserve">. </w:t>
      </w:r>
      <w:r w:rsidRPr="006553F7">
        <w:t>C’est au Comité qu’il appartient de déterminer si une communication doit être enregistrée.</w:t>
      </w:r>
      <w:r w:rsidRPr="0096599B">
        <w:rPr>
          <w:color w:val="0000FF"/>
        </w:rPr>
        <w:t xml:space="preserve"> </w:t>
      </w:r>
      <w:r>
        <w:t xml:space="preserve">En </w:t>
      </w:r>
      <w:r w:rsidRPr="00FE3116">
        <w:t>n</w:t>
      </w:r>
      <w:r>
        <w:t>’</w:t>
      </w:r>
      <w:r w:rsidRPr="00FE3116">
        <w:t xml:space="preserve">acceptant pas la décision du Comité </w:t>
      </w:r>
      <w:r>
        <w:t>relative à</w:t>
      </w:r>
      <w:r w:rsidRPr="00FE3116">
        <w:t xml:space="preserve"> l</w:t>
      </w:r>
      <w:r>
        <w:t>’</w:t>
      </w:r>
      <w:r w:rsidRPr="00FE3116">
        <w:t>opportunité d</w:t>
      </w:r>
      <w:r>
        <w:t>’</w:t>
      </w:r>
      <w:r w:rsidRPr="00FE3116">
        <w:t xml:space="preserve">enregistrer une communication et en déclarant </w:t>
      </w:r>
      <w:r>
        <w:t>à l’avance</w:t>
      </w:r>
      <w:r w:rsidRPr="00FE3116">
        <w:t xml:space="preserve"> qu</w:t>
      </w:r>
      <w:r>
        <w:t>’</w:t>
      </w:r>
      <w:r w:rsidRPr="00FE3116">
        <w:t>il n</w:t>
      </w:r>
      <w:r>
        <w:t>’</w:t>
      </w:r>
      <w:r w:rsidRPr="00FE3116">
        <w:t>acceptera pas la décision du</w:t>
      </w:r>
      <w:r>
        <w:t> </w:t>
      </w:r>
      <w:r w:rsidRPr="00FE3116">
        <w:t xml:space="preserve">Comité concernant la recevabilité </w:t>
      </w:r>
      <w:r>
        <w:t>ou</w:t>
      </w:r>
      <w:r w:rsidRPr="00FE3116">
        <w:t xml:space="preserve"> le fond des communications, l</w:t>
      </w:r>
      <w:r>
        <w:t>’</w:t>
      </w:r>
      <w:r w:rsidRPr="00FE3116">
        <w:t>État partie manque aux obligations qui lui incombent au titre de l</w:t>
      </w:r>
      <w:r>
        <w:t xml:space="preserve">’article </w:t>
      </w:r>
      <w:r w:rsidRPr="00FE3116">
        <w:t>premier du Protocole facultatif se</w:t>
      </w:r>
      <w:r>
        <w:t> </w:t>
      </w:r>
      <w:r w:rsidRPr="00FE3116">
        <w:t>rapportant au Pacte international relatif aux droits civils et politiques</w:t>
      </w:r>
      <w:r w:rsidRPr="00F33D1A">
        <w:rPr>
          <w:rStyle w:val="FootnoteReference"/>
        </w:rPr>
        <w:footnoteReference w:id="7"/>
      </w:r>
      <w:r w:rsidRPr="00FE3116">
        <w:t>.</w:t>
      </w:r>
    </w:p>
    <w:p w:rsidR="001F13AD" w:rsidRPr="00FE3116" w:rsidRDefault="001F13AD" w:rsidP="00850F40">
      <w:pPr>
        <w:pStyle w:val="H4G"/>
        <w:rPr>
          <w:lang w:val="fr-FR"/>
        </w:rPr>
      </w:pPr>
      <w:r w:rsidRPr="00FE3116">
        <w:rPr>
          <w:lang w:val="fr-FR"/>
        </w:rPr>
        <w:tab/>
      </w:r>
      <w:r w:rsidRPr="00FE3116">
        <w:rPr>
          <w:lang w:val="fr-FR"/>
        </w:rPr>
        <w:tab/>
        <w:t xml:space="preserve">Examen de </w:t>
      </w:r>
      <w:r w:rsidRPr="00850F40">
        <w:t>la</w:t>
      </w:r>
      <w:r w:rsidRPr="00FE3116">
        <w:rPr>
          <w:lang w:val="fr-FR"/>
        </w:rPr>
        <w:t xml:space="preserve"> recevabilité</w:t>
      </w:r>
    </w:p>
    <w:p w:rsidR="001F13AD" w:rsidRPr="00FE3116" w:rsidRDefault="001F13AD" w:rsidP="001F13AD">
      <w:pPr>
        <w:pStyle w:val="SingleTxtG"/>
        <w:rPr>
          <w:lang w:val="fr-FR"/>
        </w:rPr>
      </w:pPr>
      <w:r w:rsidRPr="00FE3116">
        <w:rPr>
          <w:lang w:val="fr-FR"/>
        </w:rPr>
        <w:t>7.1</w:t>
      </w:r>
      <w:r w:rsidRPr="00FE3116">
        <w:rPr>
          <w:lang w:val="fr-FR"/>
        </w:rPr>
        <w:tab/>
        <w:t>Avant d</w:t>
      </w:r>
      <w:r>
        <w:rPr>
          <w:lang w:val="fr-FR"/>
        </w:rPr>
        <w:t>’</w:t>
      </w:r>
      <w:r w:rsidRPr="00FE3116">
        <w:rPr>
          <w:lang w:val="fr-FR"/>
        </w:rPr>
        <w:t>examiner toute plainte soumise dans une communication, le Comité des droits de l</w:t>
      </w:r>
      <w:r>
        <w:rPr>
          <w:lang w:val="fr-FR"/>
        </w:rPr>
        <w:t>’</w:t>
      </w:r>
      <w:r w:rsidRPr="00FE3116">
        <w:rPr>
          <w:lang w:val="fr-FR"/>
        </w:rPr>
        <w:t>homme doit, conformément à l</w:t>
      </w:r>
      <w:r>
        <w:rPr>
          <w:lang w:val="fr-FR"/>
        </w:rPr>
        <w:t>’</w:t>
      </w:r>
      <w:r w:rsidRPr="00FE3116">
        <w:rPr>
          <w:lang w:val="fr-FR"/>
        </w:rPr>
        <w:t>article</w:t>
      </w:r>
      <w:r>
        <w:rPr>
          <w:lang w:val="fr-FR"/>
        </w:rPr>
        <w:t> </w:t>
      </w:r>
      <w:r w:rsidRPr="00FE3116">
        <w:rPr>
          <w:lang w:val="fr-FR"/>
        </w:rPr>
        <w:t>93 de son règlement intérieur, déterminer si la communication est recevable en vertu du Protocole fac</w:t>
      </w:r>
      <w:r>
        <w:rPr>
          <w:lang w:val="fr-FR"/>
        </w:rPr>
        <w:t>ultatif se rapportant au Pacte.</w:t>
      </w:r>
    </w:p>
    <w:p w:rsidR="001F13AD" w:rsidRPr="00FE3116" w:rsidRDefault="001F13AD" w:rsidP="001F13AD">
      <w:pPr>
        <w:pStyle w:val="SingleTxtG"/>
        <w:rPr>
          <w:lang w:val="fr-FR"/>
        </w:rPr>
      </w:pPr>
      <w:r w:rsidRPr="00FE3116">
        <w:rPr>
          <w:lang w:val="fr-FR"/>
        </w:rPr>
        <w:t>7.2</w:t>
      </w:r>
      <w:r w:rsidRPr="00FE3116">
        <w:rPr>
          <w:lang w:val="fr-FR"/>
        </w:rPr>
        <w:tab/>
        <w:t>Le Comité s</w:t>
      </w:r>
      <w:r>
        <w:rPr>
          <w:lang w:val="fr-FR"/>
        </w:rPr>
        <w:t>’</w:t>
      </w:r>
      <w:r w:rsidRPr="00FE3116">
        <w:rPr>
          <w:lang w:val="fr-FR"/>
        </w:rPr>
        <w:t>est assuré, comme il est tenu de le faire conformément au paragraphe</w:t>
      </w:r>
      <w:r>
        <w:rPr>
          <w:lang w:val="fr-FR"/>
        </w:rPr>
        <w:t> 2 </w:t>
      </w:r>
      <w:r w:rsidRPr="00FE3116">
        <w:rPr>
          <w:lang w:val="fr-FR"/>
        </w:rPr>
        <w:t>a) de l</w:t>
      </w:r>
      <w:r>
        <w:rPr>
          <w:lang w:val="fr-FR"/>
        </w:rPr>
        <w:t>’</w:t>
      </w:r>
      <w:r w:rsidRPr="00FE3116">
        <w:rPr>
          <w:lang w:val="fr-FR"/>
        </w:rPr>
        <w:t>article</w:t>
      </w:r>
      <w:r>
        <w:rPr>
          <w:lang w:val="fr-FR"/>
        </w:rPr>
        <w:t> </w:t>
      </w:r>
      <w:r w:rsidRPr="00FE3116">
        <w:rPr>
          <w:lang w:val="fr-FR"/>
        </w:rPr>
        <w:t>5 du Protocole facultatif, que la même question n</w:t>
      </w:r>
      <w:r>
        <w:rPr>
          <w:lang w:val="fr-FR"/>
        </w:rPr>
        <w:t>’</w:t>
      </w:r>
      <w:r w:rsidRPr="00FE3116">
        <w:rPr>
          <w:lang w:val="fr-FR"/>
        </w:rPr>
        <w:t>était pas déjà en cours d</w:t>
      </w:r>
      <w:r>
        <w:rPr>
          <w:lang w:val="fr-FR"/>
        </w:rPr>
        <w:t>’</w:t>
      </w:r>
      <w:r w:rsidRPr="00FE3116">
        <w:rPr>
          <w:lang w:val="fr-FR"/>
        </w:rPr>
        <w:t>examen devant une autre instance internationale d</w:t>
      </w:r>
      <w:r>
        <w:rPr>
          <w:lang w:val="fr-FR"/>
        </w:rPr>
        <w:t>’enquête ou de règlement.</w:t>
      </w:r>
    </w:p>
    <w:p w:rsidR="001F13AD" w:rsidRPr="00646F42" w:rsidRDefault="001F13AD" w:rsidP="001F13AD">
      <w:pPr>
        <w:pStyle w:val="SingleTxtG"/>
        <w:rPr>
          <w:lang w:val="fr-FR"/>
        </w:rPr>
      </w:pPr>
      <w:r w:rsidRPr="00FE3116">
        <w:rPr>
          <w:lang w:val="fr-FR"/>
        </w:rPr>
        <w:t>7.3</w:t>
      </w:r>
      <w:r w:rsidRPr="00FE3116">
        <w:rPr>
          <w:lang w:val="fr-FR"/>
        </w:rPr>
        <w:tab/>
      </w:r>
      <w:r w:rsidRPr="00FE3116">
        <w:t>Le Comité note que l</w:t>
      </w:r>
      <w:r>
        <w:t>’</w:t>
      </w:r>
      <w:r w:rsidRPr="00FE3116">
        <w:t>État partie conteste la recevabilité de la communication au motif que les recours internes n</w:t>
      </w:r>
      <w:r>
        <w:t>’</w:t>
      </w:r>
      <w:r w:rsidRPr="00FE3116">
        <w:t>ont pas été épuisés, puisque l</w:t>
      </w:r>
      <w:r>
        <w:t>’</w:t>
      </w:r>
      <w:r w:rsidRPr="00FE3116">
        <w:t>auteur n</w:t>
      </w:r>
      <w:r>
        <w:t>’</w:t>
      </w:r>
      <w:r w:rsidRPr="00FE3116">
        <w:t>a saisi ni le Président de la Cour suprême, ni les service</w:t>
      </w:r>
      <w:r>
        <w:t>s du Procureur général, ni les p</w:t>
      </w:r>
      <w:r w:rsidRPr="00FE3116">
        <w:t>rocureurs en chef des dis</w:t>
      </w:r>
      <w:r>
        <w:t xml:space="preserve">tricts de demandes de contrôle </w:t>
      </w:r>
      <w:r w:rsidRPr="00FE3116">
        <w:t>des décisions judiciaires interdisant la manifestation.</w:t>
      </w:r>
      <w:r w:rsidRPr="00FE3116">
        <w:rPr>
          <w:lang w:val="fr-FR"/>
        </w:rPr>
        <w:t xml:space="preserve"> </w:t>
      </w:r>
      <w:r w:rsidRPr="000A2ADE">
        <w:t>Renvoyant à sa</w:t>
      </w:r>
      <w:r w:rsidRPr="0096599B">
        <w:rPr>
          <w:color w:val="0000FF"/>
        </w:rPr>
        <w:t xml:space="preserve"> </w:t>
      </w:r>
      <w:r w:rsidRPr="00FE3116">
        <w:t>jurisprudence</w:t>
      </w:r>
      <w:r>
        <w:t xml:space="preserve">, </w:t>
      </w:r>
      <w:r w:rsidRPr="000A2ADE">
        <w:t xml:space="preserve">le Comité rappelle </w:t>
      </w:r>
      <w:r>
        <w:t>que l’introduction auprès des services du Procureur général d’une demande de procédure</w:t>
      </w:r>
      <w:r w:rsidRPr="00FE3116">
        <w:t xml:space="preserve"> de contrôle</w:t>
      </w:r>
      <w:r>
        <w:t xml:space="preserve"> d’une </w:t>
      </w:r>
      <w:r w:rsidRPr="00CA11C2">
        <w:t>décision de justice devenue exécutoire ne constitue pas un recours interne efficace qui doit être épuisé aux fins du paragraphe 2 b) de l’article 5 du Protocole facultatif. Le Comité considère en outre que l’introduction auprès du président d’une juridiction d’une demande de procédure de contrôle</w:t>
      </w:r>
      <w:r w:rsidR="00DD7420">
        <w:t xml:space="preserve"> </w:t>
      </w:r>
      <w:r w:rsidRPr="00CA11C2">
        <w:t xml:space="preserve">d’une décision de justice qui est entrée en vigueur </w:t>
      </w:r>
      <w:r>
        <w:t>constitue</w:t>
      </w:r>
      <w:r w:rsidRPr="00FE3116">
        <w:t xml:space="preserve"> un moyen de recours extraordinaire dont l</w:t>
      </w:r>
      <w:r>
        <w:t>’</w:t>
      </w:r>
      <w:r w:rsidRPr="00FE3116">
        <w:t>exercice est laissé à la discrétion du juge ou du procureur</w:t>
      </w:r>
      <w:r>
        <w:t>, et qu’il incomberait à l’État partie de démontrer que de telles demandes constitueraient des recours utiles dans les circonstances de l’espèce</w:t>
      </w:r>
      <w:r>
        <w:rPr>
          <w:rStyle w:val="FootnoteReference"/>
        </w:rPr>
        <w:footnoteReference w:id="8"/>
      </w:r>
      <w:r w:rsidRPr="00FE3116">
        <w:t>.</w:t>
      </w:r>
      <w:r w:rsidRPr="00FE3116">
        <w:rPr>
          <w:lang w:val="fr-FR"/>
        </w:rPr>
        <w:t xml:space="preserve"> </w:t>
      </w:r>
      <w:r>
        <w:rPr>
          <w:lang w:val="fr-FR"/>
        </w:rPr>
        <w:t>Or</w:t>
      </w:r>
      <w:r w:rsidRPr="00FE3116">
        <w:rPr>
          <w:lang w:val="fr-FR"/>
        </w:rPr>
        <w:t xml:space="preserve"> l</w:t>
      </w:r>
      <w:r>
        <w:rPr>
          <w:lang w:val="fr-FR"/>
        </w:rPr>
        <w:t>’</w:t>
      </w:r>
      <w:r w:rsidRPr="00FE3116">
        <w:rPr>
          <w:lang w:val="fr-FR"/>
        </w:rPr>
        <w:t>État partie n</w:t>
      </w:r>
      <w:r>
        <w:rPr>
          <w:lang w:val="fr-FR"/>
        </w:rPr>
        <w:t>’</w:t>
      </w:r>
      <w:r w:rsidRPr="00FE3116">
        <w:rPr>
          <w:lang w:val="fr-FR"/>
        </w:rPr>
        <w:t xml:space="preserve">a pas indiqué si </w:t>
      </w:r>
      <w:r>
        <w:rPr>
          <w:lang w:val="fr-FR"/>
        </w:rPr>
        <w:t>l’introduction d’une demande de contrôle</w:t>
      </w:r>
      <w:r w:rsidRPr="00FE3116">
        <w:rPr>
          <w:lang w:val="fr-FR"/>
        </w:rPr>
        <w:t xml:space="preserve"> </w:t>
      </w:r>
      <w:r>
        <w:rPr>
          <w:lang w:val="fr-FR"/>
        </w:rPr>
        <w:t>auprès du Président de la Cour suprême</w:t>
      </w:r>
      <w:r w:rsidR="00DD7420">
        <w:rPr>
          <w:lang w:val="fr-FR"/>
        </w:rPr>
        <w:t xml:space="preserve"> </w:t>
      </w:r>
      <w:r w:rsidRPr="00FE3116">
        <w:rPr>
          <w:lang w:val="fr-FR"/>
        </w:rPr>
        <w:t xml:space="preserve">avait </w:t>
      </w:r>
      <w:r>
        <w:rPr>
          <w:lang w:val="fr-FR"/>
        </w:rPr>
        <w:t>déjà constitué un recours utile</w:t>
      </w:r>
      <w:r w:rsidRPr="00FE3116">
        <w:rPr>
          <w:lang w:val="fr-FR"/>
        </w:rPr>
        <w:t xml:space="preserve"> dans des affaires concernant la liberté de réunion et, le cas échéant, dans combien d</w:t>
      </w:r>
      <w:r>
        <w:rPr>
          <w:lang w:val="fr-FR"/>
        </w:rPr>
        <w:t>’</w:t>
      </w:r>
      <w:r w:rsidRPr="00FE3116">
        <w:rPr>
          <w:lang w:val="fr-FR"/>
        </w:rPr>
        <w:t xml:space="preserve">affaires. </w:t>
      </w:r>
      <w:r w:rsidRPr="00646F42">
        <w:t>Dans ces circonstances, le Comité considère que les dispositions du paragraphe 2 b) de l’article 5 du Protocole facultatif ne font pas obstacle à l’examen de</w:t>
      </w:r>
      <w:r w:rsidR="00850F40">
        <w:t> </w:t>
      </w:r>
      <w:r w:rsidRPr="00646F42">
        <w:t>la</w:t>
      </w:r>
      <w:r w:rsidR="00850F40">
        <w:t> </w:t>
      </w:r>
      <w:r w:rsidRPr="00646F42">
        <w:t>présente communication.</w:t>
      </w:r>
    </w:p>
    <w:p w:rsidR="001F13AD" w:rsidRDefault="001F13AD" w:rsidP="001F13AD">
      <w:pPr>
        <w:pStyle w:val="SingleTxtG"/>
      </w:pPr>
      <w:r w:rsidRPr="00FE3116">
        <w:rPr>
          <w:lang w:val="fr-FR"/>
        </w:rPr>
        <w:t>7.4</w:t>
      </w:r>
      <w:r w:rsidRPr="00FE3116">
        <w:rPr>
          <w:lang w:val="fr-FR"/>
        </w:rPr>
        <w:tab/>
        <w:t>Le Comité prend note de l</w:t>
      </w:r>
      <w:r>
        <w:rPr>
          <w:lang w:val="fr-FR"/>
        </w:rPr>
        <w:t>’</w:t>
      </w:r>
      <w:r w:rsidRPr="00FE3116">
        <w:rPr>
          <w:lang w:val="fr-FR"/>
        </w:rPr>
        <w:t>argument de l</w:t>
      </w:r>
      <w:r>
        <w:rPr>
          <w:lang w:val="fr-FR"/>
        </w:rPr>
        <w:t>’</w:t>
      </w:r>
      <w:r w:rsidRPr="00FE3116">
        <w:rPr>
          <w:lang w:val="fr-FR"/>
        </w:rPr>
        <w:t>auteur selon lequel l</w:t>
      </w:r>
      <w:r>
        <w:rPr>
          <w:lang w:val="fr-FR"/>
        </w:rPr>
        <w:t>’</w:t>
      </w:r>
      <w:r w:rsidRPr="00FE3116">
        <w:rPr>
          <w:lang w:val="fr-FR"/>
        </w:rPr>
        <w:t xml:space="preserve">État partie a </w:t>
      </w:r>
      <w:r>
        <w:rPr>
          <w:lang w:val="fr-FR"/>
        </w:rPr>
        <w:t>manqué à</w:t>
      </w:r>
      <w:r w:rsidRPr="00FE3116">
        <w:rPr>
          <w:lang w:val="fr-FR"/>
        </w:rPr>
        <w:t xml:space="preserve"> ses obligations au titre du paragraphe 2 de l</w:t>
      </w:r>
      <w:r>
        <w:rPr>
          <w:lang w:val="fr-FR"/>
        </w:rPr>
        <w:t>’</w:t>
      </w:r>
      <w:r w:rsidRPr="00FE3116">
        <w:rPr>
          <w:lang w:val="fr-FR"/>
        </w:rPr>
        <w:t>article</w:t>
      </w:r>
      <w:r>
        <w:rPr>
          <w:lang w:val="fr-FR"/>
        </w:rPr>
        <w:t> </w:t>
      </w:r>
      <w:r w:rsidRPr="00FE3116">
        <w:rPr>
          <w:lang w:val="fr-FR"/>
        </w:rPr>
        <w:t>2 du Pacte</w:t>
      </w:r>
      <w:r>
        <w:rPr>
          <w:lang w:val="fr-FR"/>
        </w:rPr>
        <w:t>,</w:t>
      </w:r>
      <w:r w:rsidRPr="00FE3116">
        <w:rPr>
          <w:lang w:val="fr-FR"/>
        </w:rPr>
        <w:t xml:space="preserve"> lu conjointement avec l</w:t>
      </w:r>
      <w:r>
        <w:rPr>
          <w:lang w:val="fr-FR"/>
        </w:rPr>
        <w:t>’</w:t>
      </w:r>
      <w:r w:rsidRPr="00FE3116">
        <w:rPr>
          <w:lang w:val="fr-FR"/>
        </w:rPr>
        <w:t>article</w:t>
      </w:r>
      <w:r>
        <w:rPr>
          <w:lang w:val="fr-FR"/>
        </w:rPr>
        <w:t> 21,</w:t>
      </w:r>
      <w:r w:rsidRPr="00FE3116">
        <w:rPr>
          <w:lang w:val="fr-FR"/>
        </w:rPr>
        <w:t xml:space="preserve"> car il n</w:t>
      </w:r>
      <w:r>
        <w:rPr>
          <w:lang w:val="fr-FR"/>
        </w:rPr>
        <w:t>’</w:t>
      </w:r>
      <w:r w:rsidRPr="00FE3116">
        <w:rPr>
          <w:lang w:val="fr-FR"/>
        </w:rPr>
        <w:t xml:space="preserve">a pas </w:t>
      </w:r>
      <w:r>
        <w:rPr>
          <w:lang w:val="fr-FR"/>
        </w:rPr>
        <w:t>adopté de</w:t>
      </w:r>
      <w:r w:rsidRPr="00FE3116">
        <w:rPr>
          <w:lang w:val="fr-FR"/>
        </w:rPr>
        <w:t xml:space="preserve"> lois ou mesures </w:t>
      </w:r>
      <w:r>
        <w:rPr>
          <w:lang w:val="fr-FR"/>
        </w:rPr>
        <w:t>qui auraient permis de</w:t>
      </w:r>
      <w:r w:rsidRPr="00FE3116">
        <w:rPr>
          <w:lang w:val="fr-FR"/>
        </w:rPr>
        <w:t xml:space="preserve"> donner effet aux</w:t>
      </w:r>
      <w:r w:rsidR="00850F40">
        <w:rPr>
          <w:lang w:val="fr-FR"/>
        </w:rPr>
        <w:t xml:space="preserve"> </w:t>
      </w:r>
      <w:r w:rsidRPr="00FE3116">
        <w:rPr>
          <w:lang w:val="fr-FR"/>
        </w:rPr>
        <w:t>droits reconnus dans l</w:t>
      </w:r>
      <w:r>
        <w:rPr>
          <w:lang w:val="fr-FR"/>
        </w:rPr>
        <w:t>’</w:t>
      </w:r>
      <w:r w:rsidRPr="00FE3116">
        <w:rPr>
          <w:lang w:val="fr-FR"/>
        </w:rPr>
        <w:t>article</w:t>
      </w:r>
      <w:r>
        <w:rPr>
          <w:lang w:val="fr-FR"/>
        </w:rPr>
        <w:t> </w:t>
      </w:r>
      <w:r w:rsidRPr="00FE3116">
        <w:rPr>
          <w:lang w:val="fr-FR"/>
        </w:rPr>
        <w:t>21 du Pacte</w:t>
      </w:r>
      <w:r>
        <w:rPr>
          <w:lang w:val="fr-FR"/>
        </w:rPr>
        <w:t>. Renvoyant à</w:t>
      </w:r>
      <w:r w:rsidRPr="00FE3116">
        <w:rPr>
          <w:lang w:val="fr-FR"/>
        </w:rPr>
        <w:t xml:space="preserve"> </w:t>
      </w:r>
      <w:r>
        <w:t xml:space="preserve">sa jurisprudence, le Comité rappelle </w:t>
      </w:r>
      <w:r w:rsidRPr="00850F40">
        <w:rPr>
          <w:spacing w:val="-2"/>
        </w:rPr>
        <w:t>que les dispositions de l’article</w:t>
      </w:r>
      <w:r w:rsidR="00850F40" w:rsidRPr="00850F40">
        <w:rPr>
          <w:spacing w:val="-2"/>
        </w:rPr>
        <w:t> </w:t>
      </w:r>
      <w:r w:rsidRPr="00850F40">
        <w:rPr>
          <w:spacing w:val="-2"/>
        </w:rPr>
        <w:t>2 du Pacte, qui énoncent</w:t>
      </w:r>
      <w:r>
        <w:t xml:space="preserve"> une obligation générale à</w:t>
      </w:r>
      <w:r w:rsidR="00850F40">
        <w:t xml:space="preserve"> </w:t>
      </w:r>
      <w:r>
        <w:t>l’intention des États parties, ne peuvent pas être invoquées isolément dans une communication présentée en vertu du Protocole facultatif</w:t>
      </w:r>
      <w:r w:rsidRPr="00F33D1A">
        <w:rPr>
          <w:rStyle w:val="FootnoteReference"/>
        </w:rPr>
        <w:footnoteReference w:id="9"/>
      </w:r>
      <w:r>
        <w:t>. Le Comité considère également que les dispositions de l’article</w:t>
      </w:r>
      <w:r w:rsidR="00C46315">
        <w:t> </w:t>
      </w:r>
      <w:r>
        <w:t>2 ne sauraient être invoquées conjointement avec d’autres dispositions du Pacte dans une communication présentée en vertu du Protocole facultatif, sauf lorsque le manquement de l’État partie aux obligations que lui impose l’article</w:t>
      </w:r>
      <w:r w:rsidR="00850F40">
        <w:t> </w:t>
      </w:r>
      <w:r>
        <w:t>2 est la cause immédiate d’une violation distincte du Pacte qui affecte directement la personne qui se dit lésée. Le Comité note toutefois que l’auteur a déjà invoqué une violation de ses droits au titre de l’article</w:t>
      </w:r>
      <w:r w:rsidR="00850F40">
        <w:t> </w:t>
      </w:r>
      <w:r>
        <w:t xml:space="preserve">21 due à l’interprétation et à l’application des lois en vigueur dans l’État partie. Le Comité ne pense pas que l’examen de la question de savoir si l’État partie n’a pas non plus respecté les obligations générales que lui impose le paragraphe </w:t>
      </w:r>
      <w:r w:rsidR="00C46315">
        <w:t>2</w:t>
      </w:r>
      <w:r>
        <w:t xml:space="preserve"> de l’article</w:t>
      </w:r>
      <w:r w:rsidR="00850F40">
        <w:t> </w:t>
      </w:r>
      <w:r>
        <w:t>2 du Pacte, lu conjointement avec l’article</w:t>
      </w:r>
      <w:r w:rsidR="00850F40">
        <w:t> </w:t>
      </w:r>
      <w:r>
        <w:t>21, serait différent de l’examen d’une violation des droits de l’auteur au titre de l’article</w:t>
      </w:r>
      <w:r w:rsidR="00850F40">
        <w:t> </w:t>
      </w:r>
      <w:r>
        <w:t>21. En conséquence, le Comité considère que les griefs de l’auteur à cet égard sont incompatibles avec l’article</w:t>
      </w:r>
      <w:r w:rsidR="00850F40">
        <w:t> </w:t>
      </w:r>
      <w:r>
        <w:t>2 du Pacte et sont irrecevables en</w:t>
      </w:r>
      <w:r w:rsidR="00850F40">
        <w:t> </w:t>
      </w:r>
      <w:r>
        <w:t>vertu de l’article</w:t>
      </w:r>
      <w:r w:rsidR="00850F40">
        <w:t> </w:t>
      </w:r>
      <w:r>
        <w:t xml:space="preserve">3 du Protocole </w:t>
      </w:r>
      <w:r w:rsidR="00850F40">
        <w:t>facultatif.</w:t>
      </w:r>
    </w:p>
    <w:p w:rsidR="001F13AD" w:rsidRPr="00FE3116" w:rsidRDefault="001F13AD" w:rsidP="001F13AD">
      <w:pPr>
        <w:pStyle w:val="SingleTxtG"/>
        <w:rPr>
          <w:lang w:val="fr-FR"/>
        </w:rPr>
      </w:pPr>
      <w:r w:rsidRPr="00FE3116">
        <w:rPr>
          <w:lang w:val="fr-FR"/>
        </w:rPr>
        <w:t>7.5</w:t>
      </w:r>
      <w:r w:rsidRPr="00FE3116">
        <w:rPr>
          <w:lang w:val="fr-FR"/>
        </w:rPr>
        <w:tab/>
      </w:r>
      <w:r w:rsidRPr="00FE3116">
        <w:t>Le Comité estime que l</w:t>
      </w:r>
      <w:r>
        <w:t>’</w:t>
      </w:r>
      <w:r w:rsidRPr="00FE3116">
        <w:t>auteur a suffisamment étayé, aux fins de la recevabilité, son grief de violation de l</w:t>
      </w:r>
      <w:r>
        <w:t>’</w:t>
      </w:r>
      <w:r w:rsidRPr="00FE3116">
        <w:rPr>
          <w:lang w:val="fr-FR"/>
        </w:rPr>
        <w:t>article</w:t>
      </w:r>
      <w:r>
        <w:rPr>
          <w:lang w:val="fr-FR"/>
        </w:rPr>
        <w:t> </w:t>
      </w:r>
      <w:r w:rsidRPr="00FE3116">
        <w:rPr>
          <w:lang w:val="fr-FR"/>
        </w:rPr>
        <w:t xml:space="preserve">21 du Pacte. </w:t>
      </w:r>
      <w:r w:rsidRPr="00FE3116">
        <w:t>Il déclare donc ce</w:t>
      </w:r>
      <w:r>
        <w:t>tte partie de la communication</w:t>
      </w:r>
      <w:r w:rsidRPr="00FE3116">
        <w:t xml:space="preserve"> recevable et procède à son examen quant au</w:t>
      </w:r>
      <w:r>
        <w:t> </w:t>
      </w:r>
      <w:r w:rsidRPr="00FE3116">
        <w:t>fond.</w:t>
      </w:r>
    </w:p>
    <w:p w:rsidR="001F13AD" w:rsidRPr="00FE3116" w:rsidRDefault="001F13AD" w:rsidP="00850F40">
      <w:pPr>
        <w:pStyle w:val="H4G"/>
        <w:rPr>
          <w:lang w:val="fr-FR"/>
        </w:rPr>
      </w:pPr>
      <w:r w:rsidRPr="00FE3116">
        <w:rPr>
          <w:lang w:val="fr-FR"/>
        </w:rPr>
        <w:tab/>
      </w:r>
      <w:r w:rsidRPr="00FE3116">
        <w:rPr>
          <w:lang w:val="fr-FR"/>
        </w:rPr>
        <w:tab/>
        <w:t xml:space="preserve">Examen </w:t>
      </w:r>
      <w:r w:rsidRPr="000C3F20">
        <w:t>au</w:t>
      </w:r>
      <w:r w:rsidRPr="00FE3116">
        <w:rPr>
          <w:lang w:val="fr-FR"/>
        </w:rPr>
        <w:t xml:space="preserve"> </w:t>
      </w:r>
      <w:r w:rsidRPr="00850F40">
        <w:t>fond</w:t>
      </w:r>
    </w:p>
    <w:p w:rsidR="001F13AD" w:rsidRPr="00FE3116" w:rsidRDefault="001F13AD" w:rsidP="001F13AD">
      <w:pPr>
        <w:pStyle w:val="SingleTxtG"/>
        <w:rPr>
          <w:lang w:val="fr-FR"/>
        </w:rPr>
      </w:pPr>
      <w:r w:rsidRPr="00FE3116">
        <w:rPr>
          <w:lang w:val="fr-FR"/>
        </w:rPr>
        <w:t>8.1</w:t>
      </w:r>
      <w:r w:rsidRPr="00FE3116">
        <w:rPr>
          <w:lang w:val="fr-FR"/>
        </w:rPr>
        <w:tab/>
      </w:r>
      <w:r w:rsidRPr="00FE3116">
        <w:t>Conformément au paragraphe 1 de l</w:t>
      </w:r>
      <w:r>
        <w:t>’</w:t>
      </w:r>
      <w:r w:rsidRPr="00FE3116">
        <w:t>article 5 du Protocole facultatif, le Comité des droits de l</w:t>
      </w:r>
      <w:r>
        <w:t>’</w:t>
      </w:r>
      <w:r w:rsidRPr="00FE3116">
        <w:t>homme a examiné la présente communication en tenant compte de toutes les</w:t>
      </w:r>
      <w:r>
        <w:t> </w:t>
      </w:r>
      <w:r w:rsidRPr="00FE3116">
        <w:t>informations qui lui ont été communiquées par les parties.</w:t>
      </w:r>
    </w:p>
    <w:p w:rsidR="001F13AD" w:rsidRPr="00FE3116" w:rsidRDefault="001F13AD" w:rsidP="001F13AD">
      <w:pPr>
        <w:pStyle w:val="SingleTxtG"/>
        <w:rPr>
          <w:lang w:val="fr-FR"/>
        </w:rPr>
      </w:pPr>
      <w:r w:rsidRPr="00FE3116">
        <w:rPr>
          <w:lang w:val="fr-FR"/>
        </w:rPr>
        <w:t>8.2</w:t>
      </w:r>
      <w:r w:rsidRPr="00FE3116">
        <w:rPr>
          <w:lang w:val="fr-FR"/>
        </w:rPr>
        <w:tab/>
        <w:t>Le Comité prend note du grief de l</w:t>
      </w:r>
      <w:r>
        <w:rPr>
          <w:lang w:val="fr-FR"/>
        </w:rPr>
        <w:t>’</w:t>
      </w:r>
      <w:r w:rsidRPr="00FE3116">
        <w:rPr>
          <w:lang w:val="fr-FR"/>
        </w:rPr>
        <w:t xml:space="preserve">auteur </w:t>
      </w:r>
      <w:r>
        <w:rPr>
          <w:lang w:val="fr-FR"/>
        </w:rPr>
        <w:t>qui affirme que</w:t>
      </w:r>
      <w:r w:rsidRPr="00FE3116">
        <w:rPr>
          <w:lang w:val="fr-FR"/>
        </w:rPr>
        <w:t xml:space="preserve"> sa liberté de réunion a été restreinte sans justification valable au regard de l</w:t>
      </w:r>
      <w:r>
        <w:rPr>
          <w:lang w:val="fr-FR"/>
        </w:rPr>
        <w:t>’</w:t>
      </w:r>
      <w:r w:rsidRPr="00FE3116">
        <w:rPr>
          <w:lang w:val="fr-FR"/>
        </w:rPr>
        <w:t>article</w:t>
      </w:r>
      <w:r>
        <w:rPr>
          <w:lang w:val="fr-FR"/>
        </w:rPr>
        <w:t> 21 du Pacte, puisque s</w:t>
      </w:r>
      <w:r w:rsidRPr="00FE3116">
        <w:rPr>
          <w:lang w:val="fr-FR"/>
        </w:rPr>
        <w:t>a demande d</w:t>
      </w:r>
      <w:r>
        <w:rPr>
          <w:lang w:val="fr-FR"/>
        </w:rPr>
        <w:t>’</w:t>
      </w:r>
      <w:r w:rsidRPr="00FE3116">
        <w:rPr>
          <w:lang w:val="fr-FR"/>
        </w:rPr>
        <w:t>autorisation d</w:t>
      </w:r>
      <w:r>
        <w:rPr>
          <w:lang w:val="fr-FR"/>
        </w:rPr>
        <w:t>’</w:t>
      </w:r>
      <w:r w:rsidRPr="00FE3116">
        <w:rPr>
          <w:lang w:val="fr-FR"/>
        </w:rPr>
        <w:t>organiser une manifestation a été rejetée pour les motifs suivants: la demande ne précisait pas les modalités du déroulement de la manifestation et elle ne s</w:t>
      </w:r>
      <w:r>
        <w:rPr>
          <w:lang w:val="fr-FR"/>
        </w:rPr>
        <w:t>’</w:t>
      </w:r>
      <w:r w:rsidRPr="00FE3116">
        <w:rPr>
          <w:lang w:val="fr-FR"/>
        </w:rPr>
        <w:t xml:space="preserve">accompagnait pas des </w:t>
      </w:r>
      <w:r>
        <w:rPr>
          <w:lang w:val="fr-FR"/>
        </w:rPr>
        <w:t>engagements écrits</w:t>
      </w:r>
      <w:r w:rsidRPr="00FE3116">
        <w:rPr>
          <w:lang w:val="fr-FR"/>
        </w:rPr>
        <w:t xml:space="preserve"> </w:t>
      </w:r>
      <w:r>
        <w:rPr>
          <w:lang w:val="fr-FR"/>
        </w:rPr>
        <w:t>d</w:t>
      </w:r>
      <w:r w:rsidRPr="00FE3116">
        <w:rPr>
          <w:lang w:val="fr-FR"/>
        </w:rPr>
        <w:t>es services compétents de l</w:t>
      </w:r>
      <w:r>
        <w:rPr>
          <w:lang w:val="fr-FR"/>
        </w:rPr>
        <w:t>’</w:t>
      </w:r>
      <w:r w:rsidRPr="00FE3116">
        <w:rPr>
          <w:lang w:val="fr-FR"/>
        </w:rPr>
        <w:t xml:space="preserve">administration du district </w:t>
      </w:r>
      <w:r>
        <w:rPr>
          <w:lang w:val="fr-FR"/>
        </w:rPr>
        <w:t xml:space="preserve">qui auraient été nécessaires pour </w:t>
      </w:r>
      <w:r w:rsidRPr="00FE3116">
        <w:rPr>
          <w:lang w:val="fr-FR"/>
        </w:rPr>
        <w:t>assurer le maintien de l</w:t>
      </w:r>
      <w:r>
        <w:rPr>
          <w:lang w:val="fr-FR"/>
        </w:rPr>
        <w:t>’</w:t>
      </w:r>
      <w:r w:rsidRPr="00FE3116">
        <w:rPr>
          <w:lang w:val="fr-FR"/>
        </w:rPr>
        <w:t>ordre public</w:t>
      </w:r>
      <w:r>
        <w:rPr>
          <w:lang w:val="fr-FR"/>
        </w:rPr>
        <w:t xml:space="preserve">, </w:t>
      </w:r>
      <w:r w:rsidRPr="00FE3116">
        <w:rPr>
          <w:lang w:val="fr-FR"/>
        </w:rPr>
        <w:t>la fourniture de soins médicaux pendant la manifestation</w:t>
      </w:r>
      <w:r>
        <w:rPr>
          <w:lang w:val="fr-FR"/>
        </w:rPr>
        <w:t xml:space="preserve"> et</w:t>
      </w:r>
      <w:r w:rsidRPr="00FE3116">
        <w:rPr>
          <w:lang w:val="fr-FR"/>
        </w:rPr>
        <w:t xml:space="preserve"> le nettoyage du </w:t>
      </w:r>
      <w:r>
        <w:rPr>
          <w:lang w:val="fr-FR"/>
        </w:rPr>
        <w:t>site après la manifestation</w:t>
      </w:r>
      <w:r w:rsidRPr="00FE3116">
        <w:rPr>
          <w:lang w:val="fr-FR"/>
        </w:rPr>
        <w:t>. Le Comité rappelle qu</w:t>
      </w:r>
      <w:r>
        <w:rPr>
          <w:lang w:val="fr-FR"/>
        </w:rPr>
        <w:t>’</w:t>
      </w:r>
      <w:r w:rsidRPr="00FE3116">
        <w:rPr>
          <w:lang w:val="fr-FR"/>
        </w:rPr>
        <w:t>en vertu de l</w:t>
      </w:r>
      <w:r>
        <w:rPr>
          <w:lang w:val="fr-FR"/>
        </w:rPr>
        <w:t>’</w:t>
      </w:r>
      <w:r w:rsidRPr="00FE3116">
        <w:rPr>
          <w:lang w:val="fr-FR"/>
        </w:rPr>
        <w:t>article</w:t>
      </w:r>
      <w:r>
        <w:rPr>
          <w:lang w:val="fr-FR"/>
        </w:rPr>
        <w:t> </w:t>
      </w:r>
      <w:r w:rsidRPr="00FE3116">
        <w:rPr>
          <w:lang w:val="fr-FR"/>
        </w:rPr>
        <w:t xml:space="preserve">21 du Pacte, toute restriction au droit de réunion pacifique doit être imposée conformément à la loi, </w:t>
      </w:r>
      <w:r>
        <w:rPr>
          <w:lang w:val="fr-FR"/>
        </w:rPr>
        <w:t xml:space="preserve">et être nécessaire dans une société démocratique pour </w:t>
      </w:r>
      <w:r w:rsidRPr="00FE3116">
        <w:rPr>
          <w:lang w:val="fr-FR"/>
        </w:rPr>
        <w:t>servir l</w:t>
      </w:r>
      <w:r>
        <w:rPr>
          <w:lang w:val="fr-FR"/>
        </w:rPr>
        <w:t>’</w:t>
      </w:r>
      <w:r w:rsidRPr="00FE3116">
        <w:rPr>
          <w:lang w:val="fr-FR"/>
        </w:rPr>
        <w:t>un des buts d</w:t>
      </w:r>
      <w:r>
        <w:rPr>
          <w:lang w:val="fr-FR"/>
        </w:rPr>
        <w:t>’</w:t>
      </w:r>
      <w:r w:rsidRPr="00FE3116">
        <w:rPr>
          <w:lang w:val="fr-FR"/>
        </w:rPr>
        <w:t>intérêt p</w:t>
      </w:r>
      <w:r>
        <w:rPr>
          <w:lang w:val="fr-FR"/>
        </w:rPr>
        <w:t>ublic mentionnés dans le Pacte, à savoir la protection de</w:t>
      </w:r>
      <w:r w:rsidRPr="00FE3116">
        <w:rPr>
          <w:lang w:val="fr-FR"/>
        </w:rPr>
        <w:t xml:space="preserve"> la sécurité nationale, de la sûreté publique, de l</w:t>
      </w:r>
      <w:r>
        <w:rPr>
          <w:lang w:val="fr-FR"/>
        </w:rPr>
        <w:t>’</w:t>
      </w:r>
      <w:r w:rsidRPr="00FE3116">
        <w:rPr>
          <w:lang w:val="fr-FR"/>
        </w:rPr>
        <w:t>ordre public</w:t>
      </w:r>
      <w:r>
        <w:rPr>
          <w:lang w:val="fr-FR"/>
        </w:rPr>
        <w:t>,</w:t>
      </w:r>
      <w:r w:rsidRPr="00FE3116">
        <w:rPr>
          <w:lang w:val="fr-FR"/>
        </w:rPr>
        <w:t xml:space="preserve"> de la santé publique ou de la moralité publique ou des droits et libertés d</w:t>
      </w:r>
      <w:r>
        <w:rPr>
          <w:lang w:val="fr-FR"/>
        </w:rPr>
        <w:t>’autrui.</w:t>
      </w:r>
      <w:r w:rsidR="00DD7420">
        <w:rPr>
          <w:lang w:val="fr-FR"/>
        </w:rPr>
        <w:t xml:space="preserve"> </w:t>
      </w:r>
      <w:r w:rsidRPr="00FE3116">
        <w:rPr>
          <w:lang w:val="fr-FR"/>
        </w:rPr>
        <w:t xml:space="preserve">Le Comité </w:t>
      </w:r>
      <w:r>
        <w:rPr>
          <w:lang w:val="fr-FR"/>
        </w:rPr>
        <w:t>souligne</w:t>
      </w:r>
      <w:r w:rsidRPr="00FE3116">
        <w:rPr>
          <w:lang w:val="fr-FR"/>
        </w:rPr>
        <w:t xml:space="preserve"> également que</w:t>
      </w:r>
      <w:r>
        <w:rPr>
          <w:lang w:val="fr-FR"/>
        </w:rPr>
        <w:t xml:space="preserve"> </w:t>
      </w:r>
      <w:r w:rsidRPr="00FE3116">
        <w:rPr>
          <w:lang w:val="fr-FR"/>
        </w:rPr>
        <w:t xml:space="preserve">des entraves disproportionnées aux droits protégés par </w:t>
      </w:r>
      <w:r>
        <w:rPr>
          <w:lang w:val="fr-FR"/>
        </w:rPr>
        <w:t>l’article</w:t>
      </w:r>
      <w:r w:rsidR="00DD7420">
        <w:rPr>
          <w:lang w:val="fr-FR"/>
        </w:rPr>
        <w:t> </w:t>
      </w:r>
      <w:r>
        <w:rPr>
          <w:lang w:val="fr-FR"/>
        </w:rPr>
        <w:t>21 du</w:t>
      </w:r>
      <w:r w:rsidRPr="00FE3116">
        <w:rPr>
          <w:lang w:val="fr-FR"/>
        </w:rPr>
        <w:t xml:space="preserve"> Pacte ne </w:t>
      </w:r>
      <w:r>
        <w:rPr>
          <w:lang w:val="fr-FR"/>
        </w:rPr>
        <w:t>sauraient</w:t>
      </w:r>
      <w:r w:rsidRPr="00FE3116">
        <w:rPr>
          <w:lang w:val="fr-FR"/>
        </w:rPr>
        <w:t xml:space="preserve"> être considérées comme «nécessaires»</w:t>
      </w:r>
      <w:r w:rsidRPr="00F33D1A">
        <w:rPr>
          <w:rStyle w:val="FootnoteReference"/>
        </w:rPr>
        <w:footnoteReference w:id="10"/>
      </w:r>
      <w:r w:rsidRPr="00FE3116">
        <w:rPr>
          <w:lang w:val="fr-FR"/>
        </w:rPr>
        <w:t>.</w:t>
      </w:r>
    </w:p>
    <w:p w:rsidR="001F13AD" w:rsidRDefault="001F13AD" w:rsidP="001F13AD">
      <w:pPr>
        <w:pStyle w:val="SingleTxtG"/>
        <w:rPr>
          <w:lang w:val="fr-FR"/>
        </w:rPr>
      </w:pPr>
      <w:r w:rsidRPr="00FE3116">
        <w:rPr>
          <w:lang w:val="fr-FR"/>
        </w:rPr>
        <w:t>8.3</w:t>
      </w:r>
      <w:r w:rsidRPr="00FE3116">
        <w:rPr>
          <w:lang w:val="fr-FR"/>
        </w:rPr>
        <w:tab/>
        <w:t>Le Comité relève que les restrictions imposées à la liberté de réunion de l</w:t>
      </w:r>
      <w:r>
        <w:rPr>
          <w:lang w:val="fr-FR"/>
        </w:rPr>
        <w:t>’</w:t>
      </w:r>
      <w:r w:rsidRPr="00FE3116">
        <w:rPr>
          <w:lang w:val="fr-FR"/>
        </w:rPr>
        <w:t>auteur étaient fondées sur des dispositions de droit interne</w:t>
      </w:r>
      <w:r>
        <w:rPr>
          <w:lang w:val="fr-FR"/>
        </w:rPr>
        <w:t xml:space="preserve"> et comprenaient la lourde exigence d’obtenir trois engagements écrits distincts de trois services administratifs, ce qui pouvait rendre illusoire le droit de l’auteur de manifester</w:t>
      </w:r>
      <w:r w:rsidRPr="00FE3116">
        <w:rPr>
          <w:lang w:val="fr-FR"/>
        </w:rPr>
        <w:t>. L</w:t>
      </w:r>
      <w:r>
        <w:rPr>
          <w:lang w:val="fr-FR"/>
        </w:rPr>
        <w:t>’</w:t>
      </w:r>
      <w:r w:rsidRPr="00FE3116">
        <w:rPr>
          <w:lang w:val="fr-FR"/>
        </w:rPr>
        <w:t>État partie n</w:t>
      </w:r>
      <w:r>
        <w:rPr>
          <w:lang w:val="fr-FR"/>
        </w:rPr>
        <w:t>’</w:t>
      </w:r>
      <w:r w:rsidRPr="00FE3116">
        <w:rPr>
          <w:lang w:val="fr-FR"/>
        </w:rPr>
        <w:t>a cependant pas présenté d</w:t>
      </w:r>
      <w:r>
        <w:rPr>
          <w:lang w:val="fr-FR"/>
        </w:rPr>
        <w:t>’</w:t>
      </w:r>
      <w:r w:rsidRPr="00FE3116">
        <w:rPr>
          <w:lang w:val="fr-FR"/>
        </w:rPr>
        <w:t>arguments pour expliquer en quoi ce</w:t>
      </w:r>
      <w:r>
        <w:rPr>
          <w:lang w:val="fr-FR"/>
        </w:rPr>
        <w:t xml:space="preserve">tte exigence </w:t>
      </w:r>
      <w:r w:rsidRPr="00FE3116">
        <w:rPr>
          <w:lang w:val="fr-FR"/>
        </w:rPr>
        <w:t>était nécessaire dans l</w:t>
      </w:r>
      <w:r>
        <w:rPr>
          <w:lang w:val="fr-FR"/>
        </w:rPr>
        <w:t>’</w:t>
      </w:r>
      <w:r w:rsidRPr="00FE3116">
        <w:rPr>
          <w:lang w:val="fr-FR"/>
        </w:rPr>
        <w:t>intérêt de la sécurité n</w:t>
      </w:r>
      <w:r>
        <w:rPr>
          <w:lang w:val="fr-FR"/>
        </w:rPr>
        <w:t>ationale, de la sûreté publique ou</w:t>
      </w:r>
      <w:r w:rsidRPr="00FE3116">
        <w:rPr>
          <w:lang w:val="fr-FR"/>
        </w:rPr>
        <w:t xml:space="preserve"> de l</w:t>
      </w:r>
      <w:r>
        <w:rPr>
          <w:lang w:val="fr-FR"/>
        </w:rPr>
        <w:t>’</w:t>
      </w:r>
      <w:r w:rsidRPr="00FE3116">
        <w:rPr>
          <w:lang w:val="fr-FR"/>
        </w:rPr>
        <w:t xml:space="preserve">ordre public ou pour protéger la </w:t>
      </w:r>
      <w:r>
        <w:rPr>
          <w:lang w:val="fr-FR"/>
        </w:rPr>
        <w:t xml:space="preserve">santé ou la moralité publiques </w:t>
      </w:r>
      <w:r w:rsidRPr="00FE3116">
        <w:rPr>
          <w:lang w:val="fr-FR"/>
        </w:rPr>
        <w:t>ou les droits et libertés d</w:t>
      </w:r>
      <w:r>
        <w:rPr>
          <w:lang w:val="fr-FR"/>
        </w:rPr>
        <w:t>’</w:t>
      </w:r>
      <w:r w:rsidRPr="00FE3116">
        <w:rPr>
          <w:lang w:val="fr-FR"/>
        </w:rPr>
        <w:t xml:space="preserve">autrui. </w:t>
      </w:r>
      <w:r>
        <w:rPr>
          <w:lang w:val="fr-FR"/>
        </w:rPr>
        <w:t>En outre, i</w:t>
      </w:r>
      <w:r w:rsidRPr="00FE3116">
        <w:rPr>
          <w:lang w:val="fr-FR"/>
        </w:rPr>
        <w:t>l n</w:t>
      </w:r>
      <w:r>
        <w:rPr>
          <w:lang w:val="fr-FR"/>
        </w:rPr>
        <w:t xml:space="preserve">’a pas non plus </w:t>
      </w:r>
      <w:r w:rsidRPr="00FE3116">
        <w:rPr>
          <w:lang w:val="fr-FR"/>
        </w:rPr>
        <w:t xml:space="preserve">montré </w:t>
      </w:r>
      <w:r>
        <w:rPr>
          <w:lang w:val="fr-FR"/>
        </w:rPr>
        <w:t>que</w:t>
      </w:r>
      <w:r w:rsidRPr="00FE3116">
        <w:rPr>
          <w:lang w:val="fr-FR"/>
        </w:rPr>
        <w:t xml:space="preserve"> </w:t>
      </w:r>
      <w:r>
        <w:rPr>
          <w:lang w:val="fr-FR"/>
        </w:rPr>
        <w:t>le rejet de la demande d’organiser une manifestation</w:t>
      </w:r>
      <w:r w:rsidRPr="00FE3116">
        <w:rPr>
          <w:lang w:val="fr-FR"/>
        </w:rPr>
        <w:t xml:space="preserve"> constituait une entrave proportionnée au droit de réunion pacifique</w:t>
      </w:r>
      <w:r>
        <w:rPr>
          <w:lang w:val="fr-FR"/>
        </w:rPr>
        <w:t> − </w:t>
      </w:r>
      <w:r w:rsidRPr="00FE3116">
        <w:rPr>
          <w:lang w:val="fr-FR"/>
        </w:rPr>
        <w:t>en d</w:t>
      </w:r>
      <w:r>
        <w:rPr>
          <w:lang w:val="fr-FR"/>
        </w:rPr>
        <w:t>’</w:t>
      </w:r>
      <w:r w:rsidRPr="00FE3116">
        <w:rPr>
          <w:lang w:val="fr-FR"/>
        </w:rPr>
        <w:t xml:space="preserve">autres termes, </w:t>
      </w:r>
      <w:r>
        <w:rPr>
          <w:lang w:val="fr-FR"/>
        </w:rPr>
        <w:t xml:space="preserve">qu’elle </w:t>
      </w:r>
      <w:r w:rsidRPr="00FE3116">
        <w:rPr>
          <w:lang w:val="fr-FR"/>
        </w:rPr>
        <w:t xml:space="preserve">constituait le moyen le moins </w:t>
      </w:r>
      <w:r>
        <w:rPr>
          <w:lang w:val="fr-FR"/>
        </w:rPr>
        <w:t>intrusif</w:t>
      </w:r>
      <w:r w:rsidRPr="00FE3116">
        <w:rPr>
          <w:lang w:val="fr-FR"/>
        </w:rPr>
        <w:t xml:space="preserve"> </w:t>
      </w:r>
      <w:r>
        <w:rPr>
          <w:lang w:val="fr-FR"/>
        </w:rPr>
        <w:t>susceptible</w:t>
      </w:r>
      <w:r w:rsidRPr="00FE3116">
        <w:rPr>
          <w:lang w:val="fr-FR"/>
        </w:rPr>
        <w:t xml:space="preserve"> </w:t>
      </w:r>
      <w:r>
        <w:rPr>
          <w:lang w:val="fr-FR"/>
        </w:rPr>
        <w:t>d’aboutir au</w:t>
      </w:r>
      <w:r w:rsidRPr="00FE3116">
        <w:rPr>
          <w:lang w:val="fr-FR"/>
        </w:rPr>
        <w:t xml:space="preserve"> résultat recherché par l</w:t>
      </w:r>
      <w:r>
        <w:rPr>
          <w:lang w:val="fr-FR"/>
        </w:rPr>
        <w:t>’</w:t>
      </w:r>
      <w:r w:rsidRPr="00FE3116">
        <w:rPr>
          <w:lang w:val="fr-FR"/>
        </w:rPr>
        <w:t xml:space="preserve">État partie et </w:t>
      </w:r>
      <w:r>
        <w:rPr>
          <w:lang w:val="fr-FR"/>
        </w:rPr>
        <w:t xml:space="preserve">qu’elle </w:t>
      </w:r>
      <w:r w:rsidRPr="00FE3116">
        <w:rPr>
          <w:lang w:val="fr-FR"/>
        </w:rPr>
        <w:t>était proportionné</w:t>
      </w:r>
      <w:r>
        <w:rPr>
          <w:lang w:val="fr-FR"/>
        </w:rPr>
        <w:t>e</w:t>
      </w:r>
      <w:r w:rsidRPr="00FE3116">
        <w:rPr>
          <w:lang w:val="fr-FR"/>
        </w:rPr>
        <w:t xml:space="preserve"> </w:t>
      </w:r>
      <w:r>
        <w:rPr>
          <w:lang w:val="fr-FR"/>
        </w:rPr>
        <w:t xml:space="preserve">aux </w:t>
      </w:r>
      <w:r w:rsidRPr="00FE3116">
        <w:rPr>
          <w:lang w:val="fr-FR"/>
        </w:rPr>
        <w:t>intérêt</w:t>
      </w:r>
      <w:r>
        <w:rPr>
          <w:lang w:val="fr-FR"/>
        </w:rPr>
        <w:t>s</w:t>
      </w:r>
      <w:r w:rsidRPr="00FE3116">
        <w:rPr>
          <w:lang w:val="fr-FR"/>
        </w:rPr>
        <w:t xml:space="preserve"> que l</w:t>
      </w:r>
      <w:r>
        <w:rPr>
          <w:lang w:val="fr-FR"/>
        </w:rPr>
        <w:t>’</w:t>
      </w:r>
      <w:r w:rsidRPr="00FE3116">
        <w:rPr>
          <w:lang w:val="fr-FR"/>
        </w:rPr>
        <w:t>État partie cherchait à protéger</w:t>
      </w:r>
      <w:r w:rsidRPr="00F33D1A">
        <w:rPr>
          <w:rStyle w:val="FootnoteReference"/>
        </w:rPr>
        <w:footnoteReference w:id="11"/>
      </w:r>
      <w:r w:rsidRPr="00FE3116">
        <w:rPr>
          <w:lang w:val="fr-FR"/>
        </w:rPr>
        <w:t xml:space="preserve">. </w:t>
      </w:r>
      <w:r>
        <w:rPr>
          <w:lang w:val="fr-FR"/>
        </w:rPr>
        <w:t xml:space="preserve">Par exemple, l’État partie n’a pas expliqué pourquoi l’auteur n’a pas eu la possibilité de modifier sa demande d’organiser une manifestation et d’y préciser des points qui n’avaient pas été pleinement explicités dans la demande initiale. </w:t>
      </w:r>
      <w:r w:rsidRPr="00FE3116">
        <w:rPr>
          <w:lang w:val="fr-FR"/>
        </w:rPr>
        <w:t>En conséquence, le Comité conclut que les faits dont il</w:t>
      </w:r>
      <w:r w:rsidR="00DD7420">
        <w:rPr>
          <w:lang w:val="fr-FR"/>
        </w:rPr>
        <w:t> </w:t>
      </w:r>
      <w:r w:rsidRPr="00FE3116">
        <w:rPr>
          <w:lang w:val="fr-FR"/>
        </w:rPr>
        <w:t>est saisi ont</w:t>
      </w:r>
      <w:r w:rsidR="00DD7420">
        <w:rPr>
          <w:lang w:val="fr-FR"/>
        </w:rPr>
        <w:t xml:space="preserve"> </w:t>
      </w:r>
      <w:r w:rsidRPr="00FE3116">
        <w:rPr>
          <w:lang w:val="fr-FR"/>
        </w:rPr>
        <w:t>entraîné une violation des droits que l</w:t>
      </w:r>
      <w:r>
        <w:rPr>
          <w:lang w:val="fr-FR"/>
        </w:rPr>
        <w:t>’</w:t>
      </w:r>
      <w:r w:rsidRPr="00FE3116">
        <w:rPr>
          <w:lang w:val="fr-FR"/>
        </w:rPr>
        <w:t>auteur tient de l</w:t>
      </w:r>
      <w:r>
        <w:rPr>
          <w:lang w:val="fr-FR"/>
        </w:rPr>
        <w:t>’</w:t>
      </w:r>
      <w:r w:rsidRPr="00FE3116">
        <w:rPr>
          <w:lang w:val="fr-FR"/>
        </w:rPr>
        <w:t>article</w:t>
      </w:r>
      <w:r>
        <w:rPr>
          <w:lang w:val="fr-FR"/>
        </w:rPr>
        <w:t> </w:t>
      </w:r>
      <w:r w:rsidRPr="00FE3116">
        <w:rPr>
          <w:lang w:val="fr-FR"/>
        </w:rPr>
        <w:t>21 du Pacte</w:t>
      </w:r>
      <w:r w:rsidRPr="00F33D1A">
        <w:rPr>
          <w:rStyle w:val="FootnoteReference"/>
        </w:rPr>
        <w:footnoteReference w:id="12"/>
      </w:r>
      <w:r w:rsidRPr="00F40D70">
        <w:t>.</w:t>
      </w:r>
    </w:p>
    <w:p w:rsidR="001F13AD" w:rsidRPr="00FE3116" w:rsidRDefault="001F13AD" w:rsidP="001F13AD">
      <w:pPr>
        <w:pStyle w:val="SingleTxtG"/>
        <w:rPr>
          <w:lang w:val="fr-FR"/>
        </w:rPr>
      </w:pPr>
      <w:r w:rsidRPr="00FE3116">
        <w:rPr>
          <w:lang w:val="fr-FR"/>
        </w:rPr>
        <w:t>9.</w:t>
      </w:r>
      <w:r w:rsidRPr="00FE3116">
        <w:rPr>
          <w:lang w:val="fr-FR"/>
        </w:rPr>
        <w:tab/>
        <w:t>Le Comité des droits de l</w:t>
      </w:r>
      <w:r>
        <w:rPr>
          <w:lang w:val="fr-FR"/>
        </w:rPr>
        <w:t>’</w:t>
      </w:r>
      <w:r w:rsidRPr="00FE3116">
        <w:rPr>
          <w:lang w:val="fr-FR"/>
        </w:rPr>
        <w:t xml:space="preserve">homme, </w:t>
      </w:r>
      <w:r>
        <w:rPr>
          <w:lang w:val="fr-FR"/>
        </w:rPr>
        <w:t>agissant en vertu du paragraphe </w:t>
      </w:r>
      <w:r w:rsidRPr="00FE3116">
        <w:rPr>
          <w:lang w:val="fr-FR"/>
        </w:rPr>
        <w:t>4 de l</w:t>
      </w:r>
      <w:r>
        <w:rPr>
          <w:lang w:val="fr-FR"/>
        </w:rPr>
        <w:t>’</w:t>
      </w:r>
      <w:r w:rsidRPr="00FE3116">
        <w:rPr>
          <w:lang w:val="fr-FR"/>
        </w:rPr>
        <w:t>article</w:t>
      </w:r>
      <w:r>
        <w:rPr>
          <w:lang w:val="fr-FR"/>
        </w:rPr>
        <w:t> </w:t>
      </w:r>
      <w:r w:rsidRPr="00FE3116">
        <w:rPr>
          <w:lang w:val="fr-FR"/>
        </w:rPr>
        <w:t xml:space="preserve">5 du Protocole facultatif se rapportant au Pacte international relatif aux droits civils et politiques, </w:t>
      </w:r>
      <w:r>
        <w:rPr>
          <w:lang w:val="fr-FR"/>
        </w:rPr>
        <w:t>constate</w:t>
      </w:r>
      <w:r w:rsidRPr="00FE3116">
        <w:rPr>
          <w:lang w:val="fr-FR"/>
        </w:rPr>
        <w:t xml:space="preserve"> que les faits dont il est saisi font apparaître une violation par le Bélarus des droits que l</w:t>
      </w:r>
      <w:r>
        <w:rPr>
          <w:lang w:val="fr-FR"/>
        </w:rPr>
        <w:t>’</w:t>
      </w:r>
      <w:r w:rsidRPr="00FE3116">
        <w:rPr>
          <w:lang w:val="fr-FR"/>
        </w:rPr>
        <w:t>auteur tient de l</w:t>
      </w:r>
      <w:r>
        <w:rPr>
          <w:lang w:val="fr-FR"/>
        </w:rPr>
        <w:t>’</w:t>
      </w:r>
      <w:r w:rsidRPr="00FE3116">
        <w:rPr>
          <w:lang w:val="fr-FR"/>
        </w:rPr>
        <w:t>article</w:t>
      </w:r>
      <w:r>
        <w:rPr>
          <w:lang w:val="fr-FR"/>
        </w:rPr>
        <w:t> </w:t>
      </w:r>
      <w:r w:rsidRPr="00FE3116">
        <w:rPr>
          <w:lang w:val="fr-FR"/>
        </w:rPr>
        <w:t xml:space="preserve">21 du Pacte. </w:t>
      </w:r>
      <w:r w:rsidRPr="00FE3116">
        <w:t>L</w:t>
      </w:r>
      <w:r>
        <w:t>’</w:t>
      </w:r>
      <w:r w:rsidRPr="00FE3116">
        <w:t xml:space="preserve">État partie a également manqué aux obligations qui </w:t>
      </w:r>
      <w:r w:rsidRPr="00A84A2B">
        <w:rPr>
          <w:spacing w:val="-2"/>
        </w:rPr>
        <w:t>lui incombent en vertu de l</w:t>
      </w:r>
      <w:r>
        <w:rPr>
          <w:spacing w:val="-2"/>
        </w:rPr>
        <w:t>’</w:t>
      </w:r>
      <w:r w:rsidRPr="00A84A2B">
        <w:rPr>
          <w:spacing w:val="-2"/>
        </w:rPr>
        <w:t>article premier</w:t>
      </w:r>
      <w:r w:rsidRPr="00FE3116">
        <w:t xml:space="preserve"> du Protocole facultatif se rapportant au</w:t>
      </w:r>
      <w:r>
        <w:t> </w:t>
      </w:r>
      <w:r w:rsidRPr="00FE3116">
        <w:t>Pacte.</w:t>
      </w:r>
    </w:p>
    <w:p w:rsidR="001F13AD" w:rsidRPr="00FE3116" w:rsidRDefault="001F13AD" w:rsidP="001F13AD">
      <w:pPr>
        <w:pStyle w:val="SingleTxtG"/>
        <w:keepLines/>
        <w:rPr>
          <w:lang w:val="fr-FR"/>
        </w:rPr>
      </w:pPr>
      <w:r w:rsidRPr="00FE3116">
        <w:rPr>
          <w:lang w:val="fr-FR"/>
        </w:rPr>
        <w:t>10.</w:t>
      </w:r>
      <w:r w:rsidRPr="00FE3116">
        <w:rPr>
          <w:lang w:val="fr-FR"/>
        </w:rPr>
        <w:tab/>
        <w:t>Conformément au paragraphe 3 a) de l</w:t>
      </w:r>
      <w:r>
        <w:rPr>
          <w:lang w:val="fr-FR"/>
        </w:rPr>
        <w:t>’</w:t>
      </w:r>
      <w:r w:rsidRPr="00FE3116">
        <w:rPr>
          <w:lang w:val="fr-FR"/>
        </w:rPr>
        <w:t>article 2 du Pacte, l</w:t>
      </w:r>
      <w:r>
        <w:rPr>
          <w:lang w:val="fr-FR"/>
        </w:rPr>
        <w:t>’</w:t>
      </w:r>
      <w:r w:rsidRPr="00FE3116">
        <w:rPr>
          <w:lang w:val="fr-FR"/>
        </w:rPr>
        <w:t>État partie est tenu d</w:t>
      </w:r>
      <w:r>
        <w:rPr>
          <w:lang w:val="fr-FR"/>
        </w:rPr>
        <w:t>’</w:t>
      </w:r>
      <w:r w:rsidRPr="00FE3116">
        <w:rPr>
          <w:lang w:val="fr-FR"/>
        </w:rPr>
        <w:t>assurer à l</w:t>
      </w:r>
      <w:r>
        <w:rPr>
          <w:lang w:val="fr-FR"/>
        </w:rPr>
        <w:t>’</w:t>
      </w:r>
      <w:r w:rsidRPr="00FE3116">
        <w:rPr>
          <w:lang w:val="fr-FR"/>
        </w:rPr>
        <w:t xml:space="preserve">auteur un recours utile, sous la forme </w:t>
      </w:r>
      <w:r>
        <w:rPr>
          <w:lang w:val="fr-FR"/>
        </w:rPr>
        <w:t xml:space="preserve">notamment </w:t>
      </w:r>
      <w:r w:rsidRPr="00FE3116">
        <w:t>d</w:t>
      </w:r>
      <w:r>
        <w:t>’</w:t>
      </w:r>
      <w:r w:rsidRPr="00FE3116">
        <w:t xml:space="preserve">une indemnisation et du remboursement </w:t>
      </w:r>
      <w:r>
        <w:t>de tous</w:t>
      </w:r>
      <w:r w:rsidRPr="00FE3116">
        <w:t xml:space="preserve"> frais de justice acquittés par l</w:t>
      </w:r>
      <w:r>
        <w:t>’</w:t>
      </w:r>
      <w:r w:rsidRPr="00FE3116">
        <w:t>auteur.</w:t>
      </w:r>
      <w:r w:rsidRPr="00FE3116">
        <w:rPr>
          <w:lang w:val="fr-FR"/>
        </w:rPr>
        <w:t xml:space="preserve"> Le Comité invite l</w:t>
      </w:r>
      <w:r>
        <w:rPr>
          <w:lang w:val="fr-FR"/>
        </w:rPr>
        <w:t>’</w:t>
      </w:r>
      <w:r w:rsidRPr="00FE3116">
        <w:rPr>
          <w:lang w:val="fr-FR"/>
        </w:rPr>
        <w:t>État partie à</w:t>
      </w:r>
      <w:r>
        <w:rPr>
          <w:lang w:val="fr-FR"/>
        </w:rPr>
        <w:t> </w:t>
      </w:r>
      <w:r w:rsidRPr="00FE3116">
        <w:rPr>
          <w:lang w:val="fr-FR"/>
        </w:rPr>
        <w:t>réviser les dispositions législatives relatives à l</w:t>
      </w:r>
      <w:r>
        <w:rPr>
          <w:lang w:val="fr-FR"/>
        </w:rPr>
        <w:t>’</w:t>
      </w:r>
      <w:r w:rsidRPr="00FE3116">
        <w:rPr>
          <w:lang w:val="fr-FR"/>
        </w:rPr>
        <w:t>organisation de manifestations publiques afin de</w:t>
      </w:r>
      <w:r w:rsidRPr="00FE3116">
        <w:t xml:space="preserve"> les rendre conformes aux dispositions </w:t>
      </w:r>
      <w:r w:rsidRPr="00FE3116">
        <w:rPr>
          <w:lang w:val="fr-FR"/>
        </w:rPr>
        <w:t>de l</w:t>
      </w:r>
      <w:r>
        <w:rPr>
          <w:lang w:val="fr-FR"/>
        </w:rPr>
        <w:t>’</w:t>
      </w:r>
      <w:r w:rsidRPr="00FE3116">
        <w:rPr>
          <w:lang w:val="fr-FR"/>
        </w:rPr>
        <w:t>article</w:t>
      </w:r>
      <w:r>
        <w:rPr>
          <w:lang w:val="fr-FR"/>
        </w:rPr>
        <w:t> </w:t>
      </w:r>
      <w:r w:rsidRPr="00FE3116">
        <w:rPr>
          <w:lang w:val="fr-FR"/>
        </w:rPr>
        <w:t>21 du Pacte. L</w:t>
      </w:r>
      <w:r>
        <w:rPr>
          <w:lang w:val="fr-FR"/>
        </w:rPr>
        <w:t>’</w:t>
      </w:r>
      <w:r w:rsidRPr="00FE3116">
        <w:rPr>
          <w:lang w:val="fr-FR"/>
        </w:rPr>
        <w:t>État partie est également tenu de veiller à ce que des violations analogues ne se reproduisent pas.</w:t>
      </w:r>
    </w:p>
    <w:p w:rsidR="00642728" w:rsidRDefault="001F13AD" w:rsidP="001F13AD">
      <w:pPr>
        <w:pStyle w:val="SingleTxtG"/>
        <w:ind w:firstLine="567"/>
      </w:pPr>
      <w:r w:rsidRPr="00FE3116">
        <w:rPr>
          <w:lang w:val="fr-FR"/>
        </w:rPr>
        <w:t>11.</w:t>
      </w:r>
      <w:r w:rsidRPr="00FE3116">
        <w:rPr>
          <w:lang w:val="fr-FR"/>
        </w:rPr>
        <w:tab/>
        <w:t>Étant donné qu</w:t>
      </w:r>
      <w:r>
        <w:rPr>
          <w:lang w:val="fr-FR"/>
        </w:rPr>
        <w:t>’</w:t>
      </w:r>
      <w:r w:rsidRPr="00FE3116">
        <w:rPr>
          <w:lang w:val="fr-FR"/>
        </w:rPr>
        <w:t>en adhérant au Protocole facultatif, l</w:t>
      </w:r>
      <w:r>
        <w:rPr>
          <w:lang w:val="fr-FR"/>
        </w:rPr>
        <w:t>’</w:t>
      </w:r>
      <w:r w:rsidRPr="00FE3116">
        <w:rPr>
          <w:lang w:val="fr-FR"/>
        </w:rPr>
        <w:t>État partie a reconnu que le Comité a compétence pour déterminer s</w:t>
      </w:r>
      <w:r>
        <w:rPr>
          <w:lang w:val="fr-FR"/>
        </w:rPr>
        <w:t>’</w:t>
      </w:r>
      <w:r w:rsidRPr="00FE3116">
        <w:rPr>
          <w:lang w:val="fr-FR"/>
        </w:rPr>
        <w:t>il y a ou non violation du Pacte et que, conformément à l</w:t>
      </w:r>
      <w:r>
        <w:rPr>
          <w:lang w:val="fr-FR"/>
        </w:rPr>
        <w:t>’article </w:t>
      </w:r>
      <w:r w:rsidRPr="00FE3116">
        <w:rPr>
          <w:lang w:val="fr-FR"/>
        </w:rPr>
        <w:t>2 du Pacte, il s</w:t>
      </w:r>
      <w:r>
        <w:rPr>
          <w:lang w:val="fr-FR"/>
        </w:rPr>
        <w:t>’</w:t>
      </w:r>
      <w:r w:rsidRPr="00FE3116">
        <w:rPr>
          <w:lang w:val="fr-FR"/>
        </w:rPr>
        <w:t>est engagé à garantir à tous les individus se trouvant sur son territoire et relevant de sa juridiction les droits reconnus dans le Pacte et à assurer un recours utile et exécutoire lorsqu</w:t>
      </w:r>
      <w:r>
        <w:rPr>
          <w:lang w:val="fr-FR"/>
        </w:rPr>
        <w:t>’</w:t>
      </w:r>
      <w:r w:rsidRPr="00FE3116">
        <w:rPr>
          <w:lang w:val="fr-FR"/>
        </w:rPr>
        <w:t>une violation a été établie, le Comité souhaite recevoir de l</w:t>
      </w:r>
      <w:r>
        <w:rPr>
          <w:lang w:val="fr-FR"/>
        </w:rPr>
        <w:t>’</w:t>
      </w:r>
      <w:r w:rsidRPr="00FE3116">
        <w:rPr>
          <w:lang w:val="fr-FR"/>
        </w:rPr>
        <w:t>État partie, dans un délai de cent quatre-vingts jours, des renseignements sur les mesures prises pour donner effet aux présentes constatations. L</w:t>
      </w:r>
      <w:r>
        <w:rPr>
          <w:lang w:val="fr-FR"/>
        </w:rPr>
        <w:t>’</w:t>
      </w:r>
      <w:r w:rsidRPr="00FE3116">
        <w:rPr>
          <w:lang w:val="fr-FR"/>
        </w:rPr>
        <w:t>État partie est invité en</w:t>
      </w:r>
      <w:r>
        <w:rPr>
          <w:lang w:val="fr-FR"/>
        </w:rPr>
        <w:t> </w:t>
      </w:r>
      <w:r w:rsidRPr="00FE3116">
        <w:rPr>
          <w:lang w:val="fr-FR"/>
        </w:rPr>
        <w:t xml:space="preserve">outre à rendre celles-ci publiques et à les diffuser largement en </w:t>
      </w:r>
      <w:r w:rsidRPr="00FE3116">
        <w:t>biélorusse et en russe dans le pays.</w:t>
      </w:r>
    </w:p>
    <w:p w:rsidR="00DD7420" w:rsidRPr="00DD7420" w:rsidRDefault="00DD7420" w:rsidP="00DD7420">
      <w:pPr>
        <w:pStyle w:val="SingleTxtG"/>
        <w:spacing w:before="240" w:after="0"/>
        <w:jc w:val="center"/>
        <w:rPr>
          <w:u w:val="single"/>
        </w:rPr>
      </w:pPr>
      <w:r>
        <w:rPr>
          <w:u w:val="single"/>
        </w:rPr>
        <w:tab/>
      </w:r>
      <w:r>
        <w:rPr>
          <w:u w:val="single"/>
        </w:rPr>
        <w:tab/>
      </w:r>
      <w:r>
        <w:rPr>
          <w:u w:val="single"/>
        </w:rPr>
        <w:tab/>
      </w:r>
    </w:p>
    <w:sectPr w:rsidR="00DD7420" w:rsidRPr="00DD7420" w:rsidSect="005A41D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77" w:rsidRDefault="000D1077"/>
  </w:endnote>
  <w:endnote w:type="continuationSeparator" w:id="0">
    <w:p w:rsidR="000D1077" w:rsidRDefault="000D1077"/>
  </w:endnote>
  <w:endnote w:type="continuationNotice" w:id="1">
    <w:p w:rsidR="000D1077" w:rsidRPr="00AE2643" w:rsidRDefault="000D1077" w:rsidP="00AE2643">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DD" w:rsidRPr="005A41DD" w:rsidRDefault="005A41DD" w:rsidP="005A41DD">
    <w:pPr>
      <w:pStyle w:val="Footer"/>
      <w:tabs>
        <w:tab w:val="right" w:pos="9638"/>
      </w:tabs>
    </w:pPr>
    <w:r w:rsidRPr="005A41DD">
      <w:rPr>
        <w:b/>
        <w:sz w:val="18"/>
      </w:rPr>
      <w:fldChar w:fldCharType="begin"/>
    </w:r>
    <w:r w:rsidRPr="005A41DD">
      <w:rPr>
        <w:b/>
        <w:sz w:val="18"/>
      </w:rPr>
      <w:instrText xml:space="preserve"> PAGE  \* MERGEFORMAT </w:instrText>
    </w:r>
    <w:r w:rsidRPr="005A41DD">
      <w:rPr>
        <w:b/>
        <w:sz w:val="18"/>
      </w:rPr>
      <w:fldChar w:fldCharType="separate"/>
    </w:r>
    <w:r w:rsidR="00814C6E">
      <w:rPr>
        <w:b/>
        <w:noProof/>
        <w:sz w:val="18"/>
      </w:rPr>
      <w:t>8</w:t>
    </w:r>
    <w:r w:rsidRPr="005A41DD">
      <w:rPr>
        <w:b/>
        <w:sz w:val="18"/>
      </w:rPr>
      <w:fldChar w:fldCharType="end"/>
    </w:r>
    <w:r>
      <w:rPr>
        <w:b/>
        <w:sz w:val="18"/>
      </w:rPr>
      <w:tab/>
    </w:r>
    <w:r>
      <w:t>GE.14-14535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DD" w:rsidRPr="005A41DD" w:rsidRDefault="005A41DD" w:rsidP="005A41DD">
    <w:pPr>
      <w:pStyle w:val="Footer"/>
      <w:tabs>
        <w:tab w:val="right" w:pos="9638"/>
      </w:tabs>
      <w:rPr>
        <w:b/>
        <w:sz w:val="18"/>
      </w:rPr>
    </w:pPr>
    <w:r>
      <w:t>GE.14-14535</w:t>
    </w:r>
    <w:r>
      <w:tab/>
    </w:r>
    <w:r w:rsidRPr="005A41DD">
      <w:rPr>
        <w:b/>
        <w:sz w:val="18"/>
      </w:rPr>
      <w:fldChar w:fldCharType="begin"/>
    </w:r>
    <w:r w:rsidRPr="005A41DD">
      <w:rPr>
        <w:b/>
        <w:sz w:val="18"/>
      </w:rPr>
      <w:instrText xml:space="preserve"> PAGE  \* MERGEFORMAT </w:instrText>
    </w:r>
    <w:r w:rsidRPr="005A41DD">
      <w:rPr>
        <w:b/>
        <w:sz w:val="18"/>
      </w:rPr>
      <w:fldChar w:fldCharType="separate"/>
    </w:r>
    <w:r w:rsidR="00814C6E">
      <w:rPr>
        <w:b/>
        <w:noProof/>
        <w:sz w:val="18"/>
      </w:rPr>
      <w:t>7</w:t>
    </w:r>
    <w:r w:rsidRPr="005A41D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35" w:rsidRDefault="005A41DD" w:rsidP="005A41DD">
    <w:pPr>
      <w:pStyle w:val="Footer"/>
      <w:spacing w:before="120"/>
    </w:pPr>
    <w:r>
      <w:rPr>
        <w:sz w:val="20"/>
      </w:rPr>
      <w:t>GE.14-14535</w:t>
    </w:r>
    <w:r w:rsidR="00D62835">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161014    171014</w:t>
    </w:r>
    <w:r>
      <w:rPr>
        <w:sz w:val="20"/>
      </w:rPr>
      <w:br/>
    </w:r>
    <w:r w:rsidRPr="005A41DD">
      <w:rPr>
        <w:rFonts w:ascii="C39T30Lfz" w:hAnsi="C39T30Lfz"/>
        <w:sz w:val="56"/>
      </w:rPr>
      <w:t></w:t>
    </w:r>
    <w:r w:rsidRPr="005A41DD">
      <w:rPr>
        <w:rFonts w:ascii="C39T30Lfz" w:hAnsi="C39T30Lfz"/>
        <w:sz w:val="56"/>
      </w:rPr>
      <w:t></w:t>
    </w:r>
    <w:r w:rsidRPr="005A41DD">
      <w:rPr>
        <w:rFonts w:ascii="C39T30Lfz" w:hAnsi="C39T30Lfz"/>
        <w:sz w:val="56"/>
      </w:rPr>
      <w:t></w:t>
    </w:r>
    <w:r w:rsidRPr="005A41DD">
      <w:rPr>
        <w:rFonts w:ascii="C39T30Lfz" w:hAnsi="C39T30Lfz"/>
        <w:sz w:val="56"/>
      </w:rPr>
      <w:t></w:t>
    </w:r>
    <w:r w:rsidRPr="005A41DD">
      <w:rPr>
        <w:rFonts w:ascii="C39T30Lfz" w:hAnsi="C39T30Lfz"/>
        <w:sz w:val="56"/>
      </w:rPr>
      <w:t></w:t>
    </w:r>
    <w:r w:rsidRPr="005A41DD">
      <w:rPr>
        <w:rFonts w:ascii="C39T30Lfz" w:hAnsi="C39T30Lfz"/>
        <w:sz w:val="56"/>
      </w:rPr>
      <w:t></w:t>
    </w:r>
    <w:r w:rsidRPr="005A41DD">
      <w:rPr>
        <w:rFonts w:ascii="C39T30Lfz" w:hAnsi="C39T30Lfz"/>
        <w:sz w:val="56"/>
      </w:rPr>
      <w:t></w:t>
    </w:r>
    <w:r w:rsidRPr="005A41DD">
      <w:rPr>
        <w:rFonts w:ascii="C39T30Lfz" w:hAnsi="C39T30Lfz"/>
        <w:sz w:val="56"/>
      </w:rPr>
      <w:t></w:t>
    </w:r>
    <w:r w:rsidRPr="005A41DD">
      <w:rPr>
        <w:rFonts w:ascii="C39T30Lfz" w:hAnsi="C39T30Lfz"/>
        <w:sz w:val="56"/>
      </w:rPr>
      <w:t></w:t>
    </w:r>
    <w:r>
      <w:rPr>
        <w:noProof/>
        <w:lang w:val="fr-FR" w:eastAsia="fr-FR"/>
      </w:rPr>
      <w:pict>
        <v:shape id="_x0000_s2052" type="#_x0000_t75" style="position:absolute;margin-left:432.25pt;margin-top:632.1pt;width:50.25pt;height:50.25pt;z-index:2;mso-position-horizontal-relative:margin;mso-position-vertical-relative:margin">
          <v:imagedata r:id="rId2" o:title="201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77" w:rsidRPr="00D27D5E" w:rsidRDefault="000D1077" w:rsidP="00D27D5E">
      <w:pPr>
        <w:tabs>
          <w:tab w:val="right" w:pos="2155"/>
        </w:tabs>
        <w:spacing w:after="80"/>
        <w:ind w:left="680"/>
        <w:rPr>
          <w:u w:val="single"/>
        </w:rPr>
      </w:pPr>
      <w:r>
        <w:rPr>
          <w:u w:val="single"/>
        </w:rPr>
        <w:tab/>
      </w:r>
    </w:p>
  </w:footnote>
  <w:footnote w:type="continuationSeparator" w:id="0">
    <w:p w:rsidR="000D1077" w:rsidRPr="00A821B8" w:rsidRDefault="000D1077" w:rsidP="00A821B8">
      <w:pPr>
        <w:tabs>
          <w:tab w:val="right" w:pos="2155"/>
        </w:tabs>
        <w:spacing w:after="80"/>
        <w:ind w:left="680"/>
        <w:rPr>
          <w:u w:val="single"/>
        </w:rPr>
      </w:pPr>
      <w:r w:rsidRPr="00A821B8">
        <w:rPr>
          <w:u w:val="single"/>
        </w:rPr>
        <w:tab/>
      </w:r>
    </w:p>
  </w:footnote>
  <w:footnote w:type="continuationNotice" w:id="1">
    <w:p w:rsidR="000D1077" w:rsidRPr="00AE2643" w:rsidRDefault="000D1077" w:rsidP="00AE2643">
      <w:pPr>
        <w:spacing w:line="240" w:lineRule="auto"/>
        <w:rPr>
          <w:sz w:val="2"/>
          <w:szCs w:val="2"/>
        </w:rPr>
      </w:pPr>
    </w:p>
  </w:footnote>
  <w:footnote w:id="2">
    <w:p w:rsidR="001F13AD" w:rsidRPr="001F13AD" w:rsidRDefault="001F13AD">
      <w:pPr>
        <w:pStyle w:val="FootnoteText"/>
      </w:pPr>
      <w:r>
        <w:tab/>
      </w:r>
      <w:r w:rsidRPr="001F13AD">
        <w:rPr>
          <w:rStyle w:val="FootnoteReference"/>
          <w:sz w:val="20"/>
          <w:vertAlign w:val="baseline"/>
        </w:rPr>
        <w:t>*</w:t>
      </w:r>
      <w:r>
        <w:rPr>
          <w:sz w:val="20"/>
        </w:rPr>
        <w:tab/>
      </w:r>
      <w:r w:rsidRPr="00500302">
        <w:rPr>
          <w:szCs w:val="18"/>
        </w:rPr>
        <w:t>Les membres du Comité dont le nom suit ont participé à l</w:t>
      </w:r>
      <w:r w:rsidR="006F6716" w:rsidRPr="00500302">
        <w:rPr>
          <w:szCs w:val="18"/>
        </w:rPr>
        <w:t>’</w:t>
      </w:r>
      <w:r w:rsidRPr="00500302">
        <w:rPr>
          <w:szCs w:val="18"/>
        </w:rPr>
        <w:t>examen de la communication</w:t>
      </w:r>
      <w:r w:rsidRPr="00500302">
        <w:rPr>
          <w:spacing w:val="-2"/>
          <w:szCs w:val="18"/>
        </w:rPr>
        <w:t xml:space="preserve">: </w:t>
      </w:r>
      <w:r w:rsidRPr="008F3711">
        <w:t>Yadh</w:t>
      </w:r>
      <w:r w:rsidR="00500302">
        <w:t> </w:t>
      </w:r>
      <w:r w:rsidRPr="008F3711">
        <w:t>Ben</w:t>
      </w:r>
      <w:r w:rsidR="00500302">
        <w:t> </w:t>
      </w:r>
      <w:r w:rsidRPr="008F3711">
        <w:t xml:space="preserve">Achour, Lazhari Bouzid, </w:t>
      </w:r>
      <w:r>
        <w:t xml:space="preserve">Christine Chanet, </w:t>
      </w:r>
      <w:r w:rsidRPr="008F3711">
        <w:t>Cornelis Flinterman, Yuji</w:t>
      </w:r>
      <w:r>
        <w:t> </w:t>
      </w:r>
      <w:r w:rsidRPr="008F3711">
        <w:t xml:space="preserve">Iwasawa, </w:t>
      </w:r>
      <w:r w:rsidRPr="00500302">
        <w:t>Walter</w:t>
      </w:r>
      <w:r w:rsidR="00500302" w:rsidRPr="00500302">
        <w:t> </w:t>
      </w:r>
      <w:r w:rsidRPr="00500302">
        <w:t>Kälin, Zonke Zanele Majodina, Gerald L. Neuman, Nigel Rodley, Víctor Manuel Rodríguez</w:t>
      </w:r>
      <w:r w:rsidR="00500302">
        <w:t> </w:t>
      </w:r>
      <w:r w:rsidRPr="00500302">
        <w:t>Rescia,</w:t>
      </w:r>
      <w:r w:rsidRPr="008F3711">
        <w:t xml:space="preserve"> </w:t>
      </w:r>
      <w:r w:rsidRPr="003C67F7">
        <w:t xml:space="preserve">Fabián Omar Salvioli, </w:t>
      </w:r>
      <w:r w:rsidRPr="008F3711">
        <w:t xml:space="preserve">Dheerujlall Seetulsingh, </w:t>
      </w:r>
      <w:r w:rsidRPr="003C67F7">
        <w:t xml:space="preserve">Anja Seibert-Fohr, Yuval Shany, </w:t>
      </w:r>
      <w:r w:rsidRPr="008F3711">
        <w:t xml:space="preserve">Konstantine Vardzelashvili, Margo Waterval </w:t>
      </w:r>
      <w:r>
        <w:t>et</w:t>
      </w:r>
      <w:r w:rsidRPr="008F3711">
        <w:t xml:space="preserve"> </w:t>
      </w:r>
      <w:r w:rsidRPr="003C67F7">
        <w:t>Andrei Paul Zlătescu.</w:t>
      </w:r>
    </w:p>
  </w:footnote>
  <w:footnote w:id="3">
    <w:p w:rsidR="001F13AD" w:rsidRDefault="001F13AD" w:rsidP="001F13AD">
      <w:pPr>
        <w:pStyle w:val="FootnoteText"/>
      </w:pPr>
      <w:r>
        <w:tab/>
      </w:r>
      <w:r>
        <w:rPr>
          <w:rStyle w:val="FootnoteReference"/>
        </w:rPr>
        <w:footnoteRef/>
      </w:r>
      <w:r>
        <w:tab/>
        <w:t>Le Protocole facultatif est entré en vigueur pour le Bélarus le 30 décembre 1992.</w:t>
      </w:r>
    </w:p>
  </w:footnote>
  <w:footnote w:id="4">
    <w:p w:rsidR="001F13AD" w:rsidRDefault="001F13AD" w:rsidP="006F6716">
      <w:pPr>
        <w:pStyle w:val="FootnoteText"/>
      </w:pPr>
      <w:r>
        <w:tab/>
      </w:r>
      <w:r>
        <w:rPr>
          <w:rStyle w:val="FootnoteReference"/>
        </w:rPr>
        <w:footnoteRef/>
      </w:r>
      <w:r>
        <w:tab/>
        <w:t>L</w:t>
      </w:r>
      <w:r w:rsidR="006F6716">
        <w:t>’</w:t>
      </w:r>
      <w:r>
        <w:t>auteur se réfère à l</w:t>
      </w:r>
      <w:r w:rsidR="006F6716">
        <w:t>’</w:t>
      </w:r>
      <w:r>
        <w:t xml:space="preserve">Observation générale </w:t>
      </w:r>
      <w:r w:rsidR="00850F40" w:rsidRPr="00C14D2A">
        <w:t>n</w:t>
      </w:r>
      <w:r w:rsidR="00850F40" w:rsidRPr="00C14D2A">
        <w:rPr>
          <w:vertAlign w:val="superscript"/>
        </w:rPr>
        <w:t>o</w:t>
      </w:r>
      <w:r w:rsidR="00850F40">
        <w:t> </w:t>
      </w:r>
      <w:r>
        <w:t>33 (2008) du Comité sur les obligations des États parties en vertu du Protocole facultatif se rapportant au Pacte international relatif aux droits civils et</w:t>
      </w:r>
      <w:r w:rsidR="00850F40">
        <w:t> </w:t>
      </w:r>
      <w:r>
        <w:t>politiques</w:t>
      </w:r>
      <w:r>
        <w:rPr>
          <w:bCs/>
        </w:rPr>
        <w:t>,</w:t>
      </w:r>
      <w:r>
        <w:t xml:space="preserve"> par. 11 à 13.</w:t>
      </w:r>
    </w:p>
  </w:footnote>
  <w:footnote w:id="5">
    <w:p w:rsidR="001F13AD" w:rsidRPr="002A6177" w:rsidRDefault="001F13AD" w:rsidP="001F13AD">
      <w:pPr>
        <w:pStyle w:val="FootnoteText"/>
      </w:pPr>
      <w:r>
        <w:tab/>
      </w:r>
      <w:r w:rsidRPr="002A6177">
        <w:rPr>
          <w:rStyle w:val="FootnoteReference"/>
        </w:rPr>
        <w:footnoteRef/>
      </w:r>
      <w:r w:rsidRPr="002A6177">
        <w:tab/>
        <w:t>Cour européenne des droits de l</w:t>
      </w:r>
      <w:r w:rsidR="006F6716">
        <w:t>’</w:t>
      </w:r>
      <w:r w:rsidRPr="002A6177">
        <w:t xml:space="preserve">homme, </w:t>
      </w:r>
      <w:r w:rsidRPr="002A6177">
        <w:rPr>
          <w:i/>
        </w:rPr>
        <w:t xml:space="preserve">Tumilovich </w:t>
      </w:r>
      <w:r w:rsidRPr="002A6177">
        <w:t>c.</w:t>
      </w:r>
      <w:r w:rsidRPr="002A6177">
        <w:rPr>
          <w:i/>
        </w:rPr>
        <w:t xml:space="preserve"> Russie</w:t>
      </w:r>
      <w:r w:rsidRPr="002A6177">
        <w:t>, requête n</w:t>
      </w:r>
      <w:r w:rsidRPr="002A6177">
        <w:rPr>
          <w:vertAlign w:val="superscript"/>
        </w:rPr>
        <w:t>o</w:t>
      </w:r>
      <w:r w:rsidRPr="002A6177">
        <w:t> </w:t>
      </w:r>
      <w:hyperlink r:id="rId1" w:anchor="{&quot;appno&quot;:[&quot;47033/99&quot;]}" w:tgtFrame="_blank" w:history="1">
        <w:r w:rsidRPr="00850F40">
          <w:rPr>
            <w:rStyle w:val="Hyperlink"/>
            <w:color w:val="auto"/>
          </w:rPr>
          <w:t>47033/99</w:t>
        </w:r>
      </w:hyperlink>
      <w:r w:rsidRPr="00850F40">
        <w:rPr>
          <w:rStyle w:val="Hyperlink"/>
          <w:color w:val="auto"/>
        </w:rPr>
        <w:t>, décision sur</w:t>
      </w:r>
      <w:r w:rsidR="00850F40">
        <w:rPr>
          <w:rStyle w:val="Hyperlink"/>
          <w:color w:val="auto"/>
        </w:rPr>
        <w:t> </w:t>
      </w:r>
      <w:r w:rsidRPr="00850F40">
        <w:rPr>
          <w:rStyle w:val="Hyperlink"/>
          <w:color w:val="auto"/>
        </w:rPr>
        <w:t>la</w:t>
      </w:r>
      <w:r w:rsidR="00850F40">
        <w:rPr>
          <w:rStyle w:val="Hyperlink"/>
          <w:color w:val="auto"/>
        </w:rPr>
        <w:t> </w:t>
      </w:r>
      <w:r w:rsidRPr="00850F40">
        <w:rPr>
          <w:rStyle w:val="Hyperlink"/>
          <w:color w:val="auto"/>
        </w:rPr>
        <w:t>recevabilité du</w:t>
      </w:r>
      <w:r w:rsidRPr="002A6177">
        <w:rPr>
          <w:rStyle w:val="Hyperlink"/>
        </w:rPr>
        <w:t xml:space="preserve"> </w:t>
      </w:r>
      <w:r w:rsidRPr="002A6177">
        <w:t>22 juin 1999.</w:t>
      </w:r>
    </w:p>
  </w:footnote>
  <w:footnote w:id="6">
    <w:p w:rsidR="001F13AD" w:rsidRDefault="001F13AD" w:rsidP="001F13AD">
      <w:pPr>
        <w:pStyle w:val="FootnoteText"/>
      </w:pPr>
      <w:r>
        <w:tab/>
      </w:r>
      <w:r>
        <w:rPr>
          <w:rStyle w:val="FootnoteReference"/>
        </w:rPr>
        <w:footnoteRef/>
      </w:r>
      <w:r>
        <w:tab/>
        <w:t xml:space="preserve">Voir la communication </w:t>
      </w:r>
      <w:r w:rsidRPr="00C14D2A">
        <w:t>n</w:t>
      </w:r>
      <w:r w:rsidRPr="00C14D2A">
        <w:rPr>
          <w:vertAlign w:val="superscript"/>
        </w:rPr>
        <w:t>o</w:t>
      </w:r>
      <w:r>
        <w:t xml:space="preserve"> 869/1999, </w:t>
      </w:r>
      <w:r>
        <w:rPr>
          <w:i/>
        </w:rPr>
        <w:t>Piandiong et consorts</w:t>
      </w:r>
      <w:r>
        <w:t xml:space="preserve"> c. </w:t>
      </w:r>
      <w:r>
        <w:rPr>
          <w:i/>
        </w:rPr>
        <w:t>Philippines</w:t>
      </w:r>
      <w:r>
        <w:t>, constatations adoptées le 19 octobre 2000, par. 5.1, et les</w:t>
      </w:r>
      <w:r w:rsidRPr="00861FFE">
        <w:t xml:space="preserve"> </w:t>
      </w:r>
      <w:r w:rsidRPr="001C308F">
        <w:rPr>
          <w:bCs/>
          <w:lang w:val="fr-FR"/>
        </w:rPr>
        <w:t xml:space="preserve">communications </w:t>
      </w:r>
      <w:r w:rsidR="00850F40" w:rsidRPr="00850F40">
        <w:rPr>
          <w:bCs/>
          <w:lang w:val="fr-FR"/>
        </w:rPr>
        <w:t>n</w:t>
      </w:r>
      <w:r w:rsidR="00850F40" w:rsidRPr="00850F40">
        <w:rPr>
          <w:bCs/>
          <w:vertAlign w:val="superscript"/>
          <w:lang w:val="fr-FR"/>
        </w:rPr>
        <w:t>o</w:t>
      </w:r>
      <w:r w:rsidR="00BE507A">
        <w:rPr>
          <w:bCs/>
          <w:vertAlign w:val="superscript"/>
          <w:lang w:val="fr-FR"/>
        </w:rPr>
        <w:t>s</w:t>
      </w:r>
      <w:r w:rsidR="00850F40">
        <w:rPr>
          <w:bCs/>
          <w:lang w:val="fr-FR"/>
        </w:rPr>
        <w:t> </w:t>
      </w:r>
      <w:r w:rsidRPr="00576821">
        <w:rPr>
          <w:bCs/>
        </w:rPr>
        <w:t xml:space="preserve">1867/2009, 1936/2010, 1975/2010, 1977/2010, 1978/2010, 1979/2010, 1980/2010, 1981/2010 </w:t>
      </w:r>
      <w:r>
        <w:rPr>
          <w:bCs/>
        </w:rPr>
        <w:t>et</w:t>
      </w:r>
      <w:r w:rsidRPr="00576821">
        <w:rPr>
          <w:bCs/>
        </w:rPr>
        <w:t xml:space="preserve"> 2010/2010</w:t>
      </w:r>
      <w:r>
        <w:rPr>
          <w:bCs/>
        </w:rPr>
        <w:t xml:space="preserve">, </w:t>
      </w:r>
      <w:r>
        <w:rPr>
          <w:bCs/>
          <w:i/>
        </w:rPr>
        <w:t xml:space="preserve">Levinov </w:t>
      </w:r>
      <w:r w:rsidRPr="0038786A">
        <w:rPr>
          <w:bCs/>
        </w:rPr>
        <w:t>c.</w:t>
      </w:r>
      <w:r>
        <w:rPr>
          <w:bCs/>
          <w:i/>
        </w:rPr>
        <w:t xml:space="preserve"> Bé</w:t>
      </w:r>
      <w:r w:rsidRPr="00334A1D">
        <w:rPr>
          <w:bCs/>
          <w:i/>
        </w:rPr>
        <w:t>larus</w:t>
      </w:r>
      <w:r>
        <w:rPr>
          <w:bCs/>
        </w:rPr>
        <w:t>, constatations adoptées le 19 juillet 2012, par. 8.2.</w:t>
      </w:r>
    </w:p>
  </w:footnote>
  <w:footnote w:id="7">
    <w:p w:rsidR="001F13AD" w:rsidRDefault="001F13AD" w:rsidP="001F13AD">
      <w:pPr>
        <w:pStyle w:val="FootnoteText"/>
      </w:pPr>
      <w:r>
        <w:tab/>
      </w:r>
      <w:r w:rsidRPr="00A0408D">
        <w:rPr>
          <w:rStyle w:val="FootnoteReference"/>
        </w:rPr>
        <w:footnoteRef/>
      </w:r>
      <w:r>
        <w:tab/>
        <w:t>Voir les</w:t>
      </w:r>
      <w:r w:rsidRPr="00861FFE">
        <w:t xml:space="preserve"> </w:t>
      </w:r>
      <w:r w:rsidRPr="001C308F">
        <w:rPr>
          <w:bCs/>
          <w:lang w:val="fr-FR"/>
        </w:rPr>
        <w:t>communications n</w:t>
      </w:r>
      <w:r>
        <w:rPr>
          <w:vertAlign w:val="superscript"/>
        </w:rPr>
        <w:t>os</w:t>
      </w:r>
      <w:r w:rsidRPr="001C308F">
        <w:rPr>
          <w:bCs/>
          <w:lang w:val="fr-FR"/>
        </w:rPr>
        <w:t> </w:t>
      </w:r>
      <w:r w:rsidRPr="00576821">
        <w:rPr>
          <w:bCs/>
        </w:rPr>
        <w:t xml:space="preserve">1867/2009, 1936/2010, 1975/2010, 1977/2010, 1978/2010, 1979/2010, 1980/2010, 1981/2010 </w:t>
      </w:r>
      <w:r>
        <w:rPr>
          <w:bCs/>
        </w:rPr>
        <w:t>et</w:t>
      </w:r>
      <w:r w:rsidRPr="00576821">
        <w:rPr>
          <w:bCs/>
        </w:rPr>
        <w:t xml:space="preserve"> 2010/2010</w:t>
      </w:r>
      <w:r>
        <w:rPr>
          <w:bCs/>
        </w:rPr>
        <w:t xml:space="preserve">, </w:t>
      </w:r>
      <w:r>
        <w:rPr>
          <w:bCs/>
          <w:i/>
        </w:rPr>
        <w:t xml:space="preserve">Levinov </w:t>
      </w:r>
      <w:r w:rsidRPr="0038786A">
        <w:rPr>
          <w:bCs/>
        </w:rPr>
        <w:t>c.</w:t>
      </w:r>
      <w:r>
        <w:rPr>
          <w:bCs/>
          <w:i/>
        </w:rPr>
        <w:t xml:space="preserve"> Bé</w:t>
      </w:r>
      <w:r w:rsidRPr="00334A1D">
        <w:rPr>
          <w:bCs/>
          <w:i/>
        </w:rPr>
        <w:t>larus</w:t>
      </w:r>
      <w:r>
        <w:rPr>
          <w:bCs/>
        </w:rPr>
        <w:t>, constatations adoptées le 19 juillet 2012, par. 8.2.</w:t>
      </w:r>
    </w:p>
  </w:footnote>
  <w:footnote w:id="8">
    <w:p w:rsidR="001F13AD" w:rsidRPr="00097F88" w:rsidRDefault="00850F40" w:rsidP="001F13AD">
      <w:pPr>
        <w:pStyle w:val="FootnoteText"/>
        <w:rPr>
          <w:lang w:val="fr-FR"/>
        </w:rPr>
      </w:pPr>
      <w:r>
        <w:rPr>
          <w:lang w:val="fr-FR"/>
        </w:rPr>
        <w:tab/>
      </w:r>
      <w:r w:rsidR="001F13AD">
        <w:rPr>
          <w:rStyle w:val="FootnoteReference"/>
        </w:rPr>
        <w:footnoteRef/>
      </w:r>
      <w:r>
        <w:rPr>
          <w:lang w:val="fr-FR"/>
        </w:rPr>
        <w:tab/>
      </w:r>
      <w:r w:rsidR="001F13AD" w:rsidRPr="0017278A">
        <w:rPr>
          <w:lang w:val="fr-FR"/>
        </w:rPr>
        <w:t xml:space="preserve">Voir, par exemple, les communications </w:t>
      </w:r>
      <w:r w:rsidRPr="00850F40">
        <w:rPr>
          <w:lang w:val="fr-FR"/>
        </w:rPr>
        <w:t>n</w:t>
      </w:r>
      <w:r w:rsidRPr="00850F40">
        <w:rPr>
          <w:vertAlign w:val="superscript"/>
          <w:lang w:val="fr-FR"/>
        </w:rPr>
        <w:t>o</w:t>
      </w:r>
      <w:r>
        <w:rPr>
          <w:lang w:val="fr-FR"/>
        </w:rPr>
        <w:t> </w:t>
      </w:r>
      <w:r w:rsidR="001F13AD" w:rsidRPr="0017278A">
        <w:rPr>
          <w:lang w:val="fr-FR"/>
        </w:rPr>
        <w:t xml:space="preserve">836/1998, </w:t>
      </w:r>
      <w:r w:rsidR="001F13AD" w:rsidRPr="0017278A">
        <w:rPr>
          <w:i/>
          <w:lang w:val="fr-FR"/>
        </w:rPr>
        <w:t>Gelazauskas </w:t>
      </w:r>
      <w:r w:rsidR="001F13AD">
        <w:rPr>
          <w:lang w:val="fr-FR"/>
        </w:rPr>
        <w:t>c</w:t>
      </w:r>
      <w:r w:rsidR="001F13AD" w:rsidRPr="0017278A">
        <w:rPr>
          <w:lang w:val="fr-FR"/>
        </w:rPr>
        <w:t>.</w:t>
      </w:r>
      <w:r w:rsidR="001F13AD" w:rsidRPr="0017278A">
        <w:rPr>
          <w:i/>
          <w:lang w:val="fr-FR"/>
        </w:rPr>
        <w:t xml:space="preserve"> Lituanie</w:t>
      </w:r>
      <w:r w:rsidR="001F13AD" w:rsidRPr="0017278A">
        <w:rPr>
          <w:lang w:val="fr-FR"/>
        </w:rPr>
        <w:t>, constatations adopt</w:t>
      </w:r>
      <w:r w:rsidR="001F13AD">
        <w:rPr>
          <w:lang w:val="fr-FR"/>
        </w:rPr>
        <w:t>é</w:t>
      </w:r>
      <w:r w:rsidR="001F13AD" w:rsidRPr="0017278A">
        <w:rPr>
          <w:lang w:val="fr-FR"/>
        </w:rPr>
        <w:t>es le 17</w:t>
      </w:r>
      <w:r>
        <w:rPr>
          <w:lang w:val="fr-FR"/>
        </w:rPr>
        <w:t> </w:t>
      </w:r>
      <w:r w:rsidR="001F13AD">
        <w:rPr>
          <w:lang w:val="fr-FR"/>
        </w:rPr>
        <w:t>mars</w:t>
      </w:r>
      <w:r w:rsidR="001F13AD" w:rsidRPr="0017278A">
        <w:rPr>
          <w:lang w:val="fr-FR"/>
        </w:rPr>
        <w:t xml:space="preserve"> 2003, </w:t>
      </w:r>
      <w:r w:rsidR="001F13AD">
        <w:rPr>
          <w:lang w:val="fr-FR"/>
        </w:rPr>
        <w:t>par</w:t>
      </w:r>
      <w:r>
        <w:rPr>
          <w:lang w:val="fr-FR"/>
        </w:rPr>
        <w:t>. </w:t>
      </w:r>
      <w:r w:rsidR="001F13AD" w:rsidRPr="0017278A">
        <w:t xml:space="preserve">7.4; </w:t>
      </w:r>
      <w:r w:rsidRPr="00850F40">
        <w:rPr>
          <w:lang w:val="fr-FR"/>
        </w:rPr>
        <w:t>n</w:t>
      </w:r>
      <w:r w:rsidRPr="00850F40">
        <w:rPr>
          <w:vertAlign w:val="superscript"/>
          <w:lang w:val="fr-FR"/>
        </w:rPr>
        <w:t>o</w:t>
      </w:r>
      <w:r>
        <w:rPr>
          <w:lang w:val="fr-FR"/>
        </w:rPr>
        <w:t> </w:t>
      </w:r>
      <w:r w:rsidR="001F13AD" w:rsidRPr="0017278A">
        <w:rPr>
          <w:szCs w:val="18"/>
        </w:rPr>
        <w:t xml:space="preserve">1873/2009, </w:t>
      </w:r>
      <w:r w:rsidR="001F13AD" w:rsidRPr="0017278A">
        <w:rPr>
          <w:i/>
          <w:szCs w:val="18"/>
        </w:rPr>
        <w:t xml:space="preserve">Alekseev </w:t>
      </w:r>
      <w:r w:rsidR="001F13AD">
        <w:rPr>
          <w:szCs w:val="18"/>
        </w:rPr>
        <w:t>c</w:t>
      </w:r>
      <w:r w:rsidR="001F13AD" w:rsidRPr="0017278A">
        <w:rPr>
          <w:szCs w:val="18"/>
        </w:rPr>
        <w:t>.</w:t>
      </w:r>
      <w:r w:rsidR="001F13AD" w:rsidRPr="0017278A">
        <w:rPr>
          <w:i/>
          <w:szCs w:val="18"/>
        </w:rPr>
        <w:t xml:space="preserve"> </w:t>
      </w:r>
      <w:r w:rsidR="001F13AD">
        <w:rPr>
          <w:i/>
          <w:szCs w:val="18"/>
        </w:rPr>
        <w:t>Fédération de Russie</w:t>
      </w:r>
      <w:r w:rsidR="001F13AD" w:rsidRPr="0017278A">
        <w:rPr>
          <w:szCs w:val="18"/>
        </w:rPr>
        <w:t xml:space="preserve">, </w:t>
      </w:r>
      <w:r w:rsidR="001F13AD" w:rsidRPr="0017278A">
        <w:rPr>
          <w:lang w:val="fr-FR"/>
        </w:rPr>
        <w:t>constatations adopt</w:t>
      </w:r>
      <w:r w:rsidR="001F13AD">
        <w:rPr>
          <w:lang w:val="fr-FR"/>
        </w:rPr>
        <w:t>é</w:t>
      </w:r>
      <w:r w:rsidR="001F13AD" w:rsidRPr="0017278A">
        <w:rPr>
          <w:lang w:val="fr-FR"/>
        </w:rPr>
        <w:t>es le</w:t>
      </w:r>
      <w:r>
        <w:rPr>
          <w:lang w:val="fr-FR"/>
        </w:rPr>
        <w:t> </w:t>
      </w:r>
      <w:r w:rsidR="001F13AD" w:rsidRPr="0017278A">
        <w:rPr>
          <w:szCs w:val="18"/>
        </w:rPr>
        <w:t>25</w:t>
      </w:r>
      <w:r>
        <w:rPr>
          <w:szCs w:val="18"/>
        </w:rPr>
        <w:t> </w:t>
      </w:r>
      <w:r w:rsidR="001F13AD">
        <w:rPr>
          <w:szCs w:val="18"/>
        </w:rPr>
        <w:t>octobre 2013, par</w:t>
      </w:r>
      <w:r>
        <w:rPr>
          <w:szCs w:val="18"/>
        </w:rPr>
        <w:t>. </w:t>
      </w:r>
      <w:r w:rsidR="001F13AD" w:rsidRPr="00862092">
        <w:rPr>
          <w:szCs w:val="18"/>
          <w:lang w:val="fr-FR"/>
        </w:rPr>
        <w:t xml:space="preserve">8.4; </w:t>
      </w:r>
      <w:r w:rsidRPr="00850F40">
        <w:rPr>
          <w:lang w:val="fr-FR"/>
        </w:rPr>
        <w:t>n</w:t>
      </w:r>
      <w:r w:rsidRPr="00850F40">
        <w:rPr>
          <w:vertAlign w:val="superscript"/>
          <w:lang w:val="fr-FR"/>
        </w:rPr>
        <w:t>o</w:t>
      </w:r>
      <w:r>
        <w:rPr>
          <w:lang w:val="fr-FR"/>
        </w:rPr>
        <w:t> </w:t>
      </w:r>
      <w:r w:rsidR="001F13AD" w:rsidRPr="00862092">
        <w:rPr>
          <w:lang w:val="fr-FR"/>
        </w:rPr>
        <w:t xml:space="preserve">1851/2008, </w:t>
      </w:r>
      <w:r w:rsidR="001F13AD" w:rsidRPr="00862092">
        <w:rPr>
          <w:i/>
          <w:lang w:val="fr-FR"/>
        </w:rPr>
        <w:t xml:space="preserve">Sekerko </w:t>
      </w:r>
      <w:r w:rsidR="001F13AD">
        <w:rPr>
          <w:lang w:val="fr-FR"/>
        </w:rPr>
        <w:t>c</w:t>
      </w:r>
      <w:r w:rsidR="001F13AD" w:rsidRPr="00862092">
        <w:rPr>
          <w:lang w:val="fr-FR"/>
        </w:rPr>
        <w:t xml:space="preserve">. </w:t>
      </w:r>
      <w:r w:rsidR="001F13AD">
        <w:rPr>
          <w:i/>
          <w:lang w:val="fr-FR"/>
        </w:rPr>
        <w:t>Bé</w:t>
      </w:r>
      <w:r w:rsidR="001F13AD" w:rsidRPr="00862092">
        <w:rPr>
          <w:i/>
          <w:lang w:val="fr-FR"/>
        </w:rPr>
        <w:t>larus</w:t>
      </w:r>
      <w:r w:rsidR="001F13AD" w:rsidRPr="00862092">
        <w:rPr>
          <w:lang w:val="fr-FR"/>
        </w:rPr>
        <w:t xml:space="preserve">, </w:t>
      </w:r>
      <w:r w:rsidR="001F13AD" w:rsidRPr="0017278A">
        <w:rPr>
          <w:lang w:val="fr-FR"/>
        </w:rPr>
        <w:t>constatations adopt</w:t>
      </w:r>
      <w:r w:rsidR="001F13AD">
        <w:rPr>
          <w:lang w:val="fr-FR"/>
        </w:rPr>
        <w:t>é</w:t>
      </w:r>
      <w:r w:rsidR="001F13AD" w:rsidRPr="0017278A">
        <w:rPr>
          <w:lang w:val="fr-FR"/>
        </w:rPr>
        <w:t xml:space="preserve">es le </w:t>
      </w:r>
      <w:r w:rsidR="001F13AD" w:rsidRPr="00862092">
        <w:rPr>
          <w:lang w:val="fr-FR"/>
        </w:rPr>
        <w:t>28</w:t>
      </w:r>
      <w:r>
        <w:rPr>
          <w:lang w:val="fr-FR"/>
        </w:rPr>
        <w:t> </w:t>
      </w:r>
      <w:r w:rsidR="001F13AD">
        <w:rPr>
          <w:lang w:val="fr-FR"/>
        </w:rPr>
        <w:t>octobre</w:t>
      </w:r>
      <w:r w:rsidR="001F13AD" w:rsidRPr="00862092">
        <w:rPr>
          <w:lang w:val="fr-FR"/>
        </w:rPr>
        <w:t xml:space="preserve"> 2013, </w:t>
      </w:r>
      <w:r w:rsidR="001F13AD">
        <w:rPr>
          <w:lang w:val="fr-FR"/>
        </w:rPr>
        <w:t>par</w:t>
      </w:r>
      <w:r>
        <w:rPr>
          <w:lang w:val="fr-FR"/>
        </w:rPr>
        <w:t xml:space="preserve">. 8.3; </w:t>
      </w:r>
      <w:r w:rsidRPr="00850F40">
        <w:rPr>
          <w:lang w:val="fr-FR"/>
        </w:rPr>
        <w:t>n</w:t>
      </w:r>
      <w:r w:rsidRPr="00850F40">
        <w:rPr>
          <w:vertAlign w:val="superscript"/>
          <w:lang w:val="fr-FR"/>
        </w:rPr>
        <w:t>o</w:t>
      </w:r>
      <w:r>
        <w:rPr>
          <w:lang w:val="fr-FR"/>
        </w:rPr>
        <w:t> </w:t>
      </w:r>
      <w:r w:rsidR="001F13AD" w:rsidRPr="00862092">
        <w:rPr>
          <w:lang w:val="fr-FR"/>
        </w:rPr>
        <w:t xml:space="preserve">1919-1920/2009, </w:t>
      </w:r>
      <w:r w:rsidR="001F13AD" w:rsidRPr="00862092">
        <w:rPr>
          <w:i/>
          <w:lang w:val="fr-FR"/>
        </w:rPr>
        <w:t xml:space="preserve">Protsko </w:t>
      </w:r>
      <w:r w:rsidR="001F13AD">
        <w:rPr>
          <w:i/>
          <w:lang w:val="fr-FR"/>
        </w:rPr>
        <w:t>et</w:t>
      </w:r>
      <w:r w:rsidR="001F13AD" w:rsidRPr="00862092">
        <w:rPr>
          <w:i/>
          <w:lang w:val="fr-FR"/>
        </w:rPr>
        <w:t xml:space="preserve"> Tolchin </w:t>
      </w:r>
      <w:r w:rsidR="001F13AD">
        <w:rPr>
          <w:lang w:val="fr-FR"/>
        </w:rPr>
        <w:t>c.</w:t>
      </w:r>
      <w:r w:rsidR="001F13AD">
        <w:rPr>
          <w:i/>
          <w:lang w:val="fr-FR"/>
        </w:rPr>
        <w:t xml:space="preserve"> Bé</w:t>
      </w:r>
      <w:r w:rsidR="001F13AD" w:rsidRPr="00862092">
        <w:rPr>
          <w:i/>
          <w:lang w:val="fr-FR"/>
        </w:rPr>
        <w:t>larus</w:t>
      </w:r>
      <w:r w:rsidR="001F13AD" w:rsidRPr="00862092">
        <w:rPr>
          <w:lang w:val="fr-FR"/>
        </w:rPr>
        <w:t xml:space="preserve">, </w:t>
      </w:r>
      <w:r w:rsidR="001F13AD" w:rsidRPr="0017278A">
        <w:rPr>
          <w:lang w:val="fr-FR"/>
        </w:rPr>
        <w:t>constatations adopt</w:t>
      </w:r>
      <w:r w:rsidR="001F13AD">
        <w:rPr>
          <w:lang w:val="fr-FR"/>
        </w:rPr>
        <w:t>é</w:t>
      </w:r>
      <w:r w:rsidR="001F13AD" w:rsidRPr="0017278A">
        <w:rPr>
          <w:lang w:val="fr-FR"/>
        </w:rPr>
        <w:t xml:space="preserve">es le </w:t>
      </w:r>
      <w:r w:rsidR="001F13AD" w:rsidRPr="00862092">
        <w:rPr>
          <w:lang w:val="fr-FR"/>
        </w:rPr>
        <w:t>1</w:t>
      </w:r>
      <w:r w:rsidR="001F13AD" w:rsidRPr="00B92A9C">
        <w:rPr>
          <w:vertAlign w:val="superscript"/>
          <w:lang w:val="fr-FR"/>
        </w:rPr>
        <w:t>er</w:t>
      </w:r>
      <w:r>
        <w:rPr>
          <w:lang w:val="fr-FR"/>
        </w:rPr>
        <w:t> </w:t>
      </w:r>
      <w:r w:rsidR="001F13AD">
        <w:rPr>
          <w:lang w:val="fr-FR"/>
        </w:rPr>
        <w:t>novembre</w:t>
      </w:r>
      <w:r w:rsidR="001F13AD" w:rsidRPr="00862092">
        <w:rPr>
          <w:lang w:val="fr-FR"/>
        </w:rPr>
        <w:t xml:space="preserve"> 2013, </w:t>
      </w:r>
      <w:r w:rsidR="001F13AD">
        <w:rPr>
          <w:lang w:val="fr-FR"/>
        </w:rPr>
        <w:t>par</w:t>
      </w:r>
      <w:r>
        <w:rPr>
          <w:lang w:val="fr-FR"/>
        </w:rPr>
        <w:t>. </w:t>
      </w:r>
      <w:r w:rsidR="001F13AD" w:rsidRPr="00862092">
        <w:rPr>
          <w:lang w:val="fr-FR"/>
        </w:rPr>
        <w:t xml:space="preserve">6.5; </w:t>
      </w:r>
      <w:r w:rsidRPr="00850F40">
        <w:rPr>
          <w:lang w:val="fr-FR"/>
        </w:rPr>
        <w:t>n</w:t>
      </w:r>
      <w:r w:rsidRPr="00850F40">
        <w:rPr>
          <w:vertAlign w:val="superscript"/>
          <w:lang w:val="fr-FR"/>
        </w:rPr>
        <w:t>o</w:t>
      </w:r>
      <w:r>
        <w:rPr>
          <w:lang w:val="fr-FR"/>
        </w:rPr>
        <w:t> </w:t>
      </w:r>
      <w:r w:rsidR="001F13AD" w:rsidRPr="00862092">
        <w:rPr>
          <w:szCs w:val="18"/>
          <w:lang w:val="fr-FR"/>
        </w:rPr>
        <w:t xml:space="preserve">1784/2008, </w:t>
      </w:r>
      <w:r w:rsidR="001F13AD" w:rsidRPr="00862092">
        <w:rPr>
          <w:i/>
          <w:szCs w:val="18"/>
          <w:lang w:val="fr-FR"/>
        </w:rPr>
        <w:t xml:space="preserve">Schumilin </w:t>
      </w:r>
      <w:r w:rsidR="001F13AD">
        <w:rPr>
          <w:szCs w:val="18"/>
          <w:lang w:val="fr-FR"/>
        </w:rPr>
        <w:t>c</w:t>
      </w:r>
      <w:r w:rsidR="001F13AD" w:rsidRPr="00862092">
        <w:rPr>
          <w:szCs w:val="18"/>
          <w:lang w:val="fr-FR"/>
        </w:rPr>
        <w:t>.</w:t>
      </w:r>
      <w:r w:rsidR="001F13AD">
        <w:rPr>
          <w:i/>
          <w:szCs w:val="18"/>
          <w:lang w:val="fr-FR"/>
        </w:rPr>
        <w:t xml:space="preserve"> Bé</w:t>
      </w:r>
      <w:r w:rsidR="001F13AD" w:rsidRPr="00862092">
        <w:rPr>
          <w:i/>
          <w:szCs w:val="18"/>
          <w:lang w:val="fr-FR"/>
        </w:rPr>
        <w:t>larus</w:t>
      </w:r>
      <w:r w:rsidR="001F13AD" w:rsidRPr="00862092">
        <w:rPr>
          <w:szCs w:val="18"/>
          <w:lang w:val="fr-FR"/>
        </w:rPr>
        <w:t xml:space="preserve">, </w:t>
      </w:r>
      <w:r w:rsidR="001F13AD" w:rsidRPr="0017278A">
        <w:rPr>
          <w:lang w:val="fr-FR"/>
        </w:rPr>
        <w:t>constatations adopt</w:t>
      </w:r>
      <w:r w:rsidR="001F13AD">
        <w:rPr>
          <w:lang w:val="fr-FR"/>
        </w:rPr>
        <w:t>é</w:t>
      </w:r>
      <w:r w:rsidR="001F13AD" w:rsidRPr="0017278A">
        <w:rPr>
          <w:lang w:val="fr-FR"/>
        </w:rPr>
        <w:t xml:space="preserve">es le </w:t>
      </w:r>
      <w:r w:rsidR="001F13AD" w:rsidRPr="00862092">
        <w:rPr>
          <w:szCs w:val="18"/>
          <w:lang w:val="fr-FR"/>
        </w:rPr>
        <w:t>23</w:t>
      </w:r>
      <w:r>
        <w:rPr>
          <w:szCs w:val="18"/>
          <w:lang w:val="fr-FR"/>
        </w:rPr>
        <w:t> </w:t>
      </w:r>
      <w:r w:rsidR="001F13AD">
        <w:rPr>
          <w:szCs w:val="18"/>
          <w:lang w:val="fr-FR"/>
        </w:rPr>
        <w:t>juillet 2012, par</w:t>
      </w:r>
      <w:r>
        <w:rPr>
          <w:szCs w:val="18"/>
          <w:lang w:val="fr-FR"/>
        </w:rPr>
        <w:t>. </w:t>
      </w:r>
      <w:r w:rsidR="001F13AD" w:rsidRPr="00862092">
        <w:rPr>
          <w:szCs w:val="18"/>
          <w:lang w:val="fr-FR"/>
        </w:rPr>
        <w:t xml:space="preserve">8.3; </w:t>
      </w:r>
      <w:r w:rsidRPr="00850F40">
        <w:rPr>
          <w:lang w:val="fr-FR"/>
        </w:rPr>
        <w:t>n</w:t>
      </w:r>
      <w:r w:rsidRPr="00850F40">
        <w:rPr>
          <w:vertAlign w:val="superscript"/>
          <w:lang w:val="fr-FR"/>
        </w:rPr>
        <w:t>o</w:t>
      </w:r>
      <w:r>
        <w:rPr>
          <w:lang w:val="fr-FR"/>
        </w:rPr>
        <w:t> </w:t>
      </w:r>
      <w:r w:rsidR="001F13AD" w:rsidRPr="00862092">
        <w:rPr>
          <w:szCs w:val="18"/>
          <w:lang w:val="fr-FR"/>
        </w:rPr>
        <w:t xml:space="preserve">1814/2008, </w:t>
      </w:r>
      <w:r w:rsidR="001F13AD" w:rsidRPr="00862092">
        <w:rPr>
          <w:i/>
          <w:szCs w:val="18"/>
          <w:lang w:val="fr-FR"/>
        </w:rPr>
        <w:t>P.</w:t>
      </w:r>
      <w:r w:rsidR="00DD7420">
        <w:rPr>
          <w:i/>
          <w:szCs w:val="18"/>
          <w:lang w:val="fr-FR"/>
        </w:rPr>
        <w:t xml:space="preserve"> </w:t>
      </w:r>
      <w:r w:rsidR="001F13AD" w:rsidRPr="00862092">
        <w:rPr>
          <w:i/>
          <w:szCs w:val="18"/>
          <w:lang w:val="fr-FR"/>
        </w:rPr>
        <w:t>L.</w:t>
      </w:r>
      <w:r w:rsidR="001F13AD" w:rsidRPr="00862092">
        <w:rPr>
          <w:szCs w:val="18"/>
          <w:lang w:val="fr-FR"/>
        </w:rPr>
        <w:t> </w:t>
      </w:r>
      <w:r w:rsidR="001F13AD">
        <w:rPr>
          <w:szCs w:val="18"/>
          <w:lang w:val="fr-FR"/>
        </w:rPr>
        <w:t>c</w:t>
      </w:r>
      <w:r w:rsidR="001F13AD" w:rsidRPr="00862092">
        <w:rPr>
          <w:szCs w:val="18"/>
          <w:lang w:val="fr-FR"/>
        </w:rPr>
        <w:t>.</w:t>
      </w:r>
      <w:r w:rsidR="001F13AD">
        <w:rPr>
          <w:i/>
          <w:szCs w:val="18"/>
          <w:lang w:val="fr-FR"/>
        </w:rPr>
        <w:t xml:space="preserve"> Bé</w:t>
      </w:r>
      <w:r w:rsidR="001F13AD" w:rsidRPr="00862092">
        <w:rPr>
          <w:i/>
          <w:szCs w:val="18"/>
          <w:lang w:val="fr-FR"/>
        </w:rPr>
        <w:t>larus</w:t>
      </w:r>
      <w:r w:rsidR="001F13AD" w:rsidRPr="00862092">
        <w:rPr>
          <w:szCs w:val="18"/>
          <w:lang w:val="fr-FR"/>
        </w:rPr>
        <w:t xml:space="preserve">, </w:t>
      </w:r>
      <w:r w:rsidR="001F13AD">
        <w:rPr>
          <w:szCs w:val="18"/>
          <w:lang w:val="fr-FR"/>
        </w:rPr>
        <w:t>décision adoptée le</w:t>
      </w:r>
      <w:r w:rsidR="001F13AD" w:rsidRPr="00862092">
        <w:rPr>
          <w:szCs w:val="18"/>
          <w:lang w:val="fr-FR"/>
        </w:rPr>
        <w:t xml:space="preserve"> 26</w:t>
      </w:r>
      <w:r w:rsidR="00DD7420">
        <w:rPr>
          <w:szCs w:val="18"/>
          <w:lang w:val="fr-FR"/>
        </w:rPr>
        <w:t> </w:t>
      </w:r>
      <w:r w:rsidR="001F13AD">
        <w:rPr>
          <w:szCs w:val="18"/>
          <w:lang w:val="fr-FR"/>
        </w:rPr>
        <w:t>juillet 2011, par</w:t>
      </w:r>
      <w:r w:rsidR="001F13AD" w:rsidRPr="00862092">
        <w:rPr>
          <w:szCs w:val="18"/>
          <w:lang w:val="fr-FR"/>
        </w:rPr>
        <w:t>.</w:t>
      </w:r>
      <w:r>
        <w:rPr>
          <w:szCs w:val="18"/>
          <w:lang w:val="fr-FR"/>
        </w:rPr>
        <w:t> </w:t>
      </w:r>
      <w:r w:rsidR="001F13AD" w:rsidRPr="00097F88">
        <w:rPr>
          <w:szCs w:val="18"/>
          <w:lang w:val="fr-FR"/>
        </w:rPr>
        <w:t>6.2.</w:t>
      </w:r>
    </w:p>
    <w:p w:rsidR="001F13AD" w:rsidRPr="00097F88" w:rsidRDefault="001F13AD" w:rsidP="001F13AD">
      <w:pPr>
        <w:pStyle w:val="FootnoteText"/>
        <w:rPr>
          <w:lang w:val="fr-FR"/>
        </w:rPr>
      </w:pPr>
    </w:p>
  </w:footnote>
  <w:footnote w:id="9">
    <w:p w:rsidR="001F13AD" w:rsidRDefault="001F13AD" w:rsidP="001F13AD">
      <w:pPr>
        <w:pStyle w:val="FootnoteText"/>
        <w:ind w:hanging="141"/>
      </w:pPr>
      <w:r>
        <w:tab/>
      </w:r>
      <w:r>
        <w:rPr>
          <w:rStyle w:val="FootnoteReference"/>
        </w:rPr>
        <w:footnoteRef/>
      </w:r>
      <w:r>
        <w:tab/>
        <w:t xml:space="preserve">Voir les communications </w:t>
      </w:r>
      <w:r w:rsidRPr="00C14D2A">
        <w:t>n</w:t>
      </w:r>
      <w:r w:rsidRPr="00C14D2A">
        <w:rPr>
          <w:vertAlign w:val="superscript"/>
        </w:rPr>
        <w:t>o</w:t>
      </w:r>
      <w:r>
        <w:t xml:space="preserve"> 2202/2012, </w:t>
      </w:r>
      <w:r w:rsidRPr="008A4B3D">
        <w:rPr>
          <w:i/>
        </w:rPr>
        <w:t>Castañeda</w:t>
      </w:r>
      <w:r>
        <w:t xml:space="preserve"> c. </w:t>
      </w:r>
      <w:r w:rsidRPr="008A4B3D">
        <w:rPr>
          <w:i/>
        </w:rPr>
        <w:t>Mexique</w:t>
      </w:r>
      <w:r>
        <w:t xml:space="preserve">, décision adoptée le 29 août 2013, par. 6.8, </w:t>
      </w:r>
      <w:r w:rsidRPr="00C14D2A">
        <w:t>n</w:t>
      </w:r>
      <w:r w:rsidRPr="00C14D2A">
        <w:rPr>
          <w:vertAlign w:val="superscript"/>
        </w:rPr>
        <w:t>o</w:t>
      </w:r>
      <w:r>
        <w:t xml:space="preserve"> 1834/2008, </w:t>
      </w:r>
      <w:r w:rsidRPr="008A4B3D">
        <w:rPr>
          <w:i/>
        </w:rPr>
        <w:t>A. P.</w:t>
      </w:r>
      <w:r>
        <w:t xml:space="preserve"> c. </w:t>
      </w:r>
      <w:r w:rsidRPr="008A4B3D">
        <w:rPr>
          <w:i/>
        </w:rPr>
        <w:t>Ukraine</w:t>
      </w:r>
      <w:r>
        <w:t xml:space="preserve">, décision adoptée le 23 juillet 2012, par. 8.5, et </w:t>
      </w:r>
      <w:r w:rsidRPr="00C14D2A">
        <w:t>n</w:t>
      </w:r>
      <w:r w:rsidRPr="00C14D2A">
        <w:rPr>
          <w:vertAlign w:val="superscript"/>
        </w:rPr>
        <w:t>o</w:t>
      </w:r>
      <w:r>
        <w:t xml:space="preserve"> 1887/2009, </w:t>
      </w:r>
      <w:r w:rsidRPr="008A4B3D">
        <w:rPr>
          <w:i/>
        </w:rPr>
        <w:t>Peirano Basso</w:t>
      </w:r>
      <w:r>
        <w:t xml:space="preserve"> c. </w:t>
      </w:r>
      <w:r w:rsidRPr="008A4B3D">
        <w:rPr>
          <w:i/>
        </w:rPr>
        <w:t>Uruguay</w:t>
      </w:r>
      <w:r>
        <w:t>, constatations adoptées le 19 octobre 2010, par. 9.4.</w:t>
      </w:r>
    </w:p>
  </w:footnote>
  <w:footnote w:id="10">
    <w:p w:rsidR="001F13AD" w:rsidRDefault="001F13AD" w:rsidP="001F13AD">
      <w:pPr>
        <w:pStyle w:val="FootnoteText"/>
      </w:pPr>
      <w:r>
        <w:tab/>
      </w:r>
      <w:r>
        <w:rPr>
          <w:rStyle w:val="FootnoteReference"/>
        </w:rPr>
        <w:footnoteRef/>
      </w:r>
      <w:r w:rsidRPr="001039FE">
        <w:rPr>
          <w:lang w:val="fr-FR"/>
        </w:rPr>
        <w:tab/>
        <w:t xml:space="preserve">Voir également la communication </w:t>
      </w:r>
      <w:r w:rsidRPr="00C14D2A">
        <w:t>n</w:t>
      </w:r>
      <w:r w:rsidRPr="00C14D2A">
        <w:rPr>
          <w:vertAlign w:val="superscript"/>
        </w:rPr>
        <w:t>o</w:t>
      </w:r>
      <w:r>
        <w:t> </w:t>
      </w:r>
      <w:r w:rsidRPr="001039FE">
        <w:rPr>
          <w:lang w:val="fr-FR"/>
        </w:rPr>
        <w:t xml:space="preserve">1851/2008, </w:t>
      </w:r>
      <w:r w:rsidRPr="001039FE">
        <w:rPr>
          <w:i/>
          <w:lang w:val="fr-FR"/>
        </w:rPr>
        <w:t>Sekerko</w:t>
      </w:r>
      <w:r w:rsidRPr="001039FE">
        <w:rPr>
          <w:lang w:val="fr-FR"/>
        </w:rPr>
        <w:t xml:space="preserve"> </w:t>
      </w:r>
      <w:r>
        <w:rPr>
          <w:lang w:val="fr-FR"/>
        </w:rPr>
        <w:t>c</w:t>
      </w:r>
      <w:r w:rsidRPr="001039FE">
        <w:rPr>
          <w:lang w:val="fr-FR"/>
        </w:rPr>
        <w:t>.</w:t>
      </w:r>
      <w:r>
        <w:rPr>
          <w:i/>
          <w:lang w:val="fr-FR"/>
        </w:rPr>
        <w:t xml:space="preserve"> Bé</w:t>
      </w:r>
      <w:r w:rsidRPr="001039FE">
        <w:rPr>
          <w:i/>
          <w:lang w:val="fr-FR"/>
        </w:rPr>
        <w:t>larus</w:t>
      </w:r>
      <w:r w:rsidRPr="001039FE">
        <w:rPr>
          <w:lang w:val="fr-FR"/>
        </w:rPr>
        <w:t xml:space="preserve">, </w:t>
      </w:r>
      <w:r>
        <w:rPr>
          <w:lang w:val="fr-FR"/>
        </w:rPr>
        <w:t>constatations adoptées le</w:t>
      </w:r>
      <w:r w:rsidRPr="001039FE">
        <w:rPr>
          <w:lang w:val="fr-FR"/>
        </w:rPr>
        <w:t xml:space="preserve"> 28</w:t>
      </w:r>
      <w:r w:rsidR="00DD7420">
        <w:rPr>
          <w:lang w:val="fr-FR"/>
        </w:rPr>
        <w:t> </w:t>
      </w:r>
      <w:r>
        <w:rPr>
          <w:lang w:val="fr-FR"/>
        </w:rPr>
        <w:t>octobre 2013, par</w:t>
      </w:r>
      <w:r w:rsidRPr="001039FE">
        <w:rPr>
          <w:lang w:val="fr-FR"/>
        </w:rPr>
        <w:t>. </w:t>
      </w:r>
      <w:r>
        <w:t>9.6, et l</w:t>
      </w:r>
      <w:r w:rsidR="006F6716">
        <w:t>’</w:t>
      </w:r>
      <w:r>
        <w:t xml:space="preserve">Observation générale du Comité </w:t>
      </w:r>
      <w:r w:rsidRPr="00C14D2A">
        <w:t>n</w:t>
      </w:r>
      <w:r w:rsidRPr="00C14D2A">
        <w:rPr>
          <w:vertAlign w:val="superscript"/>
        </w:rPr>
        <w:t>o</w:t>
      </w:r>
      <w:r>
        <w:t> 34 (2011) sur l</w:t>
      </w:r>
      <w:r w:rsidR="006F6716">
        <w:t>’</w:t>
      </w:r>
      <w:r>
        <w:t>article</w:t>
      </w:r>
      <w:r w:rsidR="00DD7420">
        <w:t> </w:t>
      </w:r>
      <w:r>
        <w:t>19: la liberté d</w:t>
      </w:r>
      <w:r w:rsidR="006F6716">
        <w:t>’</w:t>
      </w:r>
      <w:r>
        <w:t>opinion et la liberté d</w:t>
      </w:r>
      <w:r w:rsidR="006F6716">
        <w:t>’</w:t>
      </w:r>
      <w:r>
        <w:t>expression, par. 34.</w:t>
      </w:r>
    </w:p>
  </w:footnote>
  <w:footnote w:id="11">
    <w:p w:rsidR="001F13AD" w:rsidRPr="00BE2AF1" w:rsidRDefault="001F13AD" w:rsidP="001F13AD">
      <w:pPr>
        <w:pStyle w:val="FootnoteText"/>
      </w:pPr>
      <w:r>
        <w:tab/>
      </w:r>
      <w:r w:rsidRPr="000C3F20">
        <w:rPr>
          <w:rStyle w:val="FootnoteReference"/>
        </w:rPr>
        <w:footnoteRef/>
      </w:r>
      <w:r>
        <w:tab/>
        <w:t>Voir l</w:t>
      </w:r>
      <w:r w:rsidR="006F6716">
        <w:t>’</w:t>
      </w:r>
      <w:r>
        <w:t xml:space="preserve">Observation générale du Comité </w:t>
      </w:r>
      <w:r w:rsidRPr="00C14D2A">
        <w:t>n</w:t>
      </w:r>
      <w:r w:rsidRPr="00C14D2A">
        <w:rPr>
          <w:vertAlign w:val="superscript"/>
        </w:rPr>
        <w:t>o</w:t>
      </w:r>
      <w:r>
        <w:t> 34 (2011) sur l</w:t>
      </w:r>
      <w:r w:rsidR="006F6716">
        <w:t>’</w:t>
      </w:r>
      <w:r>
        <w:t>article 19: la liberté d</w:t>
      </w:r>
      <w:r w:rsidR="006F6716">
        <w:t>’</w:t>
      </w:r>
      <w:r>
        <w:t>opinion et la liberté d</w:t>
      </w:r>
      <w:r w:rsidR="006F6716">
        <w:t>’</w:t>
      </w:r>
      <w:r>
        <w:t>expression, par. 34.</w:t>
      </w:r>
    </w:p>
  </w:footnote>
  <w:footnote w:id="12">
    <w:p w:rsidR="001F13AD" w:rsidRPr="00F2485D" w:rsidRDefault="001F13AD" w:rsidP="001F13AD">
      <w:pPr>
        <w:pStyle w:val="FootnoteText"/>
      </w:pPr>
      <w:r>
        <w:tab/>
      </w:r>
      <w:r w:rsidRPr="00A0408D">
        <w:rPr>
          <w:rStyle w:val="FootnoteReference"/>
        </w:rPr>
        <w:footnoteRef/>
      </w:r>
      <w:r>
        <w:tab/>
        <w:t xml:space="preserve">Voir la communication </w:t>
      </w:r>
      <w:r w:rsidRPr="00C14D2A">
        <w:t>n</w:t>
      </w:r>
      <w:r w:rsidRPr="00C14D2A">
        <w:rPr>
          <w:vertAlign w:val="superscript"/>
        </w:rPr>
        <w:t>o</w:t>
      </w:r>
      <w:r>
        <w:t xml:space="preserve"> 1604/2007, </w:t>
      </w:r>
      <w:r w:rsidRPr="002D019C">
        <w:rPr>
          <w:i/>
        </w:rPr>
        <w:t xml:space="preserve">Zalesskaya </w:t>
      </w:r>
      <w:r w:rsidRPr="00546424">
        <w:t>c.</w:t>
      </w:r>
      <w:r>
        <w:rPr>
          <w:i/>
        </w:rPr>
        <w:t> </w:t>
      </w:r>
      <w:r w:rsidRPr="002D019C">
        <w:rPr>
          <w:i/>
        </w:rPr>
        <w:t>B</w:t>
      </w:r>
      <w:r>
        <w:rPr>
          <w:i/>
        </w:rPr>
        <w:t>é</w:t>
      </w:r>
      <w:r w:rsidRPr="002D019C">
        <w:rPr>
          <w:i/>
        </w:rPr>
        <w:t>larus</w:t>
      </w:r>
      <w:r>
        <w:t>, constatations adoptées le 21 mars 2011, par. 10.6.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DD" w:rsidRPr="005A41DD" w:rsidRDefault="005A41DD">
    <w:pPr>
      <w:pStyle w:val="Header"/>
    </w:pPr>
    <w:r>
      <w:t>CCPR/C/111/D/2030/2011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DD" w:rsidRPr="005A41DD" w:rsidRDefault="005A41DD" w:rsidP="005A41DD">
    <w:pPr>
      <w:pStyle w:val="Header"/>
      <w:jc w:val="right"/>
    </w:pPr>
    <w:r>
      <w:t>CCPR/C/111/D/2030/2011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1ABA70"/>
    <w:lvl w:ilvl="0">
      <w:start w:val="1"/>
      <w:numFmt w:val="decimal"/>
      <w:lvlText w:val="%1."/>
      <w:lvlJc w:val="left"/>
      <w:pPr>
        <w:tabs>
          <w:tab w:val="num" w:pos="1492"/>
        </w:tabs>
        <w:ind w:left="1492" w:hanging="360"/>
      </w:pPr>
    </w:lvl>
  </w:abstractNum>
  <w:abstractNum w:abstractNumId="1">
    <w:nsid w:val="FFFFFF7D"/>
    <w:multiLevelType w:val="singleLevel"/>
    <w:tmpl w:val="EC4A8802"/>
    <w:lvl w:ilvl="0">
      <w:start w:val="1"/>
      <w:numFmt w:val="decimal"/>
      <w:lvlText w:val="%1."/>
      <w:lvlJc w:val="left"/>
      <w:pPr>
        <w:tabs>
          <w:tab w:val="num" w:pos="1209"/>
        </w:tabs>
        <w:ind w:left="1209" w:hanging="360"/>
      </w:pPr>
    </w:lvl>
  </w:abstractNum>
  <w:abstractNum w:abstractNumId="2">
    <w:nsid w:val="FFFFFF7E"/>
    <w:multiLevelType w:val="singleLevel"/>
    <w:tmpl w:val="B2E8F836"/>
    <w:lvl w:ilvl="0">
      <w:start w:val="1"/>
      <w:numFmt w:val="decimal"/>
      <w:lvlText w:val="%1."/>
      <w:lvlJc w:val="left"/>
      <w:pPr>
        <w:tabs>
          <w:tab w:val="num" w:pos="926"/>
        </w:tabs>
        <w:ind w:left="926" w:hanging="360"/>
      </w:pPr>
    </w:lvl>
  </w:abstractNum>
  <w:abstractNum w:abstractNumId="3">
    <w:nsid w:val="FFFFFF7F"/>
    <w:multiLevelType w:val="singleLevel"/>
    <w:tmpl w:val="168C4E0C"/>
    <w:lvl w:ilvl="0">
      <w:start w:val="1"/>
      <w:numFmt w:val="decimal"/>
      <w:lvlText w:val="%1."/>
      <w:lvlJc w:val="left"/>
      <w:pPr>
        <w:tabs>
          <w:tab w:val="num" w:pos="643"/>
        </w:tabs>
        <w:ind w:left="643" w:hanging="360"/>
      </w:pPr>
    </w:lvl>
  </w:abstractNum>
  <w:abstractNum w:abstractNumId="4">
    <w:nsid w:val="FFFFFF88"/>
    <w:multiLevelType w:val="singleLevel"/>
    <w:tmpl w:val="3CC6C676"/>
    <w:lvl w:ilvl="0">
      <w:start w:val="1"/>
      <w:numFmt w:val="decimal"/>
      <w:lvlText w:val="%1."/>
      <w:lvlJc w:val="left"/>
      <w:pPr>
        <w:tabs>
          <w:tab w:val="num" w:pos="360"/>
        </w:tabs>
        <w:ind w:left="360" w:hanging="360"/>
      </w:pPr>
    </w:lvl>
  </w:abstractNum>
  <w:abstractNum w:abstractNumId="5">
    <w:nsid w:val="FFFFFF89"/>
    <w:multiLevelType w:val="singleLevel"/>
    <w:tmpl w:val="EFDC5A04"/>
    <w:lvl w:ilvl="0">
      <w:start w:val="1"/>
      <w:numFmt w:val="bullet"/>
      <w:lvlText w:val=""/>
      <w:lvlJc w:val="left"/>
      <w:pPr>
        <w:tabs>
          <w:tab w:val="num" w:pos="360"/>
        </w:tabs>
        <w:ind w:left="360" w:hanging="360"/>
      </w:pPr>
      <w:rPr>
        <w:rFonts w:ascii="Symbol" w:hAnsi="Symbol" w:hint="default"/>
      </w:rPr>
    </w:lvl>
  </w:abstractNum>
  <w:abstractNum w:abstractNumId="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8"/>
  </w:num>
  <w:num w:numId="2">
    <w:abstractNumId w:val="7"/>
  </w:num>
  <w:num w:numId="3">
    <w:abstractNumId w:val="8"/>
  </w:num>
  <w:num w:numId="4">
    <w:abstractNumId w:val="7"/>
  </w:num>
  <w:num w:numId="5">
    <w:abstractNumId w:val="8"/>
  </w:num>
  <w:num w:numId="6">
    <w:abstractNumId w:val="7"/>
  </w:num>
  <w:num w:numId="7">
    <w:abstractNumId w:val="4"/>
  </w:num>
  <w:num w:numId="8">
    <w:abstractNumId w:val="3"/>
  </w:num>
  <w:num w:numId="9">
    <w:abstractNumId w:val="2"/>
  </w:num>
  <w:num w:numId="10">
    <w:abstractNumId w:val="1"/>
  </w:num>
  <w:num w:numId="11">
    <w:abstractNumId w:val="0"/>
  </w:num>
  <w:num w:numId="12">
    <w:abstractNumId w:val="5"/>
  </w:num>
  <w:num w:numId="13">
    <w:abstractNumId w:val="8"/>
  </w:num>
  <w:num w:numId="14">
    <w:abstractNumId w:val="7"/>
  </w:num>
  <w:num w:numId="15">
    <w:abstractNumId w:val="6"/>
  </w:num>
  <w:num w:numId="16">
    <w:abstractNumId w:val="8"/>
  </w:num>
  <w:num w:numId="17">
    <w:abstractNumId w:val="7"/>
  </w:num>
  <w:num w:numId="18">
    <w:abstractNumId w:val="6"/>
  </w:num>
  <w:num w:numId="19">
    <w:abstractNumId w:val="8"/>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728"/>
    <w:rsid w:val="00016AC5"/>
    <w:rsid w:val="00051BAD"/>
    <w:rsid w:val="00054EE9"/>
    <w:rsid w:val="00065ECB"/>
    <w:rsid w:val="0007545B"/>
    <w:rsid w:val="000C461C"/>
    <w:rsid w:val="000D1077"/>
    <w:rsid w:val="000D680E"/>
    <w:rsid w:val="000F41F2"/>
    <w:rsid w:val="0010040D"/>
    <w:rsid w:val="00103C1A"/>
    <w:rsid w:val="00124721"/>
    <w:rsid w:val="00143AF1"/>
    <w:rsid w:val="00160540"/>
    <w:rsid w:val="00192EEB"/>
    <w:rsid w:val="001A20FB"/>
    <w:rsid w:val="001A51A8"/>
    <w:rsid w:val="001A723B"/>
    <w:rsid w:val="001C53E1"/>
    <w:rsid w:val="001E3FEB"/>
    <w:rsid w:val="001E4A02"/>
    <w:rsid w:val="001F13AD"/>
    <w:rsid w:val="001F4675"/>
    <w:rsid w:val="0023102D"/>
    <w:rsid w:val="00233846"/>
    <w:rsid w:val="002659F1"/>
    <w:rsid w:val="00287E79"/>
    <w:rsid w:val="002928F9"/>
    <w:rsid w:val="002A5D07"/>
    <w:rsid w:val="002A7B15"/>
    <w:rsid w:val="002E6F8C"/>
    <w:rsid w:val="003016B7"/>
    <w:rsid w:val="0034214E"/>
    <w:rsid w:val="003515AA"/>
    <w:rsid w:val="0036726B"/>
    <w:rsid w:val="00374106"/>
    <w:rsid w:val="003976D5"/>
    <w:rsid w:val="003A14F1"/>
    <w:rsid w:val="003B4CBD"/>
    <w:rsid w:val="003B6A72"/>
    <w:rsid w:val="003C6783"/>
    <w:rsid w:val="003C77CF"/>
    <w:rsid w:val="003D6C68"/>
    <w:rsid w:val="003E5291"/>
    <w:rsid w:val="003F2D41"/>
    <w:rsid w:val="003F3055"/>
    <w:rsid w:val="00414794"/>
    <w:rsid w:val="004159D0"/>
    <w:rsid w:val="004460A3"/>
    <w:rsid w:val="00455974"/>
    <w:rsid w:val="00457435"/>
    <w:rsid w:val="00481EC5"/>
    <w:rsid w:val="00497C34"/>
    <w:rsid w:val="004E6FFF"/>
    <w:rsid w:val="004F2C80"/>
    <w:rsid w:val="00500302"/>
    <w:rsid w:val="00571F41"/>
    <w:rsid w:val="00572B3F"/>
    <w:rsid w:val="005753C4"/>
    <w:rsid w:val="005757D2"/>
    <w:rsid w:val="005A0AF5"/>
    <w:rsid w:val="005A0EF0"/>
    <w:rsid w:val="005A3ACA"/>
    <w:rsid w:val="005A41DD"/>
    <w:rsid w:val="005B01E9"/>
    <w:rsid w:val="005D29C8"/>
    <w:rsid w:val="005E5D1F"/>
    <w:rsid w:val="00612D48"/>
    <w:rsid w:val="00616B45"/>
    <w:rsid w:val="006312C9"/>
    <w:rsid w:val="00631953"/>
    <w:rsid w:val="00642728"/>
    <w:rsid w:val="006439EC"/>
    <w:rsid w:val="00644659"/>
    <w:rsid w:val="00650E01"/>
    <w:rsid w:val="00663CB6"/>
    <w:rsid w:val="00675ACB"/>
    <w:rsid w:val="00676F17"/>
    <w:rsid w:val="006923B4"/>
    <w:rsid w:val="006959F5"/>
    <w:rsid w:val="006B1379"/>
    <w:rsid w:val="006B4590"/>
    <w:rsid w:val="006B4804"/>
    <w:rsid w:val="006C340C"/>
    <w:rsid w:val="006D4E6F"/>
    <w:rsid w:val="006D69DF"/>
    <w:rsid w:val="006F6716"/>
    <w:rsid w:val="0070347C"/>
    <w:rsid w:val="00735076"/>
    <w:rsid w:val="00757D82"/>
    <w:rsid w:val="0076401E"/>
    <w:rsid w:val="007829EA"/>
    <w:rsid w:val="007A6548"/>
    <w:rsid w:val="007B0586"/>
    <w:rsid w:val="007C59BA"/>
    <w:rsid w:val="007D66A3"/>
    <w:rsid w:val="00814C6E"/>
    <w:rsid w:val="00817A26"/>
    <w:rsid w:val="008433B5"/>
    <w:rsid w:val="00844750"/>
    <w:rsid w:val="00850F40"/>
    <w:rsid w:val="00862CCC"/>
    <w:rsid w:val="00880372"/>
    <w:rsid w:val="00882085"/>
    <w:rsid w:val="00886128"/>
    <w:rsid w:val="00886D12"/>
    <w:rsid w:val="008B7F10"/>
    <w:rsid w:val="008E1B41"/>
    <w:rsid w:val="008E7FAE"/>
    <w:rsid w:val="009033FB"/>
    <w:rsid w:val="00911BF7"/>
    <w:rsid w:val="0092636E"/>
    <w:rsid w:val="0093109B"/>
    <w:rsid w:val="009717AD"/>
    <w:rsid w:val="00977EC8"/>
    <w:rsid w:val="009C3909"/>
    <w:rsid w:val="009D3A8C"/>
    <w:rsid w:val="009E7956"/>
    <w:rsid w:val="009F7F79"/>
    <w:rsid w:val="00A23B55"/>
    <w:rsid w:val="00A2492E"/>
    <w:rsid w:val="00A73631"/>
    <w:rsid w:val="00A821B8"/>
    <w:rsid w:val="00A85799"/>
    <w:rsid w:val="00AC2A67"/>
    <w:rsid w:val="00AC7977"/>
    <w:rsid w:val="00AD41FE"/>
    <w:rsid w:val="00AE2643"/>
    <w:rsid w:val="00AE352C"/>
    <w:rsid w:val="00B00515"/>
    <w:rsid w:val="00B0649A"/>
    <w:rsid w:val="00B22B0B"/>
    <w:rsid w:val="00B32E2D"/>
    <w:rsid w:val="00B37D92"/>
    <w:rsid w:val="00B510C0"/>
    <w:rsid w:val="00B57784"/>
    <w:rsid w:val="00B61990"/>
    <w:rsid w:val="00B955CB"/>
    <w:rsid w:val="00B95D70"/>
    <w:rsid w:val="00BA1175"/>
    <w:rsid w:val="00BA29A2"/>
    <w:rsid w:val="00BA405E"/>
    <w:rsid w:val="00BB3246"/>
    <w:rsid w:val="00BB3FF8"/>
    <w:rsid w:val="00BB46FB"/>
    <w:rsid w:val="00BB6E96"/>
    <w:rsid w:val="00BE0659"/>
    <w:rsid w:val="00BE507A"/>
    <w:rsid w:val="00BF0556"/>
    <w:rsid w:val="00C261F8"/>
    <w:rsid w:val="00C266C2"/>
    <w:rsid w:val="00C46315"/>
    <w:rsid w:val="00CB2BAF"/>
    <w:rsid w:val="00CB6686"/>
    <w:rsid w:val="00CB6C7A"/>
    <w:rsid w:val="00CC207F"/>
    <w:rsid w:val="00CD1A71"/>
    <w:rsid w:val="00CD1FBB"/>
    <w:rsid w:val="00D0026F"/>
    <w:rsid w:val="00D016B5"/>
    <w:rsid w:val="00D034F1"/>
    <w:rsid w:val="00D20FA9"/>
    <w:rsid w:val="00D27D5E"/>
    <w:rsid w:val="00D41315"/>
    <w:rsid w:val="00D61D26"/>
    <w:rsid w:val="00D62835"/>
    <w:rsid w:val="00D652C8"/>
    <w:rsid w:val="00D71692"/>
    <w:rsid w:val="00D77E85"/>
    <w:rsid w:val="00D80BC5"/>
    <w:rsid w:val="00DB3741"/>
    <w:rsid w:val="00DB681C"/>
    <w:rsid w:val="00DC2F07"/>
    <w:rsid w:val="00DC75BA"/>
    <w:rsid w:val="00DD7420"/>
    <w:rsid w:val="00DE6D90"/>
    <w:rsid w:val="00DF002F"/>
    <w:rsid w:val="00DF5248"/>
    <w:rsid w:val="00DF5D80"/>
    <w:rsid w:val="00E0244D"/>
    <w:rsid w:val="00E10B1F"/>
    <w:rsid w:val="00E24896"/>
    <w:rsid w:val="00E5485D"/>
    <w:rsid w:val="00E66657"/>
    <w:rsid w:val="00E81E94"/>
    <w:rsid w:val="00E82607"/>
    <w:rsid w:val="00E849E1"/>
    <w:rsid w:val="00EA5BC9"/>
    <w:rsid w:val="00EB3164"/>
    <w:rsid w:val="00EC181F"/>
    <w:rsid w:val="00F27514"/>
    <w:rsid w:val="00FA5A79"/>
    <w:rsid w:val="00FB0BFE"/>
    <w:rsid w:val="00FB33B3"/>
    <w:rsid w:val="00FB4C51"/>
    <w:rsid w:val="00FB4F81"/>
    <w:rsid w:val="00FB6A89"/>
    <w:rsid w:val="00FB7502"/>
    <w:rsid w:val="00FD13A9"/>
    <w:rsid w:val="00FD511F"/>
    <w:rsid w:val="00FE1C57"/>
    <w:rsid w:val="00FE6EB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40D"/>
    <w:pPr>
      <w:suppressAutoHyphens/>
      <w:spacing w:line="240" w:lineRule="atLeast"/>
    </w:pPr>
    <w:rPr>
      <w:lang w:val="fr-CH"/>
    </w:rPr>
  </w:style>
  <w:style w:type="paragraph" w:styleId="Heading1">
    <w:name w:val="heading 1"/>
    <w:aliases w:val="Table_G"/>
    <w:basedOn w:val="SingleTxtG"/>
    <w:next w:val="SingleTxtG"/>
    <w:qFormat/>
    <w:rsid w:val="0010040D"/>
    <w:pPr>
      <w:keepNext/>
      <w:keepLines/>
      <w:spacing w:after="0" w:line="240" w:lineRule="auto"/>
      <w:ind w:right="0"/>
      <w:jc w:val="left"/>
      <w:outlineLvl w:val="0"/>
    </w:pPr>
  </w:style>
  <w:style w:type="paragraph" w:styleId="Heading2">
    <w:name w:val="heading 2"/>
    <w:basedOn w:val="Normal"/>
    <w:next w:val="Normal"/>
    <w:qFormat/>
    <w:rsid w:val="0010040D"/>
    <w:pPr>
      <w:outlineLvl w:val="1"/>
    </w:pPr>
  </w:style>
  <w:style w:type="paragraph" w:styleId="Heading3">
    <w:name w:val="heading 3"/>
    <w:basedOn w:val="Normal"/>
    <w:next w:val="Normal"/>
    <w:qFormat/>
    <w:rsid w:val="0010040D"/>
    <w:pPr>
      <w:outlineLvl w:val="2"/>
    </w:pPr>
  </w:style>
  <w:style w:type="paragraph" w:styleId="Heading4">
    <w:name w:val="heading 4"/>
    <w:basedOn w:val="Normal"/>
    <w:next w:val="Normal"/>
    <w:qFormat/>
    <w:rsid w:val="0010040D"/>
    <w:pPr>
      <w:outlineLvl w:val="3"/>
    </w:pPr>
  </w:style>
  <w:style w:type="paragraph" w:styleId="Heading5">
    <w:name w:val="heading 5"/>
    <w:basedOn w:val="Normal"/>
    <w:next w:val="Normal"/>
    <w:qFormat/>
    <w:rsid w:val="0010040D"/>
    <w:pPr>
      <w:outlineLvl w:val="4"/>
    </w:pPr>
  </w:style>
  <w:style w:type="paragraph" w:styleId="Heading6">
    <w:name w:val="heading 6"/>
    <w:basedOn w:val="Normal"/>
    <w:next w:val="Normal"/>
    <w:qFormat/>
    <w:rsid w:val="0010040D"/>
    <w:pPr>
      <w:outlineLvl w:val="5"/>
    </w:pPr>
  </w:style>
  <w:style w:type="paragraph" w:styleId="Heading7">
    <w:name w:val="heading 7"/>
    <w:basedOn w:val="Normal"/>
    <w:next w:val="Normal"/>
    <w:qFormat/>
    <w:rsid w:val="0010040D"/>
    <w:pPr>
      <w:outlineLvl w:val="6"/>
    </w:pPr>
  </w:style>
  <w:style w:type="paragraph" w:styleId="Heading8">
    <w:name w:val="heading 8"/>
    <w:basedOn w:val="Normal"/>
    <w:next w:val="Normal"/>
    <w:qFormat/>
    <w:rsid w:val="0010040D"/>
    <w:pPr>
      <w:outlineLvl w:val="7"/>
    </w:pPr>
  </w:style>
  <w:style w:type="paragraph" w:styleId="Heading9">
    <w:name w:val="heading 9"/>
    <w:basedOn w:val="Normal"/>
    <w:next w:val="Normal"/>
    <w:qFormat/>
    <w:rsid w:val="0010040D"/>
    <w:pPr>
      <w:outlineLvl w:val="8"/>
    </w:pPr>
  </w:style>
  <w:style w:type="character" w:default="1" w:styleId="DefaultParagraphFont">
    <w:name w:val="Default Paragraph Font"/>
    <w:semiHidden/>
    <w:rsid w:val="0010040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0040D"/>
  </w:style>
  <w:style w:type="paragraph" w:customStyle="1" w:styleId="HMG">
    <w:name w:val="_ H __M_G"/>
    <w:basedOn w:val="Normal"/>
    <w:next w:val="Normal"/>
    <w:rsid w:val="001004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004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004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004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004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0040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0040D"/>
    <w:pPr>
      <w:spacing w:after="120"/>
      <w:ind w:left="1134" w:right="1134"/>
      <w:jc w:val="both"/>
    </w:pPr>
  </w:style>
  <w:style w:type="paragraph" w:customStyle="1" w:styleId="SLG">
    <w:name w:val="__S_L_G"/>
    <w:basedOn w:val="Normal"/>
    <w:next w:val="Normal"/>
    <w:rsid w:val="0010040D"/>
    <w:pPr>
      <w:keepNext/>
      <w:keepLines/>
      <w:spacing w:before="240" w:after="240" w:line="580" w:lineRule="exact"/>
      <w:ind w:left="1134" w:right="1134"/>
    </w:pPr>
    <w:rPr>
      <w:b/>
      <w:sz w:val="56"/>
    </w:rPr>
  </w:style>
  <w:style w:type="paragraph" w:customStyle="1" w:styleId="SMG">
    <w:name w:val="__S_M_G"/>
    <w:basedOn w:val="Normal"/>
    <w:next w:val="Normal"/>
    <w:rsid w:val="0010040D"/>
    <w:pPr>
      <w:keepNext/>
      <w:keepLines/>
      <w:spacing w:before="240" w:after="240" w:line="420" w:lineRule="exact"/>
      <w:ind w:left="1134" w:right="1134"/>
    </w:pPr>
    <w:rPr>
      <w:b/>
      <w:sz w:val="40"/>
    </w:rPr>
  </w:style>
  <w:style w:type="paragraph" w:customStyle="1" w:styleId="SSG">
    <w:name w:val="__S_S_G"/>
    <w:basedOn w:val="Normal"/>
    <w:next w:val="Normal"/>
    <w:rsid w:val="0010040D"/>
    <w:pPr>
      <w:keepNext/>
      <w:keepLines/>
      <w:spacing w:before="240" w:after="240" w:line="300" w:lineRule="exact"/>
      <w:ind w:left="1134" w:right="1134"/>
    </w:pPr>
    <w:rPr>
      <w:b/>
      <w:sz w:val="28"/>
    </w:rPr>
  </w:style>
  <w:style w:type="paragraph" w:customStyle="1" w:styleId="XLargeG">
    <w:name w:val="__XLarge_G"/>
    <w:basedOn w:val="Normal"/>
    <w:next w:val="Normal"/>
    <w:rsid w:val="0010040D"/>
    <w:pPr>
      <w:keepNext/>
      <w:keepLines/>
      <w:spacing w:before="240" w:after="240" w:line="420" w:lineRule="exact"/>
      <w:ind w:left="1134" w:right="1134"/>
    </w:pPr>
    <w:rPr>
      <w:b/>
      <w:sz w:val="40"/>
    </w:rPr>
  </w:style>
  <w:style w:type="paragraph" w:customStyle="1" w:styleId="Bullet1G">
    <w:name w:val="_Bullet 1_G"/>
    <w:basedOn w:val="Normal"/>
    <w:rsid w:val="0010040D"/>
    <w:pPr>
      <w:numPr>
        <w:numId w:val="19"/>
      </w:numPr>
      <w:spacing w:after="120"/>
      <w:ind w:right="1134"/>
      <w:jc w:val="both"/>
    </w:pPr>
  </w:style>
  <w:style w:type="paragraph" w:customStyle="1" w:styleId="Bullet2G">
    <w:name w:val="_Bullet 2_G"/>
    <w:basedOn w:val="Normal"/>
    <w:rsid w:val="0010040D"/>
    <w:pPr>
      <w:numPr>
        <w:numId w:val="20"/>
      </w:numPr>
      <w:spacing w:after="120"/>
      <w:ind w:right="1134"/>
      <w:jc w:val="both"/>
    </w:pPr>
  </w:style>
  <w:style w:type="character" w:styleId="FootnoteReference">
    <w:name w:val="footnote reference"/>
    <w:aliases w:val="4_G"/>
    <w:basedOn w:val="DefaultParagraphFont"/>
    <w:rsid w:val="0010040D"/>
    <w:rPr>
      <w:rFonts w:ascii="Times New Roman" w:hAnsi="Times New Roman"/>
      <w:sz w:val="18"/>
      <w:vertAlign w:val="superscript"/>
      <w:lang w:val="fr-CH"/>
    </w:rPr>
  </w:style>
  <w:style w:type="character" w:styleId="EndnoteReference">
    <w:name w:val="endnote reference"/>
    <w:aliases w:val="1_G"/>
    <w:basedOn w:val="FootnoteReference"/>
    <w:rsid w:val="0010040D"/>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10040D"/>
    <w:pPr>
      <w:tabs>
        <w:tab w:val="right" w:pos="1021"/>
      </w:tabs>
      <w:spacing w:line="220" w:lineRule="exact"/>
      <w:ind w:left="1134" w:right="1134" w:hanging="1134"/>
    </w:pPr>
    <w:rPr>
      <w:sz w:val="18"/>
    </w:rPr>
  </w:style>
  <w:style w:type="paragraph" w:styleId="EndnoteText">
    <w:name w:val="endnote text"/>
    <w:aliases w:val="2_G"/>
    <w:basedOn w:val="FootnoteText"/>
    <w:rsid w:val="0010040D"/>
  </w:style>
  <w:style w:type="character" w:styleId="PageNumber">
    <w:name w:val="page number"/>
    <w:aliases w:val="7_G"/>
    <w:basedOn w:val="DefaultParagraphFont"/>
    <w:rsid w:val="0010040D"/>
    <w:rPr>
      <w:rFonts w:ascii="Times New Roman" w:hAnsi="Times New Roman"/>
      <w:b/>
      <w:sz w:val="18"/>
      <w:lang w:val="fr-CH"/>
    </w:rPr>
  </w:style>
  <w:style w:type="paragraph" w:styleId="Footer">
    <w:name w:val="footer"/>
    <w:aliases w:val="3_G"/>
    <w:basedOn w:val="Normal"/>
    <w:next w:val="Normal"/>
    <w:rsid w:val="0010040D"/>
    <w:pPr>
      <w:spacing w:line="240" w:lineRule="auto"/>
    </w:pPr>
    <w:rPr>
      <w:sz w:val="16"/>
    </w:rPr>
  </w:style>
  <w:style w:type="paragraph" w:customStyle="1" w:styleId="ParNoG">
    <w:name w:val="_ParNo_G"/>
    <w:basedOn w:val="SingleTxtG"/>
    <w:rsid w:val="0010040D"/>
    <w:pPr>
      <w:numPr>
        <w:numId w:val="21"/>
      </w:numPr>
    </w:pPr>
  </w:style>
  <w:style w:type="paragraph" w:styleId="Header">
    <w:name w:val="header"/>
    <w:aliases w:val="6_G"/>
    <w:basedOn w:val="Normal"/>
    <w:next w:val="Normal"/>
    <w:rsid w:val="0010040D"/>
    <w:pPr>
      <w:pBdr>
        <w:bottom w:val="single" w:sz="4" w:space="4" w:color="auto"/>
      </w:pBdr>
      <w:spacing w:line="240" w:lineRule="auto"/>
    </w:pPr>
    <w:rPr>
      <w:b/>
      <w:sz w:val="18"/>
    </w:rPr>
  </w:style>
  <w:style w:type="table" w:styleId="TableGrid">
    <w:name w:val="Table Grid"/>
    <w:basedOn w:val="TableNormal"/>
    <w:semiHidden/>
    <w:rsid w:val="001004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10040D"/>
    <w:rPr>
      <w:color w:val="0000FF"/>
      <w:u w:val="none"/>
    </w:rPr>
  </w:style>
  <w:style w:type="character" w:styleId="FollowedHyperlink">
    <w:name w:val="FollowedHyperlink"/>
    <w:basedOn w:val="DefaultParagraphFont"/>
    <w:semiHidden/>
    <w:rsid w:val="0010040D"/>
    <w:rPr>
      <w:color w:val="0000FF"/>
      <w:u w:val="none"/>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locked/>
    <w:rsid w:val="001F13AD"/>
    <w:rPr>
      <w:sz w:val="18"/>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sites/eng/Pages/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3598</Words>
  <Characters>19145</Characters>
  <Application>Microsoft Office Outlook</Application>
  <DocSecurity>4</DocSecurity>
  <Lines>319</Lines>
  <Paragraphs>98</Paragraphs>
  <ScaleCrop>false</ScaleCrop>
  <HeadingPairs>
    <vt:vector size="2" baseType="variant">
      <vt:variant>
        <vt:lpstr>Titre</vt:lpstr>
      </vt:variant>
      <vt:variant>
        <vt:i4>1</vt:i4>
      </vt:variant>
    </vt:vector>
  </HeadingPairs>
  <TitlesOfParts>
    <vt:vector size="1" baseType="lpstr">
      <vt:lpstr>CCPR/C/111/D/2030/2011</vt:lpstr>
    </vt:vector>
  </TitlesOfParts>
  <Company>CSD</Company>
  <LinksUpToDate>false</LinksUpToDate>
  <CharactersWithSpaces>22645</CharactersWithSpaces>
  <SharedDoc>false</SharedDoc>
  <HLinks>
    <vt:vector size="6" baseType="variant">
      <vt:variant>
        <vt:i4>5505115</vt:i4>
      </vt:variant>
      <vt:variant>
        <vt:i4>0</vt:i4>
      </vt:variant>
      <vt:variant>
        <vt:i4>0</vt:i4>
      </vt:variant>
      <vt:variant>
        <vt:i4>5</vt:i4>
      </vt:variant>
      <vt:variant>
        <vt:lpwstr>http://hudoc.echr.coe.int/sites/eng/Pages/search.aspx</vt:lpwstr>
      </vt:variant>
      <vt:variant>
        <vt:lpwstr>{"appno":["47033/99"]}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CCPR/C/111/D/2030/2011</dc:title>
  <dc:subject>Final</dc:subject>
  <dc:creator>Crelier</dc:creator>
  <cp:keywords/>
  <dc:description/>
  <cp:lastModifiedBy>Crelier</cp:lastModifiedBy>
  <cp:revision>2</cp:revision>
  <cp:lastPrinted>2014-10-17T15:27:00Z</cp:lastPrinted>
  <dcterms:created xsi:type="dcterms:W3CDTF">2014-10-17T16:09:00Z</dcterms:created>
  <dcterms:modified xsi:type="dcterms:W3CDTF">2014-10-17T16:09:00Z</dcterms:modified>
</cp:coreProperties>
</file>