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3938AC">
              <w:rPr>
                <w:sz w:val="20"/>
              </w:rPr>
              <w:t>/</w:t>
            </w:r>
            <w:r w:rsidR="00965D18" w:rsidRPr="00965D18">
              <w:rPr>
                <w:sz w:val="20"/>
                <w:lang w:val="en-GB"/>
              </w:rPr>
              <w:t>C</w:t>
            </w:r>
            <w:r w:rsidR="003938AC">
              <w:rPr>
                <w:sz w:val="20"/>
                <w:lang w:val="en-GB"/>
              </w:rPr>
              <w:t>/</w:t>
            </w:r>
            <w:r w:rsidR="00965D18" w:rsidRPr="00965D18">
              <w:rPr>
                <w:sz w:val="20"/>
                <w:lang w:val="en-GB"/>
              </w:rPr>
              <w:t>109</w:t>
            </w:r>
            <w:r w:rsidR="003938AC">
              <w:rPr>
                <w:sz w:val="20"/>
                <w:lang w:val="en-GB"/>
              </w:rPr>
              <w:t>/</w:t>
            </w:r>
            <w:r w:rsidR="00965D18" w:rsidRPr="00965D18">
              <w:rPr>
                <w:sz w:val="20"/>
                <w:lang w:val="en-GB"/>
              </w:rPr>
              <w:t>D</w:t>
            </w:r>
            <w:r w:rsidR="003938AC">
              <w:rPr>
                <w:sz w:val="20"/>
                <w:lang w:val="en-GB"/>
              </w:rPr>
              <w:t>/</w:t>
            </w:r>
            <w:r w:rsidR="00965D18" w:rsidRPr="00965D18">
              <w:rPr>
                <w:sz w:val="20"/>
                <w:lang w:val="en-GB"/>
              </w:rPr>
              <w:t>1873</w:t>
            </w:r>
            <w:r w:rsidR="003938AC">
              <w:rPr>
                <w:sz w:val="20"/>
                <w:lang w:val="en-GB"/>
              </w:rPr>
              <w:t>/</w:t>
            </w:r>
            <w:r w:rsidR="00965D18" w:rsidRPr="00965D18">
              <w:rPr>
                <w:sz w:val="20"/>
                <w:lang w:val="en-GB"/>
              </w:rPr>
              <w:t>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3938AC" w:rsidP="002D3D9F">
            <w:pPr>
              <w:spacing w:before="240" w:line="240" w:lineRule="atLeast"/>
              <w:rPr>
                <w:rFonts w:hint="eastAsia"/>
                <w:sz w:val="20"/>
              </w:rPr>
            </w:pPr>
            <w:r>
              <w:rPr>
                <w:sz w:val="20"/>
              </w:rPr>
              <w:t xml:space="preserve">Distr.: </w:t>
            </w:r>
            <w:r w:rsidR="00965D18" w:rsidRPr="00965D18">
              <w:rPr>
                <w:sz w:val="20"/>
              </w:rPr>
              <w:t>General</w:t>
            </w:r>
          </w:p>
          <w:p w:rsidR="00C40431" w:rsidRPr="002D3D9F" w:rsidRDefault="00965D18">
            <w:pPr>
              <w:spacing w:line="240" w:lineRule="atLeast"/>
              <w:rPr>
                <w:rFonts w:hint="eastAsia"/>
                <w:sz w:val="20"/>
              </w:rPr>
            </w:pPr>
            <w:r>
              <w:rPr>
                <w:rFonts w:hint="eastAsia"/>
                <w:sz w:val="20"/>
              </w:rPr>
              <w:t xml:space="preserve">2 </w:t>
            </w:r>
            <w:r w:rsidRPr="00965D18">
              <w:rPr>
                <w:sz w:val="20"/>
              </w:rPr>
              <w:t>December</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3938A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106FC" w:rsidRPr="00FB5133" w:rsidRDefault="00C106FC" w:rsidP="00C106FC">
      <w:pPr>
        <w:pStyle w:val="HChGC"/>
      </w:pPr>
      <w:r>
        <w:tab/>
      </w:r>
      <w:r>
        <w:tab/>
      </w:r>
      <w:r w:rsidRPr="00FB5133">
        <w:rPr>
          <w:rFonts w:hint="eastAsia"/>
        </w:rPr>
        <w:t>第</w:t>
      </w:r>
      <w:r>
        <w:rPr>
          <w:rFonts w:hint="eastAsia"/>
        </w:rPr>
        <w:t>1873</w:t>
      </w:r>
      <w:r w:rsidR="003938AC">
        <w:rPr>
          <w:rFonts w:hint="eastAsia"/>
        </w:rPr>
        <w:t>/</w:t>
      </w:r>
      <w:r w:rsidRPr="00FB5133">
        <w:rPr>
          <w:rFonts w:hint="eastAsia"/>
        </w:rPr>
        <w:t>200</w:t>
      </w:r>
      <w:r>
        <w:rPr>
          <w:rFonts w:hint="eastAsia"/>
        </w:rPr>
        <w:t>9</w:t>
      </w:r>
      <w:r w:rsidRPr="00FB5133">
        <w:rPr>
          <w:rFonts w:hint="eastAsia"/>
        </w:rPr>
        <w:t>号来文</w:t>
      </w:r>
    </w:p>
    <w:p w:rsidR="00C106FC" w:rsidRDefault="00C106FC" w:rsidP="00C106FC">
      <w:pPr>
        <w:pStyle w:val="H1GC"/>
        <w:rPr>
          <w:rFonts w:hint="eastAsia"/>
        </w:rPr>
      </w:pPr>
      <w:r>
        <w:tab/>
      </w:r>
      <w:r>
        <w:tab/>
      </w:r>
      <w:r>
        <w:rPr>
          <w:rFonts w:hint="eastAsia"/>
        </w:rPr>
        <w:t>委员会第一</w:t>
      </w:r>
      <w:r w:rsidR="00BD38CE">
        <w:rPr>
          <w:rFonts w:ascii="SimSun" w:hAnsi="SimSun" w:hint="eastAsia"/>
        </w:rPr>
        <w:t>〇</w:t>
      </w:r>
      <w:r>
        <w:rPr>
          <w:rFonts w:hint="eastAsia"/>
        </w:rPr>
        <w:t>九届会议通过的意见</w:t>
      </w:r>
      <w:r w:rsidR="003938AC">
        <w:rPr>
          <w:rFonts w:hint="eastAsia"/>
        </w:rPr>
        <w:t>，</w:t>
      </w:r>
      <w:r>
        <w:rPr>
          <w:rFonts w:hint="eastAsia"/>
        </w:rPr>
        <w:t>2013</w:t>
      </w:r>
      <w:r>
        <w:rPr>
          <w:rFonts w:hint="eastAsia"/>
        </w:rPr>
        <w:t>年</w:t>
      </w:r>
      <w:r>
        <w:rPr>
          <w:rFonts w:hint="eastAsia"/>
        </w:rPr>
        <w:t>10</w:t>
      </w:r>
      <w:r>
        <w:rPr>
          <w:rFonts w:hint="eastAsia"/>
        </w:rPr>
        <w:t>月</w:t>
      </w:r>
      <w:r>
        <w:rPr>
          <w:rFonts w:hint="eastAsia"/>
        </w:rPr>
        <w:t>14</w:t>
      </w:r>
      <w:r>
        <w:rPr>
          <w:rFonts w:hint="eastAsia"/>
        </w:rPr>
        <w:t>日至</w:t>
      </w:r>
      <w:r>
        <w:rPr>
          <w:rFonts w:hint="eastAsia"/>
        </w:rPr>
        <w:t>11</w:t>
      </w:r>
      <w:r>
        <w:rPr>
          <w:rFonts w:hint="eastAsia"/>
        </w:rPr>
        <w:t>月</w:t>
      </w:r>
      <w:r>
        <w:rPr>
          <w:rFonts w:hint="eastAsia"/>
        </w:rPr>
        <w:t>1</w:t>
      </w:r>
      <w:r>
        <w:rPr>
          <w:rFonts w:hint="eastAsia"/>
        </w:rPr>
        <w:t>日</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C106FC" w:rsidTr="003938AC">
        <w:trPr>
          <w:cantSplit/>
        </w:trPr>
        <w:tc>
          <w:tcPr>
            <w:tcW w:w="2173" w:type="dxa"/>
          </w:tcPr>
          <w:p w:rsidR="00C106FC" w:rsidRPr="00C74FB6" w:rsidRDefault="00C106FC" w:rsidP="003938AC">
            <w:pPr>
              <w:pStyle w:val="SingleTxtGC"/>
              <w:ind w:left="0" w:right="0"/>
              <w:rPr>
                <w:rFonts w:eastAsia="KaiTi_GB2312"/>
              </w:rPr>
            </w:pPr>
            <w:r w:rsidRPr="00B115C8">
              <w:rPr>
                <w:rFonts w:ascii="Time New Roman" w:eastAsia="KaiTi_GB2312" w:hAnsi="Time New Roman" w:hint="eastAsia"/>
              </w:rPr>
              <w:t>提交人</w:t>
            </w:r>
            <w:r w:rsidR="003938AC">
              <w:rPr>
                <w:rFonts w:eastAsia="KaiTi_GB2312" w:hint="eastAsia"/>
              </w:rPr>
              <w:t>：</w:t>
            </w:r>
          </w:p>
        </w:tc>
        <w:tc>
          <w:tcPr>
            <w:tcW w:w="4758" w:type="dxa"/>
          </w:tcPr>
          <w:p w:rsidR="00C106FC" w:rsidRPr="00FB5133" w:rsidRDefault="00C106FC" w:rsidP="003938AC">
            <w:pPr>
              <w:pStyle w:val="SingleTxtGC"/>
              <w:ind w:left="0" w:right="0"/>
            </w:pPr>
            <w:r w:rsidRPr="00007C2A">
              <w:t>Nikolai Alekseev</w:t>
            </w:r>
            <w:r w:rsidRPr="00FB5133">
              <w:t xml:space="preserve"> </w:t>
            </w:r>
            <w:r w:rsidR="003938AC">
              <w:t>(</w:t>
            </w:r>
            <w:r w:rsidRPr="00FB5133">
              <w:rPr>
                <w:rFonts w:hint="eastAsia"/>
              </w:rPr>
              <w:t>无律师代理</w:t>
            </w:r>
            <w:r w:rsidR="003938AC">
              <w:t>)</w:t>
            </w:r>
          </w:p>
        </w:tc>
      </w:tr>
      <w:tr w:rsidR="00C106FC" w:rsidTr="003938AC">
        <w:trPr>
          <w:cantSplit/>
        </w:trPr>
        <w:tc>
          <w:tcPr>
            <w:tcW w:w="2173" w:type="dxa"/>
          </w:tcPr>
          <w:p w:rsidR="00C106FC" w:rsidRPr="00C74FB6" w:rsidRDefault="00C106FC" w:rsidP="003938AC">
            <w:pPr>
              <w:pStyle w:val="SingleTxtGC"/>
              <w:ind w:left="0" w:right="0"/>
              <w:rPr>
                <w:rFonts w:eastAsia="KaiTi_GB2312"/>
              </w:rPr>
            </w:pPr>
            <w:r w:rsidRPr="005749F7">
              <w:rPr>
                <w:rFonts w:ascii="Time New Roman" w:eastAsia="KaiTi_GB2312" w:hAnsi="Time New Roman" w:hint="eastAsia"/>
              </w:rPr>
              <w:t>据称受害人</w:t>
            </w:r>
            <w:r w:rsidR="003938AC">
              <w:rPr>
                <w:rFonts w:ascii="Time New Roman" w:eastAsia="KaiTi_GB2312" w:hAnsi="Time New Roman" w:hint="eastAsia"/>
              </w:rPr>
              <w:t>：</w:t>
            </w:r>
          </w:p>
        </w:tc>
        <w:tc>
          <w:tcPr>
            <w:tcW w:w="4758" w:type="dxa"/>
          </w:tcPr>
          <w:p w:rsidR="00C106FC" w:rsidRPr="00C74FB6" w:rsidRDefault="00C106FC" w:rsidP="003938AC">
            <w:pPr>
              <w:pStyle w:val="SingleTxtGC"/>
              <w:ind w:left="0" w:right="0"/>
            </w:pPr>
            <w:r w:rsidRPr="00C74FB6">
              <w:rPr>
                <w:rFonts w:hint="eastAsia"/>
              </w:rPr>
              <w:t>提交人</w:t>
            </w:r>
          </w:p>
        </w:tc>
      </w:tr>
      <w:tr w:rsidR="00C106FC" w:rsidTr="003938AC">
        <w:trPr>
          <w:cantSplit/>
        </w:trPr>
        <w:tc>
          <w:tcPr>
            <w:tcW w:w="2173" w:type="dxa"/>
          </w:tcPr>
          <w:p w:rsidR="00C106FC" w:rsidRPr="00C74FB6" w:rsidRDefault="00C106FC" w:rsidP="003938AC">
            <w:pPr>
              <w:pStyle w:val="SingleTxtGC"/>
              <w:ind w:left="0" w:right="0"/>
              <w:rPr>
                <w:rFonts w:eastAsia="KaiTi_GB2312"/>
              </w:rPr>
            </w:pPr>
            <w:r w:rsidRPr="005749F7">
              <w:rPr>
                <w:rFonts w:ascii="Time New Roman" w:eastAsia="KaiTi_GB2312" w:hAnsi="Time New Roman" w:hint="eastAsia"/>
              </w:rPr>
              <w:t>所涉缔约国</w:t>
            </w:r>
            <w:r w:rsidR="003938AC">
              <w:rPr>
                <w:rFonts w:ascii="Time New Roman" w:eastAsia="KaiTi_GB2312" w:hAnsi="Time New Roman" w:hint="eastAsia"/>
              </w:rPr>
              <w:t>：</w:t>
            </w:r>
          </w:p>
        </w:tc>
        <w:tc>
          <w:tcPr>
            <w:tcW w:w="4758" w:type="dxa"/>
          </w:tcPr>
          <w:p w:rsidR="00C106FC" w:rsidRPr="00FB5133" w:rsidRDefault="00C106FC" w:rsidP="003938AC">
            <w:pPr>
              <w:pStyle w:val="SingleTxtGC"/>
              <w:ind w:left="0" w:right="0"/>
            </w:pPr>
            <w:r>
              <w:rPr>
                <w:rFonts w:hint="eastAsia"/>
              </w:rPr>
              <w:t>俄罗斯联邦</w:t>
            </w:r>
          </w:p>
        </w:tc>
      </w:tr>
      <w:tr w:rsidR="00C106FC" w:rsidTr="003938AC">
        <w:trPr>
          <w:cantSplit/>
        </w:trPr>
        <w:tc>
          <w:tcPr>
            <w:tcW w:w="2173" w:type="dxa"/>
          </w:tcPr>
          <w:p w:rsidR="00C106FC" w:rsidRPr="005749F7" w:rsidRDefault="00C106FC" w:rsidP="003938A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3938AC">
              <w:rPr>
                <w:rFonts w:ascii="Time New Roman" w:eastAsia="KaiTi_GB2312" w:hAnsi="Time New Roman" w:hint="eastAsia"/>
              </w:rPr>
              <w:t>：</w:t>
            </w:r>
          </w:p>
        </w:tc>
        <w:tc>
          <w:tcPr>
            <w:tcW w:w="4758" w:type="dxa"/>
          </w:tcPr>
          <w:p w:rsidR="00C106FC" w:rsidRPr="00E22678" w:rsidRDefault="00C106FC" w:rsidP="003938AC">
            <w:pPr>
              <w:pStyle w:val="SingleTxtGC"/>
              <w:ind w:left="0" w:right="0"/>
              <w:rPr>
                <w:rFonts w:hint="eastAsia"/>
              </w:rPr>
            </w:pPr>
            <w:r w:rsidRPr="00E22678">
              <w:rPr>
                <w:rFonts w:hint="eastAsia"/>
              </w:rPr>
              <w:t>200</w:t>
            </w:r>
            <w:r>
              <w:rPr>
                <w:rFonts w:hint="eastAsia"/>
              </w:rPr>
              <w:t>9</w:t>
            </w:r>
            <w:r w:rsidRPr="00E22678">
              <w:rPr>
                <w:rFonts w:hint="eastAsia"/>
              </w:rPr>
              <w:t>年</w:t>
            </w:r>
            <w:r>
              <w:rPr>
                <w:rFonts w:hint="eastAsia"/>
              </w:rPr>
              <w:t>3</w:t>
            </w:r>
            <w:r w:rsidRPr="00E22678">
              <w:rPr>
                <w:rFonts w:hint="eastAsia"/>
              </w:rPr>
              <w:t>月</w:t>
            </w:r>
            <w:r>
              <w:rPr>
                <w:rFonts w:hint="eastAsia"/>
              </w:rPr>
              <w:t>25</w:t>
            </w:r>
            <w:r w:rsidRPr="00E22678">
              <w:rPr>
                <w:rFonts w:hint="eastAsia"/>
              </w:rPr>
              <w:t>日</w:t>
            </w:r>
            <w:r w:rsidR="003938AC">
              <w:rPr>
                <w:rFonts w:hint="eastAsia"/>
              </w:rPr>
              <w:t>(</w:t>
            </w:r>
            <w:r w:rsidRPr="00E22678">
              <w:rPr>
                <w:rFonts w:hint="eastAsia"/>
              </w:rPr>
              <w:t>首次提交</w:t>
            </w:r>
            <w:r w:rsidR="003938AC">
              <w:rPr>
                <w:rFonts w:hint="eastAsia"/>
              </w:rPr>
              <w:t>)</w:t>
            </w:r>
          </w:p>
        </w:tc>
      </w:tr>
      <w:tr w:rsidR="00C106FC" w:rsidTr="003938AC">
        <w:trPr>
          <w:cantSplit/>
        </w:trPr>
        <w:tc>
          <w:tcPr>
            <w:tcW w:w="2173" w:type="dxa"/>
          </w:tcPr>
          <w:p w:rsidR="00C106FC" w:rsidRPr="00B115C8" w:rsidRDefault="00C106FC" w:rsidP="003938A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3938AC">
              <w:rPr>
                <w:rFonts w:ascii="Time New Roman" w:eastAsia="KaiTi_GB2312" w:hAnsi="Time New Roman" w:hint="eastAsia"/>
              </w:rPr>
              <w:t>：</w:t>
            </w:r>
          </w:p>
        </w:tc>
        <w:tc>
          <w:tcPr>
            <w:tcW w:w="4758" w:type="dxa"/>
          </w:tcPr>
          <w:p w:rsidR="00C106FC" w:rsidRPr="00E22678" w:rsidRDefault="00C106FC" w:rsidP="003938AC">
            <w:pPr>
              <w:pStyle w:val="SingleTxtGC"/>
              <w:ind w:left="0" w:right="0"/>
              <w:rPr>
                <w:rFonts w:hint="eastAsia"/>
                <w:lang w:val="fr-CH"/>
              </w:rPr>
            </w:pPr>
            <w:r w:rsidRPr="00E22678">
              <w:rPr>
                <w:rFonts w:hint="eastAsia"/>
                <w:lang w:val="fr-CH"/>
              </w:rPr>
              <w:t>特别报告员根据议事规则第九十七条决定</w:t>
            </w:r>
            <w:r w:rsidR="003938AC">
              <w:rPr>
                <w:rFonts w:hint="eastAsia"/>
                <w:lang w:val="fr-CH"/>
              </w:rPr>
              <w:t>，</w:t>
            </w:r>
            <w:r w:rsidRPr="00E22678">
              <w:rPr>
                <w:rFonts w:hint="eastAsia"/>
                <w:lang w:val="fr-CH"/>
              </w:rPr>
              <w:t>于</w:t>
            </w:r>
            <w:r>
              <w:rPr>
                <w:rFonts w:hint="eastAsia"/>
                <w:lang w:val="fr-CH"/>
              </w:rPr>
              <w:t>2009</w:t>
            </w:r>
            <w:r w:rsidRPr="00E22678">
              <w:rPr>
                <w:rFonts w:hint="eastAsia"/>
                <w:lang w:val="fr-CH"/>
              </w:rPr>
              <w:t>年</w:t>
            </w:r>
            <w:r>
              <w:rPr>
                <w:rFonts w:hint="eastAsia"/>
                <w:lang w:val="fr-CH"/>
              </w:rPr>
              <w:t>4</w:t>
            </w:r>
            <w:r w:rsidRPr="00E22678">
              <w:rPr>
                <w:rFonts w:hint="eastAsia"/>
                <w:lang w:val="fr-CH"/>
              </w:rPr>
              <w:t>月</w:t>
            </w:r>
            <w:r>
              <w:rPr>
                <w:rFonts w:hint="eastAsia"/>
                <w:lang w:val="fr-CH"/>
              </w:rPr>
              <w:t>28</w:t>
            </w:r>
            <w:r w:rsidRPr="00E22678">
              <w:rPr>
                <w:rFonts w:hint="eastAsia"/>
                <w:lang w:val="fr-CH"/>
              </w:rPr>
              <w:t>日转交给缔约国</w:t>
            </w:r>
            <w:r w:rsidR="003938AC">
              <w:rPr>
                <w:rFonts w:hint="eastAsia"/>
                <w:lang w:val="fr-CH"/>
              </w:rPr>
              <w:t>(</w:t>
            </w:r>
            <w:r w:rsidRPr="00E22678">
              <w:rPr>
                <w:rFonts w:hint="eastAsia"/>
                <w:lang w:val="fr-CH"/>
              </w:rPr>
              <w:t>未以文件形式分发</w:t>
            </w:r>
            <w:r w:rsidR="003938AC">
              <w:rPr>
                <w:rFonts w:hint="eastAsia"/>
                <w:lang w:val="fr-CH"/>
              </w:rPr>
              <w:t>)</w:t>
            </w:r>
          </w:p>
        </w:tc>
      </w:tr>
      <w:tr w:rsidR="00C106FC" w:rsidTr="003938AC">
        <w:trPr>
          <w:cantSplit/>
        </w:trPr>
        <w:tc>
          <w:tcPr>
            <w:tcW w:w="2173" w:type="dxa"/>
          </w:tcPr>
          <w:p w:rsidR="00C106FC" w:rsidRPr="00B115C8" w:rsidRDefault="00C106FC" w:rsidP="003938AC">
            <w:pPr>
              <w:pStyle w:val="SingleTxtGC"/>
              <w:ind w:left="0" w:right="0"/>
              <w:rPr>
                <w:rFonts w:ascii="Time New Roman" w:eastAsia="KaiTi_GB2312" w:hAnsi="Time New Roman" w:hint="eastAsia"/>
              </w:rPr>
            </w:pPr>
            <w:r w:rsidRPr="0065322F">
              <w:rPr>
                <w:rFonts w:eastAsia="KaiTi_GB2312" w:hint="eastAsia"/>
              </w:rPr>
              <w:t>意见的通过日期</w:t>
            </w:r>
            <w:r w:rsidR="003938AC">
              <w:rPr>
                <w:rFonts w:ascii="Time New Roman" w:eastAsia="KaiTi_GB2312" w:hAnsi="Time New Roman" w:hint="eastAsia"/>
              </w:rPr>
              <w:t>：</w:t>
            </w:r>
          </w:p>
        </w:tc>
        <w:tc>
          <w:tcPr>
            <w:tcW w:w="4758" w:type="dxa"/>
          </w:tcPr>
          <w:p w:rsidR="00C106FC" w:rsidRPr="00E22678" w:rsidRDefault="00C106FC" w:rsidP="003938AC">
            <w:pPr>
              <w:pStyle w:val="SingleTxtGC"/>
              <w:ind w:left="0" w:right="0"/>
              <w:rPr>
                <w:rFonts w:hint="eastAsia"/>
                <w:snapToGrid/>
              </w:rPr>
            </w:pPr>
            <w:r w:rsidRPr="00E22678">
              <w:rPr>
                <w:rFonts w:hint="eastAsia"/>
                <w:snapToGrid/>
              </w:rPr>
              <w:t>201</w:t>
            </w:r>
            <w:r>
              <w:rPr>
                <w:rFonts w:hint="eastAsia"/>
                <w:snapToGrid/>
              </w:rPr>
              <w:t>3</w:t>
            </w:r>
            <w:r w:rsidRPr="00E22678">
              <w:rPr>
                <w:rFonts w:hint="eastAsia"/>
                <w:snapToGrid/>
              </w:rPr>
              <w:t>年</w:t>
            </w:r>
            <w:r w:rsidRPr="00E22678">
              <w:rPr>
                <w:rFonts w:hint="eastAsia"/>
                <w:snapToGrid/>
              </w:rPr>
              <w:t>10</w:t>
            </w:r>
            <w:r w:rsidRPr="00E22678">
              <w:rPr>
                <w:rFonts w:hint="eastAsia"/>
                <w:snapToGrid/>
              </w:rPr>
              <w:t>月</w:t>
            </w:r>
            <w:r w:rsidRPr="00E22678">
              <w:rPr>
                <w:rFonts w:hint="eastAsia"/>
                <w:snapToGrid/>
              </w:rPr>
              <w:t>2</w:t>
            </w:r>
            <w:r>
              <w:rPr>
                <w:rFonts w:hint="eastAsia"/>
                <w:snapToGrid/>
              </w:rPr>
              <w:t>5</w:t>
            </w:r>
            <w:r w:rsidRPr="00E22678">
              <w:rPr>
                <w:rFonts w:hint="eastAsia"/>
                <w:snapToGrid/>
              </w:rPr>
              <w:t>日</w:t>
            </w:r>
          </w:p>
        </w:tc>
      </w:tr>
      <w:tr w:rsidR="00C106FC" w:rsidTr="003938AC">
        <w:trPr>
          <w:cantSplit/>
        </w:trPr>
        <w:tc>
          <w:tcPr>
            <w:tcW w:w="2173" w:type="dxa"/>
          </w:tcPr>
          <w:p w:rsidR="00C106FC" w:rsidRPr="005749F7" w:rsidRDefault="00C106FC" w:rsidP="003938A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3938AC">
              <w:rPr>
                <w:rFonts w:hint="eastAsia"/>
                <w:snapToGrid/>
              </w:rPr>
              <w:t>：</w:t>
            </w:r>
          </w:p>
        </w:tc>
        <w:tc>
          <w:tcPr>
            <w:tcW w:w="4758" w:type="dxa"/>
          </w:tcPr>
          <w:p w:rsidR="00C106FC" w:rsidRPr="00AD3E7B" w:rsidRDefault="00C106FC" w:rsidP="003938AC">
            <w:pPr>
              <w:pStyle w:val="SingleTxtGC"/>
              <w:ind w:left="0" w:right="0"/>
              <w:rPr>
                <w:rFonts w:hint="eastAsia"/>
                <w:snapToGrid/>
              </w:rPr>
            </w:pPr>
            <w:r>
              <w:rPr>
                <w:rFonts w:hint="eastAsia"/>
              </w:rPr>
              <w:t>和平集会的权利</w:t>
            </w:r>
          </w:p>
        </w:tc>
      </w:tr>
      <w:tr w:rsidR="00C106FC" w:rsidTr="003938AC">
        <w:trPr>
          <w:cantSplit/>
        </w:trPr>
        <w:tc>
          <w:tcPr>
            <w:tcW w:w="2173" w:type="dxa"/>
          </w:tcPr>
          <w:p w:rsidR="00C106FC" w:rsidRPr="000475C3" w:rsidRDefault="00C106FC" w:rsidP="003938AC">
            <w:pPr>
              <w:pStyle w:val="SingleTxtGC"/>
              <w:ind w:left="0" w:right="0"/>
              <w:rPr>
                <w:rFonts w:ascii="Time New Roman" w:eastAsia="KaiTi_GB2312" w:hAnsi="Time New Roman" w:hint="eastAsia"/>
              </w:rPr>
            </w:pPr>
            <w:r>
              <w:rPr>
                <w:rFonts w:eastAsia="KaiTi_GB2312" w:hint="eastAsia"/>
                <w:snapToGrid/>
              </w:rPr>
              <w:t>程序性问题</w:t>
            </w:r>
            <w:r w:rsidR="003938AC">
              <w:rPr>
                <w:rFonts w:hint="eastAsia"/>
                <w:snapToGrid/>
              </w:rPr>
              <w:t>：</w:t>
            </w:r>
          </w:p>
        </w:tc>
        <w:tc>
          <w:tcPr>
            <w:tcW w:w="4758" w:type="dxa"/>
          </w:tcPr>
          <w:p w:rsidR="00C106FC" w:rsidRPr="00AD3E7B" w:rsidRDefault="00C106FC" w:rsidP="003938AC">
            <w:pPr>
              <w:pStyle w:val="SingleTxtGC"/>
              <w:ind w:left="0" w:right="0"/>
              <w:rPr>
                <w:rFonts w:hint="eastAsia"/>
                <w:snapToGrid/>
              </w:rPr>
            </w:pPr>
            <w:r>
              <w:rPr>
                <w:rFonts w:hint="eastAsia"/>
                <w:snapToGrid/>
              </w:rPr>
              <w:t>同一事件已经在另一国际调查或解决程序的审查中</w:t>
            </w:r>
            <w:r w:rsidR="003938AC">
              <w:rPr>
                <w:rFonts w:hint="eastAsia"/>
                <w:snapToGrid/>
              </w:rPr>
              <w:t>；</w:t>
            </w:r>
            <w:r>
              <w:rPr>
                <w:rFonts w:hint="eastAsia"/>
                <w:snapToGrid/>
              </w:rPr>
              <w:t>用尽国内补救措施</w:t>
            </w:r>
            <w:r w:rsidR="003938AC">
              <w:rPr>
                <w:rFonts w:hint="eastAsia"/>
                <w:snapToGrid/>
              </w:rPr>
              <w:t>；</w:t>
            </w:r>
            <w:r>
              <w:rPr>
                <w:rFonts w:hint="eastAsia"/>
                <w:snapToGrid/>
              </w:rPr>
              <w:t>证实申诉的程度</w:t>
            </w:r>
          </w:p>
        </w:tc>
      </w:tr>
      <w:tr w:rsidR="00C106FC" w:rsidTr="003938AC">
        <w:trPr>
          <w:cantSplit/>
        </w:trPr>
        <w:tc>
          <w:tcPr>
            <w:tcW w:w="2173" w:type="dxa"/>
          </w:tcPr>
          <w:p w:rsidR="00C106FC" w:rsidRPr="00C74FB6" w:rsidRDefault="00C106FC" w:rsidP="003938AC">
            <w:pPr>
              <w:pStyle w:val="SingleTxtGC"/>
              <w:ind w:left="0" w:right="0"/>
              <w:rPr>
                <w:rFonts w:eastAsia="KaiTi_GB2312" w:hint="eastAsia"/>
                <w:snapToGrid/>
                <w:lang w:val="fr-CH"/>
              </w:rPr>
            </w:pPr>
            <w:r w:rsidRPr="00C74FB6">
              <w:rPr>
                <w:rFonts w:eastAsia="KaiTi_GB2312"/>
                <w:snapToGrid/>
              </w:rPr>
              <w:t>实质性问题</w:t>
            </w:r>
            <w:r w:rsidR="003938AC">
              <w:rPr>
                <w:rFonts w:eastAsia="KaiTi_GB2312" w:hint="eastAsia"/>
                <w:snapToGrid/>
                <w:lang w:val="fr-CH"/>
              </w:rPr>
              <w:t>：</w:t>
            </w:r>
          </w:p>
        </w:tc>
        <w:tc>
          <w:tcPr>
            <w:tcW w:w="4758" w:type="dxa"/>
          </w:tcPr>
          <w:p w:rsidR="00C106FC" w:rsidRPr="00AD3E7B" w:rsidRDefault="00C106FC" w:rsidP="003938AC">
            <w:pPr>
              <w:pStyle w:val="SingleTxtGC"/>
              <w:ind w:left="0" w:right="0"/>
              <w:rPr>
                <w:rFonts w:hint="eastAsia"/>
                <w:snapToGrid/>
              </w:rPr>
            </w:pPr>
            <w:r>
              <w:rPr>
                <w:rFonts w:hint="eastAsia"/>
              </w:rPr>
              <w:t>限制和平集会权没有正当理由</w:t>
            </w:r>
          </w:p>
        </w:tc>
      </w:tr>
      <w:tr w:rsidR="00C106FC" w:rsidTr="003938AC">
        <w:trPr>
          <w:cantSplit/>
        </w:trPr>
        <w:tc>
          <w:tcPr>
            <w:tcW w:w="2173" w:type="dxa"/>
          </w:tcPr>
          <w:p w:rsidR="00C106FC" w:rsidRPr="00C74FB6" w:rsidRDefault="00C106FC" w:rsidP="003938A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3938AC">
              <w:rPr>
                <w:rFonts w:hint="eastAsia"/>
                <w:snapToGrid/>
              </w:rPr>
              <w:t>：</w:t>
            </w:r>
          </w:p>
        </w:tc>
        <w:tc>
          <w:tcPr>
            <w:tcW w:w="4758" w:type="dxa"/>
          </w:tcPr>
          <w:p w:rsidR="00C106FC" w:rsidRPr="00AD3E7B" w:rsidRDefault="00C106FC" w:rsidP="003938AC">
            <w:pPr>
              <w:pStyle w:val="SingleTxtGC"/>
              <w:ind w:left="0" w:right="0"/>
              <w:rPr>
                <w:rFonts w:hint="eastAsia"/>
                <w:snapToGrid/>
              </w:rPr>
            </w:pPr>
            <w:r>
              <w:rPr>
                <w:rFonts w:hint="eastAsia"/>
                <w:snapToGrid/>
              </w:rPr>
              <w:t>第</w:t>
            </w:r>
            <w:r w:rsidRPr="00AD3E7B">
              <w:rPr>
                <w:rFonts w:hint="eastAsia"/>
                <w:snapToGrid/>
              </w:rPr>
              <w:t>二十</w:t>
            </w:r>
            <w:r>
              <w:rPr>
                <w:rFonts w:hint="eastAsia"/>
                <w:snapToGrid/>
              </w:rPr>
              <w:t>一</w:t>
            </w:r>
            <w:r w:rsidRPr="00AD3E7B">
              <w:rPr>
                <w:rFonts w:hint="eastAsia"/>
                <w:snapToGrid/>
              </w:rPr>
              <w:t>条</w:t>
            </w:r>
          </w:p>
        </w:tc>
      </w:tr>
      <w:tr w:rsidR="00C106FC" w:rsidTr="003938AC">
        <w:trPr>
          <w:cantSplit/>
        </w:trPr>
        <w:tc>
          <w:tcPr>
            <w:tcW w:w="2173" w:type="dxa"/>
          </w:tcPr>
          <w:p w:rsidR="00C106FC" w:rsidRPr="000475C3" w:rsidRDefault="00C106FC" w:rsidP="003938A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3938AC">
              <w:rPr>
                <w:rFonts w:hint="eastAsia"/>
                <w:snapToGrid/>
              </w:rPr>
              <w:t>：</w:t>
            </w:r>
          </w:p>
        </w:tc>
        <w:tc>
          <w:tcPr>
            <w:tcW w:w="4758" w:type="dxa"/>
          </w:tcPr>
          <w:p w:rsidR="00C106FC" w:rsidRPr="00AD3E7B" w:rsidRDefault="00C106FC" w:rsidP="003938AC">
            <w:pPr>
              <w:pStyle w:val="SingleTxtGC"/>
              <w:ind w:left="0" w:right="0"/>
              <w:rPr>
                <w:rFonts w:hint="eastAsia"/>
                <w:snapToGrid/>
              </w:rPr>
            </w:pPr>
            <w:r>
              <w:rPr>
                <w:rFonts w:hint="eastAsia"/>
                <w:snapToGrid/>
              </w:rPr>
              <w:t>第二</w:t>
            </w:r>
            <w:r w:rsidRPr="00AD3E7B">
              <w:rPr>
                <w:rFonts w:hint="eastAsia"/>
                <w:snapToGrid/>
              </w:rPr>
              <w:t>条</w:t>
            </w:r>
            <w:r w:rsidR="003938AC">
              <w:rPr>
                <w:rFonts w:hint="eastAsia"/>
                <w:snapToGrid/>
              </w:rPr>
              <w:t>，</w:t>
            </w:r>
            <w:r>
              <w:rPr>
                <w:rFonts w:hint="eastAsia"/>
                <w:snapToGrid/>
              </w:rPr>
              <w:t>第五条第</w:t>
            </w:r>
            <w:r>
              <w:rPr>
                <w:rFonts w:hint="eastAsia"/>
                <w:snapToGrid/>
              </w:rPr>
              <w:t>2</w:t>
            </w:r>
            <w:r>
              <w:rPr>
                <w:rFonts w:hint="eastAsia"/>
                <w:snapToGrid/>
              </w:rPr>
              <w:t>款</w:t>
            </w:r>
            <w:r w:rsidR="003938AC">
              <w:rPr>
                <w:rFonts w:hint="eastAsia"/>
                <w:snapToGrid/>
              </w:rPr>
              <w:t>(</w:t>
            </w:r>
            <w:r>
              <w:rPr>
                <w:rFonts w:hint="eastAsia"/>
                <w:snapToGrid/>
              </w:rPr>
              <w:t>子</w:t>
            </w:r>
            <w:r w:rsidR="003938AC">
              <w:rPr>
                <w:rFonts w:hint="eastAsia"/>
                <w:snapToGrid/>
              </w:rPr>
              <w:t>)</w:t>
            </w:r>
            <w:r>
              <w:rPr>
                <w:rFonts w:hint="eastAsia"/>
                <w:snapToGrid/>
              </w:rPr>
              <w:t>项和</w:t>
            </w:r>
            <w:r w:rsidR="003938AC">
              <w:t>(</w:t>
            </w:r>
            <w:r>
              <w:t>丑</w:t>
            </w:r>
            <w:r w:rsidR="003938AC">
              <w:t>)</w:t>
            </w:r>
            <w:r>
              <w:t>项</w:t>
            </w:r>
          </w:p>
        </w:tc>
      </w:tr>
    </w:tbl>
    <w:p w:rsidR="00C106FC" w:rsidRPr="005F24E4" w:rsidRDefault="00C106FC" w:rsidP="00C106FC">
      <w:pPr>
        <w:pStyle w:val="SingleTxtGC"/>
        <w:rPr>
          <w:rFonts w:hint="eastAsia"/>
          <w:snapToGrid/>
        </w:rPr>
      </w:pPr>
    </w:p>
    <w:p w:rsidR="00C106FC" w:rsidRDefault="00C106FC" w:rsidP="00C106FC">
      <w:pPr>
        <w:pStyle w:val="HChGC"/>
        <w:rPr>
          <w:rFonts w:hint="eastAsia"/>
        </w:rPr>
      </w:pPr>
      <w:r>
        <w:br w:type="page"/>
      </w:r>
      <w:r>
        <w:rPr>
          <w:rFonts w:hint="eastAsia"/>
        </w:rPr>
        <w:t>附件</w:t>
      </w:r>
    </w:p>
    <w:p w:rsidR="00C106FC" w:rsidRPr="009D0B11" w:rsidRDefault="00C106FC" w:rsidP="00C106FC">
      <w:pPr>
        <w:pStyle w:val="HChGC"/>
        <w:rPr>
          <w:rFonts w:hint="eastAsia"/>
        </w:rPr>
      </w:pPr>
      <w:r>
        <w:rPr>
          <w:rFonts w:hint="eastAsia"/>
        </w:rPr>
        <w:tab/>
      </w:r>
      <w:r>
        <w:rPr>
          <w:rFonts w:hint="eastAsia"/>
        </w:rPr>
        <w:tab/>
      </w:r>
      <w:r>
        <w:rPr>
          <w:rFonts w:hint="eastAsia"/>
        </w:rPr>
        <w:t>人权事务委员会根据《公民权利和政治权利国际公约</w:t>
      </w:r>
      <w:r>
        <w:br/>
      </w:r>
      <w:r>
        <w:rPr>
          <w:rFonts w:hint="eastAsia"/>
        </w:rPr>
        <w:t>任择议定书》第五条第</w:t>
      </w:r>
      <w:r>
        <w:t>4</w:t>
      </w:r>
      <w:r>
        <w:rPr>
          <w:rFonts w:hint="eastAsia"/>
        </w:rPr>
        <w:t>款</w:t>
      </w:r>
      <w:r w:rsidR="003938AC">
        <w:rPr>
          <w:rFonts w:hint="eastAsia"/>
        </w:rPr>
        <w:t>(</w:t>
      </w:r>
      <w:r w:rsidRPr="009D0B11">
        <w:rPr>
          <w:rFonts w:hint="eastAsia"/>
        </w:rPr>
        <w:t>第一</w:t>
      </w:r>
      <w:r w:rsidR="00134572">
        <w:rPr>
          <w:rFonts w:ascii="SimSun" w:hAnsi="SimSun" w:hint="eastAsia"/>
        </w:rPr>
        <w:t>〇</w:t>
      </w:r>
      <w:r>
        <w:rPr>
          <w:rFonts w:hint="eastAsia"/>
        </w:rPr>
        <w:t>九届</w:t>
      </w:r>
      <w:r w:rsidRPr="009D0B11">
        <w:rPr>
          <w:rFonts w:hint="eastAsia"/>
        </w:rPr>
        <w:t>会议</w:t>
      </w:r>
      <w:r w:rsidR="003938AC">
        <w:rPr>
          <w:rFonts w:hint="eastAsia"/>
        </w:rPr>
        <w:t>)</w:t>
      </w:r>
    </w:p>
    <w:p w:rsidR="00C106FC" w:rsidRDefault="00C106FC" w:rsidP="00C106FC">
      <w:pPr>
        <w:pStyle w:val="SingleTxtGC"/>
        <w:rPr>
          <w:rFonts w:hint="eastAsia"/>
        </w:rPr>
      </w:pPr>
      <w:r>
        <w:rPr>
          <w:rFonts w:hint="eastAsia"/>
        </w:rPr>
        <w:t>通过的关于</w:t>
      </w:r>
    </w:p>
    <w:p w:rsidR="00C106FC" w:rsidRDefault="00C106FC" w:rsidP="00C106FC">
      <w:pPr>
        <w:pStyle w:val="H1GC"/>
        <w:rPr>
          <w:rFonts w:hint="eastAsia"/>
        </w:rPr>
      </w:pPr>
      <w:r>
        <w:rPr>
          <w:rFonts w:hint="eastAsia"/>
        </w:rPr>
        <w:tab/>
      </w:r>
      <w:r>
        <w:rPr>
          <w:rFonts w:hint="eastAsia"/>
        </w:rPr>
        <w:tab/>
      </w:r>
      <w:r>
        <w:rPr>
          <w:rFonts w:hint="eastAsia"/>
        </w:rPr>
        <w:t>第</w:t>
      </w:r>
      <w:r>
        <w:t>1</w:t>
      </w:r>
      <w:r>
        <w:rPr>
          <w:rFonts w:hint="eastAsia"/>
        </w:rPr>
        <w:t>873</w:t>
      </w:r>
      <w:r w:rsidR="003938AC">
        <w:t>/</w:t>
      </w:r>
      <w:r>
        <w:t>200</w:t>
      </w:r>
      <w:r>
        <w:rPr>
          <w:rFonts w:hint="eastAsia"/>
        </w:rPr>
        <w:t>9</w:t>
      </w:r>
      <w:r>
        <w:rPr>
          <w:rFonts w:hint="eastAsia"/>
        </w:rPr>
        <w:t>号来文的意见</w:t>
      </w:r>
      <w:r w:rsidRPr="00132AC3">
        <w:rPr>
          <w:rStyle w:val="FootnoteReference"/>
          <w:vertAlign w:val="baseline"/>
        </w:rPr>
        <w:footnoteReference w:customMarkFollows="1" w:id="1"/>
        <w:sym w:font="Symbol" w:char="F02A"/>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06FC" w:rsidRPr="00C74FB6" w:rsidTr="003938AC">
        <w:trPr>
          <w:cantSplit/>
        </w:trPr>
        <w:tc>
          <w:tcPr>
            <w:tcW w:w="1907" w:type="dxa"/>
          </w:tcPr>
          <w:p w:rsidR="00C106FC" w:rsidRPr="00C74FB6" w:rsidRDefault="00C106FC" w:rsidP="003938AC">
            <w:pPr>
              <w:pStyle w:val="SingleTxtGC"/>
              <w:ind w:left="0" w:right="0"/>
              <w:rPr>
                <w:rFonts w:eastAsia="KaiTi_GB2312"/>
              </w:rPr>
            </w:pPr>
            <w:r w:rsidRPr="00B115C8">
              <w:rPr>
                <w:rFonts w:ascii="Time New Roman" w:eastAsia="KaiTi_GB2312" w:hAnsi="Time New Roman" w:hint="eastAsia"/>
              </w:rPr>
              <w:t>提交人</w:t>
            </w:r>
            <w:r w:rsidR="003938AC">
              <w:rPr>
                <w:rFonts w:eastAsia="KaiTi_GB2312" w:hint="eastAsia"/>
              </w:rPr>
              <w:t>：</w:t>
            </w:r>
          </w:p>
        </w:tc>
        <w:tc>
          <w:tcPr>
            <w:tcW w:w="5025" w:type="dxa"/>
          </w:tcPr>
          <w:p w:rsidR="00C106FC" w:rsidRPr="00402125" w:rsidRDefault="00C106FC" w:rsidP="003938AC">
            <w:pPr>
              <w:pStyle w:val="SingleTxtGC"/>
              <w:ind w:left="0" w:right="0"/>
            </w:pPr>
            <w:r w:rsidRPr="00007C2A">
              <w:t>Nikolai Alekseev</w:t>
            </w:r>
            <w:r w:rsidRPr="00402125">
              <w:t xml:space="preserve"> </w:t>
            </w:r>
            <w:r w:rsidR="003938AC">
              <w:t>(</w:t>
            </w:r>
            <w:r w:rsidRPr="00402125">
              <w:rPr>
                <w:rFonts w:hint="eastAsia"/>
              </w:rPr>
              <w:t>无律师代理</w:t>
            </w:r>
            <w:r w:rsidR="003938AC">
              <w:t>)</w:t>
            </w:r>
          </w:p>
        </w:tc>
      </w:tr>
      <w:tr w:rsidR="00C106FC" w:rsidRPr="00C74FB6" w:rsidTr="003938AC">
        <w:trPr>
          <w:cantSplit/>
        </w:trPr>
        <w:tc>
          <w:tcPr>
            <w:tcW w:w="1907" w:type="dxa"/>
          </w:tcPr>
          <w:p w:rsidR="00C106FC" w:rsidRPr="00C74FB6" w:rsidRDefault="00C106FC" w:rsidP="003938AC">
            <w:pPr>
              <w:pStyle w:val="SingleTxtGC"/>
              <w:ind w:left="0" w:right="0"/>
              <w:rPr>
                <w:rFonts w:eastAsia="KaiTi_GB2312"/>
              </w:rPr>
            </w:pPr>
            <w:r w:rsidRPr="005749F7">
              <w:rPr>
                <w:rFonts w:ascii="Time New Roman" w:eastAsia="KaiTi_GB2312" w:hAnsi="Time New Roman" w:hint="eastAsia"/>
              </w:rPr>
              <w:t>据称受害人</w:t>
            </w:r>
            <w:r w:rsidR="003938AC">
              <w:rPr>
                <w:rFonts w:ascii="Time New Roman" w:eastAsia="KaiTi_GB2312" w:hAnsi="Time New Roman" w:hint="eastAsia"/>
              </w:rPr>
              <w:t>：</w:t>
            </w:r>
          </w:p>
        </w:tc>
        <w:tc>
          <w:tcPr>
            <w:tcW w:w="5025" w:type="dxa"/>
          </w:tcPr>
          <w:p w:rsidR="00C106FC" w:rsidRPr="00C74FB6" w:rsidRDefault="00C106FC" w:rsidP="003938AC">
            <w:pPr>
              <w:pStyle w:val="SingleTxtGC"/>
              <w:ind w:left="0" w:right="0"/>
            </w:pPr>
            <w:r w:rsidRPr="00C74FB6">
              <w:rPr>
                <w:rFonts w:hint="eastAsia"/>
              </w:rPr>
              <w:t>提交人</w:t>
            </w:r>
          </w:p>
        </w:tc>
      </w:tr>
      <w:tr w:rsidR="00C106FC" w:rsidRPr="00C74FB6" w:rsidTr="003938AC">
        <w:trPr>
          <w:cantSplit/>
        </w:trPr>
        <w:tc>
          <w:tcPr>
            <w:tcW w:w="1907" w:type="dxa"/>
          </w:tcPr>
          <w:p w:rsidR="00C106FC" w:rsidRPr="00C74FB6" w:rsidRDefault="00C106FC" w:rsidP="003938AC">
            <w:pPr>
              <w:pStyle w:val="SingleTxtGC"/>
              <w:ind w:left="0" w:right="0"/>
              <w:rPr>
                <w:rFonts w:eastAsia="KaiTi_GB2312"/>
              </w:rPr>
            </w:pPr>
            <w:r w:rsidRPr="005749F7">
              <w:rPr>
                <w:rFonts w:ascii="Time New Roman" w:eastAsia="KaiTi_GB2312" w:hAnsi="Time New Roman" w:hint="eastAsia"/>
              </w:rPr>
              <w:t>所涉缔约国</w:t>
            </w:r>
            <w:r w:rsidR="003938AC">
              <w:rPr>
                <w:rFonts w:ascii="Time New Roman" w:eastAsia="KaiTi_GB2312" w:hAnsi="Time New Roman" w:hint="eastAsia"/>
              </w:rPr>
              <w:t>：</w:t>
            </w:r>
          </w:p>
        </w:tc>
        <w:tc>
          <w:tcPr>
            <w:tcW w:w="5025" w:type="dxa"/>
          </w:tcPr>
          <w:p w:rsidR="00C106FC" w:rsidRPr="00402125" w:rsidRDefault="00C106FC" w:rsidP="003938AC">
            <w:pPr>
              <w:pStyle w:val="SingleTxtGC"/>
              <w:ind w:left="0" w:right="0"/>
            </w:pPr>
            <w:r>
              <w:rPr>
                <w:rFonts w:hint="eastAsia"/>
              </w:rPr>
              <w:t>俄罗斯联邦</w:t>
            </w:r>
          </w:p>
        </w:tc>
      </w:tr>
      <w:tr w:rsidR="00C106FC" w:rsidRPr="00C74FB6" w:rsidTr="003938AC">
        <w:trPr>
          <w:cantSplit/>
        </w:trPr>
        <w:tc>
          <w:tcPr>
            <w:tcW w:w="1907" w:type="dxa"/>
          </w:tcPr>
          <w:p w:rsidR="00C106FC" w:rsidRPr="005749F7" w:rsidRDefault="00C106FC" w:rsidP="003938A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3938AC">
              <w:rPr>
                <w:rFonts w:ascii="Time New Roman" w:eastAsia="KaiTi_GB2312" w:hAnsi="Time New Roman" w:hint="eastAsia"/>
              </w:rPr>
              <w:t>：</w:t>
            </w:r>
          </w:p>
        </w:tc>
        <w:tc>
          <w:tcPr>
            <w:tcW w:w="5025" w:type="dxa"/>
          </w:tcPr>
          <w:p w:rsidR="00C106FC" w:rsidRPr="00402125" w:rsidRDefault="00C106FC" w:rsidP="003938AC">
            <w:pPr>
              <w:pStyle w:val="SingleTxtGC"/>
              <w:ind w:left="0" w:right="0"/>
              <w:rPr>
                <w:rFonts w:hint="eastAsia"/>
              </w:rPr>
            </w:pPr>
            <w:r w:rsidRPr="00402125">
              <w:rPr>
                <w:rFonts w:hint="eastAsia"/>
              </w:rPr>
              <w:t>200</w:t>
            </w:r>
            <w:r>
              <w:rPr>
                <w:rFonts w:hint="eastAsia"/>
              </w:rPr>
              <w:t>9</w:t>
            </w:r>
            <w:r w:rsidRPr="00402125">
              <w:rPr>
                <w:rFonts w:hint="eastAsia"/>
              </w:rPr>
              <w:t>年</w:t>
            </w:r>
            <w:r>
              <w:rPr>
                <w:rFonts w:hint="eastAsia"/>
              </w:rPr>
              <w:t>3</w:t>
            </w:r>
            <w:r w:rsidRPr="00402125">
              <w:rPr>
                <w:rFonts w:hint="eastAsia"/>
              </w:rPr>
              <w:t>月</w:t>
            </w:r>
            <w:r>
              <w:rPr>
                <w:rFonts w:hint="eastAsia"/>
              </w:rPr>
              <w:t>25</w:t>
            </w:r>
            <w:r w:rsidRPr="00402125">
              <w:rPr>
                <w:rFonts w:hint="eastAsia"/>
              </w:rPr>
              <w:t>日</w:t>
            </w:r>
            <w:r w:rsidR="003938AC">
              <w:rPr>
                <w:rFonts w:hint="eastAsia"/>
              </w:rPr>
              <w:t>(</w:t>
            </w:r>
            <w:r w:rsidRPr="00402125">
              <w:rPr>
                <w:rFonts w:hint="eastAsia"/>
              </w:rPr>
              <w:t>首次提交</w:t>
            </w:r>
            <w:r w:rsidR="003938AC">
              <w:rPr>
                <w:rFonts w:hint="eastAsia"/>
              </w:rPr>
              <w:t>)</w:t>
            </w:r>
          </w:p>
        </w:tc>
      </w:tr>
    </w:tbl>
    <w:p w:rsidR="00C106FC" w:rsidRDefault="00C106FC" w:rsidP="00C106FC">
      <w:pPr>
        <w:spacing w:line="160" w:lineRule="exact"/>
        <w:rPr>
          <w:rFonts w:hint="eastAsia"/>
        </w:rPr>
      </w:pPr>
    </w:p>
    <w:p w:rsidR="00C106FC" w:rsidRDefault="00C106FC" w:rsidP="00C106FC">
      <w:pPr>
        <w:pStyle w:val="SingleTxtGC"/>
      </w:pPr>
      <w:r>
        <w:rPr>
          <w:rFonts w:hint="eastAsia"/>
        </w:rPr>
        <w:tab/>
      </w:r>
      <w:r>
        <w:rPr>
          <w:rFonts w:hint="eastAsia"/>
        </w:rPr>
        <w:t>根据《公民权利和政治权利国际公约》第二十八条设立的</w:t>
      </w:r>
      <w:r w:rsidRPr="00E9545F">
        <w:rPr>
          <w:rFonts w:eastAsia="KaiTi_GB2312" w:hint="eastAsia"/>
          <w:snapToGrid/>
        </w:rPr>
        <w:t>人权事务委员会</w:t>
      </w:r>
      <w:r w:rsidR="003938AC">
        <w:rPr>
          <w:rFonts w:hint="eastAsia"/>
        </w:rPr>
        <w:t>，</w:t>
      </w:r>
    </w:p>
    <w:p w:rsidR="00C106FC" w:rsidRDefault="00C106FC" w:rsidP="00C106FC">
      <w:pPr>
        <w:pStyle w:val="SingleTxtGC"/>
      </w:pPr>
      <w:r>
        <w:rPr>
          <w:rFonts w:hint="eastAsia"/>
        </w:rPr>
        <w:tab/>
      </w:r>
      <w:r>
        <w:rPr>
          <w:rFonts w:hint="eastAsia"/>
        </w:rPr>
        <w:t>于</w:t>
      </w:r>
      <w:r>
        <w:rPr>
          <w:rFonts w:hint="eastAsia"/>
        </w:rPr>
        <w:t>2013</w:t>
      </w:r>
      <w:r>
        <w:rPr>
          <w:rFonts w:hint="eastAsia"/>
        </w:rPr>
        <w:t>年</w:t>
      </w:r>
      <w:r>
        <w:rPr>
          <w:rFonts w:hint="eastAsia"/>
        </w:rPr>
        <w:t>10</w:t>
      </w:r>
      <w:r>
        <w:rPr>
          <w:rFonts w:hint="eastAsia"/>
        </w:rPr>
        <w:t>月</w:t>
      </w:r>
      <w:r>
        <w:rPr>
          <w:rFonts w:hint="eastAsia"/>
        </w:rPr>
        <w:t>25</w:t>
      </w:r>
      <w:r>
        <w:rPr>
          <w:rFonts w:hint="eastAsia"/>
        </w:rPr>
        <w:t>日</w:t>
      </w:r>
      <w:r w:rsidRPr="00E9545F">
        <w:rPr>
          <w:rFonts w:eastAsia="KaiTi_GB2312" w:hint="eastAsia"/>
          <w:snapToGrid/>
        </w:rPr>
        <w:t>举行会议</w:t>
      </w:r>
      <w:r w:rsidR="003938AC">
        <w:rPr>
          <w:rFonts w:hint="eastAsia"/>
        </w:rPr>
        <w:t>，</w:t>
      </w:r>
    </w:p>
    <w:p w:rsidR="00C106FC" w:rsidRDefault="00C106FC" w:rsidP="00C106FC">
      <w:pPr>
        <w:pStyle w:val="SingleTxtGC"/>
      </w:pPr>
      <w:r>
        <w:rPr>
          <w:rFonts w:eastAsia="KaiTi_GB2312"/>
        </w:rPr>
        <w:tab/>
      </w:r>
      <w:r>
        <w:rPr>
          <w:rFonts w:eastAsia="KaiTi_GB2312" w:hint="eastAsia"/>
        </w:rPr>
        <w:t>结束了</w:t>
      </w:r>
      <w:r w:rsidRPr="00007C2A">
        <w:t>Nikolai Alekseev</w:t>
      </w:r>
      <w:r>
        <w:rPr>
          <w:rFonts w:hint="eastAsia"/>
        </w:rPr>
        <w:t>根据</w:t>
      </w:r>
      <w:r>
        <w:rPr>
          <w:rFonts w:hint="eastAsia"/>
          <w:lang w:val="en-GB"/>
        </w:rPr>
        <w:t>《公民权利和政治权利国际公约任择议定书》提交人权事务委员会的第</w:t>
      </w:r>
      <w:r>
        <w:t>1</w:t>
      </w:r>
      <w:r>
        <w:rPr>
          <w:rFonts w:hint="eastAsia"/>
        </w:rPr>
        <w:t>873</w:t>
      </w:r>
      <w:r w:rsidR="003938AC">
        <w:t>/</w:t>
      </w:r>
      <w:r>
        <w:t>200</w:t>
      </w:r>
      <w:r>
        <w:rPr>
          <w:rFonts w:hint="eastAsia"/>
        </w:rPr>
        <w:t>9</w:t>
      </w:r>
      <w:r>
        <w:rPr>
          <w:rFonts w:hint="eastAsia"/>
        </w:rPr>
        <w:t>号来文的审议工作</w:t>
      </w:r>
      <w:r w:rsidR="003938AC">
        <w:rPr>
          <w:rFonts w:hint="eastAsia"/>
        </w:rPr>
        <w:t>，</w:t>
      </w:r>
    </w:p>
    <w:p w:rsidR="00C106FC" w:rsidRDefault="00C106FC" w:rsidP="00C106FC">
      <w:pPr>
        <w:pStyle w:val="SingleTxtGC"/>
      </w:pPr>
      <w:r>
        <w:tab/>
      </w:r>
      <w:r>
        <w:rPr>
          <w:rFonts w:eastAsia="KaiTi_GB2312" w:hint="eastAsia"/>
        </w:rPr>
        <w:t>考虑了</w:t>
      </w:r>
      <w:r>
        <w:rPr>
          <w:rFonts w:hint="eastAsia"/>
          <w:lang w:val="en-GB"/>
        </w:rPr>
        <w:t>来文提交人和缔约国提供的全部书面材料</w:t>
      </w:r>
      <w:r w:rsidR="003938AC">
        <w:rPr>
          <w:rFonts w:hint="eastAsia"/>
        </w:rPr>
        <w:t>，</w:t>
      </w:r>
    </w:p>
    <w:p w:rsidR="00C106FC" w:rsidRDefault="00C106FC" w:rsidP="00C106FC">
      <w:pPr>
        <w:pStyle w:val="SingleTxtGC"/>
      </w:pPr>
      <w:r>
        <w:tab/>
      </w:r>
      <w:r>
        <w:rPr>
          <w:rFonts w:eastAsia="KaiTi_GB2312" w:hint="eastAsia"/>
        </w:rPr>
        <w:t>通过了</w:t>
      </w:r>
      <w:r>
        <w:rPr>
          <w:rFonts w:hint="eastAsia"/>
        </w:rPr>
        <w:t>如下</w:t>
      </w:r>
      <w:r w:rsidR="003938AC">
        <w:rPr>
          <w:rFonts w:hint="eastAsia"/>
        </w:rPr>
        <w:t>：</w:t>
      </w:r>
    </w:p>
    <w:p w:rsidR="00C106FC" w:rsidRDefault="00C106FC" w:rsidP="00C106FC">
      <w:pPr>
        <w:pStyle w:val="H1GC"/>
        <w:rPr>
          <w:rFonts w:hint="eastAsia"/>
        </w:rPr>
      </w:pPr>
      <w:r>
        <w:rPr>
          <w:rFonts w:hint="eastAsia"/>
        </w:rPr>
        <w:tab/>
      </w:r>
      <w:r>
        <w:rPr>
          <w:rFonts w:hint="eastAsia"/>
        </w:rPr>
        <w:tab/>
      </w:r>
      <w:r w:rsidRPr="00402125">
        <w:rPr>
          <w:rFonts w:hint="eastAsia"/>
        </w:rPr>
        <w:t>根据任择议定书第五条第</w:t>
      </w:r>
      <w:r w:rsidRPr="00402125">
        <w:rPr>
          <w:rFonts w:hint="eastAsia"/>
        </w:rPr>
        <w:t>4</w:t>
      </w:r>
      <w:r w:rsidRPr="00402125">
        <w:rPr>
          <w:rFonts w:hint="eastAsia"/>
        </w:rPr>
        <w:t>款发表的意见</w:t>
      </w:r>
    </w:p>
    <w:p w:rsidR="00384378" w:rsidRDefault="003938AC" w:rsidP="003938AC">
      <w:pPr>
        <w:pStyle w:val="SingleTxtGC"/>
        <w:rPr>
          <w:rFonts w:hint="eastAsia"/>
        </w:rPr>
      </w:pPr>
      <w:r>
        <w:rPr>
          <w:rFonts w:hint="eastAsia"/>
        </w:rPr>
        <w:t>1.</w:t>
      </w:r>
      <w:r w:rsidR="00384378">
        <w:rPr>
          <w:rFonts w:hint="eastAsia"/>
        </w:rPr>
        <w:t xml:space="preserve">  </w:t>
      </w:r>
      <w:r w:rsidR="00384378">
        <w:rPr>
          <w:rFonts w:hint="eastAsia"/>
        </w:rPr>
        <w:t>来文提交人是</w:t>
      </w:r>
      <w:r w:rsidR="00384378">
        <w:rPr>
          <w:rFonts w:hint="eastAsia"/>
        </w:rPr>
        <w:t>Nikolai Aleksee</w:t>
      </w:r>
      <w:r>
        <w:rPr>
          <w:rFonts w:hint="eastAsia"/>
        </w:rPr>
        <w:t xml:space="preserve">v, </w:t>
      </w:r>
      <w:r w:rsidR="00384378">
        <w:rPr>
          <w:rFonts w:hint="eastAsia"/>
        </w:rPr>
        <w:t>俄罗斯国民</w:t>
      </w:r>
      <w:r>
        <w:rPr>
          <w:rFonts w:hint="eastAsia"/>
        </w:rPr>
        <w:t>，</w:t>
      </w:r>
      <w:r w:rsidR="00384378">
        <w:rPr>
          <w:rFonts w:hint="eastAsia"/>
        </w:rPr>
        <w:t>生于</w:t>
      </w:r>
      <w:r w:rsidR="00384378">
        <w:rPr>
          <w:rFonts w:hint="eastAsia"/>
        </w:rPr>
        <w:t>1977</w:t>
      </w:r>
      <w:r w:rsidR="00384378">
        <w:rPr>
          <w:rFonts w:hint="eastAsia"/>
        </w:rPr>
        <w:t>年。他声称俄罗斯联邦侵犯了他在《公民权利和政治权利国际公约》第二十一条下的权利</w:t>
      </w:r>
      <w:r>
        <w:rPr>
          <w:rFonts w:hint="eastAsia"/>
        </w:rPr>
        <w:t>，</w:t>
      </w:r>
      <w:r w:rsidR="00384378">
        <w:rPr>
          <w:rFonts w:hint="eastAsia"/>
        </w:rPr>
        <w:t>使他受害。</w:t>
      </w:r>
      <w:r w:rsidR="00384378">
        <w:rPr>
          <w:rStyle w:val="FootnoteReference"/>
        </w:rPr>
        <w:footnoteReference w:id="2"/>
      </w:r>
      <w:r w:rsidR="00384378">
        <w:rPr>
          <w:rFonts w:hint="eastAsia"/>
        </w:rPr>
        <w:t xml:space="preserve"> </w:t>
      </w:r>
      <w:r w:rsidR="00384378">
        <w:rPr>
          <w:rFonts w:hint="eastAsia"/>
        </w:rPr>
        <w:t>提交人没有律师代理。</w:t>
      </w:r>
    </w:p>
    <w:p w:rsidR="00384378" w:rsidRDefault="00384378" w:rsidP="003938AC">
      <w:pPr>
        <w:pStyle w:val="H23GC"/>
        <w:rPr>
          <w:rFonts w:hint="eastAsia"/>
        </w:rPr>
      </w:pPr>
      <w:r>
        <w:rPr>
          <w:rFonts w:hint="eastAsia"/>
        </w:rPr>
        <w:tab/>
      </w:r>
      <w:r>
        <w:rPr>
          <w:rFonts w:hint="eastAsia"/>
        </w:rPr>
        <w:tab/>
      </w:r>
      <w:r>
        <w:rPr>
          <w:rFonts w:hint="eastAsia"/>
        </w:rPr>
        <w:t>提交人陈述的事实</w:t>
      </w:r>
    </w:p>
    <w:p w:rsidR="00384378" w:rsidRDefault="003938AC" w:rsidP="003938AC">
      <w:pPr>
        <w:pStyle w:val="SingleTxtGC"/>
        <w:rPr>
          <w:rFonts w:hint="eastAsia"/>
        </w:rPr>
      </w:pPr>
      <w:r>
        <w:rPr>
          <w:rFonts w:hint="eastAsia"/>
        </w:rPr>
        <w:t>2.</w:t>
      </w:r>
      <w:r w:rsidR="00384378">
        <w:rPr>
          <w:rFonts w:hint="eastAsia"/>
        </w:rPr>
        <w:t xml:space="preserve">1  </w:t>
      </w:r>
      <w:r w:rsidR="00384378">
        <w:rPr>
          <w:rFonts w:hint="eastAsia"/>
        </w:rPr>
        <w:t>提交人是同性恋</w:t>
      </w:r>
      <w:r>
        <w:rPr>
          <w:rFonts w:hint="eastAsia"/>
        </w:rPr>
        <w:t>，</w:t>
      </w:r>
      <w:r w:rsidR="00384378">
        <w:rPr>
          <w:rFonts w:hint="eastAsia"/>
        </w:rPr>
        <w:t>也是人权活动人士。从</w:t>
      </w:r>
      <w:r w:rsidR="00384378">
        <w:rPr>
          <w:rFonts w:hint="eastAsia"/>
        </w:rPr>
        <w:t>2006</w:t>
      </w:r>
      <w:r w:rsidR="00384378">
        <w:rPr>
          <w:rFonts w:hint="eastAsia"/>
        </w:rPr>
        <w:t>年至</w:t>
      </w:r>
      <w:r w:rsidR="00384378">
        <w:rPr>
          <w:rFonts w:hint="eastAsia"/>
        </w:rPr>
        <w:t>2008</w:t>
      </w:r>
      <w:r w:rsidR="00384378">
        <w:rPr>
          <w:rFonts w:hint="eastAsia"/>
        </w:rPr>
        <w:t>年</w:t>
      </w:r>
      <w:r>
        <w:rPr>
          <w:rFonts w:hint="eastAsia"/>
        </w:rPr>
        <w:t>，</w:t>
      </w:r>
      <w:r w:rsidR="00384378">
        <w:rPr>
          <w:rFonts w:hint="eastAsia"/>
        </w:rPr>
        <w:t>提交人与其他活动人士一起试图在莫斯科组织一些和平集会</w:t>
      </w:r>
      <w:r>
        <w:rPr>
          <w:rFonts w:hint="eastAsia"/>
        </w:rPr>
        <w:t>(</w:t>
      </w:r>
      <w:r w:rsidR="00384378">
        <w:rPr>
          <w:rFonts w:hint="eastAsia"/>
        </w:rPr>
        <w:t>“同性恋自豪”游行</w:t>
      </w:r>
      <w:r>
        <w:rPr>
          <w:rFonts w:hint="eastAsia"/>
        </w:rPr>
        <w:t>)</w:t>
      </w:r>
      <w:r>
        <w:rPr>
          <w:rFonts w:hint="eastAsia"/>
        </w:rPr>
        <w:t>，</w:t>
      </w:r>
      <w:r w:rsidR="00384378">
        <w:rPr>
          <w:rFonts w:hint="eastAsia"/>
        </w:rPr>
        <w:t>但都受到市政当局的禁止。</w:t>
      </w:r>
    </w:p>
    <w:p w:rsidR="00384378" w:rsidRDefault="003938AC" w:rsidP="003938AC">
      <w:pPr>
        <w:pStyle w:val="SingleTxtGC"/>
        <w:rPr>
          <w:rFonts w:hint="eastAsia"/>
        </w:rPr>
      </w:pPr>
      <w:r>
        <w:rPr>
          <w:rFonts w:hint="eastAsia"/>
        </w:rPr>
        <w:t>2.</w:t>
      </w:r>
      <w:r w:rsidR="00384378">
        <w:rPr>
          <w:rFonts w:hint="eastAsia"/>
        </w:rPr>
        <w:t>2  2008</w:t>
      </w:r>
      <w:r w:rsidR="00384378">
        <w:rPr>
          <w:rFonts w:hint="eastAsia"/>
        </w:rPr>
        <w:t>年</w:t>
      </w:r>
      <w:r w:rsidR="00384378">
        <w:rPr>
          <w:rFonts w:hint="eastAsia"/>
        </w:rPr>
        <w:t>7</w:t>
      </w:r>
      <w:r w:rsidR="00384378">
        <w:rPr>
          <w:rFonts w:hint="eastAsia"/>
        </w:rPr>
        <w:t>月</w:t>
      </w:r>
      <w:r w:rsidR="00384378">
        <w:rPr>
          <w:rFonts w:hint="eastAsia"/>
        </w:rPr>
        <w:t>11</w:t>
      </w:r>
      <w:r w:rsidR="00384378">
        <w:rPr>
          <w:rFonts w:hint="eastAsia"/>
        </w:rPr>
        <w:t>日</w:t>
      </w:r>
      <w:r>
        <w:rPr>
          <w:rFonts w:hint="eastAsia"/>
        </w:rPr>
        <w:t>，</w:t>
      </w:r>
      <w:r w:rsidR="00384378">
        <w:rPr>
          <w:rFonts w:hint="eastAsia"/>
        </w:rPr>
        <w:t>提交人与其他活动人士一起向莫斯科中央行政区区长提出申请</w:t>
      </w:r>
      <w:r>
        <w:rPr>
          <w:rFonts w:hint="eastAsia"/>
        </w:rPr>
        <w:t>，</w:t>
      </w:r>
      <w:r w:rsidR="00384378">
        <w:rPr>
          <w:rFonts w:hint="eastAsia"/>
        </w:rPr>
        <w:t>要求在伊朗驻莫斯科大使馆前面举行固定集会－举牌抗议。集会的目的是对伊朗伊斯兰共和国处决同性恋者和未成年人表示关注</w:t>
      </w:r>
      <w:r>
        <w:rPr>
          <w:rFonts w:hint="eastAsia"/>
        </w:rPr>
        <w:t>，</w:t>
      </w:r>
      <w:r w:rsidR="00384378">
        <w:rPr>
          <w:rFonts w:hint="eastAsia"/>
        </w:rPr>
        <w:t>并呼吁禁止这种处决。提交人向当局通报了这次活动的目的、日期、时间和地点</w:t>
      </w:r>
      <w:r>
        <w:rPr>
          <w:rFonts w:hint="eastAsia"/>
        </w:rPr>
        <w:t>，</w:t>
      </w:r>
      <w:r w:rsidR="00384378">
        <w:rPr>
          <w:rFonts w:hint="eastAsia"/>
        </w:rPr>
        <w:t>即定于</w:t>
      </w:r>
      <w:r w:rsidR="00384378">
        <w:rPr>
          <w:rFonts w:hint="eastAsia"/>
        </w:rPr>
        <w:t>2008</w:t>
      </w:r>
      <w:r w:rsidR="00384378">
        <w:rPr>
          <w:rFonts w:hint="eastAsia"/>
        </w:rPr>
        <w:t>年</w:t>
      </w:r>
      <w:r w:rsidR="00384378">
        <w:rPr>
          <w:rFonts w:hint="eastAsia"/>
        </w:rPr>
        <w:t>7</w:t>
      </w:r>
      <w:r w:rsidR="00384378">
        <w:rPr>
          <w:rFonts w:hint="eastAsia"/>
        </w:rPr>
        <w:t>月</w:t>
      </w:r>
      <w:r w:rsidR="00384378">
        <w:rPr>
          <w:rFonts w:hint="eastAsia"/>
        </w:rPr>
        <w:t>19</w:t>
      </w:r>
      <w:r w:rsidR="00384378">
        <w:rPr>
          <w:rFonts w:hint="eastAsia"/>
        </w:rPr>
        <w:t>日下午</w:t>
      </w:r>
      <w:r w:rsidR="00384378">
        <w:rPr>
          <w:rFonts w:hint="eastAsia"/>
        </w:rPr>
        <w:t>1</w:t>
      </w:r>
      <w:r w:rsidR="00384378">
        <w:rPr>
          <w:rFonts w:hint="eastAsia"/>
        </w:rPr>
        <w:t>点至</w:t>
      </w:r>
      <w:r w:rsidR="00384378">
        <w:rPr>
          <w:rFonts w:hint="eastAsia"/>
        </w:rPr>
        <w:t>2</w:t>
      </w:r>
      <w:r w:rsidR="00384378">
        <w:rPr>
          <w:rFonts w:hint="eastAsia"/>
        </w:rPr>
        <w:t>点在伊朗使馆前面举行</w:t>
      </w:r>
      <w:r>
        <w:rPr>
          <w:rFonts w:hint="eastAsia"/>
        </w:rPr>
        <w:t>，</w:t>
      </w:r>
      <w:r w:rsidR="00384378">
        <w:rPr>
          <w:rFonts w:hint="eastAsia"/>
        </w:rPr>
        <w:t>参加人数为</w:t>
      </w:r>
      <w:r w:rsidR="00384378">
        <w:rPr>
          <w:rFonts w:hint="eastAsia"/>
        </w:rPr>
        <w:t>30</w:t>
      </w:r>
      <w:r w:rsidR="00384378">
        <w:rPr>
          <w:rFonts w:hint="eastAsia"/>
        </w:rPr>
        <w:t>人以下。</w:t>
      </w:r>
    </w:p>
    <w:p w:rsidR="00384378" w:rsidRDefault="003938AC" w:rsidP="003938AC">
      <w:pPr>
        <w:pStyle w:val="SingleTxtGC"/>
        <w:rPr>
          <w:rFonts w:hint="eastAsia"/>
        </w:rPr>
      </w:pPr>
      <w:r>
        <w:rPr>
          <w:rFonts w:hint="eastAsia"/>
        </w:rPr>
        <w:t>2.</w:t>
      </w:r>
      <w:r w:rsidR="00384378">
        <w:rPr>
          <w:rFonts w:hint="eastAsia"/>
        </w:rPr>
        <w:t xml:space="preserve">3  </w:t>
      </w:r>
      <w:r w:rsidR="00384378">
        <w:rPr>
          <w:rFonts w:hint="eastAsia"/>
        </w:rPr>
        <w:t>当天</w:t>
      </w:r>
      <w:r>
        <w:rPr>
          <w:rFonts w:hint="eastAsia"/>
        </w:rPr>
        <w:t>，</w:t>
      </w:r>
      <w:r w:rsidR="00384378">
        <w:rPr>
          <w:rFonts w:hint="eastAsia"/>
        </w:rPr>
        <w:t>莫斯科中央行政区副区长认为举牌抗议的目的会引起“社会的负面反应”</w:t>
      </w:r>
      <w:r>
        <w:rPr>
          <w:rFonts w:hint="eastAsia"/>
        </w:rPr>
        <w:t>，</w:t>
      </w:r>
      <w:r w:rsidR="00384378">
        <w:rPr>
          <w:rFonts w:hint="eastAsia"/>
        </w:rPr>
        <w:t>可能导致“群体违反公共秩序</w:t>
      </w:r>
      <w:r>
        <w:rPr>
          <w:rFonts w:hint="eastAsia"/>
        </w:rPr>
        <w:t>，</w:t>
      </w:r>
      <w:r w:rsidR="00384378">
        <w:rPr>
          <w:rFonts w:hint="eastAsia"/>
        </w:rPr>
        <w:t>会对参加者带来危险”</w:t>
      </w:r>
      <w:r>
        <w:rPr>
          <w:rFonts w:hint="eastAsia"/>
        </w:rPr>
        <w:t>，</w:t>
      </w:r>
      <w:r w:rsidR="00384378">
        <w:rPr>
          <w:rFonts w:hint="eastAsia"/>
        </w:rPr>
        <w:t>因此而拒绝批准举行这次活动。</w:t>
      </w:r>
    </w:p>
    <w:p w:rsidR="00384378" w:rsidRDefault="003938AC" w:rsidP="003938AC">
      <w:pPr>
        <w:pStyle w:val="SingleTxtGC"/>
        <w:rPr>
          <w:rFonts w:hint="eastAsia"/>
        </w:rPr>
      </w:pPr>
      <w:r>
        <w:rPr>
          <w:rFonts w:hint="eastAsia"/>
        </w:rPr>
        <w:t>2.</w:t>
      </w:r>
      <w:r w:rsidR="00384378">
        <w:rPr>
          <w:rFonts w:hint="eastAsia"/>
        </w:rPr>
        <w:t>4  2008</w:t>
      </w:r>
      <w:r w:rsidR="00384378">
        <w:rPr>
          <w:rFonts w:hint="eastAsia"/>
        </w:rPr>
        <w:t>年</w:t>
      </w:r>
      <w:r w:rsidR="00384378">
        <w:rPr>
          <w:rFonts w:hint="eastAsia"/>
        </w:rPr>
        <w:t>7</w:t>
      </w:r>
      <w:r w:rsidR="00384378">
        <w:rPr>
          <w:rFonts w:hint="eastAsia"/>
        </w:rPr>
        <w:t>月</w:t>
      </w:r>
      <w:r w:rsidR="00384378">
        <w:rPr>
          <w:rFonts w:hint="eastAsia"/>
        </w:rPr>
        <w:t>16</w:t>
      </w:r>
      <w:r w:rsidR="00384378">
        <w:rPr>
          <w:rFonts w:hint="eastAsia"/>
        </w:rPr>
        <w:t>日</w:t>
      </w:r>
      <w:r>
        <w:rPr>
          <w:rFonts w:hint="eastAsia"/>
        </w:rPr>
        <w:t>，</w:t>
      </w:r>
      <w:r w:rsidR="00384378">
        <w:rPr>
          <w:rFonts w:hint="eastAsia"/>
        </w:rPr>
        <w:t>提交人就拒绝批准的问题向莫斯科</w:t>
      </w:r>
      <w:r w:rsidR="00384378">
        <w:rPr>
          <w:rFonts w:hint="eastAsia"/>
        </w:rPr>
        <w:t>Tagansky</w:t>
      </w:r>
      <w:r w:rsidR="00384378">
        <w:rPr>
          <w:rFonts w:hint="eastAsia"/>
        </w:rPr>
        <w:t>区法院提出申诉。他论辩说</w:t>
      </w:r>
      <w:r>
        <w:rPr>
          <w:rFonts w:hint="eastAsia"/>
        </w:rPr>
        <w:t>，</w:t>
      </w:r>
      <w:r w:rsidR="00384378">
        <w:rPr>
          <w:rFonts w:hint="eastAsia"/>
        </w:rPr>
        <w:t>只要集会的目的符合宪法价值</w:t>
      </w:r>
      <w:r>
        <w:rPr>
          <w:rFonts w:hint="eastAsia"/>
        </w:rPr>
        <w:t>，</w:t>
      </w:r>
      <w:r w:rsidR="00384378">
        <w:rPr>
          <w:rFonts w:hint="eastAsia"/>
        </w:rPr>
        <w:t>俄罗斯法律则不允许一律禁止举行和平集会。他还说</w:t>
      </w:r>
      <w:r>
        <w:rPr>
          <w:rFonts w:hint="eastAsia"/>
        </w:rPr>
        <w:t>，</w:t>
      </w:r>
      <w:r w:rsidR="00384378">
        <w:rPr>
          <w:rFonts w:hint="eastAsia"/>
        </w:rPr>
        <w:t>如果区长有任何严肃的理由认为</w:t>
      </w:r>
      <w:r>
        <w:rPr>
          <w:rFonts w:hint="eastAsia"/>
        </w:rPr>
        <w:t>，</w:t>
      </w:r>
      <w:r w:rsidR="00384378">
        <w:rPr>
          <w:rFonts w:hint="eastAsia"/>
        </w:rPr>
        <w:t>所申请的举牌抗议会引发大众暴乱</w:t>
      </w:r>
      <w:r>
        <w:rPr>
          <w:rFonts w:hint="eastAsia"/>
        </w:rPr>
        <w:t>，</w:t>
      </w:r>
      <w:r w:rsidR="00384378">
        <w:rPr>
          <w:rFonts w:hint="eastAsia"/>
        </w:rPr>
        <w:t>他们应该为集会参与者安排足够的警察保护</w:t>
      </w:r>
      <w:r>
        <w:rPr>
          <w:rFonts w:hint="eastAsia"/>
        </w:rPr>
        <w:t>，</w:t>
      </w:r>
      <w:r w:rsidR="00384378">
        <w:rPr>
          <w:rFonts w:hint="eastAsia"/>
        </w:rPr>
        <w:t>以确保他们行使和平集会的宪法权。</w:t>
      </w:r>
    </w:p>
    <w:p w:rsidR="00384378" w:rsidRDefault="003938AC" w:rsidP="003938AC">
      <w:pPr>
        <w:pStyle w:val="SingleTxtGC"/>
        <w:rPr>
          <w:rFonts w:hint="eastAsia"/>
        </w:rPr>
      </w:pPr>
      <w:r>
        <w:rPr>
          <w:rFonts w:hint="eastAsia"/>
        </w:rPr>
        <w:t>2.</w:t>
      </w:r>
      <w:r w:rsidR="00384378">
        <w:rPr>
          <w:rFonts w:hint="eastAsia"/>
        </w:rPr>
        <w:t>5  2008</w:t>
      </w:r>
      <w:r w:rsidR="00384378">
        <w:rPr>
          <w:rFonts w:hint="eastAsia"/>
        </w:rPr>
        <w:t>年</w:t>
      </w:r>
      <w:r w:rsidR="00384378">
        <w:rPr>
          <w:rFonts w:hint="eastAsia"/>
        </w:rPr>
        <w:t>9</w:t>
      </w:r>
      <w:r w:rsidR="00384378">
        <w:rPr>
          <w:rFonts w:hint="eastAsia"/>
        </w:rPr>
        <w:t>月</w:t>
      </w:r>
      <w:r w:rsidR="00384378">
        <w:rPr>
          <w:rFonts w:hint="eastAsia"/>
        </w:rPr>
        <w:t>18</w:t>
      </w:r>
      <w:r w:rsidR="00384378">
        <w:rPr>
          <w:rFonts w:hint="eastAsia"/>
        </w:rPr>
        <w:t>日</w:t>
      </w:r>
      <w:r>
        <w:rPr>
          <w:rFonts w:hint="eastAsia"/>
        </w:rPr>
        <w:t>，</w:t>
      </w:r>
      <w:r w:rsidR="00384378">
        <w:rPr>
          <w:rFonts w:hint="eastAsia"/>
        </w:rPr>
        <w:t>Tagansky</w:t>
      </w:r>
      <w:r w:rsidR="00384378">
        <w:rPr>
          <w:rFonts w:hint="eastAsia"/>
        </w:rPr>
        <w:t>区法院驳回申诉</w:t>
      </w:r>
      <w:r>
        <w:rPr>
          <w:rFonts w:hint="eastAsia"/>
        </w:rPr>
        <w:t>，</w:t>
      </w:r>
      <w:r w:rsidR="00384378">
        <w:rPr>
          <w:rFonts w:hint="eastAsia"/>
        </w:rPr>
        <w:t>核准市政当局的说法</w:t>
      </w:r>
      <w:r>
        <w:rPr>
          <w:rFonts w:hint="eastAsia"/>
        </w:rPr>
        <w:t>，</w:t>
      </w:r>
      <w:r w:rsidR="00384378">
        <w:rPr>
          <w:rFonts w:hint="eastAsia"/>
        </w:rPr>
        <w:t>即由于申请的活动会引起强烈的公众反应</w:t>
      </w:r>
      <w:r>
        <w:rPr>
          <w:rFonts w:hint="eastAsia"/>
        </w:rPr>
        <w:t>，</w:t>
      </w:r>
      <w:r w:rsidR="00384378">
        <w:rPr>
          <w:rFonts w:hint="eastAsia"/>
        </w:rPr>
        <w:t>因此不可能确保参加活动的人的安全</w:t>
      </w:r>
      <w:r>
        <w:rPr>
          <w:rFonts w:hint="eastAsia"/>
        </w:rPr>
        <w:t>，</w:t>
      </w:r>
      <w:r w:rsidR="00384378">
        <w:rPr>
          <w:rFonts w:hint="eastAsia"/>
        </w:rPr>
        <w:t>也不可能避免暴乱。法院认为</w:t>
      </w:r>
      <w:r>
        <w:rPr>
          <w:rFonts w:hint="eastAsia"/>
        </w:rPr>
        <w:t>，</w:t>
      </w:r>
      <w:r w:rsidR="00384378">
        <w:rPr>
          <w:rFonts w:hint="eastAsia"/>
        </w:rPr>
        <w:t>2008</w:t>
      </w:r>
      <w:r w:rsidR="00384378">
        <w:rPr>
          <w:rFonts w:hint="eastAsia"/>
        </w:rPr>
        <w:t>年</w:t>
      </w:r>
      <w:r w:rsidR="00384378">
        <w:rPr>
          <w:rFonts w:hint="eastAsia"/>
        </w:rPr>
        <w:t>7</w:t>
      </w:r>
      <w:r w:rsidR="00384378">
        <w:rPr>
          <w:rFonts w:hint="eastAsia"/>
        </w:rPr>
        <w:t>月</w:t>
      </w:r>
      <w:r w:rsidR="00384378">
        <w:rPr>
          <w:rFonts w:hint="eastAsia"/>
        </w:rPr>
        <w:t>11</w:t>
      </w:r>
      <w:r w:rsidR="00384378">
        <w:rPr>
          <w:rFonts w:hint="eastAsia"/>
        </w:rPr>
        <w:t>日的决定符合国内法以及《欧洲人权和基本自由公约》的规定。</w:t>
      </w:r>
      <w:r w:rsidR="00384378">
        <w:rPr>
          <w:rFonts w:hint="eastAsia"/>
        </w:rPr>
        <w:t>2008</w:t>
      </w:r>
      <w:r w:rsidR="00384378">
        <w:rPr>
          <w:rFonts w:hint="eastAsia"/>
        </w:rPr>
        <w:t>年</w:t>
      </w:r>
      <w:r w:rsidR="00384378">
        <w:rPr>
          <w:rFonts w:hint="eastAsia"/>
        </w:rPr>
        <w:t>10</w:t>
      </w:r>
      <w:r w:rsidR="00384378">
        <w:rPr>
          <w:rFonts w:hint="eastAsia"/>
        </w:rPr>
        <w:t>月</w:t>
      </w:r>
      <w:r w:rsidR="00384378">
        <w:rPr>
          <w:rFonts w:hint="eastAsia"/>
        </w:rPr>
        <w:t>5</w:t>
      </w:r>
      <w:r w:rsidR="00384378">
        <w:rPr>
          <w:rFonts w:hint="eastAsia"/>
        </w:rPr>
        <w:t>日</w:t>
      </w:r>
      <w:r>
        <w:rPr>
          <w:rFonts w:hint="eastAsia"/>
        </w:rPr>
        <w:t>，</w:t>
      </w:r>
      <w:r w:rsidR="00384378">
        <w:rPr>
          <w:rFonts w:hint="eastAsia"/>
        </w:rPr>
        <w:t>提交人就这项判决向莫斯科市法院提出上诉</w:t>
      </w:r>
      <w:r>
        <w:rPr>
          <w:rFonts w:hint="eastAsia"/>
        </w:rPr>
        <w:t>，</w:t>
      </w:r>
      <w:r w:rsidR="00384378">
        <w:rPr>
          <w:rFonts w:hint="eastAsia"/>
        </w:rPr>
        <w:t>但他的上诉于</w:t>
      </w:r>
      <w:r w:rsidR="00384378">
        <w:rPr>
          <w:rFonts w:hint="eastAsia"/>
        </w:rPr>
        <w:t>2008</w:t>
      </w:r>
      <w:r w:rsidR="00384378">
        <w:rPr>
          <w:rFonts w:hint="eastAsia"/>
        </w:rPr>
        <w:t>年</w:t>
      </w:r>
      <w:r w:rsidR="00384378">
        <w:rPr>
          <w:rFonts w:hint="eastAsia"/>
        </w:rPr>
        <w:t>12</w:t>
      </w:r>
      <w:r w:rsidR="00384378">
        <w:rPr>
          <w:rFonts w:hint="eastAsia"/>
        </w:rPr>
        <w:t>月</w:t>
      </w:r>
      <w:r w:rsidR="00384378">
        <w:rPr>
          <w:rFonts w:hint="eastAsia"/>
        </w:rPr>
        <w:t>18</w:t>
      </w:r>
      <w:r w:rsidR="00384378">
        <w:rPr>
          <w:rFonts w:hint="eastAsia"/>
        </w:rPr>
        <w:t>日被驳回。</w:t>
      </w:r>
    </w:p>
    <w:p w:rsidR="00384378" w:rsidRDefault="00384378" w:rsidP="003938AC">
      <w:pPr>
        <w:pStyle w:val="H23GC"/>
        <w:rPr>
          <w:rFonts w:hint="eastAsia"/>
        </w:rPr>
      </w:pPr>
      <w:r>
        <w:rPr>
          <w:rFonts w:hint="eastAsia"/>
        </w:rPr>
        <w:tab/>
      </w:r>
      <w:r>
        <w:rPr>
          <w:rFonts w:hint="eastAsia"/>
        </w:rPr>
        <w:tab/>
      </w:r>
      <w:r>
        <w:rPr>
          <w:rFonts w:hint="eastAsia"/>
        </w:rPr>
        <w:t>申诉</w:t>
      </w:r>
    </w:p>
    <w:p w:rsidR="00384378" w:rsidRDefault="003938AC" w:rsidP="003938AC">
      <w:pPr>
        <w:pStyle w:val="SingleTxtGC"/>
        <w:rPr>
          <w:rFonts w:hint="eastAsia"/>
        </w:rPr>
      </w:pPr>
      <w:r>
        <w:rPr>
          <w:rFonts w:hint="eastAsia"/>
        </w:rPr>
        <w:t>3.</w:t>
      </w:r>
      <w:r w:rsidR="00384378">
        <w:rPr>
          <w:rFonts w:hint="eastAsia"/>
        </w:rPr>
        <w:t xml:space="preserve">  </w:t>
      </w:r>
      <w:r w:rsidR="00384378">
        <w:rPr>
          <w:rFonts w:hint="eastAsia"/>
        </w:rPr>
        <w:t>提交人声称</w:t>
      </w:r>
      <w:r>
        <w:rPr>
          <w:rFonts w:hint="eastAsia"/>
        </w:rPr>
        <w:t>，</w:t>
      </w:r>
      <w:r w:rsidR="00384378">
        <w:rPr>
          <w:rFonts w:hint="eastAsia"/>
        </w:rPr>
        <w:t>缔约国违反了他受到《公约》第二十一条保护的集会权</w:t>
      </w:r>
      <w:r>
        <w:rPr>
          <w:rFonts w:hint="eastAsia"/>
        </w:rPr>
        <w:t>，</w:t>
      </w:r>
      <w:r w:rsidR="00384378">
        <w:rPr>
          <w:rFonts w:hint="eastAsia"/>
        </w:rPr>
        <w:t>因为它一律禁止他计划组织的集会。当局的拒绝批准不“符合法律”</w:t>
      </w:r>
      <w:r>
        <w:rPr>
          <w:rFonts w:hint="eastAsia"/>
        </w:rPr>
        <w:t>，</w:t>
      </w:r>
      <w:r w:rsidR="00384378">
        <w:rPr>
          <w:rFonts w:hint="eastAsia"/>
        </w:rPr>
        <w:t>也不是“民主社会所必须的”。特别是</w:t>
      </w:r>
      <w:r>
        <w:rPr>
          <w:rFonts w:hint="eastAsia"/>
        </w:rPr>
        <w:t>，</w:t>
      </w:r>
      <w:r w:rsidR="00384378">
        <w:rPr>
          <w:rFonts w:hint="eastAsia"/>
        </w:rPr>
        <w:t>国内法明确要求当局采取必要措施</w:t>
      </w:r>
      <w:r>
        <w:rPr>
          <w:rFonts w:hint="eastAsia"/>
        </w:rPr>
        <w:t>，</w:t>
      </w:r>
      <w:r w:rsidR="00384378">
        <w:rPr>
          <w:rFonts w:hint="eastAsia"/>
        </w:rPr>
        <w:t>确保集会参与者的安全</w:t>
      </w:r>
      <w:r>
        <w:rPr>
          <w:rFonts w:hint="eastAsia"/>
        </w:rPr>
        <w:t>，</w:t>
      </w:r>
      <w:r w:rsidR="00384378">
        <w:rPr>
          <w:rFonts w:hint="eastAsia"/>
        </w:rPr>
        <w:t>并确保集会的和平举行。此外</w:t>
      </w:r>
      <w:r>
        <w:rPr>
          <w:rFonts w:hint="eastAsia"/>
        </w:rPr>
        <w:t>，</w:t>
      </w:r>
      <w:r w:rsidR="00384378">
        <w:rPr>
          <w:rFonts w:hint="eastAsia"/>
        </w:rPr>
        <w:t>实行的限制不是“民主社会所必要的”</w:t>
      </w:r>
      <w:r>
        <w:rPr>
          <w:rFonts w:hint="eastAsia"/>
        </w:rPr>
        <w:t>，</w:t>
      </w:r>
      <w:r w:rsidR="00384378">
        <w:rPr>
          <w:rFonts w:hint="eastAsia"/>
        </w:rPr>
        <w:t>也不符合《公约》第二十一条提到的合理目标。当局拒绝为这次群众活动提议另外的地点</w:t>
      </w:r>
      <w:r>
        <w:rPr>
          <w:rFonts w:hint="eastAsia"/>
        </w:rPr>
        <w:t>，</w:t>
      </w:r>
      <w:r w:rsidR="00384378">
        <w:rPr>
          <w:rFonts w:hint="eastAsia"/>
        </w:rPr>
        <w:t>他们声称他们不能为保护参与者提供足够的警力</w:t>
      </w:r>
      <w:r>
        <w:rPr>
          <w:rFonts w:hint="eastAsia"/>
        </w:rPr>
        <w:t>，</w:t>
      </w:r>
      <w:r w:rsidR="00384378">
        <w:rPr>
          <w:rFonts w:hint="eastAsia"/>
        </w:rPr>
        <w:t>这表明当局的真实目的是阻止莫斯科的男女同性恋少数群体显示在公众面前</w:t>
      </w:r>
      <w:r>
        <w:rPr>
          <w:rFonts w:hint="eastAsia"/>
        </w:rPr>
        <w:t>，</w:t>
      </w:r>
      <w:r w:rsidR="00384378">
        <w:rPr>
          <w:rFonts w:hint="eastAsia"/>
        </w:rPr>
        <w:t>防止他们引起公众对他们的关注的注意。最后</w:t>
      </w:r>
      <w:r>
        <w:rPr>
          <w:rFonts w:hint="eastAsia"/>
        </w:rPr>
        <w:t>，</w:t>
      </w:r>
      <w:r w:rsidR="00384378">
        <w:rPr>
          <w:rFonts w:hint="eastAsia"/>
        </w:rPr>
        <w:t>一个少数群体的想法可能会“冒犯、震惊或扰乱”多数群体</w:t>
      </w:r>
      <w:r>
        <w:rPr>
          <w:rFonts w:hint="eastAsia"/>
        </w:rPr>
        <w:t>，</w:t>
      </w:r>
      <w:r w:rsidR="00384378">
        <w:rPr>
          <w:rFonts w:hint="eastAsia"/>
        </w:rPr>
        <w:t>可能会引起暴力反对</w:t>
      </w:r>
      <w:r>
        <w:rPr>
          <w:rFonts w:hint="eastAsia"/>
        </w:rPr>
        <w:t>，</w:t>
      </w:r>
      <w:r w:rsidR="00384378">
        <w:rPr>
          <w:rFonts w:hint="eastAsia"/>
        </w:rPr>
        <w:t>这不能解释对少数群体通过和平集会表达意见的一律禁止。相反</w:t>
      </w:r>
      <w:r>
        <w:rPr>
          <w:rFonts w:hint="eastAsia"/>
        </w:rPr>
        <w:t>，</w:t>
      </w:r>
      <w:r w:rsidR="00384378">
        <w:rPr>
          <w:rFonts w:hint="eastAsia"/>
        </w:rPr>
        <w:t>缔约国必须保护少数群体的和平集会</w:t>
      </w:r>
      <w:r>
        <w:rPr>
          <w:rFonts w:hint="eastAsia"/>
        </w:rPr>
        <w:t>，</w:t>
      </w:r>
      <w:r w:rsidR="00384378">
        <w:rPr>
          <w:rFonts w:hint="eastAsia"/>
        </w:rPr>
        <w:t>使他们免遭暴力行为。</w:t>
      </w:r>
    </w:p>
    <w:p w:rsidR="00384378" w:rsidRDefault="00384378" w:rsidP="003938AC">
      <w:pPr>
        <w:pStyle w:val="H23GC"/>
        <w:rPr>
          <w:rFonts w:hint="eastAsia"/>
        </w:rPr>
      </w:pPr>
      <w:r>
        <w:rPr>
          <w:rFonts w:hint="eastAsia"/>
        </w:rPr>
        <w:tab/>
      </w:r>
      <w:r>
        <w:rPr>
          <w:rFonts w:hint="eastAsia"/>
        </w:rPr>
        <w:tab/>
      </w:r>
      <w:r>
        <w:rPr>
          <w:rFonts w:hint="eastAsia"/>
        </w:rPr>
        <w:t>缔约国对可否受理和案情的意见</w:t>
      </w:r>
    </w:p>
    <w:p w:rsidR="00384378" w:rsidRDefault="003938AC" w:rsidP="003938AC">
      <w:pPr>
        <w:pStyle w:val="SingleTxtGC"/>
        <w:rPr>
          <w:rFonts w:hint="eastAsia"/>
        </w:rPr>
      </w:pPr>
      <w:r>
        <w:rPr>
          <w:rFonts w:hint="eastAsia"/>
        </w:rPr>
        <w:t>4.</w:t>
      </w:r>
      <w:r w:rsidR="00384378">
        <w:rPr>
          <w:rFonts w:hint="eastAsia"/>
        </w:rPr>
        <w:t>1  2009</w:t>
      </w:r>
      <w:r w:rsidR="00384378">
        <w:rPr>
          <w:rFonts w:hint="eastAsia"/>
        </w:rPr>
        <w:t>年</w:t>
      </w:r>
      <w:r w:rsidR="00384378">
        <w:rPr>
          <w:rFonts w:hint="eastAsia"/>
        </w:rPr>
        <w:t>6</w:t>
      </w:r>
      <w:r w:rsidR="00384378">
        <w:rPr>
          <w:rFonts w:hint="eastAsia"/>
        </w:rPr>
        <w:t>月</w:t>
      </w:r>
      <w:r w:rsidR="00384378">
        <w:rPr>
          <w:rFonts w:hint="eastAsia"/>
        </w:rPr>
        <w:t>29</w:t>
      </w:r>
      <w:r w:rsidR="00384378">
        <w:rPr>
          <w:rFonts w:hint="eastAsia"/>
        </w:rPr>
        <w:t>日</w:t>
      </w:r>
      <w:r>
        <w:rPr>
          <w:rFonts w:hint="eastAsia"/>
        </w:rPr>
        <w:t>，</w:t>
      </w:r>
      <w:r w:rsidR="00384378">
        <w:rPr>
          <w:rFonts w:hint="eastAsia"/>
        </w:rPr>
        <w:t>提交人对可否受理和案情问题提出了意见。它回顾了案件的事实以及提交人提出的诉讼。它还指出</w:t>
      </w:r>
      <w:r>
        <w:rPr>
          <w:rFonts w:hint="eastAsia"/>
        </w:rPr>
        <w:t>，</w:t>
      </w:r>
      <w:r w:rsidR="00384378">
        <w:rPr>
          <w:rFonts w:hint="eastAsia"/>
        </w:rPr>
        <w:t>提交人根据《公约》第二十一条提出的声称是没有依据的</w:t>
      </w:r>
      <w:r>
        <w:rPr>
          <w:rFonts w:hint="eastAsia"/>
        </w:rPr>
        <w:t>，</w:t>
      </w:r>
      <w:r w:rsidR="00384378">
        <w:rPr>
          <w:rFonts w:hint="eastAsia"/>
        </w:rPr>
        <w:t>因为不允许提交人举行举牌抗议</w:t>
      </w:r>
      <w:r>
        <w:rPr>
          <w:rFonts w:hint="eastAsia"/>
        </w:rPr>
        <w:t>，</w:t>
      </w:r>
      <w:r w:rsidR="00384378">
        <w:rPr>
          <w:rFonts w:hint="eastAsia"/>
        </w:rPr>
        <w:t>是为了保证公共秩序。在这方面</w:t>
      </w:r>
      <w:r>
        <w:rPr>
          <w:rFonts w:hint="eastAsia"/>
        </w:rPr>
        <w:t>，</w:t>
      </w:r>
      <w:r w:rsidR="00384378">
        <w:rPr>
          <w:rFonts w:hint="eastAsia"/>
        </w:rPr>
        <w:t>提交人指出</w:t>
      </w:r>
      <w:r>
        <w:rPr>
          <w:rFonts w:hint="eastAsia"/>
        </w:rPr>
        <w:t>，</w:t>
      </w:r>
      <w:r w:rsidR="00384378">
        <w:rPr>
          <w:rFonts w:hint="eastAsia"/>
        </w:rPr>
        <w:t>《公约》第二十一条承认和平集会权</w:t>
      </w:r>
      <w:r>
        <w:rPr>
          <w:rFonts w:hint="eastAsia"/>
        </w:rPr>
        <w:t>，</w:t>
      </w:r>
      <w:r w:rsidR="00384378">
        <w:rPr>
          <w:rFonts w:hint="eastAsia"/>
        </w:rPr>
        <w:t>但也规定可以依法为了国家安全或公共安全、公共秩序、保护公共健康或道德</w:t>
      </w:r>
      <w:r>
        <w:rPr>
          <w:rFonts w:hint="eastAsia"/>
        </w:rPr>
        <w:t>，</w:t>
      </w:r>
      <w:r w:rsidR="00384378">
        <w:rPr>
          <w:rFonts w:hint="eastAsia"/>
        </w:rPr>
        <w:t>或者保护他人的权利和自由而限制这项权利。《俄罗斯联邦宪法》第</w:t>
      </w:r>
      <w:r w:rsidR="00384378">
        <w:rPr>
          <w:rFonts w:hint="eastAsia"/>
        </w:rPr>
        <w:t>31</w:t>
      </w:r>
      <w:r w:rsidR="00384378">
        <w:rPr>
          <w:rFonts w:hint="eastAsia"/>
        </w:rPr>
        <w:t>条和第</w:t>
      </w:r>
      <w:r w:rsidR="00384378">
        <w:rPr>
          <w:rFonts w:hint="eastAsia"/>
        </w:rPr>
        <w:t>55</w:t>
      </w:r>
      <w:r w:rsidR="00384378">
        <w:rPr>
          <w:rFonts w:hint="eastAsia"/>
        </w:rPr>
        <w:t>条保障集会权</w:t>
      </w:r>
      <w:r>
        <w:rPr>
          <w:rFonts w:hint="eastAsia"/>
        </w:rPr>
        <w:t>，</w:t>
      </w:r>
      <w:r w:rsidR="00384378">
        <w:rPr>
          <w:rFonts w:hint="eastAsia"/>
        </w:rPr>
        <w:t>但也有类似于《公约》第二十一条所规定的限制</w:t>
      </w:r>
      <w:r>
        <w:rPr>
          <w:rFonts w:hint="eastAsia"/>
        </w:rPr>
        <w:t>，</w:t>
      </w:r>
      <w:r w:rsidR="00384378">
        <w:rPr>
          <w:rFonts w:hint="eastAsia"/>
        </w:rPr>
        <w:t>这种限制也在《关于集会、会议、示威、游行和举牌抗议的联邦法》</w:t>
      </w:r>
      <w:r>
        <w:rPr>
          <w:rFonts w:hint="eastAsia"/>
        </w:rPr>
        <w:t>(</w:t>
      </w:r>
      <w:r w:rsidR="00384378">
        <w:rPr>
          <w:rFonts w:hint="eastAsia"/>
        </w:rPr>
        <w:t>“联邦群众活动法”</w:t>
      </w:r>
      <w:r>
        <w:rPr>
          <w:rFonts w:hint="eastAsia"/>
        </w:rPr>
        <w:t>)</w:t>
      </w:r>
      <w:r w:rsidR="00384378">
        <w:rPr>
          <w:rFonts w:hint="eastAsia"/>
        </w:rPr>
        <w:t>中得到阐述。《联邦群众活动法》第</w:t>
      </w:r>
      <w:r w:rsidR="00384378">
        <w:rPr>
          <w:rFonts w:hint="eastAsia"/>
        </w:rPr>
        <w:t>8</w:t>
      </w:r>
      <w:r w:rsidR="00384378">
        <w:rPr>
          <w:rFonts w:hint="eastAsia"/>
        </w:rPr>
        <w:t>条第</w:t>
      </w:r>
      <w:r w:rsidR="00384378">
        <w:rPr>
          <w:rFonts w:hint="eastAsia"/>
        </w:rPr>
        <w:t>1</w:t>
      </w:r>
      <w:r w:rsidR="00384378">
        <w:rPr>
          <w:rFonts w:hint="eastAsia"/>
        </w:rPr>
        <w:t>款规定</w:t>
      </w:r>
      <w:r>
        <w:rPr>
          <w:rFonts w:hint="eastAsia"/>
        </w:rPr>
        <w:t>，</w:t>
      </w:r>
      <w:r w:rsidR="00384378">
        <w:rPr>
          <w:rFonts w:hint="eastAsia"/>
        </w:rPr>
        <w:t>公共群众活动可以在适合于活动目的的任何地点举行</w:t>
      </w:r>
      <w:r>
        <w:rPr>
          <w:rFonts w:hint="eastAsia"/>
        </w:rPr>
        <w:t>，</w:t>
      </w:r>
      <w:r w:rsidR="00384378">
        <w:rPr>
          <w:rFonts w:hint="eastAsia"/>
        </w:rPr>
        <w:t>只要这种活动不危及参加活动者的安全。缔约国还指出</w:t>
      </w:r>
      <w:r>
        <w:rPr>
          <w:rFonts w:hint="eastAsia"/>
        </w:rPr>
        <w:t>，</w:t>
      </w:r>
      <w:r w:rsidR="00384378">
        <w:rPr>
          <w:rFonts w:hint="eastAsia"/>
        </w:rPr>
        <w:t>2008</w:t>
      </w:r>
      <w:r w:rsidR="00384378">
        <w:rPr>
          <w:rFonts w:hint="eastAsia"/>
        </w:rPr>
        <w:t>年</w:t>
      </w:r>
      <w:r w:rsidR="00384378">
        <w:rPr>
          <w:rFonts w:hint="eastAsia"/>
        </w:rPr>
        <w:t>9</w:t>
      </w:r>
      <w:r w:rsidR="00384378">
        <w:rPr>
          <w:rFonts w:hint="eastAsia"/>
        </w:rPr>
        <w:t>月</w:t>
      </w:r>
      <w:r w:rsidR="00384378">
        <w:rPr>
          <w:rFonts w:hint="eastAsia"/>
        </w:rPr>
        <w:t>18</w:t>
      </w:r>
      <w:r w:rsidR="00384378">
        <w:rPr>
          <w:rFonts w:hint="eastAsia"/>
        </w:rPr>
        <w:t>日</w:t>
      </w:r>
      <w:r>
        <w:rPr>
          <w:rFonts w:hint="eastAsia"/>
        </w:rPr>
        <w:t>，</w:t>
      </w:r>
      <w:r w:rsidR="00384378">
        <w:rPr>
          <w:rFonts w:hint="eastAsia"/>
        </w:rPr>
        <w:t>莫斯科</w:t>
      </w:r>
      <w:r w:rsidR="00384378">
        <w:rPr>
          <w:rFonts w:hint="eastAsia"/>
        </w:rPr>
        <w:t>Tagansky</w:t>
      </w:r>
      <w:r w:rsidR="00384378">
        <w:rPr>
          <w:rFonts w:hint="eastAsia"/>
        </w:rPr>
        <w:t>区法院裁定</w:t>
      </w:r>
      <w:r>
        <w:rPr>
          <w:rFonts w:hint="eastAsia"/>
        </w:rPr>
        <w:t>，</w:t>
      </w:r>
      <w:r w:rsidR="00384378">
        <w:rPr>
          <w:rFonts w:hint="eastAsia"/>
        </w:rPr>
        <w:t>鉴于公众对这种举牌抗议的消极反应</w:t>
      </w:r>
      <w:r>
        <w:rPr>
          <w:rFonts w:hint="eastAsia"/>
        </w:rPr>
        <w:t>，</w:t>
      </w:r>
      <w:r w:rsidR="00384378">
        <w:rPr>
          <w:rFonts w:hint="eastAsia"/>
        </w:rPr>
        <w:t>当局不能充分保证参与这种群众活动的人的安全。缔约国坚持认为</w:t>
      </w:r>
      <w:r>
        <w:rPr>
          <w:rFonts w:hint="eastAsia"/>
        </w:rPr>
        <w:t>，</w:t>
      </w:r>
      <w:r w:rsidR="00384378">
        <w:rPr>
          <w:rFonts w:hint="eastAsia"/>
        </w:rPr>
        <w:t>当局</w:t>
      </w:r>
      <w:r w:rsidR="00384378">
        <w:rPr>
          <w:rFonts w:hint="eastAsia"/>
        </w:rPr>
        <w:t>2008</w:t>
      </w:r>
      <w:r w:rsidR="00384378">
        <w:rPr>
          <w:rFonts w:hint="eastAsia"/>
        </w:rPr>
        <w:t>年</w:t>
      </w:r>
      <w:r w:rsidR="00384378">
        <w:rPr>
          <w:rFonts w:hint="eastAsia"/>
        </w:rPr>
        <w:t>7</w:t>
      </w:r>
      <w:r w:rsidR="00384378">
        <w:rPr>
          <w:rFonts w:hint="eastAsia"/>
        </w:rPr>
        <w:t>月</w:t>
      </w:r>
      <w:r w:rsidR="00384378">
        <w:rPr>
          <w:rFonts w:hint="eastAsia"/>
        </w:rPr>
        <w:t>11</w:t>
      </w:r>
      <w:r w:rsidR="00384378">
        <w:rPr>
          <w:rFonts w:hint="eastAsia"/>
        </w:rPr>
        <w:t>日不批准这种活动</w:t>
      </w:r>
      <w:r>
        <w:rPr>
          <w:rFonts w:hint="eastAsia"/>
        </w:rPr>
        <w:t>，</w:t>
      </w:r>
      <w:r w:rsidR="00384378">
        <w:rPr>
          <w:rFonts w:hint="eastAsia"/>
        </w:rPr>
        <w:t>是符合国际规范和国内立法的。</w:t>
      </w:r>
    </w:p>
    <w:p w:rsidR="00384378" w:rsidRDefault="003938AC" w:rsidP="003938AC">
      <w:pPr>
        <w:pStyle w:val="SingleTxtGC"/>
        <w:rPr>
          <w:rFonts w:hint="eastAsia"/>
        </w:rPr>
      </w:pPr>
      <w:r>
        <w:rPr>
          <w:rFonts w:hint="eastAsia"/>
        </w:rPr>
        <w:t>4.</w:t>
      </w:r>
      <w:r w:rsidR="00384378">
        <w:rPr>
          <w:rFonts w:hint="eastAsia"/>
        </w:rPr>
        <w:t xml:space="preserve">2  </w:t>
      </w:r>
      <w:r w:rsidR="00384378">
        <w:rPr>
          <w:rFonts w:hint="eastAsia"/>
        </w:rPr>
        <w:t>缔约国还说</w:t>
      </w:r>
      <w:r>
        <w:rPr>
          <w:rFonts w:hint="eastAsia"/>
        </w:rPr>
        <w:t>，</w:t>
      </w:r>
      <w:r w:rsidR="00384378">
        <w:rPr>
          <w:rFonts w:hint="eastAsia"/>
        </w:rPr>
        <w:t>提交人没有按照《公约任择议定书》第五条第</w:t>
      </w:r>
      <w:r w:rsidR="00384378">
        <w:rPr>
          <w:rFonts w:hint="eastAsia"/>
        </w:rPr>
        <w:t>2</w:t>
      </w:r>
      <w:r w:rsidR="00384378">
        <w:rPr>
          <w:rFonts w:hint="eastAsia"/>
        </w:rPr>
        <w:t>款</w:t>
      </w:r>
      <w:r>
        <w:rPr>
          <w:rFonts w:hint="eastAsia"/>
        </w:rPr>
        <w:t>(</w:t>
      </w:r>
      <w:r w:rsidR="00384378">
        <w:rPr>
          <w:rFonts w:hint="eastAsia"/>
        </w:rPr>
        <w:t>丑</w:t>
      </w:r>
      <w:r>
        <w:rPr>
          <w:rFonts w:hint="eastAsia"/>
        </w:rPr>
        <w:t>)</w:t>
      </w:r>
      <w:r w:rsidR="00384378">
        <w:rPr>
          <w:rFonts w:hint="eastAsia"/>
        </w:rPr>
        <w:t>项的要求用尽所有国内补救措施</w:t>
      </w:r>
      <w:r>
        <w:rPr>
          <w:rFonts w:hint="eastAsia"/>
        </w:rPr>
        <w:t>，</w:t>
      </w:r>
      <w:r w:rsidR="00384378">
        <w:rPr>
          <w:rFonts w:hint="eastAsia"/>
        </w:rPr>
        <w:t>因为根据《民事程序法》第</w:t>
      </w:r>
      <w:r w:rsidR="00384378">
        <w:rPr>
          <w:rFonts w:hint="eastAsia"/>
        </w:rPr>
        <w:t>41</w:t>
      </w:r>
      <w:r w:rsidR="00384378">
        <w:rPr>
          <w:rFonts w:hint="eastAsia"/>
        </w:rPr>
        <w:t>章第</w:t>
      </w:r>
      <w:r w:rsidR="00384378">
        <w:rPr>
          <w:rFonts w:hint="eastAsia"/>
        </w:rPr>
        <w:t>367</w:t>
      </w:r>
      <w:r w:rsidR="00384378">
        <w:rPr>
          <w:rFonts w:hint="eastAsia"/>
        </w:rPr>
        <w:t>、第</w:t>
      </w:r>
      <w:r w:rsidR="00384378">
        <w:rPr>
          <w:rFonts w:hint="eastAsia"/>
        </w:rPr>
        <w:t>376</w:t>
      </w:r>
      <w:r w:rsidR="00384378">
        <w:rPr>
          <w:rFonts w:hint="eastAsia"/>
        </w:rPr>
        <w:t>、第</w:t>
      </w:r>
      <w:r w:rsidR="00384378">
        <w:rPr>
          <w:rFonts w:hint="eastAsia"/>
        </w:rPr>
        <w:t>377</w:t>
      </w:r>
      <w:r w:rsidR="00384378">
        <w:rPr>
          <w:rFonts w:hint="eastAsia"/>
        </w:rPr>
        <w:t>条</w:t>
      </w:r>
      <w:r>
        <w:rPr>
          <w:rFonts w:hint="eastAsia"/>
        </w:rPr>
        <w:t>，</w:t>
      </w:r>
      <w:r w:rsidR="00384378">
        <w:rPr>
          <w:rFonts w:hint="eastAsia"/>
        </w:rPr>
        <w:t>提交人可以要求莫斯科市法院院长对国内法院的决定作监督审查</w:t>
      </w:r>
      <w:r>
        <w:rPr>
          <w:rFonts w:hint="eastAsia"/>
        </w:rPr>
        <w:t>，</w:t>
      </w:r>
      <w:r w:rsidR="00384378">
        <w:rPr>
          <w:rFonts w:hint="eastAsia"/>
        </w:rPr>
        <w:t>然后要求最高法院作监督审查。</w:t>
      </w:r>
    </w:p>
    <w:p w:rsidR="00384378" w:rsidRDefault="00384378" w:rsidP="003938AC">
      <w:pPr>
        <w:pStyle w:val="H23GC"/>
        <w:rPr>
          <w:rFonts w:hint="eastAsia"/>
        </w:rPr>
      </w:pPr>
      <w:r>
        <w:rPr>
          <w:rFonts w:hint="eastAsia"/>
        </w:rPr>
        <w:tab/>
      </w:r>
      <w:r>
        <w:rPr>
          <w:rFonts w:hint="eastAsia"/>
        </w:rPr>
        <w:tab/>
      </w:r>
      <w:r>
        <w:rPr>
          <w:rFonts w:hint="eastAsia"/>
        </w:rPr>
        <w:t>提交人对缔约国的意见提出的评述</w:t>
      </w:r>
    </w:p>
    <w:p w:rsidR="00384378" w:rsidRDefault="003938AC" w:rsidP="003938AC">
      <w:pPr>
        <w:pStyle w:val="SingleTxtGC"/>
        <w:rPr>
          <w:rFonts w:hint="eastAsia"/>
        </w:rPr>
      </w:pPr>
      <w:r>
        <w:rPr>
          <w:rFonts w:hint="eastAsia"/>
        </w:rPr>
        <w:t>5.</w:t>
      </w:r>
      <w:r w:rsidR="00384378">
        <w:rPr>
          <w:rFonts w:hint="eastAsia"/>
        </w:rPr>
        <w:t>1  2009</w:t>
      </w:r>
      <w:r w:rsidR="00384378">
        <w:rPr>
          <w:rFonts w:hint="eastAsia"/>
        </w:rPr>
        <w:t>年</w:t>
      </w:r>
      <w:r w:rsidR="00384378">
        <w:rPr>
          <w:rFonts w:hint="eastAsia"/>
        </w:rPr>
        <w:t>11</w:t>
      </w:r>
      <w:r w:rsidR="00384378">
        <w:rPr>
          <w:rFonts w:hint="eastAsia"/>
        </w:rPr>
        <w:t>月</w:t>
      </w:r>
      <w:r w:rsidR="00384378">
        <w:rPr>
          <w:rFonts w:hint="eastAsia"/>
        </w:rPr>
        <w:t>9</w:t>
      </w:r>
      <w:r w:rsidR="00384378">
        <w:rPr>
          <w:rFonts w:hint="eastAsia"/>
        </w:rPr>
        <w:t>日</w:t>
      </w:r>
      <w:r>
        <w:rPr>
          <w:rFonts w:hint="eastAsia"/>
        </w:rPr>
        <w:t>，</w:t>
      </w:r>
      <w:r w:rsidR="00384378">
        <w:rPr>
          <w:rFonts w:hint="eastAsia"/>
        </w:rPr>
        <w:t>提交人指出</w:t>
      </w:r>
      <w:r>
        <w:rPr>
          <w:rFonts w:hint="eastAsia"/>
        </w:rPr>
        <w:t>，</w:t>
      </w:r>
      <w:r w:rsidR="00384378">
        <w:rPr>
          <w:rFonts w:hint="eastAsia"/>
        </w:rPr>
        <w:t>缔约国错误地援引《联邦群众活动法》第</w:t>
      </w:r>
      <w:r w:rsidR="00384378">
        <w:rPr>
          <w:rFonts w:hint="eastAsia"/>
        </w:rPr>
        <w:t>8</w:t>
      </w:r>
      <w:r w:rsidR="00384378">
        <w:rPr>
          <w:rFonts w:hint="eastAsia"/>
        </w:rPr>
        <w:t>条。他认为</w:t>
      </w:r>
      <w:r>
        <w:rPr>
          <w:rFonts w:hint="eastAsia"/>
        </w:rPr>
        <w:t>，</w:t>
      </w:r>
      <w:r w:rsidR="00384378">
        <w:rPr>
          <w:rFonts w:hint="eastAsia"/>
        </w:rPr>
        <w:t>这项规定保障在适合公共活动的目的的任何地方举行公共活动。但是</w:t>
      </w:r>
      <w:r>
        <w:rPr>
          <w:rFonts w:hint="eastAsia"/>
        </w:rPr>
        <w:t>，</w:t>
      </w:r>
      <w:r w:rsidR="00384378">
        <w:rPr>
          <w:rFonts w:hint="eastAsia"/>
        </w:rPr>
        <w:t>对举行公共活动的限制是由于具体地点的特点而出于安全的考虑</w:t>
      </w:r>
      <w:r>
        <w:rPr>
          <w:rFonts w:hint="eastAsia"/>
        </w:rPr>
        <w:t>，</w:t>
      </w:r>
      <w:r w:rsidR="00384378">
        <w:rPr>
          <w:rFonts w:hint="eastAsia"/>
        </w:rPr>
        <w:t>如大楼可能倒塌等等。该条的措词中根本没有提到说它的目的是由于缔约国所引述的安全考虑而规定全面禁止和平集会权。此外</w:t>
      </w:r>
      <w:r>
        <w:rPr>
          <w:rFonts w:hint="eastAsia"/>
        </w:rPr>
        <w:t>，</w:t>
      </w:r>
      <w:r w:rsidR="00384378">
        <w:rPr>
          <w:rFonts w:hint="eastAsia"/>
        </w:rPr>
        <w:t>所引的条款应该在任何情况下都应该按照《联邦群众活动法》序言部分所述的那样作如下解释</w:t>
      </w:r>
      <w:r>
        <w:rPr>
          <w:rFonts w:hint="eastAsia"/>
        </w:rPr>
        <w:t>：</w:t>
      </w:r>
      <w:r w:rsidR="00384378">
        <w:rPr>
          <w:rFonts w:hint="eastAsia"/>
        </w:rPr>
        <w:t>“确保俄罗斯联邦公民行使宪法授予的权利</w:t>
      </w:r>
      <w:r>
        <w:rPr>
          <w:rFonts w:hint="eastAsia"/>
        </w:rPr>
        <w:t>，</w:t>
      </w:r>
      <w:r w:rsidR="00384378">
        <w:rPr>
          <w:rFonts w:hint="eastAsia"/>
        </w:rPr>
        <w:t>即和平集会</w:t>
      </w:r>
      <w:r>
        <w:rPr>
          <w:rFonts w:hint="eastAsia"/>
        </w:rPr>
        <w:t>[</w:t>
      </w:r>
      <w:r w:rsidR="00384378">
        <w:rPr>
          <w:rFonts w:hint="eastAsia"/>
        </w:rPr>
        <w:t>……</w:t>
      </w:r>
      <w:r>
        <w:rPr>
          <w:rFonts w:hint="eastAsia"/>
        </w:rPr>
        <w:t>]</w:t>
      </w:r>
      <w:r w:rsidR="00384378">
        <w:rPr>
          <w:rFonts w:hint="eastAsia"/>
        </w:rPr>
        <w:t>、大会、会议、示威、游行和举牌抗议的权利”。</w:t>
      </w:r>
    </w:p>
    <w:p w:rsidR="00384378" w:rsidRDefault="003938AC" w:rsidP="003938AC">
      <w:pPr>
        <w:pStyle w:val="SingleTxtGC"/>
        <w:rPr>
          <w:rFonts w:hint="eastAsia"/>
        </w:rPr>
      </w:pPr>
      <w:r>
        <w:rPr>
          <w:rFonts w:hint="eastAsia"/>
        </w:rPr>
        <w:t>5.</w:t>
      </w:r>
      <w:r w:rsidR="00384378">
        <w:rPr>
          <w:rFonts w:hint="eastAsia"/>
        </w:rPr>
        <w:t xml:space="preserve">2  </w:t>
      </w:r>
      <w:r w:rsidR="00384378">
        <w:rPr>
          <w:rFonts w:hint="eastAsia"/>
        </w:rPr>
        <w:t>提交人提出</w:t>
      </w:r>
      <w:r>
        <w:rPr>
          <w:rFonts w:hint="eastAsia"/>
        </w:rPr>
        <w:t>，</w:t>
      </w:r>
      <w:r w:rsidR="00384378">
        <w:rPr>
          <w:rFonts w:hint="eastAsia"/>
        </w:rPr>
        <w:t>如果当局援引安全考虑作为拒绝在组织者提出的地点或道路上举行群众活动</w:t>
      </w:r>
      <w:r>
        <w:rPr>
          <w:rFonts w:hint="eastAsia"/>
        </w:rPr>
        <w:t>，</w:t>
      </w:r>
      <w:r w:rsidR="00384378">
        <w:rPr>
          <w:rFonts w:hint="eastAsia"/>
        </w:rPr>
        <w:t>那么他们则必须根据《联邦群众活动法》第</w:t>
      </w:r>
      <w:r w:rsidR="00384378">
        <w:rPr>
          <w:rFonts w:hint="eastAsia"/>
        </w:rPr>
        <w:t>12</w:t>
      </w:r>
      <w:r w:rsidR="00384378">
        <w:rPr>
          <w:rFonts w:hint="eastAsia"/>
        </w:rPr>
        <w:t>条提议另一个活动地点。另一个解释</w:t>
      </w:r>
      <w:r>
        <w:rPr>
          <w:rFonts w:hint="eastAsia"/>
        </w:rPr>
        <w:t>，</w:t>
      </w:r>
      <w:r w:rsidR="00384378">
        <w:rPr>
          <w:rFonts w:hint="eastAsia"/>
        </w:rPr>
        <w:t>例如要组织者自己确定另一个地点</w:t>
      </w:r>
      <w:r>
        <w:rPr>
          <w:rFonts w:hint="eastAsia"/>
        </w:rPr>
        <w:t>，</w:t>
      </w:r>
      <w:r w:rsidR="00384378">
        <w:rPr>
          <w:rFonts w:hint="eastAsia"/>
        </w:rPr>
        <w:t>会使人得出结论</w:t>
      </w:r>
      <w:r>
        <w:rPr>
          <w:rFonts w:hint="eastAsia"/>
        </w:rPr>
        <w:t>，</w:t>
      </w:r>
      <w:r w:rsidR="00384378">
        <w:rPr>
          <w:rFonts w:hint="eastAsia"/>
        </w:rPr>
        <w:t>即有关的法律缺乏足够的清晰度</w:t>
      </w:r>
      <w:r>
        <w:rPr>
          <w:rFonts w:hint="eastAsia"/>
        </w:rPr>
        <w:t>，</w:t>
      </w:r>
      <w:r w:rsidR="00384378">
        <w:rPr>
          <w:rFonts w:hint="eastAsia"/>
        </w:rPr>
        <w:t>因此就《公约》第二十一条而言</w:t>
      </w:r>
      <w:r>
        <w:rPr>
          <w:rFonts w:hint="eastAsia"/>
        </w:rPr>
        <w:t>，</w:t>
      </w:r>
      <w:r w:rsidR="00384378">
        <w:rPr>
          <w:rFonts w:hint="eastAsia"/>
        </w:rPr>
        <w:t>可以认为对集会自由权的限制没有“依法”实施。据提交人说</w:t>
      </w:r>
      <w:r>
        <w:rPr>
          <w:rFonts w:hint="eastAsia"/>
        </w:rPr>
        <w:t>，</w:t>
      </w:r>
      <w:r w:rsidR="00384378">
        <w:rPr>
          <w:rFonts w:hint="eastAsia"/>
        </w:rPr>
        <w:t>如果当局对参加者的安全有担心</w:t>
      </w:r>
      <w:r>
        <w:rPr>
          <w:rFonts w:hint="eastAsia"/>
        </w:rPr>
        <w:t>，</w:t>
      </w:r>
      <w:r w:rsidR="00384378">
        <w:rPr>
          <w:rFonts w:hint="eastAsia"/>
        </w:rPr>
        <w:t>就应该由他们提出群众活动的另外地点。</w:t>
      </w:r>
    </w:p>
    <w:p w:rsidR="00384378" w:rsidRDefault="003938AC" w:rsidP="003938AC">
      <w:pPr>
        <w:pStyle w:val="SingleTxtGC"/>
        <w:rPr>
          <w:rFonts w:hint="eastAsia"/>
        </w:rPr>
      </w:pPr>
      <w:r>
        <w:rPr>
          <w:rFonts w:hint="eastAsia"/>
        </w:rPr>
        <w:t>5.</w:t>
      </w:r>
      <w:r w:rsidR="00384378">
        <w:rPr>
          <w:rFonts w:hint="eastAsia"/>
        </w:rPr>
        <w:t xml:space="preserve">3  </w:t>
      </w:r>
      <w:r w:rsidR="00384378">
        <w:rPr>
          <w:rFonts w:hint="eastAsia"/>
        </w:rPr>
        <w:t>关于缔约国对用尽国内补救措施的评述</w:t>
      </w:r>
      <w:r>
        <w:rPr>
          <w:rFonts w:hint="eastAsia"/>
        </w:rPr>
        <w:t>，</w:t>
      </w:r>
      <w:r w:rsidR="00384378">
        <w:rPr>
          <w:rFonts w:hint="eastAsia"/>
        </w:rPr>
        <w:t>提交人指出</w:t>
      </w:r>
      <w:r>
        <w:rPr>
          <w:rFonts w:hint="eastAsia"/>
        </w:rPr>
        <w:t>，</w:t>
      </w:r>
      <w:r w:rsidR="00384378">
        <w:rPr>
          <w:rFonts w:hint="eastAsia"/>
        </w:rPr>
        <w:t>监督审查程序不构成有效的补救</w:t>
      </w:r>
      <w:r>
        <w:rPr>
          <w:rFonts w:hint="eastAsia"/>
        </w:rPr>
        <w:t>，</w:t>
      </w:r>
      <w:r w:rsidR="00384378">
        <w:rPr>
          <w:rFonts w:hint="eastAsia"/>
        </w:rPr>
        <w:t>因为这种程序没有确保由一个法官小组</w:t>
      </w:r>
      <w:r>
        <w:rPr>
          <w:rFonts w:hint="eastAsia"/>
        </w:rPr>
        <w:t>(</w:t>
      </w:r>
      <w:r w:rsidR="00384378">
        <w:rPr>
          <w:rFonts w:hint="eastAsia"/>
        </w:rPr>
        <w:t>莫斯科市法院或最高法院的院长</w:t>
      </w:r>
      <w:r>
        <w:rPr>
          <w:rFonts w:hint="eastAsia"/>
        </w:rPr>
        <w:t>)</w:t>
      </w:r>
      <w:r w:rsidR="00384378">
        <w:rPr>
          <w:rFonts w:hint="eastAsia"/>
        </w:rPr>
        <w:t>来对上诉的案件的案情进行重新审查。《民事程序法》第</w:t>
      </w:r>
      <w:r w:rsidR="00384378">
        <w:rPr>
          <w:rFonts w:hint="eastAsia"/>
        </w:rPr>
        <w:t>381</w:t>
      </w:r>
      <w:r w:rsidR="00384378">
        <w:rPr>
          <w:rFonts w:hint="eastAsia"/>
        </w:rPr>
        <w:t>条规定</w:t>
      </w:r>
      <w:r>
        <w:rPr>
          <w:rFonts w:hint="eastAsia"/>
        </w:rPr>
        <w:t>，</w:t>
      </w:r>
      <w:r w:rsidR="00384378">
        <w:rPr>
          <w:rFonts w:hint="eastAsia"/>
        </w:rPr>
        <w:t>这种上诉由监督审查法院法官审理</w:t>
      </w:r>
      <w:r>
        <w:rPr>
          <w:rFonts w:hint="eastAsia"/>
        </w:rPr>
        <w:t>，</w:t>
      </w:r>
      <w:r w:rsidR="00384378">
        <w:rPr>
          <w:rFonts w:hint="eastAsia"/>
        </w:rPr>
        <w:t>该法官甚至可以在没有研究案宗材料的情况下予以驳回。只有当法官认为提出的论据有说服力时</w:t>
      </w:r>
      <w:r>
        <w:rPr>
          <w:rFonts w:hint="eastAsia"/>
        </w:rPr>
        <w:t>，</w:t>
      </w:r>
      <w:r w:rsidR="00384378">
        <w:rPr>
          <w:rFonts w:hint="eastAsia"/>
        </w:rPr>
        <w:t>他或她才会要求提供案宗</w:t>
      </w:r>
      <w:r>
        <w:rPr>
          <w:rFonts w:hint="eastAsia"/>
        </w:rPr>
        <w:t>，</w:t>
      </w:r>
      <w:r w:rsidR="00384378">
        <w:rPr>
          <w:rFonts w:hint="eastAsia"/>
        </w:rPr>
        <w:t>并在他或她的权限内将案件移交监督审查法院的法官小组审理。在这方面</w:t>
      </w:r>
      <w:r>
        <w:rPr>
          <w:rFonts w:hint="eastAsia"/>
        </w:rPr>
        <w:t>，</w:t>
      </w:r>
      <w:r w:rsidR="00384378">
        <w:rPr>
          <w:rFonts w:hint="eastAsia"/>
        </w:rPr>
        <w:t>提交人援引</w:t>
      </w:r>
      <w:r w:rsidR="00384378">
        <w:rPr>
          <w:rFonts w:hint="eastAsia"/>
        </w:rPr>
        <w:t>2007</w:t>
      </w:r>
      <w:r w:rsidR="00384378">
        <w:rPr>
          <w:rFonts w:hint="eastAsia"/>
        </w:rPr>
        <w:t>年的一个类似案件</w:t>
      </w:r>
      <w:r>
        <w:rPr>
          <w:rFonts w:hint="eastAsia"/>
        </w:rPr>
        <w:t>：</w:t>
      </w:r>
      <w:r w:rsidR="00384378">
        <w:rPr>
          <w:rFonts w:hint="eastAsia"/>
        </w:rPr>
        <w:t>申诉人对不批准为呼吁容忍性少数群体举行一次集会的决定提出上诉</w:t>
      </w:r>
      <w:r>
        <w:rPr>
          <w:rFonts w:hint="eastAsia"/>
        </w:rPr>
        <w:t>，</w:t>
      </w:r>
      <w:r w:rsidR="00384378">
        <w:rPr>
          <w:rFonts w:hint="eastAsia"/>
        </w:rPr>
        <w:t>要求进行监督审查</w:t>
      </w:r>
      <w:r>
        <w:rPr>
          <w:rFonts w:hint="eastAsia"/>
        </w:rPr>
        <w:t>，</w:t>
      </w:r>
      <w:r w:rsidR="00384378">
        <w:rPr>
          <w:rFonts w:hint="eastAsia"/>
        </w:rPr>
        <w:t>但最高法院的一名法官认为</w:t>
      </w:r>
      <w:r>
        <w:rPr>
          <w:rFonts w:hint="eastAsia"/>
        </w:rPr>
        <w:t>，</w:t>
      </w:r>
      <w:r w:rsidR="00384378">
        <w:rPr>
          <w:rFonts w:hint="eastAsia"/>
        </w:rPr>
        <w:t>由于不能保证参加者的安全</w:t>
      </w:r>
      <w:r>
        <w:rPr>
          <w:rFonts w:hint="eastAsia"/>
        </w:rPr>
        <w:t>，</w:t>
      </w:r>
      <w:r w:rsidR="00384378">
        <w:rPr>
          <w:rFonts w:hint="eastAsia"/>
        </w:rPr>
        <w:t>因此这项决定是合法的</w:t>
      </w:r>
      <w:r>
        <w:rPr>
          <w:rFonts w:hint="eastAsia"/>
        </w:rPr>
        <w:t>，</w:t>
      </w:r>
      <w:r w:rsidR="00384378">
        <w:rPr>
          <w:rFonts w:hint="eastAsia"/>
        </w:rPr>
        <w:t>并决定对该案不准予监督审查</w:t>
      </w:r>
      <w:r>
        <w:rPr>
          <w:rFonts w:hint="eastAsia"/>
        </w:rPr>
        <w:t>，</w:t>
      </w:r>
      <w:r w:rsidR="00384378">
        <w:rPr>
          <w:rFonts w:hint="eastAsia"/>
        </w:rPr>
        <w:t>由于他的案件涉及类似的情况</w:t>
      </w:r>
      <w:r>
        <w:rPr>
          <w:rFonts w:hint="eastAsia"/>
        </w:rPr>
        <w:t>，</w:t>
      </w:r>
      <w:r w:rsidR="00384378">
        <w:rPr>
          <w:rFonts w:hint="eastAsia"/>
        </w:rPr>
        <w:t>因此提交人认为通过监督审查程序进行上诉</w:t>
      </w:r>
      <w:r>
        <w:rPr>
          <w:rFonts w:hint="eastAsia"/>
        </w:rPr>
        <w:t>，</w:t>
      </w:r>
      <w:r w:rsidR="00384378">
        <w:rPr>
          <w:rFonts w:hint="eastAsia"/>
        </w:rPr>
        <w:t>该是徒劳无效的。</w:t>
      </w:r>
    </w:p>
    <w:p w:rsidR="00384378" w:rsidRDefault="003938AC" w:rsidP="003938AC">
      <w:pPr>
        <w:pStyle w:val="SingleTxtGC"/>
        <w:rPr>
          <w:rFonts w:hint="eastAsia"/>
        </w:rPr>
      </w:pPr>
      <w:r>
        <w:rPr>
          <w:rFonts w:hint="eastAsia"/>
        </w:rPr>
        <w:t>5.</w:t>
      </w:r>
      <w:r w:rsidR="00384378">
        <w:rPr>
          <w:rFonts w:hint="eastAsia"/>
        </w:rPr>
        <w:t xml:space="preserve">4  </w:t>
      </w:r>
      <w:r w:rsidR="00384378">
        <w:rPr>
          <w:rFonts w:hint="eastAsia"/>
        </w:rPr>
        <w:t>提交人还要求委员会考虑欧洲人权法院关于监督审查程序的有效性方面的判例</w:t>
      </w:r>
      <w:r>
        <w:rPr>
          <w:rFonts w:hint="eastAsia"/>
        </w:rPr>
        <w:t>，</w:t>
      </w:r>
      <w:r w:rsidR="00384378">
        <w:rPr>
          <w:rFonts w:hint="eastAsia"/>
        </w:rPr>
        <w:t>因为《民事程序法》没有明确撤消下级法院最后判决的理由</w:t>
      </w:r>
      <w:r>
        <w:rPr>
          <w:rFonts w:hint="eastAsia"/>
        </w:rPr>
        <w:t>，</w:t>
      </w:r>
      <w:r w:rsidR="00384378">
        <w:rPr>
          <w:rFonts w:hint="eastAsia"/>
        </w:rPr>
        <w:t>申诉人不能直接进入该程序。他还注意到委员会在审议了俄罗斯联邦根据《公约》提交的第六次定期报告后提出的关注</w:t>
      </w:r>
      <w:r>
        <w:rPr>
          <w:rFonts w:hint="eastAsia"/>
        </w:rPr>
        <w:t>，</w:t>
      </w:r>
      <w:r w:rsidR="00384378">
        <w:rPr>
          <w:rFonts w:hint="eastAsia"/>
        </w:rPr>
        <w:t>即缔约国存在着基于性取向的系统性歧视</w:t>
      </w:r>
      <w:r>
        <w:rPr>
          <w:rFonts w:hint="eastAsia"/>
        </w:rPr>
        <w:t>，</w:t>
      </w:r>
      <w:r w:rsidR="00384378">
        <w:rPr>
          <w:rFonts w:hint="eastAsia"/>
        </w:rPr>
        <w:t>包括政府官员的歧视的情况</w:t>
      </w:r>
      <w:r>
        <w:rPr>
          <w:rFonts w:hint="eastAsia"/>
        </w:rPr>
        <w:t>(</w:t>
      </w:r>
      <w:r w:rsidR="00384378">
        <w:rPr>
          <w:rFonts w:hint="eastAsia"/>
        </w:rPr>
        <w:t>CCPR</w:t>
      </w:r>
      <w:r>
        <w:rPr>
          <w:rFonts w:hint="eastAsia"/>
        </w:rPr>
        <w:t>/</w:t>
      </w:r>
      <w:r w:rsidR="00384378">
        <w:rPr>
          <w:rFonts w:hint="eastAsia"/>
        </w:rPr>
        <w:t>C</w:t>
      </w:r>
      <w:r>
        <w:rPr>
          <w:rFonts w:hint="eastAsia"/>
        </w:rPr>
        <w:t>/</w:t>
      </w:r>
      <w:r w:rsidR="00384378">
        <w:rPr>
          <w:rFonts w:hint="eastAsia"/>
        </w:rPr>
        <w:t>RUS</w:t>
      </w:r>
      <w:r>
        <w:rPr>
          <w:rFonts w:hint="eastAsia"/>
        </w:rPr>
        <w:t>/</w:t>
      </w:r>
      <w:r w:rsidR="00384378">
        <w:rPr>
          <w:rFonts w:hint="eastAsia"/>
        </w:rPr>
        <w:t>CO</w:t>
      </w:r>
      <w:r>
        <w:rPr>
          <w:rFonts w:hint="eastAsia"/>
        </w:rPr>
        <w:t>/</w:t>
      </w:r>
      <w:r w:rsidR="00384378">
        <w:rPr>
          <w:rFonts w:hint="eastAsia"/>
        </w:rPr>
        <w:t>6</w:t>
      </w:r>
      <w:r w:rsidR="00384378">
        <w:rPr>
          <w:rFonts w:hint="eastAsia"/>
        </w:rPr>
        <w:t>和</w:t>
      </w:r>
      <w:r w:rsidR="00384378">
        <w:rPr>
          <w:rFonts w:hint="eastAsia"/>
        </w:rPr>
        <w:t>Corr.</w:t>
      </w:r>
      <w:r>
        <w:rPr>
          <w:rFonts w:hint="eastAsia"/>
        </w:rPr>
        <w:t>1,</w:t>
      </w:r>
      <w:r w:rsidR="00384378">
        <w:rPr>
          <w:rFonts w:hint="eastAsia"/>
        </w:rPr>
        <w:t xml:space="preserve"> </w:t>
      </w:r>
      <w:r w:rsidR="00384378">
        <w:rPr>
          <w:rFonts w:hint="eastAsia"/>
        </w:rPr>
        <w:t>第</w:t>
      </w:r>
      <w:r w:rsidR="00384378">
        <w:rPr>
          <w:rFonts w:hint="eastAsia"/>
        </w:rPr>
        <w:t>27</w:t>
      </w:r>
      <w:r w:rsidR="00384378">
        <w:rPr>
          <w:rFonts w:hint="eastAsia"/>
        </w:rPr>
        <w:t>段</w:t>
      </w:r>
      <w:r>
        <w:rPr>
          <w:rFonts w:hint="eastAsia"/>
        </w:rPr>
        <w:t>)</w:t>
      </w:r>
      <w:r w:rsidR="00384378">
        <w:rPr>
          <w:rFonts w:hint="eastAsia"/>
        </w:rPr>
        <w:t>。</w:t>
      </w:r>
    </w:p>
    <w:p w:rsidR="00384378" w:rsidRDefault="003938AC" w:rsidP="003938AC">
      <w:pPr>
        <w:pStyle w:val="SingleTxtGC"/>
        <w:rPr>
          <w:rFonts w:hint="eastAsia"/>
        </w:rPr>
      </w:pPr>
      <w:r>
        <w:rPr>
          <w:rFonts w:hint="eastAsia"/>
        </w:rPr>
        <w:t>5.</w:t>
      </w:r>
      <w:r w:rsidR="00384378">
        <w:rPr>
          <w:rFonts w:hint="eastAsia"/>
        </w:rPr>
        <w:t>5  2009</w:t>
      </w:r>
      <w:r w:rsidR="00384378">
        <w:rPr>
          <w:rFonts w:hint="eastAsia"/>
        </w:rPr>
        <w:t>年</w:t>
      </w:r>
      <w:r w:rsidR="00384378">
        <w:rPr>
          <w:rFonts w:hint="eastAsia"/>
        </w:rPr>
        <w:t>12</w:t>
      </w:r>
      <w:r w:rsidR="00384378">
        <w:rPr>
          <w:rFonts w:hint="eastAsia"/>
        </w:rPr>
        <w:t>月</w:t>
      </w:r>
      <w:r w:rsidR="00384378">
        <w:rPr>
          <w:rFonts w:hint="eastAsia"/>
        </w:rPr>
        <w:t>2</w:t>
      </w:r>
      <w:r w:rsidR="00384378">
        <w:rPr>
          <w:rFonts w:hint="eastAsia"/>
        </w:rPr>
        <w:t>日</w:t>
      </w:r>
      <w:r>
        <w:rPr>
          <w:rFonts w:hint="eastAsia"/>
        </w:rPr>
        <w:t>，</w:t>
      </w:r>
      <w:r w:rsidR="00384378">
        <w:rPr>
          <w:rFonts w:hint="eastAsia"/>
        </w:rPr>
        <w:t>提交人提交了额外的资料。特别是</w:t>
      </w:r>
      <w:r>
        <w:rPr>
          <w:rFonts w:hint="eastAsia"/>
        </w:rPr>
        <w:t>，</w:t>
      </w:r>
      <w:r w:rsidR="00384378">
        <w:rPr>
          <w:rFonts w:hint="eastAsia"/>
        </w:rPr>
        <w:t>提交人提请注意欧洲人权法院对《</w:t>
      </w:r>
      <w:r w:rsidR="00384378">
        <w:rPr>
          <w:rFonts w:hint="eastAsia"/>
        </w:rPr>
        <w:t>Martynets</w:t>
      </w:r>
      <w:r w:rsidR="00384378" w:rsidRPr="00F568C7">
        <w:rPr>
          <w:rFonts w:eastAsia="KaiTi_GB2312" w:hint="eastAsia"/>
        </w:rPr>
        <w:t>诉俄罗斯</w:t>
      </w:r>
      <w:r w:rsidR="00384378">
        <w:rPr>
          <w:rFonts w:hint="eastAsia"/>
        </w:rPr>
        <w:t>案》的判决。欧洲法院在该判决中评估了缔约国</w:t>
      </w:r>
      <w:r w:rsidR="00384378">
        <w:rPr>
          <w:rFonts w:hint="eastAsia"/>
        </w:rPr>
        <w:t>2008</w:t>
      </w:r>
      <w:r w:rsidR="00384378">
        <w:rPr>
          <w:rFonts w:hint="eastAsia"/>
        </w:rPr>
        <w:t>年</w:t>
      </w:r>
      <w:r w:rsidR="00384378">
        <w:rPr>
          <w:rFonts w:hint="eastAsia"/>
        </w:rPr>
        <w:t>1</w:t>
      </w:r>
      <w:r w:rsidR="00384378">
        <w:rPr>
          <w:rFonts w:hint="eastAsia"/>
        </w:rPr>
        <w:t>月</w:t>
      </w:r>
      <w:r w:rsidR="00384378">
        <w:rPr>
          <w:rFonts w:hint="eastAsia"/>
        </w:rPr>
        <w:t>7</w:t>
      </w:r>
      <w:r w:rsidR="00384378">
        <w:rPr>
          <w:rFonts w:hint="eastAsia"/>
        </w:rPr>
        <w:t>日以来生效的监督审查程序的有效性。它认为</w:t>
      </w:r>
      <w:r>
        <w:rPr>
          <w:rFonts w:hint="eastAsia"/>
        </w:rPr>
        <w:t>，</w:t>
      </w:r>
      <w:r w:rsidR="00384378">
        <w:rPr>
          <w:rFonts w:hint="eastAsia"/>
        </w:rPr>
        <w:t>缔约国的监督审查程序不能被认为是根据《欧洲人权公约》第</w:t>
      </w:r>
      <w:r w:rsidR="00384378">
        <w:rPr>
          <w:rFonts w:hint="eastAsia"/>
        </w:rPr>
        <w:t>35</w:t>
      </w:r>
      <w:r w:rsidR="00384378">
        <w:rPr>
          <w:rFonts w:hint="eastAsia"/>
        </w:rPr>
        <w:t>条必须在向法院提出申请前要用尽的国内补救措施</w:t>
      </w:r>
      <w:r>
        <w:rPr>
          <w:rFonts w:hint="eastAsia"/>
        </w:rPr>
        <w:t>，</w:t>
      </w:r>
      <w:r w:rsidR="00384378">
        <w:rPr>
          <w:rFonts w:hint="eastAsia"/>
        </w:rPr>
        <w:t>因为对具有法律约束力的判决的监督审查程序可以通过多个审级进行</w:t>
      </w:r>
      <w:r>
        <w:rPr>
          <w:rFonts w:hint="eastAsia"/>
        </w:rPr>
        <w:t>，</w:t>
      </w:r>
      <w:r w:rsidR="00384378">
        <w:rPr>
          <w:rFonts w:hint="eastAsia"/>
        </w:rPr>
        <w:t>因此</w:t>
      </w:r>
      <w:r>
        <w:rPr>
          <w:rFonts w:hint="eastAsia"/>
        </w:rPr>
        <w:t>，</w:t>
      </w:r>
      <w:r w:rsidR="00384378">
        <w:rPr>
          <w:rFonts w:hint="eastAsia"/>
        </w:rPr>
        <w:t>案件可能会无限期地在一个审级到另一个审级之间来来回回。</w:t>
      </w:r>
      <w:r w:rsidR="00384378">
        <w:rPr>
          <w:rStyle w:val="FootnoteReference"/>
        </w:rPr>
        <w:footnoteReference w:id="3"/>
      </w:r>
    </w:p>
    <w:p w:rsidR="00384378" w:rsidRDefault="00384378" w:rsidP="003938AC">
      <w:pPr>
        <w:pStyle w:val="H23GC"/>
        <w:rPr>
          <w:rFonts w:hint="eastAsia"/>
        </w:rPr>
      </w:pPr>
      <w:r>
        <w:rPr>
          <w:rFonts w:hint="eastAsia"/>
        </w:rPr>
        <w:tab/>
      </w:r>
      <w:r>
        <w:rPr>
          <w:rFonts w:hint="eastAsia"/>
        </w:rPr>
        <w:tab/>
      </w:r>
      <w:r>
        <w:rPr>
          <w:rFonts w:hint="eastAsia"/>
        </w:rPr>
        <w:t>缔约国提出的进一步意见</w:t>
      </w:r>
    </w:p>
    <w:p w:rsidR="00384378" w:rsidRDefault="003938AC" w:rsidP="003938AC">
      <w:pPr>
        <w:pStyle w:val="SingleTxtGC"/>
        <w:rPr>
          <w:rFonts w:hint="eastAsia"/>
        </w:rPr>
      </w:pPr>
      <w:r>
        <w:rPr>
          <w:rFonts w:hint="eastAsia"/>
        </w:rPr>
        <w:t>6.</w:t>
      </w:r>
      <w:r w:rsidR="00384378">
        <w:rPr>
          <w:rFonts w:hint="eastAsia"/>
        </w:rPr>
        <w:t>1  2010</w:t>
      </w:r>
      <w:r w:rsidR="00384378">
        <w:rPr>
          <w:rFonts w:hint="eastAsia"/>
        </w:rPr>
        <w:t>年</w:t>
      </w:r>
      <w:r w:rsidR="00384378">
        <w:rPr>
          <w:rFonts w:hint="eastAsia"/>
        </w:rPr>
        <w:t>9</w:t>
      </w:r>
      <w:r w:rsidR="00384378">
        <w:rPr>
          <w:rFonts w:hint="eastAsia"/>
        </w:rPr>
        <w:t>月</w:t>
      </w:r>
      <w:r w:rsidR="00384378">
        <w:rPr>
          <w:rFonts w:hint="eastAsia"/>
        </w:rPr>
        <w:t>29</w:t>
      </w:r>
      <w:r w:rsidR="00384378">
        <w:rPr>
          <w:rFonts w:hint="eastAsia"/>
        </w:rPr>
        <w:t>日</w:t>
      </w:r>
      <w:r>
        <w:rPr>
          <w:rFonts w:hint="eastAsia"/>
        </w:rPr>
        <w:t>，</w:t>
      </w:r>
      <w:r w:rsidR="00384378">
        <w:rPr>
          <w:rFonts w:hint="eastAsia"/>
        </w:rPr>
        <w:t>缔约国重申案件的事实以及提交人在国内一级采取的行动。它还重申</w:t>
      </w:r>
      <w:r>
        <w:rPr>
          <w:rFonts w:hint="eastAsia"/>
        </w:rPr>
        <w:t>：</w:t>
      </w:r>
      <w:r w:rsidR="00384378">
        <w:rPr>
          <w:rFonts w:hint="eastAsia"/>
        </w:rPr>
        <w:t>提交人根据《公约》第二十一条提出的声称是没有根据的</w:t>
      </w:r>
      <w:r>
        <w:rPr>
          <w:rFonts w:hint="eastAsia"/>
        </w:rPr>
        <w:t>；</w:t>
      </w:r>
      <w:r w:rsidR="00384378">
        <w:rPr>
          <w:rFonts w:hint="eastAsia"/>
        </w:rPr>
        <w:t>该条规定的对享有和平集会权的类似限制</w:t>
      </w:r>
      <w:r>
        <w:rPr>
          <w:rFonts w:hint="eastAsia"/>
        </w:rPr>
        <w:t>，</w:t>
      </w:r>
      <w:r w:rsidR="00384378">
        <w:rPr>
          <w:rFonts w:hint="eastAsia"/>
        </w:rPr>
        <w:t>在《宪法》第</w:t>
      </w:r>
      <w:r w:rsidR="00384378">
        <w:rPr>
          <w:rFonts w:hint="eastAsia"/>
        </w:rPr>
        <w:t>55</w:t>
      </w:r>
      <w:r w:rsidR="00384378">
        <w:rPr>
          <w:rFonts w:hint="eastAsia"/>
        </w:rPr>
        <w:t>条和《联邦群众活动法》第</w:t>
      </w:r>
      <w:r w:rsidR="00384378">
        <w:rPr>
          <w:rFonts w:hint="eastAsia"/>
        </w:rPr>
        <w:t>8</w:t>
      </w:r>
      <w:r w:rsidR="00384378">
        <w:rPr>
          <w:rFonts w:hint="eastAsia"/>
        </w:rPr>
        <w:t>条中也有规定。它回顾说</w:t>
      </w:r>
      <w:r>
        <w:rPr>
          <w:rFonts w:hint="eastAsia"/>
        </w:rPr>
        <w:t>，</w:t>
      </w:r>
      <w:r w:rsidR="00384378">
        <w:rPr>
          <w:rFonts w:hint="eastAsia"/>
        </w:rPr>
        <w:t>《联邦群众活动法》第</w:t>
      </w:r>
      <w:r w:rsidR="00384378">
        <w:rPr>
          <w:rFonts w:hint="eastAsia"/>
        </w:rPr>
        <w:t>8</w:t>
      </w:r>
      <w:r w:rsidR="00384378">
        <w:rPr>
          <w:rFonts w:hint="eastAsia"/>
        </w:rPr>
        <w:t>条规定</w:t>
      </w:r>
      <w:r>
        <w:rPr>
          <w:rFonts w:hint="eastAsia"/>
        </w:rPr>
        <w:t>，</w:t>
      </w:r>
      <w:r w:rsidR="00384378">
        <w:rPr>
          <w:rFonts w:hint="eastAsia"/>
        </w:rPr>
        <w:t>公共活动可以在适合于该活动的目的的任何地点举行</w:t>
      </w:r>
      <w:r>
        <w:rPr>
          <w:rFonts w:hint="eastAsia"/>
        </w:rPr>
        <w:t>，</w:t>
      </w:r>
      <w:r w:rsidR="00384378">
        <w:rPr>
          <w:rFonts w:hint="eastAsia"/>
        </w:rPr>
        <w:t>只要活动的开展不危及参加者的安全。在这方面</w:t>
      </w:r>
      <w:r>
        <w:rPr>
          <w:rFonts w:hint="eastAsia"/>
        </w:rPr>
        <w:t>，</w:t>
      </w:r>
      <w:r w:rsidR="00384378">
        <w:rPr>
          <w:rFonts w:hint="eastAsia"/>
        </w:rPr>
        <w:t>缔约国坚持认为</w:t>
      </w:r>
      <w:r>
        <w:rPr>
          <w:rFonts w:hint="eastAsia"/>
        </w:rPr>
        <w:t>，</w:t>
      </w:r>
      <w:r w:rsidR="00384378">
        <w:rPr>
          <w:rFonts w:hint="eastAsia"/>
        </w:rPr>
        <w:t>莫斯科中央行政区副区长的决定是根据对上述安全问题的考虑而作出的。</w:t>
      </w:r>
    </w:p>
    <w:p w:rsidR="00384378" w:rsidRDefault="003938AC" w:rsidP="003938AC">
      <w:pPr>
        <w:pStyle w:val="SingleTxtGC"/>
        <w:rPr>
          <w:rFonts w:hint="eastAsia"/>
        </w:rPr>
      </w:pPr>
      <w:r>
        <w:rPr>
          <w:rFonts w:hint="eastAsia"/>
        </w:rPr>
        <w:t>6.</w:t>
      </w:r>
      <w:r w:rsidR="00384378">
        <w:rPr>
          <w:rFonts w:hint="eastAsia"/>
        </w:rPr>
        <w:t xml:space="preserve">2  </w:t>
      </w:r>
      <w:r w:rsidR="00384378">
        <w:rPr>
          <w:rFonts w:hint="eastAsia"/>
        </w:rPr>
        <w:t>它还重申</w:t>
      </w:r>
      <w:r>
        <w:rPr>
          <w:rFonts w:hint="eastAsia"/>
        </w:rPr>
        <w:t>，</w:t>
      </w:r>
      <w:r w:rsidR="00384378">
        <w:rPr>
          <w:rFonts w:hint="eastAsia"/>
        </w:rPr>
        <w:t>提交人没有用尽监督审查程序中现有的国内补救措施</w:t>
      </w:r>
      <w:r>
        <w:rPr>
          <w:rFonts w:hint="eastAsia"/>
        </w:rPr>
        <w:t>，</w:t>
      </w:r>
      <w:r w:rsidR="00384378">
        <w:rPr>
          <w:rFonts w:hint="eastAsia"/>
        </w:rPr>
        <w:t>因此根据《公约任择议定书》第五条第</w:t>
      </w:r>
      <w:r w:rsidR="00384378">
        <w:rPr>
          <w:rFonts w:hint="eastAsia"/>
        </w:rPr>
        <w:t>2</w:t>
      </w:r>
      <w:r w:rsidR="00384378">
        <w:rPr>
          <w:rFonts w:hint="eastAsia"/>
        </w:rPr>
        <w:t>款</w:t>
      </w:r>
      <w:r>
        <w:rPr>
          <w:rFonts w:hint="eastAsia"/>
        </w:rPr>
        <w:t>(</w:t>
      </w:r>
      <w:r w:rsidR="00384378">
        <w:rPr>
          <w:rFonts w:hint="eastAsia"/>
        </w:rPr>
        <w:t>丑</w:t>
      </w:r>
      <w:r>
        <w:rPr>
          <w:rFonts w:hint="eastAsia"/>
        </w:rPr>
        <w:t>)</w:t>
      </w:r>
      <w:r w:rsidR="00384378">
        <w:rPr>
          <w:rFonts w:hint="eastAsia"/>
        </w:rPr>
        <w:t>项</w:t>
      </w:r>
      <w:r>
        <w:rPr>
          <w:rFonts w:hint="eastAsia"/>
        </w:rPr>
        <w:t>，</w:t>
      </w:r>
      <w:r w:rsidR="00384378">
        <w:rPr>
          <w:rFonts w:hint="eastAsia"/>
        </w:rPr>
        <w:t>本来文不可受理。</w:t>
      </w:r>
    </w:p>
    <w:p w:rsidR="00384378" w:rsidRPr="007D1D7E" w:rsidRDefault="003938AC" w:rsidP="003938AC">
      <w:pPr>
        <w:pStyle w:val="SingleTxtGC"/>
        <w:rPr>
          <w:rFonts w:hint="eastAsia"/>
        </w:rPr>
      </w:pPr>
      <w:r>
        <w:rPr>
          <w:rFonts w:hint="eastAsia"/>
        </w:rPr>
        <w:t>6.</w:t>
      </w:r>
      <w:r w:rsidR="00384378">
        <w:rPr>
          <w:rFonts w:hint="eastAsia"/>
        </w:rPr>
        <w:t xml:space="preserve">3  </w:t>
      </w:r>
      <w:r w:rsidR="00384378">
        <w:rPr>
          <w:rFonts w:hint="eastAsia"/>
        </w:rPr>
        <w:t>缔约国还说</w:t>
      </w:r>
      <w:r>
        <w:rPr>
          <w:rFonts w:hint="eastAsia"/>
        </w:rPr>
        <w:t>，</w:t>
      </w:r>
      <w:r w:rsidR="00384378">
        <w:rPr>
          <w:rFonts w:hint="eastAsia"/>
        </w:rPr>
        <w:t>提交人滥用来文提交权</w:t>
      </w:r>
      <w:r>
        <w:rPr>
          <w:rFonts w:hint="eastAsia"/>
        </w:rPr>
        <w:t>，</w:t>
      </w:r>
      <w:r w:rsidR="00384378">
        <w:rPr>
          <w:rFonts w:hint="eastAsia"/>
        </w:rPr>
        <w:t>因为同一事项正在有另一国际调查或解决程序审查。特别是</w:t>
      </w:r>
      <w:r>
        <w:rPr>
          <w:rFonts w:hint="eastAsia"/>
        </w:rPr>
        <w:t>，</w:t>
      </w:r>
      <w:r w:rsidR="00384378">
        <w:rPr>
          <w:rFonts w:hint="eastAsia"/>
        </w:rPr>
        <w:t>它提请注意</w:t>
      </w:r>
      <w:r>
        <w:rPr>
          <w:rFonts w:hint="eastAsia"/>
        </w:rPr>
        <w:t>：</w:t>
      </w:r>
      <w:r w:rsidR="00384378">
        <w:rPr>
          <w:rFonts w:hint="eastAsia"/>
        </w:rPr>
        <w:t>2007</w:t>
      </w:r>
      <w:r w:rsidR="00384378">
        <w:rPr>
          <w:rFonts w:hint="eastAsia"/>
        </w:rPr>
        <w:t>年</w:t>
      </w:r>
      <w:r w:rsidR="00384378">
        <w:rPr>
          <w:rFonts w:hint="eastAsia"/>
        </w:rPr>
        <w:t>1</w:t>
      </w:r>
      <w:r w:rsidR="00384378">
        <w:rPr>
          <w:rFonts w:hint="eastAsia"/>
        </w:rPr>
        <w:t>月</w:t>
      </w:r>
      <w:r w:rsidR="00384378">
        <w:rPr>
          <w:rFonts w:hint="eastAsia"/>
        </w:rPr>
        <w:t>29</w:t>
      </w:r>
      <w:r w:rsidR="00384378">
        <w:rPr>
          <w:rFonts w:hint="eastAsia"/>
        </w:rPr>
        <w:t>日、</w:t>
      </w:r>
      <w:r w:rsidR="00384378">
        <w:rPr>
          <w:rFonts w:hint="eastAsia"/>
        </w:rPr>
        <w:t>2008</w:t>
      </w:r>
      <w:r w:rsidR="00384378">
        <w:rPr>
          <w:rFonts w:hint="eastAsia"/>
        </w:rPr>
        <w:t>年</w:t>
      </w:r>
      <w:r w:rsidR="00384378">
        <w:rPr>
          <w:rFonts w:hint="eastAsia"/>
        </w:rPr>
        <w:t>2</w:t>
      </w:r>
      <w:r w:rsidR="00384378">
        <w:rPr>
          <w:rFonts w:hint="eastAsia"/>
        </w:rPr>
        <w:t>月</w:t>
      </w:r>
      <w:r w:rsidR="00384378">
        <w:rPr>
          <w:rFonts w:hint="eastAsia"/>
        </w:rPr>
        <w:t>14</w:t>
      </w:r>
      <w:r w:rsidR="00384378">
        <w:rPr>
          <w:rFonts w:hint="eastAsia"/>
        </w:rPr>
        <w:t>日和</w:t>
      </w:r>
      <w:r w:rsidR="00384378">
        <w:rPr>
          <w:rFonts w:hint="eastAsia"/>
        </w:rPr>
        <w:t>2009</w:t>
      </w:r>
      <w:r w:rsidR="00384378">
        <w:rPr>
          <w:rFonts w:hint="eastAsia"/>
        </w:rPr>
        <w:t>年</w:t>
      </w:r>
      <w:r w:rsidR="00384378">
        <w:rPr>
          <w:rFonts w:hint="eastAsia"/>
        </w:rPr>
        <w:t>3</w:t>
      </w:r>
      <w:r w:rsidR="00384378">
        <w:rPr>
          <w:rFonts w:hint="eastAsia"/>
        </w:rPr>
        <w:t>月</w:t>
      </w:r>
      <w:r w:rsidR="00384378">
        <w:rPr>
          <w:rFonts w:hint="eastAsia"/>
        </w:rPr>
        <w:t>10</w:t>
      </w:r>
      <w:r w:rsidR="00384378">
        <w:rPr>
          <w:rFonts w:hint="eastAsia"/>
        </w:rPr>
        <w:t>日</w:t>
      </w:r>
      <w:r>
        <w:rPr>
          <w:rFonts w:hint="eastAsia"/>
        </w:rPr>
        <w:t>，</w:t>
      </w:r>
      <w:r w:rsidR="00384378">
        <w:rPr>
          <w:rFonts w:hint="eastAsia"/>
        </w:rPr>
        <w:t>提交人就当局不批准他举行关于性少数群体权利的群众活动</w:t>
      </w:r>
      <w:r>
        <w:rPr>
          <w:rFonts w:hint="eastAsia"/>
        </w:rPr>
        <w:t>(</w:t>
      </w:r>
      <w:r w:rsidR="00384378">
        <w:rPr>
          <w:rFonts w:hint="eastAsia"/>
        </w:rPr>
        <w:t>同性恋骄傲游行</w:t>
      </w:r>
      <w:r>
        <w:rPr>
          <w:rFonts w:hint="eastAsia"/>
        </w:rPr>
        <w:t>)</w:t>
      </w:r>
      <w:r w:rsidR="00384378">
        <w:rPr>
          <w:rFonts w:hint="eastAsia"/>
        </w:rPr>
        <w:t>和举牌抗议而向欧洲人权法院提出请愿。</w:t>
      </w:r>
      <w:r w:rsidR="00384378">
        <w:rPr>
          <w:rStyle w:val="FootnoteReference"/>
        </w:rPr>
        <w:footnoteReference w:id="4"/>
      </w:r>
      <w:r w:rsidR="00384378">
        <w:rPr>
          <w:rFonts w:hint="eastAsia"/>
        </w:rPr>
        <w:t xml:space="preserve"> </w:t>
      </w:r>
      <w:r w:rsidR="00384378">
        <w:rPr>
          <w:rFonts w:hint="eastAsia"/>
        </w:rPr>
        <w:t>在这方面</w:t>
      </w:r>
      <w:r>
        <w:rPr>
          <w:rFonts w:hint="eastAsia"/>
        </w:rPr>
        <w:t>，</w:t>
      </w:r>
      <w:r w:rsidR="00384378">
        <w:rPr>
          <w:rFonts w:hint="eastAsia"/>
        </w:rPr>
        <w:t>它提出</w:t>
      </w:r>
      <w:r>
        <w:rPr>
          <w:rFonts w:hint="eastAsia"/>
        </w:rPr>
        <w:t>，</w:t>
      </w:r>
      <w:r w:rsidR="00384378">
        <w:rPr>
          <w:rFonts w:hint="eastAsia"/>
        </w:rPr>
        <w:t>向欧洲法院的申诉以及本来文在性质上是类似的</w:t>
      </w:r>
      <w:r>
        <w:rPr>
          <w:rFonts w:hint="eastAsia"/>
        </w:rPr>
        <w:t>，</w:t>
      </w:r>
      <w:r w:rsidR="00384378">
        <w:rPr>
          <w:rFonts w:hint="eastAsia"/>
        </w:rPr>
        <w:t>因为它们由同一人就同一群体</w:t>
      </w:r>
      <w:r>
        <w:rPr>
          <w:rFonts w:hint="eastAsia"/>
        </w:rPr>
        <w:t>(</w:t>
      </w:r>
      <w:r w:rsidR="00384378">
        <w:rPr>
          <w:rFonts w:hint="eastAsia"/>
        </w:rPr>
        <w:t>属于性少数群体</w:t>
      </w:r>
      <w:r>
        <w:rPr>
          <w:rFonts w:hint="eastAsia"/>
        </w:rPr>
        <w:t>)</w:t>
      </w:r>
      <w:r w:rsidR="00384378">
        <w:rPr>
          <w:rFonts w:hint="eastAsia"/>
        </w:rPr>
        <w:t>和同一市政当局的行动而提出的。</w:t>
      </w:r>
    </w:p>
    <w:p w:rsidR="00384378" w:rsidRDefault="00384378" w:rsidP="003938AC">
      <w:pPr>
        <w:pStyle w:val="H23GC"/>
        <w:rPr>
          <w:rFonts w:hint="eastAsia"/>
        </w:rPr>
      </w:pPr>
      <w:r>
        <w:rPr>
          <w:rFonts w:hint="eastAsia"/>
        </w:rPr>
        <w:tab/>
      </w:r>
      <w:r>
        <w:rPr>
          <w:rFonts w:hint="eastAsia"/>
        </w:rPr>
        <w:tab/>
      </w:r>
      <w:r>
        <w:rPr>
          <w:rFonts w:hint="eastAsia"/>
        </w:rPr>
        <w:t>提交人的进一步评述</w:t>
      </w:r>
    </w:p>
    <w:p w:rsidR="00384378" w:rsidRDefault="003938AC" w:rsidP="003938AC">
      <w:pPr>
        <w:pStyle w:val="SingleTxtGC"/>
        <w:rPr>
          <w:rFonts w:hint="eastAsia"/>
        </w:rPr>
      </w:pPr>
      <w:r>
        <w:rPr>
          <w:rFonts w:hint="eastAsia"/>
        </w:rPr>
        <w:t>7.</w:t>
      </w:r>
      <w:r w:rsidR="00384378">
        <w:rPr>
          <w:rFonts w:hint="eastAsia"/>
        </w:rPr>
        <w:t>1  2010</w:t>
      </w:r>
      <w:r w:rsidR="00384378">
        <w:rPr>
          <w:rFonts w:hint="eastAsia"/>
        </w:rPr>
        <w:t>年</w:t>
      </w:r>
      <w:r w:rsidR="00384378">
        <w:rPr>
          <w:rFonts w:hint="eastAsia"/>
        </w:rPr>
        <w:t>11</w:t>
      </w:r>
      <w:r w:rsidR="00384378">
        <w:rPr>
          <w:rFonts w:hint="eastAsia"/>
        </w:rPr>
        <w:t>月</w:t>
      </w:r>
      <w:r w:rsidR="00384378">
        <w:rPr>
          <w:rFonts w:hint="eastAsia"/>
        </w:rPr>
        <w:t>1</w:t>
      </w:r>
      <w:r w:rsidR="00384378">
        <w:rPr>
          <w:rFonts w:hint="eastAsia"/>
        </w:rPr>
        <w:t>日</w:t>
      </w:r>
      <w:r>
        <w:rPr>
          <w:rFonts w:hint="eastAsia"/>
        </w:rPr>
        <w:t>，</w:t>
      </w:r>
      <w:r w:rsidR="00384378">
        <w:rPr>
          <w:rFonts w:hint="eastAsia"/>
        </w:rPr>
        <w:t>提交人通知委员会说</w:t>
      </w:r>
      <w:r>
        <w:rPr>
          <w:rFonts w:hint="eastAsia"/>
        </w:rPr>
        <w:t>，</w:t>
      </w:r>
      <w:r w:rsidR="00384378">
        <w:rPr>
          <w:rFonts w:hint="eastAsia"/>
        </w:rPr>
        <w:t>2010</w:t>
      </w:r>
      <w:r w:rsidR="00384378">
        <w:rPr>
          <w:rFonts w:hint="eastAsia"/>
        </w:rPr>
        <w:t>年</w:t>
      </w:r>
      <w:r w:rsidR="00384378">
        <w:rPr>
          <w:rFonts w:hint="eastAsia"/>
        </w:rPr>
        <w:t>10</w:t>
      </w:r>
      <w:r w:rsidR="00384378">
        <w:rPr>
          <w:rFonts w:hint="eastAsia"/>
        </w:rPr>
        <w:t>月</w:t>
      </w:r>
      <w:r w:rsidR="00384378">
        <w:rPr>
          <w:rFonts w:hint="eastAsia"/>
        </w:rPr>
        <w:t>21</w:t>
      </w:r>
      <w:r w:rsidR="00384378">
        <w:rPr>
          <w:rFonts w:hint="eastAsia"/>
        </w:rPr>
        <w:t>日</w:t>
      </w:r>
      <w:r>
        <w:rPr>
          <w:rFonts w:hint="eastAsia"/>
        </w:rPr>
        <w:t>，</w:t>
      </w:r>
      <w:r w:rsidR="00384378">
        <w:rPr>
          <w:rFonts w:hint="eastAsia"/>
        </w:rPr>
        <w:t>欧洲人权法院通过了对他的案件的判决。</w:t>
      </w:r>
      <w:r w:rsidR="00384378">
        <w:rPr>
          <w:rStyle w:val="FootnoteReference"/>
        </w:rPr>
        <w:footnoteReference w:id="5"/>
      </w:r>
      <w:r w:rsidR="00384378">
        <w:rPr>
          <w:rFonts w:hint="eastAsia"/>
        </w:rPr>
        <w:t xml:space="preserve"> </w:t>
      </w:r>
      <w:r w:rsidR="00384378">
        <w:rPr>
          <w:rFonts w:hint="eastAsia"/>
        </w:rPr>
        <w:t>该案涉及当局不允许他举办类似于本来文中提到的</w:t>
      </w:r>
      <w:r w:rsidR="00384378">
        <w:rPr>
          <w:rFonts w:hint="eastAsia"/>
        </w:rPr>
        <w:t>2006</w:t>
      </w:r>
      <w:r w:rsidR="00384378">
        <w:rPr>
          <w:rFonts w:hint="eastAsia"/>
        </w:rPr>
        <w:t>、</w:t>
      </w:r>
      <w:r w:rsidR="00384378">
        <w:rPr>
          <w:rFonts w:hint="eastAsia"/>
        </w:rPr>
        <w:t>2007</w:t>
      </w:r>
      <w:r w:rsidR="00384378">
        <w:rPr>
          <w:rFonts w:hint="eastAsia"/>
        </w:rPr>
        <w:t>和</w:t>
      </w:r>
      <w:r w:rsidR="00384378">
        <w:rPr>
          <w:rFonts w:hint="eastAsia"/>
        </w:rPr>
        <w:t>2008</w:t>
      </w:r>
      <w:r w:rsidR="00384378">
        <w:rPr>
          <w:rFonts w:hint="eastAsia"/>
        </w:rPr>
        <w:t>年的活动。在该案中</w:t>
      </w:r>
      <w:r>
        <w:rPr>
          <w:rFonts w:hint="eastAsia"/>
        </w:rPr>
        <w:t>，</w:t>
      </w:r>
      <w:r w:rsidR="00384378">
        <w:rPr>
          <w:rFonts w:hint="eastAsia"/>
        </w:rPr>
        <w:t>欧洲法院认定违反了提交人在《欧洲人权公约》第</w:t>
      </w:r>
      <w:r w:rsidR="00384378">
        <w:rPr>
          <w:rFonts w:hint="eastAsia"/>
        </w:rPr>
        <w:t>11</w:t>
      </w:r>
      <w:r w:rsidR="00384378">
        <w:rPr>
          <w:rFonts w:hint="eastAsia"/>
        </w:rPr>
        <w:t>条</w:t>
      </w:r>
      <w:r>
        <w:rPr>
          <w:rFonts w:hint="eastAsia"/>
        </w:rPr>
        <w:t>(</w:t>
      </w:r>
      <w:r w:rsidR="00384378">
        <w:rPr>
          <w:rFonts w:hint="eastAsia"/>
        </w:rPr>
        <w:t>和平集会权</w:t>
      </w:r>
      <w:r>
        <w:rPr>
          <w:rFonts w:hint="eastAsia"/>
        </w:rPr>
        <w:t>)</w:t>
      </w:r>
      <w:r w:rsidR="00384378">
        <w:rPr>
          <w:rFonts w:hint="eastAsia"/>
        </w:rPr>
        <w:t>下的权利。</w:t>
      </w:r>
    </w:p>
    <w:p w:rsidR="00384378" w:rsidRDefault="003938AC" w:rsidP="003938AC">
      <w:pPr>
        <w:pStyle w:val="SingleTxtGC"/>
        <w:rPr>
          <w:rFonts w:hint="eastAsia"/>
        </w:rPr>
      </w:pPr>
      <w:r>
        <w:rPr>
          <w:rFonts w:hint="eastAsia"/>
        </w:rPr>
        <w:t>7.</w:t>
      </w:r>
      <w:r w:rsidR="00384378">
        <w:rPr>
          <w:rFonts w:hint="eastAsia"/>
        </w:rPr>
        <w:t>2  2010</w:t>
      </w:r>
      <w:r w:rsidR="00384378">
        <w:rPr>
          <w:rFonts w:hint="eastAsia"/>
        </w:rPr>
        <w:t>年</w:t>
      </w:r>
      <w:r w:rsidR="00384378">
        <w:rPr>
          <w:rFonts w:hint="eastAsia"/>
        </w:rPr>
        <w:t>11</w:t>
      </w:r>
      <w:r w:rsidR="00384378">
        <w:rPr>
          <w:rFonts w:hint="eastAsia"/>
        </w:rPr>
        <w:t>月</w:t>
      </w:r>
      <w:r w:rsidR="00384378">
        <w:rPr>
          <w:rFonts w:hint="eastAsia"/>
        </w:rPr>
        <w:t>30</w:t>
      </w:r>
      <w:r w:rsidR="00384378">
        <w:rPr>
          <w:rFonts w:hint="eastAsia"/>
        </w:rPr>
        <w:t>日</w:t>
      </w:r>
      <w:r>
        <w:rPr>
          <w:rFonts w:hint="eastAsia"/>
        </w:rPr>
        <w:t>，</w:t>
      </w:r>
      <w:r w:rsidR="00384378">
        <w:rPr>
          <w:rFonts w:hint="eastAsia"/>
        </w:rPr>
        <w:t>提交人重申</w:t>
      </w:r>
      <w:r>
        <w:rPr>
          <w:rFonts w:hint="eastAsia"/>
        </w:rPr>
        <w:t>，</w:t>
      </w:r>
      <w:r w:rsidR="00384378">
        <w:rPr>
          <w:rFonts w:hint="eastAsia"/>
        </w:rPr>
        <w:t>监督审查程序不能被认为是可否审议方面的有效补救。关于缔约国的论点</w:t>
      </w:r>
      <w:r>
        <w:rPr>
          <w:rFonts w:hint="eastAsia"/>
        </w:rPr>
        <w:t>，</w:t>
      </w:r>
      <w:r w:rsidR="00384378">
        <w:rPr>
          <w:rFonts w:hint="eastAsia"/>
        </w:rPr>
        <w:t>即本来文应该被看作是滥用申诉权</w:t>
      </w:r>
      <w:r>
        <w:rPr>
          <w:rFonts w:hint="eastAsia"/>
        </w:rPr>
        <w:t>，</w:t>
      </w:r>
      <w:r w:rsidR="00384378">
        <w:rPr>
          <w:rFonts w:hint="eastAsia"/>
        </w:rPr>
        <w:t>因为类似事项正在由另一国际程序审议</w:t>
      </w:r>
      <w:r>
        <w:rPr>
          <w:rFonts w:hint="eastAsia"/>
        </w:rPr>
        <w:t>，</w:t>
      </w:r>
      <w:r w:rsidR="00384378">
        <w:rPr>
          <w:rFonts w:hint="eastAsia"/>
        </w:rPr>
        <w:t>提交人认为</w:t>
      </w:r>
      <w:r>
        <w:rPr>
          <w:rFonts w:hint="eastAsia"/>
        </w:rPr>
        <w:t>，</w:t>
      </w:r>
      <w:r w:rsidR="00384378">
        <w:rPr>
          <w:rFonts w:hint="eastAsia"/>
        </w:rPr>
        <w:t>本申</w:t>
      </w:r>
      <w:r w:rsidR="009651EF">
        <w:rPr>
          <w:rFonts w:hint="eastAsia"/>
        </w:rPr>
        <w:t>诉</w:t>
      </w:r>
      <w:r w:rsidR="00384378">
        <w:rPr>
          <w:rFonts w:hint="eastAsia"/>
        </w:rPr>
        <w:t>以各种事实为根据</w:t>
      </w:r>
      <w:r>
        <w:rPr>
          <w:rFonts w:hint="eastAsia"/>
        </w:rPr>
        <w:t>，</w:t>
      </w:r>
      <w:r w:rsidR="00384378">
        <w:rPr>
          <w:rFonts w:hint="eastAsia"/>
        </w:rPr>
        <w:t>并与不同的事实有关。向欧洲人权法院提出的请愿涉及禁止举行骄傲游行的决定或者禁止提交人提出的替代骄傲游行的举牌抗议的决定</w:t>
      </w:r>
      <w:r>
        <w:rPr>
          <w:rFonts w:hint="eastAsia"/>
        </w:rPr>
        <w:t>，</w:t>
      </w:r>
      <w:r w:rsidR="00384378">
        <w:rPr>
          <w:rFonts w:hint="eastAsia"/>
        </w:rPr>
        <w:t>而本申诉涉及禁止举牌抗议伊朗伊斯兰共和国处决同性恋和未成年人的决定。因此</w:t>
      </w:r>
      <w:r>
        <w:rPr>
          <w:rFonts w:hint="eastAsia"/>
        </w:rPr>
        <w:t>，</w:t>
      </w:r>
      <w:r w:rsidR="00384378">
        <w:rPr>
          <w:rFonts w:hint="eastAsia"/>
        </w:rPr>
        <w:t>提交人认为</w:t>
      </w:r>
      <w:r>
        <w:rPr>
          <w:rFonts w:hint="eastAsia"/>
        </w:rPr>
        <w:t>，</w:t>
      </w:r>
      <w:r w:rsidR="00384378">
        <w:rPr>
          <w:rFonts w:hint="eastAsia"/>
        </w:rPr>
        <w:t>根据《公约任择议定书》第五条</w:t>
      </w:r>
      <w:r>
        <w:rPr>
          <w:rFonts w:hint="eastAsia"/>
        </w:rPr>
        <w:t>，</w:t>
      </w:r>
      <w:r w:rsidR="00384378">
        <w:rPr>
          <w:rFonts w:hint="eastAsia"/>
        </w:rPr>
        <w:t>本来文应宣布为可予受理。</w:t>
      </w:r>
    </w:p>
    <w:p w:rsidR="00384378" w:rsidRDefault="00384378" w:rsidP="003938AC">
      <w:pPr>
        <w:pStyle w:val="H23GC"/>
        <w:rPr>
          <w:rFonts w:hint="eastAsia"/>
        </w:rPr>
      </w:pPr>
      <w:r>
        <w:rPr>
          <w:rFonts w:hint="eastAsia"/>
        </w:rPr>
        <w:tab/>
      </w:r>
      <w:r>
        <w:rPr>
          <w:rFonts w:hint="eastAsia"/>
        </w:rPr>
        <w:tab/>
      </w:r>
      <w:r>
        <w:rPr>
          <w:rFonts w:hint="eastAsia"/>
        </w:rPr>
        <w:t>委员会需处理的问题和议事情况</w:t>
      </w:r>
    </w:p>
    <w:p w:rsidR="00384378" w:rsidRDefault="00384378" w:rsidP="003938AC">
      <w:pPr>
        <w:pStyle w:val="H4GC"/>
        <w:rPr>
          <w:rFonts w:hint="eastAsia"/>
        </w:rPr>
      </w:pPr>
      <w:r>
        <w:rPr>
          <w:rFonts w:hint="eastAsia"/>
        </w:rPr>
        <w:tab/>
      </w:r>
      <w:r>
        <w:rPr>
          <w:rFonts w:hint="eastAsia"/>
        </w:rPr>
        <w:tab/>
      </w:r>
      <w:r>
        <w:rPr>
          <w:rFonts w:hint="eastAsia"/>
        </w:rPr>
        <w:t>审议可否受理</w:t>
      </w:r>
    </w:p>
    <w:p w:rsidR="00384378" w:rsidRDefault="003938AC" w:rsidP="003938AC">
      <w:pPr>
        <w:pStyle w:val="SingleTxtGC"/>
        <w:rPr>
          <w:rFonts w:hint="eastAsia"/>
        </w:rPr>
      </w:pPr>
      <w:r>
        <w:rPr>
          <w:rFonts w:hint="eastAsia"/>
        </w:rPr>
        <w:t>8.</w:t>
      </w:r>
      <w:r w:rsidR="00384378">
        <w:rPr>
          <w:rFonts w:hint="eastAsia"/>
        </w:rPr>
        <w:t xml:space="preserve">1  </w:t>
      </w:r>
      <w:r w:rsidR="00384378">
        <w:rPr>
          <w:rFonts w:hint="eastAsia"/>
        </w:rPr>
        <w:t>在审议来文所载的任何声称之前</w:t>
      </w:r>
      <w:r>
        <w:rPr>
          <w:rFonts w:hint="eastAsia"/>
        </w:rPr>
        <w:t>，</w:t>
      </w:r>
      <w:r w:rsidR="00384378">
        <w:rPr>
          <w:rFonts w:hint="eastAsia"/>
        </w:rPr>
        <w:t>人权事务委员会必须根据《议事规则》第</w:t>
      </w:r>
      <w:r w:rsidR="00384378">
        <w:rPr>
          <w:rFonts w:hint="eastAsia"/>
        </w:rPr>
        <w:t>93</w:t>
      </w:r>
      <w:r w:rsidR="00384378">
        <w:rPr>
          <w:rFonts w:hint="eastAsia"/>
        </w:rPr>
        <w:t>条决定根据《任择议定书》来文是否可予受理。</w:t>
      </w:r>
    </w:p>
    <w:p w:rsidR="00384378" w:rsidRDefault="003938AC" w:rsidP="003938AC">
      <w:pPr>
        <w:pStyle w:val="SingleTxtGC"/>
        <w:rPr>
          <w:rFonts w:hint="eastAsia"/>
        </w:rPr>
      </w:pPr>
      <w:r>
        <w:rPr>
          <w:rFonts w:hint="eastAsia"/>
        </w:rPr>
        <w:t>8.</w:t>
      </w:r>
      <w:r w:rsidR="00384378">
        <w:rPr>
          <w:rFonts w:hint="eastAsia"/>
        </w:rPr>
        <w:t xml:space="preserve">2  </w:t>
      </w:r>
      <w:r w:rsidR="00384378">
        <w:rPr>
          <w:rFonts w:hint="eastAsia"/>
        </w:rPr>
        <w:t>根据《任择议定书》第五条第</w:t>
      </w:r>
      <w:r w:rsidR="00384378">
        <w:rPr>
          <w:rFonts w:hint="eastAsia"/>
        </w:rPr>
        <w:t>2</w:t>
      </w:r>
      <w:r w:rsidR="00384378">
        <w:rPr>
          <w:rFonts w:hint="eastAsia"/>
        </w:rPr>
        <w:t>款</w:t>
      </w:r>
      <w:r>
        <w:rPr>
          <w:rFonts w:hint="eastAsia"/>
        </w:rPr>
        <w:t>(</w:t>
      </w:r>
      <w:r w:rsidR="00384378">
        <w:rPr>
          <w:rFonts w:hint="eastAsia"/>
        </w:rPr>
        <w:t>甲</w:t>
      </w:r>
      <w:r>
        <w:rPr>
          <w:rFonts w:hint="eastAsia"/>
        </w:rPr>
        <w:t>)</w:t>
      </w:r>
      <w:r w:rsidR="00384378">
        <w:rPr>
          <w:rFonts w:hint="eastAsia"/>
        </w:rPr>
        <w:t>项的要求</w:t>
      </w:r>
      <w:r>
        <w:rPr>
          <w:rFonts w:hint="eastAsia"/>
        </w:rPr>
        <w:t>，</w:t>
      </w:r>
      <w:r w:rsidR="00384378">
        <w:rPr>
          <w:rFonts w:hint="eastAsia"/>
        </w:rPr>
        <w:t>委员会应弄清同一事项是否在另一国际调查或解决程序下审议。在这方面</w:t>
      </w:r>
      <w:r>
        <w:rPr>
          <w:rFonts w:hint="eastAsia"/>
        </w:rPr>
        <w:t>，</w:t>
      </w:r>
      <w:r w:rsidR="00384378">
        <w:rPr>
          <w:rFonts w:hint="eastAsia"/>
        </w:rPr>
        <w:t>委员会注意到缔约国的论点</w:t>
      </w:r>
      <w:r>
        <w:rPr>
          <w:rFonts w:hint="eastAsia"/>
        </w:rPr>
        <w:t>，</w:t>
      </w:r>
      <w:r w:rsidR="00384378">
        <w:rPr>
          <w:rFonts w:hint="eastAsia"/>
        </w:rPr>
        <w:t>即</w:t>
      </w:r>
      <w:r>
        <w:rPr>
          <w:rFonts w:hint="eastAsia"/>
        </w:rPr>
        <w:t>：</w:t>
      </w:r>
      <w:r w:rsidR="00384378">
        <w:rPr>
          <w:rFonts w:hint="eastAsia"/>
        </w:rPr>
        <w:t>提交人分别于</w:t>
      </w:r>
      <w:r w:rsidR="00384378">
        <w:rPr>
          <w:rFonts w:hint="eastAsia"/>
        </w:rPr>
        <w:t>2007</w:t>
      </w:r>
      <w:r w:rsidR="00384378">
        <w:rPr>
          <w:rFonts w:hint="eastAsia"/>
        </w:rPr>
        <w:t>年</w:t>
      </w:r>
      <w:r w:rsidR="00384378">
        <w:rPr>
          <w:rFonts w:hint="eastAsia"/>
        </w:rPr>
        <w:t>1</w:t>
      </w:r>
      <w:r w:rsidR="00384378">
        <w:rPr>
          <w:rFonts w:hint="eastAsia"/>
        </w:rPr>
        <w:t>月</w:t>
      </w:r>
      <w:r w:rsidR="00384378">
        <w:rPr>
          <w:rFonts w:hint="eastAsia"/>
        </w:rPr>
        <w:t>29</w:t>
      </w:r>
      <w:r w:rsidR="00384378">
        <w:rPr>
          <w:rFonts w:hint="eastAsia"/>
        </w:rPr>
        <w:t>日、</w:t>
      </w:r>
      <w:r w:rsidR="00384378">
        <w:rPr>
          <w:rFonts w:hint="eastAsia"/>
        </w:rPr>
        <w:t>2008</w:t>
      </w:r>
      <w:r w:rsidR="00384378">
        <w:rPr>
          <w:rFonts w:hint="eastAsia"/>
        </w:rPr>
        <w:t>年</w:t>
      </w:r>
      <w:r w:rsidR="00384378">
        <w:rPr>
          <w:rFonts w:hint="eastAsia"/>
        </w:rPr>
        <w:t>2</w:t>
      </w:r>
      <w:r w:rsidR="00384378">
        <w:rPr>
          <w:rFonts w:hint="eastAsia"/>
        </w:rPr>
        <w:t>月</w:t>
      </w:r>
      <w:r w:rsidR="00384378">
        <w:rPr>
          <w:rFonts w:hint="eastAsia"/>
        </w:rPr>
        <w:t>14</w:t>
      </w:r>
      <w:r w:rsidR="00384378">
        <w:rPr>
          <w:rFonts w:hint="eastAsia"/>
        </w:rPr>
        <w:t>日和</w:t>
      </w:r>
      <w:r w:rsidR="00384378">
        <w:rPr>
          <w:rFonts w:hint="eastAsia"/>
        </w:rPr>
        <w:t>2009</w:t>
      </w:r>
      <w:r w:rsidR="00384378">
        <w:rPr>
          <w:rFonts w:hint="eastAsia"/>
        </w:rPr>
        <w:t>年</w:t>
      </w:r>
      <w:r w:rsidR="00384378">
        <w:rPr>
          <w:rFonts w:hint="eastAsia"/>
        </w:rPr>
        <w:t>3</w:t>
      </w:r>
      <w:r w:rsidR="00384378">
        <w:rPr>
          <w:rFonts w:hint="eastAsia"/>
        </w:rPr>
        <w:t>月</w:t>
      </w:r>
      <w:r w:rsidR="00384378">
        <w:rPr>
          <w:rFonts w:hint="eastAsia"/>
        </w:rPr>
        <w:t>10</w:t>
      </w:r>
      <w:r w:rsidR="00384378">
        <w:rPr>
          <w:rFonts w:hint="eastAsia"/>
        </w:rPr>
        <w:t>日</w:t>
      </w:r>
      <w:r>
        <w:rPr>
          <w:rFonts w:hint="eastAsia"/>
        </w:rPr>
        <w:t>，</w:t>
      </w:r>
      <w:r w:rsidR="00384378">
        <w:rPr>
          <w:rFonts w:hint="eastAsia"/>
        </w:rPr>
        <w:t>就国家当局不允许提交人就性少数群体权利问题举行群众活动和举牌抗议向欧洲人权法院提出请愿</w:t>
      </w:r>
      <w:r>
        <w:rPr>
          <w:rFonts w:hint="eastAsia"/>
        </w:rPr>
        <w:t>，</w:t>
      </w:r>
      <w:r w:rsidR="00384378">
        <w:rPr>
          <w:rFonts w:hint="eastAsia"/>
        </w:rPr>
        <w:t>欧洲法院对这几次请愿作了登记。缔约国提出</w:t>
      </w:r>
      <w:r>
        <w:rPr>
          <w:rFonts w:hint="eastAsia"/>
        </w:rPr>
        <w:t>，</w:t>
      </w:r>
      <w:r w:rsidR="00384378">
        <w:rPr>
          <w:rFonts w:hint="eastAsia"/>
        </w:rPr>
        <w:t>向欧洲法院提出的申诉以及本来文的性质类似</w:t>
      </w:r>
      <w:r>
        <w:rPr>
          <w:rFonts w:hint="eastAsia"/>
        </w:rPr>
        <w:t>，</w:t>
      </w:r>
      <w:r w:rsidR="00384378">
        <w:rPr>
          <w:rFonts w:hint="eastAsia"/>
        </w:rPr>
        <w:t>因为它们是由同一人提出的</w:t>
      </w:r>
      <w:r>
        <w:rPr>
          <w:rFonts w:hint="eastAsia"/>
        </w:rPr>
        <w:t>，</w:t>
      </w:r>
      <w:r w:rsidR="00384378">
        <w:rPr>
          <w:rFonts w:hint="eastAsia"/>
        </w:rPr>
        <w:t>涉及的都是同一组人</w:t>
      </w:r>
      <w:r>
        <w:rPr>
          <w:rFonts w:hint="eastAsia"/>
        </w:rPr>
        <w:t>(</w:t>
      </w:r>
      <w:r w:rsidR="00384378">
        <w:rPr>
          <w:rFonts w:hint="eastAsia"/>
        </w:rPr>
        <w:t>属于性少数群体</w:t>
      </w:r>
      <w:r>
        <w:rPr>
          <w:rFonts w:hint="eastAsia"/>
        </w:rPr>
        <w:t>)</w:t>
      </w:r>
      <w:r w:rsidR="00384378">
        <w:rPr>
          <w:rFonts w:hint="eastAsia"/>
        </w:rPr>
        <w:t>的权利以及同一当局的行动。委员会还注意到提交人的解释</w:t>
      </w:r>
      <w:r>
        <w:rPr>
          <w:rFonts w:hint="eastAsia"/>
        </w:rPr>
        <w:t>，</w:t>
      </w:r>
      <w:r w:rsidR="00384378">
        <w:rPr>
          <w:rFonts w:hint="eastAsia"/>
        </w:rPr>
        <w:t>即</w:t>
      </w:r>
      <w:r>
        <w:rPr>
          <w:rFonts w:hint="eastAsia"/>
        </w:rPr>
        <w:t>：</w:t>
      </w:r>
      <w:r w:rsidR="00384378">
        <w:rPr>
          <w:rFonts w:hint="eastAsia"/>
        </w:rPr>
        <w:t>向欧洲人权法院提出的请愿涉及不同的实际情况</w:t>
      </w:r>
      <w:r>
        <w:rPr>
          <w:rFonts w:hint="eastAsia"/>
        </w:rPr>
        <w:t>，</w:t>
      </w:r>
      <w:r w:rsidR="00384378">
        <w:rPr>
          <w:rFonts w:hint="eastAsia"/>
        </w:rPr>
        <w:t>即</w:t>
      </w:r>
      <w:r>
        <w:rPr>
          <w:rFonts w:hint="eastAsia"/>
        </w:rPr>
        <w:t>：</w:t>
      </w:r>
      <w:r w:rsidR="00384378">
        <w:rPr>
          <w:rFonts w:hint="eastAsia"/>
        </w:rPr>
        <w:t>在</w:t>
      </w:r>
      <w:r w:rsidR="00384378">
        <w:rPr>
          <w:rFonts w:hint="eastAsia"/>
        </w:rPr>
        <w:t>2006</w:t>
      </w:r>
      <w:r w:rsidR="00384378">
        <w:rPr>
          <w:rFonts w:hint="eastAsia"/>
        </w:rPr>
        <w:t>年至</w:t>
      </w:r>
      <w:r w:rsidR="00384378">
        <w:rPr>
          <w:rFonts w:hint="eastAsia"/>
        </w:rPr>
        <w:t>2008</w:t>
      </w:r>
      <w:r w:rsidR="00384378">
        <w:rPr>
          <w:rFonts w:hint="eastAsia"/>
        </w:rPr>
        <w:t>年禁止举行骄傲游行或提交人作为替代骄傲游行而提出的举牌抗议</w:t>
      </w:r>
      <w:r>
        <w:rPr>
          <w:rFonts w:hint="eastAsia"/>
        </w:rPr>
        <w:t>，</w:t>
      </w:r>
      <w:r w:rsidR="00384378">
        <w:rPr>
          <w:rFonts w:hint="eastAsia"/>
        </w:rPr>
        <w:t>而本申诉则涉及禁止举牌抗议伊朗伊斯兰共和国处决同性恋和未成年人。</w:t>
      </w:r>
    </w:p>
    <w:p w:rsidR="00384378" w:rsidRDefault="003938AC" w:rsidP="003938AC">
      <w:pPr>
        <w:pStyle w:val="SingleTxtGC"/>
        <w:rPr>
          <w:rFonts w:hint="eastAsia"/>
        </w:rPr>
      </w:pPr>
      <w:r>
        <w:rPr>
          <w:rFonts w:hint="eastAsia"/>
        </w:rPr>
        <w:t>8.</w:t>
      </w:r>
      <w:r w:rsidR="00384378">
        <w:rPr>
          <w:rFonts w:hint="eastAsia"/>
        </w:rPr>
        <w:t xml:space="preserve">3  </w:t>
      </w:r>
      <w:r w:rsidR="00384378">
        <w:rPr>
          <w:rFonts w:hint="eastAsia"/>
        </w:rPr>
        <w:t>委员会回顾说</w:t>
      </w:r>
      <w:r>
        <w:rPr>
          <w:rFonts w:hint="eastAsia"/>
        </w:rPr>
        <w:t>，</w:t>
      </w:r>
      <w:r w:rsidR="00384378">
        <w:rPr>
          <w:rFonts w:hint="eastAsia"/>
        </w:rPr>
        <w:t>《任择议定书》第五条第</w:t>
      </w:r>
      <w:r w:rsidR="00384378">
        <w:rPr>
          <w:rFonts w:hint="eastAsia"/>
        </w:rPr>
        <w:t>2</w:t>
      </w:r>
      <w:r w:rsidR="00384378">
        <w:rPr>
          <w:rFonts w:hint="eastAsia"/>
        </w:rPr>
        <w:t>款</w:t>
      </w:r>
      <w:r>
        <w:rPr>
          <w:rFonts w:hint="eastAsia"/>
        </w:rPr>
        <w:t>(</w:t>
      </w:r>
      <w:r w:rsidR="00384378">
        <w:rPr>
          <w:rFonts w:hint="eastAsia"/>
        </w:rPr>
        <w:t>子</w:t>
      </w:r>
      <w:r>
        <w:rPr>
          <w:rFonts w:hint="eastAsia"/>
        </w:rPr>
        <w:t>)</w:t>
      </w:r>
      <w:r w:rsidR="00384378">
        <w:rPr>
          <w:rFonts w:hint="eastAsia"/>
        </w:rPr>
        <w:t>项意义范围内的“同一事件”应理解为包括同一作者、同一事实和同样的实质性权利。</w:t>
      </w:r>
      <w:r w:rsidR="00384378">
        <w:rPr>
          <w:rStyle w:val="FootnoteReference"/>
        </w:rPr>
        <w:footnoteReference w:id="6"/>
      </w:r>
      <w:r w:rsidR="00384378">
        <w:rPr>
          <w:rFonts w:hint="eastAsia"/>
        </w:rPr>
        <w:t xml:space="preserve"> </w:t>
      </w:r>
      <w:r w:rsidR="00384378">
        <w:rPr>
          <w:rFonts w:hint="eastAsia"/>
        </w:rPr>
        <w:t>委员会注意到</w:t>
      </w:r>
      <w:r>
        <w:rPr>
          <w:rFonts w:hint="eastAsia"/>
        </w:rPr>
        <w:t>，</w:t>
      </w:r>
      <w:r w:rsidR="00384378">
        <w:rPr>
          <w:rFonts w:hint="eastAsia"/>
        </w:rPr>
        <w:t>从关于案中的现有资料中显而易见</w:t>
      </w:r>
      <w:r>
        <w:rPr>
          <w:rFonts w:hint="eastAsia"/>
        </w:rPr>
        <w:t>，</w:t>
      </w:r>
      <w:r w:rsidR="00384378">
        <w:rPr>
          <w:rFonts w:hint="eastAsia"/>
        </w:rPr>
        <w:t>提交人向欧洲人权法院提出的请愿涉及同一人</w:t>
      </w:r>
      <w:r>
        <w:rPr>
          <w:rFonts w:hint="eastAsia"/>
        </w:rPr>
        <w:t>，</w:t>
      </w:r>
      <w:r w:rsidR="00384378">
        <w:rPr>
          <w:rFonts w:hint="eastAsia"/>
        </w:rPr>
        <w:t>事关本来文援引的同样的实质性权利。但是</w:t>
      </w:r>
      <w:r>
        <w:rPr>
          <w:rFonts w:hint="eastAsia"/>
        </w:rPr>
        <w:t>，</w:t>
      </w:r>
      <w:r w:rsidR="00384378">
        <w:rPr>
          <w:rFonts w:hint="eastAsia"/>
        </w:rPr>
        <w:t>委员会认为</w:t>
      </w:r>
      <w:r>
        <w:rPr>
          <w:rFonts w:hint="eastAsia"/>
        </w:rPr>
        <w:t>，</w:t>
      </w:r>
      <w:r w:rsidR="00384378">
        <w:rPr>
          <w:rFonts w:hint="eastAsia"/>
        </w:rPr>
        <w:t>向欧洲法院提出的各自请愿并不涉及同样的事实</w:t>
      </w:r>
      <w:r>
        <w:rPr>
          <w:rFonts w:hint="eastAsia"/>
        </w:rPr>
        <w:t>，</w:t>
      </w:r>
      <w:r w:rsidR="00384378">
        <w:rPr>
          <w:rFonts w:hint="eastAsia"/>
        </w:rPr>
        <w:t>即本来文所述的具体活动。因此</w:t>
      </w:r>
      <w:r>
        <w:rPr>
          <w:rFonts w:hint="eastAsia"/>
        </w:rPr>
        <w:t>，</w:t>
      </w:r>
      <w:r w:rsidR="00384378">
        <w:rPr>
          <w:rFonts w:hint="eastAsia"/>
        </w:rPr>
        <w:t>委员会认为</w:t>
      </w:r>
      <w:r>
        <w:rPr>
          <w:rFonts w:hint="eastAsia"/>
        </w:rPr>
        <w:t>，</w:t>
      </w:r>
      <w:r w:rsidR="00384378">
        <w:rPr>
          <w:rFonts w:hint="eastAsia"/>
        </w:rPr>
        <w:t>《任择议定书》第五第</w:t>
      </w:r>
      <w:r w:rsidR="00384378">
        <w:rPr>
          <w:rFonts w:hint="eastAsia"/>
        </w:rPr>
        <w:t>2</w:t>
      </w:r>
      <w:r w:rsidR="00384378">
        <w:rPr>
          <w:rFonts w:hint="eastAsia"/>
        </w:rPr>
        <w:t>款</w:t>
      </w:r>
      <w:r>
        <w:rPr>
          <w:rFonts w:hint="eastAsia"/>
        </w:rPr>
        <w:t>(</w:t>
      </w:r>
      <w:r w:rsidR="00384378">
        <w:rPr>
          <w:rFonts w:hint="eastAsia"/>
        </w:rPr>
        <w:t>子</w:t>
      </w:r>
      <w:r>
        <w:rPr>
          <w:rFonts w:hint="eastAsia"/>
        </w:rPr>
        <w:t>)</w:t>
      </w:r>
      <w:r w:rsidR="00384378">
        <w:rPr>
          <w:rFonts w:hint="eastAsia"/>
        </w:rPr>
        <w:t>项并不排除在可否受理方面对本来文的审议。</w:t>
      </w:r>
    </w:p>
    <w:p w:rsidR="00384378" w:rsidRDefault="003938AC" w:rsidP="003938AC">
      <w:pPr>
        <w:pStyle w:val="SingleTxtGC"/>
        <w:rPr>
          <w:rFonts w:hint="eastAsia"/>
        </w:rPr>
      </w:pPr>
      <w:r>
        <w:rPr>
          <w:rFonts w:hint="eastAsia"/>
        </w:rPr>
        <w:t>8.</w:t>
      </w:r>
      <w:r w:rsidR="00384378">
        <w:rPr>
          <w:rFonts w:hint="eastAsia"/>
        </w:rPr>
        <w:t xml:space="preserve">4  </w:t>
      </w:r>
      <w:r w:rsidR="00384378">
        <w:rPr>
          <w:rFonts w:hint="eastAsia"/>
        </w:rPr>
        <w:t>关于《任择议定书》第五条第</w:t>
      </w:r>
      <w:r w:rsidR="00384378">
        <w:rPr>
          <w:rFonts w:hint="eastAsia"/>
        </w:rPr>
        <w:t>2</w:t>
      </w:r>
      <w:r w:rsidR="00384378">
        <w:rPr>
          <w:rFonts w:hint="eastAsia"/>
        </w:rPr>
        <w:t>款</w:t>
      </w:r>
      <w:r>
        <w:rPr>
          <w:rFonts w:hint="eastAsia"/>
        </w:rPr>
        <w:t>(</w:t>
      </w:r>
      <w:r w:rsidR="00384378">
        <w:rPr>
          <w:rFonts w:hint="eastAsia"/>
        </w:rPr>
        <w:t>丑</w:t>
      </w:r>
      <w:r>
        <w:rPr>
          <w:rFonts w:hint="eastAsia"/>
        </w:rPr>
        <w:t>)</w:t>
      </w:r>
      <w:r w:rsidR="00384378">
        <w:rPr>
          <w:rFonts w:hint="eastAsia"/>
        </w:rPr>
        <w:t>项所规定的要求</w:t>
      </w:r>
      <w:r>
        <w:rPr>
          <w:rFonts w:hint="eastAsia"/>
        </w:rPr>
        <w:t>，</w:t>
      </w:r>
      <w:r w:rsidR="00384378">
        <w:rPr>
          <w:rFonts w:hint="eastAsia"/>
        </w:rPr>
        <w:t>委员会注意到缔约国的论点</w:t>
      </w:r>
      <w:r>
        <w:rPr>
          <w:rFonts w:hint="eastAsia"/>
        </w:rPr>
        <w:t>，</w:t>
      </w:r>
      <w:r w:rsidR="00384378">
        <w:rPr>
          <w:rFonts w:hint="eastAsia"/>
        </w:rPr>
        <w:t>即</w:t>
      </w:r>
      <w:r>
        <w:rPr>
          <w:rFonts w:hint="eastAsia"/>
        </w:rPr>
        <w:t>：</w:t>
      </w:r>
      <w:r w:rsidR="00384378">
        <w:rPr>
          <w:rFonts w:hint="eastAsia"/>
        </w:rPr>
        <w:t>提交人没有在监督审查程序的范围内用尽现有的国内补救措施</w:t>
      </w:r>
      <w:r>
        <w:rPr>
          <w:rFonts w:hint="eastAsia"/>
        </w:rPr>
        <w:t>，</w:t>
      </w:r>
      <w:r w:rsidR="00384378">
        <w:rPr>
          <w:rFonts w:hint="eastAsia"/>
        </w:rPr>
        <w:t>因此来文不可受理。在这方面</w:t>
      </w:r>
      <w:r>
        <w:rPr>
          <w:rFonts w:hint="eastAsia"/>
        </w:rPr>
        <w:t>，</w:t>
      </w:r>
      <w:r w:rsidR="00384378">
        <w:rPr>
          <w:rFonts w:hint="eastAsia"/>
        </w:rPr>
        <w:t>委员会注意到</w:t>
      </w:r>
      <w:r>
        <w:rPr>
          <w:rFonts w:hint="eastAsia"/>
        </w:rPr>
        <w:t>，</w:t>
      </w:r>
      <w:r w:rsidR="00384378">
        <w:rPr>
          <w:rFonts w:hint="eastAsia"/>
        </w:rPr>
        <w:t>提交人向莫斯科市法院提出上诉</w:t>
      </w:r>
      <w:r>
        <w:rPr>
          <w:rFonts w:hint="eastAsia"/>
        </w:rPr>
        <w:t>，</w:t>
      </w:r>
      <w:r w:rsidR="00384378">
        <w:rPr>
          <w:rFonts w:hint="eastAsia"/>
        </w:rPr>
        <w:t>该法院维持下级法院的决定。委员会援引判例法</w:t>
      </w:r>
      <w:r>
        <w:rPr>
          <w:rFonts w:hint="eastAsia"/>
        </w:rPr>
        <w:t>，</w:t>
      </w:r>
      <w:r w:rsidR="00384378">
        <w:rPr>
          <w:rFonts w:hint="eastAsia"/>
        </w:rPr>
        <w:t>认为</w:t>
      </w:r>
      <w:r>
        <w:rPr>
          <w:rFonts w:hint="eastAsia"/>
        </w:rPr>
        <w:t>，</w:t>
      </w:r>
      <w:r w:rsidR="00384378">
        <w:rPr>
          <w:rFonts w:hint="eastAsia"/>
        </w:rPr>
        <w:t>对生效的法院决定要根据法官或检察官的自由斟酌权而构成特别补救措施</w:t>
      </w:r>
      <w:r>
        <w:rPr>
          <w:rFonts w:hint="eastAsia"/>
        </w:rPr>
        <w:t>，</w:t>
      </w:r>
      <w:r w:rsidR="00384378">
        <w:rPr>
          <w:rStyle w:val="FootnoteReference"/>
        </w:rPr>
        <w:footnoteReference w:id="7"/>
      </w:r>
      <w:r w:rsidR="00384378">
        <w:rPr>
          <w:rFonts w:hint="eastAsia"/>
        </w:rPr>
        <w:t xml:space="preserve"> </w:t>
      </w:r>
      <w:r w:rsidR="00384378">
        <w:rPr>
          <w:rFonts w:hint="eastAsia"/>
        </w:rPr>
        <w:t>就可予受理的目的而言不必用尽。由于没有收到关于案中的任何其他有关资料</w:t>
      </w:r>
      <w:r>
        <w:rPr>
          <w:rFonts w:hint="eastAsia"/>
        </w:rPr>
        <w:t>，</w:t>
      </w:r>
      <w:r w:rsidR="00384378">
        <w:rPr>
          <w:rFonts w:hint="eastAsia"/>
        </w:rPr>
        <w:t>因此委员会认为</w:t>
      </w:r>
      <w:r>
        <w:rPr>
          <w:rFonts w:hint="eastAsia"/>
        </w:rPr>
        <w:t>，</w:t>
      </w:r>
      <w:r w:rsidR="00384378">
        <w:rPr>
          <w:rFonts w:hint="eastAsia"/>
        </w:rPr>
        <w:t>《任择议定书》第五条第</w:t>
      </w:r>
      <w:r w:rsidR="00384378">
        <w:rPr>
          <w:rFonts w:hint="eastAsia"/>
        </w:rPr>
        <w:t>2</w:t>
      </w:r>
      <w:r w:rsidR="00384378">
        <w:rPr>
          <w:rFonts w:hint="eastAsia"/>
        </w:rPr>
        <w:t>款</w:t>
      </w:r>
      <w:r>
        <w:rPr>
          <w:rFonts w:hint="eastAsia"/>
        </w:rPr>
        <w:t>(</w:t>
      </w:r>
      <w:r w:rsidR="00384378">
        <w:rPr>
          <w:rFonts w:hint="eastAsia"/>
        </w:rPr>
        <w:t>丑</w:t>
      </w:r>
      <w:r>
        <w:rPr>
          <w:rFonts w:hint="eastAsia"/>
        </w:rPr>
        <w:t>)</w:t>
      </w:r>
      <w:r w:rsidR="00384378">
        <w:rPr>
          <w:rFonts w:hint="eastAsia"/>
        </w:rPr>
        <w:t>项并不排除它审议本来文。</w:t>
      </w:r>
      <w:r w:rsidR="00384378">
        <w:rPr>
          <w:rStyle w:val="FootnoteReference"/>
        </w:rPr>
        <w:footnoteReference w:id="8"/>
      </w:r>
    </w:p>
    <w:p w:rsidR="00384378" w:rsidRDefault="003938AC" w:rsidP="003938AC">
      <w:pPr>
        <w:pStyle w:val="SingleTxtGC"/>
        <w:rPr>
          <w:rFonts w:hint="eastAsia"/>
        </w:rPr>
      </w:pPr>
      <w:r>
        <w:rPr>
          <w:rFonts w:hint="eastAsia"/>
        </w:rPr>
        <w:t>8.</w:t>
      </w:r>
      <w:r w:rsidR="00384378">
        <w:rPr>
          <w:rFonts w:hint="eastAsia"/>
        </w:rPr>
        <w:t xml:space="preserve">5  </w:t>
      </w:r>
      <w:r w:rsidR="00384378">
        <w:rPr>
          <w:rFonts w:hint="eastAsia"/>
        </w:rPr>
        <w:t>委员会认为</w:t>
      </w:r>
      <w:r>
        <w:rPr>
          <w:rFonts w:hint="eastAsia"/>
        </w:rPr>
        <w:t>，</w:t>
      </w:r>
      <w:r w:rsidR="00384378">
        <w:rPr>
          <w:rFonts w:hint="eastAsia"/>
        </w:rPr>
        <w:t>提交人就可以受理而言已经充分证实了他在《公约》第二十一条下的声称。它宣布来文可予受理</w:t>
      </w:r>
      <w:r>
        <w:rPr>
          <w:rFonts w:hint="eastAsia"/>
        </w:rPr>
        <w:t>，</w:t>
      </w:r>
      <w:r w:rsidR="00384378">
        <w:rPr>
          <w:rFonts w:hint="eastAsia"/>
        </w:rPr>
        <w:t>并开始根据案情进行审议。</w:t>
      </w:r>
    </w:p>
    <w:p w:rsidR="00384378" w:rsidRDefault="00384378" w:rsidP="003938AC">
      <w:pPr>
        <w:pStyle w:val="H4GC"/>
        <w:rPr>
          <w:rFonts w:hint="eastAsia"/>
        </w:rPr>
      </w:pPr>
      <w:r>
        <w:rPr>
          <w:rFonts w:hint="eastAsia"/>
        </w:rPr>
        <w:tab/>
      </w:r>
      <w:r>
        <w:rPr>
          <w:rFonts w:hint="eastAsia"/>
        </w:rPr>
        <w:tab/>
      </w:r>
      <w:r>
        <w:rPr>
          <w:rFonts w:hint="eastAsia"/>
        </w:rPr>
        <w:t>审议案情</w:t>
      </w:r>
    </w:p>
    <w:p w:rsidR="00384378" w:rsidRDefault="003938AC" w:rsidP="003938AC">
      <w:pPr>
        <w:pStyle w:val="SingleTxtGC"/>
        <w:rPr>
          <w:rFonts w:hint="eastAsia"/>
        </w:rPr>
      </w:pPr>
      <w:r>
        <w:rPr>
          <w:rFonts w:hint="eastAsia"/>
        </w:rPr>
        <w:t>9.</w:t>
      </w:r>
      <w:r w:rsidR="00384378">
        <w:rPr>
          <w:rFonts w:hint="eastAsia"/>
        </w:rPr>
        <w:t xml:space="preserve">1  </w:t>
      </w:r>
      <w:r w:rsidR="00384378">
        <w:rPr>
          <w:rFonts w:hint="eastAsia"/>
        </w:rPr>
        <w:t>人权事务委员会根据《任择议定书》第五条第</w:t>
      </w:r>
      <w:r w:rsidR="00384378">
        <w:rPr>
          <w:rFonts w:hint="eastAsia"/>
        </w:rPr>
        <w:t>1</w:t>
      </w:r>
      <w:r w:rsidR="00384378">
        <w:rPr>
          <w:rFonts w:hint="eastAsia"/>
        </w:rPr>
        <w:t>款</w:t>
      </w:r>
      <w:r>
        <w:rPr>
          <w:rFonts w:hint="eastAsia"/>
        </w:rPr>
        <w:t>，</w:t>
      </w:r>
      <w:r w:rsidR="00384378">
        <w:rPr>
          <w:rFonts w:hint="eastAsia"/>
        </w:rPr>
        <w:t>参照收到的所有资料审议了本来文。</w:t>
      </w:r>
    </w:p>
    <w:p w:rsidR="00384378" w:rsidRDefault="003938AC" w:rsidP="003938AC">
      <w:pPr>
        <w:pStyle w:val="SingleTxtGC"/>
        <w:rPr>
          <w:rFonts w:hint="eastAsia"/>
        </w:rPr>
      </w:pPr>
      <w:r>
        <w:rPr>
          <w:rFonts w:hint="eastAsia"/>
        </w:rPr>
        <w:t>9.</w:t>
      </w:r>
      <w:r w:rsidR="00384378">
        <w:rPr>
          <w:rFonts w:hint="eastAsia"/>
        </w:rPr>
        <w:t xml:space="preserve">2  </w:t>
      </w:r>
      <w:r w:rsidR="00384378">
        <w:rPr>
          <w:rFonts w:hint="eastAsia"/>
        </w:rPr>
        <w:t>委员会要审议的第一个问题是缔约国的当局限制提交人的和平集会权</w:t>
      </w:r>
      <w:r>
        <w:rPr>
          <w:rFonts w:hint="eastAsia"/>
        </w:rPr>
        <w:t>，</w:t>
      </w:r>
      <w:r w:rsidR="00384378">
        <w:rPr>
          <w:rFonts w:hint="eastAsia"/>
        </w:rPr>
        <w:t>是否是《公约》第二十一条所载的任何标准所允许的。</w:t>
      </w:r>
    </w:p>
    <w:p w:rsidR="00384378" w:rsidRDefault="003938AC" w:rsidP="003938AC">
      <w:pPr>
        <w:pStyle w:val="SingleTxtGC"/>
        <w:rPr>
          <w:rFonts w:hint="eastAsia"/>
        </w:rPr>
      </w:pPr>
      <w:r>
        <w:rPr>
          <w:rFonts w:hint="eastAsia"/>
        </w:rPr>
        <w:t>9.</w:t>
      </w:r>
      <w:r w:rsidR="00384378">
        <w:rPr>
          <w:rFonts w:hint="eastAsia"/>
        </w:rPr>
        <w:t xml:space="preserve">3  </w:t>
      </w:r>
      <w:r w:rsidR="00384378">
        <w:rPr>
          <w:rFonts w:hint="eastAsia"/>
        </w:rPr>
        <w:t>委员会回顾</w:t>
      </w:r>
      <w:r>
        <w:rPr>
          <w:rFonts w:hint="eastAsia"/>
        </w:rPr>
        <w:t>，</w:t>
      </w:r>
      <w:r w:rsidR="00384378">
        <w:rPr>
          <w:rFonts w:hint="eastAsia"/>
        </w:rPr>
        <w:t>《公约》第二十一条所保障的和平集会权是公开表达个人的观点和意见所必须的</w:t>
      </w:r>
      <w:r>
        <w:rPr>
          <w:rFonts w:hint="eastAsia"/>
        </w:rPr>
        <w:t>，</w:t>
      </w:r>
      <w:r w:rsidR="00384378">
        <w:rPr>
          <w:rFonts w:hint="eastAsia"/>
        </w:rPr>
        <w:t>也是民主社会所不可或缺的。</w:t>
      </w:r>
      <w:r w:rsidR="00384378">
        <w:rPr>
          <w:rStyle w:val="FootnoteReference"/>
        </w:rPr>
        <w:footnoteReference w:id="9"/>
      </w:r>
      <w:r w:rsidR="00384378">
        <w:rPr>
          <w:rFonts w:hint="eastAsia"/>
        </w:rPr>
        <w:t xml:space="preserve"> </w:t>
      </w:r>
      <w:r w:rsidR="00384378">
        <w:rPr>
          <w:rFonts w:hint="eastAsia"/>
        </w:rPr>
        <w:t>它还回顾</w:t>
      </w:r>
      <w:r>
        <w:rPr>
          <w:rFonts w:hint="eastAsia"/>
        </w:rPr>
        <w:t>，</w:t>
      </w:r>
      <w:r w:rsidR="00384378">
        <w:rPr>
          <w:rFonts w:hint="eastAsia"/>
        </w:rPr>
        <w:t>缔约国必须制定有效的措施</w:t>
      </w:r>
      <w:r>
        <w:rPr>
          <w:rFonts w:hint="eastAsia"/>
        </w:rPr>
        <w:t>，</w:t>
      </w:r>
      <w:r w:rsidR="00384378">
        <w:rPr>
          <w:rFonts w:hint="eastAsia"/>
        </w:rPr>
        <w:t>防止以压制通过集会行使表达自由权为目的的攻击。</w:t>
      </w:r>
      <w:r w:rsidR="00384378">
        <w:rPr>
          <w:rStyle w:val="FootnoteReference"/>
        </w:rPr>
        <w:footnoteReference w:id="10"/>
      </w:r>
      <w:r w:rsidR="00384378">
        <w:rPr>
          <w:rFonts w:hint="eastAsia"/>
        </w:rPr>
        <w:t xml:space="preserve"> </w:t>
      </w:r>
      <w:r w:rsidR="00384378">
        <w:rPr>
          <w:rFonts w:hint="eastAsia"/>
        </w:rPr>
        <w:t>限制和平集会权</w:t>
      </w:r>
      <w:r>
        <w:rPr>
          <w:rFonts w:hint="eastAsia"/>
        </w:rPr>
        <w:t>，</w:t>
      </w:r>
      <w:r w:rsidR="00384378">
        <w:rPr>
          <w:rFonts w:hint="eastAsia"/>
        </w:rPr>
        <w:t>只有在以下情况下才可允许</w:t>
      </w:r>
      <w:r>
        <w:rPr>
          <w:rFonts w:hint="eastAsia"/>
        </w:rPr>
        <w:t>：</w:t>
      </w:r>
      <w:r>
        <w:t>(</w:t>
      </w:r>
      <w:r w:rsidR="00384378">
        <w:t>a</w:t>
      </w:r>
      <w:r>
        <w:t>)</w:t>
      </w:r>
      <w:r w:rsidR="00384378">
        <w:rPr>
          <w:rFonts w:hint="eastAsia"/>
        </w:rPr>
        <w:t xml:space="preserve"> </w:t>
      </w:r>
      <w:r w:rsidR="00384378">
        <w:rPr>
          <w:rFonts w:hint="eastAsia"/>
        </w:rPr>
        <w:t>符合法律</w:t>
      </w:r>
      <w:r>
        <w:rPr>
          <w:rFonts w:hint="eastAsia"/>
        </w:rPr>
        <w:t>，</w:t>
      </w:r>
      <w:r>
        <w:t>(</w:t>
      </w:r>
      <w:r w:rsidR="00384378">
        <w:t>b</w:t>
      </w:r>
      <w:r>
        <w:t>)</w:t>
      </w:r>
      <w:r w:rsidR="00384378">
        <w:rPr>
          <w:rFonts w:hint="eastAsia"/>
        </w:rPr>
        <w:t xml:space="preserve"> </w:t>
      </w:r>
      <w:r w:rsidR="00384378">
        <w:rPr>
          <w:rFonts w:hint="eastAsia"/>
        </w:rPr>
        <w:t>在民主社会中为维护国家安全或公共安全、公共秩序</w:t>
      </w:r>
      <w:r>
        <w:rPr>
          <w:rFonts w:hint="eastAsia"/>
        </w:rPr>
        <w:t>，</w:t>
      </w:r>
      <w:r w:rsidR="00384378">
        <w:rPr>
          <w:rFonts w:hint="eastAsia"/>
        </w:rPr>
        <w:t>保护公共卫生或道德或他人的权利和自由的需要。</w:t>
      </w:r>
    </w:p>
    <w:p w:rsidR="00384378" w:rsidRDefault="003938AC" w:rsidP="003938AC">
      <w:pPr>
        <w:pStyle w:val="SingleTxtGC"/>
        <w:rPr>
          <w:rFonts w:hint="eastAsia"/>
        </w:rPr>
      </w:pPr>
      <w:r>
        <w:rPr>
          <w:rFonts w:hint="eastAsia"/>
        </w:rPr>
        <w:t>9.</w:t>
      </w:r>
      <w:r w:rsidR="00384378">
        <w:rPr>
          <w:rFonts w:hint="eastAsia"/>
        </w:rPr>
        <w:t xml:space="preserve">4  </w:t>
      </w:r>
      <w:r w:rsidR="00384378">
        <w:rPr>
          <w:rFonts w:hint="eastAsia"/>
        </w:rPr>
        <w:t>在本案中</w:t>
      </w:r>
      <w:r>
        <w:rPr>
          <w:rFonts w:hint="eastAsia"/>
        </w:rPr>
        <w:t>，</w:t>
      </w:r>
      <w:r w:rsidR="00384378">
        <w:rPr>
          <w:rFonts w:hint="eastAsia"/>
        </w:rPr>
        <w:t>委员会认为</w:t>
      </w:r>
      <w:r>
        <w:rPr>
          <w:rFonts w:hint="eastAsia"/>
        </w:rPr>
        <w:t>，</w:t>
      </w:r>
      <w:r w:rsidR="00384378">
        <w:rPr>
          <w:rFonts w:hint="eastAsia"/>
        </w:rPr>
        <w:t>缔约国和提交人都同意</w:t>
      </w:r>
      <w:r>
        <w:rPr>
          <w:rFonts w:hint="eastAsia"/>
        </w:rPr>
        <w:t>，</w:t>
      </w:r>
      <w:r w:rsidR="00384378">
        <w:rPr>
          <w:rFonts w:hint="eastAsia"/>
        </w:rPr>
        <w:t>不允许于</w:t>
      </w:r>
      <w:r w:rsidR="00384378">
        <w:rPr>
          <w:rFonts w:hint="eastAsia"/>
        </w:rPr>
        <w:t>2008</w:t>
      </w:r>
      <w:r w:rsidR="00384378">
        <w:rPr>
          <w:rFonts w:hint="eastAsia"/>
        </w:rPr>
        <w:t>年</w:t>
      </w:r>
      <w:r w:rsidR="00384378">
        <w:rPr>
          <w:rFonts w:hint="eastAsia"/>
        </w:rPr>
        <w:t>7</w:t>
      </w:r>
      <w:r w:rsidR="00384378">
        <w:rPr>
          <w:rFonts w:hint="eastAsia"/>
        </w:rPr>
        <w:t>月</w:t>
      </w:r>
      <w:r w:rsidR="00384378">
        <w:rPr>
          <w:rFonts w:hint="eastAsia"/>
        </w:rPr>
        <w:t>19</w:t>
      </w:r>
      <w:r w:rsidR="00384378">
        <w:rPr>
          <w:rFonts w:hint="eastAsia"/>
        </w:rPr>
        <w:t>日下午</w:t>
      </w:r>
      <w:r w:rsidR="00384378">
        <w:rPr>
          <w:rFonts w:hint="eastAsia"/>
        </w:rPr>
        <w:t>1</w:t>
      </w:r>
      <w:r w:rsidR="00384378">
        <w:rPr>
          <w:rFonts w:hint="eastAsia"/>
        </w:rPr>
        <w:t>点至</w:t>
      </w:r>
      <w:r w:rsidR="00384378">
        <w:rPr>
          <w:rFonts w:hint="eastAsia"/>
        </w:rPr>
        <w:t>2</w:t>
      </w:r>
      <w:r w:rsidR="00384378">
        <w:rPr>
          <w:rFonts w:hint="eastAsia"/>
        </w:rPr>
        <w:t>点在伊朗驻莫斯科使馆前进行举牌抗议</w:t>
      </w:r>
      <w:r>
        <w:rPr>
          <w:rFonts w:hint="eastAsia"/>
        </w:rPr>
        <w:t>，</w:t>
      </w:r>
      <w:r w:rsidR="00384378">
        <w:rPr>
          <w:rFonts w:hint="eastAsia"/>
        </w:rPr>
        <w:t>是干涉提交人的集会权</w:t>
      </w:r>
      <w:r>
        <w:rPr>
          <w:rFonts w:hint="eastAsia"/>
        </w:rPr>
        <w:t>，</w:t>
      </w:r>
      <w:r w:rsidR="00384378">
        <w:rPr>
          <w:rFonts w:hint="eastAsia"/>
        </w:rPr>
        <w:t>但双方对这种限制是否是允许的有不同意见。</w:t>
      </w:r>
    </w:p>
    <w:p w:rsidR="00384378" w:rsidRDefault="003938AC" w:rsidP="003938AC">
      <w:pPr>
        <w:pStyle w:val="SingleTxtGC"/>
        <w:rPr>
          <w:rFonts w:hint="eastAsia"/>
        </w:rPr>
      </w:pPr>
      <w:r>
        <w:rPr>
          <w:rFonts w:hint="eastAsia"/>
        </w:rPr>
        <w:t>9.</w:t>
      </w:r>
      <w:r w:rsidR="00384378">
        <w:rPr>
          <w:rFonts w:hint="eastAsia"/>
        </w:rPr>
        <w:t xml:space="preserve">5  </w:t>
      </w:r>
      <w:r w:rsidR="00384378">
        <w:rPr>
          <w:rFonts w:hint="eastAsia"/>
        </w:rPr>
        <w:t>委员会还注意到</w:t>
      </w:r>
      <w:r>
        <w:rPr>
          <w:rFonts w:hint="eastAsia"/>
        </w:rPr>
        <w:t>，</w:t>
      </w:r>
      <w:r w:rsidR="00384378">
        <w:rPr>
          <w:rFonts w:hint="eastAsia"/>
        </w:rPr>
        <w:t>缔约国认为不允许举行所涉的举牌抗议</w:t>
      </w:r>
      <w:r>
        <w:rPr>
          <w:rFonts w:hint="eastAsia"/>
        </w:rPr>
        <w:t>，</w:t>
      </w:r>
      <w:r w:rsidR="00384378">
        <w:rPr>
          <w:rFonts w:hint="eastAsia"/>
        </w:rPr>
        <w:t>是为了公共安全的必要性。需要提交人认为安全原则只是不予准许的一个借口</w:t>
      </w:r>
      <w:r>
        <w:rPr>
          <w:rFonts w:hint="eastAsia"/>
        </w:rPr>
        <w:t>，</w:t>
      </w:r>
      <w:r w:rsidR="00384378">
        <w:rPr>
          <w:rFonts w:hint="eastAsia"/>
        </w:rPr>
        <w:t>但委员会认为这对评估该事实性指控是没有必要的</w:t>
      </w:r>
      <w:r>
        <w:rPr>
          <w:rFonts w:hint="eastAsia"/>
        </w:rPr>
        <w:t>，</w:t>
      </w:r>
      <w:r w:rsidR="00384378">
        <w:rPr>
          <w:rFonts w:hint="eastAsia"/>
        </w:rPr>
        <w:t>因为提交人根据第二十一条提出的声称可以按照如下假设作出裁定</w:t>
      </w:r>
      <w:r>
        <w:rPr>
          <w:rFonts w:hint="eastAsia"/>
        </w:rPr>
        <w:t>，</w:t>
      </w:r>
      <w:r w:rsidR="00384378">
        <w:rPr>
          <w:rFonts w:hint="eastAsia"/>
        </w:rPr>
        <w:t>即</w:t>
      </w:r>
      <w:r>
        <w:rPr>
          <w:rFonts w:hint="eastAsia"/>
        </w:rPr>
        <w:t>：</w:t>
      </w:r>
      <w:r w:rsidR="00384378">
        <w:rPr>
          <w:rFonts w:hint="eastAsia"/>
        </w:rPr>
        <w:t>受质疑的限制</w:t>
      </w:r>
      <w:r>
        <w:rPr>
          <w:rFonts w:hint="eastAsia"/>
        </w:rPr>
        <w:t>，</w:t>
      </w:r>
      <w:r w:rsidR="00384378">
        <w:rPr>
          <w:rFonts w:hint="eastAsia"/>
        </w:rPr>
        <w:t>其动机是对公共安全的担心。</w:t>
      </w:r>
    </w:p>
    <w:p w:rsidR="00384378" w:rsidRDefault="003938AC" w:rsidP="003938AC">
      <w:pPr>
        <w:pStyle w:val="SingleTxtGC"/>
        <w:rPr>
          <w:rFonts w:hint="eastAsia"/>
        </w:rPr>
      </w:pPr>
      <w:r>
        <w:rPr>
          <w:rFonts w:hint="eastAsia"/>
        </w:rPr>
        <w:t>9.</w:t>
      </w:r>
      <w:r w:rsidR="00384378">
        <w:rPr>
          <w:rFonts w:hint="eastAsia"/>
        </w:rPr>
        <w:t xml:space="preserve">6  </w:t>
      </w:r>
      <w:r w:rsidR="00384378">
        <w:rPr>
          <w:rFonts w:hint="eastAsia"/>
        </w:rPr>
        <w:t>委员会注意到</w:t>
      </w:r>
      <w:r>
        <w:rPr>
          <w:rFonts w:hint="eastAsia"/>
        </w:rPr>
        <w:t>，</w:t>
      </w:r>
      <w:r w:rsidR="00384378">
        <w:rPr>
          <w:rFonts w:hint="eastAsia"/>
        </w:rPr>
        <w:t>不允许提交人关于举牌抗议的申请</w:t>
      </w:r>
      <w:r>
        <w:rPr>
          <w:rFonts w:hint="eastAsia"/>
        </w:rPr>
        <w:t>，</w:t>
      </w:r>
      <w:r w:rsidR="00384378">
        <w:rPr>
          <w:rFonts w:hint="eastAsia"/>
        </w:rPr>
        <w:t>其唯一理由是</w:t>
      </w:r>
      <w:r>
        <w:rPr>
          <w:rFonts w:hint="eastAsia"/>
        </w:rPr>
        <w:t>，</w:t>
      </w:r>
      <w:r w:rsidR="00384378">
        <w:rPr>
          <w:rFonts w:hint="eastAsia"/>
        </w:rPr>
        <w:t>抗议所涉的主题</w:t>
      </w:r>
      <w:r>
        <w:rPr>
          <w:rFonts w:hint="eastAsia"/>
        </w:rPr>
        <w:t>，</w:t>
      </w:r>
      <w:r w:rsidR="00384378">
        <w:rPr>
          <w:rFonts w:hint="eastAsia"/>
        </w:rPr>
        <w:t>即倡导尊重属于性少数群体的人的人权</w:t>
      </w:r>
      <w:r>
        <w:rPr>
          <w:rFonts w:hint="eastAsia"/>
        </w:rPr>
        <w:t>，</w:t>
      </w:r>
      <w:r w:rsidR="00384378">
        <w:rPr>
          <w:rFonts w:hint="eastAsia"/>
        </w:rPr>
        <w:t>会引起负面反应</w:t>
      </w:r>
      <w:r>
        <w:rPr>
          <w:rFonts w:hint="eastAsia"/>
        </w:rPr>
        <w:t>，</w:t>
      </w:r>
      <w:r w:rsidR="00384378">
        <w:rPr>
          <w:rFonts w:hint="eastAsia"/>
        </w:rPr>
        <w:t>并可能会导致违反公共秩序的情况。不准许的决定与选择的地点、日期、时间、期限或提议的公共集会的方式都没有关系。因此</w:t>
      </w:r>
      <w:r>
        <w:rPr>
          <w:rFonts w:hint="eastAsia"/>
        </w:rPr>
        <w:t>，</w:t>
      </w:r>
      <w:r w:rsidR="00384378">
        <w:rPr>
          <w:rFonts w:hint="eastAsia"/>
        </w:rPr>
        <w:t>莫斯科中央行政区副区长</w:t>
      </w:r>
      <w:r w:rsidR="00384378">
        <w:rPr>
          <w:rFonts w:hint="eastAsia"/>
        </w:rPr>
        <w:t>2008</w:t>
      </w:r>
      <w:r w:rsidR="00384378">
        <w:rPr>
          <w:rFonts w:hint="eastAsia"/>
        </w:rPr>
        <w:t>年</w:t>
      </w:r>
      <w:r w:rsidR="00384378">
        <w:rPr>
          <w:rFonts w:hint="eastAsia"/>
        </w:rPr>
        <w:t>7</w:t>
      </w:r>
      <w:r w:rsidR="00384378">
        <w:rPr>
          <w:rFonts w:hint="eastAsia"/>
        </w:rPr>
        <w:t>月</w:t>
      </w:r>
      <w:r w:rsidR="00384378">
        <w:rPr>
          <w:rFonts w:hint="eastAsia"/>
        </w:rPr>
        <w:t>11</w:t>
      </w:r>
      <w:r w:rsidR="00384378">
        <w:rPr>
          <w:rFonts w:hint="eastAsia"/>
        </w:rPr>
        <w:t>日的决定等同于剥夺提交人举行关于所选择的主题的公共集会权</w:t>
      </w:r>
      <w:r>
        <w:rPr>
          <w:rFonts w:hint="eastAsia"/>
        </w:rPr>
        <w:t>，</w:t>
      </w:r>
      <w:r w:rsidR="00384378">
        <w:rPr>
          <w:rFonts w:hint="eastAsia"/>
        </w:rPr>
        <w:t>这是一起最严重干预和平集会自由的行为之一。委员会注意到</w:t>
      </w:r>
      <w:r>
        <w:rPr>
          <w:rFonts w:hint="eastAsia"/>
        </w:rPr>
        <w:t>，</w:t>
      </w:r>
      <w:r w:rsidR="00384378">
        <w:rPr>
          <w:rFonts w:hint="eastAsia"/>
        </w:rPr>
        <w:t>集会自由保护宣传可能令人不快或冒犯他人的思想的示威</w:t>
      </w:r>
      <w:r>
        <w:rPr>
          <w:rFonts w:hint="eastAsia"/>
        </w:rPr>
        <w:t>，</w:t>
      </w:r>
      <w:r w:rsidR="00384378">
        <w:rPr>
          <w:rFonts w:hint="eastAsia"/>
        </w:rPr>
        <w:t>因此缔约国有责任保护示威者行使他们的权利</w:t>
      </w:r>
      <w:r>
        <w:rPr>
          <w:rFonts w:hint="eastAsia"/>
        </w:rPr>
        <w:t>，</w:t>
      </w:r>
      <w:r w:rsidR="00384378">
        <w:rPr>
          <w:rFonts w:hint="eastAsia"/>
        </w:rPr>
        <w:t>防止遭到别人的暴力侵害。它还指出</w:t>
      </w:r>
      <w:r>
        <w:rPr>
          <w:rFonts w:hint="eastAsia"/>
        </w:rPr>
        <w:t>，</w:t>
      </w:r>
      <w:r w:rsidR="00384378">
        <w:rPr>
          <w:rFonts w:hint="eastAsia"/>
        </w:rPr>
        <w:t>不明确而笼统的暴力反示威风险</w:t>
      </w:r>
      <w:r>
        <w:rPr>
          <w:rFonts w:hint="eastAsia"/>
        </w:rPr>
        <w:t>，</w:t>
      </w:r>
      <w:r w:rsidR="00384378">
        <w:rPr>
          <w:rFonts w:hint="eastAsia"/>
        </w:rPr>
        <w:t>或者是当局仅仅有可能无法防止或制止这种暴力</w:t>
      </w:r>
      <w:r>
        <w:rPr>
          <w:rFonts w:hint="eastAsia"/>
        </w:rPr>
        <w:t>，</w:t>
      </w:r>
      <w:r w:rsidR="00384378">
        <w:rPr>
          <w:rFonts w:hint="eastAsia"/>
        </w:rPr>
        <w:t>这不是禁止示威的充足理由。缔约国没有就本案向委员会提供佐证以下声称的任何资料</w:t>
      </w:r>
      <w:r>
        <w:rPr>
          <w:rFonts w:hint="eastAsia"/>
        </w:rPr>
        <w:t>，</w:t>
      </w:r>
      <w:r w:rsidR="00384378">
        <w:rPr>
          <w:rFonts w:hint="eastAsia"/>
        </w:rPr>
        <w:t>即</w:t>
      </w:r>
      <w:r>
        <w:rPr>
          <w:rFonts w:hint="eastAsia"/>
        </w:rPr>
        <w:t>：</w:t>
      </w:r>
      <w:r w:rsidR="00384378">
        <w:rPr>
          <w:rFonts w:hint="eastAsia"/>
        </w:rPr>
        <w:t>公众对提交人提议的举牌抗议的“负面反应”会引发暴力</w:t>
      </w:r>
      <w:r>
        <w:rPr>
          <w:rFonts w:hint="eastAsia"/>
        </w:rPr>
        <w:t>，</w:t>
      </w:r>
      <w:r w:rsidR="00384378">
        <w:rPr>
          <w:rFonts w:hint="eastAsia"/>
        </w:rPr>
        <w:t>或者警察即使适当履行职责也无法防止这种暴力。在这种情况下</w:t>
      </w:r>
      <w:r>
        <w:rPr>
          <w:rFonts w:hint="eastAsia"/>
        </w:rPr>
        <w:t>，</w:t>
      </w:r>
      <w:r w:rsidR="00384378">
        <w:rPr>
          <w:rFonts w:hint="eastAsia"/>
        </w:rPr>
        <w:t>缔约国的义务是保护提交人行使《公约》的权利</w:t>
      </w:r>
      <w:r>
        <w:rPr>
          <w:rFonts w:hint="eastAsia"/>
        </w:rPr>
        <w:t>，</w:t>
      </w:r>
      <w:r w:rsidR="00384378">
        <w:rPr>
          <w:rFonts w:hint="eastAsia"/>
        </w:rPr>
        <w:t>而不是从中剥夺这些权利。因此</w:t>
      </w:r>
      <w:r>
        <w:rPr>
          <w:rFonts w:hint="eastAsia"/>
        </w:rPr>
        <w:t>，</w:t>
      </w:r>
      <w:r w:rsidR="00384378">
        <w:rPr>
          <w:rFonts w:hint="eastAsia"/>
        </w:rPr>
        <w:t>委员会认为</w:t>
      </w:r>
      <w:r>
        <w:rPr>
          <w:rFonts w:hint="eastAsia"/>
        </w:rPr>
        <w:t>，</w:t>
      </w:r>
      <w:r w:rsidR="00384378">
        <w:rPr>
          <w:rFonts w:hint="eastAsia"/>
        </w:rPr>
        <w:t>限制提交人的权利</w:t>
      </w:r>
      <w:r>
        <w:rPr>
          <w:rFonts w:hint="eastAsia"/>
        </w:rPr>
        <w:t>，</w:t>
      </w:r>
      <w:r w:rsidR="00384378">
        <w:rPr>
          <w:rFonts w:hint="eastAsia"/>
        </w:rPr>
        <w:t>在一个民主社会为了公共安全是没有必要的</w:t>
      </w:r>
      <w:r>
        <w:rPr>
          <w:rFonts w:hint="eastAsia"/>
        </w:rPr>
        <w:t>，</w:t>
      </w:r>
      <w:r w:rsidR="00384378">
        <w:rPr>
          <w:rFonts w:hint="eastAsia"/>
        </w:rPr>
        <w:t>违反《公约》第二十一条。</w:t>
      </w:r>
    </w:p>
    <w:p w:rsidR="00384378" w:rsidRPr="00CA4C42" w:rsidRDefault="003938AC" w:rsidP="003938AC">
      <w:pPr>
        <w:pStyle w:val="SingleTxtGC"/>
        <w:rPr>
          <w:rFonts w:hint="eastAsia"/>
        </w:rPr>
      </w:pPr>
      <w:r>
        <w:rPr>
          <w:rFonts w:hint="eastAsia"/>
        </w:rPr>
        <w:t>9.</w:t>
      </w:r>
      <w:r w:rsidR="00384378">
        <w:rPr>
          <w:rFonts w:hint="eastAsia"/>
        </w:rPr>
        <w:t xml:space="preserve">7  </w:t>
      </w:r>
      <w:r w:rsidR="00384378">
        <w:rPr>
          <w:rFonts w:hint="eastAsia"/>
        </w:rPr>
        <w:t>鉴于上述结论</w:t>
      </w:r>
      <w:r>
        <w:rPr>
          <w:rFonts w:hint="eastAsia"/>
        </w:rPr>
        <w:t>，</w:t>
      </w:r>
      <w:r w:rsidR="00384378">
        <w:rPr>
          <w:rFonts w:hint="eastAsia"/>
        </w:rPr>
        <w:t>委员会决定不审查提交人的额外声称</w:t>
      </w:r>
      <w:r>
        <w:rPr>
          <w:rFonts w:hint="eastAsia"/>
        </w:rPr>
        <w:t>，</w:t>
      </w:r>
      <w:r w:rsidR="00384378">
        <w:rPr>
          <w:rFonts w:hint="eastAsia"/>
        </w:rPr>
        <w:t>即</w:t>
      </w:r>
      <w:r>
        <w:rPr>
          <w:rFonts w:hint="eastAsia"/>
        </w:rPr>
        <w:t>：</w:t>
      </w:r>
      <w:r w:rsidR="00384378">
        <w:rPr>
          <w:rFonts w:hint="eastAsia"/>
        </w:rPr>
        <w:t>关于拒绝允许的决定不符合法律</w:t>
      </w:r>
      <w:r>
        <w:rPr>
          <w:rFonts w:hint="eastAsia"/>
        </w:rPr>
        <w:t>，</w:t>
      </w:r>
      <w:r w:rsidR="00384378">
        <w:rPr>
          <w:rFonts w:hint="eastAsia"/>
        </w:rPr>
        <w:t>理由是国内法只适用于诸如大楼倒塌的风险等等的安全关注</w:t>
      </w:r>
      <w:r>
        <w:rPr>
          <w:rFonts w:hint="eastAsia"/>
        </w:rPr>
        <w:t>，</w:t>
      </w:r>
      <w:r w:rsidR="00384378">
        <w:rPr>
          <w:rFonts w:hint="eastAsia"/>
        </w:rPr>
        <w:t>当局在不批准原来的申请时有义务为集会指定另外的地点。</w:t>
      </w:r>
    </w:p>
    <w:p w:rsidR="003B0D00" w:rsidRDefault="003B0D00" w:rsidP="003B0D00">
      <w:pPr>
        <w:pStyle w:val="SingleTxtGC"/>
      </w:pPr>
      <w:r>
        <w:t>1</w:t>
      </w:r>
      <w:r w:rsidR="003938AC">
        <w:t>0.</w:t>
      </w:r>
      <w:r>
        <w:rPr>
          <w:rFonts w:hint="eastAsia"/>
        </w:rPr>
        <w:t xml:space="preserve">  </w:t>
      </w:r>
      <w:r>
        <w:t>人权事务委员会根据《公民权利和政治权利国际公约任择议定书》第</w:t>
      </w:r>
      <w:r w:rsidR="00757F02">
        <w:rPr>
          <w:rFonts w:hint="eastAsia"/>
        </w:rPr>
        <w:t>五</w:t>
      </w:r>
      <w:r>
        <w:t>条第</w:t>
      </w:r>
      <w:r>
        <w:t>4</w:t>
      </w:r>
      <w:r>
        <w:t>款行事</w:t>
      </w:r>
      <w:r w:rsidR="003938AC">
        <w:t>，</w:t>
      </w:r>
      <w:r>
        <w:t>认为面前的事实表明</w:t>
      </w:r>
      <w:r w:rsidR="003938AC">
        <w:t>，</w:t>
      </w:r>
      <w:r>
        <w:t>提交人根据《公约》第二十一条应有的权利受到侵犯。</w:t>
      </w:r>
    </w:p>
    <w:p w:rsidR="003B0D00" w:rsidRDefault="003B0D00" w:rsidP="003B0D00">
      <w:pPr>
        <w:pStyle w:val="SingleTxtGC"/>
        <w:rPr>
          <w:rFonts w:hint="eastAsia"/>
        </w:rPr>
      </w:pPr>
      <w:r>
        <w:t>1</w:t>
      </w:r>
      <w:r w:rsidR="003938AC">
        <w:t>1.</w:t>
      </w:r>
      <w:r>
        <w:rPr>
          <w:rFonts w:hint="eastAsia"/>
        </w:rPr>
        <w:t xml:space="preserve"> </w:t>
      </w:r>
      <w:r>
        <w:t xml:space="preserve"> </w:t>
      </w:r>
      <w:r>
        <w:t>根据《公约》第二条第</w:t>
      </w:r>
      <w:r>
        <w:t>3</w:t>
      </w:r>
      <w:r>
        <w:t>款</w:t>
      </w:r>
      <w:r w:rsidR="003938AC">
        <w:t>(</w:t>
      </w:r>
      <w:r>
        <w:t>甲</w:t>
      </w:r>
      <w:r w:rsidR="003938AC">
        <w:t>)</w:t>
      </w:r>
      <w:r>
        <w:t>项</w:t>
      </w:r>
      <w:r w:rsidR="003938AC">
        <w:t>，</w:t>
      </w:r>
      <w:r>
        <w:t>缔约国有义务向提交人提供</w:t>
      </w:r>
      <w:r>
        <w:rPr>
          <w:rFonts w:hint="eastAsia"/>
        </w:rPr>
        <w:t>有效的</w:t>
      </w:r>
      <w:r>
        <w:t>补救</w:t>
      </w:r>
      <w:r w:rsidR="003938AC">
        <w:t>，</w:t>
      </w:r>
      <w:r>
        <w:t>包括</w:t>
      </w:r>
      <w:r>
        <w:rPr>
          <w:rFonts w:hint="eastAsia"/>
        </w:rPr>
        <w:t>就他</w:t>
      </w:r>
      <w:r>
        <w:t>支付</w:t>
      </w:r>
      <w:r>
        <w:rPr>
          <w:rFonts w:hint="eastAsia"/>
        </w:rPr>
        <w:t>的</w:t>
      </w:r>
      <w:r>
        <w:t>任何诉讼费用</w:t>
      </w:r>
      <w:r>
        <w:rPr>
          <w:rFonts w:hint="eastAsia"/>
        </w:rPr>
        <w:t>给</w:t>
      </w:r>
      <w:r w:rsidR="004F6C49">
        <w:rPr>
          <w:rFonts w:hint="eastAsia"/>
        </w:rPr>
        <w:t>以</w:t>
      </w:r>
      <w:r>
        <w:rPr>
          <w:rFonts w:hint="eastAsia"/>
        </w:rPr>
        <w:t>充分</w:t>
      </w:r>
      <w:r>
        <w:t>的赔偿和报销。缔约国还有责任采取措施防止未来发生类似侵权事件。</w:t>
      </w:r>
    </w:p>
    <w:p w:rsidR="003B0D00" w:rsidRDefault="003B0D00" w:rsidP="003B0D00">
      <w:pPr>
        <w:pStyle w:val="SingleTxtGC"/>
      </w:pPr>
      <w:r>
        <w:t>1</w:t>
      </w:r>
      <w:r w:rsidR="003938AC">
        <w:t>2.</w:t>
      </w:r>
      <w:r>
        <w:rPr>
          <w:rFonts w:hint="eastAsia"/>
        </w:rPr>
        <w:t xml:space="preserve"> </w:t>
      </w:r>
      <w:r>
        <w:t xml:space="preserve"> </w:t>
      </w:r>
      <w:r w:rsidRPr="008C7458">
        <w:rPr>
          <w:rFonts w:hint="eastAsia"/>
        </w:rPr>
        <w:t>缔约国加入《任择议定书》即已承认委员会有权确定是否存在违反《公约》的情况</w:t>
      </w:r>
      <w:r w:rsidR="003938AC">
        <w:rPr>
          <w:rFonts w:hint="eastAsia"/>
        </w:rPr>
        <w:t>，</w:t>
      </w:r>
      <w:r w:rsidRPr="008C7458">
        <w:rPr>
          <w:rFonts w:hint="eastAsia"/>
        </w:rPr>
        <w:t>而且根据《公约》第二条规定</w:t>
      </w:r>
      <w:r w:rsidR="003938AC">
        <w:rPr>
          <w:rFonts w:hint="eastAsia"/>
        </w:rPr>
        <w:t>，</w:t>
      </w:r>
      <w:r w:rsidRPr="008C7458">
        <w:rPr>
          <w:rFonts w:hint="eastAsia"/>
        </w:rPr>
        <w:t>缔约国也已承诺确保其境内</w:t>
      </w:r>
      <w:r>
        <w:rPr>
          <w:rFonts w:hint="eastAsia"/>
        </w:rPr>
        <w:t>或</w:t>
      </w:r>
      <w:r w:rsidRPr="008C7458">
        <w:rPr>
          <w:rFonts w:hint="eastAsia"/>
        </w:rPr>
        <w:t>受其管辖的</w:t>
      </w:r>
      <w:r>
        <w:rPr>
          <w:rFonts w:hint="eastAsia"/>
        </w:rPr>
        <w:t>所有</w:t>
      </w:r>
      <w:r w:rsidRPr="008C7458">
        <w:rPr>
          <w:rFonts w:hint="eastAsia"/>
        </w:rPr>
        <w:t>人均享有《公约》承认的权利</w:t>
      </w:r>
      <w:r w:rsidR="003938AC">
        <w:rPr>
          <w:rFonts w:hint="eastAsia"/>
        </w:rPr>
        <w:t>，</w:t>
      </w:r>
      <w:r w:rsidRPr="008C7458">
        <w:rPr>
          <w:rFonts w:hint="eastAsia"/>
        </w:rPr>
        <w:t>并承诺如违约行为经确定成立即予以有效且可强制执行的补救</w:t>
      </w:r>
      <w:r w:rsidR="003938AC">
        <w:rPr>
          <w:rFonts w:hint="eastAsia"/>
        </w:rPr>
        <w:t>，</w:t>
      </w:r>
      <w:r w:rsidRPr="008C7458">
        <w:rPr>
          <w:rFonts w:hint="eastAsia"/>
        </w:rPr>
        <w:t>鉴此</w:t>
      </w:r>
      <w:r w:rsidR="003938AC">
        <w:rPr>
          <w:rFonts w:hint="eastAsia"/>
        </w:rPr>
        <w:t>，</w:t>
      </w:r>
      <w:r w:rsidRPr="008C7458">
        <w:rPr>
          <w:rFonts w:hint="eastAsia"/>
        </w:rPr>
        <w:t>委员会希望缔约国在</w:t>
      </w:r>
      <w:r>
        <w:rPr>
          <w:rFonts w:hint="eastAsia"/>
        </w:rPr>
        <w:t>180</w:t>
      </w:r>
      <w:r w:rsidRPr="008C7458">
        <w:rPr>
          <w:rFonts w:hint="eastAsia"/>
        </w:rPr>
        <w:t>天内提供资料</w:t>
      </w:r>
      <w:r w:rsidR="003938AC">
        <w:rPr>
          <w:rFonts w:hint="eastAsia"/>
        </w:rPr>
        <w:t>，</w:t>
      </w:r>
      <w:r w:rsidRPr="008C7458">
        <w:rPr>
          <w:rFonts w:hint="eastAsia"/>
        </w:rPr>
        <w:t>说明采取措施落实委员会《意见》的情况</w:t>
      </w:r>
      <w:r>
        <w:rPr>
          <w:rFonts w:hint="eastAsia"/>
        </w:rPr>
        <w:t>。</w:t>
      </w:r>
      <w:r>
        <w:t>还请缔约国公布本《意见》</w:t>
      </w:r>
      <w:r w:rsidR="003938AC">
        <w:t>，</w:t>
      </w:r>
      <w:r>
        <w:t>并以缔约国的官方语文广泛散发。</w:t>
      </w:r>
    </w:p>
    <w:p w:rsidR="003B0D00" w:rsidRDefault="003938AC" w:rsidP="003B0D00">
      <w:pPr>
        <w:pStyle w:val="SingleTxtGC"/>
      </w:pPr>
      <w:r>
        <w:t>[</w:t>
      </w:r>
      <w:r w:rsidR="003B0D00">
        <w:t>通过时有英文、法文和西班牙文本</w:t>
      </w:r>
      <w:r>
        <w:t>，</w:t>
      </w:r>
      <w:r w:rsidR="003B0D00">
        <w:t>其中英文本为原文。随后还将印发阿拉伯文、中文和俄文本</w:t>
      </w:r>
      <w:r>
        <w:t>，</w:t>
      </w:r>
      <w:r w:rsidR="003B0D00">
        <w:t>作为委员会提交大会的年度报告的一部分。</w:t>
      </w:r>
      <w:r>
        <w:t>]</w:t>
      </w:r>
    </w:p>
    <w:p w:rsidR="002B2F53" w:rsidRPr="002D6A9C" w:rsidRDefault="002B2F5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B2F53"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B5" w:rsidRPr="000F217F" w:rsidRDefault="002C5DB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2C5DB5" w:rsidRPr="000F217F" w:rsidRDefault="002C5DB5"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1" w:rsidRPr="00965D18" w:rsidRDefault="007B77C1"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023D8">
      <w:rPr>
        <w:rStyle w:val="PageNumber"/>
        <w:noProof/>
      </w:rPr>
      <w:t>2</w:t>
    </w:r>
    <w:r>
      <w:rPr>
        <w:rStyle w:val="PageNumber"/>
      </w:rPr>
      <w:fldChar w:fldCharType="end"/>
    </w:r>
    <w:r>
      <w:rPr>
        <w:rStyle w:val="PageNumber"/>
        <w:rFonts w:eastAsia="SimSun" w:hint="eastAsia"/>
        <w:lang w:eastAsia="zh-CN"/>
      </w:rPr>
      <w:tab/>
    </w:r>
    <w:r w:rsidRPr="00965D18">
      <w:rPr>
        <w:rFonts w:eastAsia="SimSun"/>
      </w:rPr>
      <w:t>GE.13-49339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1" w:rsidRDefault="007B77C1">
    <w:pPr>
      <w:pStyle w:val="Footer"/>
      <w:tabs>
        <w:tab w:val="right" w:pos="9639"/>
      </w:tabs>
    </w:pPr>
    <w:r w:rsidRPr="00965D18">
      <w:rPr>
        <w:rFonts w:eastAsia="SimSun"/>
      </w:rPr>
      <w:t>GE.13-49339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023D8">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1" w:rsidRDefault="007B77C1"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49339</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311213</w:t>
    </w:r>
    <w:r>
      <w:rPr>
        <w:rFonts w:eastAsia="SimSun"/>
        <w:sz w:val="20"/>
        <w:lang w:eastAsia="zh-CN"/>
      </w:rPr>
      <w:tab/>
    </w:r>
    <w:r w:rsidRPr="00EE277A">
      <w:rPr>
        <w:rFonts w:eastAsia="SimSun"/>
        <w:sz w:val="20"/>
        <w:lang w:eastAsia="zh-CN"/>
      </w:rPr>
      <w:t>0</w:t>
    </w:r>
    <w:r w:rsidR="003023D8">
      <w:rPr>
        <w:rFonts w:eastAsia="SimSun" w:hint="eastAsia"/>
        <w:sz w:val="20"/>
        <w:lang w:eastAsia="zh-CN"/>
      </w:rPr>
      <w:t>6</w:t>
    </w:r>
    <w:r>
      <w:rPr>
        <w:rFonts w:eastAsia="SimSun"/>
        <w:sz w:val="20"/>
        <w:lang w:eastAsia="zh-CN"/>
      </w:rPr>
      <w:t>0</w:t>
    </w:r>
    <w:r>
      <w:rPr>
        <w:rFonts w:eastAsia="SimSun" w:hint="eastAsia"/>
        <w:sz w:val="20"/>
        <w:lang w:eastAsia="zh-CN"/>
      </w:rPr>
      <w:t>114</w:t>
    </w:r>
  </w:p>
  <w:p w:rsidR="007B77C1" w:rsidRPr="00E04D00" w:rsidRDefault="007B77C1"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965D18">
      <w:rPr>
        <w:rFonts w:ascii="C39T30Lfz" w:eastAsia="SimSun" w:hAnsi="C39T30Lfz"/>
        <w:sz w:val="56"/>
        <w:szCs w:val="56"/>
        <w:lang w:eastAsia="zh-CN"/>
      </w:rPr>
      <w:t></w:t>
    </w:r>
    <w:r w:rsidRPr="00965D18">
      <w:rPr>
        <w:rFonts w:ascii="C39T30Lfz" w:eastAsia="SimSun" w:hAnsi="C39T30Lfz"/>
        <w:sz w:val="56"/>
        <w:szCs w:val="56"/>
        <w:lang w:eastAsia="zh-CN"/>
      </w:rPr>
      <w:t></w:t>
    </w:r>
    <w:r w:rsidRPr="00965D18">
      <w:rPr>
        <w:rFonts w:ascii="C39T30Lfz" w:eastAsia="SimSun" w:hAnsi="C39T30Lfz"/>
        <w:sz w:val="56"/>
        <w:szCs w:val="56"/>
        <w:lang w:eastAsia="zh-CN"/>
      </w:rPr>
      <w:t></w:t>
    </w:r>
    <w:r w:rsidRPr="00965D18">
      <w:rPr>
        <w:rFonts w:ascii="C39T30Lfz" w:eastAsia="SimSun" w:hAnsi="C39T30Lfz"/>
        <w:sz w:val="56"/>
        <w:szCs w:val="56"/>
        <w:lang w:eastAsia="zh-CN"/>
      </w:rPr>
      <w:t></w:t>
    </w:r>
    <w:r w:rsidRPr="00965D18">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B5" w:rsidRPr="00052154" w:rsidRDefault="002C5DB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C5DB5" w:rsidRPr="00052154" w:rsidRDefault="002C5DB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B77C1" w:rsidRPr="00C5574E" w:rsidRDefault="007B77C1" w:rsidP="00C5574E">
      <w:pPr>
        <w:pStyle w:val="EndnoteText"/>
        <w:rPr>
          <w:rFonts w:eastAsia="KaiTi_GB2312" w:hint="eastAsia"/>
          <w:szCs w:val="18"/>
        </w:rPr>
      </w:pPr>
      <w:r>
        <w:rPr>
          <w:rFonts w:hint="eastAsia"/>
        </w:rPr>
        <w:tab/>
      </w:r>
      <w:r w:rsidRPr="00E57BEB">
        <w:rPr>
          <w:rStyle w:val="FootnoteReference"/>
          <w:vertAlign w:val="baseline"/>
        </w:rPr>
        <w:sym w:font="Symbol" w:char="F02A"/>
      </w:r>
      <w:r>
        <w:rPr>
          <w:rFonts w:hint="eastAsia"/>
        </w:rPr>
        <w:tab/>
      </w:r>
      <w:bookmarkStart w:id="0" w:name="OLE_LINK1"/>
      <w:bookmarkStart w:id="1" w:name="OLE_LINK2"/>
      <w:r>
        <w:rPr>
          <w:rStyle w:val="FootnoteTextChar"/>
        </w:rPr>
        <w:t>委员会下列委员参加审查本来文</w:t>
      </w:r>
      <w:r>
        <w:rPr>
          <w:rStyle w:val="FootnoteTextChar"/>
          <w:rFonts w:hint="eastAsia"/>
        </w:rPr>
        <w:t>：</w:t>
      </w:r>
      <w:r>
        <w:t>亚兹</w:t>
      </w:r>
      <w:r>
        <w:rPr>
          <w:rFonts w:hint="eastAsia"/>
        </w:rPr>
        <w:t>·</w:t>
      </w:r>
      <w:r>
        <w:t>本</w:t>
      </w:r>
      <w:r>
        <w:rPr>
          <w:rFonts w:hint="eastAsia"/>
        </w:rPr>
        <w:t>·</w:t>
      </w:r>
      <w:r>
        <w:t>阿舒尔</w:t>
      </w:r>
      <w:r w:rsidRPr="009D0B11">
        <w:rPr>
          <w:rStyle w:val="FootnoteTextChar"/>
        </w:rPr>
        <w:t>先生、莱兹赫里</w:t>
      </w:r>
      <w:bookmarkStart w:id="2" w:name="OLE_LINK14"/>
      <w:r>
        <w:rPr>
          <w:rFonts w:hint="eastAsia"/>
        </w:rPr>
        <w:t>·</w:t>
      </w:r>
      <w:bookmarkEnd w:id="2"/>
      <w:r w:rsidRPr="009D0B11">
        <w:rPr>
          <w:rStyle w:val="FootnoteTextChar"/>
        </w:rPr>
        <w:t>布齐德先生、艾哈迈德</w:t>
      </w:r>
      <w:r>
        <w:rPr>
          <w:rFonts w:hint="eastAsia"/>
        </w:rPr>
        <w:t>·</w:t>
      </w:r>
      <w:r w:rsidRPr="009D0B11">
        <w:rPr>
          <w:rStyle w:val="FootnoteTextChar"/>
        </w:rPr>
        <w:t>阿明</w:t>
      </w:r>
      <w:r>
        <w:rPr>
          <w:rFonts w:hint="eastAsia"/>
        </w:rPr>
        <w:t>·</w:t>
      </w:r>
      <w:r w:rsidRPr="009D0B11">
        <w:rPr>
          <w:rStyle w:val="FootnoteTextChar"/>
        </w:rPr>
        <w:t>法萨拉先生、科内利斯</w:t>
      </w:r>
      <w:r>
        <w:rPr>
          <w:rFonts w:hint="eastAsia"/>
        </w:rPr>
        <w:t>·</w:t>
      </w:r>
      <w:r w:rsidRPr="009D0B11">
        <w:rPr>
          <w:rStyle w:val="FootnoteTextChar"/>
        </w:rPr>
        <w:t>弗林特曼先生、岩泽雄司先生、</w:t>
      </w:r>
      <w:r>
        <w:rPr>
          <w:color w:val="000000"/>
          <w:szCs w:val="18"/>
        </w:rPr>
        <w:t>瓦尔特</w:t>
      </w:r>
      <w:r>
        <w:rPr>
          <w:rFonts w:hint="eastAsia"/>
        </w:rPr>
        <w:t>·</w:t>
      </w:r>
      <w:r>
        <w:rPr>
          <w:color w:val="000000"/>
          <w:szCs w:val="18"/>
        </w:rPr>
        <w:t>卡林先生</w:t>
      </w:r>
      <w:r>
        <w:rPr>
          <w:rFonts w:hint="eastAsia"/>
          <w:color w:val="000000"/>
          <w:szCs w:val="18"/>
        </w:rPr>
        <w:t>、</w:t>
      </w:r>
      <w:r w:rsidRPr="009D0B11">
        <w:rPr>
          <w:rStyle w:val="FootnoteTextChar"/>
        </w:rPr>
        <w:t>赞克</w:t>
      </w:r>
      <w:r>
        <w:rPr>
          <w:rFonts w:hint="eastAsia"/>
        </w:rPr>
        <w:t>·</w:t>
      </w:r>
      <w:r w:rsidRPr="009D0B11">
        <w:rPr>
          <w:rStyle w:val="FootnoteTextChar"/>
        </w:rPr>
        <w:t>扎内莱</w:t>
      </w:r>
      <w:r>
        <w:rPr>
          <w:rFonts w:hint="eastAsia"/>
        </w:rPr>
        <w:t>·</w:t>
      </w:r>
      <w:r w:rsidRPr="009D0B11">
        <w:rPr>
          <w:rStyle w:val="FootnoteTextChar"/>
        </w:rPr>
        <w:t>马约迪纳女士、</w:t>
      </w:r>
      <w:r>
        <w:t>赫厄西欧</w:t>
      </w:r>
      <w:r>
        <w:rPr>
          <w:rFonts w:hint="eastAsia"/>
        </w:rPr>
        <w:t>·</w:t>
      </w:r>
      <w:r>
        <w:t>普拉萨德</w:t>
      </w:r>
      <w:r>
        <w:rPr>
          <w:rFonts w:hint="eastAsia"/>
        </w:rPr>
        <w:t>·</w:t>
      </w:r>
      <w:r>
        <w:t>马塔汀思先生、</w:t>
      </w:r>
      <w:r w:rsidRPr="009D0B11">
        <w:rPr>
          <w:rStyle w:val="FootnoteTextChar"/>
        </w:rPr>
        <w:t>杰拉尔德</w:t>
      </w:r>
      <w:r>
        <w:rPr>
          <w:rFonts w:hint="eastAsia"/>
        </w:rPr>
        <w:t>·</w:t>
      </w:r>
      <w:r w:rsidRPr="009D0B11">
        <w:rPr>
          <w:rStyle w:val="FootnoteTextChar"/>
        </w:rPr>
        <w:t>纽曼先生、</w:t>
      </w:r>
      <w:r>
        <w:rPr>
          <w:color w:val="000000"/>
          <w:szCs w:val="18"/>
        </w:rPr>
        <w:t>奈杰尔</w:t>
      </w:r>
      <w:r>
        <w:rPr>
          <w:rFonts w:hint="eastAsia"/>
        </w:rPr>
        <w:t>·</w:t>
      </w:r>
      <w:r>
        <w:rPr>
          <w:color w:val="000000"/>
          <w:szCs w:val="18"/>
        </w:rPr>
        <w:t>罗德利爵士</w:t>
      </w:r>
      <w:r>
        <w:rPr>
          <w:rFonts w:hint="eastAsia"/>
          <w:color w:val="000000"/>
          <w:szCs w:val="18"/>
        </w:rPr>
        <w:t>、</w:t>
      </w:r>
      <w:r w:rsidRPr="002D141D">
        <w:rPr>
          <w:rFonts w:hint="eastAsia"/>
          <w:color w:val="000000"/>
          <w:szCs w:val="18"/>
        </w:rPr>
        <w:t>维克多</w:t>
      </w:r>
      <w:r>
        <w:rPr>
          <w:rFonts w:hint="eastAsia"/>
        </w:rPr>
        <w:t>·</w:t>
      </w:r>
      <w:r w:rsidRPr="002D141D">
        <w:rPr>
          <w:rFonts w:hint="eastAsia"/>
          <w:color w:val="000000"/>
          <w:szCs w:val="18"/>
        </w:rPr>
        <w:t>曼努埃尔</w:t>
      </w:r>
      <w:r>
        <w:rPr>
          <w:rFonts w:hint="eastAsia"/>
        </w:rPr>
        <w:t>·</w:t>
      </w:r>
      <w:r w:rsidRPr="002D141D">
        <w:rPr>
          <w:rFonts w:hint="eastAsia"/>
          <w:color w:val="000000"/>
          <w:szCs w:val="18"/>
        </w:rPr>
        <w:t>罗德里格斯－雷夏先生、</w:t>
      </w:r>
      <w:r w:rsidRPr="009D0B11">
        <w:rPr>
          <w:rStyle w:val="FootnoteTextChar"/>
        </w:rPr>
        <w:t>费边</w:t>
      </w:r>
      <w:r>
        <w:rPr>
          <w:rFonts w:hint="eastAsia"/>
        </w:rPr>
        <w:t>·</w:t>
      </w:r>
      <w:r w:rsidRPr="009D0B11">
        <w:rPr>
          <w:rStyle w:val="FootnoteTextChar"/>
        </w:rPr>
        <w:t>奥马尔</w:t>
      </w:r>
      <w:r>
        <w:rPr>
          <w:rFonts w:hint="eastAsia"/>
        </w:rPr>
        <w:t>·</w:t>
      </w:r>
      <w:r w:rsidRPr="009D0B11">
        <w:rPr>
          <w:rStyle w:val="FootnoteTextChar"/>
        </w:rPr>
        <w:t>萨尔维奥利先生</w:t>
      </w:r>
      <w:r>
        <w:rPr>
          <w:rStyle w:val="FootnoteTextChar"/>
          <w:rFonts w:hint="eastAsia"/>
        </w:rPr>
        <w:t>、</w:t>
      </w:r>
      <w:r w:rsidRPr="009A4FF4">
        <w:rPr>
          <w:rStyle w:val="FootnoteTextChar"/>
          <w:rFonts w:hint="eastAsia"/>
        </w:rPr>
        <w:t>安雅</w:t>
      </w:r>
      <w:r>
        <w:rPr>
          <w:rFonts w:hint="eastAsia"/>
        </w:rPr>
        <w:t>·</w:t>
      </w:r>
      <w:r w:rsidRPr="009A4FF4">
        <w:rPr>
          <w:rStyle w:val="FootnoteTextChar"/>
          <w:rFonts w:hint="eastAsia"/>
        </w:rPr>
        <w:t>塞伯特</w:t>
      </w:r>
      <w:r>
        <w:rPr>
          <w:rFonts w:hint="eastAsia"/>
        </w:rPr>
        <w:t>·</w:t>
      </w:r>
      <w:r w:rsidRPr="009A4FF4">
        <w:rPr>
          <w:rStyle w:val="FootnoteTextChar"/>
          <w:rFonts w:hint="eastAsia"/>
        </w:rPr>
        <w:t>佛尔女士、</w:t>
      </w:r>
      <w:r w:rsidRPr="009A4FF4">
        <w:rPr>
          <w:rFonts w:hint="eastAsia"/>
        </w:rPr>
        <w:t>尤瓦</w:t>
      </w:r>
      <w:r>
        <w:rPr>
          <w:rFonts w:hint="eastAsia"/>
        </w:rPr>
        <w:t>·</w:t>
      </w:r>
      <w:r w:rsidRPr="009A4FF4">
        <w:rPr>
          <w:rFonts w:hint="eastAsia"/>
        </w:rPr>
        <w:t>沙尼先生、康斯坦丁</w:t>
      </w:r>
      <w:r>
        <w:rPr>
          <w:rFonts w:hint="eastAsia"/>
        </w:rPr>
        <w:t>·</w:t>
      </w:r>
      <w:r w:rsidRPr="009A4FF4">
        <w:rPr>
          <w:rFonts w:hint="eastAsia"/>
        </w:rPr>
        <w:t>瓦尔泽拉什维利先生和马戈</w:t>
      </w:r>
      <w:r>
        <w:rPr>
          <w:rFonts w:hint="eastAsia"/>
        </w:rPr>
        <w:t>·</w:t>
      </w:r>
      <w:r w:rsidRPr="009A4FF4">
        <w:rPr>
          <w:rFonts w:hint="eastAsia"/>
        </w:rPr>
        <w:t>瓦特瓦尔女士</w:t>
      </w:r>
      <w:r w:rsidRPr="009D0B11">
        <w:rPr>
          <w:rStyle w:val="FootnoteTextChar"/>
        </w:rPr>
        <w:t>。</w:t>
      </w:r>
      <w:bookmarkEnd w:id="0"/>
      <w:bookmarkEnd w:id="1"/>
    </w:p>
  </w:footnote>
  <w:footnote w:id="2">
    <w:p w:rsidR="007B77C1" w:rsidRDefault="007B77C1" w:rsidP="00C5574E">
      <w:pPr>
        <w:pStyle w:val="EndnoteText"/>
        <w:rPr>
          <w:rFonts w:hint="eastAsia"/>
        </w:rPr>
      </w:pPr>
      <w:r>
        <w:rPr>
          <w:rFonts w:hint="eastAsia"/>
        </w:rPr>
        <w:tab/>
      </w:r>
      <w:r>
        <w:rPr>
          <w:rStyle w:val="FootnoteReference"/>
        </w:rPr>
        <w:footnoteRef/>
      </w:r>
      <w:r>
        <w:rPr>
          <w:rFonts w:hint="eastAsia"/>
        </w:rPr>
        <w:tab/>
      </w:r>
      <w:r>
        <w:rPr>
          <w:rFonts w:hint="eastAsia"/>
        </w:rPr>
        <w:t>《任择议定书》于</w:t>
      </w:r>
      <w:r>
        <w:rPr>
          <w:rFonts w:hint="eastAsia"/>
        </w:rPr>
        <w:t>1992</w:t>
      </w:r>
      <w:r>
        <w:rPr>
          <w:rFonts w:hint="eastAsia"/>
        </w:rPr>
        <w:t>年</w:t>
      </w:r>
      <w:r>
        <w:rPr>
          <w:rFonts w:hint="eastAsia"/>
        </w:rPr>
        <w:t>1</w:t>
      </w:r>
      <w:r>
        <w:rPr>
          <w:rFonts w:hint="eastAsia"/>
        </w:rPr>
        <w:t>月</w:t>
      </w:r>
      <w:r>
        <w:rPr>
          <w:rFonts w:hint="eastAsia"/>
        </w:rPr>
        <w:t>1</w:t>
      </w:r>
      <w:r>
        <w:rPr>
          <w:rFonts w:hint="eastAsia"/>
        </w:rPr>
        <w:t>日对该缔约国生效。</w:t>
      </w:r>
    </w:p>
  </w:footnote>
  <w:footnote w:id="3">
    <w:p w:rsidR="007B77C1" w:rsidRDefault="007B77C1" w:rsidP="00C542AF">
      <w:pPr>
        <w:pStyle w:val="EndnoteText"/>
        <w:rPr>
          <w:rFonts w:hint="eastAsia"/>
        </w:rPr>
      </w:pPr>
      <w:r>
        <w:rPr>
          <w:rFonts w:hint="eastAsia"/>
        </w:rPr>
        <w:tab/>
      </w:r>
      <w:r>
        <w:rPr>
          <w:rStyle w:val="FootnoteReference"/>
        </w:rPr>
        <w:footnoteRef/>
      </w:r>
      <w:r>
        <w:rPr>
          <w:rFonts w:hint="eastAsia"/>
        </w:rPr>
        <w:tab/>
      </w:r>
      <w:r>
        <w:rPr>
          <w:rFonts w:hint="eastAsia"/>
        </w:rPr>
        <w:t>欧洲人权法院，《</w:t>
      </w:r>
      <w:r>
        <w:rPr>
          <w:rFonts w:hint="eastAsia"/>
        </w:rPr>
        <w:t>Martynets</w:t>
      </w:r>
      <w:r w:rsidRPr="00F568C7">
        <w:rPr>
          <w:rFonts w:eastAsia="KaiTi_GB2312" w:hint="eastAsia"/>
        </w:rPr>
        <w:t>诉俄罗斯</w:t>
      </w:r>
      <w:r>
        <w:rPr>
          <w:rFonts w:hint="eastAsia"/>
        </w:rPr>
        <w:t>案》，第</w:t>
      </w:r>
      <w:r>
        <w:rPr>
          <w:rFonts w:hint="eastAsia"/>
        </w:rPr>
        <w:t>29612/09</w:t>
      </w:r>
      <w:r>
        <w:rPr>
          <w:rFonts w:hint="eastAsia"/>
        </w:rPr>
        <w:t>号申请，</w:t>
      </w:r>
      <w:r>
        <w:rPr>
          <w:rFonts w:hint="eastAsia"/>
        </w:rPr>
        <w:t>2009</w:t>
      </w:r>
      <w:r>
        <w:rPr>
          <w:rFonts w:hint="eastAsia"/>
        </w:rPr>
        <w:t>年</w:t>
      </w:r>
      <w:r>
        <w:rPr>
          <w:rFonts w:hint="eastAsia"/>
        </w:rPr>
        <w:t>11</w:t>
      </w:r>
      <w:r>
        <w:rPr>
          <w:rFonts w:hint="eastAsia"/>
        </w:rPr>
        <w:t>月</w:t>
      </w:r>
      <w:r>
        <w:rPr>
          <w:rFonts w:hint="eastAsia"/>
        </w:rPr>
        <w:t>5</w:t>
      </w:r>
      <w:r>
        <w:rPr>
          <w:rFonts w:hint="eastAsia"/>
        </w:rPr>
        <w:t>日关于可否受理问题的决定。</w:t>
      </w:r>
    </w:p>
  </w:footnote>
  <w:footnote w:id="4">
    <w:p w:rsidR="007B77C1" w:rsidRDefault="007B77C1" w:rsidP="00C542AF">
      <w:pPr>
        <w:pStyle w:val="EndnoteText"/>
        <w:rPr>
          <w:rFonts w:hint="eastAsia"/>
        </w:rPr>
      </w:pPr>
      <w:r>
        <w:rPr>
          <w:rFonts w:hint="eastAsia"/>
        </w:rPr>
        <w:tab/>
      </w:r>
      <w:r>
        <w:rPr>
          <w:rStyle w:val="FootnoteReference"/>
        </w:rPr>
        <w:footnoteRef/>
      </w:r>
      <w:r>
        <w:rPr>
          <w:rFonts w:hint="eastAsia"/>
        </w:rPr>
        <w:tab/>
      </w:r>
      <w:r>
        <w:rPr>
          <w:rFonts w:hint="eastAsia"/>
        </w:rPr>
        <w:t>这几次请愿在欧洲人权法院分别登记为第</w:t>
      </w:r>
      <w:r>
        <w:rPr>
          <w:rFonts w:hint="eastAsia"/>
        </w:rPr>
        <w:t>4916/07</w:t>
      </w:r>
      <w:r>
        <w:rPr>
          <w:rFonts w:hint="eastAsia"/>
        </w:rPr>
        <w:t>号、第</w:t>
      </w:r>
      <w:r>
        <w:rPr>
          <w:rFonts w:hint="eastAsia"/>
        </w:rPr>
        <w:t>25924/08</w:t>
      </w:r>
      <w:r>
        <w:rPr>
          <w:rFonts w:hint="eastAsia"/>
        </w:rPr>
        <w:t>号和第</w:t>
      </w:r>
      <w:r>
        <w:rPr>
          <w:rFonts w:hint="eastAsia"/>
        </w:rPr>
        <w:t>14500/09</w:t>
      </w:r>
      <w:r>
        <w:rPr>
          <w:rFonts w:hint="eastAsia"/>
        </w:rPr>
        <w:t>号。</w:t>
      </w:r>
    </w:p>
  </w:footnote>
  <w:footnote w:id="5">
    <w:p w:rsidR="007B77C1" w:rsidRDefault="007B77C1">
      <w:pPr>
        <w:pStyle w:val="FootnoteText"/>
        <w:rPr>
          <w:rFonts w:hint="eastAsia"/>
        </w:rPr>
      </w:pPr>
      <w:r>
        <w:tab/>
      </w:r>
      <w:r>
        <w:rPr>
          <w:rStyle w:val="FootnoteReference"/>
        </w:rPr>
        <w:footnoteRef/>
      </w:r>
      <w:r>
        <w:tab/>
      </w:r>
      <w:r>
        <w:rPr>
          <w:rFonts w:hint="eastAsia"/>
          <w:lang w:val="en-GB"/>
        </w:rPr>
        <w:t>见欧洲人权法院，《</w:t>
      </w:r>
      <w:r w:rsidRPr="00832400">
        <w:rPr>
          <w:lang w:val="en-GB"/>
        </w:rPr>
        <w:t>Alekseev</w:t>
      </w:r>
      <w:r w:rsidRPr="00F568C7">
        <w:rPr>
          <w:rFonts w:eastAsia="KaiTi_GB2312" w:hint="eastAsia"/>
          <w:lang w:val="en-GB"/>
        </w:rPr>
        <w:t>诉俄罗斯</w:t>
      </w:r>
      <w:r>
        <w:rPr>
          <w:rFonts w:eastAsia="KaiTi_GB2312" w:hint="eastAsia"/>
          <w:lang w:val="en-GB"/>
        </w:rPr>
        <w:t>》，</w:t>
      </w:r>
      <w:r>
        <w:rPr>
          <w:rFonts w:hint="eastAsia"/>
          <w:lang w:val="en-GB"/>
        </w:rPr>
        <w:t>第</w:t>
      </w:r>
      <w:r w:rsidRPr="00022C21">
        <w:rPr>
          <w:lang w:val="en-GB"/>
        </w:rPr>
        <w:t>4916</w:t>
      </w:r>
      <w:r>
        <w:rPr>
          <w:lang w:val="en-GB"/>
        </w:rPr>
        <w:t>/</w:t>
      </w:r>
      <w:r w:rsidRPr="00022C21">
        <w:rPr>
          <w:lang w:val="en-GB"/>
        </w:rPr>
        <w:t>07</w:t>
      </w:r>
      <w:r>
        <w:rPr>
          <w:rFonts w:hint="eastAsia"/>
          <w:lang w:val="en-GB"/>
        </w:rPr>
        <w:t>、</w:t>
      </w:r>
      <w:r w:rsidRPr="00022C21">
        <w:rPr>
          <w:lang w:val="en-GB"/>
        </w:rPr>
        <w:t>25924</w:t>
      </w:r>
      <w:r>
        <w:rPr>
          <w:lang w:val="en-GB"/>
        </w:rPr>
        <w:t>/</w:t>
      </w:r>
      <w:r w:rsidRPr="00022C21">
        <w:rPr>
          <w:lang w:val="en-GB"/>
        </w:rPr>
        <w:t>08</w:t>
      </w:r>
      <w:r>
        <w:rPr>
          <w:rFonts w:hint="eastAsia"/>
          <w:lang w:val="en-GB"/>
        </w:rPr>
        <w:t>和</w:t>
      </w:r>
      <w:r w:rsidRPr="00022C21">
        <w:rPr>
          <w:lang w:val="en-GB"/>
        </w:rPr>
        <w:t>14500</w:t>
      </w:r>
      <w:r>
        <w:rPr>
          <w:lang w:val="en-GB"/>
        </w:rPr>
        <w:t>/</w:t>
      </w:r>
      <w:r w:rsidRPr="00022C21">
        <w:rPr>
          <w:lang w:val="en-GB"/>
        </w:rPr>
        <w:t>09</w:t>
      </w:r>
      <w:r>
        <w:rPr>
          <w:rFonts w:hint="eastAsia"/>
          <w:lang w:val="en-GB"/>
        </w:rPr>
        <w:t>号申请。</w:t>
      </w:r>
    </w:p>
  </w:footnote>
  <w:footnote w:id="6">
    <w:p w:rsidR="007B77C1" w:rsidRDefault="007B77C1">
      <w:pPr>
        <w:pStyle w:val="FootnoteText"/>
        <w:rPr>
          <w:rFonts w:hint="eastAsia"/>
        </w:rPr>
      </w:pPr>
      <w:r>
        <w:tab/>
      </w:r>
      <w:r>
        <w:rPr>
          <w:rStyle w:val="FootnoteReference"/>
        </w:rPr>
        <w:footnoteRef/>
      </w:r>
      <w:r>
        <w:tab/>
      </w:r>
      <w:r>
        <w:rPr>
          <w:rFonts w:hint="eastAsia"/>
        </w:rPr>
        <w:t>例如见，第</w:t>
      </w:r>
      <w:r>
        <w:rPr>
          <w:rFonts w:hint="eastAsia"/>
        </w:rPr>
        <w:t>1002/2001</w:t>
      </w:r>
      <w:r>
        <w:rPr>
          <w:rFonts w:hint="eastAsia"/>
        </w:rPr>
        <w:t>号来文，《</w:t>
      </w:r>
      <w:r w:rsidRPr="00065578">
        <w:rPr>
          <w:lang w:val="en-GB"/>
        </w:rPr>
        <w:t>Wallmann</w:t>
      </w:r>
      <w:r w:rsidRPr="00F568C7">
        <w:rPr>
          <w:rFonts w:eastAsia="KaiTi_GB2312" w:hint="eastAsia"/>
        </w:rPr>
        <w:t>等人诉奥地利</w:t>
      </w:r>
      <w:r>
        <w:rPr>
          <w:rFonts w:hint="eastAsia"/>
        </w:rPr>
        <w:t>案》，</w:t>
      </w:r>
      <w:r>
        <w:rPr>
          <w:rFonts w:hint="eastAsia"/>
        </w:rPr>
        <w:t>2004</w:t>
      </w:r>
      <w:r>
        <w:rPr>
          <w:rFonts w:hint="eastAsia"/>
        </w:rPr>
        <w:t>年</w:t>
      </w:r>
      <w:r>
        <w:rPr>
          <w:rFonts w:hint="eastAsia"/>
        </w:rPr>
        <w:t>4</w:t>
      </w:r>
      <w:r>
        <w:rPr>
          <w:rFonts w:hint="eastAsia"/>
        </w:rPr>
        <w:t>月</w:t>
      </w:r>
      <w:r>
        <w:rPr>
          <w:rFonts w:hint="eastAsia"/>
        </w:rPr>
        <w:t>1</w:t>
      </w:r>
      <w:r>
        <w:rPr>
          <w:rFonts w:hint="eastAsia"/>
        </w:rPr>
        <w:t>日通过的意见，第</w:t>
      </w:r>
      <w:r>
        <w:rPr>
          <w:rFonts w:hint="eastAsia"/>
        </w:rPr>
        <w:t>8.4</w:t>
      </w:r>
      <w:r>
        <w:rPr>
          <w:rFonts w:hint="eastAsia"/>
        </w:rPr>
        <w:t>段。</w:t>
      </w:r>
    </w:p>
  </w:footnote>
  <w:footnote w:id="7">
    <w:p w:rsidR="007B77C1" w:rsidRDefault="007B77C1" w:rsidP="00EB757B">
      <w:pPr>
        <w:pStyle w:val="EndnoteText"/>
        <w:rPr>
          <w:rFonts w:hint="eastAsia"/>
        </w:rPr>
      </w:pPr>
      <w:r>
        <w:tab/>
      </w:r>
      <w:r>
        <w:rPr>
          <w:rStyle w:val="FootnoteReference"/>
        </w:rPr>
        <w:footnoteRef/>
      </w:r>
      <w:r>
        <w:tab/>
      </w:r>
      <w:r>
        <w:rPr>
          <w:rFonts w:hint="eastAsia"/>
          <w:lang w:val="en-GB"/>
        </w:rPr>
        <w:t>主要见，第</w:t>
      </w:r>
      <w:r w:rsidRPr="00065578">
        <w:rPr>
          <w:lang w:val="en-GB"/>
        </w:rPr>
        <w:t>836</w:t>
      </w:r>
      <w:r>
        <w:rPr>
          <w:lang w:val="en-GB"/>
        </w:rPr>
        <w:t>/</w:t>
      </w:r>
      <w:r w:rsidRPr="00065578">
        <w:rPr>
          <w:lang w:val="en-GB"/>
        </w:rPr>
        <w:t>1998</w:t>
      </w:r>
      <w:r>
        <w:rPr>
          <w:rFonts w:hint="eastAsia"/>
          <w:lang w:val="en-GB"/>
        </w:rPr>
        <w:t>号来文，《</w:t>
      </w:r>
      <w:r w:rsidRPr="00F27248">
        <w:rPr>
          <w:lang w:val="en-GB"/>
        </w:rPr>
        <w:t>Gelazauskas</w:t>
      </w:r>
      <w:r w:rsidRPr="00F568C7">
        <w:rPr>
          <w:rFonts w:eastAsia="KaiTi_GB2312" w:hint="eastAsia"/>
          <w:lang w:val="en-GB"/>
        </w:rPr>
        <w:t>诉立陶宛</w:t>
      </w:r>
      <w:r>
        <w:rPr>
          <w:rFonts w:hint="eastAsia"/>
          <w:lang w:val="en-GB"/>
        </w:rPr>
        <w:t>案》，</w:t>
      </w:r>
      <w:r>
        <w:rPr>
          <w:rFonts w:hint="eastAsia"/>
          <w:lang w:val="en-GB"/>
        </w:rPr>
        <w:t>2003</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日通过的意见，以及第</w:t>
      </w:r>
      <w:hyperlink r:id="rId1" w:history="1">
        <w:r w:rsidRPr="00065578">
          <w:rPr>
            <w:lang w:val="en-GB"/>
          </w:rPr>
          <w:t>1537</w:t>
        </w:r>
        <w:r>
          <w:rPr>
            <w:lang w:val="en-GB"/>
          </w:rPr>
          <w:t>/</w:t>
        </w:r>
        <w:r w:rsidRPr="00065578">
          <w:rPr>
            <w:lang w:val="en-GB"/>
          </w:rPr>
          <w:t>2006</w:t>
        </w:r>
      </w:hyperlink>
      <w:r>
        <w:rPr>
          <w:rFonts w:hint="eastAsia"/>
          <w:lang w:val="en-GB"/>
        </w:rPr>
        <w:t>号来文，《</w:t>
      </w:r>
      <w:r w:rsidRPr="00E312A0">
        <w:rPr>
          <w:lang w:val="en-GB"/>
        </w:rPr>
        <w:t>Gerashchenko</w:t>
      </w:r>
      <w:r w:rsidRPr="00F568C7">
        <w:rPr>
          <w:rFonts w:eastAsia="KaiTi_GB2312" w:hint="eastAsia"/>
          <w:lang w:val="en-GB"/>
        </w:rPr>
        <w:t>诉白俄罗斯</w:t>
      </w:r>
      <w:r>
        <w:rPr>
          <w:rFonts w:hint="eastAsia"/>
          <w:lang w:val="en-GB"/>
        </w:rPr>
        <w:t>案》，</w:t>
      </w:r>
      <w:r>
        <w:rPr>
          <w:rFonts w:hint="eastAsia"/>
          <w:lang w:val="en-GB"/>
        </w:rPr>
        <w:t>2009</w:t>
      </w:r>
      <w:r>
        <w:rPr>
          <w:rFonts w:hint="eastAsia"/>
          <w:lang w:val="en-GB"/>
        </w:rPr>
        <w:t>年</w:t>
      </w:r>
      <w:r>
        <w:rPr>
          <w:rFonts w:hint="eastAsia"/>
          <w:lang w:val="en-GB"/>
        </w:rPr>
        <w:t>10</w:t>
      </w:r>
      <w:r>
        <w:rPr>
          <w:rFonts w:hint="eastAsia"/>
          <w:lang w:val="en-GB"/>
        </w:rPr>
        <w:t>月</w:t>
      </w:r>
      <w:r>
        <w:rPr>
          <w:rFonts w:hint="eastAsia"/>
          <w:lang w:val="en-GB"/>
        </w:rPr>
        <w:t>23</w:t>
      </w:r>
      <w:r>
        <w:rPr>
          <w:rFonts w:hint="eastAsia"/>
          <w:lang w:val="en-GB"/>
        </w:rPr>
        <w:t>日通过的不可受理决定。</w:t>
      </w:r>
    </w:p>
  </w:footnote>
  <w:footnote w:id="8">
    <w:p w:rsidR="007B77C1" w:rsidRPr="00465972" w:rsidRDefault="007B77C1" w:rsidP="00EB757B">
      <w:pPr>
        <w:pStyle w:val="EndnoteText"/>
        <w:rPr>
          <w:rFonts w:hint="eastAsia"/>
          <w:lang w:val="en-GB"/>
        </w:rPr>
      </w:pPr>
      <w:r>
        <w:tab/>
      </w:r>
      <w:r>
        <w:rPr>
          <w:rStyle w:val="FootnoteReference"/>
        </w:rPr>
        <w:footnoteRef/>
      </w:r>
      <w:r>
        <w:tab/>
      </w:r>
      <w:r>
        <w:rPr>
          <w:rFonts w:hint="eastAsia"/>
          <w:lang w:val="en-GB"/>
        </w:rPr>
        <w:t>例如见，第</w:t>
      </w:r>
      <w:r w:rsidRPr="00AB5158">
        <w:rPr>
          <w:lang w:val="en-GB"/>
        </w:rPr>
        <w:t>1866</w:t>
      </w:r>
      <w:r>
        <w:rPr>
          <w:lang w:val="en-GB"/>
        </w:rPr>
        <w:t>/</w:t>
      </w:r>
      <w:r w:rsidRPr="00AB5158">
        <w:rPr>
          <w:lang w:val="en-GB"/>
        </w:rPr>
        <w:t>2009</w:t>
      </w:r>
      <w:r>
        <w:rPr>
          <w:rFonts w:hint="eastAsia"/>
          <w:lang w:val="en-GB"/>
        </w:rPr>
        <w:t>号来文，《</w:t>
      </w:r>
      <w:r w:rsidRPr="00AB5158">
        <w:t>Chebotareva</w:t>
      </w:r>
      <w:r w:rsidRPr="00F568C7">
        <w:rPr>
          <w:rFonts w:eastAsia="KaiTi_GB2312" w:hint="eastAsia"/>
        </w:rPr>
        <w:t>诉俄罗斯联邦</w:t>
      </w:r>
      <w:r>
        <w:rPr>
          <w:rFonts w:hint="eastAsia"/>
        </w:rPr>
        <w:t>案</w:t>
      </w:r>
      <w:r>
        <w:rPr>
          <w:rFonts w:hint="eastAsia"/>
          <w:lang w:val="en-GB"/>
        </w:rPr>
        <w:t>》，</w:t>
      </w:r>
      <w:r>
        <w:rPr>
          <w:rFonts w:hint="eastAsia"/>
          <w:lang w:val="en-GB"/>
        </w:rPr>
        <w:t>2012</w:t>
      </w:r>
      <w:r>
        <w:rPr>
          <w:rFonts w:hint="eastAsia"/>
          <w:lang w:val="en-GB"/>
        </w:rPr>
        <w:t>年</w:t>
      </w:r>
      <w:r>
        <w:rPr>
          <w:rFonts w:hint="eastAsia"/>
          <w:lang w:val="en-GB"/>
        </w:rPr>
        <w:t>3</w:t>
      </w:r>
      <w:r>
        <w:rPr>
          <w:rFonts w:hint="eastAsia"/>
          <w:lang w:val="en-GB"/>
        </w:rPr>
        <w:t>月</w:t>
      </w:r>
      <w:r>
        <w:rPr>
          <w:rFonts w:hint="eastAsia"/>
          <w:lang w:val="en-GB"/>
        </w:rPr>
        <w:t>26</w:t>
      </w:r>
      <w:r>
        <w:rPr>
          <w:rFonts w:hint="eastAsia"/>
          <w:lang w:val="en-GB"/>
        </w:rPr>
        <w:t>日通过的意见，第</w:t>
      </w:r>
      <w:r>
        <w:rPr>
          <w:lang w:val="en-GB"/>
        </w:rPr>
        <w:t>8.</w:t>
      </w:r>
      <w:r w:rsidRPr="00AB5158">
        <w:rPr>
          <w:lang w:val="en-GB"/>
        </w:rPr>
        <w:t>3</w:t>
      </w:r>
      <w:r>
        <w:rPr>
          <w:rFonts w:hint="eastAsia"/>
          <w:lang w:val="en-GB"/>
        </w:rPr>
        <w:t>段。</w:t>
      </w:r>
    </w:p>
  </w:footnote>
  <w:footnote w:id="9">
    <w:p w:rsidR="007B77C1" w:rsidRDefault="007B77C1" w:rsidP="00EB757B">
      <w:pPr>
        <w:pStyle w:val="EndnoteText"/>
        <w:rPr>
          <w:rFonts w:hint="eastAsia"/>
        </w:rPr>
      </w:pPr>
      <w:r>
        <w:tab/>
      </w:r>
      <w:r>
        <w:rPr>
          <w:rStyle w:val="FootnoteReference"/>
        </w:rPr>
        <w:footnoteRef/>
      </w:r>
      <w:r>
        <w:tab/>
      </w:r>
      <w:r>
        <w:rPr>
          <w:rFonts w:hint="eastAsia"/>
          <w:lang w:val="en-GB"/>
        </w:rPr>
        <w:t>见第</w:t>
      </w:r>
      <w:r w:rsidRPr="00AB5158">
        <w:rPr>
          <w:lang w:val="en-GB"/>
        </w:rPr>
        <w:t>1948</w:t>
      </w:r>
      <w:r>
        <w:rPr>
          <w:lang w:val="en-GB"/>
        </w:rPr>
        <w:t>/</w:t>
      </w:r>
      <w:r w:rsidRPr="00AB5158">
        <w:rPr>
          <w:lang w:val="en-GB"/>
        </w:rPr>
        <w:t>2010</w:t>
      </w:r>
      <w:r>
        <w:rPr>
          <w:rFonts w:hint="eastAsia"/>
          <w:lang w:val="en-GB"/>
        </w:rPr>
        <w:t>号来文，《</w:t>
      </w:r>
      <w:r w:rsidRPr="00AB5158">
        <w:t>Turchenyak</w:t>
      </w:r>
      <w:r w:rsidRPr="00F568C7">
        <w:rPr>
          <w:rFonts w:eastAsia="KaiTi_GB2312" w:hint="eastAsia"/>
        </w:rPr>
        <w:t>等人诉白俄罗斯</w:t>
      </w:r>
      <w:r>
        <w:rPr>
          <w:rFonts w:hint="eastAsia"/>
        </w:rPr>
        <w:t>案</w:t>
      </w:r>
      <w:r>
        <w:rPr>
          <w:rFonts w:hint="eastAsia"/>
          <w:lang w:val="en-GB"/>
        </w:rPr>
        <w:t>》</w:t>
      </w:r>
      <w:r>
        <w:rPr>
          <w:rFonts w:hint="eastAsia"/>
          <w:lang w:val="en-GB"/>
        </w:rPr>
        <w:t>2013</w:t>
      </w:r>
      <w:r>
        <w:rPr>
          <w:rFonts w:hint="eastAsia"/>
          <w:lang w:val="en-GB"/>
        </w:rPr>
        <w:t>年</w:t>
      </w:r>
      <w:r>
        <w:rPr>
          <w:rFonts w:hint="eastAsia"/>
          <w:lang w:val="en-GB"/>
        </w:rPr>
        <w:t>7</w:t>
      </w:r>
      <w:r>
        <w:rPr>
          <w:rFonts w:hint="eastAsia"/>
          <w:lang w:val="en-GB"/>
        </w:rPr>
        <w:t>月</w:t>
      </w:r>
      <w:r>
        <w:rPr>
          <w:rFonts w:hint="eastAsia"/>
          <w:lang w:val="en-GB"/>
        </w:rPr>
        <w:t>24</w:t>
      </w:r>
      <w:r>
        <w:rPr>
          <w:rFonts w:hint="eastAsia"/>
          <w:lang w:val="en-GB"/>
        </w:rPr>
        <w:t>日通过的意见，第</w:t>
      </w:r>
      <w:r>
        <w:rPr>
          <w:lang w:val="en-GB"/>
        </w:rPr>
        <w:t>7.</w:t>
      </w:r>
      <w:r w:rsidRPr="00AB5158">
        <w:rPr>
          <w:lang w:val="en-GB"/>
        </w:rPr>
        <w:t>4</w:t>
      </w:r>
      <w:r>
        <w:rPr>
          <w:rFonts w:hint="eastAsia"/>
          <w:lang w:val="en-GB"/>
        </w:rPr>
        <w:t>段。</w:t>
      </w:r>
    </w:p>
  </w:footnote>
  <w:footnote w:id="10">
    <w:p w:rsidR="007B77C1" w:rsidRPr="00BB59B2" w:rsidRDefault="007B77C1" w:rsidP="00EB757B">
      <w:pPr>
        <w:pStyle w:val="EndnoteText"/>
        <w:rPr>
          <w:rFonts w:hint="eastAsia"/>
        </w:rPr>
      </w:pPr>
      <w:r>
        <w:tab/>
      </w:r>
      <w:r>
        <w:rPr>
          <w:rStyle w:val="FootnoteReference"/>
        </w:rPr>
        <w:footnoteRef/>
      </w:r>
      <w:r>
        <w:tab/>
      </w:r>
      <w:r>
        <w:rPr>
          <w:rFonts w:hint="eastAsia"/>
          <w:lang w:val="en-GB"/>
        </w:rPr>
        <w:t>见委员会关于见解和言论自由的第</w:t>
      </w:r>
      <w:r>
        <w:rPr>
          <w:lang w:val="en-GB"/>
        </w:rPr>
        <w:t>34(</w:t>
      </w:r>
      <w:r w:rsidRPr="00BB59B2">
        <w:rPr>
          <w:lang w:val="en-GB"/>
        </w:rPr>
        <w:t>2011</w:t>
      </w:r>
      <w:r>
        <w:rPr>
          <w:lang w:val="en-GB"/>
        </w:rPr>
        <w:t>)</w:t>
      </w:r>
      <w:r>
        <w:rPr>
          <w:rFonts w:hint="eastAsia"/>
          <w:lang w:val="en-GB"/>
        </w:rPr>
        <w:t>号一般性意见，第</w:t>
      </w:r>
      <w:r w:rsidRPr="00BB59B2">
        <w:rPr>
          <w:lang w:val="en-GB"/>
        </w:rPr>
        <w:t>23</w:t>
      </w:r>
      <w:r>
        <w:rPr>
          <w:rFonts w:hint="eastAsia"/>
          <w:lang w:val="en-GB"/>
        </w:rPr>
        <w:t>段，《大会第六十六届会议正式记录，补编第</w:t>
      </w:r>
      <w:r>
        <w:rPr>
          <w:rFonts w:hint="eastAsia"/>
          <w:lang w:val="en-GB"/>
        </w:rPr>
        <w:t>40</w:t>
      </w:r>
      <w:r>
        <w:rPr>
          <w:rFonts w:hint="eastAsia"/>
          <w:lang w:val="en-GB"/>
        </w:rPr>
        <w:t>号》，第一卷</w:t>
      </w:r>
      <w:r>
        <w:rPr>
          <w:lang w:val="en-GB"/>
        </w:rPr>
        <w:t>(</w:t>
      </w:r>
      <w:r w:rsidRPr="00BB59B2">
        <w:rPr>
          <w:lang w:val="en-GB"/>
        </w:rPr>
        <w:t>A</w:t>
      </w:r>
      <w:r>
        <w:rPr>
          <w:lang w:val="en-GB"/>
        </w:rPr>
        <w:t>/</w:t>
      </w:r>
      <w:r w:rsidRPr="00BB59B2">
        <w:rPr>
          <w:lang w:val="en-GB"/>
        </w:rPr>
        <w:t>66</w:t>
      </w:r>
      <w:r>
        <w:rPr>
          <w:lang w:val="en-GB"/>
        </w:rPr>
        <w:t>/40(</w:t>
      </w:r>
      <w:r w:rsidRPr="00BB59B2">
        <w:rPr>
          <w:lang w:val="en-GB"/>
        </w:rPr>
        <w:t>Vol. I</w:t>
      </w:r>
      <w:r>
        <w:rPr>
          <w:lang w:val="en-GB"/>
        </w:rPr>
        <w:t>))</w:t>
      </w:r>
      <w:r>
        <w:rPr>
          <w:rFonts w:hint="eastAsia"/>
          <w:lang w:val="en-GB"/>
        </w:rPr>
        <w:t>，附件五。委员会指出，虽然第</w:t>
      </w:r>
      <w:r>
        <w:rPr>
          <w:rFonts w:hint="eastAsia"/>
          <w:lang w:val="en-GB"/>
        </w:rPr>
        <w:t>34</w:t>
      </w:r>
      <w:r>
        <w:rPr>
          <w:rFonts w:hint="eastAsia"/>
          <w:lang w:val="en-GB"/>
        </w:rPr>
        <w:t>号一般性意见述及</w:t>
      </w:r>
      <w:r w:rsidRPr="00FA7E47">
        <w:rPr>
          <w:rFonts w:hint="eastAsia"/>
          <w:lang w:val="en-GB"/>
        </w:rPr>
        <w:t>《公约》</w:t>
      </w:r>
      <w:r>
        <w:rPr>
          <w:rFonts w:hint="eastAsia"/>
          <w:lang w:val="en-GB"/>
        </w:rPr>
        <w:t>第十九条，但它也为第二十一条的内容提供指导。见第</w:t>
      </w:r>
      <w:r w:rsidRPr="00BB59B2">
        <w:rPr>
          <w:lang w:val="en-GB"/>
        </w:rPr>
        <w:t>1790</w:t>
      </w:r>
      <w:r>
        <w:rPr>
          <w:lang w:val="en-GB"/>
        </w:rPr>
        <w:t>/</w:t>
      </w:r>
      <w:r w:rsidRPr="00BB59B2">
        <w:rPr>
          <w:lang w:val="en-GB"/>
        </w:rPr>
        <w:t>2008</w:t>
      </w:r>
      <w:r>
        <w:rPr>
          <w:rFonts w:hint="eastAsia"/>
          <w:lang w:val="en-GB"/>
        </w:rPr>
        <w:t>号来文，《</w:t>
      </w:r>
      <w:r w:rsidRPr="00BB59B2">
        <w:rPr>
          <w:lang w:val="en-GB"/>
        </w:rPr>
        <w:t>Govsha</w:t>
      </w:r>
      <w:r w:rsidRPr="00F568C7">
        <w:rPr>
          <w:rFonts w:eastAsia="KaiTi_GB2312" w:hint="eastAsia"/>
          <w:lang w:val="en-GB"/>
        </w:rPr>
        <w:t>等人诉白俄罗斯</w:t>
      </w:r>
      <w:r>
        <w:rPr>
          <w:rFonts w:hint="eastAsia"/>
          <w:lang w:val="en-GB"/>
        </w:rPr>
        <w:t>案》，</w:t>
      </w:r>
      <w:r w:rsidRPr="00BB59B2">
        <w:rPr>
          <w:lang w:val="en-GB"/>
        </w:rPr>
        <w:t>2012</w:t>
      </w:r>
      <w:r>
        <w:rPr>
          <w:rFonts w:hint="eastAsia"/>
          <w:lang w:val="en-GB"/>
        </w:rPr>
        <w:t>年</w:t>
      </w:r>
      <w:r>
        <w:rPr>
          <w:rFonts w:hint="eastAsia"/>
          <w:lang w:val="en-GB"/>
        </w:rPr>
        <w:t>7</w:t>
      </w:r>
      <w:r>
        <w:rPr>
          <w:rFonts w:hint="eastAsia"/>
          <w:lang w:val="en-GB"/>
        </w:rPr>
        <w:t>月</w:t>
      </w:r>
      <w:r>
        <w:rPr>
          <w:rFonts w:hint="eastAsia"/>
          <w:lang w:val="en-GB"/>
        </w:rPr>
        <w:t>27</w:t>
      </w:r>
      <w:r>
        <w:rPr>
          <w:rFonts w:hint="eastAsia"/>
          <w:lang w:val="en-GB"/>
        </w:rPr>
        <w:t>日通过的意见，第</w:t>
      </w:r>
      <w:r>
        <w:rPr>
          <w:lang w:val="en-GB"/>
        </w:rPr>
        <w:t>9.</w:t>
      </w:r>
      <w:r w:rsidRPr="00BB59B2">
        <w:rPr>
          <w:lang w:val="en-GB"/>
        </w:rPr>
        <w:t>4</w:t>
      </w:r>
      <w:r>
        <w:rPr>
          <w:rFonts w:hint="eastAsia"/>
          <w:lang w:val="en-GB"/>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1" w:rsidRPr="00965D18" w:rsidRDefault="007B77C1">
    <w:pPr>
      <w:pStyle w:val="Header"/>
    </w:pPr>
    <w:r w:rsidRPr="00965D18">
      <w:t>CCPR/C/109/D/1873/2009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1" w:rsidRPr="00965D18" w:rsidRDefault="007B77C1">
    <w:pPr>
      <w:pStyle w:val="Header"/>
      <w:jc w:val="right"/>
    </w:pPr>
    <w:r w:rsidRPr="00965D18">
      <w:t>CCPR/C/109/D/1873/2009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D8" w:rsidRDefault="00302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D18"/>
    <w:rsid w:val="000071F5"/>
    <w:rsid w:val="00013A66"/>
    <w:rsid w:val="00034C20"/>
    <w:rsid w:val="00051474"/>
    <w:rsid w:val="00052154"/>
    <w:rsid w:val="00055A9B"/>
    <w:rsid w:val="00056B0A"/>
    <w:rsid w:val="000848DB"/>
    <w:rsid w:val="00086AFE"/>
    <w:rsid w:val="000A688A"/>
    <w:rsid w:val="000D704A"/>
    <w:rsid w:val="000F217F"/>
    <w:rsid w:val="000F2437"/>
    <w:rsid w:val="001039BC"/>
    <w:rsid w:val="00132AC3"/>
    <w:rsid w:val="00134572"/>
    <w:rsid w:val="0014292A"/>
    <w:rsid w:val="0014295D"/>
    <w:rsid w:val="00161576"/>
    <w:rsid w:val="00163AFB"/>
    <w:rsid w:val="001909BF"/>
    <w:rsid w:val="001A7516"/>
    <w:rsid w:val="001B41B9"/>
    <w:rsid w:val="001C00D1"/>
    <w:rsid w:val="001D0E47"/>
    <w:rsid w:val="001F04F8"/>
    <w:rsid w:val="001F4676"/>
    <w:rsid w:val="001F7C35"/>
    <w:rsid w:val="00205227"/>
    <w:rsid w:val="00210840"/>
    <w:rsid w:val="002250D3"/>
    <w:rsid w:val="0023199F"/>
    <w:rsid w:val="0023313F"/>
    <w:rsid w:val="00242C16"/>
    <w:rsid w:val="002547C8"/>
    <w:rsid w:val="002918A1"/>
    <w:rsid w:val="002B2F53"/>
    <w:rsid w:val="002B52BC"/>
    <w:rsid w:val="002C03DB"/>
    <w:rsid w:val="002C2513"/>
    <w:rsid w:val="002C5DB5"/>
    <w:rsid w:val="002C618C"/>
    <w:rsid w:val="002D3D9F"/>
    <w:rsid w:val="002E1B4F"/>
    <w:rsid w:val="002E3869"/>
    <w:rsid w:val="003023D8"/>
    <w:rsid w:val="0038024C"/>
    <w:rsid w:val="00384378"/>
    <w:rsid w:val="003938AC"/>
    <w:rsid w:val="003B09E6"/>
    <w:rsid w:val="003B0D00"/>
    <w:rsid w:val="003C6A6A"/>
    <w:rsid w:val="003D1840"/>
    <w:rsid w:val="003F3E54"/>
    <w:rsid w:val="003F67C5"/>
    <w:rsid w:val="00443EDB"/>
    <w:rsid w:val="004541A9"/>
    <w:rsid w:val="00463CF0"/>
    <w:rsid w:val="00471C9D"/>
    <w:rsid w:val="004841B8"/>
    <w:rsid w:val="00497733"/>
    <w:rsid w:val="004A27CA"/>
    <w:rsid w:val="004D1555"/>
    <w:rsid w:val="004E0BB3"/>
    <w:rsid w:val="004F49CC"/>
    <w:rsid w:val="004F6C49"/>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00D09"/>
    <w:rsid w:val="0061164F"/>
    <w:rsid w:val="0061192B"/>
    <w:rsid w:val="00630134"/>
    <w:rsid w:val="00632E26"/>
    <w:rsid w:val="006425A2"/>
    <w:rsid w:val="0064450E"/>
    <w:rsid w:val="00646940"/>
    <w:rsid w:val="0065322F"/>
    <w:rsid w:val="00654852"/>
    <w:rsid w:val="0066219B"/>
    <w:rsid w:val="006708D2"/>
    <w:rsid w:val="00671AA3"/>
    <w:rsid w:val="0068106B"/>
    <w:rsid w:val="006A719B"/>
    <w:rsid w:val="006B33D0"/>
    <w:rsid w:val="006B57C1"/>
    <w:rsid w:val="006B6E2A"/>
    <w:rsid w:val="006D3DFA"/>
    <w:rsid w:val="006D537E"/>
    <w:rsid w:val="006F0226"/>
    <w:rsid w:val="006F0EC4"/>
    <w:rsid w:val="007022E6"/>
    <w:rsid w:val="00721ADC"/>
    <w:rsid w:val="007337FF"/>
    <w:rsid w:val="007472E2"/>
    <w:rsid w:val="00757F02"/>
    <w:rsid w:val="007802C5"/>
    <w:rsid w:val="00786CDA"/>
    <w:rsid w:val="007B010D"/>
    <w:rsid w:val="007B5B8A"/>
    <w:rsid w:val="007B77C1"/>
    <w:rsid w:val="007C256B"/>
    <w:rsid w:val="007E1E0A"/>
    <w:rsid w:val="007E355E"/>
    <w:rsid w:val="007F57CE"/>
    <w:rsid w:val="0082020C"/>
    <w:rsid w:val="00832400"/>
    <w:rsid w:val="008351FB"/>
    <w:rsid w:val="00840AD2"/>
    <w:rsid w:val="0086574C"/>
    <w:rsid w:val="00867AE0"/>
    <w:rsid w:val="00877885"/>
    <w:rsid w:val="008A29C7"/>
    <w:rsid w:val="008A2C66"/>
    <w:rsid w:val="008A3665"/>
    <w:rsid w:val="008B7C42"/>
    <w:rsid w:val="008D08D4"/>
    <w:rsid w:val="008E0A30"/>
    <w:rsid w:val="008F1659"/>
    <w:rsid w:val="008F2A5F"/>
    <w:rsid w:val="00902307"/>
    <w:rsid w:val="009218D3"/>
    <w:rsid w:val="00924464"/>
    <w:rsid w:val="009270A8"/>
    <w:rsid w:val="00935148"/>
    <w:rsid w:val="009353BD"/>
    <w:rsid w:val="00964A61"/>
    <w:rsid w:val="009651EF"/>
    <w:rsid w:val="00965D18"/>
    <w:rsid w:val="00983FE7"/>
    <w:rsid w:val="00997F66"/>
    <w:rsid w:val="009C1932"/>
    <w:rsid w:val="009F0DDD"/>
    <w:rsid w:val="00A00B77"/>
    <w:rsid w:val="00A02B21"/>
    <w:rsid w:val="00A13418"/>
    <w:rsid w:val="00A3593C"/>
    <w:rsid w:val="00A37913"/>
    <w:rsid w:val="00A50BDC"/>
    <w:rsid w:val="00A53684"/>
    <w:rsid w:val="00A956E4"/>
    <w:rsid w:val="00AC0B2D"/>
    <w:rsid w:val="00AC56DE"/>
    <w:rsid w:val="00AE6BDB"/>
    <w:rsid w:val="00AF26E4"/>
    <w:rsid w:val="00B10F36"/>
    <w:rsid w:val="00B2065E"/>
    <w:rsid w:val="00B425EA"/>
    <w:rsid w:val="00B52D2D"/>
    <w:rsid w:val="00B754AC"/>
    <w:rsid w:val="00B75594"/>
    <w:rsid w:val="00BD38CE"/>
    <w:rsid w:val="00BF676A"/>
    <w:rsid w:val="00C03F5A"/>
    <w:rsid w:val="00C106FC"/>
    <w:rsid w:val="00C1716A"/>
    <w:rsid w:val="00C21A92"/>
    <w:rsid w:val="00C2472F"/>
    <w:rsid w:val="00C40431"/>
    <w:rsid w:val="00C45CB5"/>
    <w:rsid w:val="00C51697"/>
    <w:rsid w:val="00C542AF"/>
    <w:rsid w:val="00C5574E"/>
    <w:rsid w:val="00C60A20"/>
    <w:rsid w:val="00C63BBD"/>
    <w:rsid w:val="00C84B83"/>
    <w:rsid w:val="00C93524"/>
    <w:rsid w:val="00CD2B51"/>
    <w:rsid w:val="00CD757E"/>
    <w:rsid w:val="00D012B2"/>
    <w:rsid w:val="00D01D93"/>
    <w:rsid w:val="00D129A7"/>
    <w:rsid w:val="00D159B2"/>
    <w:rsid w:val="00D15CBD"/>
    <w:rsid w:val="00D26C70"/>
    <w:rsid w:val="00D32B7B"/>
    <w:rsid w:val="00D3329D"/>
    <w:rsid w:val="00D37022"/>
    <w:rsid w:val="00D563C9"/>
    <w:rsid w:val="00D65A09"/>
    <w:rsid w:val="00D7111C"/>
    <w:rsid w:val="00D73055"/>
    <w:rsid w:val="00D94C4B"/>
    <w:rsid w:val="00DD5096"/>
    <w:rsid w:val="00E04759"/>
    <w:rsid w:val="00E47321"/>
    <w:rsid w:val="00E52100"/>
    <w:rsid w:val="00E52DE3"/>
    <w:rsid w:val="00E57BEB"/>
    <w:rsid w:val="00E9545F"/>
    <w:rsid w:val="00E9599A"/>
    <w:rsid w:val="00E97B28"/>
    <w:rsid w:val="00EA55AB"/>
    <w:rsid w:val="00EB757B"/>
    <w:rsid w:val="00EB791E"/>
    <w:rsid w:val="00EC1754"/>
    <w:rsid w:val="00ED4038"/>
    <w:rsid w:val="00EF140C"/>
    <w:rsid w:val="00F01AE0"/>
    <w:rsid w:val="00F039D0"/>
    <w:rsid w:val="00F174AF"/>
    <w:rsid w:val="00F21548"/>
    <w:rsid w:val="00F22540"/>
    <w:rsid w:val="00F32849"/>
    <w:rsid w:val="00F4532B"/>
    <w:rsid w:val="00F568C7"/>
    <w:rsid w:val="00F64F15"/>
    <w:rsid w:val="00F82225"/>
    <w:rsid w:val="00F91E32"/>
    <w:rsid w:val="00F91F2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FootnoteTextChar">
    <w:name w:val="Footnote Text Char"/>
    <w:aliases w:val="5_G Char"/>
    <w:basedOn w:val="DefaultParagraphFont"/>
    <w:link w:val="FootnoteText"/>
    <w:rsid w:val="00C106FC"/>
    <w:rPr>
      <w:rFonts w:eastAsia="SimSun"/>
      <w:snapToGrid w:val="0"/>
      <w:sz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m.law.uu.nl/SIM/CaseLaw/CCPRcase.nsf/3167fd85523cbf75c12567c8004d4280/E4C36B8A4F0B6E91C125768700453057?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1080</Words>
  <Characters>6160</Characters>
  <Application>Microsoft Office Outlook</Application>
  <DocSecurity>4</DocSecurity>
  <Lines>51</Lines>
  <Paragraphs>14</Paragraphs>
  <ScaleCrop>false</ScaleCrop>
  <Company>CSD</Company>
  <LinksUpToDate>false</LinksUpToDate>
  <CharactersWithSpaces>7226</CharactersWithSpaces>
  <SharedDoc>false</SharedDoc>
  <HLinks>
    <vt:vector size="6" baseType="variant">
      <vt:variant>
        <vt:i4>82</vt:i4>
      </vt:variant>
      <vt:variant>
        <vt:i4>0</vt:i4>
      </vt:variant>
      <vt:variant>
        <vt:i4>0</vt:i4>
      </vt:variant>
      <vt:variant>
        <vt:i4>5</vt:i4>
      </vt:variant>
      <vt:variant>
        <vt:lpwstr>http://sim.law.uu.nl/SIM/CaseLaw/CCPRcase.nsf/3167fd85523cbf75c12567c8004d4280/E4C36B8A4F0B6E91C125768700453057?Opendocument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Lu</cp:lastModifiedBy>
  <cp:revision>3</cp:revision>
  <cp:lastPrinted>2014-01-06T09:04:00Z</cp:lastPrinted>
  <dcterms:created xsi:type="dcterms:W3CDTF">2014-01-06T09:04:00Z</dcterms:created>
  <dcterms:modified xsi:type="dcterms:W3CDTF">2014-01-06T09:05:00Z</dcterms:modified>
</cp:coreProperties>
</file>