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D12CAE" w:rsidRDefault="006B3E27" w:rsidP="00E70E04">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0B3EB3" w:rsidP="00511585">
            <w:pPr>
              <w:bidi w:val="0"/>
              <w:spacing w:after="20"/>
              <w:jc w:val="left"/>
              <w:rPr>
                <w:szCs w:val="20"/>
              </w:rPr>
            </w:pPr>
            <w:r w:rsidRPr="000B3EB3">
              <w:rPr>
                <w:sz w:val="40"/>
                <w:szCs w:val="20"/>
              </w:rPr>
              <w:t>CCPR</w:t>
            </w:r>
            <w:r>
              <w:rPr>
                <w:szCs w:val="20"/>
              </w:rPr>
              <w:t>/C/116/D/2092/2011</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89A8A05" wp14:editId="2BAD94B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511585" w:rsidP="00511585">
            <w:pPr>
              <w:bidi w:val="0"/>
              <w:spacing w:before="240"/>
              <w:jc w:val="left"/>
              <w:rPr>
                <w:szCs w:val="20"/>
              </w:rPr>
            </w:pPr>
            <w:r>
              <w:rPr>
                <w:szCs w:val="20"/>
              </w:rPr>
              <w:t>Distr.: General</w:t>
            </w:r>
          </w:p>
          <w:p w:rsidR="00511585" w:rsidRDefault="00511585" w:rsidP="00511585">
            <w:pPr>
              <w:bidi w:val="0"/>
              <w:jc w:val="left"/>
              <w:rPr>
                <w:szCs w:val="20"/>
              </w:rPr>
            </w:pPr>
            <w:r>
              <w:rPr>
                <w:szCs w:val="20"/>
              </w:rPr>
              <w:t>11 May 2016</w:t>
            </w:r>
          </w:p>
          <w:p w:rsidR="00511585" w:rsidRDefault="00511585" w:rsidP="00511585">
            <w:pPr>
              <w:bidi w:val="0"/>
              <w:jc w:val="left"/>
              <w:rPr>
                <w:szCs w:val="20"/>
              </w:rPr>
            </w:pPr>
            <w:r>
              <w:rPr>
                <w:szCs w:val="20"/>
              </w:rPr>
              <w:t>Arabic</w:t>
            </w:r>
          </w:p>
          <w:p w:rsidR="00511585" w:rsidRPr="00CB6622" w:rsidRDefault="00511585" w:rsidP="00511585">
            <w:pPr>
              <w:bidi w:val="0"/>
              <w:jc w:val="left"/>
              <w:rPr>
                <w:szCs w:val="20"/>
              </w:rPr>
            </w:pPr>
            <w:r>
              <w:rPr>
                <w:szCs w:val="20"/>
              </w:rPr>
              <w:t>Original: English</w:t>
            </w:r>
          </w:p>
        </w:tc>
      </w:tr>
    </w:tbl>
    <w:p w:rsidR="00511585" w:rsidRPr="00A7406C" w:rsidRDefault="00511585" w:rsidP="00511585">
      <w:pPr>
        <w:spacing w:before="120" w:line="380" w:lineRule="exact"/>
        <w:rPr>
          <w:b/>
          <w:bCs/>
          <w:sz w:val="26"/>
          <w:szCs w:val="36"/>
          <w:rtl/>
        </w:rPr>
      </w:pPr>
      <w:r w:rsidRPr="00A7406C">
        <w:rPr>
          <w:rFonts w:hint="cs"/>
          <w:b/>
          <w:bCs/>
          <w:sz w:val="26"/>
          <w:szCs w:val="36"/>
          <w:rtl/>
        </w:rPr>
        <w:t>اللجنة المعنية بحقوق الإنسان</w:t>
      </w:r>
    </w:p>
    <w:p w:rsidR="00511585" w:rsidRPr="00511585" w:rsidRDefault="00511585" w:rsidP="005365E1">
      <w:pPr>
        <w:pStyle w:val="HChGA"/>
        <w:spacing w:before="240"/>
        <w:rPr>
          <w:rStyle w:val="FootnoteReference"/>
          <w:b/>
          <w:sz w:val="28"/>
          <w:vertAlign w:val="baseline"/>
          <w:rtl/>
        </w:rPr>
      </w:pPr>
      <w:r w:rsidRPr="00511585">
        <w:rPr>
          <w:rFonts w:hint="cs"/>
          <w:rtl/>
        </w:rPr>
        <w:tab/>
      </w:r>
      <w:r w:rsidRPr="00511585">
        <w:rPr>
          <w:rFonts w:hint="cs"/>
          <w:rtl/>
        </w:rPr>
        <w:tab/>
        <w:t>آراء اعتمدتها اللجنة بموجب الفقرة 4 من المادة 5 من البروتوكول الاختياري بشأن البلاغ رقم 2092/2011</w:t>
      </w:r>
      <w:r w:rsidRPr="00511585">
        <w:rPr>
          <w:rStyle w:val="FootnoteReference"/>
          <w:b/>
          <w:sz w:val="28"/>
          <w:vertAlign w:val="baseline"/>
          <w:rtl/>
        </w:rPr>
        <w:footnoteReference w:customMarkFollows="1" w:id="1"/>
        <w:t>*</w:t>
      </w:r>
      <w:r w:rsidRPr="00511585">
        <w:rPr>
          <w:rFonts w:hint="cs"/>
          <w:rtl/>
        </w:rPr>
        <w:t xml:space="preserve"> </w:t>
      </w:r>
      <w:r w:rsidRPr="00511585">
        <w:rPr>
          <w:rStyle w:val="FootnoteReference"/>
          <w:b/>
          <w:sz w:val="28"/>
          <w:vertAlign w:val="baseline"/>
          <w:rtl/>
        </w:rPr>
        <w:footnoteReference w:customMarkFollows="1" w:id="2"/>
        <w:t>**</w:t>
      </w:r>
    </w:p>
    <w:p w:rsidR="00511585" w:rsidRPr="00327DBE" w:rsidRDefault="00511585" w:rsidP="00511585">
      <w:pPr>
        <w:pStyle w:val="SingleTxtGA"/>
        <w:spacing w:after="100" w:line="360" w:lineRule="exact"/>
        <w:ind w:left="4649" w:hanging="2682"/>
        <w:rPr>
          <w:sz w:val="28"/>
          <w:rtl/>
        </w:rPr>
      </w:pPr>
      <w:r w:rsidRPr="003D6A25">
        <w:rPr>
          <w:rFonts w:hint="cs"/>
          <w:i/>
          <w:iCs/>
          <w:sz w:val="28"/>
          <w:rtl/>
        </w:rPr>
        <w:t>ال</w:t>
      </w:r>
      <w:r>
        <w:rPr>
          <w:rFonts w:hint="cs"/>
          <w:i/>
          <w:iCs/>
          <w:sz w:val="28"/>
          <w:rtl/>
        </w:rPr>
        <w:t>مقدَّم</w:t>
      </w:r>
      <w:r w:rsidRPr="003D6A25">
        <w:rPr>
          <w:rFonts w:hint="cs"/>
          <w:i/>
          <w:iCs/>
          <w:sz w:val="28"/>
          <w:rtl/>
        </w:rPr>
        <w:t xml:space="preserve"> من:</w:t>
      </w:r>
      <w:r w:rsidRPr="00327DBE">
        <w:rPr>
          <w:rFonts w:hint="cs"/>
          <w:sz w:val="28"/>
          <w:rtl/>
        </w:rPr>
        <w:tab/>
      </w:r>
      <w:r w:rsidRPr="00327DBE">
        <w:rPr>
          <w:rFonts w:hint="cs"/>
          <w:sz w:val="28"/>
          <w:rtl/>
        </w:rPr>
        <w:tab/>
      </w:r>
      <w:r w:rsidRPr="00327DBE">
        <w:rPr>
          <w:rFonts w:hint="cs"/>
          <w:sz w:val="28"/>
          <w:rtl/>
        </w:rPr>
        <w:tab/>
        <w:t xml:space="preserve">سيرجي </w:t>
      </w:r>
      <w:proofErr w:type="spellStart"/>
      <w:r>
        <w:rPr>
          <w:rFonts w:hint="cs"/>
          <w:sz w:val="28"/>
          <w:rtl/>
        </w:rPr>
        <w:t>أندروسينكو</w:t>
      </w:r>
      <w:proofErr w:type="spellEnd"/>
      <w:r w:rsidRPr="00327DBE">
        <w:rPr>
          <w:rFonts w:hint="cs"/>
          <w:sz w:val="28"/>
          <w:rtl/>
        </w:rPr>
        <w:t xml:space="preserve"> (لا يمثله محامٍ)</w:t>
      </w:r>
    </w:p>
    <w:p w:rsidR="00511585" w:rsidRPr="00327DBE" w:rsidRDefault="00511585" w:rsidP="00511585">
      <w:pPr>
        <w:pStyle w:val="SingleTxtGA"/>
        <w:spacing w:after="100" w:line="360" w:lineRule="exact"/>
        <w:ind w:left="4649" w:hanging="2682"/>
        <w:rPr>
          <w:sz w:val="28"/>
          <w:rtl/>
        </w:rPr>
      </w:pPr>
      <w:r w:rsidRPr="003D6A25">
        <w:rPr>
          <w:rFonts w:hint="cs"/>
          <w:i/>
          <w:iCs/>
          <w:sz w:val="28"/>
          <w:rtl/>
        </w:rPr>
        <w:t>الشخص المدعى أنه ضحية:</w:t>
      </w:r>
      <w:r w:rsidRPr="00327DBE">
        <w:rPr>
          <w:rFonts w:hint="cs"/>
          <w:sz w:val="28"/>
          <w:rtl/>
        </w:rPr>
        <w:tab/>
        <w:t>صاحب البلاغ</w:t>
      </w:r>
    </w:p>
    <w:p w:rsidR="00511585" w:rsidRPr="00327DBE" w:rsidRDefault="00511585" w:rsidP="00511585">
      <w:pPr>
        <w:pStyle w:val="SingleTxtGA"/>
        <w:spacing w:after="100" w:line="360" w:lineRule="exact"/>
        <w:ind w:left="4649" w:hanging="2682"/>
        <w:rPr>
          <w:sz w:val="28"/>
          <w:rtl/>
        </w:rPr>
      </w:pPr>
      <w:r w:rsidRPr="003D6A25">
        <w:rPr>
          <w:rFonts w:hint="cs"/>
          <w:i/>
          <w:iCs/>
          <w:sz w:val="28"/>
          <w:rtl/>
        </w:rPr>
        <w:t>الدولة الطرف:</w:t>
      </w:r>
      <w:r w:rsidRPr="00327DBE">
        <w:rPr>
          <w:rFonts w:hint="cs"/>
          <w:sz w:val="28"/>
          <w:rtl/>
        </w:rPr>
        <w:tab/>
      </w:r>
      <w:r w:rsidRPr="00327DBE">
        <w:rPr>
          <w:rFonts w:hint="cs"/>
          <w:sz w:val="28"/>
          <w:rtl/>
        </w:rPr>
        <w:tab/>
      </w:r>
      <w:r w:rsidRPr="00327DBE">
        <w:rPr>
          <w:rFonts w:hint="cs"/>
          <w:sz w:val="28"/>
          <w:rtl/>
        </w:rPr>
        <w:tab/>
        <w:t>بيلاروس</w:t>
      </w:r>
    </w:p>
    <w:p w:rsidR="00511585" w:rsidRDefault="00511585" w:rsidP="00511585">
      <w:pPr>
        <w:pStyle w:val="SingleTxtGA"/>
        <w:spacing w:after="100" w:line="360" w:lineRule="exact"/>
        <w:ind w:left="4649" w:hanging="2682"/>
        <w:rPr>
          <w:spacing w:val="-6"/>
          <w:sz w:val="28"/>
          <w:rtl/>
        </w:rPr>
      </w:pPr>
      <w:r w:rsidRPr="003D6A25">
        <w:rPr>
          <w:rFonts w:hint="cs"/>
          <w:i/>
          <w:iCs/>
          <w:sz w:val="28"/>
          <w:rtl/>
        </w:rPr>
        <w:t>تاريخ تقديم البلاغ:</w:t>
      </w:r>
      <w:r w:rsidRPr="00327DBE">
        <w:rPr>
          <w:rFonts w:hint="cs"/>
          <w:sz w:val="28"/>
          <w:rtl/>
        </w:rPr>
        <w:tab/>
      </w:r>
      <w:r w:rsidRPr="00327DBE">
        <w:rPr>
          <w:rFonts w:hint="cs"/>
          <w:sz w:val="28"/>
          <w:rtl/>
        </w:rPr>
        <w:tab/>
      </w:r>
      <w:r w:rsidRPr="002B36DB">
        <w:rPr>
          <w:rFonts w:hint="cs"/>
          <w:spacing w:val="-6"/>
          <w:sz w:val="28"/>
          <w:rtl/>
        </w:rPr>
        <w:t>20 حزيران/يونيه 2010 (تاريخ الرسالة الأولى)</w:t>
      </w:r>
    </w:p>
    <w:p w:rsidR="00511585" w:rsidRDefault="00511585" w:rsidP="00511585">
      <w:pPr>
        <w:pStyle w:val="SingleTxtGA"/>
        <w:spacing w:after="100" w:line="360" w:lineRule="exact"/>
        <w:ind w:left="4649" w:hanging="2682"/>
        <w:rPr>
          <w:rtl/>
        </w:rPr>
      </w:pPr>
      <w:r>
        <w:rPr>
          <w:rFonts w:hint="cs"/>
          <w:i/>
          <w:iCs/>
          <w:sz w:val="28"/>
          <w:rtl/>
        </w:rPr>
        <w:t>الوثائق المرجعية:</w:t>
      </w:r>
      <w:r>
        <w:rPr>
          <w:rFonts w:hint="cs"/>
          <w:spacing w:val="-6"/>
          <w:sz w:val="28"/>
          <w:rtl/>
        </w:rPr>
        <w:t xml:space="preserve"> </w:t>
      </w:r>
      <w:r>
        <w:rPr>
          <w:rFonts w:hint="cs"/>
          <w:spacing w:val="-6"/>
          <w:sz w:val="28"/>
          <w:rtl/>
        </w:rPr>
        <w:tab/>
      </w:r>
      <w:r>
        <w:rPr>
          <w:rFonts w:hint="cs"/>
          <w:spacing w:val="-6"/>
          <w:sz w:val="28"/>
          <w:rtl/>
        </w:rPr>
        <w:tab/>
      </w:r>
      <w:r>
        <w:rPr>
          <w:rFonts w:hint="cs"/>
          <w:spacing w:val="-6"/>
          <w:sz w:val="28"/>
          <w:rtl/>
        </w:rPr>
        <w:tab/>
      </w:r>
      <w:r>
        <w:rPr>
          <w:rFonts w:hint="cs"/>
          <w:rtl/>
        </w:rPr>
        <w:t>القرار المتخذ</w:t>
      </w:r>
      <w:r>
        <w:rPr>
          <w:rtl/>
        </w:rPr>
        <w:t xml:space="preserve"> بموجب المادة 97 </w:t>
      </w:r>
      <w:r>
        <w:rPr>
          <w:rFonts w:hint="cs"/>
          <w:rtl/>
        </w:rPr>
        <w:t xml:space="preserve">من النظام الداخلي للجنة، </w:t>
      </w:r>
      <w:r>
        <w:rPr>
          <w:rtl/>
        </w:rPr>
        <w:t>المحال إلى الدولة الطرف في 30 آذار/مارس 2010 (لم يصدر في شكل وثيقة)</w:t>
      </w:r>
    </w:p>
    <w:p w:rsidR="00511585" w:rsidRDefault="00511585" w:rsidP="00511585">
      <w:pPr>
        <w:pStyle w:val="SingleTxtGA"/>
        <w:spacing w:after="100" w:line="360" w:lineRule="exact"/>
        <w:ind w:left="4649" w:hanging="2682"/>
        <w:rPr>
          <w:spacing w:val="-6"/>
          <w:sz w:val="28"/>
          <w:rtl/>
        </w:rPr>
      </w:pPr>
      <w:r>
        <w:rPr>
          <w:rFonts w:hint="cs"/>
          <w:i/>
          <w:iCs/>
          <w:sz w:val="28"/>
          <w:rtl/>
        </w:rPr>
        <w:t>تاريخ اعتماد الآراء</w:t>
      </w:r>
      <w:r w:rsidR="004F351D">
        <w:rPr>
          <w:rFonts w:hint="cs"/>
          <w:i/>
          <w:iCs/>
          <w:sz w:val="28"/>
          <w:rtl/>
        </w:rPr>
        <w:t>:</w:t>
      </w:r>
      <w:r>
        <w:rPr>
          <w:rFonts w:hint="cs"/>
          <w:i/>
          <w:iCs/>
          <w:sz w:val="28"/>
          <w:rtl/>
        </w:rPr>
        <w:tab/>
      </w:r>
      <w:r>
        <w:rPr>
          <w:rFonts w:hint="cs"/>
          <w:i/>
          <w:iCs/>
          <w:sz w:val="28"/>
          <w:rtl/>
        </w:rPr>
        <w:tab/>
      </w:r>
      <w:r w:rsidRPr="00D7351D">
        <w:rPr>
          <w:rFonts w:hint="cs"/>
          <w:sz w:val="28"/>
          <w:rtl/>
        </w:rPr>
        <w:t>30 آذار/مارس 2016</w:t>
      </w:r>
    </w:p>
    <w:p w:rsidR="00511585" w:rsidRPr="00292588" w:rsidRDefault="00511585" w:rsidP="00511585">
      <w:pPr>
        <w:pStyle w:val="SingleTxtGA"/>
        <w:spacing w:after="100" w:line="360" w:lineRule="exact"/>
        <w:ind w:left="4649" w:hanging="2721"/>
        <w:rPr>
          <w:lang w:val="en-GB"/>
        </w:rPr>
      </w:pPr>
      <w:r w:rsidRPr="00292588">
        <w:rPr>
          <w:i/>
          <w:iCs/>
          <w:rtl/>
          <w:lang w:val="en-GB"/>
        </w:rPr>
        <w:t>الموضوع:</w:t>
      </w:r>
      <w:r w:rsidRPr="00292588">
        <w:rPr>
          <w:rFonts w:hint="cs"/>
          <w:i/>
          <w:iCs/>
          <w:rtl/>
          <w:lang w:val="en-GB"/>
        </w:rPr>
        <w:tab/>
      </w:r>
      <w:r>
        <w:rPr>
          <w:rFonts w:hint="cs"/>
          <w:rtl/>
          <w:lang w:val="en-GB"/>
        </w:rPr>
        <w:tab/>
      </w:r>
      <w:r>
        <w:rPr>
          <w:rFonts w:hint="cs"/>
          <w:rtl/>
          <w:lang w:val="en-GB"/>
        </w:rPr>
        <w:tab/>
      </w:r>
      <w:r>
        <w:rPr>
          <w:rFonts w:hint="cs"/>
          <w:rtl/>
          <w:lang w:val="en-GB"/>
        </w:rPr>
        <w:tab/>
      </w:r>
      <w:r w:rsidRPr="00292588">
        <w:rPr>
          <w:rtl/>
          <w:lang w:val="en-GB"/>
        </w:rPr>
        <w:t xml:space="preserve">فرض غرامة بسبب تنظيم تجمع سلمي دون إذن مسبق </w:t>
      </w:r>
    </w:p>
    <w:p w:rsidR="00511585" w:rsidRDefault="00511585" w:rsidP="00511585">
      <w:pPr>
        <w:pStyle w:val="SingleTxtGA"/>
        <w:spacing w:after="100" w:line="360" w:lineRule="exact"/>
        <w:ind w:left="1928"/>
        <w:rPr>
          <w:rtl/>
          <w:lang w:val="en-GB"/>
        </w:rPr>
      </w:pPr>
      <w:r w:rsidRPr="00292588">
        <w:rPr>
          <w:i/>
          <w:iCs/>
          <w:rtl/>
          <w:lang w:val="en-GB"/>
        </w:rPr>
        <w:t>المسائل الإجرائية:</w:t>
      </w:r>
      <w:r w:rsidRPr="00292588">
        <w:rPr>
          <w:rFonts w:hint="cs"/>
          <w:i/>
          <w:iCs/>
          <w:rtl/>
          <w:lang w:val="en-GB"/>
        </w:rPr>
        <w:tab/>
      </w:r>
      <w:r w:rsidRPr="00292588">
        <w:rPr>
          <w:rFonts w:hint="cs"/>
          <w:i/>
          <w:iCs/>
          <w:rtl/>
          <w:lang w:val="en-GB"/>
        </w:rPr>
        <w:tab/>
      </w:r>
      <w:r>
        <w:rPr>
          <w:rFonts w:hint="cs"/>
          <w:rtl/>
          <w:lang w:val="en-GB"/>
        </w:rPr>
        <w:tab/>
      </w:r>
      <w:r w:rsidRPr="00292588">
        <w:rPr>
          <w:rtl/>
          <w:lang w:val="en-GB"/>
        </w:rPr>
        <w:t xml:space="preserve">استنفاد سبل الانتصاف المحلية </w:t>
      </w:r>
    </w:p>
    <w:p w:rsidR="00511585" w:rsidRPr="00292588" w:rsidRDefault="00511585" w:rsidP="00511585">
      <w:pPr>
        <w:pStyle w:val="SingleTxtGA"/>
        <w:spacing w:after="100" w:line="360" w:lineRule="exact"/>
        <w:ind w:left="1928"/>
        <w:rPr>
          <w:lang w:val="en-GB"/>
        </w:rPr>
      </w:pPr>
      <w:r w:rsidRPr="00292588">
        <w:rPr>
          <w:i/>
          <w:iCs/>
          <w:rtl/>
          <w:lang w:val="en-GB"/>
        </w:rPr>
        <w:t>المسائل الموضوعية:</w:t>
      </w:r>
      <w:r>
        <w:rPr>
          <w:rFonts w:hint="cs"/>
          <w:rtl/>
          <w:lang w:val="en-GB"/>
        </w:rPr>
        <w:tab/>
      </w:r>
      <w:r>
        <w:rPr>
          <w:rFonts w:hint="cs"/>
          <w:rtl/>
          <w:lang w:val="en-GB"/>
        </w:rPr>
        <w:tab/>
      </w:r>
      <w:r w:rsidRPr="00292588">
        <w:rPr>
          <w:rtl/>
          <w:lang w:val="en-GB"/>
        </w:rPr>
        <w:t xml:space="preserve">الحق في حرية التعبير؛ والحق في التجمع السلمي </w:t>
      </w:r>
    </w:p>
    <w:p w:rsidR="00511585" w:rsidRPr="00292588" w:rsidRDefault="00511585" w:rsidP="00511585">
      <w:pPr>
        <w:pStyle w:val="SingleTxtGA"/>
        <w:spacing w:after="100" w:line="360" w:lineRule="exact"/>
        <w:ind w:left="1928"/>
        <w:rPr>
          <w:lang w:val="en-GB"/>
        </w:rPr>
      </w:pPr>
      <w:r w:rsidRPr="00292588">
        <w:rPr>
          <w:i/>
          <w:iCs/>
          <w:rtl/>
          <w:lang w:val="en-GB"/>
        </w:rPr>
        <w:t>مواد العهد:</w:t>
      </w:r>
      <w:r w:rsidRPr="00292588">
        <w:rPr>
          <w:rFonts w:hint="cs"/>
          <w:i/>
          <w:iCs/>
          <w:rtl/>
          <w:lang w:val="en-GB"/>
        </w:rPr>
        <w:tab/>
      </w:r>
      <w:r>
        <w:rPr>
          <w:rFonts w:hint="cs"/>
          <w:rtl/>
          <w:lang w:val="en-GB"/>
        </w:rPr>
        <w:tab/>
      </w:r>
      <w:r>
        <w:rPr>
          <w:rFonts w:hint="cs"/>
          <w:rtl/>
          <w:lang w:val="en-GB"/>
        </w:rPr>
        <w:tab/>
      </w:r>
      <w:r>
        <w:rPr>
          <w:rtl/>
          <w:lang w:val="en-GB"/>
        </w:rPr>
        <w:t>19 و21</w:t>
      </w:r>
    </w:p>
    <w:p w:rsidR="00511585" w:rsidRDefault="00511585" w:rsidP="00511585">
      <w:pPr>
        <w:pStyle w:val="SingleTxtGA"/>
        <w:spacing w:after="100" w:line="360" w:lineRule="exact"/>
        <w:ind w:left="1928"/>
        <w:rPr>
          <w:rtl/>
          <w:lang w:val="en-GB"/>
        </w:rPr>
      </w:pPr>
      <w:r w:rsidRPr="00292588">
        <w:rPr>
          <w:i/>
          <w:iCs/>
          <w:rtl/>
          <w:lang w:val="en-GB"/>
        </w:rPr>
        <w:t>مواد البروتوكول الاختياري:</w:t>
      </w:r>
      <w:r>
        <w:rPr>
          <w:rFonts w:hint="cs"/>
          <w:rtl/>
          <w:lang w:val="en-GB"/>
        </w:rPr>
        <w:tab/>
      </w:r>
      <w:r>
        <w:rPr>
          <w:rFonts w:hint="cs"/>
          <w:rtl/>
          <w:lang w:val="en-GB"/>
        </w:rPr>
        <w:tab/>
      </w:r>
      <w:r w:rsidRPr="00292588">
        <w:rPr>
          <w:rtl/>
          <w:lang w:val="en-GB"/>
        </w:rPr>
        <w:t xml:space="preserve">الفقرة 2(ب) من المادة </w:t>
      </w:r>
      <w:r>
        <w:rPr>
          <w:rFonts w:hint="cs"/>
          <w:rtl/>
          <w:lang w:val="en-GB"/>
        </w:rPr>
        <w:t>5</w:t>
      </w:r>
    </w:p>
    <w:p w:rsidR="00511585" w:rsidRPr="00327DBE" w:rsidRDefault="00511585" w:rsidP="005365E1">
      <w:pPr>
        <w:pStyle w:val="SingleTxtGA"/>
        <w:keepNext/>
        <w:spacing w:before="120"/>
        <w:rPr>
          <w:rtl/>
        </w:rPr>
      </w:pPr>
      <w:r w:rsidRPr="00327DBE">
        <w:rPr>
          <w:rFonts w:hint="cs"/>
          <w:rtl/>
        </w:rPr>
        <w:lastRenderedPageBreak/>
        <w:t>1-</w:t>
      </w:r>
      <w:r w:rsidRPr="00327DBE">
        <w:rPr>
          <w:rFonts w:hint="cs"/>
          <w:rtl/>
        </w:rPr>
        <w:tab/>
        <w:t xml:space="preserve">صاحب البلاغ هو سيرجي </w:t>
      </w:r>
      <w:proofErr w:type="spellStart"/>
      <w:r>
        <w:rPr>
          <w:rFonts w:hint="cs"/>
          <w:rtl/>
        </w:rPr>
        <w:t>أندروسينكو</w:t>
      </w:r>
      <w:proofErr w:type="spellEnd"/>
      <w:r w:rsidRPr="00327DBE">
        <w:rPr>
          <w:rFonts w:hint="cs"/>
          <w:rtl/>
        </w:rPr>
        <w:t>، وهو مواطني بيلاروسي من مواليد عام</w:t>
      </w:r>
      <w:r w:rsidR="005365E1">
        <w:rPr>
          <w:rFonts w:hint="eastAsia"/>
          <w:rtl/>
        </w:rPr>
        <w:t> </w:t>
      </w:r>
      <w:r w:rsidRPr="00327DBE">
        <w:rPr>
          <w:rFonts w:hint="cs"/>
          <w:rtl/>
        </w:rPr>
        <w:t>198</w:t>
      </w:r>
      <w:r>
        <w:rPr>
          <w:rFonts w:hint="cs"/>
          <w:rtl/>
        </w:rPr>
        <w:t>8</w:t>
      </w:r>
      <w:r w:rsidRPr="00327DBE">
        <w:rPr>
          <w:rFonts w:hint="cs"/>
          <w:rtl/>
        </w:rPr>
        <w:t>. و</w:t>
      </w:r>
      <w:r>
        <w:rPr>
          <w:rFonts w:hint="cs"/>
          <w:rtl/>
        </w:rPr>
        <w:t>هو يدَّعي</w:t>
      </w:r>
      <w:r w:rsidRPr="00327DBE">
        <w:rPr>
          <w:rFonts w:hint="cs"/>
          <w:rtl/>
        </w:rPr>
        <w:t xml:space="preserve"> أنه ضحية </w:t>
      </w:r>
      <w:r>
        <w:rPr>
          <w:rFonts w:hint="cs"/>
          <w:rtl/>
        </w:rPr>
        <w:t xml:space="preserve">انتهاك </w:t>
      </w:r>
      <w:r w:rsidRPr="00327DBE">
        <w:rPr>
          <w:rFonts w:hint="cs"/>
          <w:rtl/>
        </w:rPr>
        <w:t>بيلاروس لحقوقه بموجب المادة 19</w:t>
      </w:r>
      <w:r>
        <w:rPr>
          <w:rFonts w:hint="cs"/>
          <w:rtl/>
        </w:rPr>
        <w:t xml:space="preserve">(2) </w:t>
      </w:r>
      <w:r w:rsidRPr="00327DBE">
        <w:rPr>
          <w:rFonts w:hint="cs"/>
          <w:rtl/>
        </w:rPr>
        <w:t>والمادة 21 من العهد الدولي الخاص بالحقوق المدنية والسياسية. وقد دخل البروتوكول الاختياري حيز النفاذ بالنسبة إلى الدولة الطرف في 30 كانون الأول/ديسمبر 1992. ولا يمثل صاحب البلاغ محامٍ.</w:t>
      </w:r>
    </w:p>
    <w:p w:rsidR="00511585" w:rsidRPr="005365E1" w:rsidRDefault="00511585" w:rsidP="005365E1">
      <w:pPr>
        <w:pStyle w:val="H23GA"/>
        <w:rPr>
          <w:rtl/>
        </w:rPr>
      </w:pPr>
      <w:r w:rsidRPr="005365E1">
        <w:rPr>
          <w:rFonts w:hint="cs"/>
          <w:rtl/>
        </w:rPr>
        <w:tab/>
      </w:r>
      <w:r w:rsidRPr="005365E1">
        <w:rPr>
          <w:rFonts w:hint="cs"/>
          <w:rtl/>
        </w:rPr>
        <w:tab/>
        <w:t>الوقائع كما عرضها صاحب البلاغ</w:t>
      </w:r>
    </w:p>
    <w:p w:rsidR="00511585" w:rsidRPr="00327DBE" w:rsidRDefault="00511585" w:rsidP="00511585">
      <w:pPr>
        <w:pStyle w:val="SingleTxtGA"/>
        <w:rPr>
          <w:rtl/>
        </w:rPr>
      </w:pPr>
      <w:r w:rsidRPr="00327DBE">
        <w:rPr>
          <w:rFonts w:hint="cs"/>
          <w:rtl/>
        </w:rPr>
        <w:t>2-1</w:t>
      </w:r>
      <w:r w:rsidRPr="00327DBE">
        <w:rPr>
          <w:rFonts w:hint="cs"/>
          <w:rtl/>
        </w:rPr>
        <w:tab/>
        <w:t xml:space="preserve">في 16 كانون الأول/ديسمبر 2009، </w:t>
      </w:r>
      <w:r>
        <w:rPr>
          <w:rFonts w:hint="cs"/>
          <w:rtl/>
        </w:rPr>
        <w:t>سلّم</w:t>
      </w:r>
      <w:r w:rsidRPr="00327DBE">
        <w:rPr>
          <w:rFonts w:hint="cs"/>
          <w:rtl/>
        </w:rPr>
        <w:t xml:space="preserve"> صاحب البلاغ </w:t>
      </w:r>
      <w:r>
        <w:rPr>
          <w:rFonts w:hint="cs"/>
          <w:rtl/>
        </w:rPr>
        <w:t xml:space="preserve">وناشطون آخرون عريضة إلى ممثلي </w:t>
      </w:r>
      <w:r w:rsidRPr="00327DBE">
        <w:rPr>
          <w:rFonts w:hint="cs"/>
          <w:rtl/>
        </w:rPr>
        <w:t>سفارة جمهورية إيران الإسلامية في مينسك</w:t>
      </w:r>
      <w:r>
        <w:rPr>
          <w:rFonts w:hint="cs"/>
          <w:rtl/>
        </w:rPr>
        <w:t xml:space="preserve"> يطالبون فيها بوقف معاقبة المثليين في إيران</w:t>
      </w:r>
      <w:r>
        <w:rPr>
          <w:rStyle w:val="FootnoteReference"/>
          <w:rtl/>
        </w:rPr>
        <w:footnoteReference w:customMarkFollows="1" w:id="3"/>
        <w:t>(1)</w:t>
      </w:r>
      <w:r>
        <w:rPr>
          <w:rFonts w:hint="cs"/>
          <w:rtl/>
        </w:rPr>
        <w:t xml:space="preserve">. وبعد تسليم العريضة، أقام صاحب البلاغ وآخرون معه تجمعاً سلمياً (مظاهرة) حملوا </w:t>
      </w:r>
      <w:proofErr w:type="spellStart"/>
      <w:r>
        <w:rPr>
          <w:rFonts w:hint="cs"/>
          <w:rtl/>
        </w:rPr>
        <w:t>أثناءه</w:t>
      </w:r>
      <w:proofErr w:type="spellEnd"/>
      <w:r>
        <w:rPr>
          <w:rFonts w:hint="cs"/>
          <w:rtl/>
        </w:rPr>
        <w:t xml:space="preserve"> لافتة كُتب عليها (أوقفوا قتل المثليين في إيران)</w:t>
      </w:r>
      <w:r w:rsidRPr="00327DBE">
        <w:rPr>
          <w:rFonts w:hint="cs"/>
          <w:rtl/>
        </w:rPr>
        <w:t>.</w:t>
      </w:r>
      <w:r>
        <w:rPr>
          <w:rFonts w:hint="cs"/>
          <w:rtl/>
        </w:rPr>
        <w:t xml:space="preserve"> ولم تمض 15 دقيقة حتى اقترب عناصر الشرطة من صاحب البلاغ واقتادوه إلى مديرية الشؤون الداخلية في المنطقة القضائية السوفييتية، حيث وُجهت إليه تهمة ارتكاب مخالفة إدارية</w:t>
      </w:r>
      <w:r w:rsidRPr="00327DBE">
        <w:rPr>
          <w:rFonts w:hint="cs"/>
          <w:rtl/>
        </w:rPr>
        <w:t xml:space="preserve"> بموجب الفقرة </w:t>
      </w:r>
      <w:r>
        <w:rPr>
          <w:rFonts w:hint="cs"/>
          <w:rtl/>
        </w:rPr>
        <w:t>2</w:t>
      </w:r>
      <w:r w:rsidRPr="00327DBE">
        <w:rPr>
          <w:rFonts w:hint="cs"/>
          <w:rtl/>
        </w:rPr>
        <w:t xml:space="preserve"> من المادة 23-34 من قان</w:t>
      </w:r>
      <w:r>
        <w:rPr>
          <w:rFonts w:hint="cs"/>
          <w:rtl/>
        </w:rPr>
        <w:t xml:space="preserve">ون المخالفات الإدارية البيلاروسي (إقامة تجمهر عام)، واتُهم بخرق الإجراء الساري لتنظيم التجمعات بموجب قانون التجمعات الجماهيرية في جمهورية بيلاروس لعام 1997. ويقتضي هذا القانون من منظمي التجمعات العامة الحصول على ترخيص مسبق من السلطات التنفيذية المحلية قبل 15 يوماً من تنظيم الحدث المنشود. ولم يسع صاحب البلاغ للحصول على هذا الترخيص. </w:t>
      </w:r>
    </w:p>
    <w:p w:rsidR="00511585" w:rsidRPr="00327DBE" w:rsidRDefault="00511585" w:rsidP="00511585">
      <w:pPr>
        <w:pStyle w:val="SingleTxtGA"/>
        <w:rPr>
          <w:rtl/>
        </w:rPr>
      </w:pPr>
      <w:r w:rsidRPr="00327DBE">
        <w:rPr>
          <w:rFonts w:hint="cs"/>
          <w:rtl/>
        </w:rPr>
        <w:t>2-2</w:t>
      </w:r>
      <w:r w:rsidRPr="00327DBE">
        <w:rPr>
          <w:rFonts w:hint="cs"/>
          <w:rtl/>
        </w:rPr>
        <w:tab/>
        <w:t xml:space="preserve">وفي 23 كانون الأول/ديسمبر 2009، أصدرت محكمة </w:t>
      </w:r>
      <w:r>
        <w:rPr>
          <w:rFonts w:hint="cs"/>
          <w:rtl/>
        </w:rPr>
        <w:t>المنطقة القضائية</w:t>
      </w:r>
      <w:r w:rsidRPr="00327DBE">
        <w:rPr>
          <w:rFonts w:hint="cs"/>
          <w:rtl/>
        </w:rPr>
        <w:t xml:space="preserve"> السوفي</w:t>
      </w:r>
      <w:r>
        <w:rPr>
          <w:rFonts w:hint="cs"/>
          <w:rtl/>
        </w:rPr>
        <w:t>ي</w:t>
      </w:r>
      <w:r w:rsidRPr="00327DBE">
        <w:rPr>
          <w:rFonts w:hint="cs"/>
          <w:rtl/>
        </w:rPr>
        <w:t xml:space="preserve">تية في مينسك حكماً بإدانة صاحب البلاغ بموجب المادة 23-34 من قانون المخالفات الإدارية، </w:t>
      </w:r>
      <w:r>
        <w:rPr>
          <w:rFonts w:hint="cs"/>
          <w:rtl/>
        </w:rPr>
        <w:t>وفرضت عليه</w:t>
      </w:r>
      <w:r w:rsidRPr="00327DBE">
        <w:rPr>
          <w:rFonts w:hint="cs"/>
          <w:rtl/>
        </w:rPr>
        <w:t xml:space="preserve"> غرامة بمبلغ 000 </w:t>
      </w:r>
      <w:r>
        <w:rPr>
          <w:rFonts w:hint="cs"/>
          <w:rtl/>
        </w:rPr>
        <w:t>875</w:t>
      </w:r>
      <w:r w:rsidRPr="00327DBE">
        <w:rPr>
          <w:rFonts w:hint="cs"/>
          <w:rtl/>
        </w:rPr>
        <w:t xml:space="preserve"> روبل بيلاروسي</w:t>
      </w:r>
      <w:r>
        <w:rPr>
          <w:rStyle w:val="FootnoteReference"/>
          <w:rtl/>
        </w:rPr>
        <w:footnoteReference w:customMarkFollows="1" w:id="4"/>
        <w:t>(2)</w:t>
      </w:r>
      <w:r w:rsidRPr="00327DBE">
        <w:rPr>
          <w:rFonts w:hint="cs"/>
          <w:rtl/>
        </w:rPr>
        <w:t xml:space="preserve">. </w:t>
      </w:r>
      <w:r>
        <w:rPr>
          <w:rFonts w:hint="cs"/>
          <w:rtl/>
        </w:rPr>
        <w:t>وخلصت</w:t>
      </w:r>
      <w:r w:rsidRPr="00327DBE">
        <w:rPr>
          <w:rFonts w:hint="cs"/>
          <w:rtl/>
        </w:rPr>
        <w:t xml:space="preserve"> المحكمة</w:t>
      </w:r>
      <w:r>
        <w:rPr>
          <w:rFonts w:hint="cs"/>
          <w:rtl/>
        </w:rPr>
        <w:t xml:space="preserve"> إلى</w:t>
      </w:r>
      <w:r w:rsidRPr="00327DBE">
        <w:rPr>
          <w:rFonts w:hint="cs"/>
          <w:rtl/>
        </w:rPr>
        <w:t xml:space="preserve"> أن صاحب البلاغ </w:t>
      </w:r>
      <w:r>
        <w:rPr>
          <w:rFonts w:hint="cs"/>
          <w:rtl/>
        </w:rPr>
        <w:t>و</w:t>
      </w:r>
      <w:r w:rsidRPr="00327DBE">
        <w:rPr>
          <w:rFonts w:hint="cs"/>
          <w:rtl/>
        </w:rPr>
        <w:t>المشاركين</w:t>
      </w:r>
      <w:r>
        <w:rPr>
          <w:rFonts w:hint="cs"/>
          <w:rtl/>
        </w:rPr>
        <w:t xml:space="preserve"> الآخرين</w:t>
      </w:r>
      <w:r w:rsidRPr="00327DBE">
        <w:rPr>
          <w:rFonts w:hint="cs"/>
          <w:rtl/>
        </w:rPr>
        <w:t xml:space="preserve"> </w:t>
      </w:r>
      <w:r>
        <w:rPr>
          <w:rFonts w:hint="cs"/>
          <w:rtl/>
        </w:rPr>
        <w:t xml:space="preserve">قد </w:t>
      </w:r>
      <w:r w:rsidRPr="00327DBE">
        <w:rPr>
          <w:rFonts w:hint="cs"/>
          <w:rtl/>
        </w:rPr>
        <w:t>شار</w:t>
      </w:r>
      <w:r>
        <w:rPr>
          <w:rFonts w:hint="cs"/>
          <w:rtl/>
        </w:rPr>
        <w:t>كوا في تجمع جماهيري غير مرخص دون تقديم طلب مسبق لترخيصه مثلما تقتضي</w:t>
      </w:r>
      <w:r w:rsidRPr="00327DBE">
        <w:rPr>
          <w:rFonts w:hint="cs"/>
          <w:rtl/>
        </w:rPr>
        <w:t xml:space="preserve"> المادة 5 من قانون التجمعات الجماهيرية.</w:t>
      </w:r>
    </w:p>
    <w:p w:rsidR="00511585" w:rsidRPr="00327DBE" w:rsidRDefault="00511585" w:rsidP="004F351D">
      <w:pPr>
        <w:pStyle w:val="SingleTxtGA"/>
        <w:rPr>
          <w:rtl/>
        </w:rPr>
      </w:pPr>
      <w:r w:rsidRPr="00327DBE">
        <w:rPr>
          <w:rFonts w:hint="cs"/>
          <w:rtl/>
        </w:rPr>
        <w:t>2-3</w:t>
      </w:r>
      <w:r w:rsidRPr="00327DBE">
        <w:rPr>
          <w:rFonts w:hint="cs"/>
          <w:rtl/>
        </w:rPr>
        <w:tab/>
        <w:t xml:space="preserve">وفي </w:t>
      </w:r>
      <w:r>
        <w:rPr>
          <w:rFonts w:hint="cs"/>
          <w:rtl/>
        </w:rPr>
        <w:t>30</w:t>
      </w:r>
      <w:r w:rsidRPr="00327DBE">
        <w:rPr>
          <w:rFonts w:hint="cs"/>
          <w:rtl/>
        </w:rPr>
        <w:t xml:space="preserve"> كانون</w:t>
      </w:r>
      <w:r>
        <w:rPr>
          <w:rFonts w:hint="cs"/>
          <w:rtl/>
        </w:rPr>
        <w:t xml:space="preserve"> الأول/ديسمبر 2009، قدم صاحب البلاغ طلباً إلى محكمة مدينة مينسك</w:t>
      </w:r>
      <w:r w:rsidRPr="00327DBE">
        <w:rPr>
          <w:rFonts w:hint="cs"/>
          <w:rtl/>
        </w:rPr>
        <w:t xml:space="preserve"> </w:t>
      </w:r>
      <w:r>
        <w:rPr>
          <w:rFonts w:hint="cs"/>
          <w:rtl/>
        </w:rPr>
        <w:t>يطعن فيه في قرار محكمة المنطقة القضائية السوفي</w:t>
      </w:r>
      <w:r w:rsidR="004F351D">
        <w:rPr>
          <w:rFonts w:hint="cs"/>
          <w:rtl/>
        </w:rPr>
        <w:t>ا</w:t>
      </w:r>
      <w:r>
        <w:rPr>
          <w:rFonts w:hint="cs"/>
          <w:rtl/>
        </w:rPr>
        <w:t>تية. غير أن محكمة مدينة مينسك أصدرت قراراً في 19 كانون الثاني/يناير 2010، أيدت فيه قرار محكمة المنطقة القضائية ورفضت طعن صاحب البلاغ.</w:t>
      </w:r>
      <w:r w:rsidR="00B76D1E">
        <w:rPr>
          <w:rFonts w:hint="cs"/>
          <w:rtl/>
        </w:rPr>
        <w:t xml:space="preserve"> </w:t>
      </w:r>
    </w:p>
    <w:p w:rsidR="00511585" w:rsidRPr="00327DBE" w:rsidRDefault="00511585" w:rsidP="00BF273E">
      <w:pPr>
        <w:pStyle w:val="SingleTxtGA"/>
        <w:rPr>
          <w:rtl/>
        </w:rPr>
      </w:pPr>
      <w:r w:rsidRPr="00327DBE">
        <w:rPr>
          <w:rFonts w:hint="cs"/>
          <w:rtl/>
        </w:rPr>
        <w:t>2-4</w:t>
      </w:r>
      <w:r w:rsidRPr="00327DBE">
        <w:rPr>
          <w:rFonts w:hint="cs"/>
          <w:rtl/>
        </w:rPr>
        <w:tab/>
        <w:t xml:space="preserve">وفي </w:t>
      </w:r>
      <w:r>
        <w:rPr>
          <w:rFonts w:hint="cs"/>
          <w:rtl/>
        </w:rPr>
        <w:t xml:space="preserve">17 شباط/فبراير 2010، قدّم صاحب البلاغ طلباً إلى المحكمة العليا لإجراء مراجعة قضائية رقابية لقراري المحكمتين الأدنى. غير أن نائب رئيس المحكمة العليا أبلغ صاحب </w:t>
      </w:r>
      <w:r>
        <w:rPr>
          <w:rFonts w:hint="cs"/>
          <w:rtl/>
        </w:rPr>
        <w:lastRenderedPageBreak/>
        <w:t>البلاغ برفض طلبه في رسالة مؤرخة 7 نيسان/أبريل 2010. ويدفع صاحب البلاغ بأنه قد استنفد بذلك جميع سبل الانتصاف المحلية المتاحة.</w:t>
      </w:r>
      <w:r w:rsidR="00B76D1E">
        <w:rPr>
          <w:rFonts w:hint="cs"/>
          <w:rtl/>
        </w:rPr>
        <w:t xml:space="preserve"> </w:t>
      </w:r>
    </w:p>
    <w:p w:rsidR="00511585" w:rsidRPr="003D6A25" w:rsidRDefault="00511585" w:rsidP="00511585">
      <w:pPr>
        <w:pStyle w:val="H23GA"/>
        <w:rPr>
          <w:rtl/>
        </w:rPr>
      </w:pPr>
      <w:r>
        <w:rPr>
          <w:rFonts w:hint="cs"/>
          <w:rtl/>
        </w:rPr>
        <w:tab/>
      </w:r>
      <w:r>
        <w:rPr>
          <w:rFonts w:hint="cs"/>
          <w:rtl/>
        </w:rPr>
        <w:tab/>
      </w:r>
      <w:r w:rsidRPr="003D6A25">
        <w:rPr>
          <w:rFonts w:hint="cs"/>
          <w:rtl/>
        </w:rPr>
        <w:t>الشكوى</w:t>
      </w:r>
    </w:p>
    <w:p w:rsidR="00511585" w:rsidRPr="00327DBE" w:rsidRDefault="00511585" w:rsidP="004F351D">
      <w:pPr>
        <w:pStyle w:val="SingleTxtGA"/>
        <w:rPr>
          <w:rtl/>
        </w:rPr>
      </w:pPr>
      <w:r w:rsidRPr="00327DBE">
        <w:rPr>
          <w:rFonts w:hint="cs"/>
          <w:rtl/>
        </w:rPr>
        <w:t>3-1</w:t>
      </w:r>
      <w:r w:rsidRPr="00327DBE">
        <w:rPr>
          <w:rFonts w:hint="cs"/>
          <w:rtl/>
        </w:rPr>
        <w:tab/>
      </w:r>
      <w:r>
        <w:rPr>
          <w:rFonts w:hint="cs"/>
          <w:rtl/>
        </w:rPr>
        <w:t>يدَّعي</w:t>
      </w:r>
      <w:r w:rsidRPr="00327DBE">
        <w:rPr>
          <w:rFonts w:hint="cs"/>
          <w:rtl/>
        </w:rPr>
        <w:t xml:space="preserve"> صاحب البلاغ أن الوقائع </w:t>
      </w:r>
      <w:r>
        <w:rPr>
          <w:rFonts w:hint="cs"/>
          <w:rtl/>
        </w:rPr>
        <w:t>المعروضة</w:t>
      </w:r>
      <w:r w:rsidRPr="00327DBE">
        <w:rPr>
          <w:rFonts w:hint="cs"/>
          <w:rtl/>
        </w:rPr>
        <w:t xml:space="preserve"> </w:t>
      </w:r>
      <w:r>
        <w:rPr>
          <w:rFonts w:hint="cs"/>
          <w:rtl/>
        </w:rPr>
        <w:t xml:space="preserve">تنم عن </w:t>
      </w:r>
      <w:r w:rsidRPr="00327DBE">
        <w:rPr>
          <w:rFonts w:hint="cs"/>
          <w:rtl/>
        </w:rPr>
        <w:t>انتهاك</w:t>
      </w:r>
      <w:r>
        <w:rPr>
          <w:rFonts w:hint="cs"/>
          <w:rtl/>
        </w:rPr>
        <w:t xml:space="preserve"> حقوقه بموجب المادة</w:t>
      </w:r>
      <w:r>
        <w:rPr>
          <w:rFonts w:hint="eastAsia"/>
          <w:rtl/>
        </w:rPr>
        <w:t> </w:t>
      </w:r>
      <w:r>
        <w:rPr>
          <w:rFonts w:hint="cs"/>
          <w:rtl/>
        </w:rPr>
        <w:t>21 من العهد، لأن السلطات لم تقدم أي مبرر لتقييد حقوقه أو لإلقاء القبض عليه.</w:t>
      </w:r>
      <w:r w:rsidRPr="00327DBE">
        <w:rPr>
          <w:rFonts w:hint="cs"/>
          <w:rtl/>
        </w:rPr>
        <w:t xml:space="preserve"> و</w:t>
      </w:r>
      <w:r>
        <w:rPr>
          <w:rFonts w:hint="cs"/>
          <w:rtl/>
        </w:rPr>
        <w:t>يدَّعي</w:t>
      </w:r>
      <w:r w:rsidRPr="00327DBE">
        <w:rPr>
          <w:rFonts w:hint="cs"/>
          <w:rtl/>
        </w:rPr>
        <w:t xml:space="preserve"> أيضاً أن القيود المفروضة </w:t>
      </w:r>
      <w:r>
        <w:rPr>
          <w:rFonts w:hint="cs"/>
          <w:rtl/>
        </w:rPr>
        <w:t>لا لزوم لها</w:t>
      </w:r>
      <w:r w:rsidRPr="00327DBE">
        <w:rPr>
          <w:rFonts w:hint="cs"/>
          <w:rtl/>
        </w:rPr>
        <w:t xml:space="preserve"> في مجتمع ديمقراطي </w:t>
      </w:r>
      <w:r>
        <w:rPr>
          <w:rFonts w:hint="cs"/>
          <w:rtl/>
        </w:rPr>
        <w:t>لحفظ</w:t>
      </w:r>
      <w:r w:rsidRPr="00327DBE">
        <w:rPr>
          <w:rFonts w:hint="cs"/>
          <w:rtl/>
        </w:rPr>
        <w:t xml:space="preserve"> الأمن القومي</w:t>
      </w:r>
      <w:r>
        <w:rPr>
          <w:rFonts w:hint="cs"/>
          <w:rtl/>
        </w:rPr>
        <w:t xml:space="preserve"> </w:t>
      </w:r>
      <w:r w:rsidRPr="00327DBE">
        <w:rPr>
          <w:rFonts w:hint="cs"/>
          <w:rtl/>
        </w:rPr>
        <w:t xml:space="preserve">أو السلامة العامة أو الأمن العام أو </w:t>
      </w:r>
      <w:r>
        <w:rPr>
          <w:rFonts w:hint="cs"/>
          <w:rtl/>
        </w:rPr>
        <w:t>ل</w:t>
      </w:r>
      <w:r w:rsidRPr="00327DBE">
        <w:rPr>
          <w:rFonts w:hint="cs"/>
          <w:rtl/>
        </w:rPr>
        <w:t xml:space="preserve">حماية الصحة العامة أو الآداب العامة أو </w:t>
      </w:r>
      <w:r>
        <w:rPr>
          <w:rFonts w:hint="cs"/>
          <w:rtl/>
        </w:rPr>
        <w:t>ل</w:t>
      </w:r>
      <w:r w:rsidRPr="00327DBE">
        <w:rPr>
          <w:rFonts w:hint="cs"/>
          <w:rtl/>
        </w:rPr>
        <w:t xml:space="preserve">حماية حقوق الآخرين وحرياتهم. </w:t>
      </w:r>
      <w:r>
        <w:rPr>
          <w:rFonts w:hint="cs"/>
          <w:rtl/>
        </w:rPr>
        <w:t>وبينما يُقر صاحب البلاغ</w:t>
      </w:r>
      <w:r w:rsidRPr="00327DBE">
        <w:rPr>
          <w:rFonts w:hint="cs"/>
          <w:rtl/>
        </w:rPr>
        <w:t xml:space="preserve"> بأنه لم يقدم </w:t>
      </w:r>
      <w:r>
        <w:rPr>
          <w:rFonts w:hint="cs"/>
          <w:rtl/>
        </w:rPr>
        <w:t>طلباً للحصول على ترخيص مسبق</w:t>
      </w:r>
      <w:r w:rsidRPr="00327DBE">
        <w:rPr>
          <w:rFonts w:hint="cs"/>
          <w:rtl/>
        </w:rPr>
        <w:t xml:space="preserve"> </w:t>
      </w:r>
      <w:r>
        <w:rPr>
          <w:rFonts w:hint="cs"/>
          <w:rtl/>
        </w:rPr>
        <w:t>للمشاركة</w:t>
      </w:r>
      <w:r w:rsidRPr="00327DBE">
        <w:rPr>
          <w:rFonts w:hint="cs"/>
          <w:rtl/>
        </w:rPr>
        <w:t xml:space="preserve"> في المظاهرة، </w:t>
      </w:r>
      <w:r>
        <w:rPr>
          <w:rFonts w:hint="cs"/>
          <w:rtl/>
        </w:rPr>
        <w:t>فإنه يدَّعي</w:t>
      </w:r>
      <w:r w:rsidRPr="00327DBE">
        <w:rPr>
          <w:rFonts w:hint="cs"/>
          <w:rtl/>
        </w:rPr>
        <w:t xml:space="preserve"> أن النظام القانوني في بيلاروس، الذي </w:t>
      </w:r>
      <w:r>
        <w:rPr>
          <w:rFonts w:hint="cs"/>
          <w:rtl/>
        </w:rPr>
        <w:t>يقتضي</w:t>
      </w:r>
      <w:r w:rsidRPr="00327DBE">
        <w:rPr>
          <w:rFonts w:hint="cs"/>
          <w:rtl/>
        </w:rPr>
        <w:t xml:space="preserve"> الحصول على </w:t>
      </w:r>
      <w:r>
        <w:rPr>
          <w:rFonts w:hint="cs"/>
          <w:rtl/>
        </w:rPr>
        <w:t>إذن</w:t>
      </w:r>
      <w:r w:rsidRPr="00327DBE">
        <w:rPr>
          <w:rFonts w:hint="cs"/>
          <w:rtl/>
        </w:rPr>
        <w:t xml:space="preserve"> مسبق قبل </w:t>
      </w:r>
      <w:r>
        <w:rPr>
          <w:rFonts w:hint="cs"/>
          <w:rtl/>
        </w:rPr>
        <w:t>إقامة مثل هذه المظاهرات</w:t>
      </w:r>
      <w:r w:rsidRPr="00327DBE">
        <w:rPr>
          <w:rFonts w:hint="cs"/>
          <w:rtl/>
        </w:rPr>
        <w:t xml:space="preserve">، يفرض قيوداً غير مقبولة على </w:t>
      </w:r>
      <w:r>
        <w:rPr>
          <w:rFonts w:hint="cs"/>
          <w:rtl/>
        </w:rPr>
        <w:t>الحريات التي تكفلها المادة 21. ف</w:t>
      </w:r>
      <w:r w:rsidRPr="00327DBE">
        <w:rPr>
          <w:rFonts w:hint="cs"/>
          <w:rtl/>
        </w:rPr>
        <w:t xml:space="preserve">وفقاً للمادة 5 من قانون </w:t>
      </w:r>
      <w:r>
        <w:rPr>
          <w:rFonts w:hint="cs"/>
          <w:rtl/>
        </w:rPr>
        <w:t>التجمعات</w:t>
      </w:r>
      <w:r w:rsidRPr="00327DBE">
        <w:rPr>
          <w:rFonts w:hint="cs"/>
          <w:rtl/>
        </w:rPr>
        <w:t xml:space="preserve"> الجماهيرية، </w:t>
      </w:r>
      <w:r>
        <w:rPr>
          <w:rFonts w:hint="cs"/>
          <w:rtl/>
        </w:rPr>
        <w:t xml:space="preserve">يُشترط على </w:t>
      </w:r>
      <w:r w:rsidRPr="00327DBE">
        <w:rPr>
          <w:rFonts w:hint="cs"/>
          <w:rtl/>
        </w:rPr>
        <w:t>منظمي ا</w:t>
      </w:r>
      <w:r>
        <w:rPr>
          <w:rFonts w:hint="cs"/>
          <w:rtl/>
        </w:rPr>
        <w:t>لمظاهرات</w:t>
      </w:r>
      <w:r w:rsidRPr="00327DBE">
        <w:rPr>
          <w:rFonts w:hint="cs"/>
          <w:rtl/>
        </w:rPr>
        <w:t xml:space="preserve"> </w:t>
      </w:r>
      <w:r>
        <w:rPr>
          <w:rFonts w:hint="cs"/>
          <w:rtl/>
        </w:rPr>
        <w:t>إبرام عقد</w:t>
      </w:r>
      <w:r w:rsidRPr="00327DBE">
        <w:rPr>
          <w:rFonts w:hint="cs"/>
          <w:rtl/>
        </w:rPr>
        <w:t xml:space="preserve"> مع </w:t>
      </w:r>
      <w:r>
        <w:rPr>
          <w:rFonts w:hint="cs"/>
          <w:rtl/>
        </w:rPr>
        <w:t>وزارة</w:t>
      </w:r>
      <w:r w:rsidRPr="00327DBE">
        <w:rPr>
          <w:rFonts w:hint="cs"/>
          <w:rtl/>
        </w:rPr>
        <w:t xml:space="preserve"> الداخلية </w:t>
      </w:r>
      <w:r>
        <w:rPr>
          <w:rFonts w:hint="cs"/>
          <w:rtl/>
        </w:rPr>
        <w:t>في إدارة المنطقة القضائية من أجل ضمان</w:t>
      </w:r>
      <w:r w:rsidRPr="00327DBE">
        <w:rPr>
          <w:rFonts w:hint="cs"/>
          <w:rtl/>
        </w:rPr>
        <w:t xml:space="preserve"> </w:t>
      </w:r>
      <w:r>
        <w:rPr>
          <w:rFonts w:hint="cs"/>
          <w:rtl/>
        </w:rPr>
        <w:t>الحفاظ على</w:t>
      </w:r>
      <w:r w:rsidRPr="00327DBE">
        <w:rPr>
          <w:rFonts w:hint="cs"/>
          <w:rtl/>
        </w:rPr>
        <w:t xml:space="preserve"> النظام العام أثناء المظاهرة؛ وعقد مع</w:t>
      </w:r>
      <w:r>
        <w:rPr>
          <w:rFonts w:hint="cs"/>
          <w:rtl/>
        </w:rPr>
        <w:t xml:space="preserve"> وزارة</w:t>
      </w:r>
      <w:r w:rsidRPr="00327DBE">
        <w:rPr>
          <w:rFonts w:hint="cs"/>
          <w:rtl/>
        </w:rPr>
        <w:t xml:space="preserve"> الصحة لضمان توفير الرعاية الطبية؛ وعقدا مع </w:t>
      </w:r>
      <w:r>
        <w:rPr>
          <w:rFonts w:hint="cs"/>
          <w:rtl/>
        </w:rPr>
        <w:t>إدارة</w:t>
      </w:r>
      <w:r w:rsidRPr="00327DBE">
        <w:rPr>
          <w:rFonts w:hint="cs"/>
          <w:rtl/>
        </w:rPr>
        <w:t xml:space="preserve"> المرافق لضمان تنظيف المنطقة التي </w:t>
      </w:r>
      <w:r>
        <w:rPr>
          <w:rFonts w:hint="cs"/>
          <w:rtl/>
        </w:rPr>
        <w:t>تجري فيها المظاهرة بعد الانتهاء منها</w:t>
      </w:r>
      <w:r w:rsidRPr="00327DBE">
        <w:rPr>
          <w:rFonts w:hint="cs"/>
          <w:rtl/>
        </w:rPr>
        <w:t>. وي</w:t>
      </w:r>
      <w:r>
        <w:rPr>
          <w:rFonts w:hint="cs"/>
          <w:rtl/>
        </w:rPr>
        <w:t>ُ</w:t>
      </w:r>
      <w:r w:rsidRPr="00327DBE">
        <w:rPr>
          <w:rFonts w:hint="cs"/>
          <w:rtl/>
        </w:rPr>
        <w:t>حظر على المتظاهرين أيضاً أن يتواجدوا على بعد 50 متراً من ا</w:t>
      </w:r>
      <w:r>
        <w:rPr>
          <w:rFonts w:hint="cs"/>
          <w:rtl/>
        </w:rPr>
        <w:t xml:space="preserve">لمباني </w:t>
      </w:r>
      <w:r w:rsidRPr="00327DBE">
        <w:rPr>
          <w:rFonts w:hint="cs"/>
          <w:rtl/>
        </w:rPr>
        <w:t>الدبلوماسي</w:t>
      </w:r>
      <w:r>
        <w:rPr>
          <w:rFonts w:hint="cs"/>
          <w:rtl/>
        </w:rPr>
        <w:t xml:space="preserve">ة </w:t>
      </w:r>
      <w:r w:rsidRPr="00327DBE">
        <w:rPr>
          <w:rFonts w:hint="cs"/>
          <w:rtl/>
        </w:rPr>
        <w:t>وهو ما يراه صاحب البلاغ أمراً غير مقبو</w:t>
      </w:r>
      <w:r>
        <w:rPr>
          <w:rFonts w:hint="cs"/>
          <w:rtl/>
        </w:rPr>
        <w:t>ل</w:t>
      </w:r>
      <w:r w:rsidRPr="00327DBE">
        <w:rPr>
          <w:rFonts w:hint="cs"/>
          <w:rtl/>
        </w:rPr>
        <w:t xml:space="preserve"> في حالته، لأن تنظيم المظاهرة في </w:t>
      </w:r>
      <w:r>
        <w:rPr>
          <w:rFonts w:hint="cs"/>
          <w:rtl/>
        </w:rPr>
        <w:t xml:space="preserve">أي </w:t>
      </w:r>
      <w:r w:rsidRPr="00327DBE">
        <w:rPr>
          <w:rFonts w:hint="cs"/>
          <w:rtl/>
        </w:rPr>
        <w:t xml:space="preserve">مكان آخر </w:t>
      </w:r>
      <w:r>
        <w:rPr>
          <w:rFonts w:hint="cs"/>
          <w:rtl/>
        </w:rPr>
        <w:t>سيكون منافياً لغرضها</w:t>
      </w:r>
      <w:r w:rsidRPr="00327DBE">
        <w:rPr>
          <w:rFonts w:hint="cs"/>
          <w:rtl/>
        </w:rPr>
        <w:t>.</w:t>
      </w:r>
    </w:p>
    <w:p w:rsidR="00511585" w:rsidRPr="00327DBE" w:rsidRDefault="00511585" w:rsidP="00511585">
      <w:pPr>
        <w:pStyle w:val="SingleTxtGA"/>
        <w:rPr>
          <w:rtl/>
        </w:rPr>
      </w:pPr>
      <w:r w:rsidRPr="00327DBE">
        <w:rPr>
          <w:rFonts w:hint="cs"/>
          <w:rtl/>
        </w:rPr>
        <w:t>3-2</w:t>
      </w:r>
      <w:r w:rsidRPr="00327DBE">
        <w:rPr>
          <w:rFonts w:hint="cs"/>
          <w:rtl/>
        </w:rPr>
        <w:tab/>
        <w:t>و</w:t>
      </w:r>
      <w:r>
        <w:rPr>
          <w:rFonts w:hint="cs"/>
          <w:rtl/>
        </w:rPr>
        <w:t>يدَّعي</w:t>
      </w:r>
      <w:r w:rsidRPr="00327DBE">
        <w:rPr>
          <w:rFonts w:hint="cs"/>
          <w:rtl/>
        </w:rPr>
        <w:t xml:space="preserve"> صاحب البلاغ أيضاً أن إلقاء القبض عليه وإدانته يصلان إلى </w:t>
      </w:r>
      <w:r>
        <w:rPr>
          <w:rFonts w:hint="cs"/>
          <w:rtl/>
        </w:rPr>
        <w:t xml:space="preserve">درجة </w:t>
      </w:r>
      <w:r w:rsidRPr="00327DBE">
        <w:rPr>
          <w:rFonts w:hint="cs"/>
          <w:rtl/>
        </w:rPr>
        <w:t>انتهاك حقه في حرية التعبير بموجب المادة 19 من العهد. و</w:t>
      </w:r>
      <w:r>
        <w:rPr>
          <w:rFonts w:hint="cs"/>
          <w:rtl/>
        </w:rPr>
        <w:t xml:space="preserve">هو </w:t>
      </w:r>
      <w:r w:rsidRPr="00327DBE">
        <w:rPr>
          <w:rFonts w:hint="cs"/>
          <w:rtl/>
        </w:rPr>
        <w:t>يشير إلى آراء اللجنة</w:t>
      </w:r>
      <w:r>
        <w:rPr>
          <w:rStyle w:val="FootnoteReference"/>
          <w:rtl/>
        </w:rPr>
        <w:footnoteReference w:customMarkFollows="1" w:id="5"/>
        <w:t>(3)</w:t>
      </w:r>
      <w:r w:rsidRPr="00327DBE">
        <w:rPr>
          <w:rFonts w:hint="cs"/>
          <w:rtl/>
        </w:rPr>
        <w:t xml:space="preserve"> </w:t>
      </w:r>
      <w:r>
        <w:rPr>
          <w:rFonts w:hint="cs"/>
          <w:rtl/>
        </w:rPr>
        <w:t xml:space="preserve">التي </w:t>
      </w:r>
      <w:r w:rsidRPr="00327DBE">
        <w:rPr>
          <w:rFonts w:hint="cs"/>
          <w:rtl/>
        </w:rPr>
        <w:t xml:space="preserve">خلصت </w:t>
      </w:r>
      <w:r>
        <w:rPr>
          <w:rFonts w:hint="cs"/>
          <w:rtl/>
        </w:rPr>
        <w:t>فيها إلى</w:t>
      </w:r>
      <w:r w:rsidRPr="00327DBE">
        <w:rPr>
          <w:rFonts w:hint="cs"/>
          <w:rtl/>
        </w:rPr>
        <w:t xml:space="preserve"> </w:t>
      </w:r>
      <w:r>
        <w:rPr>
          <w:rFonts w:hint="cs"/>
          <w:rtl/>
        </w:rPr>
        <w:t>حدوث</w:t>
      </w:r>
      <w:r w:rsidRPr="00327DBE">
        <w:rPr>
          <w:rFonts w:hint="cs"/>
          <w:rtl/>
        </w:rPr>
        <w:t xml:space="preserve"> انتهاك للمادة 19 على الرغم من أن المحاكم الوطنية المعنية </w:t>
      </w:r>
      <w:r>
        <w:rPr>
          <w:rFonts w:hint="cs"/>
          <w:rtl/>
        </w:rPr>
        <w:t xml:space="preserve">قد </w:t>
      </w:r>
      <w:r w:rsidRPr="00327DBE">
        <w:rPr>
          <w:rFonts w:hint="cs"/>
          <w:rtl/>
        </w:rPr>
        <w:t xml:space="preserve">تصرفت وفقاً </w:t>
      </w:r>
      <w:r>
        <w:rPr>
          <w:rFonts w:hint="cs"/>
          <w:rtl/>
        </w:rPr>
        <w:t>للتشريعات المحلية</w:t>
      </w:r>
      <w:r w:rsidRPr="00327DBE">
        <w:rPr>
          <w:rFonts w:hint="cs"/>
          <w:rtl/>
        </w:rPr>
        <w:t xml:space="preserve"> </w:t>
      </w:r>
      <w:r>
        <w:rPr>
          <w:rFonts w:hint="cs"/>
          <w:rtl/>
        </w:rPr>
        <w:t xml:space="preserve">وإلى </w:t>
      </w:r>
      <w:r w:rsidRPr="00327DBE">
        <w:rPr>
          <w:rFonts w:hint="cs"/>
          <w:rtl/>
        </w:rPr>
        <w:t>آرائها</w:t>
      </w:r>
      <w:r>
        <w:rPr>
          <w:rStyle w:val="FootnoteReference"/>
          <w:rtl/>
        </w:rPr>
        <w:footnoteReference w:customMarkFollows="1" w:id="6"/>
        <w:t>(4)</w:t>
      </w:r>
      <w:r>
        <w:rPr>
          <w:rFonts w:hint="cs"/>
          <w:rtl/>
        </w:rPr>
        <w:t xml:space="preserve"> التي خلصت فيها إلى </w:t>
      </w:r>
      <w:r w:rsidRPr="00327DBE">
        <w:rPr>
          <w:rFonts w:hint="cs"/>
          <w:rtl/>
        </w:rPr>
        <w:t xml:space="preserve">أن إعطاء الدولة الطرف </w:t>
      </w:r>
      <w:r>
        <w:rPr>
          <w:rFonts w:hint="cs"/>
          <w:rtl/>
        </w:rPr>
        <w:t>الأولوية</w:t>
      </w:r>
      <w:r w:rsidRPr="00327DBE">
        <w:rPr>
          <w:rFonts w:hint="cs"/>
          <w:rtl/>
        </w:rPr>
        <w:t xml:space="preserve"> لقانونها الوطني على التزاماتها بموجب العهد </w:t>
      </w:r>
      <w:r>
        <w:rPr>
          <w:rFonts w:hint="cs"/>
          <w:rtl/>
        </w:rPr>
        <w:t>هو أمر يتنافى</w:t>
      </w:r>
      <w:r w:rsidRPr="00327DBE">
        <w:rPr>
          <w:rFonts w:hint="cs"/>
          <w:rtl/>
        </w:rPr>
        <w:t xml:space="preserve"> مع العهد. و</w:t>
      </w:r>
      <w:r>
        <w:rPr>
          <w:rFonts w:hint="cs"/>
          <w:rtl/>
        </w:rPr>
        <w:t>يدَّعي</w:t>
      </w:r>
      <w:r w:rsidRPr="00327DBE">
        <w:rPr>
          <w:rFonts w:hint="cs"/>
          <w:rtl/>
        </w:rPr>
        <w:t xml:space="preserve"> صاحب البلاغ </w:t>
      </w:r>
      <w:r>
        <w:rPr>
          <w:rFonts w:hint="cs"/>
          <w:rtl/>
        </w:rPr>
        <w:t>كذلك</w:t>
      </w:r>
      <w:r w:rsidRPr="00327DBE">
        <w:rPr>
          <w:rFonts w:hint="cs"/>
          <w:rtl/>
        </w:rPr>
        <w:t xml:space="preserve"> أن بيلاروس لم تقدم إخطاراً بموجب الفقرة 3 من المادة 4 من العهد للاستفادة من الحق في عدم التقيد بحقوق معينة بسبب حالة طوارئ عامة.</w:t>
      </w:r>
    </w:p>
    <w:p w:rsidR="00511585" w:rsidRPr="003D6A25" w:rsidRDefault="00511585" w:rsidP="00511585">
      <w:pPr>
        <w:pStyle w:val="H23GA"/>
        <w:rPr>
          <w:rtl/>
        </w:rPr>
      </w:pPr>
      <w:r>
        <w:rPr>
          <w:rFonts w:hint="cs"/>
          <w:rtl/>
        </w:rPr>
        <w:tab/>
      </w:r>
      <w:r>
        <w:rPr>
          <w:rFonts w:hint="cs"/>
          <w:rtl/>
        </w:rPr>
        <w:tab/>
      </w:r>
      <w:r w:rsidRPr="003D6A25">
        <w:rPr>
          <w:rFonts w:hint="cs"/>
          <w:rtl/>
        </w:rPr>
        <w:t xml:space="preserve">ملاحظات الدولة الطرف </w:t>
      </w:r>
      <w:r>
        <w:rPr>
          <w:rFonts w:hint="cs"/>
          <w:rtl/>
        </w:rPr>
        <w:t>بشأن</w:t>
      </w:r>
      <w:r w:rsidRPr="003D6A25">
        <w:rPr>
          <w:rFonts w:hint="cs"/>
          <w:rtl/>
        </w:rPr>
        <w:t xml:space="preserve"> المقبولية</w:t>
      </w:r>
    </w:p>
    <w:p w:rsidR="00511585" w:rsidRPr="00327DBE" w:rsidRDefault="00511585" w:rsidP="004F351D">
      <w:pPr>
        <w:pStyle w:val="SingleTxtGA"/>
        <w:rPr>
          <w:rtl/>
        </w:rPr>
      </w:pPr>
      <w:r w:rsidRPr="00327DBE">
        <w:rPr>
          <w:rFonts w:hint="cs"/>
          <w:rtl/>
        </w:rPr>
        <w:t>4-1</w:t>
      </w:r>
      <w:r w:rsidRPr="00327DBE">
        <w:rPr>
          <w:rFonts w:hint="cs"/>
          <w:rtl/>
        </w:rPr>
        <w:tab/>
        <w:t xml:space="preserve">في مذكرة </w:t>
      </w:r>
      <w:r>
        <w:rPr>
          <w:rFonts w:hint="cs"/>
          <w:rtl/>
        </w:rPr>
        <w:t>مؤرخة</w:t>
      </w:r>
      <w:r w:rsidRPr="00327DBE">
        <w:rPr>
          <w:rFonts w:hint="cs"/>
          <w:rtl/>
        </w:rPr>
        <w:t xml:space="preserve"> </w:t>
      </w:r>
      <w:r>
        <w:rPr>
          <w:rFonts w:hint="cs"/>
          <w:rtl/>
        </w:rPr>
        <w:t>14 شباط/فبراير 2012، طعنت الدولة الطرف في تسجيل البلاغ ومقبوليته. واحتجت بأن صاحب البلاغ لم يستنفد جميع سبل الانتصاف المحلية المتاحة، لأنه لم</w:t>
      </w:r>
      <w:r w:rsidR="004F351D">
        <w:rPr>
          <w:rFonts w:hint="eastAsia"/>
          <w:rtl/>
        </w:rPr>
        <w:t> </w:t>
      </w:r>
      <w:r>
        <w:rPr>
          <w:rFonts w:hint="cs"/>
          <w:rtl/>
        </w:rPr>
        <w:t xml:space="preserve">يقدم طلباً لإجراء مراجعة قضائية رقابية لقراري المحكمتين المحليتين. وتؤكد الدولة الطرف </w:t>
      </w:r>
      <w:r>
        <w:rPr>
          <w:rFonts w:hint="cs"/>
          <w:rtl/>
        </w:rPr>
        <w:lastRenderedPageBreak/>
        <w:t>خاصةً أن صاحب البلاغ لم يقدم طلباً إلى رئيس المحكمة العليا بعد أن تلقى رد نائبه، بموجب المادة</w:t>
      </w:r>
      <w:r w:rsidR="005365E1">
        <w:rPr>
          <w:rFonts w:hint="eastAsia"/>
          <w:rtl/>
        </w:rPr>
        <w:t> </w:t>
      </w:r>
      <w:r>
        <w:rPr>
          <w:rFonts w:hint="cs"/>
          <w:rtl/>
        </w:rPr>
        <w:t xml:space="preserve">12-11 من قانون الإجراءات التنفيذية للجرائم الإدارية. وتدفع الدولة الطرف </w:t>
      </w:r>
      <w:r w:rsidRPr="00327DBE">
        <w:rPr>
          <w:rFonts w:hint="cs"/>
          <w:rtl/>
        </w:rPr>
        <w:t>بأنه لا</w:t>
      </w:r>
      <w:r w:rsidR="004F351D">
        <w:rPr>
          <w:rFonts w:hint="eastAsia"/>
          <w:rtl/>
        </w:rPr>
        <w:t> </w:t>
      </w:r>
      <w:r w:rsidRPr="00327DBE">
        <w:rPr>
          <w:rFonts w:hint="cs"/>
          <w:rtl/>
        </w:rPr>
        <w:t>يوجد أساس قانوني للنظر في مقبول</w:t>
      </w:r>
      <w:r>
        <w:rPr>
          <w:rFonts w:hint="cs"/>
          <w:rtl/>
        </w:rPr>
        <w:t>ية هذا البلاغ أو أسسه الموضوعية.</w:t>
      </w:r>
    </w:p>
    <w:p w:rsidR="00511585" w:rsidRDefault="00511585" w:rsidP="00511585">
      <w:pPr>
        <w:pStyle w:val="SingleTxtGA"/>
        <w:rPr>
          <w:rtl/>
        </w:rPr>
      </w:pPr>
      <w:r w:rsidRPr="00327DBE">
        <w:rPr>
          <w:rFonts w:hint="cs"/>
          <w:rtl/>
        </w:rPr>
        <w:t>4-2</w:t>
      </w:r>
      <w:r w:rsidRPr="00327DBE">
        <w:rPr>
          <w:rFonts w:hint="cs"/>
          <w:rtl/>
        </w:rPr>
        <w:tab/>
        <w:t xml:space="preserve">وفي مذكرة شفوية مؤرخة </w:t>
      </w:r>
      <w:r>
        <w:rPr>
          <w:rFonts w:hint="cs"/>
          <w:rtl/>
        </w:rPr>
        <w:t>4</w:t>
      </w:r>
      <w:r w:rsidRPr="00327DBE">
        <w:rPr>
          <w:rFonts w:hint="cs"/>
          <w:rtl/>
        </w:rPr>
        <w:t xml:space="preserve"> كانون الثاني/يناير </w:t>
      </w:r>
      <w:r>
        <w:rPr>
          <w:rFonts w:hint="cs"/>
          <w:rtl/>
        </w:rPr>
        <w:t>2013</w:t>
      </w:r>
      <w:r w:rsidRPr="00327DBE">
        <w:rPr>
          <w:rFonts w:hint="cs"/>
          <w:rtl/>
        </w:rPr>
        <w:t xml:space="preserve">، </w:t>
      </w:r>
      <w:r>
        <w:rPr>
          <w:rFonts w:hint="cs"/>
          <w:rtl/>
        </w:rPr>
        <w:t>أكدت</w:t>
      </w:r>
      <w:r w:rsidRPr="00327DBE">
        <w:rPr>
          <w:rFonts w:hint="cs"/>
          <w:rtl/>
        </w:rPr>
        <w:t xml:space="preserve"> الدولة الطرف من جديد موقفها فيما يتعلق بمقبولية البلاغ.</w:t>
      </w:r>
    </w:p>
    <w:p w:rsidR="00511585" w:rsidRPr="00A23E75" w:rsidRDefault="005365E1" w:rsidP="005365E1">
      <w:pPr>
        <w:pStyle w:val="H23GA"/>
        <w:rPr>
          <w:rtl/>
        </w:rPr>
      </w:pPr>
      <w:r>
        <w:rPr>
          <w:rFonts w:hint="cs"/>
          <w:rtl/>
        </w:rPr>
        <w:tab/>
      </w:r>
      <w:r>
        <w:rPr>
          <w:rFonts w:hint="cs"/>
          <w:rtl/>
        </w:rPr>
        <w:tab/>
      </w:r>
      <w:r w:rsidR="00511585" w:rsidRPr="00A23E75">
        <w:rPr>
          <w:rFonts w:hint="cs"/>
          <w:rtl/>
        </w:rPr>
        <w:t>تعليقات صاحب البلاغ على ملاحظات الدولة الطرف</w:t>
      </w:r>
    </w:p>
    <w:p w:rsidR="00511585" w:rsidRPr="00B829F1" w:rsidRDefault="00511585" w:rsidP="00511585">
      <w:pPr>
        <w:pStyle w:val="SingleTxtGA"/>
        <w:rPr>
          <w:rtl/>
          <w:lang w:bidi="ar-BH"/>
        </w:rPr>
      </w:pPr>
      <w:r w:rsidRPr="00A23E75">
        <w:rPr>
          <w:rFonts w:hint="cs"/>
          <w:rtl/>
        </w:rPr>
        <w:t>5-</w:t>
      </w:r>
      <w:r>
        <w:rPr>
          <w:rFonts w:hint="cs"/>
          <w:rtl/>
        </w:rPr>
        <w:tab/>
      </w:r>
      <w:r>
        <w:rPr>
          <w:rFonts w:hint="cs"/>
          <w:rtl/>
          <w:lang w:bidi="ar-BH"/>
        </w:rPr>
        <w:t>في رسالة مؤرخة 6 أيلول/سبتمبر 2012، ذكر صاحب البلاغ أن قرار محكمة مدينة مينسك بشأن الطعن الذي قدمه أصبح نافذاً. واعترض قائلاً إن إجراء المراجعة القضائية الرقابية لا يمكن اعتباره سبيل انتصاف محلي فعال لأن طلبات الاستئناف التي تُقدم في إطار هذا الإجراء لا تؤدي تلقائياً إلى إعادة النظر في قرار المحكمة. بل ينظر عدد من المسؤولين في هذه الطلبات من طرف واحد وفي غياب الشخص المعني بالإجراءات الإدارية المتخذة. ويشير صاحب البلاغ إلى اجتهاد سابق للجنة</w:t>
      </w:r>
      <w:r>
        <w:rPr>
          <w:rStyle w:val="FootnoteReference"/>
          <w:rtl/>
          <w:lang w:bidi="ar-BH"/>
        </w:rPr>
        <w:footnoteReference w:customMarkFollows="1" w:id="7"/>
        <w:t>(5)</w:t>
      </w:r>
      <w:r>
        <w:rPr>
          <w:rFonts w:hint="cs"/>
          <w:rtl/>
          <w:lang w:bidi="ar-BH"/>
        </w:rPr>
        <w:t xml:space="preserve"> رأت فيه أن </w:t>
      </w:r>
      <w:r>
        <w:rPr>
          <w:rtl/>
        </w:rPr>
        <w:t>المراجعة القضائية الرقابية هي عملية مراجعة استنسابية كانت شائعة في الجمهوريات السوفياتية سابقاً، وقد سبق للجنة أن اعتبرت أن هذه المراجعة لا تشكل سبيل انتصاف فعالاً لأغراض استنفاد سبل الانتصاف المحلية</w:t>
      </w:r>
      <w:r>
        <w:rPr>
          <w:rFonts w:hint="cs"/>
          <w:rtl/>
          <w:lang w:bidi="ar-BH"/>
        </w:rPr>
        <w:t>. ويُذكّر في هذا الصدد بأن طلبي الطعن اللذين قدمهما لدى رئيس محكمة مدينة مينسك ورئيس المحكمة العليا في إطار إجراء المراجعة القضائية الرقابية قد رُفضا. ويشير بشكل خاص إلى أن الرد الذي تلقاه من المحكمة العليا كان موقعاً من نائب رئيسها، مع أن طلب الاستئناف كان موجهاً إلى رئيسها تحديداً. ويرى صاحب البلاغ أنه في ظل هذه الملابسات، فإن تكرار طلب الطعن لدى رئيس المحكمة العليا لن يفضي إلى نتيجة تُذكر. أما بالنسبة لإشارة الدولة الطرف إلى المادة 12-11 من قانون الإجراءات التنفيذية للجرائم الإدارية، فيذكر صاحب البلاغ أن أحكام المادة لا تقتضي تقديم طلب استئناف إلى نائب رئيس المحكمة العليا أولاً ثم إلى رئيسها. ويخلص بالتالي إلى أن جميع سبل الانتصاف المحلية المتاحة والفعالة قد استُنفدت في حالته.</w:t>
      </w:r>
    </w:p>
    <w:p w:rsidR="00511585" w:rsidRPr="003D6A25" w:rsidRDefault="00511585" w:rsidP="00511585">
      <w:pPr>
        <w:pStyle w:val="H23GA"/>
        <w:rPr>
          <w:rtl/>
        </w:rPr>
      </w:pPr>
      <w:r>
        <w:rPr>
          <w:rFonts w:hint="cs"/>
          <w:rtl/>
        </w:rPr>
        <w:tab/>
      </w:r>
      <w:r>
        <w:rPr>
          <w:rFonts w:hint="cs"/>
          <w:rtl/>
        </w:rPr>
        <w:tab/>
      </w:r>
      <w:r w:rsidRPr="003D6A25">
        <w:rPr>
          <w:rFonts w:hint="cs"/>
          <w:rtl/>
        </w:rPr>
        <w:t>المسائل والإجراءات المعروضة على اللجنة</w:t>
      </w:r>
    </w:p>
    <w:p w:rsidR="00511585" w:rsidRPr="003D6A25" w:rsidRDefault="00511585" w:rsidP="00511585">
      <w:pPr>
        <w:pStyle w:val="H4GA"/>
        <w:rPr>
          <w:rtl/>
        </w:rPr>
      </w:pPr>
      <w:r>
        <w:rPr>
          <w:rFonts w:hint="cs"/>
          <w:rtl/>
        </w:rPr>
        <w:tab/>
      </w:r>
      <w:r>
        <w:rPr>
          <w:rFonts w:hint="cs"/>
          <w:rtl/>
        </w:rPr>
        <w:tab/>
      </w:r>
      <w:r w:rsidRPr="003D6A25">
        <w:rPr>
          <w:rFonts w:hint="cs"/>
          <w:rtl/>
        </w:rPr>
        <w:t xml:space="preserve">النظر في </w:t>
      </w:r>
      <w:r>
        <w:rPr>
          <w:rFonts w:hint="cs"/>
          <w:rtl/>
        </w:rPr>
        <w:t>المقبولية</w:t>
      </w:r>
    </w:p>
    <w:p w:rsidR="00511585" w:rsidRPr="00327DBE" w:rsidRDefault="00511585" w:rsidP="00511585">
      <w:pPr>
        <w:pStyle w:val="SingleTxtGA"/>
        <w:rPr>
          <w:rtl/>
        </w:rPr>
      </w:pPr>
      <w:r w:rsidRPr="00327DBE">
        <w:rPr>
          <w:rFonts w:hint="cs"/>
          <w:rtl/>
        </w:rPr>
        <w:t>6-1</w:t>
      </w:r>
      <w:r w:rsidRPr="00327DBE">
        <w:rPr>
          <w:rFonts w:hint="cs"/>
          <w:rtl/>
        </w:rPr>
        <w:tab/>
        <w:t xml:space="preserve">قبل النظر في أي ادعاء يرد في بلاغ ما </w:t>
      </w:r>
      <w:r>
        <w:rPr>
          <w:rFonts w:hint="cs"/>
          <w:rtl/>
        </w:rPr>
        <w:t>يجب</w:t>
      </w:r>
      <w:r w:rsidRPr="00327DBE">
        <w:rPr>
          <w:rFonts w:hint="cs"/>
          <w:rtl/>
        </w:rPr>
        <w:t xml:space="preserve"> على اللجنة المعنية بحقوق الإنسان أن تحدد، وفقاً للمادة 93 من نظامها الداخلي، ما إذا كان البلاغ مقبولاً أم لا بموجب البروتوكول الاختياري الملحق بالعهد.</w:t>
      </w:r>
    </w:p>
    <w:p w:rsidR="00511585" w:rsidRPr="00327DBE" w:rsidRDefault="00511585" w:rsidP="00511585">
      <w:pPr>
        <w:pStyle w:val="SingleTxtGA"/>
        <w:rPr>
          <w:rtl/>
        </w:rPr>
      </w:pPr>
      <w:r w:rsidRPr="00327DBE">
        <w:rPr>
          <w:rFonts w:hint="cs"/>
          <w:rtl/>
        </w:rPr>
        <w:lastRenderedPageBreak/>
        <w:t>6-2</w:t>
      </w:r>
      <w:r w:rsidRPr="00327DBE">
        <w:rPr>
          <w:rFonts w:hint="cs"/>
          <w:rtl/>
        </w:rPr>
        <w:tab/>
        <w:t>وقد تحق</w:t>
      </w:r>
      <w:r>
        <w:rPr>
          <w:rFonts w:hint="cs"/>
          <w:rtl/>
        </w:rPr>
        <w:t>ّ</w:t>
      </w:r>
      <w:r w:rsidRPr="00327DBE">
        <w:rPr>
          <w:rFonts w:hint="cs"/>
          <w:rtl/>
        </w:rPr>
        <w:t>قت اللجنة، وفقاً لما تفتضيه الفقرة 2(أ) من المادة 5 من البروتوكول الاختياري، من أن المسألة نفسها ليست قيد البحث في إطار إجراء آخر من إجراءات التحقيق الدولي أو التسوية الدولية.</w:t>
      </w:r>
    </w:p>
    <w:p w:rsidR="00511585" w:rsidRDefault="00511585" w:rsidP="00B76D1E">
      <w:pPr>
        <w:pStyle w:val="SingleTxtGA"/>
        <w:rPr>
          <w:spacing w:val="-1"/>
          <w:rtl/>
          <w:lang w:bidi="ar-BH"/>
        </w:rPr>
      </w:pPr>
      <w:r w:rsidRPr="006B32D8">
        <w:rPr>
          <w:rFonts w:hint="cs"/>
          <w:spacing w:val="-1"/>
          <w:rtl/>
        </w:rPr>
        <w:t>6-3</w:t>
      </w:r>
      <w:r w:rsidRPr="006B32D8">
        <w:rPr>
          <w:rFonts w:hint="cs"/>
          <w:spacing w:val="-1"/>
          <w:rtl/>
        </w:rPr>
        <w:tab/>
        <w:t xml:space="preserve">وتحيط اللجنة علماً </w:t>
      </w:r>
      <w:r>
        <w:rPr>
          <w:rFonts w:hint="cs"/>
          <w:spacing w:val="-1"/>
          <w:rtl/>
        </w:rPr>
        <w:t>بطعن</w:t>
      </w:r>
      <w:r w:rsidRPr="006B32D8">
        <w:rPr>
          <w:rFonts w:hint="cs"/>
          <w:spacing w:val="-1"/>
          <w:rtl/>
        </w:rPr>
        <w:t xml:space="preserve"> الدولة الطرف</w:t>
      </w:r>
      <w:r>
        <w:rPr>
          <w:rFonts w:hint="cs"/>
          <w:spacing w:val="-1"/>
          <w:rtl/>
        </w:rPr>
        <w:t xml:space="preserve"> في مقبولية البلاغ، بدعوى أ</w:t>
      </w:r>
      <w:r w:rsidRPr="006B32D8">
        <w:rPr>
          <w:rFonts w:hint="cs"/>
          <w:spacing w:val="-1"/>
          <w:rtl/>
        </w:rPr>
        <w:t xml:space="preserve">نه كان يتعين على صاحب البلاغ أن يطلب من </w:t>
      </w:r>
      <w:r>
        <w:rPr>
          <w:rFonts w:hint="cs"/>
          <w:spacing w:val="-1"/>
          <w:rtl/>
        </w:rPr>
        <w:t>رئيس المحكمة العليا إجراء مراجعة بعد أن تلقى رداً من نائبه، وذلك وفقاً لأحكام إجراءات المراجعة القضائية الرقابية لدى المحكمة العليا. غير أنه يتبين من المستندات المدرجة في الملف أن صاحب البلاغ قد وجّه طلب المراجعة القضائية الرقابية إلى رئيس المحكمة العليا بالفعل، رغم أن الرسالة التي رُفض فيها طلبه كانت تحمل توقيع نائب الرئيس</w:t>
      </w:r>
      <w:r>
        <w:rPr>
          <w:rStyle w:val="FootnoteReference"/>
          <w:spacing w:val="-1"/>
          <w:rtl/>
        </w:rPr>
        <w:footnoteReference w:customMarkFollows="1" w:id="8"/>
        <w:t>(6)</w:t>
      </w:r>
      <w:r>
        <w:rPr>
          <w:rFonts w:hint="cs"/>
          <w:spacing w:val="-1"/>
          <w:rtl/>
        </w:rPr>
        <w:t xml:space="preserve">. </w:t>
      </w:r>
      <w:r>
        <w:rPr>
          <w:rtl/>
        </w:rPr>
        <w:t>وعليه، ترى اللجنة أن أحكام الفقرة 2(ب) من المادة 5 من البروتوكول الاختياري لا</w:t>
      </w:r>
      <w:r w:rsidR="00B76D1E">
        <w:rPr>
          <w:rFonts w:hint="cs"/>
          <w:rtl/>
        </w:rPr>
        <w:t> </w:t>
      </w:r>
      <w:r>
        <w:rPr>
          <w:rtl/>
        </w:rPr>
        <w:t>تمنعها من النظر في هذا البلاغ.</w:t>
      </w:r>
      <w:r>
        <w:rPr>
          <w:rFonts w:cs="Times New Roman" w:hint="cs"/>
          <w:rtl/>
        </w:rPr>
        <w:t>‬</w:t>
      </w:r>
    </w:p>
    <w:p w:rsidR="00511585" w:rsidRPr="00327DBE" w:rsidRDefault="00511585" w:rsidP="00511585">
      <w:pPr>
        <w:pStyle w:val="SingleTxtGA"/>
        <w:rPr>
          <w:rtl/>
        </w:rPr>
      </w:pPr>
      <w:r w:rsidRPr="00327DBE">
        <w:rPr>
          <w:rFonts w:hint="cs"/>
          <w:rtl/>
        </w:rPr>
        <w:t>6-4</w:t>
      </w:r>
      <w:r w:rsidRPr="00327DBE">
        <w:rPr>
          <w:rFonts w:hint="cs"/>
          <w:rtl/>
        </w:rPr>
        <w:tab/>
        <w:t xml:space="preserve">وترى اللجنة أن صاحب البلاغ </w:t>
      </w:r>
      <w:r>
        <w:rPr>
          <w:rFonts w:hint="cs"/>
          <w:rtl/>
        </w:rPr>
        <w:t xml:space="preserve">قد </w:t>
      </w:r>
      <w:r w:rsidRPr="00327DBE">
        <w:rPr>
          <w:rFonts w:hint="cs"/>
          <w:rtl/>
        </w:rPr>
        <w:t xml:space="preserve">قدم أدلة كافية تدعم </w:t>
      </w:r>
      <w:r>
        <w:rPr>
          <w:rFonts w:hint="cs"/>
          <w:rtl/>
        </w:rPr>
        <w:t>ادّعاءه</w:t>
      </w:r>
      <w:r w:rsidRPr="00327DBE">
        <w:rPr>
          <w:rFonts w:hint="cs"/>
          <w:rtl/>
        </w:rPr>
        <w:t xml:space="preserve"> بانتهاك حقوقه بموجب </w:t>
      </w:r>
      <w:r>
        <w:rPr>
          <w:rFonts w:hint="cs"/>
          <w:rtl/>
        </w:rPr>
        <w:t xml:space="preserve">الفقرة 2 من المادة 19 والمادة 21 من العهد لأغراض المقبولية، وتعلن من ثم </w:t>
      </w:r>
      <w:r w:rsidRPr="00327DBE">
        <w:rPr>
          <w:rFonts w:hint="cs"/>
          <w:rtl/>
        </w:rPr>
        <w:t xml:space="preserve">مقبولية البلاغ وتنتقل إلى النظر في </w:t>
      </w:r>
      <w:r w:rsidRPr="00251953">
        <w:rPr>
          <w:rFonts w:hint="cs"/>
          <w:b/>
          <w:rtl/>
        </w:rPr>
        <w:t>أسسه الموضوعية.</w:t>
      </w:r>
    </w:p>
    <w:p w:rsidR="00511585" w:rsidRPr="00327DBE" w:rsidRDefault="00511585" w:rsidP="00511585">
      <w:pPr>
        <w:pStyle w:val="H4GA"/>
        <w:rPr>
          <w:rtl/>
        </w:rPr>
      </w:pPr>
      <w:r>
        <w:rPr>
          <w:rFonts w:hint="cs"/>
          <w:rtl/>
        </w:rPr>
        <w:tab/>
      </w:r>
      <w:r>
        <w:rPr>
          <w:rFonts w:hint="cs"/>
          <w:rtl/>
        </w:rPr>
        <w:tab/>
      </w:r>
      <w:r w:rsidRPr="00327DBE">
        <w:rPr>
          <w:rFonts w:hint="cs"/>
          <w:rtl/>
        </w:rPr>
        <w:t>النظر في الأسس الموضوعية</w:t>
      </w:r>
    </w:p>
    <w:p w:rsidR="00511585" w:rsidRPr="00327DBE" w:rsidRDefault="00511585" w:rsidP="00511585">
      <w:pPr>
        <w:pStyle w:val="SingleTxtGA"/>
        <w:rPr>
          <w:rtl/>
          <w:lang w:bidi="ar-BH"/>
        </w:rPr>
      </w:pPr>
      <w:r w:rsidRPr="00327DBE">
        <w:rPr>
          <w:rFonts w:hint="cs"/>
          <w:rtl/>
        </w:rPr>
        <w:t>7-1</w:t>
      </w:r>
      <w:r w:rsidRPr="00327DBE">
        <w:rPr>
          <w:rFonts w:hint="cs"/>
          <w:rtl/>
        </w:rPr>
        <w:tab/>
        <w:t>نظرت اللجنة المعنية بحقوق الإنسان في البلاغ في ضوء جميع المعلومات التي أتاحها لها الطرفان</w:t>
      </w:r>
      <w:r>
        <w:rPr>
          <w:rFonts w:hint="cs"/>
          <w:rtl/>
        </w:rPr>
        <w:t>،</w:t>
      </w:r>
      <w:r w:rsidRPr="00327DBE">
        <w:rPr>
          <w:rFonts w:hint="cs"/>
          <w:rtl/>
        </w:rPr>
        <w:t xml:space="preserve"> حسبما تنص عليه الفقرة 1 من المادة 5 من البروتوكول الاختياري. </w:t>
      </w:r>
    </w:p>
    <w:p w:rsidR="00511585" w:rsidRPr="00327DBE" w:rsidRDefault="00511585" w:rsidP="005365E1">
      <w:pPr>
        <w:pStyle w:val="SingleTxtGA"/>
        <w:rPr>
          <w:rtl/>
        </w:rPr>
      </w:pPr>
      <w:r w:rsidRPr="00327DBE">
        <w:rPr>
          <w:rFonts w:hint="cs"/>
          <w:rtl/>
        </w:rPr>
        <w:t>7-2</w:t>
      </w:r>
      <w:r w:rsidRPr="00327DBE">
        <w:rPr>
          <w:rFonts w:hint="cs"/>
          <w:rtl/>
        </w:rPr>
        <w:tab/>
      </w:r>
      <w:r>
        <w:rPr>
          <w:rFonts w:hint="cs"/>
          <w:rtl/>
        </w:rPr>
        <w:t>و</w:t>
      </w:r>
      <w:r w:rsidRPr="00327DBE">
        <w:rPr>
          <w:rFonts w:hint="cs"/>
          <w:rtl/>
        </w:rPr>
        <w:t xml:space="preserve">تحيط اللجنة علماً بأن ادعاء صاحب البلاغ بأن إلقاء القبض عليه وإدانته </w:t>
      </w:r>
      <w:r>
        <w:rPr>
          <w:rFonts w:hint="cs"/>
          <w:rtl/>
        </w:rPr>
        <w:t>لمشاركته</w:t>
      </w:r>
      <w:r w:rsidRPr="00327DBE">
        <w:rPr>
          <w:rFonts w:hint="cs"/>
          <w:rtl/>
        </w:rPr>
        <w:t xml:space="preserve"> في مظاهرة سلمية </w:t>
      </w:r>
      <w:r>
        <w:rPr>
          <w:rFonts w:hint="cs"/>
          <w:rtl/>
        </w:rPr>
        <w:t>نُظمت</w:t>
      </w:r>
      <w:r w:rsidRPr="00327DBE">
        <w:rPr>
          <w:rFonts w:hint="cs"/>
          <w:rtl/>
        </w:rPr>
        <w:t xml:space="preserve"> دون الحصول على </w:t>
      </w:r>
      <w:r>
        <w:rPr>
          <w:rFonts w:hint="cs"/>
          <w:rtl/>
        </w:rPr>
        <w:t>ترخيص</w:t>
      </w:r>
      <w:r w:rsidRPr="00327DBE">
        <w:rPr>
          <w:rFonts w:hint="cs"/>
          <w:rtl/>
        </w:rPr>
        <w:t xml:space="preserve"> مسبق يشكل</w:t>
      </w:r>
      <w:r>
        <w:rPr>
          <w:rFonts w:hint="cs"/>
          <w:rtl/>
        </w:rPr>
        <w:t>ان</w:t>
      </w:r>
      <w:r w:rsidRPr="00327DBE">
        <w:rPr>
          <w:rFonts w:hint="cs"/>
          <w:rtl/>
        </w:rPr>
        <w:t xml:space="preserve"> تقييداً لا مبرر له </w:t>
      </w:r>
      <w:r>
        <w:rPr>
          <w:rFonts w:hint="cs"/>
          <w:rtl/>
        </w:rPr>
        <w:t>لحقه</w:t>
      </w:r>
      <w:r w:rsidRPr="00327DBE">
        <w:rPr>
          <w:rFonts w:hint="cs"/>
          <w:rtl/>
        </w:rPr>
        <w:t xml:space="preserve"> في حرية التعبير و</w:t>
      </w:r>
      <w:r>
        <w:rPr>
          <w:rFonts w:hint="cs"/>
          <w:rtl/>
        </w:rPr>
        <w:t xml:space="preserve">في حرية التجمع، على النحو الذي </w:t>
      </w:r>
      <w:r w:rsidRPr="00327DBE">
        <w:rPr>
          <w:rFonts w:hint="cs"/>
          <w:rtl/>
        </w:rPr>
        <w:t xml:space="preserve">تحميه الفقرة 2 من المادة 19 والمادة 21 من العهد. ولذلك </w:t>
      </w:r>
      <w:r>
        <w:rPr>
          <w:rFonts w:hint="cs"/>
          <w:rtl/>
        </w:rPr>
        <w:t>يجب</w:t>
      </w:r>
      <w:r w:rsidRPr="00327DBE">
        <w:rPr>
          <w:rFonts w:hint="cs"/>
          <w:rtl/>
        </w:rPr>
        <w:t xml:space="preserve"> على اللجنة أن تنظر فيما إذا كان </w:t>
      </w:r>
      <w:r>
        <w:rPr>
          <w:rFonts w:hint="cs"/>
          <w:rtl/>
        </w:rPr>
        <w:t>القيْد</w:t>
      </w:r>
      <w:r w:rsidRPr="00327DBE">
        <w:rPr>
          <w:rFonts w:hint="cs"/>
          <w:rtl/>
        </w:rPr>
        <w:t xml:space="preserve"> المفروض على حقوق صاحب البلاغ في هذا البلاغ له ما يبرره بموجب أي معيار </w:t>
      </w:r>
      <w:r>
        <w:rPr>
          <w:rFonts w:hint="cs"/>
          <w:rtl/>
        </w:rPr>
        <w:t xml:space="preserve">من المعايير التي </w:t>
      </w:r>
      <w:r w:rsidRPr="00327DBE">
        <w:rPr>
          <w:rFonts w:hint="cs"/>
          <w:rtl/>
        </w:rPr>
        <w:t>تنص عليه الفقرة 3 من المادة</w:t>
      </w:r>
      <w:r w:rsidR="005365E1">
        <w:rPr>
          <w:rFonts w:hint="eastAsia"/>
          <w:rtl/>
        </w:rPr>
        <w:t> </w:t>
      </w:r>
      <w:r w:rsidRPr="00327DBE">
        <w:rPr>
          <w:rFonts w:hint="cs"/>
          <w:rtl/>
        </w:rPr>
        <w:t>19 والجملة الثانية من المادة 21 من العهد.</w:t>
      </w:r>
    </w:p>
    <w:p w:rsidR="00511585" w:rsidRPr="00327DBE" w:rsidRDefault="00511585" w:rsidP="006E02AA">
      <w:pPr>
        <w:pStyle w:val="SingleTxtGA"/>
        <w:rPr>
          <w:lang w:bidi="ar-BH"/>
        </w:rPr>
      </w:pPr>
      <w:r w:rsidRPr="00327DBE">
        <w:rPr>
          <w:rFonts w:hint="cs"/>
          <w:rtl/>
        </w:rPr>
        <w:t>7-3</w:t>
      </w:r>
      <w:r w:rsidRPr="00327DBE">
        <w:rPr>
          <w:rFonts w:hint="cs"/>
          <w:rtl/>
        </w:rPr>
        <w:tab/>
      </w:r>
      <w:r>
        <w:rPr>
          <w:rtl/>
        </w:rPr>
        <w:t>وتُذكّر اللجنة بأن</w:t>
      </w:r>
      <w:r>
        <w:rPr>
          <w:rFonts w:hint="cs"/>
          <w:rtl/>
        </w:rPr>
        <w:t xml:space="preserve"> الفقرة 3 من</w:t>
      </w:r>
      <w:r>
        <w:rPr>
          <w:rtl/>
        </w:rPr>
        <w:t xml:space="preserve"> المادة 19</w:t>
      </w:r>
      <w:r>
        <w:rPr>
          <w:rFonts w:hint="cs"/>
          <w:rtl/>
        </w:rPr>
        <w:t xml:space="preserve"> </w:t>
      </w:r>
      <w:r>
        <w:rPr>
          <w:rtl/>
        </w:rPr>
        <w:t>من العهد تجيز فرض قيود معينة، ولكن شريطة أن تكون محددة بنص القانون وأن تكون ضرورية</w:t>
      </w:r>
      <w:r w:rsidR="005365E1">
        <w:rPr>
          <w:rFonts w:hint="cs"/>
          <w:rtl/>
        </w:rPr>
        <w:t xml:space="preserve"> </w:t>
      </w:r>
      <w:r>
        <w:rPr>
          <w:rtl/>
        </w:rPr>
        <w:t>لاحترام حقوق الآخرين أو سمعتهم</w:t>
      </w:r>
      <w:r>
        <w:rPr>
          <w:rFonts w:hint="cs"/>
          <w:rtl/>
        </w:rPr>
        <w:t xml:space="preserve"> و</w:t>
      </w:r>
      <w:r>
        <w:rPr>
          <w:rtl/>
        </w:rPr>
        <w:t>لحماية الأمن القومي أو النظام العام أو الصحة العامة أو الآداب العامة</w:t>
      </w:r>
      <w:r>
        <w:rPr>
          <w:rFonts w:hint="cs"/>
          <w:rtl/>
        </w:rPr>
        <w:t xml:space="preserve">. </w:t>
      </w:r>
      <w:r>
        <w:rPr>
          <w:rtl/>
        </w:rPr>
        <w:t xml:space="preserve">وتشير اللجنة إلى </w:t>
      </w:r>
      <w:r>
        <w:rPr>
          <w:rtl/>
        </w:rPr>
        <w:lastRenderedPageBreak/>
        <w:t>تعليقها العام رقم 34(2011) بشأن حرية الرأي وحرية التعبير، ا</w:t>
      </w:r>
      <w:r>
        <w:rPr>
          <w:rFonts w:hint="cs"/>
          <w:rtl/>
        </w:rPr>
        <w:t xml:space="preserve">لذي تذكر فيه </w:t>
      </w:r>
      <w:r>
        <w:rPr>
          <w:rtl/>
        </w:rPr>
        <w:t xml:space="preserve">أن هاتين الحريتين شرطان لا غنى عنهما لتحقيق النمو الكامل للفرد </w:t>
      </w:r>
      <w:r>
        <w:rPr>
          <w:rFonts w:hint="cs"/>
          <w:rtl/>
        </w:rPr>
        <w:t>ودعامتان أساسيتان ل</w:t>
      </w:r>
      <w:r>
        <w:rPr>
          <w:rtl/>
        </w:rPr>
        <w:t>أي مجتمع.</w:t>
      </w:r>
      <w:r>
        <w:rPr>
          <w:rFonts w:hint="cs"/>
          <w:rtl/>
        </w:rPr>
        <w:t xml:space="preserve"> وهما ت</w:t>
      </w:r>
      <w:r w:rsidRPr="00327DBE">
        <w:rPr>
          <w:rFonts w:hint="cs"/>
          <w:rtl/>
        </w:rPr>
        <w:t>شكلان ح</w:t>
      </w:r>
      <w:r>
        <w:rPr>
          <w:rFonts w:hint="cs"/>
          <w:rtl/>
        </w:rPr>
        <w:t>جر الأساس لكل مجتمع حر وديمقراط</w:t>
      </w:r>
      <w:r w:rsidR="006E02AA">
        <w:rPr>
          <w:rFonts w:hint="cs"/>
          <w:rtl/>
        </w:rPr>
        <w:t>ي</w:t>
      </w:r>
      <w:r>
        <w:rPr>
          <w:rFonts w:hint="cs"/>
          <w:rtl/>
        </w:rPr>
        <w:t>.</w:t>
      </w:r>
      <w:r w:rsidR="00B76D1E">
        <w:rPr>
          <w:rFonts w:hint="cs"/>
          <w:rtl/>
        </w:rPr>
        <w:t xml:space="preserve"> </w:t>
      </w:r>
      <w:r>
        <w:rPr>
          <w:rtl/>
        </w:rPr>
        <w:t>وأي قيود تُفرض على ممارسة هاتين الحريتين يجب أن تكون متلائمة مع اختبارات صارمة تتعلق بالضرورة والتناسب.</w:t>
      </w:r>
      <w:r w:rsidR="00B76D1E">
        <w:rPr>
          <w:rFonts w:hint="cs"/>
          <w:rtl/>
        </w:rPr>
        <w:t xml:space="preserve"> </w:t>
      </w:r>
      <w:r>
        <w:rPr>
          <w:rtl/>
        </w:rPr>
        <w:t>ولا يجوز تطبيق القيود إلاّ للأغراض التي وُضعت من أجلها كما يجب أن تتعلق مباشرة بالغرض المحدد الذي تأسست علي</w:t>
      </w:r>
      <w:r>
        <w:rPr>
          <w:rFonts w:hint="cs"/>
          <w:rtl/>
        </w:rPr>
        <w:t xml:space="preserve">ه. </w:t>
      </w:r>
      <w:r>
        <w:rPr>
          <w:rtl/>
        </w:rPr>
        <w:t>وتُذكّر اللجنة</w:t>
      </w:r>
      <w:r>
        <w:rPr>
          <w:rStyle w:val="FootnoteReference"/>
          <w:rtl/>
        </w:rPr>
        <w:footnoteReference w:customMarkFollows="1" w:id="9"/>
        <w:t>(7)</w:t>
      </w:r>
      <w:r>
        <w:rPr>
          <w:rFonts w:hint="cs"/>
          <w:rtl/>
        </w:rPr>
        <w:t xml:space="preserve"> </w:t>
      </w:r>
      <w:r>
        <w:rPr>
          <w:rtl/>
        </w:rPr>
        <w:t>بأن الدولة الطرف هي من يجب أن يثبت أن القيود المفروضة على حقوق صاحب البلاغ التي تكفلها المادة 19 من العهد ضرورية ومتناسبة</w:t>
      </w:r>
      <w:r>
        <w:rPr>
          <w:rFonts w:hint="cs"/>
          <w:rtl/>
        </w:rPr>
        <w:t>.</w:t>
      </w:r>
    </w:p>
    <w:p w:rsidR="00511585" w:rsidRPr="00327DBE" w:rsidRDefault="00511585" w:rsidP="00511585">
      <w:pPr>
        <w:pStyle w:val="SingleTxtGA"/>
        <w:rPr>
          <w:rtl/>
          <w:lang w:bidi="ar-BH"/>
        </w:rPr>
      </w:pPr>
      <w:r w:rsidRPr="00327DBE">
        <w:rPr>
          <w:rFonts w:hint="cs"/>
          <w:rtl/>
        </w:rPr>
        <w:t>7-4</w:t>
      </w:r>
      <w:r w:rsidRPr="00327DBE">
        <w:rPr>
          <w:rFonts w:hint="cs"/>
          <w:rtl/>
        </w:rPr>
        <w:tab/>
        <w:t>وتذك</w:t>
      </w:r>
      <w:r>
        <w:rPr>
          <w:rFonts w:hint="cs"/>
          <w:rtl/>
        </w:rPr>
        <w:t>ّ</w:t>
      </w:r>
      <w:r w:rsidRPr="00327DBE">
        <w:rPr>
          <w:rFonts w:hint="cs"/>
          <w:rtl/>
        </w:rPr>
        <w:t>ر اللجنة أيضاً بأن الحق في التجمع السلمي</w:t>
      </w:r>
      <w:r>
        <w:rPr>
          <w:rFonts w:hint="cs"/>
          <w:rtl/>
        </w:rPr>
        <w:t>، على النحو الذي تكفله المادة 21 من العهد،</w:t>
      </w:r>
      <w:r w:rsidRPr="00327DBE">
        <w:rPr>
          <w:rFonts w:hint="cs"/>
          <w:rtl/>
        </w:rPr>
        <w:t xml:space="preserve"> هو حق من حقوق الإنسان الأساسية </w:t>
      </w:r>
      <w:r>
        <w:rPr>
          <w:rFonts w:hint="cs"/>
          <w:rtl/>
        </w:rPr>
        <w:t>لا بد منه</w:t>
      </w:r>
      <w:r w:rsidRPr="00327DBE">
        <w:rPr>
          <w:rFonts w:hint="cs"/>
          <w:rtl/>
        </w:rPr>
        <w:t xml:space="preserve"> لتعبير المرء عن </w:t>
      </w:r>
      <w:r>
        <w:rPr>
          <w:rFonts w:hint="cs"/>
          <w:rtl/>
        </w:rPr>
        <w:t>وجهات نظره</w:t>
      </w:r>
      <w:r w:rsidRPr="00327DBE">
        <w:rPr>
          <w:rFonts w:hint="cs"/>
          <w:rtl/>
        </w:rPr>
        <w:t xml:space="preserve"> وآرائه </w:t>
      </w:r>
      <w:r>
        <w:rPr>
          <w:rFonts w:hint="cs"/>
          <w:rtl/>
        </w:rPr>
        <w:t>على الملأ</w:t>
      </w:r>
      <w:r w:rsidRPr="00327DBE">
        <w:rPr>
          <w:rFonts w:hint="cs"/>
          <w:rtl/>
        </w:rPr>
        <w:t xml:space="preserve"> ولا غنى عنه في أي مجتمع ديمقراطي. و</w:t>
      </w:r>
      <w:r>
        <w:rPr>
          <w:rFonts w:hint="cs"/>
          <w:rtl/>
        </w:rPr>
        <w:t>يترتب</w:t>
      </w:r>
      <w:r w:rsidRPr="00327DBE">
        <w:rPr>
          <w:rFonts w:hint="cs"/>
          <w:rtl/>
        </w:rPr>
        <w:t xml:space="preserve"> </w:t>
      </w:r>
      <w:r>
        <w:rPr>
          <w:rFonts w:hint="cs"/>
          <w:rtl/>
        </w:rPr>
        <w:t xml:space="preserve">على </w:t>
      </w:r>
      <w:r w:rsidRPr="00327DBE">
        <w:rPr>
          <w:rFonts w:hint="cs"/>
          <w:rtl/>
        </w:rPr>
        <w:t xml:space="preserve">هذا الحق إمكانية </w:t>
      </w:r>
      <w:r>
        <w:rPr>
          <w:rFonts w:hint="cs"/>
          <w:rtl/>
        </w:rPr>
        <w:t>المشاركة</w:t>
      </w:r>
      <w:r w:rsidRPr="00327DBE">
        <w:rPr>
          <w:rFonts w:hint="cs"/>
          <w:rtl/>
        </w:rPr>
        <w:t xml:space="preserve"> في تجمع سلمي</w:t>
      </w:r>
      <w:r>
        <w:rPr>
          <w:rFonts w:hint="cs"/>
          <w:rtl/>
        </w:rPr>
        <w:t xml:space="preserve">، </w:t>
      </w:r>
      <w:r>
        <w:rPr>
          <w:rtl/>
        </w:rPr>
        <w:t xml:space="preserve">بما في ذلك الحق في تنظيم تجمع ثابت (كالاعتصام) في </w:t>
      </w:r>
      <w:r>
        <w:rPr>
          <w:rFonts w:hint="cs"/>
          <w:rtl/>
        </w:rPr>
        <w:t>مكان</w:t>
      </w:r>
      <w:r>
        <w:rPr>
          <w:rtl/>
        </w:rPr>
        <w:t xml:space="preserve"> عام.</w:t>
      </w:r>
      <w:r w:rsidRPr="00327DBE">
        <w:rPr>
          <w:rFonts w:hint="cs"/>
          <w:rtl/>
        </w:rPr>
        <w:t xml:space="preserve"> </w:t>
      </w:r>
      <w:r>
        <w:rPr>
          <w:rtl/>
        </w:rPr>
        <w:t>و</w:t>
      </w:r>
      <w:r>
        <w:rPr>
          <w:rFonts w:hint="cs"/>
          <w:rtl/>
        </w:rPr>
        <w:t xml:space="preserve">يحق لمنظمي تجمع ما </w:t>
      </w:r>
      <w:r>
        <w:rPr>
          <w:rtl/>
        </w:rPr>
        <w:t>عموماً</w:t>
      </w:r>
      <w:r>
        <w:rPr>
          <w:rFonts w:hint="cs"/>
          <w:rtl/>
        </w:rPr>
        <w:t xml:space="preserve"> </w:t>
      </w:r>
      <w:r>
        <w:rPr>
          <w:rtl/>
        </w:rPr>
        <w:t xml:space="preserve">اختيار </w:t>
      </w:r>
      <w:r>
        <w:rPr>
          <w:rFonts w:hint="cs"/>
          <w:rtl/>
        </w:rPr>
        <w:t>مكان يقع</w:t>
      </w:r>
      <w:r>
        <w:rPr>
          <w:rtl/>
        </w:rPr>
        <w:t xml:space="preserve"> على مرأى ومسمع الجمهور المستهدف، ولا يجوز تقييد هذا الحق إلاّ إذا كان التقييد مفروضاً </w:t>
      </w:r>
      <w:r>
        <w:rPr>
          <w:rFonts w:hint="cs"/>
          <w:rtl/>
        </w:rPr>
        <w:t>بموجب القانون وضرورياً ف</w:t>
      </w:r>
      <w:r>
        <w:rPr>
          <w:rtl/>
        </w:rPr>
        <w:t xml:space="preserve">ي مجتمع ديمقراطي، </w:t>
      </w:r>
      <w:r>
        <w:rPr>
          <w:rFonts w:hint="cs"/>
          <w:rtl/>
        </w:rPr>
        <w:t>لصون</w:t>
      </w:r>
      <w:r>
        <w:rPr>
          <w:rtl/>
        </w:rPr>
        <w:t xml:space="preserve"> الأمن القومي أو السلامة العامة أو النظام العام أو حماية الصحة العامة أو الآداب العامة أو حماية حقوق الآخرين وحرياتهم.</w:t>
      </w:r>
      <w:r>
        <w:rPr>
          <w:rFonts w:hint="cs"/>
          <w:rtl/>
        </w:rPr>
        <w:t xml:space="preserve"> </w:t>
      </w:r>
      <w:r>
        <w:rPr>
          <w:rtl/>
        </w:rPr>
        <w:t>وعليه، فإن الدولة الطرف ملزمة بتبرير تقييدها للحق الذي تحميه المادة 21 من العهد.</w:t>
      </w:r>
    </w:p>
    <w:p w:rsidR="00511585" w:rsidRPr="00327DBE" w:rsidRDefault="00511585" w:rsidP="006E02AA">
      <w:pPr>
        <w:pStyle w:val="SingleTxtGA"/>
        <w:rPr>
          <w:rtl/>
        </w:rPr>
      </w:pPr>
      <w:r w:rsidRPr="00327DBE">
        <w:rPr>
          <w:rFonts w:hint="cs"/>
          <w:rtl/>
        </w:rPr>
        <w:t>7-5</w:t>
      </w:r>
      <w:r w:rsidRPr="00327DBE">
        <w:rPr>
          <w:rFonts w:hint="cs"/>
          <w:rtl/>
        </w:rPr>
        <w:tab/>
        <w:t xml:space="preserve">وتحيط اللجنة علماً بادعاءات صاحب البلاغ </w:t>
      </w:r>
      <w:r>
        <w:rPr>
          <w:rFonts w:hint="cs"/>
          <w:rtl/>
        </w:rPr>
        <w:t>بأنه قد ألقي</w:t>
      </w:r>
      <w:r w:rsidRPr="00327DBE">
        <w:rPr>
          <w:rFonts w:hint="cs"/>
          <w:rtl/>
        </w:rPr>
        <w:t xml:space="preserve"> القبض عليه و</w:t>
      </w:r>
      <w:r>
        <w:rPr>
          <w:rFonts w:hint="cs"/>
          <w:rtl/>
        </w:rPr>
        <w:t>اقتيد</w:t>
      </w:r>
      <w:r w:rsidRPr="00327DBE">
        <w:rPr>
          <w:rFonts w:hint="cs"/>
          <w:rtl/>
        </w:rPr>
        <w:t xml:space="preserve"> إلى </w:t>
      </w:r>
      <w:r>
        <w:rPr>
          <w:rFonts w:hint="cs"/>
          <w:rtl/>
        </w:rPr>
        <w:t>مركز</w:t>
      </w:r>
      <w:r w:rsidRPr="00327DBE">
        <w:rPr>
          <w:rFonts w:hint="cs"/>
          <w:rtl/>
        </w:rPr>
        <w:t xml:space="preserve"> شرطة </w:t>
      </w:r>
      <w:r>
        <w:rPr>
          <w:rFonts w:hint="cs"/>
          <w:rtl/>
        </w:rPr>
        <w:t>لمشاركته</w:t>
      </w:r>
      <w:r w:rsidRPr="00327DBE">
        <w:rPr>
          <w:rFonts w:hint="cs"/>
          <w:rtl/>
        </w:rPr>
        <w:t xml:space="preserve"> في مظاهرة سلمية </w:t>
      </w:r>
      <w:r>
        <w:rPr>
          <w:rFonts w:hint="cs"/>
          <w:rtl/>
        </w:rPr>
        <w:t>ولكن غير مرخصة</w:t>
      </w:r>
      <w:r w:rsidRPr="00327DBE">
        <w:rPr>
          <w:rFonts w:hint="cs"/>
          <w:rtl/>
        </w:rPr>
        <w:t xml:space="preserve">، </w:t>
      </w:r>
      <w:r>
        <w:rPr>
          <w:rFonts w:hint="cs"/>
          <w:rtl/>
        </w:rPr>
        <w:t>ولحمله لافتة عليها عبارة "</w:t>
      </w:r>
      <w:r w:rsidRPr="00327DBE">
        <w:rPr>
          <w:rFonts w:hint="cs"/>
          <w:rtl/>
        </w:rPr>
        <w:t>أوقفوا قتل المثليين في إيران</w:t>
      </w:r>
      <w:r>
        <w:rPr>
          <w:rFonts w:hint="cs"/>
          <w:rtl/>
        </w:rPr>
        <w:t>"</w:t>
      </w:r>
      <w:r w:rsidRPr="00327DBE">
        <w:rPr>
          <w:rFonts w:hint="cs"/>
          <w:rtl/>
        </w:rPr>
        <w:t xml:space="preserve"> أمام سفارة جمهورية إيران الإسلامية في مينسك. </w:t>
      </w:r>
      <w:r>
        <w:rPr>
          <w:rFonts w:hint="cs"/>
          <w:rtl/>
        </w:rPr>
        <w:t>وقد حُكم عليه</w:t>
      </w:r>
      <w:r w:rsidRPr="00327DBE">
        <w:rPr>
          <w:rFonts w:hint="cs"/>
          <w:rtl/>
        </w:rPr>
        <w:t xml:space="preserve"> </w:t>
      </w:r>
      <w:r>
        <w:rPr>
          <w:rFonts w:hint="cs"/>
          <w:rtl/>
        </w:rPr>
        <w:t>في وقت لاحق ب</w:t>
      </w:r>
      <w:r w:rsidRPr="00327DBE">
        <w:rPr>
          <w:rFonts w:hint="cs"/>
          <w:rtl/>
        </w:rPr>
        <w:t>غرامة إدارية لأنه انتهك الفقرة 1 من المادة 23-</w:t>
      </w:r>
      <w:r w:rsidR="006E02AA">
        <w:rPr>
          <w:rFonts w:hint="cs"/>
          <w:rtl/>
        </w:rPr>
        <w:t>3</w:t>
      </w:r>
      <w:r w:rsidRPr="00327DBE">
        <w:rPr>
          <w:rFonts w:hint="cs"/>
          <w:rtl/>
        </w:rPr>
        <w:t>4 من قانون المخالفات الإدارية في بيلاروس.</w:t>
      </w:r>
    </w:p>
    <w:p w:rsidR="00511585" w:rsidRPr="00327DBE" w:rsidRDefault="00511585" w:rsidP="006E02AA">
      <w:pPr>
        <w:pStyle w:val="SingleTxtGA"/>
        <w:rPr>
          <w:rtl/>
          <w:lang w:bidi="ar-BH"/>
        </w:rPr>
      </w:pPr>
      <w:r w:rsidRPr="00327DBE">
        <w:rPr>
          <w:rFonts w:hint="cs"/>
          <w:rtl/>
        </w:rPr>
        <w:t>7-6</w:t>
      </w:r>
      <w:r w:rsidRPr="00327DBE">
        <w:rPr>
          <w:rFonts w:hint="cs"/>
          <w:rtl/>
        </w:rPr>
        <w:tab/>
      </w:r>
      <w:r>
        <w:rPr>
          <w:rtl/>
        </w:rPr>
        <w:t xml:space="preserve">وتحيط اللجنة علماً بادعاء صاحب البلاغ بأنه لم يتمكن من أن يطلب </w:t>
      </w:r>
      <w:r>
        <w:rPr>
          <w:rFonts w:hint="cs"/>
          <w:rtl/>
        </w:rPr>
        <w:t>ترخيصاً</w:t>
      </w:r>
      <w:r>
        <w:rPr>
          <w:rtl/>
        </w:rPr>
        <w:t xml:space="preserve"> مسبقاً </w:t>
      </w:r>
      <w:r>
        <w:rPr>
          <w:rFonts w:hint="cs"/>
          <w:rtl/>
        </w:rPr>
        <w:t>للمشاركة</w:t>
      </w:r>
      <w:r>
        <w:rPr>
          <w:rtl/>
        </w:rPr>
        <w:t xml:space="preserve"> في المظاهرة بسبب النظام الصارم </w:t>
      </w:r>
      <w:r>
        <w:rPr>
          <w:rFonts w:hint="cs"/>
          <w:rtl/>
        </w:rPr>
        <w:t>لق</w:t>
      </w:r>
      <w:r>
        <w:rPr>
          <w:rtl/>
        </w:rPr>
        <w:t>انون التجمعات الجماهيرية الذي يفرض قيوداً غير معقولة على الحق الذي تكفله المادة 21 من العهد.</w:t>
      </w:r>
      <w:r>
        <w:rPr>
          <w:rFonts w:cs="Times New Roman" w:hint="cs"/>
          <w:rtl/>
        </w:rPr>
        <w:t>‬</w:t>
      </w:r>
      <w:r>
        <w:rPr>
          <w:rFonts w:hint="cs"/>
          <w:rtl/>
        </w:rPr>
        <w:t xml:space="preserve"> </w:t>
      </w:r>
      <w:r>
        <w:rPr>
          <w:rtl/>
        </w:rPr>
        <w:t>وتذكّر اللجنة بأن الدولة الطرف، عند فرضها قيوداً على الحق في حرية التجمع السلمي، ينبغي أن تسترشد بهدف تيسير</w:t>
      </w:r>
      <w:r>
        <w:rPr>
          <w:rFonts w:hint="cs"/>
          <w:rtl/>
        </w:rPr>
        <w:t xml:space="preserve"> هذا</w:t>
      </w:r>
      <w:r>
        <w:rPr>
          <w:rtl/>
        </w:rPr>
        <w:t xml:space="preserve"> الحق، وليس السعي إلى فرض قيود غير ضرورية أو غير متناسبة </w:t>
      </w:r>
      <w:r>
        <w:rPr>
          <w:rFonts w:hint="cs"/>
          <w:rtl/>
        </w:rPr>
        <w:t>على ممارسته</w:t>
      </w:r>
      <w:r>
        <w:rPr>
          <w:rStyle w:val="FootnoteReference"/>
          <w:rtl/>
        </w:rPr>
        <w:footnoteReference w:customMarkFollows="1" w:id="10"/>
        <w:t>(8)</w:t>
      </w:r>
      <w:r>
        <w:rPr>
          <w:rFonts w:hint="cs"/>
          <w:rtl/>
        </w:rPr>
        <w:t xml:space="preserve">. </w:t>
      </w:r>
      <w:r>
        <w:rPr>
          <w:rtl/>
        </w:rPr>
        <w:t>و</w:t>
      </w:r>
      <w:r>
        <w:rPr>
          <w:rFonts w:hint="cs"/>
          <w:rtl/>
        </w:rPr>
        <w:t xml:space="preserve">تلاحظ اللجنة </w:t>
      </w:r>
      <w:r>
        <w:rPr>
          <w:rtl/>
        </w:rPr>
        <w:t xml:space="preserve">في هذا الصدد أن القيود المفروضة في حالة صاحب البلاغ، وإن كانت قد فُرضت وفقاً </w:t>
      </w:r>
      <w:r>
        <w:rPr>
          <w:rtl/>
        </w:rPr>
        <w:lastRenderedPageBreak/>
        <w:t>للقانون، فإن الدولة الطرف لم تحاول ت</w:t>
      </w:r>
      <w:r>
        <w:rPr>
          <w:rFonts w:hint="cs"/>
          <w:rtl/>
        </w:rPr>
        <w:t>برير سبب</w:t>
      </w:r>
      <w:r>
        <w:rPr>
          <w:rtl/>
        </w:rPr>
        <w:t xml:space="preserve"> كون هذه القيود ضرورية وما إذا كانت متناسبة مع أحد الأغراض المشروعة المنصوص عليها في الجملة الثانية من المادة 21 من العهد.</w:t>
      </w:r>
      <w:r>
        <w:rPr>
          <w:rFonts w:cs="Times New Roman" w:hint="cs"/>
          <w:rtl/>
        </w:rPr>
        <w:t>‬</w:t>
      </w:r>
      <w:r>
        <w:rPr>
          <w:rFonts w:hint="cs"/>
          <w:rtl/>
          <w:lang w:bidi="ar-BH"/>
        </w:rPr>
        <w:t xml:space="preserve"> </w:t>
      </w:r>
      <w:r>
        <w:rPr>
          <w:rtl/>
        </w:rPr>
        <w:t xml:space="preserve">كما أن الدولة الطرف لم توضح كيف يمكن، من الناحية العملية في هذه الحالة، أن تكون مشاركة صاحب البلاغ في مظاهرة سلمية لم </w:t>
      </w:r>
      <w:r>
        <w:rPr>
          <w:rFonts w:hint="cs"/>
          <w:rtl/>
        </w:rPr>
        <w:t>تشارك فيها إلا قلة من ال</w:t>
      </w:r>
      <w:r>
        <w:rPr>
          <w:rtl/>
        </w:rPr>
        <w:t>أشخاص، قد شكلت انتهاكاً لحقوق وحريات أشخاص آخرين أو تهديداً لحماية الأمن العام أو النظام العام أو الصحة العامة أو الآداب العامة.</w:t>
      </w:r>
      <w:r>
        <w:rPr>
          <w:rFonts w:cs="Times New Roman" w:hint="cs"/>
          <w:rtl/>
        </w:rPr>
        <w:t>‬</w:t>
      </w:r>
      <w:r>
        <w:rPr>
          <w:rFonts w:hint="cs"/>
          <w:rtl/>
          <w:lang w:bidi="ar-BH"/>
        </w:rPr>
        <w:t xml:space="preserve"> </w:t>
      </w:r>
      <w:r>
        <w:rPr>
          <w:rtl/>
        </w:rPr>
        <w:t>وتلاحظ اللجنة أنه بينما يمكن اعتبار ضمان أمن وسلامة سفارة دولة أجنبية غرضاً مشروعاً لتقييد الحق في التجمع السلمي، فإنه يجب على الدولة الطرف أن تبرر لماذا يكون إلقاء القبض على صاحب البلاغ وفرض غرامة إدارية عليه أمراً ضرورياً ومتناسباً مع هذا الغرض.</w:t>
      </w:r>
      <w:r>
        <w:rPr>
          <w:rFonts w:cs="Times New Roman" w:hint="cs"/>
          <w:rtl/>
        </w:rPr>
        <w:t>‬</w:t>
      </w:r>
      <w:r>
        <w:rPr>
          <w:rFonts w:hint="cs"/>
          <w:rtl/>
          <w:lang w:bidi="ar-BH"/>
        </w:rPr>
        <w:t xml:space="preserve"> </w:t>
      </w:r>
      <w:r>
        <w:rPr>
          <w:rFonts w:hint="cs"/>
          <w:rtl/>
        </w:rPr>
        <w:t>لذا، فإن</w:t>
      </w:r>
      <w:r>
        <w:rPr>
          <w:rtl/>
        </w:rPr>
        <w:t xml:space="preserve"> اللجنة، نظراً </w:t>
      </w:r>
      <w:r>
        <w:rPr>
          <w:rFonts w:hint="cs"/>
          <w:rtl/>
        </w:rPr>
        <w:t>ل</w:t>
      </w:r>
      <w:r>
        <w:rPr>
          <w:rtl/>
        </w:rPr>
        <w:t xml:space="preserve">عدم تقديم الدول الطرف أي </w:t>
      </w:r>
      <w:r>
        <w:rPr>
          <w:rFonts w:hint="cs"/>
          <w:rtl/>
        </w:rPr>
        <w:t>تفسير وجيه</w:t>
      </w:r>
      <w:r>
        <w:rPr>
          <w:rtl/>
        </w:rPr>
        <w:t>، ترى أنه يجب إعطاء الاعتبار الواجب لادعاءات صاحب البلاغ.</w:t>
      </w:r>
      <w:r>
        <w:rPr>
          <w:rFonts w:cs="Times New Roman" w:hint="cs"/>
          <w:rtl/>
        </w:rPr>
        <w:t>‬</w:t>
      </w:r>
    </w:p>
    <w:p w:rsidR="00511585" w:rsidRDefault="00511585" w:rsidP="00511585">
      <w:pPr>
        <w:pStyle w:val="SingleTxtGA"/>
        <w:rPr>
          <w:spacing w:val="-1"/>
          <w:rtl/>
          <w:lang w:bidi="ar-BH"/>
        </w:rPr>
      </w:pPr>
      <w:r w:rsidRPr="00917CBD">
        <w:rPr>
          <w:rFonts w:hint="cs"/>
          <w:spacing w:val="-1"/>
          <w:rtl/>
        </w:rPr>
        <w:t>7-7</w:t>
      </w:r>
      <w:r w:rsidRPr="00917CBD">
        <w:rPr>
          <w:rFonts w:hint="cs"/>
          <w:spacing w:val="-1"/>
          <w:rtl/>
        </w:rPr>
        <w:tab/>
      </w:r>
      <w:r>
        <w:rPr>
          <w:rFonts w:hint="cs"/>
          <w:spacing w:val="-1"/>
          <w:rtl/>
        </w:rPr>
        <w:t>وتلاحظ</w:t>
      </w:r>
      <w:r w:rsidRPr="00917CBD">
        <w:rPr>
          <w:rFonts w:hint="cs"/>
          <w:spacing w:val="-1"/>
          <w:rtl/>
        </w:rPr>
        <w:t xml:space="preserve"> اللجنة </w:t>
      </w:r>
      <w:r>
        <w:rPr>
          <w:rFonts w:hint="cs"/>
          <w:spacing w:val="-1"/>
          <w:rtl/>
        </w:rPr>
        <w:t xml:space="preserve">أن صاحب البلاغ قد ألقي القبض عليه وفُرضت عليه غرامة إدارية وفقاً للفقرة 1 من المادة 23-34 من قانون المخالفات الإدارية لبيلاروس، بسبب مشاركته في مظاهرة غير مرخصة. وتلاحظ اللجنة أن الدولة الطرف </w:t>
      </w:r>
      <w:r>
        <w:rPr>
          <w:rtl/>
        </w:rPr>
        <w:t xml:space="preserve">لم </w:t>
      </w:r>
      <w:r>
        <w:rPr>
          <w:rFonts w:hint="cs"/>
          <w:rtl/>
        </w:rPr>
        <w:t>توضح كيف</w:t>
      </w:r>
      <w:r>
        <w:rPr>
          <w:rtl/>
        </w:rPr>
        <w:t xml:space="preserve"> أن إلقاء القبض على صاحب البلاغ وفرض عقوبة عليه، </w:t>
      </w:r>
      <w:r>
        <w:rPr>
          <w:rFonts w:hint="cs"/>
          <w:rtl/>
        </w:rPr>
        <w:t>وإن كانا يستندان إلى</w:t>
      </w:r>
      <w:r>
        <w:rPr>
          <w:rtl/>
        </w:rPr>
        <w:t xml:space="preserve"> القانون،</w:t>
      </w:r>
      <w:r>
        <w:rPr>
          <w:rFonts w:hint="cs"/>
          <w:spacing w:val="-1"/>
          <w:rtl/>
          <w:lang w:bidi="ar-BH"/>
        </w:rPr>
        <w:t xml:space="preserve"> كانا ضروريين ومتناسبين لتحقيق أحد الأغراض المشروعة المنصوص عليها في الجملة الثانية من المادة 21 من العهد. وتخلص اللجنة إذن إلى أن الوقائع المعروضة عليها تنم عن انتهاك الدولة الطرف حقوق صاحب البلاغ بموجب المادة 21 من العهد.</w:t>
      </w:r>
    </w:p>
    <w:p w:rsidR="00511585" w:rsidRPr="00327DBE" w:rsidRDefault="00511585" w:rsidP="00511585">
      <w:pPr>
        <w:pStyle w:val="SingleTxtGA"/>
        <w:rPr>
          <w:rtl/>
        </w:rPr>
      </w:pPr>
      <w:r w:rsidRPr="00327DBE">
        <w:rPr>
          <w:rFonts w:hint="cs"/>
          <w:rtl/>
        </w:rPr>
        <w:t>7-8</w:t>
      </w:r>
      <w:r w:rsidRPr="00327DBE">
        <w:rPr>
          <w:rFonts w:hint="cs"/>
          <w:rtl/>
        </w:rPr>
        <w:tab/>
      </w:r>
      <w:r>
        <w:rPr>
          <w:rtl/>
        </w:rPr>
        <w:t xml:space="preserve">وبالمثل، تخلص اللجنة، في غياب أية معلومات في هذا الصدد من الدولة الطرف لتبرير القيود المفروضة </w:t>
      </w:r>
      <w:r>
        <w:rPr>
          <w:rFonts w:hint="cs"/>
          <w:rtl/>
        </w:rPr>
        <w:t>على نحو</w:t>
      </w:r>
      <w:r>
        <w:rPr>
          <w:rtl/>
        </w:rPr>
        <w:t xml:space="preserve"> يتنافى مع أحكام</w:t>
      </w:r>
      <w:r>
        <w:rPr>
          <w:rFonts w:hint="cs"/>
          <w:rtl/>
        </w:rPr>
        <w:t xml:space="preserve"> الفقرة 3 من المادة 19 من العهد، </w:t>
      </w:r>
      <w:r>
        <w:rPr>
          <w:rtl/>
        </w:rPr>
        <w:t xml:space="preserve">إلى </w:t>
      </w:r>
      <w:r>
        <w:rPr>
          <w:rFonts w:hint="cs"/>
          <w:rtl/>
        </w:rPr>
        <w:t>حدوث انتهاك ل</w:t>
      </w:r>
      <w:r>
        <w:rPr>
          <w:rtl/>
        </w:rPr>
        <w:t xml:space="preserve">حقوق صاحب البلاغ بموجب المادة </w:t>
      </w:r>
      <w:r>
        <w:rPr>
          <w:rFonts w:hint="cs"/>
          <w:rtl/>
        </w:rPr>
        <w:t>الفقرة 2 من المادة 19</w:t>
      </w:r>
      <w:r>
        <w:rPr>
          <w:rtl/>
        </w:rPr>
        <w:t xml:space="preserve"> من العهد.</w:t>
      </w:r>
    </w:p>
    <w:p w:rsidR="00511585" w:rsidRPr="00D73106" w:rsidRDefault="00511585" w:rsidP="00511585">
      <w:pPr>
        <w:pStyle w:val="SingleTxtGA"/>
        <w:rPr>
          <w:spacing w:val="-1"/>
          <w:rtl/>
        </w:rPr>
      </w:pPr>
      <w:r>
        <w:rPr>
          <w:rFonts w:hint="cs"/>
          <w:spacing w:val="-1"/>
          <w:rtl/>
        </w:rPr>
        <w:t>8-</w:t>
      </w:r>
      <w:r>
        <w:rPr>
          <w:rFonts w:hint="cs"/>
          <w:spacing w:val="-1"/>
          <w:rtl/>
        </w:rPr>
        <w:tab/>
        <w:t>وإن اللجنة</w:t>
      </w:r>
      <w:r w:rsidRPr="00D73106">
        <w:rPr>
          <w:rFonts w:hint="cs"/>
          <w:spacing w:val="-1"/>
          <w:rtl/>
        </w:rPr>
        <w:t xml:space="preserve">، إذ تتصرف </w:t>
      </w:r>
      <w:r>
        <w:rPr>
          <w:rFonts w:hint="cs"/>
          <w:spacing w:val="-1"/>
          <w:rtl/>
        </w:rPr>
        <w:t>بموجب ا</w:t>
      </w:r>
      <w:r w:rsidRPr="00D73106">
        <w:rPr>
          <w:rFonts w:hint="cs"/>
          <w:spacing w:val="-1"/>
          <w:rtl/>
        </w:rPr>
        <w:t>لفقرة 4 من المادة 5 من البروتوكول الاختياري</w:t>
      </w:r>
      <w:r>
        <w:rPr>
          <w:rFonts w:hint="cs"/>
          <w:spacing w:val="-1"/>
          <w:rtl/>
        </w:rPr>
        <w:t xml:space="preserve">، </w:t>
      </w:r>
      <w:r w:rsidRPr="00D73106">
        <w:rPr>
          <w:rFonts w:hint="cs"/>
          <w:spacing w:val="-1"/>
          <w:rtl/>
        </w:rPr>
        <w:t>ترى أن الدولة الطرف قد انتهكت حقوق صاحب الب</w:t>
      </w:r>
      <w:r>
        <w:rPr>
          <w:rFonts w:hint="cs"/>
          <w:spacing w:val="-1"/>
          <w:rtl/>
        </w:rPr>
        <w:t>لاغ بموجب الفقرة 2 من المادة 19</w:t>
      </w:r>
      <w:r w:rsidRPr="00D73106">
        <w:rPr>
          <w:rFonts w:hint="cs"/>
          <w:spacing w:val="-1"/>
          <w:rtl/>
        </w:rPr>
        <w:t xml:space="preserve"> وال</w:t>
      </w:r>
      <w:r>
        <w:rPr>
          <w:rFonts w:hint="cs"/>
          <w:spacing w:val="-1"/>
          <w:rtl/>
        </w:rPr>
        <w:t>مادة 21</w:t>
      </w:r>
      <w:r w:rsidRPr="00D73106">
        <w:rPr>
          <w:rFonts w:hint="cs"/>
          <w:spacing w:val="-1"/>
          <w:rtl/>
        </w:rPr>
        <w:t xml:space="preserve"> من العهد.</w:t>
      </w:r>
    </w:p>
    <w:p w:rsidR="00511585" w:rsidRPr="00327DBE" w:rsidRDefault="00511585" w:rsidP="006E02AA">
      <w:pPr>
        <w:pStyle w:val="SingleTxtGA"/>
        <w:rPr>
          <w:rtl/>
        </w:rPr>
      </w:pPr>
      <w:r w:rsidRPr="00327DBE">
        <w:rPr>
          <w:rFonts w:hint="cs"/>
          <w:rtl/>
        </w:rPr>
        <w:t>9-</w:t>
      </w:r>
      <w:r w:rsidRPr="00327DBE">
        <w:rPr>
          <w:rFonts w:hint="cs"/>
          <w:rtl/>
        </w:rPr>
        <w:tab/>
        <w:t>ووفقاً لأحكام الفقرة 3(أ) من المادة 2 من العهد، فإن الدولة الطرف ملزمة بتقديم سبيل انتصاف فعال</w:t>
      </w:r>
      <w:r>
        <w:rPr>
          <w:rFonts w:hint="cs"/>
          <w:rtl/>
        </w:rPr>
        <w:t xml:space="preserve"> لصاحب البلاغ. ويقتضي ذلك تقديم جبر كامل للأفراد عندما تتعرض حقوقهم المكفولة بموجب العهد للانتهاك. </w:t>
      </w:r>
      <w:r>
        <w:rPr>
          <w:rtl/>
        </w:rPr>
        <w:t>وبناءً عليه، فإن الدولة الطرف ملزمة، في جملة أمور، بتقديم تعويض كافٍ لصاحب البلاغ</w:t>
      </w:r>
      <w:r>
        <w:rPr>
          <w:rFonts w:hint="cs"/>
          <w:rtl/>
        </w:rPr>
        <w:t xml:space="preserve">. </w:t>
      </w:r>
      <w:r w:rsidRPr="00327DBE">
        <w:rPr>
          <w:rFonts w:hint="cs"/>
          <w:rtl/>
        </w:rPr>
        <w:t xml:space="preserve">والدولة الطرف ملزمة أيضاً باتخاذ خطوات لمنع </w:t>
      </w:r>
      <w:r>
        <w:rPr>
          <w:rFonts w:hint="cs"/>
          <w:rtl/>
        </w:rPr>
        <w:t xml:space="preserve">حدوث </w:t>
      </w:r>
      <w:r w:rsidRPr="006E02AA">
        <w:rPr>
          <w:rFonts w:hint="cs"/>
          <w:spacing w:val="-4"/>
          <w:rtl/>
        </w:rPr>
        <w:t>انتهاكات مماثلة في المستقبل. وفي هذا الصدد، تكرر اللجنة أنه يتعين على الدولة الطرف أن تراجع تشريعاتها ولا سيما قانون التجمعات الجماهيرية المؤرخ 30 كانون الأول/ديسمبر</w:t>
      </w:r>
      <w:r w:rsidR="006E02AA">
        <w:rPr>
          <w:rFonts w:hint="cs"/>
          <w:rtl/>
        </w:rPr>
        <w:t xml:space="preserve"> </w:t>
      </w:r>
      <w:r w:rsidRPr="00327DBE">
        <w:rPr>
          <w:rFonts w:hint="cs"/>
          <w:rtl/>
        </w:rPr>
        <w:t xml:space="preserve">1997، </w:t>
      </w:r>
      <w:r>
        <w:rPr>
          <w:rFonts w:hint="cs"/>
          <w:rtl/>
        </w:rPr>
        <w:t xml:space="preserve">بصيغته </w:t>
      </w:r>
      <w:r>
        <w:rPr>
          <w:rFonts w:hint="cs"/>
          <w:rtl/>
        </w:rPr>
        <w:lastRenderedPageBreak/>
        <w:t>المطبقة</w:t>
      </w:r>
      <w:r w:rsidRPr="00327DBE">
        <w:rPr>
          <w:rFonts w:hint="cs"/>
          <w:rtl/>
        </w:rPr>
        <w:t xml:space="preserve"> في الحالة الراهنة، </w:t>
      </w:r>
      <w:r>
        <w:rPr>
          <w:rFonts w:hint="cs"/>
          <w:rtl/>
        </w:rPr>
        <w:t>لكفالة</w:t>
      </w:r>
      <w:r w:rsidRPr="00327DBE">
        <w:rPr>
          <w:rFonts w:hint="cs"/>
          <w:rtl/>
        </w:rPr>
        <w:t xml:space="preserve"> التمتع</w:t>
      </w:r>
      <w:r>
        <w:rPr>
          <w:rFonts w:hint="cs"/>
          <w:rtl/>
        </w:rPr>
        <w:t xml:space="preserve"> على أكمل وجه</w:t>
      </w:r>
      <w:r w:rsidRPr="00327DBE">
        <w:rPr>
          <w:rFonts w:hint="cs"/>
          <w:rtl/>
        </w:rPr>
        <w:t xml:space="preserve"> بالحقوق المنصوص عليها في المادتين</w:t>
      </w:r>
      <w:r w:rsidR="006E02AA">
        <w:rPr>
          <w:rFonts w:hint="eastAsia"/>
          <w:rtl/>
        </w:rPr>
        <w:t> </w:t>
      </w:r>
      <w:r w:rsidRPr="00327DBE">
        <w:rPr>
          <w:rFonts w:hint="cs"/>
          <w:rtl/>
        </w:rPr>
        <w:t>19 و21 من العهد، في الدولة الطرف</w:t>
      </w:r>
      <w:r>
        <w:rPr>
          <w:rStyle w:val="FootnoteReference"/>
          <w:rtl/>
        </w:rPr>
        <w:footnoteReference w:customMarkFollows="1" w:id="11"/>
        <w:t>(9)</w:t>
      </w:r>
      <w:r w:rsidRPr="00327DBE">
        <w:rPr>
          <w:rFonts w:hint="cs"/>
          <w:rtl/>
        </w:rPr>
        <w:t>.</w:t>
      </w:r>
    </w:p>
    <w:p w:rsidR="00511585" w:rsidRPr="00327DBE" w:rsidRDefault="00511585" w:rsidP="00511585">
      <w:pPr>
        <w:pStyle w:val="SingleTxtGA"/>
        <w:rPr>
          <w:rtl/>
        </w:rPr>
      </w:pPr>
      <w:r w:rsidRPr="00327DBE">
        <w:rPr>
          <w:rFonts w:hint="cs"/>
          <w:rtl/>
        </w:rPr>
        <w:t>10-</w:t>
      </w:r>
      <w:r w:rsidRPr="00327DBE">
        <w:rPr>
          <w:rFonts w:hint="cs"/>
          <w:rtl/>
        </w:rPr>
        <w:tab/>
      </w:r>
      <w:r>
        <w:rPr>
          <w:rFonts w:hint="cs"/>
          <w:rtl/>
        </w:rPr>
        <w:t>وإذ تضع اللجنة في اعتبارها</w:t>
      </w:r>
      <w:r>
        <w:rPr>
          <w:rtl/>
        </w:rPr>
        <w:t xml:space="preserve"> أن الدولة الطرف قد اعترفت، بانضمامها إلى البروتوكول الاختياري، باختصاص اللجنة في البتّ في ما إذا كان</w:t>
      </w:r>
      <w:r>
        <w:rPr>
          <w:rFonts w:hint="cs"/>
          <w:rtl/>
        </w:rPr>
        <w:t>ت أحكام</w:t>
      </w:r>
      <w:r>
        <w:rPr>
          <w:rtl/>
        </w:rPr>
        <w:t xml:space="preserve"> العهد قد انتهك</w:t>
      </w:r>
      <w:r>
        <w:rPr>
          <w:rFonts w:hint="cs"/>
          <w:rtl/>
        </w:rPr>
        <w:t>ت</w:t>
      </w:r>
      <w:r>
        <w:rPr>
          <w:rtl/>
        </w:rPr>
        <w:t xml:space="preserve"> أم لا</w:t>
      </w:r>
      <w:r>
        <w:rPr>
          <w:rFonts w:hint="cs"/>
          <w:rtl/>
        </w:rPr>
        <w:t>، وأنها</w:t>
      </w:r>
      <w:r>
        <w:rPr>
          <w:rtl/>
        </w:rPr>
        <w:t xml:space="preserve"> قد تعهدت، عملاً بالمادة 2 من العهد</w:t>
      </w:r>
      <w:r>
        <w:rPr>
          <w:rFonts w:hint="cs"/>
          <w:rtl/>
        </w:rPr>
        <w:t>،</w:t>
      </w:r>
      <w:r>
        <w:rPr>
          <w:rtl/>
        </w:rPr>
        <w:t xml:space="preserve"> بأن تكفل لجميع الأفراد المقيمين </w:t>
      </w:r>
      <w:r>
        <w:rPr>
          <w:rFonts w:hint="cs"/>
          <w:rtl/>
        </w:rPr>
        <w:t>على</w:t>
      </w:r>
      <w:r>
        <w:rPr>
          <w:rtl/>
        </w:rPr>
        <w:t xml:space="preserve"> أراضيها والخاضعين لولايتها الحقوق </w:t>
      </w:r>
      <w:r>
        <w:rPr>
          <w:rFonts w:hint="cs"/>
          <w:rtl/>
        </w:rPr>
        <w:t>المعترف بها</w:t>
      </w:r>
      <w:r>
        <w:rPr>
          <w:rtl/>
        </w:rPr>
        <w:t xml:space="preserve"> في العهد و</w:t>
      </w:r>
      <w:r>
        <w:rPr>
          <w:rFonts w:hint="cs"/>
          <w:rtl/>
        </w:rPr>
        <w:t>ب</w:t>
      </w:r>
      <w:r>
        <w:rPr>
          <w:rtl/>
        </w:rPr>
        <w:t xml:space="preserve">أن توفر لهم سبيل انتصافٍ فعالاً وقابلاً للإنفاذ </w:t>
      </w:r>
      <w:r>
        <w:rPr>
          <w:rFonts w:hint="cs"/>
          <w:rtl/>
        </w:rPr>
        <w:t xml:space="preserve">عندما يثبت حدوث </w:t>
      </w:r>
      <w:r>
        <w:rPr>
          <w:rtl/>
        </w:rPr>
        <w:t xml:space="preserve">انتهاك، </w:t>
      </w:r>
      <w:r>
        <w:rPr>
          <w:rFonts w:hint="cs"/>
          <w:rtl/>
        </w:rPr>
        <w:t>فإن</w:t>
      </w:r>
      <w:r>
        <w:rPr>
          <w:rtl/>
        </w:rPr>
        <w:t xml:space="preserve"> اللجنة</w:t>
      </w:r>
      <w:r>
        <w:rPr>
          <w:rFonts w:hint="cs"/>
          <w:rtl/>
        </w:rPr>
        <w:t xml:space="preserve"> تودّ</w:t>
      </w:r>
      <w:r>
        <w:rPr>
          <w:rtl/>
        </w:rPr>
        <w:t xml:space="preserve"> أن تتلقى في غضون </w:t>
      </w:r>
      <w:r>
        <w:rPr>
          <w:rFonts w:hint="cs"/>
          <w:rtl/>
        </w:rPr>
        <w:t>180</w:t>
      </w:r>
      <w:r>
        <w:rPr>
          <w:rtl/>
        </w:rPr>
        <w:t xml:space="preserve"> يوماً معلومات من الدولة الطرف عن التدابير المتخذة لوضع آراء اللجنة موضع التنفيذ.</w:t>
      </w:r>
      <w:r>
        <w:rPr>
          <w:rFonts w:cs="Times New Roman" w:hint="cs"/>
          <w:rtl/>
        </w:rPr>
        <w:t>‬</w:t>
      </w:r>
      <w:r>
        <w:rPr>
          <w:rFonts w:hint="cs"/>
          <w:rtl/>
        </w:rPr>
        <w:t xml:space="preserve"> </w:t>
      </w:r>
      <w:r w:rsidRPr="00327DBE">
        <w:rPr>
          <w:rFonts w:hint="cs"/>
          <w:rtl/>
        </w:rPr>
        <w:t>وتطلب اللجنة أيضاً إلى الدولة الطرف تعميم هذه الآراء ونشرها على نطاق واسع في الدولة الطرف باللغتين البيلاروسية والروسية.</w:t>
      </w:r>
      <w:r>
        <w:rPr>
          <w:rFonts w:hint="cs"/>
          <w:rtl/>
        </w:rPr>
        <w:t xml:space="preserve"> </w:t>
      </w:r>
    </w:p>
    <w:p w:rsidR="00511585" w:rsidRPr="00EB225C" w:rsidRDefault="00511585" w:rsidP="00511585">
      <w:pPr>
        <w:spacing w:before="120"/>
        <w:jc w:val="center"/>
        <w:rPr>
          <w:u w:val="single"/>
          <w:rtl/>
        </w:rPr>
      </w:pPr>
      <w:r>
        <w:rPr>
          <w:u w:val="single"/>
          <w:rtl/>
        </w:rPr>
        <w:tab/>
      </w:r>
      <w:r>
        <w:rPr>
          <w:u w:val="single"/>
          <w:rtl/>
        </w:rPr>
        <w:tab/>
      </w:r>
      <w:r>
        <w:rPr>
          <w:u w:val="single"/>
          <w:rtl/>
        </w:rPr>
        <w:tab/>
      </w:r>
    </w:p>
    <w:p w:rsidR="00B54045" w:rsidRPr="00511585" w:rsidRDefault="00B54045" w:rsidP="00B54045">
      <w:pPr>
        <w:spacing w:before="120" w:line="380" w:lineRule="exact"/>
        <w:jc w:val="left"/>
        <w:rPr>
          <w:sz w:val="36"/>
          <w:szCs w:val="36"/>
          <w:rtl/>
        </w:rPr>
      </w:pPr>
    </w:p>
    <w:sectPr w:rsidR="00B54045" w:rsidRPr="00511585" w:rsidSect="000B3EB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C8" w:rsidRPr="002901D9" w:rsidRDefault="009D18C8" w:rsidP="002901D9">
      <w:pPr>
        <w:spacing w:after="60" w:line="240" w:lineRule="auto"/>
        <w:rPr>
          <w:i/>
          <w:iCs/>
        </w:rPr>
      </w:pPr>
      <w:r>
        <w:rPr>
          <w:rFonts w:hint="cs"/>
          <w:i/>
          <w:iCs/>
          <w:rtl/>
        </w:rPr>
        <w:t>الحواشي</w:t>
      </w:r>
    </w:p>
  </w:endnote>
  <w:endnote w:type="continuationSeparator" w:id="0">
    <w:p w:rsidR="009D18C8" w:rsidRDefault="009D18C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5" w:rsidRPr="00511585" w:rsidRDefault="00511585" w:rsidP="00511585">
    <w:pPr>
      <w:pStyle w:val="Footer"/>
      <w:tabs>
        <w:tab w:val="right" w:pos="9598"/>
      </w:tabs>
      <w:rPr>
        <w:sz w:val="17"/>
      </w:rPr>
    </w:pPr>
    <w:r>
      <w:rPr>
        <w:sz w:val="17"/>
      </w:rPr>
      <w:t>GE.16-07651</w:t>
    </w:r>
    <w:r>
      <w:rPr>
        <w:sz w:val="17"/>
      </w:rPr>
      <w:tab/>
    </w:r>
    <w:r w:rsidRPr="00511585">
      <w:rPr>
        <w:b/>
        <w:sz w:val="18"/>
      </w:rPr>
      <w:fldChar w:fldCharType="begin"/>
    </w:r>
    <w:r w:rsidRPr="00511585">
      <w:rPr>
        <w:b/>
        <w:sz w:val="18"/>
      </w:rPr>
      <w:instrText xml:space="preserve"> PAGE  \* MERGEFORMAT </w:instrText>
    </w:r>
    <w:r w:rsidRPr="00511585">
      <w:rPr>
        <w:b/>
        <w:sz w:val="18"/>
      </w:rPr>
      <w:fldChar w:fldCharType="separate"/>
    </w:r>
    <w:r w:rsidR="009C6DEB">
      <w:rPr>
        <w:b/>
        <w:noProof/>
        <w:sz w:val="18"/>
      </w:rPr>
      <w:t>8</w:t>
    </w:r>
    <w:r w:rsidRPr="0051158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11585" w:rsidRDefault="00511585" w:rsidP="006959B0">
    <w:pPr>
      <w:pStyle w:val="Footer"/>
      <w:tabs>
        <w:tab w:val="right" w:pos="9599"/>
      </w:tabs>
      <w:jc w:val="left"/>
      <w:rPr>
        <w:b/>
        <w:sz w:val="18"/>
        <w:lang w:val="en-US"/>
      </w:rPr>
    </w:pPr>
    <w:r w:rsidRPr="00511585">
      <w:rPr>
        <w:b/>
        <w:sz w:val="18"/>
        <w:lang w:val="en-US"/>
      </w:rPr>
      <w:fldChar w:fldCharType="begin"/>
    </w:r>
    <w:r w:rsidRPr="00511585">
      <w:rPr>
        <w:b/>
        <w:sz w:val="18"/>
        <w:lang w:val="en-US"/>
      </w:rPr>
      <w:instrText xml:space="preserve"> PAGE  \* MERGEFORMAT </w:instrText>
    </w:r>
    <w:r w:rsidRPr="00511585">
      <w:rPr>
        <w:b/>
        <w:sz w:val="18"/>
        <w:lang w:val="en-US"/>
      </w:rPr>
      <w:fldChar w:fldCharType="separate"/>
    </w:r>
    <w:r w:rsidR="009C6DEB">
      <w:rPr>
        <w:b/>
        <w:noProof/>
        <w:sz w:val="18"/>
        <w:lang w:val="en-US"/>
      </w:rPr>
      <w:t>7</w:t>
    </w:r>
    <w:r w:rsidRPr="00511585">
      <w:rPr>
        <w:b/>
        <w:sz w:val="18"/>
        <w:lang w:val="en-US"/>
      </w:rPr>
      <w:fldChar w:fldCharType="end"/>
    </w:r>
    <w:r>
      <w:rPr>
        <w:b/>
        <w:sz w:val="18"/>
        <w:lang w:val="en-US"/>
      </w:rPr>
      <w:tab/>
    </w:r>
    <w:r>
      <w:rPr>
        <w:sz w:val="17"/>
        <w:lang w:val="en-US"/>
      </w:rPr>
      <w:t>GE.16-07651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0B3EB3" w:rsidP="00DE50B1">
    <w:pPr>
      <w:pStyle w:val="Footer"/>
      <w:jc w:val="right"/>
      <w:rPr>
        <w:sz w:val="20"/>
        <w:szCs w:val="20"/>
      </w:rPr>
    </w:pPr>
    <w:r>
      <w:rPr>
        <w:sz w:val="20"/>
        <w:szCs w:val="20"/>
      </w:rPr>
      <w:t>GE.16-07651</w:t>
    </w:r>
    <w:r w:rsidR="00DE50B1">
      <w:rPr>
        <w:noProof/>
        <w:lang w:val="en-US"/>
      </w:rPr>
      <w:drawing>
        <wp:anchor distT="0" distB="0" distL="114300" distR="114300" simplePos="0" relativeHeight="251659264" behindDoc="1" locked="1" layoutInCell="0" allowOverlap="1" wp14:anchorId="50818BD0" wp14:editId="14DD785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0B3EB3" w:rsidRPr="000B3EB3" w:rsidRDefault="000B3EB3" w:rsidP="000B3EB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6/D/2092/201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92/201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C8" w:rsidRDefault="009D18C8" w:rsidP="000437B8">
      <w:pPr>
        <w:pStyle w:val="Footer"/>
        <w:bidi/>
        <w:spacing w:after="80" w:line="200" w:lineRule="exact"/>
        <w:ind w:left="680"/>
      </w:pPr>
      <w:r>
        <w:rPr>
          <w:rtl/>
        </w:rPr>
        <w:t>__________</w:t>
      </w:r>
    </w:p>
  </w:footnote>
  <w:footnote w:type="continuationSeparator" w:id="0">
    <w:p w:rsidR="009D18C8" w:rsidRDefault="009D18C8" w:rsidP="00656392">
      <w:pPr>
        <w:spacing w:line="240" w:lineRule="auto"/>
      </w:pPr>
      <w:r>
        <w:continuationSeparator/>
      </w:r>
    </w:p>
  </w:footnote>
  <w:footnote w:id="1">
    <w:p w:rsidR="00511585" w:rsidRPr="006E02AA" w:rsidRDefault="00511585" w:rsidP="00511585">
      <w:pPr>
        <w:pStyle w:val="FootnoteText1"/>
        <w:rPr>
          <w:rtl/>
        </w:rPr>
      </w:pPr>
      <w:r w:rsidRPr="006E02AA">
        <w:rPr>
          <w:rtl/>
        </w:rPr>
        <w:t>*</w:t>
      </w:r>
      <w:r w:rsidRPr="006E02AA">
        <w:rPr>
          <w:rtl/>
        </w:rPr>
        <w:tab/>
      </w:r>
      <w:r w:rsidRPr="006E02AA">
        <w:rPr>
          <w:rFonts w:hint="cs"/>
          <w:rtl/>
        </w:rPr>
        <w:t>اعتمدتها اللجنة في دورتها 116 (7-31 آذار/مارس 2016).</w:t>
      </w:r>
    </w:p>
  </w:footnote>
  <w:footnote w:id="2">
    <w:p w:rsidR="00511585" w:rsidRPr="006E02AA" w:rsidRDefault="00511585" w:rsidP="005365E1">
      <w:pPr>
        <w:pStyle w:val="FootnoteText1"/>
        <w:rPr>
          <w:rtl/>
        </w:rPr>
      </w:pPr>
      <w:r w:rsidRPr="006E02AA">
        <w:rPr>
          <w:b/>
          <w:rtl/>
        </w:rPr>
        <w:t>**</w:t>
      </w:r>
      <w:r w:rsidRPr="006E02AA">
        <w:rPr>
          <w:rFonts w:hint="cs"/>
          <w:rtl/>
        </w:rPr>
        <w:tab/>
        <w:t xml:space="preserve">شارك في بحث هذا البلاغ أعضاء اللجنة التالية أسماؤهم: </w:t>
      </w:r>
      <w:r w:rsidRPr="006E02AA">
        <w:rPr>
          <w:rtl/>
        </w:rPr>
        <w:t xml:space="preserve">السيد عياض بن عاشور، والسيد لزهاري بوزيد، والسيدة سارة كليفلاند، والسيد أحمد أمين فتح الله، والسيد </w:t>
      </w:r>
      <w:proofErr w:type="spellStart"/>
      <w:r w:rsidRPr="006E02AA">
        <w:rPr>
          <w:rtl/>
        </w:rPr>
        <w:t>أوليفييه</w:t>
      </w:r>
      <w:proofErr w:type="spellEnd"/>
      <w:r w:rsidRPr="006E02AA">
        <w:rPr>
          <w:rtl/>
        </w:rPr>
        <w:t xml:space="preserve"> دو </w:t>
      </w:r>
      <w:proofErr w:type="spellStart"/>
      <w:r w:rsidRPr="006E02AA">
        <w:rPr>
          <w:rtl/>
        </w:rPr>
        <w:t>فروفيل</w:t>
      </w:r>
      <w:proofErr w:type="spellEnd"/>
      <w:r w:rsidRPr="006E02AA">
        <w:rPr>
          <w:rtl/>
        </w:rPr>
        <w:t xml:space="preserve">، والسيد يوجي </w:t>
      </w:r>
      <w:proofErr w:type="spellStart"/>
      <w:r w:rsidRPr="006E02AA">
        <w:rPr>
          <w:rtl/>
        </w:rPr>
        <w:t>إواساوا</w:t>
      </w:r>
      <w:proofErr w:type="spellEnd"/>
      <w:r w:rsidRPr="006E02AA">
        <w:rPr>
          <w:rtl/>
        </w:rPr>
        <w:t xml:space="preserve">، والسيدة إيفانا </w:t>
      </w:r>
      <w:proofErr w:type="spellStart"/>
      <w:r w:rsidRPr="006E02AA">
        <w:rPr>
          <w:rtl/>
        </w:rPr>
        <w:t>يليتش</w:t>
      </w:r>
      <w:proofErr w:type="spellEnd"/>
      <w:r w:rsidRPr="006E02AA">
        <w:rPr>
          <w:rtl/>
        </w:rPr>
        <w:t xml:space="preserve">، والسيد </w:t>
      </w:r>
      <w:proofErr w:type="spellStart"/>
      <w:r w:rsidRPr="006E02AA">
        <w:rPr>
          <w:rtl/>
        </w:rPr>
        <w:t>دنكان</w:t>
      </w:r>
      <w:proofErr w:type="spellEnd"/>
      <w:r w:rsidRPr="006E02AA">
        <w:rPr>
          <w:rtl/>
        </w:rPr>
        <w:t xml:space="preserve"> </w:t>
      </w:r>
      <w:proofErr w:type="spellStart"/>
      <w:r w:rsidRPr="006E02AA">
        <w:rPr>
          <w:rtl/>
        </w:rPr>
        <w:t>لاكي</w:t>
      </w:r>
      <w:proofErr w:type="spellEnd"/>
      <w:r w:rsidRPr="006E02AA">
        <w:rPr>
          <w:rtl/>
        </w:rPr>
        <w:t xml:space="preserve"> </w:t>
      </w:r>
      <w:proofErr w:type="spellStart"/>
      <w:r w:rsidRPr="006E02AA">
        <w:rPr>
          <w:rtl/>
        </w:rPr>
        <w:t>موهوموزا</w:t>
      </w:r>
      <w:proofErr w:type="spellEnd"/>
      <w:r w:rsidRPr="006E02AA">
        <w:rPr>
          <w:rtl/>
        </w:rPr>
        <w:t xml:space="preserve">، والسيد فوتيني </w:t>
      </w:r>
      <w:proofErr w:type="spellStart"/>
      <w:r w:rsidRPr="006E02AA">
        <w:rPr>
          <w:rtl/>
        </w:rPr>
        <w:t>بازارتزيس</w:t>
      </w:r>
      <w:proofErr w:type="spellEnd"/>
      <w:r w:rsidRPr="006E02AA">
        <w:rPr>
          <w:rtl/>
        </w:rPr>
        <w:t xml:space="preserve">، والسير </w:t>
      </w:r>
      <w:proofErr w:type="spellStart"/>
      <w:r w:rsidRPr="006E02AA">
        <w:rPr>
          <w:rtl/>
        </w:rPr>
        <w:t>نايجل</w:t>
      </w:r>
      <w:proofErr w:type="spellEnd"/>
      <w:r w:rsidRPr="006E02AA">
        <w:rPr>
          <w:rtl/>
        </w:rPr>
        <w:t xml:space="preserve"> </w:t>
      </w:r>
      <w:proofErr w:type="spellStart"/>
      <w:r w:rsidRPr="006E02AA">
        <w:rPr>
          <w:rtl/>
        </w:rPr>
        <w:t>رودلي</w:t>
      </w:r>
      <w:proofErr w:type="spellEnd"/>
      <w:r w:rsidRPr="006E02AA">
        <w:rPr>
          <w:rtl/>
        </w:rPr>
        <w:t xml:space="preserve">، والسيد فيكتور مانويل </w:t>
      </w:r>
      <w:proofErr w:type="spellStart"/>
      <w:r w:rsidRPr="006E02AA">
        <w:rPr>
          <w:rtl/>
        </w:rPr>
        <w:t>رودريغيس</w:t>
      </w:r>
      <w:proofErr w:type="spellEnd"/>
      <w:r w:rsidRPr="006E02AA">
        <w:rPr>
          <w:rtl/>
        </w:rPr>
        <w:t xml:space="preserve"> - </w:t>
      </w:r>
      <w:proofErr w:type="spellStart"/>
      <w:r w:rsidRPr="006E02AA">
        <w:rPr>
          <w:rtl/>
        </w:rPr>
        <w:t>ريسيا</w:t>
      </w:r>
      <w:proofErr w:type="spellEnd"/>
      <w:r w:rsidRPr="006E02AA">
        <w:rPr>
          <w:rtl/>
        </w:rPr>
        <w:t xml:space="preserve">، والسيد فابيان عمر </w:t>
      </w:r>
      <w:proofErr w:type="spellStart"/>
      <w:r w:rsidRPr="006E02AA">
        <w:rPr>
          <w:rtl/>
        </w:rPr>
        <w:t>سالفيولي</w:t>
      </w:r>
      <w:proofErr w:type="spellEnd"/>
      <w:r w:rsidRPr="006E02AA">
        <w:rPr>
          <w:rtl/>
        </w:rPr>
        <w:t xml:space="preserve">، </w:t>
      </w:r>
      <w:r w:rsidRPr="006E02AA">
        <w:rPr>
          <w:rFonts w:hint="cs"/>
          <w:rtl/>
        </w:rPr>
        <w:t xml:space="preserve">والسيد </w:t>
      </w:r>
      <w:proofErr w:type="spellStart"/>
      <w:r w:rsidR="004F351D" w:rsidRPr="006E02AA">
        <w:rPr>
          <w:rtl/>
        </w:rPr>
        <w:t>د</w:t>
      </w:r>
      <w:r w:rsidRPr="006E02AA">
        <w:rPr>
          <w:rtl/>
        </w:rPr>
        <w:t>يروجلال</w:t>
      </w:r>
      <w:proofErr w:type="spellEnd"/>
      <w:r w:rsidRPr="006E02AA">
        <w:rPr>
          <w:rtl/>
        </w:rPr>
        <w:t xml:space="preserve"> </w:t>
      </w:r>
      <w:proofErr w:type="spellStart"/>
      <w:r w:rsidRPr="006E02AA">
        <w:rPr>
          <w:rtl/>
        </w:rPr>
        <w:t>سيتولسينغ</w:t>
      </w:r>
      <w:proofErr w:type="spellEnd"/>
      <w:r w:rsidRPr="006E02AA">
        <w:rPr>
          <w:rtl/>
        </w:rPr>
        <w:t xml:space="preserve">، والسيدة آنيا </w:t>
      </w:r>
      <w:proofErr w:type="spellStart"/>
      <w:r w:rsidRPr="006E02AA">
        <w:rPr>
          <w:rtl/>
        </w:rPr>
        <w:t>زايبرت</w:t>
      </w:r>
      <w:proofErr w:type="spellEnd"/>
      <w:r w:rsidRPr="006E02AA">
        <w:rPr>
          <w:rtl/>
        </w:rPr>
        <w:t xml:space="preserve"> - فوهر، والسيد يوفال </w:t>
      </w:r>
      <w:proofErr w:type="spellStart"/>
      <w:r w:rsidRPr="006E02AA">
        <w:rPr>
          <w:rtl/>
        </w:rPr>
        <w:t>شاني</w:t>
      </w:r>
      <w:proofErr w:type="spellEnd"/>
      <w:r w:rsidRPr="006E02AA">
        <w:rPr>
          <w:rtl/>
        </w:rPr>
        <w:t xml:space="preserve">، والسيد </w:t>
      </w:r>
      <w:proofErr w:type="spellStart"/>
      <w:r w:rsidRPr="006E02AA">
        <w:rPr>
          <w:rtl/>
        </w:rPr>
        <w:t>كونستانتين</w:t>
      </w:r>
      <w:proofErr w:type="spellEnd"/>
      <w:r w:rsidRPr="006E02AA">
        <w:rPr>
          <w:rtl/>
        </w:rPr>
        <w:t xml:space="preserve"> </w:t>
      </w:r>
      <w:proofErr w:type="spellStart"/>
      <w:r w:rsidRPr="006E02AA">
        <w:rPr>
          <w:rtl/>
        </w:rPr>
        <w:t>فاردزيلاشفيلي</w:t>
      </w:r>
      <w:proofErr w:type="spellEnd"/>
      <w:r w:rsidRPr="006E02AA">
        <w:rPr>
          <w:rtl/>
        </w:rPr>
        <w:t xml:space="preserve">، والسيدة مارغو </w:t>
      </w:r>
      <w:proofErr w:type="spellStart"/>
      <w:r w:rsidRPr="006E02AA">
        <w:rPr>
          <w:rtl/>
        </w:rPr>
        <w:t>واترفال</w:t>
      </w:r>
      <w:proofErr w:type="spellEnd"/>
      <w:r w:rsidRPr="006E02AA">
        <w:rPr>
          <w:rFonts w:hint="cs"/>
          <w:rtl/>
        </w:rPr>
        <w:t>.</w:t>
      </w:r>
    </w:p>
  </w:footnote>
  <w:footnote w:id="3">
    <w:p w:rsidR="00511585" w:rsidRPr="006E02AA" w:rsidRDefault="00511585" w:rsidP="005365E1">
      <w:pPr>
        <w:pStyle w:val="FootnoteText1"/>
        <w:rPr>
          <w:rtl/>
        </w:rPr>
      </w:pPr>
      <w:r w:rsidRPr="006E02AA">
        <w:rPr>
          <w:b/>
          <w:rtl/>
        </w:rPr>
        <w:t>(1)</w:t>
      </w:r>
      <w:r w:rsidR="005365E1" w:rsidRPr="006E02AA">
        <w:rPr>
          <w:rFonts w:hint="cs"/>
          <w:rtl/>
        </w:rPr>
        <w:tab/>
      </w:r>
      <w:r w:rsidRPr="006E02AA">
        <w:rPr>
          <w:rtl/>
        </w:rPr>
        <w:t>صاحب البلاغ هو رئيس مشروع (</w:t>
      </w:r>
      <w:r w:rsidRPr="006E02AA">
        <w:t>Gay Belarus</w:t>
      </w:r>
      <w:r w:rsidRPr="006E02AA">
        <w:rPr>
          <w:rtl/>
        </w:rPr>
        <w:t xml:space="preserve">) المعني بحقوق الإنسان </w:t>
      </w:r>
      <w:proofErr w:type="spellStart"/>
      <w:r w:rsidRPr="006E02AA">
        <w:rPr>
          <w:rtl/>
        </w:rPr>
        <w:t>للمثليات</w:t>
      </w:r>
      <w:proofErr w:type="spellEnd"/>
      <w:r w:rsidRPr="006E02AA">
        <w:rPr>
          <w:rtl/>
        </w:rPr>
        <w:t xml:space="preserve"> والمثليين ومزدوجي الميل الجنسي ومغايري الهوية الجنسية.</w:t>
      </w:r>
    </w:p>
  </w:footnote>
  <w:footnote w:id="4">
    <w:p w:rsidR="00511585" w:rsidRPr="006E02AA" w:rsidRDefault="00511585" w:rsidP="005365E1">
      <w:pPr>
        <w:pStyle w:val="FootnoteText1"/>
      </w:pPr>
      <w:r w:rsidRPr="006E02AA">
        <w:rPr>
          <w:b/>
          <w:rtl/>
        </w:rPr>
        <w:t>(2)</w:t>
      </w:r>
      <w:r w:rsidR="005365E1" w:rsidRPr="006E02AA">
        <w:rPr>
          <w:rFonts w:hint="cs"/>
          <w:rtl/>
        </w:rPr>
        <w:tab/>
      </w:r>
      <w:r w:rsidRPr="006E02AA">
        <w:rPr>
          <w:rtl/>
        </w:rPr>
        <w:t>ما يعادل 212.38 يورو.</w:t>
      </w:r>
    </w:p>
  </w:footnote>
  <w:footnote w:id="5">
    <w:p w:rsidR="00511585" w:rsidRPr="006E02AA" w:rsidRDefault="00511585" w:rsidP="005365E1">
      <w:pPr>
        <w:pStyle w:val="FootnoteText1"/>
      </w:pPr>
      <w:r w:rsidRPr="006E02AA">
        <w:rPr>
          <w:b/>
          <w:rtl/>
        </w:rPr>
        <w:t>(3)</w:t>
      </w:r>
      <w:r w:rsidR="005365E1" w:rsidRPr="006E02AA">
        <w:rPr>
          <w:rFonts w:hint="cs"/>
          <w:rtl/>
        </w:rPr>
        <w:tab/>
      </w:r>
      <w:r w:rsidRPr="006E02AA">
        <w:rPr>
          <w:rFonts w:hint="cs"/>
          <w:rtl/>
        </w:rPr>
        <w:t xml:space="preserve">البلاغ رقم 1022/2001، </w:t>
      </w:r>
      <w:proofErr w:type="spellStart"/>
      <w:r w:rsidRPr="006E02AA">
        <w:rPr>
          <w:rFonts w:hint="cs"/>
          <w:i/>
          <w:iCs/>
          <w:rtl/>
        </w:rPr>
        <w:t>فيليشكين</w:t>
      </w:r>
      <w:proofErr w:type="spellEnd"/>
      <w:r w:rsidRPr="006E02AA">
        <w:rPr>
          <w:rFonts w:hint="cs"/>
          <w:i/>
          <w:iCs/>
          <w:rtl/>
        </w:rPr>
        <w:t xml:space="preserve"> ضد بيلاروس،</w:t>
      </w:r>
      <w:r w:rsidRPr="006E02AA">
        <w:rPr>
          <w:rFonts w:hint="cs"/>
          <w:rtl/>
        </w:rPr>
        <w:t xml:space="preserve"> الآراء التي اعتُمدت في 20 تشرين الأول/ أكتوبر</w:t>
      </w:r>
      <w:r w:rsidRPr="006E02AA">
        <w:rPr>
          <w:rFonts w:hint="eastAsia"/>
          <w:rtl/>
        </w:rPr>
        <w:t> </w:t>
      </w:r>
      <w:r w:rsidRPr="006E02AA">
        <w:rPr>
          <w:rFonts w:hint="cs"/>
          <w:rtl/>
        </w:rPr>
        <w:t>2005، الفقرة 7-2.</w:t>
      </w:r>
    </w:p>
  </w:footnote>
  <w:footnote w:id="6">
    <w:p w:rsidR="00511585" w:rsidRPr="006E02AA" w:rsidRDefault="00511585" w:rsidP="005365E1">
      <w:pPr>
        <w:pStyle w:val="FootnoteText1"/>
      </w:pPr>
      <w:r w:rsidRPr="006E02AA">
        <w:rPr>
          <w:b/>
          <w:rtl/>
        </w:rPr>
        <w:t>(4)</w:t>
      </w:r>
      <w:r w:rsidR="005365E1" w:rsidRPr="006E02AA">
        <w:rPr>
          <w:rFonts w:hint="cs"/>
          <w:rtl/>
        </w:rPr>
        <w:tab/>
      </w:r>
      <w:r w:rsidRPr="006E02AA">
        <w:rPr>
          <w:rFonts w:hint="cs"/>
          <w:rtl/>
        </w:rPr>
        <w:t xml:space="preserve">البلاغ رقم 628/1995، </w:t>
      </w:r>
      <w:proofErr w:type="spellStart"/>
      <w:r w:rsidRPr="006E02AA">
        <w:rPr>
          <w:rFonts w:hint="cs"/>
          <w:i/>
          <w:iCs/>
          <w:rtl/>
        </w:rPr>
        <w:t>تاي</w:t>
      </w:r>
      <w:proofErr w:type="spellEnd"/>
      <w:r w:rsidRPr="006E02AA">
        <w:rPr>
          <w:rFonts w:hint="cs"/>
          <w:i/>
          <w:iCs/>
          <w:rtl/>
        </w:rPr>
        <w:t xml:space="preserve"> هون بارك ضد جمهورية كوريا</w:t>
      </w:r>
      <w:r w:rsidRPr="006E02AA">
        <w:rPr>
          <w:rFonts w:hint="cs"/>
          <w:rtl/>
        </w:rPr>
        <w:t>، الآراء التي اعتمدت في 3 تشرين الثاني/نوفمبر 1998، الفقرة 10-4.</w:t>
      </w:r>
    </w:p>
  </w:footnote>
  <w:footnote w:id="7">
    <w:p w:rsidR="00511585" w:rsidRPr="006E02AA" w:rsidRDefault="00511585" w:rsidP="005365E1">
      <w:pPr>
        <w:pStyle w:val="FootnoteText"/>
        <w:ind w:left="639"/>
        <w:rPr>
          <w:sz w:val="18"/>
          <w:szCs w:val="26"/>
          <w:rtl/>
          <w:lang w:bidi="ar-BH"/>
        </w:rPr>
      </w:pPr>
      <w:r w:rsidRPr="006E02AA">
        <w:rPr>
          <w:b/>
          <w:sz w:val="18"/>
          <w:szCs w:val="26"/>
          <w:rtl/>
        </w:rPr>
        <w:t>(5)</w:t>
      </w:r>
      <w:r w:rsidR="005365E1" w:rsidRPr="006E02AA">
        <w:rPr>
          <w:rFonts w:hint="cs"/>
          <w:sz w:val="18"/>
          <w:szCs w:val="26"/>
          <w:rtl/>
        </w:rPr>
        <w:tab/>
      </w:r>
      <w:r w:rsidRPr="006E02AA">
        <w:rPr>
          <w:rFonts w:hint="cs"/>
          <w:sz w:val="18"/>
          <w:szCs w:val="26"/>
          <w:rtl/>
        </w:rPr>
        <w:t>انظر</w:t>
      </w:r>
      <w:r w:rsidRPr="006E02AA">
        <w:rPr>
          <w:rFonts w:hint="cs"/>
          <w:sz w:val="18"/>
          <w:szCs w:val="26"/>
          <w:rtl/>
          <w:lang w:bidi="ar-BH"/>
        </w:rPr>
        <w:t xml:space="preserve"> </w:t>
      </w:r>
      <w:r w:rsidRPr="006E02AA">
        <w:rPr>
          <w:rFonts w:hint="cs"/>
          <w:sz w:val="18"/>
          <w:szCs w:val="26"/>
          <w:rtl/>
        </w:rPr>
        <w:t>ا</w:t>
      </w:r>
      <w:r w:rsidRPr="006E02AA">
        <w:rPr>
          <w:sz w:val="18"/>
          <w:szCs w:val="26"/>
          <w:rtl/>
        </w:rPr>
        <w:t xml:space="preserve">لبلاغ رقم 1418/2005، </w:t>
      </w:r>
      <w:proofErr w:type="spellStart"/>
      <w:r w:rsidRPr="006E02AA">
        <w:rPr>
          <w:i/>
          <w:iCs/>
          <w:sz w:val="18"/>
          <w:szCs w:val="26"/>
          <w:rtl/>
        </w:rPr>
        <w:t>إسكيائيف</w:t>
      </w:r>
      <w:proofErr w:type="spellEnd"/>
      <w:r w:rsidRPr="006E02AA">
        <w:rPr>
          <w:i/>
          <w:iCs/>
          <w:sz w:val="18"/>
          <w:szCs w:val="26"/>
          <w:rtl/>
        </w:rPr>
        <w:t xml:space="preserve"> ضد أوزبكستان،</w:t>
      </w:r>
      <w:r w:rsidRPr="006E02AA">
        <w:rPr>
          <w:sz w:val="18"/>
          <w:szCs w:val="26"/>
          <w:rtl/>
        </w:rPr>
        <w:t xml:space="preserve"> الآراء المعتمدة في 20 آذار/مارس 2009</w:t>
      </w:r>
      <w:r w:rsidRPr="006E02AA">
        <w:rPr>
          <w:rFonts w:hint="cs"/>
          <w:sz w:val="18"/>
          <w:szCs w:val="26"/>
          <w:rtl/>
        </w:rPr>
        <w:t>، الحاشية 7.</w:t>
      </w:r>
    </w:p>
  </w:footnote>
  <w:footnote w:id="8">
    <w:p w:rsidR="00511585" w:rsidRPr="006E02AA" w:rsidRDefault="00511585" w:rsidP="004F351D">
      <w:pPr>
        <w:pStyle w:val="FootnoteText1"/>
        <w:rPr>
          <w:rtl/>
          <w:lang w:bidi="ar-BH"/>
        </w:rPr>
      </w:pPr>
      <w:r w:rsidRPr="006E02AA">
        <w:rPr>
          <w:b/>
          <w:rtl/>
        </w:rPr>
        <w:t>(6)</w:t>
      </w:r>
      <w:r w:rsidR="00FF394B" w:rsidRPr="006E02AA">
        <w:rPr>
          <w:rFonts w:hint="cs"/>
          <w:rtl/>
        </w:rPr>
        <w:tab/>
      </w:r>
      <w:r w:rsidRPr="006E02AA">
        <w:rPr>
          <w:rtl/>
        </w:rPr>
        <w:t xml:space="preserve">انظر البلاغات رقم 836/1998، </w:t>
      </w:r>
      <w:proofErr w:type="spellStart"/>
      <w:r w:rsidRPr="006E02AA">
        <w:rPr>
          <w:i/>
          <w:iCs/>
          <w:rtl/>
        </w:rPr>
        <w:t>غيلازاوسكاس</w:t>
      </w:r>
      <w:proofErr w:type="spellEnd"/>
      <w:r w:rsidRPr="006E02AA">
        <w:rPr>
          <w:i/>
          <w:iCs/>
          <w:rtl/>
        </w:rPr>
        <w:t xml:space="preserve"> ضد ليتوانيا،</w:t>
      </w:r>
      <w:r w:rsidRPr="006E02AA">
        <w:rPr>
          <w:rtl/>
        </w:rPr>
        <w:t xml:space="preserve"> الآراء المعتمدة في 17 آذار/مارس 2003، الفقرة 7-4؛ ورقم 1851/2008،</w:t>
      </w:r>
      <w:r w:rsidRPr="006E02AA">
        <w:rPr>
          <w:rFonts w:hint="cs"/>
          <w:rtl/>
          <w:lang w:bidi="ar-BH"/>
        </w:rPr>
        <w:t xml:space="preserve"> </w:t>
      </w:r>
      <w:proofErr w:type="spellStart"/>
      <w:r w:rsidRPr="006E02AA">
        <w:rPr>
          <w:i/>
          <w:iCs/>
          <w:rtl/>
        </w:rPr>
        <w:t>سيكركو</w:t>
      </w:r>
      <w:proofErr w:type="spellEnd"/>
      <w:r w:rsidRPr="006E02AA">
        <w:rPr>
          <w:i/>
          <w:iCs/>
          <w:rtl/>
        </w:rPr>
        <w:t xml:space="preserve"> ضد بيلاروس،</w:t>
      </w:r>
      <w:r w:rsidRPr="006E02AA">
        <w:rPr>
          <w:rtl/>
        </w:rPr>
        <w:t xml:space="preserve"> الآراء المعتمدة في 28 تشرين الأول/</w:t>
      </w:r>
      <w:r w:rsidR="004F351D" w:rsidRPr="006E02AA">
        <w:rPr>
          <w:rFonts w:hint="cs"/>
          <w:rtl/>
        </w:rPr>
        <w:t xml:space="preserve">      </w:t>
      </w:r>
      <w:r w:rsidRPr="006E02AA">
        <w:rPr>
          <w:rtl/>
        </w:rPr>
        <w:t>أكتوبر 2013، الفقرة 8-3</w:t>
      </w:r>
      <w:r w:rsidRPr="006E02AA">
        <w:rPr>
          <w:rFonts w:hint="cs"/>
          <w:rtl/>
          <w:lang w:bidi="ar-BH"/>
        </w:rPr>
        <w:t xml:space="preserve">؛ </w:t>
      </w:r>
      <w:r w:rsidRPr="006E02AA">
        <w:rPr>
          <w:rtl/>
        </w:rPr>
        <w:t>ورقم</w:t>
      </w:r>
      <w:r w:rsidR="004F351D" w:rsidRPr="006E02AA">
        <w:rPr>
          <w:rFonts w:hint="cs"/>
          <w:rtl/>
        </w:rPr>
        <w:t>ي</w:t>
      </w:r>
      <w:r w:rsidR="005365E1" w:rsidRPr="006E02AA">
        <w:rPr>
          <w:rFonts w:hint="cs"/>
          <w:rtl/>
        </w:rPr>
        <w:t> </w:t>
      </w:r>
      <w:r w:rsidRPr="006E02AA">
        <w:rPr>
          <w:rtl/>
        </w:rPr>
        <w:t xml:space="preserve">1919-1920/2009، </w:t>
      </w:r>
      <w:proofErr w:type="spellStart"/>
      <w:r w:rsidRPr="006E02AA">
        <w:rPr>
          <w:rtl/>
        </w:rPr>
        <w:t>بروتسكو</w:t>
      </w:r>
      <w:proofErr w:type="spellEnd"/>
      <w:r w:rsidRPr="006E02AA">
        <w:rPr>
          <w:rtl/>
        </w:rPr>
        <w:t xml:space="preserve"> </w:t>
      </w:r>
      <w:proofErr w:type="spellStart"/>
      <w:r w:rsidRPr="006E02AA">
        <w:rPr>
          <w:rtl/>
        </w:rPr>
        <w:t>وتولشين</w:t>
      </w:r>
      <w:proofErr w:type="spellEnd"/>
      <w:r w:rsidR="004F351D" w:rsidRPr="006E02AA">
        <w:rPr>
          <w:rFonts w:hint="cs"/>
          <w:i/>
          <w:iCs/>
          <w:rtl/>
        </w:rPr>
        <w:t xml:space="preserve"> ضد بيلاروس</w:t>
      </w:r>
      <w:r w:rsidRPr="006E02AA">
        <w:rPr>
          <w:i/>
          <w:iCs/>
          <w:rtl/>
        </w:rPr>
        <w:t>،</w:t>
      </w:r>
      <w:r w:rsidRPr="006E02AA">
        <w:rPr>
          <w:rtl/>
        </w:rPr>
        <w:t xml:space="preserve"> الآراء المعتمدة في 1 تشرين الثاني/نوفمبر 2013، الفقرة 6-5؛ ورقم </w:t>
      </w:r>
      <w:r w:rsidRPr="006E02AA">
        <w:rPr>
          <w:rFonts w:hint="cs"/>
          <w:rtl/>
        </w:rPr>
        <w:t>1784</w:t>
      </w:r>
      <w:r w:rsidRPr="006E02AA">
        <w:rPr>
          <w:rtl/>
        </w:rPr>
        <w:t xml:space="preserve">/2008، </w:t>
      </w:r>
      <w:proofErr w:type="spellStart"/>
      <w:r w:rsidRPr="006E02AA">
        <w:rPr>
          <w:i/>
          <w:iCs/>
          <w:rtl/>
        </w:rPr>
        <w:t>شوميلين</w:t>
      </w:r>
      <w:proofErr w:type="spellEnd"/>
      <w:r w:rsidRPr="006E02AA">
        <w:rPr>
          <w:i/>
          <w:iCs/>
          <w:rtl/>
        </w:rPr>
        <w:t xml:space="preserve"> ضد بيلاروس،</w:t>
      </w:r>
      <w:r w:rsidRPr="006E02AA">
        <w:rPr>
          <w:rtl/>
        </w:rPr>
        <w:t xml:space="preserve"> الآراء المعتمدة في 23 تموز/يوليه 2012، الفقرة 8-3؛ ورقم</w:t>
      </w:r>
      <w:r w:rsidR="005365E1" w:rsidRPr="006E02AA">
        <w:rPr>
          <w:rFonts w:hint="cs"/>
          <w:rtl/>
        </w:rPr>
        <w:t> </w:t>
      </w:r>
      <w:r w:rsidRPr="006E02AA">
        <w:rPr>
          <w:rtl/>
        </w:rPr>
        <w:t xml:space="preserve">1814/2008، </w:t>
      </w:r>
      <w:r w:rsidRPr="006E02AA">
        <w:rPr>
          <w:i/>
          <w:iCs/>
          <w:rtl/>
        </w:rPr>
        <w:t>ب. ل. ضد بيلاروس،</w:t>
      </w:r>
      <w:r w:rsidR="004F351D" w:rsidRPr="006E02AA">
        <w:rPr>
          <w:rtl/>
        </w:rPr>
        <w:t xml:space="preserve"> قرار </w:t>
      </w:r>
      <w:r w:rsidR="004F351D" w:rsidRPr="006E02AA">
        <w:rPr>
          <w:rFonts w:hint="cs"/>
          <w:rtl/>
        </w:rPr>
        <w:t>ع</w:t>
      </w:r>
      <w:r w:rsidRPr="006E02AA">
        <w:rPr>
          <w:rtl/>
        </w:rPr>
        <w:t>دم ال</w:t>
      </w:r>
      <w:r w:rsidR="004F351D" w:rsidRPr="006E02AA">
        <w:rPr>
          <w:rFonts w:hint="cs"/>
          <w:rtl/>
        </w:rPr>
        <w:t>مقبولية المعتمد</w:t>
      </w:r>
      <w:r w:rsidRPr="006E02AA">
        <w:rPr>
          <w:rFonts w:hint="cs"/>
          <w:rtl/>
        </w:rPr>
        <w:t xml:space="preserve"> في</w:t>
      </w:r>
      <w:r w:rsidRPr="006E02AA">
        <w:rPr>
          <w:rtl/>
        </w:rPr>
        <w:t xml:space="preserve"> 26 تموز/يوليه 2011، الفقرة 6-2</w:t>
      </w:r>
      <w:r w:rsidRPr="006E02AA">
        <w:rPr>
          <w:rFonts w:hint="cs"/>
          <w:rtl/>
        </w:rPr>
        <w:t>؛ ورقم</w:t>
      </w:r>
      <w:r w:rsidR="005365E1" w:rsidRPr="006E02AA">
        <w:rPr>
          <w:rFonts w:hint="eastAsia"/>
          <w:rtl/>
        </w:rPr>
        <w:t> </w:t>
      </w:r>
      <w:r w:rsidRPr="006E02AA">
        <w:rPr>
          <w:rtl/>
        </w:rPr>
        <w:t xml:space="preserve">2041/2011، </w:t>
      </w:r>
      <w:proofErr w:type="spellStart"/>
      <w:r w:rsidRPr="006E02AA">
        <w:rPr>
          <w:i/>
          <w:iCs/>
          <w:rtl/>
        </w:rPr>
        <w:t>دوروفييف</w:t>
      </w:r>
      <w:proofErr w:type="spellEnd"/>
      <w:r w:rsidRPr="006E02AA">
        <w:rPr>
          <w:i/>
          <w:iCs/>
          <w:rtl/>
        </w:rPr>
        <w:t xml:space="preserve"> ضد الاتحاد الروسي،</w:t>
      </w:r>
      <w:r w:rsidRPr="006E02AA">
        <w:rPr>
          <w:rtl/>
        </w:rPr>
        <w:t xml:space="preserve"> الآراء المعتمدة في 11 تموز/يوليه 2014، الفقرة </w:t>
      </w:r>
      <w:r w:rsidRPr="006E02AA">
        <w:rPr>
          <w:rFonts w:hint="cs"/>
          <w:rtl/>
        </w:rPr>
        <w:t>8</w:t>
      </w:r>
      <w:r w:rsidRPr="006E02AA">
        <w:rPr>
          <w:rtl/>
        </w:rPr>
        <w:t>-6.</w:t>
      </w:r>
      <w:r w:rsidRPr="006E02AA">
        <w:rPr>
          <w:rFonts w:cs="Times New Roman" w:hint="cs"/>
          <w:rtl/>
        </w:rPr>
        <w:t>‬</w:t>
      </w:r>
    </w:p>
  </w:footnote>
  <w:footnote w:id="9">
    <w:p w:rsidR="00511585" w:rsidRPr="006E02AA" w:rsidRDefault="00511585" w:rsidP="006E02AA">
      <w:pPr>
        <w:pStyle w:val="FootnoteText1"/>
        <w:rPr>
          <w:rtl/>
          <w:lang w:bidi="ar-BH"/>
        </w:rPr>
      </w:pPr>
      <w:r w:rsidRPr="006E02AA">
        <w:rPr>
          <w:b/>
          <w:rtl/>
        </w:rPr>
        <w:t>(7)</w:t>
      </w:r>
      <w:r w:rsidR="005365E1" w:rsidRPr="006E02AA">
        <w:rPr>
          <w:rFonts w:hint="cs"/>
          <w:rtl/>
        </w:rPr>
        <w:tab/>
      </w:r>
      <w:r w:rsidRPr="006E02AA">
        <w:rPr>
          <w:rtl/>
        </w:rPr>
        <w:t xml:space="preserve">انظر، مثلاً، البلاغ رقم 1830/2008، </w:t>
      </w:r>
      <w:proofErr w:type="spellStart"/>
      <w:r w:rsidRPr="006E02AA">
        <w:rPr>
          <w:i/>
          <w:iCs/>
          <w:rtl/>
        </w:rPr>
        <w:t>بيفونوس</w:t>
      </w:r>
      <w:proofErr w:type="spellEnd"/>
      <w:r w:rsidRPr="006E02AA">
        <w:rPr>
          <w:i/>
          <w:iCs/>
          <w:rtl/>
        </w:rPr>
        <w:t xml:space="preserve"> ضد بيلاروس،</w:t>
      </w:r>
      <w:r w:rsidRPr="006E02AA">
        <w:rPr>
          <w:rtl/>
        </w:rPr>
        <w:t xml:space="preserve"> الآراء المعتمدة في 29 تشرين الأول/</w:t>
      </w:r>
      <w:r w:rsidR="006E02AA">
        <w:rPr>
          <w:rFonts w:hint="cs"/>
          <w:rtl/>
        </w:rPr>
        <w:t xml:space="preserve">  </w:t>
      </w:r>
      <w:r w:rsidRPr="006E02AA">
        <w:rPr>
          <w:rtl/>
        </w:rPr>
        <w:t xml:space="preserve">أكتوبر 2012، الفقرة 9-3؛ والبلاغ رقم 1785/2008، </w:t>
      </w:r>
      <w:proofErr w:type="spellStart"/>
      <w:r w:rsidRPr="006E02AA">
        <w:rPr>
          <w:i/>
          <w:iCs/>
          <w:rtl/>
        </w:rPr>
        <w:t>أولشيكيفتش</w:t>
      </w:r>
      <w:proofErr w:type="spellEnd"/>
      <w:r w:rsidRPr="006E02AA">
        <w:rPr>
          <w:i/>
          <w:iCs/>
          <w:rtl/>
        </w:rPr>
        <w:t xml:space="preserve"> ضد بيلاروس،</w:t>
      </w:r>
      <w:r w:rsidRPr="006E02AA">
        <w:rPr>
          <w:rtl/>
        </w:rPr>
        <w:t xml:space="preserve"> الآراء المعتمدة في</w:t>
      </w:r>
      <w:r w:rsidR="006E02AA">
        <w:rPr>
          <w:rFonts w:hint="cs"/>
          <w:rtl/>
        </w:rPr>
        <w:t> </w:t>
      </w:r>
      <w:r w:rsidRPr="006E02AA">
        <w:rPr>
          <w:rtl/>
        </w:rPr>
        <w:t>18 آذار/مارس 2013، الفقرة 8-5.</w:t>
      </w:r>
    </w:p>
  </w:footnote>
  <w:footnote w:id="10">
    <w:p w:rsidR="00511585" w:rsidRPr="006E02AA" w:rsidRDefault="00511585" w:rsidP="005365E1">
      <w:pPr>
        <w:pStyle w:val="FootnoteText1"/>
        <w:rPr>
          <w:rtl/>
          <w:lang w:bidi="ar-BH"/>
        </w:rPr>
      </w:pPr>
      <w:r w:rsidRPr="006E02AA">
        <w:rPr>
          <w:b/>
          <w:rtl/>
        </w:rPr>
        <w:t>(8)</w:t>
      </w:r>
      <w:r w:rsidR="005365E1" w:rsidRPr="006E02AA">
        <w:rPr>
          <w:rFonts w:hint="cs"/>
          <w:rtl/>
        </w:rPr>
        <w:tab/>
      </w:r>
      <w:r w:rsidRPr="006E02AA">
        <w:rPr>
          <w:rtl/>
        </w:rPr>
        <w:t xml:space="preserve">انظر البلاغ رقم 1948/2010، </w:t>
      </w:r>
      <w:proofErr w:type="spellStart"/>
      <w:r w:rsidRPr="006E02AA">
        <w:rPr>
          <w:i/>
          <w:iCs/>
          <w:rtl/>
        </w:rPr>
        <w:t>تورشنياك</w:t>
      </w:r>
      <w:proofErr w:type="spellEnd"/>
      <w:r w:rsidRPr="006E02AA">
        <w:rPr>
          <w:i/>
          <w:iCs/>
          <w:rtl/>
        </w:rPr>
        <w:t xml:space="preserve"> وآخرون ضد بيلاروس،</w:t>
      </w:r>
      <w:r w:rsidRPr="006E02AA">
        <w:rPr>
          <w:rtl/>
        </w:rPr>
        <w:t xml:space="preserve"> الآراء التي اعتُمدت في 24 تموز/</w:t>
      </w:r>
      <w:r w:rsidR="006E02AA">
        <w:rPr>
          <w:rFonts w:hint="cs"/>
          <w:rtl/>
        </w:rPr>
        <w:t xml:space="preserve">     </w:t>
      </w:r>
      <w:r w:rsidRPr="006E02AA">
        <w:rPr>
          <w:rtl/>
        </w:rPr>
        <w:t xml:space="preserve"> يوليه 2013، الفقرة 7-4.</w:t>
      </w:r>
    </w:p>
  </w:footnote>
  <w:footnote w:id="11">
    <w:p w:rsidR="00511585" w:rsidRPr="00A966CD" w:rsidRDefault="00511585" w:rsidP="00A966CD">
      <w:pPr>
        <w:pStyle w:val="FootnoteText1"/>
        <w:rPr>
          <w:spacing w:val="-2"/>
          <w:rtl/>
          <w:lang w:bidi="ar-BH"/>
        </w:rPr>
      </w:pPr>
      <w:r w:rsidRPr="006E02AA">
        <w:rPr>
          <w:b/>
          <w:rtl/>
        </w:rPr>
        <w:t>(9)</w:t>
      </w:r>
      <w:r w:rsidR="005365E1" w:rsidRPr="006E02AA">
        <w:rPr>
          <w:rFonts w:hint="cs"/>
          <w:rtl/>
        </w:rPr>
        <w:tab/>
      </w:r>
      <w:r w:rsidRPr="006E02AA">
        <w:rPr>
          <w:rFonts w:hint="cs"/>
          <w:rtl/>
        </w:rPr>
        <w:t>انظر</w:t>
      </w:r>
      <w:r w:rsidRPr="006E02AA">
        <w:rPr>
          <w:rFonts w:hint="cs"/>
          <w:rtl/>
          <w:lang w:bidi="ar-BH"/>
        </w:rPr>
        <w:t xml:space="preserve"> مثلا </w:t>
      </w:r>
      <w:proofErr w:type="spellStart"/>
      <w:r w:rsidRPr="006E02AA">
        <w:rPr>
          <w:i/>
          <w:iCs/>
          <w:rtl/>
        </w:rPr>
        <w:t>سيكركو</w:t>
      </w:r>
      <w:proofErr w:type="spellEnd"/>
      <w:r w:rsidRPr="006E02AA">
        <w:rPr>
          <w:i/>
          <w:iCs/>
          <w:rtl/>
        </w:rPr>
        <w:t xml:space="preserve"> ضد بيلاروس،</w:t>
      </w:r>
      <w:r w:rsidR="004E6EF6">
        <w:rPr>
          <w:rtl/>
        </w:rPr>
        <w:t xml:space="preserve"> الفقرة 11، </w:t>
      </w:r>
      <w:proofErr w:type="spellStart"/>
      <w:r w:rsidR="004E6EF6" w:rsidRPr="004E6EF6">
        <w:rPr>
          <w:i/>
          <w:iCs/>
          <w:rtl/>
        </w:rPr>
        <w:t>وتور</w:t>
      </w:r>
      <w:r w:rsidRPr="004E6EF6">
        <w:rPr>
          <w:i/>
          <w:iCs/>
          <w:rtl/>
        </w:rPr>
        <w:t>شنياك</w:t>
      </w:r>
      <w:proofErr w:type="spellEnd"/>
      <w:r w:rsidRPr="004E6EF6">
        <w:rPr>
          <w:i/>
          <w:iCs/>
          <w:rtl/>
        </w:rPr>
        <w:t xml:space="preserve"> وآخرون ضد بيلاروس،</w:t>
      </w:r>
      <w:r w:rsidR="004E6EF6">
        <w:rPr>
          <w:rtl/>
        </w:rPr>
        <w:t xml:space="preserve"> الفقرة</w:t>
      </w:r>
      <w:r w:rsidR="00CD7473">
        <w:rPr>
          <w:rFonts w:hint="cs"/>
          <w:rtl/>
        </w:rPr>
        <w:t xml:space="preserve"> </w:t>
      </w:r>
      <w:r w:rsidR="00CD7473">
        <w:rPr>
          <w:rtl/>
        </w:rPr>
        <w:t>9</w:t>
      </w:r>
      <w:r w:rsidR="00CD7473">
        <w:rPr>
          <w:rFonts w:hint="cs"/>
          <w:rtl/>
        </w:rPr>
        <w:t>؛</w:t>
      </w:r>
      <w:r w:rsidRPr="006E02AA">
        <w:rPr>
          <w:rtl/>
        </w:rPr>
        <w:t xml:space="preserve"> والبلاغ</w:t>
      </w:r>
      <w:r w:rsidRPr="006E02AA">
        <w:rPr>
          <w:rFonts w:hint="cs"/>
          <w:rtl/>
        </w:rPr>
        <w:t>ين</w:t>
      </w:r>
      <w:r w:rsidRPr="006E02AA">
        <w:rPr>
          <w:rtl/>
        </w:rPr>
        <w:t xml:space="preserve"> رقم</w:t>
      </w:r>
      <w:r w:rsidR="005365E1" w:rsidRPr="006E02AA">
        <w:rPr>
          <w:rFonts w:hint="cs"/>
          <w:rtl/>
        </w:rPr>
        <w:t> </w:t>
      </w:r>
      <w:r w:rsidRPr="006E02AA">
        <w:rPr>
          <w:rtl/>
        </w:rPr>
        <w:t xml:space="preserve">1790/2008، </w:t>
      </w:r>
      <w:proofErr w:type="spellStart"/>
      <w:r w:rsidRPr="006E02AA">
        <w:rPr>
          <w:i/>
          <w:iCs/>
          <w:rtl/>
        </w:rPr>
        <w:t>غوفشا</w:t>
      </w:r>
      <w:proofErr w:type="spellEnd"/>
      <w:r w:rsidRPr="006E02AA">
        <w:rPr>
          <w:rFonts w:hint="cs"/>
          <w:i/>
          <w:iCs/>
          <w:rtl/>
          <w:lang w:bidi="ar-BH"/>
        </w:rPr>
        <w:t xml:space="preserve"> </w:t>
      </w:r>
      <w:proofErr w:type="spellStart"/>
      <w:r w:rsidRPr="006E02AA">
        <w:rPr>
          <w:rFonts w:hint="cs"/>
          <w:i/>
          <w:iCs/>
          <w:rtl/>
          <w:lang w:bidi="ar-BH"/>
        </w:rPr>
        <w:t>وسيريتزا</w:t>
      </w:r>
      <w:proofErr w:type="spellEnd"/>
      <w:r w:rsidRPr="006E02AA">
        <w:rPr>
          <w:rFonts w:hint="cs"/>
          <w:i/>
          <w:iCs/>
          <w:rtl/>
          <w:lang w:bidi="ar-BH"/>
        </w:rPr>
        <w:t xml:space="preserve"> </w:t>
      </w:r>
      <w:proofErr w:type="spellStart"/>
      <w:r w:rsidRPr="006E02AA">
        <w:rPr>
          <w:rFonts w:hint="cs"/>
          <w:i/>
          <w:iCs/>
          <w:rtl/>
          <w:lang w:bidi="ar-BH"/>
        </w:rPr>
        <w:t>وميزياك</w:t>
      </w:r>
      <w:proofErr w:type="spellEnd"/>
      <w:r w:rsidRPr="006E02AA">
        <w:rPr>
          <w:i/>
          <w:iCs/>
          <w:rtl/>
        </w:rPr>
        <w:t xml:space="preserve"> ضد بيلاروس، </w:t>
      </w:r>
      <w:r w:rsidRPr="006E02AA">
        <w:rPr>
          <w:rtl/>
        </w:rPr>
        <w:t xml:space="preserve">الآراء المعتمدة في 27 تموز/يوليه 2012، </w:t>
      </w:r>
      <w:r w:rsidRPr="00A966CD">
        <w:rPr>
          <w:spacing w:val="-2"/>
          <w:rtl/>
        </w:rPr>
        <w:t>الفقرة</w:t>
      </w:r>
      <w:r w:rsidR="00A966CD" w:rsidRPr="00A966CD">
        <w:rPr>
          <w:rFonts w:hint="cs"/>
          <w:spacing w:val="-2"/>
          <w:rtl/>
        </w:rPr>
        <w:t> </w:t>
      </w:r>
      <w:r w:rsidRPr="00A966CD">
        <w:rPr>
          <w:spacing w:val="-2"/>
          <w:rtl/>
        </w:rPr>
        <w:t>11</w:t>
      </w:r>
      <w:r w:rsidRPr="00A966CD">
        <w:rPr>
          <w:rFonts w:hint="cs"/>
          <w:spacing w:val="-2"/>
          <w:rtl/>
        </w:rPr>
        <w:t>، ورقم 1934/2010،</w:t>
      </w:r>
      <w:r w:rsidRPr="00A966CD">
        <w:rPr>
          <w:rFonts w:hint="cs"/>
          <w:i/>
          <w:iCs/>
          <w:spacing w:val="-2"/>
          <w:rtl/>
        </w:rPr>
        <w:t xml:space="preserve"> </w:t>
      </w:r>
      <w:proofErr w:type="spellStart"/>
      <w:r w:rsidRPr="00A966CD">
        <w:rPr>
          <w:rFonts w:hint="cs"/>
          <w:i/>
          <w:iCs/>
          <w:spacing w:val="-2"/>
          <w:rtl/>
        </w:rPr>
        <w:t>بازاروف</w:t>
      </w:r>
      <w:proofErr w:type="spellEnd"/>
      <w:r w:rsidRPr="00A966CD">
        <w:rPr>
          <w:rFonts w:hint="cs"/>
          <w:i/>
          <w:iCs/>
          <w:spacing w:val="-2"/>
          <w:rtl/>
        </w:rPr>
        <w:t xml:space="preserve"> ضد بيلاروس،</w:t>
      </w:r>
      <w:r w:rsidRPr="00A966CD">
        <w:rPr>
          <w:rFonts w:hint="cs"/>
          <w:spacing w:val="-2"/>
          <w:rtl/>
        </w:rPr>
        <w:t xml:space="preserve"> الآراء المعتمدة في 24 تموز/يوليه 2014، الفقرة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5" w:rsidRPr="00511585" w:rsidRDefault="00511585" w:rsidP="00511585">
    <w:pPr>
      <w:pStyle w:val="Header"/>
      <w:jc w:val="right"/>
    </w:pPr>
    <w:r w:rsidRPr="00511585">
      <w:t>CCPR/C/116/D/2092/2011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5" w:rsidRPr="00511585" w:rsidRDefault="00511585" w:rsidP="00511585">
    <w:pPr>
      <w:pStyle w:val="Header"/>
      <w:jc w:val="left"/>
    </w:pPr>
    <w:r w:rsidRPr="00511585">
      <w:t>CCPR/C/116/D/2092/2011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680"/>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D18C8"/>
    <w:rsid w:val="000076D5"/>
    <w:rsid w:val="00043663"/>
    <w:rsid w:val="000437B8"/>
    <w:rsid w:val="000505CF"/>
    <w:rsid w:val="00073DF4"/>
    <w:rsid w:val="000B3EB3"/>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D298E"/>
    <w:rsid w:val="004E6EF6"/>
    <w:rsid w:val="004F351D"/>
    <w:rsid w:val="00511585"/>
    <w:rsid w:val="00517BC9"/>
    <w:rsid w:val="005365E1"/>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02AA"/>
    <w:rsid w:val="00733704"/>
    <w:rsid w:val="0078071A"/>
    <w:rsid w:val="00787E1E"/>
    <w:rsid w:val="00852A9A"/>
    <w:rsid w:val="008F49E1"/>
    <w:rsid w:val="0090370F"/>
    <w:rsid w:val="009269D2"/>
    <w:rsid w:val="00942135"/>
    <w:rsid w:val="009521B0"/>
    <w:rsid w:val="009A7E9F"/>
    <w:rsid w:val="009C6DEB"/>
    <w:rsid w:val="009D18C8"/>
    <w:rsid w:val="009E5018"/>
    <w:rsid w:val="00A12B37"/>
    <w:rsid w:val="00A966CD"/>
    <w:rsid w:val="00AB6758"/>
    <w:rsid w:val="00B13763"/>
    <w:rsid w:val="00B477A4"/>
    <w:rsid w:val="00B54045"/>
    <w:rsid w:val="00B76D1E"/>
    <w:rsid w:val="00BF273E"/>
    <w:rsid w:val="00C438D7"/>
    <w:rsid w:val="00C81B50"/>
    <w:rsid w:val="00CB6622"/>
    <w:rsid w:val="00CD1801"/>
    <w:rsid w:val="00CD7473"/>
    <w:rsid w:val="00CF65C6"/>
    <w:rsid w:val="00D10EF1"/>
    <w:rsid w:val="00D12CAE"/>
    <w:rsid w:val="00D42810"/>
    <w:rsid w:val="00D914A7"/>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394B"/>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F8D1-C2EB-48CC-BC5A-211C28DA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CCPR/C/116/D/2092/2011</vt:lpstr>
    </vt:vector>
  </TitlesOfParts>
  <Company>DCM</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CCPR/C/116/D/2092/2011</dc:title>
  <dc:subject>GE.1607651A</dc:subject>
  <dc:creator>MBUH42</dc:creator>
  <cp:keywords>ODS No.1609558</cp:keywords>
  <dc:description>Distribution:_x000d_
Original: English_x000d_
Sawsan TARAIF_x000d_
Date: 11 May 2016</dc:description>
  <cp:lastModifiedBy>RKHO13</cp:lastModifiedBy>
  <cp:revision>2</cp:revision>
  <cp:lastPrinted>2016-12-01T07:50:00Z</cp:lastPrinted>
  <dcterms:created xsi:type="dcterms:W3CDTF">2016-12-01T11:02:00Z</dcterms:created>
  <dcterms:modified xsi:type="dcterms:W3CDTF">2016-12-01T11:02:00Z</dcterms:modified>
  <cp:category>Finale</cp:category>
</cp:coreProperties>
</file>