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17B31" w:rsidRPr="00DB58B5" w:rsidTr="00B17B31">
        <w:trPr>
          <w:trHeight w:hRule="exact" w:val="851"/>
        </w:trPr>
        <w:tc>
          <w:tcPr>
            <w:tcW w:w="1276" w:type="dxa"/>
            <w:tcBorders>
              <w:bottom w:val="single" w:sz="4" w:space="0" w:color="auto"/>
            </w:tcBorders>
          </w:tcPr>
          <w:p w:rsidR="00B17B31" w:rsidRPr="00DB58B5" w:rsidRDefault="00B17B31" w:rsidP="00B17B31"/>
        </w:tc>
        <w:tc>
          <w:tcPr>
            <w:tcW w:w="2268" w:type="dxa"/>
            <w:tcBorders>
              <w:bottom w:val="single" w:sz="4" w:space="0" w:color="auto"/>
            </w:tcBorders>
            <w:vAlign w:val="bottom"/>
          </w:tcPr>
          <w:p w:rsidR="00B17B31" w:rsidRPr="00DB58B5" w:rsidRDefault="00B17B31" w:rsidP="00B17B3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17B31" w:rsidRPr="00DB58B5" w:rsidRDefault="00BA6ADE" w:rsidP="00BA6ADE">
            <w:pPr>
              <w:jc w:val="right"/>
            </w:pPr>
            <w:r w:rsidRPr="00BA6ADE">
              <w:rPr>
                <w:sz w:val="40"/>
              </w:rPr>
              <w:t>CCPR</w:t>
            </w:r>
            <w:r>
              <w:t>/C/108/D/2149/2012</w:t>
            </w:r>
          </w:p>
        </w:tc>
      </w:tr>
      <w:tr w:rsidR="00B17B31" w:rsidRPr="00DB58B5" w:rsidTr="00B17B31">
        <w:trPr>
          <w:trHeight w:hRule="exact" w:val="2835"/>
        </w:trPr>
        <w:tc>
          <w:tcPr>
            <w:tcW w:w="1276" w:type="dxa"/>
            <w:tcBorders>
              <w:top w:val="single" w:sz="4" w:space="0" w:color="auto"/>
              <w:bottom w:val="single" w:sz="12" w:space="0" w:color="auto"/>
            </w:tcBorders>
          </w:tcPr>
          <w:p w:rsidR="00B17B31" w:rsidRPr="00DB58B5" w:rsidRDefault="00B17B31" w:rsidP="00B17B31">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17B31" w:rsidRPr="009717AD" w:rsidRDefault="00B17B31" w:rsidP="00B17B31">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BA6ADE" w:rsidRDefault="00B17B31" w:rsidP="00B17B31">
            <w:pPr>
              <w:spacing w:before="240"/>
            </w:pPr>
            <w:r w:rsidRPr="00DB58B5">
              <w:t xml:space="preserve">Distr. </w:t>
            </w:r>
            <w:r w:rsidR="0025063E">
              <w:t>générale</w:t>
            </w:r>
          </w:p>
          <w:p w:rsidR="00BA6ADE" w:rsidRDefault="00BA6ADE" w:rsidP="00BA6ADE">
            <w:pPr>
              <w:spacing w:line="240" w:lineRule="exact"/>
            </w:pPr>
            <w:r>
              <w:t>26 septembre 2013</w:t>
            </w:r>
          </w:p>
          <w:p w:rsidR="00BA6ADE" w:rsidRDefault="00BA6ADE" w:rsidP="00BA6ADE">
            <w:pPr>
              <w:spacing w:line="240" w:lineRule="exact"/>
            </w:pPr>
            <w:r>
              <w:t>Français</w:t>
            </w:r>
          </w:p>
          <w:p w:rsidR="00B17B31" w:rsidRPr="00DB58B5" w:rsidRDefault="00BA6ADE" w:rsidP="00BA6ADE">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w:t>
      </w:r>
      <w:r w:rsidR="00BE5FF0">
        <w:rPr>
          <w:b/>
          <w:sz w:val="24"/>
          <w:szCs w:val="24"/>
        </w:rPr>
        <w:t>’</w:t>
      </w:r>
      <w:r w:rsidR="00FD511F" w:rsidRPr="00FD511F">
        <w:rPr>
          <w:b/>
          <w:sz w:val="24"/>
          <w:szCs w:val="24"/>
        </w:rPr>
        <w:t>homme</w:t>
      </w:r>
    </w:p>
    <w:p w:rsidR="00B153ED" w:rsidRPr="009F7F79" w:rsidRDefault="00B153ED" w:rsidP="00B153ED">
      <w:pPr>
        <w:pStyle w:val="HChG"/>
      </w:pPr>
      <w:r>
        <w:tab/>
      </w:r>
      <w:r>
        <w:tab/>
        <w:t>Communication n</w:t>
      </w:r>
      <w:r>
        <w:rPr>
          <w:vertAlign w:val="superscript"/>
        </w:rPr>
        <w:t>o</w:t>
      </w:r>
      <w:r w:rsidR="0068292B">
        <w:t> 2149/2012</w:t>
      </w:r>
    </w:p>
    <w:p w:rsidR="00642728" w:rsidRPr="009F7F79" w:rsidRDefault="00FD511F" w:rsidP="00B153ED">
      <w:pPr>
        <w:pStyle w:val="H1G"/>
      </w:pPr>
      <w:r>
        <w:tab/>
      </w:r>
      <w:r>
        <w:tab/>
      </w:r>
      <w:r w:rsidR="00642728">
        <w:t>C</w:t>
      </w:r>
      <w:r w:rsidR="00B57784">
        <w:t>onstatations</w:t>
      </w:r>
      <w:r w:rsidR="00B153ED">
        <w:t xml:space="preserve"> adoptées par le Comité à sa 10</w:t>
      </w:r>
      <w:r w:rsidR="0068292B">
        <w:t>8</w:t>
      </w:r>
      <w:r w:rsidR="00B153ED" w:rsidRPr="00B153ED">
        <w:rPr>
          <w:vertAlign w:val="superscript"/>
        </w:rPr>
        <w:t>e</w:t>
      </w:r>
      <w:r w:rsidR="00B153ED">
        <w:t xml:space="preserve"> session</w:t>
      </w:r>
      <w:r w:rsidR="00B153ED">
        <w:br/>
        <w:t>(</w:t>
      </w:r>
      <w:r w:rsidR="0068292B">
        <w:t>8-26 juillet 2013</w:t>
      </w:r>
      <w:r w:rsidR="00B153ED">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119"/>
        <w:gridCol w:w="3686"/>
      </w:tblGrid>
      <w:tr w:rsidR="005D29C8" w:rsidTr="00065ECB">
        <w:tc>
          <w:tcPr>
            <w:tcW w:w="3119" w:type="dxa"/>
          </w:tcPr>
          <w:p w:rsidR="005D29C8" w:rsidRPr="00EC6E49" w:rsidRDefault="00B153ED" w:rsidP="00EC6E49">
            <w:r>
              <w:rPr>
                <w:i/>
              </w:rPr>
              <w:t>Communication p</w:t>
            </w:r>
            <w:r w:rsidR="005D29C8" w:rsidRPr="00EC6E49">
              <w:rPr>
                <w:i/>
              </w:rPr>
              <w:t>résentée par</w:t>
            </w:r>
            <w:r w:rsidR="00CC25DC" w:rsidRPr="00CC25DC">
              <w:t>:</w:t>
            </w:r>
          </w:p>
        </w:tc>
        <w:tc>
          <w:tcPr>
            <w:tcW w:w="3686" w:type="dxa"/>
          </w:tcPr>
          <w:p w:rsidR="005D29C8" w:rsidRDefault="0068292B" w:rsidP="00EC6E49">
            <w:pPr>
              <w:spacing w:after="120"/>
            </w:pPr>
            <w:r>
              <w:rPr>
                <w:lang w:val="fr-FR"/>
              </w:rPr>
              <w:t>M.</w:t>
            </w:r>
            <w:r w:rsidR="008F0A07">
              <w:rPr>
                <w:lang w:val="fr-FR"/>
              </w:rPr>
              <w:t> </w:t>
            </w:r>
            <w:r w:rsidRPr="00B76B3A">
              <w:rPr>
                <w:lang w:val="fr-FR"/>
              </w:rPr>
              <w:t>I</w:t>
            </w:r>
            <w:r>
              <w:rPr>
                <w:lang w:val="fr-FR"/>
              </w:rPr>
              <w:t>.</w:t>
            </w:r>
            <w:r w:rsidRPr="00B76B3A">
              <w:rPr>
                <w:lang w:val="fr-FR"/>
              </w:rPr>
              <w:t xml:space="preserve"> (</w:t>
            </w:r>
            <w:r>
              <w:rPr>
                <w:lang w:val="fr-FR"/>
              </w:rPr>
              <w:t>représentée par un conseil, Eva </w:t>
            </w:r>
            <w:r w:rsidRPr="00B76B3A">
              <w:rPr>
                <w:lang w:val="fr-FR"/>
              </w:rPr>
              <w:t>Rimsten, de la Croix-Rouge suédoise)</w:t>
            </w:r>
          </w:p>
        </w:tc>
      </w:tr>
      <w:tr w:rsidR="005D29C8" w:rsidTr="00065ECB">
        <w:tc>
          <w:tcPr>
            <w:tcW w:w="3119" w:type="dxa"/>
          </w:tcPr>
          <w:p w:rsidR="005D29C8" w:rsidRPr="00EC6E49" w:rsidRDefault="005D29C8" w:rsidP="00EC6E49">
            <w:r w:rsidRPr="00EC6E49">
              <w:rPr>
                <w:i/>
              </w:rPr>
              <w:t>Au nom de</w:t>
            </w:r>
            <w:r w:rsidR="00CC25DC" w:rsidRPr="00CC25DC">
              <w:t>:</w:t>
            </w:r>
          </w:p>
        </w:tc>
        <w:tc>
          <w:tcPr>
            <w:tcW w:w="3686" w:type="dxa"/>
          </w:tcPr>
          <w:p w:rsidR="005D29C8" w:rsidRDefault="0068292B" w:rsidP="00EC6E49">
            <w:pPr>
              <w:spacing w:after="120"/>
            </w:pPr>
            <w:r>
              <w:t>L</w:t>
            </w:r>
            <w:r w:rsidR="00BE5FF0">
              <w:t>’</w:t>
            </w:r>
            <w:r>
              <w:t>auteur</w:t>
            </w:r>
          </w:p>
        </w:tc>
      </w:tr>
      <w:tr w:rsidR="005D29C8" w:rsidTr="00065ECB">
        <w:tc>
          <w:tcPr>
            <w:tcW w:w="3119" w:type="dxa"/>
          </w:tcPr>
          <w:p w:rsidR="005D29C8" w:rsidRPr="00EC6E49" w:rsidRDefault="005D29C8" w:rsidP="00EC6E49">
            <w:r w:rsidRPr="00EC6E49">
              <w:rPr>
                <w:i/>
              </w:rPr>
              <w:t>État partie</w:t>
            </w:r>
            <w:r w:rsidR="00CC25DC" w:rsidRPr="00CC25DC">
              <w:t>:</w:t>
            </w:r>
          </w:p>
        </w:tc>
        <w:tc>
          <w:tcPr>
            <w:tcW w:w="3686" w:type="dxa"/>
          </w:tcPr>
          <w:p w:rsidR="005D29C8" w:rsidRDefault="0068292B" w:rsidP="00EC6E49">
            <w:pPr>
              <w:spacing w:after="120"/>
            </w:pPr>
            <w:r>
              <w:t>Suède</w:t>
            </w:r>
          </w:p>
        </w:tc>
      </w:tr>
      <w:tr w:rsidR="005D29C8" w:rsidTr="00065ECB">
        <w:tc>
          <w:tcPr>
            <w:tcW w:w="3119" w:type="dxa"/>
          </w:tcPr>
          <w:p w:rsidR="005D29C8" w:rsidRPr="00EC6E49" w:rsidRDefault="005D29C8" w:rsidP="00EC6E49">
            <w:r w:rsidRPr="00EC6E49">
              <w:rPr>
                <w:i/>
              </w:rPr>
              <w:t>Date de la communication</w:t>
            </w:r>
            <w:r w:rsidR="00CC25DC" w:rsidRPr="00CC25DC">
              <w:t>:</w:t>
            </w:r>
          </w:p>
        </w:tc>
        <w:tc>
          <w:tcPr>
            <w:tcW w:w="3686" w:type="dxa"/>
          </w:tcPr>
          <w:p w:rsidR="005D29C8" w:rsidRDefault="0068292B" w:rsidP="00EC6E49">
            <w:pPr>
              <w:spacing w:after="120"/>
            </w:pPr>
            <w:r>
              <w:rPr>
                <w:lang w:val="fr-FR"/>
              </w:rPr>
              <w:t>7 </w:t>
            </w:r>
            <w:r w:rsidRPr="00B76B3A">
              <w:rPr>
                <w:lang w:val="fr-FR"/>
              </w:rPr>
              <w:t>mai 2012 (</w:t>
            </w:r>
            <w:r>
              <w:rPr>
                <w:lang w:val="fr-FR"/>
              </w:rPr>
              <w:t xml:space="preserve">date de la </w:t>
            </w:r>
            <w:r w:rsidRPr="00B76B3A">
              <w:rPr>
                <w:lang w:val="fr-FR"/>
              </w:rPr>
              <w:t>lettre initiale)</w:t>
            </w:r>
          </w:p>
        </w:tc>
      </w:tr>
      <w:tr w:rsidR="005D29C8" w:rsidTr="00065ECB">
        <w:tc>
          <w:tcPr>
            <w:tcW w:w="3119" w:type="dxa"/>
          </w:tcPr>
          <w:p w:rsidR="005D29C8" w:rsidRPr="00EC6E49" w:rsidRDefault="005D29C8" w:rsidP="00EC6E49">
            <w:r w:rsidRPr="00EC6E49">
              <w:rPr>
                <w:i/>
              </w:rPr>
              <w:t>Références</w:t>
            </w:r>
            <w:r w:rsidR="00CC25DC" w:rsidRPr="00CC25DC">
              <w:t>:</w:t>
            </w:r>
          </w:p>
        </w:tc>
        <w:tc>
          <w:tcPr>
            <w:tcW w:w="3686" w:type="dxa"/>
          </w:tcPr>
          <w:p w:rsidR="005D29C8" w:rsidRDefault="0068292B" w:rsidP="0068292B">
            <w:pPr>
              <w:tabs>
                <w:tab w:val="left" w:pos="945"/>
              </w:tabs>
              <w:spacing w:after="120"/>
            </w:pPr>
            <w:r w:rsidRPr="00B76B3A">
              <w:rPr>
                <w:szCs w:val="24"/>
                <w:lang w:val="fr-FR"/>
              </w:rPr>
              <w:t>Décision prise par le Rapporteur spécial en</w:t>
            </w:r>
            <w:r>
              <w:rPr>
                <w:szCs w:val="24"/>
                <w:lang w:val="fr-FR"/>
              </w:rPr>
              <w:t> </w:t>
            </w:r>
            <w:r w:rsidRPr="00B76B3A">
              <w:rPr>
                <w:szCs w:val="24"/>
                <w:lang w:val="fr-FR"/>
              </w:rPr>
              <w:t>application de l</w:t>
            </w:r>
            <w:r w:rsidR="00BE5FF0">
              <w:rPr>
                <w:szCs w:val="24"/>
                <w:lang w:val="fr-FR"/>
              </w:rPr>
              <w:t>’</w:t>
            </w:r>
            <w:r w:rsidRPr="00B76B3A">
              <w:rPr>
                <w:szCs w:val="24"/>
                <w:lang w:val="fr-FR"/>
              </w:rPr>
              <w:t>article 97 du Règlement intérieur, communiquée à l</w:t>
            </w:r>
            <w:r w:rsidR="00BE5FF0">
              <w:rPr>
                <w:szCs w:val="24"/>
                <w:lang w:val="fr-FR"/>
              </w:rPr>
              <w:t>’</w:t>
            </w:r>
            <w:r w:rsidRPr="00B76B3A">
              <w:rPr>
                <w:szCs w:val="24"/>
                <w:lang w:val="fr-FR"/>
              </w:rPr>
              <w:t xml:space="preserve">État partie le </w:t>
            </w:r>
            <w:r>
              <w:rPr>
                <w:lang w:val="fr-FR"/>
              </w:rPr>
              <w:t>10 </w:t>
            </w:r>
            <w:r w:rsidRPr="00B76B3A">
              <w:rPr>
                <w:lang w:val="fr-FR"/>
              </w:rPr>
              <w:t>mai 2012 (non publiée sous forme de document)</w:t>
            </w:r>
          </w:p>
        </w:tc>
      </w:tr>
      <w:tr w:rsidR="005D29C8" w:rsidTr="00065ECB">
        <w:tc>
          <w:tcPr>
            <w:tcW w:w="3119" w:type="dxa"/>
          </w:tcPr>
          <w:p w:rsidR="005D29C8" w:rsidRPr="00EC6E49" w:rsidRDefault="00424FEB" w:rsidP="00EC6E49">
            <w:r>
              <w:rPr>
                <w:i/>
              </w:rPr>
              <w:t>Date de l</w:t>
            </w:r>
            <w:r w:rsidR="00BE5FF0">
              <w:rPr>
                <w:i/>
              </w:rPr>
              <w:t>’</w:t>
            </w:r>
            <w:r>
              <w:rPr>
                <w:i/>
              </w:rPr>
              <w:t>adoption</w:t>
            </w:r>
            <w:r w:rsidR="00065ECB" w:rsidRPr="00EC6E49">
              <w:rPr>
                <w:i/>
              </w:rPr>
              <w:t xml:space="preserve"> </w:t>
            </w:r>
            <w:r w:rsidR="005D29C8" w:rsidRPr="00EC6E49">
              <w:rPr>
                <w:i/>
              </w:rPr>
              <w:t>des constatations</w:t>
            </w:r>
            <w:r w:rsidR="00CC25DC" w:rsidRPr="00CC25DC">
              <w:t>:</w:t>
            </w:r>
          </w:p>
        </w:tc>
        <w:tc>
          <w:tcPr>
            <w:tcW w:w="3686" w:type="dxa"/>
            <w:vAlign w:val="bottom"/>
          </w:tcPr>
          <w:p w:rsidR="005D29C8" w:rsidRDefault="00880BF9" w:rsidP="00EC6E49">
            <w:pPr>
              <w:spacing w:after="120"/>
            </w:pPr>
            <w:r>
              <w:t>25</w:t>
            </w:r>
            <w:r w:rsidR="0068292B">
              <w:t xml:space="preserve"> juillet 2013</w:t>
            </w:r>
          </w:p>
        </w:tc>
      </w:tr>
      <w:tr w:rsidR="005D29C8" w:rsidTr="00065ECB">
        <w:tc>
          <w:tcPr>
            <w:tcW w:w="3119" w:type="dxa"/>
          </w:tcPr>
          <w:p w:rsidR="005D29C8" w:rsidRPr="00EC6E49" w:rsidRDefault="005D29C8" w:rsidP="00EC6E49">
            <w:r w:rsidRPr="00EC6E49">
              <w:rPr>
                <w:i/>
                <w:iCs/>
              </w:rPr>
              <w:t>Objet</w:t>
            </w:r>
            <w:r w:rsidR="00CC25DC" w:rsidRPr="00CC25DC">
              <w:t>:</w:t>
            </w:r>
          </w:p>
        </w:tc>
        <w:tc>
          <w:tcPr>
            <w:tcW w:w="3686" w:type="dxa"/>
          </w:tcPr>
          <w:p w:rsidR="005D29C8" w:rsidRDefault="00880BF9" w:rsidP="00880BF9">
            <w:pPr>
              <w:tabs>
                <w:tab w:val="left" w:pos="960"/>
              </w:tabs>
              <w:spacing w:after="120"/>
            </w:pPr>
            <w:r w:rsidRPr="00B76B3A">
              <w:rPr>
                <w:lang w:val="fr-FR"/>
              </w:rPr>
              <w:t>Expulsion d</w:t>
            </w:r>
            <w:r w:rsidR="00BE5FF0">
              <w:rPr>
                <w:lang w:val="fr-FR"/>
              </w:rPr>
              <w:t>’</w:t>
            </w:r>
            <w:r w:rsidRPr="00B76B3A">
              <w:rPr>
                <w:lang w:val="fr-FR"/>
              </w:rPr>
              <w:t>une femme homosexuelle vers</w:t>
            </w:r>
            <w:r>
              <w:rPr>
                <w:lang w:val="fr-FR"/>
              </w:rPr>
              <w:t> le </w:t>
            </w:r>
            <w:r w:rsidRPr="00B76B3A">
              <w:rPr>
                <w:lang w:val="fr-FR"/>
              </w:rPr>
              <w:t xml:space="preserve">Bangladesh </w:t>
            </w:r>
          </w:p>
        </w:tc>
      </w:tr>
      <w:tr w:rsidR="005D29C8" w:rsidTr="00065ECB">
        <w:tc>
          <w:tcPr>
            <w:tcW w:w="3119" w:type="dxa"/>
          </w:tcPr>
          <w:p w:rsidR="005D29C8" w:rsidRPr="00EC6E49" w:rsidRDefault="005D29C8" w:rsidP="00EC6E49">
            <w:r w:rsidRPr="00EC6E49">
              <w:rPr>
                <w:i/>
                <w:iCs/>
              </w:rPr>
              <w:t>Questions de procédure</w:t>
            </w:r>
            <w:r w:rsidR="00CC25DC" w:rsidRPr="00CC25DC">
              <w:t>:</w:t>
            </w:r>
          </w:p>
        </w:tc>
        <w:tc>
          <w:tcPr>
            <w:tcW w:w="3686" w:type="dxa"/>
          </w:tcPr>
          <w:p w:rsidR="005D29C8" w:rsidRDefault="00880BF9" w:rsidP="00880BF9">
            <w:pPr>
              <w:tabs>
                <w:tab w:val="left" w:pos="960"/>
              </w:tabs>
              <w:spacing w:after="120"/>
            </w:pPr>
            <w:r w:rsidRPr="00B76B3A">
              <w:rPr>
                <w:lang w:val="fr-FR"/>
              </w:rPr>
              <w:t>Griefs insuffisamment étayés</w:t>
            </w:r>
          </w:p>
        </w:tc>
      </w:tr>
      <w:tr w:rsidR="005D29C8" w:rsidTr="00065ECB">
        <w:tc>
          <w:tcPr>
            <w:tcW w:w="3119" w:type="dxa"/>
          </w:tcPr>
          <w:p w:rsidR="005D29C8" w:rsidRPr="00EC6E49" w:rsidRDefault="005D29C8" w:rsidP="00EC6E49">
            <w:r w:rsidRPr="00EC6E49">
              <w:rPr>
                <w:i/>
                <w:iCs/>
              </w:rPr>
              <w:t>Questions de fond</w:t>
            </w:r>
            <w:r w:rsidR="00CC25DC" w:rsidRPr="00CC25DC">
              <w:t>:</w:t>
            </w:r>
          </w:p>
        </w:tc>
        <w:tc>
          <w:tcPr>
            <w:tcW w:w="3686" w:type="dxa"/>
          </w:tcPr>
          <w:p w:rsidR="005D29C8" w:rsidRDefault="00880BF9" w:rsidP="00EC6E49">
            <w:pPr>
              <w:spacing w:after="120"/>
            </w:pPr>
            <w:r w:rsidRPr="00B76B3A">
              <w:rPr>
                <w:lang w:val="fr-FR"/>
              </w:rPr>
              <w:t>Risque de torture et autres peines ou traitements cruels, inhumains ou dégradants en cas de renvoi dans le pays d</w:t>
            </w:r>
            <w:r w:rsidR="00BE5FF0">
              <w:rPr>
                <w:lang w:val="fr-FR"/>
              </w:rPr>
              <w:t>’</w:t>
            </w:r>
            <w:r w:rsidRPr="00B76B3A">
              <w:rPr>
                <w:lang w:val="fr-FR"/>
              </w:rPr>
              <w:t xml:space="preserve">origine; </w:t>
            </w:r>
            <w:r>
              <w:rPr>
                <w:lang w:val="fr-FR"/>
              </w:rPr>
              <w:t>principe</w:t>
            </w:r>
            <w:r w:rsidRPr="00B76B3A">
              <w:rPr>
                <w:lang w:val="fr-FR"/>
              </w:rPr>
              <w:t xml:space="preserve"> du </w:t>
            </w:r>
            <w:r>
              <w:rPr>
                <w:lang w:val="fr-FR"/>
              </w:rPr>
              <w:t>non-</w:t>
            </w:r>
            <w:r w:rsidRPr="009F791B">
              <w:rPr>
                <w:lang w:val="fr-FR"/>
              </w:rPr>
              <w:t>refoulement</w:t>
            </w:r>
          </w:p>
        </w:tc>
      </w:tr>
      <w:tr w:rsidR="005D29C8" w:rsidTr="00065ECB">
        <w:tc>
          <w:tcPr>
            <w:tcW w:w="3119" w:type="dxa"/>
          </w:tcPr>
          <w:p w:rsidR="005D29C8" w:rsidRPr="00EC6E49" w:rsidRDefault="005D29C8" w:rsidP="00EC6E49">
            <w:r w:rsidRPr="00EC6E49">
              <w:rPr>
                <w:i/>
                <w:iCs/>
              </w:rPr>
              <w:t>Article du Pacte</w:t>
            </w:r>
            <w:r w:rsidR="00CC25DC" w:rsidRPr="00CC25DC">
              <w:t>:</w:t>
            </w:r>
          </w:p>
        </w:tc>
        <w:tc>
          <w:tcPr>
            <w:tcW w:w="3686" w:type="dxa"/>
          </w:tcPr>
          <w:p w:rsidR="005D29C8" w:rsidRDefault="00880BF9" w:rsidP="00EC6E49">
            <w:pPr>
              <w:spacing w:after="120"/>
            </w:pPr>
            <w:r>
              <w:t>7</w:t>
            </w:r>
          </w:p>
        </w:tc>
      </w:tr>
      <w:tr w:rsidR="005D29C8" w:rsidTr="00065ECB">
        <w:tc>
          <w:tcPr>
            <w:tcW w:w="3119" w:type="dxa"/>
          </w:tcPr>
          <w:p w:rsidR="005D29C8" w:rsidRPr="00EC6E49" w:rsidRDefault="005D29C8" w:rsidP="00EC6E49">
            <w:r w:rsidRPr="00EC6E49">
              <w:rPr>
                <w:i/>
                <w:iCs/>
              </w:rPr>
              <w:t>Article du Protocole facultatif</w:t>
            </w:r>
            <w:r w:rsidR="00CC25DC" w:rsidRPr="00CC25DC">
              <w:t>:</w:t>
            </w:r>
          </w:p>
        </w:tc>
        <w:tc>
          <w:tcPr>
            <w:tcW w:w="3686" w:type="dxa"/>
          </w:tcPr>
          <w:p w:rsidR="005D29C8" w:rsidRDefault="00880BF9" w:rsidP="00EC6E49">
            <w:pPr>
              <w:spacing w:after="120"/>
            </w:pPr>
            <w:r>
              <w:t>2</w:t>
            </w:r>
          </w:p>
        </w:tc>
      </w:tr>
    </w:tbl>
    <w:p w:rsidR="00642728" w:rsidRDefault="007B0586" w:rsidP="007B0586">
      <w:pPr>
        <w:pStyle w:val="HChG"/>
      </w:pPr>
      <w:r>
        <w:br w:type="page"/>
      </w:r>
      <w:r w:rsidR="00642728">
        <w:t>A</w:t>
      </w:r>
      <w:r w:rsidR="00B57784">
        <w:t>nnexe</w:t>
      </w:r>
    </w:p>
    <w:p w:rsidR="00642728" w:rsidRDefault="00B57784" w:rsidP="00757D82">
      <w:pPr>
        <w:pStyle w:val="HChG"/>
      </w:pPr>
      <w:r>
        <w:tab/>
      </w:r>
      <w:r>
        <w:tab/>
        <w:t xml:space="preserve">Constatations du </w:t>
      </w:r>
      <w:r w:rsidR="00572B3F">
        <w:t>C</w:t>
      </w:r>
      <w:r>
        <w:t>omité des droits de l</w:t>
      </w:r>
      <w:r w:rsidR="00BE5FF0">
        <w:t>’</w:t>
      </w:r>
      <w:r>
        <w:t>homme au titre du paragraphe 4 de l</w:t>
      </w:r>
      <w:r w:rsidR="00BE5FF0">
        <w:t>’</w:t>
      </w:r>
      <w:r>
        <w:t xml:space="preserve">article 5 du </w:t>
      </w:r>
      <w:r w:rsidR="00572B3F">
        <w:t>P</w:t>
      </w:r>
      <w:r>
        <w:t>rotocole facultatif</w:t>
      </w:r>
      <w:r w:rsidR="008F7C94">
        <w:br/>
        <w:t xml:space="preserve">se </w:t>
      </w:r>
      <w:r>
        <w:t xml:space="preserve">rapportant au </w:t>
      </w:r>
      <w:r w:rsidR="00572B3F">
        <w:t>P</w:t>
      </w:r>
      <w:r>
        <w:t>acte international relatif aux droits</w:t>
      </w:r>
      <w:r w:rsidR="008F7C94">
        <w:br/>
        <w:t xml:space="preserve">civils et </w:t>
      </w:r>
      <w:r>
        <w:t>politiques (</w:t>
      </w:r>
      <w:r w:rsidR="008F7C94">
        <w:t>10</w:t>
      </w:r>
      <w:r w:rsidR="009427B6">
        <w:t>8</w:t>
      </w:r>
      <w:r w:rsidR="008F7C94" w:rsidRPr="008F7C94">
        <w:rPr>
          <w:vertAlign w:val="superscript"/>
        </w:rPr>
        <w:t>e</w:t>
      </w:r>
      <w:r w:rsidR="008F7C94">
        <w:t xml:space="preserve"> </w:t>
      </w:r>
      <w:r w:rsidR="00642728">
        <w:t>session</w:t>
      </w:r>
      <w:r>
        <w:t>)</w:t>
      </w:r>
    </w:p>
    <w:p w:rsidR="00642728" w:rsidRDefault="00642728" w:rsidP="00BA405E">
      <w:pPr>
        <w:pStyle w:val="SingleTxtG"/>
      </w:pPr>
      <w:r>
        <w:t>concernant la</w:t>
      </w:r>
    </w:p>
    <w:p w:rsidR="00642728" w:rsidRDefault="00B57784" w:rsidP="00757D82">
      <w:pPr>
        <w:pStyle w:val="H1G"/>
      </w:pPr>
      <w:r>
        <w:tab/>
      </w:r>
      <w:r>
        <w:tab/>
      </w:r>
      <w:r w:rsidR="00642728">
        <w:t xml:space="preserve">Communication </w:t>
      </w:r>
      <w:r w:rsidR="00642728">
        <w:rPr>
          <w:rFonts w:eastAsia="MS Mincho"/>
        </w:rPr>
        <w:t>n</w:t>
      </w:r>
      <w:r w:rsidR="00642728">
        <w:rPr>
          <w:rFonts w:eastAsia="MS Mincho"/>
          <w:vertAlign w:val="superscript"/>
        </w:rPr>
        <w:t>o</w:t>
      </w:r>
      <w:r w:rsidR="00642728">
        <w:t xml:space="preserve"> </w:t>
      </w:r>
      <w:r w:rsidR="009427B6">
        <w:t>2149/2012</w:t>
      </w:r>
      <w:r w:rsidR="009427B6" w:rsidRPr="009427B6">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9427B6" w:rsidRPr="005D29C8" w:rsidTr="005D29C8">
        <w:tc>
          <w:tcPr>
            <w:tcW w:w="2410" w:type="dxa"/>
          </w:tcPr>
          <w:p w:rsidR="009427B6" w:rsidRPr="005D29C8" w:rsidRDefault="009427B6" w:rsidP="005D29C8">
            <w:pPr>
              <w:spacing w:after="120"/>
              <w:rPr>
                <w:i/>
              </w:rPr>
            </w:pPr>
            <w:r w:rsidRPr="005D29C8">
              <w:rPr>
                <w:i/>
              </w:rPr>
              <w:t>Présentée par</w:t>
            </w:r>
            <w:r w:rsidRPr="00CC25DC">
              <w:t>:</w:t>
            </w:r>
          </w:p>
        </w:tc>
        <w:tc>
          <w:tcPr>
            <w:tcW w:w="4394" w:type="dxa"/>
          </w:tcPr>
          <w:p w:rsidR="009427B6" w:rsidRDefault="009427B6" w:rsidP="00A25483">
            <w:pPr>
              <w:spacing w:after="120"/>
            </w:pPr>
            <w:r>
              <w:rPr>
                <w:lang w:val="fr-FR"/>
              </w:rPr>
              <w:t>M.</w:t>
            </w:r>
            <w:r w:rsidRPr="00B76B3A">
              <w:rPr>
                <w:lang w:val="fr-FR"/>
              </w:rPr>
              <w:t xml:space="preserve"> I</w:t>
            </w:r>
            <w:r>
              <w:rPr>
                <w:lang w:val="fr-FR"/>
              </w:rPr>
              <w:t>.</w:t>
            </w:r>
            <w:r w:rsidRPr="00B76B3A">
              <w:rPr>
                <w:lang w:val="fr-FR"/>
              </w:rPr>
              <w:t xml:space="preserve"> (</w:t>
            </w:r>
            <w:r>
              <w:rPr>
                <w:lang w:val="fr-FR"/>
              </w:rPr>
              <w:t>représentée par un conseil, Eva </w:t>
            </w:r>
            <w:r w:rsidRPr="00B76B3A">
              <w:rPr>
                <w:lang w:val="fr-FR"/>
              </w:rPr>
              <w:t>Rimsten, de la Croix-Rouge suédoise)</w:t>
            </w:r>
          </w:p>
        </w:tc>
      </w:tr>
      <w:tr w:rsidR="009427B6" w:rsidRPr="005D29C8" w:rsidTr="005D29C8">
        <w:tc>
          <w:tcPr>
            <w:tcW w:w="2410" w:type="dxa"/>
          </w:tcPr>
          <w:p w:rsidR="009427B6" w:rsidRPr="005D29C8" w:rsidRDefault="009427B6" w:rsidP="005D29C8">
            <w:pPr>
              <w:spacing w:after="120"/>
              <w:rPr>
                <w:i/>
              </w:rPr>
            </w:pPr>
            <w:r w:rsidRPr="005D29C8">
              <w:rPr>
                <w:i/>
              </w:rPr>
              <w:t>Au nom de</w:t>
            </w:r>
            <w:r w:rsidRPr="00CC25DC">
              <w:t>:</w:t>
            </w:r>
          </w:p>
        </w:tc>
        <w:tc>
          <w:tcPr>
            <w:tcW w:w="4394" w:type="dxa"/>
          </w:tcPr>
          <w:p w:rsidR="009427B6" w:rsidRDefault="009427B6" w:rsidP="00A25483">
            <w:pPr>
              <w:spacing w:after="120"/>
            </w:pPr>
            <w:r>
              <w:t>L</w:t>
            </w:r>
            <w:r w:rsidR="00BE5FF0">
              <w:t>’</w:t>
            </w:r>
            <w:r>
              <w:t>auteur</w:t>
            </w:r>
          </w:p>
        </w:tc>
      </w:tr>
      <w:tr w:rsidR="009427B6" w:rsidRPr="005D29C8" w:rsidTr="005D29C8">
        <w:tc>
          <w:tcPr>
            <w:tcW w:w="2410" w:type="dxa"/>
          </w:tcPr>
          <w:p w:rsidR="009427B6" w:rsidRPr="005D29C8" w:rsidRDefault="009427B6" w:rsidP="005D29C8">
            <w:pPr>
              <w:spacing w:after="120"/>
              <w:rPr>
                <w:i/>
              </w:rPr>
            </w:pPr>
            <w:r w:rsidRPr="005D29C8">
              <w:rPr>
                <w:i/>
              </w:rPr>
              <w:t>État partie</w:t>
            </w:r>
            <w:r w:rsidRPr="00CC25DC">
              <w:t>:</w:t>
            </w:r>
          </w:p>
        </w:tc>
        <w:tc>
          <w:tcPr>
            <w:tcW w:w="4394" w:type="dxa"/>
          </w:tcPr>
          <w:p w:rsidR="009427B6" w:rsidRDefault="009427B6" w:rsidP="00A25483">
            <w:pPr>
              <w:spacing w:after="120"/>
            </w:pPr>
            <w:r>
              <w:t>Suède</w:t>
            </w:r>
          </w:p>
        </w:tc>
      </w:tr>
      <w:tr w:rsidR="009427B6" w:rsidRPr="005D29C8" w:rsidTr="005D29C8">
        <w:tc>
          <w:tcPr>
            <w:tcW w:w="2410" w:type="dxa"/>
          </w:tcPr>
          <w:p w:rsidR="009427B6" w:rsidRPr="005D29C8" w:rsidRDefault="009427B6" w:rsidP="00C17857">
            <w:pPr>
              <w:spacing w:after="240"/>
              <w:rPr>
                <w:i/>
              </w:rPr>
            </w:pPr>
            <w:r w:rsidRPr="005D29C8">
              <w:rPr>
                <w:i/>
              </w:rPr>
              <w:t>Date de la communication</w:t>
            </w:r>
            <w:r w:rsidRPr="00CC25DC">
              <w:t>:</w:t>
            </w:r>
          </w:p>
        </w:tc>
        <w:tc>
          <w:tcPr>
            <w:tcW w:w="4394" w:type="dxa"/>
          </w:tcPr>
          <w:p w:rsidR="009427B6" w:rsidRDefault="009427B6" w:rsidP="00A25483">
            <w:pPr>
              <w:spacing w:after="120"/>
            </w:pPr>
            <w:r>
              <w:rPr>
                <w:lang w:val="fr-FR"/>
              </w:rPr>
              <w:t>7 </w:t>
            </w:r>
            <w:r w:rsidRPr="00B76B3A">
              <w:rPr>
                <w:lang w:val="fr-FR"/>
              </w:rPr>
              <w:t>mai 2012 (</w:t>
            </w:r>
            <w:r>
              <w:rPr>
                <w:lang w:val="fr-FR"/>
              </w:rPr>
              <w:t xml:space="preserve">date de la </w:t>
            </w:r>
            <w:r w:rsidRPr="00B76B3A">
              <w:rPr>
                <w:lang w:val="fr-FR"/>
              </w:rPr>
              <w:t>lettre initiale)</w:t>
            </w:r>
          </w:p>
        </w:tc>
      </w:tr>
    </w:tbl>
    <w:p w:rsidR="00642728" w:rsidRDefault="00642728" w:rsidP="00C17857">
      <w:pPr>
        <w:pStyle w:val="SingleTxtG"/>
        <w:ind w:firstLine="567"/>
      </w:pPr>
      <w:r w:rsidRPr="00B57784">
        <w:rPr>
          <w:i/>
        </w:rPr>
        <w:t>Le Comité des droits de l</w:t>
      </w:r>
      <w:r w:rsidR="00BE5FF0">
        <w:rPr>
          <w:i/>
        </w:rPr>
        <w:t>’</w:t>
      </w:r>
      <w:r w:rsidRPr="00B57784">
        <w:rPr>
          <w:i/>
        </w:rPr>
        <w:t>homme</w:t>
      </w:r>
      <w:r>
        <w:t>, institué en vertu de l</w:t>
      </w:r>
      <w:r w:rsidR="00BE5FF0">
        <w:t>’</w:t>
      </w:r>
      <w:r>
        <w:t>article 28 du Pacte international relatif aux droits civils et politiques,</w:t>
      </w:r>
    </w:p>
    <w:p w:rsidR="00642728" w:rsidRDefault="00642728" w:rsidP="00BA405E">
      <w:pPr>
        <w:pStyle w:val="SingleTxtG"/>
        <w:ind w:firstLine="567"/>
      </w:pPr>
      <w:r w:rsidRPr="00B57784">
        <w:rPr>
          <w:i/>
        </w:rPr>
        <w:t>Réuni</w:t>
      </w:r>
      <w:r w:rsidRPr="00736E0B">
        <w:rPr>
          <w:i/>
          <w:iCs/>
        </w:rPr>
        <w:t xml:space="preserve"> le</w:t>
      </w:r>
      <w:r w:rsidRPr="00875324">
        <w:t xml:space="preserve"> </w:t>
      </w:r>
      <w:r w:rsidR="00770A26">
        <w:t>25 juillet 2013</w:t>
      </w:r>
      <w:r>
        <w:t>,</w:t>
      </w:r>
    </w:p>
    <w:p w:rsidR="00642728" w:rsidRDefault="00642728" w:rsidP="00BA405E">
      <w:pPr>
        <w:pStyle w:val="SingleTxtG"/>
        <w:ind w:firstLine="567"/>
      </w:pPr>
      <w:r w:rsidRPr="00B57784">
        <w:rPr>
          <w:i/>
        </w:rPr>
        <w:t>Ayant achevé</w:t>
      </w:r>
      <w:r>
        <w:t xml:space="preserve"> l</w:t>
      </w:r>
      <w:r w:rsidR="00BE5FF0">
        <w:t>’</w:t>
      </w:r>
      <w:r>
        <w:t xml:space="preserve">examen de la communication </w:t>
      </w:r>
      <w:r>
        <w:rPr>
          <w:rFonts w:eastAsia="MS Mincho"/>
        </w:rPr>
        <w:t>n</w:t>
      </w:r>
      <w:r>
        <w:rPr>
          <w:rFonts w:eastAsia="MS Mincho"/>
          <w:vertAlign w:val="superscript"/>
        </w:rPr>
        <w:t>o</w:t>
      </w:r>
      <w:r>
        <w:t> </w:t>
      </w:r>
      <w:r w:rsidR="00770A26">
        <w:t>2149/2012</w:t>
      </w:r>
      <w:r w:rsidR="00572B3F">
        <w:t xml:space="preserve"> </w:t>
      </w:r>
      <w:r>
        <w:t xml:space="preserve">présentée au nom de </w:t>
      </w:r>
      <w:r w:rsidR="00770A26">
        <w:t>M. I.</w:t>
      </w:r>
      <w:r>
        <w:t xml:space="preserve"> en vertu du Protocole facultatif se rapportant au Pacte international relatif aux droits civils et politiques,</w:t>
      </w:r>
    </w:p>
    <w:p w:rsidR="00642728" w:rsidRDefault="00642728" w:rsidP="00BA405E">
      <w:pPr>
        <w:pStyle w:val="SingleTxtG"/>
        <w:ind w:firstLine="567"/>
      </w:pPr>
      <w:r w:rsidRPr="00B57784">
        <w:rPr>
          <w:i/>
        </w:rPr>
        <w:t>Ayant tenu compte</w:t>
      </w:r>
      <w:r>
        <w:t xml:space="preserve"> de toutes les informations écrites qui lui ont été communiquées par l</w:t>
      </w:r>
      <w:r w:rsidR="00BE5FF0">
        <w:t>’</w:t>
      </w:r>
      <w:r>
        <w:t>auteur de la communication et l</w:t>
      </w:r>
      <w:r w:rsidR="00BE5FF0">
        <w:t>’</w:t>
      </w:r>
      <w:r>
        <w:t>État partie,</w:t>
      </w:r>
    </w:p>
    <w:p w:rsidR="00642728" w:rsidRDefault="00642728" w:rsidP="00BA405E">
      <w:pPr>
        <w:pStyle w:val="SingleTxtG"/>
        <w:ind w:firstLine="567"/>
      </w:pPr>
      <w:r w:rsidRPr="00B57784">
        <w:rPr>
          <w:i/>
        </w:rPr>
        <w:t>Adopte</w:t>
      </w:r>
      <w:r>
        <w:t xml:space="preserve"> ce qui suit:</w:t>
      </w:r>
    </w:p>
    <w:p w:rsidR="00642728" w:rsidRDefault="00B57784" w:rsidP="00757D82">
      <w:pPr>
        <w:pStyle w:val="H1G"/>
      </w:pPr>
      <w:r>
        <w:tab/>
      </w:r>
      <w:r>
        <w:tab/>
      </w:r>
      <w:r w:rsidR="00642728">
        <w:t>Constatations au titre du paragraphe 4 de l</w:t>
      </w:r>
      <w:r w:rsidR="00BE5FF0">
        <w:t>’</w:t>
      </w:r>
      <w:r w:rsidR="00642728">
        <w:t>article 5</w:t>
      </w:r>
      <w:r w:rsidR="00D43288">
        <w:br/>
      </w:r>
      <w:r w:rsidR="00642728">
        <w:t>du Protocole facultatif</w:t>
      </w:r>
    </w:p>
    <w:p w:rsidR="008A492C" w:rsidRPr="008C5A96" w:rsidRDefault="008A492C" w:rsidP="008A492C">
      <w:pPr>
        <w:pStyle w:val="SingleTxtG"/>
        <w:rPr>
          <w:lang w:val="fr-FR"/>
        </w:rPr>
      </w:pPr>
      <w:r w:rsidRPr="008C5A96">
        <w:rPr>
          <w:lang w:val="fr-FR"/>
        </w:rPr>
        <w:t>1.1</w:t>
      </w:r>
      <w:r w:rsidRPr="008C5A96">
        <w:rPr>
          <w:lang w:val="fr-FR"/>
        </w:rPr>
        <w:tab/>
        <w:t>L</w:t>
      </w:r>
      <w:r w:rsidR="00BE5FF0">
        <w:rPr>
          <w:lang w:val="fr-FR"/>
        </w:rPr>
        <w:t>’</w:t>
      </w:r>
      <w:r w:rsidRPr="008C5A96">
        <w:rPr>
          <w:lang w:val="fr-FR"/>
        </w:rPr>
        <w:t xml:space="preserve">auteur de la </w:t>
      </w:r>
      <w:r w:rsidRPr="008C5A96">
        <w:t>communication</w:t>
      </w:r>
      <w:r w:rsidRPr="008C5A96">
        <w:rPr>
          <w:lang w:val="fr-FR"/>
        </w:rPr>
        <w:t xml:space="preserve"> est </w:t>
      </w:r>
      <w:r w:rsidRPr="008F0A07">
        <w:rPr>
          <w:lang w:val="fr-FR"/>
        </w:rPr>
        <w:t>M</w:t>
      </w:r>
      <w:r w:rsidR="008F0A07">
        <w:rPr>
          <w:lang w:val="fr-FR"/>
        </w:rPr>
        <w:t>. </w:t>
      </w:r>
      <w:r w:rsidRPr="008F0A07">
        <w:rPr>
          <w:lang w:val="fr-FR"/>
        </w:rPr>
        <w:t>I</w:t>
      </w:r>
      <w:r w:rsidR="008F0A07">
        <w:rPr>
          <w:lang w:val="fr-FR"/>
        </w:rPr>
        <w:t>.</w:t>
      </w:r>
      <w:r w:rsidRPr="008C5A96">
        <w:rPr>
          <w:lang w:val="fr-FR"/>
        </w:rPr>
        <w:t xml:space="preserve">, </w:t>
      </w:r>
      <w:r>
        <w:rPr>
          <w:lang w:val="fr-FR"/>
        </w:rPr>
        <w:t>de nationalité</w:t>
      </w:r>
      <w:r w:rsidRPr="008C5A96">
        <w:rPr>
          <w:lang w:val="fr-FR"/>
        </w:rPr>
        <w:t xml:space="preserve"> bangladaise</w:t>
      </w:r>
      <w:r>
        <w:rPr>
          <w:lang w:val="fr-FR"/>
        </w:rPr>
        <w:t>,</w:t>
      </w:r>
      <w:r w:rsidRPr="008C5A96">
        <w:rPr>
          <w:lang w:val="fr-FR"/>
        </w:rPr>
        <w:t xml:space="preserve"> née le 1</w:t>
      </w:r>
      <w:r w:rsidRPr="008C5A96">
        <w:rPr>
          <w:vertAlign w:val="superscript"/>
          <w:lang w:val="fr-FR"/>
        </w:rPr>
        <w:t>er</w:t>
      </w:r>
      <w:r w:rsidRPr="008C5A96">
        <w:rPr>
          <w:lang w:val="fr-FR"/>
        </w:rPr>
        <w:t> janvier 1985. Elle affirme que son expulsion par l</w:t>
      </w:r>
      <w:r w:rsidR="00BE5FF0">
        <w:rPr>
          <w:lang w:val="fr-FR"/>
        </w:rPr>
        <w:t>’</w:t>
      </w:r>
      <w:r w:rsidRPr="008C5A96">
        <w:rPr>
          <w:lang w:val="fr-FR"/>
        </w:rPr>
        <w:t>État partie vers le Bangladesh constituerait une violation</w:t>
      </w:r>
      <w:r>
        <w:rPr>
          <w:lang w:val="fr-FR"/>
        </w:rPr>
        <w:t xml:space="preserve"> de l</w:t>
      </w:r>
      <w:r w:rsidR="00BE5FF0">
        <w:rPr>
          <w:lang w:val="fr-FR"/>
        </w:rPr>
        <w:t>’</w:t>
      </w:r>
      <w:r>
        <w:rPr>
          <w:lang w:val="fr-FR"/>
        </w:rPr>
        <w:t>article </w:t>
      </w:r>
      <w:r w:rsidRPr="008C5A96">
        <w:rPr>
          <w:lang w:val="fr-FR"/>
        </w:rPr>
        <w:t>7 du Pacte. L</w:t>
      </w:r>
      <w:r w:rsidR="00BE5FF0">
        <w:rPr>
          <w:lang w:val="fr-FR"/>
        </w:rPr>
        <w:t>’</w:t>
      </w:r>
      <w:r w:rsidRPr="008C5A96">
        <w:rPr>
          <w:lang w:val="fr-FR"/>
        </w:rPr>
        <w:t>auteur est représentée par un conseil.</w:t>
      </w:r>
    </w:p>
    <w:p w:rsidR="008A492C" w:rsidRPr="008C5A96" w:rsidRDefault="008A492C" w:rsidP="008A492C">
      <w:pPr>
        <w:pStyle w:val="SingleTxtG"/>
        <w:rPr>
          <w:lang w:val="fr-FR"/>
        </w:rPr>
      </w:pPr>
      <w:r w:rsidRPr="008C5A96">
        <w:rPr>
          <w:lang w:val="fr-FR"/>
        </w:rPr>
        <w:t>1.2</w:t>
      </w:r>
      <w:r w:rsidRPr="008C5A96">
        <w:rPr>
          <w:lang w:val="fr-FR"/>
        </w:rPr>
        <w:tab/>
        <w:t xml:space="preserve">Le 10 mai 2012 et le 18 janvier 2013, </w:t>
      </w:r>
      <w:r>
        <w:rPr>
          <w:lang w:val="fr-FR"/>
        </w:rPr>
        <w:t>le</w:t>
      </w:r>
      <w:r w:rsidRPr="008C5A96">
        <w:rPr>
          <w:lang w:val="fr-FR"/>
        </w:rPr>
        <w:t xml:space="preserve"> Rapporteur spécial chargé des nouvelles communications et des mesures provisoires</w:t>
      </w:r>
      <w:r>
        <w:rPr>
          <w:lang w:val="fr-FR"/>
        </w:rPr>
        <w:t xml:space="preserve"> agissant au nom du Comité</w:t>
      </w:r>
      <w:r w:rsidRPr="008C5A96">
        <w:rPr>
          <w:lang w:val="fr-FR"/>
        </w:rPr>
        <w:t xml:space="preserve"> a décidé de ne pas demander de mesures provisoires en application de l</w:t>
      </w:r>
      <w:r w:rsidR="00BE5FF0">
        <w:rPr>
          <w:lang w:val="fr-FR"/>
        </w:rPr>
        <w:t>’</w:t>
      </w:r>
      <w:r w:rsidRPr="008C5A96">
        <w:rPr>
          <w:lang w:val="fr-FR"/>
        </w:rPr>
        <w:t>article </w:t>
      </w:r>
      <w:r>
        <w:rPr>
          <w:lang w:val="fr-FR"/>
        </w:rPr>
        <w:t>92 de son règlement intérieur, car à cette date les renseignements donnés par l</w:t>
      </w:r>
      <w:r w:rsidR="00BE5FF0">
        <w:rPr>
          <w:lang w:val="fr-FR"/>
        </w:rPr>
        <w:t>’</w:t>
      </w:r>
      <w:r>
        <w:rPr>
          <w:lang w:val="fr-FR"/>
        </w:rPr>
        <w:t>auteur concernant les faits n</w:t>
      </w:r>
      <w:r w:rsidR="00BE5FF0">
        <w:rPr>
          <w:lang w:val="fr-FR"/>
        </w:rPr>
        <w:t>’</w:t>
      </w:r>
      <w:r>
        <w:rPr>
          <w:lang w:val="fr-FR"/>
        </w:rPr>
        <w:t>étaient pas suffisants.</w:t>
      </w:r>
    </w:p>
    <w:p w:rsidR="008A492C" w:rsidRPr="008C5A96" w:rsidRDefault="008A492C" w:rsidP="008A492C">
      <w:pPr>
        <w:pStyle w:val="H23G"/>
      </w:pPr>
      <w:r w:rsidRPr="008C5A96">
        <w:rPr>
          <w:lang w:val="fr-FR"/>
        </w:rPr>
        <w:tab/>
      </w:r>
      <w:r w:rsidRPr="008C5A96">
        <w:rPr>
          <w:lang w:val="fr-FR"/>
        </w:rPr>
        <w:tab/>
      </w:r>
      <w:r w:rsidR="004B14C6">
        <w:rPr>
          <w:lang w:val="fr-FR"/>
        </w:rPr>
        <w:t xml:space="preserve">Rappel </w:t>
      </w:r>
      <w:r w:rsidRPr="008C5A96">
        <w:rPr>
          <w:lang w:val="fr-FR"/>
        </w:rPr>
        <w:t>des faits</w:t>
      </w:r>
      <w:r w:rsidR="004B14C6">
        <w:rPr>
          <w:lang w:val="fr-FR"/>
        </w:rPr>
        <w:t xml:space="preserve"> exposés par l</w:t>
      </w:r>
      <w:r w:rsidR="00BE5FF0">
        <w:rPr>
          <w:lang w:val="fr-FR"/>
        </w:rPr>
        <w:t>’</w:t>
      </w:r>
      <w:r w:rsidR="004B14C6">
        <w:rPr>
          <w:lang w:val="fr-FR"/>
        </w:rPr>
        <w:t>auteur</w:t>
      </w:r>
    </w:p>
    <w:p w:rsidR="008A492C" w:rsidRPr="008C5A96" w:rsidRDefault="004B14C6" w:rsidP="008A492C">
      <w:pPr>
        <w:pStyle w:val="SingleTxtG"/>
        <w:rPr>
          <w:lang w:val="fr-FR"/>
        </w:rPr>
      </w:pPr>
      <w:r>
        <w:rPr>
          <w:lang w:val="fr-FR"/>
        </w:rPr>
        <w:t>2.1</w:t>
      </w:r>
      <w:r>
        <w:rPr>
          <w:lang w:val="fr-FR"/>
        </w:rPr>
        <w:tab/>
        <w:t>L</w:t>
      </w:r>
      <w:r w:rsidR="00BE5FF0">
        <w:rPr>
          <w:lang w:val="fr-FR"/>
        </w:rPr>
        <w:t>’</w:t>
      </w:r>
      <w:r>
        <w:rPr>
          <w:lang w:val="fr-FR"/>
        </w:rPr>
        <w:t>auteur vivait à Dacc</w:t>
      </w:r>
      <w:r w:rsidR="008A492C" w:rsidRPr="008C5A96">
        <w:rPr>
          <w:lang w:val="fr-FR"/>
        </w:rPr>
        <w:t xml:space="preserve">a, au Bangladesh, où vivent encore ses parents et ses frères et sœurs. Elle </w:t>
      </w:r>
      <w:r w:rsidR="008A492C">
        <w:rPr>
          <w:lang w:val="fr-FR"/>
        </w:rPr>
        <w:t>explique</w:t>
      </w:r>
      <w:r w:rsidR="008A492C" w:rsidRPr="008C5A96">
        <w:rPr>
          <w:lang w:val="fr-FR"/>
        </w:rPr>
        <w:t xml:space="preserve"> qu</w:t>
      </w:r>
      <w:r w:rsidR="00BE5FF0">
        <w:rPr>
          <w:lang w:val="fr-FR"/>
        </w:rPr>
        <w:t>’</w:t>
      </w:r>
      <w:r w:rsidR="008A492C" w:rsidRPr="008C5A96">
        <w:rPr>
          <w:lang w:val="fr-FR"/>
        </w:rPr>
        <w:t>elle est homosexuelle, que ses parents l</w:t>
      </w:r>
      <w:r w:rsidR="00BE5FF0">
        <w:rPr>
          <w:lang w:val="fr-FR"/>
        </w:rPr>
        <w:t>’</w:t>
      </w:r>
      <w:r w:rsidR="008A492C" w:rsidRPr="008C5A96">
        <w:rPr>
          <w:lang w:val="fr-FR"/>
        </w:rPr>
        <w:t xml:space="preserve">ont appris approximativement vers la fin 2002 ou </w:t>
      </w:r>
      <w:r w:rsidR="008A492C">
        <w:rPr>
          <w:lang w:val="fr-FR"/>
        </w:rPr>
        <w:t>au</w:t>
      </w:r>
      <w:r w:rsidR="008A492C" w:rsidRPr="008C5A96">
        <w:rPr>
          <w:lang w:val="fr-FR"/>
        </w:rPr>
        <w:t xml:space="preserve"> début 2003</w:t>
      </w:r>
      <w:r w:rsidR="008A492C">
        <w:rPr>
          <w:lang w:val="fr-FR"/>
        </w:rPr>
        <w:t>. I</w:t>
      </w:r>
      <w:r w:rsidR="008A492C" w:rsidRPr="008C5A96">
        <w:rPr>
          <w:lang w:val="fr-FR"/>
        </w:rPr>
        <w:t>ls ont par la suite arra</w:t>
      </w:r>
      <w:r w:rsidR="008A492C">
        <w:rPr>
          <w:lang w:val="fr-FR"/>
        </w:rPr>
        <w:t>ngé un mariage avec un Bengali</w:t>
      </w:r>
      <w:r w:rsidR="008A492C" w:rsidRPr="008C5A96">
        <w:rPr>
          <w:lang w:val="fr-FR"/>
        </w:rPr>
        <w:t xml:space="preserve"> qui résidait en Suède. Le mariage a été célébré le 3 janvier 2006 à</w:t>
      </w:r>
      <w:r w:rsidR="008A492C">
        <w:rPr>
          <w:lang w:val="fr-FR"/>
        </w:rPr>
        <w:t> </w:t>
      </w:r>
      <w:r>
        <w:rPr>
          <w:lang w:val="fr-FR"/>
        </w:rPr>
        <w:t>Dacca</w:t>
      </w:r>
      <w:r w:rsidR="008A492C" w:rsidRPr="008C5A96">
        <w:rPr>
          <w:lang w:val="fr-FR"/>
        </w:rPr>
        <w:t xml:space="preserve">, contre </w:t>
      </w:r>
      <w:r w:rsidR="008A492C">
        <w:rPr>
          <w:lang w:val="fr-FR"/>
        </w:rPr>
        <w:t>la volonté</w:t>
      </w:r>
      <w:r w:rsidR="008A492C" w:rsidRPr="008C5A96">
        <w:rPr>
          <w:lang w:val="fr-FR"/>
        </w:rPr>
        <w:t xml:space="preserve"> de l</w:t>
      </w:r>
      <w:r w:rsidR="00BE5FF0">
        <w:rPr>
          <w:lang w:val="fr-FR"/>
        </w:rPr>
        <w:t>’</w:t>
      </w:r>
      <w:r w:rsidR="008A492C" w:rsidRPr="008C5A96">
        <w:rPr>
          <w:lang w:val="fr-FR"/>
        </w:rPr>
        <w:t xml:space="preserve">auteur. </w:t>
      </w:r>
      <w:r>
        <w:rPr>
          <w:lang w:val="fr-FR"/>
        </w:rPr>
        <w:t xml:space="preserve">Son </w:t>
      </w:r>
      <w:r w:rsidR="008A492C" w:rsidRPr="008C5A96">
        <w:rPr>
          <w:lang w:val="fr-FR"/>
        </w:rPr>
        <w:t xml:space="preserve">mari </w:t>
      </w:r>
      <w:r w:rsidR="008A492C">
        <w:rPr>
          <w:lang w:val="fr-FR"/>
        </w:rPr>
        <w:t>est resté</w:t>
      </w:r>
      <w:r w:rsidR="008A492C" w:rsidRPr="008C5A96">
        <w:rPr>
          <w:lang w:val="fr-FR"/>
        </w:rPr>
        <w:t xml:space="preserve"> quelques jours au Bangladesh avant de </w:t>
      </w:r>
      <w:r>
        <w:rPr>
          <w:lang w:val="fr-FR"/>
        </w:rPr>
        <w:t xml:space="preserve">retourner </w:t>
      </w:r>
      <w:r w:rsidR="008A492C" w:rsidRPr="008C5A96">
        <w:rPr>
          <w:lang w:val="fr-FR"/>
        </w:rPr>
        <w:t xml:space="preserve">en Suède. </w:t>
      </w:r>
    </w:p>
    <w:p w:rsidR="008A492C" w:rsidRPr="008C5A96" w:rsidRDefault="008A492C" w:rsidP="008A492C">
      <w:pPr>
        <w:pStyle w:val="SingleTxtG"/>
        <w:rPr>
          <w:lang w:val="fr-FR"/>
        </w:rPr>
      </w:pPr>
      <w:r w:rsidRPr="008C5A96">
        <w:rPr>
          <w:lang w:val="fr-FR"/>
        </w:rPr>
        <w:t>2.2</w:t>
      </w:r>
      <w:r w:rsidRPr="008C5A96">
        <w:rPr>
          <w:lang w:val="fr-FR"/>
        </w:rPr>
        <w:tab/>
        <w:t>En juin 2006, l</w:t>
      </w:r>
      <w:r w:rsidR="00BE5FF0">
        <w:rPr>
          <w:lang w:val="fr-FR"/>
        </w:rPr>
        <w:t>’</w:t>
      </w:r>
      <w:r w:rsidRPr="008C5A96">
        <w:rPr>
          <w:lang w:val="fr-FR"/>
        </w:rPr>
        <w:t xml:space="preserve">auteur est arrivée en Suède, après avoir reçu un permis de séjour temporaire. Lorsque son mari a appris </w:t>
      </w:r>
      <w:r>
        <w:rPr>
          <w:lang w:val="fr-FR"/>
        </w:rPr>
        <w:t>qu</w:t>
      </w:r>
      <w:r w:rsidR="00BE5FF0">
        <w:rPr>
          <w:lang w:val="fr-FR"/>
        </w:rPr>
        <w:t>’</w:t>
      </w:r>
      <w:r>
        <w:rPr>
          <w:lang w:val="fr-FR"/>
        </w:rPr>
        <w:t>elle était lesbienne</w:t>
      </w:r>
      <w:r w:rsidRPr="008C5A96">
        <w:rPr>
          <w:lang w:val="fr-FR"/>
        </w:rPr>
        <w:t>, il l</w:t>
      </w:r>
      <w:r w:rsidR="00BE5FF0">
        <w:rPr>
          <w:lang w:val="fr-FR"/>
        </w:rPr>
        <w:t>’</w:t>
      </w:r>
      <w:r w:rsidRPr="008C5A96">
        <w:rPr>
          <w:lang w:val="fr-FR"/>
        </w:rPr>
        <w:t>a renvoyée de force au Bangladesh, en juillet 2006. La même année, l</w:t>
      </w:r>
      <w:r w:rsidR="00BE5FF0">
        <w:rPr>
          <w:lang w:val="fr-FR"/>
        </w:rPr>
        <w:t>’</w:t>
      </w:r>
      <w:r w:rsidRPr="008C5A96">
        <w:rPr>
          <w:lang w:val="fr-FR"/>
        </w:rPr>
        <w:t>auteur a rencontré sa compagne et s</w:t>
      </w:r>
      <w:r w:rsidR="00BE5FF0">
        <w:rPr>
          <w:lang w:val="fr-FR"/>
        </w:rPr>
        <w:t>’</w:t>
      </w:r>
      <w:r w:rsidRPr="008C5A96">
        <w:rPr>
          <w:lang w:val="fr-FR"/>
        </w:rPr>
        <w:t>est installée avec elle. Ayant peu de revenus, les deux femmes ont demandé de l</w:t>
      </w:r>
      <w:r w:rsidR="00BE5FF0">
        <w:rPr>
          <w:lang w:val="fr-FR"/>
        </w:rPr>
        <w:t>’</w:t>
      </w:r>
      <w:r w:rsidRPr="008C5A96">
        <w:rPr>
          <w:lang w:val="fr-FR"/>
        </w:rPr>
        <w:t>aide à une association étudiante du nom de Satra</w:t>
      </w:r>
      <w:r>
        <w:rPr>
          <w:lang w:val="fr-FR"/>
        </w:rPr>
        <w:t> </w:t>
      </w:r>
      <w:r w:rsidRPr="008C5A96">
        <w:rPr>
          <w:lang w:val="fr-FR"/>
        </w:rPr>
        <w:t>Dal</w:t>
      </w:r>
      <w:r w:rsidR="004B14C6">
        <w:rPr>
          <w:lang w:val="fr-FR"/>
        </w:rPr>
        <w:t xml:space="preserve"> (Chhatra Dal)</w:t>
      </w:r>
      <w:r>
        <w:rPr>
          <w:lang w:val="fr-FR"/>
        </w:rPr>
        <w:t>.</w:t>
      </w:r>
      <w:r w:rsidRPr="008C5A96">
        <w:rPr>
          <w:lang w:val="fr-FR"/>
        </w:rPr>
        <w:t xml:space="preserve"> </w:t>
      </w:r>
      <w:r>
        <w:rPr>
          <w:lang w:val="fr-FR"/>
        </w:rPr>
        <w:t>E</w:t>
      </w:r>
      <w:r w:rsidRPr="008C5A96">
        <w:rPr>
          <w:lang w:val="fr-FR"/>
        </w:rPr>
        <w:t>n échange l</w:t>
      </w:r>
      <w:r w:rsidR="00BE5FF0">
        <w:rPr>
          <w:lang w:val="fr-FR"/>
        </w:rPr>
        <w:t>’</w:t>
      </w:r>
      <w:r w:rsidRPr="008C5A96">
        <w:rPr>
          <w:lang w:val="fr-FR"/>
        </w:rPr>
        <w:t xml:space="preserve">auteur </w:t>
      </w:r>
      <w:r>
        <w:rPr>
          <w:lang w:val="fr-FR"/>
        </w:rPr>
        <w:t>aidait</w:t>
      </w:r>
      <w:r w:rsidRPr="008C5A96">
        <w:rPr>
          <w:lang w:val="fr-FR"/>
        </w:rPr>
        <w:t xml:space="preserve"> à recruter de nouveaux membres. </w:t>
      </w:r>
      <w:r w:rsidR="004B14C6">
        <w:rPr>
          <w:lang w:val="fr-FR"/>
        </w:rPr>
        <w:t>En avril 2008, la police a appris qu</w:t>
      </w:r>
      <w:r w:rsidR="00BE5FF0">
        <w:rPr>
          <w:lang w:val="fr-FR"/>
        </w:rPr>
        <w:t>’</w:t>
      </w:r>
      <w:r w:rsidR="004B14C6">
        <w:rPr>
          <w:lang w:val="fr-FR"/>
        </w:rPr>
        <w:t>elle était lesbienne</w:t>
      </w:r>
      <w:r w:rsidR="00C22906">
        <w:rPr>
          <w:lang w:val="fr-FR"/>
        </w:rPr>
        <w:t>, l’arrêtée</w:t>
      </w:r>
      <w:r w:rsidR="004B14C6">
        <w:rPr>
          <w:lang w:val="fr-FR"/>
        </w:rPr>
        <w:t xml:space="preserve"> et maintenue en détention pendant quatre à cinq jours. En détention elle a été violée et frappée. À la même période, le 14 avril 2008, sa compagne, </w:t>
      </w:r>
      <w:r w:rsidR="004B14C6" w:rsidRPr="004B14C6">
        <w:rPr>
          <w:lang w:val="fr-FR"/>
        </w:rPr>
        <w:t>M</w:t>
      </w:r>
      <w:r w:rsidR="004B14C6" w:rsidRPr="004B14C6">
        <w:rPr>
          <w:vertAlign w:val="superscript"/>
          <w:lang w:val="fr-FR"/>
        </w:rPr>
        <w:t>me</w:t>
      </w:r>
      <w:r w:rsidR="004B14C6" w:rsidRPr="004B14C6">
        <w:rPr>
          <w:lang w:val="fr-FR"/>
        </w:rPr>
        <w:t> </w:t>
      </w:r>
      <w:r w:rsidR="004B14C6">
        <w:rPr>
          <w:lang w:val="fr-FR"/>
        </w:rPr>
        <w:t xml:space="preserve">P. A., a été enlevée </w:t>
      </w:r>
      <w:r w:rsidRPr="008C5A96">
        <w:rPr>
          <w:lang w:val="fr-FR"/>
        </w:rPr>
        <w:t xml:space="preserve">par </w:t>
      </w:r>
      <w:r w:rsidR="004B14C6">
        <w:rPr>
          <w:lang w:val="fr-FR"/>
        </w:rPr>
        <w:t>l</w:t>
      </w:r>
      <w:r w:rsidR="00BE5FF0">
        <w:rPr>
          <w:lang w:val="fr-FR"/>
        </w:rPr>
        <w:t>’</w:t>
      </w:r>
      <w:r w:rsidRPr="008C5A96">
        <w:rPr>
          <w:lang w:val="fr-FR"/>
        </w:rPr>
        <w:t xml:space="preserve">organisation </w:t>
      </w:r>
      <w:r w:rsidR="004B14C6">
        <w:rPr>
          <w:lang w:val="fr-FR"/>
        </w:rPr>
        <w:t xml:space="preserve">étudiante </w:t>
      </w:r>
      <w:r w:rsidRPr="008C5A96">
        <w:rPr>
          <w:lang w:val="fr-FR"/>
        </w:rPr>
        <w:t>islamique nommée Shator Shivir</w:t>
      </w:r>
      <w:r w:rsidR="004B14C6">
        <w:rPr>
          <w:lang w:val="fr-FR"/>
        </w:rPr>
        <w:t xml:space="preserve"> (Chhatra Shibir)</w:t>
      </w:r>
      <w:r w:rsidRPr="008C5A96">
        <w:rPr>
          <w:lang w:val="fr-FR"/>
        </w:rPr>
        <w:t xml:space="preserve"> et l</w:t>
      </w:r>
      <w:r w:rsidR="00BE5FF0">
        <w:rPr>
          <w:lang w:val="fr-FR"/>
        </w:rPr>
        <w:t>’</w:t>
      </w:r>
      <w:r w:rsidRPr="008C5A96">
        <w:rPr>
          <w:lang w:val="fr-FR"/>
        </w:rPr>
        <w:t>auteur n</w:t>
      </w:r>
      <w:r w:rsidR="00BE5FF0">
        <w:rPr>
          <w:lang w:val="fr-FR"/>
        </w:rPr>
        <w:t>’</w:t>
      </w:r>
      <w:r w:rsidRPr="008C5A96">
        <w:rPr>
          <w:lang w:val="fr-FR"/>
        </w:rPr>
        <w:t>a plus eu de nouvelles d</w:t>
      </w:r>
      <w:r w:rsidR="00BE5FF0">
        <w:rPr>
          <w:lang w:val="fr-FR"/>
        </w:rPr>
        <w:t>’</w:t>
      </w:r>
      <w:r w:rsidRPr="008C5A96">
        <w:rPr>
          <w:lang w:val="fr-FR"/>
        </w:rPr>
        <w:t>elle depuis. L</w:t>
      </w:r>
      <w:r w:rsidR="00BE5FF0">
        <w:rPr>
          <w:lang w:val="fr-FR"/>
        </w:rPr>
        <w:t>’</w:t>
      </w:r>
      <w:r w:rsidRPr="008C5A96">
        <w:rPr>
          <w:lang w:val="fr-FR"/>
        </w:rPr>
        <w:t xml:space="preserve">auteur affirme avoir reçu des menaces de cette organisation et de la police. Elle </w:t>
      </w:r>
      <w:r w:rsidR="004B14C6">
        <w:rPr>
          <w:lang w:val="fr-FR"/>
        </w:rPr>
        <w:t xml:space="preserve">était </w:t>
      </w:r>
      <w:r w:rsidRPr="008C5A96">
        <w:rPr>
          <w:lang w:val="fr-FR"/>
        </w:rPr>
        <w:t xml:space="preserve">restée en contact avec une sœur et, </w:t>
      </w:r>
      <w:r w:rsidR="004B14C6">
        <w:rPr>
          <w:lang w:val="fr-FR"/>
        </w:rPr>
        <w:t>de loin en loin, avec sa mère; s</w:t>
      </w:r>
      <w:r w:rsidRPr="008C5A96">
        <w:rPr>
          <w:lang w:val="fr-FR"/>
        </w:rPr>
        <w:t xml:space="preserve">on père </w:t>
      </w:r>
      <w:r>
        <w:rPr>
          <w:lang w:val="fr-FR"/>
        </w:rPr>
        <w:t>ne veut plus entendre parler d</w:t>
      </w:r>
      <w:r w:rsidR="00BE5FF0">
        <w:rPr>
          <w:lang w:val="fr-FR"/>
        </w:rPr>
        <w:t>’</w:t>
      </w:r>
      <w:r>
        <w:rPr>
          <w:lang w:val="fr-FR"/>
        </w:rPr>
        <w:t>elle</w:t>
      </w:r>
      <w:r w:rsidRPr="008C5A96">
        <w:rPr>
          <w:lang w:val="fr-FR"/>
        </w:rPr>
        <w:t>, estimant que son honneur était bafoué à cause du comportement de sa fille.</w:t>
      </w:r>
    </w:p>
    <w:p w:rsidR="008A492C" w:rsidRPr="008C5A96" w:rsidRDefault="008A492C" w:rsidP="008A492C">
      <w:pPr>
        <w:pStyle w:val="SingleTxtG"/>
        <w:rPr>
          <w:lang w:val="fr-FR"/>
        </w:rPr>
      </w:pPr>
      <w:r>
        <w:rPr>
          <w:lang w:val="fr-FR"/>
        </w:rPr>
        <w:t>2.3</w:t>
      </w:r>
      <w:r w:rsidRPr="008C5A96">
        <w:rPr>
          <w:lang w:val="fr-FR"/>
        </w:rPr>
        <w:tab/>
      </w:r>
      <w:r>
        <w:rPr>
          <w:lang w:val="fr-FR"/>
        </w:rPr>
        <w:t>Comme son permis de séjour suédois étai</w:t>
      </w:r>
      <w:r w:rsidRPr="008C5A96">
        <w:rPr>
          <w:lang w:val="fr-FR"/>
        </w:rPr>
        <w:t>t valable jusqu</w:t>
      </w:r>
      <w:r w:rsidR="00BE5FF0">
        <w:rPr>
          <w:lang w:val="fr-FR"/>
        </w:rPr>
        <w:t>’</w:t>
      </w:r>
      <w:r w:rsidRPr="008C5A96">
        <w:rPr>
          <w:lang w:val="fr-FR"/>
        </w:rPr>
        <w:t>en mai 2008, l</w:t>
      </w:r>
      <w:r w:rsidR="00BE5FF0">
        <w:rPr>
          <w:lang w:val="fr-FR"/>
        </w:rPr>
        <w:t>’</w:t>
      </w:r>
      <w:r w:rsidRPr="008C5A96">
        <w:rPr>
          <w:lang w:val="fr-FR"/>
        </w:rPr>
        <w:t>auteur est retournée en Suède. Le 16 mai 2008, elle a déposé un</w:t>
      </w:r>
      <w:r>
        <w:rPr>
          <w:lang w:val="fr-FR"/>
        </w:rPr>
        <w:t>e</w:t>
      </w:r>
      <w:r w:rsidRPr="008C5A96">
        <w:rPr>
          <w:lang w:val="fr-FR"/>
        </w:rPr>
        <w:t xml:space="preserve"> demande d</w:t>
      </w:r>
      <w:r w:rsidR="00BE5FF0">
        <w:rPr>
          <w:lang w:val="fr-FR"/>
        </w:rPr>
        <w:t>’</w:t>
      </w:r>
      <w:r w:rsidRPr="008C5A96">
        <w:rPr>
          <w:lang w:val="fr-FR"/>
        </w:rPr>
        <w:t xml:space="preserve">asile auprès </w:t>
      </w:r>
      <w:r>
        <w:rPr>
          <w:lang w:val="fr-FR"/>
        </w:rPr>
        <w:t>de l</w:t>
      </w:r>
      <w:r w:rsidR="00BE5FF0">
        <w:rPr>
          <w:lang w:val="fr-FR"/>
        </w:rPr>
        <w:t>’</w:t>
      </w:r>
      <w:r>
        <w:rPr>
          <w:lang w:val="fr-FR"/>
        </w:rPr>
        <w:t>Office suédois des migrations. E</w:t>
      </w:r>
      <w:r w:rsidRPr="008C5A96">
        <w:rPr>
          <w:lang w:val="fr-FR"/>
        </w:rPr>
        <w:t xml:space="preserve">lle indiquait </w:t>
      </w:r>
      <w:r w:rsidR="004B14C6">
        <w:rPr>
          <w:lang w:val="fr-FR"/>
        </w:rPr>
        <w:t>qu</w:t>
      </w:r>
      <w:r w:rsidR="00BE5FF0">
        <w:rPr>
          <w:lang w:val="fr-FR"/>
        </w:rPr>
        <w:t>’</w:t>
      </w:r>
      <w:r w:rsidR="004B14C6">
        <w:rPr>
          <w:lang w:val="fr-FR"/>
        </w:rPr>
        <w:t xml:space="preserve">elle avait </w:t>
      </w:r>
      <w:r w:rsidRPr="008C5A96">
        <w:rPr>
          <w:lang w:val="fr-FR"/>
        </w:rPr>
        <w:t>fui le Bangladesh pour échapper aux exactions de la police et de l</w:t>
      </w:r>
      <w:r w:rsidR="00BE5FF0">
        <w:rPr>
          <w:lang w:val="fr-FR"/>
        </w:rPr>
        <w:t>’</w:t>
      </w:r>
      <w:r w:rsidRPr="008C5A96">
        <w:rPr>
          <w:lang w:val="fr-FR"/>
        </w:rPr>
        <w:t xml:space="preserve">organisation </w:t>
      </w:r>
      <w:r w:rsidR="004B14C6">
        <w:rPr>
          <w:lang w:val="fr-FR"/>
        </w:rPr>
        <w:t>Shhatra Shib</w:t>
      </w:r>
      <w:r w:rsidRPr="008C5A96">
        <w:rPr>
          <w:lang w:val="fr-FR"/>
        </w:rPr>
        <w:t>ir. Elle affirmait qu</w:t>
      </w:r>
      <w:r w:rsidR="00BE5FF0">
        <w:rPr>
          <w:lang w:val="fr-FR"/>
        </w:rPr>
        <w:t>’</w:t>
      </w:r>
      <w:r w:rsidRPr="008C5A96">
        <w:rPr>
          <w:lang w:val="fr-FR"/>
        </w:rPr>
        <w:t xml:space="preserve">elle avait été détenue </w:t>
      </w:r>
      <w:r>
        <w:rPr>
          <w:lang w:val="fr-FR"/>
        </w:rPr>
        <w:t xml:space="preserve">pendant quatre ou cinq jours </w:t>
      </w:r>
      <w:r w:rsidRPr="008C5A96">
        <w:rPr>
          <w:lang w:val="fr-FR"/>
        </w:rPr>
        <w:t>et violée en raison de son orientation sexuelle et que sa compagne avait été enlevée par</w:t>
      </w:r>
      <w:r>
        <w:rPr>
          <w:lang w:val="fr-FR"/>
        </w:rPr>
        <w:t xml:space="preserve"> </w:t>
      </w:r>
      <w:r w:rsidR="000D263A">
        <w:rPr>
          <w:lang w:val="fr-FR"/>
        </w:rPr>
        <w:t>Shhatra Shib</w:t>
      </w:r>
      <w:r w:rsidR="000D263A" w:rsidRPr="008C5A96">
        <w:rPr>
          <w:lang w:val="fr-FR"/>
        </w:rPr>
        <w:t>ir</w:t>
      </w:r>
      <w:r w:rsidRPr="008C5A96">
        <w:rPr>
          <w:lang w:val="fr-FR"/>
        </w:rPr>
        <w:t>. De plus,</w:t>
      </w:r>
      <w:r>
        <w:rPr>
          <w:lang w:val="fr-FR"/>
        </w:rPr>
        <w:t xml:space="preserve"> elle ajoutait qu</w:t>
      </w:r>
      <w:r w:rsidR="00BE5FF0">
        <w:rPr>
          <w:lang w:val="fr-FR"/>
        </w:rPr>
        <w:t>’</w:t>
      </w:r>
      <w:r>
        <w:rPr>
          <w:lang w:val="fr-FR"/>
        </w:rPr>
        <w:t>au Bangladesh</w:t>
      </w:r>
      <w:r w:rsidRPr="008C5A96">
        <w:rPr>
          <w:lang w:val="fr-FR"/>
        </w:rPr>
        <w:t xml:space="preserve"> les actes homosexuels étaient interdits par la loi</w:t>
      </w:r>
      <w:r w:rsidR="004B14C6" w:rsidRPr="008C5A96">
        <w:rPr>
          <w:rStyle w:val="FootnoteReference"/>
        </w:rPr>
        <w:footnoteReference w:id="3"/>
      </w:r>
      <w:r w:rsidRPr="008C5A96">
        <w:rPr>
          <w:lang w:val="fr-FR"/>
        </w:rPr>
        <w:t xml:space="preserve"> et qu</w:t>
      </w:r>
      <w:r w:rsidR="00BE5FF0">
        <w:rPr>
          <w:lang w:val="fr-FR"/>
        </w:rPr>
        <w:t>’</w:t>
      </w:r>
      <w:r w:rsidRPr="008C5A96">
        <w:rPr>
          <w:lang w:val="fr-FR"/>
        </w:rPr>
        <w:t>aucune organisation ne pouvait défendre ouvertement les droits des homosexuels</w:t>
      </w:r>
      <w:r w:rsidRPr="008C5A96">
        <w:rPr>
          <w:sz w:val="18"/>
          <w:szCs w:val="18"/>
          <w:lang w:val="fr-FR"/>
        </w:rPr>
        <w:t>.</w:t>
      </w:r>
      <w:r w:rsidRPr="008C5A96">
        <w:rPr>
          <w:lang w:val="fr-FR"/>
        </w:rPr>
        <w:t xml:space="preserve"> Si elle était renvoyée au Bangladesh, elle risquait d</w:t>
      </w:r>
      <w:r w:rsidR="00BE5FF0">
        <w:rPr>
          <w:lang w:val="fr-FR"/>
        </w:rPr>
        <w:t>’</w:t>
      </w:r>
      <w:r w:rsidRPr="008C5A96">
        <w:rPr>
          <w:lang w:val="fr-FR"/>
        </w:rPr>
        <w:t xml:space="preserve">être soumise à la torture et à des traitements inhumains. Elle </w:t>
      </w:r>
      <w:r>
        <w:rPr>
          <w:lang w:val="fr-FR"/>
        </w:rPr>
        <w:t>joignait</w:t>
      </w:r>
      <w:r w:rsidRPr="008C5A96">
        <w:rPr>
          <w:lang w:val="fr-FR"/>
        </w:rPr>
        <w:t xml:space="preserve"> un </w:t>
      </w:r>
      <w:r w:rsidR="004B14C6">
        <w:rPr>
          <w:lang w:val="fr-FR"/>
        </w:rPr>
        <w:t xml:space="preserve">rapport </w:t>
      </w:r>
      <w:r w:rsidRPr="008C5A96">
        <w:rPr>
          <w:lang w:val="fr-FR"/>
        </w:rPr>
        <w:t xml:space="preserve">médical, daté du 11 décembre 2008, </w:t>
      </w:r>
      <w:r>
        <w:rPr>
          <w:lang w:val="fr-FR"/>
        </w:rPr>
        <w:t xml:space="preserve">qui attestait </w:t>
      </w:r>
      <w:r w:rsidRPr="008C5A96">
        <w:rPr>
          <w:lang w:val="fr-FR"/>
        </w:rPr>
        <w:t>qu</w:t>
      </w:r>
      <w:r w:rsidR="00BE5FF0">
        <w:rPr>
          <w:lang w:val="fr-FR"/>
        </w:rPr>
        <w:t>’</w:t>
      </w:r>
      <w:r w:rsidRPr="008C5A96">
        <w:rPr>
          <w:lang w:val="fr-FR"/>
        </w:rPr>
        <w:t>elle souffrait d</w:t>
      </w:r>
      <w:r w:rsidR="00BE5FF0">
        <w:rPr>
          <w:lang w:val="fr-FR"/>
        </w:rPr>
        <w:t>’</w:t>
      </w:r>
      <w:r w:rsidRPr="008C5A96">
        <w:rPr>
          <w:lang w:val="fr-FR"/>
        </w:rPr>
        <w:t xml:space="preserve">une dépression et </w:t>
      </w:r>
      <w:r>
        <w:rPr>
          <w:lang w:val="fr-FR"/>
        </w:rPr>
        <w:t>était sous traitement</w:t>
      </w:r>
      <w:r w:rsidRPr="008C5A96">
        <w:rPr>
          <w:lang w:val="fr-FR"/>
        </w:rPr>
        <w:t>. Elle se sentait isol</w:t>
      </w:r>
      <w:r w:rsidR="004B14C6">
        <w:rPr>
          <w:lang w:val="fr-FR"/>
        </w:rPr>
        <w:t>ée, sans défense et en danger, et e</w:t>
      </w:r>
      <w:r>
        <w:rPr>
          <w:lang w:val="fr-FR"/>
        </w:rPr>
        <w:t>lle</w:t>
      </w:r>
      <w:r w:rsidRPr="008C5A96">
        <w:rPr>
          <w:lang w:val="fr-FR"/>
        </w:rPr>
        <w:t xml:space="preserve"> avait constamment peur. </w:t>
      </w:r>
    </w:p>
    <w:p w:rsidR="008A492C" w:rsidRPr="008C5A96" w:rsidRDefault="008A492C" w:rsidP="008A492C">
      <w:pPr>
        <w:pStyle w:val="SingleTxtG"/>
        <w:rPr>
          <w:lang w:val="fr-FR"/>
        </w:rPr>
      </w:pPr>
      <w:r w:rsidRPr="008C5A96">
        <w:rPr>
          <w:lang w:val="fr-FR"/>
        </w:rPr>
        <w:t>2.4</w:t>
      </w:r>
      <w:r w:rsidRPr="008C5A96">
        <w:rPr>
          <w:lang w:val="fr-FR"/>
        </w:rPr>
        <w:tab/>
        <w:t xml:space="preserve">Le 14 janvier 2009, </w:t>
      </w:r>
      <w:r>
        <w:rPr>
          <w:lang w:val="fr-FR"/>
        </w:rPr>
        <w:t>l</w:t>
      </w:r>
      <w:r w:rsidR="00BE5FF0">
        <w:rPr>
          <w:lang w:val="fr-FR"/>
        </w:rPr>
        <w:t>’</w:t>
      </w:r>
      <w:r>
        <w:rPr>
          <w:lang w:val="fr-FR"/>
        </w:rPr>
        <w:t>Office</w:t>
      </w:r>
      <w:r w:rsidRPr="008C5A96">
        <w:rPr>
          <w:lang w:val="fr-FR"/>
        </w:rPr>
        <w:t xml:space="preserve"> des migrations a rejeté la demande d</w:t>
      </w:r>
      <w:r w:rsidR="00BE5FF0">
        <w:rPr>
          <w:lang w:val="fr-FR"/>
        </w:rPr>
        <w:t>’</w:t>
      </w:r>
      <w:r w:rsidRPr="008C5A96">
        <w:rPr>
          <w:lang w:val="fr-FR"/>
        </w:rPr>
        <w:t xml:space="preserve">asile et ordonné </w:t>
      </w:r>
      <w:r>
        <w:rPr>
          <w:lang w:val="fr-FR"/>
        </w:rPr>
        <w:t>le</w:t>
      </w:r>
      <w:r w:rsidRPr="008C5A96">
        <w:rPr>
          <w:lang w:val="fr-FR"/>
        </w:rPr>
        <w:t xml:space="preserve"> renvoi de l</w:t>
      </w:r>
      <w:r w:rsidR="00BE5FF0">
        <w:rPr>
          <w:lang w:val="fr-FR"/>
        </w:rPr>
        <w:t>’</w:t>
      </w:r>
      <w:r w:rsidRPr="008C5A96">
        <w:rPr>
          <w:lang w:val="fr-FR"/>
        </w:rPr>
        <w:t xml:space="preserve">auteur </w:t>
      </w:r>
      <w:r>
        <w:rPr>
          <w:lang w:val="fr-FR"/>
        </w:rPr>
        <w:t>au Bangladesh. L</w:t>
      </w:r>
      <w:r w:rsidR="00BE5FF0">
        <w:rPr>
          <w:lang w:val="fr-FR"/>
        </w:rPr>
        <w:t>’</w:t>
      </w:r>
      <w:r>
        <w:rPr>
          <w:lang w:val="fr-FR"/>
        </w:rPr>
        <w:t xml:space="preserve">Office </w:t>
      </w:r>
      <w:r w:rsidRPr="008C5A96">
        <w:rPr>
          <w:lang w:val="fr-FR"/>
        </w:rPr>
        <w:t>a fait observer que l</w:t>
      </w:r>
      <w:r w:rsidR="00BE5FF0">
        <w:rPr>
          <w:lang w:val="fr-FR"/>
        </w:rPr>
        <w:t>’</w:t>
      </w:r>
      <w:r w:rsidRPr="008C5A96">
        <w:rPr>
          <w:lang w:val="fr-FR"/>
        </w:rPr>
        <w:t>auteur n</w:t>
      </w:r>
      <w:r w:rsidR="00BE5FF0">
        <w:rPr>
          <w:lang w:val="fr-FR"/>
        </w:rPr>
        <w:t>’</w:t>
      </w:r>
      <w:r w:rsidRPr="008C5A96">
        <w:rPr>
          <w:lang w:val="fr-FR"/>
        </w:rPr>
        <w:t xml:space="preserve">avait pas </w:t>
      </w:r>
      <w:r>
        <w:rPr>
          <w:lang w:val="fr-FR"/>
        </w:rPr>
        <w:t>apporté</w:t>
      </w:r>
      <w:r w:rsidRPr="008C5A96">
        <w:rPr>
          <w:lang w:val="fr-FR"/>
        </w:rPr>
        <w:t xml:space="preserve"> de preuves écrites pour étayer ses griefs et a conclu que ses allégations n</w:t>
      </w:r>
      <w:r w:rsidR="00BE5FF0">
        <w:rPr>
          <w:lang w:val="fr-FR"/>
        </w:rPr>
        <w:t>’</w:t>
      </w:r>
      <w:r w:rsidRPr="008C5A96">
        <w:rPr>
          <w:lang w:val="fr-FR"/>
        </w:rPr>
        <w:t xml:space="preserve">étaient pas crédibles. </w:t>
      </w:r>
      <w:r>
        <w:rPr>
          <w:lang w:val="fr-FR"/>
        </w:rPr>
        <w:t>Il</w:t>
      </w:r>
      <w:r w:rsidRPr="008C5A96">
        <w:rPr>
          <w:lang w:val="fr-FR"/>
        </w:rPr>
        <w:t xml:space="preserve"> n</w:t>
      </w:r>
      <w:r w:rsidR="00BE5FF0">
        <w:rPr>
          <w:lang w:val="fr-FR"/>
        </w:rPr>
        <w:t>’</w:t>
      </w:r>
      <w:r w:rsidRPr="008C5A96">
        <w:rPr>
          <w:lang w:val="fr-FR"/>
        </w:rPr>
        <w:t>était pas convaincu que l</w:t>
      </w:r>
      <w:r w:rsidR="00BE5FF0">
        <w:rPr>
          <w:lang w:val="fr-FR"/>
        </w:rPr>
        <w:t>’</w:t>
      </w:r>
      <w:r w:rsidRPr="008C5A96">
        <w:rPr>
          <w:lang w:val="fr-FR"/>
        </w:rPr>
        <w:t>auteur risquait d</w:t>
      </w:r>
      <w:r w:rsidR="00BE5FF0">
        <w:rPr>
          <w:lang w:val="fr-FR"/>
        </w:rPr>
        <w:t>’</w:t>
      </w:r>
      <w:r w:rsidRPr="008C5A96">
        <w:rPr>
          <w:lang w:val="fr-FR"/>
        </w:rPr>
        <w:t xml:space="preserve">être persécutée en raison de son orientation sexuelle. </w:t>
      </w:r>
      <w:r w:rsidR="004B14C6">
        <w:rPr>
          <w:lang w:val="fr-FR"/>
        </w:rPr>
        <w:t>D</w:t>
      </w:r>
      <w:r w:rsidR="00BE5FF0">
        <w:rPr>
          <w:lang w:val="fr-FR"/>
        </w:rPr>
        <w:t>’</w:t>
      </w:r>
      <w:r w:rsidR="004B14C6">
        <w:rPr>
          <w:lang w:val="fr-FR"/>
        </w:rPr>
        <w:t>après lui, l</w:t>
      </w:r>
      <w:r w:rsidRPr="008C5A96">
        <w:rPr>
          <w:lang w:val="fr-FR"/>
        </w:rPr>
        <w:t>es menaces dont elle disait avoir fait l</w:t>
      </w:r>
      <w:r w:rsidR="00BE5FF0">
        <w:rPr>
          <w:lang w:val="fr-FR"/>
        </w:rPr>
        <w:t>’</w:t>
      </w:r>
      <w:r w:rsidRPr="008C5A96">
        <w:rPr>
          <w:lang w:val="fr-FR"/>
        </w:rPr>
        <w:t>objet de la part de ses paren</w:t>
      </w:r>
      <w:r w:rsidR="004B14C6">
        <w:rPr>
          <w:lang w:val="fr-FR"/>
        </w:rPr>
        <w:t>ts, de la famille de son mari ou</w:t>
      </w:r>
      <w:r w:rsidRPr="008C5A96">
        <w:rPr>
          <w:lang w:val="fr-FR"/>
        </w:rPr>
        <w:t xml:space="preserve"> de membres du mouvement </w:t>
      </w:r>
      <w:r w:rsidR="004B14C6">
        <w:rPr>
          <w:lang w:val="fr-FR"/>
        </w:rPr>
        <w:t>Shhatra Shib</w:t>
      </w:r>
      <w:r w:rsidRPr="008C5A96">
        <w:rPr>
          <w:lang w:val="fr-FR"/>
        </w:rPr>
        <w:t xml:space="preserve">ir étaient des actes criminels </w:t>
      </w:r>
      <w:r>
        <w:rPr>
          <w:lang w:val="fr-FR"/>
        </w:rPr>
        <w:t>qui relevaient de la compétence des autorités bangladaises</w:t>
      </w:r>
      <w:r w:rsidRPr="008C5A96">
        <w:rPr>
          <w:lang w:val="fr-FR"/>
        </w:rPr>
        <w:t>. De même, la détention de l</w:t>
      </w:r>
      <w:r w:rsidR="00BE5FF0">
        <w:rPr>
          <w:lang w:val="fr-FR"/>
        </w:rPr>
        <w:t>’</w:t>
      </w:r>
      <w:r w:rsidRPr="008C5A96">
        <w:rPr>
          <w:lang w:val="fr-FR"/>
        </w:rPr>
        <w:t xml:space="preserve">auteur et le viol commis par des policiers constituaient </w:t>
      </w:r>
      <w:r>
        <w:rPr>
          <w:lang w:val="fr-FR"/>
        </w:rPr>
        <w:t xml:space="preserve">des actes </w:t>
      </w:r>
      <w:r w:rsidRPr="008C5A96">
        <w:rPr>
          <w:lang w:val="fr-FR"/>
        </w:rPr>
        <w:t>répréhensible</w:t>
      </w:r>
      <w:r>
        <w:rPr>
          <w:lang w:val="fr-FR"/>
        </w:rPr>
        <w:t>s</w:t>
      </w:r>
      <w:r w:rsidRPr="008C5A96">
        <w:rPr>
          <w:lang w:val="fr-FR"/>
        </w:rPr>
        <w:t xml:space="preserve"> qui aurai</w:t>
      </w:r>
      <w:r>
        <w:rPr>
          <w:lang w:val="fr-FR"/>
        </w:rPr>
        <w:t>en</w:t>
      </w:r>
      <w:r w:rsidRPr="008C5A96">
        <w:rPr>
          <w:lang w:val="fr-FR"/>
        </w:rPr>
        <w:t>t dû être signalé</w:t>
      </w:r>
      <w:r>
        <w:rPr>
          <w:lang w:val="fr-FR"/>
        </w:rPr>
        <w:t>s</w:t>
      </w:r>
      <w:r w:rsidRPr="008C5A96">
        <w:rPr>
          <w:lang w:val="fr-FR"/>
        </w:rPr>
        <w:t xml:space="preserve"> aux autorités. Les faits dont l</w:t>
      </w:r>
      <w:r w:rsidR="00BE5FF0">
        <w:rPr>
          <w:lang w:val="fr-FR"/>
        </w:rPr>
        <w:t>’</w:t>
      </w:r>
      <w:r w:rsidRPr="008C5A96">
        <w:rPr>
          <w:lang w:val="fr-FR"/>
        </w:rPr>
        <w:t>auteur se plaignait n</w:t>
      </w:r>
      <w:r w:rsidR="00BE5FF0">
        <w:rPr>
          <w:lang w:val="fr-FR"/>
        </w:rPr>
        <w:t>’</w:t>
      </w:r>
      <w:r w:rsidRPr="008C5A96">
        <w:rPr>
          <w:lang w:val="fr-FR"/>
        </w:rPr>
        <w:t>avaient jamais été dénoncés à la police ni à aucune autre autorité compétente et l</w:t>
      </w:r>
      <w:r w:rsidR="00BE5FF0">
        <w:rPr>
          <w:lang w:val="fr-FR"/>
        </w:rPr>
        <w:t>’</w:t>
      </w:r>
      <w:r w:rsidRPr="008C5A96">
        <w:rPr>
          <w:lang w:val="fr-FR"/>
        </w:rPr>
        <w:t>auteur n</w:t>
      </w:r>
      <w:r w:rsidR="00BE5FF0">
        <w:rPr>
          <w:lang w:val="fr-FR"/>
        </w:rPr>
        <w:t>’</w:t>
      </w:r>
      <w:r w:rsidRPr="008C5A96">
        <w:rPr>
          <w:lang w:val="fr-FR"/>
        </w:rPr>
        <w:t xml:space="preserve">avait pas </w:t>
      </w:r>
      <w:r>
        <w:rPr>
          <w:lang w:val="fr-FR"/>
        </w:rPr>
        <w:t>montré</w:t>
      </w:r>
      <w:r w:rsidRPr="008C5A96">
        <w:rPr>
          <w:lang w:val="fr-FR"/>
        </w:rPr>
        <w:t xml:space="preserve"> que les autorités n</w:t>
      </w:r>
      <w:r w:rsidR="00BE5FF0">
        <w:rPr>
          <w:lang w:val="fr-FR"/>
        </w:rPr>
        <w:t>’</w:t>
      </w:r>
      <w:r w:rsidRPr="008C5A96">
        <w:rPr>
          <w:lang w:val="fr-FR"/>
        </w:rPr>
        <w:t>avaient pas la capacité ou la volonté d</w:t>
      </w:r>
      <w:r w:rsidR="00BE5FF0">
        <w:rPr>
          <w:lang w:val="fr-FR"/>
        </w:rPr>
        <w:t>’</w:t>
      </w:r>
      <w:r w:rsidRPr="008C5A96">
        <w:rPr>
          <w:lang w:val="fr-FR"/>
        </w:rPr>
        <w:t>enquêter sur ses allégations et d</w:t>
      </w:r>
      <w:r w:rsidR="00BE5FF0">
        <w:rPr>
          <w:lang w:val="fr-FR"/>
        </w:rPr>
        <w:t>’</w:t>
      </w:r>
      <w:r w:rsidRPr="008C5A96">
        <w:rPr>
          <w:lang w:val="fr-FR"/>
        </w:rPr>
        <w:t xml:space="preserve">assurer sa protection. </w:t>
      </w:r>
      <w:r>
        <w:rPr>
          <w:lang w:val="fr-FR"/>
        </w:rPr>
        <w:t>L</w:t>
      </w:r>
      <w:r w:rsidR="00BE5FF0">
        <w:rPr>
          <w:lang w:val="fr-FR"/>
        </w:rPr>
        <w:t>’</w:t>
      </w:r>
      <w:r>
        <w:rPr>
          <w:lang w:val="fr-FR"/>
        </w:rPr>
        <w:t>Office</w:t>
      </w:r>
      <w:r w:rsidRPr="008C5A96">
        <w:rPr>
          <w:lang w:val="fr-FR"/>
        </w:rPr>
        <w:t xml:space="preserve"> constatait également que si les actes homosexuels étaient interdits par </w:t>
      </w:r>
      <w:r>
        <w:rPr>
          <w:lang w:val="fr-FR"/>
        </w:rPr>
        <w:t>la loi</w:t>
      </w:r>
      <w:r w:rsidRPr="008C5A96">
        <w:rPr>
          <w:lang w:val="fr-FR"/>
        </w:rPr>
        <w:t xml:space="preserve"> bangladais</w:t>
      </w:r>
      <w:r>
        <w:rPr>
          <w:lang w:val="fr-FR"/>
        </w:rPr>
        <w:t>e</w:t>
      </w:r>
      <w:r w:rsidRPr="008C5A96">
        <w:rPr>
          <w:lang w:val="fr-FR"/>
        </w:rPr>
        <w:t>, on ne savait pas bien si la loi était réellement appliquée</w:t>
      </w:r>
      <w:r w:rsidRPr="008C5A96">
        <w:rPr>
          <w:rStyle w:val="FootnoteReference"/>
        </w:rPr>
        <w:footnoteReference w:id="4"/>
      </w:r>
      <w:r w:rsidRPr="008C5A96">
        <w:rPr>
          <w:lang w:val="fr-FR"/>
        </w:rPr>
        <w:t>. Enfin, il faisait observer que l</w:t>
      </w:r>
      <w:r w:rsidR="00BE5FF0">
        <w:rPr>
          <w:lang w:val="fr-FR"/>
        </w:rPr>
        <w:t>’</w:t>
      </w:r>
      <w:r w:rsidRPr="008C5A96">
        <w:rPr>
          <w:lang w:val="fr-FR"/>
        </w:rPr>
        <w:t xml:space="preserve">auteur avait fui le Bangladesh sans rencontrer de difficultés et </w:t>
      </w:r>
      <w:r>
        <w:rPr>
          <w:lang w:val="fr-FR"/>
        </w:rPr>
        <w:t>avec son</w:t>
      </w:r>
      <w:r w:rsidRPr="008C5A96">
        <w:rPr>
          <w:lang w:val="fr-FR"/>
        </w:rPr>
        <w:t xml:space="preserve"> passeport, ce qui montrait qu</w:t>
      </w:r>
      <w:r w:rsidR="00BE5FF0">
        <w:rPr>
          <w:lang w:val="fr-FR"/>
        </w:rPr>
        <w:t>’</w:t>
      </w:r>
      <w:r w:rsidRPr="008C5A96">
        <w:rPr>
          <w:lang w:val="fr-FR"/>
        </w:rPr>
        <w:t>elle n</w:t>
      </w:r>
      <w:r w:rsidR="00BE5FF0">
        <w:rPr>
          <w:lang w:val="fr-FR"/>
        </w:rPr>
        <w:t>’</w:t>
      </w:r>
      <w:r w:rsidRPr="008C5A96">
        <w:rPr>
          <w:lang w:val="fr-FR"/>
        </w:rPr>
        <w:t xml:space="preserve">était pas recherchée par les autorités bangladaises. En outre, </w:t>
      </w:r>
      <w:r w:rsidR="004B14C6">
        <w:rPr>
          <w:lang w:val="fr-FR"/>
        </w:rPr>
        <w:t>il relevait qu</w:t>
      </w:r>
      <w:r w:rsidR="00BE5FF0">
        <w:rPr>
          <w:lang w:val="fr-FR"/>
        </w:rPr>
        <w:t>’</w:t>
      </w:r>
      <w:r w:rsidRPr="008C5A96">
        <w:rPr>
          <w:lang w:val="fr-FR"/>
        </w:rPr>
        <w:t>elle était arrivée pour la première fois dans l</w:t>
      </w:r>
      <w:r w:rsidR="00BE5FF0">
        <w:rPr>
          <w:lang w:val="fr-FR"/>
        </w:rPr>
        <w:t>’</w:t>
      </w:r>
      <w:r w:rsidRPr="008C5A96">
        <w:rPr>
          <w:lang w:val="fr-FR"/>
        </w:rPr>
        <w:t>État partie en 2006 mais n</w:t>
      </w:r>
      <w:r w:rsidR="00BE5FF0">
        <w:rPr>
          <w:lang w:val="fr-FR"/>
        </w:rPr>
        <w:t>’</w:t>
      </w:r>
      <w:r w:rsidRPr="008C5A96">
        <w:rPr>
          <w:lang w:val="fr-FR"/>
        </w:rPr>
        <w:t>avait demand</w:t>
      </w:r>
      <w:r w:rsidR="004B14C6">
        <w:rPr>
          <w:lang w:val="fr-FR"/>
        </w:rPr>
        <w:t>é l</w:t>
      </w:r>
      <w:r w:rsidR="00BE5FF0">
        <w:rPr>
          <w:lang w:val="fr-FR"/>
        </w:rPr>
        <w:t>’</w:t>
      </w:r>
      <w:r w:rsidR="004B14C6">
        <w:rPr>
          <w:lang w:val="fr-FR"/>
        </w:rPr>
        <w:t>asile qu</w:t>
      </w:r>
      <w:r w:rsidR="00BE5FF0">
        <w:rPr>
          <w:lang w:val="fr-FR"/>
        </w:rPr>
        <w:t>’</w:t>
      </w:r>
      <w:r w:rsidR="004B14C6">
        <w:rPr>
          <w:lang w:val="fr-FR"/>
        </w:rPr>
        <w:t>en 2008. L</w:t>
      </w:r>
      <w:r w:rsidR="00BE5FF0">
        <w:rPr>
          <w:lang w:val="fr-FR"/>
        </w:rPr>
        <w:t>’</w:t>
      </w:r>
      <w:r>
        <w:rPr>
          <w:lang w:val="fr-FR"/>
        </w:rPr>
        <w:t>Office</w:t>
      </w:r>
      <w:r w:rsidRPr="008C5A96">
        <w:rPr>
          <w:lang w:val="fr-FR"/>
        </w:rPr>
        <w:t xml:space="preserve"> concluait </w:t>
      </w:r>
      <w:r w:rsidR="004B14C6">
        <w:rPr>
          <w:lang w:val="fr-FR"/>
        </w:rPr>
        <w:t xml:space="preserve">donc </w:t>
      </w:r>
      <w:r w:rsidRPr="008C5A96">
        <w:rPr>
          <w:lang w:val="fr-FR"/>
        </w:rPr>
        <w:t>qu</w:t>
      </w:r>
      <w:r w:rsidR="00BE5FF0">
        <w:rPr>
          <w:lang w:val="fr-FR"/>
        </w:rPr>
        <w:t>’</w:t>
      </w:r>
      <w:r w:rsidRPr="008C5A96">
        <w:rPr>
          <w:lang w:val="fr-FR"/>
        </w:rPr>
        <w:t>elle n</w:t>
      </w:r>
      <w:r w:rsidR="00BE5FF0">
        <w:rPr>
          <w:lang w:val="fr-FR"/>
        </w:rPr>
        <w:t>’</w:t>
      </w:r>
      <w:r w:rsidRPr="008C5A96">
        <w:rPr>
          <w:lang w:val="fr-FR"/>
        </w:rPr>
        <w:t xml:space="preserve">avait pas </w:t>
      </w:r>
      <w:r>
        <w:rPr>
          <w:lang w:val="fr-FR"/>
        </w:rPr>
        <w:t>un besoin urgent</w:t>
      </w:r>
      <w:r w:rsidRPr="008C5A96">
        <w:rPr>
          <w:lang w:val="fr-FR"/>
        </w:rPr>
        <w:t xml:space="preserve"> </w:t>
      </w:r>
      <w:r>
        <w:rPr>
          <w:lang w:val="fr-FR"/>
        </w:rPr>
        <w:t>de</w:t>
      </w:r>
      <w:r w:rsidRPr="008C5A96">
        <w:rPr>
          <w:lang w:val="fr-FR"/>
        </w:rPr>
        <w:t xml:space="preserve"> protection. </w:t>
      </w:r>
    </w:p>
    <w:p w:rsidR="008A492C" w:rsidRPr="008C5A96" w:rsidRDefault="008A492C" w:rsidP="008A492C">
      <w:pPr>
        <w:pStyle w:val="SingleTxtG"/>
        <w:rPr>
          <w:lang w:val="fr-FR"/>
        </w:rPr>
      </w:pPr>
      <w:r w:rsidRPr="008C5A96">
        <w:rPr>
          <w:lang w:val="fr-FR"/>
        </w:rPr>
        <w:t>2.5</w:t>
      </w:r>
      <w:r w:rsidRPr="008C5A96">
        <w:rPr>
          <w:lang w:val="fr-FR"/>
        </w:rPr>
        <w:tab/>
        <w:t>L</w:t>
      </w:r>
      <w:r w:rsidR="00BE5FF0">
        <w:rPr>
          <w:lang w:val="fr-FR"/>
        </w:rPr>
        <w:t>’</w:t>
      </w:r>
      <w:r w:rsidRPr="008C5A96">
        <w:rPr>
          <w:lang w:val="fr-FR"/>
        </w:rPr>
        <w:t xml:space="preserve">auteur a fait appel de cette décision devant le </w:t>
      </w:r>
      <w:r>
        <w:rPr>
          <w:lang w:val="fr-FR"/>
        </w:rPr>
        <w:t>t</w:t>
      </w:r>
      <w:r w:rsidRPr="008C5A96">
        <w:rPr>
          <w:lang w:val="fr-FR"/>
        </w:rPr>
        <w:t xml:space="preserve">ribunal </w:t>
      </w:r>
      <w:r w:rsidR="004B14C6">
        <w:rPr>
          <w:lang w:val="fr-FR"/>
        </w:rPr>
        <w:t xml:space="preserve">suédois </w:t>
      </w:r>
      <w:r w:rsidRPr="008C5A96">
        <w:rPr>
          <w:lang w:val="fr-FR"/>
        </w:rPr>
        <w:t>des migration</w:t>
      </w:r>
      <w:r>
        <w:rPr>
          <w:lang w:val="fr-FR"/>
        </w:rPr>
        <w:t>s</w:t>
      </w:r>
      <w:r w:rsidR="004B14C6">
        <w:rPr>
          <w:lang w:val="fr-FR"/>
        </w:rPr>
        <w:t xml:space="preserve">. </w:t>
      </w:r>
      <w:r w:rsidR="004B14C6" w:rsidRPr="004B14C6">
        <w:t>Elle</w:t>
      </w:r>
      <w:r w:rsidR="004B14C6">
        <w:t> </w:t>
      </w:r>
      <w:r w:rsidRPr="004B14C6">
        <w:t>faisait</w:t>
      </w:r>
      <w:r>
        <w:rPr>
          <w:lang w:val="fr-FR"/>
        </w:rPr>
        <w:t xml:space="preserve"> valoir</w:t>
      </w:r>
      <w:r w:rsidRPr="008C5A96">
        <w:rPr>
          <w:lang w:val="fr-FR"/>
        </w:rPr>
        <w:t xml:space="preserve"> que </w:t>
      </w:r>
      <w:r>
        <w:rPr>
          <w:lang w:val="fr-FR"/>
        </w:rPr>
        <w:t>l</w:t>
      </w:r>
      <w:r w:rsidR="00BE5FF0">
        <w:rPr>
          <w:lang w:val="fr-FR"/>
        </w:rPr>
        <w:t>’</w:t>
      </w:r>
      <w:r>
        <w:rPr>
          <w:lang w:val="fr-FR"/>
        </w:rPr>
        <w:t>Office</w:t>
      </w:r>
      <w:r w:rsidRPr="008C5A96">
        <w:rPr>
          <w:lang w:val="fr-FR"/>
        </w:rPr>
        <w:t xml:space="preserve"> des mi</w:t>
      </w:r>
      <w:r>
        <w:rPr>
          <w:lang w:val="fr-FR"/>
        </w:rPr>
        <w:t>grations, dans son appréciation</w:t>
      </w:r>
      <w:r w:rsidRPr="008C5A96">
        <w:rPr>
          <w:lang w:val="fr-FR"/>
        </w:rPr>
        <w:t>, s</w:t>
      </w:r>
      <w:r w:rsidR="00BE5FF0">
        <w:rPr>
          <w:lang w:val="fr-FR"/>
        </w:rPr>
        <w:t>’</w:t>
      </w:r>
      <w:r w:rsidRPr="008C5A96">
        <w:rPr>
          <w:lang w:val="fr-FR"/>
        </w:rPr>
        <w:t xml:space="preserve">était </w:t>
      </w:r>
      <w:r>
        <w:rPr>
          <w:lang w:val="fr-FR"/>
        </w:rPr>
        <w:t xml:space="preserve">surtout </w:t>
      </w:r>
      <w:r w:rsidR="00E87B5D">
        <w:rPr>
          <w:lang w:val="fr-FR"/>
        </w:rPr>
        <w:t>attaché</w:t>
      </w:r>
      <w:r>
        <w:rPr>
          <w:lang w:val="fr-FR"/>
        </w:rPr>
        <w:t xml:space="preserve"> au</w:t>
      </w:r>
      <w:r w:rsidR="004B14C6">
        <w:rPr>
          <w:lang w:val="fr-FR"/>
        </w:rPr>
        <w:t>x informations indiquant que</w:t>
      </w:r>
      <w:r w:rsidRPr="008C5A96">
        <w:rPr>
          <w:lang w:val="fr-FR"/>
        </w:rPr>
        <w:t xml:space="preserve"> la loi </w:t>
      </w:r>
      <w:r w:rsidR="00C22906">
        <w:rPr>
          <w:lang w:val="fr-FR"/>
        </w:rPr>
        <w:t>qui interd</w:t>
      </w:r>
      <w:r w:rsidR="00903488">
        <w:rPr>
          <w:lang w:val="fr-FR"/>
        </w:rPr>
        <w:t>i</w:t>
      </w:r>
      <w:r w:rsidRPr="008C5A96">
        <w:rPr>
          <w:lang w:val="fr-FR"/>
        </w:rPr>
        <w:t>t les actes ho</w:t>
      </w:r>
      <w:r w:rsidR="00903488">
        <w:rPr>
          <w:lang w:val="fr-FR"/>
        </w:rPr>
        <w:t>mosexuels n</w:t>
      </w:r>
      <w:r w:rsidR="00BE5FF0">
        <w:rPr>
          <w:lang w:val="fr-FR"/>
        </w:rPr>
        <w:t>’</w:t>
      </w:r>
      <w:r w:rsidR="00903488">
        <w:rPr>
          <w:lang w:val="fr-FR"/>
        </w:rPr>
        <w:t xml:space="preserve">était pas appliquée. Il </w:t>
      </w:r>
      <w:r w:rsidRPr="008C5A96">
        <w:rPr>
          <w:lang w:val="fr-FR"/>
        </w:rPr>
        <w:t>n</w:t>
      </w:r>
      <w:r w:rsidR="00BE5FF0">
        <w:rPr>
          <w:lang w:val="fr-FR"/>
        </w:rPr>
        <w:t>’</w:t>
      </w:r>
      <w:r w:rsidRPr="008C5A96">
        <w:rPr>
          <w:lang w:val="fr-FR"/>
        </w:rPr>
        <w:t>avait pas pris en considération l</w:t>
      </w:r>
      <w:r w:rsidR="00BE5FF0">
        <w:rPr>
          <w:lang w:val="fr-FR"/>
        </w:rPr>
        <w:t>’</w:t>
      </w:r>
      <w:r w:rsidRPr="008C5A96">
        <w:rPr>
          <w:lang w:val="fr-FR"/>
        </w:rPr>
        <w:t xml:space="preserve">ensemble des éléments </w:t>
      </w:r>
      <w:r>
        <w:rPr>
          <w:lang w:val="fr-FR"/>
        </w:rPr>
        <w:t>du</w:t>
      </w:r>
      <w:r w:rsidRPr="008C5A96">
        <w:rPr>
          <w:lang w:val="fr-FR"/>
        </w:rPr>
        <w:t xml:space="preserve"> dossier et en particulier le mariage et le départ vers la Suède qui lui avaient été imposés dans le but de </w:t>
      </w:r>
      <w:r>
        <w:rPr>
          <w:lang w:val="fr-FR"/>
        </w:rPr>
        <w:t>la</w:t>
      </w:r>
      <w:r w:rsidRPr="008C5A96">
        <w:rPr>
          <w:lang w:val="fr-FR"/>
        </w:rPr>
        <w:t xml:space="preserve"> faire changer </w:t>
      </w:r>
      <w:r>
        <w:rPr>
          <w:lang w:val="fr-FR"/>
        </w:rPr>
        <w:t>d</w:t>
      </w:r>
      <w:r w:rsidR="00BE5FF0">
        <w:rPr>
          <w:lang w:val="fr-FR"/>
        </w:rPr>
        <w:t>’</w:t>
      </w:r>
      <w:r w:rsidRPr="008C5A96">
        <w:rPr>
          <w:lang w:val="fr-FR"/>
        </w:rPr>
        <w:t>orientation sexuelle, ainsi que les sévices qu</w:t>
      </w:r>
      <w:r w:rsidR="00BE5FF0">
        <w:rPr>
          <w:lang w:val="fr-FR"/>
        </w:rPr>
        <w:t>’</w:t>
      </w:r>
      <w:r w:rsidRPr="008C5A96">
        <w:rPr>
          <w:lang w:val="fr-FR"/>
        </w:rPr>
        <w:t>elle-même et sa compagne avaient subis</w:t>
      </w:r>
      <w:r w:rsidR="00B505E8">
        <w:rPr>
          <w:lang w:val="fr-FR"/>
        </w:rPr>
        <w:t xml:space="preserve"> au </w:t>
      </w:r>
      <w:r w:rsidR="00E87B5D">
        <w:rPr>
          <w:lang w:val="fr-FR"/>
        </w:rPr>
        <w:t>Bangladesh</w:t>
      </w:r>
      <w:r w:rsidRPr="008C5A96">
        <w:rPr>
          <w:lang w:val="fr-FR"/>
        </w:rPr>
        <w:t xml:space="preserve">. Ayant été violée par des policiers, </w:t>
      </w:r>
      <w:r w:rsidR="00B505E8">
        <w:rPr>
          <w:lang w:val="fr-FR"/>
        </w:rPr>
        <w:t xml:space="preserve">elle </w:t>
      </w:r>
      <w:r w:rsidRPr="008C5A96">
        <w:rPr>
          <w:lang w:val="fr-FR"/>
        </w:rPr>
        <w:t xml:space="preserve">ne pouvait pas </w:t>
      </w:r>
      <w:r w:rsidR="00B505E8">
        <w:rPr>
          <w:lang w:val="fr-FR"/>
        </w:rPr>
        <w:t xml:space="preserve">aller </w:t>
      </w:r>
      <w:r w:rsidRPr="008C5A96">
        <w:rPr>
          <w:lang w:val="fr-FR"/>
        </w:rPr>
        <w:t>chercher de l</w:t>
      </w:r>
      <w:r w:rsidR="00BE5FF0">
        <w:rPr>
          <w:lang w:val="fr-FR"/>
        </w:rPr>
        <w:t>’</w:t>
      </w:r>
      <w:r w:rsidRPr="008C5A96">
        <w:rPr>
          <w:lang w:val="fr-FR"/>
        </w:rPr>
        <w:t>aide au</w:t>
      </w:r>
      <w:r>
        <w:rPr>
          <w:lang w:val="fr-FR"/>
        </w:rPr>
        <w:t>près de la police. En outre, l</w:t>
      </w:r>
      <w:r w:rsidR="00BE5FF0">
        <w:rPr>
          <w:lang w:val="fr-FR"/>
        </w:rPr>
        <w:t>’</w:t>
      </w:r>
      <w:r>
        <w:rPr>
          <w:lang w:val="fr-FR"/>
        </w:rPr>
        <w:t xml:space="preserve">Office </w:t>
      </w:r>
      <w:r w:rsidRPr="008C5A96">
        <w:rPr>
          <w:lang w:val="fr-FR"/>
        </w:rPr>
        <w:t xml:space="preserve">des migrations ignorait </w:t>
      </w:r>
      <w:r>
        <w:rPr>
          <w:lang w:val="fr-FR"/>
        </w:rPr>
        <w:t>comment</w:t>
      </w:r>
      <w:r w:rsidRPr="008C5A96">
        <w:rPr>
          <w:lang w:val="fr-FR"/>
        </w:rPr>
        <w:t xml:space="preserve"> les homosexuels étaient généralement traités dans la société bangladaise. L</w:t>
      </w:r>
      <w:r w:rsidR="00BE5FF0">
        <w:rPr>
          <w:lang w:val="fr-FR"/>
        </w:rPr>
        <w:t>’</w:t>
      </w:r>
      <w:r w:rsidRPr="008C5A96">
        <w:rPr>
          <w:lang w:val="fr-FR"/>
        </w:rPr>
        <w:t xml:space="preserve">auteur </w:t>
      </w:r>
      <w:r w:rsidR="00B505E8">
        <w:rPr>
          <w:lang w:val="fr-FR"/>
        </w:rPr>
        <w:t xml:space="preserve">avait </w:t>
      </w:r>
      <w:r w:rsidRPr="008C5A96">
        <w:rPr>
          <w:lang w:val="fr-FR"/>
        </w:rPr>
        <w:t>p</w:t>
      </w:r>
      <w:r w:rsidR="00B505E8">
        <w:rPr>
          <w:lang w:val="fr-FR"/>
        </w:rPr>
        <w:t>résenté</w:t>
      </w:r>
      <w:r w:rsidRPr="008C5A96">
        <w:rPr>
          <w:lang w:val="fr-FR"/>
        </w:rPr>
        <w:t xml:space="preserve"> deux </w:t>
      </w:r>
      <w:r w:rsidR="00B505E8">
        <w:rPr>
          <w:lang w:val="fr-FR"/>
        </w:rPr>
        <w:t xml:space="preserve">rapports </w:t>
      </w:r>
      <w:r w:rsidRPr="008C5A96">
        <w:rPr>
          <w:lang w:val="fr-FR"/>
        </w:rPr>
        <w:t xml:space="preserve">médicaux, datés </w:t>
      </w:r>
      <w:r>
        <w:rPr>
          <w:lang w:val="fr-FR"/>
        </w:rPr>
        <w:t>du</w:t>
      </w:r>
      <w:r w:rsidRPr="008C5A96">
        <w:rPr>
          <w:lang w:val="fr-FR"/>
        </w:rPr>
        <w:t xml:space="preserve"> 28 mai et </w:t>
      </w:r>
      <w:r>
        <w:rPr>
          <w:lang w:val="fr-FR"/>
        </w:rPr>
        <w:t xml:space="preserve">du </w:t>
      </w:r>
      <w:r w:rsidRPr="008C5A96">
        <w:rPr>
          <w:lang w:val="fr-FR"/>
        </w:rPr>
        <w:t>19 octobre 2009, dans lesquels il était indiqué qu</w:t>
      </w:r>
      <w:r w:rsidR="00BE5FF0">
        <w:rPr>
          <w:lang w:val="fr-FR"/>
        </w:rPr>
        <w:t>’</w:t>
      </w:r>
      <w:r w:rsidRPr="008C5A96">
        <w:rPr>
          <w:lang w:val="fr-FR"/>
        </w:rPr>
        <w:t>elle souffrait d</w:t>
      </w:r>
      <w:r w:rsidR="00BE5FF0">
        <w:rPr>
          <w:lang w:val="fr-FR"/>
        </w:rPr>
        <w:t>’</w:t>
      </w:r>
      <w:r w:rsidRPr="008C5A96">
        <w:rPr>
          <w:lang w:val="fr-FR"/>
        </w:rPr>
        <w:t>une dépression sévère liée à sa peur d</w:t>
      </w:r>
      <w:r w:rsidR="00BE5FF0">
        <w:rPr>
          <w:lang w:val="fr-FR"/>
        </w:rPr>
        <w:t>’</w:t>
      </w:r>
      <w:r w:rsidRPr="008C5A96">
        <w:rPr>
          <w:lang w:val="fr-FR"/>
        </w:rPr>
        <w:t>être renvoyée au Bangladesh et au fait que sa famille refusait d</w:t>
      </w:r>
      <w:r w:rsidR="00BE5FF0">
        <w:rPr>
          <w:lang w:val="fr-FR"/>
        </w:rPr>
        <w:t>’</w:t>
      </w:r>
      <w:r w:rsidRPr="008C5A96">
        <w:rPr>
          <w:lang w:val="fr-FR"/>
        </w:rPr>
        <w:t xml:space="preserve">accepter son orientation sexuelle. Malgré les médicaments, son état avait empiré et </w:t>
      </w:r>
      <w:r>
        <w:rPr>
          <w:lang w:val="fr-FR"/>
        </w:rPr>
        <w:t>le</w:t>
      </w:r>
      <w:r w:rsidRPr="008C5A96">
        <w:rPr>
          <w:lang w:val="fr-FR"/>
        </w:rPr>
        <w:t xml:space="preserve"> risque de suicide</w:t>
      </w:r>
      <w:r>
        <w:rPr>
          <w:lang w:val="fr-FR"/>
        </w:rPr>
        <w:t xml:space="preserve"> était élevé</w:t>
      </w:r>
      <w:r w:rsidRPr="008C5A96">
        <w:rPr>
          <w:lang w:val="fr-FR"/>
        </w:rPr>
        <w:t>.</w:t>
      </w:r>
    </w:p>
    <w:p w:rsidR="008A492C" w:rsidRPr="008C5A96" w:rsidRDefault="008A492C" w:rsidP="008A492C">
      <w:pPr>
        <w:pStyle w:val="SingleTxtG"/>
        <w:rPr>
          <w:lang w:val="fr-FR"/>
        </w:rPr>
      </w:pPr>
      <w:r w:rsidRPr="008C5A96">
        <w:rPr>
          <w:lang w:val="fr-FR"/>
        </w:rPr>
        <w:t>2.6</w:t>
      </w:r>
      <w:r w:rsidRPr="008C5A96">
        <w:rPr>
          <w:lang w:val="fr-FR"/>
        </w:rPr>
        <w:tab/>
        <w:t xml:space="preserve">Le 22 décembre 2009, le </w:t>
      </w:r>
      <w:r>
        <w:rPr>
          <w:lang w:val="fr-FR"/>
        </w:rPr>
        <w:t xml:space="preserve">tribunal des </w:t>
      </w:r>
      <w:r w:rsidRPr="008C5A96">
        <w:rPr>
          <w:lang w:val="fr-FR"/>
        </w:rPr>
        <w:t>migration</w:t>
      </w:r>
      <w:r>
        <w:rPr>
          <w:lang w:val="fr-FR"/>
        </w:rPr>
        <w:t>s</w:t>
      </w:r>
      <w:r w:rsidRPr="008C5A96">
        <w:rPr>
          <w:lang w:val="fr-FR"/>
        </w:rPr>
        <w:t xml:space="preserve"> a rejeté </w:t>
      </w:r>
      <w:r>
        <w:rPr>
          <w:lang w:val="fr-FR"/>
        </w:rPr>
        <w:t>le recours</w:t>
      </w:r>
      <w:r w:rsidRPr="008C5A96">
        <w:rPr>
          <w:lang w:val="fr-FR"/>
        </w:rPr>
        <w:t xml:space="preserve"> de l</w:t>
      </w:r>
      <w:r w:rsidR="00BE5FF0">
        <w:rPr>
          <w:lang w:val="fr-FR"/>
        </w:rPr>
        <w:t>’</w:t>
      </w:r>
      <w:r w:rsidRPr="008C5A96">
        <w:rPr>
          <w:lang w:val="fr-FR"/>
        </w:rPr>
        <w:t>auteur. Il</w:t>
      </w:r>
      <w:r>
        <w:rPr>
          <w:lang w:val="fr-FR"/>
        </w:rPr>
        <w:t> </w:t>
      </w:r>
      <w:r w:rsidRPr="008C5A96">
        <w:rPr>
          <w:lang w:val="fr-FR"/>
        </w:rPr>
        <w:t xml:space="preserve">a </w:t>
      </w:r>
      <w:r>
        <w:rPr>
          <w:lang w:val="fr-FR"/>
        </w:rPr>
        <w:t>conclu</w:t>
      </w:r>
      <w:r w:rsidRPr="008C5A96">
        <w:rPr>
          <w:lang w:val="fr-FR"/>
        </w:rPr>
        <w:t xml:space="preserve"> qu</w:t>
      </w:r>
      <w:r w:rsidR="00BE5FF0">
        <w:rPr>
          <w:lang w:val="fr-FR"/>
        </w:rPr>
        <w:t>’</w:t>
      </w:r>
      <w:r w:rsidRPr="008C5A96">
        <w:rPr>
          <w:lang w:val="fr-FR"/>
        </w:rPr>
        <w:t>elle n</w:t>
      </w:r>
      <w:r w:rsidR="00BE5FF0">
        <w:rPr>
          <w:lang w:val="fr-FR"/>
        </w:rPr>
        <w:t>’</w:t>
      </w:r>
      <w:r w:rsidRPr="008C5A96">
        <w:rPr>
          <w:lang w:val="fr-FR"/>
        </w:rPr>
        <w:t xml:space="preserve">avait pas fourni de documents pour étayer sa plainte et que la situation générale des homosexuels au Bangladesh ne suffisait pas à justifier </w:t>
      </w:r>
      <w:r>
        <w:rPr>
          <w:lang w:val="fr-FR"/>
        </w:rPr>
        <w:t>la délivrance</w:t>
      </w:r>
      <w:r w:rsidRPr="008C5A96">
        <w:rPr>
          <w:lang w:val="fr-FR"/>
        </w:rPr>
        <w:t xml:space="preserve"> à l</w:t>
      </w:r>
      <w:r w:rsidR="00BE5FF0">
        <w:rPr>
          <w:lang w:val="fr-FR"/>
        </w:rPr>
        <w:t>’</w:t>
      </w:r>
      <w:r>
        <w:rPr>
          <w:lang w:val="fr-FR"/>
        </w:rPr>
        <w:t>auteur d</w:t>
      </w:r>
      <w:r w:rsidR="00BE5FF0">
        <w:rPr>
          <w:lang w:val="fr-FR"/>
        </w:rPr>
        <w:t>’</w:t>
      </w:r>
      <w:r>
        <w:rPr>
          <w:lang w:val="fr-FR"/>
        </w:rPr>
        <w:t>un permis de séjour</w:t>
      </w:r>
      <w:r w:rsidRPr="008C5A96">
        <w:rPr>
          <w:lang w:val="fr-FR"/>
        </w:rPr>
        <w:t xml:space="preserve"> </w:t>
      </w:r>
      <w:r w:rsidR="00B505E8">
        <w:rPr>
          <w:lang w:val="fr-FR"/>
        </w:rPr>
        <w:t>en Suède</w:t>
      </w:r>
      <w:r w:rsidRPr="008C5A96">
        <w:rPr>
          <w:lang w:val="fr-FR"/>
        </w:rPr>
        <w:t>. Il existait de surcroît des contradictions dans ses allégations et les informations qu</w:t>
      </w:r>
      <w:r w:rsidR="00BE5FF0">
        <w:rPr>
          <w:lang w:val="fr-FR"/>
        </w:rPr>
        <w:t>’</w:t>
      </w:r>
      <w:r w:rsidRPr="008C5A96">
        <w:rPr>
          <w:lang w:val="fr-FR"/>
        </w:rPr>
        <w:t xml:space="preserve">elle avait </w:t>
      </w:r>
      <w:r>
        <w:rPr>
          <w:lang w:val="fr-FR"/>
        </w:rPr>
        <w:t>données</w:t>
      </w:r>
      <w:r w:rsidRPr="008C5A96">
        <w:rPr>
          <w:lang w:val="fr-FR"/>
        </w:rPr>
        <w:t xml:space="preserve"> étaie</w:t>
      </w:r>
      <w:r w:rsidR="00B505E8">
        <w:rPr>
          <w:lang w:val="fr-FR"/>
        </w:rPr>
        <w:t>nt vagues et non crédibles. Les </w:t>
      </w:r>
      <w:r w:rsidRPr="008C5A96">
        <w:rPr>
          <w:lang w:val="fr-FR"/>
        </w:rPr>
        <w:t>contradictions concernaient en particulier la manière dont le mari de l</w:t>
      </w:r>
      <w:r w:rsidR="00BE5FF0">
        <w:rPr>
          <w:lang w:val="fr-FR"/>
        </w:rPr>
        <w:t>’</w:t>
      </w:r>
      <w:r w:rsidRPr="008C5A96">
        <w:rPr>
          <w:lang w:val="fr-FR"/>
        </w:rPr>
        <w:t xml:space="preserve">auteur avait appris </w:t>
      </w:r>
      <w:r>
        <w:rPr>
          <w:lang w:val="fr-FR"/>
        </w:rPr>
        <w:t>qu</w:t>
      </w:r>
      <w:r w:rsidR="00BE5FF0">
        <w:rPr>
          <w:lang w:val="fr-FR"/>
        </w:rPr>
        <w:t>’</w:t>
      </w:r>
      <w:r>
        <w:rPr>
          <w:lang w:val="fr-FR"/>
        </w:rPr>
        <w:t>elle était homosexuelle</w:t>
      </w:r>
      <w:r w:rsidRPr="008C5A96">
        <w:rPr>
          <w:lang w:val="fr-FR"/>
        </w:rPr>
        <w:t xml:space="preserve"> ainsi que la date à laquelle elle avait été contrainte de quitter le domicile de ses parents et les circonstances dans lesquelles cela s</w:t>
      </w:r>
      <w:r w:rsidR="00BE5FF0">
        <w:rPr>
          <w:lang w:val="fr-FR"/>
        </w:rPr>
        <w:t>’</w:t>
      </w:r>
      <w:r w:rsidRPr="008C5A96">
        <w:rPr>
          <w:lang w:val="fr-FR"/>
        </w:rPr>
        <w:t xml:space="preserve">était produit. </w:t>
      </w:r>
      <w:r w:rsidR="00B505E8">
        <w:rPr>
          <w:lang w:val="fr-FR"/>
        </w:rPr>
        <w:t>Les renseignements qu</w:t>
      </w:r>
      <w:r w:rsidR="00BE5FF0">
        <w:rPr>
          <w:lang w:val="fr-FR"/>
        </w:rPr>
        <w:t>’</w:t>
      </w:r>
      <w:r w:rsidR="00B505E8">
        <w:rPr>
          <w:lang w:val="fr-FR"/>
        </w:rPr>
        <w:t>elle avait donnés au sujet d</w:t>
      </w:r>
      <w:r w:rsidRPr="008C5A96">
        <w:rPr>
          <w:lang w:val="fr-FR"/>
        </w:rPr>
        <w:t xml:space="preserve">es persécutions dont </w:t>
      </w:r>
      <w:r w:rsidR="00B505E8">
        <w:rPr>
          <w:lang w:val="fr-FR"/>
        </w:rPr>
        <w:t xml:space="preserve">elle </w:t>
      </w:r>
      <w:r w:rsidRPr="008C5A96">
        <w:rPr>
          <w:lang w:val="fr-FR"/>
        </w:rPr>
        <w:t>di</w:t>
      </w:r>
      <w:r>
        <w:rPr>
          <w:lang w:val="fr-FR"/>
        </w:rPr>
        <w:t>sai</w:t>
      </w:r>
      <w:r w:rsidRPr="008C5A96">
        <w:rPr>
          <w:lang w:val="fr-FR"/>
        </w:rPr>
        <w:t>t avoir été victime de la part de l</w:t>
      </w:r>
      <w:r w:rsidR="00BE5FF0">
        <w:rPr>
          <w:lang w:val="fr-FR"/>
        </w:rPr>
        <w:t>’</w:t>
      </w:r>
      <w:r w:rsidRPr="008C5A96">
        <w:rPr>
          <w:lang w:val="fr-FR"/>
        </w:rPr>
        <w:t>organisation Sh</w:t>
      </w:r>
      <w:r w:rsidR="00B505E8">
        <w:rPr>
          <w:lang w:val="fr-FR"/>
        </w:rPr>
        <w:t>hatra Shib</w:t>
      </w:r>
      <w:r w:rsidRPr="008C5A96">
        <w:rPr>
          <w:lang w:val="fr-FR"/>
        </w:rPr>
        <w:t>ir</w:t>
      </w:r>
      <w:r w:rsidR="00B505E8">
        <w:rPr>
          <w:lang w:val="fr-FR"/>
        </w:rPr>
        <w:t xml:space="preserve"> </w:t>
      </w:r>
      <w:r w:rsidRPr="008C5A96">
        <w:rPr>
          <w:lang w:val="fr-FR"/>
        </w:rPr>
        <w:t xml:space="preserve">étaient vagues et insuffisantes. </w:t>
      </w:r>
      <w:r>
        <w:rPr>
          <w:lang w:val="fr-FR"/>
        </w:rPr>
        <w:t>Pour ce qui était</w:t>
      </w:r>
      <w:r w:rsidRPr="008C5A96">
        <w:rPr>
          <w:lang w:val="fr-FR"/>
        </w:rPr>
        <w:t xml:space="preserve"> de la disparition de sa compagne, le tribunal a estimé que </w:t>
      </w:r>
      <w:r>
        <w:rPr>
          <w:lang w:val="fr-FR"/>
        </w:rPr>
        <w:t>le récit</w:t>
      </w:r>
      <w:r w:rsidRPr="008C5A96">
        <w:rPr>
          <w:lang w:val="fr-FR"/>
        </w:rPr>
        <w:t xml:space="preserve"> de l</w:t>
      </w:r>
      <w:r w:rsidR="00BE5FF0">
        <w:rPr>
          <w:lang w:val="fr-FR"/>
        </w:rPr>
        <w:t>’</w:t>
      </w:r>
      <w:r w:rsidRPr="008C5A96">
        <w:rPr>
          <w:lang w:val="fr-FR"/>
        </w:rPr>
        <w:t xml:space="preserve">auteur </w:t>
      </w:r>
      <w:r>
        <w:rPr>
          <w:lang w:val="fr-FR"/>
        </w:rPr>
        <w:t>qui affirmait que</w:t>
      </w:r>
      <w:r w:rsidRPr="008C5A96">
        <w:rPr>
          <w:lang w:val="fr-FR"/>
        </w:rPr>
        <w:t xml:space="preserve"> des voisins avaient vu des hommes barbus l</w:t>
      </w:r>
      <w:r w:rsidR="00BE5FF0">
        <w:rPr>
          <w:lang w:val="fr-FR"/>
        </w:rPr>
        <w:t>’</w:t>
      </w:r>
      <w:r w:rsidRPr="008C5A96">
        <w:rPr>
          <w:lang w:val="fr-FR"/>
        </w:rPr>
        <w:t>emmener ne suffisait pas à conclure qu</w:t>
      </w:r>
      <w:r w:rsidR="00BE5FF0">
        <w:rPr>
          <w:lang w:val="fr-FR"/>
        </w:rPr>
        <w:t>’</w:t>
      </w:r>
      <w:r w:rsidRPr="008C5A96">
        <w:rPr>
          <w:lang w:val="fr-FR"/>
        </w:rPr>
        <w:t xml:space="preserve">elle avait été enlevée par </w:t>
      </w:r>
      <w:r w:rsidR="00B505E8" w:rsidRPr="008C5A96">
        <w:rPr>
          <w:lang w:val="fr-FR"/>
        </w:rPr>
        <w:t>Sh</w:t>
      </w:r>
      <w:r w:rsidR="00B505E8">
        <w:rPr>
          <w:lang w:val="fr-FR"/>
        </w:rPr>
        <w:t>hatra Shib</w:t>
      </w:r>
      <w:r w:rsidR="00B505E8" w:rsidRPr="008C5A96">
        <w:rPr>
          <w:lang w:val="fr-FR"/>
        </w:rPr>
        <w:t>ir</w:t>
      </w:r>
      <w:r w:rsidRPr="008C5A96">
        <w:rPr>
          <w:lang w:val="fr-FR"/>
        </w:rPr>
        <w:t>. En</w:t>
      </w:r>
      <w:r>
        <w:rPr>
          <w:lang w:val="fr-FR"/>
        </w:rPr>
        <w:t> </w:t>
      </w:r>
      <w:r w:rsidRPr="008C5A96">
        <w:rPr>
          <w:lang w:val="fr-FR"/>
        </w:rPr>
        <w:t>outre, comme l</w:t>
      </w:r>
      <w:r w:rsidR="00BE5FF0">
        <w:rPr>
          <w:lang w:val="fr-FR"/>
        </w:rPr>
        <w:t>’</w:t>
      </w:r>
      <w:r w:rsidRPr="008C5A96">
        <w:rPr>
          <w:lang w:val="fr-FR"/>
        </w:rPr>
        <w:t>auteur n</w:t>
      </w:r>
      <w:r w:rsidR="00BE5FF0">
        <w:rPr>
          <w:lang w:val="fr-FR"/>
        </w:rPr>
        <w:t>’</w:t>
      </w:r>
      <w:r w:rsidRPr="008C5A96">
        <w:rPr>
          <w:lang w:val="fr-FR"/>
        </w:rPr>
        <w:t xml:space="preserve">avait pas porté plainte </w:t>
      </w:r>
      <w:r>
        <w:rPr>
          <w:lang w:val="fr-FR"/>
        </w:rPr>
        <w:t>pour</w:t>
      </w:r>
      <w:r w:rsidRPr="008C5A96">
        <w:rPr>
          <w:lang w:val="fr-FR"/>
        </w:rPr>
        <w:t xml:space="preserve"> cet événement, on ne pouvait pas conclure qu</w:t>
      </w:r>
      <w:r w:rsidR="00BE5FF0">
        <w:rPr>
          <w:lang w:val="fr-FR"/>
        </w:rPr>
        <w:t>’</w:t>
      </w:r>
      <w:r w:rsidRPr="008C5A96">
        <w:rPr>
          <w:lang w:val="fr-FR"/>
        </w:rPr>
        <w:t>elle courait un danger du fait de la disparition de sa compagne. À propos des allégations d</w:t>
      </w:r>
      <w:r w:rsidR="00BE5FF0">
        <w:rPr>
          <w:lang w:val="fr-FR"/>
        </w:rPr>
        <w:t>’</w:t>
      </w:r>
      <w:r w:rsidRPr="008C5A96">
        <w:rPr>
          <w:lang w:val="fr-FR"/>
        </w:rPr>
        <w:t>arrestation, de violences physiques et de viol infligés par la police, le tribunal a estimé, comme l</w:t>
      </w:r>
      <w:r w:rsidR="00BE5FF0">
        <w:rPr>
          <w:lang w:val="fr-FR"/>
        </w:rPr>
        <w:t>’</w:t>
      </w:r>
      <w:r w:rsidRPr="008C5A96">
        <w:rPr>
          <w:lang w:val="fr-FR"/>
        </w:rPr>
        <w:t xml:space="preserve">avait fait </w:t>
      </w:r>
      <w:r>
        <w:rPr>
          <w:lang w:val="fr-FR"/>
        </w:rPr>
        <w:t>l</w:t>
      </w:r>
      <w:r w:rsidR="00BE5FF0">
        <w:rPr>
          <w:lang w:val="fr-FR"/>
        </w:rPr>
        <w:t>’</w:t>
      </w:r>
      <w:r>
        <w:rPr>
          <w:lang w:val="fr-FR"/>
        </w:rPr>
        <w:t>Office</w:t>
      </w:r>
      <w:r w:rsidRPr="008C5A96">
        <w:rPr>
          <w:lang w:val="fr-FR"/>
        </w:rPr>
        <w:t xml:space="preserve"> des migrations, qu</w:t>
      </w:r>
      <w:r w:rsidR="00BE5FF0">
        <w:rPr>
          <w:lang w:val="fr-FR"/>
        </w:rPr>
        <w:t>’</w:t>
      </w:r>
      <w:r w:rsidRPr="008C5A96">
        <w:rPr>
          <w:lang w:val="fr-FR"/>
        </w:rPr>
        <w:t>il s</w:t>
      </w:r>
      <w:r w:rsidR="00BE5FF0">
        <w:rPr>
          <w:lang w:val="fr-FR"/>
        </w:rPr>
        <w:t>’</w:t>
      </w:r>
      <w:r w:rsidRPr="008C5A96">
        <w:rPr>
          <w:lang w:val="fr-FR"/>
        </w:rPr>
        <w:t>agissait d</w:t>
      </w:r>
      <w:r w:rsidR="00BE5FF0">
        <w:rPr>
          <w:lang w:val="fr-FR"/>
        </w:rPr>
        <w:t>’</w:t>
      </w:r>
      <w:r w:rsidRPr="008C5A96">
        <w:rPr>
          <w:lang w:val="fr-FR"/>
        </w:rPr>
        <w:t xml:space="preserve">actes criminels commis </w:t>
      </w:r>
      <w:r w:rsidR="00B505E8">
        <w:rPr>
          <w:lang w:val="fr-FR"/>
        </w:rPr>
        <w:t xml:space="preserve">individuellement </w:t>
      </w:r>
      <w:r w:rsidRPr="008C5A96">
        <w:rPr>
          <w:lang w:val="fr-FR"/>
        </w:rPr>
        <w:t>par des policiers et qu</w:t>
      </w:r>
      <w:r w:rsidR="00BE5FF0">
        <w:rPr>
          <w:lang w:val="fr-FR"/>
        </w:rPr>
        <w:t>’</w:t>
      </w:r>
      <w:r w:rsidRPr="008C5A96">
        <w:rPr>
          <w:lang w:val="fr-FR"/>
        </w:rPr>
        <w:t>il n</w:t>
      </w:r>
      <w:r w:rsidR="00BE5FF0">
        <w:rPr>
          <w:lang w:val="fr-FR"/>
        </w:rPr>
        <w:t>’</w:t>
      </w:r>
      <w:r w:rsidRPr="008C5A96">
        <w:rPr>
          <w:lang w:val="fr-FR"/>
        </w:rPr>
        <w:t>y avait pas de raison de penser que les autorités n</w:t>
      </w:r>
      <w:r w:rsidR="00BE5FF0">
        <w:rPr>
          <w:lang w:val="fr-FR"/>
        </w:rPr>
        <w:t>’</w:t>
      </w:r>
      <w:r w:rsidRPr="008C5A96">
        <w:rPr>
          <w:lang w:val="fr-FR"/>
        </w:rPr>
        <w:t xml:space="preserve">auraient pas enquêté sur ces faits et </w:t>
      </w:r>
      <w:r>
        <w:rPr>
          <w:lang w:val="fr-FR"/>
        </w:rPr>
        <w:t>puni</w:t>
      </w:r>
      <w:r w:rsidRPr="008C5A96">
        <w:rPr>
          <w:lang w:val="fr-FR"/>
        </w:rPr>
        <w:t xml:space="preserve"> les auteurs. Le </w:t>
      </w:r>
      <w:r>
        <w:rPr>
          <w:lang w:val="fr-FR"/>
        </w:rPr>
        <w:t>t</w:t>
      </w:r>
      <w:r w:rsidRPr="008C5A96">
        <w:rPr>
          <w:lang w:val="fr-FR"/>
        </w:rPr>
        <w:t>ribunal des migration</w:t>
      </w:r>
      <w:r>
        <w:rPr>
          <w:lang w:val="fr-FR"/>
        </w:rPr>
        <w:t>s</w:t>
      </w:r>
      <w:r w:rsidRPr="008C5A96">
        <w:rPr>
          <w:lang w:val="fr-FR"/>
        </w:rPr>
        <w:t xml:space="preserve"> a conclu que l</w:t>
      </w:r>
      <w:r w:rsidR="00BE5FF0">
        <w:rPr>
          <w:lang w:val="fr-FR"/>
        </w:rPr>
        <w:t>’</w:t>
      </w:r>
      <w:r w:rsidRPr="008C5A96">
        <w:rPr>
          <w:lang w:val="fr-FR"/>
        </w:rPr>
        <w:t>auteur n</w:t>
      </w:r>
      <w:r w:rsidR="00BE5FF0">
        <w:rPr>
          <w:lang w:val="fr-FR"/>
        </w:rPr>
        <w:t>’</w:t>
      </w:r>
      <w:r w:rsidRPr="008C5A96">
        <w:rPr>
          <w:lang w:val="fr-FR"/>
        </w:rPr>
        <w:t xml:space="preserve">avait pas </w:t>
      </w:r>
      <w:r>
        <w:rPr>
          <w:lang w:val="fr-FR"/>
        </w:rPr>
        <w:t>démontré</w:t>
      </w:r>
      <w:r w:rsidRPr="008C5A96">
        <w:rPr>
          <w:lang w:val="fr-FR"/>
        </w:rPr>
        <w:t xml:space="preserve"> qu</w:t>
      </w:r>
      <w:r w:rsidR="00BE5FF0">
        <w:rPr>
          <w:lang w:val="fr-FR"/>
        </w:rPr>
        <w:t>’</w:t>
      </w:r>
      <w:r w:rsidRPr="008C5A96">
        <w:rPr>
          <w:lang w:val="fr-FR"/>
        </w:rPr>
        <w:t>elle risquait d</w:t>
      </w:r>
      <w:r w:rsidR="00BE5FF0">
        <w:rPr>
          <w:lang w:val="fr-FR"/>
        </w:rPr>
        <w:t>’</w:t>
      </w:r>
      <w:r w:rsidRPr="008C5A96">
        <w:rPr>
          <w:lang w:val="fr-FR"/>
        </w:rPr>
        <w:t>être persécutée si elle était renvoyée au</w:t>
      </w:r>
      <w:r>
        <w:rPr>
          <w:lang w:val="fr-FR"/>
        </w:rPr>
        <w:t> </w:t>
      </w:r>
      <w:r w:rsidRPr="008C5A96">
        <w:rPr>
          <w:lang w:val="fr-FR"/>
        </w:rPr>
        <w:t>Bangladesh.</w:t>
      </w:r>
    </w:p>
    <w:p w:rsidR="008A492C" w:rsidRPr="008C5A96" w:rsidRDefault="008A492C" w:rsidP="008A492C">
      <w:pPr>
        <w:pStyle w:val="SingleTxtG"/>
        <w:rPr>
          <w:lang w:val="fr-FR"/>
        </w:rPr>
      </w:pPr>
      <w:r w:rsidRPr="008C5A96">
        <w:rPr>
          <w:lang w:val="fr-FR"/>
        </w:rPr>
        <w:t>2.7</w:t>
      </w:r>
      <w:r w:rsidRPr="008C5A96">
        <w:rPr>
          <w:lang w:val="fr-FR"/>
        </w:rPr>
        <w:tab/>
        <w:t>L</w:t>
      </w:r>
      <w:r w:rsidR="00BE5FF0">
        <w:rPr>
          <w:lang w:val="fr-FR"/>
        </w:rPr>
        <w:t>’</w:t>
      </w:r>
      <w:r w:rsidRPr="008C5A96">
        <w:rPr>
          <w:lang w:val="fr-FR"/>
        </w:rPr>
        <w:t xml:space="preserve">auteur a </w:t>
      </w:r>
      <w:r w:rsidR="00B505E8">
        <w:rPr>
          <w:lang w:val="fr-FR"/>
        </w:rPr>
        <w:t xml:space="preserve">déposé </w:t>
      </w:r>
      <w:r w:rsidRPr="008C5A96">
        <w:rPr>
          <w:lang w:val="fr-FR"/>
        </w:rPr>
        <w:t xml:space="preserve">une demande </w:t>
      </w:r>
      <w:r>
        <w:rPr>
          <w:lang w:val="fr-FR"/>
        </w:rPr>
        <w:t>d</w:t>
      </w:r>
      <w:r w:rsidR="00BE5FF0">
        <w:rPr>
          <w:lang w:val="fr-FR"/>
        </w:rPr>
        <w:t>’</w:t>
      </w:r>
      <w:r>
        <w:rPr>
          <w:lang w:val="fr-FR"/>
        </w:rPr>
        <w:t>autorisation de faire</w:t>
      </w:r>
      <w:r w:rsidRPr="008C5A96">
        <w:rPr>
          <w:lang w:val="fr-FR"/>
        </w:rPr>
        <w:t xml:space="preserve"> appel auprès de la Cour d</w:t>
      </w:r>
      <w:r w:rsidR="00BE5FF0">
        <w:rPr>
          <w:lang w:val="fr-FR"/>
        </w:rPr>
        <w:t>’</w:t>
      </w:r>
      <w:r w:rsidRPr="008C5A96">
        <w:rPr>
          <w:lang w:val="fr-FR"/>
        </w:rPr>
        <w:t xml:space="preserve">appel des migrations, qui </w:t>
      </w:r>
      <w:r>
        <w:rPr>
          <w:lang w:val="fr-FR"/>
        </w:rPr>
        <w:t>l</w:t>
      </w:r>
      <w:r w:rsidR="00BE5FF0">
        <w:rPr>
          <w:lang w:val="fr-FR"/>
        </w:rPr>
        <w:t>’</w:t>
      </w:r>
      <w:r w:rsidRPr="008C5A96">
        <w:rPr>
          <w:lang w:val="fr-FR"/>
        </w:rPr>
        <w:t>a rejeté</w:t>
      </w:r>
      <w:r>
        <w:rPr>
          <w:lang w:val="fr-FR"/>
        </w:rPr>
        <w:t>e</w:t>
      </w:r>
      <w:r w:rsidRPr="008C5A96">
        <w:rPr>
          <w:lang w:val="fr-FR"/>
        </w:rPr>
        <w:t xml:space="preserve"> </w:t>
      </w:r>
      <w:r>
        <w:rPr>
          <w:lang w:val="fr-FR"/>
        </w:rPr>
        <w:t>le 5 </w:t>
      </w:r>
      <w:r w:rsidRPr="008C5A96">
        <w:rPr>
          <w:lang w:val="fr-FR"/>
        </w:rPr>
        <w:t>mai 2010.</w:t>
      </w:r>
    </w:p>
    <w:p w:rsidR="008A492C" w:rsidRPr="008C5A96" w:rsidRDefault="008A492C" w:rsidP="008A492C">
      <w:pPr>
        <w:pStyle w:val="SingleTxtG"/>
        <w:rPr>
          <w:lang w:val="fr-FR"/>
        </w:rPr>
      </w:pPr>
      <w:r w:rsidRPr="008C5A96">
        <w:rPr>
          <w:lang w:val="fr-FR"/>
        </w:rPr>
        <w:t>2.8</w:t>
      </w:r>
      <w:r w:rsidRPr="008C5A96">
        <w:rPr>
          <w:lang w:val="fr-FR"/>
        </w:rPr>
        <w:tab/>
        <w:t>L</w:t>
      </w:r>
      <w:r w:rsidR="00BE5FF0">
        <w:rPr>
          <w:lang w:val="fr-FR"/>
        </w:rPr>
        <w:t>’</w:t>
      </w:r>
      <w:r w:rsidRPr="008C5A96">
        <w:rPr>
          <w:lang w:val="fr-FR"/>
        </w:rPr>
        <w:t>état psychologique de l</w:t>
      </w:r>
      <w:r w:rsidR="00BE5FF0">
        <w:rPr>
          <w:lang w:val="fr-FR"/>
        </w:rPr>
        <w:t>’</w:t>
      </w:r>
      <w:r w:rsidRPr="008C5A96">
        <w:rPr>
          <w:lang w:val="fr-FR"/>
        </w:rPr>
        <w:t>auteur s</w:t>
      </w:r>
      <w:r w:rsidR="00BE5FF0">
        <w:rPr>
          <w:lang w:val="fr-FR"/>
        </w:rPr>
        <w:t>’</w:t>
      </w:r>
      <w:r w:rsidRPr="008C5A96">
        <w:rPr>
          <w:lang w:val="fr-FR"/>
        </w:rPr>
        <w:t>est dégradé après qu</w:t>
      </w:r>
      <w:r w:rsidR="00BE5FF0">
        <w:rPr>
          <w:lang w:val="fr-FR"/>
        </w:rPr>
        <w:t>’</w:t>
      </w:r>
      <w:r w:rsidRPr="008C5A96">
        <w:rPr>
          <w:lang w:val="fr-FR"/>
        </w:rPr>
        <w:t xml:space="preserve">elle a </w:t>
      </w:r>
      <w:r w:rsidR="00B505E8">
        <w:rPr>
          <w:lang w:val="fr-FR"/>
        </w:rPr>
        <w:t xml:space="preserve">appris </w:t>
      </w:r>
      <w:r w:rsidRPr="008C5A96">
        <w:rPr>
          <w:lang w:val="fr-FR"/>
        </w:rPr>
        <w:t xml:space="preserve">la décision </w:t>
      </w:r>
      <w:r>
        <w:rPr>
          <w:lang w:val="fr-FR"/>
        </w:rPr>
        <w:t>d</w:t>
      </w:r>
      <w:r w:rsidRPr="008C5A96">
        <w:rPr>
          <w:lang w:val="fr-FR"/>
        </w:rPr>
        <w:t>es services de l</w:t>
      </w:r>
      <w:r w:rsidR="00BE5FF0">
        <w:rPr>
          <w:lang w:val="fr-FR"/>
        </w:rPr>
        <w:t>’</w:t>
      </w:r>
      <w:r w:rsidRPr="008C5A96">
        <w:rPr>
          <w:lang w:val="fr-FR"/>
        </w:rPr>
        <w:t>immigration</w:t>
      </w:r>
      <w:r>
        <w:rPr>
          <w:lang w:val="fr-FR"/>
        </w:rPr>
        <w:t xml:space="preserve"> </w:t>
      </w:r>
      <w:r w:rsidRPr="003B36AF">
        <w:rPr>
          <w:lang w:val="fr-FR"/>
        </w:rPr>
        <w:t>de la renvoyer. Elle</w:t>
      </w:r>
      <w:r w:rsidRPr="008C5A96">
        <w:rPr>
          <w:lang w:val="fr-FR"/>
        </w:rPr>
        <w:t xml:space="preserve"> a été hospitalisée à six reprises </w:t>
      </w:r>
      <w:r>
        <w:rPr>
          <w:lang w:val="fr-FR"/>
        </w:rPr>
        <w:t>pour</w:t>
      </w:r>
      <w:r w:rsidRPr="008C5A96">
        <w:rPr>
          <w:lang w:val="fr-FR"/>
        </w:rPr>
        <w:t xml:space="preserve"> dépression </w:t>
      </w:r>
      <w:r>
        <w:rPr>
          <w:lang w:val="fr-FR"/>
        </w:rPr>
        <w:t>profonde</w:t>
      </w:r>
      <w:r w:rsidRPr="008C5A96">
        <w:rPr>
          <w:lang w:val="fr-FR"/>
        </w:rPr>
        <w:t xml:space="preserve"> et un risque de suicide. Le 24 février 2011, l</w:t>
      </w:r>
      <w:r w:rsidR="00BE5FF0">
        <w:rPr>
          <w:lang w:val="fr-FR"/>
        </w:rPr>
        <w:t>’</w:t>
      </w:r>
      <w:r w:rsidRPr="008C5A96">
        <w:rPr>
          <w:lang w:val="fr-FR"/>
        </w:rPr>
        <w:t>auteur s</w:t>
      </w:r>
      <w:r w:rsidR="00BE5FF0">
        <w:rPr>
          <w:lang w:val="fr-FR"/>
        </w:rPr>
        <w:t>’</w:t>
      </w:r>
      <w:r w:rsidRPr="008C5A96">
        <w:rPr>
          <w:lang w:val="fr-FR"/>
        </w:rPr>
        <w:t>est adressé</w:t>
      </w:r>
      <w:r>
        <w:rPr>
          <w:lang w:val="fr-FR"/>
        </w:rPr>
        <w:t>e</w:t>
      </w:r>
      <w:r w:rsidRPr="008C5A96">
        <w:rPr>
          <w:lang w:val="fr-FR"/>
        </w:rPr>
        <w:t xml:space="preserve"> </w:t>
      </w:r>
      <w:r>
        <w:rPr>
          <w:lang w:val="fr-FR"/>
        </w:rPr>
        <w:t>à l</w:t>
      </w:r>
      <w:r w:rsidR="00BE5FF0">
        <w:rPr>
          <w:lang w:val="fr-FR"/>
        </w:rPr>
        <w:t>’</w:t>
      </w:r>
      <w:r>
        <w:rPr>
          <w:lang w:val="fr-FR"/>
        </w:rPr>
        <w:t>Office</w:t>
      </w:r>
      <w:r w:rsidRPr="008C5A96">
        <w:rPr>
          <w:lang w:val="fr-FR"/>
        </w:rPr>
        <w:t xml:space="preserve"> des migrations en invoquant les articles 18 et 19 du chapitre 12 de la loi relative aux étrangers</w:t>
      </w:r>
      <w:r>
        <w:rPr>
          <w:lang w:val="fr-FR"/>
        </w:rPr>
        <w:t xml:space="preserve"> pour demander la non</w:t>
      </w:r>
      <w:r>
        <w:rPr>
          <w:lang w:val="fr-FR"/>
        </w:rPr>
        <w:noBreakHyphen/>
        <w:t>exécution de l</w:t>
      </w:r>
      <w:r w:rsidR="00BE5FF0">
        <w:rPr>
          <w:lang w:val="fr-FR"/>
        </w:rPr>
        <w:t>’</w:t>
      </w:r>
      <w:r>
        <w:rPr>
          <w:lang w:val="fr-FR"/>
        </w:rPr>
        <w:t>arrêté</w:t>
      </w:r>
      <w:r w:rsidRPr="008C5A96">
        <w:rPr>
          <w:lang w:val="fr-FR"/>
        </w:rPr>
        <w:t xml:space="preserve"> d</w:t>
      </w:r>
      <w:r w:rsidR="00BE5FF0">
        <w:rPr>
          <w:lang w:val="fr-FR"/>
        </w:rPr>
        <w:t>’</w:t>
      </w:r>
      <w:r w:rsidRPr="008C5A96">
        <w:rPr>
          <w:lang w:val="fr-FR"/>
        </w:rPr>
        <w:t xml:space="preserve">expulsion pour raisons médicales. Elle </w:t>
      </w:r>
      <w:r>
        <w:rPr>
          <w:lang w:val="fr-FR"/>
        </w:rPr>
        <w:t>faisait valoir</w:t>
      </w:r>
      <w:r w:rsidRPr="008C5A96">
        <w:rPr>
          <w:lang w:val="fr-FR"/>
        </w:rPr>
        <w:t xml:space="preserve"> que lors des précédents entretiens</w:t>
      </w:r>
      <w:r w:rsidR="00B505E8">
        <w:rPr>
          <w:lang w:val="fr-FR"/>
        </w:rPr>
        <w:t xml:space="preserve"> avec l</w:t>
      </w:r>
      <w:r w:rsidR="00BE5FF0">
        <w:rPr>
          <w:lang w:val="fr-FR"/>
        </w:rPr>
        <w:t>’</w:t>
      </w:r>
      <w:r w:rsidR="00B505E8">
        <w:rPr>
          <w:lang w:val="fr-FR"/>
        </w:rPr>
        <w:t>Office</w:t>
      </w:r>
      <w:r w:rsidRPr="008C5A96">
        <w:rPr>
          <w:lang w:val="fr-FR"/>
        </w:rPr>
        <w:t xml:space="preserve">, elle </w:t>
      </w:r>
      <w:r>
        <w:rPr>
          <w:lang w:val="fr-FR"/>
        </w:rPr>
        <w:t>avait honte</w:t>
      </w:r>
      <w:r w:rsidRPr="008C5A96">
        <w:rPr>
          <w:lang w:val="fr-FR"/>
        </w:rPr>
        <w:t>, en particulier en raison de la présence d</w:t>
      </w:r>
      <w:r w:rsidR="00BE5FF0">
        <w:rPr>
          <w:lang w:val="fr-FR"/>
        </w:rPr>
        <w:t>’</w:t>
      </w:r>
      <w:r w:rsidRPr="008C5A96">
        <w:rPr>
          <w:lang w:val="fr-FR"/>
        </w:rPr>
        <w:t>hommes, et qu</w:t>
      </w:r>
      <w:r w:rsidR="00BE5FF0">
        <w:rPr>
          <w:lang w:val="fr-FR"/>
        </w:rPr>
        <w:t>’</w:t>
      </w:r>
      <w:r w:rsidRPr="008C5A96">
        <w:rPr>
          <w:lang w:val="fr-FR"/>
        </w:rPr>
        <w:t xml:space="preserve">il y avait aussi eu des malentendus résultant </w:t>
      </w:r>
      <w:r>
        <w:rPr>
          <w:lang w:val="fr-FR"/>
        </w:rPr>
        <w:t>de l</w:t>
      </w:r>
      <w:r w:rsidR="00BE5FF0">
        <w:rPr>
          <w:lang w:val="fr-FR"/>
        </w:rPr>
        <w:t>’</w:t>
      </w:r>
      <w:r w:rsidRPr="008C5A96">
        <w:rPr>
          <w:lang w:val="fr-FR"/>
        </w:rPr>
        <w:t xml:space="preserve">interprétation. Le 9 mars 2011, </w:t>
      </w:r>
      <w:r>
        <w:rPr>
          <w:lang w:val="fr-FR"/>
        </w:rPr>
        <w:t>l</w:t>
      </w:r>
      <w:r w:rsidR="00BE5FF0">
        <w:rPr>
          <w:lang w:val="fr-FR"/>
        </w:rPr>
        <w:t>’</w:t>
      </w:r>
      <w:r>
        <w:rPr>
          <w:lang w:val="fr-FR"/>
        </w:rPr>
        <w:t>Office</w:t>
      </w:r>
      <w:r w:rsidRPr="008C5A96">
        <w:rPr>
          <w:lang w:val="fr-FR"/>
        </w:rPr>
        <w:t xml:space="preserve"> des migra</w:t>
      </w:r>
      <w:r>
        <w:rPr>
          <w:lang w:val="fr-FR"/>
        </w:rPr>
        <w:t>tions a rejeté sa demande. Il estimait</w:t>
      </w:r>
      <w:r w:rsidRPr="008C5A96">
        <w:rPr>
          <w:lang w:val="fr-FR"/>
        </w:rPr>
        <w:t xml:space="preserve"> que l</w:t>
      </w:r>
      <w:r w:rsidR="00BE5FF0">
        <w:rPr>
          <w:lang w:val="fr-FR"/>
        </w:rPr>
        <w:t>’</w:t>
      </w:r>
      <w:r w:rsidRPr="008C5A96">
        <w:rPr>
          <w:lang w:val="fr-FR"/>
        </w:rPr>
        <w:t>état de santé de l</w:t>
      </w:r>
      <w:r w:rsidR="00BE5FF0">
        <w:rPr>
          <w:lang w:val="fr-FR"/>
        </w:rPr>
        <w:t>’</w:t>
      </w:r>
      <w:r w:rsidRPr="008C5A96">
        <w:rPr>
          <w:lang w:val="fr-FR"/>
        </w:rPr>
        <w:t xml:space="preserve">auteur avait déjà été pris en considération </w:t>
      </w:r>
      <w:r w:rsidR="00B505E8">
        <w:rPr>
          <w:lang w:val="fr-FR"/>
        </w:rPr>
        <w:t xml:space="preserve">à la fois </w:t>
      </w:r>
      <w:r w:rsidRPr="008C5A96">
        <w:rPr>
          <w:lang w:val="fr-FR"/>
        </w:rPr>
        <w:t xml:space="preserve">par </w:t>
      </w:r>
      <w:r>
        <w:rPr>
          <w:lang w:val="fr-FR"/>
        </w:rPr>
        <w:t>lui-même et par le tribunal des</w:t>
      </w:r>
      <w:r w:rsidRPr="008C5A96">
        <w:rPr>
          <w:lang w:val="fr-FR"/>
        </w:rPr>
        <w:t xml:space="preserve"> migration</w:t>
      </w:r>
      <w:r>
        <w:rPr>
          <w:lang w:val="fr-FR"/>
        </w:rPr>
        <w:t>s</w:t>
      </w:r>
      <w:r w:rsidRPr="008C5A96">
        <w:rPr>
          <w:lang w:val="fr-FR"/>
        </w:rPr>
        <w:t>. De plus, l</w:t>
      </w:r>
      <w:r w:rsidR="00BE5FF0">
        <w:rPr>
          <w:lang w:val="fr-FR"/>
        </w:rPr>
        <w:t>’</w:t>
      </w:r>
      <w:r w:rsidRPr="008C5A96">
        <w:rPr>
          <w:lang w:val="fr-FR"/>
        </w:rPr>
        <w:t>article 18 du chapitre </w:t>
      </w:r>
      <w:r w:rsidR="00B505E8">
        <w:rPr>
          <w:lang w:val="fr-FR"/>
        </w:rPr>
        <w:t>1</w:t>
      </w:r>
      <w:r w:rsidRPr="008C5A96">
        <w:rPr>
          <w:lang w:val="fr-FR"/>
        </w:rPr>
        <w:t>2 de la loi rel</w:t>
      </w:r>
      <w:r w:rsidR="00B505E8">
        <w:rPr>
          <w:lang w:val="fr-FR"/>
        </w:rPr>
        <w:t>ative aux étrangers s</w:t>
      </w:r>
      <w:r w:rsidR="00BE5FF0">
        <w:rPr>
          <w:lang w:val="fr-FR"/>
        </w:rPr>
        <w:t>’</w:t>
      </w:r>
      <w:r w:rsidR="00B505E8">
        <w:rPr>
          <w:lang w:val="fr-FR"/>
        </w:rPr>
        <w:t>applique</w:t>
      </w:r>
      <w:r w:rsidRPr="008C5A96">
        <w:rPr>
          <w:lang w:val="fr-FR"/>
        </w:rPr>
        <w:t xml:space="preserve"> aux cas de personnes dont l</w:t>
      </w:r>
      <w:r w:rsidR="00BE5FF0">
        <w:rPr>
          <w:lang w:val="fr-FR"/>
        </w:rPr>
        <w:t>’</w:t>
      </w:r>
      <w:r w:rsidRPr="008C5A96">
        <w:rPr>
          <w:lang w:val="fr-FR"/>
        </w:rPr>
        <w:t xml:space="preserve">état de santé </w:t>
      </w:r>
      <w:r w:rsidR="00B505E8">
        <w:rPr>
          <w:lang w:val="fr-FR"/>
        </w:rPr>
        <w:t xml:space="preserve">est </w:t>
      </w:r>
      <w:r w:rsidRPr="008C5A96">
        <w:rPr>
          <w:lang w:val="fr-FR"/>
        </w:rPr>
        <w:t>d</w:t>
      </w:r>
      <w:r w:rsidR="00BE5FF0">
        <w:rPr>
          <w:lang w:val="fr-FR"/>
        </w:rPr>
        <w:t>’</w:t>
      </w:r>
      <w:r w:rsidRPr="008C5A96">
        <w:rPr>
          <w:lang w:val="fr-FR"/>
        </w:rPr>
        <w:t xml:space="preserve">une gravité telle que leur renvoi </w:t>
      </w:r>
      <w:r w:rsidR="00B505E8">
        <w:rPr>
          <w:lang w:val="fr-FR"/>
        </w:rPr>
        <w:t xml:space="preserve">est </w:t>
      </w:r>
      <w:r w:rsidRPr="008C5A96">
        <w:rPr>
          <w:lang w:val="fr-FR"/>
        </w:rPr>
        <w:t xml:space="preserve">en principe impossible. </w:t>
      </w:r>
    </w:p>
    <w:p w:rsidR="008A492C" w:rsidRPr="008C5A96" w:rsidRDefault="008A492C" w:rsidP="008A492C">
      <w:pPr>
        <w:pStyle w:val="SingleTxtG"/>
        <w:rPr>
          <w:lang w:val="fr-FR"/>
        </w:rPr>
      </w:pPr>
      <w:r w:rsidRPr="008C5A96">
        <w:rPr>
          <w:lang w:val="fr-FR"/>
        </w:rPr>
        <w:t>2.9</w:t>
      </w:r>
      <w:r w:rsidRPr="008C5A96">
        <w:rPr>
          <w:lang w:val="fr-FR"/>
        </w:rPr>
        <w:tab/>
        <w:t>En octobre 2011, l</w:t>
      </w:r>
      <w:r w:rsidR="00BE5FF0">
        <w:rPr>
          <w:lang w:val="fr-FR"/>
        </w:rPr>
        <w:t>’</w:t>
      </w:r>
      <w:r w:rsidRPr="008C5A96">
        <w:rPr>
          <w:lang w:val="fr-FR"/>
        </w:rPr>
        <w:t xml:space="preserve">auteur a soumis une deuxième demande </w:t>
      </w:r>
      <w:r>
        <w:rPr>
          <w:lang w:val="fr-FR"/>
        </w:rPr>
        <w:t>à l</w:t>
      </w:r>
      <w:r w:rsidR="00BE5FF0">
        <w:rPr>
          <w:lang w:val="fr-FR"/>
        </w:rPr>
        <w:t>’</w:t>
      </w:r>
      <w:r>
        <w:rPr>
          <w:lang w:val="fr-FR"/>
        </w:rPr>
        <w:t>Office</w:t>
      </w:r>
      <w:r w:rsidRPr="008C5A96">
        <w:rPr>
          <w:lang w:val="fr-FR"/>
        </w:rPr>
        <w:t xml:space="preserve"> des migrations, faisant valoir de nouvelles circonstances à l</w:t>
      </w:r>
      <w:r w:rsidR="00BE5FF0">
        <w:rPr>
          <w:lang w:val="fr-FR"/>
        </w:rPr>
        <w:t>’</w:t>
      </w:r>
      <w:r w:rsidRPr="008C5A96">
        <w:rPr>
          <w:lang w:val="fr-FR"/>
        </w:rPr>
        <w:t xml:space="preserve">appui des allégations </w:t>
      </w:r>
      <w:r>
        <w:rPr>
          <w:lang w:val="fr-FR"/>
        </w:rPr>
        <w:t>de risque</w:t>
      </w:r>
      <w:r w:rsidRPr="008C5A96">
        <w:rPr>
          <w:lang w:val="fr-FR"/>
        </w:rPr>
        <w:t xml:space="preserve"> </w:t>
      </w:r>
      <w:r>
        <w:rPr>
          <w:lang w:val="fr-FR"/>
        </w:rPr>
        <w:t>de persécution</w:t>
      </w:r>
      <w:r w:rsidRPr="008C5A96">
        <w:rPr>
          <w:lang w:val="fr-FR"/>
        </w:rPr>
        <w:t xml:space="preserve"> ou </w:t>
      </w:r>
      <w:r>
        <w:rPr>
          <w:lang w:val="fr-FR"/>
        </w:rPr>
        <w:t>de torture ou</w:t>
      </w:r>
      <w:r w:rsidRPr="008C5A96">
        <w:rPr>
          <w:lang w:val="fr-FR"/>
        </w:rPr>
        <w:t xml:space="preserve"> d</w:t>
      </w:r>
      <w:r w:rsidR="00BE5FF0">
        <w:rPr>
          <w:lang w:val="fr-FR"/>
        </w:rPr>
        <w:t>’</w:t>
      </w:r>
      <w:r w:rsidRPr="008C5A96">
        <w:rPr>
          <w:lang w:val="fr-FR"/>
        </w:rPr>
        <w:t xml:space="preserve">autres peines ou traitements cruels, inhumains ou dégradants en cas de renvoi au Bangladesh. Elle présentait à titre de preuve </w:t>
      </w:r>
      <w:r w:rsidR="00D03B55">
        <w:rPr>
          <w:lang w:val="fr-FR"/>
        </w:rPr>
        <w:t xml:space="preserve">une </w:t>
      </w:r>
      <w:r w:rsidRPr="008C5A96">
        <w:rPr>
          <w:lang w:val="fr-FR"/>
        </w:rPr>
        <w:t>copie d</w:t>
      </w:r>
      <w:r w:rsidR="00BE5FF0">
        <w:rPr>
          <w:lang w:val="fr-FR"/>
        </w:rPr>
        <w:t>’</w:t>
      </w:r>
      <w:r w:rsidRPr="008C5A96">
        <w:rPr>
          <w:lang w:val="fr-FR"/>
        </w:rPr>
        <w:t xml:space="preserve">une déposition faite au poste </w:t>
      </w:r>
      <w:r w:rsidR="00D03B55">
        <w:rPr>
          <w:lang w:val="fr-FR"/>
        </w:rPr>
        <w:t>de police de Cerani Gong, à Dacc</w:t>
      </w:r>
      <w:r w:rsidRPr="008C5A96">
        <w:rPr>
          <w:lang w:val="fr-FR"/>
        </w:rPr>
        <w:t>a, par le frère de la compagne de l</w:t>
      </w:r>
      <w:r w:rsidR="00BE5FF0">
        <w:rPr>
          <w:lang w:val="fr-FR"/>
        </w:rPr>
        <w:t>’</w:t>
      </w:r>
      <w:r w:rsidRPr="008C5A96">
        <w:rPr>
          <w:lang w:val="fr-FR"/>
        </w:rPr>
        <w:t>auteur au sujet de la disparition de celle-ci</w:t>
      </w:r>
      <w:r>
        <w:rPr>
          <w:lang w:val="fr-FR"/>
        </w:rPr>
        <w:t xml:space="preserve">. Elle </w:t>
      </w:r>
      <w:r w:rsidR="00D03B55">
        <w:rPr>
          <w:lang w:val="fr-FR"/>
        </w:rPr>
        <w:t xml:space="preserve">présentait </w:t>
      </w:r>
      <w:r w:rsidRPr="008C5A96">
        <w:rPr>
          <w:lang w:val="fr-FR"/>
        </w:rPr>
        <w:t xml:space="preserve">également un article paru dans le journal </w:t>
      </w:r>
      <w:r w:rsidRPr="0035319F">
        <w:rPr>
          <w:i/>
          <w:lang w:val="fr-FR"/>
        </w:rPr>
        <w:t>Dainik Nowroj</w:t>
      </w:r>
      <w:r w:rsidRPr="008C5A96">
        <w:rPr>
          <w:lang w:val="fr-FR"/>
        </w:rPr>
        <w:t xml:space="preserve"> du 13 avril 2011</w:t>
      </w:r>
      <w:r w:rsidR="00D03B55">
        <w:rPr>
          <w:lang w:val="fr-FR"/>
        </w:rPr>
        <w:t>,</w:t>
      </w:r>
      <w:r w:rsidRPr="008C5A96">
        <w:rPr>
          <w:lang w:val="fr-FR"/>
        </w:rPr>
        <w:t xml:space="preserve"> qui </w:t>
      </w:r>
      <w:r w:rsidR="00D03B55">
        <w:rPr>
          <w:lang w:val="fr-FR"/>
        </w:rPr>
        <w:t>traite de l</w:t>
      </w:r>
      <w:r w:rsidR="00BE5FF0">
        <w:rPr>
          <w:lang w:val="fr-FR"/>
        </w:rPr>
        <w:t>’</w:t>
      </w:r>
      <w:r w:rsidR="00E87B5D">
        <w:rPr>
          <w:lang w:val="fr-FR"/>
        </w:rPr>
        <w:t>homosexualité au Bangladesh. Le </w:t>
      </w:r>
      <w:r w:rsidR="00D03B55">
        <w:rPr>
          <w:lang w:val="fr-FR"/>
        </w:rPr>
        <w:t>journaliste faisait référence à un article de 2008, qui évoquait la relation de l</w:t>
      </w:r>
      <w:r w:rsidR="00BE5FF0">
        <w:rPr>
          <w:lang w:val="fr-FR"/>
        </w:rPr>
        <w:t>’</w:t>
      </w:r>
      <w:r w:rsidR="00D03B55">
        <w:rPr>
          <w:lang w:val="fr-FR"/>
        </w:rPr>
        <w:t xml:space="preserve">auteur avec </w:t>
      </w:r>
      <w:r w:rsidR="00D03B55" w:rsidRPr="00D03B55">
        <w:rPr>
          <w:lang w:val="fr-FR"/>
        </w:rPr>
        <w:t>M</w:t>
      </w:r>
      <w:r w:rsidR="00D03B55" w:rsidRPr="00D03B55">
        <w:rPr>
          <w:vertAlign w:val="superscript"/>
          <w:lang w:val="fr-FR"/>
        </w:rPr>
        <w:t>me</w:t>
      </w:r>
      <w:r w:rsidR="00D03B55" w:rsidRPr="00D03B55">
        <w:rPr>
          <w:lang w:val="fr-FR"/>
        </w:rPr>
        <w:t> </w:t>
      </w:r>
      <w:r w:rsidR="00D03B55">
        <w:rPr>
          <w:lang w:val="fr-FR"/>
        </w:rPr>
        <w:t>P. A. Il signalait que l</w:t>
      </w:r>
      <w:r w:rsidR="00BE5FF0">
        <w:rPr>
          <w:lang w:val="fr-FR"/>
        </w:rPr>
        <w:t>’</w:t>
      </w:r>
      <w:r w:rsidR="00D03B55">
        <w:rPr>
          <w:lang w:val="fr-FR"/>
        </w:rPr>
        <w:t>article précédent avait reçu énormément d</w:t>
      </w:r>
      <w:r w:rsidR="00BE5FF0">
        <w:rPr>
          <w:lang w:val="fr-FR"/>
        </w:rPr>
        <w:t>’</w:t>
      </w:r>
      <w:r w:rsidR="00D03B55">
        <w:rPr>
          <w:lang w:val="fr-FR"/>
        </w:rPr>
        <w:t>écho dans le pays, au point que l</w:t>
      </w:r>
      <w:r w:rsidR="00BE5FF0">
        <w:rPr>
          <w:lang w:val="fr-FR"/>
        </w:rPr>
        <w:t>’</w:t>
      </w:r>
      <w:r w:rsidR="00D03B55">
        <w:rPr>
          <w:lang w:val="fr-FR"/>
        </w:rPr>
        <w:t>auteur et sa compagne avaient dû se cacher et personne ne savait où elles se trouvaient. Dans l</w:t>
      </w:r>
      <w:r w:rsidR="00BE5FF0">
        <w:rPr>
          <w:lang w:val="fr-FR"/>
        </w:rPr>
        <w:t>’</w:t>
      </w:r>
      <w:r w:rsidR="00D03B55">
        <w:rPr>
          <w:lang w:val="fr-FR"/>
        </w:rPr>
        <w:t>article de 2011 était cité l</w:t>
      </w:r>
      <w:r w:rsidR="00BE5FF0">
        <w:rPr>
          <w:lang w:val="fr-FR"/>
        </w:rPr>
        <w:t>’</w:t>
      </w:r>
      <w:r w:rsidR="006E3976">
        <w:rPr>
          <w:lang w:val="fr-FR"/>
        </w:rPr>
        <w:t>av</w:t>
      </w:r>
      <w:r w:rsidR="00D03B55">
        <w:rPr>
          <w:lang w:val="fr-FR"/>
        </w:rPr>
        <w:t>is d</w:t>
      </w:r>
      <w:r w:rsidR="00BE5FF0">
        <w:rPr>
          <w:lang w:val="fr-FR"/>
        </w:rPr>
        <w:t>’</w:t>
      </w:r>
      <w:r w:rsidR="00D03B55">
        <w:rPr>
          <w:lang w:val="fr-FR"/>
        </w:rPr>
        <w:t>un professeur de sociologie de l</w:t>
      </w:r>
      <w:r w:rsidR="00BE5FF0">
        <w:rPr>
          <w:lang w:val="fr-FR"/>
        </w:rPr>
        <w:t>’</w:t>
      </w:r>
      <w:r w:rsidR="00D03B55">
        <w:rPr>
          <w:lang w:val="fr-FR"/>
        </w:rPr>
        <w:t>Université de Dacca, qui déclarait que les relations comme celles que l</w:t>
      </w:r>
      <w:r w:rsidR="00BE5FF0">
        <w:rPr>
          <w:lang w:val="fr-FR"/>
        </w:rPr>
        <w:t>’</w:t>
      </w:r>
      <w:r w:rsidR="00D03B55">
        <w:rPr>
          <w:lang w:val="fr-FR"/>
        </w:rPr>
        <w:t>auteur entretenait avec sa compagne étaient le signe de l</w:t>
      </w:r>
      <w:r w:rsidR="00BE5FF0">
        <w:rPr>
          <w:lang w:val="fr-FR"/>
        </w:rPr>
        <w:t>’</w:t>
      </w:r>
      <w:r w:rsidR="00D03B55">
        <w:rPr>
          <w:lang w:val="fr-FR"/>
        </w:rPr>
        <w:t xml:space="preserve">influence négative de la culture occidentale dans la </w:t>
      </w:r>
      <w:r w:rsidR="0045523A">
        <w:rPr>
          <w:lang w:val="fr-FR"/>
        </w:rPr>
        <w:t>société</w:t>
      </w:r>
      <w:r w:rsidR="00D03B55">
        <w:rPr>
          <w:lang w:val="fr-FR"/>
        </w:rPr>
        <w:t xml:space="preserve"> bangladaise. L</w:t>
      </w:r>
      <w:r w:rsidR="00BE5FF0">
        <w:rPr>
          <w:lang w:val="fr-FR"/>
        </w:rPr>
        <w:t>’</w:t>
      </w:r>
      <w:r w:rsidR="00D03B55">
        <w:rPr>
          <w:lang w:val="fr-FR"/>
        </w:rPr>
        <w:t xml:space="preserve">auteur </w:t>
      </w:r>
      <w:r w:rsidRPr="008C5A96">
        <w:rPr>
          <w:lang w:val="fr-FR"/>
        </w:rPr>
        <w:t xml:space="preserve">présentait en outre un nouveau </w:t>
      </w:r>
      <w:r w:rsidR="00D03B55">
        <w:rPr>
          <w:lang w:val="fr-FR"/>
        </w:rPr>
        <w:t xml:space="preserve">rapport </w:t>
      </w:r>
      <w:r w:rsidRPr="008C5A96">
        <w:rPr>
          <w:lang w:val="fr-FR"/>
        </w:rPr>
        <w:t xml:space="preserve">médical qui </w:t>
      </w:r>
      <w:r>
        <w:rPr>
          <w:lang w:val="fr-FR"/>
        </w:rPr>
        <w:t>correspondait à son récit et confirmait</w:t>
      </w:r>
      <w:r w:rsidRPr="008C5A96">
        <w:rPr>
          <w:lang w:val="fr-FR"/>
        </w:rPr>
        <w:t xml:space="preserve"> qu</w:t>
      </w:r>
      <w:r w:rsidR="00BE5FF0">
        <w:rPr>
          <w:lang w:val="fr-FR"/>
        </w:rPr>
        <w:t>’</w:t>
      </w:r>
      <w:r w:rsidRPr="008C5A96">
        <w:rPr>
          <w:lang w:val="fr-FR"/>
        </w:rPr>
        <w:t xml:space="preserve">en raison de son orientation sexuelle, elle avait subi des violences physiques et psychologiques de la part de son mari, que </w:t>
      </w:r>
      <w:r>
        <w:rPr>
          <w:lang w:val="fr-FR"/>
        </w:rPr>
        <w:t>des policiers</w:t>
      </w:r>
      <w:r w:rsidRPr="008C5A96">
        <w:rPr>
          <w:lang w:val="fr-FR"/>
        </w:rPr>
        <w:t xml:space="preserve"> l</w:t>
      </w:r>
      <w:r w:rsidR="00BE5FF0">
        <w:rPr>
          <w:lang w:val="fr-FR"/>
        </w:rPr>
        <w:t>’</w:t>
      </w:r>
      <w:r w:rsidRPr="008C5A96">
        <w:rPr>
          <w:lang w:val="fr-FR"/>
        </w:rPr>
        <w:t>avai</w:t>
      </w:r>
      <w:r>
        <w:rPr>
          <w:lang w:val="fr-FR"/>
        </w:rPr>
        <w:t>en</w:t>
      </w:r>
      <w:r w:rsidRPr="008C5A96">
        <w:rPr>
          <w:lang w:val="fr-FR"/>
        </w:rPr>
        <w:t>t arrêtée, battue et violée, et que sa famille refusait tout contact avec elle. D</w:t>
      </w:r>
      <w:r w:rsidR="00BE5FF0">
        <w:rPr>
          <w:lang w:val="fr-FR"/>
        </w:rPr>
        <w:t>’</w:t>
      </w:r>
      <w:r w:rsidRPr="008C5A96">
        <w:rPr>
          <w:lang w:val="fr-FR"/>
        </w:rPr>
        <w:t xml:space="preserve">après </w:t>
      </w:r>
      <w:r w:rsidR="00D03B55">
        <w:rPr>
          <w:lang w:val="fr-FR"/>
        </w:rPr>
        <w:t>ce rapport</w:t>
      </w:r>
      <w:r w:rsidRPr="008C5A96">
        <w:rPr>
          <w:lang w:val="fr-FR"/>
        </w:rPr>
        <w:t>, l</w:t>
      </w:r>
      <w:r w:rsidR="00BE5FF0">
        <w:rPr>
          <w:lang w:val="fr-FR"/>
        </w:rPr>
        <w:t>’</w:t>
      </w:r>
      <w:r w:rsidRPr="008C5A96">
        <w:rPr>
          <w:lang w:val="fr-FR"/>
        </w:rPr>
        <w:t xml:space="preserve">auteur vivait dans </w:t>
      </w:r>
      <w:r>
        <w:rPr>
          <w:lang w:val="fr-FR"/>
        </w:rPr>
        <w:t>une</w:t>
      </w:r>
      <w:r w:rsidRPr="008C5A96">
        <w:rPr>
          <w:lang w:val="fr-FR"/>
        </w:rPr>
        <w:t xml:space="preserve"> peur </w:t>
      </w:r>
      <w:r>
        <w:rPr>
          <w:lang w:val="fr-FR"/>
        </w:rPr>
        <w:t xml:space="preserve">intense </w:t>
      </w:r>
      <w:r w:rsidRPr="008C5A96">
        <w:rPr>
          <w:lang w:val="fr-FR"/>
        </w:rPr>
        <w:t>et avait besoin d</w:t>
      </w:r>
      <w:r w:rsidR="00BE5FF0">
        <w:rPr>
          <w:lang w:val="fr-FR"/>
        </w:rPr>
        <w:t>’</w:t>
      </w:r>
      <w:r w:rsidRPr="008C5A96">
        <w:rPr>
          <w:lang w:val="fr-FR"/>
        </w:rPr>
        <w:t>un traitement médical et d</w:t>
      </w:r>
      <w:r w:rsidR="00BE5FF0">
        <w:rPr>
          <w:lang w:val="fr-FR"/>
        </w:rPr>
        <w:t>’</w:t>
      </w:r>
      <w:r w:rsidRPr="008C5A96">
        <w:rPr>
          <w:lang w:val="fr-FR"/>
        </w:rPr>
        <w:t>un suivi car elle avait subi un profond traumatisme et souffrait d</w:t>
      </w:r>
      <w:r w:rsidR="00BE5FF0">
        <w:rPr>
          <w:lang w:val="fr-FR"/>
        </w:rPr>
        <w:t>’</w:t>
      </w:r>
      <w:r w:rsidRPr="008C5A96">
        <w:rPr>
          <w:lang w:val="fr-FR"/>
        </w:rPr>
        <w:t xml:space="preserve">une dépression </w:t>
      </w:r>
      <w:r>
        <w:rPr>
          <w:lang w:val="fr-FR"/>
        </w:rPr>
        <w:t>sévère</w:t>
      </w:r>
      <w:r w:rsidRPr="008C5A96">
        <w:rPr>
          <w:lang w:val="fr-FR"/>
        </w:rPr>
        <w:t xml:space="preserve"> avec symptômes psychotiques</w:t>
      </w:r>
      <w:r w:rsidRPr="002E1DA7">
        <w:rPr>
          <w:rStyle w:val="FootnoteReference"/>
        </w:rPr>
        <w:footnoteReference w:id="5"/>
      </w:r>
      <w:r w:rsidRPr="008C5A96">
        <w:rPr>
          <w:lang w:val="fr-FR"/>
        </w:rPr>
        <w:t xml:space="preserve">. Enfin, </w:t>
      </w:r>
      <w:r w:rsidR="00237F7A">
        <w:rPr>
          <w:lang w:val="fr-FR"/>
        </w:rPr>
        <w:t>l</w:t>
      </w:r>
      <w:r w:rsidR="00BE5FF0">
        <w:rPr>
          <w:lang w:val="fr-FR"/>
        </w:rPr>
        <w:t>’</w:t>
      </w:r>
      <w:r w:rsidR="00237F7A">
        <w:rPr>
          <w:lang w:val="fr-FR"/>
        </w:rPr>
        <w:t xml:space="preserve">auteur </w:t>
      </w:r>
      <w:r w:rsidRPr="008C5A96">
        <w:rPr>
          <w:lang w:val="fr-FR"/>
        </w:rPr>
        <w:t>soumettait des rapports décrivant la situation des droits de l</w:t>
      </w:r>
      <w:r w:rsidR="00BE5FF0">
        <w:rPr>
          <w:lang w:val="fr-FR"/>
        </w:rPr>
        <w:t>’</w:t>
      </w:r>
      <w:r w:rsidRPr="008C5A96">
        <w:rPr>
          <w:lang w:val="fr-FR"/>
        </w:rPr>
        <w:t xml:space="preserve">homme au Bangladesh et les </w:t>
      </w:r>
      <w:r w:rsidR="00237F7A">
        <w:rPr>
          <w:lang w:val="fr-FR"/>
        </w:rPr>
        <w:t>risque</w:t>
      </w:r>
      <w:r w:rsidR="0045523A">
        <w:rPr>
          <w:lang w:val="fr-FR"/>
        </w:rPr>
        <w:t>s</w:t>
      </w:r>
      <w:r w:rsidR="00237F7A">
        <w:rPr>
          <w:lang w:val="fr-FR"/>
        </w:rPr>
        <w:t xml:space="preserve"> de persécution</w:t>
      </w:r>
      <w:r w:rsidRPr="008C5A96">
        <w:rPr>
          <w:lang w:val="fr-FR"/>
        </w:rPr>
        <w:t xml:space="preserve"> auxquels étaient exposés les </w:t>
      </w:r>
      <w:r w:rsidR="00237F7A">
        <w:rPr>
          <w:lang w:val="fr-FR"/>
        </w:rPr>
        <w:t>lesbiennes, gays, bisexuels et transgenres (</w:t>
      </w:r>
      <w:r w:rsidRPr="008C5A96">
        <w:rPr>
          <w:lang w:val="fr-FR"/>
        </w:rPr>
        <w:t>LGBT</w:t>
      </w:r>
      <w:r w:rsidR="00237F7A">
        <w:rPr>
          <w:lang w:val="fr-FR"/>
        </w:rPr>
        <w:t>)</w:t>
      </w:r>
      <w:r w:rsidR="001933DB">
        <w:rPr>
          <w:rStyle w:val="FootnoteReference"/>
        </w:rPr>
        <w:footnoteReference w:id="6"/>
      </w:r>
      <w:r w:rsidRPr="008C5A96">
        <w:rPr>
          <w:lang w:val="fr-FR"/>
        </w:rPr>
        <w:t>. Le 15 </w:t>
      </w:r>
      <w:r>
        <w:rPr>
          <w:lang w:val="fr-FR"/>
        </w:rPr>
        <w:t>février 2012, l</w:t>
      </w:r>
      <w:r w:rsidR="00BE5FF0">
        <w:rPr>
          <w:lang w:val="fr-FR"/>
        </w:rPr>
        <w:t>’</w:t>
      </w:r>
      <w:r>
        <w:rPr>
          <w:lang w:val="fr-FR"/>
        </w:rPr>
        <w:t xml:space="preserve">Office </w:t>
      </w:r>
      <w:r w:rsidRPr="008C5A96">
        <w:rPr>
          <w:lang w:val="fr-FR"/>
        </w:rPr>
        <w:t xml:space="preserve">des migrations a rejeté la demande. </w:t>
      </w:r>
    </w:p>
    <w:p w:rsidR="008A492C" w:rsidRPr="008C5A96" w:rsidRDefault="008A492C" w:rsidP="008A492C">
      <w:pPr>
        <w:pStyle w:val="SingleTxtG"/>
        <w:rPr>
          <w:lang w:val="fr-FR"/>
        </w:rPr>
      </w:pPr>
      <w:r w:rsidRPr="008C5A96">
        <w:rPr>
          <w:lang w:val="fr-FR"/>
        </w:rPr>
        <w:t>2.10</w:t>
      </w:r>
      <w:r w:rsidRPr="008C5A96">
        <w:rPr>
          <w:lang w:val="fr-FR"/>
        </w:rPr>
        <w:tab/>
        <w:t>L</w:t>
      </w:r>
      <w:r w:rsidR="00BE5FF0">
        <w:rPr>
          <w:lang w:val="fr-FR"/>
        </w:rPr>
        <w:t>’</w:t>
      </w:r>
      <w:r w:rsidRPr="008C5A96">
        <w:rPr>
          <w:lang w:val="fr-FR"/>
        </w:rPr>
        <w:t xml:space="preserve">auteur a présenté un recours contre la décision </w:t>
      </w:r>
      <w:r>
        <w:rPr>
          <w:lang w:val="fr-FR"/>
        </w:rPr>
        <w:t>de l</w:t>
      </w:r>
      <w:r w:rsidR="00BE5FF0">
        <w:rPr>
          <w:lang w:val="fr-FR"/>
        </w:rPr>
        <w:t>’</w:t>
      </w:r>
      <w:r>
        <w:rPr>
          <w:lang w:val="fr-FR"/>
        </w:rPr>
        <w:t>Office</w:t>
      </w:r>
      <w:r w:rsidRPr="008C5A96">
        <w:rPr>
          <w:lang w:val="fr-FR"/>
        </w:rPr>
        <w:t xml:space="preserve"> des mi</w:t>
      </w:r>
      <w:r>
        <w:rPr>
          <w:lang w:val="fr-FR"/>
        </w:rPr>
        <w:t>grations devant le tribunal des</w:t>
      </w:r>
      <w:r w:rsidRPr="008C5A96">
        <w:rPr>
          <w:lang w:val="fr-FR"/>
        </w:rPr>
        <w:t xml:space="preserve"> migration</w:t>
      </w:r>
      <w:r>
        <w:rPr>
          <w:lang w:val="fr-FR"/>
        </w:rPr>
        <w:t>s</w:t>
      </w:r>
      <w:r w:rsidRPr="008C5A96">
        <w:rPr>
          <w:lang w:val="fr-FR"/>
        </w:rPr>
        <w:t>. Le 9 mars 2012, le tribunal a conclu qu</w:t>
      </w:r>
      <w:r w:rsidR="00BE5FF0">
        <w:rPr>
          <w:lang w:val="fr-FR"/>
        </w:rPr>
        <w:t>’</w:t>
      </w:r>
      <w:r w:rsidRPr="008C5A96">
        <w:rPr>
          <w:lang w:val="fr-FR"/>
        </w:rPr>
        <w:t>il n</w:t>
      </w:r>
      <w:r w:rsidR="00BE5FF0">
        <w:rPr>
          <w:lang w:val="fr-FR"/>
        </w:rPr>
        <w:t>’</w:t>
      </w:r>
      <w:r w:rsidRPr="008C5A96">
        <w:rPr>
          <w:lang w:val="fr-FR"/>
        </w:rPr>
        <w:t>existait pas de circonstances</w:t>
      </w:r>
      <w:r>
        <w:rPr>
          <w:lang w:val="fr-FR"/>
        </w:rPr>
        <w:t xml:space="preserve"> </w:t>
      </w:r>
      <w:r w:rsidRPr="008C5A96">
        <w:rPr>
          <w:lang w:val="fr-FR"/>
        </w:rPr>
        <w:t xml:space="preserve">nouvelles justifiant un réexamen du dossier. </w:t>
      </w:r>
      <w:r w:rsidR="00237F7A">
        <w:rPr>
          <w:lang w:val="fr-FR"/>
        </w:rPr>
        <w:t>L</w:t>
      </w:r>
      <w:r w:rsidR="00BE5FF0">
        <w:rPr>
          <w:lang w:val="fr-FR"/>
        </w:rPr>
        <w:t>’</w:t>
      </w:r>
      <w:r w:rsidRPr="008C5A96">
        <w:rPr>
          <w:lang w:val="fr-FR"/>
        </w:rPr>
        <w:t xml:space="preserve">auteur a </w:t>
      </w:r>
      <w:r w:rsidR="00237F7A">
        <w:rPr>
          <w:lang w:val="fr-FR"/>
        </w:rPr>
        <w:t xml:space="preserve">alors </w:t>
      </w:r>
      <w:r>
        <w:rPr>
          <w:lang w:val="fr-FR"/>
        </w:rPr>
        <w:t>déposé</w:t>
      </w:r>
      <w:r w:rsidRPr="008C5A96">
        <w:rPr>
          <w:lang w:val="fr-FR"/>
        </w:rPr>
        <w:t xml:space="preserve"> une demande d</w:t>
      </w:r>
      <w:r w:rsidR="00BE5FF0">
        <w:rPr>
          <w:lang w:val="fr-FR"/>
        </w:rPr>
        <w:t>’</w:t>
      </w:r>
      <w:r w:rsidRPr="008C5A96">
        <w:rPr>
          <w:lang w:val="fr-FR"/>
        </w:rPr>
        <w:t xml:space="preserve">autorisation </w:t>
      </w:r>
      <w:r>
        <w:rPr>
          <w:lang w:val="fr-FR"/>
        </w:rPr>
        <w:t>de faire</w:t>
      </w:r>
      <w:r w:rsidRPr="008C5A96">
        <w:rPr>
          <w:lang w:val="fr-FR"/>
        </w:rPr>
        <w:t xml:space="preserve"> appel auprès de la Cour d</w:t>
      </w:r>
      <w:r w:rsidR="00BE5FF0">
        <w:rPr>
          <w:lang w:val="fr-FR"/>
        </w:rPr>
        <w:t>’</w:t>
      </w:r>
      <w:r w:rsidRPr="008C5A96">
        <w:rPr>
          <w:lang w:val="fr-FR"/>
        </w:rPr>
        <w:t xml:space="preserve">appel des migrations, qui </w:t>
      </w:r>
      <w:r>
        <w:rPr>
          <w:lang w:val="fr-FR"/>
        </w:rPr>
        <w:t>l</w:t>
      </w:r>
      <w:r w:rsidR="00BE5FF0">
        <w:rPr>
          <w:lang w:val="fr-FR"/>
        </w:rPr>
        <w:t>’</w:t>
      </w:r>
      <w:r w:rsidRPr="008C5A96">
        <w:rPr>
          <w:lang w:val="fr-FR"/>
        </w:rPr>
        <w:t>a rejeté</w:t>
      </w:r>
      <w:r>
        <w:rPr>
          <w:lang w:val="fr-FR"/>
        </w:rPr>
        <w:t>e</w:t>
      </w:r>
      <w:r w:rsidRPr="008C5A96">
        <w:rPr>
          <w:lang w:val="fr-FR"/>
        </w:rPr>
        <w:t xml:space="preserve"> </w:t>
      </w:r>
      <w:r>
        <w:rPr>
          <w:lang w:val="fr-FR"/>
        </w:rPr>
        <w:t>le 23 </w:t>
      </w:r>
      <w:r w:rsidRPr="008C5A96">
        <w:rPr>
          <w:lang w:val="fr-FR"/>
        </w:rPr>
        <w:t>mars 2012.</w:t>
      </w:r>
    </w:p>
    <w:p w:rsidR="008A492C" w:rsidRDefault="008A492C" w:rsidP="008A492C">
      <w:pPr>
        <w:pStyle w:val="SingleTxtG"/>
        <w:rPr>
          <w:lang w:val="fr-FR"/>
        </w:rPr>
      </w:pPr>
      <w:r>
        <w:rPr>
          <w:lang w:val="fr-FR"/>
        </w:rPr>
        <w:t>2.11</w:t>
      </w:r>
      <w:r>
        <w:rPr>
          <w:lang w:val="fr-FR"/>
        </w:rPr>
        <w:tab/>
        <w:t>Les</w:t>
      </w:r>
      <w:r w:rsidRPr="008C5A96">
        <w:rPr>
          <w:lang w:val="fr-FR"/>
        </w:rPr>
        <w:t xml:space="preserve"> 10 et 15 janvier 2013, l</w:t>
      </w:r>
      <w:r w:rsidR="00BE5FF0">
        <w:rPr>
          <w:lang w:val="fr-FR"/>
        </w:rPr>
        <w:t>’</w:t>
      </w:r>
      <w:r w:rsidRPr="008C5A96">
        <w:rPr>
          <w:lang w:val="fr-FR"/>
        </w:rPr>
        <w:t>auteur a informé le Comité qu</w:t>
      </w:r>
      <w:r w:rsidR="00BE5FF0">
        <w:rPr>
          <w:lang w:val="fr-FR"/>
        </w:rPr>
        <w:t>’</w:t>
      </w:r>
      <w:r w:rsidRPr="008C5A96">
        <w:rPr>
          <w:lang w:val="fr-FR"/>
        </w:rPr>
        <w:t xml:space="preserve">au Bangladesh les </w:t>
      </w:r>
      <w:r>
        <w:rPr>
          <w:lang w:val="fr-FR"/>
        </w:rPr>
        <w:t>lesbiennes</w:t>
      </w:r>
      <w:r w:rsidRPr="008C5A96">
        <w:rPr>
          <w:lang w:val="fr-FR"/>
        </w:rPr>
        <w:t xml:space="preserve"> </w:t>
      </w:r>
      <w:r w:rsidR="00237F7A">
        <w:rPr>
          <w:lang w:val="fr-FR"/>
        </w:rPr>
        <w:t xml:space="preserve">étaient </w:t>
      </w:r>
      <w:r w:rsidRPr="008C5A96">
        <w:rPr>
          <w:lang w:val="fr-FR"/>
        </w:rPr>
        <w:t xml:space="preserve">stigmatisées et souvent soumises à une pression familiale et sociale très forte pour accepter </w:t>
      </w:r>
      <w:r>
        <w:rPr>
          <w:lang w:val="fr-FR"/>
        </w:rPr>
        <w:t>d</w:t>
      </w:r>
      <w:r w:rsidR="00BE5FF0">
        <w:rPr>
          <w:lang w:val="fr-FR"/>
        </w:rPr>
        <w:t>’</w:t>
      </w:r>
      <w:r>
        <w:rPr>
          <w:lang w:val="fr-FR"/>
        </w:rPr>
        <w:t>épouser un homme</w:t>
      </w:r>
      <w:r w:rsidRPr="008C5A96">
        <w:rPr>
          <w:lang w:val="fr-FR"/>
        </w:rPr>
        <w:t xml:space="preserve">. </w:t>
      </w:r>
      <w:r w:rsidR="00237F7A">
        <w:rPr>
          <w:lang w:val="fr-FR"/>
        </w:rPr>
        <w:t>Shhatra Shib</w:t>
      </w:r>
      <w:r w:rsidRPr="008C5A96">
        <w:rPr>
          <w:lang w:val="fr-FR"/>
        </w:rPr>
        <w:t>ir est une organisation islamique extrémiste dont l</w:t>
      </w:r>
      <w:r w:rsidR="00BE5FF0">
        <w:rPr>
          <w:lang w:val="fr-FR"/>
        </w:rPr>
        <w:t>’</w:t>
      </w:r>
      <w:r w:rsidRPr="008C5A96">
        <w:rPr>
          <w:lang w:val="fr-FR"/>
        </w:rPr>
        <w:t>objectif est d</w:t>
      </w:r>
      <w:r w:rsidR="00BE5FF0">
        <w:rPr>
          <w:lang w:val="fr-FR"/>
        </w:rPr>
        <w:t>’</w:t>
      </w:r>
      <w:r w:rsidRPr="008C5A96">
        <w:rPr>
          <w:lang w:val="fr-FR"/>
        </w:rPr>
        <w:t>instaurer un régime islamique</w:t>
      </w:r>
      <w:r w:rsidR="00237F7A">
        <w:rPr>
          <w:lang w:val="fr-FR"/>
        </w:rPr>
        <w:t xml:space="preserve"> au Bangladesh</w:t>
      </w:r>
      <w:r w:rsidRPr="008C5A96">
        <w:rPr>
          <w:lang w:val="fr-FR"/>
        </w:rPr>
        <w:t xml:space="preserve">. Le </w:t>
      </w:r>
      <w:r w:rsidR="00237F7A">
        <w:rPr>
          <w:lang w:val="fr-FR"/>
        </w:rPr>
        <w:t>fait qu</w:t>
      </w:r>
      <w:r w:rsidR="00BE5FF0">
        <w:rPr>
          <w:lang w:val="fr-FR"/>
        </w:rPr>
        <w:t>’</w:t>
      </w:r>
      <w:r w:rsidR="00237F7A">
        <w:rPr>
          <w:lang w:val="fr-FR"/>
        </w:rPr>
        <w:t xml:space="preserve">il existe </w:t>
      </w:r>
      <w:r w:rsidRPr="008C5A96">
        <w:rPr>
          <w:lang w:val="fr-FR"/>
        </w:rPr>
        <w:t>peu d</w:t>
      </w:r>
      <w:r w:rsidR="00BE5FF0">
        <w:rPr>
          <w:lang w:val="fr-FR"/>
        </w:rPr>
        <w:t>’</w:t>
      </w:r>
      <w:r w:rsidRPr="008C5A96">
        <w:rPr>
          <w:lang w:val="fr-FR"/>
        </w:rPr>
        <w:t xml:space="preserve">informations au sujet des persécutions infligées par </w:t>
      </w:r>
      <w:r>
        <w:rPr>
          <w:lang w:val="fr-FR"/>
        </w:rPr>
        <w:t>l</w:t>
      </w:r>
      <w:r w:rsidR="00BE5FF0">
        <w:rPr>
          <w:lang w:val="fr-FR"/>
        </w:rPr>
        <w:t>’</w:t>
      </w:r>
      <w:r>
        <w:rPr>
          <w:lang w:val="fr-FR"/>
        </w:rPr>
        <w:t>organisation</w:t>
      </w:r>
      <w:r w:rsidRPr="008C5A96">
        <w:rPr>
          <w:lang w:val="fr-FR"/>
        </w:rPr>
        <w:t xml:space="preserve"> </w:t>
      </w:r>
      <w:r>
        <w:rPr>
          <w:lang w:val="fr-FR"/>
        </w:rPr>
        <w:t>Sh</w:t>
      </w:r>
      <w:r w:rsidR="00237F7A">
        <w:rPr>
          <w:lang w:val="fr-FR"/>
        </w:rPr>
        <w:t>ha</w:t>
      </w:r>
      <w:r>
        <w:rPr>
          <w:lang w:val="fr-FR"/>
        </w:rPr>
        <w:t>t</w:t>
      </w:r>
      <w:r w:rsidR="00237F7A">
        <w:rPr>
          <w:lang w:val="fr-FR"/>
        </w:rPr>
        <w:t>ra</w:t>
      </w:r>
      <w:r>
        <w:rPr>
          <w:lang w:val="fr-FR"/>
        </w:rPr>
        <w:t> </w:t>
      </w:r>
      <w:r w:rsidR="00237F7A">
        <w:rPr>
          <w:lang w:val="fr-FR"/>
        </w:rPr>
        <w:t>Shib</w:t>
      </w:r>
      <w:r w:rsidRPr="008C5A96">
        <w:rPr>
          <w:lang w:val="fr-FR"/>
        </w:rPr>
        <w:t>ir</w:t>
      </w:r>
      <w:r>
        <w:rPr>
          <w:lang w:val="fr-FR"/>
        </w:rPr>
        <w:t xml:space="preserve"> </w:t>
      </w:r>
      <w:r w:rsidRPr="008C5A96">
        <w:rPr>
          <w:lang w:val="fr-FR"/>
        </w:rPr>
        <w:t>aux minorités sexuelles montre à quel point la situation des homosexuels est difficile au</w:t>
      </w:r>
      <w:r>
        <w:rPr>
          <w:lang w:val="fr-FR"/>
        </w:rPr>
        <w:t> </w:t>
      </w:r>
      <w:r w:rsidRPr="008C5A96">
        <w:rPr>
          <w:lang w:val="fr-FR"/>
        </w:rPr>
        <w:t>Bangladesh</w:t>
      </w:r>
      <w:r w:rsidR="004D21EE">
        <w:rPr>
          <w:rStyle w:val="FootnoteReference"/>
        </w:rPr>
        <w:footnoteReference w:id="7"/>
      </w:r>
      <w:r w:rsidRPr="008C5A96">
        <w:rPr>
          <w:lang w:val="fr-FR"/>
        </w:rPr>
        <w:t>.</w:t>
      </w:r>
    </w:p>
    <w:p w:rsidR="008A492C" w:rsidRPr="008C5A96" w:rsidRDefault="008A492C" w:rsidP="008A492C">
      <w:pPr>
        <w:pStyle w:val="SingleTxtG"/>
        <w:rPr>
          <w:lang w:val="fr-FR"/>
        </w:rPr>
      </w:pPr>
      <w:r w:rsidRPr="008C5A96">
        <w:rPr>
          <w:lang w:val="fr-FR"/>
        </w:rPr>
        <w:t>2.12</w:t>
      </w:r>
      <w:r w:rsidRPr="008C5A96">
        <w:rPr>
          <w:lang w:val="fr-FR"/>
        </w:rPr>
        <w:tab/>
        <w:t>L</w:t>
      </w:r>
      <w:r w:rsidR="00BE5FF0">
        <w:rPr>
          <w:lang w:val="fr-FR"/>
        </w:rPr>
        <w:t>’</w:t>
      </w:r>
      <w:r w:rsidRPr="008C5A96">
        <w:rPr>
          <w:lang w:val="fr-FR"/>
        </w:rPr>
        <w:t xml:space="preserve">auteur a </w:t>
      </w:r>
      <w:r>
        <w:rPr>
          <w:lang w:val="fr-FR"/>
        </w:rPr>
        <w:t>fait valoir</w:t>
      </w:r>
      <w:r w:rsidRPr="008C5A96">
        <w:rPr>
          <w:lang w:val="fr-FR"/>
        </w:rPr>
        <w:t xml:space="preserve"> qu</w:t>
      </w:r>
      <w:r w:rsidR="00BE5FF0">
        <w:rPr>
          <w:lang w:val="fr-FR"/>
        </w:rPr>
        <w:t>’</w:t>
      </w:r>
      <w:r w:rsidRPr="008C5A96">
        <w:rPr>
          <w:lang w:val="fr-FR"/>
        </w:rPr>
        <w:t xml:space="preserve">elle résidait illégalement en Suède et que </w:t>
      </w:r>
      <w:r>
        <w:rPr>
          <w:lang w:val="fr-FR"/>
        </w:rPr>
        <w:t xml:space="preserve">la police pouvait exécuter </w:t>
      </w:r>
      <w:r w:rsidRPr="008C5A96">
        <w:rPr>
          <w:lang w:val="fr-FR"/>
        </w:rPr>
        <w:t>l</w:t>
      </w:r>
      <w:r w:rsidR="00BE5FF0">
        <w:rPr>
          <w:lang w:val="fr-FR"/>
        </w:rPr>
        <w:t>’</w:t>
      </w:r>
      <w:r w:rsidRPr="008C5A96">
        <w:rPr>
          <w:lang w:val="fr-FR"/>
        </w:rPr>
        <w:t>arrêté d</w:t>
      </w:r>
      <w:r w:rsidR="00BE5FF0">
        <w:rPr>
          <w:lang w:val="fr-FR"/>
        </w:rPr>
        <w:t>’</w:t>
      </w:r>
      <w:r w:rsidRPr="008C5A96">
        <w:rPr>
          <w:lang w:val="fr-FR"/>
        </w:rPr>
        <w:t>expulsion vers le Bangladesh</w:t>
      </w:r>
      <w:r>
        <w:rPr>
          <w:lang w:val="fr-FR"/>
        </w:rPr>
        <w:t xml:space="preserve"> </w:t>
      </w:r>
      <w:r w:rsidRPr="008C5A96">
        <w:rPr>
          <w:lang w:val="fr-FR"/>
        </w:rPr>
        <w:t>à tout moment. De plus, l</w:t>
      </w:r>
      <w:r w:rsidR="00BE5FF0">
        <w:rPr>
          <w:lang w:val="fr-FR"/>
        </w:rPr>
        <w:t>’</w:t>
      </w:r>
      <w:r>
        <w:rPr>
          <w:lang w:val="fr-FR"/>
        </w:rPr>
        <w:t>Offic</w:t>
      </w:r>
      <w:r w:rsidRPr="008C5A96">
        <w:rPr>
          <w:lang w:val="fr-FR"/>
        </w:rPr>
        <w:t>e</w:t>
      </w:r>
      <w:r>
        <w:rPr>
          <w:lang w:val="fr-FR"/>
        </w:rPr>
        <w:t xml:space="preserve"> </w:t>
      </w:r>
      <w:r w:rsidRPr="008C5A96">
        <w:rPr>
          <w:lang w:val="fr-FR"/>
        </w:rPr>
        <w:t>des migrations l</w:t>
      </w:r>
      <w:r w:rsidR="00BE5FF0">
        <w:rPr>
          <w:lang w:val="fr-FR"/>
        </w:rPr>
        <w:t>’</w:t>
      </w:r>
      <w:r w:rsidRPr="008C5A96">
        <w:rPr>
          <w:lang w:val="fr-FR"/>
        </w:rPr>
        <w:t>avait informée qu</w:t>
      </w:r>
      <w:r w:rsidR="00BE5FF0">
        <w:rPr>
          <w:lang w:val="fr-FR"/>
        </w:rPr>
        <w:t>’</w:t>
      </w:r>
      <w:r w:rsidRPr="008C5A96">
        <w:rPr>
          <w:lang w:val="fr-FR"/>
        </w:rPr>
        <w:t>elle n</w:t>
      </w:r>
      <w:r w:rsidR="00BE5FF0">
        <w:rPr>
          <w:lang w:val="fr-FR"/>
        </w:rPr>
        <w:t>’</w:t>
      </w:r>
      <w:r w:rsidRPr="008C5A96">
        <w:rPr>
          <w:lang w:val="fr-FR"/>
        </w:rPr>
        <w:t>avait pas droit à une allocation journalière de subsistance ni à un logement. Sans cette aide, elle n</w:t>
      </w:r>
      <w:r w:rsidR="00BE5FF0">
        <w:rPr>
          <w:lang w:val="fr-FR"/>
        </w:rPr>
        <w:t>’</w:t>
      </w:r>
      <w:r w:rsidRPr="008C5A96">
        <w:rPr>
          <w:lang w:val="fr-FR"/>
        </w:rPr>
        <w:t xml:space="preserve">avait </w:t>
      </w:r>
      <w:r>
        <w:rPr>
          <w:lang w:val="fr-FR"/>
        </w:rPr>
        <w:t xml:space="preserve">pas de </w:t>
      </w:r>
      <w:r w:rsidRPr="008C5A96">
        <w:rPr>
          <w:lang w:val="fr-FR"/>
        </w:rPr>
        <w:t xml:space="preserve">ressources ni </w:t>
      </w:r>
      <w:r>
        <w:rPr>
          <w:lang w:val="fr-FR"/>
        </w:rPr>
        <w:t>un lieu où habiter.</w:t>
      </w:r>
      <w:r w:rsidRPr="008C5A96">
        <w:rPr>
          <w:lang w:val="fr-FR"/>
        </w:rPr>
        <w:t xml:space="preserve"> L</w:t>
      </w:r>
      <w:r w:rsidR="00BE5FF0">
        <w:rPr>
          <w:lang w:val="fr-FR"/>
        </w:rPr>
        <w:t>’</w:t>
      </w:r>
      <w:r w:rsidRPr="008C5A96">
        <w:rPr>
          <w:lang w:val="fr-FR"/>
        </w:rPr>
        <w:t>auteur a également informé le Comité que l</w:t>
      </w:r>
      <w:r w:rsidR="00BE5FF0">
        <w:rPr>
          <w:lang w:val="fr-FR"/>
        </w:rPr>
        <w:t>’</w:t>
      </w:r>
      <w:r>
        <w:rPr>
          <w:lang w:val="fr-FR"/>
        </w:rPr>
        <w:t>Office</w:t>
      </w:r>
      <w:r w:rsidRPr="008C5A96">
        <w:rPr>
          <w:lang w:val="fr-FR"/>
        </w:rPr>
        <w:t xml:space="preserve"> des migrations avait refusé de la réinscrire comme </w:t>
      </w:r>
      <w:r>
        <w:rPr>
          <w:lang w:val="fr-FR"/>
        </w:rPr>
        <w:t>bénéficiaire d</w:t>
      </w:r>
      <w:r w:rsidR="00BE5FF0">
        <w:rPr>
          <w:lang w:val="fr-FR"/>
        </w:rPr>
        <w:t>’</w:t>
      </w:r>
      <w:r>
        <w:rPr>
          <w:lang w:val="fr-FR"/>
        </w:rPr>
        <w:t xml:space="preserve">une </w:t>
      </w:r>
      <w:r w:rsidRPr="008C5A96">
        <w:rPr>
          <w:lang w:val="fr-FR"/>
        </w:rPr>
        <w:t>allocati</w:t>
      </w:r>
      <w:r>
        <w:rPr>
          <w:lang w:val="fr-FR"/>
        </w:rPr>
        <w:t>on</w:t>
      </w:r>
      <w:r w:rsidRPr="008C5A96">
        <w:rPr>
          <w:lang w:val="fr-FR"/>
        </w:rPr>
        <w:t>. Elle craignait d</w:t>
      </w:r>
      <w:r w:rsidR="00BE5FF0">
        <w:rPr>
          <w:lang w:val="fr-FR"/>
        </w:rPr>
        <w:t>’</w:t>
      </w:r>
      <w:r w:rsidRPr="008C5A96">
        <w:rPr>
          <w:lang w:val="fr-FR"/>
        </w:rPr>
        <w:t>être placée en rétention administrative dans l</w:t>
      </w:r>
      <w:r w:rsidR="00BE5FF0">
        <w:rPr>
          <w:lang w:val="fr-FR"/>
        </w:rPr>
        <w:t>’</w:t>
      </w:r>
      <w:r w:rsidRPr="008C5A96">
        <w:rPr>
          <w:lang w:val="fr-FR"/>
        </w:rPr>
        <w:t>attente de son expulsion.</w:t>
      </w:r>
    </w:p>
    <w:p w:rsidR="008A492C" w:rsidRPr="008C5A96" w:rsidRDefault="008A492C" w:rsidP="008A492C">
      <w:pPr>
        <w:pStyle w:val="H23G"/>
      </w:pPr>
      <w:r w:rsidRPr="008C5A96">
        <w:rPr>
          <w:lang w:val="fr-FR"/>
        </w:rPr>
        <w:tab/>
      </w:r>
      <w:r w:rsidRPr="008C5A96">
        <w:rPr>
          <w:lang w:val="fr-FR"/>
        </w:rPr>
        <w:tab/>
        <w:t>Teneur de la plainte</w:t>
      </w:r>
    </w:p>
    <w:p w:rsidR="008A492C" w:rsidRPr="008C5A96" w:rsidRDefault="008A492C" w:rsidP="008A492C">
      <w:pPr>
        <w:pStyle w:val="SingleTxtG"/>
        <w:rPr>
          <w:lang w:val="fr-FR"/>
        </w:rPr>
      </w:pPr>
      <w:r w:rsidRPr="008C5A96">
        <w:rPr>
          <w:bCs/>
          <w:lang w:val="fr-FR"/>
        </w:rPr>
        <w:t>3.1</w:t>
      </w:r>
      <w:r w:rsidRPr="008C5A96">
        <w:rPr>
          <w:bCs/>
          <w:lang w:val="fr-FR"/>
        </w:rPr>
        <w:tab/>
        <w:t>L</w:t>
      </w:r>
      <w:r w:rsidR="00BE5FF0">
        <w:rPr>
          <w:bCs/>
          <w:lang w:val="fr-FR"/>
        </w:rPr>
        <w:t>’</w:t>
      </w:r>
      <w:r w:rsidRPr="008C5A96">
        <w:rPr>
          <w:bCs/>
          <w:lang w:val="fr-FR"/>
        </w:rPr>
        <w:t xml:space="preserve">auteur </w:t>
      </w:r>
      <w:r>
        <w:rPr>
          <w:bCs/>
          <w:lang w:val="fr-FR"/>
        </w:rPr>
        <w:t>affirme</w:t>
      </w:r>
      <w:r w:rsidRPr="008C5A96">
        <w:rPr>
          <w:bCs/>
          <w:lang w:val="fr-FR"/>
        </w:rPr>
        <w:t xml:space="preserve"> que les </w:t>
      </w:r>
      <w:r w:rsidRPr="008C5A96">
        <w:rPr>
          <w:lang w:val="fr-FR"/>
        </w:rPr>
        <w:t>autorités</w:t>
      </w:r>
      <w:r w:rsidRPr="008C5A96">
        <w:rPr>
          <w:bCs/>
          <w:lang w:val="fr-FR"/>
        </w:rPr>
        <w:t xml:space="preserve"> de l</w:t>
      </w:r>
      <w:r w:rsidR="00BE5FF0">
        <w:rPr>
          <w:bCs/>
          <w:lang w:val="fr-FR"/>
        </w:rPr>
        <w:t>’</w:t>
      </w:r>
      <w:r w:rsidRPr="008C5A96">
        <w:rPr>
          <w:bCs/>
          <w:lang w:val="fr-FR"/>
        </w:rPr>
        <w:t>État partie n</w:t>
      </w:r>
      <w:r w:rsidR="00BE5FF0">
        <w:rPr>
          <w:bCs/>
          <w:lang w:val="fr-FR"/>
        </w:rPr>
        <w:t>’</w:t>
      </w:r>
      <w:r w:rsidRPr="008C5A96">
        <w:rPr>
          <w:bCs/>
          <w:lang w:val="fr-FR"/>
        </w:rPr>
        <w:t xml:space="preserve">ont pas </w:t>
      </w:r>
      <w:r w:rsidR="00720C4C" w:rsidRPr="008C5A96">
        <w:rPr>
          <w:bCs/>
          <w:lang w:val="fr-FR"/>
        </w:rPr>
        <w:t>mesuré</w:t>
      </w:r>
      <w:r w:rsidR="00720C4C">
        <w:rPr>
          <w:bCs/>
          <w:lang w:val="fr-FR"/>
        </w:rPr>
        <w:t xml:space="preserve"> </w:t>
      </w:r>
      <w:r w:rsidRPr="008C5A96">
        <w:rPr>
          <w:bCs/>
          <w:lang w:val="fr-FR"/>
        </w:rPr>
        <w:t xml:space="preserve">correctement le risque </w:t>
      </w:r>
      <w:r>
        <w:rPr>
          <w:bCs/>
          <w:lang w:val="fr-FR"/>
        </w:rPr>
        <w:t>qu</w:t>
      </w:r>
      <w:r w:rsidR="00BE5FF0">
        <w:rPr>
          <w:bCs/>
          <w:lang w:val="fr-FR"/>
        </w:rPr>
        <w:t>’</w:t>
      </w:r>
      <w:r>
        <w:rPr>
          <w:bCs/>
          <w:lang w:val="fr-FR"/>
        </w:rPr>
        <w:t>e</w:t>
      </w:r>
      <w:r w:rsidRPr="008C5A96">
        <w:rPr>
          <w:bCs/>
          <w:lang w:val="fr-FR"/>
        </w:rPr>
        <w:t xml:space="preserve">lle </w:t>
      </w:r>
      <w:r>
        <w:rPr>
          <w:bCs/>
          <w:lang w:val="fr-FR"/>
        </w:rPr>
        <w:t>encourt si elle es</w:t>
      </w:r>
      <w:r w:rsidRPr="008C5A96">
        <w:rPr>
          <w:bCs/>
          <w:lang w:val="fr-FR"/>
        </w:rPr>
        <w:t xml:space="preserve">t </w:t>
      </w:r>
      <w:r w:rsidRPr="008C5A96">
        <w:rPr>
          <w:lang w:val="fr-FR"/>
        </w:rPr>
        <w:t>renvoyée au Bangladesh, notamment le risque de persécution ou de torture ou autres peines ou traitements cruels, inhumains ou dégradants, qui constitueraient une violation de l</w:t>
      </w:r>
      <w:r w:rsidR="00BE5FF0">
        <w:rPr>
          <w:lang w:val="fr-FR"/>
        </w:rPr>
        <w:t>’</w:t>
      </w:r>
      <w:r w:rsidRPr="008C5A96">
        <w:rPr>
          <w:lang w:val="fr-FR"/>
        </w:rPr>
        <w:t>article 7 du Pacte. Les autorités de l</w:t>
      </w:r>
      <w:r w:rsidR="00BE5FF0">
        <w:rPr>
          <w:lang w:val="fr-FR"/>
        </w:rPr>
        <w:t>’</w:t>
      </w:r>
      <w:r w:rsidRPr="008C5A96">
        <w:rPr>
          <w:lang w:val="fr-FR"/>
        </w:rPr>
        <w:t xml:space="preserve">État partie se sont </w:t>
      </w:r>
      <w:r>
        <w:rPr>
          <w:lang w:val="fr-FR"/>
        </w:rPr>
        <w:t>excessivement intéressées au</w:t>
      </w:r>
      <w:r w:rsidRPr="008C5A96">
        <w:rPr>
          <w:lang w:val="fr-FR"/>
        </w:rPr>
        <w:t xml:space="preserve"> fait que la loi interdisant les actes homosexuels n</w:t>
      </w:r>
      <w:r w:rsidR="00BE5FF0">
        <w:rPr>
          <w:lang w:val="fr-FR"/>
        </w:rPr>
        <w:t>’</w:t>
      </w:r>
      <w:r w:rsidRPr="008C5A96">
        <w:rPr>
          <w:lang w:val="fr-FR"/>
        </w:rPr>
        <w:t>est pas appliquée et elles n</w:t>
      </w:r>
      <w:r w:rsidR="00BE5FF0">
        <w:rPr>
          <w:lang w:val="fr-FR"/>
        </w:rPr>
        <w:t>’</w:t>
      </w:r>
      <w:r w:rsidRPr="008C5A96">
        <w:rPr>
          <w:lang w:val="fr-FR"/>
        </w:rPr>
        <w:t>ont pas pris en considération l</w:t>
      </w:r>
      <w:r w:rsidR="00BE5FF0">
        <w:rPr>
          <w:lang w:val="fr-FR"/>
        </w:rPr>
        <w:t>’</w:t>
      </w:r>
      <w:r w:rsidRPr="008C5A96">
        <w:rPr>
          <w:lang w:val="fr-FR"/>
        </w:rPr>
        <w:t>ensemble des éléments de son dossier, notamment son état de santé mentale.</w:t>
      </w:r>
    </w:p>
    <w:p w:rsidR="008A492C" w:rsidRPr="008C5A96" w:rsidRDefault="008A492C" w:rsidP="008A492C">
      <w:pPr>
        <w:pStyle w:val="SingleTxtG"/>
        <w:rPr>
          <w:lang w:val="fr-FR"/>
        </w:rPr>
      </w:pPr>
      <w:r w:rsidRPr="008C5A96">
        <w:rPr>
          <w:lang w:val="fr-FR"/>
        </w:rPr>
        <w:t>3.2</w:t>
      </w:r>
      <w:r w:rsidRPr="008C5A96">
        <w:rPr>
          <w:lang w:val="fr-FR"/>
        </w:rPr>
        <w:tab/>
        <w:t xml:space="preserve">Bien que la loi </w:t>
      </w:r>
      <w:r>
        <w:rPr>
          <w:lang w:val="fr-FR"/>
        </w:rPr>
        <w:t xml:space="preserve">qui criminalise </w:t>
      </w:r>
      <w:r w:rsidRPr="008C5A96">
        <w:rPr>
          <w:lang w:val="fr-FR"/>
        </w:rPr>
        <w:t>les relations homosexuelles ne soit pas appliquée systématiquement, son existence renforce un climat général d</w:t>
      </w:r>
      <w:r w:rsidR="00BE5FF0">
        <w:rPr>
          <w:lang w:val="fr-FR"/>
        </w:rPr>
        <w:t>’</w:t>
      </w:r>
      <w:r w:rsidRPr="008C5A96">
        <w:rPr>
          <w:lang w:val="fr-FR"/>
        </w:rPr>
        <w:t xml:space="preserve">homophobie et </w:t>
      </w:r>
      <w:r w:rsidR="006148E5">
        <w:rPr>
          <w:lang w:val="fr-FR"/>
        </w:rPr>
        <w:t>d</w:t>
      </w:r>
      <w:r w:rsidR="00BE5FF0">
        <w:rPr>
          <w:lang w:val="fr-FR"/>
        </w:rPr>
        <w:t>’</w:t>
      </w:r>
      <w:r w:rsidRPr="008C5A96">
        <w:rPr>
          <w:lang w:val="fr-FR"/>
        </w:rPr>
        <w:t xml:space="preserve">impunité </w:t>
      </w:r>
      <w:r w:rsidR="006148E5">
        <w:rPr>
          <w:lang w:val="fr-FR"/>
        </w:rPr>
        <w:t xml:space="preserve">pour </w:t>
      </w:r>
      <w:r w:rsidRPr="008C5A96">
        <w:rPr>
          <w:lang w:val="fr-FR"/>
        </w:rPr>
        <w:t>ceux qui persécut</w:t>
      </w:r>
      <w:r>
        <w:rPr>
          <w:lang w:val="fr-FR"/>
        </w:rPr>
        <w:t>ent</w:t>
      </w:r>
      <w:r w:rsidRPr="008C5A96">
        <w:rPr>
          <w:lang w:val="fr-FR"/>
        </w:rPr>
        <w:t xml:space="preserve"> </w:t>
      </w:r>
      <w:r>
        <w:rPr>
          <w:lang w:val="fr-FR"/>
        </w:rPr>
        <w:t>l</w:t>
      </w:r>
      <w:r w:rsidRPr="008C5A96">
        <w:rPr>
          <w:lang w:val="fr-FR"/>
        </w:rPr>
        <w:t>es LGBT. En outre, la loi est appliquée de façon o</w:t>
      </w:r>
      <w:r>
        <w:rPr>
          <w:lang w:val="fr-FR"/>
        </w:rPr>
        <w:t xml:space="preserve">fficieuse, </w:t>
      </w:r>
      <w:r w:rsidR="006148E5">
        <w:rPr>
          <w:lang w:val="fr-FR"/>
        </w:rPr>
        <w:t>sans qu</w:t>
      </w:r>
      <w:r w:rsidR="00BE5FF0">
        <w:rPr>
          <w:lang w:val="fr-FR"/>
        </w:rPr>
        <w:t>’</w:t>
      </w:r>
      <w:r w:rsidR="006148E5">
        <w:rPr>
          <w:lang w:val="fr-FR"/>
        </w:rPr>
        <w:t xml:space="preserve">il y ait de poursuites enregistrées contre </w:t>
      </w:r>
      <w:r>
        <w:rPr>
          <w:lang w:val="fr-FR"/>
        </w:rPr>
        <w:t>des agents de l</w:t>
      </w:r>
      <w:r w:rsidR="00BE5FF0">
        <w:rPr>
          <w:lang w:val="fr-FR"/>
        </w:rPr>
        <w:t>’</w:t>
      </w:r>
      <w:r>
        <w:rPr>
          <w:lang w:val="fr-FR"/>
        </w:rPr>
        <w:t>État ou extérieurs à l</w:t>
      </w:r>
      <w:r w:rsidR="00BE5FF0">
        <w:rPr>
          <w:lang w:val="fr-FR"/>
        </w:rPr>
        <w:t>’</w:t>
      </w:r>
      <w:r>
        <w:rPr>
          <w:lang w:val="fr-FR"/>
        </w:rPr>
        <w:t>État</w:t>
      </w:r>
      <w:r w:rsidRPr="008C5A96">
        <w:rPr>
          <w:lang w:val="fr-FR"/>
        </w:rPr>
        <w:t>.</w:t>
      </w:r>
    </w:p>
    <w:p w:rsidR="008A492C" w:rsidRPr="00B76B3A" w:rsidRDefault="008A492C" w:rsidP="008A492C">
      <w:pPr>
        <w:pStyle w:val="SingleTxtG"/>
        <w:rPr>
          <w:lang w:val="fr-FR"/>
        </w:rPr>
      </w:pPr>
      <w:r w:rsidRPr="00B76B3A">
        <w:rPr>
          <w:lang w:val="fr-FR"/>
        </w:rPr>
        <w:t>3.3</w:t>
      </w:r>
      <w:r w:rsidRPr="00B76B3A">
        <w:rPr>
          <w:lang w:val="fr-FR"/>
        </w:rPr>
        <w:tab/>
        <w:t>L</w:t>
      </w:r>
      <w:r w:rsidR="00BE5FF0">
        <w:rPr>
          <w:lang w:val="fr-FR"/>
        </w:rPr>
        <w:t>’</w:t>
      </w:r>
      <w:r w:rsidR="006148E5">
        <w:rPr>
          <w:lang w:val="fr-FR"/>
        </w:rPr>
        <w:t>auteur fait valoir que l</w:t>
      </w:r>
      <w:r w:rsidRPr="00B76B3A">
        <w:rPr>
          <w:lang w:val="fr-FR"/>
        </w:rPr>
        <w:t>es services de l</w:t>
      </w:r>
      <w:r w:rsidR="00BE5FF0">
        <w:rPr>
          <w:lang w:val="fr-FR"/>
        </w:rPr>
        <w:t>’</w:t>
      </w:r>
      <w:r w:rsidRPr="00B76B3A">
        <w:rPr>
          <w:lang w:val="fr-FR"/>
        </w:rPr>
        <w:t>immigration n</w:t>
      </w:r>
      <w:r w:rsidR="00BE5FF0">
        <w:rPr>
          <w:lang w:val="fr-FR"/>
        </w:rPr>
        <w:t>’</w:t>
      </w:r>
      <w:r w:rsidRPr="00B76B3A">
        <w:rPr>
          <w:lang w:val="fr-FR"/>
        </w:rPr>
        <w:t>ont pas tenu compte du fait qu</w:t>
      </w:r>
      <w:r w:rsidR="00BE5FF0">
        <w:rPr>
          <w:lang w:val="fr-FR"/>
        </w:rPr>
        <w:t>’</w:t>
      </w:r>
      <w:r>
        <w:rPr>
          <w:lang w:val="fr-FR"/>
        </w:rPr>
        <w:t>aux</w:t>
      </w:r>
      <w:r w:rsidRPr="00B76B3A">
        <w:rPr>
          <w:lang w:val="fr-FR"/>
        </w:rPr>
        <w:t xml:space="preserve"> audiences </w:t>
      </w:r>
      <w:r w:rsidR="006148E5">
        <w:rPr>
          <w:lang w:val="fr-FR"/>
        </w:rPr>
        <w:t xml:space="preserve">elle </w:t>
      </w:r>
      <w:r w:rsidRPr="00B76B3A">
        <w:rPr>
          <w:lang w:val="fr-FR"/>
        </w:rPr>
        <w:t>avait besoin d</w:t>
      </w:r>
      <w:r w:rsidR="00BE5FF0">
        <w:rPr>
          <w:lang w:val="fr-FR"/>
        </w:rPr>
        <w:t>’</w:t>
      </w:r>
      <w:r w:rsidRPr="00B76B3A">
        <w:rPr>
          <w:lang w:val="fr-FR"/>
        </w:rPr>
        <w:t xml:space="preserve">un interprète et que les contradictions qui apparaissaient dans ses déclarations au sujet de faits importants </w:t>
      </w:r>
      <w:r>
        <w:rPr>
          <w:lang w:val="fr-FR"/>
        </w:rPr>
        <w:t>résultaient</w:t>
      </w:r>
      <w:r w:rsidRPr="00B76B3A">
        <w:rPr>
          <w:lang w:val="fr-FR"/>
        </w:rPr>
        <w:t xml:space="preserve"> de malentendus ou d</w:t>
      </w:r>
      <w:r w:rsidR="00BE5FF0">
        <w:rPr>
          <w:lang w:val="fr-FR"/>
        </w:rPr>
        <w:t>’</w:t>
      </w:r>
      <w:r w:rsidRPr="00B76B3A">
        <w:rPr>
          <w:lang w:val="fr-FR"/>
        </w:rPr>
        <w:t>erreurs d</w:t>
      </w:r>
      <w:r w:rsidR="00BE5FF0">
        <w:rPr>
          <w:lang w:val="fr-FR"/>
        </w:rPr>
        <w:t>’</w:t>
      </w:r>
      <w:r w:rsidRPr="00B76B3A">
        <w:rPr>
          <w:lang w:val="fr-FR"/>
        </w:rPr>
        <w:t>interprétation.</w:t>
      </w:r>
    </w:p>
    <w:p w:rsidR="008A492C" w:rsidRPr="00B76B3A" w:rsidRDefault="008A492C" w:rsidP="008A492C">
      <w:pPr>
        <w:pStyle w:val="H23G"/>
        <w:rPr>
          <w:lang w:val="fr-FR"/>
        </w:rPr>
      </w:pPr>
      <w:r w:rsidRPr="00B76B3A">
        <w:rPr>
          <w:lang w:val="fr-FR"/>
        </w:rPr>
        <w:tab/>
      </w:r>
      <w:r w:rsidRPr="00B76B3A">
        <w:rPr>
          <w:lang w:val="fr-FR"/>
        </w:rPr>
        <w:tab/>
        <w:t>Observations de l</w:t>
      </w:r>
      <w:r w:rsidR="00BE5FF0">
        <w:rPr>
          <w:lang w:val="fr-FR"/>
        </w:rPr>
        <w:t>’</w:t>
      </w:r>
      <w:r w:rsidRPr="00B76B3A">
        <w:rPr>
          <w:lang w:val="fr-FR"/>
        </w:rPr>
        <w:t>État partie sur la recevabilité et sur le fond</w:t>
      </w:r>
    </w:p>
    <w:p w:rsidR="008A492C" w:rsidRPr="00B76B3A" w:rsidRDefault="008A492C" w:rsidP="008A492C">
      <w:pPr>
        <w:pStyle w:val="SingleTxtG"/>
        <w:rPr>
          <w:bCs/>
          <w:lang w:val="fr-FR"/>
        </w:rPr>
      </w:pPr>
      <w:r w:rsidRPr="00B76B3A">
        <w:rPr>
          <w:bCs/>
          <w:lang w:val="fr-FR"/>
        </w:rPr>
        <w:t>4.1</w:t>
      </w:r>
      <w:r w:rsidRPr="00B76B3A">
        <w:rPr>
          <w:bCs/>
          <w:lang w:val="fr-FR"/>
        </w:rPr>
        <w:tab/>
      </w:r>
      <w:r>
        <w:rPr>
          <w:bCs/>
          <w:lang w:val="fr-FR"/>
        </w:rPr>
        <w:t xml:space="preserve">Dans une réponse du </w:t>
      </w:r>
      <w:r w:rsidRPr="00B76B3A">
        <w:rPr>
          <w:bCs/>
          <w:lang w:val="fr-FR"/>
        </w:rPr>
        <w:t>14</w:t>
      </w:r>
      <w:r>
        <w:rPr>
          <w:bCs/>
          <w:lang w:val="fr-FR"/>
        </w:rPr>
        <w:t> </w:t>
      </w:r>
      <w:r w:rsidRPr="00B76B3A">
        <w:rPr>
          <w:bCs/>
          <w:lang w:val="fr-FR"/>
        </w:rPr>
        <w:t>janvier 2013, l</w:t>
      </w:r>
      <w:r w:rsidR="00BE5FF0">
        <w:rPr>
          <w:bCs/>
          <w:lang w:val="fr-FR"/>
        </w:rPr>
        <w:t>’</w:t>
      </w:r>
      <w:r w:rsidRPr="00B76B3A">
        <w:rPr>
          <w:bCs/>
          <w:lang w:val="fr-FR"/>
        </w:rPr>
        <w:t>État partie a fait part de ses observations sur la recevabilité et le fond de la communication. Il a fait observer que le dossier présenté par l</w:t>
      </w:r>
      <w:r w:rsidR="00BE5FF0">
        <w:rPr>
          <w:bCs/>
          <w:lang w:val="fr-FR"/>
        </w:rPr>
        <w:t>’</w:t>
      </w:r>
      <w:r w:rsidRPr="00B76B3A">
        <w:rPr>
          <w:bCs/>
          <w:lang w:val="fr-FR"/>
        </w:rPr>
        <w:t xml:space="preserve">auteur avait été examiné par les autorités compétentes conformément à la loi de 2005 </w:t>
      </w:r>
      <w:r>
        <w:rPr>
          <w:bCs/>
          <w:lang w:val="fr-FR"/>
        </w:rPr>
        <w:t xml:space="preserve">relative aux </w:t>
      </w:r>
      <w:r w:rsidRPr="00B76B3A">
        <w:rPr>
          <w:bCs/>
          <w:lang w:val="fr-FR"/>
        </w:rPr>
        <w:t>étrangers entrée en vigueur le 31</w:t>
      </w:r>
      <w:r>
        <w:rPr>
          <w:bCs/>
          <w:lang w:val="fr-FR"/>
        </w:rPr>
        <w:t> </w:t>
      </w:r>
      <w:r w:rsidRPr="00B76B3A">
        <w:rPr>
          <w:bCs/>
          <w:lang w:val="fr-FR"/>
        </w:rPr>
        <w:t xml:space="preserve">mars 2006 et que tous les recours internes </w:t>
      </w:r>
      <w:r w:rsidR="006148E5">
        <w:rPr>
          <w:bCs/>
          <w:lang w:val="fr-FR"/>
        </w:rPr>
        <w:t xml:space="preserve">avaient été </w:t>
      </w:r>
      <w:r w:rsidRPr="00B76B3A">
        <w:rPr>
          <w:bCs/>
          <w:lang w:val="fr-FR"/>
        </w:rPr>
        <w:t>épuisés.</w:t>
      </w:r>
    </w:p>
    <w:p w:rsidR="008A492C" w:rsidRPr="00B76B3A" w:rsidRDefault="008A492C" w:rsidP="008A492C">
      <w:pPr>
        <w:pStyle w:val="SingleTxtG"/>
        <w:rPr>
          <w:lang w:val="fr-FR"/>
        </w:rPr>
      </w:pPr>
      <w:r w:rsidRPr="00B76B3A">
        <w:rPr>
          <w:lang w:val="fr-FR"/>
        </w:rPr>
        <w:t>4.2</w:t>
      </w:r>
      <w:r w:rsidRPr="00B76B3A">
        <w:rPr>
          <w:lang w:val="fr-FR"/>
        </w:rPr>
        <w:tab/>
        <w:t>La décision ordonnant l</w:t>
      </w:r>
      <w:r w:rsidR="00BE5FF0">
        <w:rPr>
          <w:lang w:val="fr-FR"/>
        </w:rPr>
        <w:t>’</w:t>
      </w:r>
      <w:r w:rsidRPr="00B76B3A">
        <w:rPr>
          <w:lang w:val="fr-FR"/>
        </w:rPr>
        <w:t>expulsion de l</w:t>
      </w:r>
      <w:r w:rsidR="00BE5FF0">
        <w:rPr>
          <w:lang w:val="fr-FR"/>
        </w:rPr>
        <w:t>’</w:t>
      </w:r>
      <w:r w:rsidRPr="00B76B3A">
        <w:rPr>
          <w:lang w:val="fr-FR"/>
        </w:rPr>
        <w:t>auteur vers le Banglades</w:t>
      </w:r>
      <w:r>
        <w:rPr>
          <w:lang w:val="fr-FR"/>
        </w:rPr>
        <w:t>h était devenue exécutoire le 2 </w:t>
      </w:r>
      <w:r w:rsidRPr="00B76B3A">
        <w:rPr>
          <w:lang w:val="fr-FR"/>
        </w:rPr>
        <w:t xml:space="preserve">juin 2010, </w:t>
      </w:r>
      <w:r>
        <w:rPr>
          <w:lang w:val="fr-FR"/>
        </w:rPr>
        <w:t>date à laquelle</w:t>
      </w:r>
      <w:r w:rsidRPr="00B76B3A">
        <w:rPr>
          <w:lang w:val="fr-FR"/>
        </w:rPr>
        <w:t xml:space="preserve"> la Cour d</w:t>
      </w:r>
      <w:r w:rsidR="00BE5FF0">
        <w:rPr>
          <w:lang w:val="fr-FR"/>
        </w:rPr>
        <w:t>’</w:t>
      </w:r>
      <w:r w:rsidRPr="00B76B3A">
        <w:rPr>
          <w:lang w:val="fr-FR"/>
        </w:rPr>
        <w:t>appel des migrations avait rejeté la demande d</w:t>
      </w:r>
      <w:r w:rsidR="00BE5FF0">
        <w:rPr>
          <w:lang w:val="fr-FR"/>
        </w:rPr>
        <w:t>’</w:t>
      </w:r>
      <w:r w:rsidRPr="00B76B3A">
        <w:rPr>
          <w:lang w:val="fr-FR"/>
        </w:rPr>
        <w:t>autorisation d</w:t>
      </w:r>
      <w:r w:rsidR="00BE5FF0">
        <w:rPr>
          <w:lang w:val="fr-FR"/>
        </w:rPr>
        <w:t>’</w:t>
      </w:r>
      <w:r w:rsidRPr="00B76B3A">
        <w:rPr>
          <w:lang w:val="fr-FR"/>
        </w:rPr>
        <w:t xml:space="preserve">interjeter appel. </w:t>
      </w:r>
      <w:r>
        <w:rPr>
          <w:lang w:val="fr-FR"/>
        </w:rPr>
        <w:t>Comme l</w:t>
      </w:r>
      <w:r w:rsidR="00BE5FF0">
        <w:rPr>
          <w:lang w:val="fr-FR"/>
        </w:rPr>
        <w:t>’</w:t>
      </w:r>
      <w:r w:rsidRPr="00B76B3A">
        <w:rPr>
          <w:lang w:val="fr-FR"/>
        </w:rPr>
        <w:t>auteur refusa</w:t>
      </w:r>
      <w:r>
        <w:rPr>
          <w:lang w:val="fr-FR"/>
        </w:rPr>
        <w:t>i</w:t>
      </w:r>
      <w:r w:rsidRPr="00B76B3A">
        <w:rPr>
          <w:lang w:val="fr-FR"/>
        </w:rPr>
        <w:t>t de quitter l</w:t>
      </w:r>
      <w:r>
        <w:rPr>
          <w:lang w:val="fr-FR"/>
        </w:rPr>
        <w:t>a Suède</w:t>
      </w:r>
      <w:r w:rsidRPr="00B76B3A">
        <w:rPr>
          <w:lang w:val="fr-FR"/>
        </w:rPr>
        <w:t xml:space="preserve"> </w:t>
      </w:r>
      <w:r w:rsidR="002D4A0E">
        <w:rPr>
          <w:lang w:val="fr-FR"/>
        </w:rPr>
        <w:t>volontairement</w:t>
      </w:r>
      <w:r w:rsidRPr="00B76B3A">
        <w:rPr>
          <w:lang w:val="fr-FR"/>
        </w:rPr>
        <w:t>, le 4</w:t>
      </w:r>
      <w:r>
        <w:rPr>
          <w:lang w:val="fr-FR"/>
        </w:rPr>
        <w:t> </w:t>
      </w:r>
      <w:r w:rsidRPr="00B76B3A">
        <w:rPr>
          <w:lang w:val="fr-FR"/>
        </w:rPr>
        <w:t>novembre 2010 l</w:t>
      </w:r>
      <w:r w:rsidR="00BE5FF0">
        <w:rPr>
          <w:lang w:val="fr-FR"/>
        </w:rPr>
        <w:t>’</w:t>
      </w:r>
      <w:r>
        <w:rPr>
          <w:lang w:val="fr-FR"/>
        </w:rPr>
        <w:t>Office</w:t>
      </w:r>
      <w:r w:rsidRPr="00B76B3A">
        <w:rPr>
          <w:lang w:val="fr-FR"/>
        </w:rPr>
        <w:t xml:space="preserve"> des migrations avait décidé de faire exécuter l</w:t>
      </w:r>
      <w:r w:rsidR="00BE5FF0">
        <w:rPr>
          <w:lang w:val="fr-FR"/>
        </w:rPr>
        <w:t>’</w:t>
      </w:r>
      <w:r w:rsidRPr="00B76B3A">
        <w:rPr>
          <w:lang w:val="fr-FR"/>
        </w:rPr>
        <w:t>arrêté d</w:t>
      </w:r>
      <w:r w:rsidR="00BE5FF0">
        <w:rPr>
          <w:lang w:val="fr-FR"/>
        </w:rPr>
        <w:t>’</w:t>
      </w:r>
      <w:r w:rsidRPr="00B76B3A">
        <w:rPr>
          <w:lang w:val="fr-FR"/>
        </w:rPr>
        <w:t xml:space="preserve">expulsion par la police. </w:t>
      </w:r>
    </w:p>
    <w:p w:rsidR="008A492C" w:rsidRPr="00B76B3A" w:rsidRDefault="008A492C" w:rsidP="008A492C">
      <w:pPr>
        <w:pStyle w:val="SingleTxtG"/>
        <w:rPr>
          <w:lang w:val="fr-FR"/>
        </w:rPr>
      </w:pPr>
      <w:r w:rsidRPr="00B76B3A">
        <w:rPr>
          <w:lang w:val="fr-FR"/>
        </w:rPr>
        <w:t>4.3</w:t>
      </w:r>
      <w:r w:rsidRPr="00B76B3A">
        <w:rPr>
          <w:lang w:val="fr-FR"/>
        </w:rPr>
        <w:tab/>
        <w:t>La communication est manifestement dénuée de fondement car les affirmations de l</w:t>
      </w:r>
      <w:r w:rsidR="00BE5FF0">
        <w:rPr>
          <w:lang w:val="fr-FR"/>
        </w:rPr>
        <w:t>’</w:t>
      </w:r>
      <w:r w:rsidRPr="00B76B3A">
        <w:rPr>
          <w:lang w:val="fr-FR"/>
        </w:rPr>
        <w:t>auteur indiquant qu</w:t>
      </w:r>
      <w:r w:rsidR="00BE5FF0">
        <w:rPr>
          <w:lang w:val="fr-FR"/>
        </w:rPr>
        <w:t>’</w:t>
      </w:r>
      <w:r w:rsidRPr="00B76B3A">
        <w:rPr>
          <w:lang w:val="fr-FR"/>
        </w:rPr>
        <w:t>elle risque d</w:t>
      </w:r>
      <w:r w:rsidR="00BE5FF0">
        <w:rPr>
          <w:lang w:val="fr-FR"/>
        </w:rPr>
        <w:t>’</w:t>
      </w:r>
      <w:r w:rsidRPr="00B76B3A">
        <w:rPr>
          <w:lang w:val="fr-FR"/>
        </w:rPr>
        <w:t>être soumise à un traitement contraire aux dispositions</w:t>
      </w:r>
      <w:r>
        <w:rPr>
          <w:lang w:val="fr-FR"/>
        </w:rPr>
        <w:t xml:space="preserve"> du Pacte ne présentent pas le degré</w:t>
      </w:r>
      <w:r w:rsidRPr="00B76B3A">
        <w:rPr>
          <w:lang w:val="fr-FR"/>
        </w:rPr>
        <w:t xml:space="preserve"> de preuve minimum requis aux fins de la recevabilité. </w:t>
      </w:r>
    </w:p>
    <w:p w:rsidR="008A492C" w:rsidRPr="00B76B3A" w:rsidRDefault="008A492C" w:rsidP="008A492C">
      <w:pPr>
        <w:pStyle w:val="SingleTxtG"/>
        <w:rPr>
          <w:lang w:val="fr-FR"/>
        </w:rPr>
      </w:pPr>
      <w:r>
        <w:rPr>
          <w:lang w:val="fr-FR"/>
        </w:rPr>
        <w:t>4.4</w:t>
      </w:r>
      <w:r>
        <w:rPr>
          <w:lang w:val="fr-FR"/>
        </w:rPr>
        <w:tab/>
        <w:t>Si le Comité devai</w:t>
      </w:r>
      <w:r w:rsidRPr="00B76B3A">
        <w:rPr>
          <w:lang w:val="fr-FR"/>
        </w:rPr>
        <w:t xml:space="preserve">t </w:t>
      </w:r>
      <w:r>
        <w:rPr>
          <w:lang w:val="fr-FR"/>
        </w:rPr>
        <w:t xml:space="preserve">conclure </w:t>
      </w:r>
      <w:r w:rsidRPr="00B76B3A">
        <w:rPr>
          <w:lang w:val="fr-FR"/>
        </w:rPr>
        <w:t xml:space="preserve">que la communication est recevable, il </w:t>
      </w:r>
      <w:r>
        <w:rPr>
          <w:lang w:val="fr-FR"/>
        </w:rPr>
        <w:t>lui faud</w:t>
      </w:r>
      <w:r w:rsidRPr="00B76B3A">
        <w:rPr>
          <w:lang w:val="fr-FR"/>
        </w:rPr>
        <w:t>ra déterminer si le renvoi forcé de l</w:t>
      </w:r>
      <w:r w:rsidR="00BE5FF0">
        <w:rPr>
          <w:lang w:val="fr-FR"/>
        </w:rPr>
        <w:t>’</w:t>
      </w:r>
      <w:r w:rsidRPr="00B76B3A">
        <w:rPr>
          <w:lang w:val="fr-FR"/>
        </w:rPr>
        <w:t>auteur au Bangladesh constitue une violation de l</w:t>
      </w:r>
      <w:r w:rsidR="00BE5FF0">
        <w:rPr>
          <w:lang w:val="fr-FR"/>
        </w:rPr>
        <w:t>’</w:t>
      </w:r>
      <w:r w:rsidRPr="00B76B3A">
        <w:rPr>
          <w:lang w:val="fr-FR"/>
        </w:rPr>
        <w:t>obligation qui incombe à l</w:t>
      </w:r>
      <w:r w:rsidR="00BE5FF0">
        <w:rPr>
          <w:lang w:val="fr-FR"/>
        </w:rPr>
        <w:t>’</w:t>
      </w:r>
      <w:r w:rsidRPr="00B76B3A">
        <w:rPr>
          <w:lang w:val="fr-FR"/>
        </w:rPr>
        <w:t>État partie en vertu de l</w:t>
      </w:r>
      <w:r w:rsidR="00BE5FF0">
        <w:rPr>
          <w:lang w:val="fr-FR"/>
        </w:rPr>
        <w:t>’</w:t>
      </w:r>
      <w:r>
        <w:rPr>
          <w:lang w:val="fr-FR"/>
        </w:rPr>
        <w:t>article </w:t>
      </w:r>
      <w:r w:rsidRPr="00B76B3A">
        <w:rPr>
          <w:lang w:val="fr-FR"/>
        </w:rPr>
        <w:t xml:space="preserve">7 du Pacte. </w:t>
      </w:r>
    </w:p>
    <w:p w:rsidR="008A492C" w:rsidRPr="00B76B3A" w:rsidRDefault="002D4A0E" w:rsidP="008A492C">
      <w:pPr>
        <w:pStyle w:val="SingleTxtG"/>
        <w:rPr>
          <w:lang w:val="fr-FR"/>
        </w:rPr>
      </w:pPr>
      <w:r>
        <w:rPr>
          <w:lang w:val="fr-FR"/>
        </w:rPr>
        <w:t>4.5</w:t>
      </w:r>
      <w:r>
        <w:rPr>
          <w:lang w:val="fr-FR"/>
        </w:rPr>
        <w:tab/>
        <w:t>Comme l</w:t>
      </w:r>
      <w:r w:rsidR="008A492C" w:rsidRPr="00B76B3A">
        <w:rPr>
          <w:lang w:val="fr-FR"/>
        </w:rPr>
        <w:t xml:space="preserve">e Bangladesh </w:t>
      </w:r>
      <w:r>
        <w:rPr>
          <w:lang w:val="fr-FR"/>
        </w:rPr>
        <w:t xml:space="preserve">est </w:t>
      </w:r>
      <w:r w:rsidR="008A492C" w:rsidRPr="00B76B3A">
        <w:rPr>
          <w:lang w:val="fr-FR"/>
        </w:rPr>
        <w:t xml:space="preserve">partie au Pacte </w:t>
      </w:r>
      <w:r>
        <w:rPr>
          <w:lang w:val="fr-FR"/>
        </w:rPr>
        <w:t xml:space="preserve">international relatif aux droits civils et politiques </w:t>
      </w:r>
      <w:r w:rsidR="008A492C" w:rsidRPr="00B76B3A">
        <w:rPr>
          <w:lang w:val="fr-FR"/>
        </w:rPr>
        <w:t>ainsi qu</w:t>
      </w:r>
      <w:r w:rsidR="00BE5FF0">
        <w:rPr>
          <w:lang w:val="fr-FR"/>
        </w:rPr>
        <w:t>’</w:t>
      </w:r>
      <w:r w:rsidR="008A492C" w:rsidRPr="00B76B3A">
        <w:rPr>
          <w:lang w:val="fr-FR"/>
        </w:rPr>
        <w:t xml:space="preserve">à la Convention contre la torture et autres peines ou traitements cruels, inhumains ou dégradants, on </w:t>
      </w:r>
      <w:r w:rsidR="008A492C">
        <w:rPr>
          <w:lang w:val="fr-FR"/>
        </w:rPr>
        <w:t xml:space="preserve">peut </w:t>
      </w:r>
      <w:r w:rsidR="008A492C" w:rsidRPr="00B76B3A">
        <w:rPr>
          <w:lang w:val="fr-FR"/>
        </w:rPr>
        <w:t>suppose</w:t>
      </w:r>
      <w:r w:rsidR="008A492C">
        <w:rPr>
          <w:lang w:val="fr-FR"/>
        </w:rPr>
        <w:t>r</w:t>
      </w:r>
      <w:r w:rsidR="008A492C" w:rsidRPr="00B76B3A">
        <w:rPr>
          <w:lang w:val="fr-FR"/>
        </w:rPr>
        <w:t xml:space="preserve"> que le Comité conna</w:t>
      </w:r>
      <w:r w:rsidR="008A492C">
        <w:rPr>
          <w:lang w:val="fr-FR"/>
        </w:rPr>
        <w:t>ît bien</w:t>
      </w:r>
      <w:r w:rsidR="008A492C" w:rsidRPr="00B76B3A">
        <w:rPr>
          <w:lang w:val="fr-FR"/>
        </w:rPr>
        <w:t xml:space="preserve"> la situation générale des droits de l</w:t>
      </w:r>
      <w:r w:rsidR="00BE5FF0">
        <w:rPr>
          <w:lang w:val="fr-FR"/>
        </w:rPr>
        <w:t>’</w:t>
      </w:r>
      <w:r w:rsidR="008A492C" w:rsidRPr="00B76B3A">
        <w:rPr>
          <w:lang w:val="fr-FR"/>
        </w:rPr>
        <w:t>homme dans le pays et aussi celle des LGBT. L</w:t>
      </w:r>
      <w:r w:rsidR="008A492C">
        <w:rPr>
          <w:lang w:val="fr-FR"/>
        </w:rPr>
        <w:t>a lecture d</w:t>
      </w:r>
      <w:r w:rsidR="00BE5FF0">
        <w:rPr>
          <w:lang w:val="fr-FR"/>
        </w:rPr>
        <w:t>’</w:t>
      </w:r>
      <w:r w:rsidR="008A492C" w:rsidRPr="00B76B3A">
        <w:rPr>
          <w:lang w:val="fr-FR"/>
        </w:rPr>
        <w:t>un certain nombre de rapports</w:t>
      </w:r>
      <w:r w:rsidR="008A492C">
        <w:rPr>
          <w:rStyle w:val="FootnoteReference"/>
        </w:rPr>
        <w:footnoteReference w:id="8"/>
      </w:r>
      <w:r w:rsidR="008A492C" w:rsidRPr="00B76B3A">
        <w:rPr>
          <w:lang w:val="fr-FR"/>
        </w:rPr>
        <w:t xml:space="preserve"> </w:t>
      </w:r>
      <w:r w:rsidR="008A492C">
        <w:rPr>
          <w:lang w:val="fr-FR"/>
        </w:rPr>
        <w:t>sur</w:t>
      </w:r>
      <w:r w:rsidR="008A492C" w:rsidRPr="00B76B3A">
        <w:rPr>
          <w:lang w:val="fr-FR"/>
        </w:rPr>
        <w:t xml:space="preserve"> la situation actuelle au Bangladesh ne permet pas de conclure qu</w:t>
      </w:r>
      <w:r w:rsidR="00BE5FF0">
        <w:rPr>
          <w:lang w:val="fr-FR"/>
        </w:rPr>
        <w:t>’</w:t>
      </w:r>
      <w:r w:rsidR="008A492C" w:rsidRPr="00B76B3A">
        <w:rPr>
          <w:lang w:val="fr-FR"/>
        </w:rPr>
        <w:t xml:space="preserve">il </w:t>
      </w:r>
      <w:r w:rsidR="008A492C">
        <w:rPr>
          <w:lang w:val="fr-FR"/>
        </w:rPr>
        <w:t>est</w:t>
      </w:r>
      <w:r w:rsidR="008A492C" w:rsidRPr="00B76B3A">
        <w:rPr>
          <w:lang w:val="fr-FR"/>
        </w:rPr>
        <w:t xml:space="preserve"> général</w:t>
      </w:r>
      <w:r w:rsidR="008A492C">
        <w:rPr>
          <w:lang w:val="fr-FR"/>
        </w:rPr>
        <w:t>ement nécessaire</w:t>
      </w:r>
      <w:r w:rsidR="008A492C" w:rsidRPr="00B76B3A">
        <w:rPr>
          <w:lang w:val="fr-FR"/>
        </w:rPr>
        <w:t xml:space="preserve"> de protéger les demandeurs d</w:t>
      </w:r>
      <w:r w:rsidR="00BE5FF0">
        <w:rPr>
          <w:lang w:val="fr-FR"/>
        </w:rPr>
        <w:t>’</w:t>
      </w:r>
      <w:r w:rsidR="008A492C" w:rsidRPr="00B76B3A">
        <w:rPr>
          <w:lang w:val="fr-FR"/>
        </w:rPr>
        <w:t xml:space="preserve">asile originaires de ce pays. </w:t>
      </w:r>
      <w:r w:rsidR="008A492C">
        <w:rPr>
          <w:lang w:val="fr-FR"/>
        </w:rPr>
        <w:t>Si</w:t>
      </w:r>
      <w:r w:rsidR="008A492C" w:rsidRPr="00B76B3A">
        <w:rPr>
          <w:lang w:val="fr-FR"/>
        </w:rPr>
        <w:t xml:space="preserve"> la situation des droits de l</w:t>
      </w:r>
      <w:r w:rsidR="00BE5FF0">
        <w:rPr>
          <w:lang w:val="fr-FR"/>
        </w:rPr>
        <w:t>’</w:t>
      </w:r>
      <w:r w:rsidR="008A492C" w:rsidRPr="00B76B3A">
        <w:rPr>
          <w:lang w:val="fr-FR"/>
        </w:rPr>
        <w:t>homme des LGBT au Bangladesh p</w:t>
      </w:r>
      <w:r w:rsidR="008A492C">
        <w:rPr>
          <w:lang w:val="fr-FR"/>
        </w:rPr>
        <w:t>eut certes donner matière à préoccupation</w:t>
      </w:r>
      <w:r w:rsidR="008A492C" w:rsidRPr="00B76B3A">
        <w:rPr>
          <w:lang w:val="fr-FR"/>
        </w:rPr>
        <w:t>, cela ne suffit pas en soi à</w:t>
      </w:r>
      <w:r w:rsidR="008A492C">
        <w:rPr>
          <w:lang w:val="fr-FR"/>
        </w:rPr>
        <w:t> </w:t>
      </w:r>
      <w:r w:rsidR="008A492C" w:rsidRPr="00B76B3A">
        <w:rPr>
          <w:lang w:val="fr-FR"/>
        </w:rPr>
        <w:t>établir que le renvoi forcé de l</w:t>
      </w:r>
      <w:r w:rsidR="00BE5FF0">
        <w:rPr>
          <w:lang w:val="fr-FR"/>
        </w:rPr>
        <w:t>’</w:t>
      </w:r>
      <w:r w:rsidR="008A492C" w:rsidRPr="00B76B3A">
        <w:rPr>
          <w:lang w:val="fr-FR"/>
        </w:rPr>
        <w:t>auteur constituerait une violation de l</w:t>
      </w:r>
      <w:r w:rsidR="00BE5FF0">
        <w:rPr>
          <w:lang w:val="fr-FR"/>
        </w:rPr>
        <w:t>’</w:t>
      </w:r>
      <w:r w:rsidR="008A492C" w:rsidRPr="00B76B3A">
        <w:rPr>
          <w:lang w:val="fr-FR"/>
        </w:rPr>
        <w:t xml:space="preserve">obligation qui incombe </w:t>
      </w:r>
      <w:r w:rsidR="008A492C">
        <w:rPr>
          <w:lang w:val="fr-FR"/>
        </w:rPr>
        <w:t>à</w:t>
      </w:r>
      <w:r w:rsidR="008A492C" w:rsidRPr="00B76B3A">
        <w:rPr>
          <w:lang w:val="fr-FR"/>
        </w:rPr>
        <w:t xml:space="preserve"> l</w:t>
      </w:r>
      <w:r w:rsidR="00BE5FF0">
        <w:rPr>
          <w:lang w:val="fr-FR"/>
        </w:rPr>
        <w:t>’</w:t>
      </w:r>
      <w:r w:rsidR="008A492C" w:rsidRPr="00B76B3A">
        <w:rPr>
          <w:lang w:val="fr-FR"/>
        </w:rPr>
        <w:t>État partie en vertu de l</w:t>
      </w:r>
      <w:r w:rsidR="00BE5FF0">
        <w:rPr>
          <w:lang w:val="fr-FR"/>
        </w:rPr>
        <w:t>’</w:t>
      </w:r>
      <w:r w:rsidR="008A492C" w:rsidRPr="00B76B3A">
        <w:rPr>
          <w:lang w:val="fr-FR"/>
        </w:rPr>
        <w:t>article</w:t>
      </w:r>
      <w:r w:rsidR="008A492C">
        <w:rPr>
          <w:lang w:val="fr-FR"/>
        </w:rPr>
        <w:t> 7 du Pacte.</w:t>
      </w:r>
    </w:p>
    <w:p w:rsidR="008A492C" w:rsidRPr="00B76B3A" w:rsidRDefault="008A492C" w:rsidP="008A492C">
      <w:pPr>
        <w:pStyle w:val="SingleTxtG"/>
        <w:rPr>
          <w:lang w:val="fr-FR"/>
        </w:rPr>
      </w:pPr>
      <w:r>
        <w:rPr>
          <w:lang w:val="fr-FR"/>
        </w:rPr>
        <w:t>4.6</w:t>
      </w:r>
      <w:r w:rsidRPr="00B76B3A">
        <w:rPr>
          <w:lang w:val="fr-FR"/>
        </w:rPr>
        <w:tab/>
        <w:t>Lorsqu</w:t>
      </w:r>
      <w:r w:rsidR="00BE5FF0">
        <w:rPr>
          <w:lang w:val="fr-FR"/>
        </w:rPr>
        <w:t>’</w:t>
      </w:r>
      <w:r w:rsidRPr="00B76B3A">
        <w:rPr>
          <w:lang w:val="fr-FR"/>
        </w:rPr>
        <w:t>ils examinent une demande d</w:t>
      </w:r>
      <w:r w:rsidR="00BE5FF0">
        <w:rPr>
          <w:lang w:val="fr-FR"/>
        </w:rPr>
        <w:t>’</w:t>
      </w:r>
      <w:r w:rsidRPr="00B76B3A">
        <w:rPr>
          <w:lang w:val="fr-FR"/>
        </w:rPr>
        <w:t>asile présentée au titre de la loi relative aux étrangers, les services suédois de l</w:t>
      </w:r>
      <w:r w:rsidR="00BE5FF0">
        <w:rPr>
          <w:lang w:val="fr-FR"/>
        </w:rPr>
        <w:t>’</w:t>
      </w:r>
      <w:r w:rsidRPr="00B76B3A">
        <w:rPr>
          <w:lang w:val="fr-FR"/>
        </w:rPr>
        <w:t>immigration appliquent les mêmes critères que le Comité lorsqu</w:t>
      </w:r>
      <w:r w:rsidR="00BE5FF0">
        <w:rPr>
          <w:lang w:val="fr-FR"/>
        </w:rPr>
        <w:t>’</w:t>
      </w:r>
      <w:r w:rsidRPr="00B76B3A">
        <w:rPr>
          <w:lang w:val="fr-FR"/>
        </w:rPr>
        <w:t>il examine une communication présentée au titre de l</w:t>
      </w:r>
      <w:r w:rsidR="00BE5FF0">
        <w:rPr>
          <w:lang w:val="fr-FR"/>
        </w:rPr>
        <w:t>’</w:t>
      </w:r>
      <w:r w:rsidRPr="00B76B3A">
        <w:rPr>
          <w:lang w:val="fr-FR"/>
        </w:rPr>
        <w:t>article 7 du Pacte. L</w:t>
      </w:r>
      <w:r w:rsidR="00BE5FF0">
        <w:rPr>
          <w:lang w:val="fr-FR"/>
        </w:rPr>
        <w:t>’</w:t>
      </w:r>
      <w:r w:rsidRPr="00B76B3A">
        <w:rPr>
          <w:lang w:val="fr-FR"/>
        </w:rPr>
        <w:t xml:space="preserve">organisme national qui </w:t>
      </w:r>
      <w:r w:rsidR="00B30E58">
        <w:rPr>
          <w:lang w:val="fr-FR"/>
        </w:rPr>
        <w:t>étudie la demande d</w:t>
      </w:r>
      <w:r w:rsidR="00BE5FF0">
        <w:rPr>
          <w:lang w:val="fr-FR"/>
        </w:rPr>
        <w:t>’</w:t>
      </w:r>
      <w:r w:rsidR="00B30E58">
        <w:rPr>
          <w:lang w:val="fr-FR"/>
        </w:rPr>
        <w:t xml:space="preserve">asile </w:t>
      </w:r>
      <w:r w:rsidRPr="00B76B3A">
        <w:rPr>
          <w:lang w:val="fr-FR"/>
        </w:rPr>
        <w:t>est très bien placé pour évaluer les</w:t>
      </w:r>
      <w:r>
        <w:rPr>
          <w:lang w:val="fr-FR"/>
        </w:rPr>
        <w:t xml:space="preserve"> informations présentées par le demandeur</w:t>
      </w:r>
      <w:r w:rsidR="00B30E58">
        <w:rPr>
          <w:lang w:val="fr-FR"/>
        </w:rPr>
        <w:t xml:space="preserve"> ainsi que pour </w:t>
      </w:r>
      <w:r w:rsidR="00054BE4">
        <w:rPr>
          <w:lang w:val="fr-FR"/>
        </w:rPr>
        <w:t>apprécier la crédibilité de ses </w:t>
      </w:r>
      <w:r>
        <w:rPr>
          <w:lang w:val="fr-FR"/>
        </w:rPr>
        <w:t>griefs</w:t>
      </w:r>
      <w:r w:rsidRPr="00B76B3A">
        <w:rPr>
          <w:lang w:val="fr-FR"/>
        </w:rPr>
        <w:t>.</w:t>
      </w:r>
    </w:p>
    <w:p w:rsidR="008A492C" w:rsidRPr="00B76B3A" w:rsidRDefault="008A492C" w:rsidP="008A492C">
      <w:pPr>
        <w:pStyle w:val="SingleTxtG"/>
        <w:rPr>
          <w:lang w:val="fr-FR"/>
        </w:rPr>
      </w:pPr>
      <w:r w:rsidRPr="00B76B3A">
        <w:rPr>
          <w:lang w:val="fr-FR"/>
        </w:rPr>
        <w:t>4.7</w:t>
      </w:r>
      <w:r w:rsidRPr="00B76B3A">
        <w:rPr>
          <w:lang w:val="fr-FR"/>
        </w:rPr>
        <w:tab/>
        <w:t>En ce qui concerne l</w:t>
      </w:r>
      <w:r w:rsidR="00BE5FF0">
        <w:rPr>
          <w:lang w:val="fr-FR"/>
        </w:rPr>
        <w:t>’</w:t>
      </w:r>
      <w:r w:rsidRPr="00B76B3A">
        <w:rPr>
          <w:lang w:val="fr-FR"/>
        </w:rPr>
        <w:t>argument de l</w:t>
      </w:r>
      <w:r w:rsidR="00BE5FF0">
        <w:rPr>
          <w:lang w:val="fr-FR"/>
        </w:rPr>
        <w:t>’</w:t>
      </w:r>
      <w:r w:rsidRPr="00B76B3A">
        <w:rPr>
          <w:lang w:val="fr-FR"/>
        </w:rPr>
        <w:t xml:space="preserve">auteur qui affirme courir </w:t>
      </w:r>
      <w:r>
        <w:rPr>
          <w:lang w:val="fr-FR"/>
        </w:rPr>
        <w:t xml:space="preserve">personnellement </w:t>
      </w:r>
      <w:r w:rsidRPr="00B76B3A">
        <w:rPr>
          <w:lang w:val="fr-FR"/>
        </w:rPr>
        <w:t xml:space="preserve">un risque réel </w:t>
      </w:r>
      <w:r>
        <w:rPr>
          <w:lang w:val="fr-FR"/>
        </w:rPr>
        <w:t>d</w:t>
      </w:r>
      <w:r w:rsidR="00BE5FF0">
        <w:rPr>
          <w:lang w:val="fr-FR"/>
        </w:rPr>
        <w:t>’</w:t>
      </w:r>
      <w:r w:rsidRPr="00B76B3A">
        <w:rPr>
          <w:lang w:val="fr-FR"/>
        </w:rPr>
        <w:t>être soumis</w:t>
      </w:r>
      <w:r>
        <w:rPr>
          <w:lang w:val="fr-FR"/>
        </w:rPr>
        <w:t>e</w:t>
      </w:r>
      <w:r w:rsidRPr="00B76B3A">
        <w:rPr>
          <w:lang w:val="fr-FR"/>
        </w:rPr>
        <w:t xml:space="preserve"> à la torture ou à d</w:t>
      </w:r>
      <w:r w:rsidR="00BE5FF0">
        <w:rPr>
          <w:lang w:val="fr-FR"/>
        </w:rPr>
        <w:t>’</w:t>
      </w:r>
      <w:r w:rsidRPr="00B76B3A">
        <w:rPr>
          <w:lang w:val="fr-FR"/>
        </w:rPr>
        <w:t>autres peines ou traitements cruels, inhumains ou dégradants au Bangladesh par les autorités bangladaises ainsi que par l</w:t>
      </w:r>
      <w:r w:rsidR="00BE5FF0">
        <w:rPr>
          <w:lang w:val="fr-FR"/>
        </w:rPr>
        <w:t>’</w:t>
      </w:r>
      <w:r w:rsidRPr="00B76B3A">
        <w:rPr>
          <w:lang w:val="fr-FR"/>
        </w:rPr>
        <w:t xml:space="preserve">organisation étudiante islamique </w:t>
      </w:r>
      <w:r w:rsidR="00B30E58">
        <w:rPr>
          <w:lang w:val="fr-FR"/>
        </w:rPr>
        <w:t>Shhatra Shib</w:t>
      </w:r>
      <w:r w:rsidRPr="007A6E08">
        <w:rPr>
          <w:lang w:val="fr-FR"/>
        </w:rPr>
        <w:t>ir (</w:t>
      </w:r>
      <w:r>
        <w:rPr>
          <w:lang w:val="fr-FR"/>
        </w:rPr>
        <w:t>«</w:t>
      </w:r>
      <w:r w:rsidRPr="007A6E08">
        <w:rPr>
          <w:lang w:val="fr-FR"/>
        </w:rPr>
        <w:t>Islami Chhatra Shibir</w:t>
      </w:r>
      <w:r>
        <w:rPr>
          <w:lang w:val="fr-FR"/>
        </w:rPr>
        <w:t>»</w:t>
      </w:r>
      <w:r w:rsidRPr="007A6E08">
        <w:rPr>
          <w:lang w:val="fr-FR"/>
        </w:rPr>
        <w:t>)</w:t>
      </w:r>
      <w:r w:rsidRPr="00B76B3A">
        <w:rPr>
          <w:lang w:val="fr-FR"/>
        </w:rPr>
        <w:t xml:space="preserve"> en raison de son orientation sexuelle, l</w:t>
      </w:r>
      <w:r w:rsidR="00BE5FF0">
        <w:rPr>
          <w:lang w:val="fr-FR"/>
        </w:rPr>
        <w:t>’</w:t>
      </w:r>
      <w:r w:rsidRPr="00B76B3A">
        <w:rPr>
          <w:lang w:val="fr-FR"/>
        </w:rPr>
        <w:t xml:space="preserve">État partie rappelle </w:t>
      </w:r>
      <w:r>
        <w:rPr>
          <w:lang w:val="fr-FR"/>
        </w:rPr>
        <w:t xml:space="preserve">que cet argument </w:t>
      </w:r>
      <w:r w:rsidRPr="00B76B3A">
        <w:rPr>
          <w:lang w:val="fr-FR"/>
        </w:rPr>
        <w:t>a été examiné de manière approfondie par l</w:t>
      </w:r>
      <w:r w:rsidR="00BE5FF0">
        <w:rPr>
          <w:lang w:val="fr-FR"/>
        </w:rPr>
        <w:t>’</w:t>
      </w:r>
      <w:r>
        <w:rPr>
          <w:lang w:val="fr-FR"/>
        </w:rPr>
        <w:t>Office</w:t>
      </w:r>
      <w:r w:rsidRPr="00B76B3A">
        <w:rPr>
          <w:lang w:val="fr-FR"/>
        </w:rPr>
        <w:t xml:space="preserve"> des migrations ainsi que par les tribunaux des affaires de migration</w:t>
      </w:r>
      <w:r>
        <w:rPr>
          <w:lang w:val="fr-FR"/>
        </w:rPr>
        <w:t>s</w:t>
      </w:r>
      <w:r w:rsidRPr="00B76B3A">
        <w:rPr>
          <w:lang w:val="fr-FR"/>
        </w:rPr>
        <w:t>. Avant de statuer sur la demande, l</w:t>
      </w:r>
      <w:r w:rsidR="00BE5FF0">
        <w:rPr>
          <w:lang w:val="fr-FR"/>
        </w:rPr>
        <w:t>’</w:t>
      </w:r>
      <w:r>
        <w:rPr>
          <w:lang w:val="fr-FR"/>
        </w:rPr>
        <w:t>Office a eu avec l</w:t>
      </w:r>
      <w:r w:rsidR="00BE5FF0">
        <w:rPr>
          <w:lang w:val="fr-FR"/>
        </w:rPr>
        <w:t>’</w:t>
      </w:r>
      <w:r>
        <w:rPr>
          <w:lang w:val="fr-FR"/>
        </w:rPr>
        <w:t>auteur</w:t>
      </w:r>
      <w:r w:rsidR="00B30E58">
        <w:rPr>
          <w:lang w:val="fr-FR"/>
        </w:rPr>
        <w:t xml:space="preserve"> </w:t>
      </w:r>
      <w:r w:rsidRPr="00B76B3A">
        <w:rPr>
          <w:lang w:val="fr-FR"/>
        </w:rPr>
        <w:t xml:space="preserve">un bref entretien préliminaire au sujet </w:t>
      </w:r>
      <w:r>
        <w:rPr>
          <w:lang w:val="fr-FR"/>
        </w:rPr>
        <w:t>d</w:t>
      </w:r>
      <w:r w:rsidRPr="00B76B3A">
        <w:rPr>
          <w:lang w:val="fr-FR"/>
        </w:rPr>
        <w:t xml:space="preserve">e </w:t>
      </w:r>
      <w:r>
        <w:rPr>
          <w:lang w:val="fr-FR"/>
        </w:rPr>
        <w:t xml:space="preserve">la </w:t>
      </w:r>
      <w:r w:rsidRPr="00B76B3A">
        <w:rPr>
          <w:lang w:val="fr-FR"/>
        </w:rPr>
        <w:t>de</w:t>
      </w:r>
      <w:r>
        <w:rPr>
          <w:lang w:val="fr-FR"/>
        </w:rPr>
        <w:t>m</w:t>
      </w:r>
      <w:r w:rsidRPr="00B76B3A">
        <w:rPr>
          <w:lang w:val="fr-FR"/>
        </w:rPr>
        <w:t>ande d</w:t>
      </w:r>
      <w:r w:rsidR="00BE5FF0">
        <w:rPr>
          <w:lang w:val="fr-FR"/>
        </w:rPr>
        <w:t>’</w:t>
      </w:r>
      <w:r w:rsidR="00B30E58">
        <w:rPr>
          <w:lang w:val="fr-FR"/>
        </w:rPr>
        <w:t>asile ainsi qu</w:t>
      </w:r>
      <w:r w:rsidR="00BE5FF0">
        <w:rPr>
          <w:lang w:val="fr-FR"/>
        </w:rPr>
        <w:t>’</w:t>
      </w:r>
      <w:r w:rsidRPr="00B76B3A">
        <w:rPr>
          <w:lang w:val="fr-FR"/>
        </w:rPr>
        <w:t xml:space="preserve">un entretien plus </w:t>
      </w:r>
      <w:r>
        <w:rPr>
          <w:lang w:val="fr-FR"/>
        </w:rPr>
        <w:t>long</w:t>
      </w:r>
      <w:r w:rsidRPr="00B76B3A">
        <w:rPr>
          <w:lang w:val="fr-FR"/>
        </w:rPr>
        <w:t xml:space="preserve"> qui a duré environ une heure quarante minutes et s</w:t>
      </w:r>
      <w:r w:rsidR="00BE5FF0">
        <w:rPr>
          <w:lang w:val="fr-FR"/>
        </w:rPr>
        <w:t>’</w:t>
      </w:r>
      <w:r w:rsidRPr="00B76B3A">
        <w:rPr>
          <w:lang w:val="fr-FR"/>
        </w:rPr>
        <w:t xml:space="preserve">est </w:t>
      </w:r>
      <w:r>
        <w:rPr>
          <w:lang w:val="fr-FR"/>
        </w:rPr>
        <w:t xml:space="preserve">déroulé </w:t>
      </w:r>
      <w:r w:rsidRPr="00B76B3A">
        <w:rPr>
          <w:lang w:val="fr-FR"/>
        </w:rPr>
        <w:t>en présence du conseil désigné par l</w:t>
      </w:r>
      <w:r w:rsidR="00BE5FF0">
        <w:rPr>
          <w:lang w:val="fr-FR"/>
        </w:rPr>
        <w:t>’</w:t>
      </w:r>
      <w:r w:rsidRPr="00B76B3A">
        <w:rPr>
          <w:lang w:val="fr-FR"/>
        </w:rPr>
        <w:t>auteur et d</w:t>
      </w:r>
      <w:r w:rsidR="00BE5FF0">
        <w:rPr>
          <w:lang w:val="fr-FR"/>
        </w:rPr>
        <w:t>’</w:t>
      </w:r>
      <w:r w:rsidRPr="00B76B3A">
        <w:rPr>
          <w:lang w:val="fr-FR"/>
        </w:rPr>
        <w:t>un interprète, qu</w:t>
      </w:r>
      <w:r w:rsidR="00BE5FF0">
        <w:rPr>
          <w:lang w:val="fr-FR"/>
        </w:rPr>
        <w:t>’</w:t>
      </w:r>
      <w:r w:rsidRPr="00B76B3A">
        <w:rPr>
          <w:lang w:val="fr-FR"/>
        </w:rPr>
        <w:t xml:space="preserve">elle a confirmé bien comprendre. De plus, </w:t>
      </w:r>
      <w:r w:rsidR="00B30E58">
        <w:rPr>
          <w:lang w:val="fr-FR"/>
        </w:rPr>
        <w:t>l</w:t>
      </w:r>
      <w:r w:rsidR="00BE5FF0">
        <w:rPr>
          <w:lang w:val="fr-FR"/>
        </w:rPr>
        <w:t>’</w:t>
      </w:r>
      <w:r w:rsidR="00B30E58">
        <w:rPr>
          <w:lang w:val="fr-FR"/>
        </w:rPr>
        <w:t xml:space="preserve">auteur </w:t>
      </w:r>
      <w:r w:rsidRPr="00B76B3A">
        <w:rPr>
          <w:lang w:val="fr-FR"/>
        </w:rPr>
        <w:t xml:space="preserve">a eu la possibilité de </w:t>
      </w:r>
      <w:r w:rsidR="00B30E58">
        <w:rPr>
          <w:lang w:val="fr-FR"/>
        </w:rPr>
        <w:t xml:space="preserve">faire </w:t>
      </w:r>
      <w:r w:rsidRPr="00B76B3A">
        <w:rPr>
          <w:lang w:val="fr-FR"/>
        </w:rPr>
        <w:t xml:space="preserve">des observations sur le procès-verbal de cet entretien et a aussi </w:t>
      </w:r>
      <w:r>
        <w:rPr>
          <w:lang w:val="fr-FR"/>
        </w:rPr>
        <w:t xml:space="preserve">défendu sa cause </w:t>
      </w:r>
      <w:r w:rsidRPr="00B76B3A">
        <w:rPr>
          <w:lang w:val="fr-FR"/>
        </w:rPr>
        <w:t>par écrit au</w:t>
      </w:r>
      <w:r>
        <w:rPr>
          <w:lang w:val="fr-FR"/>
        </w:rPr>
        <w:t>près de l</w:t>
      </w:r>
      <w:r w:rsidR="00BE5FF0">
        <w:rPr>
          <w:lang w:val="fr-FR"/>
        </w:rPr>
        <w:t>’</w:t>
      </w:r>
      <w:r>
        <w:rPr>
          <w:lang w:val="fr-FR"/>
        </w:rPr>
        <w:t>Office</w:t>
      </w:r>
      <w:r w:rsidRPr="00B76B3A">
        <w:rPr>
          <w:lang w:val="fr-FR"/>
        </w:rPr>
        <w:t xml:space="preserve"> des migrations et des tribunaux des migration</w:t>
      </w:r>
      <w:r>
        <w:rPr>
          <w:lang w:val="fr-FR"/>
        </w:rPr>
        <w:t>s</w:t>
      </w:r>
      <w:r w:rsidRPr="00B76B3A">
        <w:rPr>
          <w:lang w:val="fr-FR"/>
        </w:rPr>
        <w:t>. Le tribunal de</w:t>
      </w:r>
      <w:r>
        <w:rPr>
          <w:lang w:val="fr-FR"/>
        </w:rPr>
        <w:t>s</w:t>
      </w:r>
      <w:r w:rsidRPr="00B76B3A">
        <w:rPr>
          <w:lang w:val="fr-FR"/>
        </w:rPr>
        <w:t xml:space="preserve"> migration</w:t>
      </w:r>
      <w:r>
        <w:rPr>
          <w:lang w:val="fr-FR"/>
        </w:rPr>
        <w:t>s</w:t>
      </w:r>
      <w:r w:rsidRPr="00B76B3A">
        <w:rPr>
          <w:lang w:val="fr-FR"/>
        </w:rPr>
        <w:t xml:space="preserve"> a aussi tenu une audience </w:t>
      </w:r>
      <w:r>
        <w:rPr>
          <w:lang w:val="fr-FR"/>
        </w:rPr>
        <w:t>à</w:t>
      </w:r>
      <w:r w:rsidRPr="00B76B3A">
        <w:rPr>
          <w:lang w:val="fr-FR"/>
        </w:rPr>
        <w:t xml:space="preserve"> laquelle l</w:t>
      </w:r>
      <w:r w:rsidR="00BE5FF0">
        <w:rPr>
          <w:lang w:val="fr-FR"/>
        </w:rPr>
        <w:t>’</w:t>
      </w:r>
      <w:r w:rsidRPr="00B76B3A">
        <w:rPr>
          <w:lang w:val="fr-FR"/>
        </w:rPr>
        <w:t>auteur a été entendu</w:t>
      </w:r>
      <w:r>
        <w:rPr>
          <w:lang w:val="fr-FR"/>
        </w:rPr>
        <w:t>e</w:t>
      </w:r>
      <w:r w:rsidRPr="00B76B3A">
        <w:rPr>
          <w:lang w:val="fr-FR"/>
        </w:rPr>
        <w:t xml:space="preserve">. De surcroît, </w:t>
      </w:r>
      <w:r w:rsidR="00B30E58">
        <w:rPr>
          <w:lang w:val="fr-FR"/>
        </w:rPr>
        <w:t xml:space="preserve">même </w:t>
      </w:r>
      <w:r w:rsidRPr="00B76B3A">
        <w:rPr>
          <w:lang w:val="fr-FR"/>
        </w:rPr>
        <w:t>après que la décision d</w:t>
      </w:r>
      <w:r w:rsidR="00BE5FF0">
        <w:rPr>
          <w:lang w:val="fr-FR"/>
        </w:rPr>
        <w:t>’</w:t>
      </w:r>
      <w:r w:rsidRPr="00B76B3A">
        <w:rPr>
          <w:lang w:val="fr-FR"/>
        </w:rPr>
        <w:t xml:space="preserve">expulsion </w:t>
      </w:r>
      <w:r>
        <w:rPr>
          <w:lang w:val="fr-FR"/>
        </w:rPr>
        <w:t>es</w:t>
      </w:r>
      <w:r w:rsidRPr="00B76B3A">
        <w:rPr>
          <w:lang w:val="fr-FR"/>
        </w:rPr>
        <w:t>t devenue exécutoire, l</w:t>
      </w:r>
      <w:r w:rsidR="00BE5FF0">
        <w:rPr>
          <w:lang w:val="fr-FR"/>
        </w:rPr>
        <w:t>’</w:t>
      </w:r>
      <w:r>
        <w:rPr>
          <w:lang w:val="fr-FR"/>
        </w:rPr>
        <w:t>Office</w:t>
      </w:r>
      <w:r w:rsidRPr="00B76B3A">
        <w:rPr>
          <w:lang w:val="fr-FR"/>
        </w:rPr>
        <w:t xml:space="preserve"> des migrations a à deux reprises examiné de nouvelles circonstances invoquées par l</w:t>
      </w:r>
      <w:r w:rsidR="00BE5FF0">
        <w:rPr>
          <w:lang w:val="fr-FR"/>
        </w:rPr>
        <w:t>’</w:t>
      </w:r>
      <w:r w:rsidRPr="00B76B3A">
        <w:rPr>
          <w:lang w:val="fr-FR"/>
        </w:rPr>
        <w:t>auteur en vertu du chapitre</w:t>
      </w:r>
      <w:r>
        <w:rPr>
          <w:lang w:val="fr-FR"/>
        </w:rPr>
        <w:t> </w:t>
      </w:r>
      <w:r w:rsidRPr="00B76B3A">
        <w:rPr>
          <w:lang w:val="fr-FR"/>
        </w:rPr>
        <w:t xml:space="preserve">12 de la loi relative aux étrangers. </w:t>
      </w:r>
      <w:r>
        <w:rPr>
          <w:lang w:val="fr-FR"/>
        </w:rPr>
        <w:t>L</w:t>
      </w:r>
      <w:r w:rsidRPr="00B76B3A">
        <w:rPr>
          <w:lang w:val="fr-FR"/>
        </w:rPr>
        <w:t>a décision d</w:t>
      </w:r>
      <w:r w:rsidR="00BE5FF0">
        <w:rPr>
          <w:lang w:val="fr-FR"/>
        </w:rPr>
        <w:t>’</w:t>
      </w:r>
      <w:r w:rsidRPr="00B76B3A">
        <w:rPr>
          <w:lang w:val="fr-FR"/>
        </w:rPr>
        <w:t>expulsion</w:t>
      </w:r>
      <w:r>
        <w:rPr>
          <w:lang w:val="fr-FR"/>
        </w:rPr>
        <w:t xml:space="preserve"> a fait l</w:t>
      </w:r>
      <w:r w:rsidR="00BE5FF0">
        <w:rPr>
          <w:lang w:val="fr-FR"/>
        </w:rPr>
        <w:t>’</w:t>
      </w:r>
      <w:r>
        <w:rPr>
          <w:lang w:val="fr-FR"/>
        </w:rPr>
        <w:t>objet d</w:t>
      </w:r>
      <w:r w:rsidR="00BE5FF0">
        <w:rPr>
          <w:lang w:val="fr-FR"/>
        </w:rPr>
        <w:t>’</w:t>
      </w:r>
      <w:r>
        <w:rPr>
          <w:lang w:val="fr-FR"/>
        </w:rPr>
        <w:t>un recours</w:t>
      </w:r>
      <w:r w:rsidRPr="00B76B3A">
        <w:rPr>
          <w:lang w:val="fr-FR"/>
        </w:rPr>
        <w:t>, mais les tribunaux ne l</w:t>
      </w:r>
      <w:r w:rsidR="00BE5FF0">
        <w:rPr>
          <w:lang w:val="fr-FR"/>
        </w:rPr>
        <w:t>’</w:t>
      </w:r>
      <w:r w:rsidRPr="00B76B3A">
        <w:rPr>
          <w:lang w:val="fr-FR"/>
        </w:rPr>
        <w:t>ont pas annulée. En conséquence, il convient d</w:t>
      </w:r>
      <w:r>
        <w:rPr>
          <w:lang w:val="fr-FR"/>
        </w:rPr>
        <w:t>e considérer que l</w:t>
      </w:r>
      <w:r w:rsidR="00BE5FF0">
        <w:rPr>
          <w:lang w:val="fr-FR"/>
        </w:rPr>
        <w:t>’</w:t>
      </w:r>
      <w:r>
        <w:rPr>
          <w:lang w:val="fr-FR"/>
        </w:rPr>
        <w:t>Office des migrations et les tribunaux des migrations disposaien</w:t>
      </w:r>
      <w:r w:rsidRPr="00B76B3A">
        <w:rPr>
          <w:lang w:val="fr-FR"/>
        </w:rPr>
        <w:t>t d</w:t>
      </w:r>
      <w:r w:rsidR="00BE5FF0">
        <w:rPr>
          <w:lang w:val="fr-FR"/>
        </w:rPr>
        <w:t>’</w:t>
      </w:r>
      <w:r w:rsidRPr="00B76B3A">
        <w:rPr>
          <w:lang w:val="fr-FR"/>
        </w:rPr>
        <w:t xml:space="preserve">une solide base pour évaluer </w:t>
      </w:r>
      <w:r>
        <w:rPr>
          <w:lang w:val="fr-FR"/>
        </w:rPr>
        <w:t>si l</w:t>
      </w:r>
      <w:r w:rsidR="00BE5FF0">
        <w:rPr>
          <w:lang w:val="fr-FR"/>
        </w:rPr>
        <w:t>’</w:t>
      </w:r>
      <w:r>
        <w:rPr>
          <w:lang w:val="fr-FR"/>
        </w:rPr>
        <w:t>auteur avait besoin d</w:t>
      </w:r>
      <w:r w:rsidR="00BE5FF0">
        <w:rPr>
          <w:lang w:val="fr-FR"/>
        </w:rPr>
        <w:t>’</w:t>
      </w:r>
      <w:r>
        <w:rPr>
          <w:lang w:val="fr-FR"/>
        </w:rPr>
        <w:t>une protection en Suède.</w:t>
      </w:r>
      <w:r w:rsidRPr="00B76B3A">
        <w:rPr>
          <w:lang w:val="fr-FR"/>
        </w:rPr>
        <w:t xml:space="preserve"> Il n</w:t>
      </w:r>
      <w:r w:rsidR="00BE5FF0">
        <w:rPr>
          <w:lang w:val="fr-FR"/>
        </w:rPr>
        <w:t>’</w:t>
      </w:r>
      <w:r w:rsidRPr="00B76B3A">
        <w:rPr>
          <w:lang w:val="fr-FR"/>
        </w:rPr>
        <w:t>y a pas de raison de conclure que les décisions des autorités charg</w:t>
      </w:r>
      <w:r>
        <w:rPr>
          <w:lang w:val="fr-FR"/>
        </w:rPr>
        <w:t>ées</w:t>
      </w:r>
      <w:r w:rsidRPr="00B76B3A">
        <w:rPr>
          <w:lang w:val="fr-FR"/>
        </w:rPr>
        <w:t xml:space="preserve"> des migrations </w:t>
      </w:r>
      <w:r>
        <w:rPr>
          <w:lang w:val="fr-FR"/>
        </w:rPr>
        <w:t>o</w:t>
      </w:r>
      <w:r w:rsidRPr="00B76B3A">
        <w:rPr>
          <w:lang w:val="fr-FR"/>
        </w:rPr>
        <w:t>nt été in</w:t>
      </w:r>
      <w:r>
        <w:rPr>
          <w:lang w:val="fr-FR"/>
        </w:rPr>
        <w:t>correc</w:t>
      </w:r>
      <w:r w:rsidRPr="00B76B3A">
        <w:rPr>
          <w:lang w:val="fr-FR"/>
        </w:rPr>
        <w:t>tes ou que le résultat des procédures nationales a</w:t>
      </w:r>
      <w:r>
        <w:rPr>
          <w:lang w:val="fr-FR"/>
        </w:rPr>
        <w:t xml:space="preserve"> été clairement arbitraire ou a</w:t>
      </w:r>
      <w:r w:rsidR="00B30E58">
        <w:rPr>
          <w:lang w:val="fr-FR"/>
        </w:rPr>
        <w:t xml:space="preserve"> constitué un déni de justice. En fait, il faudrait </w:t>
      </w:r>
      <w:r w:rsidRPr="00B76B3A">
        <w:rPr>
          <w:lang w:val="fr-FR"/>
        </w:rPr>
        <w:t xml:space="preserve">accorder </w:t>
      </w:r>
      <w:r>
        <w:rPr>
          <w:lang w:val="fr-FR"/>
        </w:rPr>
        <w:t xml:space="preserve">le </w:t>
      </w:r>
      <w:r w:rsidRPr="00B76B3A">
        <w:rPr>
          <w:lang w:val="fr-FR"/>
        </w:rPr>
        <w:t xml:space="preserve">crédit </w:t>
      </w:r>
      <w:r>
        <w:rPr>
          <w:lang w:val="fr-FR"/>
        </w:rPr>
        <w:t xml:space="preserve">voulu </w:t>
      </w:r>
      <w:r w:rsidRPr="00B76B3A">
        <w:rPr>
          <w:lang w:val="fr-FR"/>
        </w:rPr>
        <w:t>à l</w:t>
      </w:r>
      <w:r w:rsidR="00BE5FF0">
        <w:rPr>
          <w:lang w:val="fr-FR"/>
        </w:rPr>
        <w:t>’</w:t>
      </w:r>
      <w:r w:rsidRPr="00B76B3A">
        <w:rPr>
          <w:lang w:val="fr-FR"/>
        </w:rPr>
        <w:t>évaluation réalisée par les services de l</w:t>
      </w:r>
      <w:r w:rsidR="00BE5FF0">
        <w:rPr>
          <w:lang w:val="fr-FR"/>
        </w:rPr>
        <w:t>’</w:t>
      </w:r>
      <w:r w:rsidRPr="00B76B3A">
        <w:rPr>
          <w:lang w:val="fr-FR"/>
        </w:rPr>
        <w:t>immigration de l</w:t>
      </w:r>
      <w:r w:rsidR="00BE5FF0">
        <w:rPr>
          <w:lang w:val="fr-FR"/>
        </w:rPr>
        <w:t>’</w:t>
      </w:r>
      <w:r w:rsidRPr="00B76B3A">
        <w:rPr>
          <w:lang w:val="fr-FR"/>
        </w:rPr>
        <w:t>État partie.</w:t>
      </w:r>
    </w:p>
    <w:p w:rsidR="008A492C" w:rsidRPr="00B76B3A" w:rsidRDefault="008A492C" w:rsidP="008A492C">
      <w:pPr>
        <w:pStyle w:val="SingleTxtG"/>
        <w:keepLines/>
        <w:rPr>
          <w:lang w:val="fr-FR"/>
        </w:rPr>
      </w:pPr>
      <w:r w:rsidRPr="00B76B3A">
        <w:rPr>
          <w:lang w:val="fr-FR"/>
        </w:rPr>
        <w:t>4.8</w:t>
      </w:r>
      <w:r w:rsidRPr="00B76B3A">
        <w:rPr>
          <w:lang w:val="fr-FR"/>
        </w:rPr>
        <w:tab/>
        <w:t xml:space="preserve">En ce qui concerne les </w:t>
      </w:r>
      <w:r>
        <w:rPr>
          <w:lang w:val="fr-FR"/>
        </w:rPr>
        <w:t>grief</w:t>
      </w:r>
      <w:r w:rsidRPr="00B76B3A">
        <w:rPr>
          <w:lang w:val="fr-FR"/>
        </w:rPr>
        <w:t>s de persécutions, l</w:t>
      </w:r>
      <w:r w:rsidR="00BE5FF0">
        <w:rPr>
          <w:lang w:val="fr-FR"/>
        </w:rPr>
        <w:t>’</w:t>
      </w:r>
      <w:r w:rsidRPr="00B76B3A">
        <w:rPr>
          <w:lang w:val="fr-FR"/>
        </w:rPr>
        <w:t xml:space="preserve">État partie </w:t>
      </w:r>
      <w:r w:rsidR="00177351">
        <w:rPr>
          <w:lang w:val="fr-FR"/>
        </w:rPr>
        <w:t>objecte</w:t>
      </w:r>
      <w:r w:rsidRPr="00B76B3A">
        <w:rPr>
          <w:lang w:val="fr-FR"/>
        </w:rPr>
        <w:t xml:space="preserve"> que le récit de l</w:t>
      </w:r>
      <w:r w:rsidR="00BE5FF0">
        <w:rPr>
          <w:lang w:val="fr-FR"/>
        </w:rPr>
        <w:t>’</w:t>
      </w:r>
      <w:r w:rsidRPr="00B76B3A">
        <w:rPr>
          <w:lang w:val="fr-FR"/>
        </w:rPr>
        <w:t xml:space="preserve">auteur contient des contradictions et des ambiguïtés au sujet des faits qui se sont produits après son retour au Bangladesh en juillet 2006, </w:t>
      </w:r>
      <w:r>
        <w:rPr>
          <w:lang w:val="fr-FR"/>
        </w:rPr>
        <w:t>dont</w:t>
      </w:r>
      <w:r w:rsidRPr="00B76B3A">
        <w:rPr>
          <w:lang w:val="fr-FR"/>
        </w:rPr>
        <w:t xml:space="preserve"> beaucoup ont déjà été relevées dans l</w:t>
      </w:r>
      <w:r>
        <w:rPr>
          <w:lang w:val="fr-FR"/>
        </w:rPr>
        <w:t xml:space="preserve">a décision </w:t>
      </w:r>
      <w:r w:rsidRPr="00B76B3A">
        <w:rPr>
          <w:lang w:val="fr-FR"/>
        </w:rPr>
        <w:t>du tribunal des migration</w:t>
      </w:r>
      <w:r>
        <w:rPr>
          <w:lang w:val="fr-FR"/>
        </w:rPr>
        <w:t>s</w:t>
      </w:r>
      <w:r w:rsidRPr="00B76B3A">
        <w:rPr>
          <w:lang w:val="fr-FR"/>
        </w:rPr>
        <w:t xml:space="preserve"> en date du</w:t>
      </w:r>
      <w:r>
        <w:rPr>
          <w:lang w:val="fr-FR"/>
        </w:rPr>
        <w:t> </w:t>
      </w:r>
      <w:r w:rsidRPr="00B76B3A">
        <w:rPr>
          <w:lang w:val="fr-FR"/>
        </w:rPr>
        <w:t>22</w:t>
      </w:r>
      <w:r>
        <w:rPr>
          <w:lang w:val="fr-FR"/>
        </w:rPr>
        <w:t> </w:t>
      </w:r>
      <w:r w:rsidRPr="00B76B3A">
        <w:rPr>
          <w:lang w:val="fr-FR"/>
        </w:rPr>
        <w:t>décembre 2009. Lors du premier entretien devant l</w:t>
      </w:r>
      <w:r w:rsidR="00BE5FF0">
        <w:rPr>
          <w:lang w:val="fr-FR"/>
        </w:rPr>
        <w:t>’</w:t>
      </w:r>
      <w:r>
        <w:rPr>
          <w:lang w:val="fr-FR"/>
        </w:rPr>
        <w:t>Offic</w:t>
      </w:r>
      <w:r w:rsidRPr="00B76B3A">
        <w:rPr>
          <w:lang w:val="fr-FR"/>
        </w:rPr>
        <w:t>e</w:t>
      </w:r>
      <w:r>
        <w:rPr>
          <w:lang w:val="fr-FR"/>
        </w:rPr>
        <w:t xml:space="preserve"> </w:t>
      </w:r>
      <w:r w:rsidRPr="00B76B3A">
        <w:rPr>
          <w:lang w:val="fr-FR"/>
        </w:rPr>
        <w:t xml:space="preserve">des </w:t>
      </w:r>
      <w:r>
        <w:rPr>
          <w:lang w:val="fr-FR"/>
        </w:rPr>
        <w:t>migrations, le 19 </w:t>
      </w:r>
      <w:r w:rsidRPr="00B76B3A">
        <w:rPr>
          <w:lang w:val="fr-FR"/>
        </w:rPr>
        <w:t>mai 2008, l</w:t>
      </w:r>
      <w:r w:rsidR="00BE5FF0">
        <w:rPr>
          <w:lang w:val="fr-FR"/>
        </w:rPr>
        <w:t>’</w:t>
      </w:r>
      <w:r w:rsidRPr="00B76B3A">
        <w:rPr>
          <w:lang w:val="fr-FR"/>
        </w:rPr>
        <w:t>auteur a affirmé que s</w:t>
      </w:r>
      <w:r w:rsidR="00177351">
        <w:rPr>
          <w:lang w:val="fr-FR"/>
        </w:rPr>
        <w:t xml:space="preserve">es parents </w:t>
      </w:r>
      <w:r w:rsidRPr="00B76B3A">
        <w:rPr>
          <w:lang w:val="fr-FR"/>
        </w:rPr>
        <w:t>au Bangladesh l</w:t>
      </w:r>
      <w:r w:rsidR="00BE5FF0">
        <w:rPr>
          <w:lang w:val="fr-FR"/>
        </w:rPr>
        <w:t>’</w:t>
      </w:r>
      <w:r>
        <w:rPr>
          <w:lang w:val="fr-FR"/>
        </w:rPr>
        <w:t>avai</w:t>
      </w:r>
      <w:r w:rsidR="00177351">
        <w:rPr>
          <w:lang w:val="fr-FR"/>
        </w:rPr>
        <w:t>en</w:t>
      </w:r>
      <w:r>
        <w:rPr>
          <w:lang w:val="fr-FR"/>
        </w:rPr>
        <w:t>t mise à la porte en 2002</w:t>
      </w:r>
      <w:r>
        <w:rPr>
          <w:lang w:val="fr-FR"/>
        </w:rPr>
        <w:noBreakHyphen/>
        <w:t xml:space="preserve">2003, </w:t>
      </w:r>
      <w:r w:rsidR="00177351">
        <w:rPr>
          <w:lang w:val="fr-FR"/>
        </w:rPr>
        <w:t xml:space="preserve">quand ils avaient </w:t>
      </w:r>
      <w:r>
        <w:rPr>
          <w:lang w:val="fr-FR"/>
        </w:rPr>
        <w:t>appris qu</w:t>
      </w:r>
      <w:r w:rsidR="00BE5FF0">
        <w:rPr>
          <w:lang w:val="fr-FR"/>
        </w:rPr>
        <w:t>’</w:t>
      </w:r>
      <w:r>
        <w:rPr>
          <w:lang w:val="fr-FR"/>
        </w:rPr>
        <w:t xml:space="preserve">elle était </w:t>
      </w:r>
      <w:r w:rsidRPr="00B76B3A">
        <w:rPr>
          <w:lang w:val="fr-FR"/>
        </w:rPr>
        <w:t>homosexu</w:t>
      </w:r>
      <w:r>
        <w:rPr>
          <w:lang w:val="fr-FR"/>
        </w:rPr>
        <w:t>elle</w:t>
      </w:r>
      <w:r w:rsidRPr="00B76B3A">
        <w:rPr>
          <w:lang w:val="fr-FR"/>
        </w:rPr>
        <w:t xml:space="preserve">. </w:t>
      </w:r>
      <w:r>
        <w:rPr>
          <w:lang w:val="fr-FR"/>
        </w:rPr>
        <w:t>Or</w:t>
      </w:r>
      <w:r w:rsidR="003424C1">
        <w:rPr>
          <w:lang w:val="fr-FR"/>
        </w:rPr>
        <w:t>,</w:t>
      </w:r>
      <w:r>
        <w:rPr>
          <w:lang w:val="fr-FR"/>
        </w:rPr>
        <w:t xml:space="preserve"> l</w:t>
      </w:r>
      <w:r w:rsidRPr="00B76B3A">
        <w:rPr>
          <w:lang w:val="fr-FR"/>
        </w:rPr>
        <w:t>ors de l</w:t>
      </w:r>
      <w:r w:rsidR="00BE5FF0">
        <w:rPr>
          <w:lang w:val="fr-FR"/>
        </w:rPr>
        <w:t>’</w:t>
      </w:r>
      <w:r w:rsidRPr="00B76B3A">
        <w:rPr>
          <w:lang w:val="fr-FR"/>
        </w:rPr>
        <w:t>entretien du</w:t>
      </w:r>
      <w:r>
        <w:rPr>
          <w:lang w:val="fr-FR"/>
        </w:rPr>
        <w:t> </w:t>
      </w:r>
      <w:r w:rsidRPr="00B76B3A">
        <w:rPr>
          <w:lang w:val="fr-FR"/>
        </w:rPr>
        <w:t>8</w:t>
      </w:r>
      <w:r>
        <w:rPr>
          <w:lang w:val="fr-FR"/>
        </w:rPr>
        <w:t> </w:t>
      </w:r>
      <w:r w:rsidRPr="00B76B3A">
        <w:rPr>
          <w:lang w:val="fr-FR"/>
        </w:rPr>
        <w:t>décembre 2008 devant l</w:t>
      </w:r>
      <w:r w:rsidR="00BE5FF0">
        <w:rPr>
          <w:lang w:val="fr-FR"/>
        </w:rPr>
        <w:t>’</w:t>
      </w:r>
      <w:r>
        <w:rPr>
          <w:lang w:val="fr-FR"/>
        </w:rPr>
        <w:t>Offic</w:t>
      </w:r>
      <w:r w:rsidRPr="00B76B3A">
        <w:rPr>
          <w:lang w:val="fr-FR"/>
        </w:rPr>
        <w:t>e, elle a affirmé à plusieurs reprises que sa famille l</w:t>
      </w:r>
      <w:r w:rsidR="00BE5FF0">
        <w:rPr>
          <w:lang w:val="fr-FR"/>
        </w:rPr>
        <w:t>’</w:t>
      </w:r>
      <w:r w:rsidRPr="00B76B3A">
        <w:rPr>
          <w:lang w:val="fr-FR"/>
        </w:rPr>
        <w:t>avait mise à la porte</w:t>
      </w:r>
      <w:r w:rsidR="003424C1">
        <w:rPr>
          <w:lang w:val="fr-FR"/>
        </w:rPr>
        <w:t xml:space="preserve"> en 2006</w:t>
      </w:r>
      <w:r w:rsidRPr="00B76B3A">
        <w:rPr>
          <w:lang w:val="fr-FR"/>
        </w:rPr>
        <w:t>, c</w:t>
      </w:r>
      <w:r w:rsidR="00BE5FF0">
        <w:rPr>
          <w:lang w:val="fr-FR"/>
        </w:rPr>
        <w:t>’</w:t>
      </w:r>
      <w:r w:rsidRPr="00B76B3A">
        <w:rPr>
          <w:lang w:val="fr-FR"/>
        </w:rPr>
        <w:t xml:space="preserve">est-à-dire sans doute </w:t>
      </w:r>
      <w:r w:rsidR="00177351">
        <w:rPr>
          <w:lang w:val="fr-FR"/>
        </w:rPr>
        <w:t xml:space="preserve">peu </w:t>
      </w:r>
      <w:r w:rsidRPr="00B76B3A">
        <w:rPr>
          <w:lang w:val="fr-FR"/>
        </w:rPr>
        <w:t xml:space="preserve">après son retour </w:t>
      </w:r>
      <w:r w:rsidR="00177351">
        <w:rPr>
          <w:lang w:val="fr-FR"/>
        </w:rPr>
        <w:t>au Bangladesh</w:t>
      </w:r>
      <w:r w:rsidRPr="00B76B3A">
        <w:rPr>
          <w:lang w:val="fr-FR"/>
        </w:rPr>
        <w:t>. En outre, elle a précisé qu</w:t>
      </w:r>
      <w:r w:rsidR="00BE5FF0">
        <w:rPr>
          <w:lang w:val="fr-FR"/>
        </w:rPr>
        <w:t>’</w:t>
      </w:r>
      <w:r w:rsidRPr="00B76B3A">
        <w:rPr>
          <w:lang w:val="fr-FR"/>
        </w:rPr>
        <w:t>elle avait rencontré sa compagne à l</w:t>
      </w:r>
      <w:r w:rsidR="00BE5FF0">
        <w:rPr>
          <w:lang w:val="fr-FR"/>
        </w:rPr>
        <w:t>’</w:t>
      </w:r>
      <w:r w:rsidRPr="00B76B3A">
        <w:rPr>
          <w:lang w:val="fr-FR"/>
        </w:rPr>
        <w:t xml:space="preserve">université </w:t>
      </w:r>
      <w:r w:rsidR="00177351">
        <w:rPr>
          <w:lang w:val="fr-FR"/>
        </w:rPr>
        <w:t xml:space="preserve">en 2006 </w:t>
      </w:r>
      <w:r w:rsidRPr="00B76B3A">
        <w:rPr>
          <w:lang w:val="fr-FR"/>
        </w:rPr>
        <w:t>et qu</w:t>
      </w:r>
      <w:r w:rsidR="00BE5FF0">
        <w:rPr>
          <w:lang w:val="fr-FR"/>
        </w:rPr>
        <w:t>’</w:t>
      </w:r>
      <w:r w:rsidRPr="00B76B3A">
        <w:rPr>
          <w:lang w:val="fr-FR"/>
        </w:rPr>
        <w:t>elles se considéraient comme un couple lorsqu</w:t>
      </w:r>
      <w:r w:rsidR="00BE5FF0">
        <w:rPr>
          <w:lang w:val="fr-FR"/>
        </w:rPr>
        <w:t>’</w:t>
      </w:r>
      <w:r w:rsidRPr="00B76B3A">
        <w:rPr>
          <w:lang w:val="fr-FR"/>
        </w:rPr>
        <w:t xml:space="preserve">elle avait été mise à la porte par sa famille </w:t>
      </w:r>
      <w:r w:rsidRPr="00177351">
        <w:rPr>
          <w:lang w:val="fr-FR"/>
        </w:rPr>
        <w:t xml:space="preserve">en </w:t>
      </w:r>
      <w:r w:rsidRPr="00177351">
        <w:rPr>
          <w:iCs/>
          <w:lang w:val="fr-FR"/>
        </w:rPr>
        <w:t>2006</w:t>
      </w:r>
      <w:r w:rsidRPr="00B76B3A">
        <w:rPr>
          <w:lang w:val="fr-FR"/>
        </w:rPr>
        <w:t>. D</w:t>
      </w:r>
      <w:r w:rsidR="00177351">
        <w:rPr>
          <w:lang w:val="fr-FR"/>
        </w:rPr>
        <w:t xml:space="preserve">e plus, son conseil a présenté </w:t>
      </w:r>
      <w:r w:rsidRPr="00B76B3A">
        <w:rPr>
          <w:lang w:val="fr-FR"/>
        </w:rPr>
        <w:t>au tribunal des migration</w:t>
      </w:r>
      <w:r>
        <w:rPr>
          <w:lang w:val="fr-FR"/>
        </w:rPr>
        <w:t>s</w:t>
      </w:r>
      <w:r w:rsidR="00177351">
        <w:rPr>
          <w:lang w:val="fr-FR"/>
        </w:rPr>
        <w:t xml:space="preserve"> </w:t>
      </w:r>
      <w:r w:rsidR="00177351" w:rsidRPr="00B76B3A">
        <w:rPr>
          <w:lang w:val="fr-FR"/>
        </w:rPr>
        <w:t>un document daté du 1</w:t>
      </w:r>
      <w:r w:rsidR="00177351" w:rsidRPr="00B76B3A">
        <w:rPr>
          <w:vertAlign w:val="superscript"/>
          <w:lang w:val="fr-FR"/>
        </w:rPr>
        <w:t>er</w:t>
      </w:r>
      <w:r w:rsidR="00177351">
        <w:rPr>
          <w:lang w:val="fr-FR"/>
        </w:rPr>
        <w:t> </w:t>
      </w:r>
      <w:r w:rsidR="00177351" w:rsidRPr="00B76B3A">
        <w:rPr>
          <w:lang w:val="fr-FR"/>
        </w:rPr>
        <w:t xml:space="preserve">avril 2009 </w:t>
      </w:r>
      <w:r w:rsidR="00177351">
        <w:rPr>
          <w:lang w:val="fr-FR"/>
        </w:rPr>
        <w:t xml:space="preserve">dans lequel </w:t>
      </w:r>
      <w:r w:rsidRPr="00B76B3A">
        <w:rPr>
          <w:lang w:val="fr-FR"/>
        </w:rPr>
        <w:t>l</w:t>
      </w:r>
      <w:r w:rsidR="00BE5FF0">
        <w:rPr>
          <w:lang w:val="fr-FR"/>
        </w:rPr>
        <w:t>’</w:t>
      </w:r>
      <w:r w:rsidRPr="00B76B3A">
        <w:rPr>
          <w:lang w:val="fr-FR"/>
        </w:rPr>
        <w:t>auteur prétendait qu</w:t>
      </w:r>
      <w:r w:rsidR="00BE5FF0">
        <w:rPr>
          <w:lang w:val="fr-FR"/>
        </w:rPr>
        <w:t>’</w:t>
      </w:r>
      <w:r w:rsidRPr="00B76B3A">
        <w:rPr>
          <w:lang w:val="fr-FR"/>
        </w:rPr>
        <w:t xml:space="preserve">elle avait été forcée de quitter la maison </w:t>
      </w:r>
      <w:r w:rsidR="00177351">
        <w:rPr>
          <w:lang w:val="fr-FR"/>
        </w:rPr>
        <w:t xml:space="preserve">de ses parents </w:t>
      </w:r>
      <w:r w:rsidRPr="00B76B3A">
        <w:rPr>
          <w:lang w:val="fr-FR"/>
        </w:rPr>
        <w:t xml:space="preserve">à son retour </w:t>
      </w:r>
      <w:r w:rsidR="00177351">
        <w:rPr>
          <w:lang w:val="fr-FR"/>
        </w:rPr>
        <w:t xml:space="preserve">au Bangladesh </w:t>
      </w:r>
      <w:r w:rsidRPr="00B76B3A">
        <w:rPr>
          <w:lang w:val="fr-FR"/>
        </w:rPr>
        <w:t>parce que son père, furieux, l</w:t>
      </w:r>
      <w:r w:rsidR="00BE5FF0">
        <w:rPr>
          <w:lang w:val="fr-FR"/>
        </w:rPr>
        <w:t>’</w:t>
      </w:r>
      <w:r w:rsidRPr="00B76B3A">
        <w:rPr>
          <w:lang w:val="fr-FR"/>
        </w:rPr>
        <w:t xml:space="preserve">avait menacée et frappée. </w:t>
      </w:r>
      <w:r w:rsidR="00177351">
        <w:rPr>
          <w:lang w:val="fr-FR"/>
        </w:rPr>
        <w:t>À</w:t>
      </w:r>
      <w:r w:rsidRPr="00B76B3A">
        <w:rPr>
          <w:lang w:val="fr-FR"/>
        </w:rPr>
        <w:t xml:space="preserve"> l</w:t>
      </w:r>
      <w:r w:rsidR="00BE5FF0">
        <w:rPr>
          <w:lang w:val="fr-FR"/>
        </w:rPr>
        <w:t>’</w:t>
      </w:r>
      <w:r w:rsidRPr="00B76B3A">
        <w:rPr>
          <w:lang w:val="fr-FR"/>
        </w:rPr>
        <w:t>audience du 9</w:t>
      </w:r>
      <w:r>
        <w:rPr>
          <w:lang w:val="fr-FR"/>
        </w:rPr>
        <w:t> </w:t>
      </w:r>
      <w:r w:rsidRPr="00B76B3A">
        <w:rPr>
          <w:lang w:val="fr-FR"/>
        </w:rPr>
        <w:t>décembre 2009 devant le tribunal des migration</w:t>
      </w:r>
      <w:r>
        <w:rPr>
          <w:lang w:val="fr-FR"/>
        </w:rPr>
        <w:t>s</w:t>
      </w:r>
      <w:r w:rsidRPr="00B76B3A">
        <w:rPr>
          <w:lang w:val="fr-FR"/>
        </w:rPr>
        <w:t xml:space="preserve">, </w:t>
      </w:r>
      <w:r w:rsidR="00177351">
        <w:rPr>
          <w:lang w:val="fr-FR"/>
        </w:rPr>
        <w:t>l</w:t>
      </w:r>
      <w:r w:rsidR="00BE5FF0">
        <w:rPr>
          <w:lang w:val="fr-FR"/>
        </w:rPr>
        <w:t>’</w:t>
      </w:r>
      <w:r w:rsidR="00177351">
        <w:rPr>
          <w:lang w:val="fr-FR"/>
        </w:rPr>
        <w:t xml:space="preserve">auteur </w:t>
      </w:r>
      <w:r w:rsidRPr="00B76B3A">
        <w:rPr>
          <w:lang w:val="fr-FR"/>
        </w:rPr>
        <w:t>a affirmé qu</w:t>
      </w:r>
      <w:r w:rsidR="00BE5FF0">
        <w:rPr>
          <w:lang w:val="fr-FR"/>
        </w:rPr>
        <w:t>’</w:t>
      </w:r>
      <w:r w:rsidRPr="00B76B3A">
        <w:rPr>
          <w:lang w:val="fr-FR"/>
        </w:rPr>
        <w:t xml:space="preserve">elle avait été enfermée </w:t>
      </w:r>
      <w:r w:rsidR="00177351">
        <w:rPr>
          <w:lang w:val="fr-FR"/>
        </w:rPr>
        <w:t xml:space="preserve">au domicile de ses parents </w:t>
      </w:r>
      <w:r w:rsidRPr="00B76B3A">
        <w:rPr>
          <w:lang w:val="fr-FR"/>
        </w:rPr>
        <w:t xml:space="preserve">pendant sept à huit mois </w:t>
      </w:r>
      <w:r w:rsidR="00177351">
        <w:rPr>
          <w:lang w:val="fr-FR"/>
        </w:rPr>
        <w:t>après</w:t>
      </w:r>
      <w:r w:rsidRPr="00B76B3A">
        <w:rPr>
          <w:lang w:val="fr-FR"/>
        </w:rPr>
        <w:t xml:space="preserve"> son retour</w:t>
      </w:r>
      <w:r w:rsidR="00177351">
        <w:rPr>
          <w:lang w:val="fr-FR"/>
        </w:rPr>
        <w:t xml:space="preserve"> au Bangladesh en 2006 et </w:t>
      </w:r>
      <w:r w:rsidRPr="00B76B3A">
        <w:rPr>
          <w:lang w:val="fr-FR"/>
        </w:rPr>
        <w:t>qu</w:t>
      </w:r>
      <w:r w:rsidR="00BE5FF0">
        <w:rPr>
          <w:lang w:val="fr-FR"/>
        </w:rPr>
        <w:t>’</w:t>
      </w:r>
      <w:r w:rsidRPr="00B76B3A">
        <w:rPr>
          <w:lang w:val="fr-FR"/>
        </w:rPr>
        <w:t xml:space="preserve">elle avait été battue à plusieurs reprises </w:t>
      </w:r>
      <w:r w:rsidR="00177351">
        <w:rPr>
          <w:lang w:val="fr-FR"/>
        </w:rPr>
        <w:t>jusqu</w:t>
      </w:r>
      <w:r w:rsidR="00BE5FF0">
        <w:rPr>
          <w:lang w:val="fr-FR"/>
        </w:rPr>
        <w:t>’</w:t>
      </w:r>
      <w:r w:rsidR="00177351">
        <w:rPr>
          <w:lang w:val="fr-FR"/>
        </w:rPr>
        <w:t>à ce qu</w:t>
      </w:r>
      <w:r w:rsidR="00BE5FF0">
        <w:rPr>
          <w:lang w:val="fr-FR"/>
        </w:rPr>
        <w:t>’</w:t>
      </w:r>
      <w:r w:rsidR="00177351">
        <w:rPr>
          <w:lang w:val="fr-FR"/>
        </w:rPr>
        <w:t xml:space="preserve">elle soit </w:t>
      </w:r>
      <w:r w:rsidRPr="00B76B3A">
        <w:rPr>
          <w:lang w:val="fr-FR"/>
        </w:rPr>
        <w:t>finalement parvenue à s</w:t>
      </w:r>
      <w:r w:rsidR="00BE5FF0">
        <w:rPr>
          <w:lang w:val="fr-FR"/>
        </w:rPr>
        <w:t>’</w:t>
      </w:r>
      <w:r w:rsidRPr="00B76B3A">
        <w:rPr>
          <w:lang w:val="fr-FR"/>
        </w:rPr>
        <w:t>échapper et à se rendre chez sa compagne, en février ou mars 2007. L</w:t>
      </w:r>
      <w:r w:rsidR="00BE5FF0">
        <w:rPr>
          <w:lang w:val="fr-FR"/>
        </w:rPr>
        <w:t>’</w:t>
      </w:r>
      <w:r w:rsidRPr="00B76B3A">
        <w:rPr>
          <w:lang w:val="fr-FR"/>
        </w:rPr>
        <w:t>État partie souligne que l</w:t>
      </w:r>
      <w:r w:rsidR="00BE5FF0">
        <w:rPr>
          <w:lang w:val="fr-FR"/>
        </w:rPr>
        <w:t>’</w:t>
      </w:r>
      <w:r w:rsidRPr="00B76B3A">
        <w:rPr>
          <w:lang w:val="fr-FR"/>
        </w:rPr>
        <w:t>auteur était assisté</w:t>
      </w:r>
      <w:r>
        <w:rPr>
          <w:lang w:val="fr-FR"/>
        </w:rPr>
        <w:t>e</w:t>
      </w:r>
      <w:r w:rsidRPr="00B76B3A">
        <w:rPr>
          <w:lang w:val="fr-FR"/>
        </w:rPr>
        <w:t xml:space="preserve"> d</w:t>
      </w:r>
      <w:r w:rsidR="00BE5FF0">
        <w:rPr>
          <w:lang w:val="fr-FR"/>
        </w:rPr>
        <w:t>’</w:t>
      </w:r>
      <w:r w:rsidRPr="00B76B3A">
        <w:rPr>
          <w:lang w:val="fr-FR"/>
        </w:rPr>
        <w:t>un conseil ainsi que d</w:t>
      </w:r>
      <w:r w:rsidR="00BE5FF0">
        <w:rPr>
          <w:lang w:val="fr-FR"/>
        </w:rPr>
        <w:t>’</w:t>
      </w:r>
      <w:r w:rsidRPr="00B76B3A">
        <w:rPr>
          <w:lang w:val="fr-FR"/>
        </w:rPr>
        <w:t>un interprète pendant la majeure partie de la procédure d</w:t>
      </w:r>
      <w:r w:rsidR="00BE5FF0">
        <w:rPr>
          <w:lang w:val="fr-FR"/>
        </w:rPr>
        <w:t>’</w:t>
      </w:r>
      <w:r w:rsidRPr="00B76B3A">
        <w:rPr>
          <w:lang w:val="fr-FR"/>
        </w:rPr>
        <w:t>asile et qu</w:t>
      </w:r>
      <w:r w:rsidR="00BE5FF0">
        <w:rPr>
          <w:lang w:val="fr-FR"/>
        </w:rPr>
        <w:t>’</w:t>
      </w:r>
      <w:r w:rsidRPr="00B76B3A">
        <w:rPr>
          <w:lang w:val="fr-FR"/>
        </w:rPr>
        <w:t xml:space="preserve">avant les audiences, elle avait eu la possibilité de plaider sa cause par écrit tant auprès </w:t>
      </w:r>
      <w:r>
        <w:rPr>
          <w:lang w:val="fr-FR"/>
        </w:rPr>
        <w:t>de l</w:t>
      </w:r>
      <w:r w:rsidR="00BE5FF0">
        <w:rPr>
          <w:lang w:val="fr-FR"/>
        </w:rPr>
        <w:t>’</w:t>
      </w:r>
      <w:r>
        <w:rPr>
          <w:lang w:val="fr-FR"/>
        </w:rPr>
        <w:t xml:space="preserve">Office </w:t>
      </w:r>
      <w:r w:rsidRPr="00B76B3A">
        <w:rPr>
          <w:lang w:val="fr-FR"/>
        </w:rPr>
        <w:t>des migrations que du trib</w:t>
      </w:r>
      <w:r>
        <w:rPr>
          <w:lang w:val="fr-FR"/>
        </w:rPr>
        <w:t>unal des migrations.</w:t>
      </w:r>
    </w:p>
    <w:p w:rsidR="008A492C" w:rsidRPr="00B76B3A" w:rsidRDefault="008A492C" w:rsidP="008A492C">
      <w:pPr>
        <w:pStyle w:val="SingleTxtG"/>
        <w:rPr>
          <w:lang w:val="fr-FR"/>
        </w:rPr>
      </w:pPr>
      <w:r w:rsidRPr="00B76B3A">
        <w:rPr>
          <w:lang w:val="fr-FR"/>
        </w:rPr>
        <w:t>4.9</w:t>
      </w:r>
      <w:r w:rsidRPr="00B76B3A">
        <w:rPr>
          <w:lang w:val="fr-FR"/>
        </w:rPr>
        <w:tab/>
        <w:t>Tout au long de la procédure, l</w:t>
      </w:r>
      <w:r w:rsidR="00BE5FF0">
        <w:rPr>
          <w:lang w:val="fr-FR"/>
        </w:rPr>
        <w:t>’</w:t>
      </w:r>
      <w:r w:rsidRPr="00B76B3A">
        <w:rPr>
          <w:lang w:val="fr-FR"/>
        </w:rPr>
        <w:t>auteur n</w:t>
      </w:r>
      <w:r w:rsidR="00BE5FF0">
        <w:rPr>
          <w:lang w:val="fr-FR"/>
        </w:rPr>
        <w:t>’</w:t>
      </w:r>
      <w:r w:rsidRPr="00B76B3A">
        <w:rPr>
          <w:lang w:val="fr-FR"/>
        </w:rPr>
        <w:t xml:space="preserve">a </w:t>
      </w:r>
      <w:r>
        <w:rPr>
          <w:lang w:val="fr-FR"/>
        </w:rPr>
        <w:t xml:space="preserve">donné </w:t>
      </w:r>
      <w:r w:rsidRPr="00B76B3A">
        <w:rPr>
          <w:lang w:val="fr-FR"/>
        </w:rPr>
        <w:t xml:space="preserve">que quelques informations </w:t>
      </w:r>
      <w:r w:rsidR="00177351">
        <w:rPr>
          <w:lang w:val="fr-FR"/>
        </w:rPr>
        <w:t xml:space="preserve">succinctes </w:t>
      </w:r>
      <w:r w:rsidRPr="00B76B3A">
        <w:rPr>
          <w:lang w:val="fr-FR"/>
        </w:rPr>
        <w:t>sur les menaces qu</w:t>
      </w:r>
      <w:r w:rsidR="00BE5FF0">
        <w:rPr>
          <w:lang w:val="fr-FR"/>
        </w:rPr>
        <w:t>’</w:t>
      </w:r>
      <w:r w:rsidRPr="00B76B3A">
        <w:rPr>
          <w:lang w:val="fr-FR"/>
        </w:rPr>
        <w:t>elle dit avoir subies de la part de l</w:t>
      </w:r>
      <w:r w:rsidR="00BE5FF0">
        <w:rPr>
          <w:lang w:val="fr-FR"/>
        </w:rPr>
        <w:t>’</w:t>
      </w:r>
      <w:r w:rsidRPr="00B76B3A">
        <w:rPr>
          <w:lang w:val="fr-FR"/>
        </w:rPr>
        <w:t xml:space="preserve">organisation étudiante islamique </w:t>
      </w:r>
      <w:r w:rsidRPr="007A6E08">
        <w:rPr>
          <w:iCs/>
          <w:lang w:val="fr-FR"/>
        </w:rPr>
        <w:t>Sh</w:t>
      </w:r>
      <w:r w:rsidR="00177351">
        <w:rPr>
          <w:iCs/>
          <w:lang w:val="fr-FR"/>
        </w:rPr>
        <w:t>hatra Shib</w:t>
      </w:r>
      <w:r w:rsidRPr="007A6E08">
        <w:rPr>
          <w:iCs/>
          <w:lang w:val="fr-FR"/>
        </w:rPr>
        <w:t>i</w:t>
      </w:r>
      <w:r w:rsidR="00177351">
        <w:rPr>
          <w:iCs/>
          <w:lang w:val="fr-FR"/>
        </w:rPr>
        <w:t>r</w:t>
      </w:r>
      <w:r w:rsidRPr="00B76B3A">
        <w:rPr>
          <w:lang w:val="fr-FR"/>
        </w:rPr>
        <w:t xml:space="preserve"> de même que sur les circonstances de l</w:t>
      </w:r>
      <w:r w:rsidR="00BE5FF0">
        <w:rPr>
          <w:lang w:val="fr-FR"/>
        </w:rPr>
        <w:t>’</w:t>
      </w:r>
      <w:r w:rsidRPr="00B76B3A">
        <w:rPr>
          <w:lang w:val="fr-FR"/>
        </w:rPr>
        <w:t>enlèvement de sa compagne. L</w:t>
      </w:r>
      <w:r w:rsidR="00BE5FF0">
        <w:rPr>
          <w:lang w:val="fr-FR"/>
        </w:rPr>
        <w:t>’</w:t>
      </w:r>
      <w:r w:rsidRPr="00B76B3A">
        <w:rPr>
          <w:lang w:val="fr-FR"/>
        </w:rPr>
        <w:t>auteur</w:t>
      </w:r>
      <w:r>
        <w:rPr>
          <w:lang w:val="fr-FR"/>
        </w:rPr>
        <w:t> </w:t>
      </w:r>
      <w:r w:rsidRPr="00B76B3A">
        <w:rPr>
          <w:lang w:val="fr-FR"/>
        </w:rPr>
        <w:t xml:space="preserve">a </w:t>
      </w:r>
      <w:r>
        <w:rPr>
          <w:lang w:val="fr-FR"/>
        </w:rPr>
        <w:t>affirmé</w:t>
      </w:r>
      <w:r w:rsidRPr="00B76B3A">
        <w:rPr>
          <w:lang w:val="fr-FR"/>
        </w:rPr>
        <w:t xml:space="preserve"> qu</w:t>
      </w:r>
      <w:r w:rsidR="00BE5FF0">
        <w:rPr>
          <w:lang w:val="fr-FR"/>
        </w:rPr>
        <w:t>’</w:t>
      </w:r>
      <w:r>
        <w:rPr>
          <w:lang w:val="fr-FR"/>
        </w:rPr>
        <w:t>elle avait</w:t>
      </w:r>
      <w:r w:rsidRPr="00B76B3A">
        <w:rPr>
          <w:lang w:val="fr-FR"/>
        </w:rPr>
        <w:t xml:space="preserve"> </w:t>
      </w:r>
      <w:r>
        <w:rPr>
          <w:lang w:val="fr-FR"/>
        </w:rPr>
        <w:t xml:space="preserve">reçu des </w:t>
      </w:r>
      <w:r w:rsidRPr="00B76B3A">
        <w:rPr>
          <w:lang w:val="fr-FR"/>
        </w:rPr>
        <w:t>menace</w:t>
      </w:r>
      <w:r>
        <w:rPr>
          <w:lang w:val="fr-FR"/>
        </w:rPr>
        <w:t>s</w:t>
      </w:r>
      <w:r w:rsidRPr="00B76B3A">
        <w:rPr>
          <w:lang w:val="fr-FR"/>
        </w:rPr>
        <w:t xml:space="preserve"> verbale</w:t>
      </w:r>
      <w:r>
        <w:rPr>
          <w:lang w:val="fr-FR"/>
        </w:rPr>
        <w:t xml:space="preserve">s de </w:t>
      </w:r>
      <w:r w:rsidR="00177351" w:rsidRPr="007A6E08">
        <w:rPr>
          <w:iCs/>
          <w:lang w:val="fr-FR"/>
        </w:rPr>
        <w:t>Sh</w:t>
      </w:r>
      <w:r w:rsidR="00177351">
        <w:rPr>
          <w:iCs/>
          <w:lang w:val="fr-FR"/>
        </w:rPr>
        <w:t>hatra Shib</w:t>
      </w:r>
      <w:r w:rsidR="00177351" w:rsidRPr="007A6E08">
        <w:rPr>
          <w:iCs/>
          <w:lang w:val="fr-FR"/>
        </w:rPr>
        <w:t>i</w:t>
      </w:r>
      <w:r w:rsidR="00177351">
        <w:rPr>
          <w:iCs/>
          <w:lang w:val="fr-FR"/>
        </w:rPr>
        <w:t>r</w:t>
      </w:r>
      <w:r w:rsidRPr="00B76B3A">
        <w:rPr>
          <w:i/>
          <w:iCs/>
          <w:lang w:val="fr-FR"/>
        </w:rPr>
        <w:t xml:space="preserve"> </w:t>
      </w:r>
      <w:r w:rsidRPr="00B76B3A">
        <w:rPr>
          <w:lang w:val="fr-FR"/>
        </w:rPr>
        <w:t>à quatre reprises et qu</w:t>
      </w:r>
      <w:r w:rsidR="00BE5FF0">
        <w:rPr>
          <w:lang w:val="fr-FR"/>
        </w:rPr>
        <w:t>’</w:t>
      </w:r>
      <w:r w:rsidRPr="00B76B3A">
        <w:rPr>
          <w:lang w:val="fr-FR"/>
        </w:rPr>
        <w:t>elle était convaincue que des membres de l</w:t>
      </w:r>
      <w:r w:rsidR="00BE5FF0">
        <w:rPr>
          <w:lang w:val="fr-FR"/>
        </w:rPr>
        <w:t>’</w:t>
      </w:r>
      <w:r w:rsidRPr="00B76B3A">
        <w:rPr>
          <w:lang w:val="fr-FR"/>
        </w:rPr>
        <w:t>organisation avaient enlevé sa compagne pendant qu</w:t>
      </w:r>
      <w:r w:rsidR="00BE5FF0">
        <w:rPr>
          <w:lang w:val="fr-FR"/>
        </w:rPr>
        <w:t>’</w:t>
      </w:r>
      <w:r w:rsidRPr="00B76B3A">
        <w:rPr>
          <w:lang w:val="fr-FR"/>
        </w:rPr>
        <w:t xml:space="preserve">elle-même était </w:t>
      </w:r>
      <w:r>
        <w:rPr>
          <w:lang w:val="fr-FR"/>
        </w:rPr>
        <w:t xml:space="preserve">en </w:t>
      </w:r>
      <w:r w:rsidRPr="00B76B3A">
        <w:rPr>
          <w:lang w:val="fr-FR"/>
        </w:rPr>
        <w:t>garde à vue. Cependant, l</w:t>
      </w:r>
      <w:r w:rsidR="00BE5FF0">
        <w:rPr>
          <w:lang w:val="fr-FR"/>
        </w:rPr>
        <w:t>’</w:t>
      </w:r>
      <w:r w:rsidRPr="00B76B3A">
        <w:rPr>
          <w:lang w:val="fr-FR"/>
        </w:rPr>
        <w:t>auteur n</w:t>
      </w:r>
      <w:r w:rsidR="00BE5FF0">
        <w:rPr>
          <w:lang w:val="fr-FR"/>
        </w:rPr>
        <w:t>’</w:t>
      </w:r>
      <w:r w:rsidRPr="00B76B3A">
        <w:rPr>
          <w:lang w:val="fr-FR"/>
        </w:rPr>
        <w:t xml:space="preserve">a </w:t>
      </w:r>
      <w:r>
        <w:rPr>
          <w:lang w:val="fr-FR"/>
        </w:rPr>
        <w:t xml:space="preserve">pas </w:t>
      </w:r>
      <w:r w:rsidRPr="00B76B3A">
        <w:rPr>
          <w:lang w:val="fr-FR"/>
        </w:rPr>
        <w:t>précisé ni quand elle avait reçu ces menaces ni quelle forme elles avaient prises et quelle en était la teneur. De même, les allégations formulées au sujet des circonstances de l</w:t>
      </w:r>
      <w:r w:rsidR="00BE5FF0">
        <w:rPr>
          <w:lang w:val="fr-FR"/>
        </w:rPr>
        <w:t>’</w:t>
      </w:r>
      <w:r w:rsidRPr="00B76B3A">
        <w:rPr>
          <w:lang w:val="fr-FR"/>
        </w:rPr>
        <w:t xml:space="preserve">enlèvement de sa compagne </w:t>
      </w:r>
      <w:r w:rsidR="00177351">
        <w:rPr>
          <w:lang w:val="fr-FR"/>
        </w:rPr>
        <w:t xml:space="preserve">étaient </w:t>
      </w:r>
      <w:r w:rsidRPr="00B76B3A">
        <w:rPr>
          <w:lang w:val="fr-FR"/>
        </w:rPr>
        <w:t>vagues et ne repos</w:t>
      </w:r>
      <w:r w:rsidR="00177351">
        <w:rPr>
          <w:lang w:val="fr-FR"/>
        </w:rPr>
        <w:t>ai</w:t>
      </w:r>
      <w:r w:rsidRPr="00B76B3A">
        <w:rPr>
          <w:lang w:val="fr-FR"/>
        </w:rPr>
        <w:t>ent que sur des informations de seconde main provenant d</w:t>
      </w:r>
      <w:r w:rsidR="00BE5FF0">
        <w:rPr>
          <w:lang w:val="fr-FR"/>
        </w:rPr>
        <w:t>’</w:t>
      </w:r>
      <w:r w:rsidRPr="00B76B3A">
        <w:rPr>
          <w:lang w:val="fr-FR"/>
        </w:rPr>
        <w:t xml:space="preserve">autres étudiants, qui auraient vu des </w:t>
      </w:r>
      <w:r>
        <w:rPr>
          <w:lang w:val="fr-FR"/>
        </w:rPr>
        <w:t>«</w:t>
      </w:r>
      <w:r w:rsidRPr="00B76B3A">
        <w:rPr>
          <w:lang w:val="fr-FR"/>
        </w:rPr>
        <w:t>hommes barbus</w:t>
      </w:r>
      <w:r>
        <w:rPr>
          <w:lang w:val="fr-FR"/>
        </w:rPr>
        <w:t>»</w:t>
      </w:r>
      <w:r w:rsidRPr="00B76B3A">
        <w:rPr>
          <w:lang w:val="fr-FR"/>
        </w:rPr>
        <w:t xml:space="preserve"> emmener sa compagne. L</w:t>
      </w:r>
      <w:r w:rsidR="00BE5FF0">
        <w:rPr>
          <w:lang w:val="fr-FR"/>
        </w:rPr>
        <w:t>’</w:t>
      </w:r>
      <w:r w:rsidRPr="00B76B3A">
        <w:rPr>
          <w:lang w:val="fr-FR"/>
        </w:rPr>
        <w:t>État partie constate en outre que la fuite présumée de l</w:t>
      </w:r>
      <w:r w:rsidR="00BE5FF0">
        <w:rPr>
          <w:lang w:val="fr-FR"/>
        </w:rPr>
        <w:t>’</w:t>
      </w:r>
      <w:r w:rsidRPr="00B76B3A">
        <w:rPr>
          <w:lang w:val="fr-FR"/>
        </w:rPr>
        <w:t>auteur du Bangladesh coïncide dans le temps avec la date à laquelle son permis de séjour temporaire dans l</w:t>
      </w:r>
      <w:r w:rsidR="00BE5FF0">
        <w:rPr>
          <w:lang w:val="fr-FR"/>
        </w:rPr>
        <w:t>’</w:t>
      </w:r>
      <w:r w:rsidRPr="00B76B3A">
        <w:rPr>
          <w:lang w:val="fr-FR"/>
        </w:rPr>
        <w:t xml:space="preserve">État partie expirait. Par conséquent, au vu des contradictions et des imprécisions relevées sur </w:t>
      </w:r>
      <w:r w:rsidR="00E758C5">
        <w:rPr>
          <w:lang w:val="fr-FR"/>
        </w:rPr>
        <w:t>l</w:t>
      </w:r>
      <w:r w:rsidRPr="00B76B3A">
        <w:rPr>
          <w:lang w:val="fr-FR"/>
        </w:rPr>
        <w:t>es aspects essentiels du récit de l</w:t>
      </w:r>
      <w:r w:rsidR="00BE5FF0">
        <w:rPr>
          <w:lang w:val="fr-FR"/>
        </w:rPr>
        <w:t>’</w:t>
      </w:r>
      <w:r w:rsidRPr="00B76B3A">
        <w:rPr>
          <w:lang w:val="fr-FR"/>
        </w:rPr>
        <w:t>auteur, il existe de sérieuses raisons de douter de la crédibilité de l</w:t>
      </w:r>
      <w:r w:rsidR="00BE5FF0">
        <w:rPr>
          <w:lang w:val="fr-FR"/>
        </w:rPr>
        <w:t>’</w:t>
      </w:r>
      <w:r w:rsidRPr="00B76B3A">
        <w:rPr>
          <w:lang w:val="fr-FR"/>
        </w:rPr>
        <w:t>auteur en ce qui concerne son récit des faits survenus après son retour au Bangladesh en juillet 2006 et jusqu</w:t>
      </w:r>
      <w:r w:rsidR="00BE5FF0">
        <w:rPr>
          <w:lang w:val="fr-FR"/>
        </w:rPr>
        <w:t>’</w:t>
      </w:r>
      <w:r w:rsidRPr="00B76B3A">
        <w:rPr>
          <w:lang w:val="fr-FR"/>
        </w:rPr>
        <w:t xml:space="preserve">en mai 2008. </w:t>
      </w:r>
    </w:p>
    <w:p w:rsidR="008A492C" w:rsidRPr="00B76B3A" w:rsidRDefault="008A492C" w:rsidP="008A492C">
      <w:pPr>
        <w:pStyle w:val="SingleTxtG"/>
        <w:rPr>
          <w:lang w:val="fr-FR"/>
        </w:rPr>
      </w:pPr>
      <w:r w:rsidRPr="00B76B3A">
        <w:rPr>
          <w:lang w:val="fr-FR"/>
        </w:rPr>
        <w:t>4.10</w:t>
      </w:r>
      <w:r w:rsidRPr="00B76B3A">
        <w:rPr>
          <w:lang w:val="fr-FR"/>
        </w:rPr>
        <w:tab/>
        <w:t>L</w:t>
      </w:r>
      <w:r w:rsidR="00BE5FF0">
        <w:rPr>
          <w:lang w:val="fr-FR"/>
        </w:rPr>
        <w:t>’</w:t>
      </w:r>
      <w:r w:rsidR="00E758C5">
        <w:rPr>
          <w:lang w:val="fr-FR"/>
        </w:rPr>
        <w:t>État partie estime que l</w:t>
      </w:r>
      <w:r w:rsidR="00BE5FF0">
        <w:rPr>
          <w:lang w:val="fr-FR"/>
        </w:rPr>
        <w:t>’</w:t>
      </w:r>
      <w:r w:rsidRPr="00B76B3A">
        <w:rPr>
          <w:lang w:val="fr-FR"/>
        </w:rPr>
        <w:t>auteur ne court pas un risque réel d</w:t>
      </w:r>
      <w:r w:rsidR="00BE5FF0">
        <w:rPr>
          <w:lang w:val="fr-FR"/>
        </w:rPr>
        <w:t>’</w:t>
      </w:r>
      <w:r w:rsidRPr="00B76B3A">
        <w:rPr>
          <w:lang w:val="fr-FR"/>
        </w:rPr>
        <w:t>être soumis</w:t>
      </w:r>
      <w:r>
        <w:rPr>
          <w:lang w:val="fr-FR"/>
        </w:rPr>
        <w:t>e</w:t>
      </w:r>
      <w:r w:rsidRPr="00B76B3A">
        <w:rPr>
          <w:lang w:val="fr-FR"/>
        </w:rPr>
        <w:t xml:space="preserve"> à un traitement contraire à l</w:t>
      </w:r>
      <w:r w:rsidR="00BE5FF0">
        <w:rPr>
          <w:lang w:val="fr-FR"/>
        </w:rPr>
        <w:t>’</w:t>
      </w:r>
      <w:r w:rsidRPr="00B76B3A">
        <w:rPr>
          <w:lang w:val="fr-FR"/>
        </w:rPr>
        <w:t>article</w:t>
      </w:r>
      <w:r>
        <w:rPr>
          <w:lang w:val="fr-FR"/>
        </w:rPr>
        <w:t> </w:t>
      </w:r>
      <w:r w:rsidRPr="00B76B3A">
        <w:rPr>
          <w:lang w:val="fr-FR"/>
        </w:rPr>
        <w:t xml:space="preserve">7 du Pacte </w:t>
      </w:r>
      <w:r>
        <w:rPr>
          <w:lang w:val="fr-FR"/>
        </w:rPr>
        <w:t xml:space="preserve">si elle est renvoyée </w:t>
      </w:r>
      <w:r w:rsidRPr="00B76B3A">
        <w:rPr>
          <w:lang w:val="fr-FR"/>
        </w:rPr>
        <w:t>au Bangladesh. Elle n</w:t>
      </w:r>
      <w:r w:rsidR="00BE5FF0">
        <w:rPr>
          <w:lang w:val="fr-FR"/>
        </w:rPr>
        <w:t>’</w:t>
      </w:r>
      <w:r w:rsidRPr="00B76B3A">
        <w:rPr>
          <w:lang w:val="fr-FR"/>
        </w:rPr>
        <w:t xml:space="preserve">a </w:t>
      </w:r>
      <w:r w:rsidR="00E758C5">
        <w:rPr>
          <w:lang w:val="fr-FR"/>
        </w:rPr>
        <w:t xml:space="preserve">présenté </w:t>
      </w:r>
      <w:r w:rsidRPr="00B76B3A">
        <w:rPr>
          <w:lang w:val="fr-FR"/>
        </w:rPr>
        <w:t>aucun document écrit pour prouver qu</w:t>
      </w:r>
      <w:r w:rsidR="00BE5FF0">
        <w:rPr>
          <w:lang w:val="fr-FR"/>
        </w:rPr>
        <w:t>’</w:t>
      </w:r>
      <w:r w:rsidRPr="00B76B3A">
        <w:rPr>
          <w:lang w:val="fr-FR"/>
        </w:rPr>
        <w:t>elle avait été ou était encore recherchée ou accusée d</w:t>
      </w:r>
      <w:r w:rsidR="00BE5FF0">
        <w:rPr>
          <w:lang w:val="fr-FR"/>
        </w:rPr>
        <w:t>’</w:t>
      </w:r>
      <w:r w:rsidRPr="00B76B3A">
        <w:rPr>
          <w:lang w:val="fr-FR"/>
        </w:rPr>
        <w:t>un crime par les autorités bangladaises. De plus, elle a pu quitter le Bangladesh</w:t>
      </w:r>
      <w:r w:rsidR="002466AE">
        <w:rPr>
          <w:lang w:val="fr-FR"/>
        </w:rPr>
        <w:t xml:space="preserve"> </w:t>
      </w:r>
      <w:r w:rsidR="00E758C5">
        <w:rPr>
          <w:lang w:val="fr-FR"/>
        </w:rPr>
        <w:t xml:space="preserve">en mai 2008 </w:t>
      </w:r>
      <w:r w:rsidRPr="00B76B3A">
        <w:rPr>
          <w:lang w:val="fr-FR"/>
        </w:rPr>
        <w:t>par l</w:t>
      </w:r>
      <w:r w:rsidR="00BE5FF0">
        <w:rPr>
          <w:lang w:val="fr-FR"/>
        </w:rPr>
        <w:t>’</w:t>
      </w:r>
      <w:r w:rsidRPr="00B76B3A">
        <w:rPr>
          <w:lang w:val="fr-FR"/>
        </w:rPr>
        <w:t>aéroport international en présentant son propre passeport sans rencontrer de difficultés. Et selon ses propres dires, elle a été libérée quelques jours seulement après s</w:t>
      </w:r>
      <w:r>
        <w:rPr>
          <w:lang w:val="fr-FR"/>
        </w:rPr>
        <w:t>a prétendue a</w:t>
      </w:r>
      <w:r w:rsidRPr="00B76B3A">
        <w:rPr>
          <w:lang w:val="fr-FR"/>
        </w:rPr>
        <w:t>rrestation par l</w:t>
      </w:r>
      <w:r w:rsidR="00E758C5">
        <w:rPr>
          <w:lang w:val="fr-FR"/>
        </w:rPr>
        <w:t>a police bangladaise</w:t>
      </w:r>
      <w:r w:rsidRPr="00B76B3A">
        <w:rPr>
          <w:lang w:val="fr-FR"/>
        </w:rPr>
        <w:t xml:space="preserve">, </w:t>
      </w:r>
      <w:r>
        <w:rPr>
          <w:lang w:val="fr-FR"/>
        </w:rPr>
        <w:t>alors</w:t>
      </w:r>
      <w:r w:rsidRPr="00B76B3A">
        <w:rPr>
          <w:lang w:val="fr-FR"/>
        </w:rPr>
        <w:t xml:space="preserve"> que l</w:t>
      </w:r>
      <w:r w:rsidR="00BE5FF0">
        <w:rPr>
          <w:lang w:val="fr-FR"/>
        </w:rPr>
        <w:t>’</w:t>
      </w:r>
      <w:r w:rsidRPr="00B76B3A">
        <w:rPr>
          <w:lang w:val="fr-FR"/>
        </w:rPr>
        <w:t xml:space="preserve">homosexualité </w:t>
      </w:r>
      <w:r>
        <w:rPr>
          <w:lang w:val="fr-FR"/>
        </w:rPr>
        <w:t>e</w:t>
      </w:r>
      <w:r w:rsidRPr="00B76B3A">
        <w:rPr>
          <w:lang w:val="fr-FR"/>
        </w:rPr>
        <w:t>st une infraction pénale au Bangladesh. Au vu de ce qui précède, rien ne permet de penser que l</w:t>
      </w:r>
      <w:r w:rsidR="00E758C5">
        <w:rPr>
          <w:lang w:val="fr-FR"/>
        </w:rPr>
        <w:t xml:space="preserve">es autorités </w:t>
      </w:r>
      <w:r w:rsidRPr="00B76B3A">
        <w:rPr>
          <w:lang w:val="fr-FR"/>
        </w:rPr>
        <w:t>bangladaise</w:t>
      </w:r>
      <w:r w:rsidR="00E758C5">
        <w:rPr>
          <w:lang w:val="fr-FR"/>
        </w:rPr>
        <w:t>s</w:t>
      </w:r>
      <w:r w:rsidRPr="00B76B3A">
        <w:rPr>
          <w:lang w:val="fr-FR"/>
        </w:rPr>
        <w:t xml:space="preserve"> ai</w:t>
      </w:r>
      <w:r w:rsidR="00E758C5">
        <w:rPr>
          <w:lang w:val="fr-FR"/>
        </w:rPr>
        <w:t>en</w:t>
      </w:r>
      <w:r w:rsidRPr="00B76B3A">
        <w:rPr>
          <w:lang w:val="fr-FR"/>
        </w:rPr>
        <w:t>t autorisé l</w:t>
      </w:r>
      <w:r w:rsidR="00BE5FF0">
        <w:rPr>
          <w:lang w:val="fr-FR"/>
        </w:rPr>
        <w:t>’</w:t>
      </w:r>
      <w:r w:rsidRPr="00B76B3A">
        <w:rPr>
          <w:lang w:val="fr-FR"/>
        </w:rPr>
        <w:t>arrestation de l</w:t>
      </w:r>
      <w:r w:rsidR="00BE5FF0">
        <w:rPr>
          <w:lang w:val="fr-FR"/>
        </w:rPr>
        <w:t>’</w:t>
      </w:r>
      <w:r w:rsidRPr="00B76B3A">
        <w:rPr>
          <w:lang w:val="fr-FR"/>
        </w:rPr>
        <w:t>auteur et le traitement qu</w:t>
      </w:r>
      <w:r w:rsidR="00BE5FF0">
        <w:rPr>
          <w:lang w:val="fr-FR"/>
        </w:rPr>
        <w:t>’</w:t>
      </w:r>
      <w:r w:rsidRPr="00B76B3A">
        <w:rPr>
          <w:lang w:val="fr-FR"/>
        </w:rPr>
        <w:t xml:space="preserve">elle a subi. Il faut plutôt y voir des actes </w:t>
      </w:r>
      <w:r>
        <w:rPr>
          <w:lang w:val="fr-FR"/>
        </w:rPr>
        <w:t>illicite</w:t>
      </w:r>
      <w:r w:rsidRPr="00B76B3A">
        <w:rPr>
          <w:lang w:val="fr-FR"/>
        </w:rPr>
        <w:t>s commis isolément par des policiers. À ce</w:t>
      </w:r>
      <w:r>
        <w:rPr>
          <w:lang w:val="fr-FR"/>
        </w:rPr>
        <w:t xml:space="preserve"> propos</w:t>
      </w:r>
      <w:r w:rsidRPr="00B76B3A">
        <w:rPr>
          <w:lang w:val="fr-FR"/>
        </w:rPr>
        <w:t>, l</w:t>
      </w:r>
      <w:r w:rsidR="00BE5FF0">
        <w:rPr>
          <w:lang w:val="fr-FR"/>
        </w:rPr>
        <w:t>’</w:t>
      </w:r>
      <w:r w:rsidRPr="00B76B3A">
        <w:rPr>
          <w:lang w:val="fr-FR"/>
        </w:rPr>
        <w:t>État partie fait observer que rien n</w:t>
      </w:r>
      <w:r w:rsidR="00BE5FF0">
        <w:rPr>
          <w:lang w:val="fr-FR"/>
        </w:rPr>
        <w:t>’</w:t>
      </w:r>
      <w:r w:rsidRPr="00B76B3A">
        <w:rPr>
          <w:lang w:val="fr-FR"/>
        </w:rPr>
        <w:t>indique dans les rapports sur la situation des droits de l</w:t>
      </w:r>
      <w:r w:rsidR="00BE5FF0">
        <w:rPr>
          <w:lang w:val="fr-FR"/>
        </w:rPr>
        <w:t>’</w:t>
      </w:r>
      <w:r w:rsidRPr="00B76B3A">
        <w:rPr>
          <w:lang w:val="fr-FR"/>
        </w:rPr>
        <w:t xml:space="preserve">homme </w:t>
      </w:r>
      <w:r w:rsidR="00E758C5">
        <w:rPr>
          <w:lang w:val="fr-FR"/>
        </w:rPr>
        <w:t>dans le pays d</w:t>
      </w:r>
      <w:r w:rsidR="00BE5FF0">
        <w:rPr>
          <w:lang w:val="fr-FR"/>
        </w:rPr>
        <w:t>’</w:t>
      </w:r>
      <w:r w:rsidR="00E758C5">
        <w:rPr>
          <w:lang w:val="fr-FR"/>
        </w:rPr>
        <w:t>origine de l</w:t>
      </w:r>
      <w:r w:rsidR="00BE5FF0">
        <w:rPr>
          <w:lang w:val="fr-FR"/>
        </w:rPr>
        <w:t>’</w:t>
      </w:r>
      <w:r w:rsidR="00E758C5">
        <w:rPr>
          <w:lang w:val="fr-FR"/>
        </w:rPr>
        <w:t xml:space="preserve">auteur </w:t>
      </w:r>
      <w:r w:rsidRPr="00B76B3A">
        <w:rPr>
          <w:lang w:val="fr-FR"/>
        </w:rPr>
        <w:t>que les autorités bangladaises rechercheraient activement ou persécuteraient syst</w:t>
      </w:r>
      <w:r>
        <w:rPr>
          <w:lang w:val="fr-FR"/>
        </w:rPr>
        <w:t>ématiquement les homosexuelles.</w:t>
      </w:r>
    </w:p>
    <w:p w:rsidR="008A492C" w:rsidRPr="00B76B3A" w:rsidRDefault="008A492C" w:rsidP="008A492C">
      <w:pPr>
        <w:pStyle w:val="SingleTxtG"/>
        <w:keepLines/>
        <w:rPr>
          <w:lang w:val="fr-FR"/>
        </w:rPr>
      </w:pPr>
      <w:r w:rsidRPr="00B76B3A">
        <w:rPr>
          <w:lang w:val="fr-FR"/>
        </w:rPr>
        <w:t>4.11</w:t>
      </w:r>
      <w:r w:rsidRPr="00B76B3A">
        <w:rPr>
          <w:lang w:val="fr-FR"/>
        </w:rPr>
        <w:tab/>
        <w:t>En ce qui concerne les menaces dont elle aurait fait l</w:t>
      </w:r>
      <w:r w:rsidR="00BE5FF0">
        <w:rPr>
          <w:lang w:val="fr-FR"/>
        </w:rPr>
        <w:t>’</w:t>
      </w:r>
      <w:r w:rsidRPr="00B76B3A">
        <w:rPr>
          <w:lang w:val="fr-FR"/>
        </w:rPr>
        <w:t xml:space="preserve">objet de la part de </w:t>
      </w:r>
      <w:r w:rsidR="00E758C5" w:rsidRPr="007A6E08">
        <w:rPr>
          <w:iCs/>
          <w:lang w:val="fr-FR"/>
        </w:rPr>
        <w:t>Sh</w:t>
      </w:r>
      <w:r w:rsidR="00E758C5">
        <w:rPr>
          <w:iCs/>
          <w:lang w:val="fr-FR"/>
        </w:rPr>
        <w:t>hatra Shib</w:t>
      </w:r>
      <w:r w:rsidR="00E758C5" w:rsidRPr="007A6E08">
        <w:rPr>
          <w:iCs/>
          <w:lang w:val="fr-FR"/>
        </w:rPr>
        <w:t>i</w:t>
      </w:r>
      <w:r w:rsidR="00E758C5">
        <w:rPr>
          <w:iCs/>
          <w:lang w:val="fr-FR"/>
        </w:rPr>
        <w:t>r</w:t>
      </w:r>
      <w:r w:rsidRPr="00B76B3A">
        <w:rPr>
          <w:lang w:val="fr-FR"/>
        </w:rPr>
        <w:t>, l</w:t>
      </w:r>
      <w:r w:rsidR="00BE5FF0">
        <w:rPr>
          <w:lang w:val="fr-FR"/>
        </w:rPr>
        <w:t>’</w:t>
      </w:r>
      <w:r w:rsidRPr="00B76B3A">
        <w:rPr>
          <w:lang w:val="fr-FR"/>
        </w:rPr>
        <w:t>auteur n</w:t>
      </w:r>
      <w:r w:rsidR="00BE5FF0">
        <w:rPr>
          <w:lang w:val="fr-FR"/>
        </w:rPr>
        <w:t>’</w:t>
      </w:r>
      <w:r w:rsidRPr="00B76B3A">
        <w:rPr>
          <w:lang w:val="fr-FR"/>
        </w:rPr>
        <w:t xml:space="preserve">a </w:t>
      </w:r>
      <w:r>
        <w:rPr>
          <w:lang w:val="fr-FR"/>
        </w:rPr>
        <w:t>donné</w:t>
      </w:r>
      <w:r w:rsidRPr="00B76B3A">
        <w:rPr>
          <w:lang w:val="fr-FR"/>
        </w:rPr>
        <w:t xml:space="preserve"> aucune information concrète indiquant que des membres de </w:t>
      </w:r>
      <w:r>
        <w:rPr>
          <w:lang w:val="fr-FR"/>
        </w:rPr>
        <w:t xml:space="preserve">cette </w:t>
      </w:r>
      <w:r w:rsidRPr="00B76B3A">
        <w:rPr>
          <w:lang w:val="fr-FR"/>
        </w:rPr>
        <w:t xml:space="preserve">organisation seraient </w:t>
      </w:r>
      <w:r w:rsidR="00E758C5">
        <w:rPr>
          <w:lang w:val="fr-FR"/>
        </w:rPr>
        <w:t>à l</w:t>
      </w:r>
      <w:r w:rsidR="00BE5FF0">
        <w:rPr>
          <w:lang w:val="fr-FR"/>
        </w:rPr>
        <w:t>’</w:t>
      </w:r>
      <w:r w:rsidR="00E758C5">
        <w:rPr>
          <w:lang w:val="fr-FR"/>
        </w:rPr>
        <w:t xml:space="preserve">heure actuelle </w:t>
      </w:r>
      <w:r w:rsidRPr="00B76B3A">
        <w:rPr>
          <w:lang w:val="fr-FR"/>
        </w:rPr>
        <w:t>à sa rech</w:t>
      </w:r>
      <w:r>
        <w:rPr>
          <w:lang w:val="fr-FR"/>
        </w:rPr>
        <w:t>erche. En outre, plus de quatre </w:t>
      </w:r>
      <w:r w:rsidRPr="00B76B3A">
        <w:rPr>
          <w:lang w:val="fr-FR"/>
        </w:rPr>
        <w:t>ans se sont écoulés depuis que l</w:t>
      </w:r>
      <w:r w:rsidR="00BE5FF0">
        <w:rPr>
          <w:lang w:val="fr-FR"/>
        </w:rPr>
        <w:t>’</w:t>
      </w:r>
      <w:r w:rsidRPr="00B76B3A">
        <w:rPr>
          <w:lang w:val="fr-FR"/>
        </w:rPr>
        <w:t xml:space="preserve">auteur </w:t>
      </w:r>
      <w:r w:rsidR="00E758C5">
        <w:rPr>
          <w:lang w:val="fr-FR"/>
        </w:rPr>
        <w:t xml:space="preserve">aurait </w:t>
      </w:r>
      <w:r w:rsidRPr="00B76B3A">
        <w:rPr>
          <w:lang w:val="fr-FR"/>
        </w:rPr>
        <w:t xml:space="preserve">reçu </w:t>
      </w:r>
      <w:r>
        <w:rPr>
          <w:lang w:val="fr-FR"/>
        </w:rPr>
        <w:t>d</w:t>
      </w:r>
      <w:r w:rsidRPr="00B76B3A">
        <w:rPr>
          <w:lang w:val="fr-FR"/>
        </w:rPr>
        <w:t>es menaces</w:t>
      </w:r>
      <w:r>
        <w:rPr>
          <w:lang w:val="fr-FR"/>
        </w:rPr>
        <w:t xml:space="preserve"> </w:t>
      </w:r>
      <w:r w:rsidRPr="00B76B3A">
        <w:rPr>
          <w:lang w:val="fr-FR"/>
        </w:rPr>
        <w:t xml:space="preserve">de </w:t>
      </w:r>
      <w:r w:rsidR="00E758C5">
        <w:rPr>
          <w:lang w:val="fr-FR"/>
        </w:rPr>
        <w:t xml:space="preserve">cette </w:t>
      </w:r>
      <w:r w:rsidRPr="00B76B3A">
        <w:rPr>
          <w:lang w:val="fr-FR"/>
        </w:rPr>
        <w:t>organisation</w:t>
      </w:r>
      <w:r w:rsidRPr="00B76B3A">
        <w:rPr>
          <w:i/>
          <w:iCs/>
          <w:lang w:val="fr-FR"/>
        </w:rPr>
        <w:t xml:space="preserve">. </w:t>
      </w:r>
      <w:r w:rsidR="00E758C5">
        <w:rPr>
          <w:lang w:val="fr-FR"/>
        </w:rPr>
        <w:t>En </w:t>
      </w:r>
      <w:r w:rsidRPr="00B76B3A">
        <w:rPr>
          <w:lang w:val="fr-FR"/>
        </w:rPr>
        <w:t>conséquence, toute menace personnelle qu</w:t>
      </w:r>
      <w:r w:rsidR="00E758C5">
        <w:rPr>
          <w:lang w:val="fr-FR"/>
        </w:rPr>
        <w:t>e l</w:t>
      </w:r>
      <w:r w:rsidR="00BE5FF0">
        <w:rPr>
          <w:lang w:val="fr-FR"/>
        </w:rPr>
        <w:t>’</w:t>
      </w:r>
      <w:r w:rsidR="00E758C5">
        <w:rPr>
          <w:lang w:val="fr-FR"/>
        </w:rPr>
        <w:t xml:space="preserve">auteur anticipe </w:t>
      </w:r>
      <w:r w:rsidRPr="00B76B3A">
        <w:rPr>
          <w:lang w:val="fr-FR"/>
        </w:rPr>
        <w:t xml:space="preserve">ne saurait être considérée comme </w:t>
      </w:r>
      <w:r>
        <w:rPr>
          <w:lang w:val="fr-FR"/>
        </w:rPr>
        <w:t>fond</w:t>
      </w:r>
      <w:r w:rsidRPr="00B76B3A">
        <w:rPr>
          <w:lang w:val="fr-FR"/>
        </w:rPr>
        <w:t>ée sur des éléments ne se limitant pas à des s</w:t>
      </w:r>
      <w:r w:rsidR="00E758C5">
        <w:rPr>
          <w:lang w:val="fr-FR"/>
        </w:rPr>
        <w:t>upputations ou des soupçons. De </w:t>
      </w:r>
      <w:r w:rsidRPr="00B76B3A">
        <w:rPr>
          <w:lang w:val="fr-FR"/>
        </w:rPr>
        <w:t>même, aucun élément concret ne permet de penser que la famille de son ex</w:t>
      </w:r>
      <w:r>
        <w:rPr>
          <w:lang w:val="fr-FR"/>
        </w:rPr>
        <w:noBreakHyphen/>
      </w:r>
      <w:r w:rsidRPr="00B76B3A">
        <w:rPr>
          <w:lang w:val="fr-FR"/>
        </w:rPr>
        <w:t>mari l</w:t>
      </w:r>
      <w:r>
        <w:rPr>
          <w:lang w:val="fr-FR"/>
        </w:rPr>
        <w:t xml:space="preserve">ui ferait subir </w:t>
      </w:r>
      <w:r w:rsidRPr="00B76B3A">
        <w:rPr>
          <w:lang w:val="fr-FR"/>
        </w:rPr>
        <w:t>un traitement contraire à l</w:t>
      </w:r>
      <w:r w:rsidR="00BE5FF0">
        <w:rPr>
          <w:lang w:val="fr-FR"/>
        </w:rPr>
        <w:t>’</w:t>
      </w:r>
      <w:r w:rsidRPr="00B76B3A">
        <w:rPr>
          <w:lang w:val="fr-FR"/>
        </w:rPr>
        <w:t>article 7 du Pacte. Entre juillet 2006 et mai</w:t>
      </w:r>
      <w:r>
        <w:rPr>
          <w:lang w:val="fr-FR"/>
        </w:rPr>
        <w:t> </w:t>
      </w:r>
      <w:r w:rsidRPr="00B76B3A">
        <w:rPr>
          <w:lang w:val="fr-FR"/>
        </w:rPr>
        <w:t>2008, l</w:t>
      </w:r>
      <w:r w:rsidR="00BE5FF0">
        <w:rPr>
          <w:lang w:val="fr-FR"/>
        </w:rPr>
        <w:t>’</w:t>
      </w:r>
      <w:r w:rsidR="00C140BC">
        <w:rPr>
          <w:lang w:val="fr-FR"/>
        </w:rPr>
        <w:t>auteur a vécu à Dacc</w:t>
      </w:r>
      <w:r w:rsidRPr="00B76B3A">
        <w:rPr>
          <w:lang w:val="fr-FR"/>
        </w:rPr>
        <w:t>a et la famille de son ex-mari n</w:t>
      </w:r>
      <w:r w:rsidR="00BE5FF0">
        <w:rPr>
          <w:lang w:val="fr-FR"/>
        </w:rPr>
        <w:t>’</w:t>
      </w:r>
      <w:r w:rsidRPr="00B76B3A">
        <w:rPr>
          <w:lang w:val="fr-FR"/>
        </w:rPr>
        <w:t>a rien entrepris contre elle.</w:t>
      </w:r>
    </w:p>
    <w:p w:rsidR="008A492C" w:rsidRPr="00B76B3A" w:rsidRDefault="008A492C" w:rsidP="008A492C">
      <w:pPr>
        <w:pStyle w:val="SingleTxtG"/>
        <w:rPr>
          <w:lang w:val="fr-FR"/>
        </w:rPr>
      </w:pPr>
      <w:r w:rsidRPr="00B76B3A">
        <w:rPr>
          <w:lang w:val="fr-FR"/>
        </w:rPr>
        <w:t>4.12</w:t>
      </w:r>
      <w:r w:rsidRPr="00B76B3A">
        <w:rPr>
          <w:lang w:val="fr-FR"/>
        </w:rPr>
        <w:tab/>
        <w:t xml:space="preserve">En ce qui concerne les preuves écrites </w:t>
      </w:r>
      <w:r w:rsidR="00E758C5">
        <w:rPr>
          <w:lang w:val="fr-FR"/>
        </w:rPr>
        <w:t>jointes par l</w:t>
      </w:r>
      <w:r w:rsidR="00BE5FF0">
        <w:rPr>
          <w:lang w:val="fr-FR"/>
        </w:rPr>
        <w:t>’</w:t>
      </w:r>
      <w:r w:rsidR="00E758C5">
        <w:rPr>
          <w:lang w:val="fr-FR"/>
        </w:rPr>
        <w:t xml:space="preserve">auteur à </w:t>
      </w:r>
      <w:r w:rsidR="00E758C5" w:rsidRPr="00B76B3A">
        <w:rPr>
          <w:lang w:val="fr-FR"/>
        </w:rPr>
        <w:t xml:space="preserve">sa deuxième demande de réexamen de </w:t>
      </w:r>
      <w:r w:rsidR="00E758C5">
        <w:rPr>
          <w:lang w:val="fr-FR"/>
        </w:rPr>
        <w:t>l</w:t>
      </w:r>
      <w:r w:rsidR="00E758C5" w:rsidRPr="00B76B3A">
        <w:rPr>
          <w:lang w:val="fr-FR"/>
        </w:rPr>
        <w:t>a demande de permis de séjour</w:t>
      </w:r>
      <w:r w:rsidR="00E758C5">
        <w:rPr>
          <w:lang w:val="fr-FR"/>
        </w:rPr>
        <w:t xml:space="preserve"> déposée auprès de </w:t>
      </w:r>
      <w:r>
        <w:rPr>
          <w:lang w:val="fr-FR"/>
        </w:rPr>
        <w:t>l</w:t>
      </w:r>
      <w:r w:rsidR="00BE5FF0">
        <w:rPr>
          <w:lang w:val="fr-FR"/>
        </w:rPr>
        <w:t>’</w:t>
      </w:r>
      <w:r>
        <w:rPr>
          <w:lang w:val="fr-FR"/>
        </w:rPr>
        <w:t xml:space="preserve">Office </w:t>
      </w:r>
      <w:r w:rsidRPr="00B76B3A">
        <w:rPr>
          <w:lang w:val="fr-FR"/>
        </w:rPr>
        <w:t>des migrations</w:t>
      </w:r>
      <w:r w:rsidR="00E758C5">
        <w:rPr>
          <w:lang w:val="fr-FR"/>
        </w:rPr>
        <w:t>,</w:t>
      </w:r>
      <w:r w:rsidRPr="00B76B3A">
        <w:rPr>
          <w:lang w:val="fr-FR"/>
        </w:rPr>
        <w:t xml:space="preserve"> le 20</w:t>
      </w:r>
      <w:r>
        <w:rPr>
          <w:lang w:val="fr-FR"/>
        </w:rPr>
        <w:t> </w:t>
      </w:r>
      <w:r w:rsidRPr="00B76B3A">
        <w:rPr>
          <w:lang w:val="fr-FR"/>
        </w:rPr>
        <w:t xml:space="preserve">octobre 2011, </w:t>
      </w:r>
      <w:r>
        <w:rPr>
          <w:lang w:val="fr-FR"/>
        </w:rPr>
        <w:t>ce qu</w:t>
      </w:r>
      <w:r w:rsidR="00BE5FF0">
        <w:rPr>
          <w:lang w:val="fr-FR"/>
        </w:rPr>
        <w:t>’</w:t>
      </w:r>
      <w:r>
        <w:rPr>
          <w:lang w:val="fr-FR"/>
        </w:rPr>
        <w:t xml:space="preserve">elle a appelé une </w:t>
      </w:r>
      <w:r w:rsidRPr="00B76B3A">
        <w:rPr>
          <w:lang w:val="fr-FR"/>
        </w:rPr>
        <w:t xml:space="preserve">déposition faite </w:t>
      </w:r>
      <w:r>
        <w:rPr>
          <w:lang w:val="fr-FR"/>
        </w:rPr>
        <w:t xml:space="preserve">à </w:t>
      </w:r>
      <w:r w:rsidRPr="00B76B3A">
        <w:rPr>
          <w:lang w:val="fr-FR"/>
        </w:rPr>
        <w:t xml:space="preserve">la police </w:t>
      </w:r>
      <w:r w:rsidR="00E758C5">
        <w:rPr>
          <w:lang w:val="fr-FR"/>
        </w:rPr>
        <w:t xml:space="preserve">bangladaise </w:t>
      </w:r>
      <w:r w:rsidRPr="00B76B3A">
        <w:rPr>
          <w:lang w:val="fr-FR"/>
        </w:rPr>
        <w:t xml:space="preserve">par le frère de </w:t>
      </w:r>
      <w:r>
        <w:rPr>
          <w:lang w:val="fr-FR"/>
        </w:rPr>
        <w:t>s</w:t>
      </w:r>
      <w:r w:rsidRPr="00B76B3A">
        <w:rPr>
          <w:lang w:val="fr-FR"/>
        </w:rPr>
        <w:t xml:space="preserve">a compagne </w:t>
      </w:r>
      <w:r>
        <w:rPr>
          <w:lang w:val="fr-FR"/>
        </w:rPr>
        <w:t xml:space="preserve">était </w:t>
      </w:r>
      <w:r w:rsidRPr="00B76B3A">
        <w:rPr>
          <w:lang w:val="fr-FR"/>
        </w:rPr>
        <w:t>une télécopie d</w:t>
      </w:r>
      <w:r w:rsidR="00BE5FF0">
        <w:rPr>
          <w:lang w:val="fr-FR"/>
        </w:rPr>
        <w:t>’</w:t>
      </w:r>
      <w:r w:rsidRPr="00B76B3A">
        <w:rPr>
          <w:lang w:val="fr-FR"/>
        </w:rPr>
        <w:t xml:space="preserve">un document manuscrit </w:t>
      </w:r>
      <w:r w:rsidR="00E758C5">
        <w:rPr>
          <w:lang w:val="fr-FR"/>
        </w:rPr>
        <w:t>et devai</w:t>
      </w:r>
      <w:r w:rsidRPr="00B76B3A">
        <w:rPr>
          <w:lang w:val="fr-FR"/>
        </w:rPr>
        <w:t>t donc être considérée comme ayant une faible valeur de preuve. En outre, l</w:t>
      </w:r>
      <w:r w:rsidR="00BE5FF0">
        <w:rPr>
          <w:lang w:val="fr-FR"/>
        </w:rPr>
        <w:t>’</w:t>
      </w:r>
      <w:r w:rsidRPr="00B76B3A">
        <w:rPr>
          <w:lang w:val="fr-FR"/>
        </w:rPr>
        <w:t>État partie informe le Comité qu</w:t>
      </w:r>
      <w:r w:rsidR="00BE5FF0">
        <w:rPr>
          <w:lang w:val="fr-FR"/>
        </w:rPr>
        <w:t>’</w:t>
      </w:r>
      <w:r w:rsidRPr="00B76B3A">
        <w:rPr>
          <w:lang w:val="fr-FR"/>
        </w:rPr>
        <w:t>il a sollicité l</w:t>
      </w:r>
      <w:r w:rsidR="00BE5FF0">
        <w:rPr>
          <w:lang w:val="fr-FR"/>
        </w:rPr>
        <w:t>’</w:t>
      </w:r>
      <w:r w:rsidR="00E758C5">
        <w:rPr>
          <w:lang w:val="fr-FR"/>
        </w:rPr>
        <w:t>aide de son ambassade à Dacc</w:t>
      </w:r>
      <w:r w:rsidRPr="00B76B3A">
        <w:rPr>
          <w:lang w:val="fr-FR"/>
        </w:rPr>
        <w:t>a au sujet de l</w:t>
      </w:r>
      <w:r w:rsidR="00BE5FF0">
        <w:rPr>
          <w:lang w:val="fr-FR"/>
        </w:rPr>
        <w:t>’</w:t>
      </w:r>
      <w:r w:rsidRPr="00B76B3A">
        <w:rPr>
          <w:lang w:val="fr-FR"/>
        </w:rPr>
        <w:t xml:space="preserve">article </w:t>
      </w:r>
      <w:r w:rsidR="00E758C5">
        <w:rPr>
          <w:lang w:val="fr-FR"/>
        </w:rPr>
        <w:t>qui d</w:t>
      </w:r>
      <w:r w:rsidR="00BE5FF0">
        <w:rPr>
          <w:lang w:val="fr-FR"/>
        </w:rPr>
        <w:t>’</w:t>
      </w:r>
      <w:r w:rsidR="00E758C5">
        <w:rPr>
          <w:lang w:val="fr-FR"/>
        </w:rPr>
        <w:t>après l</w:t>
      </w:r>
      <w:r w:rsidR="00BE5FF0">
        <w:rPr>
          <w:lang w:val="fr-FR"/>
        </w:rPr>
        <w:t>’</w:t>
      </w:r>
      <w:r w:rsidR="00E758C5">
        <w:rPr>
          <w:lang w:val="fr-FR"/>
        </w:rPr>
        <w:t xml:space="preserve">auteur aurait été publié dans le journal </w:t>
      </w:r>
      <w:r w:rsidRPr="00B76B3A">
        <w:rPr>
          <w:i/>
          <w:iCs/>
          <w:lang w:val="fr-FR"/>
        </w:rPr>
        <w:t xml:space="preserve">Dainik Nowroj </w:t>
      </w:r>
      <w:r w:rsidRPr="00B76B3A">
        <w:rPr>
          <w:lang w:val="fr-FR"/>
        </w:rPr>
        <w:t>afin de vérifier l</w:t>
      </w:r>
      <w:r w:rsidR="00BE5FF0">
        <w:rPr>
          <w:lang w:val="fr-FR"/>
        </w:rPr>
        <w:t>’</w:t>
      </w:r>
      <w:r w:rsidRPr="00B76B3A">
        <w:rPr>
          <w:lang w:val="fr-FR"/>
        </w:rPr>
        <w:t>existence de cette publication et d</w:t>
      </w:r>
      <w:r w:rsidR="00BE5FF0">
        <w:rPr>
          <w:lang w:val="fr-FR"/>
        </w:rPr>
        <w:t>’</w:t>
      </w:r>
      <w:r w:rsidRPr="00B76B3A">
        <w:rPr>
          <w:lang w:val="fr-FR"/>
        </w:rPr>
        <w:t xml:space="preserve">obtenir des renseignements </w:t>
      </w:r>
      <w:r w:rsidR="0049542D">
        <w:rPr>
          <w:lang w:val="fr-FR"/>
        </w:rPr>
        <w:t xml:space="preserve">notamment </w:t>
      </w:r>
      <w:r w:rsidRPr="00B76B3A">
        <w:rPr>
          <w:lang w:val="fr-FR"/>
        </w:rPr>
        <w:t>sur sa diffusion</w:t>
      </w:r>
      <w:r w:rsidR="0049542D">
        <w:rPr>
          <w:lang w:val="fr-FR"/>
        </w:rPr>
        <w:t xml:space="preserve"> et</w:t>
      </w:r>
      <w:r w:rsidRPr="00B76B3A">
        <w:rPr>
          <w:lang w:val="fr-FR"/>
        </w:rPr>
        <w:t xml:space="preserve"> son lectorat. L</w:t>
      </w:r>
      <w:r w:rsidR="00BE5FF0">
        <w:rPr>
          <w:lang w:val="fr-FR"/>
        </w:rPr>
        <w:t>’</w:t>
      </w:r>
      <w:r w:rsidRPr="00B76B3A">
        <w:rPr>
          <w:lang w:val="fr-FR"/>
        </w:rPr>
        <w:t xml:space="preserve">ambassade </w:t>
      </w:r>
      <w:r w:rsidR="0049542D">
        <w:rPr>
          <w:lang w:val="fr-FR"/>
        </w:rPr>
        <w:t xml:space="preserve">de Suède à Dacca </w:t>
      </w:r>
      <w:r w:rsidRPr="00B76B3A">
        <w:rPr>
          <w:lang w:val="fr-FR"/>
        </w:rPr>
        <w:t>a répondu qu</w:t>
      </w:r>
      <w:r w:rsidR="00BE5FF0">
        <w:rPr>
          <w:lang w:val="fr-FR"/>
        </w:rPr>
        <w:t>’</w:t>
      </w:r>
      <w:r w:rsidRPr="00B76B3A">
        <w:rPr>
          <w:lang w:val="fr-FR"/>
        </w:rPr>
        <w:t>elle ne connaissait pas ce journal et qu</w:t>
      </w:r>
      <w:r w:rsidR="00BE5FF0">
        <w:rPr>
          <w:lang w:val="fr-FR"/>
        </w:rPr>
        <w:t>’</w:t>
      </w:r>
      <w:r w:rsidRPr="00B76B3A">
        <w:rPr>
          <w:lang w:val="fr-FR"/>
        </w:rPr>
        <w:t xml:space="preserve">en tout état de cause, </w:t>
      </w:r>
      <w:r>
        <w:rPr>
          <w:lang w:val="fr-FR"/>
        </w:rPr>
        <w:t>ce n</w:t>
      </w:r>
      <w:r w:rsidR="00BE5FF0">
        <w:rPr>
          <w:lang w:val="fr-FR"/>
        </w:rPr>
        <w:t>’</w:t>
      </w:r>
      <w:r>
        <w:rPr>
          <w:lang w:val="fr-FR"/>
        </w:rPr>
        <w:t>était pas l</w:t>
      </w:r>
      <w:r w:rsidR="00BE5FF0">
        <w:rPr>
          <w:lang w:val="fr-FR"/>
        </w:rPr>
        <w:t>’</w:t>
      </w:r>
      <w:r>
        <w:rPr>
          <w:lang w:val="fr-FR"/>
        </w:rPr>
        <w:t xml:space="preserve">un des </w:t>
      </w:r>
      <w:r w:rsidRPr="00B76B3A">
        <w:rPr>
          <w:lang w:val="fr-FR"/>
        </w:rPr>
        <w:t>grands journaux du pays. De plus, l</w:t>
      </w:r>
      <w:r w:rsidR="00BE5FF0">
        <w:rPr>
          <w:lang w:val="fr-FR"/>
        </w:rPr>
        <w:t>’</w:t>
      </w:r>
      <w:r w:rsidRPr="00B76B3A">
        <w:rPr>
          <w:lang w:val="fr-FR"/>
        </w:rPr>
        <w:t xml:space="preserve">ambassade </w:t>
      </w:r>
      <w:r w:rsidR="0049542D">
        <w:rPr>
          <w:lang w:val="fr-FR"/>
        </w:rPr>
        <w:t>n</w:t>
      </w:r>
      <w:r w:rsidR="00BE5FF0">
        <w:rPr>
          <w:lang w:val="fr-FR"/>
        </w:rPr>
        <w:t>’</w:t>
      </w:r>
      <w:r w:rsidR="0049542D">
        <w:rPr>
          <w:lang w:val="fr-FR"/>
        </w:rPr>
        <w:t xml:space="preserve">a pas réussi à </w:t>
      </w:r>
      <w:r w:rsidRPr="00B76B3A">
        <w:rPr>
          <w:lang w:val="fr-FR"/>
        </w:rPr>
        <w:t>trouver des informations sur le journal. L</w:t>
      </w:r>
      <w:r w:rsidR="00BE5FF0">
        <w:rPr>
          <w:lang w:val="fr-FR"/>
        </w:rPr>
        <w:t>’</w:t>
      </w:r>
      <w:r w:rsidRPr="00B76B3A">
        <w:rPr>
          <w:lang w:val="fr-FR"/>
        </w:rPr>
        <w:t>État partie estime qu</w:t>
      </w:r>
      <w:r>
        <w:rPr>
          <w:lang w:val="fr-FR"/>
        </w:rPr>
        <w:t xml:space="preserve">e, </w:t>
      </w:r>
      <w:r w:rsidRPr="00B76B3A">
        <w:rPr>
          <w:lang w:val="fr-FR"/>
        </w:rPr>
        <w:t xml:space="preserve">indépendamment de ce qui précède, il serait étrange que le journal publie en avril 2011 un article </w:t>
      </w:r>
      <w:r>
        <w:rPr>
          <w:lang w:val="fr-FR"/>
        </w:rPr>
        <w:t>relat</w:t>
      </w:r>
      <w:r w:rsidRPr="00B76B3A">
        <w:rPr>
          <w:lang w:val="fr-FR"/>
        </w:rPr>
        <w:t>ant comment la relation de l</w:t>
      </w:r>
      <w:r w:rsidR="00BE5FF0">
        <w:rPr>
          <w:lang w:val="fr-FR"/>
        </w:rPr>
        <w:t>’</w:t>
      </w:r>
      <w:r w:rsidRPr="00B76B3A">
        <w:rPr>
          <w:lang w:val="fr-FR"/>
        </w:rPr>
        <w:t>auteur avait attiré l</w:t>
      </w:r>
      <w:r w:rsidR="00BE5FF0">
        <w:rPr>
          <w:lang w:val="fr-FR"/>
        </w:rPr>
        <w:t>’</w:t>
      </w:r>
      <w:r w:rsidRPr="00B76B3A">
        <w:rPr>
          <w:lang w:val="fr-FR"/>
        </w:rPr>
        <w:t>attention des médias trois ans auparavant, en janvier 2008. À supposer que cela soit le cas, il serait plus singulier encore que l</w:t>
      </w:r>
      <w:r w:rsidR="00BE5FF0">
        <w:rPr>
          <w:lang w:val="fr-FR"/>
        </w:rPr>
        <w:t>’</w:t>
      </w:r>
      <w:r w:rsidRPr="00B76B3A">
        <w:rPr>
          <w:lang w:val="fr-FR"/>
        </w:rPr>
        <w:t>auteur n</w:t>
      </w:r>
      <w:r w:rsidR="00BE5FF0">
        <w:rPr>
          <w:lang w:val="fr-FR"/>
        </w:rPr>
        <w:t>’</w:t>
      </w:r>
      <w:r w:rsidRPr="00B76B3A">
        <w:rPr>
          <w:lang w:val="fr-FR"/>
        </w:rPr>
        <w:t>ait pas eu connaissance de l</w:t>
      </w:r>
      <w:r w:rsidR="00BE5FF0">
        <w:rPr>
          <w:lang w:val="fr-FR"/>
        </w:rPr>
        <w:t>’</w:t>
      </w:r>
      <w:r w:rsidRPr="00B76B3A">
        <w:rPr>
          <w:lang w:val="fr-FR"/>
        </w:rPr>
        <w:t>attention qu</w:t>
      </w:r>
      <w:r w:rsidR="00BE5FF0">
        <w:rPr>
          <w:lang w:val="fr-FR"/>
        </w:rPr>
        <w:t>’</w:t>
      </w:r>
      <w:r w:rsidRPr="00B76B3A">
        <w:rPr>
          <w:lang w:val="fr-FR"/>
        </w:rPr>
        <w:t xml:space="preserve">aurait suscitée au niveau national le premier article en 2008. Par conséquent, </w:t>
      </w:r>
      <w:r w:rsidR="0049542D">
        <w:rPr>
          <w:lang w:val="fr-FR"/>
        </w:rPr>
        <w:t>l</w:t>
      </w:r>
      <w:r w:rsidR="00BE5FF0">
        <w:rPr>
          <w:lang w:val="fr-FR"/>
        </w:rPr>
        <w:t>’</w:t>
      </w:r>
      <w:r w:rsidR="0049542D">
        <w:rPr>
          <w:lang w:val="fr-FR"/>
        </w:rPr>
        <w:t xml:space="preserve">État partie estime que </w:t>
      </w:r>
      <w:r w:rsidRPr="00B76B3A">
        <w:rPr>
          <w:lang w:val="fr-FR"/>
        </w:rPr>
        <w:t>la coupure de presse soumise a une très faible valeur probante.</w:t>
      </w:r>
    </w:p>
    <w:p w:rsidR="008A492C" w:rsidRPr="00B76B3A" w:rsidRDefault="008A492C" w:rsidP="008A492C">
      <w:pPr>
        <w:pStyle w:val="SingleTxtG"/>
        <w:rPr>
          <w:lang w:val="fr-FR"/>
        </w:rPr>
      </w:pPr>
      <w:r w:rsidRPr="00B76B3A">
        <w:rPr>
          <w:lang w:val="fr-FR"/>
        </w:rPr>
        <w:t>4.13</w:t>
      </w:r>
      <w:r w:rsidRPr="00B76B3A">
        <w:rPr>
          <w:lang w:val="fr-FR"/>
        </w:rPr>
        <w:tab/>
        <w:t>En conclusion, l</w:t>
      </w:r>
      <w:r w:rsidR="00BE5FF0">
        <w:rPr>
          <w:lang w:val="fr-FR"/>
        </w:rPr>
        <w:t>’</w:t>
      </w:r>
      <w:r w:rsidRPr="00B76B3A">
        <w:rPr>
          <w:lang w:val="fr-FR"/>
        </w:rPr>
        <w:t>État partie fait valoir que le récit de l</w:t>
      </w:r>
      <w:r w:rsidR="00BE5FF0">
        <w:rPr>
          <w:lang w:val="fr-FR"/>
        </w:rPr>
        <w:t>’</w:t>
      </w:r>
      <w:r w:rsidRPr="00B76B3A">
        <w:rPr>
          <w:lang w:val="fr-FR"/>
        </w:rPr>
        <w:t>auteur manque de crédibilité et contient un certain nombre de contradictions et de zones d</w:t>
      </w:r>
      <w:r w:rsidR="00BE5FF0">
        <w:rPr>
          <w:lang w:val="fr-FR"/>
        </w:rPr>
        <w:t>’</w:t>
      </w:r>
      <w:r w:rsidRPr="00B76B3A">
        <w:rPr>
          <w:lang w:val="fr-FR"/>
        </w:rPr>
        <w:t>ombre concernant des faits essentiels. La communication devrait donc être déclarée irrecevable en vertu de l</w:t>
      </w:r>
      <w:r w:rsidR="00BE5FF0">
        <w:rPr>
          <w:lang w:val="fr-FR"/>
        </w:rPr>
        <w:t>’</w:t>
      </w:r>
      <w:r w:rsidRPr="00B76B3A">
        <w:rPr>
          <w:lang w:val="fr-FR"/>
        </w:rPr>
        <w:t>article</w:t>
      </w:r>
      <w:r>
        <w:rPr>
          <w:lang w:val="fr-FR"/>
        </w:rPr>
        <w:t> </w:t>
      </w:r>
      <w:r w:rsidRPr="00B76B3A">
        <w:rPr>
          <w:lang w:val="fr-FR"/>
        </w:rPr>
        <w:t>3 du Protocole facultatif faute d</w:t>
      </w:r>
      <w:r w:rsidR="00BE5FF0">
        <w:rPr>
          <w:lang w:val="fr-FR"/>
        </w:rPr>
        <w:t>’</w:t>
      </w:r>
      <w:r w:rsidRPr="00B76B3A">
        <w:rPr>
          <w:lang w:val="fr-FR"/>
        </w:rPr>
        <w:t>être suffisamment étayée. Par suite, l</w:t>
      </w:r>
      <w:r w:rsidR="00BE5FF0">
        <w:rPr>
          <w:lang w:val="fr-FR"/>
        </w:rPr>
        <w:t>’</w:t>
      </w:r>
      <w:r w:rsidRPr="00B76B3A">
        <w:rPr>
          <w:lang w:val="fr-FR"/>
        </w:rPr>
        <w:t>exécution de l</w:t>
      </w:r>
      <w:r w:rsidR="00BE5FF0">
        <w:rPr>
          <w:lang w:val="fr-FR"/>
        </w:rPr>
        <w:t>’</w:t>
      </w:r>
      <w:r>
        <w:rPr>
          <w:lang w:val="fr-FR"/>
        </w:rPr>
        <w:t>arrêté</w:t>
      </w:r>
      <w:r w:rsidRPr="00B76B3A">
        <w:rPr>
          <w:lang w:val="fr-FR"/>
        </w:rPr>
        <w:t xml:space="preserve"> d</w:t>
      </w:r>
      <w:r w:rsidR="00BE5FF0">
        <w:rPr>
          <w:lang w:val="fr-FR"/>
        </w:rPr>
        <w:t>’</w:t>
      </w:r>
      <w:r w:rsidRPr="00B76B3A">
        <w:rPr>
          <w:lang w:val="fr-FR"/>
        </w:rPr>
        <w:t>expulsion concernant l</w:t>
      </w:r>
      <w:r w:rsidR="00BE5FF0">
        <w:rPr>
          <w:lang w:val="fr-FR"/>
        </w:rPr>
        <w:t>’</w:t>
      </w:r>
      <w:r w:rsidRPr="00B76B3A">
        <w:rPr>
          <w:lang w:val="fr-FR"/>
        </w:rPr>
        <w:t>auteur ne constituerait pas une violation de l</w:t>
      </w:r>
      <w:r w:rsidR="00BE5FF0">
        <w:rPr>
          <w:lang w:val="fr-FR"/>
        </w:rPr>
        <w:t>’</w:t>
      </w:r>
      <w:r w:rsidRPr="00B76B3A">
        <w:rPr>
          <w:lang w:val="fr-FR"/>
        </w:rPr>
        <w:t>article 7 du Pacte. Sur le fond, l</w:t>
      </w:r>
      <w:r w:rsidR="00BE5FF0">
        <w:rPr>
          <w:lang w:val="fr-FR"/>
        </w:rPr>
        <w:t>’</w:t>
      </w:r>
      <w:r w:rsidRPr="00B76B3A">
        <w:rPr>
          <w:lang w:val="fr-FR"/>
        </w:rPr>
        <w:t>État partie affirme que la communication ne fait appara</w:t>
      </w:r>
      <w:r>
        <w:rPr>
          <w:lang w:val="fr-FR"/>
        </w:rPr>
        <w:t>ître aucune violation du Pacte.</w:t>
      </w:r>
    </w:p>
    <w:p w:rsidR="008A492C" w:rsidRPr="00B76B3A" w:rsidRDefault="008A492C" w:rsidP="008A492C">
      <w:pPr>
        <w:pStyle w:val="H23G"/>
        <w:rPr>
          <w:lang w:val="fr-FR"/>
        </w:rPr>
      </w:pPr>
      <w:r w:rsidRPr="00B76B3A">
        <w:rPr>
          <w:lang w:val="fr-FR"/>
        </w:rPr>
        <w:tab/>
      </w:r>
      <w:r w:rsidRPr="00B76B3A">
        <w:rPr>
          <w:lang w:val="fr-FR"/>
        </w:rPr>
        <w:tab/>
        <w:t>Commentaires de l</w:t>
      </w:r>
      <w:r w:rsidR="00BE5FF0">
        <w:rPr>
          <w:lang w:val="fr-FR"/>
        </w:rPr>
        <w:t>’</w:t>
      </w:r>
      <w:r w:rsidRPr="00B76B3A">
        <w:rPr>
          <w:lang w:val="fr-FR"/>
        </w:rPr>
        <w:t>auteur sur les observations de l</w:t>
      </w:r>
      <w:r w:rsidR="00BE5FF0">
        <w:rPr>
          <w:lang w:val="fr-FR"/>
        </w:rPr>
        <w:t>’</w:t>
      </w:r>
      <w:r w:rsidRPr="00B76B3A">
        <w:rPr>
          <w:lang w:val="fr-FR"/>
        </w:rPr>
        <w:t>État partie</w:t>
      </w:r>
    </w:p>
    <w:p w:rsidR="008A492C" w:rsidRPr="00B76B3A" w:rsidRDefault="008A492C" w:rsidP="008A492C">
      <w:pPr>
        <w:pStyle w:val="SingleTxtG"/>
        <w:rPr>
          <w:lang w:val="fr-FR"/>
        </w:rPr>
      </w:pPr>
      <w:r>
        <w:rPr>
          <w:lang w:val="fr-FR"/>
        </w:rPr>
        <w:t>5.1</w:t>
      </w:r>
      <w:r w:rsidRPr="00B76B3A">
        <w:rPr>
          <w:lang w:val="fr-FR"/>
        </w:rPr>
        <w:tab/>
      </w:r>
      <w:r>
        <w:rPr>
          <w:lang w:val="fr-FR"/>
        </w:rPr>
        <w:t>En date du</w:t>
      </w:r>
      <w:r w:rsidRPr="00B76B3A">
        <w:rPr>
          <w:lang w:val="fr-FR"/>
        </w:rPr>
        <w:t xml:space="preserve"> 4</w:t>
      </w:r>
      <w:r>
        <w:rPr>
          <w:lang w:val="fr-FR"/>
        </w:rPr>
        <w:t> </w:t>
      </w:r>
      <w:r w:rsidRPr="00B76B3A">
        <w:rPr>
          <w:lang w:val="fr-FR"/>
        </w:rPr>
        <w:t>mars 2013, l</w:t>
      </w:r>
      <w:r w:rsidR="00BE5FF0">
        <w:rPr>
          <w:lang w:val="fr-FR"/>
        </w:rPr>
        <w:t>’</w:t>
      </w:r>
      <w:r w:rsidRPr="00B76B3A">
        <w:rPr>
          <w:lang w:val="fr-FR"/>
        </w:rPr>
        <w:t>auteur a fait part de ses commentaires sur les observations de l</w:t>
      </w:r>
      <w:r w:rsidR="00BE5FF0">
        <w:rPr>
          <w:lang w:val="fr-FR"/>
        </w:rPr>
        <w:t>’</w:t>
      </w:r>
      <w:r w:rsidRPr="00B76B3A">
        <w:rPr>
          <w:lang w:val="fr-FR"/>
        </w:rPr>
        <w:t xml:space="preserve">État partie concernant la recevabilité et le fond. </w:t>
      </w:r>
      <w:r>
        <w:rPr>
          <w:lang w:val="fr-FR"/>
        </w:rPr>
        <w:t>Elle</w:t>
      </w:r>
      <w:r w:rsidRPr="00B76B3A">
        <w:rPr>
          <w:lang w:val="fr-FR"/>
        </w:rPr>
        <w:t xml:space="preserve"> réaffirme que plusieurs sources d</w:t>
      </w:r>
      <w:r w:rsidR="00BE5FF0">
        <w:rPr>
          <w:lang w:val="fr-FR"/>
        </w:rPr>
        <w:t>’</w:t>
      </w:r>
      <w:r w:rsidRPr="00B76B3A">
        <w:rPr>
          <w:lang w:val="fr-FR"/>
        </w:rPr>
        <w:t xml:space="preserve">information ont décrit les difficultés que rencontrent les </w:t>
      </w:r>
      <w:r>
        <w:rPr>
          <w:lang w:val="fr-FR"/>
        </w:rPr>
        <w:t>LGBT</w:t>
      </w:r>
      <w:r w:rsidRPr="00B76B3A">
        <w:rPr>
          <w:lang w:val="fr-FR"/>
        </w:rPr>
        <w:t xml:space="preserve"> au Bangladesh et la gravité de leur situation. En</w:t>
      </w:r>
      <w:r>
        <w:rPr>
          <w:lang w:val="fr-FR"/>
        </w:rPr>
        <w:t> </w:t>
      </w:r>
      <w:r w:rsidRPr="00B76B3A">
        <w:rPr>
          <w:lang w:val="fr-FR"/>
        </w:rPr>
        <w:t>outre, les autorités bangladaises n</w:t>
      </w:r>
      <w:r w:rsidR="00BE5FF0">
        <w:rPr>
          <w:lang w:val="fr-FR"/>
        </w:rPr>
        <w:t>’</w:t>
      </w:r>
      <w:r w:rsidRPr="00B76B3A">
        <w:rPr>
          <w:lang w:val="fr-FR"/>
        </w:rPr>
        <w:t>ont ni la volonté ni la capacité de protéger ces personnes car l</w:t>
      </w:r>
      <w:r w:rsidR="00BE5FF0">
        <w:rPr>
          <w:lang w:val="fr-FR"/>
        </w:rPr>
        <w:t>’</w:t>
      </w:r>
      <w:r w:rsidRPr="00B76B3A">
        <w:rPr>
          <w:lang w:val="fr-FR"/>
        </w:rPr>
        <w:t xml:space="preserve">homosexualité est illégale dans </w:t>
      </w:r>
      <w:r>
        <w:rPr>
          <w:lang w:val="fr-FR"/>
        </w:rPr>
        <w:t xml:space="preserve">le droit </w:t>
      </w:r>
      <w:r w:rsidRPr="00B76B3A">
        <w:rPr>
          <w:lang w:val="fr-FR"/>
        </w:rPr>
        <w:t>interne</w:t>
      </w:r>
      <w:r w:rsidR="00C60408">
        <w:rPr>
          <w:lang w:val="fr-FR"/>
        </w:rPr>
        <w:t xml:space="preserve"> (art. 377 du Code pénal)</w:t>
      </w:r>
      <w:r w:rsidRPr="00B76B3A">
        <w:rPr>
          <w:lang w:val="fr-FR"/>
        </w:rPr>
        <w:t>.</w:t>
      </w:r>
    </w:p>
    <w:p w:rsidR="008A492C" w:rsidRPr="00B76B3A" w:rsidRDefault="008A492C" w:rsidP="008A492C">
      <w:pPr>
        <w:pStyle w:val="SingleTxtG"/>
        <w:rPr>
          <w:lang w:val="fr-FR"/>
        </w:rPr>
      </w:pPr>
      <w:r w:rsidRPr="00B76B3A">
        <w:rPr>
          <w:lang w:val="fr-FR"/>
        </w:rPr>
        <w:t>5.2</w:t>
      </w:r>
      <w:r w:rsidRPr="00B76B3A">
        <w:rPr>
          <w:lang w:val="fr-FR"/>
        </w:rPr>
        <w:tab/>
        <w:t>L</w:t>
      </w:r>
      <w:r w:rsidR="00BE5FF0">
        <w:rPr>
          <w:lang w:val="fr-FR"/>
        </w:rPr>
        <w:t>’</w:t>
      </w:r>
      <w:r w:rsidR="00C60408">
        <w:rPr>
          <w:lang w:val="fr-FR"/>
        </w:rPr>
        <w:t>auteur affirme que l</w:t>
      </w:r>
      <w:r w:rsidR="00BE5FF0">
        <w:rPr>
          <w:lang w:val="fr-FR"/>
        </w:rPr>
        <w:t>’</w:t>
      </w:r>
      <w:r w:rsidRPr="00B76B3A">
        <w:rPr>
          <w:lang w:val="fr-FR"/>
        </w:rPr>
        <w:t xml:space="preserve">examen de son dossier par les services </w:t>
      </w:r>
      <w:r w:rsidR="00C60408">
        <w:rPr>
          <w:lang w:val="fr-FR"/>
        </w:rPr>
        <w:t xml:space="preserve">suédois </w:t>
      </w:r>
      <w:r w:rsidRPr="00B76B3A">
        <w:rPr>
          <w:lang w:val="fr-FR"/>
        </w:rPr>
        <w:t>de l</w:t>
      </w:r>
      <w:r w:rsidR="00BE5FF0">
        <w:rPr>
          <w:lang w:val="fr-FR"/>
        </w:rPr>
        <w:t>’</w:t>
      </w:r>
      <w:r w:rsidRPr="00B76B3A">
        <w:rPr>
          <w:lang w:val="fr-FR"/>
        </w:rPr>
        <w:t>immigration conformément à la loi de</w:t>
      </w:r>
      <w:r>
        <w:rPr>
          <w:lang w:val="fr-FR"/>
        </w:rPr>
        <w:t> </w:t>
      </w:r>
      <w:r w:rsidRPr="00B76B3A">
        <w:rPr>
          <w:lang w:val="fr-FR"/>
        </w:rPr>
        <w:t>2005 relative aux étrangers ne peut pas être comparé à l</w:t>
      </w:r>
      <w:r w:rsidR="00BE5FF0">
        <w:rPr>
          <w:lang w:val="fr-FR"/>
        </w:rPr>
        <w:t>’</w:t>
      </w:r>
      <w:r w:rsidRPr="00B76B3A">
        <w:rPr>
          <w:lang w:val="fr-FR"/>
        </w:rPr>
        <w:t>examen d</w:t>
      </w:r>
      <w:r w:rsidR="00BE5FF0">
        <w:rPr>
          <w:lang w:val="fr-FR"/>
        </w:rPr>
        <w:t>’</w:t>
      </w:r>
      <w:r w:rsidRPr="00B76B3A">
        <w:rPr>
          <w:lang w:val="fr-FR"/>
        </w:rPr>
        <w:t xml:space="preserve">une communication </w:t>
      </w:r>
      <w:r>
        <w:rPr>
          <w:lang w:val="fr-FR"/>
        </w:rPr>
        <w:t>dénonçant une violation</w:t>
      </w:r>
      <w:r w:rsidRPr="00B76B3A">
        <w:rPr>
          <w:lang w:val="fr-FR"/>
        </w:rPr>
        <w:t xml:space="preserve"> de l</w:t>
      </w:r>
      <w:r w:rsidR="00BE5FF0">
        <w:rPr>
          <w:lang w:val="fr-FR"/>
        </w:rPr>
        <w:t>’</w:t>
      </w:r>
      <w:r w:rsidRPr="00B76B3A">
        <w:rPr>
          <w:lang w:val="fr-FR"/>
        </w:rPr>
        <w:t>article 7 du Pacte. Bien qu</w:t>
      </w:r>
      <w:r w:rsidR="00BE5FF0">
        <w:rPr>
          <w:lang w:val="fr-FR"/>
        </w:rPr>
        <w:t>’</w:t>
      </w:r>
      <w:r w:rsidRPr="00B76B3A">
        <w:rPr>
          <w:lang w:val="fr-FR"/>
        </w:rPr>
        <w:t xml:space="preserve">elle ait </w:t>
      </w:r>
      <w:r>
        <w:rPr>
          <w:lang w:val="fr-FR"/>
        </w:rPr>
        <w:t>apporté</w:t>
      </w:r>
      <w:r w:rsidRPr="00B76B3A">
        <w:rPr>
          <w:lang w:val="fr-FR"/>
        </w:rPr>
        <w:t xml:space="preserve"> de nouvelles preuves, </w:t>
      </w:r>
      <w:r>
        <w:rPr>
          <w:lang w:val="fr-FR"/>
        </w:rPr>
        <w:t>le</w:t>
      </w:r>
      <w:r w:rsidRPr="00B76B3A">
        <w:rPr>
          <w:lang w:val="fr-FR"/>
        </w:rPr>
        <w:t xml:space="preserve"> dossier n</w:t>
      </w:r>
      <w:r w:rsidR="00BE5FF0">
        <w:rPr>
          <w:lang w:val="fr-FR"/>
        </w:rPr>
        <w:t>’</w:t>
      </w:r>
      <w:r w:rsidRPr="00B76B3A">
        <w:rPr>
          <w:lang w:val="fr-FR"/>
        </w:rPr>
        <w:t>a jamais été réexaminé par les autorités de l</w:t>
      </w:r>
      <w:r w:rsidR="00BE5FF0">
        <w:rPr>
          <w:lang w:val="fr-FR"/>
        </w:rPr>
        <w:t>’</w:t>
      </w:r>
      <w:r w:rsidRPr="00B76B3A">
        <w:rPr>
          <w:lang w:val="fr-FR"/>
        </w:rPr>
        <w:t xml:space="preserve">État partie au regard des critères énoncés </w:t>
      </w:r>
      <w:r>
        <w:rPr>
          <w:lang w:val="fr-FR"/>
        </w:rPr>
        <w:t>à</w:t>
      </w:r>
      <w:r w:rsidRPr="00B76B3A">
        <w:rPr>
          <w:lang w:val="fr-FR"/>
        </w:rPr>
        <w:t xml:space="preserve"> l</w:t>
      </w:r>
      <w:r w:rsidR="00BE5FF0">
        <w:rPr>
          <w:lang w:val="fr-FR"/>
        </w:rPr>
        <w:t>’</w:t>
      </w:r>
      <w:r w:rsidRPr="00B76B3A">
        <w:rPr>
          <w:lang w:val="fr-FR"/>
        </w:rPr>
        <w:t xml:space="preserve">article 19 du chapitre 12 de la loi relative aux étrangers. Dans la réalité, la loi relative aux étrangers </w:t>
      </w:r>
      <w:r>
        <w:rPr>
          <w:lang w:val="fr-FR"/>
        </w:rPr>
        <w:t>fait qu</w:t>
      </w:r>
      <w:r w:rsidR="00BE5FF0">
        <w:rPr>
          <w:lang w:val="fr-FR"/>
        </w:rPr>
        <w:t>’</w:t>
      </w:r>
      <w:r>
        <w:rPr>
          <w:lang w:val="fr-FR"/>
        </w:rPr>
        <w:t xml:space="preserve">il est </w:t>
      </w:r>
      <w:r w:rsidR="00C60408">
        <w:rPr>
          <w:lang w:val="fr-FR"/>
        </w:rPr>
        <w:t xml:space="preserve">presque </w:t>
      </w:r>
      <w:r w:rsidRPr="00B76B3A">
        <w:rPr>
          <w:lang w:val="fr-FR"/>
        </w:rPr>
        <w:t xml:space="preserve">impossible </w:t>
      </w:r>
      <w:r>
        <w:rPr>
          <w:lang w:val="fr-FR"/>
        </w:rPr>
        <w:t xml:space="preserve">pour </w:t>
      </w:r>
      <w:r w:rsidRPr="00B76B3A">
        <w:rPr>
          <w:lang w:val="fr-FR"/>
        </w:rPr>
        <w:t>les demandeurs d</w:t>
      </w:r>
      <w:r w:rsidR="00BE5FF0">
        <w:rPr>
          <w:lang w:val="fr-FR"/>
        </w:rPr>
        <w:t>’</w:t>
      </w:r>
      <w:r w:rsidRPr="00B76B3A">
        <w:rPr>
          <w:lang w:val="fr-FR"/>
        </w:rPr>
        <w:t xml:space="preserve">asile </w:t>
      </w:r>
      <w:r>
        <w:rPr>
          <w:lang w:val="fr-FR"/>
        </w:rPr>
        <w:t>d</w:t>
      </w:r>
      <w:r w:rsidR="00BE5FF0">
        <w:rPr>
          <w:lang w:val="fr-FR"/>
        </w:rPr>
        <w:t>’</w:t>
      </w:r>
      <w:r>
        <w:rPr>
          <w:lang w:val="fr-FR"/>
        </w:rPr>
        <w:t xml:space="preserve">obtenir </w:t>
      </w:r>
      <w:r w:rsidRPr="00B76B3A">
        <w:rPr>
          <w:lang w:val="fr-FR"/>
        </w:rPr>
        <w:t>un réexamen de leur dossier</w:t>
      </w:r>
      <w:r>
        <w:rPr>
          <w:lang w:val="fr-FR"/>
        </w:rPr>
        <w:t>. Dans son cas, l</w:t>
      </w:r>
      <w:r w:rsidR="00BE5FF0">
        <w:rPr>
          <w:lang w:val="fr-FR"/>
        </w:rPr>
        <w:t>’</w:t>
      </w:r>
      <w:r>
        <w:rPr>
          <w:lang w:val="fr-FR"/>
        </w:rPr>
        <w:t xml:space="preserve">Office </w:t>
      </w:r>
      <w:r w:rsidRPr="00B76B3A">
        <w:rPr>
          <w:lang w:val="fr-FR"/>
        </w:rPr>
        <w:t>des migrations a estimé, dans sa décision du 15</w:t>
      </w:r>
      <w:r>
        <w:rPr>
          <w:lang w:val="fr-FR"/>
        </w:rPr>
        <w:t> </w:t>
      </w:r>
      <w:r w:rsidRPr="00B76B3A">
        <w:rPr>
          <w:lang w:val="fr-FR"/>
        </w:rPr>
        <w:t xml:space="preserve">février 2012, que les nouveaux éléments de preuve présentés avaient peu de valeur probante. Il en résulte que toutes les preuves </w:t>
      </w:r>
      <w:r w:rsidR="00C60408">
        <w:rPr>
          <w:lang w:val="fr-FR"/>
        </w:rPr>
        <w:t xml:space="preserve">présentées </w:t>
      </w:r>
      <w:r w:rsidRPr="00B76B3A">
        <w:rPr>
          <w:lang w:val="fr-FR"/>
        </w:rPr>
        <w:t>n</w:t>
      </w:r>
      <w:r w:rsidR="00BE5FF0">
        <w:rPr>
          <w:lang w:val="fr-FR"/>
        </w:rPr>
        <w:t>’</w:t>
      </w:r>
      <w:r w:rsidRPr="00B76B3A">
        <w:rPr>
          <w:lang w:val="fr-FR"/>
        </w:rPr>
        <w:t>ont pas été soumises à un examen minutieux compara</w:t>
      </w:r>
      <w:r>
        <w:rPr>
          <w:lang w:val="fr-FR"/>
        </w:rPr>
        <w:t xml:space="preserve">ble à un examen au regard des dispositions </w:t>
      </w:r>
      <w:r w:rsidRPr="00B76B3A">
        <w:rPr>
          <w:lang w:val="fr-FR"/>
        </w:rPr>
        <w:t>de l</w:t>
      </w:r>
      <w:r w:rsidR="00BE5FF0">
        <w:rPr>
          <w:lang w:val="fr-FR"/>
        </w:rPr>
        <w:t>’</w:t>
      </w:r>
      <w:r w:rsidRPr="00B76B3A">
        <w:rPr>
          <w:lang w:val="fr-FR"/>
        </w:rPr>
        <w:t>article</w:t>
      </w:r>
      <w:r>
        <w:rPr>
          <w:lang w:val="fr-FR"/>
        </w:rPr>
        <w:t> 7 du Pacte</w:t>
      </w:r>
      <w:r w:rsidR="00C60408">
        <w:rPr>
          <w:lang w:val="fr-FR"/>
        </w:rPr>
        <w:t xml:space="preserve"> international relatif aux droits civils et politiques</w:t>
      </w:r>
      <w:r>
        <w:rPr>
          <w:lang w:val="fr-FR"/>
        </w:rPr>
        <w:t>.</w:t>
      </w:r>
    </w:p>
    <w:p w:rsidR="008A492C" w:rsidRPr="00B76B3A" w:rsidRDefault="008A492C" w:rsidP="008A492C">
      <w:pPr>
        <w:pStyle w:val="SingleTxtG"/>
        <w:rPr>
          <w:lang w:val="fr-FR"/>
        </w:rPr>
      </w:pPr>
      <w:r w:rsidRPr="00B76B3A">
        <w:rPr>
          <w:lang w:val="fr-FR"/>
        </w:rPr>
        <w:t>5.3</w:t>
      </w:r>
      <w:r w:rsidRPr="00B76B3A">
        <w:rPr>
          <w:lang w:val="fr-FR"/>
        </w:rPr>
        <w:tab/>
        <w:t xml:space="preserve">Il est indiqué dans le Guide des procédures et critères à appliquer pour déterminer le statut de réfugié établi par le HCR </w:t>
      </w:r>
      <w:r w:rsidR="00C140BC">
        <w:rPr>
          <w:lang w:val="fr-FR"/>
        </w:rPr>
        <w:t>(HCR/IP/4/Fre</w:t>
      </w:r>
      <w:r w:rsidR="00A742E6">
        <w:rPr>
          <w:lang w:val="fr-FR"/>
        </w:rPr>
        <w:t xml:space="preserve">/REV.1) </w:t>
      </w:r>
      <w:r w:rsidRPr="00B76B3A">
        <w:rPr>
          <w:lang w:val="fr-FR"/>
        </w:rPr>
        <w:t>que la personne qui conduit l</w:t>
      </w:r>
      <w:r w:rsidR="00BE5FF0">
        <w:rPr>
          <w:lang w:val="fr-FR"/>
        </w:rPr>
        <w:t>’</w:t>
      </w:r>
      <w:r w:rsidRPr="00B76B3A">
        <w:rPr>
          <w:lang w:val="fr-FR"/>
        </w:rPr>
        <w:t>entretien doit comprendre que la généralité ou l</w:t>
      </w:r>
      <w:r w:rsidR="00BE5FF0">
        <w:rPr>
          <w:lang w:val="fr-FR"/>
        </w:rPr>
        <w:t>’</w:t>
      </w:r>
      <w:r w:rsidRPr="00B76B3A">
        <w:rPr>
          <w:lang w:val="fr-FR"/>
        </w:rPr>
        <w:t xml:space="preserve">imprécision des descriptions que donne un demandeur peuvent être dues à la </w:t>
      </w:r>
      <w:r w:rsidR="00A742E6">
        <w:rPr>
          <w:lang w:val="fr-FR"/>
        </w:rPr>
        <w:t>«</w:t>
      </w:r>
      <w:r w:rsidRPr="00B76B3A">
        <w:rPr>
          <w:lang w:val="fr-FR"/>
        </w:rPr>
        <w:t>peur</w:t>
      </w:r>
      <w:r w:rsidR="00A742E6">
        <w:rPr>
          <w:lang w:val="fr-FR"/>
        </w:rPr>
        <w:t xml:space="preserve">» </w:t>
      </w:r>
      <w:r w:rsidR="00C140BC">
        <w:rPr>
          <w:lang w:val="fr-FR"/>
        </w:rPr>
        <w:t xml:space="preserve">de la part </w:t>
      </w:r>
      <w:r w:rsidR="00A742E6">
        <w:rPr>
          <w:lang w:val="fr-FR"/>
        </w:rPr>
        <w:t>du requérant.</w:t>
      </w:r>
      <w:r w:rsidRPr="00B76B3A">
        <w:rPr>
          <w:lang w:val="fr-FR"/>
        </w:rPr>
        <w:t xml:space="preserve"> De plus, on devrait aussi prendre en considération le fait que l</w:t>
      </w:r>
      <w:r w:rsidR="00BE5FF0">
        <w:rPr>
          <w:lang w:val="fr-FR"/>
        </w:rPr>
        <w:t>’</w:t>
      </w:r>
      <w:r>
        <w:rPr>
          <w:lang w:val="fr-FR"/>
        </w:rPr>
        <w:t>intéressé peut</w:t>
      </w:r>
      <w:r w:rsidRPr="00B76B3A">
        <w:rPr>
          <w:lang w:val="fr-FR"/>
        </w:rPr>
        <w:t xml:space="preserve"> sou</w:t>
      </w:r>
      <w:r>
        <w:rPr>
          <w:lang w:val="fr-FR"/>
        </w:rPr>
        <w:t>ffrir d</w:t>
      </w:r>
      <w:r w:rsidR="00BE5FF0">
        <w:rPr>
          <w:lang w:val="fr-FR"/>
        </w:rPr>
        <w:t>’</w:t>
      </w:r>
      <w:r>
        <w:rPr>
          <w:lang w:val="fr-FR"/>
        </w:rPr>
        <w:t xml:space="preserve">un </w:t>
      </w:r>
      <w:r w:rsidRPr="00B76B3A">
        <w:rPr>
          <w:lang w:val="fr-FR"/>
        </w:rPr>
        <w:t xml:space="preserve">traumatisme </w:t>
      </w:r>
      <w:r w:rsidR="00A742E6">
        <w:rPr>
          <w:lang w:val="fr-FR"/>
        </w:rPr>
        <w:t xml:space="preserve">et peut </w:t>
      </w:r>
      <w:r w:rsidRPr="00B76B3A">
        <w:rPr>
          <w:lang w:val="fr-FR"/>
        </w:rPr>
        <w:t xml:space="preserve">ne plus se souvenir de tous les détails et circonstances. </w:t>
      </w:r>
      <w:r w:rsidR="00A742E6">
        <w:rPr>
          <w:lang w:val="fr-FR"/>
        </w:rPr>
        <w:t xml:space="preserve">En ce qui concerne le </w:t>
      </w:r>
      <w:r w:rsidRPr="00B76B3A">
        <w:rPr>
          <w:lang w:val="fr-FR"/>
        </w:rPr>
        <w:t>récit qu</w:t>
      </w:r>
      <w:r w:rsidR="00BE5FF0">
        <w:rPr>
          <w:lang w:val="fr-FR"/>
        </w:rPr>
        <w:t>’</w:t>
      </w:r>
      <w:r w:rsidRPr="00B76B3A">
        <w:rPr>
          <w:lang w:val="fr-FR"/>
        </w:rPr>
        <w:t xml:space="preserve">elle a fait aux autorités, il ressort clairement du </w:t>
      </w:r>
      <w:r>
        <w:rPr>
          <w:lang w:val="fr-FR"/>
        </w:rPr>
        <w:t>procès-verbal</w:t>
      </w:r>
      <w:r w:rsidRPr="00B76B3A">
        <w:rPr>
          <w:lang w:val="fr-FR"/>
        </w:rPr>
        <w:t xml:space="preserve"> du premier entretien avec les services de l</w:t>
      </w:r>
      <w:r w:rsidR="00BE5FF0">
        <w:rPr>
          <w:lang w:val="fr-FR"/>
        </w:rPr>
        <w:t>’</w:t>
      </w:r>
      <w:r>
        <w:rPr>
          <w:lang w:val="fr-FR"/>
        </w:rPr>
        <w:t>immigration, le 19 </w:t>
      </w:r>
      <w:r w:rsidRPr="00B76B3A">
        <w:rPr>
          <w:lang w:val="fr-FR"/>
        </w:rPr>
        <w:t>mai 2008</w:t>
      </w:r>
      <w:r>
        <w:rPr>
          <w:lang w:val="fr-FR"/>
        </w:rPr>
        <w:t>,</w:t>
      </w:r>
      <w:r w:rsidRPr="00B76B3A">
        <w:rPr>
          <w:lang w:val="fr-FR"/>
        </w:rPr>
        <w:t xml:space="preserve"> qu</w:t>
      </w:r>
      <w:r w:rsidR="00BE5FF0">
        <w:rPr>
          <w:lang w:val="fr-FR"/>
        </w:rPr>
        <w:t>’</w:t>
      </w:r>
      <w:r w:rsidRPr="00B76B3A">
        <w:rPr>
          <w:lang w:val="fr-FR"/>
        </w:rPr>
        <w:t>il y a eu un malentendu entre elle et la personne qui conduisait l</w:t>
      </w:r>
      <w:r w:rsidR="00BE5FF0">
        <w:rPr>
          <w:lang w:val="fr-FR"/>
        </w:rPr>
        <w:t>’</w:t>
      </w:r>
      <w:r w:rsidRPr="00B76B3A">
        <w:rPr>
          <w:lang w:val="fr-FR"/>
        </w:rPr>
        <w:t xml:space="preserve">entretien. </w:t>
      </w:r>
      <w:r>
        <w:rPr>
          <w:lang w:val="fr-FR"/>
        </w:rPr>
        <w:t xml:space="preserve">Quand elle avait parlé des </w:t>
      </w:r>
      <w:r w:rsidRPr="00B76B3A">
        <w:rPr>
          <w:lang w:val="fr-FR"/>
        </w:rPr>
        <w:t>événements avec sa famille en 2002 ou 2003, elle avait voulu dire qu</w:t>
      </w:r>
      <w:r w:rsidR="00A742E6">
        <w:rPr>
          <w:lang w:val="fr-FR"/>
        </w:rPr>
        <w:t>e c</w:t>
      </w:r>
      <w:r w:rsidR="00BE5FF0">
        <w:rPr>
          <w:lang w:val="fr-FR"/>
        </w:rPr>
        <w:t>’</w:t>
      </w:r>
      <w:r w:rsidR="00A742E6">
        <w:rPr>
          <w:lang w:val="fr-FR"/>
        </w:rPr>
        <w:t xml:space="preserve">est à </w:t>
      </w:r>
      <w:r w:rsidRPr="00B76B3A">
        <w:rPr>
          <w:lang w:val="fr-FR"/>
        </w:rPr>
        <w:t xml:space="preserve">cette époque </w:t>
      </w:r>
      <w:r w:rsidR="00A742E6">
        <w:rPr>
          <w:lang w:val="fr-FR"/>
        </w:rPr>
        <w:t xml:space="preserve">que ses parents avaient </w:t>
      </w:r>
      <w:r w:rsidRPr="00B76B3A">
        <w:rPr>
          <w:lang w:val="fr-FR"/>
        </w:rPr>
        <w:t xml:space="preserve">appris son homosexualité, </w:t>
      </w:r>
      <w:r w:rsidR="00A742E6">
        <w:rPr>
          <w:lang w:val="fr-FR"/>
        </w:rPr>
        <w:t>qu</w:t>
      </w:r>
      <w:r w:rsidR="00BE5FF0">
        <w:rPr>
          <w:lang w:val="fr-FR"/>
        </w:rPr>
        <w:t>’</w:t>
      </w:r>
      <w:r w:rsidR="00A742E6">
        <w:rPr>
          <w:lang w:val="fr-FR"/>
        </w:rPr>
        <w:t xml:space="preserve">ils </w:t>
      </w:r>
      <w:r w:rsidRPr="00B76B3A">
        <w:rPr>
          <w:lang w:val="fr-FR"/>
        </w:rPr>
        <w:t>avai</w:t>
      </w:r>
      <w:r w:rsidR="00A742E6">
        <w:rPr>
          <w:lang w:val="fr-FR"/>
        </w:rPr>
        <w:t>en</w:t>
      </w:r>
      <w:r w:rsidRPr="00B76B3A">
        <w:rPr>
          <w:lang w:val="fr-FR"/>
        </w:rPr>
        <w:t>t pensé qu</w:t>
      </w:r>
      <w:r w:rsidR="00BE5FF0">
        <w:rPr>
          <w:lang w:val="fr-FR"/>
        </w:rPr>
        <w:t>’</w:t>
      </w:r>
      <w:r w:rsidRPr="00B76B3A">
        <w:rPr>
          <w:lang w:val="fr-FR"/>
        </w:rPr>
        <w:t>il serait difficile de lui trouver un mari au Bangladesh et avai</w:t>
      </w:r>
      <w:r w:rsidR="00A742E6">
        <w:rPr>
          <w:lang w:val="fr-FR"/>
        </w:rPr>
        <w:t>en</w:t>
      </w:r>
      <w:r w:rsidRPr="00B76B3A">
        <w:rPr>
          <w:lang w:val="fr-FR"/>
        </w:rPr>
        <w:t>t donc arrangé un mariage avec un homme qui vivait à l</w:t>
      </w:r>
      <w:r w:rsidR="00BE5FF0">
        <w:rPr>
          <w:lang w:val="fr-FR"/>
        </w:rPr>
        <w:t>’</w:t>
      </w:r>
      <w:r w:rsidRPr="00B76B3A">
        <w:rPr>
          <w:lang w:val="fr-FR"/>
        </w:rPr>
        <w:t xml:space="preserve">étranger. </w:t>
      </w:r>
      <w:r>
        <w:rPr>
          <w:lang w:val="fr-FR"/>
        </w:rPr>
        <w:t>Or</w:t>
      </w:r>
      <w:r w:rsidR="00A742E6">
        <w:rPr>
          <w:lang w:val="fr-FR"/>
        </w:rPr>
        <w:t>, </w:t>
      </w:r>
      <w:r w:rsidRPr="00B76B3A">
        <w:rPr>
          <w:lang w:val="fr-FR"/>
        </w:rPr>
        <w:t>la personne qui conduisait l</w:t>
      </w:r>
      <w:r w:rsidR="00BE5FF0">
        <w:rPr>
          <w:lang w:val="fr-FR"/>
        </w:rPr>
        <w:t>’</w:t>
      </w:r>
      <w:r w:rsidRPr="00B76B3A">
        <w:rPr>
          <w:lang w:val="fr-FR"/>
        </w:rPr>
        <w:t>entretien avait compris qu</w:t>
      </w:r>
      <w:r w:rsidR="00A742E6">
        <w:rPr>
          <w:lang w:val="fr-FR"/>
        </w:rPr>
        <w:t>e</w:t>
      </w:r>
      <w:r w:rsidRPr="00B76B3A">
        <w:rPr>
          <w:lang w:val="fr-FR"/>
        </w:rPr>
        <w:t xml:space="preserve"> </w:t>
      </w:r>
      <w:r w:rsidR="00A742E6">
        <w:rPr>
          <w:lang w:val="fr-FR"/>
        </w:rPr>
        <w:t>c</w:t>
      </w:r>
      <w:r w:rsidR="00BE5FF0">
        <w:rPr>
          <w:lang w:val="fr-FR"/>
        </w:rPr>
        <w:t>’</w:t>
      </w:r>
      <w:r w:rsidR="00A742E6">
        <w:rPr>
          <w:lang w:val="fr-FR"/>
        </w:rPr>
        <w:t xml:space="preserve">est à </w:t>
      </w:r>
      <w:r w:rsidRPr="00B76B3A">
        <w:rPr>
          <w:lang w:val="fr-FR"/>
        </w:rPr>
        <w:t xml:space="preserve">cette époque </w:t>
      </w:r>
      <w:r w:rsidR="00A742E6">
        <w:rPr>
          <w:lang w:val="fr-FR"/>
        </w:rPr>
        <w:t>qu</w:t>
      </w:r>
      <w:r w:rsidR="00BE5FF0">
        <w:rPr>
          <w:lang w:val="fr-FR"/>
        </w:rPr>
        <w:t>’</w:t>
      </w:r>
      <w:r w:rsidRPr="00B76B3A">
        <w:rPr>
          <w:lang w:val="fr-FR"/>
        </w:rPr>
        <w:t xml:space="preserve">elle avait été mise à la porte de </w:t>
      </w:r>
      <w:r w:rsidR="00A742E6">
        <w:rPr>
          <w:lang w:val="fr-FR"/>
        </w:rPr>
        <w:t xml:space="preserve">chez </w:t>
      </w:r>
      <w:r w:rsidRPr="00B76B3A">
        <w:rPr>
          <w:lang w:val="fr-FR"/>
        </w:rPr>
        <w:t>ses parents. De</w:t>
      </w:r>
      <w:r>
        <w:rPr>
          <w:lang w:val="fr-FR"/>
        </w:rPr>
        <w:t> </w:t>
      </w:r>
      <w:r w:rsidRPr="00B76B3A">
        <w:rPr>
          <w:lang w:val="fr-FR"/>
        </w:rPr>
        <w:t>plus, son représentant légal n</w:t>
      </w:r>
      <w:r w:rsidR="00BE5FF0">
        <w:rPr>
          <w:lang w:val="fr-FR"/>
        </w:rPr>
        <w:t>’</w:t>
      </w:r>
      <w:r w:rsidRPr="00B76B3A">
        <w:rPr>
          <w:lang w:val="fr-FR"/>
        </w:rPr>
        <w:t xml:space="preserve">était pas présent </w:t>
      </w:r>
      <w:r>
        <w:rPr>
          <w:lang w:val="fr-FR"/>
        </w:rPr>
        <w:t xml:space="preserve">pendant </w:t>
      </w:r>
      <w:r w:rsidR="00A742E6">
        <w:rPr>
          <w:lang w:val="fr-FR"/>
        </w:rPr>
        <w:t xml:space="preserve">le premier </w:t>
      </w:r>
      <w:r w:rsidRPr="00B76B3A">
        <w:rPr>
          <w:lang w:val="fr-FR"/>
        </w:rPr>
        <w:t>entretien</w:t>
      </w:r>
      <w:r w:rsidR="00A742E6">
        <w:rPr>
          <w:lang w:val="fr-FR"/>
        </w:rPr>
        <w:t xml:space="preserve">, qui avait été </w:t>
      </w:r>
      <w:r w:rsidRPr="00B76B3A">
        <w:rPr>
          <w:lang w:val="fr-FR"/>
        </w:rPr>
        <w:t xml:space="preserve">très </w:t>
      </w:r>
      <w:r w:rsidR="00A742E6">
        <w:rPr>
          <w:lang w:val="fr-FR"/>
        </w:rPr>
        <w:t xml:space="preserve">bref, </w:t>
      </w:r>
      <w:r w:rsidRPr="00B76B3A">
        <w:rPr>
          <w:lang w:val="fr-FR"/>
        </w:rPr>
        <w:t>et la personne qui l</w:t>
      </w:r>
      <w:r w:rsidR="00BE5FF0">
        <w:rPr>
          <w:lang w:val="fr-FR"/>
        </w:rPr>
        <w:t>’</w:t>
      </w:r>
      <w:r w:rsidRPr="00B76B3A">
        <w:rPr>
          <w:lang w:val="fr-FR"/>
        </w:rPr>
        <w:t>interrogeait n</w:t>
      </w:r>
      <w:r w:rsidR="00BE5FF0">
        <w:rPr>
          <w:lang w:val="fr-FR"/>
        </w:rPr>
        <w:t>’</w:t>
      </w:r>
      <w:r w:rsidRPr="00B76B3A">
        <w:rPr>
          <w:lang w:val="fr-FR"/>
        </w:rPr>
        <w:t>avait posé que peu de questions</w:t>
      </w:r>
      <w:r w:rsidR="00A742E6">
        <w:rPr>
          <w:lang w:val="fr-FR"/>
        </w:rPr>
        <w:t xml:space="preserve">; </w:t>
      </w:r>
      <w:r w:rsidRPr="00B76B3A">
        <w:rPr>
          <w:lang w:val="fr-FR"/>
        </w:rPr>
        <w:t xml:space="preserve">le </w:t>
      </w:r>
      <w:r>
        <w:rPr>
          <w:lang w:val="fr-FR"/>
        </w:rPr>
        <w:t>procès-verbal</w:t>
      </w:r>
      <w:r w:rsidRPr="00B76B3A">
        <w:rPr>
          <w:lang w:val="fr-FR"/>
        </w:rPr>
        <w:t xml:space="preserve"> ne lui avait pas été lu à l</w:t>
      </w:r>
      <w:r w:rsidR="00BE5FF0">
        <w:rPr>
          <w:lang w:val="fr-FR"/>
        </w:rPr>
        <w:t>’</w:t>
      </w:r>
      <w:r w:rsidR="00A742E6">
        <w:rPr>
          <w:lang w:val="fr-FR"/>
        </w:rPr>
        <w:t>issue de </w:t>
      </w:r>
      <w:r w:rsidRPr="00B76B3A">
        <w:rPr>
          <w:lang w:val="fr-FR"/>
        </w:rPr>
        <w:t>l</w:t>
      </w:r>
      <w:r w:rsidR="00BE5FF0">
        <w:rPr>
          <w:lang w:val="fr-FR"/>
        </w:rPr>
        <w:t>’</w:t>
      </w:r>
      <w:r w:rsidRPr="00B76B3A">
        <w:rPr>
          <w:lang w:val="fr-FR"/>
        </w:rPr>
        <w:t xml:space="preserve">entretien. </w:t>
      </w:r>
    </w:p>
    <w:p w:rsidR="008A492C" w:rsidRPr="00B76B3A" w:rsidRDefault="008A492C" w:rsidP="008A492C">
      <w:pPr>
        <w:pStyle w:val="SingleTxtG"/>
        <w:rPr>
          <w:lang w:val="fr-FR"/>
        </w:rPr>
      </w:pPr>
      <w:r w:rsidRPr="00B76B3A">
        <w:rPr>
          <w:lang w:val="fr-FR"/>
        </w:rPr>
        <w:t>5.4</w:t>
      </w:r>
      <w:r w:rsidRPr="00B76B3A">
        <w:rPr>
          <w:lang w:val="fr-FR"/>
        </w:rPr>
        <w:tab/>
      </w:r>
      <w:r>
        <w:rPr>
          <w:lang w:val="fr-FR"/>
        </w:rPr>
        <w:t xml:space="preserve">En ce qui concerne la remarque </w:t>
      </w:r>
      <w:r w:rsidRPr="00B76B3A">
        <w:rPr>
          <w:lang w:val="fr-FR"/>
        </w:rPr>
        <w:t>de l</w:t>
      </w:r>
      <w:r w:rsidR="00BE5FF0">
        <w:rPr>
          <w:lang w:val="fr-FR"/>
        </w:rPr>
        <w:t>’</w:t>
      </w:r>
      <w:r w:rsidRPr="00B76B3A">
        <w:rPr>
          <w:lang w:val="fr-FR"/>
        </w:rPr>
        <w:t xml:space="preserve">État partie </w:t>
      </w:r>
      <w:r>
        <w:rPr>
          <w:lang w:val="fr-FR"/>
        </w:rPr>
        <w:t xml:space="preserve">qui objecte </w:t>
      </w:r>
      <w:r w:rsidRPr="00B76B3A">
        <w:rPr>
          <w:lang w:val="fr-FR"/>
        </w:rPr>
        <w:t>qu</w:t>
      </w:r>
      <w:r w:rsidR="00BE5FF0">
        <w:rPr>
          <w:lang w:val="fr-FR"/>
        </w:rPr>
        <w:t>’</w:t>
      </w:r>
      <w:r w:rsidRPr="00B76B3A">
        <w:rPr>
          <w:lang w:val="fr-FR"/>
        </w:rPr>
        <w:t>elle avait modifié son récit à l</w:t>
      </w:r>
      <w:r w:rsidR="00BE5FF0">
        <w:rPr>
          <w:lang w:val="fr-FR"/>
        </w:rPr>
        <w:t>’</w:t>
      </w:r>
      <w:r w:rsidRPr="00B76B3A">
        <w:rPr>
          <w:lang w:val="fr-FR"/>
        </w:rPr>
        <w:t>audience devant le tribunal des migration</w:t>
      </w:r>
      <w:r>
        <w:rPr>
          <w:lang w:val="fr-FR"/>
        </w:rPr>
        <w:t>s</w:t>
      </w:r>
      <w:r w:rsidR="00A742E6">
        <w:rPr>
          <w:lang w:val="fr-FR"/>
        </w:rPr>
        <w:t xml:space="preserve">, quand elle avait dit </w:t>
      </w:r>
      <w:r w:rsidRPr="00B76B3A">
        <w:rPr>
          <w:lang w:val="fr-FR"/>
        </w:rPr>
        <w:t>qu</w:t>
      </w:r>
      <w:r w:rsidR="00BE5FF0">
        <w:rPr>
          <w:lang w:val="fr-FR"/>
        </w:rPr>
        <w:t>’</w:t>
      </w:r>
      <w:r w:rsidRPr="00B76B3A">
        <w:rPr>
          <w:lang w:val="fr-FR"/>
        </w:rPr>
        <w:t xml:space="preserve">elle avait été retenue prisonnière au domicile </w:t>
      </w:r>
      <w:r w:rsidR="00A742E6">
        <w:rPr>
          <w:lang w:val="fr-FR"/>
        </w:rPr>
        <w:t>de ses parents</w:t>
      </w:r>
      <w:r w:rsidRPr="00B76B3A">
        <w:rPr>
          <w:lang w:val="fr-FR"/>
        </w:rPr>
        <w:t>, l</w:t>
      </w:r>
      <w:r w:rsidR="00BE5FF0">
        <w:rPr>
          <w:lang w:val="fr-FR"/>
        </w:rPr>
        <w:t>’</w:t>
      </w:r>
      <w:r w:rsidRPr="00B76B3A">
        <w:rPr>
          <w:lang w:val="fr-FR"/>
        </w:rPr>
        <w:t xml:space="preserve">auteur </w:t>
      </w:r>
      <w:r>
        <w:rPr>
          <w:lang w:val="fr-FR"/>
        </w:rPr>
        <w:t>répond</w:t>
      </w:r>
      <w:r w:rsidRPr="00B76B3A">
        <w:rPr>
          <w:lang w:val="fr-FR"/>
        </w:rPr>
        <w:t xml:space="preserve"> que cette observation n</w:t>
      </w:r>
      <w:r w:rsidR="00BE5FF0">
        <w:rPr>
          <w:lang w:val="fr-FR"/>
        </w:rPr>
        <w:t>’</w:t>
      </w:r>
      <w:r w:rsidRPr="00B76B3A">
        <w:rPr>
          <w:lang w:val="fr-FR"/>
        </w:rPr>
        <w:t>est pas fondée puisqu</w:t>
      </w:r>
      <w:r w:rsidR="00BE5FF0">
        <w:rPr>
          <w:lang w:val="fr-FR"/>
        </w:rPr>
        <w:t>’</w:t>
      </w:r>
      <w:r w:rsidRPr="00B76B3A">
        <w:rPr>
          <w:lang w:val="fr-FR"/>
        </w:rPr>
        <w:t xml:space="preserve">elle a </w:t>
      </w:r>
      <w:r>
        <w:rPr>
          <w:lang w:val="fr-FR"/>
        </w:rPr>
        <w:t>expliqué</w:t>
      </w:r>
      <w:r w:rsidRPr="00B76B3A">
        <w:rPr>
          <w:lang w:val="fr-FR"/>
        </w:rPr>
        <w:t xml:space="preserve"> </w:t>
      </w:r>
      <w:r w:rsidR="00A742E6">
        <w:rPr>
          <w:lang w:val="fr-FR"/>
        </w:rPr>
        <w:t xml:space="preserve">également </w:t>
      </w:r>
      <w:r w:rsidR="00A742E6" w:rsidRPr="00B76B3A">
        <w:rPr>
          <w:lang w:val="fr-FR"/>
        </w:rPr>
        <w:t>devant l</w:t>
      </w:r>
      <w:r w:rsidR="00BE5FF0">
        <w:rPr>
          <w:lang w:val="fr-FR"/>
        </w:rPr>
        <w:t>’</w:t>
      </w:r>
      <w:r w:rsidR="00A742E6">
        <w:rPr>
          <w:lang w:val="fr-FR"/>
        </w:rPr>
        <w:t>Offic</w:t>
      </w:r>
      <w:r w:rsidR="00A742E6" w:rsidRPr="00B76B3A">
        <w:rPr>
          <w:lang w:val="fr-FR"/>
        </w:rPr>
        <w:t>e</w:t>
      </w:r>
      <w:r w:rsidR="00A742E6">
        <w:rPr>
          <w:lang w:val="fr-FR"/>
        </w:rPr>
        <w:t xml:space="preserve"> </w:t>
      </w:r>
      <w:r w:rsidR="00A742E6" w:rsidRPr="00B76B3A">
        <w:rPr>
          <w:lang w:val="fr-FR"/>
        </w:rPr>
        <w:t>des migrations</w:t>
      </w:r>
      <w:r w:rsidR="00A742E6">
        <w:rPr>
          <w:lang w:val="fr-FR"/>
        </w:rPr>
        <w:t xml:space="preserve"> </w:t>
      </w:r>
      <w:r w:rsidRPr="00B76B3A">
        <w:rPr>
          <w:lang w:val="fr-FR"/>
        </w:rPr>
        <w:t>qu</w:t>
      </w:r>
      <w:r w:rsidR="00BE5FF0">
        <w:rPr>
          <w:lang w:val="fr-FR"/>
        </w:rPr>
        <w:t>’</w:t>
      </w:r>
      <w:r w:rsidRPr="00B76B3A">
        <w:rPr>
          <w:lang w:val="fr-FR"/>
        </w:rPr>
        <w:t>elle avait été ret</w:t>
      </w:r>
      <w:r w:rsidR="00A742E6">
        <w:rPr>
          <w:lang w:val="fr-FR"/>
        </w:rPr>
        <w:t>enue prisonnière par sa famille</w:t>
      </w:r>
      <w:r w:rsidRPr="00B76B3A">
        <w:rPr>
          <w:lang w:val="fr-FR"/>
        </w:rPr>
        <w:t>. Toutefois, en raison d</w:t>
      </w:r>
      <w:r w:rsidR="00BE5FF0">
        <w:rPr>
          <w:lang w:val="fr-FR"/>
        </w:rPr>
        <w:t>’</w:t>
      </w:r>
      <w:r w:rsidRPr="00B76B3A">
        <w:rPr>
          <w:lang w:val="fr-FR"/>
        </w:rPr>
        <w:t>un malentendu entre elle-même et son interprète</w:t>
      </w:r>
      <w:r w:rsidR="00A742E6">
        <w:rPr>
          <w:lang w:val="fr-FR"/>
        </w:rPr>
        <w:t xml:space="preserve"> pendant l</w:t>
      </w:r>
      <w:r w:rsidR="00BE5FF0">
        <w:rPr>
          <w:lang w:val="fr-FR"/>
        </w:rPr>
        <w:t>’</w:t>
      </w:r>
      <w:r w:rsidR="00A742E6">
        <w:rPr>
          <w:lang w:val="fr-FR"/>
        </w:rPr>
        <w:t>entretien</w:t>
      </w:r>
      <w:r w:rsidRPr="00B76B3A">
        <w:rPr>
          <w:lang w:val="fr-FR"/>
        </w:rPr>
        <w:t>, cette déclaration n</w:t>
      </w:r>
      <w:r w:rsidR="00BE5FF0">
        <w:rPr>
          <w:lang w:val="fr-FR"/>
        </w:rPr>
        <w:t>’</w:t>
      </w:r>
      <w:r w:rsidRPr="00B76B3A">
        <w:rPr>
          <w:lang w:val="fr-FR"/>
        </w:rPr>
        <w:t xml:space="preserve">a pas été </w:t>
      </w:r>
      <w:r w:rsidR="00A742E6">
        <w:rPr>
          <w:lang w:val="fr-FR"/>
        </w:rPr>
        <w:t xml:space="preserve">rendue </w:t>
      </w:r>
      <w:r w:rsidRPr="00B76B3A">
        <w:rPr>
          <w:lang w:val="fr-FR"/>
        </w:rPr>
        <w:t>de la même façon à l</w:t>
      </w:r>
      <w:r w:rsidR="00BE5FF0">
        <w:rPr>
          <w:lang w:val="fr-FR"/>
        </w:rPr>
        <w:t>’</w:t>
      </w:r>
      <w:r w:rsidRPr="00B76B3A">
        <w:rPr>
          <w:lang w:val="fr-FR"/>
        </w:rPr>
        <w:t>audience devant le tribunal des migration</w:t>
      </w:r>
      <w:r>
        <w:rPr>
          <w:lang w:val="fr-FR"/>
        </w:rPr>
        <w:t>s</w:t>
      </w:r>
      <w:r w:rsidRPr="00B76B3A">
        <w:rPr>
          <w:lang w:val="fr-FR"/>
        </w:rPr>
        <w:t>. Lors d</w:t>
      </w:r>
      <w:r>
        <w:rPr>
          <w:lang w:val="fr-FR"/>
        </w:rPr>
        <w:t>u</w:t>
      </w:r>
      <w:r w:rsidR="00A742E6">
        <w:rPr>
          <w:lang w:val="fr-FR"/>
        </w:rPr>
        <w:t xml:space="preserve"> premier entretien devant l</w:t>
      </w:r>
      <w:r w:rsidR="00BE5FF0">
        <w:rPr>
          <w:lang w:val="fr-FR"/>
        </w:rPr>
        <w:t>’</w:t>
      </w:r>
      <w:r w:rsidR="00A742E6">
        <w:rPr>
          <w:lang w:val="fr-FR"/>
        </w:rPr>
        <w:t>Office des migrations</w:t>
      </w:r>
      <w:r w:rsidRPr="00B76B3A">
        <w:rPr>
          <w:lang w:val="fr-FR"/>
        </w:rPr>
        <w:t xml:space="preserve"> elle a indiqué qu</w:t>
      </w:r>
      <w:r w:rsidR="00BE5FF0">
        <w:rPr>
          <w:lang w:val="fr-FR"/>
        </w:rPr>
        <w:t>’</w:t>
      </w:r>
      <w:r w:rsidRPr="00B76B3A">
        <w:rPr>
          <w:lang w:val="fr-FR"/>
        </w:rPr>
        <w:t>elle n</w:t>
      </w:r>
      <w:r w:rsidR="00BE5FF0">
        <w:rPr>
          <w:lang w:val="fr-FR"/>
        </w:rPr>
        <w:t>’</w:t>
      </w:r>
      <w:r w:rsidRPr="00B76B3A">
        <w:rPr>
          <w:lang w:val="fr-FR"/>
        </w:rPr>
        <w:t>était pas en bonne santé et lors du deuxième elle a déclaré souffrir de problèmes psychologiques et avoir consulté un médecin. Elle a également dit à la personne qui conduisait l</w:t>
      </w:r>
      <w:r w:rsidR="00BE5FF0">
        <w:rPr>
          <w:lang w:val="fr-FR"/>
        </w:rPr>
        <w:t>’</w:t>
      </w:r>
      <w:r w:rsidRPr="00B76B3A">
        <w:rPr>
          <w:lang w:val="fr-FR"/>
        </w:rPr>
        <w:t>entretien qu</w:t>
      </w:r>
      <w:r w:rsidR="00BE5FF0">
        <w:rPr>
          <w:lang w:val="fr-FR"/>
        </w:rPr>
        <w:t>’</w:t>
      </w:r>
      <w:r w:rsidRPr="00B76B3A">
        <w:rPr>
          <w:lang w:val="fr-FR"/>
        </w:rPr>
        <w:t>elle avait été violée par l</w:t>
      </w:r>
      <w:r w:rsidR="00A742E6">
        <w:rPr>
          <w:lang w:val="fr-FR"/>
        </w:rPr>
        <w:t>es policiers bangladais pendant sa détention</w:t>
      </w:r>
      <w:r w:rsidRPr="00B76B3A">
        <w:rPr>
          <w:lang w:val="fr-FR"/>
        </w:rPr>
        <w:t xml:space="preserve">. Les </w:t>
      </w:r>
      <w:r w:rsidR="00A742E6">
        <w:rPr>
          <w:lang w:val="fr-FR"/>
        </w:rPr>
        <w:t xml:space="preserve">rapports </w:t>
      </w:r>
      <w:r w:rsidRPr="00B76B3A">
        <w:rPr>
          <w:lang w:val="fr-FR"/>
        </w:rPr>
        <w:t>médicaux datés du 11</w:t>
      </w:r>
      <w:r>
        <w:rPr>
          <w:lang w:val="fr-FR"/>
        </w:rPr>
        <w:t> </w:t>
      </w:r>
      <w:r w:rsidRPr="00B76B3A">
        <w:rPr>
          <w:lang w:val="fr-FR"/>
        </w:rPr>
        <w:t>décembre 2008 qu</w:t>
      </w:r>
      <w:r w:rsidR="00BE5FF0">
        <w:rPr>
          <w:lang w:val="fr-FR"/>
        </w:rPr>
        <w:t>’</w:t>
      </w:r>
      <w:r w:rsidRPr="00B76B3A">
        <w:rPr>
          <w:lang w:val="fr-FR"/>
        </w:rPr>
        <w:t>elle a</w:t>
      </w:r>
      <w:r w:rsidR="00A742E6">
        <w:rPr>
          <w:lang w:val="fr-FR"/>
        </w:rPr>
        <w:t>vait</w:t>
      </w:r>
      <w:r w:rsidRPr="00B76B3A">
        <w:rPr>
          <w:lang w:val="fr-FR"/>
        </w:rPr>
        <w:t xml:space="preserve"> présentés avant que l</w:t>
      </w:r>
      <w:r w:rsidR="00BE5FF0">
        <w:rPr>
          <w:lang w:val="fr-FR"/>
        </w:rPr>
        <w:t>’</w:t>
      </w:r>
      <w:r>
        <w:rPr>
          <w:lang w:val="fr-FR"/>
        </w:rPr>
        <w:t xml:space="preserve">Office </w:t>
      </w:r>
      <w:r w:rsidRPr="00B76B3A">
        <w:rPr>
          <w:lang w:val="fr-FR"/>
        </w:rPr>
        <w:t>des migrations prenne sa première décision montrent que s</w:t>
      </w:r>
      <w:r>
        <w:rPr>
          <w:lang w:val="fr-FR"/>
        </w:rPr>
        <w:t>a dépression</w:t>
      </w:r>
      <w:r w:rsidRPr="00B76B3A">
        <w:rPr>
          <w:lang w:val="fr-FR"/>
        </w:rPr>
        <w:t xml:space="preserve"> </w:t>
      </w:r>
      <w:r>
        <w:rPr>
          <w:lang w:val="fr-FR"/>
        </w:rPr>
        <w:t>s</w:t>
      </w:r>
      <w:r w:rsidR="00BE5FF0">
        <w:rPr>
          <w:lang w:val="fr-FR"/>
        </w:rPr>
        <w:t>’</w:t>
      </w:r>
      <w:r>
        <w:rPr>
          <w:lang w:val="fr-FR"/>
        </w:rPr>
        <w:t>aggrav</w:t>
      </w:r>
      <w:r w:rsidRPr="00B76B3A">
        <w:rPr>
          <w:lang w:val="fr-FR"/>
        </w:rPr>
        <w:t xml:space="preserve">ait malgré le traitement médical. Plus tard, un rapport psychiatrique </w:t>
      </w:r>
      <w:r w:rsidR="00A742E6">
        <w:rPr>
          <w:lang w:val="fr-FR"/>
        </w:rPr>
        <w:t xml:space="preserve">daté du </w:t>
      </w:r>
      <w:r w:rsidRPr="00B76B3A">
        <w:rPr>
          <w:lang w:val="fr-FR"/>
        </w:rPr>
        <w:t>10</w:t>
      </w:r>
      <w:r>
        <w:rPr>
          <w:lang w:val="fr-FR"/>
        </w:rPr>
        <w:t> </w:t>
      </w:r>
      <w:r w:rsidRPr="00B76B3A">
        <w:rPr>
          <w:lang w:val="fr-FR"/>
        </w:rPr>
        <w:t xml:space="preserve">octobre 2009 </w:t>
      </w:r>
      <w:r>
        <w:rPr>
          <w:lang w:val="fr-FR"/>
        </w:rPr>
        <w:t>attes</w:t>
      </w:r>
      <w:r w:rsidR="00A742E6">
        <w:rPr>
          <w:lang w:val="fr-FR"/>
        </w:rPr>
        <w:t>tait</w:t>
      </w:r>
      <w:r w:rsidRPr="00B76B3A">
        <w:rPr>
          <w:lang w:val="fr-FR"/>
        </w:rPr>
        <w:t xml:space="preserve"> qu</w:t>
      </w:r>
      <w:r w:rsidR="00BE5FF0">
        <w:rPr>
          <w:lang w:val="fr-FR"/>
        </w:rPr>
        <w:t>’</w:t>
      </w:r>
      <w:r w:rsidRPr="00B76B3A">
        <w:rPr>
          <w:lang w:val="fr-FR"/>
        </w:rPr>
        <w:t>elle souffrait d</w:t>
      </w:r>
      <w:r>
        <w:rPr>
          <w:lang w:val="fr-FR"/>
        </w:rPr>
        <w:t xml:space="preserve">e </w:t>
      </w:r>
      <w:r w:rsidRPr="00B76B3A">
        <w:rPr>
          <w:lang w:val="fr-FR"/>
        </w:rPr>
        <w:t>trouble</w:t>
      </w:r>
      <w:r>
        <w:rPr>
          <w:lang w:val="fr-FR"/>
        </w:rPr>
        <w:t>s</w:t>
      </w:r>
      <w:r w:rsidRPr="00B76B3A">
        <w:rPr>
          <w:lang w:val="fr-FR"/>
        </w:rPr>
        <w:t xml:space="preserve"> de l</w:t>
      </w:r>
      <w:r w:rsidR="00BE5FF0">
        <w:rPr>
          <w:lang w:val="fr-FR"/>
        </w:rPr>
        <w:t>’</w:t>
      </w:r>
      <w:r w:rsidRPr="00B76B3A">
        <w:rPr>
          <w:lang w:val="fr-FR"/>
        </w:rPr>
        <w:t>adaptation et d</w:t>
      </w:r>
      <w:r w:rsidR="00BE5FF0">
        <w:rPr>
          <w:lang w:val="fr-FR"/>
        </w:rPr>
        <w:t>’</w:t>
      </w:r>
      <w:r w:rsidRPr="00B76B3A">
        <w:rPr>
          <w:lang w:val="fr-FR"/>
        </w:rPr>
        <w:t>une dépression majeure avec symptômes psychotiques. L</w:t>
      </w:r>
      <w:r w:rsidR="00BE5FF0">
        <w:rPr>
          <w:lang w:val="fr-FR"/>
        </w:rPr>
        <w:t>’</w:t>
      </w:r>
      <w:r w:rsidRPr="00B76B3A">
        <w:rPr>
          <w:lang w:val="fr-FR"/>
        </w:rPr>
        <w:t xml:space="preserve">auteur rappelle que les victimes de la torture gardent souvent des </w:t>
      </w:r>
      <w:r w:rsidR="00A742E6">
        <w:rPr>
          <w:lang w:val="fr-FR"/>
        </w:rPr>
        <w:t xml:space="preserve">flashback et des </w:t>
      </w:r>
      <w:r w:rsidRPr="00B76B3A">
        <w:rPr>
          <w:lang w:val="fr-FR"/>
        </w:rPr>
        <w:t>troubles de la mémoire</w:t>
      </w:r>
      <w:r w:rsidR="000E77B9">
        <w:rPr>
          <w:lang w:val="fr-FR"/>
        </w:rPr>
        <w:t>,</w:t>
      </w:r>
      <w:r w:rsidR="00A742E6">
        <w:rPr>
          <w:lang w:val="fr-FR"/>
        </w:rPr>
        <w:t xml:space="preserve"> qui, comme il est expliqué dans les rapports </w:t>
      </w:r>
      <w:r w:rsidRPr="00B76B3A">
        <w:rPr>
          <w:lang w:val="fr-FR"/>
        </w:rPr>
        <w:t>médicaux</w:t>
      </w:r>
      <w:r w:rsidR="002C470F">
        <w:rPr>
          <w:lang w:val="fr-FR"/>
        </w:rPr>
        <w:t>,</w:t>
      </w:r>
      <w:r w:rsidRPr="00B76B3A">
        <w:rPr>
          <w:lang w:val="fr-FR"/>
        </w:rPr>
        <w:t xml:space="preserve"> </w:t>
      </w:r>
      <w:r w:rsidR="002C470F">
        <w:rPr>
          <w:lang w:val="fr-FR"/>
        </w:rPr>
        <w:t>sont la cause d</w:t>
      </w:r>
      <w:r w:rsidRPr="00B76B3A">
        <w:rPr>
          <w:lang w:val="fr-FR"/>
        </w:rPr>
        <w:t xml:space="preserve">es différences et </w:t>
      </w:r>
      <w:r w:rsidR="002C470F">
        <w:rPr>
          <w:lang w:val="fr-FR"/>
        </w:rPr>
        <w:t xml:space="preserve">des </w:t>
      </w:r>
      <w:r w:rsidRPr="00B76B3A">
        <w:rPr>
          <w:lang w:val="fr-FR"/>
        </w:rPr>
        <w:t xml:space="preserve">lacunes </w:t>
      </w:r>
      <w:r>
        <w:rPr>
          <w:lang w:val="fr-FR"/>
        </w:rPr>
        <w:t>relev</w:t>
      </w:r>
      <w:r w:rsidRPr="00B76B3A">
        <w:rPr>
          <w:lang w:val="fr-FR"/>
        </w:rPr>
        <w:t>ées dans les informations qu</w:t>
      </w:r>
      <w:r w:rsidR="00BE5FF0">
        <w:rPr>
          <w:lang w:val="fr-FR"/>
        </w:rPr>
        <w:t>’</w:t>
      </w:r>
      <w:r w:rsidRPr="00B76B3A">
        <w:rPr>
          <w:lang w:val="fr-FR"/>
        </w:rPr>
        <w:t>elle a fournies. Néanmoins, pour l</w:t>
      </w:r>
      <w:r w:rsidR="00BE5FF0">
        <w:rPr>
          <w:lang w:val="fr-FR"/>
        </w:rPr>
        <w:t>’</w:t>
      </w:r>
      <w:r w:rsidRPr="00B76B3A">
        <w:rPr>
          <w:lang w:val="fr-FR"/>
        </w:rPr>
        <w:t>essentiel son récit n</w:t>
      </w:r>
      <w:r w:rsidR="00BE5FF0">
        <w:rPr>
          <w:lang w:val="fr-FR"/>
        </w:rPr>
        <w:t>’</w:t>
      </w:r>
      <w:r w:rsidRPr="00B76B3A">
        <w:rPr>
          <w:lang w:val="fr-FR"/>
        </w:rPr>
        <w:t>a jamais changé et il n</w:t>
      </w:r>
      <w:r w:rsidR="00BE5FF0">
        <w:rPr>
          <w:lang w:val="fr-FR"/>
        </w:rPr>
        <w:t>’</w:t>
      </w:r>
      <w:r w:rsidRPr="00B76B3A">
        <w:rPr>
          <w:lang w:val="fr-FR"/>
        </w:rPr>
        <w:t xml:space="preserve">y a donc pas de raison de douter de sa crédibilité. </w:t>
      </w:r>
    </w:p>
    <w:p w:rsidR="008A492C" w:rsidRPr="00B76B3A" w:rsidRDefault="008A492C" w:rsidP="008A492C">
      <w:pPr>
        <w:pStyle w:val="SingleTxtG"/>
        <w:rPr>
          <w:lang w:val="fr-FR"/>
        </w:rPr>
      </w:pPr>
      <w:r>
        <w:rPr>
          <w:lang w:val="fr-FR"/>
        </w:rPr>
        <w:t>5.5</w:t>
      </w:r>
      <w:r w:rsidRPr="00B76B3A">
        <w:rPr>
          <w:lang w:val="fr-FR"/>
        </w:rPr>
        <w:tab/>
        <w:t xml:space="preserve">En ce qui concerne </w:t>
      </w:r>
      <w:r>
        <w:rPr>
          <w:lang w:val="fr-FR"/>
        </w:rPr>
        <w:t>l</w:t>
      </w:r>
      <w:r w:rsidR="00BE5FF0">
        <w:rPr>
          <w:lang w:val="fr-FR"/>
        </w:rPr>
        <w:t>’</w:t>
      </w:r>
      <w:r>
        <w:rPr>
          <w:lang w:val="fr-FR"/>
        </w:rPr>
        <w:t xml:space="preserve">organisation </w:t>
      </w:r>
      <w:r w:rsidR="002C470F">
        <w:rPr>
          <w:lang w:val="fr-FR"/>
        </w:rPr>
        <w:t>Shhatra Shibir</w:t>
      </w:r>
      <w:r w:rsidRPr="00B76B3A">
        <w:rPr>
          <w:lang w:val="fr-FR"/>
        </w:rPr>
        <w:t xml:space="preserve">, </w:t>
      </w:r>
      <w:r>
        <w:rPr>
          <w:lang w:val="fr-FR"/>
        </w:rPr>
        <w:t xml:space="preserve">elle </w:t>
      </w:r>
      <w:r w:rsidRPr="00B76B3A">
        <w:rPr>
          <w:lang w:val="fr-FR"/>
        </w:rPr>
        <w:t>a été fondée en 1977 et est devenue l</w:t>
      </w:r>
      <w:r w:rsidR="00BE5FF0">
        <w:rPr>
          <w:lang w:val="fr-FR"/>
        </w:rPr>
        <w:t>’</w:t>
      </w:r>
      <w:r w:rsidRPr="00B76B3A">
        <w:rPr>
          <w:lang w:val="fr-FR"/>
        </w:rPr>
        <w:t xml:space="preserve">une des trois plus grandes organisations étudiantes du </w:t>
      </w:r>
      <w:r w:rsidR="002C470F">
        <w:rPr>
          <w:lang w:val="fr-FR"/>
        </w:rPr>
        <w:t>Bangladesh</w:t>
      </w:r>
      <w:r w:rsidRPr="00B76B3A">
        <w:rPr>
          <w:lang w:val="fr-FR"/>
        </w:rPr>
        <w:t xml:space="preserve">. </w:t>
      </w:r>
      <w:r>
        <w:rPr>
          <w:lang w:val="fr-FR"/>
        </w:rPr>
        <w:t>L</w:t>
      </w:r>
      <w:r w:rsidRPr="00B76B3A">
        <w:rPr>
          <w:lang w:val="fr-FR"/>
        </w:rPr>
        <w:t>a première fois qu</w:t>
      </w:r>
      <w:r w:rsidR="002C470F">
        <w:rPr>
          <w:lang w:val="fr-FR"/>
        </w:rPr>
        <w:t>e l</w:t>
      </w:r>
      <w:r w:rsidR="00BE5FF0">
        <w:rPr>
          <w:lang w:val="fr-FR"/>
        </w:rPr>
        <w:t>’</w:t>
      </w:r>
      <w:r w:rsidR="002C470F">
        <w:rPr>
          <w:lang w:val="fr-FR"/>
        </w:rPr>
        <w:t xml:space="preserve">auteur </w:t>
      </w:r>
      <w:r w:rsidRPr="00B76B3A">
        <w:rPr>
          <w:lang w:val="fr-FR"/>
        </w:rPr>
        <w:t>a été en contact avec cette organisation</w:t>
      </w:r>
      <w:r>
        <w:rPr>
          <w:lang w:val="fr-FR"/>
        </w:rPr>
        <w:t xml:space="preserve"> c</w:t>
      </w:r>
      <w:r w:rsidR="00BE5FF0">
        <w:rPr>
          <w:lang w:val="fr-FR"/>
        </w:rPr>
        <w:t>’</w:t>
      </w:r>
      <w:r>
        <w:rPr>
          <w:lang w:val="fr-FR"/>
        </w:rPr>
        <w:t>est par téléphone,</w:t>
      </w:r>
      <w:r w:rsidRPr="00B76B3A">
        <w:rPr>
          <w:lang w:val="fr-FR"/>
        </w:rPr>
        <w:t xml:space="preserve"> alors qu</w:t>
      </w:r>
      <w:r w:rsidR="00BE5FF0">
        <w:rPr>
          <w:lang w:val="fr-FR"/>
        </w:rPr>
        <w:t>’</w:t>
      </w:r>
      <w:r w:rsidRPr="00B76B3A">
        <w:rPr>
          <w:lang w:val="fr-FR"/>
        </w:rPr>
        <w:t xml:space="preserve">elle habitait encore </w:t>
      </w:r>
      <w:r>
        <w:rPr>
          <w:lang w:val="fr-FR"/>
        </w:rPr>
        <w:t>chez ses parents</w:t>
      </w:r>
      <w:r w:rsidRPr="00B76B3A">
        <w:rPr>
          <w:lang w:val="fr-FR"/>
        </w:rPr>
        <w:t>. L</w:t>
      </w:r>
      <w:r w:rsidR="00BE5FF0">
        <w:rPr>
          <w:lang w:val="fr-FR"/>
        </w:rPr>
        <w:t>’</w:t>
      </w:r>
      <w:r w:rsidRPr="00B76B3A">
        <w:rPr>
          <w:lang w:val="fr-FR"/>
        </w:rPr>
        <w:t>auteur a refusé de répondre aux questions de son interlocuteur, et celui-ci l</w:t>
      </w:r>
      <w:r w:rsidR="00BE5FF0">
        <w:rPr>
          <w:lang w:val="fr-FR"/>
        </w:rPr>
        <w:t>’</w:t>
      </w:r>
      <w:r w:rsidRPr="00B76B3A">
        <w:rPr>
          <w:lang w:val="fr-FR"/>
        </w:rPr>
        <w:t>a alors menacée et lui a dit que si elle n</w:t>
      </w:r>
      <w:r w:rsidR="00BE5FF0">
        <w:rPr>
          <w:lang w:val="fr-FR"/>
        </w:rPr>
        <w:t>’</w:t>
      </w:r>
      <w:r>
        <w:rPr>
          <w:lang w:val="fr-FR"/>
        </w:rPr>
        <w:t>obser</w:t>
      </w:r>
      <w:r w:rsidRPr="00B76B3A">
        <w:rPr>
          <w:lang w:val="fr-FR"/>
        </w:rPr>
        <w:t xml:space="preserve">vait pas </w:t>
      </w:r>
      <w:r>
        <w:rPr>
          <w:lang w:val="fr-FR"/>
        </w:rPr>
        <w:t xml:space="preserve">strictement </w:t>
      </w:r>
      <w:r w:rsidRPr="00B76B3A">
        <w:rPr>
          <w:lang w:val="fr-FR"/>
        </w:rPr>
        <w:t>les principes de la religion, il prendrait des mesures. Plus tard, qu</w:t>
      </w:r>
      <w:r>
        <w:rPr>
          <w:lang w:val="fr-FR"/>
        </w:rPr>
        <w:t>and</w:t>
      </w:r>
      <w:r w:rsidRPr="00B76B3A">
        <w:rPr>
          <w:lang w:val="fr-FR"/>
        </w:rPr>
        <w:t xml:space="preserve"> </w:t>
      </w:r>
      <w:r>
        <w:rPr>
          <w:lang w:val="fr-FR"/>
        </w:rPr>
        <w:t xml:space="preserve">elle </w:t>
      </w:r>
      <w:r w:rsidRPr="00B76B3A">
        <w:rPr>
          <w:lang w:val="fr-FR"/>
        </w:rPr>
        <w:t xml:space="preserve">a emménagé avec sa compagne, toutes deux </w:t>
      </w:r>
      <w:r>
        <w:rPr>
          <w:lang w:val="fr-FR"/>
        </w:rPr>
        <w:t>ont été suivies par un membre de</w:t>
      </w:r>
      <w:r w:rsidRPr="00B76B3A">
        <w:rPr>
          <w:lang w:val="fr-FR"/>
        </w:rPr>
        <w:t xml:space="preserve"> </w:t>
      </w:r>
      <w:r w:rsidR="002C470F">
        <w:rPr>
          <w:lang w:val="fr-FR"/>
        </w:rPr>
        <w:t xml:space="preserve">Shhatra Shibir </w:t>
      </w:r>
      <w:r w:rsidRPr="00B76B3A">
        <w:rPr>
          <w:lang w:val="fr-FR"/>
        </w:rPr>
        <w:t>et son dirigeant, M.</w:t>
      </w:r>
      <w:r>
        <w:rPr>
          <w:lang w:val="fr-FR"/>
        </w:rPr>
        <w:t> </w:t>
      </w:r>
      <w:r w:rsidRPr="00B76B3A">
        <w:rPr>
          <w:lang w:val="fr-FR"/>
        </w:rPr>
        <w:t>J</w:t>
      </w:r>
      <w:r>
        <w:rPr>
          <w:lang w:val="fr-FR"/>
        </w:rPr>
        <w:t>.</w:t>
      </w:r>
      <w:r w:rsidRPr="00B76B3A">
        <w:rPr>
          <w:lang w:val="fr-FR"/>
        </w:rPr>
        <w:t>, les a menacées de leur jeter de l</w:t>
      </w:r>
      <w:r w:rsidR="00BE5FF0">
        <w:rPr>
          <w:lang w:val="fr-FR"/>
        </w:rPr>
        <w:t>’</w:t>
      </w:r>
      <w:r w:rsidRPr="00B76B3A">
        <w:rPr>
          <w:lang w:val="fr-FR"/>
        </w:rPr>
        <w:t>acide au visage, de révéler leur orientation sexuelle à tout le voisinage et de les lapider à mort. Elle</w:t>
      </w:r>
      <w:r w:rsidR="002C470F">
        <w:rPr>
          <w:lang w:val="fr-FR"/>
        </w:rPr>
        <w:t>s</w:t>
      </w:r>
      <w:r w:rsidRPr="00B76B3A">
        <w:rPr>
          <w:lang w:val="fr-FR"/>
        </w:rPr>
        <w:t xml:space="preserve"> n</w:t>
      </w:r>
      <w:r w:rsidR="00BE5FF0">
        <w:rPr>
          <w:lang w:val="fr-FR"/>
        </w:rPr>
        <w:t>’</w:t>
      </w:r>
      <w:r w:rsidR="002C470F">
        <w:rPr>
          <w:lang w:val="fr-FR"/>
        </w:rPr>
        <w:t>ont</w:t>
      </w:r>
      <w:r w:rsidRPr="00B76B3A">
        <w:rPr>
          <w:lang w:val="fr-FR"/>
        </w:rPr>
        <w:t xml:space="preserve"> pas signalé l</w:t>
      </w:r>
      <w:r w:rsidR="00BE5FF0">
        <w:rPr>
          <w:lang w:val="fr-FR"/>
        </w:rPr>
        <w:t>’</w:t>
      </w:r>
      <w:r w:rsidRPr="00B76B3A">
        <w:rPr>
          <w:lang w:val="fr-FR"/>
        </w:rPr>
        <w:t xml:space="preserve">incident à la police par </w:t>
      </w:r>
      <w:r>
        <w:rPr>
          <w:lang w:val="fr-FR"/>
        </w:rPr>
        <w:t xml:space="preserve">crainte </w:t>
      </w:r>
      <w:r w:rsidRPr="00B76B3A">
        <w:rPr>
          <w:lang w:val="fr-FR"/>
        </w:rPr>
        <w:t>d</w:t>
      </w:r>
      <w:r w:rsidR="00BE5FF0">
        <w:rPr>
          <w:lang w:val="fr-FR"/>
        </w:rPr>
        <w:t>’</w:t>
      </w:r>
      <w:r w:rsidRPr="00B76B3A">
        <w:rPr>
          <w:lang w:val="fr-FR"/>
        </w:rPr>
        <w:t>être arrêtée</w:t>
      </w:r>
      <w:r w:rsidR="002C470F">
        <w:rPr>
          <w:lang w:val="fr-FR"/>
        </w:rPr>
        <w:t>s</w:t>
      </w:r>
      <w:r w:rsidRPr="00B76B3A">
        <w:rPr>
          <w:lang w:val="fr-FR"/>
        </w:rPr>
        <w:t xml:space="preserve"> pour homosexualité. </w:t>
      </w:r>
      <w:r>
        <w:rPr>
          <w:lang w:val="fr-FR"/>
        </w:rPr>
        <w:t>Un</w:t>
      </w:r>
      <w:r w:rsidRPr="00B76B3A">
        <w:rPr>
          <w:lang w:val="fr-FR"/>
        </w:rPr>
        <w:t xml:space="preserve">e autre </w:t>
      </w:r>
      <w:r>
        <w:rPr>
          <w:lang w:val="fr-FR"/>
        </w:rPr>
        <w:t>fois</w:t>
      </w:r>
      <w:r w:rsidRPr="00B76B3A">
        <w:rPr>
          <w:lang w:val="fr-FR"/>
        </w:rPr>
        <w:t xml:space="preserve">, elle a dit </w:t>
      </w:r>
      <w:r>
        <w:rPr>
          <w:lang w:val="fr-FR"/>
        </w:rPr>
        <w:t>à</w:t>
      </w:r>
      <w:r w:rsidRPr="00B76B3A">
        <w:rPr>
          <w:lang w:val="fr-FR"/>
        </w:rPr>
        <w:t xml:space="preserve"> </w:t>
      </w:r>
      <w:r w:rsidR="002C470F">
        <w:rPr>
          <w:lang w:val="fr-FR"/>
        </w:rPr>
        <w:t>Shhatra Shibir</w:t>
      </w:r>
      <w:r w:rsidRPr="00B76B3A">
        <w:rPr>
          <w:lang w:val="fr-FR"/>
        </w:rPr>
        <w:t xml:space="preserve"> qu</w:t>
      </w:r>
      <w:r w:rsidR="00BE5FF0">
        <w:rPr>
          <w:lang w:val="fr-FR"/>
        </w:rPr>
        <w:t>’</w:t>
      </w:r>
      <w:r w:rsidRPr="00B76B3A">
        <w:rPr>
          <w:lang w:val="fr-FR"/>
        </w:rPr>
        <w:t xml:space="preserve">elle </w:t>
      </w:r>
      <w:r>
        <w:rPr>
          <w:lang w:val="fr-FR"/>
        </w:rPr>
        <w:t xml:space="preserve">allait </w:t>
      </w:r>
      <w:r w:rsidRPr="00B76B3A">
        <w:rPr>
          <w:lang w:val="fr-FR"/>
        </w:rPr>
        <w:t>se rendr</w:t>
      </w:r>
      <w:r>
        <w:rPr>
          <w:lang w:val="fr-FR"/>
        </w:rPr>
        <w:t>e</w:t>
      </w:r>
      <w:r w:rsidRPr="00B76B3A">
        <w:rPr>
          <w:lang w:val="fr-FR"/>
        </w:rPr>
        <w:t xml:space="preserve"> à la police. </w:t>
      </w:r>
      <w:r w:rsidR="002C470F">
        <w:rPr>
          <w:lang w:val="fr-FR"/>
        </w:rPr>
        <w:t xml:space="preserve">Or peu de temps </w:t>
      </w:r>
      <w:r w:rsidRPr="00B76B3A">
        <w:rPr>
          <w:lang w:val="fr-FR"/>
        </w:rPr>
        <w:t xml:space="preserve">après elle a été arrêtée par la police et </w:t>
      </w:r>
      <w:r>
        <w:rPr>
          <w:lang w:val="fr-FR"/>
        </w:rPr>
        <w:t>agress</w:t>
      </w:r>
      <w:r w:rsidRPr="00B76B3A">
        <w:rPr>
          <w:lang w:val="fr-FR"/>
        </w:rPr>
        <w:t xml:space="preserve">ée sexuellement </w:t>
      </w:r>
      <w:r>
        <w:rPr>
          <w:lang w:val="fr-FR"/>
        </w:rPr>
        <w:t>pendant</w:t>
      </w:r>
      <w:r w:rsidRPr="00B76B3A">
        <w:rPr>
          <w:lang w:val="fr-FR"/>
        </w:rPr>
        <w:t xml:space="preserve"> qu</w:t>
      </w:r>
      <w:r w:rsidR="00BE5FF0">
        <w:rPr>
          <w:lang w:val="fr-FR"/>
        </w:rPr>
        <w:t>’</w:t>
      </w:r>
      <w:r w:rsidRPr="00B76B3A">
        <w:rPr>
          <w:lang w:val="fr-FR"/>
        </w:rPr>
        <w:t>elle était en garde à vue. La police lui a dit qu</w:t>
      </w:r>
      <w:r w:rsidR="00BE5FF0">
        <w:rPr>
          <w:lang w:val="fr-FR"/>
        </w:rPr>
        <w:t>’</w:t>
      </w:r>
      <w:r w:rsidRPr="00B76B3A">
        <w:rPr>
          <w:lang w:val="fr-FR"/>
        </w:rPr>
        <w:t>elle avait été arrêtée parce qu</w:t>
      </w:r>
      <w:r w:rsidR="00BE5FF0">
        <w:rPr>
          <w:lang w:val="fr-FR"/>
        </w:rPr>
        <w:t>’</w:t>
      </w:r>
      <w:r w:rsidRPr="00B76B3A">
        <w:rPr>
          <w:lang w:val="fr-FR"/>
        </w:rPr>
        <w:t>elle était lesbienne. En ce qui concerne la disparition de sa compagne, l</w:t>
      </w:r>
      <w:r w:rsidR="00BE5FF0">
        <w:rPr>
          <w:lang w:val="fr-FR"/>
        </w:rPr>
        <w:t>’</w:t>
      </w:r>
      <w:r w:rsidRPr="00B76B3A">
        <w:rPr>
          <w:lang w:val="fr-FR"/>
        </w:rPr>
        <w:t xml:space="preserve">auteur </w:t>
      </w:r>
      <w:r>
        <w:rPr>
          <w:lang w:val="fr-FR"/>
        </w:rPr>
        <w:t>affirm</w:t>
      </w:r>
      <w:r w:rsidRPr="00B76B3A">
        <w:rPr>
          <w:lang w:val="fr-FR"/>
        </w:rPr>
        <w:t>e qu</w:t>
      </w:r>
      <w:r w:rsidR="00BE5FF0">
        <w:rPr>
          <w:lang w:val="fr-FR"/>
        </w:rPr>
        <w:t>’</w:t>
      </w:r>
      <w:r w:rsidRPr="00B76B3A">
        <w:rPr>
          <w:lang w:val="fr-FR"/>
        </w:rPr>
        <w:t>elle n</w:t>
      </w:r>
      <w:r w:rsidR="00BE5FF0">
        <w:rPr>
          <w:lang w:val="fr-FR"/>
        </w:rPr>
        <w:t>’</w:t>
      </w:r>
      <w:r w:rsidRPr="00B76B3A">
        <w:rPr>
          <w:lang w:val="fr-FR"/>
        </w:rPr>
        <w:t>était pas présente au moment où sa compagne a été enlevée</w:t>
      </w:r>
      <w:r>
        <w:rPr>
          <w:lang w:val="fr-FR"/>
        </w:rPr>
        <w:t>,</w:t>
      </w:r>
      <w:r w:rsidRPr="00B76B3A">
        <w:rPr>
          <w:lang w:val="fr-FR"/>
        </w:rPr>
        <w:t xml:space="preserve"> raison </w:t>
      </w:r>
      <w:r>
        <w:rPr>
          <w:lang w:val="fr-FR"/>
        </w:rPr>
        <w:t xml:space="preserve">pour laquelle </w:t>
      </w:r>
      <w:r w:rsidRPr="00B76B3A">
        <w:rPr>
          <w:lang w:val="fr-FR"/>
        </w:rPr>
        <w:t xml:space="preserve">elle </w:t>
      </w:r>
      <w:r w:rsidR="002C470F">
        <w:rPr>
          <w:lang w:val="fr-FR"/>
        </w:rPr>
        <w:t xml:space="preserve">ne pouvait que </w:t>
      </w:r>
      <w:r w:rsidRPr="00B76B3A">
        <w:rPr>
          <w:lang w:val="fr-FR"/>
        </w:rPr>
        <w:t>s</w:t>
      </w:r>
      <w:r w:rsidR="00BE5FF0">
        <w:rPr>
          <w:lang w:val="fr-FR"/>
        </w:rPr>
        <w:t>’</w:t>
      </w:r>
      <w:r w:rsidRPr="00B76B3A">
        <w:rPr>
          <w:lang w:val="fr-FR"/>
        </w:rPr>
        <w:t>en remettre à des informations de seconde main. Cependant, un voisin lui a raconté que sa compagne avait été emmenée par des hommes barbus armés d</w:t>
      </w:r>
      <w:r w:rsidR="00BE5FF0">
        <w:rPr>
          <w:lang w:val="fr-FR"/>
        </w:rPr>
        <w:t>’</w:t>
      </w:r>
      <w:r w:rsidR="002C470F">
        <w:rPr>
          <w:lang w:val="fr-FR"/>
        </w:rPr>
        <w:t>épées</w:t>
      </w:r>
      <w:r w:rsidRPr="00B76B3A">
        <w:rPr>
          <w:lang w:val="fr-FR"/>
        </w:rPr>
        <w:t xml:space="preserve">. </w:t>
      </w:r>
    </w:p>
    <w:p w:rsidR="008A492C" w:rsidRPr="00B76B3A" w:rsidRDefault="008A492C" w:rsidP="008A492C">
      <w:pPr>
        <w:pStyle w:val="SingleTxtG"/>
        <w:rPr>
          <w:lang w:val="fr-FR"/>
        </w:rPr>
      </w:pPr>
      <w:r w:rsidRPr="00B76B3A">
        <w:rPr>
          <w:lang w:val="fr-FR"/>
        </w:rPr>
        <w:t>5.6</w:t>
      </w:r>
      <w:r w:rsidRPr="00B76B3A">
        <w:rPr>
          <w:lang w:val="fr-FR"/>
        </w:rPr>
        <w:tab/>
        <w:t>L</w:t>
      </w:r>
      <w:r w:rsidR="00BE5FF0">
        <w:rPr>
          <w:lang w:val="fr-FR"/>
        </w:rPr>
        <w:t>’</w:t>
      </w:r>
      <w:r w:rsidRPr="00B76B3A">
        <w:rPr>
          <w:lang w:val="fr-FR"/>
        </w:rPr>
        <w:t>auteur n</w:t>
      </w:r>
      <w:r w:rsidR="00BE5FF0">
        <w:rPr>
          <w:lang w:val="fr-FR"/>
        </w:rPr>
        <w:t>’</w:t>
      </w:r>
      <w:r w:rsidRPr="00B76B3A">
        <w:rPr>
          <w:lang w:val="fr-FR"/>
        </w:rPr>
        <w:t>a pas été informé</w:t>
      </w:r>
      <w:r>
        <w:rPr>
          <w:lang w:val="fr-FR"/>
        </w:rPr>
        <w:t>e</w:t>
      </w:r>
      <w:r w:rsidRPr="00B76B3A">
        <w:rPr>
          <w:lang w:val="fr-FR"/>
        </w:rPr>
        <w:t xml:space="preserve"> que l</w:t>
      </w:r>
      <w:r w:rsidR="00BE5FF0">
        <w:rPr>
          <w:lang w:val="fr-FR"/>
        </w:rPr>
        <w:t>’</w:t>
      </w:r>
      <w:r w:rsidRPr="00B76B3A">
        <w:rPr>
          <w:lang w:val="fr-FR"/>
        </w:rPr>
        <w:t xml:space="preserve">État partie avait enquêté au sujet du journal </w:t>
      </w:r>
      <w:r>
        <w:rPr>
          <w:i/>
          <w:lang w:val="fr-FR"/>
        </w:rPr>
        <w:t>Dainik </w:t>
      </w:r>
      <w:r w:rsidRPr="00B76B3A">
        <w:rPr>
          <w:i/>
          <w:lang w:val="fr-FR"/>
        </w:rPr>
        <w:t>Nowroj</w:t>
      </w:r>
      <w:r w:rsidRPr="00B76B3A">
        <w:rPr>
          <w:lang w:val="fr-FR"/>
        </w:rPr>
        <w:t xml:space="preserve"> et demandé l</w:t>
      </w:r>
      <w:r w:rsidR="00BE5FF0">
        <w:rPr>
          <w:lang w:val="fr-FR"/>
        </w:rPr>
        <w:t>’</w:t>
      </w:r>
      <w:r w:rsidRPr="00B76B3A">
        <w:rPr>
          <w:lang w:val="fr-FR"/>
        </w:rPr>
        <w:t>as</w:t>
      </w:r>
      <w:r w:rsidR="002C470F">
        <w:rPr>
          <w:lang w:val="fr-FR"/>
        </w:rPr>
        <w:t>sistance de son ambassade à Dacca, i</w:t>
      </w:r>
      <w:r w:rsidRPr="00B76B3A">
        <w:rPr>
          <w:lang w:val="fr-FR"/>
        </w:rPr>
        <w:t>l lui est donc difficile de commenter la réponse de l</w:t>
      </w:r>
      <w:r w:rsidR="00BE5FF0">
        <w:rPr>
          <w:lang w:val="fr-FR"/>
        </w:rPr>
        <w:t>’</w:t>
      </w:r>
      <w:r w:rsidRPr="00B76B3A">
        <w:rPr>
          <w:lang w:val="fr-FR"/>
        </w:rPr>
        <w:t>ambassade disant que ce journal n</w:t>
      </w:r>
      <w:r w:rsidR="00BE5FF0">
        <w:rPr>
          <w:lang w:val="fr-FR"/>
        </w:rPr>
        <w:t>’</w:t>
      </w:r>
      <w:r w:rsidRPr="00B76B3A">
        <w:rPr>
          <w:lang w:val="fr-FR"/>
        </w:rPr>
        <w:t xml:space="preserve">existe pas. Toutefois, une simple recherche sur Internet confirme </w:t>
      </w:r>
      <w:r>
        <w:rPr>
          <w:lang w:val="fr-FR"/>
        </w:rPr>
        <w:t>que</w:t>
      </w:r>
      <w:r w:rsidRPr="00B76B3A">
        <w:rPr>
          <w:lang w:val="fr-FR"/>
        </w:rPr>
        <w:t xml:space="preserve"> ce journal </w:t>
      </w:r>
      <w:r w:rsidR="002C470F">
        <w:rPr>
          <w:lang w:val="fr-FR"/>
        </w:rPr>
        <w:t xml:space="preserve">existe et figure sur la liste des journaux distribués </w:t>
      </w:r>
      <w:r>
        <w:rPr>
          <w:lang w:val="fr-FR"/>
        </w:rPr>
        <w:t xml:space="preserve">au </w:t>
      </w:r>
      <w:r w:rsidRPr="00B76B3A">
        <w:rPr>
          <w:lang w:val="fr-FR"/>
        </w:rPr>
        <w:t>Bangladesh</w:t>
      </w:r>
      <w:r>
        <w:rPr>
          <w:rStyle w:val="FootnoteReference"/>
        </w:rPr>
        <w:footnoteReference w:id="9"/>
      </w:r>
      <w:r w:rsidR="002C470F">
        <w:rPr>
          <w:lang w:val="fr-FR"/>
        </w:rPr>
        <w:t>. En </w:t>
      </w:r>
      <w:r w:rsidRPr="00B76B3A">
        <w:rPr>
          <w:lang w:val="fr-FR"/>
        </w:rPr>
        <w:t xml:space="preserve">outre, </w:t>
      </w:r>
      <w:r w:rsidR="002C470F">
        <w:rPr>
          <w:lang w:val="fr-FR"/>
        </w:rPr>
        <w:t>elle dit qu</w:t>
      </w:r>
      <w:r w:rsidR="00BE5FF0">
        <w:rPr>
          <w:lang w:val="fr-FR"/>
        </w:rPr>
        <w:t>’</w:t>
      </w:r>
      <w:r w:rsidRPr="00B76B3A">
        <w:rPr>
          <w:lang w:val="fr-FR"/>
        </w:rPr>
        <w:t>il n</w:t>
      </w:r>
      <w:r w:rsidR="00BE5FF0">
        <w:rPr>
          <w:lang w:val="fr-FR"/>
        </w:rPr>
        <w:t>’</w:t>
      </w:r>
      <w:r>
        <w:rPr>
          <w:lang w:val="fr-FR"/>
        </w:rPr>
        <w:t>y a rien d</w:t>
      </w:r>
      <w:r w:rsidR="00BE5FF0">
        <w:rPr>
          <w:lang w:val="fr-FR"/>
        </w:rPr>
        <w:t>’</w:t>
      </w:r>
      <w:r w:rsidRPr="00B76B3A">
        <w:rPr>
          <w:lang w:val="fr-FR"/>
        </w:rPr>
        <w:t xml:space="preserve">étrange </w:t>
      </w:r>
      <w:r>
        <w:rPr>
          <w:lang w:val="fr-FR"/>
        </w:rPr>
        <w:t xml:space="preserve">à ce </w:t>
      </w:r>
      <w:r w:rsidRPr="00B76B3A">
        <w:rPr>
          <w:lang w:val="fr-FR"/>
        </w:rPr>
        <w:t>qu</w:t>
      </w:r>
      <w:r w:rsidR="00BE5FF0">
        <w:rPr>
          <w:lang w:val="fr-FR"/>
        </w:rPr>
        <w:t>’</w:t>
      </w:r>
      <w:r w:rsidRPr="00B76B3A">
        <w:rPr>
          <w:lang w:val="fr-FR"/>
        </w:rPr>
        <w:t>elle n</w:t>
      </w:r>
      <w:r w:rsidR="00BE5FF0">
        <w:rPr>
          <w:lang w:val="fr-FR"/>
        </w:rPr>
        <w:t>’</w:t>
      </w:r>
      <w:r w:rsidRPr="00B76B3A">
        <w:rPr>
          <w:lang w:val="fr-FR"/>
        </w:rPr>
        <w:t xml:space="preserve">ait pas </w:t>
      </w:r>
      <w:r>
        <w:rPr>
          <w:lang w:val="fr-FR"/>
        </w:rPr>
        <w:t>su</w:t>
      </w:r>
      <w:r w:rsidRPr="00B76B3A">
        <w:rPr>
          <w:lang w:val="fr-FR"/>
        </w:rPr>
        <w:t xml:space="preserve"> qu</w:t>
      </w:r>
      <w:r w:rsidR="00BE5FF0">
        <w:rPr>
          <w:lang w:val="fr-FR"/>
        </w:rPr>
        <w:t>’</w:t>
      </w:r>
      <w:r w:rsidRPr="00B76B3A">
        <w:rPr>
          <w:lang w:val="fr-FR"/>
        </w:rPr>
        <w:t>un article les concernant</w:t>
      </w:r>
      <w:r w:rsidR="002C470F">
        <w:rPr>
          <w:lang w:val="fr-FR"/>
        </w:rPr>
        <w:t>, elle</w:t>
      </w:r>
      <w:r w:rsidRPr="00B76B3A">
        <w:rPr>
          <w:lang w:val="fr-FR"/>
        </w:rPr>
        <w:t xml:space="preserve"> et sa compagne</w:t>
      </w:r>
      <w:r w:rsidR="002C470F">
        <w:rPr>
          <w:lang w:val="fr-FR"/>
        </w:rPr>
        <w:t>,</w:t>
      </w:r>
      <w:r w:rsidRPr="00B76B3A">
        <w:rPr>
          <w:lang w:val="fr-FR"/>
        </w:rPr>
        <w:t xml:space="preserve"> était paru dans ce journal en 2008 </w:t>
      </w:r>
      <w:r w:rsidR="002C470F">
        <w:rPr>
          <w:lang w:val="fr-FR"/>
        </w:rPr>
        <w:t>parce qu</w:t>
      </w:r>
      <w:r w:rsidR="00BE5FF0">
        <w:rPr>
          <w:lang w:val="fr-FR"/>
        </w:rPr>
        <w:t>’</w:t>
      </w:r>
      <w:r w:rsidR="002C470F" w:rsidRPr="00B76B3A">
        <w:rPr>
          <w:lang w:val="fr-FR"/>
        </w:rPr>
        <w:t xml:space="preserve">elle </w:t>
      </w:r>
      <w:r w:rsidR="002C470F">
        <w:rPr>
          <w:lang w:val="fr-FR"/>
        </w:rPr>
        <w:t>ne lisait pas les journaux à cette époque. C</w:t>
      </w:r>
      <w:r w:rsidR="00BE5FF0">
        <w:rPr>
          <w:lang w:val="fr-FR"/>
        </w:rPr>
        <w:t>’</w:t>
      </w:r>
      <w:r w:rsidR="000E77B9">
        <w:rPr>
          <w:lang w:val="fr-FR"/>
        </w:rPr>
        <w:t>est précisément cette année</w:t>
      </w:r>
      <w:r w:rsidR="000E77B9">
        <w:rPr>
          <w:lang w:val="fr-FR"/>
        </w:rPr>
        <w:noBreakHyphen/>
      </w:r>
      <w:r w:rsidRPr="00B76B3A">
        <w:rPr>
          <w:lang w:val="fr-FR"/>
        </w:rPr>
        <w:t>là qu</w:t>
      </w:r>
      <w:r w:rsidR="00BE5FF0">
        <w:rPr>
          <w:lang w:val="fr-FR"/>
        </w:rPr>
        <w:t>’</w:t>
      </w:r>
      <w:r w:rsidRPr="00B76B3A">
        <w:rPr>
          <w:lang w:val="fr-FR"/>
        </w:rPr>
        <w:t>elle a quitté le Bangladesh</w:t>
      </w:r>
      <w:r w:rsidR="002C470F">
        <w:rPr>
          <w:lang w:val="fr-FR"/>
        </w:rPr>
        <w:t xml:space="preserve"> pour retourner en Suède et, a</w:t>
      </w:r>
      <w:r w:rsidRPr="00B76B3A">
        <w:rPr>
          <w:lang w:val="fr-FR"/>
        </w:rPr>
        <w:t>vant son départ, sa compagne avait disparu et elle-même avait été arrêtée par la police. Elle n</w:t>
      </w:r>
      <w:r w:rsidR="00BE5FF0">
        <w:rPr>
          <w:lang w:val="fr-FR"/>
        </w:rPr>
        <w:t>’</w:t>
      </w:r>
      <w:r w:rsidRPr="00B76B3A">
        <w:rPr>
          <w:lang w:val="fr-FR"/>
        </w:rPr>
        <w:t>avait pas à l</w:t>
      </w:r>
      <w:r w:rsidR="00BE5FF0">
        <w:rPr>
          <w:lang w:val="fr-FR"/>
        </w:rPr>
        <w:t>’</w:t>
      </w:r>
      <w:r w:rsidRPr="00B76B3A">
        <w:rPr>
          <w:lang w:val="fr-FR"/>
        </w:rPr>
        <w:t xml:space="preserve">époque une vie normale </w:t>
      </w:r>
      <w:r w:rsidR="002C470F">
        <w:rPr>
          <w:lang w:val="fr-FR"/>
        </w:rPr>
        <w:t>parce qu</w:t>
      </w:r>
      <w:r w:rsidR="00BE5FF0">
        <w:rPr>
          <w:lang w:val="fr-FR"/>
        </w:rPr>
        <w:t>’</w:t>
      </w:r>
      <w:r w:rsidRPr="00B76B3A">
        <w:rPr>
          <w:lang w:val="fr-FR"/>
        </w:rPr>
        <w:t xml:space="preserve">elle était sous pression, traumatisée et </w:t>
      </w:r>
      <w:r>
        <w:rPr>
          <w:lang w:val="fr-FR"/>
        </w:rPr>
        <w:t>terrifi</w:t>
      </w:r>
      <w:r w:rsidRPr="00B76B3A">
        <w:rPr>
          <w:lang w:val="fr-FR"/>
        </w:rPr>
        <w:t>ée. C</w:t>
      </w:r>
      <w:r w:rsidR="00BE5FF0">
        <w:rPr>
          <w:lang w:val="fr-FR"/>
        </w:rPr>
        <w:t>’</w:t>
      </w:r>
      <w:r w:rsidRPr="00B76B3A">
        <w:rPr>
          <w:lang w:val="fr-FR"/>
        </w:rPr>
        <w:t>est sa mère qui l</w:t>
      </w:r>
      <w:r w:rsidR="00BE5FF0">
        <w:rPr>
          <w:lang w:val="fr-FR"/>
        </w:rPr>
        <w:t>’</w:t>
      </w:r>
      <w:r w:rsidRPr="00B76B3A">
        <w:rPr>
          <w:lang w:val="fr-FR"/>
        </w:rPr>
        <w:t xml:space="preserve">avait informée de la parution de </w:t>
      </w:r>
      <w:r w:rsidR="002C470F">
        <w:rPr>
          <w:lang w:val="fr-FR"/>
        </w:rPr>
        <w:t>l</w:t>
      </w:r>
      <w:r w:rsidR="00BE5FF0">
        <w:rPr>
          <w:lang w:val="fr-FR"/>
        </w:rPr>
        <w:t>’</w:t>
      </w:r>
      <w:r w:rsidRPr="00B76B3A">
        <w:rPr>
          <w:lang w:val="fr-FR"/>
        </w:rPr>
        <w:t>article et qui l</w:t>
      </w:r>
      <w:r w:rsidR="00BE5FF0">
        <w:rPr>
          <w:lang w:val="fr-FR"/>
        </w:rPr>
        <w:t>’</w:t>
      </w:r>
      <w:r w:rsidRPr="00B76B3A">
        <w:rPr>
          <w:lang w:val="fr-FR"/>
        </w:rPr>
        <w:t>avait accusée d</w:t>
      </w:r>
      <w:r w:rsidR="00BE5FF0">
        <w:rPr>
          <w:lang w:val="fr-FR"/>
        </w:rPr>
        <w:t>’</w:t>
      </w:r>
      <w:r w:rsidRPr="00B76B3A">
        <w:rPr>
          <w:lang w:val="fr-FR"/>
        </w:rPr>
        <w:t xml:space="preserve">ajouter encore à la honte qui pesait sur sa famille en </w:t>
      </w:r>
      <w:r>
        <w:rPr>
          <w:lang w:val="fr-FR"/>
        </w:rPr>
        <w:t>paraiss</w:t>
      </w:r>
      <w:r w:rsidRPr="00B76B3A">
        <w:rPr>
          <w:lang w:val="fr-FR"/>
        </w:rPr>
        <w:t xml:space="preserve">ant dans cette publication. </w:t>
      </w:r>
      <w:r w:rsidR="002C470F">
        <w:rPr>
          <w:lang w:val="fr-FR"/>
        </w:rPr>
        <w:t xml:space="preserve">Plus tard, </w:t>
      </w:r>
      <w:r w:rsidRPr="00B76B3A">
        <w:rPr>
          <w:lang w:val="fr-FR"/>
        </w:rPr>
        <w:t>un de ses amis avait osé lui envoyer une copie de l</w:t>
      </w:r>
      <w:r w:rsidR="00BE5FF0">
        <w:rPr>
          <w:lang w:val="fr-FR"/>
        </w:rPr>
        <w:t>’</w:t>
      </w:r>
      <w:r w:rsidRPr="00B76B3A">
        <w:rPr>
          <w:lang w:val="fr-FR"/>
        </w:rPr>
        <w:t>article.</w:t>
      </w:r>
    </w:p>
    <w:p w:rsidR="008A492C" w:rsidRPr="00B76B3A" w:rsidRDefault="008A492C" w:rsidP="008A492C">
      <w:pPr>
        <w:pStyle w:val="H23G"/>
        <w:rPr>
          <w:lang w:val="fr-FR"/>
        </w:rPr>
      </w:pPr>
      <w:r w:rsidRPr="00B76B3A">
        <w:rPr>
          <w:lang w:val="fr-FR"/>
        </w:rPr>
        <w:tab/>
      </w:r>
      <w:r w:rsidRPr="00B76B3A">
        <w:rPr>
          <w:lang w:val="fr-FR"/>
        </w:rPr>
        <w:tab/>
        <w:t>Délibérations du Comité</w:t>
      </w:r>
    </w:p>
    <w:p w:rsidR="008A492C" w:rsidRPr="00B76B3A" w:rsidRDefault="008A492C" w:rsidP="008A492C">
      <w:pPr>
        <w:pStyle w:val="H4G"/>
        <w:rPr>
          <w:lang w:val="fr-FR"/>
        </w:rPr>
      </w:pPr>
      <w:r w:rsidRPr="00B76B3A">
        <w:rPr>
          <w:lang w:val="fr-FR"/>
        </w:rPr>
        <w:tab/>
      </w:r>
      <w:r w:rsidRPr="00B76B3A">
        <w:rPr>
          <w:lang w:val="fr-FR"/>
        </w:rPr>
        <w:tab/>
        <w:t>Examen de la recevabilité</w:t>
      </w:r>
    </w:p>
    <w:p w:rsidR="008A492C" w:rsidRPr="00B76B3A" w:rsidRDefault="008A492C" w:rsidP="008A492C">
      <w:pPr>
        <w:pStyle w:val="SingleTxtG"/>
        <w:rPr>
          <w:bCs/>
          <w:lang w:val="fr-FR"/>
        </w:rPr>
      </w:pPr>
      <w:r w:rsidRPr="00B76B3A">
        <w:rPr>
          <w:bCs/>
          <w:lang w:val="fr-FR"/>
        </w:rPr>
        <w:t>6.1</w:t>
      </w:r>
      <w:r w:rsidRPr="00B76B3A">
        <w:rPr>
          <w:bCs/>
          <w:lang w:val="fr-FR"/>
        </w:rPr>
        <w:tab/>
      </w:r>
      <w:r w:rsidRPr="00B76B3A">
        <w:rPr>
          <w:lang w:val="fr-FR"/>
        </w:rPr>
        <w:t>Avant d</w:t>
      </w:r>
      <w:r w:rsidR="00BE5FF0">
        <w:rPr>
          <w:lang w:val="fr-FR"/>
        </w:rPr>
        <w:t>’</w:t>
      </w:r>
      <w:r w:rsidRPr="00B76B3A">
        <w:rPr>
          <w:lang w:val="fr-FR"/>
        </w:rPr>
        <w:t>examiner toute plainte soumise dans une communication, le Comité des droits de l</w:t>
      </w:r>
      <w:r w:rsidR="00BE5FF0">
        <w:rPr>
          <w:lang w:val="fr-FR"/>
        </w:rPr>
        <w:t>’</w:t>
      </w:r>
      <w:r w:rsidRPr="00B76B3A">
        <w:rPr>
          <w:lang w:val="fr-FR"/>
        </w:rPr>
        <w:t>homme doit, conformément à l</w:t>
      </w:r>
      <w:r w:rsidR="00BE5FF0">
        <w:rPr>
          <w:lang w:val="fr-FR"/>
        </w:rPr>
        <w:t>’</w:t>
      </w:r>
      <w:r w:rsidRPr="00B76B3A">
        <w:rPr>
          <w:lang w:val="fr-FR"/>
        </w:rPr>
        <w:t>article 93 de son règlement intérieur, déterminer si la communication est recevable en vertu du Protocole facultatif se rapportant au Pacte</w:t>
      </w:r>
      <w:r w:rsidRPr="00B76B3A">
        <w:rPr>
          <w:bCs/>
          <w:lang w:val="fr-FR"/>
        </w:rPr>
        <w:t>.</w:t>
      </w:r>
    </w:p>
    <w:p w:rsidR="008A492C" w:rsidRPr="00B76B3A" w:rsidRDefault="008A492C" w:rsidP="008A492C">
      <w:pPr>
        <w:pStyle w:val="SingleTxtG"/>
        <w:rPr>
          <w:lang w:val="fr-FR"/>
        </w:rPr>
      </w:pPr>
      <w:r w:rsidRPr="00B76B3A">
        <w:rPr>
          <w:lang w:val="fr-FR"/>
        </w:rPr>
        <w:t>6.2</w:t>
      </w:r>
      <w:r w:rsidRPr="00B76B3A">
        <w:rPr>
          <w:lang w:val="fr-FR"/>
        </w:rPr>
        <w:tab/>
        <w:t>Le Comité s</w:t>
      </w:r>
      <w:r w:rsidR="00BE5FF0">
        <w:rPr>
          <w:lang w:val="fr-FR"/>
        </w:rPr>
        <w:t>’</w:t>
      </w:r>
      <w:r w:rsidRPr="00B76B3A">
        <w:rPr>
          <w:lang w:val="fr-FR"/>
        </w:rPr>
        <w:t>est assuré, comme il est tenu de le faire conformément aux dispositions du paragraphe 2 a) de l</w:t>
      </w:r>
      <w:r w:rsidR="00BE5FF0">
        <w:rPr>
          <w:lang w:val="fr-FR"/>
        </w:rPr>
        <w:t>’</w:t>
      </w:r>
      <w:r w:rsidRPr="00B76B3A">
        <w:rPr>
          <w:lang w:val="fr-FR"/>
        </w:rPr>
        <w:t>article 5 du Protocole facultatif, que la même affaire n</w:t>
      </w:r>
      <w:r w:rsidR="00BE5FF0">
        <w:rPr>
          <w:lang w:val="fr-FR"/>
        </w:rPr>
        <w:t>’</w:t>
      </w:r>
      <w:r w:rsidRPr="00B76B3A">
        <w:rPr>
          <w:lang w:val="fr-FR"/>
        </w:rPr>
        <w:t>était pas en cours d</w:t>
      </w:r>
      <w:r w:rsidR="00BE5FF0">
        <w:rPr>
          <w:lang w:val="fr-FR"/>
        </w:rPr>
        <w:t>’</w:t>
      </w:r>
      <w:r w:rsidRPr="00B76B3A">
        <w:rPr>
          <w:lang w:val="fr-FR"/>
        </w:rPr>
        <w:t>examen devant une autre instance internationale d</w:t>
      </w:r>
      <w:r w:rsidR="00BE5FF0">
        <w:rPr>
          <w:lang w:val="fr-FR"/>
        </w:rPr>
        <w:t>’</w:t>
      </w:r>
      <w:r w:rsidRPr="00B76B3A">
        <w:rPr>
          <w:lang w:val="fr-FR"/>
        </w:rPr>
        <w:t xml:space="preserve">enquête ou de règlement. </w:t>
      </w:r>
    </w:p>
    <w:p w:rsidR="008A492C" w:rsidRPr="00B76B3A" w:rsidRDefault="008A492C" w:rsidP="008A492C">
      <w:pPr>
        <w:pStyle w:val="SingleTxtG"/>
        <w:rPr>
          <w:lang w:val="fr-FR"/>
        </w:rPr>
      </w:pPr>
      <w:r w:rsidRPr="00B76B3A">
        <w:rPr>
          <w:lang w:val="fr-FR"/>
        </w:rPr>
        <w:t>6.3</w:t>
      </w:r>
      <w:r w:rsidRPr="00B76B3A">
        <w:rPr>
          <w:lang w:val="fr-FR"/>
        </w:rPr>
        <w:tab/>
        <w:t>En ce qui concerne l</w:t>
      </w:r>
      <w:r>
        <w:rPr>
          <w:lang w:val="fr-FR"/>
        </w:rPr>
        <w:t>a condition énoncée au paragraphe 2 </w:t>
      </w:r>
      <w:r w:rsidRPr="00B76B3A">
        <w:rPr>
          <w:lang w:val="fr-FR"/>
        </w:rPr>
        <w:t>b) de l</w:t>
      </w:r>
      <w:r w:rsidR="00BE5FF0">
        <w:rPr>
          <w:lang w:val="fr-FR"/>
        </w:rPr>
        <w:t>’</w:t>
      </w:r>
      <w:r w:rsidRPr="00B76B3A">
        <w:rPr>
          <w:lang w:val="fr-FR"/>
        </w:rPr>
        <w:t>article 5 du Protocole facul</w:t>
      </w:r>
      <w:r>
        <w:rPr>
          <w:lang w:val="fr-FR"/>
        </w:rPr>
        <w:t>tatif, le Comité relèv</w:t>
      </w:r>
      <w:r w:rsidRPr="00B76B3A">
        <w:rPr>
          <w:lang w:val="fr-FR"/>
        </w:rPr>
        <w:t>e que l</w:t>
      </w:r>
      <w:r w:rsidR="00BE5FF0">
        <w:rPr>
          <w:lang w:val="fr-FR"/>
        </w:rPr>
        <w:t>’</w:t>
      </w:r>
      <w:r w:rsidRPr="00B76B3A">
        <w:rPr>
          <w:lang w:val="fr-FR"/>
        </w:rPr>
        <w:t>État partie a reconnu que tous les recours internes disponibles étaient épuisés. Il prend note également de l</w:t>
      </w:r>
      <w:r w:rsidR="00BE5FF0">
        <w:rPr>
          <w:lang w:val="fr-FR"/>
        </w:rPr>
        <w:t>’</w:t>
      </w:r>
      <w:r w:rsidRPr="00B76B3A">
        <w:rPr>
          <w:lang w:val="fr-FR"/>
        </w:rPr>
        <w:t>argument de l</w:t>
      </w:r>
      <w:r w:rsidR="00BE5FF0">
        <w:rPr>
          <w:lang w:val="fr-FR"/>
        </w:rPr>
        <w:t>’</w:t>
      </w:r>
      <w:r w:rsidRPr="00B76B3A">
        <w:rPr>
          <w:lang w:val="fr-FR"/>
        </w:rPr>
        <w:t xml:space="preserve">État partie </w:t>
      </w:r>
      <w:r>
        <w:rPr>
          <w:lang w:val="fr-FR"/>
        </w:rPr>
        <w:t xml:space="preserve">qui objecte que </w:t>
      </w:r>
      <w:r w:rsidRPr="00B76B3A">
        <w:rPr>
          <w:lang w:val="fr-FR"/>
        </w:rPr>
        <w:t>le grief</w:t>
      </w:r>
      <w:r>
        <w:rPr>
          <w:lang w:val="fr-FR"/>
        </w:rPr>
        <w:t xml:space="preserve"> de violation </w:t>
      </w:r>
      <w:r w:rsidRPr="00B76B3A">
        <w:rPr>
          <w:lang w:val="fr-FR"/>
        </w:rPr>
        <w:t>de l</w:t>
      </w:r>
      <w:r w:rsidR="00BE5FF0">
        <w:rPr>
          <w:lang w:val="fr-FR"/>
        </w:rPr>
        <w:t>’</w:t>
      </w:r>
      <w:r w:rsidRPr="00B76B3A">
        <w:rPr>
          <w:lang w:val="fr-FR"/>
        </w:rPr>
        <w:t>article 7 est insuffisamment étayé. Toutefois, le Comité considère qu</w:t>
      </w:r>
      <w:r w:rsidR="00BE5FF0">
        <w:rPr>
          <w:lang w:val="fr-FR"/>
        </w:rPr>
        <w:t>’</w:t>
      </w:r>
      <w:r w:rsidRPr="00B76B3A">
        <w:rPr>
          <w:lang w:val="fr-FR"/>
        </w:rPr>
        <w:t>aux fins de la recevabilité l</w:t>
      </w:r>
      <w:r w:rsidR="00BE5FF0">
        <w:rPr>
          <w:lang w:val="fr-FR"/>
        </w:rPr>
        <w:t>’</w:t>
      </w:r>
      <w:r w:rsidRPr="00B76B3A">
        <w:rPr>
          <w:lang w:val="fr-FR"/>
        </w:rPr>
        <w:t xml:space="preserve">auteur a </w:t>
      </w:r>
      <w:r>
        <w:rPr>
          <w:lang w:val="fr-FR"/>
        </w:rPr>
        <w:t xml:space="preserve">apporté </w:t>
      </w:r>
      <w:r w:rsidRPr="00B76B3A">
        <w:rPr>
          <w:lang w:val="fr-FR"/>
        </w:rPr>
        <w:t xml:space="preserve">suffisamment de détails et de preuves écrites pour étayer </w:t>
      </w:r>
      <w:r>
        <w:rPr>
          <w:lang w:val="fr-FR"/>
        </w:rPr>
        <w:t>le</w:t>
      </w:r>
      <w:r w:rsidRPr="00B76B3A">
        <w:rPr>
          <w:lang w:val="fr-FR"/>
        </w:rPr>
        <w:t xml:space="preserve"> grief </w:t>
      </w:r>
      <w:r>
        <w:rPr>
          <w:lang w:val="fr-FR"/>
        </w:rPr>
        <w:t xml:space="preserve">tiré </w:t>
      </w:r>
      <w:r w:rsidRPr="00B76B3A">
        <w:rPr>
          <w:lang w:val="fr-FR"/>
        </w:rPr>
        <w:t>de l</w:t>
      </w:r>
      <w:r w:rsidR="00BE5FF0">
        <w:rPr>
          <w:lang w:val="fr-FR"/>
        </w:rPr>
        <w:t>’</w:t>
      </w:r>
      <w:r w:rsidRPr="00B76B3A">
        <w:rPr>
          <w:lang w:val="fr-FR"/>
        </w:rPr>
        <w:t>article</w:t>
      </w:r>
      <w:r>
        <w:rPr>
          <w:lang w:val="fr-FR"/>
        </w:rPr>
        <w:t> </w:t>
      </w:r>
      <w:r w:rsidRPr="00B76B3A">
        <w:rPr>
          <w:lang w:val="fr-FR"/>
        </w:rPr>
        <w:t>7 du</w:t>
      </w:r>
      <w:r>
        <w:rPr>
          <w:lang w:val="fr-FR"/>
        </w:rPr>
        <w:t> </w:t>
      </w:r>
      <w:r w:rsidRPr="00B76B3A">
        <w:rPr>
          <w:lang w:val="fr-FR"/>
        </w:rPr>
        <w:t>Pacte. Par conséquent, en l</w:t>
      </w:r>
      <w:r w:rsidR="00BE5FF0">
        <w:rPr>
          <w:lang w:val="fr-FR"/>
        </w:rPr>
        <w:t>’</w:t>
      </w:r>
      <w:r w:rsidRPr="00B76B3A">
        <w:rPr>
          <w:lang w:val="fr-FR"/>
        </w:rPr>
        <w:t>absence d</w:t>
      </w:r>
      <w:r w:rsidR="00BE5FF0">
        <w:rPr>
          <w:lang w:val="fr-FR"/>
        </w:rPr>
        <w:t>’</w:t>
      </w:r>
      <w:r w:rsidRPr="00B76B3A">
        <w:rPr>
          <w:lang w:val="fr-FR"/>
        </w:rPr>
        <w:t>autres obstacles à la recevabilité, le Comité déclare la communication recevable et procède à son examen quant au fond.</w:t>
      </w:r>
    </w:p>
    <w:p w:rsidR="008A492C" w:rsidRPr="00B76B3A" w:rsidRDefault="008A492C" w:rsidP="008A492C">
      <w:pPr>
        <w:pStyle w:val="H4G"/>
        <w:rPr>
          <w:lang w:val="fr-FR"/>
        </w:rPr>
      </w:pPr>
      <w:r w:rsidRPr="00B76B3A">
        <w:rPr>
          <w:lang w:val="fr-FR"/>
        </w:rPr>
        <w:tab/>
      </w:r>
      <w:r w:rsidRPr="00B76B3A">
        <w:rPr>
          <w:lang w:val="fr-FR"/>
        </w:rPr>
        <w:tab/>
        <w:t>Examen au fond</w:t>
      </w:r>
    </w:p>
    <w:p w:rsidR="008A492C" w:rsidRPr="00B76B3A" w:rsidRDefault="008A492C" w:rsidP="008A492C">
      <w:pPr>
        <w:pStyle w:val="SingleTxtG"/>
        <w:rPr>
          <w:lang w:val="fr-FR"/>
        </w:rPr>
      </w:pPr>
      <w:r w:rsidRPr="00B76B3A">
        <w:rPr>
          <w:lang w:val="fr-FR"/>
        </w:rPr>
        <w:t>7.1</w:t>
      </w:r>
      <w:r w:rsidRPr="00B76B3A">
        <w:rPr>
          <w:lang w:val="fr-FR"/>
        </w:rPr>
        <w:tab/>
        <w:t>Conformément au paragraphe 1 de l</w:t>
      </w:r>
      <w:r w:rsidR="00BE5FF0">
        <w:rPr>
          <w:lang w:val="fr-FR"/>
        </w:rPr>
        <w:t>’</w:t>
      </w:r>
      <w:r w:rsidRPr="00B76B3A">
        <w:rPr>
          <w:lang w:val="fr-FR"/>
        </w:rPr>
        <w:t>article 5 du Protocole facultatif, le Comité des droits de l</w:t>
      </w:r>
      <w:r w:rsidR="00BE5FF0">
        <w:rPr>
          <w:lang w:val="fr-FR"/>
        </w:rPr>
        <w:t>’</w:t>
      </w:r>
      <w:r w:rsidRPr="00B76B3A">
        <w:rPr>
          <w:lang w:val="fr-FR"/>
        </w:rPr>
        <w:t>homme a examiné la présente communication en tenant compte de toutes les informations qui lui ont été communiquées.</w:t>
      </w:r>
    </w:p>
    <w:p w:rsidR="008A492C" w:rsidRPr="00C64BA2" w:rsidRDefault="008A492C" w:rsidP="008A492C">
      <w:pPr>
        <w:pStyle w:val="SingleTxtG"/>
      </w:pPr>
      <w:r w:rsidRPr="00B76B3A">
        <w:rPr>
          <w:lang w:val="fr-FR"/>
        </w:rPr>
        <w:t>7.2</w:t>
      </w:r>
      <w:r w:rsidRPr="00B76B3A">
        <w:rPr>
          <w:lang w:val="fr-FR"/>
        </w:rPr>
        <w:tab/>
        <w:t xml:space="preserve">Le Comité </w:t>
      </w:r>
      <w:r>
        <w:rPr>
          <w:lang w:val="fr-FR"/>
        </w:rPr>
        <w:t xml:space="preserve">note </w:t>
      </w:r>
      <w:r w:rsidRPr="00B76B3A">
        <w:rPr>
          <w:lang w:val="fr-FR"/>
        </w:rPr>
        <w:t>l</w:t>
      </w:r>
      <w:r w:rsidR="00BE5FF0">
        <w:rPr>
          <w:lang w:val="fr-FR"/>
        </w:rPr>
        <w:t>’</w:t>
      </w:r>
      <w:r w:rsidRPr="00B76B3A">
        <w:rPr>
          <w:lang w:val="fr-FR"/>
        </w:rPr>
        <w:t>allégation de l</w:t>
      </w:r>
      <w:r w:rsidR="00BE5FF0">
        <w:rPr>
          <w:lang w:val="fr-FR"/>
        </w:rPr>
        <w:t>’</w:t>
      </w:r>
      <w:r w:rsidRPr="00B76B3A">
        <w:rPr>
          <w:lang w:val="fr-FR"/>
        </w:rPr>
        <w:t>auteur qui affirme que son retour au</w:t>
      </w:r>
      <w:r>
        <w:rPr>
          <w:lang w:val="fr-FR"/>
        </w:rPr>
        <w:t> </w:t>
      </w:r>
      <w:r w:rsidRPr="00B76B3A">
        <w:rPr>
          <w:lang w:val="fr-FR"/>
        </w:rPr>
        <w:t>Bangladesh l</w:t>
      </w:r>
      <w:r w:rsidR="00BE5FF0">
        <w:rPr>
          <w:lang w:val="fr-FR"/>
        </w:rPr>
        <w:t>’</w:t>
      </w:r>
      <w:r w:rsidRPr="00B76B3A">
        <w:rPr>
          <w:lang w:val="fr-FR"/>
        </w:rPr>
        <w:t>exposerait au risque d</w:t>
      </w:r>
      <w:r w:rsidR="00BE5FF0">
        <w:rPr>
          <w:lang w:val="fr-FR"/>
        </w:rPr>
        <w:t>’</w:t>
      </w:r>
      <w:r w:rsidRPr="00B76B3A">
        <w:rPr>
          <w:lang w:val="fr-FR"/>
        </w:rPr>
        <w:t>être soumise à la torture ou à d</w:t>
      </w:r>
      <w:r w:rsidR="00BE5FF0">
        <w:rPr>
          <w:lang w:val="fr-FR"/>
        </w:rPr>
        <w:t>’</w:t>
      </w:r>
      <w:r w:rsidRPr="00B76B3A">
        <w:rPr>
          <w:lang w:val="fr-FR"/>
        </w:rPr>
        <w:t>autres peines ou traitements cruels, inhumains ou dégradants en raison de son orientation sexuelle. Avant sa dernière entrée dans l</w:t>
      </w:r>
      <w:r w:rsidR="00BE5FF0">
        <w:rPr>
          <w:lang w:val="fr-FR"/>
        </w:rPr>
        <w:t>’</w:t>
      </w:r>
      <w:r w:rsidRPr="00B76B3A">
        <w:rPr>
          <w:lang w:val="fr-FR"/>
        </w:rPr>
        <w:t xml:space="preserve">État partie, </w:t>
      </w:r>
      <w:r>
        <w:rPr>
          <w:lang w:val="fr-FR"/>
        </w:rPr>
        <w:t>sa famille l</w:t>
      </w:r>
      <w:r w:rsidR="00BE5FF0">
        <w:rPr>
          <w:lang w:val="fr-FR"/>
        </w:rPr>
        <w:t>’</w:t>
      </w:r>
      <w:r>
        <w:rPr>
          <w:lang w:val="fr-FR"/>
        </w:rPr>
        <w:t xml:space="preserve">avait forcée à épouser un Bangladais; </w:t>
      </w:r>
      <w:r w:rsidRPr="00B76B3A">
        <w:rPr>
          <w:lang w:val="fr-FR"/>
        </w:rPr>
        <w:t>elle a</w:t>
      </w:r>
      <w:r w:rsidR="00426729">
        <w:rPr>
          <w:lang w:val="fr-FR"/>
        </w:rPr>
        <w:t>vait</w:t>
      </w:r>
      <w:r w:rsidRPr="00B76B3A">
        <w:rPr>
          <w:lang w:val="fr-FR"/>
        </w:rPr>
        <w:t xml:space="preserve"> été harcelée par l</w:t>
      </w:r>
      <w:r w:rsidR="00BE5FF0">
        <w:rPr>
          <w:lang w:val="fr-FR"/>
        </w:rPr>
        <w:t>’</w:t>
      </w:r>
      <w:r w:rsidRPr="00B76B3A">
        <w:rPr>
          <w:lang w:val="fr-FR"/>
        </w:rPr>
        <w:t xml:space="preserve">organisation </w:t>
      </w:r>
      <w:r w:rsidRPr="007A6E08">
        <w:rPr>
          <w:lang w:val="fr-FR"/>
        </w:rPr>
        <w:t>Sh</w:t>
      </w:r>
      <w:r w:rsidR="00426729">
        <w:rPr>
          <w:lang w:val="fr-FR"/>
        </w:rPr>
        <w:t>hatra</w:t>
      </w:r>
      <w:r w:rsidRPr="007A6E08">
        <w:rPr>
          <w:lang w:val="fr-FR"/>
        </w:rPr>
        <w:t xml:space="preserve"> Shi</w:t>
      </w:r>
      <w:r w:rsidR="00426729">
        <w:rPr>
          <w:lang w:val="fr-FR"/>
        </w:rPr>
        <w:t>b</w:t>
      </w:r>
      <w:r w:rsidRPr="007A6E08">
        <w:rPr>
          <w:lang w:val="fr-FR"/>
        </w:rPr>
        <w:t>ir</w:t>
      </w:r>
      <w:r w:rsidRPr="00B76B3A">
        <w:rPr>
          <w:lang w:val="fr-FR"/>
        </w:rPr>
        <w:t xml:space="preserve"> et par la police bangladaise; elle a</w:t>
      </w:r>
      <w:r w:rsidR="00426729">
        <w:rPr>
          <w:lang w:val="fr-FR"/>
        </w:rPr>
        <w:t>vait</w:t>
      </w:r>
      <w:r w:rsidRPr="00B76B3A">
        <w:rPr>
          <w:lang w:val="fr-FR"/>
        </w:rPr>
        <w:t xml:space="preserve"> été violée par des policiers </w:t>
      </w:r>
      <w:r>
        <w:rPr>
          <w:lang w:val="fr-FR"/>
        </w:rPr>
        <w:t>quand elle</w:t>
      </w:r>
      <w:r w:rsidRPr="00B76B3A">
        <w:rPr>
          <w:lang w:val="fr-FR"/>
        </w:rPr>
        <w:t xml:space="preserve"> était en garde à vue; sa</w:t>
      </w:r>
      <w:r>
        <w:rPr>
          <w:lang w:val="fr-FR"/>
        </w:rPr>
        <w:t> </w:t>
      </w:r>
      <w:r w:rsidRPr="00B76B3A">
        <w:rPr>
          <w:lang w:val="fr-FR"/>
        </w:rPr>
        <w:t>compagne a</w:t>
      </w:r>
      <w:r w:rsidR="00426729">
        <w:rPr>
          <w:lang w:val="fr-FR"/>
        </w:rPr>
        <w:t>vait</w:t>
      </w:r>
      <w:r w:rsidRPr="00B76B3A">
        <w:rPr>
          <w:lang w:val="fr-FR"/>
        </w:rPr>
        <w:t xml:space="preserve"> été enlevée par des membres d</w:t>
      </w:r>
      <w:r>
        <w:rPr>
          <w:lang w:val="fr-FR"/>
        </w:rPr>
        <w:t>e</w:t>
      </w:r>
      <w:r w:rsidRPr="00B76B3A">
        <w:rPr>
          <w:lang w:val="fr-FR"/>
        </w:rPr>
        <w:t xml:space="preserve"> </w:t>
      </w:r>
      <w:r w:rsidR="00426729" w:rsidRPr="007A6E08">
        <w:rPr>
          <w:lang w:val="fr-FR"/>
        </w:rPr>
        <w:t>Sh</w:t>
      </w:r>
      <w:r w:rsidR="00426729">
        <w:rPr>
          <w:lang w:val="fr-FR"/>
        </w:rPr>
        <w:t>hatra</w:t>
      </w:r>
      <w:r w:rsidR="00426729" w:rsidRPr="007A6E08">
        <w:rPr>
          <w:lang w:val="fr-FR"/>
        </w:rPr>
        <w:t xml:space="preserve"> Shi</w:t>
      </w:r>
      <w:r w:rsidR="00426729">
        <w:rPr>
          <w:lang w:val="fr-FR"/>
        </w:rPr>
        <w:t>b</w:t>
      </w:r>
      <w:r w:rsidR="00426729" w:rsidRPr="007A6E08">
        <w:rPr>
          <w:lang w:val="fr-FR"/>
        </w:rPr>
        <w:t>ir</w:t>
      </w:r>
      <w:r w:rsidR="00426729">
        <w:rPr>
          <w:lang w:val="fr-FR"/>
        </w:rPr>
        <w:t xml:space="preserve"> </w:t>
      </w:r>
      <w:r w:rsidRPr="00B76B3A">
        <w:rPr>
          <w:lang w:val="fr-FR"/>
        </w:rPr>
        <w:t>et l</w:t>
      </w:r>
      <w:r w:rsidR="00BE5FF0">
        <w:rPr>
          <w:lang w:val="fr-FR"/>
        </w:rPr>
        <w:t>’</w:t>
      </w:r>
      <w:r w:rsidRPr="00B76B3A">
        <w:rPr>
          <w:lang w:val="fr-FR"/>
        </w:rPr>
        <w:t>on est toujours sans nouvelles d</w:t>
      </w:r>
      <w:r w:rsidR="00BE5FF0">
        <w:rPr>
          <w:lang w:val="fr-FR"/>
        </w:rPr>
        <w:t>’</w:t>
      </w:r>
      <w:r w:rsidRPr="00B76B3A">
        <w:rPr>
          <w:lang w:val="fr-FR"/>
        </w:rPr>
        <w:t>elle. Au Bangladesh, l</w:t>
      </w:r>
      <w:r w:rsidR="00BE5FF0">
        <w:rPr>
          <w:lang w:val="fr-FR"/>
        </w:rPr>
        <w:t>’</w:t>
      </w:r>
      <w:r w:rsidRPr="00B76B3A">
        <w:rPr>
          <w:lang w:val="fr-FR"/>
        </w:rPr>
        <w:t xml:space="preserve">homosexualité est interdite par la loi et les </w:t>
      </w:r>
      <w:r>
        <w:rPr>
          <w:lang w:val="fr-FR"/>
        </w:rPr>
        <w:t>LGBT ne sont pas protégés</w:t>
      </w:r>
      <w:r w:rsidRPr="00B76B3A">
        <w:rPr>
          <w:lang w:val="fr-FR"/>
        </w:rPr>
        <w:t xml:space="preserve"> par les autorités, qui n</w:t>
      </w:r>
      <w:r w:rsidR="00BE5FF0">
        <w:rPr>
          <w:lang w:val="fr-FR"/>
        </w:rPr>
        <w:t>’</w:t>
      </w:r>
      <w:r w:rsidRPr="00B76B3A">
        <w:rPr>
          <w:lang w:val="fr-FR"/>
        </w:rPr>
        <w:t xml:space="preserve">ont ni la volonté ni la capacité de leur </w:t>
      </w:r>
      <w:r>
        <w:rPr>
          <w:lang w:val="fr-FR"/>
        </w:rPr>
        <w:t>assurer</w:t>
      </w:r>
      <w:r w:rsidRPr="00B76B3A">
        <w:rPr>
          <w:lang w:val="fr-FR"/>
        </w:rPr>
        <w:t xml:space="preserve"> une protection. Bien que la loi interdisant l</w:t>
      </w:r>
      <w:r w:rsidR="00BE5FF0">
        <w:rPr>
          <w:lang w:val="fr-FR"/>
        </w:rPr>
        <w:t>’</w:t>
      </w:r>
      <w:r w:rsidRPr="00B76B3A">
        <w:rPr>
          <w:lang w:val="fr-FR"/>
        </w:rPr>
        <w:t>homosexualité ne soit pas appliquée systématiquement, son existence renforce un climat général d</w:t>
      </w:r>
      <w:r w:rsidR="00BE5FF0">
        <w:rPr>
          <w:lang w:val="fr-FR"/>
        </w:rPr>
        <w:t>’</w:t>
      </w:r>
      <w:r w:rsidRPr="00B76B3A">
        <w:rPr>
          <w:lang w:val="fr-FR"/>
        </w:rPr>
        <w:t>homophobie ainsi que l</w:t>
      </w:r>
      <w:r w:rsidR="00BE5FF0">
        <w:rPr>
          <w:lang w:val="fr-FR"/>
        </w:rPr>
        <w:t>’</w:t>
      </w:r>
      <w:r w:rsidRPr="00B76B3A">
        <w:rPr>
          <w:lang w:val="fr-FR"/>
        </w:rPr>
        <w:t xml:space="preserve">impunité </w:t>
      </w:r>
      <w:r w:rsidR="00426729">
        <w:rPr>
          <w:lang w:val="fr-FR"/>
        </w:rPr>
        <w:t>pour l</w:t>
      </w:r>
      <w:r w:rsidRPr="00B76B3A">
        <w:rPr>
          <w:lang w:val="fr-FR"/>
        </w:rPr>
        <w:t xml:space="preserve">es agents </w:t>
      </w:r>
      <w:r>
        <w:rPr>
          <w:lang w:val="fr-FR"/>
        </w:rPr>
        <w:t>de l</w:t>
      </w:r>
      <w:r w:rsidR="00BE5FF0">
        <w:rPr>
          <w:lang w:val="fr-FR"/>
        </w:rPr>
        <w:t>’</w:t>
      </w:r>
      <w:r>
        <w:rPr>
          <w:lang w:val="fr-FR"/>
        </w:rPr>
        <w:t>État ou extérieurs à l</w:t>
      </w:r>
      <w:r w:rsidR="00BE5FF0">
        <w:rPr>
          <w:lang w:val="fr-FR"/>
        </w:rPr>
        <w:t>’</w:t>
      </w:r>
      <w:r>
        <w:rPr>
          <w:lang w:val="fr-FR"/>
        </w:rPr>
        <w:t>État</w:t>
      </w:r>
      <w:r w:rsidRPr="00B76B3A">
        <w:rPr>
          <w:lang w:val="fr-FR"/>
        </w:rPr>
        <w:t xml:space="preserve"> qui commettent des persécutions à l</w:t>
      </w:r>
      <w:r w:rsidR="00BE5FF0">
        <w:rPr>
          <w:lang w:val="fr-FR"/>
        </w:rPr>
        <w:t>’</w:t>
      </w:r>
      <w:r w:rsidRPr="00B76B3A">
        <w:rPr>
          <w:lang w:val="fr-FR"/>
        </w:rPr>
        <w:t xml:space="preserve">égard des </w:t>
      </w:r>
      <w:r>
        <w:rPr>
          <w:lang w:val="fr-FR"/>
        </w:rPr>
        <w:t xml:space="preserve">LGBT. </w:t>
      </w:r>
      <w:r w:rsidRPr="00B76B3A">
        <w:rPr>
          <w:lang w:val="fr-FR"/>
        </w:rPr>
        <w:t>En outre, l</w:t>
      </w:r>
      <w:r w:rsidR="00BE5FF0">
        <w:rPr>
          <w:lang w:val="fr-FR"/>
        </w:rPr>
        <w:t>’</w:t>
      </w:r>
      <w:r w:rsidRPr="00B76B3A">
        <w:rPr>
          <w:lang w:val="fr-FR"/>
        </w:rPr>
        <w:t xml:space="preserve">homosexualité est durement stigmatisée dans la société bangladaise et les </w:t>
      </w:r>
      <w:r>
        <w:rPr>
          <w:lang w:val="fr-FR"/>
        </w:rPr>
        <w:t>lesbienne</w:t>
      </w:r>
      <w:r w:rsidRPr="00B76B3A">
        <w:rPr>
          <w:lang w:val="fr-FR"/>
        </w:rPr>
        <w:t>s sont souvent l</w:t>
      </w:r>
      <w:r w:rsidR="00BE5FF0">
        <w:rPr>
          <w:lang w:val="fr-FR"/>
        </w:rPr>
        <w:t>’</w:t>
      </w:r>
      <w:r w:rsidRPr="00B76B3A">
        <w:rPr>
          <w:lang w:val="fr-FR"/>
        </w:rPr>
        <w:t xml:space="preserve">objet </w:t>
      </w:r>
      <w:r>
        <w:rPr>
          <w:lang w:val="fr-FR"/>
        </w:rPr>
        <w:t>d</w:t>
      </w:r>
      <w:r w:rsidR="00BE5FF0">
        <w:rPr>
          <w:lang w:val="fr-FR"/>
        </w:rPr>
        <w:t>’</w:t>
      </w:r>
      <w:r>
        <w:rPr>
          <w:lang w:val="fr-FR"/>
        </w:rPr>
        <w:t xml:space="preserve">actes </w:t>
      </w:r>
      <w:r w:rsidRPr="00B76B3A">
        <w:rPr>
          <w:lang w:val="fr-FR"/>
        </w:rPr>
        <w:t>d</w:t>
      </w:r>
      <w:r w:rsidR="00BE5FF0">
        <w:rPr>
          <w:lang w:val="fr-FR"/>
        </w:rPr>
        <w:t>’</w:t>
      </w:r>
      <w:r>
        <w:rPr>
          <w:lang w:val="fr-FR"/>
        </w:rPr>
        <w:t xml:space="preserve">intimidation </w:t>
      </w:r>
      <w:r w:rsidRPr="00B76B3A">
        <w:rPr>
          <w:lang w:val="fr-FR"/>
        </w:rPr>
        <w:t>et de mauvais traitements et forcées au mariage par leur famille. La</w:t>
      </w:r>
      <w:r>
        <w:rPr>
          <w:lang w:val="fr-FR"/>
        </w:rPr>
        <w:t> </w:t>
      </w:r>
      <w:r w:rsidRPr="00B76B3A">
        <w:rPr>
          <w:lang w:val="fr-FR"/>
        </w:rPr>
        <w:t>santé mentale de l</w:t>
      </w:r>
      <w:r w:rsidR="00BE5FF0">
        <w:rPr>
          <w:lang w:val="fr-FR"/>
        </w:rPr>
        <w:t>’</w:t>
      </w:r>
      <w:r w:rsidRPr="00B76B3A">
        <w:rPr>
          <w:lang w:val="fr-FR"/>
        </w:rPr>
        <w:t>auteur a gravement pâti de toutes les épreuves qu</w:t>
      </w:r>
      <w:r w:rsidR="00BE5FF0">
        <w:rPr>
          <w:lang w:val="fr-FR"/>
        </w:rPr>
        <w:t>’</w:t>
      </w:r>
      <w:r w:rsidRPr="00B76B3A">
        <w:rPr>
          <w:lang w:val="fr-FR"/>
        </w:rPr>
        <w:t>elle a traversées.</w:t>
      </w:r>
      <w:r>
        <w:rPr>
          <w:lang w:val="fr-FR"/>
        </w:rPr>
        <w:t xml:space="preserve"> </w:t>
      </w:r>
      <w:r w:rsidR="00C64BA2">
        <w:rPr>
          <w:lang w:val="fr-FR"/>
        </w:rPr>
        <w:t>L</w:t>
      </w:r>
      <w:r w:rsidR="00BE5FF0">
        <w:rPr>
          <w:lang w:val="fr-FR"/>
        </w:rPr>
        <w:t>’</w:t>
      </w:r>
      <w:r w:rsidR="00C64BA2">
        <w:rPr>
          <w:lang w:val="fr-FR"/>
        </w:rPr>
        <w:t>auteur ajoute qu</w:t>
      </w:r>
      <w:r w:rsidR="00BE5FF0">
        <w:rPr>
          <w:lang w:val="fr-FR"/>
        </w:rPr>
        <w:t>’</w:t>
      </w:r>
      <w:r w:rsidR="00C64BA2">
        <w:rPr>
          <w:lang w:val="fr-FR"/>
        </w:rPr>
        <w:t>elle a apporté des preuves pertinentes auxquelles les autorités de l</w:t>
      </w:r>
      <w:r w:rsidR="00BE5FF0">
        <w:rPr>
          <w:lang w:val="fr-FR"/>
        </w:rPr>
        <w:t>’</w:t>
      </w:r>
      <w:r w:rsidR="00C64BA2">
        <w:rPr>
          <w:lang w:val="fr-FR"/>
        </w:rPr>
        <w:t>État partie n</w:t>
      </w:r>
      <w:r w:rsidR="00BE5FF0">
        <w:rPr>
          <w:lang w:val="fr-FR"/>
        </w:rPr>
        <w:t>’</w:t>
      </w:r>
      <w:r w:rsidR="00C64BA2">
        <w:rPr>
          <w:lang w:val="fr-FR"/>
        </w:rPr>
        <w:t>ont pas accordé l</w:t>
      </w:r>
      <w:r w:rsidR="00BE5FF0">
        <w:rPr>
          <w:lang w:val="fr-FR"/>
        </w:rPr>
        <w:t>’</w:t>
      </w:r>
      <w:r w:rsidR="00C64BA2">
        <w:rPr>
          <w:lang w:val="fr-FR"/>
        </w:rPr>
        <w:t>attention voulue, en particulier une copie d</w:t>
      </w:r>
      <w:r w:rsidR="00BE5FF0">
        <w:rPr>
          <w:lang w:val="fr-FR"/>
        </w:rPr>
        <w:t>’</w:t>
      </w:r>
      <w:r w:rsidR="00C64BA2">
        <w:rPr>
          <w:lang w:val="fr-FR"/>
        </w:rPr>
        <w:t xml:space="preserve">un article paru le 13 avril 2011 dans le journal </w:t>
      </w:r>
      <w:r w:rsidR="00C64BA2">
        <w:rPr>
          <w:i/>
          <w:lang w:val="fr-FR"/>
        </w:rPr>
        <w:t>Dainik </w:t>
      </w:r>
      <w:r w:rsidR="00C64BA2" w:rsidRPr="00B76B3A">
        <w:rPr>
          <w:i/>
          <w:lang w:val="fr-FR"/>
        </w:rPr>
        <w:t>Nowroj</w:t>
      </w:r>
      <w:r w:rsidR="00C64BA2">
        <w:rPr>
          <w:i/>
          <w:lang w:val="fr-FR"/>
        </w:rPr>
        <w:t xml:space="preserve"> </w:t>
      </w:r>
      <w:r w:rsidR="00C64BA2">
        <w:rPr>
          <w:lang w:val="fr-FR"/>
        </w:rPr>
        <w:t xml:space="preserve">dans lequel il était fait mention de sa relation sexuelle avec sa compagne, </w:t>
      </w:r>
      <w:r w:rsidR="00C64BA2" w:rsidRPr="00C64BA2">
        <w:rPr>
          <w:lang w:val="fr-FR"/>
        </w:rPr>
        <w:t>M</w:t>
      </w:r>
      <w:r w:rsidR="00C64BA2" w:rsidRPr="00C64BA2">
        <w:rPr>
          <w:vertAlign w:val="superscript"/>
          <w:lang w:val="fr-FR"/>
        </w:rPr>
        <w:t>me</w:t>
      </w:r>
      <w:r w:rsidR="00C64BA2" w:rsidRPr="00C64BA2">
        <w:rPr>
          <w:lang w:val="fr-FR"/>
        </w:rPr>
        <w:t> </w:t>
      </w:r>
      <w:r w:rsidR="00C64BA2">
        <w:rPr>
          <w:lang w:val="fr-FR"/>
        </w:rPr>
        <w:t>P. A., qui avait déjà été exposée dans un article paru en 2008, lequel avait eu un grand retentissement dans le pays.</w:t>
      </w:r>
    </w:p>
    <w:p w:rsidR="008A492C" w:rsidRPr="00B76B3A" w:rsidRDefault="008A492C" w:rsidP="008A492C">
      <w:pPr>
        <w:pStyle w:val="SingleTxtG"/>
        <w:rPr>
          <w:lang w:val="fr-FR"/>
        </w:rPr>
      </w:pPr>
      <w:r>
        <w:rPr>
          <w:lang w:val="fr-FR"/>
        </w:rPr>
        <w:t>7.3</w:t>
      </w:r>
      <w:r w:rsidRPr="00B76B3A">
        <w:rPr>
          <w:lang w:val="fr-FR"/>
        </w:rPr>
        <w:tab/>
        <w:t>Le Comité prend note des arguments de l</w:t>
      </w:r>
      <w:r w:rsidR="00BE5FF0">
        <w:rPr>
          <w:lang w:val="fr-FR"/>
        </w:rPr>
        <w:t>’</w:t>
      </w:r>
      <w:r w:rsidRPr="00B76B3A">
        <w:rPr>
          <w:lang w:val="fr-FR"/>
        </w:rPr>
        <w:t xml:space="preserve">État partie qui </w:t>
      </w:r>
      <w:r>
        <w:rPr>
          <w:lang w:val="fr-FR"/>
        </w:rPr>
        <w:t>estime</w:t>
      </w:r>
      <w:r w:rsidRPr="00B76B3A">
        <w:rPr>
          <w:lang w:val="fr-FR"/>
        </w:rPr>
        <w:t xml:space="preserve"> que l</w:t>
      </w:r>
      <w:r w:rsidR="00BE5FF0">
        <w:rPr>
          <w:lang w:val="fr-FR"/>
        </w:rPr>
        <w:t>’</w:t>
      </w:r>
      <w:r w:rsidRPr="00B76B3A">
        <w:rPr>
          <w:lang w:val="fr-FR"/>
        </w:rPr>
        <w:t>auteur manque de crédibilité, que ses déclarations relatives aux persécutions qu</w:t>
      </w:r>
      <w:r w:rsidR="00BE5FF0">
        <w:rPr>
          <w:lang w:val="fr-FR"/>
        </w:rPr>
        <w:t>’</w:t>
      </w:r>
      <w:r w:rsidRPr="00B76B3A">
        <w:rPr>
          <w:lang w:val="fr-FR"/>
        </w:rPr>
        <w:t>elle aurait subies de la part de la police et de l</w:t>
      </w:r>
      <w:r w:rsidR="00BE5FF0">
        <w:rPr>
          <w:lang w:val="fr-FR"/>
        </w:rPr>
        <w:t>’</w:t>
      </w:r>
      <w:r w:rsidRPr="00B76B3A">
        <w:rPr>
          <w:lang w:val="fr-FR"/>
        </w:rPr>
        <w:t xml:space="preserve">organisation </w:t>
      </w:r>
      <w:r w:rsidR="002A33BC" w:rsidRPr="007A6E08">
        <w:rPr>
          <w:lang w:val="fr-FR"/>
        </w:rPr>
        <w:t>Sh</w:t>
      </w:r>
      <w:r w:rsidR="002A33BC">
        <w:rPr>
          <w:lang w:val="fr-FR"/>
        </w:rPr>
        <w:t>hatra</w:t>
      </w:r>
      <w:r w:rsidR="002A33BC" w:rsidRPr="007A6E08">
        <w:rPr>
          <w:lang w:val="fr-FR"/>
        </w:rPr>
        <w:t xml:space="preserve"> Shi</w:t>
      </w:r>
      <w:r w:rsidR="002A33BC">
        <w:rPr>
          <w:lang w:val="fr-FR"/>
        </w:rPr>
        <w:t>b</w:t>
      </w:r>
      <w:r w:rsidR="002A33BC" w:rsidRPr="007A6E08">
        <w:rPr>
          <w:lang w:val="fr-FR"/>
        </w:rPr>
        <w:t>ir</w:t>
      </w:r>
      <w:r w:rsidR="002A33BC">
        <w:rPr>
          <w:lang w:val="fr-FR"/>
        </w:rPr>
        <w:t xml:space="preserve"> étaient </w:t>
      </w:r>
      <w:r w:rsidRPr="00B76B3A">
        <w:rPr>
          <w:lang w:val="fr-FR"/>
        </w:rPr>
        <w:t>vagues et qu</w:t>
      </w:r>
      <w:r w:rsidR="00BE5FF0">
        <w:rPr>
          <w:lang w:val="fr-FR"/>
        </w:rPr>
        <w:t>’</w:t>
      </w:r>
      <w:r w:rsidRPr="00B76B3A">
        <w:rPr>
          <w:lang w:val="fr-FR"/>
        </w:rPr>
        <w:t>elle n</w:t>
      </w:r>
      <w:r w:rsidR="00BE5FF0">
        <w:rPr>
          <w:lang w:val="fr-FR"/>
        </w:rPr>
        <w:t>’</w:t>
      </w:r>
      <w:r>
        <w:rPr>
          <w:lang w:val="fr-FR"/>
        </w:rPr>
        <w:t xml:space="preserve">avait apporté </w:t>
      </w:r>
      <w:r w:rsidRPr="00B76B3A">
        <w:rPr>
          <w:lang w:val="fr-FR"/>
        </w:rPr>
        <w:t>aucun document écrit pour étayer ses griefs dans le cadre de la procédure d</w:t>
      </w:r>
      <w:r w:rsidR="00BE5FF0">
        <w:rPr>
          <w:lang w:val="fr-FR"/>
        </w:rPr>
        <w:t>’</w:t>
      </w:r>
      <w:r w:rsidRPr="00B76B3A">
        <w:rPr>
          <w:lang w:val="fr-FR"/>
        </w:rPr>
        <w:t>asile. De plus, l</w:t>
      </w:r>
      <w:r w:rsidR="00BE5FF0">
        <w:rPr>
          <w:lang w:val="fr-FR"/>
        </w:rPr>
        <w:t>’</w:t>
      </w:r>
      <w:r w:rsidR="002A33BC">
        <w:rPr>
          <w:lang w:val="fr-FR"/>
        </w:rPr>
        <w:t>État considère que l</w:t>
      </w:r>
      <w:r w:rsidR="00BE5FF0">
        <w:rPr>
          <w:lang w:val="fr-FR"/>
        </w:rPr>
        <w:t>’</w:t>
      </w:r>
      <w:r w:rsidR="002A33BC">
        <w:rPr>
          <w:lang w:val="fr-FR"/>
        </w:rPr>
        <w:t xml:space="preserve">arrestation </w:t>
      </w:r>
      <w:r w:rsidRPr="00B76B3A">
        <w:rPr>
          <w:lang w:val="fr-FR"/>
        </w:rPr>
        <w:t>de l</w:t>
      </w:r>
      <w:r w:rsidR="00BE5FF0">
        <w:rPr>
          <w:lang w:val="fr-FR"/>
        </w:rPr>
        <w:t>’</w:t>
      </w:r>
      <w:r w:rsidRPr="00B76B3A">
        <w:rPr>
          <w:lang w:val="fr-FR"/>
        </w:rPr>
        <w:t xml:space="preserve">auteur et le viol dont elle dit avoir été victime </w:t>
      </w:r>
      <w:r w:rsidR="002A33BC">
        <w:rPr>
          <w:lang w:val="fr-FR"/>
        </w:rPr>
        <w:t>relèvent</w:t>
      </w:r>
      <w:r w:rsidRPr="00B76B3A">
        <w:rPr>
          <w:lang w:val="fr-FR"/>
        </w:rPr>
        <w:t xml:space="preserve"> d</w:t>
      </w:r>
      <w:r w:rsidR="00BE5FF0">
        <w:rPr>
          <w:lang w:val="fr-FR"/>
        </w:rPr>
        <w:t>’</w:t>
      </w:r>
      <w:r w:rsidRPr="00B76B3A">
        <w:rPr>
          <w:lang w:val="fr-FR"/>
        </w:rPr>
        <w:t xml:space="preserve">une faute commise par des policiers, et </w:t>
      </w:r>
      <w:r w:rsidR="002A33BC">
        <w:rPr>
          <w:lang w:val="fr-FR"/>
        </w:rPr>
        <w:t xml:space="preserve">que </w:t>
      </w:r>
      <w:r w:rsidRPr="00B76B3A">
        <w:rPr>
          <w:lang w:val="fr-FR"/>
        </w:rPr>
        <w:t>ses allégations indiquant qu</w:t>
      </w:r>
      <w:r w:rsidR="00BE5FF0">
        <w:rPr>
          <w:lang w:val="fr-FR"/>
        </w:rPr>
        <w:t>’</w:t>
      </w:r>
      <w:r w:rsidRPr="00B76B3A">
        <w:rPr>
          <w:lang w:val="fr-FR"/>
        </w:rPr>
        <w:t xml:space="preserve">elle avait été menacée </w:t>
      </w:r>
      <w:r w:rsidR="002A33BC">
        <w:rPr>
          <w:lang w:val="fr-FR"/>
        </w:rPr>
        <w:t xml:space="preserve">par </w:t>
      </w:r>
      <w:r w:rsidR="002A33BC" w:rsidRPr="007A6E08">
        <w:rPr>
          <w:lang w:val="fr-FR"/>
        </w:rPr>
        <w:t>Sh</w:t>
      </w:r>
      <w:r w:rsidR="002A33BC">
        <w:rPr>
          <w:lang w:val="fr-FR"/>
        </w:rPr>
        <w:t>hatra</w:t>
      </w:r>
      <w:r w:rsidR="002A33BC" w:rsidRPr="007A6E08">
        <w:rPr>
          <w:lang w:val="fr-FR"/>
        </w:rPr>
        <w:t xml:space="preserve"> Shi</w:t>
      </w:r>
      <w:r w:rsidR="002A33BC">
        <w:rPr>
          <w:lang w:val="fr-FR"/>
        </w:rPr>
        <w:t>b</w:t>
      </w:r>
      <w:r w:rsidR="002A33BC" w:rsidRPr="007A6E08">
        <w:rPr>
          <w:lang w:val="fr-FR"/>
        </w:rPr>
        <w:t>ir</w:t>
      </w:r>
      <w:r w:rsidR="002A33BC">
        <w:rPr>
          <w:lang w:val="fr-FR"/>
        </w:rPr>
        <w:t xml:space="preserve">, qui </w:t>
      </w:r>
      <w:r w:rsidRPr="00B76B3A">
        <w:rPr>
          <w:lang w:val="fr-FR"/>
        </w:rPr>
        <w:t>était responsable de l</w:t>
      </w:r>
      <w:r w:rsidR="00BE5FF0">
        <w:rPr>
          <w:lang w:val="fr-FR"/>
        </w:rPr>
        <w:t>’</w:t>
      </w:r>
      <w:r w:rsidRPr="00B76B3A">
        <w:rPr>
          <w:lang w:val="fr-FR"/>
        </w:rPr>
        <w:t>enlèvement de sa compagne</w:t>
      </w:r>
      <w:r w:rsidR="002A33BC">
        <w:rPr>
          <w:lang w:val="fr-FR"/>
        </w:rPr>
        <w:t>,</w:t>
      </w:r>
      <w:r w:rsidRPr="00B76B3A">
        <w:rPr>
          <w:lang w:val="fr-FR"/>
        </w:rPr>
        <w:t xml:space="preserve"> n</w:t>
      </w:r>
      <w:r w:rsidR="00BE5FF0">
        <w:rPr>
          <w:lang w:val="fr-FR"/>
        </w:rPr>
        <w:t>’</w:t>
      </w:r>
      <w:r w:rsidRPr="00B76B3A">
        <w:rPr>
          <w:lang w:val="fr-FR"/>
        </w:rPr>
        <w:t>étaient pas étayées par des preuves concrètes. L</w:t>
      </w:r>
      <w:r w:rsidR="00BE5FF0">
        <w:rPr>
          <w:lang w:val="fr-FR"/>
        </w:rPr>
        <w:t>’</w:t>
      </w:r>
      <w:r w:rsidRPr="00B76B3A">
        <w:rPr>
          <w:lang w:val="fr-FR"/>
        </w:rPr>
        <w:t>État partie fait aussi valoir que</w:t>
      </w:r>
      <w:r>
        <w:rPr>
          <w:lang w:val="fr-FR"/>
        </w:rPr>
        <w:t>,</w:t>
      </w:r>
      <w:r w:rsidRPr="00B76B3A">
        <w:rPr>
          <w:lang w:val="fr-FR"/>
        </w:rPr>
        <w:t xml:space="preserve"> </w:t>
      </w:r>
      <w:r>
        <w:rPr>
          <w:lang w:val="fr-FR"/>
        </w:rPr>
        <w:t xml:space="preserve">même si </w:t>
      </w:r>
      <w:r w:rsidRPr="00B76B3A">
        <w:rPr>
          <w:lang w:val="fr-FR"/>
        </w:rPr>
        <w:t>l</w:t>
      </w:r>
      <w:r w:rsidR="00BE5FF0">
        <w:rPr>
          <w:lang w:val="fr-FR"/>
        </w:rPr>
        <w:t>’</w:t>
      </w:r>
      <w:r w:rsidRPr="00B76B3A">
        <w:rPr>
          <w:lang w:val="fr-FR"/>
        </w:rPr>
        <w:t xml:space="preserve">homosexualité </w:t>
      </w:r>
      <w:r>
        <w:rPr>
          <w:lang w:val="fr-FR"/>
        </w:rPr>
        <w:t>est une</w:t>
      </w:r>
      <w:r w:rsidRPr="00B76B3A">
        <w:rPr>
          <w:lang w:val="fr-FR"/>
        </w:rPr>
        <w:t xml:space="preserve"> infraction pénale au</w:t>
      </w:r>
      <w:r>
        <w:rPr>
          <w:lang w:val="fr-FR"/>
        </w:rPr>
        <w:t> </w:t>
      </w:r>
      <w:r w:rsidRPr="00B76B3A">
        <w:rPr>
          <w:lang w:val="fr-FR"/>
        </w:rPr>
        <w:t xml:space="preserve">Bangladesh et </w:t>
      </w:r>
      <w:r>
        <w:rPr>
          <w:lang w:val="fr-FR"/>
        </w:rPr>
        <w:t>si</w:t>
      </w:r>
      <w:r w:rsidRPr="00B76B3A">
        <w:rPr>
          <w:lang w:val="fr-FR"/>
        </w:rPr>
        <w:t xml:space="preserve"> la situation des droits de l</w:t>
      </w:r>
      <w:r w:rsidR="00BE5FF0">
        <w:rPr>
          <w:lang w:val="fr-FR"/>
        </w:rPr>
        <w:t>’</w:t>
      </w:r>
      <w:r w:rsidRPr="00B76B3A">
        <w:rPr>
          <w:lang w:val="fr-FR"/>
        </w:rPr>
        <w:t xml:space="preserve">homme des LGBT </w:t>
      </w:r>
      <w:r w:rsidR="002A33BC">
        <w:rPr>
          <w:lang w:val="fr-FR"/>
        </w:rPr>
        <w:t>est préoccupante</w:t>
      </w:r>
      <w:r w:rsidRPr="00B76B3A">
        <w:rPr>
          <w:lang w:val="fr-FR"/>
        </w:rPr>
        <w:t>, dans la pratique la loi n</w:t>
      </w:r>
      <w:r w:rsidR="00BE5FF0">
        <w:rPr>
          <w:lang w:val="fr-FR"/>
        </w:rPr>
        <w:t>’</w:t>
      </w:r>
      <w:r>
        <w:rPr>
          <w:lang w:val="fr-FR"/>
        </w:rPr>
        <w:t>es</w:t>
      </w:r>
      <w:r w:rsidRPr="00B76B3A">
        <w:rPr>
          <w:lang w:val="fr-FR"/>
        </w:rPr>
        <w:t>t pas appliquée. De plus, les documents accompagnant la deuxième requête de l</w:t>
      </w:r>
      <w:r w:rsidR="00BE5FF0">
        <w:rPr>
          <w:lang w:val="fr-FR"/>
        </w:rPr>
        <w:t>’</w:t>
      </w:r>
      <w:r w:rsidRPr="00B76B3A">
        <w:rPr>
          <w:lang w:val="fr-FR"/>
        </w:rPr>
        <w:t>auteur auprès d</w:t>
      </w:r>
      <w:r>
        <w:rPr>
          <w:lang w:val="fr-FR"/>
        </w:rPr>
        <w:t>e l</w:t>
      </w:r>
      <w:r w:rsidR="00BE5FF0">
        <w:rPr>
          <w:lang w:val="fr-FR"/>
        </w:rPr>
        <w:t>’</w:t>
      </w:r>
      <w:r>
        <w:rPr>
          <w:lang w:val="fr-FR"/>
        </w:rPr>
        <w:t xml:space="preserve">Office </w:t>
      </w:r>
      <w:r w:rsidRPr="00B76B3A">
        <w:rPr>
          <w:lang w:val="fr-FR"/>
        </w:rPr>
        <w:t xml:space="preserve">des migrations </w:t>
      </w:r>
      <w:r w:rsidR="002A33BC">
        <w:rPr>
          <w:lang w:val="fr-FR"/>
        </w:rPr>
        <w:t>éta</w:t>
      </w:r>
      <w:r w:rsidRPr="00B76B3A">
        <w:rPr>
          <w:lang w:val="fr-FR"/>
        </w:rPr>
        <w:t xml:space="preserve">ient </w:t>
      </w:r>
      <w:r w:rsidR="002A33BC">
        <w:rPr>
          <w:lang w:val="fr-FR"/>
        </w:rPr>
        <w:t xml:space="preserve">considérés comme ayant </w:t>
      </w:r>
      <w:r w:rsidRPr="00B76B3A">
        <w:rPr>
          <w:lang w:val="fr-FR"/>
        </w:rPr>
        <w:t xml:space="preserve">une faible valeur probante car </w:t>
      </w:r>
      <w:r w:rsidR="002A33BC">
        <w:rPr>
          <w:lang w:val="fr-FR"/>
        </w:rPr>
        <w:t xml:space="preserve">les autorités ne peuvent pas </w:t>
      </w:r>
      <w:r w:rsidRPr="00B76B3A">
        <w:rPr>
          <w:lang w:val="fr-FR"/>
        </w:rPr>
        <w:t>en vérifier l</w:t>
      </w:r>
      <w:r w:rsidR="00BE5FF0">
        <w:rPr>
          <w:lang w:val="fr-FR"/>
        </w:rPr>
        <w:t>’</w:t>
      </w:r>
      <w:r w:rsidRPr="00B76B3A">
        <w:rPr>
          <w:lang w:val="fr-FR"/>
        </w:rPr>
        <w:t xml:space="preserve">authenticité. </w:t>
      </w:r>
    </w:p>
    <w:p w:rsidR="008A492C" w:rsidRPr="00B76B3A" w:rsidRDefault="008A492C" w:rsidP="008A492C">
      <w:pPr>
        <w:pStyle w:val="SingleTxtG"/>
        <w:rPr>
          <w:lang w:val="fr-FR"/>
        </w:rPr>
      </w:pPr>
      <w:r w:rsidRPr="00B76B3A">
        <w:rPr>
          <w:lang w:val="fr-FR"/>
        </w:rPr>
        <w:t>7.4</w:t>
      </w:r>
      <w:r w:rsidRPr="00B76B3A">
        <w:rPr>
          <w:lang w:val="fr-FR"/>
        </w:rPr>
        <w:tab/>
        <w:t xml:space="preserve">Le Comité rappelle son Observation générale </w:t>
      </w:r>
      <w:r w:rsidRPr="00B25C1A">
        <w:rPr>
          <w:rFonts w:eastAsia="MS Mincho"/>
          <w:lang w:val="fr-FR"/>
        </w:rPr>
        <w:t>n</w:t>
      </w:r>
      <w:r w:rsidRPr="00B25C1A">
        <w:rPr>
          <w:rFonts w:eastAsia="MS Mincho"/>
          <w:vertAlign w:val="superscript"/>
          <w:lang w:val="fr-FR"/>
        </w:rPr>
        <w:t>o</w:t>
      </w:r>
      <w:r>
        <w:rPr>
          <w:lang w:val="fr-FR"/>
        </w:rPr>
        <w:t> </w:t>
      </w:r>
      <w:r w:rsidRPr="00B76B3A">
        <w:rPr>
          <w:lang w:val="fr-FR"/>
        </w:rPr>
        <w:t>31</w:t>
      </w:r>
      <w:r w:rsidR="002A33BC">
        <w:rPr>
          <w:rStyle w:val="FootnoteReference"/>
        </w:rPr>
        <w:footnoteReference w:id="10"/>
      </w:r>
      <w:r w:rsidRPr="00B76B3A">
        <w:rPr>
          <w:lang w:val="fr-FR"/>
        </w:rPr>
        <w:t xml:space="preserve"> dans laquelle il se réfère à</w:t>
      </w:r>
      <w:r>
        <w:rPr>
          <w:lang w:val="fr-FR"/>
        </w:rPr>
        <w:t> </w:t>
      </w:r>
      <w:r w:rsidRPr="00B76B3A">
        <w:rPr>
          <w:lang w:val="fr-FR"/>
        </w:rPr>
        <w:t>l</w:t>
      </w:r>
      <w:r w:rsidR="00BE5FF0">
        <w:rPr>
          <w:lang w:val="fr-FR"/>
        </w:rPr>
        <w:t>’</w:t>
      </w:r>
      <w:r w:rsidRPr="00B76B3A">
        <w:rPr>
          <w:lang w:val="fr-FR"/>
        </w:rPr>
        <w:t>obligation faite aux États parties de ne pas extrader, déplacer, expulser quelqu</w:t>
      </w:r>
      <w:r w:rsidR="00BE5FF0">
        <w:rPr>
          <w:lang w:val="fr-FR"/>
        </w:rPr>
        <w:t>’</w:t>
      </w:r>
      <w:r w:rsidRPr="00B76B3A">
        <w:rPr>
          <w:lang w:val="fr-FR"/>
        </w:rPr>
        <w:t>un ou le transférer par d</w:t>
      </w:r>
      <w:r w:rsidR="00BE5FF0">
        <w:rPr>
          <w:lang w:val="fr-FR"/>
        </w:rPr>
        <w:t>’</w:t>
      </w:r>
      <w:r w:rsidRPr="00B76B3A">
        <w:rPr>
          <w:lang w:val="fr-FR"/>
        </w:rPr>
        <w:t>autres moyens de leur territoire s</w:t>
      </w:r>
      <w:r w:rsidR="00BE5FF0">
        <w:rPr>
          <w:lang w:val="fr-FR"/>
        </w:rPr>
        <w:t>’</w:t>
      </w:r>
      <w:r w:rsidRPr="00B76B3A">
        <w:rPr>
          <w:lang w:val="fr-FR"/>
        </w:rPr>
        <w:t>il existe des motifs sérieux de croire qu</w:t>
      </w:r>
      <w:r w:rsidR="00BE5FF0">
        <w:rPr>
          <w:lang w:val="fr-FR"/>
        </w:rPr>
        <w:t>’</w:t>
      </w:r>
      <w:r w:rsidRPr="00B76B3A">
        <w:rPr>
          <w:lang w:val="fr-FR"/>
        </w:rPr>
        <w:t xml:space="preserve">il y a un risque de préjudice irréparable </w:t>
      </w:r>
      <w:r>
        <w:rPr>
          <w:lang w:val="fr-FR"/>
        </w:rPr>
        <w:t xml:space="preserve">comme un des traitements visés </w:t>
      </w:r>
      <w:r w:rsidRPr="00B76B3A">
        <w:rPr>
          <w:lang w:val="fr-FR"/>
        </w:rPr>
        <w:t>aux articles 6 et 7 du Pacte. Le</w:t>
      </w:r>
      <w:r>
        <w:rPr>
          <w:lang w:val="fr-FR"/>
        </w:rPr>
        <w:t> </w:t>
      </w:r>
      <w:r w:rsidRPr="00B76B3A">
        <w:rPr>
          <w:lang w:val="fr-FR"/>
        </w:rPr>
        <w:t>Comité rappelle aussi qu</w:t>
      </w:r>
      <w:r>
        <w:rPr>
          <w:lang w:val="fr-FR"/>
        </w:rPr>
        <w:t>e g</w:t>
      </w:r>
      <w:r w:rsidRPr="00B76B3A">
        <w:rPr>
          <w:lang w:val="fr-FR"/>
        </w:rPr>
        <w:t xml:space="preserve">énéralement </w:t>
      </w:r>
      <w:r>
        <w:rPr>
          <w:lang w:val="fr-FR"/>
        </w:rPr>
        <w:t>c</w:t>
      </w:r>
      <w:r w:rsidR="00BE5FF0">
        <w:rPr>
          <w:lang w:val="fr-FR"/>
        </w:rPr>
        <w:t>’</w:t>
      </w:r>
      <w:r>
        <w:rPr>
          <w:lang w:val="fr-FR"/>
        </w:rPr>
        <w:t xml:space="preserve">est </w:t>
      </w:r>
      <w:r w:rsidRPr="00B76B3A">
        <w:rPr>
          <w:lang w:val="fr-FR"/>
        </w:rPr>
        <w:t xml:space="preserve">aux </w:t>
      </w:r>
      <w:r>
        <w:rPr>
          <w:lang w:val="fr-FR"/>
        </w:rPr>
        <w:t>organ</w:t>
      </w:r>
      <w:r w:rsidRPr="00B76B3A">
        <w:rPr>
          <w:lang w:val="fr-FR"/>
        </w:rPr>
        <w:t xml:space="preserve">es des États parties au Pacte </w:t>
      </w:r>
      <w:r w:rsidR="002A33BC">
        <w:rPr>
          <w:lang w:val="fr-FR"/>
        </w:rPr>
        <w:t>qu</w:t>
      </w:r>
      <w:r w:rsidR="00BE5FF0">
        <w:rPr>
          <w:lang w:val="fr-FR"/>
        </w:rPr>
        <w:t>’</w:t>
      </w:r>
      <w:r w:rsidR="002A33BC">
        <w:rPr>
          <w:lang w:val="fr-FR"/>
        </w:rPr>
        <w:t xml:space="preserve">il appartient </w:t>
      </w:r>
      <w:r w:rsidRPr="00B76B3A">
        <w:rPr>
          <w:lang w:val="fr-FR"/>
        </w:rPr>
        <w:t>d</w:t>
      </w:r>
      <w:r w:rsidR="00BE5FF0">
        <w:rPr>
          <w:lang w:val="fr-FR"/>
        </w:rPr>
        <w:t>’</w:t>
      </w:r>
      <w:r w:rsidRPr="00B76B3A">
        <w:rPr>
          <w:lang w:val="fr-FR"/>
        </w:rPr>
        <w:t>apprécier les faits et les preuve</w:t>
      </w:r>
      <w:r>
        <w:rPr>
          <w:lang w:val="fr-FR"/>
        </w:rPr>
        <w:t>s</w:t>
      </w:r>
      <w:r w:rsidRPr="00B76B3A">
        <w:rPr>
          <w:lang w:val="fr-FR"/>
        </w:rPr>
        <w:t xml:space="preserve"> en vue d</w:t>
      </w:r>
      <w:r w:rsidR="00BE5FF0">
        <w:rPr>
          <w:lang w:val="fr-FR"/>
        </w:rPr>
        <w:t>’</w:t>
      </w:r>
      <w:r w:rsidRPr="00B76B3A">
        <w:rPr>
          <w:lang w:val="fr-FR"/>
        </w:rPr>
        <w:t>établir l</w:t>
      </w:r>
      <w:r w:rsidR="00BE5FF0">
        <w:rPr>
          <w:lang w:val="fr-FR"/>
        </w:rPr>
        <w:t>’</w:t>
      </w:r>
      <w:r w:rsidRPr="00B76B3A">
        <w:rPr>
          <w:lang w:val="fr-FR"/>
        </w:rPr>
        <w:t>existence d</w:t>
      </w:r>
      <w:r w:rsidR="00BE5FF0">
        <w:rPr>
          <w:lang w:val="fr-FR"/>
        </w:rPr>
        <w:t>’</w:t>
      </w:r>
      <w:r w:rsidRPr="00B76B3A">
        <w:rPr>
          <w:lang w:val="fr-FR"/>
        </w:rPr>
        <w:t xml:space="preserve">un tel </w:t>
      </w:r>
      <w:r>
        <w:rPr>
          <w:lang w:val="fr-FR"/>
        </w:rPr>
        <w:t>risque</w:t>
      </w:r>
      <w:r w:rsidRPr="00B76B3A">
        <w:rPr>
          <w:lang w:val="fr-FR"/>
        </w:rPr>
        <w:t>.</w:t>
      </w:r>
    </w:p>
    <w:p w:rsidR="008A492C" w:rsidRPr="00B76B3A" w:rsidRDefault="008A492C" w:rsidP="008A492C">
      <w:pPr>
        <w:pStyle w:val="SingleTxtG"/>
        <w:rPr>
          <w:lang w:val="fr-FR"/>
        </w:rPr>
      </w:pPr>
      <w:r w:rsidRPr="00B76B3A">
        <w:rPr>
          <w:lang w:val="fr-FR"/>
        </w:rPr>
        <w:t>7.5</w:t>
      </w:r>
      <w:r w:rsidRPr="00B76B3A">
        <w:rPr>
          <w:lang w:val="fr-FR"/>
        </w:rPr>
        <w:tab/>
        <w:t>Dans la présente communication, le Comité constate</w:t>
      </w:r>
      <w:r w:rsidR="002A33BC">
        <w:rPr>
          <w:lang w:val="fr-FR"/>
        </w:rPr>
        <w:t>,</w:t>
      </w:r>
      <w:r w:rsidRPr="00B76B3A">
        <w:rPr>
          <w:lang w:val="fr-FR"/>
        </w:rPr>
        <w:t xml:space="preserve"> </w:t>
      </w:r>
      <w:r w:rsidR="002A33BC">
        <w:rPr>
          <w:lang w:val="fr-FR"/>
        </w:rPr>
        <w:t xml:space="preserve">à la lumière des éléments dont il est saisi, </w:t>
      </w:r>
      <w:r w:rsidRPr="00B76B3A">
        <w:rPr>
          <w:lang w:val="fr-FR"/>
        </w:rPr>
        <w:t>que l</w:t>
      </w:r>
      <w:r w:rsidR="00BE5FF0">
        <w:rPr>
          <w:lang w:val="fr-FR"/>
        </w:rPr>
        <w:t>’</w:t>
      </w:r>
      <w:r w:rsidRPr="00B76B3A">
        <w:rPr>
          <w:lang w:val="fr-FR"/>
        </w:rPr>
        <w:t>orientation sexuelle de l</w:t>
      </w:r>
      <w:r w:rsidR="00BE5FF0">
        <w:rPr>
          <w:lang w:val="fr-FR"/>
        </w:rPr>
        <w:t>’</w:t>
      </w:r>
      <w:r w:rsidRPr="00B76B3A">
        <w:rPr>
          <w:lang w:val="fr-FR"/>
        </w:rPr>
        <w:t xml:space="preserve">auteur </w:t>
      </w:r>
      <w:r>
        <w:rPr>
          <w:lang w:val="fr-FR"/>
        </w:rPr>
        <w:t>et que le viol qu</w:t>
      </w:r>
      <w:r w:rsidR="00BE5FF0">
        <w:rPr>
          <w:lang w:val="fr-FR"/>
        </w:rPr>
        <w:t>’</w:t>
      </w:r>
      <w:r>
        <w:rPr>
          <w:lang w:val="fr-FR"/>
        </w:rPr>
        <w:t>elle dit avoir subi par des policiers pendant sa garde à vue ne sont pas contestés par l</w:t>
      </w:r>
      <w:r w:rsidR="00BE5FF0">
        <w:rPr>
          <w:lang w:val="fr-FR"/>
        </w:rPr>
        <w:t>’</w:t>
      </w:r>
      <w:r>
        <w:rPr>
          <w:lang w:val="fr-FR"/>
        </w:rPr>
        <w:t>État p</w:t>
      </w:r>
      <w:r w:rsidR="002A33BC">
        <w:rPr>
          <w:lang w:val="fr-FR"/>
        </w:rPr>
        <w:t>artie. Il note aussi que son orientation</w:t>
      </w:r>
      <w:r>
        <w:rPr>
          <w:lang w:val="fr-FR"/>
        </w:rPr>
        <w:t xml:space="preserve"> </w:t>
      </w:r>
      <w:r w:rsidR="005624A3">
        <w:rPr>
          <w:lang w:val="fr-FR"/>
        </w:rPr>
        <w:t>sexuelle est de notoriété publique et connue des autorités</w:t>
      </w:r>
      <w:r w:rsidR="00C056EF">
        <w:rPr>
          <w:lang w:val="fr-FR"/>
        </w:rPr>
        <w:t>;</w:t>
      </w:r>
      <w:r w:rsidR="005624A3">
        <w:rPr>
          <w:lang w:val="fr-FR"/>
        </w:rPr>
        <w:t xml:space="preserve"> </w:t>
      </w:r>
      <w:r w:rsidRPr="00B76B3A">
        <w:rPr>
          <w:lang w:val="fr-FR"/>
        </w:rPr>
        <w:t>que l</w:t>
      </w:r>
      <w:r w:rsidR="00BE5FF0">
        <w:rPr>
          <w:lang w:val="fr-FR"/>
        </w:rPr>
        <w:t>’</w:t>
      </w:r>
      <w:r w:rsidRPr="00B76B3A">
        <w:rPr>
          <w:lang w:val="fr-FR"/>
        </w:rPr>
        <w:t>auteur souffre d</w:t>
      </w:r>
      <w:r w:rsidR="00BE5FF0">
        <w:rPr>
          <w:lang w:val="fr-FR"/>
        </w:rPr>
        <w:t>’</w:t>
      </w:r>
      <w:r w:rsidRPr="00B76B3A">
        <w:rPr>
          <w:lang w:val="fr-FR"/>
        </w:rPr>
        <w:t>une dépression sévère</w:t>
      </w:r>
      <w:r w:rsidR="005624A3">
        <w:rPr>
          <w:lang w:val="fr-FR"/>
        </w:rPr>
        <w:t xml:space="preserve"> avec un risque </w:t>
      </w:r>
      <w:r w:rsidR="00C056EF">
        <w:rPr>
          <w:lang w:val="fr-FR"/>
        </w:rPr>
        <w:t xml:space="preserve">élevé </w:t>
      </w:r>
      <w:r w:rsidR="005624A3">
        <w:rPr>
          <w:lang w:val="fr-FR"/>
        </w:rPr>
        <w:t>de suicide, malgré le traitement suivi dans l</w:t>
      </w:r>
      <w:r w:rsidR="00BE5FF0">
        <w:rPr>
          <w:lang w:val="fr-FR"/>
        </w:rPr>
        <w:t>’</w:t>
      </w:r>
      <w:r w:rsidR="005624A3">
        <w:rPr>
          <w:lang w:val="fr-FR"/>
        </w:rPr>
        <w:t>État partie</w:t>
      </w:r>
      <w:r w:rsidRPr="00B76B3A">
        <w:rPr>
          <w:lang w:val="fr-FR"/>
        </w:rPr>
        <w:t>; que l</w:t>
      </w:r>
      <w:r w:rsidR="00BE5FF0">
        <w:rPr>
          <w:lang w:val="fr-FR"/>
        </w:rPr>
        <w:t>’</w:t>
      </w:r>
      <w:r>
        <w:rPr>
          <w:lang w:val="fr-FR"/>
        </w:rPr>
        <w:t>article 377 du Code pénal</w:t>
      </w:r>
      <w:r w:rsidRPr="00B76B3A">
        <w:rPr>
          <w:lang w:val="fr-FR"/>
        </w:rPr>
        <w:t xml:space="preserve"> bangladais interdit les actes homosexuels et que les homosexuels sont stigmatisés dans la société bangladaise. Le</w:t>
      </w:r>
      <w:r>
        <w:rPr>
          <w:lang w:val="fr-FR"/>
        </w:rPr>
        <w:t> </w:t>
      </w:r>
      <w:r w:rsidRPr="00B76B3A">
        <w:rPr>
          <w:lang w:val="fr-FR"/>
        </w:rPr>
        <w:t>Comité estime que l</w:t>
      </w:r>
      <w:r w:rsidR="00BE5FF0">
        <w:rPr>
          <w:lang w:val="fr-FR"/>
        </w:rPr>
        <w:t>’</w:t>
      </w:r>
      <w:r w:rsidRPr="00B76B3A">
        <w:rPr>
          <w:lang w:val="fr-FR"/>
        </w:rPr>
        <w:t>existence d</w:t>
      </w:r>
      <w:r w:rsidR="00BE5FF0">
        <w:rPr>
          <w:lang w:val="fr-FR"/>
        </w:rPr>
        <w:t>’</w:t>
      </w:r>
      <w:r w:rsidRPr="00B76B3A">
        <w:rPr>
          <w:lang w:val="fr-FR"/>
        </w:rPr>
        <w:t xml:space="preserve">une telle loi est en soi de nature à </w:t>
      </w:r>
      <w:r>
        <w:rPr>
          <w:lang w:val="fr-FR"/>
        </w:rPr>
        <w:t>augment</w:t>
      </w:r>
      <w:r w:rsidRPr="00B76B3A">
        <w:rPr>
          <w:lang w:val="fr-FR"/>
        </w:rPr>
        <w:t>er la stigmatisation à l</w:t>
      </w:r>
      <w:r w:rsidR="00BE5FF0">
        <w:rPr>
          <w:lang w:val="fr-FR"/>
        </w:rPr>
        <w:t>’</w:t>
      </w:r>
      <w:r w:rsidRPr="00B76B3A">
        <w:rPr>
          <w:lang w:val="fr-FR"/>
        </w:rPr>
        <w:t>égard des LGBT et empêche d</w:t>
      </w:r>
      <w:r w:rsidR="00BE5FF0">
        <w:rPr>
          <w:lang w:val="fr-FR"/>
        </w:rPr>
        <w:t>’</w:t>
      </w:r>
      <w:r w:rsidRPr="00B76B3A">
        <w:rPr>
          <w:lang w:val="fr-FR"/>
        </w:rPr>
        <w:t xml:space="preserve">enquêter sur les actes </w:t>
      </w:r>
      <w:r w:rsidR="005624A3">
        <w:rPr>
          <w:lang w:val="fr-FR"/>
        </w:rPr>
        <w:t xml:space="preserve">de persécution </w:t>
      </w:r>
      <w:r>
        <w:rPr>
          <w:lang w:val="fr-FR"/>
        </w:rPr>
        <w:t xml:space="preserve">visant </w:t>
      </w:r>
      <w:r w:rsidRPr="00B76B3A">
        <w:rPr>
          <w:lang w:val="fr-FR"/>
        </w:rPr>
        <w:t xml:space="preserve">ces personnes et de les </w:t>
      </w:r>
      <w:r>
        <w:rPr>
          <w:lang w:val="fr-FR"/>
        </w:rPr>
        <w:t>réprim</w:t>
      </w:r>
      <w:r w:rsidRPr="00B76B3A">
        <w:rPr>
          <w:lang w:val="fr-FR"/>
        </w:rPr>
        <w:t xml:space="preserve">er. </w:t>
      </w:r>
      <w:r w:rsidR="005624A3">
        <w:rPr>
          <w:lang w:val="fr-FR"/>
        </w:rPr>
        <w:t>Il </w:t>
      </w:r>
      <w:r w:rsidRPr="00B76B3A">
        <w:rPr>
          <w:lang w:val="fr-FR"/>
        </w:rPr>
        <w:t>estime que lorsqu</w:t>
      </w:r>
      <w:r w:rsidR="00BE5FF0">
        <w:rPr>
          <w:lang w:val="fr-FR"/>
        </w:rPr>
        <w:t>’</w:t>
      </w:r>
      <w:r w:rsidRPr="00B76B3A">
        <w:rPr>
          <w:lang w:val="fr-FR"/>
        </w:rPr>
        <w:t>elles se sont prononcées sur la demande d</w:t>
      </w:r>
      <w:r w:rsidR="00BE5FF0">
        <w:rPr>
          <w:lang w:val="fr-FR"/>
        </w:rPr>
        <w:t>’</w:t>
      </w:r>
      <w:r w:rsidRPr="00B76B3A">
        <w:rPr>
          <w:lang w:val="fr-FR"/>
        </w:rPr>
        <w:t>asile de l</w:t>
      </w:r>
      <w:r w:rsidR="00BE5FF0">
        <w:rPr>
          <w:lang w:val="fr-FR"/>
        </w:rPr>
        <w:t>’</w:t>
      </w:r>
      <w:r w:rsidRPr="00B76B3A">
        <w:rPr>
          <w:lang w:val="fr-FR"/>
        </w:rPr>
        <w:t>auteur, les autorités de l</w:t>
      </w:r>
      <w:r w:rsidR="00BE5FF0">
        <w:rPr>
          <w:lang w:val="fr-FR"/>
        </w:rPr>
        <w:t>’</w:t>
      </w:r>
      <w:r w:rsidRPr="00B76B3A">
        <w:rPr>
          <w:lang w:val="fr-FR"/>
        </w:rPr>
        <w:t xml:space="preserve">État partie se sont essentiellement </w:t>
      </w:r>
      <w:r>
        <w:rPr>
          <w:lang w:val="fr-FR"/>
        </w:rPr>
        <w:t>occup</w:t>
      </w:r>
      <w:r w:rsidRPr="00B76B3A">
        <w:rPr>
          <w:lang w:val="fr-FR"/>
        </w:rPr>
        <w:t xml:space="preserve">ées </w:t>
      </w:r>
      <w:r>
        <w:rPr>
          <w:lang w:val="fr-FR"/>
        </w:rPr>
        <w:t>des contradictions et d</w:t>
      </w:r>
      <w:r w:rsidRPr="00B76B3A">
        <w:rPr>
          <w:lang w:val="fr-FR"/>
        </w:rPr>
        <w:t xml:space="preserve">es ambiguïtés </w:t>
      </w:r>
      <w:r w:rsidR="005624A3">
        <w:rPr>
          <w:lang w:val="fr-FR"/>
        </w:rPr>
        <w:t xml:space="preserve">relevées </w:t>
      </w:r>
      <w:r w:rsidRPr="00B76B3A">
        <w:rPr>
          <w:lang w:val="fr-FR"/>
        </w:rPr>
        <w:t>dans le récit donné par l</w:t>
      </w:r>
      <w:r w:rsidR="00BE5FF0">
        <w:rPr>
          <w:lang w:val="fr-FR"/>
        </w:rPr>
        <w:t>’</w:t>
      </w:r>
      <w:r w:rsidRPr="00B76B3A">
        <w:rPr>
          <w:lang w:val="fr-FR"/>
        </w:rPr>
        <w:t xml:space="preserve">auteur de certains faits </w:t>
      </w:r>
      <w:r>
        <w:rPr>
          <w:lang w:val="fr-FR"/>
        </w:rPr>
        <w:t>justifiant</w:t>
      </w:r>
      <w:r w:rsidRPr="00B76B3A">
        <w:rPr>
          <w:lang w:val="fr-FR"/>
        </w:rPr>
        <w:t xml:space="preserve"> sa demande. </w:t>
      </w:r>
      <w:r>
        <w:rPr>
          <w:lang w:val="fr-FR"/>
        </w:rPr>
        <w:t>Or</w:t>
      </w:r>
      <w:r w:rsidRPr="00B76B3A">
        <w:rPr>
          <w:lang w:val="fr-FR"/>
        </w:rPr>
        <w:t xml:space="preserve">, les contradictions et ambiguïtés en question ne sont pas de nature à </w:t>
      </w:r>
      <w:r w:rsidR="005624A3">
        <w:rPr>
          <w:lang w:val="fr-FR"/>
        </w:rPr>
        <w:t>faire douter de la réalité des risques qu</w:t>
      </w:r>
      <w:r w:rsidR="00BE5FF0">
        <w:rPr>
          <w:lang w:val="fr-FR"/>
        </w:rPr>
        <w:t>’</w:t>
      </w:r>
      <w:r w:rsidR="005624A3">
        <w:rPr>
          <w:lang w:val="fr-FR"/>
        </w:rPr>
        <w:t>elle craint</w:t>
      </w:r>
      <w:r w:rsidRPr="00B76B3A">
        <w:rPr>
          <w:lang w:val="fr-FR"/>
        </w:rPr>
        <w:t xml:space="preserve">. Compte tenu de la situation dans laquelle se trouvent les personnes appartenant </w:t>
      </w:r>
      <w:r>
        <w:rPr>
          <w:lang w:val="fr-FR"/>
        </w:rPr>
        <w:t xml:space="preserve">à une </w:t>
      </w:r>
      <w:r w:rsidRPr="00B76B3A">
        <w:rPr>
          <w:lang w:val="fr-FR"/>
        </w:rPr>
        <w:t>minorité sexuelle dans le pays, telle qu</w:t>
      </w:r>
      <w:r w:rsidR="00BE5FF0">
        <w:rPr>
          <w:lang w:val="fr-FR"/>
        </w:rPr>
        <w:t>’</w:t>
      </w:r>
      <w:r w:rsidRPr="00B76B3A">
        <w:rPr>
          <w:lang w:val="fr-FR"/>
        </w:rPr>
        <w:t xml:space="preserve">elle est décrite dans les rapports </w:t>
      </w:r>
      <w:r>
        <w:rPr>
          <w:lang w:val="fr-FR"/>
        </w:rPr>
        <w:t>présenté</w:t>
      </w:r>
      <w:r w:rsidRPr="00B76B3A">
        <w:rPr>
          <w:lang w:val="fr-FR"/>
        </w:rPr>
        <w:t>s par les parties, le Comité est d</w:t>
      </w:r>
      <w:r w:rsidR="00BE5FF0">
        <w:rPr>
          <w:lang w:val="fr-FR"/>
        </w:rPr>
        <w:t>’</w:t>
      </w:r>
      <w:r w:rsidRPr="00B76B3A">
        <w:rPr>
          <w:lang w:val="fr-FR"/>
        </w:rPr>
        <w:t xml:space="preserve">avis </w:t>
      </w:r>
      <w:r>
        <w:rPr>
          <w:lang w:val="fr-FR"/>
        </w:rPr>
        <w:t xml:space="preserve">que </w:t>
      </w:r>
      <w:r w:rsidR="005624A3">
        <w:rPr>
          <w:lang w:val="fr-FR"/>
        </w:rPr>
        <w:t>dans le cas particulier de l</w:t>
      </w:r>
      <w:r w:rsidR="00BE5FF0">
        <w:rPr>
          <w:lang w:val="fr-FR"/>
        </w:rPr>
        <w:t>’</w:t>
      </w:r>
      <w:r w:rsidR="005624A3">
        <w:rPr>
          <w:lang w:val="fr-FR"/>
        </w:rPr>
        <w:t xml:space="preserve">auteur, </w:t>
      </w:r>
      <w:r>
        <w:rPr>
          <w:lang w:val="fr-FR"/>
        </w:rPr>
        <w:t>l</w:t>
      </w:r>
      <w:r w:rsidR="00BE5FF0">
        <w:rPr>
          <w:lang w:val="fr-FR"/>
        </w:rPr>
        <w:t>’</w:t>
      </w:r>
      <w:r>
        <w:rPr>
          <w:lang w:val="fr-FR"/>
        </w:rPr>
        <w:t>État partie</w:t>
      </w:r>
      <w:r w:rsidRPr="00B76B3A">
        <w:rPr>
          <w:lang w:val="fr-FR"/>
        </w:rPr>
        <w:t xml:space="preserve"> </w:t>
      </w:r>
      <w:r>
        <w:rPr>
          <w:lang w:val="fr-FR"/>
        </w:rPr>
        <w:t>n</w:t>
      </w:r>
      <w:r w:rsidR="00BE5FF0">
        <w:rPr>
          <w:lang w:val="fr-FR"/>
        </w:rPr>
        <w:t>’</w:t>
      </w:r>
      <w:r>
        <w:rPr>
          <w:lang w:val="fr-FR"/>
        </w:rPr>
        <w:t xml:space="preserve">a pas pris </w:t>
      </w:r>
      <w:r w:rsidR="005624A3">
        <w:rPr>
          <w:lang w:val="fr-FR"/>
        </w:rPr>
        <w:t xml:space="preserve">dûment </w:t>
      </w:r>
      <w:r>
        <w:rPr>
          <w:lang w:val="fr-FR"/>
        </w:rPr>
        <w:t>en considération les allégations de l</w:t>
      </w:r>
      <w:r w:rsidR="00BE5FF0">
        <w:rPr>
          <w:lang w:val="fr-FR"/>
        </w:rPr>
        <w:t>’</w:t>
      </w:r>
      <w:r>
        <w:rPr>
          <w:lang w:val="fr-FR"/>
        </w:rPr>
        <w:t>auteur concernant tout ce qu</w:t>
      </w:r>
      <w:r w:rsidR="00BE5FF0">
        <w:rPr>
          <w:lang w:val="fr-FR"/>
        </w:rPr>
        <w:t>’</w:t>
      </w:r>
      <w:r>
        <w:rPr>
          <w:lang w:val="fr-FR"/>
        </w:rPr>
        <w:t xml:space="preserve">elle a vécu au Bangladesh en raison de </w:t>
      </w:r>
      <w:r w:rsidRPr="00B76B3A">
        <w:rPr>
          <w:lang w:val="fr-FR"/>
        </w:rPr>
        <w:t>son orientation sexuelle</w:t>
      </w:r>
      <w:r w:rsidR="005624A3">
        <w:rPr>
          <w:lang w:val="fr-FR"/>
        </w:rPr>
        <w:t>, − en particulier les brutalités de la police − quand il a évalué les risques qu</w:t>
      </w:r>
      <w:r w:rsidR="00BE5FF0">
        <w:rPr>
          <w:lang w:val="fr-FR"/>
        </w:rPr>
        <w:t>’</w:t>
      </w:r>
      <w:r w:rsidR="005624A3">
        <w:rPr>
          <w:lang w:val="fr-FR"/>
        </w:rPr>
        <w:t>elle courrait si elle était renvoyée dans son pays d</w:t>
      </w:r>
      <w:r w:rsidR="00BE5FF0">
        <w:rPr>
          <w:lang w:val="fr-FR"/>
        </w:rPr>
        <w:t>’</w:t>
      </w:r>
      <w:r w:rsidR="005624A3">
        <w:rPr>
          <w:lang w:val="fr-FR"/>
        </w:rPr>
        <w:t xml:space="preserve">origine. Par conséquent, </w:t>
      </w:r>
      <w:r>
        <w:rPr>
          <w:lang w:val="fr-FR"/>
        </w:rPr>
        <w:t xml:space="preserve">dans ces circonstances, </w:t>
      </w:r>
      <w:r w:rsidRPr="00B76B3A">
        <w:rPr>
          <w:lang w:val="fr-FR"/>
        </w:rPr>
        <w:t>le Comité considère que l</w:t>
      </w:r>
      <w:r w:rsidR="00BE5FF0">
        <w:rPr>
          <w:lang w:val="fr-FR"/>
        </w:rPr>
        <w:t>’</w:t>
      </w:r>
      <w:r w:rsidRPr="00B76B3A">
        <w:rPr>
          <w:lang w:val="fr-FR"/>
        </w:rPr>
        <w:t>expulsion de l</w:t>
      </w:r>
      <w:r w:rsidR="00BE5FF0">
        <w:rPr>
          <w:lang w:val="fr-FR"/>
        </w:rPr>
        <w:t>’</w:t>
      </w:r>
      <w:r w:rsidRPr="00B76B3A">
        <w:rPr>
          <w:lang w:val="fr-FR"/>
        </w:rPr>
        <w:t>auteur vers le Bangladesh constituerait une violation de l</w:t>
      </w:r>
      <w:r w:rsidR="00BE5FF0">
        <w:rPr>
          <w:lang w:val="fr-FR"/>
        </w:rPr>
        <w:t>’</w:t>
      </w:r>
      <w:r w:rsidRPr="00B76B3A">
        <w:rPr>
          <w:lang w:val="fr-FR"/>
        </w:rPr>
        <w:t>article 7 du Pacte.</w:t>
      </w:r>
    </w:p>
    <w:p w:rsidR="008A492C" w:rsidRPr="00B76B3A" w:rsidRDefault="008A492C" w:rsidP="008A492C">
      <w:pPr>
        <w:pStyle w:val="SingleTxtG"/>
        <w:keepLines/>
        <w:rPr>
          <w:lang w:val="fr-FR"/>
        </w:rPr>
      </w:pPr>
      <w:r>
        <w:rPr>
          <w:lang w:val="fr-FR"/>
        </w:rPr>
        <w:t>8.</w:t>
      </w:r>
      <w:r w:rsidRPr="00B76B3A">
        <w:rPr>
          <w:lang w:val="fr-FR"/>
        </w:rPr>
        <w:tab/>
        <w:t>Le Comité des droits de l</w:t>
      </w:r>
      <w:r w:rsidR="00BE5FF0">
        <w:rPr>
          <w:lang w:val="fr-FR"/>
        </w:rPr>
        <w:t>’</w:t>
      </w:r>
      <w:r w:rsidRPr="00B76B3A">
        <w:rPr>
          <w:lang w:val="fr-FR"/>
        </w:rPr>
        <w:t>homme, agissant en vertu du paragraphe 4 de l</w:t>
      </w:r>
      <w:r w:rsidR="00BE5FF0">
        <w:rPr>
          <w:lang w:val="fr-FR"/>
        </w:rPr>
        <w:t>’</w:t>
      </w:r>
      <w:r w:rsidRPr="00B76B3A">
        <w:rPr>
          <w:lang w:val="fr-FR"/>
        </w:rPr>
        <w:t xml:space="preserve">article 5 du Protocole facultatif se rapportant au Pacte international relatif aux droits civils et politiques, </w:t>
      </w:r>
      <w:r>
        <w:rPr>
          <w:lang w:val="fr-FR"/>
        </w:rPr>
        <w:t xml:space="preserve">constate </w:t>
      </w:r>
      <w:r w:rsidRPr="00B76B3A">
        <w:rPr>
          <w:lang w:val="fr-FR"/>
        </w:rPr>
        <w:t>que l</w:t>
      </w:r>
      <w:r w:rsidR="00BE5FF0">
        <w:rPr>
          <w:lang w:val="fr-FR"/>
        </w:rPr>
        <w:t>’</w:t>
      </w:r>
      <w:r w:rsidRPr="00B76B3A">
        <w:rPr>
          <w:lang w:val="fr-FR"/>
        </w:rPr>
        <w:t>expulsion vers le Bangladesh constituerait, si elle était exécutée, une violation des droits que l</w:t>
      </w:r>
      <w:r w:rsidR="00BE5FF0">
        <w:rPr>
          <w:lang w:val="fr-FR"/>
        </w:rPr>
        <w:t>’</w:t>
      </w:r>
      <w:r w:rsidRPr="00B76B3A">
        <w:rPr>
          <w:lang w:val="fr-FR"/>
        </w:rPr>
        <w:t>auteur tient de l</w:t>
      </w:r>
      <w:r w:rsidR="00BE5FF0">
        <w:rPr>
          <w:lang w:val="fr-FR"/>
        </w:rPr>
        <w:t>’</w:t>
      </w:r>
      <w:r w:rsidRPr="00B76B3A">
        <w:rPr>
          <w:lang w:val="fr-FR"/>
        </w:rPr>
        <w:t>article 7 du Pacte.</w:t>
      </w:r>
    </w:p>
    <w:p w:rsidR="008A492C" w:rsidRPr="00B76B3A" w:rsidRDefault="008A492C" w:rsidP="00BE5FF0">
      <w:pPr>
        <w:pStyle w:val="SingleTxtG"/>
        <w:rPr>
          <w:lang w:val="fr-FR"/>
        </w:rPr>
      </w:pPr>
      <w:r w:rsidRPr="00B76B3A">
        <w:rPr>
          <w:lang w:val="fr-FR"/>
        </w:rPr>
        <w:t>9.</w:t>
      </w:r>
      <w:r w:rsidRPr="00B76B3A">
        <w:rPr>
          <w:lang w:val="fr-FR"/>
        </w:rPr>
        <w:tab/>
        <w:t>En vertu du paragraphe 3</w:t>
      </w:r>
      <w:r>
        <w:rPr>
          <w:lang w:val="fr-FR"/>
        </w:rPr>
        <w:t> </w:t>
      </w:r>
      <w:r w:rsidRPr="00B76B3A">
        <w:rPr>
          <w:lang w:val="fr-FR"/>
        </w:rPr>
        <w:t>a) de l</w:t>
      </w:r>
      <w:r w:rsidR="00BE5FF0">
        <w:rPr>
          <w:lang w:val="fr-FR"/>
        </w:rPr>
        <w:t>’</w:t>
      </w:r>
      <w:r w:rsidRPr="00B76B3A">
        <w:rPr>
          <w:lang w:val="fr-FR"/>
        </w:rPr>
        <w:t>article 2 du Pacte, l</w:t>
      </w:r>
      <w:r w:rsidR="00BE5FF0">
        <w:rPr>
          <w:lang w:val="fr-FR"/>
        </w:rPr>
        <w:t>’</w:t>
      </w:r>
      <w:r w:rsidRPr="00B76B3A">
        <w:rPr>
          <w:lang w:val="fr-FR"/>
        </w:rPr>
        <w:t>État partie est tenu d</w:t>
      </w:r>
      <w:r w:rsidR="00BE5FF0">
        <w:rPr>
          <w:lang w:val="fr-FR"/>
        </w:rPr>
        <w:t>’</w:t>
      </w:r>
      <w:r w:rsidRPr="00B76B3A">
        <w:rPr>
          <w:lang w:val="fr-FR"/>
        </w:rPr>
        <w:t>assurer à</w:t>
      </w:r>
      <w:r>
        <w:rPr>
          <w:lang w:val="fr-FR"/>
        </w:rPr>
        <w:t> </w:t>
      </w:r>
      <w:r w:rsidRPr="00B76B3A">
        <w:rPr>
          <w:lang w:val="fr-FR"/>
        </w:rPr>
        <w:t>l</w:t>
      </w:r>
      <w:r w:rsidR="00BE5FF0">
        <w:rPr>
          <w:lang w:val="fr-FR"/>
        </w:rPr>
        <w:t>’</w:t>
      </w:r>
      <w:r w:rsidRPr="00B76B3A">
        <w:rPr>
          <w:lang w:val="fr-FR"/>
        </w:rPr>
        <w:t>auteur un recours utile, notamment sous la forme d</w:t>
      </w:r>
      <w:r w:rsidR="00BE5FF0">
        <w:rPr>
          <w:lang w:val="fr-FR"/>
        </w:rPr>
        <w:t>’</w:t>
      </w:r>
      <w:r w:rsidRPr="00B76B3A">
        <w:rPr>
          <w:lang w:val="fr-FR"/>
        </w:rPr>
        <w:t>un réexamen complet d</w:t>
      </w:r>
      <w:r w:rsidR="005624A3">
        <w:rPr>
          <w:lang w:val="fr-FR"/>
        </w:rPr>
        <w:t>e ses</w:t>
      </w:r>
      <w:r w:rsidRPr="00B76B3A">
        <w:rPr>
          <w:lang w:val="fr-FR"/>
        </w:rPr>
        <w:t xml:space="preserve"> grief</w:t>
      </w:r>
      <w:r>
        <w:rPr>
          <w:lang w:val="fr-FR"/>
        </w:rPr>
        <w:t xml:space="preserve">s </w:t>
      </w:r>
      <w:r w:rsidRPr="00B76B3A">
        <w:rPr>
          <w:lang w:val="fr-FR"/>
        </w:rPr>
        <w:t>relatif</w:t>
      </w:r>
      <w:r>
        <w:rPr>
          <w:lang w:val="fr-FR"/>
        </w:rPr>
        <w:t>s</w:t>
      </w:r>
      <w:r w:rsidRPr="00B76B3A">
        <w:rPr>
          <w:lang w:val="fr-FR"/>
        </w:rPr>
        <w:t xml:space="preserve"> au risque qu</w:t>
      </w:r>
      <w:r w:rsidR="00BE5FF0">
        <w:rPr>
          <w:lang w:val="fr-FR"/>
        </w:rPr>
        <w:t>’</w:t>
      </w:r>
      <w:r w:rsidRPr="00B76B3A">
        <w:rPr>
          <w:lang w:val="fr-FR"/>
        </w:rPr>
        <w:t>elle soit soumise à un traitement contraire à l</w:t>
      </w:r>
      <w:r w:rsidR="00BE5FF0">
        <w:rPr>
          <w:lang w:val="fr-FR"/>
        </w:rPr>
        <w:t>’</w:t>
      </w:r>
      <w:r w:rsidRPr="00B76B3A">
        <w:rPr>
          <w:lang w:val="fr-FR"/>
        </w:rPr>
        <w:t>article 7</w:t>
      </w:r>
      <w:r>
        <w:rPr>
          <w:lang w:val="fr-FR"/>
        </w:rPr>
        <w:t xml:space="preserve"> si elle était renvoyée</w:t>
      </w:r>
      <w:r w:rsidRPr="00B76B3A">
        <w:rPr>
          <w:lang w:val="fr-FR"/>
        </w:rPr>
        <w:t xml:space="preserve"> au Bangladesh, eu égard aux obligations de l</w:t>
      </w:r>
      <w:r w:rsidR="00BE5FF0">
        <w:rPr>
          <w:lang w:val="fr-FR"/>
        </w:rPr>
        <w:t>’</w:t>
      </w:r>
      <w:r>
        <w:rPr>
          <w:lang w:val="fr-FR"/>
        </w:rPr>
        <w:t>État partie en vertu du Pacte et aux présentes constatations du Comité. En attendant, l</w:t>
      </w:r>
      <w:r w:rsidR="00BE5FF0">
        <w:rPr>
          <w:lang w:val="fr-FR"/>
        </w:rPr>
        <w:t>’</w:t>
      </w:r>
      <w:r>
        <w:rPr>
          <w:lang w:val="fr-FR"/>
        </w:rPr>
        <w:t>État partie est prié de ne pas expulser l</w:t>
      </w:r>
      <w:r w:rsidR="00BE5FF0">
        <w:rPr>
          <w:lang w:val="fr-FR"/>
        </w:rPr>
        <w:t>’</w:t>
      </w:r>
      <w:r>
        <w:rPr>
          <w:lang w:val="fr-FR"/>
        </w:rPr>
        <w:t>auteur vers le Bangladesh tant que sa demande d</w:t>
      </w:r>
      <w:r w:rsidR="00BE5FF0">
        <w:rPr>
          <w:lang w:val="fr-FR"/>
        </w:rPr>
        <w:t>’</w:t>
      </w:r>
      <w:r>
        <w:rPr>
          <w:lang w:val="fr-FR"/>
        </w:rPr>
        <w:t>asile n</w:t>
      </w:r>
      <w:r w:rsidR="00BE5FF0">
        <w:rPr>
          <w:lang w:val="fr-FR"/>
        </w:rPr>
        <w:t>’</w:t>
      </w:r>
      <w:r>
        <w:rPr>
          <w:lang w:val="fr-FR"/>
        </w:rPr>
        <w:t>aura pas été réexaminée.</w:t>
      </w:r>
      <w:r w:rsidRPr="00B76B3A">
        <w:rPr>
          <w:lang w:val="fr-FR"/>
        </w:rPr>
        <w:t xml:space="preserve"> L</w:t>
      </w:r>
      <w:r w:rsidR="00BE5FF0">
        <w:rPr>
          <w:lang w:val="fr-FR"/>
        </w:rPr>
        <w:t>’</w:t>
      </w:r>
      <w:r w:rsidRPr="00B76B3A">
        <w:rPr>
          <w:lang w:val="fr-FR"/>
        </w:rPr>
        <w:t>État</w:t>
      </w:r>
      <w:r>
        <w:rPr>
          <w:lang w:val="fr-FR"/>
        </w:rPr>
        <w:t> </w:t>
      </w:r>
      <w:r w:rsidRPr="00B76B3A">
        <w:rPr>
          <w:lang w:val="fr-FR"/>
        </w:rPr>
        <w:t>partie est en outre tenu de veiller à ce que des violations analogues ne se reproduisent pas à l</w:t>
      </w:r>
      <w:r w:rsidR="00BE5FF0">
        <w:rPr>
          <w:lang w:val="fr-FR"/>
        </w:rPr>
        <w:t>’</w:t>
      </w:r>
      <w:r w:rsidRPr="00B76B3A">
        <w:rPr>
          <w:lang w:val="fr-FR"/>
        </w:rPr>
        <w:t>avenir.</w:t>
      </w:r>
    </w:p>
    <w:p w:rsidR="008A492C" w:rsidRPr="00B76B3A" w:rsidRDefault="008A492C" w:rsidP="008A492C">
      <w:pPr>
        <w:pStyle w:val="SingleTxtG"/>
        <w:rPr>
          <w:lang w:val="fr-FR"/>
        </w:rPr>
      </w:pPr>
      <w:r w:rsidRPr="00B76B3A">
        <w:rPr>
          <w:lang w:val="fr-FR"/>
        </w:rPr>
        <w:t>10.</w:t>
      </w:r>
      <w:r w:rsidRPr="00B76B3A">
        <w:rPr>
          <w:lang w:val="fr-FR"/>
        </w:rPr>
        <w:tab/>
        <w:t>Étant donné qu</w:t>
      </w:r>
      <w:r w:rsidR="00BE5FF0">
        <w:rPr>
          <w:lang w:val="fr-FR"/>
        </w:rPr>
        <w:t>’</w:t>
      </w:r>
      <w:r w:rsidRPr="00B76B3A">
        <w:rPr>
          <w:lang w:val="fr-FR"/>
        </w:rPr>
        <w:t>en adhérant au Protocole facultatif l</w:t>
      </w:r>
      <w:r w:rsidR="00BE5FF0">
        <w:rPr>
          <w:lang w:val="fr-FR"/>
        </w:rPr>
        <w:t>’</w:t>
      </w:r>
      <w:r w:rsidRPr="00B76B3A">
        <w:rPr>
          <w:lang w:val="fr-FR"/>
        </w:rPr>
        <w:t>État partie a reconnu que le Comité avait compétence pour déterminer s</w:t>
      </w:r>
      <w:r w:rsidR="00BE5FF0">
        <w:rPr>
          <w:lang w:val="fr-FR"/>
        </w:rPr>
        <w:t>’</w:t>
      </w:r>
      <w:r w:rsidRPr="00B76B3A">
        <w:rPr>
          <w:lang w:val="fr-FR"/>
        </w:rPr>
        <w:t>il y avait eu ou non violation du Pacte et que, conformément à l</w:t>
      </w:r>
      <w:r w:rsidR="00BE5FF0">
        <w:rPr>
          <w:lang w:val="fr-FR"/>
        </w:rPr>
        <w:t>’</w:t>
      </w:r>
      <w:r w:rsidRPr="00B76B3A">
        <w:rPr>
          <w:lang w:val="fr-FR"/>
        </w:rPr>
        <w:t>article 2 du Pacte, il s</w:t>
      </w:r>
      <w:r w:rsidR="00BE5FF0">
        <w:rPr>
          <w:lang w:val="fr-FR"/>
        </w:rPr>
        <w:t>’</w:t>
      </w:r>
      <w:r w:rsidRPr="00B76B3A">
        <w:rPr>
          <w:lang w:val="fr-FR"/>
        </w:rPr>
        <w:t>est engagé à garantir à tous les individus se trouvant sur son territoire et</w:t>
      </w:r>
      <w:r>
        <w:rPr>
          <w:lang w:val="fr-FR"/>
        </w:rPr>
        <w:t xml:space="preserve"> </w:t>
      </w:r>
      <w:r w:rsidRPr="00B76B3A">
        <w:rPr>
          <w:lang w:val="fr-FR"/>
        </w:rPr>
        <w:t>relevant de sa juridiction les droits reconnus dans le Pacte, le Comité souhaite recevoir de l</w:t>
      </w:r>
      <w:r w:rsidR="00BE5FF0">
        <w:rPr>
          <w:lang w:val="fr-FR"/>
        </w:rPr>
        <w:t>’</w:t>
      </w:r>
      <w:r w:rsidRPr="00B76B3A">
        <w:rPr>
          <w:lang w:val="fr-FR"/>
        </w:rPr>
        <w:t>État partie, dans un délai de cent</w:t>
      </w:r>
      <w:r>
        <w:rPr>
          <w:lang w:val="fr-FR"/>
        </w:rPr>
        <w:t> </w:t>
      </w:r>
      <w:r w:rsidRPr="00B76B3A">
        <w:rPr>
          <w:lang w:val="fr-FR"/>
        </w:rPr>
        <w:t>quatre</w:t>
      </w:r>
      <w:r>
        <w:rPr>
          <w:lang w:val="fr-FR"/>
        </w:rPr>
        <w:noBreakHyphen/>
      </w:r>
      <w:r w:rsidRPr="00B76B3A">
        <w:rPr>
          <w:lang w:val="fr-FR"/>
        </w:rPr>
        <w:t>vingts jours, des renseignements sur les mesures prises pour donner effet à ses constatations. L</w:t>
      </w:r>
      <w:r w:rsidR="00BE5FF0">
        <w:rPr>
          <w:lang w:val="fr-FR"/>
        </w:rPr>
        <w:t>’</w:t>
      </w:r>
      <w:r w:rsidRPr="00B76B3A">
        <w:rPr>
          <w:lang w:val="fr-FR"/>
        </w:rPr>
        <w:t xml:space="preserve">État partie est invité en outre à rendre publiques les présentes constatations, à les faire traduire dans la langue officielle et à les diffuser largement. </w:t>
      </w:r>
    </w:p>
    <w:p w:rsidR="00E849E1" w:rsidRDefault="008A492C" w:rsidP="008A492C">
      <w:pPr>
        <w:pStyle w:val="SingleTxtG"/>
        <w:rPr>
          <w:lang w:val="fr-FR"/>
        </w:rPr>
      </w:pPr>
      <w:r w:rsidRPr="00B76B3A">
        <w:rPr>
          <w:lang w:val="fr-FR"/>
        </w:rPr>
        <w:t>[Adopté en anglais (version originale), en espagnol et en français. Paraîtra ultérieurement en arabe, en chinois et en russe dans le rapport annuel du Comité à l</w:t>
      </w:r>
      <w:r w:rsidR="00BE5FF0">
        <w:rPr>
          <w:lang w:val="fr-FR"/>
        </w:rPr>
        <w:t>’</w:t>
      </w:r>
      <w:r w:rsidRPr="00B76B3A">
        <w:rPr>
          <w:lang w:val="fr-FR"/>
        </w:rPr>
        <w:t>Assemblée générale.]</w:t>
      </w:r>
    </w:p>
    <w:p w:rsidR="008A492C" w:rsidRPr="008A492C" w:rsidRDefault="008A492C" w:rsidP="008A492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A492C" w:rsidRPr="008A492C" w:rsidSect="00BA6AD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09E" w:rsidRDefault="007B409E"/>
  </w:endnote>
  <w:endnote w:type="continuationSeparator" w:id="0">
    <w:p w:rsidR="007B409E" w:rsidRDefault="007B409E"/>
  </w:endnote>
  <w:endnote w:type="continuationNotice" w:id="1">
    <w:p w:rsidR="007B409E" w:rsidRPr="001252D7" w:rsidRDefault="007B409E" w:rsidP="001252D7">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F0" w:rsidRPr="00BA6ADE" w:rsidRDefault="00BE5FF0" w:rsidP="00BA6ADE">
    <w:pPr>
      <w:pStyle w:val="Footer"/>
      <w:tabs>
        <w:tab w:val="right" w:pos="9638"/>
      </w:tabs>
    </w:pPr>
    <w:r w:rsidRPr="00BA6ADE">
      <w:rPr>
        <w:b/>
        <w:sz w:val="18"/>
      </w:rPr>
      <w:fldChar w:fldCharType="begin"/>
    </w:r>
    <w:r w:rsidRPr="00BA6ADE">
      <w:rPr>
        <w:b/>
        <w:sz w:val="18"/>
      </w:rPr>
      <w:instrText xml:space="preserve"> PAGE  \* MERGEFORMAT </w:instrText>
    </w:r>
    <w:r w:rsidRPr="00BA6ADE">
      <w:rPr>
        <w:b/>
        <w:sz w:val="18"/>
      </w:rPr>
      <w:fldChar w:fldCharType="separate"/>
    </w:r>
    <w:r w:rsidR="00FB5EF6">
      <w:rPr>
        <w:b/>
        <w:noProof/>
        <w:sz w:val="18"/>
      </w:rPr>
      <w:t>12</w:t>
    </w:r>
    <w:r w:rsidRPr="00BA6ADE">
      <w:rPr>
        <w:b/>
        <w:sz w:val="18"/>
      </w:rPr>
      <w:fldChar w:fldCharType="end"/>
    </w:r>
    <w:r>
      <w:rPr>
        <w:b/>
        <w:sz w:val="18"/>
      </w:rPr>
      <w:tab/>
    </w:r>
    <w:r>
      <w:t>GE.13-47132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F0" w:rsidRPr="00BA6ADE" w:rsidRDefault="00BE5FF0" w:rsidP="00BA6ADE">
    <w:pPr>
      <w:pStyle w:val="Footer"/>
      <w:tabs>
        <w:tab w:val="right" w:pos="9638"/>
      </w:tabs>
      <w:rPr>
        <w:b/>
        <w:sz w:val="18"/>
      </w:rPr>
    </w:pPr>
    <w:r>
      <w:t>GE.13-47132</w:t>
    </w:r>
    <w:r>
      <w:tab/>
    </w:r>
    <w:r w:rsidRPr="00BA6ADE">
      <w:rPr>
        <w:b/>
        <w:sz w:val="18"/>
      </w:rPr>
      <w:fldChar w:fldCharType="begin"/>
    </w:r>
    <w:r w:rsidRPr="00BA6ADE">
      <w:rPr>
        <w:b/>
        <w:sz w:val="18"/>
      </w:rPr>
      <w:instrText xml:space="preserve"> PAGE  \* MERGEFORMAT </w:instrText>
    </w:r>
    <w:r w:rsidRPr="00BA6ADE">
      <w:rPr>
        <w:b/>
        <w:sz w:val="18"/>
      </w:rPr>
      <w:fldChar w:fldCharType="separate"/>
    </w:r>
    <w:r w:rsidR="00FB5EF6">
      <w:rPr>
        <w:b/>
        <w:noProof/>
        <w:sz w:val="18"/>
      </w:rPr>
      <w:t>13</w:t>
    </w:r>
    <w:r w:rsidRPr="00BA6AD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F0" w:rsidRDefault="00BE5FF0">
    <w:pPr>
      <w:pStyle w:val="Footer"/>
    </w:pPr>
    <w:r>
      <w:rPr>
        <w:sz w:val="20"/>
      </w:rPr>
      <w:t>GE.13-47132</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sidR="004B621A">
      <w:rPr>
        <w:sz w:val="20"/>
      </w:rPr>
      <w:t xml:space="preserve">  (F)    081013    09</w:t>
    </w:r>
    <w:r>
      <w:rPr>
        <w:sz w:val="20"/>
      </w:rPr>
      <w:t>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09E" w:rsidRPr="00D27D5E" w:rsidRDefault="007B409E" w:rsidP="00D27D5E">
      <w:pPr>
        <w:tabs>
          <w:tab w:val="right" w:pos="2155"/>
        </w:tabs>
        <w:spacing w:after="80"/>
        <w:ind w:left="680"/>
        <w:rPr>
          <w:u w:val="single"/>
        </w:rPr>
      </w:pPr>
      <w:r>
        <w:rPr>
          <w:u w:val="single"/>
        </w:rPr>
        <w:tab/>
      </w:r>
    </w:p>
  </w:footnote>
  <w:footnote w:type="continuationSeparator" w:id="0">
    <w:p w:rsidR="007B409E" w:rsidRDefault="007B409E" w:rsidP="00C84D9A">
      <w:pPr>
        <w:tabs>
          <w:tab w:val="right" w:pos="2155"/>
        </w:tabs>
        <w:spacing w:after="80"/>
        <w:ind w:left="680"/>
      </w:pPr>
      <w:r>
        <w:rPr>
          <w:u w:val="single"/>
        </w:rPr>
        <w:tab/>
      </w:r>
    </w:p>
  </w:footnote>
  <w:footnote w:type="continuationNotice" w:id="1">
    <w:p w:rsidR="007B409E" w:rsidRPr="001252D7" w:rsidRDefault="007B409E" w:rsidP="001252D7">
      <w:pPr>
        <w:spacing w:line="240" w:lineRule="auto"/>
        <w:rPr>
          <w:sz w:val="2"/>
          <w:szCs w:val="2"/>
        </w:rPr>
      </w:pPr>
    </w:p>
  </w:footnote>
  <w:footnote w:id="2">
    <w:p w:rsidR="00BE5FF0" w:rsidRPr="009427B6" w:rsidRDefault="00BE5FF0">
      <w:pPr>
        <w:pStyle w:val="FootnoteText"/>
      </w:pPr>
      <w:r>
        <w:tab/>
      </w:r>
      <w:r w:rsidRPr="009427B6">
        <w:rPr>
          <w:rStyle w:val="FootnoteReference"/>
          <w:sz w:val="20"/>
          <w:vertAlign w:val="baseline"/>
        </w:rPr>
        <w:t>*</w:t>
      </w:r>
      <w:r>
        <w:rPr>
          <w:sz w:val="20"/>
        </w:rPr>
        <w:tab/>
      </w:r>
      <w:r>
        <w:t xml:space="preserve">Les membres du Comité dont le nom suit ont participé à l’examen de la communication: </w:t>
      </w:r>
      <w:r>
        <w:rPr>
          <w:szCs w:val="18"/>
        </w:rPr>
        <w:t>M. Yadh Ben Achour,</w:t>
      </w:r>
      <w:r w:rsidRPr="002251B8">
        <w:rPr>
          <w:szCs w:val="18"/>
        </w:rPr>
        <w:t xml:space="preserve"> </w:t>
      </w:r>
      <w:r>
        <w:rPr>
          <w:bCs/>
          <w:szCs w:val="18"/>
        </w:rPr>
        <w:t>M</w:t>
      </w:r>
      <w:r w:rsidRPr="009131F3">
        <w:rPr>
          <w:bCs/>
          <w:szCs w:val="18"/>
        </w:rPr>
        <w:t xml:space="preserve">. Lazhari Bouzid, </w:t>
      </w:r>
      <w:r>
        <w:rPr>
          <w:bCs/>
          <w:szCs w:val="18"/>
          <w:lang w:val="en-US"/>
        </w:rPr>
        <w:t>M</w:t>
      </w:r>
      <w:r w:rsidRPr="00486BAD">
        <w:rPr>
          <w:bCs/>
          <w:szCs w:val="18"/>
          <w:vertAlign w:val="superscript"/>
          <w:lang w:val="en-US"/>
        </w:rPr>
        <w:t>me</w:t>
      </w:r>
      <w:r>
        <w:rPr>
          <w:bCs/>
          <w:szCs w:val="18"/>
          <w:lang w:val="en-US"/>
        </w:rPr>
        <w:t xml:space="preserve"> Christine Chanet, </w:t>
      </w:r>
      <w:r>
        <w:rPr>
          <w:bCs/>
          <w:szCs w:val="18"/>
        </w:rPr>
        <w:t>M. </w:t>
      </w:r>
      <w:r w:rsidRPr="009131F3">
        <w:rPr>
          <w:bCs/>
          <w:szCs w:val="18"/>
        </w:rPr>
        <w:t>Cornelis Flinterman,</w:t>
      </w:r>
      <w:r>
        <w:rPr>
          <w:bCs/>
          <w:szCs w:val="18"/>
        </w:rPr>
        <w:t xml:space="preserve"> M. Yuji Iwasawa, M. Walter Kälin, </w:t>
      </w:r>
      <w:r w:rsidRPr="009427B6">
        <w:rPr>
          <w:bCs/>
          <w:szCs w:val="18"/>
        </w:rPr>
        <w:t>M</w:t>
      </w:r>
      <w:r w:rsidRPr="009427B6">
        <w:rPr>
          <w:bCs/>
          <w:szCs w:val="18"/>
          <w:vertAlign w:val="superscript"/>
        </w:rPr>
        <w:t>me</w:t>
      </w:r>
      <w:r w:rsidRPr="009427B6">
        <w:rPr>
          <w:bCs/>
          <w:szCs w:val="18"/>
        </w:rPr>
        <w:t> </w:t>
      </w:r>
      <w:r>
        <w:rPr>
          <w:bCs/>
          <w:szCs w:val="18"/>
        </w:rPr>
        <w:t xml:space="preserve">Zonke Zanele Majodina, M. Kheshoe Parsad </w:t>
      </w:r>
      <w:r w:rsidR="00C22906">
        <w:rPr>
          <w:bCs/>
          <w:szCs w:val="18"/>
        </w:rPr>
        <w:t>M</w:t>
      </w:r>
      <w:r>
        <w:rPr>
          <w:bCs/>
          <w:szCs w:val="18"/>
        </w:rPr>
        <w:t xml:space="preserve">atadeen, M. Gerald L. Neuman, Sir Nigel Rodley, M. Victor Manuel Rodríguez-Rescia, M. Fabián Omar Salvioli, </w:t>
      </w:r>
      <w:r w:rsidRPr="009427B6">
        <w:rPr>
          <w:bCs/>
          <w:szCs w:val="18"/>
        </w:rPr>
        <w:t>M</w:t>
      </w:r>
      <w:r w:rsidRPr="009427B6">
        <w:rPr>
          <w:bCs/>
          <w:szCs w:val="18"/>
          <w:vertAlign w:val="superscript"/>
        </w:rPr>
        <w:t>me</w:t>
      </w:r>
      <w:r w:rsidRPr="009427B6">
        <w:rPr>
          <w:bCs/>
          <w:szCs w:val="18"/>
        </w:rPr>
        <w:t> </w:t>
      </w:r>
      <w:r>
        <w:rPr>
          <w:bCs/>
          <w:szCs w:val="18"/>
        </w:rPr>
        <w:t>Anja Seibert</w:t>
      </w:r>
      <w:r>
        <w:rPr>
          <w:bCs/>
          <w:szCs w:val="18"/>
        </w:rPr>
        <w:noBreakHyphen/>
        <w:t xml:space="preserve">Fohr, M. Yuval Shany, </w:t>
      </w:r>
      <w:r>
        <w:rPr>
          <w:bCs/>
          <w:szCs w:val="18"/>
          <w:lang w:val="en-US"/>
        </w:rPr>
        <w:t>M. Konstantine Vardzelashvili et</w:t>
      </w:r>
      <w:r w:rsidRPr="009131F3">
        <w:rPr>
          <w:bCs/>
          <w:szCs w:val="18"/>
          <w:lang w:val="en-US"/>
        </w:rPr>
        <w:t xml:space="preserve"> </w:t>
      </w:r>
      <w:r>
        <w:rPr>
          <w:bCs/>
          <w:szCs w:val="18"/>
        </w:rPr>
        <w:t>M</w:t>
      </w:r>
      <w:r w:rsidRPr="00486BAD">
        <w:rPr>
          <w:bCs/>
          <w:szCs w:val="18"/>
          <w:vertAlign w:val="superscript"/>
          <w:lang w:val="en-US"/>
        </w:rPr>
        <w:t>me</w:t>
      </w:r>
      <w:r>
        <w:rPr>
          <w:bCs/>
          <w:szCs w:val="18"/>
          <w:lang w:val="en-US"/>
        </w:rPr>
        <w:t> </w:t>
      </w:r>
      <w:r>
        <w:rPr>
          <w:bCs/>
          <w:szCs w:val="18"/>
        </w:rPr>
        <w:t>Margo </w:t>
      </w:r>
      <w:r w:rsidRPr="009131F3">
        <w:rPr>
          <w:bCs/>
          <w:szCs w:val="18"/>
        </w:rPr>
        <w:t>Waterval.</w:t>
      </w:r>
    </w:p>
  </w:footnote>
  <w:footnote w:id="3">
    <w:p w:rsidR="00BE5FF0" w:rsidRPr="00C4442D" w:rsidRDefault="00BE5FF0" w:rsidP="004B14C6">
      <w:pPr>
        <w:pStyle w:val="FootnoteText"/>
      </w:pPr>
      <w:r w:rsidRPr="00C4442D">
        <w:tab/>
      </w:r>
      <w:r w:rsidRPr="00772449">
        <w:rPr>
          <w:rStyle w:val="FootnoteReference"/>
          <w:szCs w:val="18"/>
        </w:rPr>
        <w:footnoteRef/>
      </w:r>
      <w:r w:rsidRPr="00C4442D">
        <w:tab/>
      </w:r>
      <w:r>
        <w:t>L’article 377 du Code pénal bangladais</w:t>
      </w:r>
      <w:r w:rsidRPr="00C4442D">
        <w:t xml:space="preserve"> </w:t>
      </w:r>
      <w:r>
        <w:t>dispose que «</w:t>
      </w:r>
      <w:r w:rsidRPr="00C4442D">
        <w:t xml:space="preserve">quiconque </w:t>
      </w:r>
      <w:r>
        <w:t>a volontairement des rapports sexuel</w:t>
      </w:r>
      <w:r w:rsidRPr="00C4442D">
        <w:t xml:space="preserve">s contre nature avec un homme, une femme ou un animal est </w:t>
      </w:r>
      <w:r>
        <w:t>puni d’une peine</w:t>
      </w:r>
      <w:r w:rsidRPr="00C4442D">
        <w:t xml:space="preserve"> emprisonnement pouvant aller jusqu’à </w:t>
      </w:r>
      <w:r>
        <w:t>dix </w:t>
      </w:r>
      <w:r w:rsidRPr="00C4442D">
        <w:t xml:space="preserve">ans ou </w:t>
      </w:r>
      <w:r>
        <w:t xml:space="preserve">à </w:t>
      </w:r>
      <w:r w:rsidRPr="00C4442D">
        <w:t>perpétuité</w:t>
      </w:r>
      <w:r>
        <w:t>»</w:t>
      </w:r>
      <w:r w:rsidRPr="00C4442D">
        <w:t>.</w:t>
      </w:r>
    </w:p>
  </w:footnote>
  <w:footnote w:id="4">
    <w:p w:rsidR="00BE5FF0" w:rsidRPr="00C4442D" w:rsidRDefault="00BE5FF0" w:rsidP="008A492C">
      <w:pPr>
        <w:pStyle w:val="FootnoteText"/>
      </w:pPr>
      <w:r w:rsidRPr="00C4442D">
        <w:tab/>
      </w:r>
      <w:r w:rsidRPr="00772449">
        <w:rPr>
          <w:rStyle w:val="FootnoteReference"/>
          <w:szCs w:val="18"/>
        </w:rPr>
        <w:footnoteRef/>
      </w:r>
      <w:r w:rsidRPr="00C4442D">
        <w:tab/>
        <w:t xml:space="preserve">Le Comité note que dans sa décision, </w:t>
      </w:r>
      <w:r>
        <w:t xml:space="preserve">l’Office </w:t>
      </w:r>
      <w:r w:rsidRPr="00C4442D">
        <w:t xml:space="preserve">des migrations fait référence </w:t>
      </w:r>
      <w:r>
        <w:t xml:space="preserve">au </w:t>
      </w:r>
      <w:r w:rsidRPr="00C4442D">
        <w:t xml:space="preserve">rapport de 2007 du Ministère suédois des affaires étrangères sur les droits de l’homme </w:t>
      </w:r>
      <w:r>
        <w:t xml:space="preserve">au </w:t>
      </w:r>
      <w:r w:rsidRPr="00C4442D">
        <w:t xml:space="preserve">Bangladesh </w:t>
      </w:r>
      <w:r>
        <w:t>et au rapport du Home Office du Royaume-Uni intitulé «Bangladesh − Country of Origin Information Report» du 31 août 2007</w:t>
      </w:r>
      <w:r w:rsidR="006E3976">
        <w:t>.</w:t>
      </w:r>
    </w:p>
  </w:footnote>
  <w:footnote w:id="5">
    <w:p w:rsidR="00BE5FF0" w:rsidRPr="00D66BBA" w:rsidRDefault="00BE5FF0" w:rsidP="008A492C">
      <w:pPr>
        <w:pStyle w:val="FootnoteText"/>
      </w:pPr>
      <w:r w:rsidRPr="00D66BBA">
        <w:tab/>
      </w:r>
      <w:r w:rsidRPr="001E42CC">
        <w:rPr>
          <w:vertAlign w:val="superscript"/>
        </w:rPr>
        <w:footnoteRef/>
      </w:r>
      <w:r>
        <w:tab/>
        <w:t>Une</w:t>
      </w:r>
      <w:r w:rsidRPr="00D66BBA">
        <w:t xml:space="preserve"> copie d</w:t>
      </w:r>
      <w:r>
        <w:t>u rapport médical daté du 14 </w:t>
      </w:r>
      <w:r w:rsidRPr="00D66BBA">
        <w:t>octobre 2011 figure au dossier.</w:t>
      </w:r>
    </w:p>
  </w:footnote>
  <w:footnote w:id="6">
    <w:p w:rsidR="00BE5FF0" w:rsidRDefault="00BE5FF0">
      <w:pPr>
        <w:pStyle w:val="FootnoteText"/>
      </w:pPr>
      <w:r>
        <w:tab/>
      </w:r>
      <w:r>
        <w:rPr>
          <w:rStyle w:val="FootnoteReference"/>
        </w:rPr>
        <w:footnoteRef/>
      </w:r>
      <w:r>
        <w:tab/>
      </w:r>
      <w:r w:rsidRPr="00D66BBA">
        <w:t>L</w:t>
      </w:r>
      <w:r>
        <w:t xml:space="preserve">’auteur </w:t>
      </w:r>
      <w:r w:rsidRPr="00D66BBA">
        <w:t xml:space="preserve">fait référence </w:t>
      </w:r>
      <w:r>
        <w:t>à des</w:t>
      </w:r>
      <w:r w:rsidRPr="00D66BBA">
        <w:t xml:space="preserve"> rapport</w:t>
      </w:r>
      <w:r>
        <w:t xml:space="preserve">s du </w:t>
      </w:r>
      <w:r>
        <w:rPr>
          <w:rFonts w:eastAsia="MS Mincho"/>
        </w:rPr>
        <w:t xml:space="preserve">Haut-Commissariat des </w:t>
      </w:r>
      <w:r w:rsidRPr="001933DB">
        <w:rPr>
          <w:rFonts w:eastAsia="MS Mincho"/>
        </w:rPr>
        <w:t>Nations Unies</w:t>
      </w:r>
      <w:r>
        <w:rPr>
          <w:rFonts w:eastAsia="MS Mincho"/>
        </w:rPr>
        <w:t xml:space="preserve"> pour les réfugiés (HCR)</w:t>
      </w:r>
      <w:r w:rsidRPr="00D66BBA">
        <w:t xml:space="preserve"> </w:t>
      </w:r>
      <w:r>
        <w:t>et d’International Crisis Group. Elle cite aussi un rapp</w:t>
      </w:r>
      <w:r w:rsidR="00792B5C">
        <w:t>ort intitulé «Fleeing Homophobia</w:t>
      </w:r>
      <w:r>
        <w:t xml:space="preserve">: Asylum claims related to sexual orientation and gender identity in Europe», publié par Sabine Jansen et Thomas Spijkerboer, COC-Nederland et Université d’Amsterdam, septembre 2011. </w:t>
      </w:r>
    </w:p>
  </w:footnote>
  <w:footnote w:id="7">
    <w:p w:rsidR="00BE5FF0" w:rsidRDefault="00BE5FF0">
      <w:pPr>
        <w:pStyle w:val="FootnoteText"/>
      </w:pPr>
      <w:r>
        <w:tab/>
      </w:r>
      <w:r>
        <w:rPr>
          <w:rStyle w:val="FootnoteReference"/>
        </w:rPr>
        <w:footnoteRef/>
      </w:r>
      <w:r>
        <w:tab/>
      </w:r>
      <w:r w:rsidRPr="004D21EE">
        <w:t>L’auteur a joint plusieurs rapports sur la situation au Bangladesh émanant d’États et d’organisations non gouvernementales: un rapport établi en 2010 par le Département d’État des États</w:t>
      </w:r>
      <w:r w:rsidRPr="004D21EE">
        <w:noBreakHyphen/>
        <w:t>U</w:t>
      </w:r>
      <w:r>
        <w:t>nis sur les droits de l’homme −</w:t>
      </w:r>
      <w:r w:rsidRPr="004D21EE">
        <w:t xml:space="preserve"> Bangladesh (avril 2011), un rapport du Home Office (Ministère de l’intérieur) du R</w:t>
      </w:r>
      <w:r>
        <w:t>oyaume-Uni intitulé Bangladesh −</w:t>
      </w:r>
      <w:r w:rsidRPr="004D21EE">
        <w:t xml:space="preserve"> Country o</w:t>
      </w:r>
      <w:r>
        <w:t>f Origin Information Report (23 </w:t>
      </w:r>
      <w:r w:rsidRPr="004D21EE">
        <w:t>décembre 2011); un rapport de 2011 de Human Rights Watch, World Re</w:t>
      </w:r>
      <w:r>
        <w:t>port 2011</w:t>
      </w:r>
      <w:r w:rsidRPr="004D21EE">
        <w:t>: Bangladesh, Events of 2010 (janvier 2011)</w:t>
      </w:r>
      <w:r w:rsidR="001C544D">
        <w:t>,</w:t>
      </w:r>
      <w:r w:rsidRPr="004D21EE">
        <w:t xml:space="preserve"> un rapport de la Commission canadienne de l’immigration et du statut de réfugié intitulé </w:t>
      </w:r>
      <w:r w:rsidRPr="001C544D">
        <w:rPr>
          <w:i/>
        </w:rPr>
        <w:t>Bangladesh: Treatment of homosexuals, including legislation, availability of state protection and support services</w:t>
      </w:r>
      <w:r w:rsidRPr="004D21EE">
        <w:t xml:space="preserve"> (19 juillet 2010), et le rapport parallèle de Citizens’ Initiatives pour l’examen par le Comité pour l’élimination de la</w:t>
      </w:r>
      <w:r>
        <w:t xml:space="preserve"> </w:t>
      </w:r>
      <w:r w:rsidRPr="004D21EE">
        <w:t>discrimination à l’égard des femmes (juillet 2010) des sixième et septième rapports du Bangladesh</w:t>
      </w:r>
      <w:r>
        <w:t xml:space="preserve">. Le </w:t>
      </w:r>
      <w:r w:rsidRPr="004D21EE">
        <w:t>rapport du Département d’État des États-Unis indique que dans la pratique, la loi criminalisant l’homosexualité est rarement appliquée. En général, il</w:t>
      </w:r>
      <w:r>
        <w:t xml:space="preserve"> </w:t>
      </w:r>
      <w:r w:rsidRPr="004D21EE">
        <w:t>n’est pas fait état de persécutions à l’égard des homosexuels et les organisations de défense des droits des homosexuels restent non officielles et ne peuvent pas mettre en place des institutions stables en raison des risques de descente de police. En outre, les passages de ces rapports que l’auteur cite soulignent que les actes homosexuels sont réprimés par l’article</w:t>
      </w:r>
      <w:r>
        <w:t xml:space="preserve"> </w:t>
      </w:r>
      <w:r w:rsidRPr="004D21EE">
        <w:t>377 du Code pénal bangladais. Certains font également référence à la situation des lesbiennes et notent que le sort de la quasi-totalité des musulmanes est de se marier et d’avoir des enfants. Les lesbiennes sont rejetées et raillées</w:t>
      </w:r>
      <w:r w:rsidR="00885023">
        <w:t>,</w:t>
      </w:r>
      <w:r w:rsidRPr="004D21EE">
        <w:t xml:space="preserve"> et l’homosexualité féminine est tenue secrète pour que les chances de mariage des filles ne soient pas compromises. Citizens’ Initiatives indique toutefois que de nouvelles études montrent que les minorités sexuelles, en particulier les hijras et les personnes transgenres ou transsexuelles, font l’objet de persécutions systématiques de la part d’agents de l’État, qui invoquent une autre disposition du Code pénal, l’article</w:t>
      </w:r>
      <w:r>
        <w:t xml:space="preserve"> </w:t>
      </w:r>
      <w:r w:rsidRPr="004D21EE">
        <w:t>54, pour procéder à</w:t>
      </w:r>
      <w:r>
        <w:t xml:space="preserve"> </w:t>
      </w:r>
      <w:r w:rsidRPr="004D21EE">
        <w:t xml:space="preserve">des arrestations sans mandat en cas de comportement </w:t>
      </w:r>
      <w:r>
        <w:t>«</w:t>
      </w:r>
      <w:r w:rsidRPr="004D21EE">
        <w:t>suspect</w:t>
      </w:r>
      <w:r>
        <w:t>»</w:t>
      </w:r>
      <w:r w:rsidRPr="004D21EE">
        <w:t>. L’organisation ajoute qu’il est un fait notoire que la police commet de graves atteintes aux droits des minorités sexuelles en invoquant l’article</w:t>
      </w:r>
      <w:r>
        <w:t xml:space="preserve"> </w:t>
      </w:r>
      <w:r w:rsidRPr="004D21EE">
        <w:t>54 et que le harcèlement, les violences physiques et sexuelles et l’extorsion, ainsi que l’arrestation et la détention arbitraires, sont des formes courantes de la violence à laquelle ces groupes sont exposés.</w:t>
      </w:r>
    </w:p>
  </w:footnote>
  <w:footnote w:id="8">
    <w:p w:rsidR="00BE5FF0" w:rsidRDefault="00BE5FF0" w:rsidP="008A492C">
      <w:pPr>
        <w:pStyle w:val="FootnoteText"/>
      </w:pPr>
      <w:r>
        <w:tab/>
      </w:r>
      <w:r>
        <w:rPr>
          <w:rStyle w:val="FootnoteReference"/>
        </w:rPr>
        <w:footnoteRef/>
      </w:r>
      <w:r>
        <w:tab/>
      </w:r>
      <w:r w:rsidRPr="00D66BBA">
        <w:t>L</w:t>
      </w:r>
      <w:r>
        <w:t>’</w:t>
      </w:r>
      <w:r w:rsidRPr="00D66BBA">
        <w:t>État partie fait référence au</w:t>
      </w:r>
      <w:r>
        <w:t>x</w:t>
      </w:r>
      <w:r w:rsidRPr="00D66BBA">
        <w:t xml:space="preserve"> rapport</w:t>
      </w:r>
      <w:r>
        <w:t xml:space="preserve">s suivants: </w:t>
      </w:r>
      <w:r w:rsidR="00054BE4">
        <w:t>R</w:t>
      </w:r>
      <w:r>
        <w:t>apport</w:t>
      </w:r>
      <w:r w:rsidRPr="00D66BBA">
        <w:t xml:space="preserve"> 2010 du Ministère suédois des affaires étrangères sur</w:t>
      </w:r>
      <w:r>
        <w:t xml:space="preserve"> </w:t>
      </w:r>
      <w:r w:rsidRPr="00D66BBA">
        <w:t>les</w:t>
      </w:r>
      <w:r>
        <w:t xml:space="preserve"> </w:t>
      </w:r>
      <w:r w:rsidRPr="00D66BBA">
        <w:t>droits</w:t>
      </w:r>
      <w:r>
        <w:t> </w:t>
      </w:r>
      <w:r w:rsidRPr="00D66BBA">
        <w:t>de l</w:t>
      </w:r>
      <w:r>
        <w:t>’</w:t>
      </w:r>
      <w:r w:rsidRPr="00D66BBA">
        <w:t xml:space="preserve">homme au Bangladesh (juin 2011), </w:t>
      </w:r>
      <w:r w:rsidR="00054BE4" w:rsidRPr="00D66BBA">
        <w:t>R</w:t>
      </w:r>
      <w:r w:rsidRPr="00D66BBA">
        <w:t xml:space="preserve">apport du Ministère </w:t>
      </w:r>
      <w:r>
        <w:t xml:space="preserve">de l’intérieur du Royaume-Uni intitulé </w:t>
      </w:r>
      <w:r w:rsidRPr="00054BE4">
        <w:rPr>
          <w:i/>
        </w:rPr>
        <w:t>Bangladesh − Country of Origin Information Report</w:t>
      </w:r>
      <w:r>
        <w:t xml:space="preserve"> </w:t>
      </w:r>
      <w:r w:rsidRPr="00D66BBA">
        <w:t>(30</w:t>
      </w:r>
      <w:r>
        <w:t> </w:t>
      </w:r>
      <w:r w:rsidR="00FF3813">
        <w:t xml:space="preserve">septembre 2012), </w:t>
      </w:r>
      <w:r w:rsidR="00054BE4" w:rsidRPr="00D66BBA">
        <w:t>R</w:t>
      </w:r>
      <w:r w:rsidRPr="00D66BBA">
        <w:t>apport 2011 du Département d</w:t>
      </w:r>
      <w:r>
        <w:t>’</w:t>
      </w:r>
      <w:r w:rsidRPr="00D66BBA">
        <w:t>État américain sur les pratiques des pays en matière de droits de l</w:t>
      </w:r>
      <w:r>
        <w:t>’</w:t>
      </w:r>
      <w:r w:rsidRPr="00D66BBA">
        <w:t xml:space="preserve">homme </w:t>
      </w:r>
      <w:r>
        <w:t>−</w:t>
      </w:r>
      <w:r w:rsidRPr="00D66BBA">
        <w:t xml:space="preserve"> Bangladesh (24</w:t>
      </w:r>
      <w:r>
        <w:t> </w:t>
      </w:r>
      <w:r w:rsidRPr="00D66BBA">
        <w:t>mai 2012).</w:t>
      </w:r>
    </w:p>
  </w:footnote>
  <w:footnote w:id="9">
    <w:p w:rsidR="00BE5FF0" w:rsidRPr="00FA2C32" w:rsidRDefault="00BE5FF0" w:rsidP="008A492C">
      <w:pPr>
        <w:pStyle w:val="FootnoteText"/>
        <w:rPr>
          <w:szCs w:val="18"/>
        </w:rPr>
      </w:pPr>
      <w:r>
        <w:tab/>
      </w:r>
      <w:r>
        <w:rPr>
          <w:rStyle w:val="FootnoteReference"/>
        </w:rPr>
        <w:footnoteRef/>
      </w:r>
      <w:r>
        <w:tab/>
      </w:r>
      <w:r w:rsidRPr="00FA2C32">
        <w:rPr>
          <w:szCs w:val="18"/>
        </w:rPr>
        <w:t>Le Comité note qu’à l’adresse communiquée par l’auteur (</w:t>
      </w:r>
      <w:hyperlink r:id="rId1" w:history="1">
        <w:r w:rsidRPr="00FA2C32">
          <w:rPr>
            <w:rStyle w:val="Hyperlink"/>
            <w:szCs w:val="18"/>
          </w:rPr>
          <w:t>http://media-bangladesh.com/media-details.php?mid=63</w:t>
        </w:r>
      </w:hyperlink>
      <w:r w:rsidRPr="00FA2C32">
        <w:rPr>
          <w:szCs w:val="18"/>
        </w:rPr>
        <w:t>) figure</w:t>
      </w:r>
      <w:r>
        <w:rPr>
          <w:szCs w:val="18"/>
        </w:rPr>
        <w:t xml:space="preserve"> </w:t>
      </w:r>
      <w:r w:rsidRPr="00FA2C32">
        <w:rPr>
          <w:szCs w:val="18"/>
        </w:rPr>
        <w:t xml:space="preserve">une liste de noms de personnes et d’institutions </w:t>
      </w:r>
      <w:r>
        <w:rPr>
          <w:szCs w:val="18"/>
        </w:rPr>
        <w:t xml:space="preserve">liées aux médias bangladais; elle donne l’adresse et les numéros de téléphone et de télécopie du journal </w:t>
      </w:r>
      <w:r>
        <w:rPr>
          <w:i/>
          <w:lang w:val="fr-FR"/>
        </w:rPr>
        <w:t>Dainik </w:t>
      </w:r>
      <w:r w:rsidRPr="00B76B3A">
        <w:rPr>
          <w:i/>
          <w:lang w:val="fr-FR"/>
        </w:rPr>
        <w:t>Nowroj</w:t>
      </w:r>
      <w:r>
        <w:rPr>
          <w:lang w:val="fr-FR"/>
        </w:rPr>
        <w:t>, ainsi que les noms des personnes qui y travaillent.</w:t>
      </w:r>
    </w:p>
  </w:footnote>
  <w:footnote w:id="10">
    <w:p w:rsidR="00BE5FF0" w:rsidRDefault="00BE5FF0" w:rsidP="002A33BC">
      <w:pPr>
        <w:pStyle w:val="FootnoteText"/>
      </w:pPr>
      <w:r>
        <w:tab/>
      </w:r>
      <w:r>
        <w:rPr>
          <w:rStyle w:val="FootnoteReference"/>
        </w:rPr>
        <w:footnoteRef/>
      </w:r>
      <w:r>
        <w:tab/>
      </w:r>
      <w:r w:rsidRPr="00D66BBA">
        <w:t>Voir l</w:t>
      </w:r>
      <w:r>
        <w:t>’</w:t>
      </w:r>
      <w:r w:rsidRPr="00D66BBA">
        <w:t xml:space="preserve">Observation générale </w:t>
      </w:r>
      <w:r>
        <w:rPr>
          <w:rFonts w:eastAsia="MS Mincho"/>
        </w:rPr>
        <w:t>n</w:t>
      </w:r>
      <w:r>
        <w:rPr>
          <w:rFonts w:eastAsia="MS Mincho"/>
          <w:vertAlign w:val="superscript"/>
        </w:rPr>
        <w:t>o</w:t>
      </w:r>
      <w:r>
        <w:t> </w:t>
      </w:r>
      <w:r w:rsidRPr="00D66BBA">
        <w:t>31 (2004) du Comité sur la nature de l</w:t>
      </w:r>
      <w:r>
        <w:t>’</w:t>
      </w:r>
      <w:r w:rsidRPr="00D66BBA">
        <w:t>obligation juridique générale imposée aux États parties au Pacte, par.</w:t>
      </w:r>
      <w:r>
        <w:t xml:space="preserve"> 12, </w:t>
      </w:r>
      <w:r w:rsidRPr="002A33BC">
        <w:rPr>
          <w:i/>
        </w:rPr>
        <w:t>Documents officiels de l’</w:t>
      </w:r>
      <w:r>
        <w:rPr>
          <w:i/>
        </w:rPr>
        <w:t>Assemblée générale, cinquante</w:t>
      </w:r>
      <w:r>
        <w:rPr>
          <w:i/>
        </w:rPr>
        <w:noBreakHyphen/>
      </w:r>
      <w:r w:rsidRPr="002A33BC">
        <w:rPr>
          <w:i/>
        </w:rPr>
        <w:t xml:space="preserve">neuvième session, Supplément </w:t>
      </w:r>
      <w:r w:rsidRPr="002A33BC">
        <w:rPr>
          <w:rFonts w:eastAsia="MS Mincho"/>
          <w:i/>
        </w:rPr>
        <w:t>n</w:t>
      </w:r>
      <w:r w:rsidRPr="002A33BC">
        <w:rPr>
          <w:rFonts w:eastAsia="MS Mincho"/>
          <w:i/>
          <w:vertAlign w:val="superscript"/>
        </w:rPr>
        <w:t>o</w:t>
      </w:r>
      <w:r w:rsidRPr="002A33BC">
        <w:rPr>
          <w:rFonts w:eastAsia="MS Mincho"/>
          <w:i/>
        </w:rPr>
        <w:t> 40</w:t>
      </w:r>
      <w:r w:rsidRPr="002A33BC">
        <w:rPr>
          <w:rFonts w:eastAsia="MS Mincho"/>
        </w:rPr>
        <w:t>, vol. I</w:t>
      </w:r>
      <w:r>
        <w:rPr>
          <w:rFonts w:eastAsia="MS Mincho"/>
        </w:rPr>
        <w:t xml:space="preserve"> (A/59/40 (vol. I)), annexe III.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F0" w:rsidRPr="00BA6ADE" w:rsidRDefault="00BE5FF0">
    <w:pPr>
      <w:pStyle w:val="Header"/>
    </w:pPr>
    <w:r>
      <w:t>CCPR/C/108/D/2149/2012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F0" w:rsidRPr="00BA6ADE" w:rsidRDefault="00BE5FF0" w:rsidP="00BA6ADE">
    <w:pPr>
      <w:pStyle w:val="Header"/>
      <w:jc w:val="right"/>
    </w:pPr>
    <w:r>
      <w:t>CCPR/C/108/D/2149/2012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36"/>
  </w:num>
  <w:num w:numId="2">
    <w:abstractNumId w:val="22"/>
  </w:num>
  <w:num w:numId="3">
    <w:abstractNumId w:val="36"/>
  </w:num>
  <w:num w:numId="4">
    <w:abstractNumId w:val="22"/>
  </w:num>
  <w:num w:numId="5">
    <w:abstractNumId w:val="36"/>
  </w:num>
  <w:num w:numId="6">
    <w:abstractNumId w:val="22"/>
  </w:num>
  <w:num w:numId="7">
    <w:abstractNumId w:val="36"/>
  </w:num>
  <w:num w:numId="8">
    <w:abstractNumId w:val="22"/>
  </w:num>
  <w:num w:numId="9">
    <w:abstractNumId w:val="14"/>
  </w:num>
  <w:num w:numId="10">
    <w:abstractNumId w:val="40"/>
  </w:num>
  <w:num w:numId="11">
    <w:abstractNumId w:val="18"/>
  </w:num>
  <w:num w:numId="12">
    <w:abstractNumId w:val="11"/>
  </w:num>
  <w:num w:numId="13">
    <w:abstractNumId w:val="20"/>
  </w:num>
  <w:num w:numId="14">
    <w:abstractNumId w:val="25"/>
  </w:num>
  <w:num w:numId="15">
    <w:abstractNumId w:val="38"/>
  </w:num>
  <w:num w:numId="16">
    <w:abstractNumId w:val="31"/>
  </w:num>
  <w:num w:numId="17">
    <w:abstractNumId w:val="41"/>
  </w:num>
  <w:num w:numId="18">
    <w:abstractNumId w:val="29"/>
  </w:num>
  <w:num w:numId="19">
    <w:abstractNumId w:val="35"/>
  </w:num>
  <w:num w:numId="20">
    <w:abstractNumId w:val="23"/>
  </w:num>
  <w:num w:numId="21">
    <w:abstractNumId w:val="1"/>
  </w:num>
  <w:num w:numId="22">
    <w:abstractNumId w:val="0"/>
  </w:num>
  <w:num w:numId="23">
    <w:abstractNumId w:val="19"/>
  </w:num>
  <w:num w:numId="24">
    <w:abstractNumId w:val="10"/>
  </w:num>
  <w:num w:numId="25">
    <w:abstractNumId w:val="15"/>
  </w:num>
  <w:num w:numId="26">
    <w:abstractNumId w:val="12"/>
  </w:num>
  <w:num w:numId="27">
    <w:abstractNumId w:val="26"/>
  </w:num>
  <w:num w:numId="28">
    <w:abstractNumId w:val="33"/>
  </w:num>
  <w:num w:numId="29">
    <w:abstractNumId w:val="2"/>
  </w:num>
  <w:num w:numId="30">
    <w:abstractNumId w:val="3"/>
  </w:num>
  <w:num w:numId="31">
    <w:abstractNumId w:val="8"/>
  </w:num>
  <w:num w:numId="32">
    <w:abstractNumId w:val="9"/>
  </w:num>
  <w:num w:numId="33">
    <w:abstractNumId w:val="7"/>
  </w:num>
  <w:num w:numId="34">
    <w:abstractNumId w:val="6"/>
  </w:num>
  <w:num w:numId="35">
    <w:abstractNumId w:val="5"/>
  </w:num>
  <w:num w:numId="36">
    <w:abstractNumId w:val="4"/>
  </w:num>
  <w:num w:numId="37">
    <w:abstractNumId w:val="13"/>
  </w:num>
  <w:num w:numId="38">
    <w:abstractNumId w:val="39"/>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1446"/>
    <w:rsid w:val="00016AC5"/>
    <w:rsid w:val="0003656C"/>
    <w:rsid w:val="0004719E"/>
    <w:rsid w:val="00054BE4"/>
    <w:rsid w:val="00065ECB"/>
    <w:rsid w:val="0007545B"/>
    <w:rsid w:val="000830D2"/>
    <w:rsid w:val="000C461C"/>
    <w:rsid w:val="000D263A"/>
    <w:rsid w:val="000D680E"/>
    <w:rsid w:val="000E77B9"/>
    <w:rsid w:val="000F41F2"/>
    <w:rsid w:val="001252D7"/>
    <w:rsid w:val="001472B7"/>
    <w:rsid w:val="00160540"/>
    <w:rsid w:val="00170070"/>
    <w:rsid w:val="00177351"/>
    <w:rsid w:val="0018169F"/>
    <w:rsid w:val="00192EEB"/>
    <w:rsid w:val="001933DB"/>
    <w:rsid w:val="001A20FB"/>
    <w:rsid w:val="001C16FD"/>
    <w:rsid w:val="001C4EEA"/>
    <w:rsid w:val="001C544D"/>
    <w:rsid w:val="001E3FEB"/>
    <w:rsid w:val="001E4A02"/>
    <w:rsid w:val="001F4675"/>
    <w:rsid w:val="00225E54"/>
    <w:rsid w:val="00237F7A"/>
    <w:rsid w:val="0024293A"/>
    <w:rsid w:val="002466AE"/>
    <w:rsid w:val="0025063E"/>
    <w:rsid w:val="002659F1"/>
    <w:rsid w:val="00277892"/>
    <w:rsid w:val="00287E79"/>
    <w:rsid w:val="002928F9"/>
    <w:rsid w:val="002A33BC"/>
    <w:rsid w:val="002A5D07"/>
    <w:rsid w:val="002B2F34"/>
    <w:rsid w:val="002C470F"/>
    <w:rsid w:val="002D4A0E"/>
    <w:rsid w:val="003016B7"/>
    <w:rsid w:val="003101C6"/>
    <w:rsid w:val="0031186B"/>
    <w:rsid w:val="00314737"/>
    <w:rsid w:val="00332F05"/>
    <w:rsid w:val="0034214E"/>
    <w:rsid w:val="003424C1"/>
    <w:rsid w:val="003515AA"/>
    <w:rsid w:val="0036726B"/>
    <w:rsid w:val="00374106"/>
    <w:rsid w:val="0038474B"/>
    <w:rsid w:val="00385399"/>
    <w:rsid w:val="003976D5"/>
    <w:rsid w:val="003B4CBD"/>
    <w:rsid w:val="003B7C09"/>
    <w:rsid w:val="003C6783"/>
    <w:rsid w:val="003D6C68"/>
    <w:rsid w:val="003F5551"/>
    <w:rsid w:val="00410AD1"/>
    <w:rsid w:val="00414794"/>
    <w:rsid w:val="004159D0"/>
    <w:rsid w:val="00424FEB"/>
    <w:rsid w:val="00426729"/>
    <w:rsid w:val="0045523A"/>
    <w:rsid w:val="004649A7"/>
    <w:rsid w:val="004811D3"/>
    <w:rsid w:val="00481EC5"/>
    <w:rsid w:val="0049542D"/>
    <w:rsid w:val="004B14C6"/>
    <w:rsid w:val="004B621A"/>
    <w:rsid w:val="004C52E8"/>
    <w:rsid w:val="004C777F"/>
    <w:rsid w:val="004D21EE"/>
    <w:rsid w:val="004F2C80"/>
    <w:rsid w:val="005624A3"/>
    <w:rsid w:val="00571F41"/>
    <w:rsid w:val="00572B3F"/>
    <w:rsid w:val="005753C4"/>
    <w:rsid w:val="005D29C8"/>
    <w:rsid w:val="005E5D1F"/>
    <w:rsid w:val="00612D48"/>
    <w:rsid w:val="006148E5"/>
    <w:rsid w:val="00616B45"/>
    <w:rsid w:val="006312C9"/>
    <w:rsid w:val="00631953"/>
    <w:rsid w:val="00642728"/>
    <w:rsid w:val="006439EC"/>
    <w:rsid w:val="00644659"/>
    <w:rsid w:val="00663CB6"/>
    <w:rsid w:val="0068292B"/>
    <w:rsid w:val="006B4590"/>
    <w:rsid w:val="006C340C"/>
    <w:rsid w:val="006E1446"/>
    <w:rsid w:val="006E3976"/>
    <w:rsid w:val="0070347C"/>
    <w:rsid w:val="00720C4C"/>
    <w:rsid w:val="00736E0B"/>
    <w:rsid w:val="00757D82"/>
    <w:rsid w:val="00770A26"/>
    <w:rsid w:val="00782637"/>
    <w:rsid w:val="00792B5C"/>
    <w:rsid w:val="007B0586"/>
    <w:rsid w:val="007B409E"/>
    <w:rsid w:val="008154CA"/>
    <w:rsid w:val="0081795A"/>
    <w:rsid w:val="00817A26"/>
    <w:rsid w:val="00844750"/>
    <w:rsid w:val="008632EE"/>
    <w:rsid w:val="00875324"/>
    <w:rsid w:val="00880BF9"/>
    <w:rsid w:val="00885023"/>
    <w:rsid w:val="00886128"/>
    <w:rsid w:val="00886D12"/>
    <w:rsid w:val="008A492C"/>
    <w:rsid w:val="008D20CB"/>
    <w:rsid w:val="008E7FAE"/>
    <w:rsid w:val="008F0A07"/>
    <w:rsid w:val="008F7C94"/>
    <w:rsid w:val="009033FB"/>
    <w:rsid w:val="00903488"/>
    <w:rsid w:val="00911BF7"/>
    <w:rsid w:val="009427B6"/>
    <w:rsid w:val="009717AD"/>
    <w:rsid w:val="00977EC8"/>
    <w:rsid w:val="009B4252"/>
    <w:rsid w:val="009C41D0"/>
    <w:rsid w:val="009D3A8C"/>
    <w:rsid w:val="009E7956"/>
    <w:rsid w:val="009F7F79"/>
    <w:rsid w:val="00A2492E"/>
    <w:rsid w:val="00A25483"/>
    <w:rsid w:val="00A5299A"/>
    <w:rsid w:val="00A742E6"/>
    <w:rsid w:val="00A85799"/>
    <w:rsid w:val="00AC2A67"/>
    <w:rsid w:val="00AC7977"/>
    <w:rsid w:val="00AD41FE"/>
    <w:rsid w:val="00AE352C"/>
    <w:rsid w:val="00B00515"/>
    <w:rsid w:val="00B153ED"/>
    <w:rsid w:val="00B17B31"/>
    <w:rsid w:val="00B22B0B"/>
    <w:rsid w:val="00B30E58"/>
    <w:rsid w:val="00B32E2D"/>
    <w:rsid w:val="00B505E8"/>
    <w:rsid w:val="00B510C0"/>
    <w:rsid w:val="00B57784"/>
    <w:rsid w:val="00B61990"/>
    <w:rsid w:val="00B77F7F"/>
    <w:rsid w:val="00B955CB"/>
    <w:rsid w:val="00BA405E"/>
    <w:rsid w:val="00BA6ADE"/>
    <w:rsid w:val="00BB6E96"/>
    <w:rsid w:val="00BE5FF0"/>
    <w:rsid w:val="00BF0556"/>
    <w:rsid w:val="00C056EF"/>
    <w:rsid w:val="00C140BC"/>
    <w:rsid w:val="00C17857"/>
    <w:rsid w:val="00C22906"/>
    <w:rsid w:val="00C261F8"/>
    <w:rsid w:val="00C475CA"/>
    <w:rsid w:val="00C60408"/>
    <w:rsid w:val="00C64BA2"/>
    <w:rsid w:val="00C84D9A"/>
    <w:rsid w:val="00CB2BAF"/>
    <w:rsid w:val="00CC207F"/>
    <w:rsid w:val="00CC25DC"/>
    <w:rsid w:val="00CD1A71"/>
    <w:rsid w:val="00CD1FBB"/>
    <w:rsid w:val="00D016B5"/>
    <w:rsid w:val="00D034F1"/>
    <w:rsid w:val="00D03B55"/>
    <w:rsid w:val="00D12AC4"/>
    <w:rsid w:val="00D27D5E"/>
    <w:rsid w:val="00D43288"/>
    <w:rsid w:val="00D652C8"/>
    <w:rsid w:val="00D72637"/>
    <w:rsid w:val="00D77E85"/>
    <w:rsid w:val="00D80BC5"/>
    <w:rsid w:val="00DB681C"/>
    <w:rsid w:val="00DC2F07"/>
    <w:rsid w:val="00DE3E9A"/>
    <w:rsid w:val="00DE6D90"/>
    <w:rsid w:val="00DF002F"/>
    <w:rsid w:val="00DF5248"/>
    <w:rsid w:val="00DF5D80"/>
    <w:rsid w:val="00E0244D"/>
    <w:rsid w:val="00E02B22"/>
    <w:rsid w:val="00E50BEB"/>
    <w:rsid w:val="00E5485D"/>
    <w:rsid w:val="00E65FF7"/>
    <w:rsid w:val="00E758C5"/>
    <w:rsid w:val="00E81E94"/>
    <w:rsid w:val="00E82607"/>
    <w:rsid w:val="00E849E1"/>
    <w:rsid w:val="00E87B5D"/>
    <w:rsid w:val="00EA5BC9"/>
    <w:rsid w:val="00EB3164"/>
    <w:rsid w:val="00EC181F"/>
    <w:rsid w:val="00EC4AB1"/>
    <w:rsid w:val="00EC6E49"/>
    <w:rsid w:val="00F869D9"/>
    <w:rsid w:val="00FA5A79"/>
    <w:rsid w:val="00FB0BFE"/>
    <w:rsid w:val="00FB40E3"/>
    <w:rsid w:val="00FB439B"/>
    <w:rsid w:val="00FB4C51"/>
    <w:rsid w:val="00FB5EF6"/>
    <w:rsid w:val="00FD511F"/>
    <w:rsid w:val="00FF1DBD"/>
    <w:rsid w:val="00FF3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E54"/>
    <w:pPr>
      <w:suppressAutoHyphens/>
      <w:spacing w:line="240" w:lineRule="atLeast"/>
    </w:pPr>
    <w:rPr>
      <w:lang w:val="fr-CH"/>
    </w:rPr>
  </w:style>
  <w:style w:type="paragraph" w:styleId="Heading1">
    <w:name w:val="heading 1"/>
    <w:aliases w:val="Table_G"/>
    <w:basedOn w:val="SingleTxtG"/>
    <w:next w:val="SingleTxtG"/>
    <w:qFormat/>
    <w:rsid w:val="00225E54"/>
    <w:pPr>
      <w:keepNext/>
      <w:keepLines/>
      <w:spacing w:after="0" w:line="240" w:lineRule="auto"/>
      <w:ind w:right="0"/>
      <w:jc w:val="left"/>
      <w:outlineLvl w:val="0"/>
    </w:pPr>
  </w:style>
  <w:style w:type="paragraph" w:styleId="Heading2">
    <w:name w:val="heading 2"/>
    <w:basedOn w:val="Normal"/>
    <w:next w:val="Normal"/>
    <w:qFormat/>
    <w:rsid w:val="00225E54"/>
    <w:pPr>
      <w:outlineLvl w:val="1"/>
    </w:pPr>
  </w:style>
  <w:style w:type="paragraph" w:styleId="Heading3">
    <w:name w:val="heading 3"/>
    <w:basedOn w:val="Normal"/>
    <w:next w:val="Normal"/>
    <w:qFormat/>
    <w:rsid w:val="00225E54"/>
    <w:pPr>
      <w:outlineLvl w:val="2"/>
    </w:pPr>
  </w:style>
  <w:style w:type="paragraph" w:styleId="Heading4">
    <w:name w:val="heading 4"/>
    <w:basedOn w:val="Normal"/>
    <w:next w:val="Normal"/>
    <w:qFormat/>
    <w:rsid w:val="00225E54"/>
    <w:pPr>
      <w:outlineLvl w:val="3"/>
    </w:pPr>
  </w:style>
  <w:style w:type="paragraph" w:styleId="Heading5">
    <w:name w:val="heading 5"/>
    <w:basedOn w:val="Normal"/>
    <w:next w:val="Normal"/>
    <w:qFormat/>
    <w:rsid w:val="00225E54"/>
    <w:pPr>
      <w:outlineLvl w:val="4"/>
    </w:pPr>
  </w:style>
  <w:style w:type="paragraph" w:styleId="Heading6">
    <w:name w:val="heading 6"/>
    <w:basedOn w:val="Normal"/>
    <w:next w:val="Normal"/>
    <w:qFormat/>
    <w:rsid w:val="00225E54"/>
    <w:pPr>
      <w:outlineLvl w:val="5"/>
    </w:pPr>
  </w:style>
  <w:style w:type="paragraph" w:styleId="Heading7">
    <w:name w:val="heading 7"/>
    <w:basedOn w:val="Normal"/>
    <w:next w:val="Normal"/>
    <w:qFormat/>
    <w:rsid w:val="00225E54"/>
    <w:pPr>
      <w:outlineLvl w:val="6"/>
    </w:pPr>
  </w:style>
  <w:style w:type="paragraph" w:styleId="Heading8">
    <w:name w:val="heading 8"/>
    <w:basedOn w:val="Normal"/>
    <w:next w:val="Normal"/>
    <w:qFormat/>
    <w:rsid w:val="00225E54"/>
    <w:pPr>
      <w:outlineLvl w:val="7"/>
    </w:pPr>
  </w:style>
  <w:style w:type="paragraph" w:styleId="Heading9">
    <w:name w:val="heading 9"/>
    <w:basedOn w:val="Normal"/>
    <w:next w:val="Normal"/>
    <w:qFormat/>
    <w:rsid w:val="00225E54"/>
    <w:pPr>
      <w:outlineLvl w:val="8"/>
    </w:pPr>
  </w:style>
  <w:style w:type="character" w:default="1" w:styleId="DefaultParagraphFont">
    <w:name w:val="Default Paragraph Font"/>
    <w:semiHidden/>
    <w:rsid w:val="00225E5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25E54"/>
  </w:style>
  <w:style w:type="paragraph" w:customStyle="1" w:styleId="HMG">
    <w:name w:val="_ H __M_G"/>
    <w:basedOn w:val="Normal"/>
    <w:next w:val="Normal"/>
    <w:rsid w:val="00225E5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25E5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25E5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25E5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25E5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25E5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225E54"/>
    <w:pPr>
      <w:spacing w:after="120"/>
      <w:ind w:left="1134" w:right="1134"/>
      <w:jc w:val="both"/>
    </w:pPr>
  </w:style>
  <w:style w:type="paragraph" w:customStyle="1" w:styleId="SLG">
    <w:name w:val="__S_L_G"/>
    <w:basedOn w:val="Normal"/>
    <w:next w:val="Normal"/>
    <w:rsid w:val="00225E54"/>
    <w:pPr>
      <w:keepNext/>
      <w:keepLines/>
      <w:spacing w:before="240" w:after="240" w:line="580" w:lineRule="exact"/>
      <w:ind w:left="1134" w:right="1134"/>
    </w:pPr>
    <w:rPr>
      <w:b/>
      <w:sz w:val="56"/>
    </w:rPr>
  </w:style>
  <w:style w:type="paragraph" w:customStyle="1" w:styleId="SMG">
    <w:name w:val="__S_M_G"/>
    <w:basedOn w:val="Normal"/>
    <w:next w:val="Normal"/>
    <w:rsid w:val="00225E54"/>
    <w:pPr>
      <w:keepNext/>
      <w:keepLines/>
      <w:spacing w:before="240" w:after="240" w:line="420" w:lineRule="exact"/>
      <w:ind w:left="1134" w:right="1134"/>
    </w:pPr>
    <w:rPr>
      <w:b/>
      <w:sz w:val="40"/>
    </w:rPr>
  </w:style>
  <w:style w:type="paragraph" w:customStyle="1" w:styleId="SSG">
    <w:name w:val="__S_S_G"/>
    <w:basedOn w:val="Normal"/>
    <w:next w:val="Normal"/>
    <w:rsid w:val="00225E54"/>
    <w:pPr>
      <w:keepNext/>
      <w:keepLines/>
      <w:spacing w:before="240" w:after="240" w:line="300" w:lineRule="exact"/>
      <w:ind w:left="1134" w:right="1134"/>
    </w:pPr>
    <w:rPr>
      <w:b/>
      <w:sz w:val="28"/>
    </w:rPr>
  </w:style>
  <w:style w:type="paragraph" w:customStyle="1" w:styleId="XLargeG">
    <w:name w:val="__XLarge_G"/>
    <w:basedOn w:val="Normal"/>
    <w:next w:val="Normal"/>
    <w:rsid w:val="00225E54"/>
    <w:pPr>
      <w:keepNext/>
      <w:keepLines/>
      <w:spacing w:before="240" w:after="240" w:line="420" w:lineRule="exact"/>
      <w:ind w:left="1134" w:right="1134"/>
    </w:pPr>
    <w:rPr>
      <w:b/>
      <w:sz w:val="40"/>
    </w:rPr>
  </w:style>
  <w:style w:type="paragraph" w:customStyle="1" w:styleId="Bullet1G">
    <w:name w:val="_Bullet 1_G"/>
    <w:basedOn w:val="Normal"/>
    <w:rsid w:val="00225E54"/>
    <w:pPr>
      <w:numPr>
        <w:numId w:val="7"/>
      </w:numPr>
      <w:spacing w:after="120"/>
      <w:ind w:right="1134"/>
      <w:jc w:val="both"/>
    </w:pPr>
  </w:style>
  <w:style w:type="paragraph" w:customStyle="1" w:styleId="Bullet2G">
    <w:name w:val="_Bullet 2_G"/>
    <w:basedOn w:val="Normal"/>
    <w:rsid w:val="00225E54"/>
    <w:pPr>
      <w:numPr>
        <w:numId w:val="8"/>
      </w:numPr>
      <w:spacing w:after="120"/>
      <w:ind w:right="1134"/>
      <w:jc w:val="both"/>
    </w:pPr>
  </w:style>
  <w:style w:type="character" w:styleId="FootnoteReference">
    <w:name w:val="footnote reference"/>
    <w:aliases w:val="4_G"/>
    <w:basedOn w:val="DefaultParagraphFont"/>
    <w:rsid w:val="00225E54"/>
    <w:rPr>
      <w:rFonts w:ascii="Times New Roman" w:hAnsi="Times New Roman"/>
      <w:sz w:val="18"/>
      <w:vertAlign w:val="superscript"/>
      <w:lang w:val="fr-CH"/>
    </w:rPr>
  </w:style>
  <w:style w:type="character" w:styleId="EndnoteReference">
    <w:name w:val="endnote reference"/>
    <w:aliases w:val="1_G"/>
    <w:basedOn w:val="FootnoteReference"/>
    <w:rsid w:val="00225E54"/>
  </w:style>
  <w:style w:type="paragraph" w:styleId="FootnoteText">
    <w:name w:val="footnote text"/>
    <w:aliases w:val="5_G"/>
    <w:basedOn w:val="Normal"/>
    <w:rsid w:val="00225E54"/>
    <w:pPr>
      <w:tabs>
        <w:tab w:val="right" w:pos="1021"/>
      </w:tabs>
      <w:spacing w:line="220" w:lineRule="exact"/>
      <w:ind w:left="1134" w:right="1134" w:hanging="1134"/>
    </w:pPr>
    <w:rPr>
      <w:sz w:val="18"/>
    </w:rPr>
  </w:style>
  <w:style w:type="paragraph" w:styleId="EndnoteText">
    <w:name w:val="endnote text"/>
    <w:aliases w:val="2_G"/>
    <w:basedOn w:val="FootnoteText"/>
    <w:rsid w:val="00225E54"/>
  </w:style>
  <w:style w:type="character" w:styleId="PageNumber">
    <w:name w:val="page number"/>
    <w:aliases w:val="7_G"/>
    <w:basedOn w:val="DefaultParagraphFont"/>
    <w:rsid w:val="00225E54"/>
    <w:rPr>
      <w:rFonts w:ascii="Times New Roman" w:hAnsi="Times New Roman"/>
      <w:b/>
      <w:sz w:val="18"/>
      <w:lang w:val="fr-CH"/>
    </w:rPr>
  </w:style>
  <w:style w:type="paragraph" w:styleId="Footer">
    <w:name w:val="footer"/>
    <w:aliases w:val="3_G"/>
    <w:basedOn w:val="Normal"/>
    <w:next w:val="Normal"/>
    <w:rsid w:val="00225E54"/>
    <w:pPr>
      <w:spacing w:line="240" w:lineRule="auto"/>
    </w:pPr>
    <w:rPr>
      <w:sz w:val="16"/>
    </w:rPr>
  </w:style>
  <w:style w:type="paragraph" w:customStyle="1" w:styleId="ParNoG">
    <w:name w:val="_ParNo_G"/>
    <w:basedOn w:val="SingleTxtG"/>
    <w:rsid w:val="001C16FD"/>
    <w:pPr>
      <w:numPr>
        <w:numId w:val="9"/>
      </w:numPr>
    </w:pPr>
  </w:style>
  <w:style w:type="paragraph" w:styleId="Header">
    <w:name w:val="header"/>
    <w:aliases w:val="6_G"/>
    <w:basedOn w:val="Normal"/>
    <w:next w:val="Normal"/>
    <w:rsid w:val="00225E54"/>
    <w:pPr>
      <w:pBdr>
        <w:bottom w:val="single" w:sz="4" w:space="4" w:color="auto"/>
      </w:pBdr>
      <w:spacing w:line="240" w:lineRule="auto"/>
    </w:pPr>
    <w:rPr>
      <w:b/>
      <w:sz w:val="18"/>
    </w:rPr>
  </w:style>
  <w:style w:type="table" w:styleId="TableGrid">
    <w:name w:val="Table Grid"/>
    <w:basedOn w:val="TableNormal"/>
    <w:semiHidden/>
    <w:rsid w:val="00225E5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225E54"/>
    <w:rPr>
      <w:color w:val="auto"/>
      <w:u w:val="none"/>
    </w:rPr>
  </w:style>
  <w:style w:type="character" w:styleId="FollowedHyperlink">
    <w:name w:val="FollowedHyperlink"/>
    <w:basedOn w:val="DefaultParagraphFont"/>
    <w:semiHidden/>
    <w:rsid w:val="00225E54"/>
    <w:rPr>
      <w:color w:val="auto"/>
      <w:u w:val="none"/>
    </w:rPr>
  </w:style>
  <w:style w:type="character" w:customStyle="1" w:styleId="SingleTxtGChar">
    <w:name w:val="_ Single Txt_G Char"/>
    <w:link w:val="SingleTxtG"/>
    <w:rsid w:val="0068292B"/>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media-bangladesh.com/media-details.php?mid=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CCPR2.dot</Template>
  <TotalTime>0</TotalTime>
  <Pages>13</Pages>
  <Words>6750</Words>
  <Characters>37127</Characters>
  <Application>Microsoft Office Outlook</Application>
  <DocSecurity>4</DocSecurity>
  <Lines>309</Lines>
  <Paragraphs>87</Paragraphs>
  <ScaleCrop>false</ScaleCrop>
  <HeadingPairs>
    <vt:vector size="2" baseType="variant">
      <vt:variant>
        <vt:lpstr>Titre</vt:lpstr>
      </vt:variant>
      <vt:variant>
        <vt:i4>1</vt:i4>
      </vt:variant>
    </vt:vector>
  </HeadingPairs>
  <TitlesOfParts>
    <vt:vector size="1" baseType="lpstr">
      <vt:lpstr>CCPR/C/108/D/2149/2012</vt:lpstr>
    </vt:vector>
  </TitlesOfParts>
  <Company>CSD</Company>
  <LinksUpToDate>false</LinksUpToDate>
  <CharactersWithSpaces>43790</CharactersWithSpaces>
  <SharedDoc>false</SharedDoc>
  <HLinks>
    <vt:vector size="6" baseType="variant">
      <vt:variant>
        <vt:i4>851985</vt:i4>
      </vt:variant>
      <vt:variant>
        <vt:i4>0</vt:i4>
      </vt:variant>
      <vt:variant>
        <vt:i4>0</vt:i4>
      </vt:variant>
      <vt:variant>
        <vt:i4>5</vt:i4>
      </vt:variant>
      <vt:variant>
        <vt:lpwstr>http://media-bangladesh.com/media-details.php?mid=63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CCPR/C/108/D/2149/2012</dc:title>
  <dc:subject>FINAL</dc:subject>
  <dc:creator>LAMY</dc:creator>
  <cp:keywords/>
  <dc:description/>
  <cp:lastModifiedBy>Pool</cp:lastModifiedBy>
  <cp:revision>2</cp:revision>
  <cp:lastPrinted>2013-10-08T13:46:00Z</cp:lastPrinted>
  <dcterms:created xsi:type="dcterms:W3CDTF">2013-10-09T06:37:00Z</dcterms:created>
  <dcterms:modified xsi:type="dcterms:W3CDTF">2013-10-09T06:37:00Z</dcterms:modified>
</cp:coreProperties>
</file>