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17BE5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613B" w:rsidRPr="00D17BE5" w:rsidRDefault="0084613B" w:rsidP="00D17BE5">
            <w:pPr>
              <w:suppressAutoHyphens/>
              <w:spacing w:after="80" w:line="300" w:lineRule="exact"/>
              <w:rPr>
                <w:b/>
                <w:sz w:val="24"/>
                <w:szCs w:val="24"/>
              </w:rPr>
            </w:pPr>
            <w:r w:rsidRPr="00D17BE5"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613B" w:rsidRPr="00EA2819" w:rsidRDefault="0084613B" w:rsidP="00D17BE5">
            <w:pPr>
              <w:suppressAutoHyphens/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613B" w:rsidRPr="00D17BE5" w:rsidRDefault="0084613B" w:rsidP="00D17BE5">
            <w:pPr>
              <w:suppressAutoHyphens/>
              <w:spacing w:after="80"/>
              <w:jc w:val="right"/>
              <w:rPr>
                <w:lang w:val="en-US"/>
              </w:rPr>
            </w:pPr>
            <w:r w:rsidRPr="00D17BE5">
              <w:rPr>
                <w:sz w:val="40"/>
                <w:szCs w:val="40"/>
                <w:lang w:val="en-US"/>
              </w:rPr>
              <w:t>CCPR</w:t>
            </w:r>
            <w:r w:rsidRPr="00D17BE5"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11532B">
                <w:t>C/112/D/1999/2010</w:t>
              </w:r>
            </w:fldSimple>
          </w:p>
        </w:tc>
      </w:tr>
      <w:tr w:rsidR="0084613B" w:rsidRPr="002C048B" w:rsidTr="00D17BE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613B" w:rsidRDefault="00D17BE5" w:rsidP="00D17BE5">
            <w:pPr>
              <w:suppressAutoHyphens/>
              <w:spacing w:before="120"/>
              <w:jc w:val="center"/>
            </w:pPr>
            <w:r w:rsidRPr="00A94D14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_unlogo" style="width:56.25pt;height:46.5pt;visibility:visible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613B" w:rsidRPr="00D17BE5" w:rsidRDefault="0084613B" w:rsidP="00D17BE5">
            <w:pPr>
              <w:suppressAutoHyphens/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D17BE5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D17BE5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4613B" w:rsidRPr="00D17BE5" w:rsidRDefault="0084613B" w:rsidP="00D17BE5">
            <w:pPr>
              <w:suppressAutoHyphens/>
              <w:spacing w:before="240"/>
              <w:rPr>
                <w:lang w:val="en-US"/>
              </w:rPr>
            </w:pPr>
            <w:r w:rsidRPr="00D17BE5">
              <w:rPr>
                <w:lang w:val="en-US"/>
              </w:rPr>
              <w:t>Distr</w:t>
            </w:r>
            <w:r>
              <w:t>.:</w:t>
            </w:r>
            <w:r w:rsidRPr="00D17BE5"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17BE5">
              <w:rPr>
                <w:lang w:val="en-US"/>
              </w:rPr>
              <w:instrText xml:space="preserve"> FORMDROPDOWN </w:instrText>
            </w:r>
            <w:r w:rsidR="00575E45">
              <w:fldChar w:fldCharType="separate"/>
            </w:r>
            <w:r>
              <w:fldChar w:fldCharType="end"/>
            </w:r>
            <w:bookmarkEnd w:id="0"/>
          </w:p>
          <w:p w:rsidR="0084613B" w:rsidRPr="00D17BE5" w:rsidRDefault="0084613B" w:rsidP="00D17BE5">
            <w:pPr>
              <w:suppressAutoHyphens/>
              <w:rPr>
                <w:lang w:val="en-US"/>
              </w:rPr>
            </w:pPr>
            <w:fldSimple w:instr=" FILLIN  &quot;Введите дату документа&quot; \* MERGEFORMAT ">
              <w:r w:rsidR="0011532B" w:rsidRPr="00D17BE5">
                <w:rPr>
                  <w:lang w:val="en-US"/>
                </w:rPr>
                <w:t>25 November 2014</w:t>
              </w:r>
            </w:fldSimple>
          </w:p>
          <w:p w:rsidR="0084613B" w:rsidRDefault="0084613B" w:rsidP="00D17BE5">
            <w:pPr>
              <w:suppressAutoHyphens/>
            </w:pPr>
            <w:r w:rsidRPr="00D17BE5">
              <w:rPr>
                <w:lang w:val="en-US"/>
              </w:rPr>
              <w:t>Russian</w:t>
            </w:r>
          </w:p>
          <w:p w:rsidR="0084613B" w:rsidRDefault="0084613B" w:rsidP="00D17BE5">
            <w:pPr>
              <w:suppressAutoHyphens/>
            </w:pPr>
            <w:r w:rsidRPr="00D17BE5"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17BE5">
              <w:rPr>
                <w:lang w:val="en-US"/>
              </w:rPr>
              <w:instrText xml:space="preserve"> FORMDROPDOWN </w:instrText>
            </w:r>
            <w:r w:rsidR="00575E45">
              <w:fldChar w:fldCharType="separate"/>
            </w:r>
            <w:r>
              <w:fldChar w:fldCharType="end"/>
            </w:r>
            <w:bookmarkEnd w:id="1"/>
          </w:p>
          <w:p w:rsidR="0084613B" w:rsidRPr="002C048B" w:rsidRDefault="0084613B" w:rsidP="00D17BE5">
            <w:pPr>
              <w:suppressAutoHyphens/>
            </w:pPr>
          </w:p>
        </w:tc>
      </w:tr>
    </w:tbl>
    <w:p w:rsidR="006D7EAD" w:rsidRPr="00B34BD0" w:rsidRDefault="006D7EAD" w:rsidP="006D7EAD">
      <w:pPr>
        <w:spacing w:before="120"/>
        <w:rPr>
          <w:b/>
          <w:sz w:val="24"/>
          <w:szCs w:val="24"/>
        </w:rPr>
      </w:pPr>
      <w:r w:rsidRPr="00B34BD0">
        <w:rPr>
          <w:b/>
          <w:sz w:val="24"/>
          <w:szCs w:val="24"/>
        </w:rPr>
        <w:t>Комитет по правам человека</w:t>
      </w:r>
    </w:p>
    <w:p w:rsidR="006D7EAD" w:rsidRDefault="006D7EAD" w:rsidP="00C4668E">
      <w:pPr>
        <w:pStyle w:val="HChGR"/>
      </w:pPr>
      <w:r>
        <w:tab/>
      </w:r>
      <w:r>
        <w:tab/>
      </w:r>
      <w:r w:rsidRPr="00E92081">
        <w:t xml:space="preserve">Сообщение № </w:t>
      </w:r>
      <w:r>
        <w:t>1999/2010</w:t>
      </w:r>
    </w:p>
    <w:p w:rsidR="006D7EAD" w:rsidRDefault="006D7EAD" w:rsidP="00C4668E">
      <w:pPr>
        <w:pStyle w:val="H1GR"/>
      </w:pPr>
      <w:r>
        <w:tab/>
      </w:r>
      <w:r>
        <w:tab/>
        <w:t>Соображения, принятые Комитетом на его 112-й сессии</w:t>
      </w:r>
      <w:r w:rsidRPr="00A5279D">
        <w:t xml:space="preserve"> </w:t>
      </w:r>
      <w:r w:rsidRPr="00A5279D">
        <w:br/>
      </w:r>
      <w:r>
        <w:t>(7−</w:t>
      </w:r>
      <w:r w:rsidRPr="00A5279D">
        <w:t xml:space="preserve">31 </w:t>
      </w:r>
      <w:r>
        <w:t>октября</w:t>
      </w:r>
      <w:r w:rsidRPr="00A5279D">
        <w:t xml:space="preserve"> 2014</w:t>
      </w:r>
      <w:r>
        <w:t xml:space="preserve"> года</w:t>
      </w:r>
      <w:r w:rsidRPr="00A5279D">
        <w:t>)</w:t>
      </w:r>
    </w:p>
    <w:tbl>
      <w:tblPr>
        <w:tblW w:w="6945" w:type="dxa"/>
        <w:tblInd w:w="1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4"/>
        <w:gridCol w:w="3871"/>
      </w:tblGrid>
      <w:tr w:rsidR="006D7EAD" w:rsidRPr="00001A5A" w:rsidTr="00D17BE5">
        <w:tc>
          <w:tcPr>
            <w:tcW w:w="3074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</w:rPr>
            </w:pPr>
            <w:r w:rsidRPr="00D17BE5">
              <w:rPr>
                <w:i/>
              </w:rPr>
              <w:t>Представлено:</w:t>
            </w:r>
          </w:p>
        </w:tc>
        <w:tc>
          <w:tcPr>
            <w:tcW w:w="3871" w:type="dxa"/>
            <w:shd w:val="clear" w:color="auto" w:fill="auto"/>
          </w:tcPr>
          <w:p w:rsidR="006D7EAD" w:rsidRPr="00001A5A" w:rsidRDefault="00754A0D" w:rsidP="00D17BE5">
            <w:pPr>
              <w:suppressAutoHyphens/>
              <w:spacing w:after="120"/>
            </w:pPr>
            <w:r>
              <w:t>Валентином Еврезовым, Владимиром</w:t>
            </w:r>
            <w:r w:rsidR="006D7EAD">
              <w:t xml:space="preserve"> Непомнящих, Василием Поляковым, Валерием Рыбченко (адвокатом не представлены)</w:t>
            </w:r>
          </w:p>
        </w:tc>
      </w:tr>
      <w:tr w:rsidR="006D7EAD" w:rsidTr="00D17BE5">
        <w:tc>
          <w:tcPr>
            <w:tcW w:w="3074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</w:rPr>
            </w:pPr>
            <w:r w:rsidRPr="00D17BE5">
              <w:rPr>
                <w:i/>
              </w:rPr>
              <w:t>Предполагаемые жертвы:</w:t>
            </w:r>
          </w:p>
        </w:tc>
        <w:tc>
          <w:tcPr>
            <w:tcW w:w="3871" w:type="dxa"/>
            <w:shd w:val="clear" w:color="auto" w:fill="auto"/>
          </w:tcPr>
          <w:p w:rsidR="006D7EAD" w:rsidRDefault="006D7EAD" w:rsidP="00D17BE5">
            <w:pPr>
              <w:suppressAutoHyphens/>
              <w:spacing w:after="120"/>
            </w:pPr>
            <w:r>
              <w:t>авторы</w:t>
            </w:r>
          </w:p>
        </w:tc>
      </w:tr>
      <w:tr w:rsidR="006D7EAD" w:rsidTr="00D17BE5">
        <w:tc>
          <w:tcPr>
            <w:tcW w:w="3074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</w:rPr>
            </w:pPr>
            <w:r w:rsidRPr="00D17BE5">
              <w:rPr>
                <w:i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6D7EAD" w:rsidRDefault="006D7EAD" w:rsidP="00D17BE5">
            <w:pPr>
              <w:suppressAutoHyphens/>
              <w:spacing w:after="120"/>
            </w:pPr>
            <w:r>
              <w:t>Беларусь</w:t>
            </w:r>
          </w:p>
        </w:tc>
      </w:tr>
      <w:tr w:rsidR="006D7EAD" w:rsidTr="00D17BE5">
        <w:tc>
          <w:tcPr>
            <w:tcW w:w="3074" w:type="dxa"/>
            <w:shd w:val="clear" w:color="auto" w:fill="auto"/>
          </w:tcPr>
          <w:p w:rsidR="006D7EAD" w:rsidRPr="00D17BE5" w:rsidRDefault="005E4F7B" w:rsidP="00D17BE5">
            <w:pPr>
              <w:suppressAutoHyphens/>
              <w:spacing w:after="120"/>
              <w:ind w:left="57"/>
              <w:rPr>
                <w:i/>
              </w:rPr>
            </w:pPr>
            <w:r w:rsidRPr="00D17BE5">
              <w:rPr>
                <w:i/>
                <w:lang w:val="en-US"/>
              </w:rPr>
              <w:t xml:space="preserve"> </w:t>
            </w:r>
            <w:r w:rsidR="006D7EAD" w:rsidRPr="00D17BE5">
              <w:rPr>
                <w:i/>
              </w:rPr>
              <w:t>Дата представления сообщения:</w:t>
            </w:r>
          </w:p>
        </w:tc>
        <w:tc>
          <w:tcPr>
            <w:tcW w:w="3871" w:type="dxa"/>
            <w:shd w:val="clear" w:color="auto" w:fill="auto"/>
          </w:tcPr>
          <w:p w:rsidR="006D7EAD" w:rsidRPr="002A4F6C" w:rsidRDefault="006D7EAD" w:rsidP="00D17BE5">
            <w:pPr>
              <w:suppressAutoHyphens/>
              <w:spacing w:after="120"/>
            </w:pPr>
            <w:r>
              <w:t>15 мая 2010 года (первоначальное представление)</w:t>
            </w:r>
          </w:p>
        </w:tc>
      </w:tr>
      <w:tr w:rsidR="006D7EAD" w:rsidTr="00D17BE5">
        <w:tc>
          <w:tcPr>
            <w:tcW w:w="3074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</w:rPr>
            </w:pPr>
            <w:r w:rsidRPr="00D17BE5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  <w:shd w:val="clear" w:color="auto" w:fill="auto"/>
          </w:tcPr>
          <w:p w:rsidR="006D7EAD" w:rsidRDefault="006D7EAD" w:rsidP="00D17BE5">
            <w:pPr>
              <w:suppressAutoHyphens/>
              <w:spacing w:after="120"/>
            </w:pPr>
            <w:r>
              <w:t>ре</w:t>
            </w:r>
            <w:r w:rsidR="00694E81">
              <w:t>шение Специального докладчика в </w:t>
            </w:r>
            <w:r>
              <w:t>соответствии с правилом 97, препровожденное государству-участнику 8 ноября 2010 года (в виде документа не издавалось)</w:t>
            </w:r>
          </w:p>
        </w:tc>
      </w:tr>
      <w:tr w:rsidR="006D7EAD" w:rsidTr="00D17BE5">
        <w:tc>
          <w:tcPr>
            <w:tcW w:w="3074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</w:rPr>
            </w:pPr>
            <w:r w:rsidRPr="00D17BE5">
              <w:rPr>
                <w:i/>
              </w:rPr>
              <w:t>Дата принятия Cоображений:</w:t>
            </w:r>
          </w:p>
        </w:tc>
        <w:tc>
          <w:tcPr>
            <w:tcW w:w="3871" w:type="dxa"/>
            <w:shd w:val="clear" w:color="auto" w:fill="auto"/>
            <w:vAlign w:val="bottom"/>
          </w:tcPr>
          <w:p w:rsidR="006D7EAD" w:rsidRDefault="006D7EAD" w:rsidP="00D17BE5">
            <w:pPr>
              <w:suppressAutoHyphens/>
              <w:spacing w:after="120"/>
            </w:pPr>
            <w:r>
              <w:t>10 октября 2014 года</w:t>
            </w:r>
          </w:p>
        </w:tc>
      </w:tr>
      <w:tr w:rsidR="006D7EAD" w:rsidTr="00D17BE5">
        <w:tc>
          <w:tcPr>
            <w:tcW w:w="3074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</w:rPr>
            </w:pPr>
            <w:r w:rsidRPr="00D17BE5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  <w:shd w:val="clear" w:color="auto" w:fill="auto"/>
          </w:tcPr>
          <w:p w:rsidR="006D7EAD" w:rsidRDefault="006D7EAD" w:rsidP="00D17BE5">
            <w:pPr>
              <w:suppressAutoHyphens/>
              <w:spacing w:after="120"/>
            </w:pPr>
            <w:r>
              <w:t>свобода выражения мнений</w:t>
            </w:r>
          </w:p>
        </w:tc>
      </w:tr>
      <w:tr w:rsidR="006D7EAD" w:rsidTr="00D17BE5">
        <w:tc>
          <w:tcPr>
            <w:tcW w:w="3074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  <w:iCs/>
              </w:rPr>
            </w:pPr>
            <w:r w:rsidRPr="00D17BE5">
              <w:rPr>
                <w:i/>
                <w:iCs/>
              </w:rPr>
              <w:t>Вопросы существа:</w:t>
            </w:r>
          </w:p>
        </w:tc>
        <w:tc>
          <w:tcPr>
            <w:tcW w:w="3871" w:type="dxa"/>
            <w:shd w:val="clear" w:color="auto" w:fill="auto"/>
          </w:tcPr>
          <w:p w:rsidR="006D7EAD" w:rsidRDefault="006D7EAD" w:rsidP="00D17BE5">
            <w:pPr>
              <w:suppressAutoHyphens/>
              <w:spacing w:after="120"/>
            </w:pPr>
            <w:r>
              <w:t>свобода распространять информацию, право на мирные собрания, право на справедливое и публичное разбирательство</w:t>
            </w:r>
          </w:p>
        </w:tc>
      </w:tr>
      <w:tr w:rsidR="006D7EAD" w:rsidTr="00D17BE5">
        <w:tc>
          <w:tcPr>
            <w:tcW w:w="3074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  <w:iCs/>
              </w:rPr>
            </w:pPr>
            <w:r w:rsidRPr="00D17BE5">
              <w:rPr>
                <w:i/>
                <w:iCs/>
              </w:rPr>
              <w:t>Процедурны</w:t>
            </w:r>
            <w:r w:rsidR="00754A0D" w:rsidRPr="00D17BE5">
              <w:rPr>
                <w:i/>
                <w:iCs/>
              </w:rPr>
              <w:t>й</w:t>
            </w:r>
            <w:r w:rsidRPr="00D17BE5">
              <w:rPr>
                <w:i/>
                <w:iCs/>
              </w:rPr>
              <w:t xml:space="preserve"> вопрос</w:t>
            </w:r>
            <w:r w:rsidRPr="00D17BE5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6D7EAD" w:rsidRDefault="006D7EAD" w:rsidP="00D17BE5">
            <w:pPr>
              <w:suppressAutoHyphens/>
              <w:spacing w:after="120"/>
            </w:pPr>
            <w:r>
              <w:t>исчерпание внутренних средств правовой защиты</w:t>
            </w:r>
          </w:p>
        </w:tc>
      </w:tr>
      <w:tr w:rsidR="006D7EAD" w:rsidTr="00D17BE5">
        <w:tc>
          <w:tcPr>
            <w:tcW w:w="3074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  <w:iCs/>
              </w:rPr>
            </w:pPr>
            <w:r w:rsidRPr="00D17BE5">
              <w:rPr>
                <w:i/>
                <w:iCs/>
              </w:rPr>
              <w:t>Статьи Пакта</w:t>
            </w:r>
            <w:r w:rsidRPr="00D17BE5">
              <w:rPr>
                <w:i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6D7EAD" w:rsidRDefault="006D7EAD" w:rsidP="00D17BE5">
            <w:pPr>
              <w:suppressAutoHyphens/>
              <w:spacing w:after="120"/>
            </w:pPr>
            <w:r>
              <w:t>2; 14; 19; и 21</w:t>
            </w:r>
          </w:p>
        </w:tc>
      </w:tr>
      <w:tr w:rsidR="006D7EAD" w:rsidTr="00D17BE5">
        <w:tc>
          <w:tcPr>
            <w:tcW w:w="3074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  <w:iCs/>
              </w:rPr>
            </w:pPr>
            <w:r w:rsidRPr="00D17BE5">
              <w:rPr>
                <w:i/>
                <w:iCs/>
              </w:rPr>
              <w:t>Статьи Факультативного протокола:</w:t>
            </w:r>
          </w:p>
        </w:tc>
        <w:tc>
          <w:tcPr>
            <w:tcW w:w="3871" w:type="dxa"/>
            <w:shd w:val="clear" w:color="auto" w:fill="auto"/>
          </w:tcPr>
          <w:p w:rsidR="006D7EAD" w:rsidRPr="00F2103D" w:rsidRDefault="006D7EAD" w:rsidP="00D17BE5">
            <w:pPr>
              <w:suppressAutoHyphens/>
              <w:spacing w:after="120"/>
            </w:pPr>
            <w:r>
              <w:t xml:space="preserve">2; и пункт 2 </w:t>
            </w:r>
            <w:r w:rsidRPr="00D17BE5">
              <w:rPr>
                <w:lang w:val="en-US"/>
              </w:rPr>
              <w:t>b</w:t>
            </w:r>
            <w:r>
              <w:t>) статьи 5</w:t>
            </w:r>
          </w:p>
        </w:tc>
      </w:tr>
    </w:tbl>
    <w:p w:rsidR="006D7EAD" w:rsidRPr="001F209A" w:rsidRDefault="006D7EAD" w:rsidP="006D7EAD">
      <w:pPr>
        <w:pStyle w:val="HChGR"/>
      </w:pPr>
      <w:r>
        <w:rPr>
          <w:sz w:val="24"/>
        </w:rPr>
        <w:br w:type="page"/>
      </w:r>
      <w:r w:rsidRPr="001F209A">
        <w:t>Приложение</w:t>
      </w:r>
    </w:p>
    <w:p w:rsidR="006D7EAD" w:rsidRPr="001F209A" w:rsidRDefault="006D7EAD" w:rsidP="006D7EAD">
      <w:pPr>
        <w:pStyle w:val="HChGR"/>
      </w:pPr>
      <w:r>
        <w:tab/>
      </w:r>
      <w:r>
        <w:tab/>
      </w:r>
      <w:r w:rsidRPr="001F209A">
        <w:t>Соображения Комитета по правам человека в</w:t>
      </w:r>
      <w:r>
        <w:t> </w:t>
      </w:r>
      <w:r w:rsidRPr="001F209A">
        <w:t>соответствии с</w:t>
      </w:r>
      <w:r>
        <w:t> </w:t>
      </w:r>
      <w:r w:rsidRPr="001F209A">
        <w:t>пунктом 4 статьи 5 Факультативного протокола к</w:t>
      </w:r>
      <w:r>
        <w:t xml:space="preserve"> Международному п</w:t>
      </w:r>
      <w:r w:rsidRPr="001F209A">
        <w:t>акту о гражданских</w:t>
      </w:r>
      <w:r w:rsidRPr="001F209A">
        <w:br/>
        <w:t>и политических правах</w:t>
      </w:r>
      <w:r>
        <w:t xml:space="preserve"> (112-я</w:t>
      </w:r>
      <w:r w:rsidRPr="001F209A">
        <w:t xml:space="preserve"> сессия</w:t>
      </w:r>
      <w:r>
        <w:t>)</w:t>
      </w:r>
    </w:p>
    <w:p w:rsidR="006D7EAD" w:rsidRPr="001F209A" w:rsidRDefault="006D7EAD" w:rsidP="006D7EAD">
      <w:pPr>
        <w:pStyle w:val="SingleTxtGR"/>
      </w:pPr>
      <w:r w:rsidRPr="001F209A">
        <w:t>относительно</w:t>
      </w:r>
    </w:p>
    <w:p w:rsidR="006D7EAD" w:rsidRPr="001F209A" w:rsidRDefault="006D7EAD" w:rsidP="006D7EAD">
      <w:pPr>
        <w:pStyle w:val="H1GR"/>
      </w:pPr>
      <w:r>
        <w:tab/>
      </w:r>
      <w:r>
        <w:tab/>
      </w:r>
      <w:r w:rsidRPr="001F209A">
        <w:t xml:space="preserve">Сообщения № </w:t>
      </w:r>
      <w:r>
        <w:t>1999/2010</w:t>
      </w:r>
      <w:r w:rsidRPr="00BC19E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C46A34">
        <w:rPr>
          <w:b w:val="0"/>
          <w:lang w:eastAsia="en-US"/>
        </w:rPr>
        <w:t xml:space="preserve"> 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6D7EAD" w:rsidTr="00D17BE5">
        <w:tc>
          <w:tcPr>
            <w:tcW w:w="3119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</w:rPr>
            </w:pPr>
            <w:r w:rsidRPr="00D17BE5">
              <w:rPr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6D7EAD" w:rsidRPr="000D1ED1" w:rsidRDefault="006D7EAD" w:rsidP="00D17BE5">
            <w:pPr>
              <w:suppressAutoHyphens/>
              <w:spacing w:after="120"/>
            </w:pPr>
            <w:r>
              <w:t>Валентином Еврезовым, Владимиро</w:t>
            </w:r>
            <w:r w:rsidR="005E6F8A">
              <w:t>м</w:t>
            </w:r>
            <w:r>
              <w:t xml:space="preserve"> Непомнящих, Василием Поляковым, Валерием Рыбченко (адвокатом не представлены)</w:t>
            </w:r>
          </w:p>
        </w:tc>
      </w:tr>
      <w:tr w:rsidR="006D7EAD" w:rsidTr="00D17BE5">
        <w:tc>
          <w:tcPr>
            <w:tcW w:w="3119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</w:rPr>
            </w:pPr>
            <w:r w:rsidRPr="00D17BE5">
              <w:rPr>
                <w:i/>
              </w:rPr>
              <w:t>Предполагаемые жертвы:</w:t>
            </w:r>
          </w:p>
        </w:tc>
        <w:tc>
          <w:tcPr>
            <w:tcW w:w="3685" w:type="dxa"/>
            <w:shd w:val="clear" w:color="auto" w:fill="auto"/>
          </w:tcPr>
          <w:p w:rsidR="006D7EAD" w:rsidRDefault="006D7EAD" w:rsidP="00D17BE5">
            <w:pPr>
              <w:suppressAutoHyphens/>
              <w:spacing w:after="120"/>
            </w:pPr>
            <w:r>
              <w:t>авторы</w:t>
            </w:r>
          </w:p>
        </w:tc>
      </w:tr>
      <w:tr w:rsidR="006D7EAD" w:rsidTr="00D17BE5">
        <w:tc>
          <w:tcPr>
            <w:tcW w:w="3119" w:type="dxa"/>
            <w:shd w:val="clear" w:color="auto" w:fill="auto"/>
          </w:tcPr>
          <w:p w:rsidR="006D7EAD" w:rsidRPr="00D17BE5" w:rsidRDefault="006D7EAD" w:rsidP="00D17BE5">
            <w:pPr>
              <w:suppressAutoHyphens/>
              <w:spacing w:after="120"/>
              <w:ind w:left="57"/>
              <w:rPr>
                <w:i/>
              </w:rPr>
            </w:pPr>
            <w:r w:rsidRPr="00D17BE5">
              <w:rPr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6D7EAD" w:rsidRDefault="006D7EAD" w:rsidP="00D17BE5">
            <w:pPr>
              <w:suppressAutoHyphens/>
              <w:spacing w:after="120"/>
            </w:pPr>
            <w:r>
              <w:t>Беларусь</w:t>
            </w:r>
          </w:p>
        </w:tc>
      </w:tr>
      <w:tr w:rsidR="006D7EAD" w:rsidTr="00D17BE5">
        <w:tc>
          <w:tcPr>
            <w:tcW w:w="3119" w:type="dxa"/>
            <w:shd w:val="clear" w:color="auto" w:fill="auto"/>
          </w:tcPr>
          <w:p w:rsidR="006D7EAD" w:rsidRPr="00D17BE5" w:rsidRDefault="005E4F7B" w:rsidP="00D17BE5">
            <w:pPr>
              <w:suppressAutoHyphens/>
              <w:spacing w:after="120"/>
              <w:ind w:left="57"/>
              <w:rPr>
                <w:i/>
              </w:rPr>
            </w:pPr>
            <w:r w:rsidRPr="00D17BE5">
              <w:rPr>
                <w:i/>
                <w:lang w:val="en-US"/>
              </w:rPr>
              <w:t xml:space="preserve"> </w:t>
            </w:r>
            <w:r w:rsidR="006D7EAD" w:rsidRPr="00D17BE5">
              <w:rPr>
                <w:i/>
              </w:rPr>
              <w:t>Дата сообщения:</w:t>
            </w:r>
          </w:p>
        </w:tc>
        <w:tc>
          <w:tcPr>
            <w:tcW w:w="3685" w:type="dxa"/>
            <w:shd w:val="clear" w:color="auto" w:fill="auto"/>
          </w:tcPr>
          <w:p w:rsidR="006D7EAD" w:rsidRPr="002A4F6C" w:rsidRDefault="006D7EAD" w:rsidP="00D17BE5">
            <w:pPr>
              <w:suppressAutoHyphens/>
              <w:spacing w:after="120"/>
            </w:pPr>
            <w:r>
              <w:t>15 мая 2010 года (первоначальное представление)</w:t>
            </w:r>
          </w:p>
        </w:tc>
      </w:tr>
    </w:tbl>
    <w:p w:rsidR="006D7EAD" w:rsidRPr="007B7963" w:rsidRDefault="006D7EAD" w:rsidP="005E6F8A">
      <w:pPr>
        <w:pStyle w:val="SingleTxtGR"/>
        <w:spacing w:before="240"/>
        <w:rPr>
          <w:iCs/>
        </w:rPr>
      </w:pPr>
      <w:r w:rsidRPr="007B7963">
        <w:rPr>
          <w:iCs/>
        </w:rPr>
        <w:tab/>
      </w:r>
      <w:r w:rsidRPr="007B7963">
        <w:rPr>
          <w:i/>
          <w:iCs/>
        </w:rPr>
        <w:t>Комитет по правам человека</w:t>
      </w:r>
      <w:r w:rsidRPr="007B7963">
        <w:rPr>
          <w:iCs/>
        </w:rPr>
        <w:t xml:space="preserve">, учрежденный в соответствии со статьей 28 Международного пакта о гражданских и политических правах, </w:t>
      </w:r>
    </w:p>
    <w:p w:rsidR="006D7EAD" w:rsidRPr="007B7963" w:rsidRDefault="006D7EAD" w:rsidP="005E6F8A">
      <w:pPr>
        <w:pStyle w:val="SingleTxtGR"/>
        <w:rPr>
          <w:iCs/>
        </w:rPr>
      </w:pPr>
      <w:r w:rsidRPr="007B7963">
        <w:rPr>
          <w:iCs/>
        </w:rPr>
        <w:tab/>
      </w:r>
      <w:r w:rsidRPr="007B7963">
        <w:rPr>
          <w:i/>
          <w:iCs/>
        </w:rPr>
        <w:t>на своем заседании</w:t>
      </w:r>
      <w:r w:rsidRPr="007B7963">
        <w:rPr>
          <w:iCs/>
        </w:rPr>
        <w:t xml:space="preserve"> 10 </w:t>
      </w:r>
      <w:r w:rsidR="00C4668E">
        <w:rPr>
          <w:iCs/>
        </w:rPr>
        <w:t>октября</w:t>
      </w:r>
      <w:r w:rsidRPr="007B7963">
        <w:rPr>
          <w:iCs/>
        </w:rPr>
        <w:t xml:space="preserve"> 201</w:t>
      </w:r>
      <w:r w:rsidR="005E6F8A" w:rsidRPr="007B7963">
        <w:rPr>
          <w:iCs/>
        </w:rPr>
        <w:t>4</w:t>
      </w:r>
      <w:r w:rsidRPr="007B7963">
        <w:rPr>
          <w:iCs/>
        </w:rPr>
        <w:t xml:space="preserve"> года,</w:t>
      </w:r>
    </w:p>
    <w:p w:rsidR="006D7EAD" w:rsidRPr="007B7963" w:rsidRDefault="006D7EAD" w:rsidP="005E6F8A">
      <w:pPr>
        <w:pStyle w:val="SingleTxtGR"/>
        <w:rPr>
          <w:iCs/>
        </w:rPr>
      </w:pPr>
      <w:r w:rsidRPr="007B7963">
        <w:rPr>
          <w:iCs/>
        </w:rPr>
        <w:tab/>
      </w:r>
      <w:r w:rsidRPr="007B7963">
        <w:rPr>
          <w:i/>
          <w:iCs/>
        </w:rPr>
        <w:t>завершив</w:t>
      </w:r>
      <w:r w:rsidRPr="007B7963">
        <w:rPr>
          <w:iCs/>
        </w:rPr>
        <w:t xml:space="preserve"> рассмотрение сообщения №</w:t>
      </w:r>
      <w:r w:rsidRPr="007B7963">
        <w:rPr>
          <w:iCs/>
          <w:lang w:val="en-US"/>
        </w:rPr>
        <w:t> </w:t>
      </w:r>
      <w:r w:rsidRPr="007B7963">
        <w:rPr>
          <w:iCs/>
        </w:rPr>
        <w:t>1999/2010, представленного Ком</w:t>
      </w:r>
      <w:r w:rsidRPr="007B7963">
        <w:rPr>
          <w:iCs/>
        </w:rPr>
        <w:t>и</w:t>
      </w:r>
      <w:r w:rsidRPr="007B7963">
        <w:rPr>
          <w:iCs/>
        </w:rPr>
        <w:t>тету по правам человека Валентином Еврезовым, Владимиром Непомнящих, Василием Поля</w:t>
      </w:r>
      <w:r w:rsidR="005E6F8A" w:rsidRPr="007B7963">
        <w:rPr>
          <w:iCs/>
        </w:rPr>
        <w:t>ковым и Валерием Рыбченко</w:t>
      </w:r>
      <w:r w:rsidRPr="007B7963">
        <w:rPr>
          <w:iCs/>
        </w:rPr>
        <w:t xml:space="preserve"> согласно Факультативному прот</w:t>
      </w:r>
      <w:r w:rsidRPr="007B7963">
        <w:rPr>
          <w:iCs/>
        </w:rPr>
        <w:t>о</w:t>
      </w:r>
      <w:r w:rsidRPr="007B7963">
        <w:rPr>
          <w:iCs/>
        </w:rPr>
        <w:t>колу к Международному пакту о гражданских и политических правах,</w:t>
      </w:r>
    </w:p>
    <w:p w:rsidR="006D7EAD" w:rsidRPr="007B7963" w:rsidRDefault="006D7EAD" w:rsidP="007B7963">
      <w:pPr>
        <w:pStyle w:val="SingleTxtGR"/>
        <w:rPr>
          <w:iCs/>
        </w:rPr>
      </w:pPr>
      <w:r w:rsidRPr="007B7963">
        <w:rPr>
          <w:iCs/>
        </w:rPr>
        <w:tab/>
      </w:r>
      <w:r w:rsidR="007B7963" w:rsidRPr="00B231C1">
        <w:rPr>
          <w:i/>
          <w:iCs/>
        </w:rPr>
        <w:t>приняв во внимание</w:t>
      </w:r>
      <w:r w:rsidR="007B7963" w:rsidRPr="007B7963">
        <w:rPr>
          <w:iCs/>
        </w:rPr>
        <w:t xml:space="preserve"> в</w:t>
      </w:r>
      <w:r w:rsidRPr="007B7963">
        <w:rPr>
          <w:iCs/>
        </w:rPr>
        <w:t xml:space="preserve">сю </w:t>
      </w:r>
      <w:r w:rsidR="007B7963" w:rsidRPr="007B7963">
        <w:rPr>
          <w:iCs/>
        </w:rPr>
        <w:t xml:space="preserve">письменную информацию, </w:t>
      </w:r>
      <w:r w:rsidRPr="007B7963">
        <w:rPr>
          <w:iCs/>
        </w:rPr>
        <w:t>представленную ему авторами сообщения и государством-участником</w:t>
      </w:r>
      <w:r w:rsidR="007B7963" w:rsidRPr="007B7963">
        <w:rPr>
          <w:iCs/>
        </w:rPr>
        <w:t>,</w:t>
      </w:r>
    </w:p>
    <w:p w:rsidR="006D7EAD" w:rsidRPr="007B7963" w:rsidRDefault="006D7EAD" w:rsidP="007B7963">
      <w:pPr>
        <w:pStyle w:val="SingleTxtGR"/>
        <w:rPr>
          <w:iCs/>
        </w:rPr>
      </w:pPr>
      <w:r w:rsidRPr="007B7963">
        <w:rPr>
          <w:iCs/>
        </w:rPr>
        <w:tab/>
      </w:r>
      <w:r w:rsidRPr="00B231C1">
        <w:rPr>
          <w:i/>
          <w:iCs/>
        </w:rPr>
        <w:t>принимает</w:t>
      </w:r>
      <w:r w:rsidRPr="007B7963">
        <w:rPr>
          <w:iCs/>
        </w:rPr>
        <w:t xml:space="preserve"> следующее:</w:t>
      </w:r>
    </w:p>
    <w:p w:rsidR="006D7EAD" w:rsidRPr="007B7963" w:rsidRDefault="006D7EAD" w:rsidP="00C4668E">
      <w:pPr>
        <w:pStyle w:val="H1GR"/>
      </w:pPr>
      <w:r w:rsidRPr="007B7963">
        <w:tab/>
      </w:r>
      <w:r w:rsidR="007B7963">
        <w:tab/>
      </w:r>
      <w:r w:rsidRPr="007B7963">
        <w:t>Соображения согласно пункту 4 статьи 5 Факультативного протокола</w:t>
      </w:r>
    </w:p>
    <w:p w:rsidR="006D7EAD" w:rsidRPr="00B231C1" w:rsidRDefault="006D7EAD" w:rsidP="007B7963">
      <w:pPr>
        <w:pStyle w:val="SingleTxtGR"/>
        <w:rPr>
          <w:iCs/>
        </w:rPr>
      </w:pPr>
      <w:r w:rsidRPr="00B231C1">
        <w:rPr>
          <w:iCs/>
        </w:rPr>
        <w:t>1.</w:t>
      </w:r>
      <w:r w:rsidRPr="00B231C1">
        <w:rPr>
          <w:iCs/>
        </w:rPr>
        <w:tab/>
        <w:t>Авторами сообщения являются Валентин Еврезов, 1954 года рождения; Владимир Непомнящих, 1952 года рождения; Василий Поляков, 1969 года ро</w:t>
      </w:r>
      <w:r w:rsidRPr="00B231C1">
        <w:rPr>
          <w:iCs/>
        </w:rPr>
        <w:t>ж</w:t>
      </w:r>
      <w:r w:rsidRPr="00B231C1">
        <w:rPr>
          <w:iCs/>
        </w:rPr>
        <w:t>дения; и Валерий Рыбченко, 1963 года рождения; все они являются гражданами Беларуси. Они утверждают, что являются жертвами нарушений Беларусью их прав, предусмотренных статьями</w:t>
      </w:r>
      <w:r w:rsidRPr="00B231C1">
        <w:rPr>
          <w:iCs/>
          <w:lang w:val="en-US"/>
        </w:rPr>
        <w:t> </w:t>
      </w:r>
      <w:r w:rsidRPr="00B231C1">
        <w:rPr>
          <w:iCs/>
        </w:rPr>
        <w:t>19 и 21, рассматриваемых в совокупности с пунктом</w:t>
      </w:r>
      <w:r w:rsidRPr="00B231C1">
        <w:rPr>
          <w:iCs/>
          <w:lang w:val="en-US"/>
        </w:rPr>
        <w:t> </w:t>
      </w:r>
      <w:r w:rsidRPr="00B231C1">
        <w:rPr>
          <w:iCs/>
        </w:rPr>
        <w:t>2 статьи</w:t>
      </w:r>
      <w:r w:rsidRPr="00B231C1">
        <w:rPr>
          <w:iCs/>
          <w:lang w:val="en-US"/>
        </w:rPr>
        <w:t> </w:t>
      </w:r>
      <w:r w:rsidRPr="00B231C1">
        <w:rPr>
          <w:iCs/>
        </w:rPr>
        <w:t>2 Международного пакта о гражданских и политических пр</w:t>
      </w:r>
      <w:r w:rsidRPr="00B231C1">
        <w:rPr>
          <w:iCs/>
        </w:rPr>
        <w:t>а</w:t>
      </w:r>
      <w:r w:rsidRPr="00B231C1">
        <w:rPr>
          <w:iCs/>
        </w:rPr>
        <w:t>вах. Г</w:t>
      </w:r>
      <w:r w:rsidR="00B231C1">
        <w:rPr>
          <w:iCs/>
        </w:rPr>
        <w:t xml:space="preserve">-н </w:t>
      </w:r>
      <w:r w:rsidRPr="00B231C1">
        <w:rPr>
          <w:iCs/>
        </w:rPr>
        <w:t xml:space="preserve">Поляков и </w:t>
      </w:r>
      <w:r w:rsidR="00B231C1">
        <w:rPr>
          <w:iCs/>
        </w:rPr>
        <w:t xml:space="preserve">г-н </w:t>
      </w:r>
      <w:r w:rsidRPr="00B231C1">
        <w:rPr>
          <w:iCs/>
        </w:rPr>
        <w:t>Еврезов также утверждают, что они являются жертвами нарушений их прав, предусмотренных пунктами 3 a), b), d) и e) статьи 14 Па</w:t>
      </w:r>
      <w:r w:rsidRPr="00B231C1">
        <w:rPr>
          <w:iCs/>
        </w:rPr>
        <w:t>к</w:t>
      </w:r>
      <w:r w:rsidRPr="00B231C1">
        <w:rPr>
          <w:iCs/>
        </w:rPr>
        <w:t>та. Авторы сообщения адвокатом не представлены. Факультативный протокол вступил в силу для Беларуси 30</w:t>
      </w:r>
      <w:r w:rsidRPr="00B231C1">
        <w:rPr>
          <w:iCs/>
          <w:lang w:val="en-US"/>
        </w:rPr>
        <w:t> </w:t>
      </w:r>
      <w:r w:rsidRPr="00B231C1">
        <w:rPr>
          <w:iCs/>
        </w:rPr>
        <w:t>декабря 1992 года.</w:t>
      </w:r>
    </w:p>
    <w:p w:rsidR="00615F21" w:rsidRPr="006F18BD" w:rsidRDefault="00615F21" w:rsidP="00615F21">
      <w:pPr>
        <w:pStyle w:val="H23GR"/>
      </w:pPr>
      <w:r>
        <w:tab/>
      </w:r>
      <w:r w:rsidRPr="006F18BD">
        <w:tab/>
      </w:r>
      <w:r>
        <w:t>Факты в изложении авторов сообщения</w:t>
      </w:r>
    </w:p>
    <w:p w:rsidR="00615F21" w:rsidRPr="00542A3D" w:rsidRDefault="00615F21" w:rsidP="00615F21">
      <w:pPr>
        <w:pStyle w:val="SingleTxtGR"/>
      </w:pPr>
      <w:r w:rsidRPr="0094498D">
        <w:t>2.1</w:t>
      </w:r>
      <w:r w:rsidRPr="0094498D">
        <w:tab/>
      </w:r>
      <w:r>
        <w:t>Авторы</w:t>
      </w:r>
      <w:r w:rsidRPr="0094498D">
        <w:t xml:space="preserve"> </w:t>
      </w:r>
      <w:r>
        <w:t>утверждают</w:t>
      </w:r>
      <w:r w:rsidRPr="0094498D">
        <w:t xml:space="preserve">, </w:t>
      </w:r>
      <w:r>
        <w:t>что</w:t>
      </w:r>
      <w:r w:rsidRPr="0094498D">
        <w:t xml:space="preserve"> 16 </w:t>
      </w:r>
      <w:r>
        <w:t>сентября</w:t>
      </w:r>
      <w:r w:rsidRPr="0094498D">
        <w:t xml:space="preserve"> 2009 </w:t>
      </w:r>
      <w:r>
        <w:t>года</w:t>
      </w:r>
      <w:r w:rsidRPr="0094498D">
        <w:t xml:space="preserve"> </w:t>
      </w:r>
      <w:r>
        <w:t>в</w:t>
      </w:r>
      <w:r w:rsidRPr="0094498D">
        <w:t xml:space="preserve"> 16 </w:t>
      </w:r>
      <w:r>
        <w:t>ч</w:t>
      </w:r>
      <w:r w:rsidRPr="0094498D">
        <w:t xml:space="preserve">. 45 </w:t>
      </w:r>
      <w:r>
        <w:t>м</w:t>
      </w:r>
      <w:r w:rsidRPr="0094498D">
        <w:t xml:space="preserve">. </w:t>
      </w:r>
      <w:r>
        <w:t>они</w:t>
      </w:r>
      <w:r w:rsidRPr="0094498D">
        <w:t xml:space="preserve"> </w:t>
      </w:r>
      <w:r>
        <w:t>наход</w:t>
      </w:r>
      <w:r>
        <w:t>и</w:t>
      </w:r>
      <w:r>
        <w:t>лись</w:t>
      </w:r>
      <w:r w:rsidRPr="0094498D">
        <w:t xml:space="preserve"> </w:t>
      </w:r>
      <w:r>
        <w:t>в</w:t>
      </w:r>
      <w:r w:rsidRPr="0094498D">
        <w:t xml:space="preserve"> </w:t>
      </w:r>
      <w:r>
        <w:t>составе</w:t>
      </w:r>
      <w:r w:rsidRPr="0094498D">
        <w:t xml:space="preserve"> </w:t>
      </w:r>
      <w:r>
        <w:t>группы</w:t>
      </w:r>
      <w:r w:rsidRPr="0094498D">
        <w:t xml:space="preserve"> </w:t>
      </w:r>
      <w:r>
        <w:t>из</w:t>
      </w:r>
      <w:r w:rsidRPr="0094498D">
        <w:t xml:space="preserve"> 16 </w:t>
      </w:r>
      <w:r>
        <w:t>человек</w:t>
      </w:r>
      <w:r w:rsidRPr="0094498D">
        <w:t xml:space="preserve">, </w:t>
      </w:r>
      <w:r>
        <w:t>шедшей</w:t>
      </w:r>
      <w:r w:rsidRPr="0094498D">
        <w:t xml:space="preserve"> </w:t>
      </w:r>
      <w:r>
        <w:t>по</w:t>
      </w:r>
      <w:r w:rsidRPr="0094498D">
        <w:t xml:space="preserve"> </w:t>
      </w:r>
      <w:r>
        <w:t>центру</w:t>
      </w:r>
      <w:r w:rsidRPr="0094498D">
        <w:t xml:space="preserve"> </w:t>
      </w:r>
      <w:r>
        <w:t>города</w:t>
      </w:r>
      <w:r w:rsidRPr="0094498D">
        <w:t xml:space="preserve"> </w:t>
      </w:r>
      <w:r>
        <w:t>Гомель</w:t>
      </w:r>
      <w:r w:rsidRPr="0094498D">
        <w:t xml:space="preserve">, </w:t>
      </w:r>
      <w:r>
        <w:t>Бел</w:t>
      </w:r>
      <w:r>
        <w:t>а</w:t>
      </w:r>
      <w:r>
        <w:t>русь</w:t>
      </w:r>
      <w:r w:rsidRPr="0094498D">
        <w:t xml:space="preserve">, </w:t>
      </w:r>
      <w:r>
        <w:t>в направлении площади Восстания, на которой они намеревались пров</w:t>
      </w:r>
      <w:r>
        <w:t>е</w:t>
      </w:r>
      <w:r>
        <w:t>сти демонстрацию по случаю годовщины исчезновения лидеров оппозиции Виктора Гончара и Анатолия Красовского. Члены</w:t>
      </w:r>
      <w:r w:rsidRPr="00542A3D">
        <w:t xml:space="preserve"> </w:t>
      </w:r>
      <w:r>
        <w:t>группы</w:t>
      </w:r>
      <w:r w:rsidRPr="00542A3D">
        <w:t xml:space="preserve"> </w:t>
      </w:r>
      <w:r>
        <w:t>несли</w:t>
      </w:r>
      <w:r w:rsidRPr="00542A3D">
        <w:t xml:space="preserve"> </w:t>
      </w:r>
      <w:r>
        <w:t>фотографии</w:t>
      </w:r>
      <w:r w:rsidRPr="00542A3D">
        <w:t xml:space="preserve"> </w:t>
      </w:r>
      <w:r>
        <w:t>и</w:t>
      </w:r>
      <w:r>
        <w:t>с</w:t>
      </w:r>
      <w:r>
        <w:t>чезнувших</w:t>
      </w:r>
      <w:r w:rsidRPr="00542A3D">
        <w:t xml:space="preserve"> </w:t>
      </w:r>
      <w:r>
        <w:t>политиков</w:t>
      </w:r>
      <w:r w:rsidRPr="00542A3D">
        <w:t xml:space="preserve"> </w:t>
      </w:r>
      <w:r>
        <w:t>и</w:t>
      </w:r>
      <w:r w:rsidRPr="00542A3D">
        <w:t xml:space="preserve"> </w:t>
      </w:r>
      <w:r>
        <w:t>плакаты</w:t>
      </w:r>
      <w:r w:rsidRPr="00542A3D">
        <w:t>.</w:t>
      </w:r>
    </w:p>
    <w:p w:rsidR="00615F21" w:rsidRDefault="00615F21" w:rsidP="00615F21">
      <w:pPr>
        <w:pStyle w:val="SingleTxtGR"/>
      </w:pPr>
      <w:r w:rsidRPr="00542A3D">
        <w:t>2.2</w:t>
      </w:r>
      <w:r w:rsidRPr="00542A3D">
        <w:tab/>
      </w:r>
      <w:r>
        <w:t>На</w:t>
      </w:r>
      <w:r w:rsidRPr="00542A3D">
        <w:t xml:space="preserve"> </w:t>
      </w:r>
      <w:r>
        <w:t>пути</w:t>
      </w:r>
      <w:r w:rsidRPr="00542A3D">
        <w:t xml:space="preserve"> </w:t>
      </w:r>
      <w:r>
        <w:t>к</w:t>
      </w:r>
      <w:r w:rsidRPr="00542A3D">
        <w:t xml:space="preserve"> </w:t>
      </w:r>
      <w:r>
        <w:t>площади</w:t>
      </w:r>
      <w:r w:rsidRPr="00542A3D">
        <w:t xml:space="preserve"> </w:t>
      </w:r>
      <w:r>
        <w:t>участников</w:t>
      </w:r>
      <w:r w:rsidRPr="00542A3D">
        <w:t xml:space="preserve"> </w:t>
      </w:r>
      <w:r>
        <w:t>группы</w:t>
      </w:r>
      <w:r w:rsidRPr="00542A3D">
        <w:t xml:space="preserve"> </w:t>
      </w:r>
      <w:r>
        <w:t>остановили</w:t>
      </w:r>
      <w:r w:rsidRPr="00542A3D">
        <w:t xml:space="preserve"> </w:t>
      </w:r>
      <w:r>
        <w:t>мужчины</w:t>
      </w:r>
      <w:r w:rsidRPr="00542A3D">
        <w:t xml:space="preserve"> </w:t>
      </w:r>
      <w:r>
        <w:t>в</w:t>
      </w:r>
      <w:r w:rsidRPr="00542A3D">
        <w:t xml:space="preserve"> </w:t>
      </w:r>
      <w:r>
        <w:t>гражда</w:t>
      </w:r>
      <w:r>
        <w:t>н</w:t>
      </w:r>
      <w:r>
        <w:t>ской</w:t>
      </w:r>
      <w:r w:rsidRPr="00542A3D">
        <w:t xml:space="preserve"> </w:t>
      </w:r>
      <w:r>
        <w:t>одежде</w:t>
      </w:r>
      <w:r w:rsidRPr="00542A3D">
        <w:t xml:space="preserve">, </w:t>
      </w:r>
      <w:r>
        <w:t>которые</w:t>
      </w:r>
      <w:r w:rsidRPr="00542A3D">
        <w:t xml:space="preserve"> </w:t>
      </w:r>
      <w:r>
        <w:t>в</w:t>
      </w:r>
      <w:r w:rsidRPr="00542A3D">
        <w:t xml:space="preserve"> </w:t>
      </w:r>
      <w:r>
        <w:t>принудительном</w:t>
      </w:r>
      <w:r w:rsidRPr="00542A3D">
        <w:t xml:space="preserve"> </w:t>
      </w:r>
      <w:r>
        <w:t>порядке</w:t>
      </w:r>
      <w:r w:rsidRPr="00542A3D">
        <w:t xml:space="preserve"> </w:t>
      </w:r>
      <w:r>
        <w:t>поместили</w:t>
      </w:r>
      <w:r w:rsidRPr="00542A3D">
        <w:t xml:space="preserve"> </w:t>
      </w:r>
      <w:r>
        <w:t>их</w:t>
      </w:r>
      <w:r w:rsidRPr="00542A3D">
        <w:t xml:space="preserve"> </w:t>
      </w:r>
      <w:r>
        <w:t>автобус</w:t>
      </w:r>
      <w:r w:rsidRPr="00542A3D">
        <w:t xml:space="preserve">. </w:t>
      </w:r>
      <w:r>
        <w:t>Их</w:t>
      </w:r>
      <w:r w:rsidRPr="0094498D">
        <w:t xml:space="preserve"> </w:t>
      </w:r>
      <w:r>
        <w:t>д</w:t>
      </w:r>
      <w:r>
        <w:t>о</w:t>
      </w:r>
      <w:r>
        <w:t>ставили</w:t>
      </w:r>
      <w:r w:rsidRPr="0094498D">
        <w:t xml:space="preserve"> </w:t>
      </w:r>
      <w:r>
        <w:t>в</w:t>
      </w:r>
      <w:r w:rsidRPr="0094498D">
        <w:t xml:space="preserve"> </w:t>
      </w:r>
      <w:r>
        <w:t>отдел</w:t>
      </w:r>
      <w:r w:rsidRPr="0094498D">
        <w:t xml:space="preserve"> </w:t>
      </w:r>
      <w:r>
        <w:t>милиции</w:t>
      </w:r>
      <w:r w:rsidRPr="0094498D">
        <w:t xml:space="preserve"> </w:t>
      </w:r>
      <w:r>
        <w:t>Железнодорожного</w:t>
      </w:r>
      <w:r w:rsidRPr="0094498D">
        <w:t xml:space="preserve"> </w:t>
      </w:r>
      <w:r>
        <w:t>района</w:t>
      </w:r>
      <w:r w:rsidRPr="0094498D">
        <w:t xml:space="preserve">, </w:t>
      </w:r>
      <w:r>
        <w:t>где</w:t>
      </w:r>
      <w:r w:rsidRPr="0094498D">
        <w:t xml:space="preserve"> </w:t>
      </w:r>
      <w:r>
        <w:t>сотрудники</w:t>
      </w:r>
      <w:r w:rsidRPr="0094498D">
        <w:t xml:space="preserve"> </w:t>
      </w:r>
      <w:r>
        <w:t>милиции</w:t>
      </w:r>
      <w:r w:rsidRPr="0094498D">
        <w:t xml:space="preserve"> </w:t>
      </w:r>
      <w:r>
        <w:t>составили</w:t>
      </w:r>
      <w:r w:rsidRPr="0094498D">
        <w:t xml:space="preserve"> </w:t>
      </w:r>
      <w:r>
        <w:t>в</w:t>
      </w:r>
      <w:r w:rsidRPr="0094498D">
        <w:t xml:space="preserve"> </w:t>
      </w:r>
      <w:r>
        <w:t>отношении</w:t>
      </w:r>
      <w:r w:rsidRPr="0094498D">
        <w:t xml:space="preserve"> </w:t>
      </w:r>
      <w:r>
        <w:t>каждого</w:t>
      </w:r>
      <w:r w:rsidRPr="0094498D">
        <w:t xml:space="preserve"> </w:t>
      </w:r>
      <w:r>
        <w:t>участника</w:t>
      </w:r>
      <w:r w:rsidRPr="0094498D">
        <w:t xml:space="preserve"> </w:t>
      </w:r>
      <w:r>
        <w:t>демонстрации</w:t>
      </w:r>
      <w:r w:rsidRPr="0094498D">
        <w:t xml:space="preserve"> </w:t>
      </w:r>
      <w:r>
        <w:t>официальный</w:t>
      </w:r>
      <w:r w:rsidRPr="0094498D">
        <w:t xml:space="preserve"> </w:t>
      </w:r>
      <w:r>
        <w:t>прот</w:t>
      </w:r>
      <w:r>
        <w:t>о</w:t>
      </w:r>
      <w:r>
        <w:t>кол</w:t>
      </w:r>
      <w:r w:rsidRPr="0094498D">
        <w:t xml:space="preserve"> </w:t>
      </w:r>
      <w:r>
        <w:t>о</w:t>
      </w:r>
      <w:r w:rsidRPr="0094498D">
        <w:t xml:space="preserve"> </w:t>
      </w:r>
      <w:r>
        <w:t>совершении</w:t>
      </w:r>
      <w:r w:rsidRPr="0094498D">
        <w:t xml:space="preserve"> </w:t>
      </w:r>
      <w:r>
        <w:t>административного правонарушения, предусмотренного ч</w:t>
      </w:r>
      <w:r>
        <w:t>а</w:t>
      </w:r>
      <w:r>
        <w:t xml:space="preserve">стью </w:t>
      </w:r>
      <w:r w:rsidRPr="003D04BF">
        <w:t xml:space="preserve">1 </w:t>
      </w:r>
      <w:r>
        <w:t>статьи</w:t>
      </w:r>
      <w:r w:rsidRPr="0094498D">
        <w:rPr>
          <w:lang w:val="en-US"/>
        </w:rPr>
        <w:t> </w:t>
      </w:r>
      <w:r w:rsidRPr="003D04BF">
        <w:t xml:space="preserve">23.34 </w:t>
      </w:r>
      <w:r>
        <w:t>Кодекса об административных правонарушениях, а именно о нарушении установленного порядка проведения массового мероприятия. А</w:t>
      </w:r>
      <w:r>
        <w:t>в</w:t>
      </w:r>
      <w:r>
        <w:t>торы</w:t>
      </w:r>
      <w:r w:rsidRPr="00AD38C2">
        <w:t xml:space="preserve"> </w:t>
      </w:r>
      <w:r>
        <w:t>утверждают</w:t>
      </w:r>
      <w:r w:rsidRPr="00AD38C2">
        <w:t xml:space="preserve">, </w:t>
      </w:r>
      <w:r>
        <w:t>что</w:t>
      </w:r>
      <w:r w:rsidRPr="00AD38C2">
        <w:t xml:space="preserve"> </w:t>
      </w:r>
      <w:r>
        <w:t>они</w:t>
      </w:r>
      <w:r w:rsidRPr="00AD38C2">
        <w:t xml:space="preserve"> </w:t>
      </w:r>
      <w:r>
        <w:t>были</w:t>
      </w:r>
      <w:r w:rsidRPr="00AD38C2">
        <w:t xml:space="preserve"> </w:t>
      </w:r>
      <w:r>
        <w:t>задержаны до начала демонстрации и задолго до того, как они оказались на площади, на которой она должна была состояться.</w:t>
      </w:r>
    </w:p>
    <w:p w:rsidR="00615F21" w:rsidRPr="003F53E2" w:rsidRDefault="00615F21" w:rsidP="00615F21">
      <w:pPr>
        <w:pStyle w:val="SingleTxtGR"/>
      </w:pPr>
      <w:r w:rsidRPr="00542A3D">
        <w:t>2.3</w:t>
      </w:r>
      <w:r w:rsidRPr="00542A3D">
        <w:tab/>
      </w:r>
      <w:r>
        <w:t>Суд</w:t>
      </w:r>
      <w:r w:rsidRPr="00542A3D">
        <w:t xml:space="preserve"> </w:t>
      </w:r>
      <w:r>
        <w:t>Железнодорожного</w:t>
      </w:r>
      <w:r w:rsidRPr="00542A3D">
        <w:t xml:space="preserve"> </w:t>
      </w:r>
      <w:r>
        <w:t>района</w:t>
      </w:r>
      <w:r w:rsidRPr="00542A3D">
        <w:t xml:space="preserve"> </w:t>
      </w:r>
      <w:r>
        <w:t>принял</w:t>
      </w:r>
      <w:r w:rsidRPr="00542A3D">
        <w:t xml:space="preserve"> </w:t>
      </w:r>
      <w:r>
        <w:t>отдельные</w:t>
      </w:r>
      <w:r w:rsidRPr="00542A3D">
        <w:t xml:space="preserve"> </w:t>
      </w:r>
      <w:r>
        <w:t>решения</w:t>
      </w:r>
      <w:r w:rsidRPr="00542A3D">
        <w:t xml:space="preserve"> (15 </w:t>
      </w:r>
      <w:r>
        <w:t>октября</w:t>
      </w:r>
      <w:r w:rsidRPr="00542A3D">
        <w:t xml:space="preserve"> 2009 </w:t>
      </w:r>
      <w:r>
        <w:t>года</w:t>
      </w:r>
      <w:r w:rsidRPr="00542A3D">
        <w:t xml:space="preserve"> </w:t>
      </w:r>
      <w:r>
        <w:t>в</w:t>
      </w:r>
      <w:r w:rsidRPr="00542A3D">
        <w:t xml:space="preserve"> </w:t>
      </w:r>
      <w:r>
        <w:t>отношении</w:t>
      </w:r>
      <w:r w:rsidRPr="00542A3D">
        <w:t xml:space="preserve"> </w:t>
      </w:r>
      <w:r>
        <w:t>г</w:t>
      </w:r>
      <w:r w:rsidRPr="00542A3D">
        <w:t>-</w:t>
      </w:r>
      <w:r>
        <w:t>на</w:t>
      </w:r>
      <w:r w:rsidRPr="00542A3D">
        <w:t xml:space="preserve"> </w:t>
      </w:r>
      <w:r>
        <w:t>Еврезова</w:t>
      </w:r>
      <w:r w:rsidRPr="00542A3D">
        <w:t xml:space="preserve">, 13 </w:t>
      </w:r>
      <w:r>
        <w:t>октября</w:t>
      </w:r>
      <w:r w:rsidRPr="00542A3D">
        <w:t xml:space="preserve"> 2009 </w:t>
      </w:r>
      <w:r>
        <w:t>года</w:t>
      </w:r>
      <w:r w:rsidRPr="00542A3D">
        <w:t xml:space="preserve"> </w:t>
      </w:r>
      <w:r>
        <w:t>в</w:t>
      </w:r>
      <w:r w:rsidRPr="00542A3D">
        <w:t xml:space="preserve"> </w:t>
      </w:r>
      <w:r>
        <w:t>отношении</w:t>
      </w:r>
      <w:r w:rsidRPr="00542A3D">
        <w:t xml:space="preserve"> </w:t>
      </w:r>
      <w:r w:rsidR="00694E81">
        <w:br/>
      </w:r>
      <w:r>
        <w:t>г-на</w:t>
      </w:r>
      <w:r w:rsidRPr="00542A3D">
        <w:t xml:space="preserve"> </w:t>
      </w:r>
      <w:r>
        <w:t>Полякова</w:t>
      </w:r>
      <w:r w:rsidRPr="003F53E2">
        <w:t xml:space="preserve"> </w:t>
      </w:r>
      <w:r>
        <w:t>и</w:t>
      </w:r>
      <w:r w:rsidRPr="003F53E2">
        <w:t xml:space="preserve"> </w:t>
      </w:r>
      <w:r>
        <w:t>г-на Непомнящих</w:t>
      </w:r>
      <w:r w:rsidRPr="003F53E2">
        <w:t xml:space="preserve"> </w:t>
      </w:r>
      <w:r>
        <w:t>и</w:t>
      </w:r>
      <w:r w:rsidRPr="003F53E2">
        <w:t xml:space="preserve"> 19 </w:t>
      </w:r>
      <w:r>
        <w:t>октября</w:t>
      </w:r>
      <w:r w:rsidRPr="003F53E2">
        <w:t xml:space="preserve"> </w:t>
      </w:r>
      <w:r>
        <w:t>в</w:t>
      </w:r>
      <w:r w:rsidRPr="003F53E2">
        <w:t xml:space="preserve"> </w:t>
      </w:r>
      <w:r>
        <w:t>отношении</w:t>
      </w:r>
      <w:r w:rsidRPr="003F53E2">
        <w:t xml:space="preserve"> </w:t>
      </w:r>
      <w:r>
        <w:t>г</w:t>
      </w:r>
      <w:r w:rsidRPr="003F53E2">
        <w:t>-</w:t>
      </w:r>
      <w:r>
        <w:t>на</w:t>
      </w:r>
      <w:r w:rsidRPr="003F53E2">
        <w:t xml:space="preserve"> </w:t>
      </w:r>
      <w:r>
        <w:t>Рыбченко</w:t>
      </w:r>
      <w:r w:rsidRPr="003F53E2">
        <w:t xml:space="preserve">), </w:t>
      </w:r>
      <w:r>
        <w:t>в которых он постановил</w:t>
      </w:r>
      <w:r w:rsidRPr="003F53E2">
        <w:t xml:space="preserve">, </w:t>
      </w:r>
      <w:r>
        <w:t>что</w:t>
      </w:r>
      <w:r w:rsidRPr="003F53E2">
        <w:t xml:space="preserve"> </w:t>
      </w:r>
      <w:r>
        <w:t>авторы</w:t>
      </w:r>
      <w:r w:rsidRPr="003F53E2">
        <w:t xml:space="preserve"> </w:t>
      </w:r>
      <w:r>
        <w:t>сообщения</w:t>
      </w:r>
      <w:r w:rsidRPr="003F53E2">
        <w:t xml:space="preserve"> </w:t>
      </w:r>
      <w:r>
        <w:t>являются</w:t>
      </w:r>
      <w:r w:rsidRPr="003F53E2">
        <w:t xml:space="preserve"> </w:t>
      </w:r>
      <w:r>
        <w:t>виновными</w:t>
      </w:r>
      <w:r w:rsidRPr="003F53E2">
        <w:t xml:space="preserve"> </w:t>
      </w:r>
      <w:r>
        <w:t>в</w:t>
      </w:r>
      <w:r w:rsidRPr="003F53E2">
        <w:t xml:space="preserve"> </w:t>
      </w:r>
      <w:r>
        <w:t>наруш</w:t>
      </w:r>
      <w:r>
        <w:t>е</w:t>
      </w:r>
      <w:r>
        <w:t>нии</w:t>
      </w:r>
      <w:r w:rsidRPr="003F53E2">
        <w:t xml:space="preserve"> </w:t>
      </w:r>
      <w:r>
        <w:t>установленного</w:t>
      </w:r>
      <w:r w:rsidRPr="003F53E2">
        <w:t xml:space="preserve"> </w:t>
      </w:r>
      <w:r>
        <w:t>порядка</w:t>
      </w:r>
      <w:r w:rsidRPr="003F53E2">
        <w:t xml:space="preserve"> </w:t>
      </w:r>
      <w:r>
        <w:t>проведения</w:t>
      </w:r>
      <w:r w:rsidRPr="003F53E2">
        <w:t xml:space="preserve"> </w:t>
      </w:r>
      <w:r>
        <w:t>массового</w:t>
      </w:r>
      <w:r w:rsidRPr="003F53E2">
        <w:t xml:space="preserve"> </w:t>
      </w:r>
      <w:r>
        <w:t>мероприятия, и наложил на них административные штрафы (на г-на Еврезова</w:t>
      </w:r>
      <w:r w:rsidRPr="003F53E2">
        <w:t xml:space="preserve"> </w:t>
      </w:r>
      <w:r>
        <w:t>и</w:t>
      </w:r>
      <w:r w:rsidRPr="003F53E2">
        <w:t xml:space="preserve"> </w:t>
      </w:r>
      <w:r>
        <w:t>г-на Непомнящих</w:t>
      </w:r>
      <w:r w:rsidRPr="003F53E2">
        <w:t xml:space="preserve"> − </w:t>
      </w:r>
      <w:r w:rsidR="00694E81">
        <w:br/>
      </w:r>
      <w:r w:rsidRPr="003F53E2">
        <w:t xml:space="preserve">875 000 </w:t>
      </w:r>
      <w:r>
        <w:t xml:space="preserve">белорусских рублей, на г-на Полякова </w:t>
      </w:r>
      <w:r w:rsidRPr="003F53E2">
        <w:t>1</w:t>
      </w:r>
      <w:r>
        <w:t xml:space="preserve"> 400 </w:t>
      </w:r>
      <w:r w:rsidRPr="003F53E2">
        <w:t>000</w:t>
      </w:r>
      <w:r w:rsidRPr="00AD38C2">
        <w:rPr>
          <w:lang w:val="en-US"/>
        </w:rPr>
        <w:t> </w:t>
      </w:r>
      <w:r>
        <w:t>рублей и на г-на Ры</w:t>
      </w:r>
      <w:r>
        <w:t>б</w:t>
      </w:r>
      <w:r>
        <w:t>ченко</w:t>
      </w:r>
      <w:r w:rsidRPr="003F53E2">
        <w:t xml:space="preserve"> 700</w:t>
      </w:r>
      <w:r>
        <w:t> </w:t>
      </w:r>
      <w:r w:rsidRPr="003F53E2">
        <w:t xml:space="preserve">000 </w:t>
      </w:r>
      <w:r>
        <w:t>рублей). В</w:t>
      </w:r>
      <w:r w:rsidRPr="003F53E2">
        <w:t xml:space="preserve"> </w:t>
      </w:r>
      <w:r>
        <w:t>ходе</w:t>
      </w:r>
      <w:r w:rsidRPr="003F53E2">
        <w:t xml:space="preserve"> </w:t>
      </w:r>
      <w:r>
        <w:t>разбирательства</w:t>
      </w:r>
      <w:r w:rsidRPr="003F53E2">
        <w:t xml:space="preserve"> </w:t>
      </w:r>
      <w:r>
        <w:t>по делу об административном правонарушении один</w:t>
      </w:r>
      <w:r w:rsidRPr="003F53E2">
        <w:t xml:space="preserve"> </w:t>
      </w:r>
      <w:r>
        <w:t>из</w:t>
      </w:r>
      <w:r w:rsidRPr="003F53E2">
        <w:t xml:space="preserve"> </w:t>
      </w:r>
      <w:r>
        <w:t>свидетелей</w:t>
      </w:r>
      <w:r w:rsidRPr="003F53E2">
        <w:t xml:space="preserve"> </w:t>
      </w:r>
      <w:r>
        <w:t>показал</w:t>
      </w:r>
      <w:r w:rsidRPr="003F53E2">
        <w:t xml:space="preserve">, </w:t>
      </w:r>
      <w:r>
        <w:t>что</w:t>
      </w:r>
      <w:r w:rsidRPr="003F53E2">
        <w:t xml:space="preserve"> </w:t>
      </w:r>
      <w:r>
        <w:t>никто</w:t>
      </w:r>
      <w:r w:rsidRPr="003F53E2">
        <w:t xml:space="preserve"> </w:t>
      </w:r>
      <w:r>
        <w:t>из</w:t>
      </w:r>
      <w:r w:rsidRPr="003F53E2">
        <w:t xml:space="preserve"> </w:t>
      </w:r>
      <w:r>
        <w:t>участников</w:t>
      </w:r>
      <w:r w:rsidRPr="003F53E2">
        <w:t xml:space="preserve"> </w:t>
      </w:r>
      <w:r>
        <w:t>шествия</w:t>
      </w:r>
      <w:r w:rsidRPr="003F53E2">
        <w:t xml:space="preserve"> </w:t>
      </w:r>
      <w:r>
        <w:t>не</w:t>
      </w:r>
      <w:r w:rsidRPr="003F53E2">
        <w:t xml:space="preserve"> </w:t>
      </w:r>
      <w:r>
        <w:t>нес</w:t>
      </w:r>
      <w:r w:rsidRPr="003F53E2">
        <w:t xml:space="preserve"> </w:t>
      </w:r>
      <w:r>
        <w:t>или</w:t>
      </w:r>
      <w:r w:rsidRPr="003F53E2">
        <w:t xml:space="preserve"> </w:t>
      </w:r>
      <w:r>
        <w:t>не</w:t>
      </w:r>
      <w:r w:rsidRPr="003F53E2">
        <w:t xml:space="preserve"> </w:t>
      </w:r>
      <w:r>
        <w:t>демонстрировал какие-либо плакаты или фотографии, но суд п</w:t>
      </w:r>
      <w:r>
        <w:t>о</w:t>
      </w:r>
      <w:r>
        <w:t>становил принять к сведению показания сотрудников милиции, заявивших, что авторы несли плакаты.</w:t>
      </w:r>
    </w:p>
    <w:p w:rsidR="00615F21" w:rsidRPr="00962170" w:rsidRDefault="00615F21" w:rsidP="00615F21">
      <w:pPr>
        <w:pStyle w:val="SingleTxtGR"/>
      </w:pPr>
      <w:r w:rsidRPr="00F32BE2">
        <w:t>2.4</w:t>
      </w:r>
      <w:r w:rsidRPr="00F32BE2">
        <w:tab/>
      </w:r>
      <w:r>
        <w:t>Авторы</w:t>
      </w:r>
      <w:r w:rsidRPr="00F32BE2">
        <w:t xml:space="preserve"> </w:t>
      </w:r>
      <w:r>
        <w:t>обжаловали</w:t>
      </w:r>
      <w:r w:rsidRPr="00F32BE2">
        <w:t xml:space="preserve"> </w:t>
      </w:r>
      <w:r>
        <w:t>решение</w:t>
      </w:r>
      <w:r w:rsidRPr="00F32BE2">
        <w:t xml:space="preserve">, </w:t>
      </w:r>
      <w:r>
        <w:t>принятое</w:t>
      </w:r>
      <w:r w:rsidRPr="00F32BE2">
        <w:t xml:space="preserve"> </w:t>
      </w:r>
      <w:r>
        <w:t>судом</w:t>
      </w:r>
      <w:r w:rsidRPr="00F32BE2">
        <w:t xml:space="preserve"> </w:t>
      </w:r>
      <w:r>
        <w:t>первой</w:t>
      </w:r>
      <w:r w:rsidRPr="00F32BE2">
        <w:t xml:space="preserve"> </w:t>
      </w:r>
      <w:r>
        <w:t>инстанции</w:t>
      </w:r>
      <w:r w:rsidRPr="00F32BE2">
        <w:t xml:space="preserve"> </w:t>
      </w:r>
      <w:r>
        <w:t>в</w:t>
      </w:r>
      <w:r w:rsidRPr="00F32BE2">
        <w:t xml:space="preserve"> </w:t>
      </w:r>
      <w:r>
        <w:t>Г</w:t>
      </w:r>
      <w:r>
        <w:t>о</w:t>
      </w:r>
      <w:r>
        <w:t>мельском</w:t>
      </w:r>
      <w:r w:rsidRPr="00F32BE2">
        <w:t xml:space="preserve"> </w:t>
      </w:r>
      <w:r>
        <w:t>областном</w:t>
      </w:r>
      <w:r w:rsidRPr="00F32BE2">
        <w:t xml:space="preserve"> </w:t>
      </w:r>
      <w:r>
        <w:t>суде</w:t>
      </w:r>
      <w:r w:rsidRPr="00F32BE2">
        <w:t xml:space="preserve">, </w:t>
      </w:r>
      <w:r>
        <w:t>который</w:t>
      </w:r>
      <w:r w:rsidRPr="00F32BE2">
        <w:t xml:space="preserve"> </w:t>
      </w:r>
      <w:r>
        <w:t>отклонил их апелляции и поддержал прин</w:t>
      </w:r>
      <w:r>
        <w:t>я</w:t>
      </w:r>
      <w:r>
        <w:t xml:space="preserve">тые ранее решения </w:t>
      </w:r>
      <w:r w:rsidRPr="00F32BE2">
        <w:t>(</w:t>
      </w:r>
      <w:r>
        <w:t xml:space="preserve">от </w:t>
      </w:r>
      <w:r w:rsidRPr="00F32BE2">
        <w:t xml:space="preserve">20 </w:t>
      </w:r>
      <w:r>
        <w:t>ноября</w:t>
      </w:r>
      <w:r w:rsidRPr="00F32BE2">
        <w:t xml:space="preserve"> 2009 </w:t>
      </w:r>
      <w:r>
        <w:t>года в отношении г-на Еврезова, 11 н</w:t>
      </w:r>
      <w:r>
        <w:t>о</w:t>
      </w:r>
      <w:r>
        <w:t>ября 2009 года в отношении г-на Непомнящих</w:t>
      </w:r>
      <w:r w:rsidRPr="00542A3D">
        <w:t xml:space="preserve"> </w:t>
      </w:r>
      <w:r>
        <w:t>и</w:t>
      </w:r>
      <w:r w:rsidRPr="00542A3D">
        <w:t xml:space="preserve"> </w:t>
      </w:r>
      <w:r>
        <w:t>г-на Полякова</w:t>
      </w:r>
      <w:r w:rsidRPr="00542A3D">
        <w:t xml:space="preserve"> </w:t>
      </w:r>
      <w:r>
        <w:t>и</w:t>
      </w:r>
      <w:r w:rsidRPr="00542A3D">
        <w:t xml:space="preserve"> 18 </w:t>
      </w:r>
      <w:r>
        <w:t>ноября 2009 года</w:t>
      </w:r>
      <w:r w:rsidRPr="00542A3D">
        <w:t xml:space="preserve"> </w:t>
      </w:r>
      <w:r>
        <w:t>в</w:t>
      </w:r>
      <w:r w:rsidRPr="00542A3D">
        <w:t xml:space="preserve"> </w:t>
      </w:r>
      <w:r>
        <w:t>отношении</w:t>
      </w:r>
      <w:r w:rsidRPr="00542A3D">
        <w:t xml:space="preserve"> </w:t>
      </w:r>
      <w:r>
        <w:t>г</w:t>
      </w:r>
      <w:r w:rsidRPr="00542A3D">
        <w:t>-</w:t>
      </w:r>
      <w:r>
        <w:t>на</w:t>
      </w:r>
      <w:r w:rsidRPr="00542A3D">
        <w:t xml:space="preserve"> </w:t>
      </w:r>
      <w:r>
        <w:t>Рыбченко</w:t>
      </w:r>
      <w:r w:rsidRPr="00542A3D">
        <w:t xml:space="preserve">). </w:t>
      </w:r>
      <w:r>
        <w:t>Гомельский</w:t>
      </w:r>
      <w:r w:rsidRPr="00542A3D">
        <w:t xml:space="preserve"> </w:t>
      </w:r>
      <w:r>
        <w:t>областной</w:t>
      </w:r>
      <w:r w:rsidRPr="00542A3D">
        <w:t xml:space="preserve"> </w:t>
      </w:r>
      <w:r>
        <w:t>суд</w:t>
      </w:r>
      <w:r w:rsidRPr="00542A3D">
        <w:t xml:space="preserve"> </w:t>
      </w:r>
      <w:r>
        <w:t>согласился</w:t>
      </w:r>
      <w:r w:rsidRPr="00542A3D">
        <w:t xml:space="preserve"> </w:t>
      </w:r>
      <w:r>
        <w:t>с</w:t>
      </w:r>
      <w:r w:rsidRPr="00542A3D">
        <w:t xml:space="preserve"> </w:t>
      </w:r>
      <w:r>
        <w:t>выводом</w:t>
      </w:r>
      <w:r w:rsidRPr="00542A3D">
        <w:t xml:space="preserve"> </w:t>
      </w:r>
      <w:r>
        <w:t>районного</w:t>
      </w:r>
      <w:r w:rsidRPr="00542A3D">
        <w:t xml:space="preserve"> </w:t>
      </w:r>
      <w:r>
        <w:t>суда</w:t>
      </w:r>
      <w:r w:rsidRPr="00542A3D">
        <w:t xml:space="preserve"> </w:t>
      </w:r>
      <w:r>
        <w:t>о</w:t>
      </w:r>
      <w:r w:rsidRPr="00542A3D">
        <w:t xml:space="preserve"> </w:t>
      </w:r>
      <w:r>
        <w:t>том</w:t>
      </w:r>
      <w:r w:rsidRPr="00542A3D">
        <w:t xml:space="preserve">, </w:t>
      </w:r>
      <w:r>
        <w:t>что</w:t>
      </w:r>
      <w:r w:rsidRPr="00542A3D">
        <w:t xml:space="preserve"> </w:t>
      </w:r>
      <w:r>
        <w:t>авторы</w:t>
      </w:r>
      <w:r w:rsidRPr="00542A3D">
        <w:t xml:space="preserve"> </w:t>
      </w:r>
      <w:r>
        <w:t>действительно</w:t>
      </w:r>
      <w:r w:rsidRPr="00542A3D">
        <w:t xml:space="preserve"> </w:t>
      </w:r>
      <w:r>
        <w:t>нарушили</w:t>
      </w:r>
      <w:r w:rsidRPr="00542A3D">
        <w:t xml:space="preserve"> </w:t>
      </w:r>
      <w:r>
        <w:t>Закон</w:t>
      </w:r>
      <w:r w:rsidRPr="00542A3D">
        <w:t xml:space="preserve"> </w:t>
      </w:r>
      <w:r>
        <w:t>о</w:t>
      </w:r>
      <w:r w:rsidRPr="00542A3D">
        <w:t xml:space="preserve"> </w:t>
      </w:r>
      <w:r>
        <w:t>массовых</w:t>
      </w:r>
      <w:r w:rsidRPr="00542A3D">
        <w:t xml:space="preserve"> </w:t>
      </w:r>
      <w:r>
        <w:t>мероприятиях</w:t>
      </w:r>
      <w:r w:rsidRPr="00542A3D">
        <w:t xml:space="preserve">. </w:t>
      </w:r>
      <w:r>
        <w:t>Этим</w:t>
      </w:r>
      <w:r w:rsidRPr="00962170">
        <w:t xml:space="preserve"> </w:t>
      </w:r>
      <w:r>
        <w:t>Законом</w:t>
      </w:r>
      <w:r w:rsidRPr="00962170">
        <w:t xml:space="preserve"> </w:t>
      </w:r>
      <w:r>
        <w:t>предусмотрен</w:t>
      </w:r>
      <w:r w:rsidRPr="00962170">
        <w:t xml:space="preserve"> </w:t>
      </w:r>
      <w:r>
        <w:t>запрет</w:t>
      </w:r>
      <w:r w:rsidRPr="00962170">
        <w:t xml:space="preserve"> </w:t>
      </w:r>
      <w:r>
        <w:t>на</w:t>
      </w:r>
      <w:r w:rsidRPr="00962170">
        <w:t xml:space="preserve"> </w:t>
      </w:r>
      <w:r>
        <w:t>несанкцион</w:t>
      </w:r>
      <w:r>
        <w:t>и</w:t>
      </w:r>
      <w:r>
        <w:t>рованные</w:t>
      </w:r>
      <w:r w:rsidRPr="00962170">
        <w:t xml:space="preserve"> </w:t>
      </w:r>
      <w:r>
        <w:t>собрания</w:t>
      </w:r>
      <w:r w:rsidRPr="00962170">
        <w:t xml:space="preserve">, </w:t>
      </w:r>
      <w:r>
        <w:t>в</w:t>
      </w:r>
      <w:r w:rsidRPr="00962170">
        <w:t xml:space="preserve"> </w:t>
      </w:r>
      <w:r>
        <w:t>том</w:t>
      </w:r>
      <w:r w:rsidRPr="00962170">
        <w:t xml:space="preserve"> </w:t>
      </w:r>
      <w:r>
        <w:t>числе на проведение группой граждан любого орг</w:t>
      </w:r>
      <w:r>
        <w:t>а</w:t>
      </w:r>
      <w:r>
        <w:t>низованного шествия и демонстрацию плакатов и фотографий.</w:t>
      </w:r>
    </w:p>
    <w:p w:rsidR="00615F21" w:rsidRPr="002C7E11" w:rsidRDefault="00615F21" w:rsidP="00615F21">
      <w:pPr>
        <w:pStyle w:val="SingleTxtGR"/>
      </w:pPr>
      <w:r w:rsidRPr="00542A3D">
        <w:t>2.5</w:t>
      </w:r>
      <w:r w:rsidRPr="00542A3D">
        <w:tab/>
      </w:r>
      <w:r>
        <w:t>Авторы</w:t>
      </w:r>
      <w:r w:rsidRPr="00542A3D">
        <w:t xml:space="preserve"> </w:t>
      </w:r>
      <w:r>
        <w:t>утверждают</w:t>
      </w:r>
      <w:r w:rsidRPr="00542A3D">
        <w:t xml:space="preserve">, </w:t>
      </w:r>
      <w:r>
        <w:t>что</w:t>
      </w:r>
      <w:r w:rsidRPr="00542A3D">
        <w:t xml:space="preserve"> </w:t>
      </w:r>
      <w:r>
        <w:t>они</w:t>
      </w:r>
      <w:r w:rsidRPr="00542A3D">
        <w:t xml:space="preserve"> </w:t>
      </w:r>
      <w:r>
        <w:t>обжаловали</w:t>
      </w:r>
      <w:r w:rsidRPr="00542A3D">
        <w:t xml:space="preserve"> </w:t>
      </w:r>
      <w:r>
        <w:t>вышеуказанное</w:t>
      </w:r>
      <w:r w:rsidRPr="00542A3D">
        <w:t xml:space="preserve"> </w:t>
      </w:r>
      <w:r>
        <w:t>решение</w:t>
      </w:r>
      <w:r w:rsidRPr="00542A3D">
        <w:t xml:space="preserve"> </w:t>
      </w:r>
      <w:r>
        <w:t>в</w:t>
      </w:r>
      <w:r w:rsidRPr="00542A3D">
        <w:t xml:space="preserve"> </w:t>
      </w:r>
      <w:r>
        <w:t>Ве</w:t>
      </w:r>
      <w:r>
        <w:t>р</w:t>
      </w:r>
      <w:r>
        <w:t>ховном</w:t>
      </w:r>
      <w:r w:rsidRPr="00542A3D">
        <w:t xml:space="preserve"> </w:t>
      </w:r>
      <w:r>
        <w:t>суде</w:t>
      </w:r>
      <w:r w:rsidRPr="00542A3D">
        <w:t xml:space="preserve">. </w:t>
      </w:r>
      <w:r>
        <w:t>Их</w:t>
      </w:r>
      <w:r w:rsidRPr="00E60084">
        <w:t xml:space="preserve"> </w:t>
      </w:r>
      <w:r>
        <w:t>жалобы</w:t>
      </w:r>
      <w:r w:rsidRPr="00E60084">
        <w:t xml:space="preserve"> </w:t>
      </w:r>
      <w:r>
        <w:t>были</w:t>
      </w:r>
      <w:r w:rsidRPr="00E60084">
        <w:t xml:space="preserve"> </w:t>
      </w:r>
      <w:r>
        <w:t>отклонены</w:t>
      </w:r>
      <w:r w:rsidRPr="00E60084">
        <w:t xml:space="preserve"> </w:t>
      </w:r>
      <w:r>
        <w:t>Председателем</w:t>
      </w:r>
      <w:r w:rsidRPr="00E60084">
        <w:t xml:space="preserve"> </w:t>
      </w:r>
      <w:r>
        <w:t>Верховного</w:t>
      </w:r>
      <w:r w:rsidRPr="00E60084">
        <w:t xml:space="preserve"> </w:t>
      </w:r>
      <w:r>
        <w:t>суда</w:t>
      </w:r>
      <w:r w:rsidRPr="00E60084">
        <w:t xml:space="preserve"> </w:t>
      </w:r>
      <w:r>
        <w:t>в</w:t>
      </w:r>
      <w:r w:rsidRPr="00E60084">
        <w:t xml:space="preserve"> </w:t>
      </w:r>
      <w:r>
        <w:t>рамках</w:t>
      </w:r>
      <w:r w:rsidRPr="00E60084">
        <w:t xml:space="preserve"> </w:t>
      </w:r>
      <w:r>
        <w:t>надзорного</w:t>
      </w:r>
      <w:r w:rsidRPr="00E60084">
        <w:t xml:space="preserve"> </w:t>
      </w:r>
      <w:r>
        <w:t>судопроизводства</w:t>
      </w:r>
      <w:r w:rsidRPr="00E60084">
        <w:t xml:space="preserve"> (18 </w:t>
      </w:r>
      <w:r>
        <w:t>марта</w:t>
      </w:r>
      <w:r w:rsidRPr="00E60084">
        <w:t xml:space="preserve"> 2010 </w:t>
      </w:r>
      <w:r>
        <w:t>года</w:t>
      </w:r>
      <w:r w:rsidRPr="00E60084">
        <w:t xml:space="preserve"> </w:t>
      </w:r>
      <w:r>
        <w:t>в</w:t>
      </w:r>
      <w:r w:rsidRPr="00E60084">
        <w:t xml:space="preserve"> </w:t>
      </w:r>
      <w:r>
        <w:t>отношении</w:t>
      </w:r>
      <w:r w:rsidRPr="00E60084">
        <w:t xml:space="preserve"> </w:t>
      </w:r>
      <w:r>
        <w:br/>
        <w:t>г-на Еврезова, 29 января 2010 года в отношении г-на Непомнящих</w:t>
      </w:r>
      <w:r w:rsidRPr="00E60084">
        <w:t xml:space="preserve"> </w:t>
      </w:r>
      <w:r>
        <w:t>и</w:t>
      </w:r>
      <w:r w:rsidRPr="00E60084">
        <w:t xml:space="preserve"> </w:t>
      </w:r>
      <w:r>
        <w:t>г-на Пол</w:t>
      </w:r>
      <w:r>
        <w:t>я</w:t>
      </w:r>
      <w:r>
        <w:t>кова</w:t>
      </w:r>
      <w:r w:rsidRPr="00E60084">
        <w:t xml:space="preserve"> </w:t>
      </w:r>
      <w:r>
        <w:t>и</w:t>
      </w:r>
      <w:r w:rsidRPr="00E60084">
        <w:t xml:space="preserve"> 16 </w:t>
      </w:r>
      <w:r>
        <w:t>апреля</w:t>
      </w:r>
      <w:r w:rsidRPr="00E60084">
        <w:t xml:space="preserve"> 2010 </w:t>
      </w:r>
      <w:r>
        <w:t>года</w:t>
      </w:r>
      <w:r w:rsidRPr="00E60084">
        <w:t xml:space="preserve"> </w:t>
      </w:r>
      <w:r>
        <w:t>в</w:t>
      </w:r>
      <w:r w:rsidRPr="00E60084">
        <w:t xml:space="preserve"> </w:t>
      </w:r>
      <w:r>
        <w:t>отношении</w:t>
      </w:r>
      <w:r w:rsidRPr="00E60084">
        <w:t xml:space="preserve"> </w:t>
      </w:r>
      <w:r>
        <w:t>г</w:t>
      </w:r>
      <w:r w:rsidRPr="00E60084">
        <w:t>-</w:t>
      </w:r>
      <w:r>
        <w:t>на</w:t>
      </w:r>
      <w:r w:rsidRPr="00E60084">
        <w:t xml:space="preserve"> </w:t>
      </w:r>
      <w:r>
        <w:t>Рыбченко</w:t>
      </w:r>
      <w:r w:rsidRPr="00E60084">
        <w:t>)</w:t>
      </w:r>
      <w:r>
        <w:t>. Верховный</w:t>
      </w:r>
      <w:r w:rsidRPr="002C7E11">
        <w:t xml:space="preserve"> </w:t>
      </w:r>
      <w:r>
        <w:t>суд</w:t>
      </w:r>
      <w:r w:rsidRPr="002C7E11">
        <w:t xml:space="preserve"> </w:t>
      </w:r>
      <w:r>
        <w:t>по</w:t>
      </w:r>
      <w:r>
        <w:t>д</w:t>
      </w:r>
      <w:r>
        <w:t>держал</w:t>
      </w:r>
      <w:r w:rsidRPr="002C7E11">
        <w:t xml:space="preserve"> </w:t>
      </w:r>
      <w:r>
        <w:t>решения</w:t>
      </w:r>
      <w:r w:rsidRPr="002C7E11">
        <w:t xml:space="preserve"> </w:t>
      </w:r>
      <w:r>
        <w:t>нижестоящих судов</w:t>
      </w:r>
      <w:r w:rsidRPr="002C7E11">
        <w:t xml:space="preserve"> </w:t>
      </w:r>
      <w:r>
        <w:t>и</w:t>
      </w:r>
      <w:r w:rsidRPr="002C7E11">
        <w:t xml:space="preserve"> </w:t>
      </w:r>
      <w:r>
        <w:t>констатировал</w:t>
      </w:r>
      <w:r w:rsidRPr="002C7E11">
        <w:t xml:space="preserve">, </w:t>
      </w:r>
      <w:r>
        <w:t>что</w:t>
      </w:r>
      <w:r w:rsidRPr="002C7E11">
        <w:t xml:space="preserve"> </w:t>
      </w:r>
      <w:r>
        <w:t>авторы</w:t>
      </w:r>
      <w:r w:rsidRPr="002C7E11">
        <w:t xml:space="preserve"> </w:t>
      </w:r>
      <w:r>
        <w:t>действител</w:t>
      </w:r>
      <w:r>
        <w:t>ь</w:t>
      </w:r>
      <w:r>
        <w:t>но</w:t>
      </w:r>
      <w:r w:rsidRPr="002C7E11">
        <w:t xml:space="preserve"> </w:t>
      </w:r>
      <w:r>
        <w:t>участвовали</w:t>
      </w:r>
      <w:r w:rsidRPr="002C7E11">
        <w:t xml:space="preserve"> </w:t>
      </w:r>
      <w:r>
        <w:t>в</w:t>
      </w:r>
      <w:r w:rsidRPr="002C7E11">
        <w:t xml:space="preserve"> "</w:t>
      </w:r>
      <w:r>
        <w:t>массовом</w:t>
      </w:r>
      <w:r w:rsidRPr="002C7E11">
        <w:t xml:space="preserve"> </w:t>
      </w:r>
      <w:r>
        <w:t>мероприятии</w:t>
      </w:r>
      <w:r w:rsidRPr="002C7E11">
        <w:t xml:space="preserve">" </w:t>
      </w:r>
      <w:r>
        <w:t>путем</w:t>
      </w:r>
      <w:r w:rsidRPr="002C7E11">
        <w:t xml:space="preserve"> </w:t>
      </w:r>
      <w:r>
        <w:t>проведения группового ш</w:t>
      </w:r>
      <w:r>
        <w:t>е</w:t>
      </w:r>
      <w:r>
        <w:t>ствия с фотографиями и плакатами в руках. Верховный</w:t>
      </w:r>
      <w:r w:rsidRPr="002C7E11">
        <w:t xml:space="preserve"> </w:t>
      </w:r>
      <w:r>
        <w:t>суд</w:t>
      </w:r>
      <w:r w:rsidRPr="002C7E11">
        <w:t xml:space="preserve"> </w:t>
      </w:r>
      <w:r>
        <w:t>также</w:t>
      </w:r>
      <w:r w:rsidRPr="002C7E11">
        <w:t xml:space="preserve"> </w:t>
      </w:r>
      <w:r>
        <w:t>вынес опр</w:t>
      </w:r>
      <w:r>
        <w:t>е</w:t>
      </w:r>
      <w:r>
        <w:t>деление</w:t>
      </w:r>
      <w:r w:rsidRPr="002C7E11">
        <w:t xml:space="preserve"> </w:t>
      </w:r>
      <w:r>
        <w:t>о</w:t>
      </w:r>
      <w:r w:rsidRPr="002C7E11">
        <w:t xml:space="preserve"> </w:t>
      </w:r>
      <w:r>
        <w:t>том</w:t>
      </w:r>
      <w:r w:rsidRPr="002C7E11">
        <w:t xml:space="preserve">, </w:t>
      </w:r>
      <w:r>
        <w:t>что авторы не обратились за получением предварительного ра</w:t>
      </w:r>
      <w:r>
        <w:t>з</w:t>
      </w:r>
      <w:r>
        <w:t>решения органов власти на проведение публичного мероприятия в соотве</w:t>
      </w:r>
      <w:r>
        <w:t>т</w:t>
      </w:r>
      <w:r>
        <w:t>ствии с Законом о массовых мероприятиях.</w:t>
      </w:r>
    </w:p>
    <w:p w:rsidR="00615F21" w:rsidRPr="006F18BD" w:rsidRDefault="00615F21" w:rsidP="00615F21">
      <w:pPr>
        <w:pStyle w:val="SingleTxtGR"/>
      </w:pPr>
      <w:r w:rsidRPr="002C7E11">
        <w:t xml:space="preserve">2.6 </w:t>
      </w:r>
      <w:r w:rsidRPr="002C7E11">
        <w:tab/>
      </w:r>
      <w:r>
        <w:t>Авторы</w:t>
      </w:r>
      <w:r w:rsidRPr="002C7E11">
        <w:t xml:space="preserve"> </w:t>
      </w:r>
      <w:r>
        <w:t>утверждают</w:t>
      </w:r>
      <w:r w:rsidRPr="002C7E11">
        <w:t xml:space="preserve">, </w:t>
      </w:r>
      <w:r>
        <w:t>что</w:t>
      </w:r>
      <w:r w:rsidRPr="002C7E11">
        <w:t xml:space="preserve"> </w:t>
      </w:r>
      <w:r>
        <w:t>они</w:t>
      </w:r>
      <w:r w:rsidRPr="002C7E11">
        <w:t xml:space="preserve"> </w:t>
      </w:r>
      <w:r>
        <w:t>не</w:t>
      </w:r>
      <w:r w:rsidRPr="002C7E11">
        <w:t xml:space="preserve"> </w:t>
      </w:r>
      <w:r>
        <w:t>обращались</w:t>
      </w:r>
      <w:r w:rsidRPr="002C7E11">
        <w:t xml:space="preserve"> </w:t>
      </w:r>
      <w:r>
        <w:t>к</w:t>
      </w:r>
      <w:r w:rsidRPr="002C7E11">
        <w:t xml:space="preserve"> </w:t>
      </w:r>
      <w:r>
        <w:t>Генеральному</w:t>
      </w:r>
      <w:r w:rsidRPr="002C7E11">
        <w:t xml:space="preserve"> </w:t>
      </w:r>
      <w:r>
        <w:t>прокурору</w:t>
      </w:r>
      <w:r w:rsidRPr="002C7E11">
        <w:t xml:space="preserve"> </w:t>
      </w:r>
      <w:r>
        <w:t>с</w:t>
      </w:r>
      <w:r w:rsidRPr="002C7E11">
        <w:t xml:space="preserve"> </w:t>
      </w:r>
      <w:r>
        <w:t>ходатайством</w:t>
      </w:r>
      <w:r w:rsidRPr="002C7E11">
        <w:t xml:space="preserve"> </w:t>
      </w:r>
      <w:r>
        <w:t>о</w:t>
      </w:r>
      <w:r w:rsidRPr="002C7E11">
        <w:t xml:space="preserve"> </w:t>
      </w:r>
      <w:r>
        <w:t>рассмотрении</w:t>
      </w:r>
      <w:r w:rsidRPr="002C7E11">
        <w:t xml:space="preserve"> </w:t>
      </w:r>
      <w:r>
        <w:t>решения соответствующих судов в рамках надзорной процедуры, поскольку они считают, что такое обращение не является эффективным средством правовой защиты. Авторы</w:t>
      </w:r>
      <w:r w:rsidRPr="002C7E11">
        <w:t xml:space="preserve"> </w:t>
      </w:r>
      <w:r>
        <w:t>отмечают</w:t>
      </w:r>
      <w:r w:rsidRPr="002C7E11">
        <w:t xml:space="preserve">, </w:t>
      </w:r>
      <w:r>
        <w:t>что</w:t>
      </w:r>
      <w:r w:rsidRPr="002C7E11">
        <w:t xml:space="preserve"> </w:t>
      </w:r>
      <w:r>
        <w:t>национал</w:t>
      </w:r>
      <w:r>
        <w:t>ь</w:t>
      </w:r>
      <w:r>
        <w:t>ный</w:t>
      </w:r>
      <w:r w:rsidRPr="002C7E11">
        <w:t xml:space="preserve"> </w:t>
      </w:r>
      <w:r>
        <w:t>закон</w:t>
      </w:r>
      <w:r w:rsidRPr="002C7E11">
        <w:t xml:space="preserve"> </w:t>
      </w:r>
      <w:r>
        <w:t>государства</w:t>
      </w:r>
      <w:r w:rsidRPr="002C7E11">
        <w:t>-</w:t>
      </w:r>
      <w:r>
        <w:t>участника</w:t>
      </w:r>
      <w:r w:rsidRPr="002C7E11">
        <w:t xml:space="preserve"> </w:t>
      </w:r>
      <w:r>
        <w:t>не</w:t>
      </w:r>
      <w:r w:rsidRPr="002C7E11">
        <w:t xml:space="preserve"> </w:t>
      </w:r>
      <w:r>
        <w:t>предусматривает подачу отдельными л</w:t>
      </w:r>
      <w:r>
        <w:t>и</w:t>
      </w:r>
      <w:r>
        <w:t>цами жалоб в Конституционный суд на нарушения их конституционных прав. В этой связи авторы утверждают, что они исчерпали все имеющиеся и эффе</w:t>
      </w:r>
      <w:r>
        <w:t>к</w:t>
      </w:r>
      <w:r>
        <w:t>тивные внутренние средства правовой защиты.</w:t>
      </w:r>
    </w:p>
    <w:p w:rsidR="00615F21" w:rsidRPr="00542A3D" w:rsidRDefault="00615F21" w:rsidP="00615F21">
      <w:pPr>
        <w:pStyle w:val="H23GR"/>
      </w:pPr>
      <w:r w:rsidRPr="006F18BD">
        <w:tab/>
      </w:r>
      <w:r w:rsidRPr="006F18BD">
        <w:tab/>
      </w:r>
      <w:r>
        <w:t>Жалоба</w:t>
      </w:r>
    </w:p>
    <w:p w:rsidR="00615F21" w:rsidRDefault="00615F21" w:rsidP="00615F21">
      <w:pPr>
        <w:pStyle w:val="SingleTxtGR"/>
      </w:pPr>
      <w:r w:rsidRPr="00542A3D">
        <w:t>3.1</w:t>
      </w:r>
      <w:r w:rsidRPr="00542A3D">
        <w:tab/>
      </w:r>
      <w:r>
        <w:t>Авторы</w:t>
      </w:r>
      <w:r w:rsidRPr="00542A3D">
        <w:t xml:space="preserve"> </w:t>
      </w:r>
      <w:r>
        <w:t>утверждают</w:t>
      </w:r>
      <w:r w:rsidRPr="00542A3D">
        <w:t xml:space="preserve">, </w:t>
      </w:r>
      <w:r>
        <w:t>что</w:t>
      </w:r>
      <w:r w:rsidRPr="00542A3D">
        <w:t xml:space="preserve"> </w:t>
      </w:r>
      <w:r>
        <w:t>ограничения</w:t>
      </w:r>
      <w:r w:rsidRPr="00542A3D">
        <w:t xml:space="preserve"> </w:t>
      </w:r>
      <w:r>
        <w:t>их</w:t>
      </w:r>
      <w:r w:rsidRPr="00542A3D">
        <w:t xml:space="preserve"> </w:t>
      </w:r>
      <w:r>
        <w:t>прав</w:t>
      </w:r>
      <w:r w:rsidRPr="00542A3D">
        <w:t xml:space="preserve"> </w:t>
      </w:r>
      <w:r>
        <w:t>на</w:t>
      </w:r>
      <w:r w:rsidRPr="00542A3D">
        <w:t xml:space="preserve"> </w:t>
      </w:r>
      <w:r>
        <w:t>участие</w:t>
      </w:r>
      <w:r w:rsidRPr="00542A3D">
        <w:t xml:space="preserve"> </w:t>
      </w:r>
      <w:r>
        <w:t>в</w:t>
      </w:r>
      <w:r w:rsidRPr="00542A3D">
        <w:t xml:space="preserve"> </w:t>
      </w:r>
      <w:r>
        <w:t>мирных</w:t>
      </w:r>
      <w:r w:rsidRPr="00542A3D">
        <w:t xml:space="preserve"> </w:t>
      </w:r>
      <w:r>
        <w:t>д</w:t>
      </w:r>
      <w:r>
        <w:t>е</w:t>
      </w:r>
      <w:r>
        <w:t>монстрациях</w:t>
      </w:r>
      <w:r w:rsidRPr="00542A3D">
        <w:t xml:space="preserve"> </w:t>
      </w:r>
      <w:r>
        <w:t>и</w:t>
      </w:r>
      <w:r w:rsidRPr="00542A3D">
        <w:t xml:space="preserve"> </w:t>
      </w:r>
      <w:r>
        <w:t>их</w:t>
      </w:r>
      <w:r w:rsidRPr="00542A3D">
        <w:t xml:space="preserve"> </w:t>
      </w:r>
      <w:r>
        <w:t>свободу</w:t>
      </w:r>
      <w:r w:rsidRPr="00542A3D">
        <w:t xml:space="preserve"> </w:t>
      </w:r>
      <w:r>
        <w:t>на</w:t>
      </w:r>
      <w:r w:rsidRPr="00542A3D">
        <w:t xml:space="preserve"> </w:t>
      </w:r>
      <w:r>
        <w:t>выражение</w:t>
      </w:r>
      <w:r w:rsidRPr="00542A3D">
        <w:t xml:space="preserve"> </w:t>
      </w:r>
      <w:r>
        <w:t>мнений</w:t>
      </w:r>
      <w:r w:rsidRPr="00542A3D">
        <w:t xml:space="preserve"> </w:t>
      </w:r>
      <w:r>
        <w:t>нарушают</w:t>
      </w:r>
      <w:r w:rsidRPr="00542A3D">
        <w:t xml:space="preserve"> </w:t>
      </w:r>
      <w:r>
        <w:t>их</w:t>
      </w:r>
      <w:r w:rsidRPr="00542A3D">
        <w:t xml:space="preserve"> </w:t>
      </w:r>
      <w:r>
        <w:t>права</w:t>
      </w:r>
      <w:r w:rsidRPr="00542A3D">
        <w:t xml:space="preserve"> </w:t>
      </w:r>
      <w:r>
        <w:t>по</w:t>
      </w:r>
      <w:r w:rsidRPr="00542A3D">
        <w:t xml:space="preserve"> </w:t>
      </w:r>
      <w:r>
        <w:t>стат</w:t>
      </w:r>
      <w:r>
        <w:t>ь</w:t>
      </w:r>
      <w:r>
        <w:t>ям </w:t>
      </w:r>
      <w:r w:rsidRPr="00542A3D">
        <w:t xml:space="preserve">19 </w:t>
      </w:r>
      <w:r>
        <w:t>и</w:t>
      </w:r>
      <w:r w:rsidRPr="00542A3D">
        <w:t xml:space="preserve"> 21 </w:t>
      </w:r>
      <w:r>
        <w:t>Пакта</w:t>
      </w:r>
      <w:r w:rsidRPr="00542A3D">
        <w:t xml:space="preserve">. </w:t>
      </w:r>
      <w:r>
        <w:t>В</w:t>
      </w:r>
      <w:r w:rsidRPr="00A347F7">
        <w:t xml:space="preserve"> </w:t>
      </w:r>
      <w:r>
        <w:t>отсутствии</w:t>
      </w:r>
      <w:r w:rsidRPr="00A347F7">
        <w:t xml:space="preserve"> </w:t>
      </w:r>
      <w:r>
        <w:t>какого</w:t>
      </w:r>
      <w:r w:rsidRPr="00A347F7">
        <w:t>-</w:t>
      </w:r>
      <w:r>
        <w:t>либо</w:t>
      </w:r>
      <w:r w:rsidRPr="00A347F7">
        <w:t xml:space="preserve"> </w:t>
      </w:r>
      <w:r>
        <w:t>обоснования</w:t>
      </w:r>
      <w:r w:rsidRPr="00A347F7">
        <w:t xml:space="preserve"> </w:t>
      </w:r>
      <w:r>
        <w:t>со</w:t>
      </w:r>
      <w:r w:rsidRPr="00A347F7">
        <w:t xml:space="preserve"> </w:t>
      </w:r>
      <w:r>
        <w:t>стороны</w:t>
      </w:r>
      <w:r w:rsidRPr="00A347F7">
        <w:t xml:space="preserve"> </w:t>
      </w:r>
      <w:r>
        <w:t>властей</w:t>
      </w:r>
      <w:r w:rsidRPr="00A347F7">
        <w:t xml:space="preserve"> </w:t>
      </w:r>
      <w:r>
        <w:t>авторы</w:t>
      </w:r>
      <w:r w:rsidRPr="00A347F7">
        <w:t xml:space="preserve"> </w:t>
      </w:r>
      <w:r>
        <w:t>считают</w:t>
      </w:r>
      <w:r w:rsidRPr="00A347F7">
        <w:t xml:space="preserve">, </w:t>
      </w:r>
      <w:r>
        <w:t>что</w:t>
      </w:r>
      <w:r w:rsidRPr="00A347F7">
        <w:t xml:space="preserve"> </w:t>
      </w:r>
      <w:r>
        <w:t>ограничения</w:t>
      </w:r>
      <w:r w:rsidRPr="00A347F7">
        <w:t xml:space="preserve"> </w:t>
      </w:r>
      <w:r>
        <w:t>их</w:t>
      </w:r>
      <w:r w:rsidRPr="00A347F7">
        <w:t xml:space="preserve"> </w:t>
      </w:r>
      <w:r>
        <w:t>прав</w:t>
      </w:r>
      <w:r w:rsidRPr="00A347F7">
        <w:t xml:space="preserve"> </w:t>
      </w:r>
      <w:r>
        <w:t>не</w:t>
      </w:r>
      <w:r w:rsidRPr="00A347F7">
        <w:t xml:space="preserve"> </w:t>
      </w:r>
      <w:r>
        <w:t>являются</w:t>
      </w:r>
      <w:r w:rsidRPr="00A347F7">
        <w:t xml:space="preserve"> </w:t>
      </w:r>
      <w:r>
        <w:t>необходимыми</w:t>
      </w:r>
      <w:r w:rsidRPr="00A347F7">
        <w:t xml:space="preserve"> </w:t>
      </w:r>
      <w:r>
        <w:t>для</w:t>
      </w:r>
      <w:r w:rsidRPr="00A347F7">
        <w:t xml:space="preserve"> </w:t>
      </w:r>
      <w:r>
        <w:t>з</w:t>
      </w:r>
      <w:r>
        <w:t>а</w:t>
      </w:r>
      <w:r>
        <w:t>щиты</w:t>
      </w:r>
      <w:r w:rsidRPr="00A347F7">
        <w:t xml:space="preserve"> </w:t>
      </w:r>
      <w:r>
        <w:t>государственной</w:t>
      </w:r>
      <w:r w:rsidRPr="00A347F7">
        <w:t xml:space="preserve"> </w:t>
      </w:r>
      <w:r>
        <w:t>безопасности</w:t>
      </w:r>
      <w:r w:rsidRPr="00A347F7">
        <w:t xml:space="preserve"> </w:t>
      </w:r>
      <w:r>
        <w:t>или</w:t>
      </w:r>
      <w:r w:rsidRPr="00A347F7">
        <w:t xml:space="preserve"> </w:t>
      </w:r>
      <w:r>
        <w:t>охраны</w:t>
      </w:r>
      <w:r w:rsidRPr="00A347F7">
        <w:t xml:space="preserve"> </w:t>
      </w:r>
      <w:r>
        <w:t>общественного</w:t>
      </w:r>
      <w:r w:rsidRPr="00A347F7">
        <w:t xml:space="preserve"> </w:t>
      </w:r>
      <w:r>
        <w:t>порядка</w:t>
      </w:r>
      <w:r w:rsidRPr="00A347F7">
        <w:t xml:space="preserve">, </w:t>
      </w:r>
      <w:r>
        <w:t>охр</w:t>
      </w:r>
      <w:r>
        <w:t>а</w:t>
      </w:r>
      <w:r>
        <w:t>ны</w:t>
      </w:r>
      <w:r w:rsidRPr="00A347F7">
        <w:t xml:space="preserve"> </w:t>
      </w:r>
      <w:r>
        <w:t>здоровья</w:t>
      </w:r>
      <w:r w:rsidRPr="00A347F7">
        <w:t xml:space="preserve"> </w:t>
      </w:r>
      <w:r>
        <w:t>и нравственности населения либо защиты прав или</w:t>
      </w:r>
      <w:r w:rsidRPr="00A347F7">
        <w:t xml:space="preserve"> </w:t>
      </w:r>
      <w:r>
        <w:t>репутации</w:t>
      </w:r>
      <w:r w:rsidRPr="00A347F7">
        <w:t xml:space="preserve"> </w:t>
      </w:r>
      <w:r>
        <w:t>др</w:t>
      </w:r>
      <w:r>
        <w:t>у</w:t>
      </w:r>
      <w:r>
        <w:t>гих</w:t>
      </w:r>
      <w:r w:rsidRPr="00A347F7">
        <w:t xml:space="preserve"> </w:t>
      </w:r>
      <w:r>
        <w:t>лиц. Они</w:t>
      </w:r>
      <w:r w:rsidRPr="00380FE8">
        <w:t xml:space="preserve"> </w:t>
      </w:r>
      <w:r>
        <w:t>утверждают</w:t>
      </w:r>
      <w:r w:rsidRPr="00380FE8">
        <w:t xml:space="preserve">, </w:t>
      </w:r>
      <w:r>
        <w:t>что</w:t>
      </w:r>
      <w:r w:rsidRPr="00380FE8">
        <w:t xml:space="preserve"> </w:t>
      </w:r>
      <w:r>
        <w:t>требование</w:t>
      </w:r>
      <w:r w:rsidRPr="00380FE8">
        <w:t xml:space="preserve">, </w:t>
      </w:r>
      <w:r>
        <w:t>установленное</w:t>
      </w:r>
      <w:r w:rsidRPr="00380FE8">
        <w:t xml:space="preserve"> </w:t>
      </w:r>
      <w:r>
        <w:t>согласно</w:t>
      </w:r>
      <w:r w:rsidRPr="00380FE8">
        <w:t xml:space="preserve"> </w:t>
      </w:r>
      <w:r>
        <w:t>внутренн</w:t>
      </w:r>
      <w:r>
        <w:t>е</w:t>
      </w:r>
      <w:r>
        <w:t>му</w:t>
      </w:r>
      <w:r w:rsidRPr="00380FE8">
        <w:t xml:space="preserve"> </w:t>
      </w:r>
      <w:r>
        <w:t>законодательству</w:t>
      </w:r>
      <w:r w:rsidRPr="00380FE8">
        <w:t xml:space="preserve"> (</w:t>
      </w:r>
      <w:r>
        <w:t>обращаться</w:t>
      </w:r>
      <w:r w:rsidRPr="00380FE8">
        <w:t xml:space="preserve"> </w:t>
      </w:r>
      <w:r>
        <w:t>с</w:t>
      </w:r>
      <w:r w:rsidRPr="00380FE8">
        <w:t xml:space="preserve"> </w:t>
      </w:r>
      <w:r>
        <w:t>заявлением</w:t>
      </w:r>
      <w:r w:rsidRPr="00380FE8">
        <w:t xml:space="preserve"> </w:t>
      </w:r>
      <w:r>
        <w:t>о</w:t>
      </w:r>
      <w:r w:rsidRPr="00380FE8">
        <w:t xml:space="preserve"> </w:t>
      </w:r>
      <w:r>
        <w:t>получении разрешения</w:t>
      </w:r>
      <w:r w:rsidRPr="00380FE8">
        <w:t xml:space="preserve"> </w:t>
      </w:r>
      <w:r>
        <w:t>мес</w:t>
      </w:r>
      <w:r>
        <w:t>т</w:t>
      </w:r>
      <w:r>
        <w:t>ных</w:t>
      </w:r>
      <w:r w:rsidRPr="00380FE8">
        <w:t xml:space="preserve"> </w:t>
      </w:r>
      <w:r>
        <w:t>органов</w:t>
      </w:r>
      <w:r w:rsidRPr="00380FE8">
        <w:t xml:space="preserve"> </w:t>
      </w:r>
      <w:r>
        <w:t>власти</w:t>
      </w:r>
      <w:r w:rsidRPr="00380FE8">
        <w:t xml:space="preserve"> </w:t>
      </w:r>
      <w:r>
        <w:t>на</w:t>
      </w:r>
      <w:r w:rsidRPr="00380FE8">
        <w:t xml:space="preserve"> </w:t>
      </w:r>
      <w:r>
        <w:t>проведение</w:t>
      </w:r>
      <w:r w:rsidRPr="00380FE8">
        <w:t xml:space="preserve"> </w:t>
      </w:r>
      <w:r>
        <w:t>любого</w:t>
      </w:r>
      <w:r w:rsidRPr="00380FE8">
        <w:t xml:space="preserve"> </w:t>
      </w:r>
      <w:r>
        <w:t>общественного</w:t>
      </w:r>
      <w:r w:rsidRPr="00380FE8">
        <w:t xml:space="preserve"> </w:t>
      </w:r>
      <w:r>
        <w:t>собрания</w:t>
      </w:r>
      <w:r w:rsidRPr="00380FE8">
        <w:t xml:space="preserve"> </w:t>
      </w:r>
      <w:r>
        <w:t>за</w:t>
      </w:r>
      <w:r w:rsidRPr="00380FE8">
        <w:t xml:space="preserve"> 15 </w:t>
      </w:r>
      <w:r>
        <w:t>дней</w:t>
      </w:r>
      <w:r w:rsidRPr="00380FE8">
        <w:t xml:space="preserve"> </w:t>
      </w:r>
      <w:r>
        <w:t>до его проведения) является произвольным и необоснованным по смыслу ст</w:t>
      </w:r>
      <w:r>
        <w:t>а</w:t>
      </w:r>
      <w:r>
        <w:t>тей 19 и 21 Пакта.</w:t>
      </w:r>
    </w:p>
    <w:p w:rsidR="00615F21" w:rsidRPr="00410D76" w:rsidRDefault="00615F21" w:rsidP="00615F21">
      <w:pPr>
        <w:pStyle w:val="SingleTxtGR"/>
      </w:pPr>
      <w:r w:rsidRPr="00C16770">
        <w:t>3.2</w:t>
      </w:r>
      <w:r w:rsidRPr="00C16770">
        <w:tab/>
      </w:r>
      <w:r>
        <w:t>Авторы</w:t>
      </w:r>
      <w:r w:rsidRPr="00C16770">
        <w:t xml:space="preserve"> </w:t>
      </w:r>
      <w:r>
        <w:t>утверждают</w:t>
      </w:r>
      <w:r w:rsidRPr="00C16770">
        <w:t xml:space="preserve">, </w:t>
      </w:r>
      <w:r>
        <w:t>что</w:t>
      </w:r>
      <w:r w:rsidRPr="00C16770">
        <w:t xml:space="preserve"> </w:t>
      </w:r>
      <w:r>
        <w:t>вышестоящие</w:t>
      </w:r>
      <w:r w:rsidRPr="00C16770">
        <w:t xml:space="preserve"> </w:t>
      </w:r>
      <w:r>
        <w:t>суды</w:t>
      </w:r>
      <w:r w:rsidRPr="00C16770">
        <w:t xml:space="preserve"> </w:t>
      </w:r>
      <w:r>
        <w:t>отказались</w:t>
      </w:r>
      <w:r w:rsidRPr="00C16770">
        <w:t xml:space="preserve"> </w:t>
      </w:r>
      <w:r>
        <w:t>рассматривать</w:t>
      </w:r>
      <w:r w:rsidRPr="00C16770">
        <w:t xml:space="preserve"> </w:t>
      </w:r>
      <w:r>
        <w:t>вопрос</w:t>
      </w:r>
      <w:r w:rsidRPr="00C16770">
        <w:t xml:space="preserve"> </w:t>
      </w:r>
      <w:r>
        <w:t>о</w:t>
      </w:r>
      <w:r w:rsidRPr="00C16770">
        <w:t xml:space="preserve"> </w:t>
      </w:r>
      <w:r>
        <w:t>нарушениях</w:t>
      </w:r>
      <w:r w:rsidRPr="00C16770">
        <w:t xml:space="preserve"> </w:t>
      </w:r>
      <w:r>
        <w:t>положений</w:t>
      </w:r>
      <w:r w:rsidRPr="00C16770">
        <w:t xml:space="preserve"> </w:t>
      </w:r>
      <w:r>
        <w:t>Пакта</w:t>
      </w:r>
      <w:r w:rsidRPr="00C16770">
        <w:t xml:space="preserve">, </w:t>
      </w:r>
      <w:r>
        <w:t>на</w:t>
      </w:r>
      <w:r w:rsidRPr="00C16770">
        <w:t xml:space="preserve"> </w:t>
      </w:r>
      <w:r>
        <w:t>которые</w:t>
      </w:r>
      <w:r w:rsidRPr="00C16770">
        <w:t xml:space="preserve"> </w:t>
      </w:r>
      <w:r>
        <w:t>они</w:t>
      </w:r>
      <w:r w:rsidRPr="00C16770">
        <w:t xml:space="preserve"> </w:t>
      </w:r>
      <w:r>
        <w:t>ссылались</w:t>
      </w:r>
      <w:r w:rsidRPr="00C16770">
        <w:t xml:space="preserve"> </w:t>
      </w:r>
      <w:r>
        <w:t>в</w:t>
      </w:r>
      <w:r w:rsidRPr="00C16770">
        <w:t xml:space="preserve"> </w:t>
      </w:r>
      <w:r>
        <w:t>поданных ими апелляциях. Они</w:t>
      </w:r>
      <w:r w:rsidRPr="00C16770">
        <w:t xml:space="preserve"> </w:t>
      </w:r>
      <w:r>
        <w:t>указывают</w:t>
      </w:r>
      <w:r w:rsidRPr="00C16770">
        <w:t xml:space="preserve">, </w:t>
      </w:r>
      <w:r>
        <w:t>что</w:t>
      </w:r>
      <w:r w:rsidRPr="00C16770">
        <w:t xml:space="preserve"> </w:t>
      </w:r>
      <w:r>
        <w:t>согласно</w:t>
      </w:r>
      <w:r w:rsidRPr="00C16770">
        <w:t xml:space="preserve"> </w:t>
      </w:r>
      <w:r>
        <w:t>статье</w:t>
      </w:r>
      <w:r w:rsidRPr="00C16770">
        <w:t xml:space="preserve"> 33 </w:t>
      </w:r>
      <w:r>
        <w:t>Закона</w:t>
      </w:r>
      <w:r w:rsidRPr="00C16770">
        <w:t xml:space="preserve"> </w:t>
      </w:r>
      <w:r>
        <w:t>о</w:t>
      </w:r>
      <w:r w:rsidRPr="00C16770">
        <w:t xml:space="preserve"> </w:t>
      </w:r>
      <w:r>
        <w:t>междунаро</w:t>
      </w:r>
      <w:r>
        <w:t>д</w:t>
      </w:r>
      <w:r>
        <w:t>ных</w:t>
      </w:r>
      <w:r w:rsidRPr="00C16770">
        <w:t xml:space="preserve"> </w:t>
      </w:r>
      <w:r>
        <w:t>договорах</w:t>
      </w:r>
      <w:r w:rsidRPr="00C16770">
        <w:t xml:space="preserve"> </w:t>
      </w:r>
      <w:r>
        <w:t>международные</w:t>
      </w:r>
      <w:r w:rsidRPr="00C16770">
        <w:t xml:space="preserve"> </w:t>
      </w:r>
      <w:r>
        <w:t>договоры</w:t>
      </w:r>
      <w:r w:rsidRPr="00C16770">
        <w:t xml:space="preserve">, </w:t>
      </w:r>
      <w:r>
        <w:t>участником</w:t>
      </w:r>
      <w:r w:rsidRPr="00C16770">
        <w:t xml:space="preserve"> </w:t>
      </w:r>
      <w:r>
        <w:t>которых</w:t>
      </w:r>
      <w:r w:rsidRPr="00C16770">
        <w:t xml:space="preserve"> </w:t>
      </w:r>
      <w:r>
        <w:t>является</w:t>
      </w:r>
      <w:r w:rsidRPr="00C16770">
        <w:t xml:space="preserve"> </w:t>
      </w:r>
      <w:r>
        <w:t>Бел</w:t>
      </w:r>
      <w:r>
        <w:t>а</w:t>
      </w:r>
      <w:r>
        <w:t>русь и которые вступили для нее в силу, являются составной частью внутренн</w:t>
      </w:r>
      <w:r>
        <w:t>е</w:t>
      </w:r>
      <w:r>
        <w:t>го законодательства. Они</w:t>
      </w:r>
      <w:r w:rsidRPr="00542A3D">
        <w:t xml:space="preserve"> </w:t>
      </w:r>
      <w:r>
        <w:t>утверждают</w:t>
      </w:r>
      <w:r w:rsidRPr="00542A3D">
        <w:t xml:space="preserve">, </w:t>
      </w:r>
      <w:r>
        <w:t>что</w:t>
      </w:r>
      <w:r w:rsidRPr="00542A3D">
        <w:t xml:space="preserve"> </w:t>
      </w:r>
      <w:r>
        <w:t>Беларусь</w:t>
      </w:r>
      <w:r w:rsidRPr="00542A3D">
        <w:t xml:space="preserve"> </w:t>
      </w:r>
      <w:r>
        <w:t>не</w:t>
      </w:r>
      <w:r w:rsidRPr="00542A3D">
        <w:t xml:space="preserve"> </w:t>
      </w:r>
      <w:r>
        <w:t>приняла</w:t>
      </w:r>
      <w:r w:rsidRPr="00542A3D">
        <w:t xml:space="preserve"> </w:t>
      </w:r>
      <w:r>
        <w:t>необходимые</w:t>
      </w:r>
      <w:r w:rsidRPr="00542A3D">
        <w:t xml:space="preserve"> </w:t>
      </w:r>
      <w:r>
        <w:t>меры</w:t>
      </w:r>
      <w:r w:rsidRPr="00542A3D">
        <w:t xml:space="preserve"> </w:t>
      </w:r>
      <w:r>
        <w:t>для</w:t>
      </w:r>
      <w:r w:rsidRPr="00542A3D">
        <w:t xml:space="preserve"> </w:t>
      </w:r>
      <w:r>
        <w:t>осуществления</w:t>
      </w:r>
      <w:r w:rsidRPr="00542A3D">
        <w:t xml:space="preserve"> </w:t>
      </w:r>
      <w:r>
        <w:t>прав</w:t>
      </w:r>
      <w:r w:rsidRPr="00542A3D">
        <w:t xml:space="preserve">, </w:t>
      </w:r>
      <w:r>
        <w:t>признанных</w:t>
      </w:r>
      <w:r w:rsidRPr="00542A3D">
        <w:t xml:space="preserve"> </w:t>
      </w:r>
      <w:r>
        <w:t>в</w:t>
      </w:r>
      <w:r w:rsidRPr="00542A3D">
        <w:t xml:space="preserve"> </w:t>
      </w:r>
      <w:r>
        <w:t>статьях</w:t>
      </w:r>
      <w:r w:rsidRPr="00542A3D">
        <w:t xml:space="preserve"> 19 </w:t>
      </w:r>
      <w:r>
        <w:t>и</w:t>
      </w:r>
      <w:r w:rsidRPr="00542A3D">
        <w:t xml:space="preserve"> 21 </w:t>
      </w:r>
      <w:r>
        <w:t>Пакта</w:t>
      </w:r>
      <w:r w:rsidRPr="00542A3D">
        <w:t xml:space="preserve">. </w:t>
      </w:r>
      <w:r>
        <w:t>Авторы</w:t>
      </w:r>
      <w:r w:rsidRPr="00C16770">
        <w:t xml:space="preserve"> </w:t>
      </w:r>
      <w:r>
        <w:t>ссылаются</w:t>
      </w:r>
      <w:r w:rsidRPr="00C16770">
        <w:t xml:space="preserve"> </w:t>
      </w:r>
      <w:r>
        <w:t>на</w:t>
      </w:r>
      <w:r w:rsidRPr="00C16770">
        <w:t xml:space="preserve"> </w:t>
      </w:r>
      <w:r>
        <w:t>принятые</w:t>
      </w:r>
      <w:r w:rsidRPr="00C16770">
        <w:t xml:space="preserve"> </w:t>
      </w:r>
      <w:r>
        <w:t>Комитетом</w:t>
      </w:r>
      <w:r w:rsidRPr="00C16770">
        <w:t xml:space="preserve"> </w:t>
      </w:r>
      <w:r>
        <w:t>Соображения</w:t>
      </w:r>
      <w:r>
        <w:rPr>
          <w:rStyle w:val="FootnoteReference"/>
          <w:szCs w:val="24"/>
        </w:rPr>
        <w:footnoteReference w:id="2"/>
      </w:r>
      <w:r w:rsidRPr="00C16770">
        <w:t xml:space="preserve">, </w:t>
      </w:r>
      <w:r>
        <w:t>в</w:t>
      </w:r>
      <w:r w:rsidRPr="00C16770">
        <w:t xml:space="preserve"> </w:t>
      </w:r>
      <w:r>
        <w:t>которых</w:t>
      </w:r>
      <w:r w:rsidRPr="00C16770">
        <w:t xml:space="preserve"> </w:t>
      </w:r>
      <w:r>
        <w:t>приводится зая</w:t>
      </w:r>
      <w:r>
        <w:t>в</w:t>
      </w:r>
      <w:r>
        <w:t>ление государства</w:t>
      </w:r>
      <w:r w:rsidRPr="00C16770">
        <w:t>-</w:t>
      </w:r>
      <w:r>
        <w:t>участника о том,</w:t>
      </w:r>
      <w:r w:rsidRPr="00C16770">
        <w:t xml:space="preserve"> </w:t>
      </w:r>
      <w:r>
        <w:t>что</w:t>
      </w:r>
      <w:r w:rsidRPr="00C16770">
        <w:t xml:space="preserve"> </w:t>
      </w:r>
      <w:r>
        <w:t>автор</w:t>
      </w:r>
      <w:r w:rsidRPr="00C16770">
        <w:t xml:space="preserve"> </w:t>
      </w:r>
      <w:r>
        <w:t>был</w:t>
      </w:r>
      <w:r w:rsidRPr="00C16770">
        <w:t xml:space="preserve"> </w:t>
      </w:r>
      <w:r>
        <w:t>осужден</w:t>
      </w:r>
      <w:r w:rsidRPr="00C16770">
        <w:t xml:space="preserve"> </w:t>
      </w:r>
      <w:r>
        <w:t>не</w:t>
      </w:r>
      <w:r w:rsidRPr="00C16770">
        <w:t xml:space="preserve"> </w:t>
      </w:r>
      <w:r>
        <w:t>потому</w:t>
      </w:r>
      <w:r w:rsidRPr="00C16770">
        <w:t xml:space="preserve">, </w:t>
      </w:r>
      <w:r>
        <w:t>что</w:t>
      </w:r>
      <w:r w:rsidRPr="00C16770">
        <w:t xml:space="preserve"> </w:t>
      </w:r>
      <w:r>
        <w:t>Суд</w:t>
      </w:r>
      <w:r w:rsidRPr="00C16770">
        <w:t xml:space="preserve"> </w:t>
      </w:r>
      <w:r>
        <w:t>преднамеренно</w:t>
      </w:r>
      <w:r w:rsidRPr="00C16770">
        <w:t xml:space="preserve"> </w:t>
      </w:r>
      <w:r>
        <w:t>ограничил</w:t>
      </w:r>
      <w:r w:rsidRPr="00C16770">
        <w:t xml:space="preserve"> </w:t>
      </w:r>
      <w:r>
        <w:t>применение</w:t>
      </w:r>
      <w:r w:rsidRPr="00C16770">
        <w:t xml:space="preserve"> </w:t>
      </w:r>
      <w:r>
        <w:t>Пакта</w:t>
      </w:r>
      <w:r w:rsidRPr="00C16770">
        <w:t xml:space="preserve">, </w:t>
      </w:r>
      <w:r>
        <w:t>а</w:t>
      </w:r>
      <w:r w:rsidRPr="00C16770">
        <w:t xml:space="preserve"> </w:t>
      </w:r>
      <w:r>
        <w:t>потому</w:t>
      </w:r>
      <w:r w:rsidRPr="00C16770">
        <w:t xml:space="preserve">, </w:t>
      </w:r>
      <w:r>
        <w:t>что</w:t>
      </w:r>
      <w:r w:rsidRPr="00C16770">
        <w:t xml:space="preserve"> </w:t>
      </w:r>
      <w:r>
        <w:t>это</w:t>
      </w:r>
      <w:r w:rsidRPr="00C16770">
        <w:t xml:space="preserve"> </w:t>
      </w:r>
      <w:r>
        <w:t>было</w:t>
      </w:r>
      <w:r w:rsidRPr="00C16770">
        <w:t xml:space="preserve"> </w:t>
      </w:r>
      <w:r>
        <w:t>вопросом</w:t>
      </w:r>
      <w:r w:rsidRPr="00C16770">
        <w:t xml:space="preserve"> </w:t>
      </w:r>
      <w:r>
        <w:t>необходимости</w:t>
      </w:r>
      <w:r w:rsidRPr="00C16770">
        <w:t xml:space="preserve"> </w:t>
      </w:r>
      <w:r>
        <w:t>отдать</w:t>
      </w:r>
      <w:r w:rsidRPr="00C16770">
        <w:t xml:space="preserve"> </w:t>
      </w:r>
      <w:r>
        <w:t>приоритет</w:t>
      </w:r>
      <w:r w:rsidRPr="00C16770">
        <w:t xml:space="preserve"> </w:t>
      </w:r>
      <w:r>
        <w:t>положениям</w:t>
      </w:r>
      <w:r w:rsidRPr="00C16770">
        <w:t xml:space="preserve"> </w:t>
      </w:r>
      <w:r>
        <w:t>Закона</w:t>
      </w:r>
      <w:r w:rsidRPr="00C16770">
        <w:t xml:space="preserve"> </w:t>
      </w:r>
      <w:r>
        <w:t>о</w:t>
      </w:r>
      <w:r w:rsidRPr="00C16770">
        <w:t xml:space="preserve"> </w:t>
      </w:r>
      <w:r>
        <w:t>национальной</w:t>
      </w:r>
      <w:r w:rsidRPr="00C16770">
        <w:t xml:space="preserve"> </w:t>
      </w:r>
      <w:r>
        <w:t>безопа</w:t>
      </w:r>
      <w:r>
        <w:t>с</w:t>
      </w:r>
      <w:r>
        <w:t>ности</w:t>
      </w:r>
      <w:r w:rsidRPr="00C16770">
        <w:t xml:space="preserve"> </w:t>
      </w:r>
      <w:r>
        <w:t>над</w:t>
      </w:r>
      <w:r w:rsidRPr="00C16770">
        <w:t xml:space="preserve"> </w:t>
      </w:r>
      <w:r>
        <w:t>некоторыми правами отдельных граждан, закрепленными в Пакте. В этой</w:t>
      </w:r>
      <w:r w:rsidRPr="00C16770">
        <w:t xml:space="preserve"> </w:t>
      </w:r>
      <w:r>
        <w:t>связи</w:t>
      </w:r>
      <w:r w:rsidRPr="00C16770">
        <w:t xml:space="preserve"> </w:t>
      </w:r>
      <w:r>
        <w:t>Комитет</w:t>
      </w:r>
      <w:r w:rsidRPr="00C16770">
        <w:t xml:space="preserve"> </w:t>
      </w:r>
      <w:r>
        <w:t>счел</w:t>
      </w:r>
      <w:r w:rsidRPr="00C16770">
        <w:t xml:space="preserve"> </w:t>
      </w:r>
      <w:r>
        <w:t>несовместимым</w:t>
      </w:r>
      <w:r w:rsidRPr="00C16770">
        <w:t xml:space="preserve"> </w:t>
      </w:r>
      <w:r>
        <w:t>с</w:t>
      </w:r>
      <w:r w:rsidRPr="00C16770">
        <w:t xml:space="preserve"> </w:t>
      </w:r>
      <w:r>
        <w:t>положениями</w:t>
      </w:r>
      <w:r w:rsidRPr="00C16770">
        <w:t xml:space="preserve"> </w:t>
      </w:r>
      <w:r>
        <w:t>Пакта</w:t>
      </w:r>
      <w:r w:rsidRPr="00C16770">
        <w:t xml:space="preserve"> </w:t>
      </w:r>
      <w:r>
        <w:t>то</w:t>
      </w:r>
      <w:r w:rsidRPr="00C16770">
        <w:t xml:space="preserve"> </w:t>
      </w:r>
      <w:r>
        <w:t>обсто</w:t>
      </w:r>
      <w:r>
        <w:t>я</w:t>
      </w:r>
      <w:r>
        <w:t>тельство</w:t>
      </w:r>
      <w:r w:rsidRPr="00C16770">
        <w:t xml:space="preserve">, </w:t>
      </w:r>
      <w:r>
        <w:t>что</w:t>
      </w:r>
      <w:r w:rsidRPr="00C16770">
        <w:t xml:space="preserve"> </w:t>
      </w:r>
      <w:r>
        <w:t>государство</w:t>
      </w:r>
      <w:r w:rsidRPr="00C16770">
        <w:t>-</w:t>
      </w:r>
      <w:r>
        <w:t>участник</w:t>
      </w:r>
      <w:r w:rsidRPr="00C16770">
        <w:t xml:space="preserve"> </w:t>
      </w:r>
      <w:r>
        <w:t>отдает</w:t>
      </w:r>
      <w:r w:rsidRPr="00C16770">
        <w:t xml:space="preserve"> </w:t>
      </w:r>
      <w:r>
        <w:t>приоритет</w:t>
      </w:r>
      <w:r w:rsidRPr="00C16770">
        <w:t xml:space="preserve"> </w:t>
      </w:r>
      <w:r>
        <w:t>применению своего нац</w:t>
      </w:r>
      <w:r>
        <w:t>и</w:t>
      </w:r>
      <w:r>
        <w:t>онального законодательства над своими обязательствами по Пакту. Авторы</w:t>
      </w:r>
      <w:r w:rsidRPr="00410D76">
        <w:t xml:space="preserve"> </w:t>
      </w:r>
      <w:r>
        <w:t>утверждают</w:t>
      </w:r>
      <w:r w:rsidRPr="00410D76">
        <w:t xml:space="preserve">, </w:t>
      </w:r>
      <w:r>
        <w:t>что</w:t>
      </w:r>
      <w:r w:rsidRPr="00410D76">
        <w:t xml:space="preserve"> </w:t>
      </w:r>
      <w:r>
        <w:t>в</w:t>
      </w:r>
      <w:r w:rsidRPr="00410D76">
        <w:t xml:space="preserve"> </w:t>
      </w:r>
      <w:r>
        <w:t>рассматриваемом</w:t>
      </w:r>
      <w:r w:rsidRPr="00410D76">
        <w:t xml:space="preserve"> </w:t>
      </w:r>
      <w:r>
        <w:t>случае</w:t>
      </w:r>
      <w:r w:rsidRPr="00410D76">
        <w:t xml:space="preserve"> </w:t>
      </w:r>
      <w:r>
        <w:t>Беларусь</w:t>
      </w:r>
      <w:r w:rsidRPr="00410D76">
        <w:t xml:space="preserve"> </w:t>
      </w:r>
      <w:r>
        <w:t>согласно</w:t>
      </w:r>
      <w:r w:rsidRPr="00410D76">
        <w:t xml:space="preserve"> </w:t>
      </w:r>
      <w:r>
        <w:t>статье</w:t>
      </w:r>
      <w:r w:rsidRPr="00410D76">
        <w:t xml:space="preserve"> 9 </w:t>
      </w:r>
      <w:r>
        <w:t>Закона</w:t>
      </w:r>
      <w:r w:rsidRPr="00410D76">
        <w:t xml:space="preserve"> </w:t>
      </w:r>
      <w:r>
        <w:t>о</w:t>
      </w:r>
      <w:r w:rsidRPr="00410D76">
        <w:t xml:space="preserve"> </w:t>
      </w:r>
      <w:r>
        <w:t>массовых</w:t>
      </w:r>
      <w:r w:rsidRPr="00410D76">
        <w:t xml:space="preserve"> </w:t>
      </w:r>
      <w:r>
        <w:t>мероприятиях</w:t>
      </w:r>
      <w:r w:rsidRPr="00410D76">
        <w:t xml:space="preserve"> </w:t>
      </w:r>
      <w:r>
        <w:t>отдала</w:t>
      </w:r>
      <w:r w:rsidRPr="00410D76">
        <w:t xml:space="preserve"> </w:t>
      </w:r>
      <w:r>
        <w:t>приоритет</w:t>
      </w:r>
      <w:r w:rsidRPr="00410D76">
        <w:t xml:space="preserve"> </w:t>
      </w:r>
      <w:r>
        <w:t>своему</w:t>
      </w:r>
      <w:r w:rsidRPr="00410D76">
        <w:t xml:space="preserve"> </w:t>
      </w:r>
      <w:r>
        <w:t>внутреннему</w:t>
      </w:r>
      <w:r w:rsidRPr="00410D76">
        <w:t xml:space="preserve"> </w:t>
      </w:r>
      <w:r>
        <w:t>законодател</w:t>
      </w:r>
      <w:r>
        <w:t>ь</w:t>
      </w:r>
      <w:r>
        <w:t>ству</w:t>
      </w:r>
      <w:r w:rsidRPr="00410D76">
        <w:t xml:space="preserve"> </w:t>
      </w:r>
      <w:r>
        <w:t>над</w:t>
      </w:r>
      <w:r w:rsidRPr="00410D76">
        <w:t xml:space="preserve"> </w:t>
      </w:r>
      <w:r>
        <w:t>положениями</w:t>
      </w:r>
      <w:r w:rsidRPr="00410D76">
        <w:t xml:space="preserve"> </w:t>
      </w:r>
      <w:r>
        <w:t>Пакта</w:t>
      </w:r>
      <w:r w:rsidRPr="00410D76">
        <w:t xml:space="preserve">, </w:t>
      </w:r>
      <w:r>
        <w:t>оставив</w:t>
      </w:r>
      <w:r w:rsidRPr="00410D76">
        <w:t xml:space="preserve"> </w:t>
      </w:r>
      <w:r>
        <w:t>на</w:t>
      </w:r>
      <w:r w:rsidRPr="00410D76">
        <w:t xml:space="preserve"> </w:t>
      </w:r>
      <w:r>
        <w:t>усмотрение</w:t>
      </w:r>
      <w:r w:rsidRPr="00410D76">
        <w:t xml:space="preserve"> </w:t>
      </w:r>
      <w:r>
        <w:t>руководителей</w:t>
      </w:r>
      <w:r w:rsidRPr="00410D76">
        <w:t xml:space="preserve"> </w:t>
      </w:r>
      <w:r>
        <w:t>местных</w:t>
      </w:r>
      <w:r w:rsidRPr="00410D76">
        <w:t xml:space="preserve"> </w:t>
      </w:r>
      <w:r>
        <w:t>органов</w:t>
      </w:r>
      <w:r w:rsidRPr="00410D76">
        <w:t xml:space="preserve"> </w:t>
      </w:r>
      <w:r>
        <w:t>исполнительной</w:t>
      </w:r>
      <w:r w:rsidRPr="00410D76">
        <w:t xml:space="preserve"> </w:t>
      </w:r>
      <w:r>
        <w:t>власти</w:t>
      </w:r>
      <w:r w:rsidRPr="00410D76">
        <w:t xml:space="preserve"> </w:t>
      </w:r>
      <w:r>
        <w:t>право</w:t>
      </w:r>
      <w:r w:rsidRPr="00410D76">
        <w:t xml:space="preserve"> </w:t>
      </w:r>
      <w:r>
        <w:t>на</w:t>
      </w:r>
      <w:r w:rsidRPr="00410D76">
        <w:t xml:space="preserve"> </w:t>
      </w:r>
      <w:r>
        <w:t>определение постоянных мест для проведения мирных собраний граждан</w:t>
      </w:r>
      <w:r>
        <w:rPr>
          <w:rStyle w:val="FootnoteReference"/>
          <w:szCs w:val="24"/>
        </w:rPr>
        <w:footnoteReference w:id="3"/>
      </w:r>
      <w:r>
        <w:t xml:space="preserve"> и предъявив требование к организат</w:t>
      </w:r>
      <w:r>
        <w:t>о</w:t>
      </w:r>
      <w:r>
        <w:t>рам в отношении получения предварительных разрешений без разъяснения, п</w:t>
      </w:r>
      <w:r>
        <w:t>о</w:t>
      </w:r>
      <w:r>
        <w:t>чему это требование необходимо для целей статей 19 и 21 Пакта и, таким обр</w:t>
      </w:r>
      <w:r>
        <w:t>а</w:t>
      </w:r>
      <w:r>
        <w:t>зом, нарушила эти статьи, а также пункт 2 статьи 2 Пакта.</w:t>
      </w:r>
    </w:p>
    <w:p w:rsidR="00615F21" w:rsidRPr="00BE796C" w:rsidRDefault="00615F21" w:rsidP="00615F21">
      <w:pPr>
        <w:pStyle w:val="SingleTxtGR"/>
      </w:pPr>
      <w:r w:rsidRPr="00542A3D">
        <w:t>3.3</w:t>
      </w:r>
      <w:r w:rsidRPr="00542A3D">
        <w:tab/>
      </w:r>
      <w:r>
        <w:t>Кроме</w:t>
      </w:r>
      <w:r w:rsidRPr="00542A3D">
        <w:t xml:space="preserve"> </w:t>
      </w:r>
      <w:r>
        <w:t>того</w:t>
      </w:r>
      <w:r w:rsidRPr="00542A3D">
        <w:t xml:space="preserve">, </w:t>
      </w:r>
      <w:r>
        <w:t>два</w:t>
      </w:r>
      <w:r w:rsidRPr="00542A3D">
        <w:t xml:space="preserve"> </w:t>
      </w:r>
      <w:r>
        <w:t>автора</w:t>
      </w:r>
      <w:r w:rsidRPr="00542A3D">
        <w:t xml:space="preserve">, </w:t>
      </w:r>
      <w:r>
        <w:t>а</w:t>
      </w:r>
      <w:r w:rsidRPr="00542A3D">
        <w:t xml:space="preserve"> </w:t>
      </w:r>
      <w:r>
        <w:t>именно</w:t>
      </w:r>
      <w:r w:rsidRPr="00542A3D">
        <w:t xml:space="preserve"> </w:t>
      </w:r>
      <w:r>
        <w:t>г-н</w:t>
      </w:r>
      <w:r w:rsidRPr="00542A3D">
        <w:t xml:space="preserve"> </w:t>
      </w:r>
      <w:r>
        <w:t>Еврезов</w:t>
      </w:r>
      <w:r w:rsidRPr="00BE796C">
        <w:t xml:space="preserve"> </w:t>
      </w:r>
      <w:r>
        <w:t>и</w:t>
      </w:r>
      <w:r w:rsidRPr="00BE796C">
        <w:t xml:space="preserve"> </w:t>
      </w:r>
      <w:r>
        <w:t>г-н Поляков</w:t>
      </w:r>
      <w:r w:rsidRPr="00BE796C">
        <w:t xml:space="preserve">, </w:t>
      </w:r>
      <w:r>
        <w:t>утверждают</w:t>
      </w:r>
      <w:r w:rsidRPr="00BE796C">
        <w:t xml:space="preserve">, </w:t>
      </w:r>
      <w:r>
        <w:t>что</w:t>
      </w:r>
      <w:r w:rsidRPr="00BE796C">
        <w:t xml:space="preserve"> </w:t>
      </w:r>
      <w:r>
        <w:t>суд</w:t>
      </w:r>
      <w:r w:rsidRPr="00BE796C">
        <w:t xml:space="preserve"> </w:t>
      </w:r>
      <w:r>
        <w:t>первой</w:t>
      </w:r>
      <w:r w:rsidRPr="00BE796C">
        <w:t xml:space="preserve"> </w:t>
      </w:r>
      <w:r>
        <w:t xml:space="preserve">инстанции в нарушение пунктов 3 а), </w:t>
      </w:r>
      <w:r>
        <w:rPr>
          <w:lang w:val="en-US"/>
        </w:rPr>
        <w:t>b</w:t>
      </w:r>
      <w:r>
        <w:t xml:space="preserve">), </w:t>
      </w:r>
      <w:r>
        <w:rPr>
          <w:lang w:val="en-US"/>
        </w:rPr>
        <w:t>d</w:t>
      </w:r>
      <w:r>
        <w:t>) и е) статьи 14 Пакта</w:t>
      </w:r>
      <w:r w:rsidRPr="00BE796C">
        <w:t xml:space="preserve"> </w:t>
      </w:r>
      <w:r>
        <w:t>нарушил</w:t>
      </w:r>
      <w:r w:rsidRPr="00BE796C">
        <w:t xml:space="preserve"> </w:t>
      </w:r>
      <w:r>
        <w:t>их</w:t>
      </w:r>
      <w:r w:rsidRPr="00BE796C">
        <w:t xml:space="preserve"> </w:t>
      </w:r>
      <w:r>
        <w:t>процессуальные</w:t>
      </w:r>
      <w:r w:rsidRPr="00BE796C">
        <w:t xml:space="preserve"> </w:t>
      </w:r>
      <w:r>
        <w:t>права</w:t>
      </w:r>
      <w:r w:rsidRPr="00BE796C">
        <w:t xml:space="preserve"> </w:t>
      </w:r>
      <w:r>
        <w:t>в</w:t>
      </w:r>
      <w:r w:rsidRPr="00BE796C">
        <w:t xml:space="preserve"> </w:t>
      </w:r>
      <w:r>
        <w:t>связи</w:t>
      </w:r>
      <w:r w:rsidRPr="00BE796C">
        <w:t xml:space="preserve"> </w:t>
      </w:r>
      <w:r>
        <w:t>с</w:t>
      </w:r>
      <w:r w:rsidRPr="00BE796C">
        <w:t xml:space="preserve"> </w:t>
      </w:r>
      <w:r>
        <w:t>тем</w:t>
      </w:r>
      <w:r w:rsidRPr="00BE796C">
        <w:t xml:space="preserve">, </w:t>
      </w:r>
      <w:r>
        <w:t>что</w:t>
      </w:r>
      <w:r w:rsidRPr="00BE796C">
        <w:t xml:space="preserve"> </w:t>
      </w:r>
      <w:r>
        <w:t>он</w:t>
      </w:r>
      <w:r w:rsidRPr="00BE796C">
        <w:t xml:space="preserve"> </w:t>
      </w:r>
      <w:r>
        <w:t>в срочном порядке</w:t>
      </w:r>
      <w:r w:rsidRPr="00BE796C">
        <w:t xml:space="preserve"> </w:t>
      </w:r>
      <w:r>
        <w:t>и</w:t>
      </w:r>
      <w:r w:rsidRPr="00BE796C">
        <w:t xml:space="preserve"> </w:t>
      </w:r>
      <w:r>
        <w:t>подробно</w:t>
      </w:r>
      <w:r w:rsidRPr="00BE796C">
        <w:t xml:space="preserve"> </w:t>
      </w:r>
      <w:r>
        <w:t>не</w:t>
      </w:r>
      <w:r w:rsidRPr="00BE796C">
        <w:t xml:space="preserve"> </w:t>
      </w:r>
      <w:r>
        <w:t>уведомил</w:t>
      </w:r>
      <w:r w:rsidRPr="00BE796C">
        <w:t xml:space="preserve"> </w:t>
      </w:r>
      <w:r>
        <w:t>их</w:t>
      </w:r>
      <w:r w:rsidRPr="00BE796C">
        <w:t xml:space="preserve"> </w:t>
      </w:r>
      <w:r>
        <w:t>о</w:t>
      </w:r>
      <w:r w:rsidRPr="00BE796C">
        <w:t xml:space="preserve"> </w:t>
      </w:r>
      <w:r>
        <w:t>характере</w:t>
      </w:r>
      <w:r w:rsidRPr="00BE796C">
        <w:t xml:space="preserve"> </w:t>
      </w:r>
      <w:r>
        <w:t>и</w:t>
      </w:r>
      <w:r w:rsidRPr="00BE796C">
        <w:t xml:space="preserve"> </w:t>
      </w:r>
      <w:r>
        <w:t>основании предъявленных им</w:t>
      </w:r>
      <w:r w:rsidRPr="00BE796C">
        <w:t xml:space="preserve"> </w:t>
      </w:r>
      <w:r>
        <w:t>обвин</w:t>
      </w:r>
      <w:r>
        <w:t>е</w:t>
      </w:r>
      <w:r>
        <w:t>ний</w:t>
      </w:r>
      <w:r w:rsidRPr="00BE796C">
        <w:t xml:space="preserve">; </w:t>
      </w:r>
      <w:r>
        <w:t>не</w:t>
      </w:r>
      <w:r w:rsidRPr="00BE796C">
        <w:t xml:space="preserve"> </w:t>
      </w:r>
      <w:r>
        <w:t>предоставил</w:t>
      </w:r>
      <w:r w:rsidRPr="00BE796C">
        <w:t xml:space="preserve"> </w:t>
      </w:r>
      <w:r>
        <w:t>им</w:t>
      </w:r>
      <w:r w:rsidRPr="00BE796C">
        <w:t xml:space="preserve"> </w:t>
      </w:r>
      <w:r>
        <w:t>достаточного</w:t>
      </w:r>
      <w:r w:rsidRPr="00BE796C">
        <w:t xml:space="preserve"> </w:t>
      </w:r>
      <w:r>
        <w:t>времени</w:t>
      </w:r>
      <w:r w:rsidRPr="00BE796C">
        <w:t xml:space="preserve"> </w:t>
      </w:r>
      <w:r>
        <w:t>и</w:t>
      </w:r>
      <w:r w:rsidRPr="00BE796C">
        <w:t xml:space="preserve"> </w:t>
      </w:r>
      <w:r>
        <w:t>возможностей</w:t>
      </w:r>
      <w:r w:rsidRPr="00BE796C">
        <w:t xml:space="preserve"> </w:t>
      </w:r>
      <w:r>
        <w:t>для</w:t>
      </w:r>
      <w:r w:rsidRPr="00BE796C">
        <w:t xml:space="preserve"> </w:t>
      </w:r>
      <w:r>
        <w:t>подготовки</w:t>
      </w:r>
      <w:r w:rsidRPr="00BE796C">
        <w:t xml:space="preserve"> </w:t>
      </w:r>
      <w:r>
        <w:t>своей</w:t>
      </w:r>
      <w:r w:rsidRPr="00BE796C">
        <w:t xml:space="preserve"> </w:t>
      </w:r>
      <w:r>
        <w:t>защиты</w:t>
      </w:r>
      <w:r w:rsidRPr="00BE796C">
        <w:t xml:space="preserve"> </w:t>
      </w:r>
      <w:r>
        <w:t>и</w:t>
      </w:r>
      <w:r w:rsidRPr="00BE796C">
        <w:t xml:space="preserve"> </w:t>
      </w:r>
      <w:r>
        <w:t>возможности</w:t>
      </w:r>
      <w:r w:rsidRPr="00BE796C">
        <w:t xml:space="preserve"> </w:t>
      </w:r>
      <w:r>
        <w:t>сноситься</w:t>
      </w:r>
      <w:r w:rsidRPr="00BE796C">
        <w:t xml:space="preserve"> </w:t>
      </w:r>
      <w:r>
        <w:t>со</w:t>
      </w:r>
      <w:r w:rsidRPr="00BE796C">
        <w:t xml:space="preserve"> </w:t>
      </w:r>
      <w:r>
        <w:t>своими</w:t>
      </w:r>
      <w:r w:rsidRPr="00BE796C">
        <w:t xml:space="preserve"> </w:t>
      </w:r>
      <w:r>
        <w:t>адвокатами</w:t>
      </w:r>
      <w:r w:rsidRPr="00BE796C">
        <w:t xml:space="preserve">; </w:t>
      </w:r>
      <w:r>
        <w:t>не</w:t>
      </w:r>
      <w:r w:rsidRPr="00BE796C">
        <w:t xml:space="preserve"> </w:t>
      </w:r>
      <w:r>
        <w:t>вызвал</w:t>
      </w:r>
      <w:r w:rsidRPr="00BE796C">
        <w:t xml:space="preserve"> </w:t>
      </w:r>
      <w:r>
        <w:t>их</w:t>
      </w:r>
      <w:r w:rsidRPr="00BE796C">
        <w:t xml:space="preserve"> </w:t>
      </w:r>
      <w:r>
        <w:t>в</w:t>
      </w:r>
      <w:r w:rsidRPr="00BE796C">
        <w:t xml:space="preserve"> </w:t>
      </w:r>
      <w:r>
        <w:t>суд</w:t>
      </w:r>
      <w:r w:rsidRPr="00BE796C">
        <w:t xml:space="preserve">, </w:t>
      </w:r>
      <w:r>
        <w:t>а</w:t>
      </w:r>
      <w:r w:rsidRPr="00BE796C">
        <w:t xml:space="preserve"> </w:t>
      </w:r>
      <w:r>
        <w:t>провел</w:t>
      </w:r>
      <w:r w:rsidRPr="00BE796C">
        <w:t xml:space="preserve"> </w:t>
      </w:r>
      <w:r>
        <w:t>рассмотрение</w:t>
      </w:r>
      <w:r w:rsidRPr="00BE796C">
        <w:t xml:space="preserve"> </w:t>
      </w:r>
      <w:r>
        <w:t>обвинений</w:t>
      </w:r>
      <w:r w:rsidRPr="00BE796C">
        <w:t xml:space="preserve"> </w:t>
      </w:r>
      <w:r>
        <w:t>о</w:t>
      </w:r>
      <w:r w:rsidRPr="00BE796C">
        <w:t xml:space="preserve"> </w:t>
      </w:r>
      <w:r>
        <w:t>совершении</w:t>
      </w:r>
      <w:r w:rsidRPr="00BE796C">
        <w:t xml:space="preserve"> </w:t>
      </w:r>
      <w:r>
        <w:t>административного</w:t>
      </w:r>
      <w:r w:rsidRPr="00BE796C">
        <w:t xml:space="preserve"> </w:t>
      </w:r>
      <w:r>
        <w:t>пр</w:t>
      </w:r>
      <w:r>
        <w:t>а</w:t>
      </w:r>
      <w:r>
        <w:t>вонарушения в их отсутствие, отказав им тем самым в праве защищать себя лично или через выбранного ими защитника; и отказал им в праве представить доказательства своей невиновности, допросить показывающих против них св</w:t>
      </w:r>
      <w:r>
        <w:t>и</w:t>
      </w:r>
      <w:r>
        <w:t>детелей из числа сотрудников милиции и вызвать своих свидетелей.</w:t>
      </w:r>
      <w:r w:rsidRPr="00BE796C">
        <w:t xml:space="preserve"> </w:t>
      </w:r>
    </w:p>
    <w:p w:rsidR="00615F21" w:rsidRPr="003E38CA" w:rsidRDefault="00615F21" w:rsidP="00615F21">
      <w:pPr>
        <w:pStyle w:val="H23GR"/>
      </w:pPr>
      <w:r w:rsidRPr="003E38CA">
        <w:tab/>
      </w:r>
      <w:r w:rsidRPr="003E38CA">
        <w:tab/>
        <w:t>Замечания государства-участника относительно приемлемости сообщени</w:t>
      </w:r>
      <w:r>
        <w:t>я</w:t>
      </w:r>
      <w:r w:rsidRPr="003E38CA">
        <w:t xml:space="preserve"> </w:t>
      </w:r>
    </w:p>
    <w:p w:rsidR="00CF78ED" w:rsidRPr="007A1502" w:rsidRDefault="00615F21" w:rsidP="00CF78ED">
      <w:pPr>
        <w:pStyle w:val="SingleTxtGR"/>
      </w:pPr>
      <w:r w:rsidRPr="006F481D">
        <w:t>4.1</w:t>
      </w:r>
      <w:r w:rsidRPr="006F481D">
        <w:tab/>
      </w:r>
      <w:r>
        <w:t>В</w:t>
      </w:r>
      <w:r w:rsidRPr="006F481D">
        <w:t xml:space="preserve"> </w:t>
      </w:r>
      <w:r>
        <w:t>вербальной</w:t>
      </w:r>
      <w:r w:rsidRPr="006F481D">
        <w:t xml:space="preserve"> </w:t>
      </w:r>
      <w:r>
        <w:t>ноте</w:t>
      </w:r>
      <w:r w:rsidRPr="006F481D">
        <w:t xml:space="preserve"> </w:t>
      </w:r>
      <w:r>
        <w:t>от</w:t>
      </w:r>
      <w:r w:rsidRPr="006F481D">
        <w:t xml:space="preserve"> 6 </w:t>
      </w:r>
      <w:r>
        <w:t>января</w:t>
      </w:r>
      <w:r w:rsidRPr="006F481D">
        <w:t xml:space="preserve"> 2011 </w:t>
      </w:r>
      <w:r>
        <w:t>года</w:t>
      </w:r>
      <w:r w:rsidRPr="006F481D">
        <w:t xml:space="preserve"> </w:t>
      </w:r>
      <w:r>
        <w:t>государство</w:t>
      </w:r>
      <w:r w:rsidRPr="006F481D">
        <w:t>-</w:t>
      </w:r>
      <w:r>
        <w:t>участник</w:t>
      </w:r>
      <w:r w:rsidRPr="006F481D">
        <w:t xml:space="preserve"> </w:t>
      </w:r>
      <w:r>
        <w:t>сообщило</w:t>
      </w:r>
      <w:r w:rsidRPr="006F481D">
        <w:t xml:space="preserve"> </w:t>
      </w:r>
      <w:r>
        <w:t>в</w:t>
      </w:r>
      <w:r w:rsidRPr="006F481D">
        <w:t xml:space="preserve"> </w:t>
      </w:r>
      <w:r>
        <w:t>отношении</w:t>
      </w:r>
      <w:r w:rsidRPr="006F481D">
        <w:t xml:space="preserve"> </w:t>
      </w:r>
      <w:r>
        <w:t>настоящего</w:t>
      </w:r>
      <w:r w:rsidRPr="006F481D">
        <w:t xml:space="preserve"> </w:t>
      </w:r>
      <w:r>
        <w:t>сообщения</w:t>
      </w:r>
      <w:r w:rsidRPr="006F481D">
        <w:t xml:space="preserve"> </w:t>
      </w:r>
      <w:r>
        <w:t>и</w:t>
      </w:r>
      <w:r w:rsidRPr="006F481D">
        <w:t xml:space="preserve"> </w:t>
      </w:r>
      <w:r>
        <w:t>нескольких</w:t>
      </w:r>
      <w:r w:rsidRPr="006F481D">
        <w:t xml:space="preserve"> </w:t>
      </w:r>
      <w:r>
        <w:t>находящихся</w:t>
      </w:r>
      <w:r w:rsidRPr="006F481D">
        <w:t xml:space="preserve"> </w:t>
      </w:r>
      <w:r>
        <w:t>на</w:t>
      </w:r>
      <w:r w:rsidRPr="006F481D">
        <w:t xml:space="preserve"> </w:t>
      </w:r>
      <w:r>
        <w:t>рассмотр</w:t>
      </w:r>
      <w:r>
        <w:t>е</w:t>
      </w:r>
      <w:r>
        <w:t>нии</w:t>
      </w:r>
      <w:r w:rsidRPr="006F481D">
        <w:t xml:space="preserve"> </w:t>
      </w:r>
      <w:r>
        <w:t>Комитета</w:t>
      </w:r>
      <w:r w:rsidRPr="006F481D">
        <w:t xml:space="preserve"> </w:t>
      </w:r>
      <w:r>
        <w:t>других</w:t>
      </w:r>
      <w:r w:rsidRPr="006F481D">
        <w:t xml:space="preserve"> </w:t>
      </w:r>
      <w:r>
        <w:t>сообщений</w:t>
      </w:r>
      <w:r w:rsidRPr="006F481D">
        <w:t xml:space="preserve"> </w:t>
      </w:r>
      <w:r>
        <w:t>о своей</w:t>
      </w:r>
      <w:r w:rsidRPr="006F481D">
        <w:t xml:space="preserve"> </w:t>
      </w:r>
      <w:r>
        <w:t>обеспокоенности</w:t>
      </w:r>
      <w:r w:rsidRPr="006F481D">
        <w:t xml:space="preserve"> </w:t>
      </w:r>
      <w:r>
        <w:t>по</w:t>
      </w:r>
      <w:r w:rsidRPr="006F481D">
        <w:t xml:space="preserve"> </w:t>
      </w:r>
      <w:r>
        <w:t>поводу</w:t>
      </w:r>
      <w:r w:rsidRPr="006F481D">
        <w:t xml:space="preserve"> </w:t>
      </w:r>
      <w:r>
        <w:t>необосн</w:t>
      </w:r>
      <w:r>
        <w:t>о</w:t>
      </w:r>
      <w:r>
        <w:t>ванной</w:t>
      </w:r>
      <w:r w:rsidRPr="006F481D">
        <w:t xml:space="preserve"> </w:t>
      </w:r>
      <w:r>
        <w:t>регистрации, совершенной</w:t>
      </w:r>
      <w:r w:rsidRPr="006F481D">
        <w:t xml:space="preserve"> </w:t>
      </w:r>
      <w:r>
        <w:t>в</w:t>
      </w:r>
      <w:r w:rsidRPr="006F481D">
        <w:t xml:space="preserve"> </w:t>
      </w:r>
      <w:r>
        <w:t>нарушение</w:t>
      </w:r>
      <w:r w:rsidRPr="006F481D">
        <w:t xml:space="preserve"> </w:t>
      </w:r>
      <w:r>
        <w:t>статьи</w:t>
      </w:r>
      <w:r w:rsidRPr="006F481D">
        <w:t xml:space="preserve"> 2 </w:t>
      </w:r>
      <w:r>
        <w:t>Факультативного</w:t>
      </w:r>
      <w:r w:rsidRPr="006F481D">
        <w:t xml:space="preserve"> </w:t>
      </w:r>
      <w:r>
        <w:t>пр</w:t>
      </w:r>
      <w:r>
        <w:t>о</w:t>
      </w:r>
      <w:r>
        <w:t>токола,</w:t>
      </w:r>
      <w:r w:rsidRPr="006F481D">
        <w:t xml:space="preserve"> </w:t>
      </w:r>
      <w:r>
        <w:t>сообщений</w:t>
      </w:r>
      <w:r w:rsidRPr="006F481D">
        <w:t xml:space="preserve">, </w:t>
      </w:r>
      <w:r>
        <w:t>представленных лицами, находящимися под его юрисди</w:t>
      </w:r>
      <w:r>
        <w:t>к</w:t>
      </w:r>
      <w:r>
        <w:t xml:space="preserve">цией, которые, как оно считает, не исчерпали все имеющиеся в государстве-участнике внутренние средства правовой защиты, включая подачу обращения в прокуратуру с ходатайством о проведении рассмотрения в порядке надзора имеющего силу </w:t>
      </w:r>
      <w:r w:rsidRPr="003E38CA">
        <w:rPr>
          <w:lang w:val="en-US"/>
        </w:rPr>
        <w:t>res</w:t>
      </w:r>
      <w:r w:rsidRPr="006F481D">
        <w:t xml:space="preserve"> </w:t>
      </w:r>
      <w:r w:rsidRPr="003E38CA">
        <w:rPr>
          <w:lang w:val="en-US"/>
        </w:rPr>
        <w:t>judicata</w:t>
      </w:r>
      <w:r>
        <w:t xml:space="preserve"> судебного решения. Государство</w:t>
      </w:r>
      <w:r w:rsidRPr="005D0DEC">
        <w:t>-</w:t>
      </w:r>
      <w:r>
        <w:t>участник</w:t>
      </w:r>
      <w:r w:rsidRPr="005D0DEC">
        <w:t xml:space="preserve"> </w:t>
      </w:r>
      <w:r>
        <w:t>утве</w:t>
      </w:r>
      <w:r>
        <w:t>р</w:t>
      </w:r>
      <w:r>
        <w:t>ждает</w:t>
      </w:r>
      <w:r w:rsidRPr="005D0DEC">
        <w:t xml:space="preserve">, </w:t>
      </w:r>
      <w:r>
        <w:t>что</w:t>
      </w:r>
      <w:r w:rsidRPr="005D0DEC">
        <w:t xml:space="preserve"> </w:t>
      </w:r>
      <w:r>
        <w:t>регистрация</w:t>
      </w:r>
      <w:r w:rsidRPr="005D0DEC">
        <w:t xml:space="preserve"> </w:t>
      </w:r>
      <w:r>
        <w:t>сообщений</w:t>
      </w:r>
      <w:r w:rsidRPr="005D0DEC">
        <w:t xml:space="preserve">, </w:t>
      </w:r>
      <w:r>
        <w:t>представленных</w:t>
      </w:r>
      <w:r w:rsidRPr="005D0DEC">
        <w:t xml:space="preserve"> </w:t>
      </w:r>
      <w:r>
        <w:t>третьей</w:t>
      </w:r>
      <w:r w:rsidRPr="005D0DEC">
        <w:t xml:space="preserve"> </w:t>
      </w:r>
      <w:r>
        <w:t>стороной</w:t>
      </w:r>
      <w:r w:rsidRPr="005D0DEC">
        <w:t xml:space="preserve">, </w:t>
      </w:r>
      <w:r>
        <w:t>в</w:t>
      </w:r>
      <w:r w:rsidRPr="005D0DEC">
        <w:t xml:space="preserve"> </w:t>
      </w:r>
      <w:r>
        <w:t>час</w:t>
      </w:r>
      <w:r>
        <w:t>т</w:t>
      </w:r>
      <w:r>
        <w:t>ности</w:t>
      </w:r>
      <w:r w:rsidRPr="005D0DEC">
        <w:t xml:space="preserve"> </w:t>
      </w:r>
      <w:r>
        <w:t>адвокатами</w:t>
      </w:r>
      <w:r w:rsidRPr="005D0DEC">
        <w:t xml:space="preserve">, </w:t>
      </w:r>
      <w:r>
        <w:t>юристами</w:t>
      </w:r>
      <w:r w:rsidRPr="005D0DEC">
        <w:t xml:space="preserve"> </w:t>
      </w:r>
      <w:r>
        <w:t>или</w:t>
      </w:r>
      <w:r w:rsidRPr="005D0DEC">
        <w:t xml:space="preserve"> </w:t>
      </w:r>
      <w:r>
        <w:t>другими</w:t>
      </w:r>
      <w:r w:rsidRPr="005D0DEC">
        <w:t xml:space="preserve"> </w:t>
      </w:r>
      <w:r>
        <w:t>лицами</w:t>
      </w:r>
      <w:r w:rsidRPr="005D0DEC">
        <w:t xml:space="preserve"> </w:t>
      </w:r>
      <w:r>
        <w:t>от</w:t>
      </w:r>
      <w:r w:rsidRPr="005D0DEC">
        <w:t xml:space="preserve"> </w:t>
      </w:r>
      <w:r>
        <w:t>имени</w:t>
      </w:r>
      <w:r w:rsidRPr="005D0DEC">
        <w:t xml:space="preserve"> </w:t>
      </w:r>
      <w:r>
        <w:t>лица</w:t>
      </w:r>
      <w:r w:rsidRPr="005D0DEC">
        <w:t xml:space="preserve">, </w:t>
      </w:r>
      <w:r>
        <w:t>утвержда</w:t>
      </w:r>
      <w:r>
        <w:t>ю</w:t>
      </w:r>
      <w:r>
        <w:t>щего</w:t>
      </w:r>
      <w:r w:rsidRPr="005D0DEC">
        <w:t xml:space="preserve"> </w:t>
      </w:r>
      <w:r>
        <w:t>о</w:t>
      </w:r>
      <w:r w:rsidRPr="005D0DEC">
        <w:t xml:space="preserve"> </w:t>
      </w:r>
      <w:r>
        <w:t>нарушении</w:t>
      </w:r>
      <w:r w:rsidRPr="005D0DEC">
        <w:t xml:space="preserve"> </w:t>
      </w:r>
      <w:r>
        <w:t>его</w:t>
      </w:r>
      <w:r w:rsidRPr="005D0DEC">
        <w:t xml:space="preserve"> </w:t>
      </w:r>
      <w:r>
        <w:t>или</w:t>
      </w:r>
      <w:r w:rsidRPr="005D0DEC">
        <w:t xml:space="preserve"> </w:t>
      </w:r>
      <w:r>
        <w:t>ее</w:t>
      </w:r>
      <w:r w:rsidRPr="005D0DEC">
        <w:t xml:space="preserve"> </w:t>
      </w:r>
      <w:r>
        <w:t>прав</w:t>
      </w:r>
      <w:r w:rsidRPr="005D0DEC">
        <w:t xml:space="preserve">, </w:t>
      </w:r>
      <w:r>
        <w:t>являются</w:t>
      </w:r>
      <w:r w:rsidRPr="005D0DEC">
        <w:t xml:space="preserve"> </w:t>
      </w:r>
      <w:r>
        <w:t>злоупотреблением</w:t>
      </w:r>
      <w:r w:rsidRPr="005D0DEC">
        <w:t xml:space="preserve"> </w:t>
      </w:r>
      <w:r>
        <w:t>мандатом</w:t>
      </w:r>
      <w:r w:rsidRPr="005D0DEC">
        <w:t xml:space="preserve"> </w:t>
      </w:r>
      <w:r>
        <w:t>К</w:t>
      </w:r>
      <w:r>
        <w:t>о</w:t>
      </w:r>
      <w:r>
        <w:t>митета</w:t>
      </w:r>
      <w:r w:rsidRPr="005D0DEC">
        <w:t xml:space="preserve"> </w:t>
      </w:r>
      <w:r>
        <w:t>и</w:t>
      </w:r>
      <w:r w:rsidRPr="005D0DEC">
        <w:t xml:space="preserve"> </w:t>
      </w:r>
      <w:r>
        <w:t>правом</w:t>
      </w:r>
      <w:r w:rsidRPr="005D0DEC">
        <w:t xml:space="preserve"> </w:t>
      </w:r>
      <w:r>
        <w:t>на</w:t>
      </w:r>
      <w:r w:rsidRPr="005D0DEC">
        <w:t xml:space="preserve"> </w:t>
      </w:r>
      <w:r>
        <w:t>представление</w:t>
      </w:r>
      <w:r w:rsidRPr="005D0DEC">
        <w:t xml:space="preserve"> </w:t>
      </w:r>
      <w:r>
        <w:t>сообщений</w:t>
      </w:r>
      <w:r w:rsidRPr="005D0DEC">
        <w:t xml:space="preserve">, </w:t>
      </w:r>
      <w:r>
        <w:t>а</w:t>
      </w:r>
      <w:r w:rsidRPr="005D0DEC">
        <w:t xml:space="preserve"> </w:t>
      </w:r>
      <w:r>
        <w:t>также</w:t>
      </w:r>
      <w:r w:rsidRPr="005D0DEC">
        <w:t xml:space="preserve"> </w:t>
      </w:r>
      <w:r>
        <w:t>нарушением</w:t>
      </w:r>
      <w:r w:rsidRPr="005D0DEC">
        <w:t xml:space="preserve"> </w:t>
      </w:r>
      <w:r>
        <w:t>статьи</w:t>
      </w:r>
      <w:r w:rsidRPr="005D0DEC">
        <w:t xml:space="preserve"> 3 </w:t>
      </w:r>
      <w:r>
        <w:t>Факультативного</w:t>
      </w:r>
      <w:r w:rsidRPr="005D0DEC">
        <w:t xml:space="preserve"> </w:t>
      </w:r>
      <w:r>
        <w:t>протокола.</w:t>
      </w:r>
      <w:r w:rsidR="00CF78ED" w:rsidRPr="00CF78ED">
        <w:t xml:space="preserve"> </w:t>
      </w:r>
      <w:r w:rsidR="00CF78ED" w:rsidRPr="007A1502">
        <w:t>Оно утверждает, что в качестве стороны Факульт</w:t>
      </w:r>
      <w:r w:rsidR="00CF78ED" w:rsidRPr="007A1502">
        <w:t>а</w:t>
      </w:r>
      <w:r w:rsidR="00CF78ED" w:rsidRPr="007A1502">
        <w:t>тивного протокола оно признает компетенцию Комитета согласно статье 1, но выразило несогласие с расширением мандата Комитета, особенно в отношении толкования Комитетом положений Конвенции и Факультативного протокола (преамбула и статья 1), а также отмечает, что такое толкование должно пров</w:t>
      </w:r>
      <w:r w:rsidR="00CF78ED" w:rsidRPr="007A1502">
        <w:t>о</w:t>
      </w:r>
      <w:r w:rsidR="00CF78ED" w:rsidRPr="007A1502">
        <w:t>диться в строгом соответствии со статьями 31, 32 и 33 Венской конвенции о праве международных договоров. Оно утверждает, что рассматриваемое соо</w:t>
      </w:r>
      <w:r w:rsidR="00CF78ED" w:rsidRPr="007A1502">
        <w:t>б</w:t>
      </w:r>
      <w:r w:rsidR="00CF78ED" w:rsidRPr="007A1502">
        <w:t>щение и несколько других сообщений были зарегистрированы в нарушение п</w:t>
      </w:r>
      <w:r w:rsidR="00CF78ED" w:rsidRPr="007A1502">
        <w:t>о</w:t>
      </w:r>
      <w:r w:rsidR="00CF78ED" w:rsidRPr="007A1502">
        <w:t>ложений Факультативного протокола, что у государства-участника нет прав</w:t>
      </w:r>
      <w:r w:rsidR="00CF78ED" w:rsidRPr="007A1502">
        <w:t>о</w:t>
      </w:r>
      <w:r w:rsidR="00CF78ED" w:rsidRPr="007A1502">
        <w:t>вых оснований для рассмотре</w:t>
      </w:r>
      <w:r w:rsidR="00CF78ED">
        <w:t>ния</w:t>
      </w:r>
      <w:r w:rsidR="00CF78ED" w:rsidRPr="007A1502">
        <w:t xml:space="preserve"> этих сообщений и что любое решение Ком</w:t>
      </w:r>
      <w:r w:rsidR="00CF78ED" w:rsidRPr="007A1502">
        <w:t>и</w:t>
      </w:r>
      <w:r w:rsidR="00CF78ED" w:rsidRPr="007A1502">
        <w:t xml:space="preserve">тета по таким сообщениям будет сочтено юридически недействительным. </w:t>
      </w:r>
      <w:r w:rsidR="00CF78ED">
        <w:t>Д</w:t>
      </w:r>
      <w:r w:rsidR="00CF78ED" w:rsidRPr="007A1502">
        <w:t xml:space="preserve">алее </w:t>
      </w:r>
      <w:r w:rsidR="00CF78ED">
        <w:t>о</w:t>
      </w:r>
      <w:r w:rsidR="00CF78ED" w:rsidRPr="007A1502">
        <w:t>но заявляет, что любые ссылки в этой связи на устоявшуюся практику Комит</w:t>
      </w:r>
      <w:r w:rsidR="00CF78ED" w:rsidRPr="007A1502">
        <w:t>е</w:t>
      </w:r>
      <w:r w:rsidR="00CF78ED" w:rsidRPr="007A1502">
        <w:t>та не являются для него юридически обязывающими.</w:t>
      </w:r>
    </w:p>
    <w:p w:rsidR="00CF78ED" w:rsidRPr="009365D5" w:rsidRDefault="00CF78ED" w:rsidP="00CF78ED">
      <w:pPr>
        <w:pStyle w:val="SingleTxtGR"/>
      </w:pPr>
      <w:r>
        <w:t>4.2</w:t>
      </w:r>
      <w:r w:rsidRPr="009365D5">
        <w:tab/>
        <w:t>5 октября 2011 года государство-участник оспорило приемлемость соо</w:t>
      </w:r>
      <w:r w:rsidRPr="009365D5">
        <w:t>б</w:t>
      </w:r>
      <w:r w:rsidRPr="009365D5">
        <w:t>щения, вновь заявив, что авторы не исчерпали все имеющиеся внутренние средства правовой защиты, поскольку они не обратились в прокуратуру с ход</w:t>
      </w:r>
      <w:r w:rsidRPr="009365D5">
        <w:t>а</w:t>
      </w:r>
      <w:r w:rsidRPr="009365D5">
        <w:t xml:space="preserve">тайством </w:t>
      </w:r>
      <w:r>
        <w:t xml:space="preserve">о </w:t>
      </w:r>
      <w:r w:rsidRPr="009365D5">
        <w:t>нача</w:t>
      </w:r>
      <w:r>
        <w:t>ле</w:t>
      </w:r>
      <w:r w:rsidRPr="009365D5">
        <w:t xml:space="preserve"> надзорно</w:t>
      </w:r>
      <w:r>
        <w:t>го производства</w:t>
      </w:r>
      <w:r w:rsidRPr="009365D5">
        <w:t xml:space="preserve"> в отношении вступивших в силу решений.</w:t>
      </w:r>
    </w:p>
    <w:p w:rsidR="00CF78ED" w:rsidRPr="009365D5" w:rsidRDefault="00CF78ED" w:rsidP="00CF78ED">
      <w:pPr>
        <w:pStyle w:val="SingleTxtGR"/>
      </w:pPr>
      <w:r w:rsidRPr="009365D5">
        <w:t xml:space="preserve">4.3 </w:t>
      </w:r>
      <w:r w:rsidRPr="009365D5">
        <w:tab/>
        <w:t xml:space="preserve">В вербальной ноте от 25 </w:t>
      </w:r>
      <w:r w:rsidRPr="00845ADB">
        <w:t>января</w:t>
      </w:r>
      <w:r w:rsidRPr="009365D5">
        <w:t xml:space="preserve"> 2012 года государство-участник утве</w:t>
      </w:r>
      <w:r w:rsidRPr="009365D5">
        <w:t>р</w:t>
      </w:r>
      <w:r w:rsidRPr="009365D5">
        <w:t>ждало, что, став стороной Факультативного протокола, оно в соответствии со статьей 1 Протокола выразило согласие признать компетенцию Комитета пр</w:t>
      </w:r>
      <w:r w:rsidRPr="009365D5">
        <w:t>и</w:t>
      </w:r>
      <w:r w:rsidRPr="009365D5">
        <w:t>нимать и рассматривать сообщения от подлежащих его юрисдикции лиц, кот</w:t>
      </w:r>
      <w:r w:rsidRPr="009365D5">
        <w:t>о</w:t>
      </w:r>
      <w:r w:rsidRPr="009365D5">
        <w:t>рые утверждают, что они являются жертвами нарушения государством-участником какого-либо из прав, изложенных в Пакте. Вместе с тем оно отм</w:t>
      </w:r>
      <w:r w:rsidRPr="009365D5">
        <w:t>е</w:t>
      </w:r>
      <w:r w:rsidRPr="009365D5">
        <w:t>тило, что это признание было выражено в совокупности с признанием других положений Факультативного протокола, включая положения, устанавливающие критерии в отношении авторов сообщений и приемлемости их сообщений, в частности положения статей 2 и 5. Государство-участник утверждает, что с</w:t>
      </w:r>
      <w:r w:rsidRPr="009365D5">
        <w:t>о</w:t>
      </w:r>
      <w:r w:rsidRPr="009365D5">
        <w:t>гласно Факультативному протоколу государства-участники не обязаны призн</w:t>
      </w:r>
      <w:r w:rsidRPr="009365D5">
        <w:t>а</w:t>
      </w:r>
      <w:r w:rsidRPr="009365D5">
        <w:t xml:space="preserve">вать ни правила процедуры Комитета, ни толкование </w:t>
      </w:r>
      <w:r>
        <w:t xml:space="preserve">им </w:t>
      </w:r>
      <w:r w:rsidRPr="009365D5">
        <w:t>положений Факульт</w:t>
      </w:r>
      <w:r w:rsidRPr="009365D5">
        <w:t>а</w:t>
      </w:r>
      <w:r w:rsidRPr="009365D5">
        <w:t>тивного протокола, котор</w:t>
      </w:r>
      <w:r>
        <w:t>ы</w:t>
      </w:r>
      <w:r w:rsidRPr="009365D5">
        <w:t>е мо</w:t>
      </w:r>
      <w:r>
        <w:t xml:space="preserve">гут быть действительными </w:t>
      </w:r>
      <w:r w:rsidRPr="009365D5">
        <w:t>только в случае, если он</w:t>
      </w:r>
      <w:r>
        <w:t>и</w:t>
      </w:r>
      <w:r w:rsidRPr="009365D5">
        <w:t xml:space="preserve"> соответству</w:t>
      </w:r>
      <w:r>
        <w:t>ю</w:t>
      </w:r>
      <w:r w:rsidRPr="009365D5">
        <w:t>т Венской конвенции о праве международных договоров. Оно утверждало, что в связи с процедурой рассмотрения жалоб государства-участники должны в первую очередь руководствоваться положениями Факул</w:t>
      </w:r>
      <w:r w:rsidRPr="009365D5">
        <w:t>ь</w:t>
      </w:r>
      <w:r w:rsidRPr="009365D5">
        <w:t xml:space="preserve">тативного протокола и что ссылки на </w:t>
      </w:r>
      <w:r>
        <w:t>устоявшуюся</w:t>
      </w:r>
      <w:r w:rsidRPr="009365D5">
        <w:t xml:space="preserve"> практику Комитета, методы работы и </w:t>
      </w:r>
      <w:r>
        <w:t xml:space="preserve">ранее принятые решения </w:t>
      </w:r>
      <w:r w:rsidRPr="009365D5">
        <w:t>не являются предметом Факультативного протокола. Оно также утверждало, что любое сообщение, зарегистрированное в нарушение положений Факультативного протокола, будет рассматриваться го</w:t>
      </w:r>
      <w:r w:rsidRPr="009365D5">
        <w:t>с</w:t>
      </w:r>
      <w:r w:rsidRPr="009365D5">
        <w:t>ударством-участником в качестве несовместимого с Факультативным проток</w:t>
      </w:r>
      <w:r w:rsidRPr="009365D5">
        <w:t>о</w:t>
      </w:r>
      <w:r w:rsidRPr="009365D5">
        <w:t>лом и будет отклонено без представления замечаний о</w:t>
      </w:r>
      <w:r>
        <w:t xml:space="preserve">тносительно </w:t>
      </w:r>
      <w:r w:rsidRPr="009365D5">
        <w:t>приемлем</w:t>
      </w:r>
      <w:r w:rsidRPr="009365D5">
        <w:t>о</w:t>
      </w:r>
      <w:r w:rsidRPr="009365D5">
        <w:t>сти или по существу, а любое решение, принятое Комитетом по таким откл</w:t>
      </w:r>
      <w:r w:rsidRPr="009365D5">
        <w:t>о</w:t>
      </w:r>
      <w:r w:rsidRPr="009365D5">
        <w:t>ненным сообщениям, будет рассматриваться его властями в качестве неде</w:t>
      </w:r>
      <w:r w:rsidRPr="009365D5">
        <w:t>й</w:t>
      </w:r>
      <w:r w:rsidRPr="009365D5">
        <w:t xml:space="preserve">ствительного. Государство-участник </w:t>
      </w:r>
      <w:r>
        <w:t>сочло</w:t>
      </w:r>
      <w:r w:rsidRPr="009365D5">
        <w:t>, что настоящее сообщение, а также несколько других сообщений, находящихся на рассмотрении Комитета, зарег</w:t>
      </w:r>
      <w:r w:rsidRPr="009365D5">
        <w:t>и</w:t>
      </w:r>
      <w:r w:rsidRPr="009365D5">
        <w:t>стрированы в нарушение Факультативного протокола.</w:t>
      </w:r>
    </w:p>
    <w:p w:rsidR="00CF78ED" w:rsidRPr="009365D5" w:rsidRDefault="00CF78ED" w:rsidP="00CF78ED">
      <w:pPr>
        <w:pStyle w:val="SingleTxtGR"/>
      </w:pPr>
      <w:r>
        <w:t>4.4</w:t>
      </w:r>
      <w:r w:rsidRPr="009365D5">
        <w:tab/>
        <w:t>19 июля 2012 года государство-участник заявило, что оно прекратило процедурные действия в отношении настоящего сообщения и не будет считать себя причастным к любым соображениям, которые мо</w:t>
      </w:r>
      <w:r>
        <w:t xml:space="preserve">гут быть </w:t>
      </w:r>
      <w:r w:rsidRPr="009365D5">
        <w:t>приня</w:t>
      </w:r>
      <w:r>
        <w:t>ты</w:t>
      </w:r>
      <w:r w:rsidRPr="009365D5">
        <w:t xml:space="preserve"> Ком</w:t>
      </w:r>
      <w:r w:rsidRPr="009365D5">
        <w:t>и</w:t>
      </w:r>
      <w:r w:rsidRPr="009365D5">
        <w:t>тет</w:t>
      </w:r>
      <w:r>
        <w:t>ом</w:t>
      </w:r>
      <w:r w:rsidRPr="009365D5">
        <w:t>.</w:t>
      </w:r>
    </w:p>
    <w:p w:rsidR="00CF78ED" w:rsidRPr="00E6705E" w:rsidRDefault="00CF78ED" w:rsidP="00CF78ED">
      <w:pPr>
        <w:pStyle w:val="H23GR"/>
      </w:pPr>
      <w:r>
        <w:tab/>
      </w:r>
      <w:r>
        <w:tab/>
        <w:t xml:space="preserve">Комментарии </w:t>
      </w:r>
      <w:r w:rsidRPr="00E6705E">
        <w:t>авторов по вопросу о приемлемости</w:t>
      </w:r>
      <w:r>
        <w:t xml:space="preserve"> сообщения</w:t>
      </w:r>
    </w:p>
    <w:p w:rsidR="00CF78ED" w:rsidRPr="009365D5" w:rsidRDefault="00CF78ED" w:rsidP="00CF78ED">
      <w:pPr>
        <w:pStyle w:val="SingleTxtGR"/>
      </w:pPr>
      <w:r w:rsidRPr="009365D5">
        <w:t xml:space="preserve">5.1 </w:t>
      </w:r>
      <w:r w:rsidRPr="009365D5">
        <w:tab/>
        <w:t>30 ноября 2011 года и 21 марта 2012 года г-н Еврезов</w:t>
      </w:r>
      <w:r w:rsidRPr="00E71948">
        <w:rPr>
          <w:vertAlign w:val="superscript"/>
        </w:rPr>
        <w:footnoteReference w:id="4"/>
      </w:r>
      <w:r w:rsidRPr="009365D5">
        <w:t xml:space="preserve"> представил свои </w:t>
      </w:r>
      <w:r>
        <w:t>комментарии</w:t>
      </w:r>
      <w:r w:rsidRPr="009365D5">
        <w:t xml:space="preserve"> по вопросу о приемлемости. </w:t>
      </w:r>
      <w:r>
        <w:t>Он вновь заявил о своей позиции</w:t>
      </w:r>
      <w:r w:rsidRPr="009365D5">
        <w:t xml:space="preserve">, </w:t>
      </w:r>
      <w:r>
        <w:t>изложенной</w:t>
      </w:r>
      <w:r w:rsidRPr="009365D5">
        <w:t xml:space="preserve"> им в его первоначальном представлении, </w:t>
      </w:r>
      <w:r>
        <w:t>согласно которой</w:t>
      </w:r>
      <w:r w:rsidRPr="009365D5">
        <w:t xml:space="preserve"> ра</w:t>
      </w:r>
      <w:r w:rsidRPr="009365D5">
        <w:t>с</w:t>
      </w:r>
      <w:r w:rsidRPr="009365D5">
        <w:t>смотрение дела в надзорном производстве имеет дискреционный характер, р</w:t>
      </w:r>
      <w:r w:rsidRPr="009365D5">
        <w:t>е</w:t>
      </w:r>
      <w:r w:rsidRPr="009365D5">
        <w:t>шение начать такое производство могут принять только государственные дол</w:t>
      </w:r>
      <w:r w:rsidRPr="009365D5">
        <w:t>ж</w:t>
      </w:r>
      <w:r w:rsidRPr="009365D5">
        <w:t>ностные лица, в частности Генеральный прокурор или Председатель Верховн</w:t>
      </w:r>
      <w:r w:rsidRPr="009365D5">
        <w:t>о</w:t>
      </w:r>
      <w:r w:rsidRPr="009365D5">
        <w:t>го суда</w:t>
      </w:r>
      <w:r>
        <w:t>,</w:t>
      </w:r>
      <w:r w:rsidRPr="009365D5">
        <w:t xml:space="preserve"> и такое производство не может рассматриваться в качестве эффекти</w:t>
      </w:r>
      <w:r w:rsidRPr="009365D5">
        <w:t>в</w:t>
      </w:r>
      <w:r w:rsidRPr="009365D5">
        <w:t>ного внутреннего средства правовой защиты</w:t>
      </w:r>
      <w:r w:rsidRPr="00E71948">
        <w:rPr>
          <w:vertAlign w:val="superscript"/>
        </w:rPr>
        <w:footnoteReference w:id="5"/>
      </w:r>
      <w:r w:rsidRPr="009365D5">
        <w:t>.</w:t>
      </w:r>
    </w:p>
    <w:p w:rsidR="00CF78ED" w:rsidRPr="009365D5" w:rsidRDefault="00CF78ED" w:rsidP="00CF78ED">
      <w:pPr>
        <w:pStyle w:val="SingleTxtGR"/>
      </w:pPr>
      <w:r w:rsidRPr="009365D5">
        <w:t>5.2</w:t>
      </w:r>
      <w:r w:rsidRPr="009365D5">
        <w:tab/>
        <w:t>Г-н Еврезов также утверждает, что, признав компетенцию Комитета ра</w:t>
      </w:r>
      <w:r w:rsidRPr="009365D5">
        <w:t>с</w:t>
      </w:r>
      <w:r w:rsidRPr="009365D5">
        <w:t xml:space="preserve">сматривать индивидуальные сообщения, государство-участник также взяло на себя обязательство предоставлять эффективные средства защиты в случае нарушения прав, </w:t>
      </w:r>
      <w:r>
        <w:t>установленных</w:t>
      </w:r>
      <w:r w:rsidRPr="009365D5">
        <w:t xml:space="preserve"> в Пакте, и соблюдать не только положения Пакта, но и положения Факультативного протокола и </w:t>
      </w:r>
      <w:r>
        <w:t>з</w:t>
      </w:r>
      <w:r w:rsidRPr="009365D5">
        <w:t xml:space="preserve">амечания общего порядка </w:t>
      </w:r>
      <w:r>
        <w:t>К</w:t>
      </w:r>
      <w:r w:rsidRPr="009365D5">
        <w:t>омитета</w:t>
      </w:r>
      <w:r w:rsidRPr="00E71948">
        <w:rPr>
          <w:vertAlign w:val="superscript"/>
        </w:rPr>
        <w:footnoteReference w:id="6"/>
      </w:r>
      <w:r w:rsidRPr="009365D5">
        <w:t>.</w:t>
      </w:r>
    </w:p>
    <w:p w:rsidR="00CF78ED" w:rsidRPr="00077D0B" w:rsidRDefault="00CF78ED" w:rsidP="00CF78ED">
      <w:pPr>
        <w:pStyle w:val="H23GR"/>
      </w:pPr>
      <w:r w:rsidRPr="00753BCE">
        <w:tab/>
      </w:r>
      <w:r>
        <w:tab/>
        <w:t>Вопросы</w:t>
      </w:r>
      <w:r w:rsidRPr="00077D0B">
        <w:t xml:space="preserve"> </w:t>
      </w:r>
      <w:r>
        <w:t>и</w:t>
      </w:r>
      <w:r w:rsidRPr="00077D0B">
        <w:t xml:space="preserve"> </w:t>
      </w:r>
      <w:r>
        <w:t>процедура</w:t>
      </w:r>
      <w:r w:rsidRPr="00077D0B">
        <w:t xml:space="preserve"> </w:t>
      </w:r>
      <w:r>
        <w:t>их</w:t>
      </w:r>
      <w:r w:rsidRPr="00077D0B">
        <w:t xml:space="preserve"> </w:t>
      </w:r>
      <w:r>
        <w:t>рассмотрения в Комитете</w:t>
      </w:r>
    </w:p>
    <w:p w:rsidR="00CF78ED" w:rsidRPr="00077D0B" w:rsidRDefault="00CF78ED" w:rsidP="00CF78ED">
      <w:pPr>
        <w:pStyle w:val="H4GR"/>
      </w:pPr>
      <w:r w:rsidRPr="00077D0B">
        <w:tab/>
      </w:r>
      <w:r>
        <w:tab/>
        <w:t>Отсутствие сотрудничества со стороны государства-участника</w:t>
      </w:r>
    </w:p>
    <w:p w:rsidR="00CF78ED" w:rsidRPr="009365D5" w:rsidRDefault="00CF78ED" w:rsidP="00CF78ED">
      <w:pPr>
        <w:pStyle w:val="SingleTxtGR"/>
      </w:pPr>
      <w:r w:rsidRPr="009365D5">
        <w:t>6.1</w:t>
      </w:r>
      <w:r w:rsidRPr="009365D5">
        <w:tab/>
        <w:t xml:space="preserve">Комитет принимает к сведению утверждение государства-участника </w:t>
      </w:r>
      <w:r>
        <w:t xml:space="preserve">о том, что </w:t>
      </w:r>
      <w:r w:rsidRPr="009365D5">
        <w:t>правовы</w:t>
      </w:r>
      <w:r>
        <w:t>е основания</w:t>
      </w:r>
      <w:r w:rsidRPr="009365D5">
        <w:t xml:space="preserve"> для рассмотрения сообщения автор</w:t>
      </w:r>
      <w:r>
        <w:t>ов отсутств</w:t>
      </w:r>
      <w:r>
        <w:t>у</w:t>
      </w:r>
      <w:r>
        <w:t>ют</w:t>
      </w:r>
      <w:r w:rsidRPr="009365D5">
        <w:t xml:space="preserve">, поскольку оно зарегистрировано в нарушение положений Факультативного протокола; что оно не </w:t>
      </w:r>
      <w:r>
        <w:t xml:space="preserve">обязано признавать ни </w:t>
      </w:r>
      <w:r w:rsidRPr="009365D5">
        <w:t>правил</w:t>
      </w:r>
      <w:r>
        <w:t>а</w:t>
      </w:r>
      <w:r w:rsidRPr="009365D5">
        <w:t xml:space="preserve"> процедуры Комитета</w:t>
      </w:r>
      <w:r>
        <w:t xml:space="preserve">, ни </w:t>
      </w:r>
      <w:r w:rsidRPr="009365D5">
        <w:t xml:space="preserve">толкования Комитетом положений Факультативного протокола; и что в случае принятия Комитетом решения по этому сообщению такое решение будет </w:t>
      </w:r>
      <w:r>
        <w:t>ра</w:t>
      </w:r>
      <w:r>
        <w:t>с</w:t>
      </w:r>
      <w:r>
        <w:t>сматриваться</w:t>
      </w:r>
      <w:r w:rsidRPr="009365D5">
        <w:t xml:space="preserve"> властями как недействительное. </w:t>
      </w:r>
    </w:p>
    <w:p w:rsidR="00CF78ED" w:rsidRPr="009365D5" w:rsidRDefault="00CF78ED" w:rsidP="00CF78ED">
      <w:pPr>
        <w:pStyle w:val="SingleTxtGR"/>
      </w:pPr>
      <w:r w:rsidRPr="009365D5">
        <w:t>6.2</w:t>
      </w:r>
      <w:r w:rsidRPr="009365D5">
        <w:tab/>
        <w:t>Комитет напоминает о том, что пункт</w:t>
      </w:r>
      <w:r>
        <w:t>ом</w:t>
      </w:r>
      <w:r w:rsidRPr="009365D5">
        <w:t xml:space="preserve"> 2 статьи 39 Пакта о гражданских и политических правах ему предоставляется полномочие устанавливать свои собственные правила процедуры, которые государства-участники согласились признать. Присоединяясь к Факультативному протоколу, государство − учас</w:t>
      </w:r>
      <w:r w:rsidRPr="009365D5">
        <w:t>т</w:t>
      </w:r>
      <w:r w:rsidRPr="009365D5">
        <w:t>ник Пакта признает компетенцию Комитета по правам человека получать и ра</w:t>
      </w:r>
      <w:r w:rsidRPr="009365D5">
        <w:t>с</w:t>
      </w:r>
      <w:r w:rsidRPr="009365D5">
        <w:t>сматривать сообщения от отдельных лиц, утверждающих, что они являются жертвами нарушений любого из прав, установленных в Пакте (преамбула и ст</w:t>
      </w:r>
      <w:r w:rsidRPr="009365D5">
        <w:t>а</w:t>
      </w:r>
      <w:r w:rsidRPr="009365D5">
        <w:t>тья 1). Из факта присоединения государства к Протоколу вытекает, что оно б</w:t>
      </w:r>
      <w:r w:rsidRPr="009365D5">
        <w:t>е</w:t>
      </w:r>
      <w:r w:rsidRPr="009365D5">
        <w:t>рет на себя обязательство добросовестно сотрудничать с Комитетом, с тем чт</w:t>
      </w:r>
      <w:r w:rsidRPr="009365D5">
        <w:t>о</w:t>
      </w:r>
      <w:r w:rsidRPr="009365D5">
        <w:t>бы дать ему возможность рассматривать такие сообщения, а после рассмотр</w:t>
      </w:r>
      <w:r w:rsidRPr="009365D5">
        <w:t>е</w:t>
      </w:r>
      <w:r w:rsidRPr="009365D5">
        <w:t>ния сообщения направлять свои соображения государству-участнику и автору сообщения (пункты 1 и 4 статьи 5). Любые предпринимаемые государством-участником действия, препятствующие Комитету в рассмотрении и обсуждении сообщений, а также в направлении своих соображений, являются несовмест</w:t>
      </w:r>
      <w:r w:rsidRPr="009365D5">
        <w:t>и</w:t>
      </w:r>
      <w:r w:rsidRPr="009365D5">
        <w:t>мыми с данными обязатель</w:t>
      </w:r>
      <w:r>
        <w:t>ства</w:t>
      </w:r>
      <w:r w:rsidRPr="009365D5">
        <w:t>ми</w:t>
      </w:r>
      <w:r w:rsidRPr="00E71948">
        <w:rPr>
          <w:vertAlign w:val="superscript"/>
        </w:rPr>
        <w:footnoteReference w:id="7"/>
      </w:r>
      <w:r w:rsidRPr="009365D5">
        <w:t>. Именно Комитет реша</w:t>
      </w:r>
      <w:r>
        <w:t>ет</w:t>
      </w:r>
      <w:r w:rsidRPr="009365D5">
        <w:t xml:space="preserve"> вопрос о том, сл</w:t>
      </w:r>
      <w:r w:rsidRPr="009365D5">
        <w:t>е</w:t>
      </w:r>
      <w:r w:rsidRPr="009365D5">
        <w:t>дует ли зарегистрировать какое-либо сообщение. Комитет отмечает, что, не признавая компетенцию Комитета определять, следует ли зарегистрировать с</w:t>
      </w:r>
      <w:r w:rsidRPr="009365D5">
        <w:t>о</w:t>
      </w:r>
      <w:r w:rsidRPr="009365D5">
        <w:t>общение, и объявлять заранее, что оно не согласится с решением Комитета о</w:t>
      </w:r>
      <w:r w:rsidRPr="009365D5">
        <w:t>т</w:t>
      </w:r>
      <w:r w:rsidRPr="009365D5">
        <w:t>носительно приемлемости сообщений и их существа, государство-участник нарушает свои обязательства по статье 1 Факультативного протокола к Пакту</w:t>
      </w:r>
      <w:r w:rsidRPr="00E71948">
        <w:rPr>
          <w:vertAlign w:val="superscript"/>
        </w:rPr>
        <w:footnoteReference w:id="8"/>
      </w:r>
      <w:r w:rsidRPr="009365D5">
        <w:t xml:space="preserve">. </w:t>
      </w:r>
    </w:p>
    <w:p w:rsidR="00CF78ED" w:rsidRDefault="00CF78ED" w:rsidP="00CF78ED">
      <w:pPr>
        <w:pStyle w:val="H4GR"/>
      </w:pPr>
      <w:r w:rsidRPr="00194154">
        <w:tab/>
      </w:r>
      <w:r>
        <w:tab/>
        <w:t>Рассмотрение вопроса о приемлемости</w:t>
      </w:r>
    </w:p>
    <w:p w:rsidR="00CF78ED" w:rsidRPr="009365D5" w:rsidRDefault="00CF78ED" w:rsidP="00CF78ED">
      <w:pPr>
        <w:pStyle w:val="SingleTxtGR"/>
      </w:pPr>
      <w:r w:rsidRPr="009365D5">
        <w:t>7.1</w:t>
      </w:r>
      <w:r w:rsidRPr="009365D5">
        <w:tab/>
        <w:t xml:space="preserve">Прежде чем рассматривать какое-либо содержащееся в сообщении утверждение, Комитет по правам человека должен </w:t>
      </w:r>
      <w:r>
        <w:t xml:space="preserve">на основании </w:t>
      </w:r>
      <w:r w:rsidRPr="009365D5">
        <w:t>правил</w:t>
      </w:r>
      <w:r>
        <w:t>а </w:t>
      </w:r>
      <w:r w:rsidRPr="009365D5">
        <w:t xml:space="preserve">93 своих правил процедуры принять решение о том, является ли </w:t>
      </w:r>
      <w:r>
        <w:t>данное</w:t>
      </w:r>
      <w:r w:rsidRPr="009365D5">
        <w:t xml:space="preserve"> сообщ</w:t>
      </w:r>
      <w:r w:rsidRPr="009365D5">
        <w:t>е</w:t>
      </w:r>
      <w:r w:rsidRPr="009365D5">
        <w:t xml:space="preserve">ние приемлемым </w:t>
      </w:r>
      <w:r>
        <w:t xml:space="preserve">в соответствии с </w:t>
      </w:r>
      <w:r w:rsidRPr="009365D5">
        <w:t>Факультативн</w:t>
      </w:r>
      <w:r>
        <w:t>ы</w:t>
      </w:r>
      <w:r w:rsidRPr="009365D5">
        <w:t>м протокол</w:t>
      </w:r>
      <w:r>
        <w:t>ом</w:t>
      </w:r>
      <w:r w:rsidRPr="009365D5">
        <w:t xml:space="preserve"> к Пакту. </w:t>
      </w:r>
    </w:p>
    <w:p w:rsidR="009F55E3" w:rsidRPr="00D44E3F" w:rsidRDefault="009F55E3" w:rsidP="009F55E3">
      <w:pPr>
        <w:pStyle w:val="SingleTxtGR"/>
      </w:pPr>
      <w:r w:rsidRPr="00D44E3F">
        <w:t>7.2</w:t>
      </w:r>
      <w:r w:rsidRPr="00D44E3F">
        <w:tab/>
        <w:t xml:space="preserve">В соответствии с требованиями пункта 2 а) статьи 5 Факультативного протокола Комитет установил, что этот же вопрос не рассматривается в рамках другой процедуры международного разбирательства или урегулирования. </w:t>
      </w:r>
    </w:p>
    <w:p w:rsidR="009F55E3" w:rsidRPr="00D44E3F" w:rsidRDefault="009F55E3" w:rsidP="009F55E3">
      <w:pPr>
        <w:pStyle w:val="SingleTxtGR"/>
      </w:pPr>
      <w:r w:rsidRPr="00D44E3F">
        <w:t>7.3</w:t>
      </w:r>
      <w:r w:rsidRPr="00D44E3F">
        <w:tab/>
        <w:t>Комитет отмечает, что государство-участник оспорило приемлемость с</w:t>
      </w:r>
      <w:r w:rsidRPr="00D44E3F">
        <w:t>о</w:t>
      </w:r>
      <w:r w:rsidRPr="00D44E3F">
        <w:t xml:space="preserve">общения, сославшись не неисчерпание внутренних средств правовой защиты </w:t>
      </w:r>
      <w:r>
        <w:t xml:space="preserve">по смыслу </w:t>
      </w:r>
      <w:r w:rsidRPr="00D44E3F">
        <w:t>пункт</w:t>
      </w:r>
      <w:r>
        <w:t>а</w:t>
      </w:r>
      <w:r w:rsidRPr="00D44E3F">
        <w:t xml:space="preserve"> 2 </w:t>
      </w:r>
      <w:r w:rsidRPr="00D44E3F">
        <w:rPr>
          <w:lang w:val="en-US"/>
        </w:rPr>
        <w:t>b</w:t>
      </w:r>
      <w:r w:rsidRPr="00D44E3F">
        <w:t>) статьи 5 Факультативного протокола на том основании, что авторы не обратились в прокуратуру с ходатайством о рассмотрении их дел в рамках процедуры надзорного производства. Комитет ссылается на свою прав</w:t>
      </w:r>
      <w:r w:rsidRPr="00D44E3F">
        <w:t>о</w:t>
      </w:r>
      <w:r w:rsidRPr="00D44E3F">
        <w:t xml:space="preserve">вую практику, согласно которой процедуры </w:t>
      </w:r>
      <w:r>
        <w:t>пересмотра</w:t>
      </w:r>
      <w:r w:rsidRPr="00D44E3F">
        <w:t xml:space="preserve"> Генеральной прокур</w:t>
      </w:r>
      <w:r w:rsidRPr="00D44E3F">
        <w:t>а</w:t>
      </w:r>
      <w:r w:rsidRPr="00D44E3F">
        <w:t>турой в порядке надзора вступивших в силу решений суда не являются сре</w:t>
      </w:r>
      <w:r w:rsidRPr="00D44E3F">
        <w:t>д</w:t>
      </w:r>
      <w:r w:rsidRPr="00D44E3F">
        <w:t>ством правовой защиты, которые должны быть исчерпаны для целей пун</w:t>
      </w:r>
      <w:r w:rsidRPr="00D44E3F">
        <w:t>к</w:t>
      </w:r>
      <w:r>
        <w:t>та 2 </w:t>
      </w:r>
      <w:r w:rsidRPr="00D44E3F">
        <w:rPr>
          <w:lang w:val="en-US"/>
        </w:rPr>
        <w:t>b</w:t>
      </w:r>
      <w:r w:rsidRPr="00D44E3F">
        <w:t>) статьи 5 Факультативного протокола</w:t>
      </w:r>
      <w:r>
        <w:rPr>
          <w:rStyle w:val="FootnoteReference"/>
        </w:rPr>
        <w:footnoteReference w:id="9"/>
      </w:r>
      <w:r w:rsidRPr="00D44E3F">
        <w:t>. В этой связи он счита</w:t>
      </w:r>
      <w:r>
        <w:t>ет, что пункт 2 </w:t>
      </w:r>
      <w:r w:rsidRPr="00D44E3F">
        <w:rPr>
          <w:lang w:val="en-US"/>
        </w:rPr>
        <w:t>b</w:t>
      </w:r>
      <w:r w:rsidRPr="00D44E3F">
        <w:t xml:space="preserve">) статьи 5 Факультативного протокола не является препятствием для рассмотрения им этой части сообщения. </w:t>
      </w:r>
    </w:p>
    <w:p w:rsidR="009F55E3" w:rsidRPr="00D44E3F" w:rsidRDefault="009F55E3" w:rsidP="009F55E3">
      <w:pPr>
        <w:pStyle w:val="SingleTxtGR"/>
      </w:pPr>
      <w:r w:rsidRPr="00D44E3F">
        <w:t>7.4</w:t>
      </w:r>
      <w:r w:rsidRPr="00D44E3F">
        <w:tab/>
        <w:t>Комитет принимает к сведению утверждени</w:t>
      </w:r>
      <w:r>
        <w:t>е</w:t>
      </w:r>
      <w:r w:rsidRPr="00D44E3F">
        <w:t xml:space="preserve"> авторов о том, что госуда</w:t>
      </w:r>
      <w:r w:rsidRPr="00D44E3F">
        <w:t>р</w:t>
      </w:r>
      <w:r w:rsidRPr="00D44E3F">
        <w:t>ство-участник нарушило свои обязательства по пункту 2 статьи 2 Пакта, ра</w:t>
      </w:r>
      <w:r w:rsidRPr="00D44E3F">
        <w:t>с</w:t>
      </w:r>
      <w:r w:rsidRPr="00D44E3F">
        <w:t xml:space="preserve">сматриваемого в совокупности со статьями 19 и 21, на том основании, что оно не признало </w:t>
      </w:r>
      <w:r>
        <w:t>приоритет</w:t>
      </w:r>
      <w:r w:rsidRPr="00D44E3F">
        <w:t xml:space="preserve"> Пакта над внутренним законодательством, которое налагает неоправданные ограничения на права, закрепленные в статьях 19 и 21. Однако в этой связи Комитет напоминает </w:t>
      </w:r>
      <w:r>
        <w:t xml:space="preserve">о </w:t>
      </w:r>
      <w:r w:rsidRPr="00D44E3F">
        <w:t>свое</w:t>
      </w:r>
      <w:r>
        <w:t>м</w:t>
      </w:r>
      <w:r w:rsidRPr="00D44E3F">
        <w:t xml:space="preserve"> замечани</w:t>
      </w:r>
      <w:r>
        <w:t>и общего поря</w:t>
      </w:r>
      <w:r>
        <w:t>д</w:t>
      </w:r>
      <w:r>
        <w:t>ка </w:t>
      </w:r>
      <w:r w:rsidRPr="00D44E3F">
        <w:t>№</w:t>
      </w:r>
      <w:r>
        <w:t> </w:t>
      </w:r>
      <w:r w:rsidRPr="00D44E3F">
        <w:t>31, в соответствии с которым статья 2 допускает, что государство-участник осуществляет предусмотренные Пактом права в соответствии со св</w:t>
      </w:r>
      <w:r w:rsidRPr="00D44E3F">
        <w:t>о</w:t>
      </w:r>
      <w:r w:rsidRPr="00D44E3F">
        <w:t>ей внутренней конституционной структурой и не требует от него, чтобы Пакт имел прямое применение в судах благодаря включению Пакта в национальное право. В этой связи Комитет считает</w:t>
      </w:r>
      <w:r>
        <w:t xml:space="preserve"> </w:t>
      </w:r>
      <w:r w:rsidRPr="00D44E3F">
        <w:t xml:space="preserve">утверждение авторов, согласно которому государство-участник обязано признать </w:t>
      </w:r>
      <w:r>
        <w:t xml:space="preserve">приоритет </w:t>
      </w:r>
      <w:r w:rsidRPr="00D44E3F">
        <w:t>Пакта над внутренним пр</w:t>
      </w:r>
      <w:r w:rsidRPr="00D44E3F">
        <w:t>а</w:t>
      </w:r>
      <w:r w:rsidRPr="00D44E3F">
        <w:t xml:space="preserve">вом, несовместимым </w:t>
      </w:r>
      <w:r>
        <w:t xml:space="preserve">с положениями </w:t>
      </w:r>
      <w:r w:rsidRPr="00D44E3F">
        <w:t>стать</w:t>
      </w:r>
      <w:r>
        <w:t>и</w:t>
      </w:r>
      <w:r w:rsidRPr="00D44E3F">
        <w:t xml:space="preserve"> 2 Пакта и неприемлемым в соо</w:t>
      </w:r>
      <w:r w:rsidRPr="00D44E3F">
        <w:t>т</w:t>
      </w:r>
      <w:r w:rsidRPr="00D44E3F">
        <w:t xml:space="preserve">ветствии со статьей 3 Факультативного протокола. </w:t>
      </w:r>
    </w:p>
    <w:p w:rsidR="009F55E3" w:rsidRPr="00D44E3F" w:rsidRDefault="009F55E3" w:rsidP="009F55E3">
      <w:pPr>
        <w:pStyle w:val="SingleTxtGR"/>
      </w:pPr>
      <w:r w:rsidRPr="00D44E3F">
        <w:t>7.5</w:t>
      </w:r>
      <w:r w:rsidRPr="00D44E3F">
        <w:tab/>
        <w:t xml:space="preserve">Комитет полагает, что авторы достаточно обосновали свои утверждения по статьям 19 и 21 и в </w:t>
      </w:r>
      <w:r>
        <w:t>случае г-на</w:t>
      </w:r>
      <w:r w:rsidRPr="00D44E3F">
        <w:t xml:space="preserve"> Еврезова и </w:t>
      </w:r>
      <w:r>
        <w:t xml:space="preserve">г-на </w:t>
      </w:r>
      <w:r w:rsidRPr="00D44E3F">
        <w:t xml:space="preserve">Полякова по пунктам 3 а), </w:t>
      </w:r>
      <w:r w:rsidRPr="00D44E3F">
        <w:rPr>
          <w:lang w:val="en-US"/>
        </w:rPr>
        <w:t>b</w:t>
      </w:r>
      <w:r w:rsidRPr="00D44E3F">
        <w:t xml:space="preserve">), </w:t>
      </w:r>
      <w:r w:rsidRPr="00D44E3F">
        <w:rPr>
          <w:lang w:val="en-US"/>
        </w:rPr>
        <w:t>d</w:t>
      </w:r>
      <w:r w:rsidRPr="00D44E3F">
        <w:t>) и е) статьи 14 для целей приемлемости. В этой связи он объявляет их прие</w:t>
      </w:r>
      <w:r w:rsidRPr="00D44E3F">
        <w:t>м</w:t>
      </w:r>
      <w:r w:rsidRPr="00D44E3F">
        <w:t xml:space="preserve">лемыми и приступает к их рассмотрению по существу. </w:t>
      </w:r>
    </w:p>
    <w:p w:rsidR="009F55E3" w:rsidRPr="00D44E3F" w:rsidRDefault="009F55E3" w:rsidP="009F55E3">
      <w:pPr>
        <w:pStyle w:val="H4GR"/>
      </w:pPr>
      <w:r w:rsidRPr="00DC2799">
        <w:tab/>
      </w:r>
      <w:r w:rsidRPr="00DC2799">
        <w:tab/>
      </w:r>
      <w:r w:rsidRPr="00D44E3F">
        <w:t>Рассмотрение по существу</w:t>
      </w:r>
    </w:p>
    <w:p w:rsidR="009F55E3" w:rsidRPr="00D44E3F" w:rsidRDefault="009F55E3" w:rsidP="009F55E3">
      <w:pPr>
        <w:pStyle w:val="SingleTxtGR"/>
      </w:pPr>
      <w:r w:rsidRPr="00D44E3F">
        <w:t>8.1</w:t>
      </w:r>
      <w:r w:rsidRPr="00D44E3F">
        <w:tab/>
        <w:t>Комитет по правам человека рассмотрел настоящее сообщение с учетом всей информации, представленной ему сторонами, в соответствии с пунктом 1 статьи 5 Факультативного протокола.</w:t>
      </w:r>
    </w:p>
    <w:p w:rsidR="009F55E3" w:rsidRPr="00D44E3F" w:rsidRDefault="009F55E3" w:rsidP="009F55E3">
      <w:pPr>
        <w:pStyle w:val="SingleTxtGR"/>
      </w:pPr>
      <w:r w:rsidRPr="00D44E3F">
        <w:t>8.2</w:t>
      </w:r>
      <w:r w:rsidRPr="00D44E3F">
        <w:tab/>
        <w:t>Первый вопрос</w:t>
      </w:r>
      <w:r>
        <w:t xml:space="preserve">, </w:t>
      </w:r>
      <w:r w:rsidRPr="00D44E3F">
        <w:t>рассмотрен</w:t>
      </w:r>
      <w:r>
        <w:t>ный</w:t>
      </w:r>
      <w:r w:rsidRPr="00D44E3F">
        <w:t xml:space="preserve"> Комитет</w:t>
      </w:r>
      <w:r>
        <w:t>ом,</w:t>
      </w:r>
      <w:r w:rsidRPr="00D44E3F">
        <w:t xml:space="preserve"> заключа</w:t>
      </w:r>
      <w:r>
        <w:t xml:space="preserve">лся в установлении того, </w:t>
      </w:r>
      <w:r w:rsidRPr="00D44E3F">
        <w:t>явля</w:t>
      </w:r>
      <w:r>
        <w:t>ю</w:t>
      </w:r>
      <w:r w:rsidRPr="00D44E3F">
        <w:t>тся ли недопущение проведения авторами демонстрации, посв</w:t>
      </w:r>
      <w:r w:rsidRPr="00D44E3F">
        <w:t>я</w:t>
      </w:r>
      <w:r w:rsidRPr="00D44E3F">
        <w:t>щенной видным представителям белорусской оппозиции, их последующее з</w:t>
      </w:r>
      <w:r w:rsidRPr="00D44E3F">
        <w:t>а</w:t>
      </w:r>
      <w:r w:rsidRPr="00D44E3F">
        <w:t>держание и вынесение им приговора о</w:t>
      </w:r>
      <w:r>
        <w:t>б</w:t>
      </w:r>
      <w:r w:rsidRPr="00D44E3F">
        <w:t xml:space="preserve"> </w:t>
      </w:r>
      <w:r>
        <w:t>у</w:t>
      </w:r>
      <w:r w:rsidRPr="00D44E3F">
        <w:t>плате административного штрафа нарушением прав авторов, гарантируемых статьями 19 и 21 Пакта.</w:t>
      </w:r>
    </w:p>
    <w:p w:rsidR="009F55E3" w:rsidRPr="00D44E3F" w:rsidRDefault="009F55E3" w:rsidP="009F55E3">
      <w:pPr>
        <w:pStyle w:val="SingleTxtGR"/>
      </w:pPr>
      <w:r w:rsidRPr="00D44E3F">
        <w:t>8.3</w:t>
      </w:r>
      <w:r w:rsidRPr="00D44E3F">
        <w:tab/>
        <w:t>Комитет напоминает, что пункт 2 статьи 19 Пакт</w:t>
      </w:r>
      <w:r>
        <w:t>а содержит требования к государ</w:t>
      </w:r>
      <w:r w:rsidRPr="00D44E3F">
        <w:t>ствам-участникам гарантировать право на свободное выражение мн</w:t>
      </w:r>
      <w:r w:rsidRPr="00D44E3F">
        <w:t>е</w:t>
      </w:r>
      <w:r>
        <w:t>ний</w:t>
      </w:r>
      <w:r w:rsidRPr="00D44E3F">
        <w:t>, включая свободу слова, свободу искать, получать и распространять всяк</w:t>
      </w:r>
      <w:r w:rsidRPr="00D44E3F">
        <w:t>о</w:t>
      </w:r>
      <w:r w:rsidRPr="00D44E3F">
        <w:t>го рода информацию и идеи, независимо от государственных границ, устно, письменно или посредством печати. Комитет напоминает, что свобода мнений и свобода их выражения являются неотъемлемыми условиями всестороннего ра</w:t>
      </w:r>
      <w:r w:rsidRPr="00D44E3F">
        <w:t>з</w:t>
      </w:r>
      <w:r w:rsidRPr="00D44E3F">
        <w:t>вития личности; эти свободы имеют принципиальное значение для любого о</w:t>
      </w:r>
      <w:r w:rsidRPr="00D44E3F">
        <w:t>б</w:t>
      </w:r>
      <w:r w:rsidRPr="00D44E3F">
        <w:t>щества и являются основополагающими элементами любого свободного и д</w:t>
      </w:r>
      <w:r w:rsidRPr="00D44E3F">
        <w:t>е</w:t>
      </w:r>
      <w:r w:rsidRPr="00D44E3F">
        <w:t>мократического общества</w:t>
      </w:r>
      <w:r>
        <w:rPr>
          <w:rStyle w:val="FootnoteReference"/>
        </w:rPr>
        <w:footnoteReference w:id="10"/>
      </w:r>
      <w:r w:rsidRPr="00D44E3F">
        <w:t xml:space="preserve">. </w:t>
      </w:r>
    </w:p>
    <w:p w:rsidR="00D22E97" w:rsidRDefault="00D22E97" w:rsidP="009F55E3">
      <w:pPr>
        <w:pStyle w:val="SingleTxtGR"/>
      </w:pPr>
      <w:r>
        <w:br w:type="page"/>
      </w:r>
    </w:p>
    <w:p w:rsidR="009F55E3" w:rsidRPr="00D44E3F" w:rsidRDefault="009F55E3" w:rsidP="009F55E3">
      <w:pPr>
        <w:pStyle w:val="SingleTxtGR"/>
      </w:pPr>
      <w:r w:rsidRPr="00D44E3F">
        <w:t>8.4</w:t>
      </w:r>
      <w:r w:rsidRPr="00D44E3F">
        <w:tab/>
        <w:t>Комитет отмечает, что право на проведение мирных собраний, гарантир</w:t>
      </w:r>
      <w:r w:rsidRPr="00D44E3F">
        <w:t>о</w:t>
      </w:r>
      <w:r w:rsidRPr="00D44E3F">
        <w:t>ванное стат</w:t>
      </w:r>
      <w:r>
        <w:t>ь</w:t>
      </w:r>
      <w:r w:rsidRPr="00D44E3F">
        <w:t>е</w:t>
      </w:r>
      <w:r>
        <w:t>й</w:t>
      </w:r>
      <w:r w:rsidRPr="00D44E3F">
        <w:t xml:space="preserve"> 21 Пакта, является основным правом человека, которое имеет чрезвычайно важное значение для публичного выражения мнений и убеждений и считается неотъемлемым в демократическом обществе</w:t>
      </w:r>
      <w:r>
        <w:rPr>
          <w:rStyle w:val="FootnoteReference"/>
        </w:rPr>
        <w:footnoteReference w:id="11"/>
      </w:r>
      <w:r w:rsidRPr="00D44E3F">
        <w:t>. Это право предпол</w:t>
      </w:r>
      <w:r w:rsidRPr="00D44E3F">
        <w:t>а</w:t>
      </w:r>
      <w:r w:rsidRPr="00D44E3F">
        <w:t xml:space="preserve">гает возможность организации мирного собрания и демонстрации или участия в них в целях выражения поддержки или критики по какому-либо конкретному вопросу. </w:t>
      </w:r>
    </w:p>
    <w:p w:rsidR="009F55E3" w:rsidRPr="00D44E3F" w:rsidRDefault="009F55E3" w:rsidP="009F55E3">
      <w:pPr>
        <w:pStyle w:val="SingleTxtGR"/>
      </w:pPr>
      <w:r w:rsidRPr="00D44E3F">
        <w:t>8.5</w:t>
      </w:r>
      <w:r w:rsidRPr="00D44E3F">
        <w:tab/>
        <w:t>Комитет принимает к сведению утверждения авторов о том, что на пути к площади, на которой должна была состояться демонстрация, они были заде</w:t>
      </w:r>
      <w:r w:rsidRPr="00D44E3F">
        <w:t>р</w:t>
      </w:r>
      <w:r w:rsidRPr="00D44E3F">
        <w:t>жаны и им было предъявлено обвинение в совершении административного пр</w:t>
      </w:r>
      <w:r w:rsidRPr="00D44E3F">
        <w:t>а</w:t>
      </w:r>
      <w:r w:rsidRPr="00D44E3F">
        <w:t>вонарушения. Комитет также отмечает, что Верховный суд оставил в силе р</w:t>
      </w:r>
      <w:r w:rsidRPr="00D44E3F">
        <w:t>е</w:t>
      </w:r>
      <w:r w:rsidRPr="00D44E3F">
        <w:t>шение нижестоящих судов о том, что авторы нарушили Закон о проведении массовых мероприятий в связи с тем, что они шли группой и держали в руках фотографии и плакаты, не имея предварительного разрешения властей на пр</w:t>
      </w:r>
      <w:r w:rsidRPr="00D44E3F">
        <w:t>о</w:t>
      </w:r>
      <w:r w:rsidRPr="00D44E3F">
        <w:t xml:space="preserve">ведение </w:t>
      </w:r>
      <w:r>
        <w:t>пуб</w:t>
      </w:r>
      <w:r w:rsidRPr="00D44E3F">
        <w:t xml:space="preserve">личного мероприятия. </w:t>
      </w:r>
    </w:p>
    <w:p w:rsidR="009F55E3" w:rsidRPr="00D44E3F" w:rsidRDefault="009F55E3" w:rsidP="009F55E3">
      <w:pPr>
        <w:pStyle w:val="SingleTxtGR"/>
      </w:pPr>
      <w:r w:rsidRPr="00D44E3F">
        <w:t>8.6</w:t>
      </w:r>
      <w:r w:rsidRPr="00D44E3F">
        <w:tab/>
        <w:t>Комитет отмечает, что любые ограничения на осуществление прав, гара</w:t>
      </w:r>
      <w:r w:rsidRPr="00D44E3F">
        <w:t>н</w:t>
      </w:r>
      <w:r w:rsidRPr="00D44E3F">
        <w:t>тированных статьями 19 и 21, должны соответствовать жестким критериям необходимости и соразмерности и устанавливаться лишь для тех целей, для к</w:t>
      </w:r>
      <w:r w:rsidRPr="00D44E3F">
        <w:t>о</w:t>
      </w:r>
      <w:r w:rsidRPr="00D44E3F">
        <w:t>торых они предназначены, и они должны быть прямо связаны с конкретной ц</w:t>
      </w:r>
      <w:r w:rsidRPr="00D44E3F">
        <w:t>е</w:t>
      </w:r>
      <w:r w:rsidRPr="00D44E3F">
        <w:t>лью, достижение которой они преследуют</w:t>
      </w:r>
      <w:r>
        <w:rPr>
          <w:rStyle w:val="FootnoteReference"/>
        </w:rPr>
        <w:footnoteReference w:id="12"/>
      </w:r>
      <w:r w:rsidRPr="00D44E3F">
        <w:t>. Недопущение проведения демо</w:t>
      </w:r>
      <w:r w:rsidRPr="00D44E3F">
        <w:t>н</w:t>
      </w:r>
      <w:r w:rsidRPr="00D44E3F">
        <w:t>страций авторами, их последующее задержание и вынесение им приговора о</w:t>
      </w:r>
      <w:r>
        <w:t>б</w:t>
      </w:r>
      <w:r w:rsidRPr="00D44E3F">
        <w:t xml:space="preserve"> </w:t>
      </w:r>
      <w:r>
        <w:t>у</w:t>
      </w:r>
      <w:r w:rsidRPr="00D44E3F">
        <w:t xml:space="preserve">плате административного штрафа лишь за прохождение в составе группы лиц, держащих фотографии и плакаты, очевидным образом являются нарушением их прав, гарантированных статьями 19 и 21 Пакта. В этой связи государство-участник должно доказать, что наложенные ограничения были необходимы в рассматриваемом случае. </w:t>
      </w:r>
    </w:p>
    <w:p w:rsidR="009F55E3" w:rsidRPr="00D44E3F" w:rsidRDefault="009F55E3" w:rsidP="009F55E3">
      <w:pPr>
        <w:pStyle w:val="SingleTxtGR"/>
      </w:pPr>
      <w:r w:rsidRPr="00D44E3F">
        <w:t>8.7</w:t>
      </w:r>
      <w:r w:rsidRPr="00D44E3F">
        <w:tab/>
        <w:t>Комитет напоминает, что пункт</w:t>
      </w:r>
      <w:r>
        <w:t>ом</w:t>
      </w:r>
      <w:r w:rsidRPr="00D44E3F">
        <w:t xml:space="preserve"> 3 статьи 19 Пакта допуска</w:t>
      </w:r>
      <w:r>
        <w:t>ются</w:t>
      </w:r>
      <w:r w:rsidRPr="00D44E3F">
        <w:t xml:space="preserve"> некот</w:t>
      </w:r>
      <w:r w:rsidRPr="00D44E3F">
        <w:t>о</w:t>
      </w:r>
      <w:r w:rsidRPr="00D44E3F">
        <w:t>рые ограничения, которые, однако, должны быть установлены законом и я</w:t>
      </w:r>
      <w:r w:rsidRPr="00D44E3F">
        <w:t>в</w:t>
      </w:r>
      <w:r w:rsidRPr="00D44E3F">
        <w:t xml:space="preserve">ляться необходимыми: а) для уважения права </w:t>
      </w:r>
      <w:r>
        <w:t xml:space="preserve">и </w:t>
      </w:r>
      <w:r w:rsidRPr="00D44E3F">
        <w:t xml:space="preserve">репутации других лиц; или </w:t>
      </w:r>
      <w:r w:rsidRPr="00D44E3F">
        <w:rPr>
          <w:lang w:val="en-US"/>
        </w:rPr>
        <w:t>b</w:t>
      </w:r>
      <w:r>
        <w:t>) </w:t>
      </w:r>
      <w:r w:rsidRPr="00D44E3F">
        <w:t>для охраны государственной безопасности, общественного порядка, здоровья или нравственности населения. Комитет отмечает, что право, гарантированное статьей 21, не подлежит никаким ограничениям кроме тех, которые налагаются в соответствии с законом и которые необходимы в демократическом обществе в интересах государственной или общест</w:t>
      </w:r>
      <w:r>
        <w:t>в</w:t>
      </w:r>
      <w:r w:rsidRPr="00D44E3F">
        <w:t>енной безопасности, общественного порядка, охраны здоровья и нравственности населения или защиты прав и св</w:t>
      </w:r>
      <w:r w:rsidRPr="00D44E3F">
        <w:t>о</w:t>
      </w:r>
      <w:r w:rsidRPr="00D44E3F">
        <w:t xml:space="preserve">бод других лиц. </w:t>
      </w:r>
    </w:p>
    <w:p w:rsidR="009F55E3" w:rsidRPr="00D44E3F" w:rsidRDefault="009F55E3" w:rsidP="009F55E3">
      <w:pPr>
        <w:pStyle w:val="SingleTxtGR"/>
      </w:pPr>
      <w:r w:rsidRPr="00D44E3F">
        <w:t>8.8</w:t>
      </w:r>
      <w:r w:rsidRPr="00D44E3F">
        <w:tab/>
        <w:t>В описанных выше обстоятельствах и в отсутствие какой-либо информ</w:t>
      </w:r>
      <w:r w:rsidRPr="00D44E3F">
        <w:t>а</w:t>
      </w:r>
      <w:r w:rsidRPr="00D44E3F">
        <w:t xml:space="preserve">ции </w:t>
      </w:r>
      <w:r>
        <w:t xml:space="preserve">по данному вопросу </w:t>
      </w:r>
      <w:r w:rsidRPr="00D44E3F">
        <w:t>от государства-участника</w:t>
      </w:r>
      <w:r>
        <w:t>, которая бы</w:t>
      </w:r>
      <w:r w:rsidRPr="00D44E3F">
        <w:t xml:space="preserve"> обоснов</w:t>
      </w:r>
      <w:r>
        <w:t>ывала</w:t>
      </w:r>
      <w:r w:rsidRPr="00D44E3F">
        <w:t xml:space="preserve"> ограничения для целей, описанных в пункте 3 статьи 19 и статье 21, Комитет делает вывод о том, что права авторов по пункту 2 статьи 19 и статье 21 Пакта были нарушены. </w:t>
      </w:r>
    </w:p>
    <w:p w:rsidR="009F55E3" w:rsidRPr="00D44E3F" w:rsidRDefault="009F55E3" w:rsidP="009F55E3">
      <w:pPr>
        <w:pStyle w:val="SingleTxtGR"/>
      </w:pPr>
      <w:r w:rsidRPr="00D44E3F">
        <w:t>8.9</w:t>
      </w:r>
      <w:r w:rsidRPr="00D44E3F">
        <w:tab/>
        <w:t>В отношении заявлений двух авторов, а именно г</w:t>
      </w:r>
      <w:r>
        <w:t>-на</w:t>
      </w:r>
      <w:r w:rsidRPr="00D44E3F">
        <w:t xml:space="preserve"> Еврезова и </w:t>
      </w:r>
      <w:r>
        <w:t xml:space="preserve">г-на </w:t>
      </w:r>
      <w:r w:rsidRPr="00D44E3F">
        <w:t>П</w:t>
      </w:r>
      <w:r w:rsidRPr="00D44E3F">
        <w:t>о</w:t>
      </w:r>
      <w:r w:rsidRPr="00D44E3F">
        <w:t xml:space="preserve">лякова, касающихся пунктов 3 а), </w:t>
      </w:r>
      <w:r w:rsidRPr="00D44E3F">
        <w:rPr>
          <w:lang w:val="en-US"/>
        </w:rPr>
        <w:t>b</w:t>
      </w:r>
      <w:r w:rsidRPr="00D44E3F">
        <w:t xml:space="preserve">), </w:t>
      </w:r>
      <w:r w:rsidRPr="00D44E3F">
        <w:rPr>
          <w:lang w:val="en-US"/>
        </w:rPr>
        <w:t>d</w:t>
      </w:r>
      <w:r w:rsidRPr="00D44E3F">
        <w:t xml:space="preserve">) и </w:t>
      </w:r>
      <w:r w:rsidRPr="00D44E3F">
        <w:rPr>
          <w:lang w:val="en-US"/>
        </w:rPr>
        <w:t>e</w:t>
      </w:r>
      <w:r w:rsidRPr="00D44E3F">
        <w:t xml:space="preserve">) статьи 14 Пакта, Комитет ссылается на свою предыдущую правовую практику, согласно которой положения </w:t>
      </w:r>
      <w:r>
        <w:t xml:space="preserve">этих пунктов </w:t>
      </w:r>
      <w:r w:rsidRPr="00D44E3F">
        <w:t>закрепляют гарантии, относящиеся к уголовным судебным разбир</w:t>
      </w:r>
      <w:r w:rsidRPr="00D44E3F">
        <w:t>а</w:t>
      </w:r>
      <w:r w:rsidRPr="00D44E3F">
        <w:t>тельствам и обжалованиям по уголовным делам</w:t>
      </w:r>
      <w:r>
        <w:rPr>
          <w:rStyle w:val="FootnoteReference"/>
        </w:rPr>
        <w:footnoteReference w:id="13"/>
      </w:r>
      <w:r w:rsidRPr="00D44E3F">
        <w:t xml:space="preserve">. Вместе с тем положения пункта 1 статьи 14 </w:t>
      </w:r>
      <w:r>
        <w:t>закрепляют</w:t>
      </w:r>
      <w:r w:rsidRPr="00D44E3F">
        <w:t xml:space="preserve"> ряд прав, которые должны соблюдаться в рамках и гражданских, и уголовных разбирательств. Комитет </w:t>
      </w:r>
      <w:r w:rsidR="00372252">
        <w:t>принимает</w:t>
      </w:r>
      <w:r>
        <w:t xml:space="preserve"> к сведению</w:t>
      </w:r>
      <w:r w:rsidRPr="00D44E3F">
        <w:t xml:space="preserve"> утверждения г</w:t>
      </w:r>
      <w:r>
        <w:t>-на</w:t>
      </w:r>
      <w:r w:rsidRPr="00D44E3F">
        <w:t xml:space="preserve"> Полякова и </w:t>
      </w:r>
      <w:r>
        <w:t xml:space="preserve">г-на </w:t>
      </w:r>
      <w:r w:rsidRPr="00D44E3F">
        <w:t>Еврезова о том, что они не были проинфо</w:t>
      </w:r>
      <w:r w:rsidRPr="00D44E3F">
        <w:t>р</w:t>
      </w:r>
      <w:r w:rsidRPr="00D44E3F">
        <w:t>мированы о времени и дате проведения судебного разбирательства по соотве</w:t>
      </w:r>
      <w:r w:rsidRPr="00D44E3F">
        <w:t>т</w:t>
      </w:r>
      <w:r w:rsidRPr="00D44E3F">
        <w:t>ствующим административным делам и в этой связи не могли защищать себя лично или через адвоката. Авторы также утверждают, что они не были прои</w:t>
      </w:r>
      <w:r w:rsidRPr="00D44E3F">
        <w:t>н</w:t>
      </w:r>
      <w:r w:rsidRPr="00D44E3F">
        <w:t>формированы о характере выдвинутых против них обвинений и не имели д</w:t>
      </w:r>
      <w:r w:rsidRPr="00D44E3F">
        <w:t>о</w:t>
      </w:r>
      <w:r w:rsidRPr="00D44E3F">
        <w:t>статочно времени для подготовки своей защиты. Комитет также принимает к сведению утверждения г</w:t>
      </w:r>
      <w:r>
        <w:t>-на</w:t>
      </w:r>
      <w:r w:rsidRPr="00D44E3F">
        <w:t xml:space="preserve"> Еврезова и </w:t>
      </w:r>
      <w:r>
        <w:t xml:space="preserve">г-на </w:t>
      </w:r>
      <w:r w:rsidRPr="00D44E3F">
        <w:t>Полякова о том, что они не имели возможности вызвать кого-либо из числа 16 свидетелей в свою защиту. Комитет напоминает, что Пакт предоставляет каждому право на справедливое и публи</w:t>
      </w:r>
      <w:r w:rsidRPr="00D44E3F">
        <w:t>ч</w:t>
      </w:r>
      <w:r w:rsidRPr="00D44E3F">
        <w:t xml:space="preserve">ное </w:t>
      </w:r>
      <w:r>
        <w:t>разбирательство</w:t>
      </w:r>
      <w:r w:rsidRPr="00D44E3F">
        <w:t xml:space="preserve"> дела компетентным, независимым и беспристрастным с</w:t>
      </w:r>
      <w:r w:rsidRPr="00D44E3F">
        <w:t>у</w:t>
      </w:r>
      <w:r w:rsidRPr="00D44E3F">
        <w:t xml:space="preserve">дом, учрежденным в соответствии с законом, и что равенство возможностей </w:t>
      </w:r>
      <w:r>
        <w:t>о</w:t>
      </w:r>
      <w:r>
        <w:t>б</w:t>
      </w:r>
      <w:r>
        <w:t xml:space="preserve">винения и защиты </w:t>
      </w:r>
      <w:r w:rsidRPr="00D44E3F">
        <w:t xml:space="preserve">является </w:t>
      </w:r>
      <w:r>
        <w:t xml:space="preserve">непременным условием соблюдения </w:t>
      </w:r>
      <w:r w:rsidRPr="00D44E3F">
        <w:t>принципа справедливого разбирательства</w:t>
      </w:r>
      <w:r>
        <w:rPr>
          <w:rStyle w:val="FootnoteReference"/>
        </w:rPr>
        <w:footnoteReference w:id="14"/>
      </w:r>
      <w:r w:rsidRPr="00D44E3F">
        <w:t>. Этот принцип равенства состязательных во</w:t>
      </w:r>
      <w:r w:rsidRPr="00D44E3F">
        <w:t>з</w:t>
      </w:r>
      <w:r w:rsidRPr="00D44E3F">
        <w:t>можностей также требует, чтобы каждой стороне была предоставлена возмо</w:t>
      </w:r>
      <w:r w:rsidRPr="00D44E3F">
        <w:t>ж</w:t>
      </w:r>
      <w:r w:rsidRPr="00D44E3F">
        <w:t>ность оспорить все доводы и доказательства, представленные другой стор</w:t>
      </w:r>
      <w:r w:rsidRPr="00D44E3F">
        <w:t>о</w:t>
      </w:r>
      <w:r w:rsidRPr="00D44E3F">
        <w:t>ной</w:t>
      </w:r>
      <w:r>
        <w:rPr>
          <w:rStyle w:val="FootnoteReference"/>
        </w:rPr>
        <w:footnoteReference w:id="15"/>
      </w:r>
      <w:r w:rsidRPr="00D44E3F">
        <w:t>. Комитет ссылается на свое замечание общего порядка № 32, согласно к</w:t>
      </w:r>
      <w:r w:rsidRPr="00D44E3F">
        <w:t>о</w:t>
      </w:r>
      <w:r w:rsidRPr="00D44E3F">
        <w:t xml:space="preserve">торому суды </w:t>
      </w:r>
      <w:r>
        <w:t>обязаны предоставлять</w:t>
      </w:r>
      <w:r w:rsidRPr="00D44E3F">
        <w:t xml:space="preserve"> информ</w:t>
      </w:r>
      <w:r>
        <w:t>ацию</w:t>
      </w:r>
      <w:r w:rsidRPr="00D44E3F">
        <w:t xml:space="preserve"> </w:t>
      </w:r>
      <w:r>
        <w:t xml:space="preserve">относительно времени </w:t>
      </w:r>
      <w:r w:rsidRPr="00D44E3F">
        <w:t>и м</w:t>
      </w:r>
      <w:r w:rsidRPr="00D44E3F">
        <w:t>е</w:t>
      </w:r>
      <w:r w:rsidRPr="00D44E3F">
        <w:t>ста проведения устных слушаний по делу. С учетом этих обстоятельств и в о</w:t>
      </w:r>
      <w:r w:rsidRPr="00D44E3F">
        <w:t>т</w:t>
      </w:r>
      <w:r w:rsidRPr="00D44E3F">
        <w:t xml:space="preserve">сутствие </w:t>
      </w:r>
      <w:r>
        <w:t>каких-либо</w:t>
      </w:r>
      <w:r w:rsidRPr="00D44E3F">
        <w:t xml:space="preserve"> замечаний со стороны государства-участника </w:t>
      </w:r>
      <w:r>
        <w:t>в отношении</w:t>
      </w:r>
      <w:r w:rsidRPr="00D44E3F">
        <w:t xml:space="preserve"> рассматриваемых конкретных утверждени</w:t>
      </w:r>
      <w:r>
        <w:t>й</w:t>
      </w:r>
      <w:r w:rsidRPr="00D44E3F">
        <w:t>, Комитет постановляет, что к зая</w:t>
      </w:r>
      <w:r w:rsidRPr="00D44E3F">
        <w:t>в</w:t>
      </w:r>
      <w:r w:rsidRPr="00D44E3F">
        <w:t>лению авторов следует отнестись со всей серьезностью. В этой связи Комитет делает вывод о том, что права г</w:t>
      </w:r>
      <w:r>
        <w:t>-на</w:t>
      </w:r>
      <w:r w:rsidRPr="00D44E3F">
        <w:t xml:space="preserve"> Еврезова и </w:t>
      </w:r>
      <w:r>
        <w:t xml:space="preserve">г-на </w:t>
      </w:r>
      <w:r w:rsidRPr="00D44E3F">
        <w:t xml:space="preserve">Полякова, предусмотренные пунктом 1 статьи 14 Пакта, были нарушены. </w:t>
      </w:r>
    </w:p>
    <w:p w:rsidR="009F55E3" w:rsidRPr="00D44E3F" w:rsidRDefault="009F55E3" w:rsidP="009F55E3">
      <w:pPr>
        <w:pStyle w:val="SingleTxtGR"/>
      </w:pPr>
      <w:r w:rsidRPr="00D44E3F">
        <w:t>9.</w:t>
      </w:r>
      <w:r w:rsidRPr="00D44E3F">
        <w:tab/>
        <w:t>Комитет по правам человека, действуя в соотв</w:t>
      </w:r>
      <w:r>
        <w:t>етствии с пунктом 4 ст</w:t>
      </w:r>
      <w:r>
        <w:t>а</w:t>
      </w:r>
      <w:r>
        <w:t>тьи 5 Фа</w:t>
      </w:r>
      <w:r w:rsidRPr="00D44E3F">
        <w:t>культативного протокола к Международному пакту о гражданских и политических правах, считает, что государство-участник нарушило права авт</w:t>
      </w:r>
      <w:r w:rsidRPr="00D44E3F">
        <w:t>о</w:t>
      </w:r>
      <w:r w:rsidRPr="00D44E3F">
        <w:t>ров, предусмотренные пунктом 2 статьи 19, статьей 21 и пунктом 1 статьи 14 Пакта.</w:t>
      </w:r>
    </w:p>
    <w:p w:rsidR="009F55E3" w:rsidRPr="00D44E3F" w:rsidRDefault="009F55E3" w:rsidP="009F55E3">
      <w:pPr>
        <w:pStyle w:val="SingleTxtGR"/>
      </w:pPr>
      <w:r w:rsidRPr="00D44E3F">
        <w:t>10.</w:t>
      </w:r>
      <w:r w:rsidRPr="00D44E3F">
        <w:tab/>
        <w:t>В соответствии с пунктом 3 а) статьи 2 Пакта государство-участник об</w:t>
      </w:r>
      <w:r w:rsidRPr="00D44E3F">
        <w:t>я</w:t>
      </w:r>
      <w:r w:rsidRPr="00D44E3F">
        <w:t>зано обеспечить авторам эффективное средство правовой защиты, включая во</w:t>
      </w:r>
      <w:r w:rsidRPr="00D44E3F">
        <w:t>з</w:t>
      </w:r>
      <w:r w:rsidRPr="00D44E3F">
        <w:t>мещение любых понесенных ими судебных издержек, а также выплату компе</w:t>
      </w:r>
      <w:r w:rsidRPr="00D44E3F">
        <w:t>н</w:t>
      </w:r>
      <w:r w:rsidRPr="00D44E3F">
        <w:t>сации, с тем чтобы авторы могли полностью осуществить свои права, пред</w:t>
      </w:r>
      <w:r w:rsidRPr="00D44E3F">
        <w:t>у</w:t>
      </w:r>
      <w:r w:rsidRPr="00D44E3F">
        <w:t>смотренные статьями 19 и 21. Государство-участник также обязано предпр</w:t>
      </w:r>
      <w:r w:rsidRPr="00D44E3F">
        <w:t>и</w:t>
      </w:r>
      <w:r w:rsidRPr="00D44E3F">
        <w:t xml:space="preserve">нять шаги по недопущению аналогичных нарушений в будущем. </w:t>
      </w:r>
    </w:p>
    <w:p w:rsidR="009F55E3" w:rsidRPr="00D44E3F" w:rsidRDefault="009F55E3" w:rsidP="009F55E3">
      <w:pPr>
        <w:pStyle w:val="SingleTxtGR"/>
      </w:pPr>
      <w:r w:rsidRPr="00D44E3F">
        <w:t>11.</w:t>
      </w:r>
      <w:r w:rsidRPr="00D44E3F">
        <w:tab/>
        <w:t>Став стороной Факультативного протокола, государство-участник пр</w:t>
      </w:r>
      <w:r w:rsidRPr="00D44E3F">
        <w:t>и</w:t>
      </w:r>
      <w:r w:rsidRPr="00D44E3F">
        <w:t>знало компетенцию Комитета выносить определение о том, было или не было совершено нарушение Пакта. В соответствии со статьей 2 Пакта государство-участник обязалось гарантировать всем находящимся в пределах его террит</w:t>
      </w:r>
      <w:r w:rsidRPr="00D44E3F">
        <w:t>о</w:t>
      </w:r>
      <w:r w:rsidRPr="00D44E3F">
        <w:t>рии и под его юрисдикцией лицам права, признаваемые в Пакте, и предоста</w:t>
      </w:r>
      <w:r w:rsidRPr="00D44E3F">
        <w:t>в</w:t>
      </w:r>
      <w:r w:rsidRPr="00D44E3F">
        <w:t>лять им эффективное и обладающее исковой силой средство правовой защиты в случае установления факта нарушения. В этой связи Комитет просит госуда</w:t>
      </w:r>
      <w:r w:rsidRPr="00D44E3F">
        <w:t>р</w:t>
      </w:r>
      <w:r w:rsidRPr="00D44E3F">
        <w:t>ство-участник представить в течение 180 дней информацию о мерах, принятых для выполнения настоящих Соображений. Государству-участнику также пре</w:t>
      </w:r>
      <w:r w:rsidRPr="00D44E3F">
        <w:t>д</w:t>
      </w:r>
      <w:r w:rsidRPr="00D44E3F">
        <w:t>лагается опубликовать настоящие Соображения и обеспечить их широкое ра</w:t>
      </w:r>
      <w:r w:rsidRPr="00D44E3F">
        <w:t>с</w:t>
      </w:r>
      <w:r w:rsidRPr="00D44E3F">
        <w:t xml:space="preserve">пространение в государстве-участнике на белорусском и русском языках. </w:t>
      </w:r>
    </w:p>
    <w:p w:rsidR="009F55E3" w:rsidRPr="00CB41C3" w:rsidRDefault="009F55E3" w:rsidP="009F55E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F55E3" w:rsidRPr="00CB41C3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45" w:rsidRDefault="00575E45">
      <w:r>
        <w:rPr>
          <w:lang w:val="en-US"/>
        </w:rPr>
        <w:tab/>
      </w:r>
      <w:r>
        <w:separator/>
      </w:r>
    </w:p>
  </w:endnote>
  <w:endnote w:type="continuationSeparator" w:id="0">
    <w:p w:rsidR="00575E45" w:rsidRDefault="0057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F733C9" w:rsidRDefault="00D76358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37A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BC7F12">
      <w:rPr>
        <w:lang w:val="en-US"/>
      </w:rPr>
      <w:t>1</w:t>
    </w:r>
    <w:r w:rsidR="00F733C9">
      <w:rPr>
        <w:lang w:val="ru-RU"/>
      </w:rPr>
      <w:t>4</w:t>
    </w:r>
    <w:r>
      <w:rPr>
        <w:lang w:val="en-US"/>
      </w:rPr>
      <w:t>-</w:t>
    </w:r>
    <w:r w:rsidR="00F733C9">
      <w:rPr>
        <w:lang w:val="ru-RU"/>
      </w:rPr>
      <w:t>22851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Footer"/>
      <w:rPr>
        <w:lang w:val="en-US"/>
      </w:rPr>
    </w:pPr>
    <w:r>
      <w:rPr>
        <w:lang w:val="en-US"/>
      </w:rPr>
      <w:t>GE.</w:t>
    </w:r>
    <w:r w:rsidR="00BC7F12">
      <w:rPr>
        <w:lang w:val="en-US"/>
      </w:rPr>
      <w:t>1</w:t>
    </w:r>
    <w:r w:rsidR="00F733C9">
      <w:rPr>
        <w:lang w:val="ru-RU"/>
      </w:rPr>
      <w:t>4</w:t>
    </w:r>
    <w:r>
      <w:rPr>
        <w:lang w:val="en-US"/>
      </w:rPr>
      <w:t>-</w:t>
    </w:r>
    <w:r w:rsidR="00F733C9">
      <w:rPr>
        <w:lang w:val="ru-RU"/>
      </w:rPr>
      <w:t>22851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37A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634"/>
      <w:gridCol w:w="4625"/>
      <w:gridCol w:w="1596"/>
    </w:tblGrid>
    <w:tr w:rsidR="00381289" w:rsidTr="00D17BE5">
      <w:trPr>
        <w:trHeight w:val="438"/>
      </w:trPr>
      <w:tc>
        <w:tcPr>
          <w:tcW w:w="4068" w:type="dxa"/>
          <w:shd w:val="clear" w:color="auto" w:fill="auto"/>
          <w:vAlign w:val="bottom"/>
        </w:tcPr>
        <w:p w:rsidR="00381289" w:rsidRDefault="00FF6D71" w:rsidP="00D17BE5">
          <w:pPr>
            <w:suppressAutoHyphens/>
          </w:pPr>
          <w:r w:rsidRPr="00D17BE5">
            <w:rPr>
              <w:lang w:val="en-US"/>
            </w:rPr>
            <w:t>GE.</w:t>
          </w:r>
          <w:r w:rsidR="00224189" w:rsidRPr="00D17BE5">
            <w:rPr>
              <w:lang w:val="en-US"/>
            </w:rPr>
            <w:t>1</w:t>
          </w:r>
          <w:r w:rsidR="00754A0D">
            <w:t>4</w:t>
          </w:r>
          <w:r w:rsidR="00381289" w:rsidRPr="00D17BE5">
            <w:rPr>
              <w:lang w:val="en-US"/>
            </w:rPr>
            <w:t>-</w:t>
          </w:r>
          <w:r w:rsidR="00754A0D">
            <w:t>22851</w:t>
          </w:r>
          <w:r w:rsidR="005E4F7B" w:rsidRPr="00D17BE5">
            <w:rPr>
              <w:lang w:val="en-US"/>
            </w:rPr>
            <w:t xml:space="preserve"> </w:t>
          </w:r>
          <w:r w:rsidR="00381289" w:rsidRPr="00D17BE5">
            <w:rPr>
              <w:lang w:val="en-US"/>
            </w:rPr>
            <w:t xml:space="preserve"> (R)</w:t>
          </w:r>
          <w:r w:rsidR="00AC63CD" w:rsidRPr="00D17BE5">
            <w:rPr>
              <w:lang w:val="en-US"/>
            </w:rPr>
            <w:t xml:space="preserve">  050215  10</w:t>
          </w:r>
          <w:r w:rsidR="005E4F7B" w:rsidRPr="00D17BE5">
            <w:rPr>
              <w:lang w:val="en-US"/>
            </w:rPr>
            <w:t>0215</w:t>
          </w:r>
        </w:p>
      </w:tc>
      <w:tc>
        <w:tcPr>
          <w:tcW w:w="4663" w:type="dxa"/>
          <w:vMerge w:val="restart"/>
          <w:shd w:val="clear" w:color="auto" w:fill="auto"/>
          <w:vAlign w:val="bottom"/>
        </w:tcPr>
        <w:p w:rsidR="00381289" w:rsidRDefault="00D17BE5" w:rsidP="00D17BE5">
          <w:pPr>
            <w:suppressAutoHyphens/>
            <w:spacing w:after="120"/>
            <w:jc w:val="right"/>
          </w:pPr>
          <w:r w:rsidRPr="00D17BE5">
            <w:rPr>
              <w:b/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recycle_Russian" style="width:213pt;height:18pt;visibility:visible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shd w:val="clear" w:color="auto" w:fill="auto"/>
          <w:vAlign w:val="bottom"/>
        </w:tcPr>
        <w:p w:rsidR="00381289" w:rsidRDefault="00D17BE5" w:rsidP="00D17BE5">
          <w:pPr>
            <w:suppressAutoHyphens/>
            <w:jc w:val="right"/>
          </w:pPr>
          <w:r w:rsidRPr="00A94D14">
            <w:rPr>
              <w:noProof/>
              <w:lang w:eastAsia="ru-RU"/>
            </w:rPr>
            <w:pict>
              <v:shape id="Рисунок 4" o:spid="_x0000_i1027" type="#_x0000_t75" alt="http://undocs.org/m2/QRCode2.ashx?DS=CCPR/C/112/D/1999/2010&amp;Size=2&amp;Lang=R" style="width:68.25pt;height:68.25pt;visibility:visible">
                <v:imagedata r:id="rId2" o:title="2010&amp;Size=2&amp;Lang=R"/>
              </v:shape>
            </w:pict>
          </w:r>
        </w:p>
      </w:tc>
    </w:tr>
    <w:tr w:rsidR="00381289" w:rsidRPr="00797A78" w:rsidTr="00D17BE5">
      <w:tc>
        <w:tcPr>
          <w:tcW w:w="4068" w:type="dxa"/>
          <w:shd w:val="clear" w:color="auto" w:fill="auto"/>
          <w:vAlign w:val="bottom"/>
        </w:tcPr>
        <w:p w:rsidR="00381289" w:rsidRPr="00D17BE5" w:rsidRDefault="005E4F7B" w:rsidP="00D17BE5">
          <w:pPr>
            <w:suppressAutoHyphens/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17B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17B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17B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17B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17B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17B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17B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17B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17BE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  <w:shd w:val="clear" w:color="auto" w:fill="auto"/>
        </w:tcPr>
        <w:p w:rsidR="00381289" w:rsidRDefault="00381289" w:rsidP="00D17BE5">
          <w:pPr>
            <w:suppressAutoHyphens/>
          </w:pPr>
        </w:p>
      </w:tc>
      <w:tc>
        <w:tcPr>
          <w:tcW w:w="1124" w:type="dxa"/>
          <w:vMerge/>
          <w:shd w:val="clear" w:color="auto" w:fill="auto"/>
        </w:tcPr>
        <w:p w:rsidR="00381289" w:rsidRDefault="00381289" w:rsidP="00D17BE5">
          <w:pPr>
            <w:suppressAutoHyphens/>
          </w:pPr>
        </w:p>
      </w:tc>
    </w:tr>
  </w:tbl>
  <w:p w:rsidR="00381289" w:rsidRDefault="00381289" w:rsidP="00381289">
    <w:pPr>
      <w:spacing w:line="240" w:lineRule="auto"/>
      <w:rPr>
        <w:sz w:val="2"/>
        <w:szCs w:val="2"/>
        <w:lang w:val="en-US"/>
      </w:rPr>
    </w:pPr>
  </w:p>
  <w:p w:rsidR="006E7AF7" w:rsidRPr="002D7E3C" w:rsidRDefault="00D17BE5" w:rsidP="006E7AF7">
    <w:pPr>
      <w:pStyle w:val="Footer"/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90pt;margin-top:-193.15pt;width:36pt;height:162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<v:textbox style="layout-flow:vertical" inset="0,0,0,0">
            <w:txbxContent>
              <w:p w:rsidR="006E7AF7" w:rsidRDefault="006E7AF7" w:rsidP="006E7AF7">
                <w:pPr>
                  <w:rPr>
                    <w:lang w:val="en-US"/>
                  </w:rPr>
                </w:pPr>
              </w:p>
              <w:p w:rsidR="006E7AF7" w:rsidRDefault="006E7AF7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F37A4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45" w:rsidRPr="00F71F63" w:rsidRDefault="00575E4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75E45" w:rsidRPr="00F71F63" w:rsidRDefault="00575E4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75E45" w:rsidRPr="00635E86" w:rsidRDefault="00575E45" w:rsidP="00635E86">
      <w:pPr>
        <w:pStyle w:val="Footer"/>
      </w:pPr>
    </w:p>
  </w:footnote>
  <w:footnote w:id="1">
    <w:p w:rsidR="006D7EAD" w:rsidRPr="00BC19EC" w:rsidRDefault="006D7EAD" w:rsidP="006D7EAD">
      <w:pPr>
        <w:pStyle w:val="FootnoteText"/>
        <w:rPr>
          <w:sz w:val="20"/>
          <w:lang w:val="ru-RU"/>
        </w:rPr>
      </w:pPr>
      <w:r>
        <w:tab/>
      </w:r>
      <w:r w:rsidRPr="00BC19EC">
        <w:rPr>
          <w:rStyle w:val="FootnoteReference"/>
          <w:sz w:val="20"/>
          <w:vertAlign w:val="baseline"/>
          <w:lang w:val="ru-RU"/>
        </w:rPr>
        <w:t>*</w:t>
      </w:r>
      <w:r w:rsidRPr="00BC19EC">
        <w:rPr>
          <w:lang w:val="ru-RU"/>
        </w:rPr>
        <w:tab/>
      </w:r>
      <w:r>
        <w:rPr>
          <w:lang w:val="ru-RU"/>
        </w:rPr>
        <w:t>В рассмотрении настоящего сообщения принимали участие следующие члены Комитета: Ядх Бен Ашур, Лазх</w:t>
      </w:r>
      <w:r w:rsidR="00B231C1">
        <w:rPr>
          <w:lang w:val="ru-RU"/>
        </w:rPr>
        <w:t>а</w:t>
      </w:r>
      <w:r>
        <w:rPr>
          <w:lang w:val="ru-RU"/>
        </w:rPr>
        <w:t>ри Бузид, Кристина Шане, Корнелис Флинтерман, Юдзи Иваса</w:t>
      </w:r>
      <w:r w:rsidR="00B231C1">
        <w:rPr>
          <w:lang w:val="ru-RU"/>
        </w:rPr>
        <w:t>ва, Вальтер Келин, Зонке За</w:t>
      </w:r>
      <w:r>
        <w:rPr>
          <w:lang w:val="ru-RU"/>
        </w:rPr>
        <w:t>неле Ма</w:t>
      </w:r>
      <w:r w:rsidR="00A040A9">
        <w:rPr>
          <w:lang w:val="ru-RU"/>
        </w:rPr>
        <w:t>йодина, Джеральд Л. Нойман, сэр </w:t>
      </w:r>
      <w:r>
        <w:rPr>
          <w:lang w:val="ru-RU"/>
        </w:rPr>
        <w:t>Найджел Родли, Виктор Мануэль Родригес</w:t>
      </w:r>
      <w:r w:rsidR="00B231C1">
        <w:rPr>
          <w:lang w:val="ru-RU"/>
        </w:rPr>
        <w:t xml:space="preserve"> Ресия, Фабиан Омар Сальвиоли, Де</w:t>
      </w:r>
      <w:r>
        <w:rPr>
          <w:lang w:val="ru-RU"/>
        </w:rPr>
        <w:t>ерулал</w:t>
      </w:r>
      <w:r w:rsidR="00B231C1">
        <w:rPr>
          <w:lang w:val="ru-RU"/>
        </w:rPr>
        <w:t>л</w:t>
      </w:r>
      <w:r>
        <w:rPr>
          <w:lang w:val="ru-RU"/>
        </w:rPr>
        <w:t xml:space="preserve"> Б. С</w:t>
      </w:r>
      <w:r w:rsidR="00B231C1">
        <w:rPr>
          <w:lang w:val="ru-RU"/>
        </w:rPr>
        <w:t>е</w:t>
      </w:r>
      <w:r>
        <w:rPr>
          <w:lang w:val="ru-RU"/>
        </w:rPr>
        <w:t>етулсингх, Юваль Шани</w:t>
      </w:r>
      <w:r w:rsidR="00F733C9">
        <w:rPr>
          <w:lang w:val="ru-RU"/>
        </w:rPr>
        <w:t>, Константин Вардзелашвили, Марг</w:t>
      </w:r>
      <w:r>
        <w:rPr>
          <w:lang w:val="ru-RU"/>
        </w:rPr>
        <w:t>о Ватервал и Андрей Паул Злэтеску.</w:t>
      </w:r>
    </w:p>
  </w:footnote>
  <w:footnote w:id="2">
    <w:p w:rsidR="00615F21" w:rsidRPr="00C16770" w:rsidRDefault="00615F21" w:rsidP="00615F21">
      <w:pPr>
        <w:pStyle w:val="FootnoteText"/>
        <w:rPr>
          <w:lang w:val="ru-RU"/>
        </w:rPr>
      </w:pPr>
      <w:r w:rsidRPr="00A124A3">
        <w:rPr>
          <w:lang w:val="ru-RU"/>
        </w:rPr>
        <w:tab/>
      </w:r>
      <w:r>
        <w:rPr>
          <w:rStyle w:val="FootnoteReference"/>
        </w:rPr>
        <w:footnoteRef/>
      </w:r>
      <w:r w:rsidRPr="00C16770">
        <w:rPr>
          <w:lang w:val="ru-RU"/>
        </w:rPr>
        <w:tab/>
      </w:r>
      <w:r>
        <w:rPr>
          <w:lang w:val="ru-RU"/>
        </w:rPr>
        <w:t>Сообщение</w:t>
      </w:r>
      <w:r w:rsidRPr="00C16770">
        <w:rPr>
          <w:lang w:val="ru-RU"/>
        </w:rPr>
        <w:t xml:space="preserve"> №</w:t>
      </w:r>
      <w:r>
        <w:t> </w:t>
      </w:r>
      <w:r w:rsidRPr="00C16770">
        <w:rPr>
          <w:lang w:val="ru-RU"/>
        </w:rPr>
        <w:t xml:space="preserve">628/1995, </w:t>
      </w:r>
      <w:r>
        <w:rPr>
          <w:i/>
          <w:iCs/>
          <w:lang w:val="ru-RU"/>
        </w:rPr>
        <w:t>Дэ</w:t>
      </w:r>
      <w:r w:rsidRPr="00C1677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Хун</w:t>
      </w:r>
      <w:r w:rsidRPr="00C1677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Пак</w:t>
      </w:r>
      <w:r w:rsidRPr="00C1677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против</w:t>
      </w:r>
      <w:r w:rsidRPr="00C1677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Республики</w:t>
      </w:r>
      <w:r w:rsidRPr="00C1677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Корея</w:t>
      </w:r>
      <w:r w:rsidRPr="00C16770">
        <w:rPr>
          <w:lang w:val="ru-RU"/>
        </w:rPr>
        <w:t xml:space="preserve">, </w:t>
      </w:r>
      <w:r>
        <w:rPr>
          <w:lang w:val="ru-RU"/>
        </w:rPr>
        <w:t>Соображения, принятые 20 октября 1998 года, пункт 10</w:t>
      </w:r>
      <w:r w:rsidRPr="00C16770">
        <w:rPr>
          <w:lang w:val="ru-RU"/>
        </w:rPr>
        <w:t>.4.</w:t>
      </w:r>
    </w:p>
  </w:footnote>
  <w:footnote w:id="3">
    <w:p w:rsidR="00615F21" w:rsidRPr="00410D76" w:rsidRDefault="00615F21" w:rsidP="00615F21">
      <w:pPr>
        <w:pStyle w:val="FootnoteText"/>
        <w:rPr>
          <w:lang w:val="ru-RU"/>
        </w:rPr>
      </w:pPr>
      <w:r w:rsidRPr="00542A3D">
        <w:rPr>
          <w:lang w:val="ru-RU"/>
        </w:rPr>
        <w:tab/>
      </w:r>
      <w:r>
        <w:rPr>
          <w:rStyle w:val="FootnoteReference"/>
        </w:rPr>
        <w:footnoteRef/>
      </w:r>
      <w:r w:rsidRPr="00410D76">
        <w:rPr>
          <w:lang w:val="ru-RU"/>
        </w:rPr>
        <w:tab/>
      </w:r>
      <w:r>
        <w:rPr>
          <w:lang w:val="ru-RU"/>
        </w:rPr>
        <w:t>Решение № 299 от 2 апреля 2008 года Гомельского городского исполнительного комитета о массовых мероприятиях в городе Гомеле, Беларусь, согласно которому постоянным местом проведения массовых мероприятий определено одно единственное место, находящееся на окраине города.</w:t>
      </w:r>
    </w:p>
  </w:footnote>
  <w:footnote w:id="4">
    <w:p w:rsidR="00CF78ED" w:rsidRPr="002629D7" w:rsidRDefault="00CF78ED" w:rsidP="00CF78ED">
      <w:pPr>
        <w:pStyle w:val="FootnoteText"/>
        <w:rPr>
          <w:lang w:val="ru-RU"/>
        </w:rPr>
      </w:pPr>
      <w:r w:rsidRPr="00A124A3">
        <w:rPr>
          <w:lang w:val="ru-RU"/>
        </w:rPr>
        <w:tab/>
      </w:r>
      <w:r>
        <w:rPr>
          <w:rStyle w:val="FootnoteReference"/>
        </w:rPr>
        <w:footnoteRef/>
      </w:r>
      <w:r w:rsidRPr="002629D7">
        <w:rPr>
          <w:lang w:val="ru-RU"/>
        </w:rPr>
        <w:tab/>
      </w:r>
      <w:r>
        <w:rPr>
          <w:lang w:val="ru-RU"/>
        </w:rPr>
        <w:t>Другие авторы не представили комментариев в отношении позиции государства-участника.</w:t>
      </w:r>
    </w:p>
  </w:footnote>
  <w:footnote w:id="5">
    <w:p w:rsidR="00CF78ED" w:rsidRPr="002A7D2B" w:rsidRDefault="00CF78ED" w:rsidP="00CF78ED">
      <w:pPr>
        <w:pStyle w:val="FootnoteText"/>
        <w:rPr>
          <w:lang w:val="ru-RU"/>
        </w:rPr>
      </w:pPr>
      <w:r w:rsidRPr="00E6705E">
        <w:rPr>
          <w:lang w:val="ru-RU"/>
        </w:rPr>
        <w:tab/>
      </w:r>
      <w:r>
        <w:rPr>
          <w:rStyle w:val="FootnoteReference"/>
        </w:rPr>
        <w:footnoteRef/>
      </w:r>
      <w:r w:rsidRPr="002A7D2B">
        <w:rPr>
          <w:lang w:val="ru-RU"/>
        </w:rPr>
        <w:tab/>
      </w:r>
      <w:r>
        <w:rPr>
          <w:lang w:val="ru-RU"/>
        </w:rPr>
        <w:t xml:space="preserve">См. сообщение № 1812/2008, </w:t>
      </w:r>
      <w:r>
        <w:rPr>
          <w:i/>
          <w:lang w:val="ru-RU"/>
        </w:rPr>
        <w:t>Левинов против Беларуси</w:t>
      </w:r>
      <w:r>
        <w:rPr>
          <w:lang w:val="ru-RU"/>
        </w:rPr>
        <w:t>, Соображения, принятые 26 июля 2011 года.</w:t>
      </w:r>
    </w:p>
  </w:footnote>
  <w:footnote w:id="6">
    <w:p w:rsidR="00CF78ED" w:rsidRPr="00077D0B" w:rsidRDefault="00CF78ED" w:rsidP="00CF78ED">
      <w:pPr>
        <w:pStyle w:val="FootnoteText"/>
        <w:rPr>
          <w:lang w:val="ru-RU"/>
        </w:rPr>
      </w:pPr>
      <w:r w:rsidRPr="002A03A2">
        <w:rPr>
          <w:lang w:val="ru-RU"/>
        </w:rPr>
        <w:tab/>
      </w:r>
      <w:r w:rsidRPr="008A408D">
        <w:rPr>
          <w:rStyle w:val="FootnoteReference"/>
        </w:rPr>
        <w:footnoteRef/>
      </w:r>
      <w:r w:rsidRPr="00077D0B">
        <w:rPr>
          <w:lang w:val="ru-RU"/>
        </w:rPr>
        <w:tab/>
      </w:r>
      <w:r>
        <w:rPr>
          <w:lang w:val="ru-RU"/>
        </w:rPr>
        <w:t>Несмотря</w:t>
      </w:r>
      <w:r w:rsidRPr="00077D0B">
        <w:rPr>
          <w:lang w:val="ru-RU"/>
        </w:rPr>
        <w:t xml:space="preserve"> </w:t>
      </w:r>
      <w:r>
        <w:rPr>
          <w:lang w:val="ru-RU"/>
        </w:rPr>
        <w:t>на</w:t>
      </w:r>
      <w:r w:rsidRPr="00077D0B">
        <w:rPr>
          <w:lang w:val="ru-RU"/>
        </w:rPr>
        <w:t xml:space="preserve"> </w:t>
      </w:r>
      <w:r>
        <w:rPr>
          <w:lang w:val="ru-RU"/>
        </w:rPr>
        <w:t>два</w:t>
      </w:r>
      <w:r w:rsidRPr="00077D0B">
        <w:rPr>
          <w:lang w:val="ru-RU"/>
        </w:rPr>
        <w:t xml:space="preserve"> </w:t>
      </w:r>
      <w:r>
        <w:rPr>
          <w:lang w:val="ru-RU"/>
        </w:rPr>
        <w:t>письма</w:t>
      </w:r>
      <w:r w:rsidRPr="00077D0B">
        <w:rPr>
          <w:lang w:val="ru-RU"/>
        </w:rPr>
        <w:t xml:space="preserve"> </w:t>
      </w:r>
      <w:r>
        <w:rPr>
          <w:lang w:val="ru-RU"/>
        </w:rPr>
        <w:t>с</w:t>
      </w:r>
      <w:r w:rsidRPr="00077D0B">
        <w:rPr>
          <w:lang w:val="ru-RU"/>
        </w:rPr>
        <w:t xml:space="preserve"> </w:t>
      </w:r>
      <w:r>
        <w:rPr>
          <w:lang w:val="ru-RU"/>
        </w:rPr>
        <w:t>напоминаниями</w:t>
      </w:r>
      <w:r w:rsidRPr="00077D0B">
        <w:rPr>
          <w:lang w:val="ru-RU"/>
        </w:rPr>
        <w:t xml:space="preserve"> </w:t>
      </w:r>
      <w:r>
        <w:rPr>
          <w:lang w:val="ru-RU"/>
        </w:rPr>
        <w:t>от</w:t>
      </w:r>
      <w:r w:rsidRPr="00077D0B">
        <w:rPr>
          <w:lang w:val="ru-RU"/>
        </w:rPr>
        <w:t xml:space="preserve"> 30 </w:t>
      </w:r>
      <w:r>
        <w:rPr>
          <w:lang w:val="ru-RU"/>
        </w:rPr>
        <w:t>сентября</w:t>
      </w:r>
      <w:r w:rsidRPr="00077D0B">
        <w:rPr>
          <w:lang w:val="ru-RU"/>
        </w:rPr>
        <w:t xml:space="preserve"> 2011 </w:t>
      </w:r>
      <w:r>
        <w:rPr>
          <w:lang w:val="ru-RU"/>
        </w:rPr>
        <w:t>года</w:t>
      </w:r>
      <w:r w:rsidRPr="00077D0B">
        <w:rPr>
          <w:lang w:val="ru-RU"/>
        </w:rPr>
        <w:t xml:space="preserve"> </w:t>
      </w:r>
      <w:r>
        <w:rPr>
          <w:lang w:val="ru-RU"/>
        </w:rPr>
        <w:t>и</w:t>
      </w:r>
      <w:r w:rsidRPr="00077D0B">
        <w:rPr>
          <w:lang w:val="ru-RU"/>
        </w:rPr>
        <w:t xml:space="preserve"> 25 </w:t>
      </w:r>
      <w:r>
        <w:rPr>
          <w:lang w:val="ru-RU"/>
        </w:rPr>
        <w:t>октября</w:t>
      </w:r>
      <w:r w:rsidRPr="00077D0B">
        <w:rPr>
          <w:lang w:val="ru-RU"/>
        </w:rPr>
        <w:t xml:space="preserve"> 2011</w:t>
      </w:r>
      <w:r w:rsidRPr="00077D0B">
        <w:t> </w:t>
      </w:r>
      <w:r>
        <w:rPr>
          <w:lang w:val="ru-RU"/>
        </w:rPr>
        <w:t>года</w:t>
      </w:r>
      <w:r w:rsidRPr="00077D0B">
        <w:rPr>
          <w:lang w:val="ru-RU"/>
        </w:rPr>
        <w:t xml:space="preserve">, </w:t>
      </w:r>
      <w:r>
        <w:rPr>
          <w:lang w:val="ru-RU"/>
        </w:rPr>
        <w:t>государство</w:t>
      </w:r>
      <w:r w:rsidRPr="00077D0B">
        <w:rPr>
          <w:lang w:val="ru-RU"/>
        </w:rPr>
        <w:t>-</w:t>
      </w:r>
      <w:r>
        <w:rPr>
          <w:lang w:val="ru-RU"/>
        </w:rPr>
        <w:t>участник</w:t>
      </w:r>
      <w:r w:rsidRPr="00077D0B">
        <w:rPr>
          <w:lang w:val="ru-RU"/>
        </w:rPr>
        <w:t xml:space="preserve"> </w:t>
      </w:r>
      <w:r>
        <w:rPr>
          <w:lang w:val="ru-RU"/>
        </w:rPr>
        <w:t>не</w:t>
      </w:r>
      <w:r w:rsidRPr="00077D0B">
        <w:rPr>
          <w:lang w:val="ru-RU"/>
        </w:rPr>
        <w:t xml:space="preserve"> </w:t>
      </w:r>
      <w:r>
        <w:rPr>
          <w:lang w:val="ru-RU"/>
        </w:rPr>
        <w:t>представило</w:t>
      </w:r>
      <w:r w:rsidRPr="00077D0B">
        <w:rPr>
          <w:lang w:val="ru-RU"/>
        </w:rPr>
        <w:t xml:space="preserve"> </w:t>
      </w:r>
      <w:r>
        <w:rPr>
          <w:lang w:val="ru-RU"/>
        </w:rPr>
        <w:t>свои</w:t>
      </w:r>
      <w:r w:rsidRPr="00077D0B">
        <w:rPr>
          <w:lang w:val="ru-RU"/>
        </w:rPr>
        <w:t xml:space="preserve"> </w:t>
      </w:r>
      <w:r>
        <w:rPr>
          <w:lang w:val="ru-RU"/>
        </w:rPr>
        <w:t>замечания</w:t>
      </w:r>
      <w:r w:rsidRPr="00077D0B">
        <w:rPr>
          <w:lang w:val="ru-RU"/>
        </w:rPr>
        <w:t xml:space="preserve"> </w:t>
      </w:r>
      <w:r>
        <w:rPr>
          <w:lang w:val="ru-RU"/>
        </w:rPr>
        <w:t>по</w:t>
      </w:r>
      <w:r w:rsidRPr="00077D0B">
        <w:rPr>
          <w:lang w:val="ru-RU"/>
        </w:rPr>
        <w:t xml:space="preserve"> </w:t>
      </w:r>
      <w:r>
        <w:rPr>
          <w:lang w:val="ru-RU"/>
        </w:rPr>
        <w:t>существу</w:t>
      </w:r>
      <w:r w:rsidRPr="00077D0B">
        <w:rPr>
          <w:lang w:val="ru-RU"/>
        </w:rPr>
        <w:t xml:space="preserve"> </w:t>
      </w:r>
      <w:r>
        <w:rPr>
          <w:lang w:val="ru-RU"/>
        </w:rPr>
        <w:t>сообщения</w:t>
      </w:r>
      <w:r w:rsidRPr="00077D0B">
        <w:rPr>
          <w:lang w:val="ru-RU"/>
        </w:rPr>
        <w:t xml:space="preserve">. </w:t>
      </w:r>
    </w:p>
  </w:footnote>
  <w:footnote w:id="7">
    <w:p w:rsidR="00CF78ED" w:rsidRPr="00BC7F9F" w:rsidRDefault="00CF78ED" w:rsidP="00CF78ED">
      <w:pPr>
        <w:pStyle w:val="FootnoteText"/>
        <w:rPr>
          <w:lang w:val="ru-RU"/>
        </w:rPr>
      </w:pPr>
      <w:r w:rsidRPr="00077D0B">
        <w:rPr>
          <w:lang w:val="ru-RU"/>
        </w:rPr>
        <w:tab/>
      </w:r>
      <w:r w:rsidRPr="008A408D">
        <w:rPr>
          <w:rStyle w:val="FootnoteReference"/>
        </w:rPr>
        <w:footnoteRef/>
      </w:r>
      <w:r w:rsidRPr="00BC7F9F">
        <w:rPr>
          <w:lang w:val="ru-RU"/>
        </w:rPr>
        <w:tab/>
      </w:r>
      <w:r>
        <w:rPr>
          <w:lang w:val="ru-RU"/>
        </w:rPr>
        <w:t>См</w:t>
      </w:r>
      <w:r w:rsidRPr="00BC7F9F">
        <w:rPr>
          <w:lang w:val="ru-RU"/>
        </w:rPr>
        <w:t xml:space="preserve">., </w:t>
      </w:r>
      <w:r>
        <w:rPr>
          <w:lang w:val="ru-RU"/>
        </w:rPr>
        <w:t>например</w:t>
      </w:r>
      <w:r w:rsidRPr="00BC7F9F">
        <w:rPr>
          <w:lang w:val="ru-RU"/>
        </w:rPr>
        <w:t xml:space="preserve">, </w:t>
      </w:r>
      <w:r>
        <w:rPr>
          <w:lang w:val="ru-RU"/>
        </w:rPr>
        <w:t>сообщение</w:t>
      </w:r>
      <w:r w:rsidRPr="00BC7F9F">
        <w:rPr>
          <w:lang w:val="ru-RU"/>
        </w:rPr>
        <w:t xml:space="preserve"> №</w:t>
      </w:r>
      <w:r>
        <w:t> </w:t>
      </w:r>
      <w:r w:rsidRPr="00BC7F9F">
        <w:rPr>
          <w:lang w:val="ru-RU"/>
        </w:rPr>
        <w:t xml:space="preserve">869/1999, </w:t>
      </w:r>
      <w:r>
        <w:rPr>
          <w:i/>
          <w:lang w:val="ru-RU"/>
        </w:rPr>
        <w:t>Пьяндьонг</w:t>
      </w:r>
      <w:r w:rsidRPr="00BC7F9F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BC7F9F">
        <w:rPr>
          <w:i/>
          <w:lang w:val="ru-RU"/>
        </w:rPr>
        <w:t xml:space="preserve"> </w:t>
      </w:r>
      <w:r>
        <w:rPr>
          <w:i/>
          <w:lang w:val="ru-RU"/>
        </w:rPr>
        <w:t>др</w:t>
      </w:r>
      <w:r w:rsidRPr="00BC7F9F">
        <w:rPr>
          <w:i/>
          <w:lang w:val="ru-RU"/>
        </w:rPr>
        <w:t xml:space="preserve">. </w:t>
      </w:r>
      <w:r>
        <w:rPr>
          <w:i/>
          <w:lang w:val="ru-RU"/>
        </w:rPr>
        <w:t>против Филиппин</w:t>
      </w:r>
      <w:r>
        <w:rPr>
          <w:lang w:val="ru-RU"/>
        </w:rPr>
        <w:t xml:space="preserve">, Соображения, принятые 19 октября 2000 года, пункт </w:t>
      </w:r>
      <w:r w:rsidRPr="00BC7F9F">
        <w:rPr>
          <w:lang w:val="ru-RU"/>
        </w:rPr>
        <w:t xml:space="preserve">5.1. </w:t>
      </w:r>
    </w:p>
  </w:footnote>
  <w:footnote w:id="8">
    <w:p w:rsidR="00CF78ED" w:rsidRPr="00194154" w:rsidRDefault="00CF78ED" w:rsidP="00CF78ED">
      <w:pPr>
        <w:pStyle w:val="FootnoteText"/>
        <w:rPr>
          <w:lang w:val="ru-RU"/>
        </w:rPr>
      </w:pPr>
      <w:r w:rsidRPr="00BC7F9F">
        <w:rPr>
          <w:lang w:val="ru-RU"/>
        </w:rPr>
        <w:tab/>
      </w:r>
      <w:r w:rsidRPr="008A408D">
        <w:rPr>
          <w:rStyle w:val="FootnoteReference"/>
        </w:rPr>
        <w:footnoteRef/>
      </w:r>
      <w:r w:rsidRPr="00194154">
        <w:rPr>
          <w:lang w:val="ru-RU"/>
        </w:rPr>
        <w:tab/>
      </w:r>
      <w:r>
        <w:rPr>
          <w:lang w:val="ru-RU"/>
        </w:rPr>
        <w:t>См</w:t>
      </w:r>
      <w:r w:rsidRPr="00194154">
        <w:rPr>
          <w:lang w:val="ru-RU"/>
        </w:rPr>
        <w:t>.,</w:t>
      </w:r>
      <w:r>
        <w:rPr>
          <w:lang w:val="ru-RU"/>
        </w:rPr>
        <w:t xml:space="preserve"> например, сообщения №</w:t>
      </w:r>
      <w:r>
        <w:t> </w:t>
      </w:r>
      <w:r w:rsidRPr="00194154">
        <w:rPr>
          <w:lang w:val="ru-RU"/>
        </w:rPr>
        <w:t xml:space="preserve">1226/2003, </w:t>
      </w:r>
      <w:r>
        <w:rPr>
          <w:i/>
          <w:lang w:val="ru-RU"/>
        </w:rPr>
        <w:t>Корнеенко против Беларуси</w:t>
      </w:r>
      <w:r w:rsidRPr="00194154">
        <w:rPr>
          <w:lang w:val="ru-RU"/>
        </w:rPr>
        <w:t xml:space="preserve">, </w:t>
      </w:r>
      <w:r>
        <w:rPr>
          <w:lang w:val="ru-RU"/>
        </w:rPr>
        <w:t>Соображения, принятые 20 июля 2012 года, пункт</w:t>
      </w:r>
      <w:r>
        <w:t> </w:t>
      </w:r>
      <w:r w:rsidRPr="00194154">
        <w:rPr>
          <w:lang w:val="ru-RU"/>
        </w:rPr>
        <w:t xml:space="preserve">8.2; </w:t>
      </w:r>
      <w:r>
        <w:rPr>
          <w:lang w:val="ru-RU"/>
        </w:rPr>
        <w:t>и №</w:t>
      </w:r>
      <w:r>
        <w:t> </w:t>
      </w:r>
      <w:r w:rsidRPr="00194154">
        <w:rPr>
          <w:lang w:val="ru-RU"/>
        </w:rPr>
        <w:t xml:space="preserve">1948/2010, </w:t>
      </w:r>
      <w:r>
        <w:rPr>
          <w:i/>
          <w:lang w:val="ru-RU"/>
        </w:rPr>
        <w:t>Турченяк и др</w:t>
      </w:r>
      <w:r w:rsidR="009F55E3">
        <w:rPr>
          <w:i/>
          <w:lang w:val="ru-RU"/>
        </w:rPr>
        <w:t>.</w:t>
      </w:r>
      <w:r>
        <w:rPr>
          <w:i/>
          <w:lang w:val="ru-RU"/>
        </w:rPr>
        <w:t xml:space="preserve"> против Беларуси</w:t>
      </w:r>
      <w:r w:rsidRPr="00194154">
        <w:rPr>
          <w:lang w:val="ru-RU"/>
        </w:rPr>
        <w:t xml:space="preserve">, </w:t>
      </w:r>
      <w:r>
        <w:rPr>
          <w:lang w:val="ru-RU"/>
        </w:rPr>
        <w:t>Соображения, принятые 24 июля 2013 года, пункт</w:t>
      </w:r>
      <w:r>
        <w:t> </w:t>
      </w:r>
      <w:r w:rsidRPr="00194154">
        <w:rPr>
          <w:lang w:val="ru-RU"/>
        </w:rPr>
        <w:t>5.2.</w:t>
      </w:r>
    </w:p>
  </w:footnote>
  <w:footnote w:id="9">
    <w:p w:rsidR="009F55E3" w:rsidRPr="004E4A5F" w:rsidRDefault="009F55E3" w:rsidP="009F55E3">
      <w:pPr>
        <w:pStyle w:val="FootnoteText"/>
        <w:rPr>
          <w:lang w:val="ru-RU"/>
        </w:rPr>
      </w:pPr>
      <w:r w:rsidRPr="009F55E3">
        <w:rPr>
          <w:lang w:val="ru-RU"/>
        </w:rPr>
        <w:tab/>
      </w:r>
      <w:r>
        <w:rPr>
          <w:rStyle w:val="FootnoteReference"/>
        </w:rPr>
        <w:footnoteRef/>
      </w:r>
      <w:r w:rsidRPr="004E4A5F">
        <w:rPr>
          <w:lang w:val="ru-RU"/>
        </w:rPr>
        <w:tab/>
        <w:t xml:space="preserve">См. сообщение № 1873/2009 </w:t>
      </w:r>
      <w:r w:rsidRPr="004E4A5F">
        <w:rPr>
          <w:i/>
          <w:lang w:val="ru-RU"/>
        </w:rPr>
        <w:t>Алексеев против Российской Федерации</w:t>
      </w:r>
      <w:r w:rsidRPr="004E4A5F">
        <w:rPr>
          <w:lang w:val="ru-RU"/>
        </w:rPr>
        <w:t>, Соображения, принятые 25 октября 2013 года, пункт 8.4.</w:t>
      </w:r>
    </w:p>
  </w:footnote>
  <w:footnote w:id="10">
    <w:p w:rsidR="009F55E3" w:rsidRPr="004E4A5F" w:rsidRDefault="009F55E3" w:rsidP="009F55E3">
      <w:pPr>
        <w:pStyle w:val="FootnoteText"/>
        <w:rPr>
          <w:lang w:val="ru-RU"/>
        </w:rPr>
      </w:pPr>
      <w:r w:rsidRPr="00DC2799">
        <w:rPr>
          <w:lang w:val="ru-RU"/>
        </w:rPr>
        <w:tab/>
      </w:r>
      <w:r>
        <w:rPr>
          <w:rStyle w:val="FootnoteReference"/>
        </w:rPr>
        <w:footnoteRef/>
      </w:r>
      <w:r w:rsidRPr="004E4A5F">
        <w:rPr>
          <w:lang w:val="ru-RU"/>
        </w:rPr>
        <w:tab/>
        <w:t>См. замечание общего порядка Комитета № 34 (2011 год) о свободе мнений и их свободном выражении, пункт 2.</w:t>
      </w:r>
    </w:p>
  </w:footnote>
  <w:footnote w:id="11">
    <w:p w:rsidR="009F55E3" w:rsidRPr="00DB7BEA" w:rsidRDefault="009F55E3" w:rsidP="009F55E3">
      <w:pPr>
        <w:pStyle w:val="FootnoteText"/>
        <w:rPr>
          <w:lang w:val="ru-RU"/>
        </w:rPr>
      </w:pPr>
      <w:r w:rsidRPr="00DC2799">
        <w:rPr>
          <w:lang w:val="ru-RU"/>
        </w:rPr>
        <w:tab/>
      </w:r>
      <w:r>
        <w:rPr>
          <w:rStyle w:val="FootnoteReference"/>
        </w:rPr>
        <w:footnoteRef/>
      </w:r>
      <w:r w:rsidRPr="00DB7BEA">
        <w:rPr>
          <w:lang w:val="ru-RU"/>
        </w:rPr>
        <w:tab/>
        <w:t xml:space="preserve">См. сообщение № 1948/2010, </w:t>
      </w:r>
      <w:r w:rsidRPr="00DB7BEA">
        <w:rPr>
          <w:i/>
          <w:lang w:val="ru-RU"/>
        </w:rPr>
        <w:t>Турченяк и др. против Беларуси</w:t>
      </w:r>
      <w:r w:rsidRPr="00DB7BEA">
        <w:rPr>
          <w:lang w:val="ru-RU"/>
        </w:rPr>
        <w:t>, Соображения, принятые 24 июля 2013 года.</w:t>
      </w:r>
    </w:p>
  </w:footnote>
  <w:footnote w:id="12">
    <w:p w:rsidR="009F55E3" w:rsidRPr="00DB7BEA" w:rsidRDefault="009F55E3" w:rsidP="009F55E3">
      <w:pPr>
        <w:pStyle w:val="FootnoteText"/>
        <w:rPr>
          <w:lang w:val="ru-RU"/>
        </w:rPr>
      </w:pPr>
      <w:r w:rsidRPr="00DC2799">
        <w:rPr>
          <w:lang w:val="ru-RU"/>
        </w:rPr>
        <w:tab/>
      </w:r>
      <w:r>
        <w:rPr>
          <w:rStyle w:val="FootnoteReference"/>
        </w:rPr>
        <w:footnoteRef/>
      </w:r>
      <w:r w:rsidRPr="00DB7BEA">
        <w:rPr>
          <w:lang w:val="ru-RU"/>
        </w:rPr>
        <w:tab/>
        <w:t>См. замечание общего порядка Комитета № 34 (2011 год) о свободе мнений и их свободном выражении, пункт 22. См. также, например</w:t>
      </w:r>
      <w:r>
        <w:rPr>
          <w:lang w:val="ru-RU"/>
        </w:rPr>
        <w:t>,</w:t>
      </w:r>
      <w:r w:rsidRPr="00DB7BEA">
        <w:rPr>
          <w:lang w:val="ru-RU"/>
        </w:rPr>
        <w:t xml:space="preserve"> сообщение № 1948/2010, </w:t>
      </w:r>
      <w:r>
        <w:rPr>
          <w:i/>
          <w:lang w:val="ru-RU"/>
        </w:rPr>
        <w:t>Турченяк и др.</w:t>
      </w:r>
      <w:r w:rsidRPr="00BF72E1">
        <w:rPr>
          <w:i/>
          <w:lang w:val="ru-RU"/>
        </w:rPr>
        <w:t xml:space="preserve"> против Беларуси</w:t>
      </w:r>
      <w:r w:rsidRPr="00DB7BEA">
        <w:rPr>
          <w:lang w:val="ru-RU"/>
        </w:rPr>
        <w:t>, Соображения, пр</w:t>
      </w:r>
      <w:r>
        <w:rPr>
          <w:lang w:val="ru-RU"/>
        </w:rPr>
        <w:t>инятые 24 июля 2013 года, пункт </w:t>
      </w:r>
      <w:r w:rsidRPr="00DB7BEA">
        <w:rPr>
          <w:lang w:val="ru-RU"/>
        </w:rPr>
        <w:t>7.7.</w:t>
      </w:r>
    </w:p>
  </w:footnote>
  <w:footnote w:id="13">
    <w:p w:rsidR="009F55E3" w:rsidRPr="00BF72E1" w:rsidRDefault="009F55E3" w:rsidP="009F55E3">
      <w:pPr>
        <w:pStyle w:val="FootnoteText"/>
        <w:rPr>
          <w:lang w:val="ru-RU"/>
        </w:rPr>
      </w:pPr>
      <w:r w:rsidRPr="00DB5D6E">
        <w:rPr>
          <w:lang w:val="ru-RU"/>
        </w:rPr>
        <w:tab/>
      </w:r>
      <w:r>
        <w:rPr>
          <w:rStyle w:val="FootnoteReference"/>
        </w:rPr>
        <w:footnoteRef/>
      </w:r>
      <w:r w:rsidRPr="00BF72E1">
        <w:rPr>
          <w:lang w:val="ru-RU"/>
        </w:rPr>
        <w:tab/>
        <w:t xml:space="preserve">Например, см. сообщение № 1001/2001, </w:t>
      </w:r>
      <w:r w:rsidRPr="00372252">
        <w:rPr>
          <w:i/>
          <w:lang w:val="ru-RU"/>
        </w:rPr>
        <w:t>Стрик против Нидерландов</w:t>
      </w:r>
      <w:r w:rsidRPr="00BF72E1">
        <w:rPr>
          <w:lang w:val="ru-RU"/>
        </w:rPr>
        <w:t>, решение, принятое 1 ноября 2002 года, пункт 7.3.</w:t>
      </w:r>
    </w:p>
  </w:footnote>
  <w:footnote w:id="14">
    <w:p w:rsidR="009F55E3" w:rsidRPr="000877E2" w:rsidRDefault="009F55E3" w:rsidP="009F55E3">
      <w:pPr>
        <w:pStyle w:val="FootnoteText"/>
        <w:rPr>
          <w:lang w:val="ru-RU"/>
        </w:rPr>
      </w:pPr>
      <w:r w:rsidRPr="00DC2799">
        <w:rPr>
          <w:lang w:val="ru-RU"/>
        </w:rPr>
        <w:tab/>
      </w:r>
      <w:r>
        <w:rPr>
          <w:rStyle w:val="FootnoteReference"/>
        </w:rPr>
        <w:footnoteRef/>
      </w:r>
      <w:r w:rsidRPr="000877E2">
        <w:rPr>
          <w:lang w:val="ru-RU"/>
        </w:rPr>
        <w:tab/>
        <w:t xml:space="preserve">Например, см. сообщение № 307/1988, </w:t>
      </w:r>
      <w:r w:rsidRPr="000877E2">
        <w:rPr>
          <w:i/>
          <w:lang w:val="ru-RU"/>
        </w:rPr>
        <w:t>Кэмпбелл против Ямайки</w:t>
      </w:r>
      <w:r w:rsidRPr="000877E2">
        <w:rPr>
          <w:lang w:val="ru-RU"/>
        </w:rPr>
        <w:t>, Соображения, принятые 24 марта 1993 года, пункт 6.4.</w:t>
      </w:r>
    </w:p>
  </w:footnote>
  <w:footnote w:id="15">
    <w:p w:rsidR="009F55E3" w:rsidRPr="000877E2" w:rsidRDefault="009F55E3" w:rsidP="009F55E3">
      <w:pPr>
        <w:pStyle w:val="FootnoteText"/>
        <w:rPr>
          <w:lang w:val="ru-RU"/>
        </w:rPr>
      </w:pPr>
      <w:r w:rsidRPr="00DC2799">
        <w:rPr>
          <w:lang w:val="ru-RU"/>
        </w:rPr>
        <w:tab/>
      </w:r>
      <w:r>
        <w:rPr>
          <w:rStyle w:val="FootnoteReference"/>
        </w:rPr>
        <w:footnoteRef/>
      </w:r>
      <w:r w:rsidRPr="000877E2">
        <w:rPr>
          <w:lang w:val="ru-RU"/>
        </w:rPr>
        <w:tab/>
        <w:t xml:space="preserve">См. замечание общего порядка № 32 (2007 год) о праве на равенство перед судами и трибуналами и на справедливое разбирательство, </w:t>
      </w:r>
      <w:r w:rsidR="00372252">
        <w:rPr>
          <w:lang w:val="ru-RU"/>
        </w:rPr>
        <w:t>пункт 13. См. также сообщение </w:t>
      </w:r>
      <w:r>
        <w:rPr>
          <w:lang w:val="ru-RU"/>
        </w:rPr>
        <w:t>№ </w:t>
      </w:r>
      <w:r w:rsidRPr="000877E2">
        <w:rPr>
          <w:lang w:val="ru-RU"/>
        </w:rPr>
        <w:t xml:space="preserve">846/1999, </w:t>
      </w:r>
      <w:r w:rsidRPr="000877E2">
        <w:rPr>
          <w:i/>
          <w:lang w:val="ru-RU"/>
        </w:rPr>
        <w:t>Янсен-Гилен против Нидерландов</w:t>
      </w:r>
      <w:r w:rsidRPr="000877E2">
        <w:rPr>
          <w:lang w:val="ru-RU"/>
        </w:rPr>
        <w:t>, Сооб</w:t>
      </w:r>
      <w:r>
        <w:rPr>
          <w:lang w:val="ru-RU"/>
        </w:rPr>
        <w:t>ражения, принятые 3 апреля 2001 </w:t>
      </w:r>
      <w:r w:rsidRPr="000877E2">
        <w:rPr>
          <w:lang w:val="ru-RU"/>
        </w:rPr>
        <w:t>года, пункт 8.2.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E6F8A" w:rsidRDefault="00D76358">
    <w:pPr>
      <w:pStyle w:val="Header"/>
      <w:rPr>
        <w:lang w:val="en-US"/>
      </w:rPr>
    </w:pPr>
    <w:r>
      <w:rPr>
        <w:lang w:val="en-US"/>
      </w:rPr>
      <w:t>CCPR/</w:t>
    </w:r>
    <w:r w:rsidR="005E6F8A">
      <w:rPr>
        <w:lang w:val="en-US"/>
      </w:rPr>
      <w:t>C/112/D/1999/2010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58" w:rsidRPr="005F0588" w:rsidRDefault="00D76358">
    <w:pPr>
      <w:pStyle w:val="Header"/>
      <w:rPr>
        <w:lang w:val="en-US"/>
      </w:rPr>
    </w:pPr>
    <w:r>
      <w:rPr>
        <w:lang w:val="en-US"/>
      </w:rPr>
      <w:tab/>
    </w:r>
    <w:r w:rsidR="005E6F8A">
      <w:rPr>
        <w:lang w:val="en-US"/>
      </w:rPr>
      <w:t>CCPR/C/112/D/1999/2010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32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44BF"/>
    <w:rsid w:val="0006401A"/>
    <w:rsid w:val="00070104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532B"/>
    <w:rsid w:val="00117AEE"/>
    <w:rsid w:val="001463F7"/>
    <w:rsid w:val="0015769C"/>
    <w:rsid w:val="001755A4"/>
    <w:rsid w:val="00180752"/>
    <w:rsid w:val="00185076"/>
    <w:rsid w:val="0018543C"/>
    <w:rsid w:val="0018551F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24189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72252"/>
    <w:rsid w:val="00381289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5E45"/>
    <w:rsid w:val="00576F59"/>
    <w:rsid w:val="00577A34"/>
    <w:rsid w:val="00580AAD"/>
    <w:rsid w:val="00593A04"/>
    <w:rsid w:val="005A5A2E"/>
    <w:rsid w:val="005A6D5A"/>
    <w:rsid w:val="005B1B28"/>
    <w:rsid w:val="005B7D51"/>
    <w:rsid w:val="005B7F35"/>
    <w:rsid w:val="005C2081"/>
    <w:rsid w:val="005C678A"/>
    <w:rsid w:val="005D346D"/>
    <w:rsid w:val="005E4F7B"/>
    <w:rsid w:val="005E6F8A"/>
    <w:rsid w:val="005E74AB"/>
    <w:rsid w:val="00606A3E"/>
    <w:rsid w:val="00611264"/>
    <w:rsid w:val="006115AA"/>
    <w:rsid w:val="006120AE"/>
    <w:rsid w:val="00615F21"/>
    <w:rsid w:val="00635E86"/>
    <w:rsid w:val="00636A37"/>
    <w:rsid w:val="006414B1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94E81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D7EAD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54A0D"/>
    <w:rsid w:val="00762446"/>
    <w:rsid w:val="00781ACB"/>
    <w:rsid w:val="007A79EB"/>
    <w:rsid w:val="007B7963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5E3"/>
    <w:rsid w:val="009F56A7"/>
    <w:rsid w:val="009F5B05"/>
    <w:rsid w:val="00A026CA"/>
    <w:rsid w:val="00A040A9"/>
    <w:rsid w:val="00A07232"/>
    <w:rsid w:val="00A124A3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C63CD"/>
    <w:rsid w:val="00AE60E2"/>
    <w:rsid w:val="00B0169F"/>
    <w:rsid w:val="00B05F21"/>
    <w:rsid w:val="00B14EA9"/>
    <w:rsid w:val="00B231C1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668E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5F93"/>
    <w:rsid w:val="00CE3D6F"/>
    <w:rsid w:val="00CE79A5"/>
    <w:rsid w:val="00CF0042"/>
    <w:rsid w:val="00CF262F"/>
    <w:rsid w:val="00CF78ED"/>
    <w:rsid w:val="00D025D5"/>
    <w:rsid w:val="00D17BE5"/>
    <w:rsid w:val="00D22E97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6230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37A4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33C9"/>
    <w:rsid w:val="00F765C7"/>
    <w:rsid w:val="00F87506"/>
    <w:rsid w:val="00F90861"/>
    <w:rsid w:val="00F92C41"/>
    <w:rsid w:val="00FA5522"/>
    <w:rsid w:val="00FA6E4A"/>
    <w:rsid w:val="00FB2B35"/>
    <w:rsid w:val="00FC4AE1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0544B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0544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noteTextChar">
    <w:name w:val="Footnote Text Char"/>
    <w:aliases w:val="5_GR Char"/>
    <w:link w:val="FootnoteText"/>
    <w:rsid w:val="006D7EAD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11</Pages>
  <Words>3629</Words>
  <Characters>23957</Characters>
  <Application>Microsoft Office Outlook</Application>
  <DocSecurity>4</DocSecurity>
  <Lines>460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14-22851</vt:lpstr>
    </vt:vector>
  </TitlesOfParts>
  <Manager>Блохин</Manager>
  <Company>CSD</Company>
  <LinksUpToDate>false</LinksUpToDate>
  <CharactersWithSpaces>27479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14-22851</dc:title>
  <dc:subject>CCPR/C/112/D/1999/2010</dc:subject>
  <dc:creator>Safonova I.;Салынская Екатерина</dc:creator>
  <cp:keywords/>
  <cp:lastModifiedBy>Салынская Екатерина</cp:lastModifiedBy>
  <cp:revision>2</cp:revision>
  <cp:lastPrinted>2015-02-09T12:43:00Z</cp:lastPrinted>
  <dcterms:created xsi:type="dcterms:W3CDTF">2015-02-10T06:15:00Z</dcterms:created>
  <dcterms:modified xsi:type="dcterms:W3CDTF">2015-02-10T06:15:00Z</dcterms:modified>
</cp:coreProperties>
</file>