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RPr="000A597B" w:rsidTr="00D76358">
        <w:trPr>
          <w:cantSplit/>
          <w:trHeight w:hRule="exact" w:val="851"/>
        </w:trPr>
        <w:tc>
          <w:tcPr>
            <w:tcW w:w="4536" w:type="dxa"/>
            <w:gridSpan w:val="2"/>
            <w:tcBorders>
              <w:bottom w:val="single" w:sz="4" w:space="0" w:color="auto"/>
            </w:tcBorders>
            <w:vAlign w:val="bottom"/>
          </w:tcPr>
          <w:p w:rsidR="0084613B" w:rsidRPr="000A597B" w:rsidRDefault="0084613B" w:rsidP="00D76358">
            <w:pPr>
              <w:spacing w:after="80" w:line="300" w:lineRule="exact"/>
              <w:rPr>
                <w:b/>
                <w:sz w:val="24"/>
                <w:szCs w:val="24"/>
              </w:rPr>
            </w:pPr>
            <w:r w:rsidRPr="000A597B">
              <w:rPr>
                <w:sz w:val="28"/>
              </w:rPr>
              <w:t>Организация Объединенных Наций</w:t>
            </w:r>
          </w:p>
        </w:tc>
        <w:tc>
          <w:tcPr>
            <w:tcW w:w="141" w:type="dxa"/>
            <w:tcBorders>
              <w:bottom w:val="single" w:sz="4" w:space="0" w:color="auto"/>
            </w:tcBorders>
            <w:vAlign w:val="bottom"/>
          </w:tcPr>
          <w:p w:rsidR="0084613B" w:rsidRPr="000A597B"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0A597B" w:rsidRDefault="0084613B" w:rsidP="00D76358">
            <w:pPr>
              <w:spacing w:after="80"/>
              <w:jc w:val="right"/>
            </w:pPr>
            <w:r w:rsidRPr="000A597B">
              <w:rPr>
                <w:sz w:val="40"/>
                <w:szCs w:val="40"/>
              </w:rPr>
              <w:t>CCPR</w:t>
            </w:r>
            <w:r w:rsidRPr="000A597B">
              <w:t>/</w:t>
            </w:r>
            <w:fldSimple w:instr=" FILLIN  &quot;Введите часть символа после CCPR/&quot;  \* MERGEFORMAT ">
              <w:r w:rsidR="000A597B" w:rsidRPr="000A597B">
                <w:t>C/112/D/2137/2012</w:t>
              </w:r>
            </w:fldSimple>
          </w:p>
        </w:tc>
      </w:tr>
      <w:tr w:rsidR="0084613B" w:rsidRPr="000A597B" w:rsidTr="00D76358">
        <w:trPr>
          <w:cantSplit/>
          <w:trHeight w:hRule="exact" w:val="2835"/>
        </w:trPr>
        <w:tc>
          <w:tcPr>
            <w:tcW w:w="1276" w:type="dxa"/>
            <w:tcBorders>
              <w:top w:val="single" w:sz="4" w:space="0" w:color="auto"/>
              <w:bottom w:val="single" w:sz="12" w:space="0" w:color="auto"/>
            </w:tcBorders>
          </w:tcPr>
          <w:p w:rsidR="0084613B" w:rsidRPr="000A597B" w:rsidRDefault="0084613B" w:rsidP="00D76358">
            <w:pPr>
              <w:spacing w:before="120"/>
              <w:jc w:val="center"/>
            </w:pPr>
            <w:r w:rsidRPr="000A59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0A597B" w:rsidRDefault="0084613B" w:rsidP="00D76358">
            <w:pPr>
              <w:spacing w:before="120" w:line="380" w:lineRule="exact"/>
              <w:rPr>
                <w:spacing w:val="-4"/>
                <w:w w:val="100"/>
                <w:sz w:val="34"/>
                <w:szCs w:val="34"/>
              </w:rPr>
            </w:pPr>
            <w:r w:rsidRPr="000A597B">
              <w:rPr>
                <w:b/>
                <w:spacing w:val="-4"/>
                <w:w w:val="100"/>
                <w:sz w:val="34"/>
                <w:szCs w:val="34"/>
              </w:rPr>
              <w:t xml:space="preserve">Международный пакт </w:t>
            </w:r>
            <w:r w:rsidRPr="000A597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Pr="000A597B" w:rsidRDefault="0084613B" w:rsidP="00D76358">
            <w:pPr>
              <w:spacing w:before="240"/>
            </w:pPr>
            <w:proofErr w:type="spellStart"/>
            <w:r w:rsidRPr="000A597B">
              <w:t>Distr</w:t>
            </w:r>
            <w:proofErr w:type="spellEnd"/>
            <w:r w:rsidRPr="000A597B">
              <w:t xml:space="preserve">.: </w:t>
            </w:r>
            <w:bookmarkStart w:id="0" w:name="ПолеСоСписком1"/>
            <w:r w:rsidRPr="000A597B">
              <w:fldChar w:fldCharType="begin">
                <w:ffData>
                  <w:name w:val="ПолеСоСписком1"/>
                  <w:enabled/>
                  <w:calcOnExit w:val="0"/>
                  <w:ddList>
                    <w:listEntry w:val="General"/>
                    <w:listEntry w:val="Limited"/>
                    <w:listEntry w:val="Restricted"/>
                  </w:ddList>
                </w:ffData>
              </w:fldChar>
            </w:r>
            <w:r w:rsidRPr="000A597B">
              <w:instrText xml:space="preserve"> FORMDROPDOWN </w:instrText>
            </w:r>
            <w:r w:rsidRPr="000A597B">
              <w:fldChar w:fldCharType="end"/>
            </w:r>
            <w:bookmarkEnd w:id="0"/>
          </w:p>
          <w:p w:rsidR="0084613B" w:rsidRPr="000A597B" w:rsidRDefault="0084613B" w:rsidP="00D76358">
            <w:r w:rsidRPr="000A597B">
              <w:fldChar w:fldCharType="begin"/>
            </w:r>
            <w:r w:rsidRPr="000A597B">
              <w:instrText xml:space="preserve"> FILLIN  "Введите дату документа" \* MERGEFORMAT </w:instrText>
            </w:r>
            <w:r w:rsidR="000A597B" w:rsidRPr="000A597B">
              <w:fldChar w:fldCharType="separate"/>
            </w:r>
            <w:r w:rsidR="000A597B" w:rsidRPr="000A597B">
              <w:t xml:space="preserve">20 </w:t>
            </w:r>
            <w:proofErr w:type="spellStart"/>
            <w:r w:rsidR="000A597B" w:rsidRPr="000A597B">
              <w:t>November</w:t>
            </w:r>
            <w:proofErr w:type="spellEnd"/>
            <w:r w:rsidR="000A597B" w:rsidRPr="000A597B">
              <w:t xml:space="preserve"> 2014</w:t>
            </w:r>
            <w:r w:rsidRPr="000A597B">
              <w:fldChar w:fldCharType="end"/>
            </w:r>
          </w:p>
          <w:p w:rsidR="0084613B" w:rsidRPr="000A597B" w:rsidRDefault="0084613B" w:rsidP="00D76358">
            <w:proofErr w:type="spellStart"/>
            <w:r w:rsidRPr="000A597B">
              <w:t>Russian</w:t>
            </w:r>
            <w:proofErr w:type="spellEnd"/>
          </w:p>
          <w:p w:rsidR="0084613B" w:rsidRPr="000A597B" w:rsidRDefault="0084613B" w:rsidP="00D76358">
            <w:proofErr w:type="spellStart"/>
            <w:r w:rsidRPr="000A597B">
              <w:t>Original</w:t>
            </w:r>
            <w:proofErr w:type="spellEnd"/>
            <w:r w:rsidRPr="000A597B">
              <w:t xml:space="preserve">: </w:t>
            </w:r>
            <w:bookmarkStart w:id="1" w:name="ПолеСоСписком2"/>
            <w:r w:rsidRPr="000A597B">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0A597B">
              <w:instrText xml:space="preserve"> FORMDROPDOWN </w:instrText>
            </w:r>
            <w:r w:rsidRPr="000A597B">
              <w:fldChar w:fldCharType="end"/>
            </w:r>
            <w:bookmarkEnd w:id="1"/>
          </w:p>
          <w:p w:rsidR="0084613B" w:rsidRPr="000A597B" w:rsidRDefault="0084613B" w:rsidP="00D76358"/>
        </w:tc>
      </w:tr>
    </w:tbl>
    <w:p w:rsidR="000A597B" w:rsidRPr="000A597B" w:rsidRDefault="000A597B" w:rsidP="000A597B">
      <w:pPr>
        <w:spacing w:before="120"/>
        <w:rPr>
          <w:b/>
          <w:sz w:val="24"/>
          <w:szCs w:val="24"/>
        </w:rPr>
      </w:pPr>
      <w:r w:rsidRPr="000A597B">
        <w:rPr>
          <w:b/>
          <w:sz w:val="24"/>
          <w:szCs w:val="24"/>
        </w:rPr>
        <w:t>Комитет по правам человека</w:t>
      </w:r>
    </w:p>
    <w:p w:rsidR="000A597B" w:rsidRPr="000A597B" w:rsidRDefault="000A597B" w:rsidP="000A597B">
      <w:pPr>
        <w:pStyle w:val="HChGR"/>
      </w:pPr>
      <w:r w:rsidRPr="000A597B">
        <w:tab/>
      </w:r>
      <w:r w:rsidRPr="000A597B">
        <w:tab/>
        <w:t>Сообщение № 2137/2012</w:t>
      </w:r>
    </w:p>
    <w:p w:rsidR="000A597B" w:rsidRPr="000A597B" w:rsidRDefault="000A597B" w:rsidP="000A597B">
      <w:pPr>
        <w:pStyle w:val="H1GR"/>
      </w:pPr>
      <w:r w:rsidRPr="000A597B">
        <w:tab/>
      </w:r>
      <w:r w:rsidRPr="000A597B">
        <w:tab/>
        <w:t>Соображения, принятые Комитетом на его 112-й сессии</w:t>
      </w:r>
      <w:r w:rsidRPr="000A597B">
        <w:br/>
        <w:t>(7−31 октября 2014 года)</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0A597B" w:rsidRPr="000A597B" w:rsidTr="000A597B">
        <w:tc>
          <w:tcPr>
            <w:tcW w:w="2933" w:type="dxa"/>
          </w:tcPr>
          <w:p w:rsidR="000A597B" w:rsidRPr="000A597B" w:rsidRDefault="000A597B" w:rsidP="000A597B">
            <w:pPr>
              <w:spacing w:after="120"/>
              <w:rPr>
                <w:i/>
              </w:rPr>
            </w:pPr>
            <w:r w:rsidRPr="000A597B">
              <w:rPr>
                <w:i/>
              </w:rPr>
              <w:t>Представлено:</w:t>
            </w:r>
          </w:p>
        </w:tc>
        <w:tc>
          <w:tcPr>
            <w:tcW w:w="3871" w:type="dxa"/>
          </w:tcPr>
          <w:p w:rsidR="000A597B" w:rsidRPr="000A597B" w:rsidRDefault="000A597B" w:rsidP="000A597B">
            <w:pPr>
              <w:pStyle w:val="SingleTxtGR"/>
              <w:tabs>
                <w:tab w:val="clear" w:pos="1701"/>
                <w:tab w:val="clear" w:pos="2268"/>
                <w:tab w:val="clear" w:pos="2835"/>
                <w:tab w:val="clear" w:pos="3402"/>
                <w:tab w:val="clear" w:pos="3969"/>
              </w:tabs>
              <w:ind w:left="0" w:right="45"/>
              <w:jc w:val="left"/>
            </w:pPr>
            <w:proofErr w:type="spellStart"/>
            <w:r w:rsidRPr="000A597B">
              <w:t>Бахытжан</w:t>
            </w:r>
            <w:proofErr w:type="spellEnd"/>
            <w:r w:rsidRPr="000A597B">
              <w:t xml:space="preserve"> </w:t>
            </w:r>
            <w:proofErr w:type="spellStart"/>
            <w:r w:rsidRPr="000A597B">
              <w:t>Торегожиной</w:t>
            </w:r>
            <w:proofErr w:type="spellEnd"/>
            <w:r w:rsidRPr="000A597B">
              <w:t xml:space="preserve"> </w:t>
            </w:r>
            <w:r>
              <w:br/>
            </w:r>
            <w:r w:rsidRPr="000A597B">
              <w:rPr>
                <w:bCs/>
              </w:rPr>
              <w:t>(не представлена адвокатом)</w:t>
            </w:r>
          </w:p>
        </w:tc>
      </w:tr>
      <w:tr w:rsidR="000A597B" w:rsidRPr="000A597B" w:rsidTr="000A597B">
        <w:tc>
          <w:tcPr>
            <w:tcW w:w="2933" w:type="dxa"/>
          </w:tcPr>
          <w:p w:rsidR="000A597B" w:rsidRPr="000A597B" w:rsidRDefault="000A597B" w:rsidP="000A597B">
            <w:pPr>
              <w:spacing w:after="120"/>
              <w:rPr>
                <w:i/>
              </w:rPr>
            </w:pPr>
            <w:r w:rsidRPr="000A597B">
              <w:rPr>
                <w:i/>
              </w:rPr>
              <w:t>Предполагаемая жертва:</w:t>
            </w:r>
          </w:p>
        </w:tc>
        <w:tc>
          <w:tcPr>
            <w:tcW w:w="3871" w:type="dxa"/>
          </w:tcPr>
          <w:p w:rsidR="000A597B" w:rsidRPr="000A597B" w:rsidRDefault="000A597B" w:rsidP="000A597B">
            <w:pPr>
              <w:pStyle w:val="SingleTxtGR"/>
              <w:tabs>
                <w:tab w:val="clear" w:pos="1701"/>
                <w:tab w:val="clear" w:pos="2268"/>
                <w:tab w:val="clear" w:pos="2835"/>
                <w:tab w:val="clear" w:pos="3402"/>
                <w:tab w:val="clear" w:pos="3969"/>
              </w:tabs>
              <w:ind w:left="0" w:right="45"/>
              <w:jc w:val="left"/>
            </w:pPr>
            <w:r w:rsidRPr="000A597B">
              <w:t xml:space="preserve">автор </w:t>
            </w:r>
          </w:p>
        </w:tc>
      </w:tr>
      <w:tr w:rsidR="000A597B" w:rsidRPr="000A597B" w:rsidTr="000A597B">
        <w:tc>
          <w:tcPr>
            <w:tcW w:w="2933" w:type="dxa"/>
          </w:tcPr>
          <w:p w:rsidR="000A597B" w:rsidRPr="000A597B" w:rsidRDefault="000A597B" w:rsidP="000A597B">
            <w:pPr>
              <w:spacing w:after="120"/>
              <w:rPr>
                <w:i/>
              </w:rPr>
            </w:pPr>
            <w:r w:rsidRPr="000A597B">
              <w:rPr>
                <w:i/>
              </w:rPr>
              <w:t>Государство-участник:</w:t>
            </w:r>
          </w:p>
        </w:tc>
        <w:tc>
          <w:tcPr>
            <w:tcW w:w="3871" w:type="dxa"/>
          </w:tcPr>
          <w:p w:rsidR="000A597B" w:rsidRPr="000A597B" w:rsidRDefault="000A597B" w:rsidP="000A597B">
            <w:pPr>
              <w:pStyle w:val="SingleTxtGR"/>
              <w:tabs>
                <w:tab w:val="clear" w:pos="1701"/>
                <w:tab w:val="clear" w:pos="2268"/>
                <w:tab w:val="clear" w:pos="2835"/>
                <w:tab w:val="clear" w:pos="3402"/>
                <w:tab w:val="clear" w:pos="3969"/>
              </w:tabs>
              <w:ind w:left="0" w:right="45"/>
              <w:jc w:val="left"/>
            </w:pPr>
            <w:proofErr w:type="spellStart"/>
            <w:r w:rsidRPr="000A597B">
              <w:t>Kaзахстан</w:t>
            </w:r>
            <w:proofErr w:type="spellEnd"/>
            <w:r w:rsidRPr="000A597B">
              <w:t xml:space="preserve"> </w:t>
            </w:r>
          </w:p>
        </w:tc>
      </w:tr>
      <w:tr w:rsidR="000A597B" w:rsidRPr="000A597B" w:rsidTr="000A597B">
        <w:tc>
          <w:tcPr>
            <w:tcW w:w="2933" w:type="dxa"/>
          </w:tcPr>
          <w:p w:rsidR="000A597B" w:rsidRPr="000A597B" w:rsidRDefault="000A597B" w:rsidP="000A597B">
            <w:pPr>
              <w:spacing w:after="120"/>
              <w:rPr>
                <w:i/>
              </w:rPr>
            </w:pPr>
            <w:r w:rsidRPr="000A597B">
              <w:rPr>
                <w:i/>
              </w:rPr>
              <w:t>Дата сообщения:</w:t>
            </w:r>
          </w:p>
        </w:tc>
        <w:tc>
          <w:tcPr>
            <w:tcW w:w="3871" w:type="dxa"/>
          </w:tcPr>
          <w:p w:rsidR="000A597B" w:rsidRPr="000A597B" w:rsidRDefault="000A597B" w:rsidP="000A597B">
            <w:pPr>
              <w:spacing w:after="120"/>
            </w:pPr>
            <w:r w:rsidRPr="000A597B">
              <w:t xml:space="preserve">30 июня 2010 года </w:t>
            </w:r>
            <w:r>
              <w:br/>
            </w:r>
            <w:r w:rsidRPr="000A597B">
              <w:t>(первоначальное представление)</w:t>
            </w:r>
          </w:p>
        </w:tc>
      </w:tr>
      <w:tr w:rsidR="000A597B" w:rsidRPr="000A597B" w:rsidTr="000A597B">
        <w:tc>
          <w:tcPr>
            <w:tcW w:w="2933" w:type="dxa"/>
          </w:tcPr>
          <w:p w:rsidR="000A597B" w:rsidRPr="000A597B" w:rsidRDefault="000A597B" w:rsidP="000A597B">
            <w:pPr>
              <w:spacing w:after="120"/>
              <w:rPr>
                <w:i/>
              </w:rPr>
            </w:pPr>
            <w:r w:rsidRPr="000A597B">
              <w:rPr>
                <w:i/>
              </w:rPr>
              <w:t>Справочная документация:</w:t>
            </w:r>
          </w:p>
        </w:tc>
        <w:tc>
          <w:tcPr>
            <w:tcW w:w="3871" w:type="dxa"/>
          </w:tcPr>
          <w:p w:rsidR="000A597B" w:rsidRPr="000A597B" w:rsidRDefault="000A597B" w:rsidP="000A597B">
            <w:pPr>
              <w:spacing w:after="120"/>
            </w:pPr>
            <w:r w:rsidRPr="000A597B">
              <w:t>Решение Специального докладчика в соответствии с правилом 97 правил процедуры, препровожденное государству-участнику 14 марта 2012 года (в виде документа не издавалось)</w:t>
            </w:r>
          </w:p>
        </w:tc>
      </w:tr>
      <w:tr w:rsidR="000A597B" w:rsidRPr="000A597B" w:rsidTr="000A597B">
        <w:tc>
          <w:tcPr>
            <w:tcW w:w="2933" w:type="dxa"/>
          </w:tcPr>
          <w:p w:rsidR="000A597B" w:rsidRPr="000A597B" w:rsidRDefault="000A597B" w:rsidP="000A597B">
            <w:pPr>
              <w:spacing w:after="120"/>
              <w:rPr>
                <w:i/>
              </w:rPr>
            </w:pPr>
            <w:r w:rsidRPr="000A597B">
              <w:rPr>
                <w:i/>
              </w:rPr>
              <w:t xml:space="preserve">Дата принятия </w:t>
            </w:r>
            <w:proofErr w:type="spellStart"/>
            <w:r w:rsidRPr="000A597B">
              <w:rPr>
                <w:i/>
              </w:rPr>
              <w:t>Cоображений</w:t>
            </w:r>
            <w:proofErr w:type="spellEnd"/>
            <w:r w:rsidRPr="000A597B">
              <w:rPr>
                <w:i/>
              </w:rPr>
              <w:t>:</w:t>
            </w:r>
          </w:p>
        </w:tc>
        <w:tc>
          <w:tcPr>
            <w:tcW w:w="3871" w:type="dxa"/>
            <w:vAlign w:val="bottom"/>
          </w:tcPr>
          <w:p w:rsidR="000A597B" w:rsidRPr="000A597B" w:rsidRDefault="000A597B" w:rsidP="000A597B">
            <w:pPr>
              <w:spacing w:after="120"/>
            </w:pPr>
            <w:r w:rsidRPr="000A597B">
              <w:t>21 октября 2014 года</w:t>
            </w:r>
          </w:p>
        </w:tc>
      </w:tr>
      <w:tr w:rsidR="000A597B" w:rsidRPr="000A597B" w:rsidTr="000A597B">
        <w:tc>
          <w:tcPr>
            <w:tcW w:w="2933" w:type="dxa"/>
          </w:tcPr>
          <w:p w:rsidR="000A597B" w:rsidRPr="000A597B" w:rsidRDefault="000A597B" w:rsidP="000A597B">
            <w:pPr>
              <w:spacing w:after="120"/>
              <w:rPr>
                <w:i/>
              </w:rPr>
            </w:pPr>
            <w:r w:rsidRPr="000A597B">
              <w:rPr>
                <w:i/>
                <w:iCs/>
              </w:rPr>
              <w:t>Тема сообщения:</w:t>
            </w:r>
          </w:p>
        </w:tc>
        <w:tc>
          <w:tcPr>
            <w:tcW w:w="3871" w:type="dxa"/>
          </w:tcPr>
          <w:p w:rsidR="000A597B" w:rsidRPr="000A597B" w:rsidRDefault="000A597B" w:rsidP="000A597B">
            <w:pPr>
              <w:spacing w:after="120"/>
            </w:pPr>
            <w:r w:rsidRPr="000A597B">
              <w:t>арест, признание виновной в административном правонар</w:t>
            </w:r>
            <w:r w:rsidRPr="000A597B">
              <w:t>у</w:t>
            </w:r>
            <w:r w:rsidRPr="000A597B">
              <w:t>шении и наложение штрафа за проведение массового  художественного мер</w:t>
            </w:r>
            <w:r w:rsidRPr="000A597B">
              <w:t>о</w:t>
            </w:r>
            <w:r w:rsidRPr="000A597B">
              <w:t>приятия (</w:t>
            </w:r>
            <w:proofErr w:type="spellStart"/>
            <w:r w:rsidRPr="000A597B">
              <w:t>арт-моба</w:t>
            </w:r>
            <w:proofErr w:type="spellEnd"/>
            <w:r w:rsidRPr="000A597B">
              <w:t>)</w:t>
            </w:r>
          </w:p>
        </w:tc>
      </w:tr>
      <w:tr w:rsidR="000A597B" w:rsidRPr="000A597B" w:rsidTr="000A597B">
        <w:tc>
          <w:tcPr>
            <w:tcW w:w="2933" w:type="dxa"/>
          </w:tcPr>
          <w:p w:rsidR="000A597B" w:rsidRPr="000A597B" w:rsidRDefault="000A597B" w:rsidP="000A597B">
            <w:pPr>
              <w:spacing w:after="120"/>
              <w:rPr>
                <w:i/>
                <w:iCs/>
              </w:rPr>
            </w:pPr>
            <w:r w:rsidRPr="000A597B">
              <w:rPr>
                <w:i/>
                <w:iCs/>
              </w:rPr>
              <w:t>Процедурные вопросы</w:t>
            </w:r>
            <w:r w:rsidRPr="000A597B">
              <w:rPr>
                <w:i/>
              </w:rPr>
              <w:t>:</w:t>
            </w:r>
          </w:p>
        </w:tc>
        <w:tc>
          <w:tcPr>
            <w:tcW w:w="3871" w:type="dxa"/>
          </w:tcPr>
          <w:p w:rsidR="000A597B" w:rsidRPr="000A597B" w:rsidRDefault="000A597B" w:rsidP="000A597B">
            <w:pPr>
              <w:spacing w:after="120"/>
            </w:pPr>
            <w:r w:rsidRPr="000A597B">
              <w:t>обоснование жалоб</w:t>
            </w:r>
          </w:p>
        </w:tc>
      </w:tr>
      <w:tr w:rsidR="000A597B" w:rsidRPr="000A597B" w:rsidTr="000A597B">
        <w:tc>
          <w:tcPr>
            <w:tcW w:w="2933" w:type="dxa"/>
          </w:tcPr>
          <w:p w:rsidR="000A597B" w:rsidRPr="000A597B" w:rsidRDefault="000A597B" w:rsidP="000A597B">
            <w:pPr>
              <w:spacing w:after="120"/>
              <w:rPr>
                <w:i/>
                <w:iCs/>
              </w:rPr>
            </w:pPr>
            <w:r w:rsidRPr="000A597B">
              <w:rPr>
                <w:i/>
                <w:iCs/>
              </w:rPr>
              <w:t>Вопросы существа:</w:t>
            </w:r>
          </w:p>
        </w:tc>
        <w:tc>
          <w:tcPr>
            <w:tcW w:w="3871" w:type="dxa"/>
          </w:tcPr>
          <w:p w:rsidR="000A597B" w:rsidRPr="000A597B" w:rsidRDefault="000A597B" w:rsidP="000A597B">
            <w:pPr>
              <w:spacing w:after="120"/>
            </w:pPr>
            <w:r w:rsidRPr="000A597B">
              <w:t>произвольное задержание; свобода передвижения; свобода выражения мнений; свобода ассоциации</w:t>
            </w:r>
          </w:p>
        </w:tc>
      </w:tr>
      <w:tr w:rsidR="000A597B" w:rsidRPr="000A597B" w:rsidTr="000A597B">
        <w:tc>
          <w:tcPr>
            <w:tcW w:w="2933" w:type="dxa"/>
          </w:tcPr>
          <w:p w:rsidR="000A597B" w:rsidRPr="000A597B" w:rsidRDefault="000A597B" w:rsidP="000A597B">
            <w:pPr>
              <w:spacing w:after="120"/>
              <w:rPr>
                <w:i/>
                <w:iCs/>
              </w:rPr>
            </w:pPr>
            <w:r w:rsidRPr="000A597B">
              <w:rPr>
                <w:i/>
                <w:iCs/>
              </w:rPr>
              <w:t>Статьи Пакта</w:t>
            </w:r>
            <w:r w:rsidRPr="000A597B">
              <w:rPr>
                <w:i/>
              </w:rPr>
              <w:t>:</w:t>
            </w:r>
          </w:p>
        </w:tc>
        <w:tc>
          <w:tcPr>
            <w:tcW w:w="3871" w:type="dxa"/>
          </w:tcPr>
          <w:p w:rsidR="000A597B" w:rsidRPr="000A597B" w:rsidRDefault="000A597B" w:rsidP="000A597B">
            <w:pPr>
              <w:spacing w:after="120"/>
            </w:pPr>
            <w:r w:rsidRPr="000A597B">
              <w:t>9, 12, 19 и 21</w:t>
            </w:r>
          </w:p>
        </w:tc>
      </w:tr>
      <w:tr w:rsidR="000A597B" w:rsidRPr="000A597B" w:rsidTr="000A597B">
        <w:tc>
          <w:tcPr>
            <w:tcW w:w="2933" w:type="dxa"/>
          </w:tcPr>
          <w:p w:rsidR="000A597B" w:rsidRPr="000A597B" w:rsidRDefault="000A597B" w:rsidP="000A597B">
            <w:pPr>
              <w:spacing w:after="120"/>
              <w:rPr>
                <w:i/>
                <w:iCs/>
              </w:rPr>
            </w:pPr>
            <w:r w:rsidRPr="000A597B">
              <w:rPr>
                <w:i/>
                <w:iCs/>
              </w:rPr>
              <w:t>Статьи Факультативного протокола:</w:t>
            </w:r>
          </w:p>
        </w:tc>
        <w:tc>
          <w:tcPr>
            <w:tcW w:w="3871" w:type="dxa"/>
          </w:tcPr>
          <w:p w:rsidR="000A597B" w:rsidRPr="000A597B" w:rsidRDefault="000A597B" w:rsidP="000A597B">
            <w:pPr>
              <w:spacing w:after="120"/>
            </w:pPr>
            <w:r w:rsidRPr="000A597B">
              <w:t>2 и 5</w:t>
            </w:r>
          </w:p>
        </w:tc>
      </w:tr>
    </w:tbl>
    <w:p w:rsidR="000A597B" w:rsidRPr="000A597B" w:rsidRDefault="000A597B" w:rsidP="000A597B">
      <w:pPr>
        <w:pStyle w:val="SingleTxtGR"/>
      </w:pPr>
    </w:p>
    <w:p w:rsidR="000A597B" w:rsidRPr="000A597B" w:rsidRDefault="000A597B" w:rsidP="000A597B">
      <w:pPr>
        <w:pStyle w:val="HChGR"/>
      </w:pPr>
      <w:r w:rsidRPr="000A597B">
        <w:t>Приложение</w:t>
      </w:r>
    </w:p>
    <w:p w:rsidR="000A597B" w:rsidRPr="000A597B" w:rsidRDefault="000A597B" w:rsidP="000A597B">
      <w:pPr>
        <w:pStyle w:val="HChGR"/>
      </w:pPr>
      <w:r w:rsidRPr="000A597B">
        <w:tab/>
      </w:r>
      <w:r w:rsidRPr="000A597B">
        <w:tab/>
        <w:t>Соображения Комитета по правам человека в соответствии с</w:t>
      </w:r>
      <w:r>
        <w:t xml:space="preserve"> </w:t>
      </w:r>
      <w:r w:rsidRPr="000A597B">
        <w:t>пунктом 4 статьи 5 Факультативного протокола к</w:t>
      </w:r>
      <w:r>
        <w:t xml:space="preserve"> </w:t>
      </w:r>
      <w:r w:rsidRPr="000A597B">
        <w:t>Международному пакту о гражданских и политических правах (112-я сессия)</w:t>
      </w:r>
    </w:p>
    <w:p w:rsidR="000A597B" w:rsidRPr="000A597B" w:rsidRDefault="000A597B" w:rsidP="000A597B">
      <w:pPr>
        <w:pStyle w:val="SingleTxtGR"/>
      </w:pPr>
      <w:r w:rsidRPr="000A597B">
        <w:t>относительно</w:t>
      </w:r>
    </w:p>
    <w:p w:rsidR="000A597B" w:rsidRPr="000A597B" w:rsidRDefault="000A597B" w:rsidP="000A597B">
      <w:pPr>
        <w:pStyle w:val="H1GR"/>
        <w:rPr>
          <w:i/>
        </w:rPr>
      </w:pPr>
      <w:r w:rsidRPr="000A597B">
        <w:tab/>
      </w:r>
      <w:r w:rsidRPr="000A597B">
        <w:tab/>
      </w:r>
      <w:proofErr w:type="spellStart"/>
      <w:r w:rsidRPr="000A597B">
        <w:t>Coобщения</w:t>
      </w:r>
      <w:proofErr w:type="spellEnd"/>
      <w:r w:rsidRPr="000A597B">
        <w:t xml:space="preserve"> № 2137/2012</w:t>
      </w:r>
      <w:r w:rsidRPr="000A597B">
        <w:rPr>
          <w:b w:val="0"/>
          <w:bCs/>
          <w:sz w:val="20"/>
        </w:rPr>
        <w:footnoteReference w:customMarkFollows="1" w:id="1"/>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0A597B" w:rsidRPr="000A597B" w:rsidTr="000A597B">
        <w:tc>
          <w:tcPr>
            <w:tcW w:w="2933" w:type="dxa"/>
          </w:tcPr>
          <w:p w:rsidR="000A597B" w:rsidRPr="000A597B" w:rsidRDefault="000A597B" w:rsidP="000A597B">
            <w:pPr>
              <w:spacing w:after="120"/>
              <w:rPr>
                <w:i/>
              </w:rPr>
            </w:pPr>
            <w:r w:rsidRPr="000A597B">
              <w:rPr>
                <w:i/>
              </w:rPr>
              <w:t>Представлено:</w:t>
            </w:r>
          </w:p>
        </w:tc>
        <w:tc>
          <w:tcPr>
            <w:tcW w:w="3871" w:type="dxa"/>
          </w:tcPr>
          <w:p w:rsidR="000A597B" w:rsidRPr="000A597B" w:rsidRDefault="000A597B" w:rsidP="000A597B">
            <w:pPr>
              <w:pStyle w:val="SingleTxtGR"/>
              <w:tabs>
                <w:tab w:val="clear" w:pos="1701"/>
                <w:tab w:val="clear" w:pos="2268"/>
                <w:tab w:val="clear" w:pos="2835"/>
                <w:tab w:val="clear" w:pos="3402"/>
                <w:tab w:val="clear" w:pos="3969"/>
              </w:tabs>
              <w:ind w:left="0" w:right="45"/>
              <w:jc w:val="left"/>
            </w:pPr>
            <w:proofErr w:type="spellStart"/>
            <w:r w:rsidRPr="000A597B">
              <w:t>Бахытжан</w:t>
            </w:r>
            <w:proofErr w:type="spellEnd"/>
            <w:r w:rsidRPr="000A597B">
              <w:t xml:space="preserve"> </w:t>
            </w:r>
            <w:proofErr w:type="spellStart"/>
            <w:r w:rsidRPr="000A597B">
              <w:t>Торегожиной</w:t>
            </w:r>
            <w:proofErr w:type="spellEnd"/>
            <w:r w:rsidRPr="000A597B">
              <w:t xml:space="preserve"> </w:t>
            </w:r>
            <w:r>
              <w:br/>
            </w:r>
            <w:r w:rsidRPr="000A597B">
              <w:rPr>
                <w:bCs/>
              </w:rPr>
              <w:t>(не представлена адвокатом)</w:t>
            </w:r>
          </w:p>
        </w:tc>
      </w:tr>
      <w:tr w:rsidR="000A597B" w:rsidRPr="000A597B" w:rsidTr="000A597B">
        <w:tc>
          <w:tcPr>
            <w:tcW w:w="2933" w:type="dxa"/>
          </w:tcPr>
          <w:p w:rsidR="000A597B" w:rsidRPr="000A597B" w:rsidRDefault="000A597B" w:rsidP="000A597B">
            <w:pPr>
              <w:spacing w:after="120"/>
              <w:rPr>
                <w:i/>
              </w:rPr>
            </w:pPr>
            <w:r w:rsidRPr="000A597B">
              <w:rPr>
                <w:i/>
              </w:rPr>
              <w:t>Предполагаемая жертва:</w:t>
            </w:r>
          </w:p>
        </w:tc>
        <w:tc>
          <w:tcPr>
            <w:tcW w:w="3871" w:type="dxa"/>
          </w:tcPr>
          <w:p w:rsidR="000A597B" w:rsidRPr="000A597B" w:rsidRDefault="000A597B" w:rsidP="000A597B">
            <w:pPr>
              <w:pStyle w:val="SingleTxtGR"/>
              <w:tabs>
                <w:tab w:val="clear" w:pos="1701"/>
                <w:tab w:val="clear" w:pos="2268"/>
                <w:tab w:val="clear" w:pos="2835"/>
                <w:tab w:val="clear" w:pos="3402"/>
                <w:tab w:val="clear" w:pos="3969"/>
              </w:tabs>
              <w:ind w:left="0" w:right="45"/>
              <w:jc w:val="left"/>
            </w:pPr>
            <w:r w:rsidRPr="000A597B">
              <w:t xml:space="preserve">автор </w:t>
            </w:r>
          </w:p>
        </w:tc>
      </w:tr>
      <w:tr w:rsidR="000A597B" w:rsidRPr="000A597B" w:rsidTr="000A597B">
        <w:tc>
          <w:tcPr>
            <w:tcW w:w="2933" w:type="dxa"/>
          </w:tcPr>
          <w:p w:rsidR="000A597B" w:rsidRPr="000A597B" w:rsidRDefault="000A597B" w:rsidP="000A597B">
            <w:pPr>
              <w:spacing w:after="120"/>
              <w:rPr>
                <w:i/>
              </w:rPr>
            </w:pPr>
            <w:r w:rsidRPr="000A597B">
              <w:rPr>
                <w:i/>
              </w:rPr>
              <w:t>Государство-участник:</w:t>
            </w:r>
          </w:p>
        </w:tc>
        <w:tc>
          <w:tcPr>
            <w:tcW w:w="3871" w:type="dxa"/>
          </w:tcPr>
          <w:p w:rsidR="000A597B" w:rsidRPr="000A597B" w:rsidRDefault="000A597B" w:rsidP="000A597B">
            <w:pPr>
              <w:pStyle w:val="SingleTxtGR"/>
              <w:tabs>
                <w:tab w:val="clear" w:pos="1701"/>
                <w:tab w:val="clear" w:pos="2268"/>
                <w:tab w:val="clear" w:pos="2835"/>
                <w:tab w:val="clear" w:pos="3402"/>
                <w:tab w:val="clear" w:pos="3969"/>
              </w:tabs>
              <w:ind w:left="0" w:right="45"/>
              <w:jc w:val="left"/>
            </w:pPr>
            <w:proofErr w:type="spellStart"/>
            <w:r w:rsidRPr="000A597B">
              <w:t>Kaзахстан</w:t>
            </w:r>
            <w:proofErr w:type="spellEnd"/>
            <w:r w:rsidRPr="000A597B">
              <w:t xml:space="preserve"> </w:t>
            </w:r>
          </w:p>
        </w:tc>
      </w:tr>
      <w:tr w:rsidR="000A597B" w:rsidRPr="000A597B" w:rsidTr="000A597B">
        <w:tc>
          <w:tcPr>
            <w:tcW w:w="2933" w:type="dxa"/>
          </w:tcPr>
          <w:p w:rsidR="000A597B" w:rsidRPr="000A597B" w:rsidRDefault="000A597B" w:rsidP="000A597B">
            <w:pPr>
              <w:spacing w:after="120"/>
              <w:rPr>
                <w:i/>
              </w:rPr>
            </w:pPr>
            <w:r w:rsidRPr="000A597B">
              <w:rPr>
                <w:i/>
              </w:rPr>
              <w:t>Дата сообщения:</w:t>
            </w:r>
          </w:p>
        </w:tc>
        <w:tc>
          <w:tcPr>
            <w:tcW w:w="3871" w:type="dxa"/>
          </w:tcPr>
          <w:p w:rsidR="000A597B" w:rsidRPr="000A597B" w:rsidRDefault="000A597B" w:rsidP="000A597B">
            <w:pPr>
              <w:spacing w:after="120"/>
            </w:pPr>
            <w:r w:rsidRPr="000A597B">
              <w:t xml:space="preserve">30 июня 2010 года </w:t>
            </w:r>
            <w:r>
              <w:br/>
            </w:r>
            <w:r w:rsidRPr="000A597B">
              <w:t>(первоначальное представление)</w:t>
            </w:r>
          </w:p>
        </w:tc>
      </w:tr>
    </w:tbl>
    <w:p w:rsidR="000A597B" w:rsidRPr="000A597B" w:rsidRDefault="000A597B" w:rsidP="00C47A4D">
      <w:pPr>
        <w:pStyle w:val="SingleTxtGR"/>
        <w:ind w:left="1132"/>
      </w:pPr>
      <w:r w:rsidRPr="000A597B">
        <w:rPr>
          <w:i/>
        </w:rPr>
        <w:tab/>
        <w:t>Комитет по правам человека</w:t>
      </w:r>
      <w:r w:rsidRPr="000A597B">
        <w:t>, учрежденный в соответствии со статьей 28 Международного пакта о гражданских и политических правах,</w:t>
      </w:r>
    </w:p>
    <w:p w:rsidR="000A597B" w:rsidRPr="000A597B" w:rsidRDefault="000A597B" w:rsidP="00C47A4D">
      <w:pPr>
        <w:pStyle w:val="SingleTxtGR"/>
        <w:ind w:left="1132"/>
      </w:pPr>
      <w:r w:rsidRPr="000A597B">
        <w:rPr>
          <w:i/>
        </w:rPr>
        <w:tab/>
        <w:t xml:space="preserve">на своем заседании </w:t>
      </w:r>
      <w:r w:rsidRPr="000A597B">
        <w:t>21 октября 2014 года,</w:t>
      </w:r>
    </w:p>
    <w:p w:rsidR="000A597B" w:rsidRPr="000A597B" w:rsidRDefault="000A597B" w:rsidP="00C47A4D">
      <w:pPr>
        <w:pStyle w:val="SingleTxtGR"/>
        <w:ind w:left="1132"/>
      </w:pPr>
      <w:r w:rsidRPr="000A597B">
        <w:tab/>
      </w:r>
      <w:r w:rsidRPr="000A597B">
        <w:rPr>
          <w:i/>
        </w:rPr>
        <w:t>завершив</w:t>
      </w:r>
      <w:r w:rsidRPr="000A597B">
        <w:t xml:space="preserve"> рассмотрение сообщения № 2137/2012, представленного </w:t>
      </w:r>
      <w:proofErr w:type="spellStart"/>
      <w:r w:rsidRPr="000A597B">
        <w:t>Б</w:t>
      </w:r>
      <w:r w:rsidRPr="000A597B">
        <w:t>а</w:t>
      </w:r>
      <w:r w:rsidRPr="000A597B">
        <w:t>хытжан</w:t>
      </w:r>
      <w:proofErr w:type="spellEnd"/>
      <w:r w:rsidRPr="000A597B">
        <w:t xml:space="preserve"> </w:t>
      </w:r>
      <w:proofErr w:type="spellStart"/>
      <w:r w:rsidRPr="000A597B">
        <w:t>Торегожиной</w:t>
      </w:r>
      <w:proofErr w:type="spellEnd"/>
      <w:r w:rsidRPr="000A597B">
        <w:t xml:space="preserve"> в соответствии с Факультативным протоколом к Межд</w:t>
      </w:r>
      <w:r w:rsidRPr="000A597B">
        <w:t>у</w:t>
      </w:r>
      <w:r w:rsidRPr="000A597B">
        <w:t>народному пакту о гражданских и политических правах,</w:t>
      </w:r>
    </w:p>
    <w:p w:rsidR="000A597B" w:rsidRPr="000A597B" w:rsidRDefault="000A597B" w:rsidP="00C47A4D">
      <w:pPr>
        <w:pStyle w:val="SingleTxtGR"/>
        <w:ind w:left="1132"/>
      </w:pPr>
      <w:r w:rsidRPr="000A597B">
        <w:tab/>
      </w:r>
      <w:r w:rsidRPr="000A597B">
        <w:rPr>
          <w:i/>
        </w:rPr>
        <w:t>приняв во внимание</w:t>
      </w:r>
      <w:r w:rsidRPr="000A597B">
        <w:t xml:space="preserve"> всю письменную информацию, представленную ему автором сообщения и государством-участником,</w:t>
      </w:r>
    </w:p>
    <w:p w:rsidR="000A597B" w:rsidRPr="000A597B" w:rsidRDefault="000A597B" w:rsidP="00C47A4D">
      <w:pPr>
        <w:pStyle w:val="SingleTxtGR"/>
      </w:pPr>
      <w:r w:rsidRPr="000A597B">
        <w:tab/>
      </w:r>
      <w:r w:rsidRPr="000A597B">
        <w:rPr>
          <w:i/>
        </w:rPr>
        <w:t>принимает</w:t>
      </w:r>
      <w:r w:rsidRPr="000A597B">
        <w:t xml:space="preserve"> следующее</w:t>
      </w:r>
      <w:r w:rsidRPr="000A597B">
        <w:rPr>
          <w:iCs/>
        </w:rPr>
        <w:t>:</w:t>
      </w:r>
    </w:p>
    <w:p w:rsidR="000A597B" w:rsidRPr="000A597B" w:rsidRDefault="000A597B" w:rsidP="00C47A4D">
      <w:pPr>
        <w:pStyle w:val="H1GR"/>
      </w:pPr>
      <w:r w:rsidRPr="000A597B">
        <w:tab/>
      </w:r>
      <w:r w:rsidRPr="000A597B">
        <w:tab/>
        <w:t xml:space="preserve">Соображения в соответствии с пунктом 4 статьи 5 Факультативного протокола </w:t>
      </w:r>
    </w:p>
    <w:p w:rsidR="000A597B" w:rsidRPr="000A597B" w:rsidRDefault="000A597B" w:rsidP="000A597B">
      <w:pPr>
        <w:pStyle w:val="SingleTxtGR"/>
      </w:pPr>
      <w:r w:rsidRPr="000A597B">
        <w:t>1.</w:t>
      </w:r>
      <w:r w:rsidRPr="000A597B">
        <w:tab/>
        <w:t xml:space="preserve">Автором сообщения является </w:t>
      </w:r>
      <w:proofErr w:type="spellStart"/>
      <w:r w:rsidRPr="000A597B">
        <w:t>Бахытжан</w:t>
      </w:r>
      <w:proofErr w:type="spellEnd"/>
      <w:r w:rsidRPr="000A597B">
        <w:t xml:space="preserve"> </w:t>
      </w:r>
      <w:proofErr w:type="spellStart"/>
      <w:r w:rsidRPr="000A597B">
        <w:t>Амангалиевна</w:t>
      </w:r>
      <w:proofErr w:type="spellEnd"/>
      <w:r w:rsidRPr="000A597B">
        <w:t xml:space="preserve"> </w:t>
      </w:r>
      <w:proofErr w:type="spellStart"/>
      <w:r w:rsidRPr="000A597B">
        <w:t>Торегожина</w:t>
      </w:r>
      <w:proofErr w:type="spellEnd"/>
      <w:r w:rsidRPr="000A597B">
        <w:t>, гр</w:t>
      </w:r>
      <w:r w:rsidRPr="000A597B">
        <w:t>а</w:t>
      </w:r>
      <w:r w:rsidRPr="000A597B">
        <w:t>жданка Казахстана, родившаяся 23 марта 1962 года. Автор утверждает, что К</w:t>
      </w:r>
      <w:r w:rsidRPr="000A597B">
        <w:t>а</w:t>
      </w:r>
      <w:r w:rsidRPr="000A597B">
        <w:t>захстан нарушил ее права, предусмотренные статьями 9 (пункт 1), 12 (пункт 1), 19 и 21 Международного пакта о гражданских и политических правах</w:t>
      </w:r>
      <w:r w:rsidRPr="00F521EE">
        <w:rPr>
          <w:sz w:val="18"/>
          <w:vertAlign w:val="superscript"/>
        </w:rPr>
        <w:footnoteReference w:id="2"/>
      </w:r>
      <w:r w:rsidR="00C47A4D">
        <w:t>.</w:t>
      </w:r>
      <w:r w:rsidRPr="000A597B">
        <w:t xml:space="preserve"> Автор не представлена адвокатом.</w:t>
      </w:r>
    </w:p>
    <w:p w:rsidR="000A597B" w:rsidRPr="000A597B" w:rsidRDefault="000A597B" w:rsidP="000A597B">
      <w:pPr>
        <w:pStyle w:val="H23GR"/>
      </w:pPr>
      <w:r w:rsidRPr="000A597B">
        <w:tab/>
      </w:r>
      <w:r w:rsidRPr="000A597B">
        <w:tab/>
        <w:t xml:space="preserve">Факты в изложении автора </w:t>
      </w:r>
    </w:p>
    <w:p w:rsidR="000A597B" w:rsidRPr="000A597B" w:rsidRDefault="000A597B" w:rsidP="000A597B">
      <w:pPr>
        <w:pStyle w:val="SingleTxtGR"/>
      </w:pPr>
      <w:r w:rsidRPr="000A597B">
        <w:t>2.1</w:t>
      </w:r>
      <w:r w:rsidRPr="000A597B">
        <w:tab/>
        <w:t xml:space="preserve">Автор является руководителем неправительственной организации </w:t>
      </w:r>
      <w:r w:rsidR="00C47A4D">
        <w:t>"</w:t>
      </w:r>
      <w:proofErr w:type="spellStart"/>
      <w:r w:rsidRPr="000A597B">
        <w:t>Ар.Рух.Хак</w:t>
      </w:r>
      <w:proofErr w:type="spellEnd"/>
      <w:r w:rsidR="00C47A4D">
        <w:t>"</w:t>
      </w:r>
      <w:r w:rsidRPr="000A597B">
        <w:t>. 1 марта 2010 года в связи с проведением Дня гражданского неп</w:t>
      </w:r>
      <w:r w:rsidRPr="000A597B">
        <w:t>о</w:t>
      </w:r>
      <w:r w:rsidRPr="000A597B">
        <w:t>виновения эта организация провела у памятника Махатме Ганди массовое х</w:t>
      </w:r>
      <w:r w:rsidRPr="000A597B">
        <w:t>у</w:t>
      </w:r>
      <w:r w:rsidRPr="000A597B">
        <w:t>дожественное мероприятие (</w:t>
      </w:r>
      <w:proofErr w:type="spellStart"/>
      <w:r w:rsidRPr="000A597B">
        <w:t>арт-моб</w:t>
      </w:r>
      <w:proofErr w:type="spellEnd"/>
      <w:r w:rsidRPr="000A597B">
        <w:t>), чтобы привлечь внимание общественн</w:t>
      </w:r>
      <w:r w:rsidRPr="000A597B">
        <w:t>о</w:t>
      </w:r>
      <w:r w:rsidRPr="000A597B">
        <w:t>сти к вопросам духовного руководства и продемонстрировать такие качества, как гуманизм, демократия, социальная справедливость и мораль. В ходе мер</w:t>
      </w:r>
      <w:r w:rsidRPr="000A597B">
        <w:t>о</w:t>
      </w:r>
      <w:r w:rsidRPr="000A597B">
        <w:t>приятия власти не предприняли никаких действий, но в полдень 16 марта 2010 года 20 сотрудников полиции прибыли в офис автора и арестовали ее. А</w:t>
      </w:r>
      <w:r w:rsidRPr="000A597B">
        <w:t>в</w:t>
      </w:r>
      <w:r w:rsidRPr="000A597B">
        <w:t>тору сообщили, что она будет задержана на 48 часов на основании статьи 620 Административно-процессуального кодекса, предусматривающей применение административного задержания с целью прекращения административного пр</w:t>
      </w:r>
      <w:r w:rsidRPr="000A597B">
        <w:t>а</w:t>
      </w:r>
      <w:r w:rsidRPr="000A597B">
        <w:t>вонарушения. Автор утверждает, что ее задержание было незаконным, поскол</w:t>
      </w:r>
      <w:r w:rsidRPr="000A597B">
        <w:t>ь</w:t>
      </w:r>
      <w:r w:rsidRPr="000A597B">
        <w:t>ку, находясь в момент задержания в офисе, она не совершала каких-либо нар</w:t>
      </w:r>
      <w:r w:rsidRPr="000A597B">
        <w:t>у</w:t>
      </w:r>
      <w:r w:rsidRPr="000A597B">
        <w:t>шений. Автор заявляет, что 2 апреля 2010 года она направила жалобу на нез</w:t>
      </w:r>
      <w:r w:rsidRPr="000A597B">
        <w:t>а</w:t>
      </w:r>
      <w:r w:rsidRPr="000A597B">
        <w:t xml:space="preserve">конный арест в Генеральную прокуратуру, сотрудники которой передали ее в Департамент государственной безопасности Министерства внутренних дел. </w:t>
      </w:r>
    </w:p>
    <w:p w:rsidR="000A597B" w:rsidRPr="000A597B" w:rsidRDefault="000A597B" w:rsidP="000A597B">
      <w:pPr>
        <w:pStyle w:val="SingleTxtGR"/>
      </w:pPr>
      <w:r w:rsidRPr="000A597B">
        <w:t>2.2</w:t>
      </w:r>
      <w:r w:rsidRPr="000A597B">
        <w:tab/>
        <w:t>16 марта 2010 года Специализированный межрайонный администрати</w:t>
      </w:r>
      <w:r w:rsidRPr="000A597B">
        <w:t>в</w:t>
      </w:r>
      <w:r w:rsidRPr="000A597B">
        <w:t xml:space="preserve">ный суд </w:t>
      </w:r>
      <w:proofErr w:type="spellStart"/>
      <w:r w:rsidRPr="000A597B">
        <w:t>Алматы</w:t>
      </w:r>
      <w:proofErr w:type="spellEnd"/>
      <w:r w:rsidRPr="000A597B">
        <w:t xml:space="preserve"> вынес постановление, в котором признал автора виновной в проведении несанкционированного публичного мероприятия и обязал ее упл</w:t>
      </w:r>
      <w:r w:rsidRPr="000A597B">
        <w:t>а</w:t>
      </w:r>
      <w:r w:rsidRPr="000A597B">
        <w:t>тить штраф в размере 56 520 тенге. Автор сообщает, что, как указано в пост</w:t>
      </w:r>
      <w:r w:rsidRPr="000A597B">
        <w:t>а</w:t>
      </w:r>
      <w:r w:rsidRPr="000A597B">
        <w:t>новлении, она провела несанкционированный митинг граждан, и отмечает, что, поскольку в статье 2 Закона о порядке организации и проведения мирных со</w:t>
      </w:r>
      <w:r w:rsidRPr="000A597B">
        <w:t>б</w:t>
      </w:r>
      <w:r w:rsidRPr="000A597B">
        <w:t xml:space="preserve">раний, митингов, шествий, пикетов и демонстраций в Республике Казахстан не упомянуты </w:t>
      </w:r>
      <w:proofErr w:type="spellStart"/>
      <w:r w:rsidRPr="000A597B">
        <w:t>арт-мобы</w:t>
      </w:r>
      <w:proofErr w:type="spellEnd"/>
      <w:r w:rsidRPr="000A597B">
        <w:t>, для его проведения ей не требовалось запрашивать ра</w:t>
      </w:r>
      <w:r w:rsidRPr="000A597B">
        <w:t>з</w:t>
      </w:r>
      <w:r w:rsidRPr="000A597B">
        <w:t>решения властей.</w:t>
      </w:r>
    </w:p>
    <w:p w:rsidR="000A597B" w:rsidRPr="000A597B" w:rsidRDefault="000A597B" w:rsidP="000A597B">
      <w:pPr>
        <w:pStyle w:val="SingleTxtGR"/>
      </w:pPr>
      <w:r w:rsidRPr="000A597B">
        <w:t>2.3</w:t>
      </w:r>
      <w:r w:rsidRPr="000A597B">
        <w:tab/>
        <w:t>26 марта 2010 года автор обжаловала это постановление суда первой и</w:t>
      </w:r>
      <w:r w:rsidRPr="000A597B">
        <w:t>н</w:t>
      </w:r>
      <w:r w:rsidRPr="000A597B">
        <w:t xml:space="preserve">станции в Апелляционном суде </w:t>
      </w:r>
      <w:proofErr w:type="spellStart"/>
      <w:r w:rsidRPr="000A597B">
        <w:t>Алматы</w:t>
      </w:r>
      <w:proofErr w:type="spellEnd"/>
      <w:r w:rsidRPr="000A597B">
        <w:t>, который 6 апреля 2010 года отклонил ее апелляцию. 17 мая 2010 года автор обратилась в Генеральную прокуратуру с ходатайством о проведении процедуры проверки вынесенного решения, которая была отклонена 21 июня 2010 года.</w:t>
      </w:r>
    </w:p>
    <w:p w:rsidR="000A597B" w:rsidRPr="000A597B" w:rsidRDefault="000A597B" w:rsidP="000A597B">
      <w:pPr>
        <w:pStyle w:val="SingleTxtGR"/>
      </w:pPr>
      <w:r w:rsidRPr="000A597B">
        <w:t>2.4</w:t>
      </w:r>
      <w:r w:rsidRPr="000A597B">
        <w:tab/>
        <w:t>Автор также сообщает, что 12 января 2010 года ее организация предст</w:t>
      </w:r>
      <w:r w:rsidRPr="000A597B">
        <w:t>а</w:t>
      </w:r>
      <w:r w:rsidRPr="000A597B">
        <w:t xml:space="preserve">вила заместителю </w:t>
      </w:r>
      <w:proofErr w:type="spellStart"/>
      <w:r w:rsidRPr="000A597B">
        <w:t>акима</w:t>
      </w:r>
      <w:proofErr w:type="spellEnd"/>
      <w:r w:rsidRPr="000A597B">
        <w:t xml:space="preserve"> </w:t>
      </w:r>
      <w:proofErr w:type="spellStart"/>
      <w:r w:rsidRPr="000A597B">
        <w:t>Алматы</w:t>
      </w:r>
      <w:proofErr w:type="spellEnd"/>
      <w:r w:rsidRPr="000A597B">
        <w:t xml:space="preserve"> на утверждение график мероприятий, которые она запланировала провести в 2015 году. В своем письме от 21 января 2010 года Департамент </w:t>
      </w:r>
      <w:proofErr w:type="spellStart"/>
      <w:r w:rsidRPr="000A597B">
        <w:t>Алматы</w:t>
      </w:r>
      <w:proofErr w:type="spellEnd"/>
      <w:r w:rsidRPr="000A597B">
        <w:t xml:space="preserve"> по делам молодежи указал, что в соответствии со стат</w:t>
      </w:r>
      <w:r w:rsidRPr="000A597B">
        <w:t>ь</w:t>
      </w:r>
      <w:r w:rsidRPr="000A597B">
        <w:t>ей</w:t>
      </w:r>
      <w:r w:rsidR="00F521EE">
        <w:t> </w:t>
      </w:r>
      <w:r w:rsidRPr="000A597B">
        <w:t>4 Закона об общественных объединениях государственным органам запр</w:t>
      </w:r>
      <w:r w:rsidRPr="000A597B">
        <w:t>е</w:t>
      </w:r>
      <w:r w:rsidRPr="000A597B">
        <w:t xml:space="preserve">щается вмешиваться в деятельность таких объединений. Автор утверждает, что, следовательно, </w:t>
      </w:r>
      <w:proofErr w:type="spellStart"/>
      <w:r w:rsidRPr="000A597B">
        <w:t>акимат</w:t>
      </w:r>
      <w:proofErr w:type="spellEnd"/>
      <w:r w:rsidRPr="000A597B">
        <w:t xml:space="preserve"> </w:t>
      </w:r>
      <w:proofErr w:type="spellStart"/>
      <w:r w:rsidRPr="000A597B">
        <w:t>Алматы</w:t>
      </w:r>
      <w:proofErr w:type="spellEnd"/>
      <w:r w:rsidRPr="000A597B">
        <w:t xml:space="preserve"> не уполномочен утверждать мероприятия, з</w:t>
      </w:r>
      <w:r w:rsidRPr="000A597B">
        <w:t>а</w:t>
      </w:r>
      <w:r w:rsidRPr="000A597B">
        <w:t>планированные неправительственными организациями. Автор отмечает, что она как глава неправительственной организации имела право проводить меропри</w:t>
      </w:r>
      <w:r w:rsidRPr="000A597B">
        <w:t>я</w:t>
      </w:r>
      <w:r w:rsidRPr="000A597B">
        <w:t>тия в соответствии с уставом этой организации, не обращаясь к властям за официальным разрешением. Она утверждает, что исчерпала все имеющиеся эффективные внутренние средства правовой защиты.</w:t>
      </w:r>
    </w:p>
    <w:p w:rsidR="000A597B" w:rsidRPr="000A597B" w:rsidRDefault="000A597B" w:rsidP="00A05D4D">
      <w:pPr>
        <w:pStyle w:val="H23GR"/>
      </w:pPr>
      <w:r w:rsidRPr="000A597B">
        <w:tab/>
      </w:r>
      <w:r w:rsidRPr="000A597B">
        <w:tab/>
        <w:t>Жалоба</w:t>
      </w:r>
    </w:p>
    <w:p w:rsidR="000A597B" w:rsidRPr="000A597B" w:rsidRDefault="000A597B" w:rsidP="000A597B">
      <w:pPr>
        <w:pStyle w:val="SingleTxtGR"/>
      </w:pPr>
      <w:r w:rsidRPr="000A597B">
        <w:t>3.1</w:t>
      </w:r>
      <w:r w:rsidRPr="000A597B">
        <w:tab/>
        <w:t xml:space="preserve">Автор заявляет, что ее арест и вынесение ей обвинительного приговора за организацию </w:t>
      </w:r>
      <w:proofErr w:type="spellStart"/>
      <w:r w:rsidRPr="000A597B">
        <w:t>арт-моба</w:t>
      </w:r>
      <w:proofErr w:type="spellEnd"/>
      <w:r w:rsidRPr="000A597B">
        <w:t xml:space="preserve"> явились нарушением ее конституционных прав, а также ее прав, предусмотренных статьями 9 (пункт 1), 12 (пункт 1), 19 и 21 Пакта. </w:t>
      </w:r>
    </w:p>
    <w:p w:rsidR="000A597B" w:rsidRPr="000A597B" w:rsidRDefault="000A597B" w:rsidP="00A05D4D">
      <w:pPr>
        <w:pStyle w:val="SingleTxtGR"/>
        <w:keepLines/>
      </w:pPr>
      <w:r w:rsidRPr="000A597B">
        <w:t>3.2</w:t>
      </w:r>
      <w:r w:rsidRPr="000A597B">
        <w:tab/>
        <w:t>Автор утверждает, что ее арест был проведен в нарушение статьи 9 Па</w:t>
      </w:r>
      <w:r w:rsidRPr="000A597B">
        <w:t>к</w:t>
      </w:r>
      <w:r w:rsidRPr="000A597B">
        <w:t>та, поскольку ей сообщили, что она была задержана на основании статьи 620 Административно-процессуального кодекса, предусматривающей применение административного задержания с целью прекращения административного пр</w:t>
      </w:r>
      <w:r w:rsidRPr="000A597B">
        <w:t>а</w:t>
      </w:r>
      <w:r w:rsidRPr="000A597B">
        <w:t>вонарушения, и поскольку она в момент ареста не свершала каких-либо нар</w:t>
      </w:r>
      <w:r w:rsidRPr="000A597B">
        <w:t>у</w:t>
      </w:r>
      <w:r w:rsidRPr="000A597B">
        <w:t>шений.</w:t>
      </w:r>
    </w:p>
    <w:p w:rsidR="000A597B" w:rsidRPr="000A597B" w:rsidRDefault="000A597B" w:rsidP="000A597B">
      <w:pPr>
        <w:pStyle w:val="SingleTxtGR"/>
      </w:pPr>
      <w:r w:rsidRPr="000A597B">
        <w:t>3.3</w:t>
      </w:r>
      <w:r w:rsidRPr="000A597B">
        <w:tab/>
        <w:t xml:space="preserve">Автор указывает, что посредством проведения </w:t>
      </w:r>
      <w:proofErr w:type="spellStart"/>
      <w:r w:rsidRPr="000A597B">
        <w:t>арт-моба</w:t>
      </w:r>
      <w:proofErr w:type="spellEnd"/>
      <w:r w:rsidRPr="000A597B">
        <w:t xml:space="preserve"> она реализовала право на свободное выражение своего мнения, предусмотренное статьей 19 Пакта. Автор подчеркивает, что основой для ее обвинения де-юре послужило нарушение правил организации и проведения собраний, а де-факто оно было построено на ее общественном мероприятии, посвященном политическому в</w:t>
      </w:r>
      <w:r w:rsidRPr="000A597B">
        <w:t>о</w:t>
      </w:r>
      <w:r w:rsidRPr="000A597B">
        <w:t>просу о том, насколько  казахское население доверяет политическим деятелям государства. Она отмечает, что право на свободное выражение своего мнения защищено пунктом 2 статьи 19 Пакта; что такая защита объемлет право час</w:t>
      </w:r>
      <w:r w:rsidRPr="000A597B">
        <w:t>т</w:t>
      </w:r>
      <w:r w:rsidRPr="000A597B">
        <w:t>ных лиц критиковать свое правительство или отрыто и публично давать оценку его деятельности, не опасаясь преследования или наказания</w:t>
      </w:r>
      <w:r w:rsidRPr="00F521EE">
        <w:rPr>
          <w:sz w:val="18"/>
          <w:vertAlign w:val="superscript"/>
        </w:rPr>
        <w:footnoteReference w:id="3"/>
      </w:r>
      <w:r w:rsidR="00C47A4D">
        <w:t>;</w:t>
      </w:r>
      <w:r w:rsidRPr="000A597B">
        <w:rPr>
          <w:b/>
        </w:rPr>
        <w:t xml:space="preserve"> </w:t>
      </w:r>
      <w:r w:rsidRPr="000A597B">
        <w:t>и что она была наказана за осуществление своего права на выражение мнения языком искусс</w:t>
      </w:r>
      <w:r w:rsidRPr="000A597B">
        <w:t>т</w:t>
      </w:r>
      <w:r w:rsidRPr="000A597B">
        <w:t>ва. В данных обстоятельствах ее незаконное задержание за проведение мер</w:t>
      </w:r>
      <w:r w:rsidRPr="000A597B">
        <w:t>о</w:t>
      </w:r>
      <w:r w:rsidRPr="000A597B">
        <w:t>приятия, судебное разбирательство по ее делу и вынесение ей обвинительного пр</w:t>
      </w:r>
      <w:r w:rsidRPr="000A597B">
        <w:t>и</w:t>
      </w:r>
      <w:r w:rsidRPr="000A597B">
        <w:t xml:space="preserve">говора, а также угроза того, что в будущем за любое выражение мнения можно понести аналогичное наказание, представляют собой ограничения ее права на свободное выражение своего мнения. </w:t>
      </w:r>
    </w:p>
    <w:p w:rsidR="000A597B" w:rsidRPr="000A597B" w:rsidRDefault="000A597B" w:rsidP="000A597B">
      <w:pPr>
        <w:pStyle w:val="SingleTxtGR"/>
      </w:pPr>
      <w:r w:rsidRPr="000A597B">
        <w:t>3.4</w:t>
      </w:r>
      <w:r w:rsidRPr="000A597B">
        <w:tab/>
        <w:t>Автор заявляет, что вышеупомянутые ограничения несовместимы со смыслом пункта 3 статьи 19 Пакта, которая гласит, что осуществление права на свободное выражение своего мнения может быть сопряжено с некоторыми о</w:t>
      </w:r>
      <w:r w:rsidRPr="000A597B">
        <w:t>г</w:t>
      </w:r>
      <w:r w:rsidRPr="000A597B">
        <w:t>раничениями, которые, однако, должны быть установлены законом и являться необходимыми: а) для уважения прав и репутации других лиц; или b) для охр</w:t>
      </w:r>
      <w:r w:rsidRPr="000A597B">
        <w:t>а</w:t>
      </w:r>
      <w:r w:rsidRPr="000A597B">
        <w:t>ны государственной безопасности, общественного порядка, здоровья или нра</w:t>
      </w:r>
      <w:r w:rsidRPr="000A597B">
        <w:t>в</w:t>
      </w:r>
      <w:r w:rsidRPr="000A597B">
        <w:t xml:space="preserve">ственности населения. Она отмечает, что при толковании упомянутых изъятий Комитет отметил, что такие ограничения не должны </w:t>
      </w:r>
      <w:r w:rsidR="00C47A4D">
        <w:t>"</w:t>
      </w:r>
      <w:r w:rsidRPr="000A597B">
        <w:t>ставить под угрозу сам принцип этого права</w:t>
      </w:r>
      <w:r w:rsidR="00C47A4D">
        <w:t>"</w:t>
      </w:r>
      <w:r w:rsidRPr="00F521EE">
        <w:rPr>
          <w:sz w:val="18"/>
          <w:vertAlign w:val="superscript"/>
        </w:rPr>
        <w:footnoteReference w:id="4"/>
      </w:r>
      <w:r w:rsidRPr="000A597B">
        <w:t xml:space="preserve"> и что любое ограничение </w:t>
      </w:r>
      <w:r w:rsidR="00C47A4D">
        <w:t>"</w:t>
      </w:r>
      <w:r w:rsidRPr="000A597B">
        <w:t>должно проходить жесткую проверку на обоснованность</w:t>
      </w:r>
      <w:r w:rsidR="00C47A4D">
        <w:t>"</w:t>
      </w:r>
      <w:r w:rsidRPr="00F521EE">
        <w:rPr>
          <w:sz w:val="18"/>
          <w:vertAlign w:val="superscript"/>
        </w:rPr>
        <w:footnoteReference w:id="5"/>
      </w:r>
      <w:r w:rsidR="00C47A4D">
        <w:t>.</w:t>
      </w:r>
      <w:r w:rsidRPr="000A597B">
        <w:t xml:space="preserve"> Согласно практике Комитета, любое допуст</w:t>
      </w:r>
      <w:r w:rsidRPr="000A597B">
        <w:t>и</w:t>
      </w:r>
      <w:r w:rsidRPr="000A597B">
        <w:t>мое ограничение должно быть: a) предусмотрено законом; b) направлено на з</w:t>
      </w:r>
      <w:r w:rsidRPr="000A597B">
        <w:t>а</w:t>
      </w:r>
      <w:r w:rsidRPr="000A597B">
        <w:t xml:space="preserve">щиту одной из перечисленных целей; и </w:t>
      </w:r>
      <w:proofErr w:type="spellStart"/>
      <w:r w:rsidRPr="000A597B">
        <w:t>c</w:t>
      </w:r>
      <w:proofErr w:type="spellEnd"/>
      <w:r w:rsidRPr="000A597B">
        <w:t>) необходимо для достижения этой цели</w:t>
      </w:r>
      <w:r w:rsidRPr="00F521EE">
        <w:rPr>
          <w:sz w:val="18"/>
          <w:vertAlign w:val="superscript"/>
        </w:rPr>
        <w:footnoteReference w:id="6"/>
      </w:r>
      <w:r w:rsidR="00C47A4D">
        <w:t>.</w:t>
      </w:r>
      <w:r w:rsidRPr="000A597B">
        <w:t xml:space="preserve"> Автор отмечает, что Комитет последовательно указал, что </w:t>
      </w:r>
      <w:r w:rsidR="00C47A4D">
        <w:t>"</w:t>
      </w:r>
      <w:r w:rsidRPr="000A597B">
        <w:t>государство-участник должно четко обозначить реальный характер угрозы для достижения любой или перечисленных целей, которую представляет собой поведение авт</w:t>
      </w:r>
      <w:r w:rsidRPr="000A597B">
        <w:t>о</w:t>
      </w:r>
      <w:r w:rsidRPr="000A597B">
        <w:t>ра</w:t>
      </w:r>
      <w:r w:rsidR="00C47A4D">
        <w:t>"</w:t>
      </w:r>
      <w:r w:rsidRPr="00F521EE">
        <w:rPr>
          <w:sz w:val="18"/>
          <w:vertAlign w:val="superscript"/>
        </w:rPr>
        <w:footnoteReference w:id="7"/>
      </w:r>
      <w:r w:rsidR="00C47A4D">
        <w:t>,</w:t>
      </w:r>
      <w:r w:rsidRPr="000A597B">
        <w:t xml:space="preserve"> и что в ее случае ограничение права на свободное выражение ею своего мнения не было продиктовано соображениями государственной безопасности либо защиты прав или репутации других лиц. Если ограничение было наложено в связи с к</w:t>
      </w:r>
      <w:r w:rsidRPr="000A597B">
        <w:t>а</w:t>
      </w:r>
      <w:r w:rsidRPr="000A597B">
        <w:t>кой-либо угрозой государственной безопасности, государству-участнику следовало представить подробное обоснование и точно указать х</w:t>
      </w:r>
      <w:r w:rsidRPr="000A597B">
        <w:t>а</w:t>
      </w:r>
      <w:r w:rsidRPr="000A597B">
        <w:t>рактер этой угрозы. Автор далее сообщает, что ее мероприятие касалось вопр</w:t>
      </w:r>
      <w:r w:rsidRPr="000A597B">
        <w:t>о</w:t>
      </w:r>
      <w:r w:rsidRPr="000A597B">
        <w:t>са о возможном недоверии казахского населения к государственным должнос</w:t>
      </w:r>
      <w:r w:rsidRPr="000A597B">
        <w:t>т</w:t>
      </w:r>
      <w:r w:rsidRPr="000A597B">
        <w:t>ным лицам; что этот вопрос постоянно обсуждается общественностью Каза</w:t>
      </w:r>
      <w:r w:rsidRPr="000A597B">
        <w:t>х</w:t>
      </w:r>
      <w:r w:rsidRPr="000A597B">
        <w:t>стана; и что поэтому правительство не может утверждать, что ограничение ее права на свободное выражение своего мнения было направлено на защиту прав или репутации других лиц. Она заявляет, что если государство-участник опр</w:t>
      </w:r>
      <w:r w:rsidRPr="000A597B">
        <w:t>е</w:t>
      </w:r>
      <w:r w:rsidRPr="000A597B">
        <w:t>делило наличие какой-либо законной цели для введения такого ограничения, ему также следовало бы показать, что принятые меры были необходимыми</w:t>
      </w:r>
      <w:r w:rsidRPr="00F521EE">
        <w:rPr>
          <w:sz w:val="18"/>
          <w:vertAlign w:val="superscript"/>
        </w:rPr>
        <w:footnoteReference w:id="8"/>
      </w:r>
      <w:r w:rsidRPr="000A597B">
        <w:t xml:space="preserve"> для достижения этой ц</w:t>
      </w:r>
      <w:r w:rsidRPr="000A597B">
        <w:t>е</w:t>
      </w:r>
      <w:r w:rsidRPr="000A597B">
        <w:t xml:space="preserve">ли. Автор подчеркивает, что, как последовательно отмечал Комитет, </w:t>
      </w:r>
      <w:r w:rsidR="00C47A4D">
        <w:t>"</w:t>
      </w:r>
      <w:r w:rsidRPr="000A597B">
        <w:t>требование в отношении необходимости подразумевает пропорци</w:t>
      </w:r>
      <w:r w:rsidRPr="000A597B">
        <w:t>о</w:t>
      </w:r>
      <w:r w:rsidRPr="000A597B">
        <w:t>нальность в том смысле, что ограничение, налагаемое на свободу выражения мнения, должно быть пропорционально ценностям, защите которых служит это ограничение</w:t>
      </w:r>
      <w:r w:rsidR="00C47A4D">
        <w:t>"</w:t>
      </w:r>
      <w:r w:rsidRPr="00F521EE">
        <w:rPr>
          <w:sz w:val="18"/>
          <w:vertAlign w:val="superscript"/>
        </w:rPr>
        <w:footnoteReference w:id="9"/>
      </w:r>
      <w:r w:rsidR="00C47A4D">
        <w:t>.</w:t>
      </w:r>
      <w:r w:rsidRPr="000A597B">
        <w:t xml:space="preserve"> Поскольку государство-участник посредством судебных реш</w:t>
      </w:r>
      <w:r w:rsidRPr="000A597B">
        <w:t>е</w:t>
      </w:r>
      <w:r w:rsidRPr="000A597B">
        <w:t>ний четко не пояснило, какие именно ценности  оно защищает, ограничивая право автора на свободное выражение своего мнения, наложенные на нее адм</w:t>
      </w:r>
      <w:r w:rsidRPr="000A597B">
        <w:t>и</w:t>
      </w:r>
      <w:r w:rsidRPr="000A597B">
        <w:t>нистративные наказания являются ограничением ее права на свободное выр</w:t>
      </w:r>
      <w:r w:rsidRPr="000A597B">
        <w:t>а</w:t>
      </w:r>
      <w:r w:rsidRPr="000A597B">
        <w:t>жение своего мнения, защищаемое пунктом 2 статьи 19 Пакта. Автор утвержд</w:t>
      </w:r>
      <w:r w:rsidRPr="000A597B">
        <w:t>а</w:t>
      </w:r>
      <w:r w:rsidRPr="000A597B">
        <w:t>ет, что, поскольку те узкие изъятия, которые предусмотрены в пункте 3 ст</w:t>
      </w:r>
      <w:r w:rsidRPr="000A597B">
        <w:t>а</w:t>
      </w:r>
      <w:r w:rsidRPr="000A597B">
        <w:t>тьи</w:t>
      </w:r>
      <w:r w:rsidR="00C47A4D">
        <w:t> </w:t>
      </w:r>
      <w:r w:rsidRPr="000A597B">
        <w:t>19 Пакта, неприменимы к ее случаю, вышеупомянутое ограничение являе</w:t>
      </w:r>
      <w:r w:rsidRPr="000A597B">
        <w:t>т</w:t>
      </w:r>
      <w:r w:rsidRPr="000A597B">
        <w:t>ся наруш</w:t>
      </w:r>
      <w:r w:rsidRPr="000A597B">
        <w:t>е</w:t>
      </w:r>
      <w:r w:rsidRPr="000A597B">
        <w:t xml:space="preserve">нием Пакта. </w:t>
      </w:r>
    </w:p>
    <w:p w:rsidR="000A597B" w:rsidRPr="000A597B" w:rsidRDefault="000A597B" w:rsidP="000A597B">
      <w:pPr>
        <w:pStyle w:val="SingleTxtGR"/>
      </w:pPr>
      <w:r w:rsidRPr="000A597B">
        <w:t>3.5</w:t>
      </w:r>
      <w:r w:rsidRPr="000A597B">
        <w:tab/>
        <w:t xml:space="preserve"> Автор подчеркивает, что в ее случае причиной вынесения обвинительн</w:t>
      </w:r>
      <w:r w:rsidRPr="000A597B">
        <w:t>о</w:t>
      </w:r>
      <w:r w:rsidRPr="000A597B">
        <w:t>го приговора и применения административного наказания послужило провед</w:t>
      </w:r>
      <w:r w:rsidRPr="000A597B">
        <w:t>е</w:t>
      </w:r>
      <w:r w:rsidRPr="000A597B">
        <w:t>ние ею публичного собрания, которое не было разрешено местными властями. Она утверждает, что в данных обстоятельствах вынесение обвинительного пр</w:t>
      </w:r>
      <w:r w:rsidRPr="000A597B">
        <w:t>и</w:t>
      </w:r>
      <w:r w:rsidRPr="000A597B">
        <w:t>говора по ее делу и угроза того, что в будущем за проведение любого собрания могут быть применены аналогичные наказания, ограничивают действие ее пр</w:t>
      </w:r>
      <w:r w:rsidRPr="000A597B">
        <w:t>а</w:t>
      </w:r>
      <w:r w:rsidRPr="000A597B">
        <w:t>ва на свободное выражение своего мнения. Она утверждает, что вышеупомян</w:t>
      </w:r>
      <w:r w:rsidRPr="000A597B">
        <w:t>у</w:t>
      </w:r>
      <w:r w:rsidRPr="000A597B">
        <w:t>тые ограничения несовместимы со статьей 21 Пакта.</w:t>
      </w:r>
    </w:p>
    <w:p w:rsidR="000A597B" w:rsidRPr="000A597B" w:rsidRDefault="000A597B" w:rsidP="000A597B">
      <w:pPr>
        <w:pStyle w:val="SingleTxtGR"/>
      </w:pPr>
      <w:r w:rsidRPr="000A597B">
        <w:t>3.6</w:t>
      </w:r>
      <w:r w:rsidRPr="000A597B">
        <w:tab/>
        <w:t>Автор отмечает, что, согласно практике Комитета, любые ограничения права на свободу собраний должны относиться к допустимым ограничениям, предусмотренным статьей 21 Пакта</w:t>
      </w:r>
      <w:r w:rsidRPr="00F521EE">
        <w:rPr>
          <w:sz w:val="18"/>
          <w:vertAlign w:val="superscript"/>
        </w:rPr>
        <w:footnoteReference w:id="10"/>
      </w:r>
      <w:r w:rsidR="00C47A4D">
        <w:t>.</w:t>
      </w:r>
      <w:r w:rsidRPr="000A597B">
        <w:t xml:space="preserve"> Она утверждает, что требование о получ</w:t>
      </w:r>
      <w:r w:rsidRPr="000A597B">
        <w:t>е</w:t>
      </w:r>
      <w:r w:rsidRPr="000A597B">
        <w:t>нии от местных властей предварительного разрешения на проведение любого публичного мероприятия является таким ограничением. Автор также заявляет, что, в соответствии с Законом о порядке организации и проведения мирных с</w:t>
      </w:r>
      <w:r w:rsidRPr="000A597B">
        <w:t>о</w:t>
      </w:r>
      <w:r w:rsidRPr="000A597B">
        <w:t>браний, митингов, шествий, пикетов и демонстраций в Республике Казахстан, как минимум за 10 дней до проведения любого публичного собрания на откр</w:t>
      </w:r>
      <w:r w:rsidRPr="000A597B">
        <w:t>ы</w:t>
      </w:r>
      <w:r w:rsidRPr="000A597B">
        <w:t>том воздухе в местные органы власти (</w:t>
      </w:r>
      <w:proofErr w:type="spellStart"/>
      <w:r w:rsidRPr="000A597B">
        <w:t>акимат</w:t>
      </w:r>
      <w:proofErr w:type="spellEnd"/>
      <w:r w:rsidRPr="000A597B">
        <w:t>) необходимо подать соответс</w:t>
      </w:r>
      <w:r w:rsidRPr="000A597B">
        <w:t>т</w:t>
      </w:r>
      <w:r w:rsidRPr="000A597B">
        <w:t>вующую заявку, и разрешение такого рода выдается не позднее, чем за пять дней до проведения мероприятия. Она далее указывает, что в судебных решен</w:t>
      </w:r>
      <w:r w:rsidRPr="000A597B">
        <w:t>и</w:t>
      </w:r>
      <w:r w:rsidRPr="000A597B">
        <w:t>ях не дано пояснений о том, какие ценности защищаются путем наложения о</w:t>
      </w:r>
      <w:r w:rsidRPr="000A597B">
        <w:t>г</w:t>
      </w:r>
      <w:r w:rsidRPr="000A597B">
        <w:t>раничений на ее свободу собраний, и, соответственно, что наложенные на нее административные наказания представляют собой ограничение ее права на св</w:t>
      </w:r>
      <w:r w:rsidRPr="000A597B">
        <w:t>о</w:t>
      </w:r>
      <w:r w:rsidRPr="000A597B">
        <w:t>боду собраний, защищаемого статьей 21 Пакта.</w:t>
      </w:r>
    </w:p>
    <w:p w:rsidR="000A597B" w:rsidRPr="000A597B" w:rsidRDefault="000A597B" w:rsidP="00C47A4D">
      <w:pPr>
        <w:pStyle w:val="H23GR"/>
      </w:pPr>
      <w:r w:rsidRPr="000A597B">
        <w:tab/>
      </w:r>
      <w:r w:rsidRPr="000A597B">
        <w:tab/>
        <w:t>Замечания государства-участника по существу с</w:t>
      </w:r>
      <w:r w:rsidRPr="000A597B">
        <w:t>о</w:t>
      </w:r>
      <w:r w:rsidRPr="000A597B">
        <w:t>общения</w:t>
      </w:r>
    </w:p>
    <w:p w:rsidR="000A597B" w:rsidRPr="000A597B" w:rsidRDefault="000A597B" w:rsidP="000A597B">
      <w:pPr>
        <w:pStyle w:val="SingleTxtGR"/>
      </w:pPr>
      <w:r w:rsidRPr="000A597B">
        <w:t>4.1</w:t>
      </w:r>
      <w:r w:rsidRPr="000A597B">
        <w:tab/>
        <w:t xml:space="preserve">31 мая 2012 года государство-участник сообщило, что 16 марта 2010 года Специализированный межрайонный административный суд </w:t>
      </w:r>
      <w:proofErr w:type="spellStart"/>
      <w:r w:rsidRPr="000A597B">
        <w:t>Алматы</w:t>
      </w:r>
      <w:proofErr w:type="spellEnd"/>
      <w:r w:rsidRPr="000A597B">
        <w:t xml:space="preserve"> вынес а</w:t>
      </w:r>
      <w:r w:rsidRPr="000A597B">
        <w:t>в</w:t>
      </w:r>
      <w:r w:rsidRPr="000A597B">
        <w:t>тору обвинительный приговор и обязал ее уплатить штраф в размере 56 520</w:t>
      </w:r>
      <w:r w:rsidR="00C47A4D">
        <w:t> </w:t>
      </w:r>
      <w:r w:rsidRPr="000A597B">
        <w:t>тенге за совершение административного правонарушения, предусмо</w:t>
      </w:r>
      <w:r w:rsidRPr="000A597B">
        <w:t>т</w:t>
      </w:r>
      <w:r w:rsidRPr="000A597B">
        <w:t>ренного пунктом 3 статьи 373 Кодекса административных правонарушений Республики Казахстан, и что 6 апреля 2010 года это постановление было по</w:t>
      </w:r>
      <w:r w:rsidRPr="000A597B">
        <w:t>д</w:t>
      </w:r>
      <w:r w:rsidRPr="000A597B">
        <w:t>тверждено р</w:t>
      </w:r>
      <w:r w:rsidRPr="000A597B">
        <w:t>е</w:t>
      </w:r>
      <w:r w:rsidRPr="000A597B">
        <w:t xml:space="preserve">шением Городского суда </w:t>
      </w:r>
      <w:proofErr w:type="spellStart"/>
      <w:r w:rsidRPr="000A597B">
        <w:t>Алматы</w:t>
      </w:r>
      <w:proofErr w:type="spellEnd"/>
      <w:r w:rsidRPr="000A597B">
        <w:t>, вынесенным по апелляционной процедуре. Государство-участник вновь кратко излагает содержание этих с</w:t>
      </w:r>
      <w:r w:rsidRPr="000A597B">
        <w:t>у</w:t>
      </w:r>
      <w:r w:rsidRPr="000A597B">
        <w:t>дебных пост</w:t>
      </w:r>
      <w:r w:rsidRPr="000A597B">
        <w:t>а</w:t>
      </w:r>
      <w:r w:rsidRPr="000A597B">
        <w:t>новлений.</w:t>
      </w:r>
    </w:p>
    <w:p w:rsidR="000A597B" w:rsidRPr="000A597B" w:rsidRDefault="000A597B" w:rsidP="000A597B">
      <w:pPr>
        <w:pStyle w:val="SingleTxtGR"/>
      </w:pPr>
      <w:r w:rsidRPr="000A597B">
        <w:t>4.2</w:t>
      </w:r>
      <w:r w:rsidRPr="000A597B">
        <w:tab/>
        <w:t>Государство-участник ссылается на положения статей 19 (пункт 3) и 21 Пакта. Оно заявляет, что утверждения автора о нарушении ее прав, предусмо</w:t>
      </w:r>
      <w:r w:rsidRPr="000A597B">
        <w:t>т</w:t>
      </w:r>
      <w:r w:rsidRPr="000A597B">
        <w:t>ренных статьями 9 (пункт 1), 19 (пункт 2) и 21 (пункт 1) Пакта, являются н</w:t>
      </w:r>
      <w:r w:rsidRPr="000A597B">
        <w:t>е</w:t>
      </w:r>
      <w:r w:rsidRPr="000A597B">
        <w:t>обоснованными. Оно указывает, что форма и порядок выражения обществе</w:t>
      </w:r>
      <w:r w:rsidRPr="000A597B">
        <w:t>н</w:t>
      </w:r>
      <w:r w:rsidRPr="000A597B">
        <w:t>ных, групповых или личных интересов в публичных местах, а также опред</w:t>
      </w:r>
      <w:r w:rsidRPr="000A597B">
        <w:t>е</w:t>
      </w:r>
      <w:r w:rsidRPr="000A597B">
        <w:t>ленные ограничения их выражения предусмотрены Законом № 2126 о порядке организации и проведения мирных собраний, митингов, шествий, пикетов и демонстраций в Республике Казахстан от 17 марта 1997 года. Согласно статье 2 этого закона, для проведения какого-либо собрания, митинга, шествия, пикета или демонстрации в местные органы исполнительной власти подается соотве</w:t>
      </w:r>
      <w:r w:rsidRPr="000A597B">
        <w:t>т</w:t>
      </w:r>
      <w:r w:rsidRPr="000A597B">
        <w:t>ствующая заявка. Статья 3 Закона гласит, что заявка должна содержать все тр</w:t>
      </w:r>
      <w:r w:rsidRPr="000A597B">
        <w:t>е</w:t>
      </w:r>
      <w:r w:rsidRPr="000A597B">
        <w:t>буемые Законом сведения и должна быть подана не позднее, чем за 10 дней до планируемой даты проведения мероприятия. Автор не обращалась в органы и</w:t>
      </w:r>
      <w:r w:rsidRPr="000A597B">
        <w:t>с</w:t>
      </w:r>
      <w:r w:rsidRPr="000A597B">
        <w:t>полнительной власти с такой заявкой и не получала положительного ответа. Т</w:t>
      </w:r>
      <w:r w:rsidRPr="000A597B">
        <w:t>а</w:t>
      </w:r>
      <w:r w:rsidRPr="000A597B">
        <w:t xml:space="preserve">ким образом, утверждения автора о том, что ее права по статьям 19 и 21 Пакта были нарушены, являются необоснованными, так как при осуществлении этих прав она нарушила предусмотренные Законом сроки. </w:t>
      </w:r>
    </w:p>
    <w:p w:rsidR="000A597B" w:rsidRPr="000A597B" w:rsidRDefault="000A597B" w:rsidP="000A597B">
      <w:pPr>
        <w:pStyle w:val="SingleTxtGR"/>
      </w:pPr>
      <w:r w:rsidRPr="000A597B">
        <w:t>4.3</w:t>
      </w:r>
      <w:r w:rsidRPr="000A597B">
        <w:tab/>
        <w:t>Государство-участник далее указывает, что, согласно статье 618 Админ</w:t>
      </w:r>
      <w:r w:rsidRPr="000A597B">
        <w:t>и</w:t>
      </w:r>
      <w:r w:rsidRPr="000A597B">
        <w:t>стративно-процессуального кодекса, для обеспечения своевременности и э</w:t>
      </w:r>
      <w:r w:rsidRPr="000A597B">
        <w:t>ф</w:t>
      </w:r>
      <w:r w:rsidRPr="000A597B">
        <w:t>фективности следственных действий по какому-либо делу и исполнения вын</w:t>
      </w:r>
      <w:r w:rsidRPr="000A597B">
        <w:t>е</w:t>
      </w:r>
      <w:r w:rsidRPr="000A597B">
        <w:t>сенного решения к физическим лицам допускается применение определенных мер, включая административное задержание. В отношении автора такое заде</w:t>
      </w:r>
      <w:r w:rsidRPr="000A597B">
        <w:t>р</w:t>
      </w:r>
      <w:r w:rsidRPr="000A597B">
        <w:t>жание было применено в соответствии с Законом и для обеспечения проведения следственных действий по ее делу. Поэтому государство-участник считает, что утверждения автора о нарушении ее прав по пункту 1 статьи 9 Пакта являются необоснованными.</w:t>
      </w:r>
    </w:p>
    <w:p w:rsidR="000A597B" w:rsidRPr="000A597B" w:rsidRDefault="000A597B" w:rsidP="00C47A4D">
      <w:pPr>
        <w:pStyle w:val="H23GR"/>
      </w:pPr>
      <w:r w:rsidRPr="000A597B">
        <w:tab/>
      </w:r>
      <w:r w:rsidRPr="000A597B">
        <w:tab/>
        <w:t>Комментарии автора по замечаниям государства-участника</w:t>
      </w:r>
    </w:p>
    <w:p w:rsidR="000A597B" w:rsidRPr="000A597B" w:rsidRDefault="000A597B" w:rsidP="000A597B">
      <w:pPr>
        <w:pStyle w:val="SingleTxtGR"/>
      </w:pPr>
      <w:r w:rsidRPr="000A597B">
        <w:t>5.1</w:t>
      </w:r>
      <w:r w:rsidRPr="000A597B">
        <w:tab/>
        <w:t>В своих комментариях от 4 июля 2012 года автор отмечает, что, оспар</w:t>
      </w:r>
      <w:r w:rsidRPr="000A597B">
        <w:t>и</w:t>
      </w:r>
      <w:r w:rsidRPr="000A597B">
        <w:t>вая ее утверждения относительно статьи 19 Пакта, государство-участник сс</w:t>
      </w:r>
      <w:r w:rsidRPr="000A597B">
        <w:t>ы</w:t>
      </w:r>
      <w:r w:rsidRPr="000A597B">
        <w:t xml:space="preserve">лается на положения пункта 3 этой статьи. Она утверждает, что эти положения неприменимы в ее случае, поскольку государство-участник не пояснило, каким именно образом автор нанесла ущерб правам или репутации других лиц, либо поставила под угрозу государственную безопасность, общественный порядок или нравственность населения. Автор заявляет, что ее действия не нанесли ущерба каким-либо государственным должностным лицам, поскольку в адрес ни одного из них не прозвучало никаких оскорбительных для их репутации слов; что упомянутый </w:t>
      </w:r>
      <w:proofErr w:type="spellStart"/>
      <w:r w:rsidRPr="000A597B">
        <w:t>арт-моб</w:t>
      </w:r>
      <w:proofErr w:type="spellEnd"/>
      <w:r w:rsidRPr="000A597B">
        <w:t xml:space="preserve"> продолжался 10 минут, носил мирный характер и не представлял угрозы для общественного порядка или государственной без</w:t>
      </w:r>
      <w:r w:rsidRPr="000A597B">
        <w:t>о</w:t>
      </w:r>
      <w:r w:rsidRPr="000A597B">
        <w:t>пасности Казахстана. Автор подчеркивает, что обвинительный приговор был ей вынесен не за создание угрозы для репутации других лиц, для государственной безопасности, общественного порядка, здоровья или нравственности населения, а за проведение публичного мероприятия без разрешения властей.</w:t>
      </w:r>
    </w:p>
    <w:p w:rsidR="000A597B" w:rsidRPr="000A597B" w:rsidRDefault="000A597B" w:rsidP="00A05D4D">
      <w:pPr>
        <w:pStyle w:val="SingleTxtGR"/>
        <w:keepLines/>
      </w:pPr>
      <w:r w:rsidRPr="000A597B">
        <w:t>5.2</w:t>
      </w:r>
      <w:r w:rsidRPr="000A597B">
        <w:tab/>
        <w:t>Относительно своих утверждений в связи со статьей 21 Пакта автор по</w:t>
      </w:r>
      <w:r w:rsidRPr="000A597B">
        <w:t>д</w:t>
      </w:r>
      <w:r w:rsidRPr="000A597B">
        <w:t xml:space="preserve">черкивает, что ее действия состояли в проведении </w:t>
      </w:r>
      <w:proofErr w:type="spellStart"/>
      <w:r w:rsidRPr="000A597B">
        <w:t>арт-моба</w:t>
      </w:r>
      <w:proofErr w:type="spellEnd"/>
      <w:r w:rsidRPr="000A597B">
        <w:t xml:space="preserve"> при содействии трех коллег; и что упомянутый </w:t>
      </w:r>
      <w:proofErr w:type="spellStart"/>
      <w:r w:rsidRPr="000A597B">
        <w:t>арт-моб</w:t>
      </w:r>
      <w:proofErr w:type="spellEnd"/>
      <w:r w:rsidRPr="000A597B">
        <w:t xml:space="preserve"> проводился для посетителей парка им</w:t>
      </w:r>
      <w:r w:rsidRPr="000A597B">
        <w:t>е</w:t>
      </w:r>
      <w:r w:rsidRPr="000A597B">
        <w:t xml:space="preserve">ни Махатмы Ганди, которые находились вблизи памятника Махатме Ганди. Зрителями </w:t>
      </w:r>
      <w:proofErr w:type="spellStart"/>
      <w:r w:rsidRPr="000A597B">
        <w:t>арт-моба</w:t>
      </w:r>
      <w:proofErr w:type="spellEnd"/>
      <w:r w:rsidRPr="000A597B">
        <w:t xml:space="preserve"> стали порядка 15 человек, в основном журналисты и с</w:t>
      </w:r>
      <w:r w:rsidRPr="000A597B">
        <w:t>о</w:t>
      </w:r>
      <w:r w:rsidRPr="000A597B">
        <w:t>трудники полиции. Автор вновь заявляет, что данное мероприятие не являлось шествием, пикетом или демонстрацией и что поэтому ей не требовалось обр</w:t>
      </w:r>
      <w:r w:rsidRPr="000A597B">
        <w:t>а</w:t>
      </w:r>
      <w:r w:rsidRPr="000A597B">
        <w:t xml:space="preserve">щаться к властям за разрешением на его проведение. Далее она отмечает, что власти Казахстана расширили толкование термина </w:t>
      </w:r>
      <w:r w:rsidR="00C47A4D">
        <w:t>"</w:t>
      </w:r>
      <w:r w:rsidRPr="000A597B">
        <w:t>мирное собрание</w:t>
      </w:r>
      <w:r w:rsidR="00C47A4D">
        <w:t>"</w:t>
      </w:r>
      <w:r w:rsidRPr="000A597B">
        <w:t xml:space="preserve"> за пред</w:t>
      </w:r>
      <w:r w:rsidRPr="000A597B">
        <w:t>е</w:t>
      </w:r>
      <w:r w:rsidRPr="000A597B">
        <w:t>лы охвата этого термина, который предусмотрен в Законе от 17 марта 1997 года, включив в него массовые художественные мероприятия (</w:t>
      </w:r>
      <w:proofErr w:type="spellStart"/>
      <w:r w:rsidRPr="000A597B">
        <w:t>арт-мобы</w:t>
      </w:r>
      <w:proofErr w:type="spellEnd"/>
      <w:r w:rsidRPr="000A597B">
        <w:t>), кра</w:t>
      </w:r>
      <w:r w:rsidRPr="000A597B">
        <w:t>т</w:t>
      </w:r>
      <w:r w:rsidRPr="000A597B">
        <w:t>кие массовые акции (</w:t>
      </w:r>
      <w:proofErr w:type="spellStart"/>
      <w:r w:rsidRPr="000A597B">
        <w:t>флэш-мобы</w:t>
      </w:r>
      <w:proofErr w:type="spellEnd"/>
      <w:r w:rsidRPr="000A597B">
        <w:t>) и даже протестные действия отдельных лиц. Вследствие такого расширительного толкования в нарушение Пакта любая пу</w:t>
      </w:r>
      <w:r w:rsidRPr="000A597B">
        <w:t>б</w:t>
      </w:r>
      <w:r w:rsidRPr="000A597B">
        <w:t>личная акция объявляется незаконным собранием, а ее организаторы привлек</w:t>
      </w:r>
      <w:r w:rsidRPr="000A597B">
        <w:t>а</w:t>
      </w:r>
      <w:r w:rsidRPr="000A597B">
        <w:t>ются к административной ответственности за проведение публичных собраний без разрешения властей.</w:t>
      </w:r>
    </w:p>
    <w:p w:rsidR="000A597B" w:rsidRPr="000A597B" w:rsidRDefault="000A597B" w:rsidP="00C47A4D">
      <w:pPr>
        <w:pStyle w:val="H23GR"/>
      </w:pPr>
      <w:r w:rsidRPr="000A597B">
        <w:tab/>
      </w:r>
      <w:r w:rsidRPr="000A597B">
        <w:tab/>
        <w:t xml:space="preserve">Вопросы и процедура их рассмотрения в Комитете </w:t>
      </w:r>
    </w:p>
    <w:p w:rsidR="000A597B" w:rsidRPr="00C47A4D" w:rsidRDefault="000A597B" w:rsidP="00C47A4D">
      <w:pPr>
        <w:pStyle w:val="H23GR"/>
        <w:rPr>
          <w:b w:val="0"/>
          <w:i/>
        </w:rPr>
      </w:pPr>
      <w:r w:rsidRPr="00C47A4D">
        <w:rPr>
          <w:b w:val="0"/>
          <w:i/>
        </w:rPr>
        <w:tab/>
      </w:r>
      <w:r w:rsidRPr="00C47A4D">
        <w:rPr>
          <w:b w:val="0"/>
          <w:i/>
        </w:rPr>
        <w:tab/>
        <w:t xml:space="preserve">Рассмотрение вопроса о приемлемости </w:t>
      </w:r>
    </w:p>
    <w:p w:rsidR="000A597B" w:rsidRPr="000A597B" w:rsidRDefault="000A597B" w:rsidP="000A597B">
      <w:pPr>
        <w:pStyle w:val="SingleTxtGR"/>
      </w:pPr>
      <w:r w:rsidRPr="000A597B">
        <w:t>6.1</w:t>
      </w:r>
      <w:r w:rsidRPr="000A597B">
        <w:tab/>
        <w:t>Прежде чем рассматривать любую жалобу, изложенную в сообщении, Комитет по правам человека должен в соответствии с правилом 93 своих пр</w:t>
      </w:r>
      <w:r w:rsidRPr="000A597B">
        <w:t>а</w:t>
      </w:r>
      <w:r w:rsidRPr="000A597B">
        <w:t xml:space="preserve">вил процедуры определить, является ли это сообщение приемлемым согласно Факультативному протоколу к Пакту. </w:t>
      </w:r>
    </w:p>
    <w:p w:rsidR="000A597B" w:rsidRPr="000A597B" w:rsidRDefault="000A597B" w:rsidP="000A597B">
      <w:pPr>
        <w:pStyle w:val="SingleTxtGR"/>
      </w:pPr>
      <w:r w:rsidRPr="000A597B">
        <w:t>6.2</w:t>
      </w:r>
      <w:r w:rsidRPr="000A597B">
        <w:tab/>
        <w:t>В соответствии с пунктом 2 а) статьи 5 Факультативного протокола Ком</w:t>
      </w:r>
      <w:r w:rsidRPr="000A597B">
        <w:t>и</w:t>
      </w:r>
      <w:r w:rsidRPr="000A597B">
        <w:t>тет удостоверился в том, что этот вопрос не рассматривается по другой проц</w:t>
      </w:r>
      <w:r w:rsidRPr="000A597B">
        <w:t>е</w:t>
      </w:r>
      <w:r w:rsidRPr="000A597B">
        <w:t xml:space="preserve">дуре международного разбирательства или урегулирования. </w:t>
      </w:r>
    </w:p>
    <w:p w:rsidR="000A597B" w:rsidRPr="000A597B" w:rsidRDefault="000A597B" w:rsidP="000A597B">
      <w:pPr>
        <w:pStyle w:val="SingleTxtGR"/>
      </w:pPr>
      <w:r w:rsidRPr="000A597B">
        <w:t>6.3</w:t>
      </w:r>
      <w:r w:rsidRPr="000A597B">
        <w:tab/>
        <w:t>Комитет отмечает, что государство-участник не оспаривает приемлемость данного сообщения и не предоставляет информации о доступных и эффекти</w:t>
      </w:r>
      <w:r w:rsidRPr="000A597B">
        <w:t>в</w:t>
      </w:r>
      <w:r w:rsidRPr="000A597B">
        <w:t>ных средствах правовой защиты. Следовательно, Комитет приходит к выводу, что требования подпункта 2 b) статьи 5 Факультативного протокола не препя</w:t>
      </w:r>
      <w:r w:rsidRPr="000A597B">
        <w:t>т</w:t>
      </w:r>
      <w:r w:rsidRPr="000A597B">
        <w:t>ствуют ему в рассмотрении сообщения.</w:t>
      </w:r>
    </w:p>
    <w:p w:rsidR="000A597B" w:rsidRPr="000A597B" w:rsidRDefault="000A597B" w:rsidP="000A597B">
      <w:pPr>
        <w:pStyle w:val="SingleTxtGR"/>
      </w:pPr>
      <w:r w:rsidRPr="000A597B">
        <w:t>6.4</w:t>
      </w:r>
      <w:r w:rsidRPr="000A597B">
        <w:tab/>
        <w:t>Комитет принимает к сведению утверждение автора о том, что ее арест по обвинению в совершении административного правонарушения явился нар</w:t>
      </w:r>
      <w:r w:rsidRPr="000A597B">
        <w:t>у</w:t>
      </w:r>
      <w:r w:rsidRPr="000A597B">
        <w:t>шением ее прав, предусмотренных пунктом 1 статьи 12 Пакта. В отсутствие любой другой информации по данному вопросу Комитет все же считает, что а</w:t>
      </w:r>
      <w:r w:rsidRPr="000A597B">
        <w:t>в</w:t>
      </w:r>
      <w:r w:rsidRPr="000A597B">
        <w:t>тору не удалось в достаточной степени обосновать это утверждение для целей его приемлемости. Поэтому он приходит к выводу, что данная часть сообщения неприемлема по смыслу статьи 2 Факультативного протокола.</w:t>
      </w:r>
    </w:p>
    <w:p w:rsidR="000A597B" w:rsidRPr="000A597B" w:rsidRDefault="000A597B" w:rsidP="000A597B">
      <w:pPr>
        <w:pStyle w:val="SingleTxtGR"/>
      </w:pPr>
      <w:r w:rsidRPr="000A597B">
        <w:t>6.5</w:t>
      </w:r>
      <w:r w:rsidRPr="000A597B">
        <w:tab/>
        <w:t>Относительно жалобы автора на то, что ее арест явился нарушением ее прав по пункту 1 статьи 9 Пакта, Комитет принимает к сведению информацию государства-участника, согласно которой арест автора был произведен на осн</w:t>
      </w:r>
      <w:r w:rsidRPr="000A597B">
        <w:t>о</w:t>
      </w:r>
      <w:r w:rsidRPr="000A597B">
        <w:t>вании статьи 618 Кодекса об административных правонарушениях. Однако К</w:t>
      </w:r>
      <w:r w:rsidRPr="000A597B">
        <w:t>о</w:t>
      </w:r>
      <w:r w:rsidRPr="000A597B">
        <w:t>митет отмечает, что в связи с этим встает вопрос о произвольном характере ареста автора. Поэтому он считает, что утверждение автора в связи с пунктом 1 статьи 9 является достаточно обоснованным для целей приемлемости и объя</w:t>
      </w:r>
      <w:r w:rsidRPr="000A597B">
        <w:t>в</w:t>
      </w:r>
      <w:r w:rsidRPr="000A597B">
        <w:t>ляет его приемлемым. Комитет также полагает, что автор в достаточной степени обосновала свои жалобы по статьям 19 и 21 Пакта для целей их приемлемости. Таким образом, он признает эти жалобы приемлемыми и приступает к рассмо</w:t>
      </w:r>
      <w:r w:rsidRPr="000A597B">
        <w:t>т</w:t>
      </w:r>
      <w:r w:rsidRPr="000A597B">
        <w:t>рению по существу.</w:t>
      </w:r>
    </w:p>
    <w:p w:rsidR="000A597B" w:rsidRPr="00C47A4D" w:rsidRDefault="000A597B" w:rsidP="00C47A4D">
      <w:pPr>
        <w:pStyle w:val="H23GR"/>
        <w:rPr>
          <w:b w:val="0"/>
          <w:i/>
        </w:rPr>
      </w:pPr>
      <w:r w:rsidRPr="00C47A4D">
        <w:rPr>
          <w:b w:val="0"/>
          <w:i/>
        </w:rPr>
        <w:tab/>
      </w:r>
      <w:r w:rsidRPr="00C47A4D">
        <w:rPr>
          <w:b w:val="0"/>
          <w:i/>
        </w:rPr>
        <w:tab/>
        <w:t xml:space="preserve">Рассмотрение сообщения по существу </w:t>
      </w:r>
    </w:p>
    <w:p w:rsidR="000A597B" w:rsidRPr="000A597B" w:rsidRDefault="000A597B" w:rsidP="000A597B">
      <w:pPr>
        <w:pStyle w:val="SingleTxtGR"/>
      </w:pPr>
      <w:r w:rsidRPr="000A597B">
        <w:t>7.1</w:t>
      </w:r>
      <w:r w:rsidRPr="000A597B">
        <w:tab/>
        <w:t>Комитет по правам человека рассмотрел настоящее сообщение с учетом всех сведений, представленных ему сторонами, в соответствии с пунктом 1 ст</w:t>
      </w:r>
      <w:r w:rsidRPr="000A597B">
        <w:t>а</w:t>
      </w:r>
      <w:r w:rsidRPr="000A597B">
        <w:t>тьи 5 Факультативного протокола.</w:t>
      </w:r>
    </w:p>
    <w:p w:rsidR="000A597B" w:rsidRPr="000A597B" w:rsidRDefault="000A597B" w:rsidP="000A597B">
      <w:pPr>
        <w:pStyle w:val="SingleTxtGR"/>
      </w:pPr>
      <w:r w:rsidRPr="000A597B">
        <w:t>7.2</w:t>
      </w:r>
      <w:r w:rsidRPr="000A597B">
        <w:tab/>
        <w:t>По поводу жалобы автора в связи со статьей 9 Пакта Комитет отмечает, что между сторонами имеется разногласие по вопросу о юридических основ</w:t>
      </w:r>
      <w:r w:rsidRPr="000A597B">
        <w:t>а</w:t>
      </w:r>
      <w:r w:rsidRPr="000A597B">
        <w:t>ниях ареста автора, но что бесспорным является тот факт, что 16 марта 2010 г</w:t>
      </w:r>
      <w:r w:rsidRPr="000A597B">
        <w:t>о</w:t>
      </w:r>
      <w:r w:rsidRPr="000A597B">
        <w:t>да сотрудники полиции прибыли в офис автора и арестовали ее. Комитет нап</w:t>
      </w:r>
      <w:r w:rsidRPr="000A597B">
        <w:t>о</w:t>
      </w:r>
      <w:r w:rsidRPr="000A597B">
        <w:t>минает, что для соответствия пункту 1 статьи 9 арест должен быть не только з</w:t>
      </w:r>
      <w:r w:rsidRPr="000A597B">
        <w:t>а</w:t>
      </w:r>
      <w:r w:rsidRPr="000A597B">
        <w:t>конным, но и обоснованным и необходимым в любых обстоятельствах</w:t>
      </w:r>
      <w:r w:rsidRPr="00F521EE">
        <w:rPr>
          <w:sz w:val="18"/>
          <w:vertAlign w:val="superscript"/>
        </w:rPr>
        <w:footnoteReference w:id="11"/>
      </w:r>
      <w:r w:rsidR="00C47A4D">
        <w:t>.</w:t>
      </w:r>
      <w:r w:rsidRPr="000A597B">
        <w:t xml:space="preserve"> Ком</w:t>
      </w:r>
      <w:r w:rsidRPr="000A597B">
        <w:t>и</w:t>
      </w:r>
      <w:r w:rsidRPr="000A597B">
        <w:t>тет отмечает, что государство-участник не предоставило никаких пояснений о</w:t>
      </w:r>
      <w:r w:rsidRPr="000A597B">
        <w:t>т</w:t>
      </w:r>
      <w:r w:rsidRPr="000A597B">
        <w:t>носительно того, почему арест автора, произведенный на основании положений Административно-процессуального кодекса, был разумным и необходимым. Комитет считает, что государство-участник не продемонстрировало необход</w:t>
      </w:r>
      <w:r w:rsidRPr="000A597B">
        <w:t>и</w:t>
      </w:r>
      <w:r w:rsidRPr="000A597B">
        <w:t>мость задержания автора. В данных обстоятельствах Комитет приходит к выв</w:t>
      </w:r>
      <w:r w:rsidRPr="000A597B">
        <w:t>о</w:t>
      </w:r>
      <w:r w:rsidRPr="000A597B">
        <w:t>ду, что задержание автора не имело разумных оснований и явилось нарушением пункта 1 статьи 9 Пакта.</w:t>
      </w:r>
    </w:p>
    <w:p w:rsidR="000A597B" w:rsidRPr="000A597B" w:rsidRDefault="000A597B" w:rsidP="000A597B">
      <w:pPr>
        <w:pStyle w:val="SingleTxtGR"/>
      </w:pPr>
      <w:r w:rsidRPr="000A597B">
        <w:t>7.3</w:t>
      </w:r>
      <w:r w:rsidRPr="000A597B">
        <w:tab/>
        <w:t>Комитет отмечает утверждения автора о том, что власти нарушили ее права, предусмотренные статьей 19 Пакта. Из представленных Комитету мат</w:t>
      </w:r>
      <w:r w:rsidRPr="000A597B">
        <w:t>е</w:t>
      </w:r>
      <w:r w:rsidRPr="000A597B">
        <w:t>риалов следует, что автор была арестована, а затем признана виновной и приг</w:t>
      </w:r>
      <w:r w:rsidRPr="000A597B">
        <w:t>о</w:t>
      </w:r>
      <w:r w:rsidRPr="000A597B">
        <w:t xml:space="preserve">ворена к уплате штрафа за организацию </w:t>
      </w:r>
      <w:proofErr w:type="spellStart"/>
      <w:r w:rsidRPr="000A597B">
        <w:t>арт-моба</w:t>
      </w:r>
      <w:proofErr w:type="spellEnd"/>
      <w:r w:rsidRPr="000A597B">
        <w:t xml:space="preserve"> и участие в нем без получ</w:t>
      </w:r>
      <w:r w:rsidRPr="000A597B">
        <w:t>е</w:t>
      </w:r>
      <w:r w:rsidRPr="000A597B">
        <w:t>ния предварительного разрешения от местных органов исполнительной власти. По мнению Комитета, вышеупомянутые действия властей представляют собой вмешательство в осуществление автором своего права свободно выражать со</w:t>
      </w:r>
      <w:r w:rsidRPr="000A597B">
        <w:t>б</w:t>
      </w:r>
      <w:r w:rsidRPr="000A597B">
        <w:t xml:space="preserve">ственное мнение и распространять всякого рода информацию и идеи, которое защищено пунктом 2 статьи 19 Пакта. </w:t>
      </w:r>
    </w:p>
    <w:p w:rsidR="000A597B" w:rsidRPr="000A597B" w:rsidRDefault="000A597B" w:rsidP="000A597B">
      <w:pPr>
        <w:pStyle w:val="SingleTxtGR"/>
      </w:pPr>
      <w:r w:rsidRPr="000A597B">
        <w:t>7.4</w:t>
      </w:r>
      <w:r w:rsidRPr="000A597B">
        <w:tab/>
        <w:t>Далее Комитет рассмотрел вопрос о том, являются ли ограничения права автора свободно распространять информацию и идеи оправданными с точки зрения какого-либо из критериев, предусмотренных в пункте 3 статьи 19 Пакта. В этой связи Комитет ссылается на свое замечание общего порядка 34, в кот</w:t>
      </w:r>
      <w:r w:rsidRPr="000A597B">
        <w:t>о</w:t>
      </w:r>
      <w:r w:rsidRPr="000A597B">
        <w:t>ром он, в частности, указал, что свобода выражения мнений имеет ключевое значение и является основополагающим элементом любого свободного и дем</w:t>
      </w:r>
      <w:r w:rsidRPr="000A597B">
        <w:t>о</w:t>
      </w:r>
      <w:r w:rsidRPr="000A597B">
        <w:t>кратического общества</w:t>
      </w:r>
      <w:r w:rsidRPr="00F521EE">
        <w:rPr>
          <w:sz w:val="18"/>
          <w:vertAlign w:val="superscript"/>
        </w:rPr>
        <w:footnoteReference w:id="12"/>
      </w:r>
      <w:r w:rsidR="00C47A4D">
        <w:t>.</w:t>
      </w:r>
      <w:r w:rsidRPr="000A597B">
        <w:t xml:space="preserve"> Он отмечает, что в пункте 3 статьи 19 предусматрив</w:t>
      </w:r>
      <w:r w:rsidRPr="000A597B">
        <w:t>а</w:t>
      </w:r>
      <w:r w:rsidRPr="000A597B">
        <w:t>ется наложение ограничений на свободу выражения мнений, в том числе на свободу распространять информацию и идеи, но только в той степени, в кот</w:t>
      </w:r>
      <w:r w:rsidRPr="000A597B">
        <w:t>о</w:t>
      </w:r>
      <w:r w:rsidRPr="000A597B">
        <w:t>рой они установлены законом и являются необходимыми: a) для уважения прав и репутации других лиц; или b) для охраны государственной безопасности, о</w:t>
      </w:r>
      <w:r w:rsidRPr="000A597B">
        <w:t>б</w:t>
      </w:r>
      <w:r w:rsidRPr="000A597B">
        <w:t>щественного порядка, здоровья или нравственности населения. И наконец, л</w:t>
      </w:r>
      <w:r w:rsidRPr="000A597B">
        <w:t>ю</w:t>
      </w:r>
      <w:r w:rsidRPr="000A597B">
        <w:t>бое ограничение свободы выражения мнений не должно быть слишком шир</w:t>
      </w:r>
      <w:r w:rsidRPr="000A597B">
        <w:t>о</w:t>
      </w:r>
      <w:r w:rsidRPr="000A597B">
        <w:t>ким по характеру, то есть оно должно являться наименее ограничительной м</w:t>
      </w:r>
      <w:r w:rsidRPr="000A597B">
        <w:t>е</w:t>
      </w:r>
      <w:r w:rsidRPr="000A597B">
        <w:t>рой, с помощью которой может быть обеспечена соответствующая защитная функция, и быть соразмерным защищаемому интересу</w:t>
      </w:r>
      <w:r w:rsidRPr="00F521EE">
        <w:rPr>
          <w:sz w:val="18"/>
          <w:vertAlign w:val="superscript"/>
        </w:rPr>
        <w:footnoteReference w:id="13"/>
      </w:r>
      <w:r w:rsidR="00C47A4D">
        <w:t>.</w:t>
      </w:r>
      <w:r w:rsidRPr="000A597B">
        <w:t xml:space="preserve"> </w:t>
      </w:r>
    </w:p>
    <w:p w:rsidR="000A597B" w:rsidRPr="000A597B" w:rsidRDefault="000A597B" w:rsidP="00A05D4D">
      <w:pPr>
        <w:pStyle w:val="SingleTxtGR"/>
        <w:keepLines/>
      </w:pPr>
      <w:r w:rsidRPr="000A597B">
        <w:t>7.5</w:t>
      </w:r>
      <w:r w:rsidRPr="000A597B">
        <w:tab/>
        <w:t>Комитет отмечает, что в данном случае факт задержания автора и нал</w:t>
      </w:r>
      <w:r w:rsidRPr="000A597B">
        <w:t>о</w:t>
      </w:r>
      <w:r w:rsidRPr="000A597B">
        <w:t>жения на нее крупного штрафа вызывает серьезные сомнения относительно н</w:t>
      </w:r>
      <w:r w:rsidRPr="000A597B">
        <w:t>е</w:t>
      </w:r>
      <w:r w:rsidRPr="000A597B">
        <w:t>обходимости и пропорциональности ограничений, наложенных на права автора. Комитет далее отмечает, что государство-участник не привело каких-либо ко</w:t>
      </w:r>
      <w:r w:rsidRPr="000A597B">
        <w:t>н</w:t>
      </w:r>
      <w:r w:rsidRPr="000A597B">
        <w:t>кретных обоснований необходимости ограничений, которые были наложены на автора, как это требуется в пункте 3 статьи 19 Пакта</w:t>
      </w:r>
      <w:r w:rsidRPr="00F521EE">
        <w:rPr>
          <w:sz w:val="18"/>
          <w:vertAlign w:val="superscript"/>
        </w:rPr>
        <w:footnoteReference w:id="14"/>
      </w:r>
      <w:r w:rsidR="00C47A4D">
        <w:t>.</w:t>
      </w:r>
      <w:r w:rsidRPr="000A597B">
        <w:t xml:space="preserve"> Кроме того, государство-участник не подтвердило, что избранные меры являлись наименее огранич</w:t>
      </w:r>
      <w:r w:rsidRPr="000A597B">
        <w:t>и</w:t>
      </w:r>
      <w:r w:rsidRPr="000A597B">
        <w:t>тельными по характеру или соразмерными защищаемому интересу. Исходя из обстоятельств дела, Комитет считает, что, хотя указанные ограничения были наложены на автора на основе внутреннего законодательства, их оправданность и пропорциональность, требуемые по условиям пункта 3 статьи 19 Пакта, пр</w:t>
      </w:r>
      <w:r w:rsidRPr="000A597B">
        <w:t>о</w:t>
      </w:r>
      <w:r w:rsidRPr="000A597B">
        <w:t>демонстрировать не удалось. Поэтому он приходит к выводу, что права автора по пункту 2 статьи 19 Пакта были нарушены</w:t>
      </w:r>
      <w:r w:rsidRPr="00F521EE">
        <w:rPr>
          <w:sz w:val="18"/>
          <w:vertAlign w:val="superscript"/>
        </w:rPr>
        <w:footnoteReference w:id="15"/>
      </w:r>
      <w:r w:rsidR="00C47A4D">
        <w:t>.</w:t>
      </w:r>
      <w:r w:rsidRPr="000A597B">
        <w:t xml:space="preserve"> </w:t>
      </w:r>
    </w:p>
    <w:p w:rsidR="000A597B" w:rsidRPr="000A597B" w:rsidRDefault="000A597B" w:rsidP="000A597B">
      <w:pPr>
        <w:pStyle w:val="SingleTxtGR"/>
      </w:pPr>
      <w:r w:rsidRPr="000A597B">
        <w:t>7.6</w:t>
      </w:r>
      <w:r w:rsidRPr="000A597B">
        <w:tab/>
        <w:t>Относительно жалобы автора в связи со статьей 21 Пакта Комитет также считает, что государство-участник не подтвердило, что ограничения, наложе</w:t>
      </w:r>
      <w:r w:rsidRPr="000A597B">
        <w:t>н</w:t>
      </w:r>
      <w:r w:rsidRPr="000A597B">
        <w:t>ные на права автора, а именно задержание автора и наложение на нее крупного штрафа, являлись необходимыми с точки зрения интересов государственной безопасности или общественного порядка, охраны здоровья или нравственн</w:t>
      </w:r>
      <w:r w:rsidRPr="000A597B">
        <w:t>о</w:t>
      </w:r>
      <w:r w:rsidRPr="000A597B">
        <w:t>сти населения, либо защиты прав и свобод других лиц. Следовательно, Комитет приходит к выводу, что представленные ему факты также свидетельствуют о нарушении прав автора, предусмотренных статьей 21 Пакта</w:t>
      </w:r>
      <w:r w:rsidRPr="00F521EE">
        <w:rPr>
          <w:sz w:val="18"/>
          <w:vertAlign w:val="superscript"/>
        </w:rPr>
        <w:footnoteReference w:id="16"/>
      </w:r>
      <w:r w:rsidR="00C47A4D">
        <w:t>.</w:t>
      </w:r>
    </w:p>
    <w:p w:rsidR="000A597B" w:rsidRPr="000A597B" w:rsidRDefault="000A597B" w:rsidP="000A597B">
      <w:pPr>
        <w:pStyle w:val="SingleTxtGR"/>
      </w:pPr>
      <w:r w:rsidRPr="000A597B">
        <w:t>8.</w:t>
      </w:r>
      <w:r w:rsidRPr="000A597B">
        <w:tab/>
        <w:t>Действуя в соответствии с пунктом 4 статьи 5 Факультативного протокола к Международному пакту о гражданских и политических правах, Комитет по правам человека констатирует, что представленные ему факты свидетельствуют о нарушениях Казахстаном прав автора, предусмотренных статьями 9, 19 и 21 Пакта.</w:t>
      </w:r>
    </w:p>
    <w:p w:rsidR="000A597B" w:rsidRPr="000A597B" w:rsidRDefault="000A597B" w:rsidP="000A597B">
      <w:pPr>
        <w:pStyle w:val="SingleTxtGR"/>
      </w:pPr>
      <w:r w:rsidRPr="000A597B">
        <w:t>9.</w:t>
      </w:r>
      <w:r w:rsidRPr="000A597B">
        <w:tab/>
        <w:t>В соответствии с пунктом 3 а) статьи 2 Пакта государство-участник об</w:t>
      </w:r>
      <w:r w:rsidRPr="000A597B">
        <w:t>я</w:t>
      </w:r>
      <w:r w:rsidRPr="000A597B">
        <w:t>зано обеспечить автору эффективное средство правовой защиты, в том числе пересмотр  вынесенного ей обвинительного приговора и выплату надлежащей компенсации, включая возмещение понесенных судебных издержек. Наряду с этим государство-участник обязано предотвращать совершение аналогичных нарушений в будущем. Государству-участнику следует пересмотреть свое зак</w:t>
      </w:r>
      <w:r w:rsidRPr="000A597B">
        <w:t>о</w:t>
      </w:r>
      <w:r w:rsidRPr="000A597B">
        <w:t>нодательство − в частности, Закон о порядке организации и проведения мирных собраний, митингов, шествий, пикетов и демонстраций в Республике Казахстан, поскольку в данном случае  применялся именно этот закон, − чтобы обеспечить всестороннее осуществление в государстве-участнике тех прав, которые пред</w:t>
      </w:r>
      <w:r w:rsidRPr="000A597B">
        <w:t>у</w:t>
      </w:r>
      <w:r w:rsidRPr="000A597B">
        <w:t xml:space="preserve">смотрены статьями 19 и 21 Пакта. </w:t>
      </w:r>
    </w:p>
    <w:p w:rsidR="006E7AF7" w:rsidRPr="000A597B" w:rsidRDefault="000A597B" w:rsidP="000A597B">
      <w:pPr>
        <w:pStyle w:val="SingleTxtGR"/>
      </w:pPr>
      <w:r w:rsidRPr="000A597B">
        <w:t>10.</w:t>
      </w:r>
      <w:r w:rsidRPr="000A597B">
        <w:tab/>
        <w:t>С учетом того, что, присоединившись к Факультативному протоколу, г</w:t>
      </w:r>
      <w:r w:rsidRPr="000A597B">
        <w:t>о</w:t>
      </w:r>
      <w:r w:rsidRPr="000A597B">
        <w:t>сударство-участник признало полномочия Комитета определять наличие или отсутствие нарушений Пакта, и что в соответствии со статьей 2 Пакта госуда</w:t>
      </w:r>
      <w:r w:rsidRPr="000A597B">
        <w:t>р</w:t>
      </w:r>
      <w:r w:rsidRPr="000A597B">
        <w:t>ство-участник обязалось обеспечивать всем находящимся в пределах его терр</w:t>
      </w:r>
      <w:r w:rsidRPr="000A597B">
        <w:t>и</w:t>
      </w:r>
      <w:r w:rsidRPr="000A597B">
        <w:t>тории и под его юрисдикцией лицам признаваемые в Пакте права, а также э</w:t>
      </w:r>
      <w:r w:rsidRPr="000A597B">
        <w:t>ф</w:t>
      </w:r>
      <w:r w:rsidRPr="000A597B">
        <w:t>фективное и имеющее исковую силу средство правовой защиты в случае уст</w:t>
      </w:r>
      <w:r w:rsidRPr="000A597B">
        <w:t>а</w:t>
      </w:r>
      <w:r w:rsidRPr="000A597B">
        <w:t>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Государству-участнику предлагается также опублик</w:t>
      </w:r>
      <w:r w:rsidRPr="000A597B">
        <w:t>о</w:t>
      </w:r>
      <w:r w:rsidRPr="000A597B">
        <w:t>вать настоящие соображения, обеспечить их перевод на официальные языки и их широкое распространение.</w:t>
      </w:r>
    </w:p>
    <w:p w:rsidR="000A597B" w:rsidRPr="00A05D4D" w:rsidRDefault="00A05D4D" w:rsidP="00A05D4D">
      <w:pPr>
        <w:spacing w:before="240"/>
        <w:jc w:val="center"/>
        <w:rPr>
          <w:u w:val="single"/>
        </w:rPr>
      </w:pPr>
      <w:r>
        <w:rPr>
          <w:u w:val="single"/>
        </w:rPr>
        <w:tab/>
      </w:r>
      <w:r>
        <w:rPr>
          <w:u w:val="single"/>
        </w:rPr>
        <w:tab/>
      </w:r>
      <w:r>
        <w:rPr>
          <w:u w:val="single"/>
        </w:rPr>
        <w:tab/>
      </w:r>
    </w:p>
    <w:sectPr w:rsidR="000A597B" w:rsidRPr="00A05D4D"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7B" w:rsidRDefault="000A597B">
      <w:r>
        <w:rPr>
          <w:lang w:val="en-US"/>
        </w:rPr>
        <w:tab/>
      </w:r>
      <w:r>
        <w:separator/>
      </w:r>
    </w:p>
  </w:endnote>
  <w:endnote w:type="continuationSeparator" w:id="0">
    <w:p w:rsidR="000A597B" w:rsidRDefault="000A5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7B" w:rsidRPr="005F0588" w:rsidRDefault="000A597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E66D9A">
      <w:rPr>
        <w:rStyle w:val="PageNumber"/>
        <w:noProof/>
      </w:rPr>
      <w:t>2</w:t>
    </w:r>
    <w:r>
      <w:rPr>
        <w:rStyle w:val="PageNumber"/>
      </w:rPr>
      <w:fldChar w:fldCharType="end"/>
    </w:r>
    <w:r>
      <w:rPr>
        <w:lang w:val="en-US"/>
      </w:rPr>
      <w:tab/>
      <w:t>GE.1</w:t>
    </w:r>
    <w:r w:rsidR="00A07633">
      <w:rPr>
        <w:lang w:val="en-US"/>
      </w:rPr>
      <w:t>4</w:t>
    </w:r>
    <w:r>
      <w:rPr>
        <w:lang w:val="en-US"/>
      </w:rPr>
      <w:t>-</w:t>
    </w:r>
    <w:r w:rsidR="00A07633">
      <w:rPr>
        <w:lang w:val="en-US"/>
      </w:rPr>
      <w:t>22462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7B" w:rsidRPr="005F0588" w:rsidRDefault="000A597B">
    <w:pPr>
      <w:pStyle w:val="Footer"/>
      <w:rPr>
        <w:lang w:val="en-US"/>
      </w:rPr>
    </w:pPr>
    <w:r>
      <w:rPr>
        <w:lang w:val="en-US"/>
      </w:rPr>
      <w:t>GE.1</w:t>
    </w:r>
    <w:r w:rsidR="00A07633">
      <w:rPr>
        <w:lang w:val="en-US"/>
      </w:rPr>
      <w:t>4</w:t>
    </w:r>
    <w:r>
      <w:rPr>
        <w:lang w:val="en-US"/>
      </w:rPr>
      <w:t>-</w:t>
    </w:r>
    <w:r w:rsidR="00A07633">
      <w:rPr>
        <w:lang w:val="en-US"/>
      </w:rPr>
      <w:t>22462</w:t>
    </w:r>
    <w:r>
      <w:rPr>
        <w:lang w:val="en-US"/>
      </w:rPr>
      <w:tab/>
    </w:r>
    <w:r>
      <w:rPr>
        <w:rStyle w:val="PageNumber"/>
      </w:rPr>
      <w:fldChar w:fldCharType="begin"/>
    </w:r>
    <w:r>
      <w:rPr>
        <w:rStyle w:val="PageNumber"/>
      </w:rPr>
      <w:instrText xml:space="preserve"> PAGE </w:instrText>
    </w:r>
    <w:r>
      <w:rPr>
        <w:rStyle w:val="PageNumber"/>
      </w:rPr>
      <w:fldChar w:fldCharType="separate"/>
    </w:r>
    <w:r w:rsidR="00E66D9A">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0A597B" w:rsidTr="00611264">
      <w:trPr>
        <w:trHeight w:val="438"/>
      </w:trPr>
      <w:tc>
        <w:tcPr>
          <w:tcW w:w="4068" w:type="dxa"/>
          <w:vAlign w:val="bottom"/>
        </w:tcPr>
        <w:p w:rsidR="000A597B" w:rsidRDefault="000A597B" w:rsidP="00611264">
          <w:r>
            <w:rPr>
              <w:lang w:val="en-US"/>
            </w:rPr>
            <w:t>GE.1</w:t>
          </w:r>
          <w:r w:rsidR="00A07633">
            <w:rPr>
              <w:lang w:val="en-US"/>
            </w:rPr>
            <w:t>4</w:t>
          </w:r>
          <w:r>
            <w:rPr>
              <w:lang w:val="en-US"/>
            </w:rPr>
            <w:t>-</w:t>
          </w:r>
          <w:r w:rsidR="00A07633">
            <w:rPr>
              <w:lang w:val="en-US"/>
            </w:rPr>
            <w:t>22462</w:t>
          </w:r>
          <w:r>
            <w:rPr>
              <w:lang w:val="en-US"/>
            </w:rPr>
            <w:t xml:space="preserve">   (R)</w:t>
          </w:r>
          <w:r w:rsidR="00A07633">
            <w:rPr>
              <w:lang w:val="en-US"/>
            </w:rPr>
            <w:t xml:space="preserve">   291214   291214</w:t>
          </w:r>
        </w:p>
      </w:tc>
      <w:tc>
        <w:tcPr>
          <w:tcW w:w="4663" w:type="dxa"/>
          <w:vMerge w:val="restart"/>
          <w:vAlign w:val="bottom"/>
        </w:tcPr>
        <w:p w:rsidR="000A597B" w:rsidRDefault="000A597B"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0A597B" w:rsidRDefault="00A07633" w:rsidP="00611264">
          <w:pPr>
            <w:jc w:val="right"/>
          </w:pPr>
          <w:r>
            <w:pict>
              <v:shape id="_x0000_i1027" type="#_x0000_t75" style="width:50.25pt;height:50.25pt">
                <v:imagedata r:id="rId2" o:title="2012&amp;Size=2&amp;Lang=R"/>
              </v:shape>
            </w:pict>
          </w:r>
        </w:p>
      </w:tc>
    </w:tr>
    <w:tr w:rsidR="000A597B" w:rsidRPr="00797A78" w:rsidTr="00611264">
      <w:tc>
        <w:tcPr>
          <w:tcW w:w="4068" w:type="dxa"/>
          <w:vAlign w:val="bottom"/>
        </w:tcPr>
        <w:p w:rsidR="000A597B" w:rsidRPr="00A07633" w:rsidRDefault="00A07633" w:rsidP="00611264">
          <w:pPr>
            <w:spacing w:after="40"/>
            <w:rPr>
              <w:rFonts w:ascii="C39T30Lfz" w:hAnsi="C39T30Lfz"/>
              <w:spacing w:val="0"/>
              <w:w w:val="100"/>
              <w:kern w:val="0"/>
              <w:sz w:val="56"/>
              <w:szCs w:val="56"/>
              <w:lang w:val="en-US" w:eastAsia="ru-RU"/>
            </w:rPr>
          </w:pP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r w:rsidRPr="00A07633">
            <w:rPr>
              <w:rFonts w:ascii="C39T30Lfz" w:hAnsi="C39T30Lfz"/>
              <w:spacing w:val="0"/>
              <w:w w:val="100"/>
              <w:kern w:val="0"/>
              <w:sz w:val="56"/>
              <w:szCs w:val="56"/>
              <w:lang w:val="en-US" w:eastAsia="ru-RU"/>
            </w:rPr>
            <w:t></w:t>
          </w:r>
        </w:p>
      </w:tc>
      <w:tc>
        <w:tcPr>
          <w:tcW w:w="4663" w:type="dxa"/>
          <w:vMerge/>
        </w:tcPr>
        <w:p w:rsidR="000A597B" w:rsidRDefault="000A597B" w:rsidP="00611264"/>
      </w:tc>
      <w:tc>
        <w:tcPr>
          <w:tcW w:w="1124" w:type="dxa"/>
          <w:vMerge/>
        </w:tcPr>
        <w:p w:rsidR="000A597B" w:rsidRDefault="000A597B" w:rsidP="00611264"/>
      </w:tc>
    </w:tr>
  </w:tbl>
  <w:p w:rsidR="000A597B" w:rsidRDefault="000A597B" w:rsidP="00381289">
    <w:pPr>
      <w:spacing w:line="240" w:lineRule="auto"/>
      <w:rPr>
        <w:sz w:val="2"/>
        <w:szCs w:val="2"/>
        <w:lang w:val="en-US"/>
      </w:rPr>
    </w:pPr>
  </w:p>
  <w:p w:rsidR="000A597B" w:rsidRPr="002D7E3C" w:rsidRDefault="000A597B"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0A597B" w:rsidRDefault="000A597B" w:rsidP="006E7AF7">
                <w:pPr>
                  <w:rPr>
                    <w:lang w:val="en-US"/>
                  </w:rPr>
                </w:pPr>
              </w:p>
              <w:p w:rsidR="000A597B" w:rsidRDefault="000A597B"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66D9A">
                  <w:rPr>
                    <w:rStyle w:val="PageNumber"/>
                    <w:noProof/>
                  </w:rPr>
                  <w:t>1</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7B" w:rsidRPr="00F71F63" w:rsidRDefault="000A597B"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0A597B" w:rsidRPr="00F71F63" w:rsidRDefault="000A597B" w:rsidP="00635E86">
      <w:pPr>
        <w:tabs>
          <w:tab w:val="right" w:pos="2155"/>
        </w:tabs>
        <w:spacing w:after="80" w:line="240" w:lineRule="auto"/>
        <w:rPr>
          <w:u w:val="single"/>
          <w:lang w:val="en-US"/>
        </w:rPr>
      </w:pPr>
      <w:r w:rsidRPr="00F71F63">
        <w:rPr>
          <w:u w:val="single"/>
          <w:lang w:val="en-US"/>
        </w:rPr>
        <w:tab/>
      </w:r>
    </w:p>
    <w:p w:rsidR="000A597B" w:rsidRPr="00635E86" w:rsidRDefault="000A597B" w:rsidP="00635E86">
      <w:pPr>
        <w:pStyle w:val="Footer"/>
      </w:pPr>
    </w:p>
  </w:footnote>
  <w:footnote w:id="1">
    <w:p w:rsidR="000A597B" w:rsidRPr="00C47A4D" w:rsidRDefault="000A597B" w:rsidP="000A597B">
      <w:pPr>
        <w:pStyle w:val="FootnoteText"/>
        <w:rPr>
          <w:lang w:val="ru-RU"/>
        </w:rPr>
      </w:pPr>
      <w:r w:rsidRPr="00BB1B91">
        <w:rPr>
          <w:rStyle w:val="FootnoteReference"/>
          <w:vertAlign w:val="baseline"/>
          <w:lang w:val="ru-RU"/>
        </w:rPr>
        <w:tab/>
      </w:r>
      <w:r w:rsidRPr="00BB1B91">
        <w:rPr>
          <w:rStyle w:val="FootnoteReference"/>
          <w:sz w:val="20"/>
          <w:vertAlign w:val="baseline"/>
          <w:lang w:val="ru-RU"/>
        </w:rPr>
        <w:t>*</w:t>
      </w:r>
      <w:r w:rsidRPr="00BB1B91">
        <w:rPr>
          <w:rStyle w:val="FootnoteReference"/>
          <w:sz w:val="20"/>
          <w:vertAlign w:val="baseline"/>
          <w:lang w:val="ru-RU"/>
        </w:rPr>
        <w:tab/>
      </w:r>
      <w:r w:rsidRPr="00C47A4D">
        <w:rPr>
          <w:color w:val="000000"/>
          <w:szCs w:val="18"/>
          <w:lang w:val="ru-RU"/>
        </w:rPr>
        <w:t xml:space="preserve">В рассмотрении настоящего сообщения принимали участие следующие члены Комитета: </w:t>
      </w:r>
      <w:r w:rsidRPr="00C47A4D">
        <w:rPr>
          <w:lang w:val="ru-RU"/>
        </w:rPr>
        <w:t xml:space="preserve">г-н Ядх Бен Ашур, г-жа Кристина Шане, г-н Ахмед Амин Фатхалла, </w:t>
      </w:r>
      <w:r w:rsidR="00C47A4D">
        <w:rPr>
          <w:lang w:val="ru-RU"/>
        </w:rPr>
        <w:br/>
      </w:r>
      <w:r w:rsidRPr="00C47A4D">
        <w:rPr>
          <w:lang w:val="ru-RU"/>
        </w:rPr>
        <w:t xml:space="preserve">г-н Юдзи Ивасава, г-н Корнелис Флинтерман, г-жа Зонке Занеле Майодина, </w:t>
      </w:r>
      <w:r w:rsidR="00C47A4D">
        <w:rPr>
          <w:lang w:val="ru-RU"/>
        </w:rPr>
        <w:br/>
      </w:r>
      <w:r w:rsidRPr="00C47A4D">
        <w:rPr>
          <w:lang w:val="ru-RU"/>
        </w:rPr>
        <w:t xml:space="preserve">г-н Джеральд Нойман, г-н Виктор Мануэль Родригес-Ресия, г-жа Марго Ватервал, </w:t>
      </w:r>
      <w:r w:rsidR="00C47A4D">
        <w:rPr>
          <w:lang w:val="ru-RU"/>
        </w:rPr>
        <w:br/>
      </w:r>
      <w:r w:rsidRPr="00C47A4D">
        <w:rPr>
          <w:lang w:val="ru-RU"/>
        </w:rPr>
        <w:t xml:space="preserve">г-н Константин Вардзелашвили, г-н Юваль Шани, г-н Фабиан Омар Сальвиоли, </w:t>
      </w:r>
      <w:r w:rsidR="00C47A4D">
        <w:rPr>
          <w:lang w:val="ru-RU"/>
        </w:rPr>
        <w:br/>
      </w:r>
      <w:r w:rsidRPr="00C47A4D">
        <w:rPr>
          <w:lang w:val="ru-RU"/>
        </w:rPr>
        <w:t>г-жа Аня Зайберт-Фор, г-н Андрей Паул Злэтеску, г-н Лазхари Бузид и г-н Дируджлалл Ситулсингх</w:t>
      </w:r>
      <w:r w:rsidRPr="00C47A4D">
        <w:rPr>
          <w:bCs/>
          <w:lang w:val="ru-RU"/>
        </w:rPr>
        <w:t>.</w:t>
      </w:r>
    </w:p>
  </w:footnote>
  <w:footnote w:id="2">
    <w:p w:rsidR="000A597B" w:rsidRPr="00C47A4D" w:rsidRDefault="000A597B" w:rsidP="000A597B">
      <w:pPr>
        <w:pStyle w:val="FootnoteText"/>
        <w:rPr>
          <w:lang w:val="ru-RU"/>
        </w:rPr>
      </w:pPr>
      <w:r w:rsidRPr="00C47A4D">
        <w:rPr>
          <w:lang w:val="ru-RU"/>
        </w:rPr>
        <w:tab/>
      </w:r>
      <w:r w:rsidRPr="00C47A4D">
        <w:rPr>
          <w:rStyle w:val="FootnoteReference"/>
          <w:lang w:val="ru-RU"/>
        </w:rPr>
        <w:footnoteRef/>
      </w:r>
      <w:r w:rsidRPr="00C47A4D">
        <w:rPr>
          <w:lang w:val="ru-RU"/>
        </w:rPr>
        <w:tab/>
      </w:r>
      <w:r w:rsidRPr="00C47A4D">
        <w:rPr>
          <w:rFonts w:eastAsia="Verdana"/>
          <w:lang w:val="ru-RU"/>
        </w:rPr>
        <w:t>Факультативный протокол вступил в силу для Казахстана 30 сентября 2009 года.</w:t>
      </w:r>
    </w:p>
  </w:footnote>
  <w:footnote w:id="3">
    <w:p w:rsidR="000A597B" w:rsidRPr="00C47A4D" w:rsidRDefault="000A597B" w:rsidP="000A597B">
      <w:pPr>
        <w:pStyle w:val="FootnoteText"/>
        <w:rPr>
          <w:lang w:val="ru-RU"/>
        </w:rPr>
      </w:pPr>
      <w:r w:rsidRPr="00C47A4D">
        <w:rPr>
          <w:szCs w:val="18"/>
          <w:lang w:val="ru-RU"/>
        </w:rPr>
        <w:tab/>
      </w:r>
      <w:r w:rsidRPr="00C47A4D">
        <w:rPr>
          <w:rStyle w:val="FootnoteReference"/>
          <w:szCs w:val="18"/>
          <w:lang w:val="ru-RU"/>
        </w:rPr>
        <w:footnoteRef/>
      </w:r>
      <w:r w:rsidRPr="00C47A4D">
        <w:rPr>
          <w:szCs w:val="18"/>
          <w:lang w:val="ru-RU"/>
        </w:rPr>
        <w:tab/>
        <w:t xml:space="preserve">См. сообщение № 1128/2002, </w:t>
      </w:r>
      <w:r w:rsidRPr="00C47A4D">
        <w:rPr>
          <w:i/>
          <w:lang w:val="ru-RU"/>
        </w:rPr>
        <w:t>Maркиш де Мораиш против Анголы</w:t>
      </w:r>
      <w:r w:rsidRPr="00C47A4D">
        <w:rPr>
          <w:lang w:val="ru-RU"/>
        </w:rPr>
        <w:t>, соображения от 29</w:t>
      </w:r>
      <w:r w:rsidR="00C47A4D">
        <w:rPr>
          <w:lang w:val="ru-RU"/>
        </w:rPr>
        <w:t> </w:t>
      </w:r>
      <w:r w:rsidRPr="00C47A4D">
        <w:rPr>
          <w:lang w:val="ru-RU"/>
        </w:rPr>
        <w:t>марта 2005 года, пункт 6.7.</w:t>
      </w:r>
    </w:p>
  </w:footnote>
  <w:footnote w:id="4">
    <w:p w:rsidR="000A597B" w:rsidRPr="00C47A4D" w:rsidRDefault="000A597B" w:rsidP="000A597B">
      <w:pPr>
        <w:pStyle w:val="FootnoteText"/>
        <w:rPr>
          <w:lang w:val="ru-RU"/>
        </w:rPr>
      </w:pPr>
      <w:r w:rsidRPr="00C47A4D">
        <w:rPr>
          <w:szCs w:val="18"/>
          <w:lang w:val="ru-RU"/>
        </w:rPr>
        <w:tab/>
      </w:r>
      <w:r w:rsidRPr="00C47A4D">
        <w:rPr>
          <w:rStyle w:val="FootnoteReference"/>
          <w:szCs w:val="18"/>
          <w:lang w:val="ru-RU"/>
        </w:rPr>
        <w:footnoteRef/>
      </w:r>
      <w:r w:rsidRPr="00C47A4D">
        <w:rPr>
          <w:szCs w:val="18"/>
          <w:lang w:val="ru-RU"/>
        </w:rPr>
        <w:tab/>
        <w:t xml:space="preserve">См. замечание общего порядка № 10 </w:t>
      </w:r>
      <w:r w:rsidRPr="00C47A4D">
        <w:rPr>
          <w:lang w:val="ru-RU"/>
        </w:rPr>
        <w:t>(1983) Комитета, касающееся свободы мнений и их выражения, пункт 4.</w:t>
      </w:r>
    </w:p>
  </w:footnote>
  <w:footnote w:id="5">
    <w:p w:rsidR="000A597B" w:rsidRPr="00C47A4D" w:rsidRDefault="000A597B" w:rsidP="000A597B">
      <w:pPr>
        <w:pStyle w:val="FootnoteText"/>
        <w:rPr>
          <w:lang w:val="ru-RU"/>
        </w:rPr>
      </w:pPr>
      <w:r w:rsidRPr="00C47A4D">
        <w:rPr>
          <w:lang w:val="ru-RU"/>
        </w:rPr>
        <w:tab/>
      </w:r>
      <w:r w:rsidRPr="00C47A4D">
        <w:rPr>
          <w:rStyle w:val="FootnoteReference"/>
          <w:szCs w:val="18"/>
          <w:lang w:val="ru-RU"/>
        </w:rPr>
        <w:footnoteRef/>
      </w:r>
      <w:r w:rsidRPr="00C47A4D">
        <w:rPr>
          <w:lang w:val="ru-RU"/>
        </w:rPr>
        <w:tab/>
      </w:r>
      <w:r w:rsidRPr="00C47A4D">
        <w:rPr>
          <w:szCs w:val="18"/>
          <w:lang w:val="ru-RU"/>
        </w:rPr>
        <w:t xml:space="preserve"> См. сообщение № 628/1995, </w:t>
      </w:r>
      <w:r w:rsidRPr="00C47A4D">
        <w:rPr>
          <w:i/>
          <w:lang w:val="ru-RU"/>
        </w:rPr>
        <w:t>Пак против Республики Корея</w:t>
      </w:r>
      <w:r w:rsidRPr="00C47A4D">
        <w:rPr>
          <w:lang w:val="ru-RU"/>
        </w:rPr>
        <w:t>, соображения от 20</w:t>
      </w:r>
      <w:r w:rsidR="00C47A4D">
        <w:rPr>
          <w:lang w:val="ru-RU"/>
        </w:rPr>
        <w:t> </w:t>
      </w:r>
      <w:r w:rsidRPr="00C47A4D">
        <w:rPr>
          <w:lang w:val="ru-RU"/>
        </w:rPr>
        <w:t>октября 1998 года, пункт 10.3.</w:t>
      </w:r>
    </w:p>
  </w:footnote>
  <w:footnote w:id="6">
    <w:p w:rsidR="000A597B" w:rsidRPr="00C47A4D" w:rsidRDefault="000A597B" w:rsidP="000A597B">
      <w:pPr>
        <w:pStyle w:val="FootnoteText"/>
        <w:rPr>
          <w:lang w:val="ru-RU"/>
        </w:rPr>
      </w:pPr>
      <w:r w:rsidRPr="00C47A4D">
        <w:rPr>
          <w:lang w:val="ru-RU"/>
        </w:rPr>
        <w:tab/>
      </w:r>
      <w:r w:rsidRPr="00C47A4D">
        <w:rPr>
          <w:rStyle w:val="FootnoteReference"/>
          <w:szCs w:val="18"/>
          <w:lang w:val="ru-RU"/>
        </w:rPr>
        <w:footnoteRef/>
      </w:r>
      <w:r w:rsidRPr="00C47A4D">
        <w:rPr>
          <w:lang w:val="ru-RU"/>
        </w:rPr>
        <w:tab/>
      </w:r>
      <w:r w:rsidRPr="00C47A4D">
        <w:rPr>
          <w:szCs w:val="18"/>
          <w:lang w:val="ru-RU"/>
        </w:rPr>
        <w:t xml:space="preserve">См. сообщение № 926/2000, </w:t>
      </w:r>
      <w:r w:rsidRPr="00C47A4D">
        <w:rPr>
          <w:i/>
          <w:lang w:val="ru-RU"/>
        </w:rPr>
        <w:t>Шин против Республики Корея</w:t>
      </w:r>
      <w:r w:rsidRPr="00C47A4D">
        <w:rPr>
          <w:lang w:val="ru-RU"/>
        </w:rPr>
        <w:t>, соображения от 16 марта 2004 года, пункт 7.3.</w:t>
      </w:r>
    </w:p>
  </w:footnote>
  <w:footnote w:id="7">
    <w:p w:rsidR="000A597B" w:rsidRPr="00C47A4D" w:rsidRDefault="000A597B" w:rsidP="000A597B">
      <w:pPr>
        <w:pStyle w:val="FootnoteText"/>
        <w:rPr>
          <w:lang w:val="ru-RU"/>
        </w:rPr>
      </w:pPr>
      <w:r w:rsidRPr="00C47A4D">
        <w:rPr>
          <w:lang w:val="ru-RU"/>
        </w:rPr>
        <w:tab/>
      </w:r>
      <w:r w:rsidRPr="00C47A4D">
        <w:rPr>
          <w:rStyle w:val="FootnoteReference"/>
          <w:szCs w:val="18"/>
          <w:lang w:val="ru-RU"/>
        </w:rPr>
        <w:footnoteRef/>
      </w:r>
      <w:r w:rsidRPr="00C47A4D">
        <w:rPr>
          <w:lang w:val="ru-RU"/>
        </w:rPr>
        <w:tab/>
        <w:t xml:space="preserve">Там же. </w:t>
      </w:r>
    </w:p>
  </w:footnote>
  <w:footnote w:id="8">
    <w:p w:rsidR="000A597B" w:rsidRPr="00C47A4D" w:rsidRDefault="000A597B" w:rsidP="000A597B">
      <w:pPr>
        <w:pStyle w:val="FootnoteText"/>
        <w:rPr>
          <w:lang w:val="ru-RU"/>
        </w:rPr>
      </w:pPr>
      <w:r w:rsidRPr="00C47A4D">
        <w:rPr>
          <w:lang w:val="ru-RU"/>
        </w:rPr>
        <w:tab/>
      </w:r>
      <w:r w:rsidRPr="00C47A4D">
        <w:rPr>
          <w:rStyle w:val="FootnoteReference"/>
          <w:szCs w:val="18"/>
          <w:lang w:val="ru-RU"/>
        </w:rPr>
        <w:footnoteRef/>
      </w:r>
      <w:r w:rsidRPr="00C47A4D">
        <w:rPr>
          <w:lang w:val="ru-RU"/>
        </w:rPr>
        <w:tab/>
        <w:t xml:space="preserve">Там же. </w:t>
      </w:r>
    </w:p>
  </w:footnote>
  <w:footnote w:id="9">
    <w:p w:rsidR="000A597B" w:rsidRPr="00C47A4D" w:rsidRDefault="000A597B" w:rsidP="000A597B">
      <w:pPr>
        <w:pStyle w:val="FootnoteText"/>
        <w:rPr>
          <w:lang w:val="ru-RU"/>
        </w:rPr>
      </w:pPr>
      <w:r w:rsidRPr="00C47A4D">
        <w:rPr>
          <w:lang w:val="ru-RU"/>
        </w:rPr>
        <w:tab/>
      </w:r>
      <w:r w:rsidRPr="00C47A4D">
        <w:rPr>
          <w:rStyle w:val="FootnoteReference"/>
          <w:szCs w:val="18"/>
          <w:lang w:val="ru-RU"/>
        </w:rPr>
        <w:footnoteRef/>
      </w:r>
      <w:r w:rsidRPr="00C47A4D">
        <w:rPr>
          <w:lang w:val="ru-RU"/>
        </w:rPr>
        <w:tab/>
        <w:t xml:space="preserve">См. </w:t>
      </w:r>
      <w:r w:rsidRPr="00C47A4D">
        <w:rPr>
          <w:i/>
          <w:iCs/>
          <w:lang w:val="ru-RU"/>
        </w:rPr>
        <w:t>Maркеш де Мораиш против Анголы</w:t>
      </w:r>
      <w:r w:rsidRPr="00C47A4D">
        <w:rPr>
          <w:lang w:val="ru-RU"/>
        </w:rPr>
        <w:t xml:space="preserve"> (сноска 2 выше), пункт 6.8.</w:t>
      </w:r>
    </w:p>
  </w:footnote>
  <w:footnote w:id="10">
    <w:p w:rsidR="000A597B" w:rsidRPr="00C47A4D" w:rsidRDefault="000A597B" w:rsidP="000A597B">
      <w:pPr>
        <w:pStyle w:val="FootnoteText"/>
        <w:rPr>
          <w:lang w:val="ru-RU"/>
        </w:rPr>
      </w:pPr>
      <w:r w:rsidRPr="00C47A4D">
        <w:rPr>
          <w:lang w:val="ru-RU"/>
        </w:rPr>
        <w:tab/>
      </w:r>
      <w:r w:rsidRPr="00C47A4D">
        <w:rPr>
          <w:rStyle w:val="FootnoteReference"/>
          <w:lang w:val="ru-RU"/>
        </w:rPr>
        <w:footnoteRef/>
      </w:r>
      <w:r w:rsidRPr="00C47A4D">
        <w:rPr>
          <w:lang w:val="ru-RU"/>
        </w:rPr>
        <w:tab/>
      </w:r>
      <w:r w:rsidRPr="00C47A4D">
        <w:rPr>
          <w:szCs w:val="18"/>
          <w:lang w:val="ru-RU"/>
        </w:rPr>
        <w:t xml:space="preserve">См. сообщение № 412/1990, </w:t>
      </w:r>
      <w:r w:rsidRPr="00C47A4D">
        <w:rPr>
          <w:i/>
          <w:lang w:val="ru-RU"/>
        </w:rPr>
        <w:t>Kивенмаа против Финляндии</w:t>
      </w:r>
      <w:r w:rsidRPr="00C47A4D">
        <w:rPr>
          <w:iCs/>
          <w:lang w:val="ru-RU"/>
        </w:rPr>
        <w:t xml:space="preserve">, </w:t>
      </w:r>
      <w:r w:rsidRPr="00C47A4D">
        <w:rPr>
          <w:lang w:val="ru-RU"/>
        </w:rPr>
        <w:t>соображения от 31 марта 1994 года.</w:t>
      </w:r>
    </w:p>
  </w:footnote>
  <w:footnote w:id="11">
    <w:p w:rsidR="000A597B" w:rsidRPr="00C47A4D" w:rsidRDefault="000A597B" w:rsidP="000A597B">
      <w:pPr>
        <w:pStyle w:val="FootnoteText"/>
        <w:rPr>
          <w:lang w:val="ru-RU"/>
        </w:rPr>
      </w:pPr>
      <w:r w:rsidRPr="00C47A4D">
        <w:rPr>
          <w:lang w:val="ru-RU"/>
        </w:rPr>
        <w:tab/>
      </w:r>
      <w:r w:rsidRPr="00C47A4D">
        <w:rPr>
          <w:rStyle w:val="FootnoteReference"/>
          <w:lang w:val="ru-RU"/>
        </w:rPr>
        <w:footnoteRef/>
      </w:r>
      <w:r w:rsidRPr="00C47A4D">
        <w:rPr>
          <w:lang w:val="ru-RU"/>
        </w:rPr>
        <w:tab/>
        <w:t xml:space="preserve">См. сообщения № 305/1988, </w:t>
      </w:r>
      <w:r w:rsidRPr="00C47A4D">
        <w:rPr>
          <w:i/>
          <w:lang w:val="ru-RU"/>
        </w:rPr>
        <w:t>Ван Альфен против Нидерландов</w:t>
      </w:r>
      <w:r w:rsidRPr="00C47A4D">
        <w:rPr>
          <w:lang w:val="ru-RU"/>
        </w:rPr>
        <w:t>, соображения от 23</w:t>
      </w:r>
      <w:r w:rsidR="00C47A4D">
        <w:rPr>
          <w:lang w:val="ru-RU"/>
        </w:rPr>
        <w:t> </w:t>
      </w:r>
      <w:r w:rsidRPr="00C47A4D">
        <w:rPr>
          <w:lang w:val="ru-RU"/>
        </w:rPr>
        <w:t xml:space="preserve">июля 1990 года, пункт 5.8; и № 631/1995, </w:t>
      </w:r>
      <w:r w:rsidRPr="00C47A4D">
        <w:rPr>
          <w:i/>
          <w:lang w:val="ru-RU"/>
        </w:rPr>
        <w:t>Спакмо против Норвегии</w:t>
      </w:r>
      <w:r w:rsidRPr="00C47A4D">
        <w:rPr>
          <w:lang w:val="ru-RU"/>
        </w:rPr>
        <w:t xml:space="preserve">, соображения от 5 ноября 1999 года, пункт 6.3. </w:t>
      </w:r>
    </w:p>
  </w:footnote>
  <w:footnote w:id="12">
    <w:p w:rsidR="000A597B" w:rsidRPr="00C47A4D" w:rsidRDefault="000A597B" w:rsidP="000A597B">
      <w:pPr>
        <w:pStyle w:val="FootnoteText"/>
        <w:rPr>
          <w:lang w:val="ru-RU"/>
        </w:rPr>
      </w:pPr>
      <w:r w:rsidRPr="00C47A4D">
        <w:rPr>
          <w:lang w:val="ru-RU"/>
        </w:rPr>
        <w:tab/>
      </w:r>
      <w:r w:rsidRPr="00C47A4D">
        <w:rPr>
          <w:rStyle w:val="FootnoteReference"/>
          <w:lang w:val="ru-RU"/>
        </w:rPr>
        <w:footnoteRef/>
      </w:r>
      <w:r w:rsidRPr="00C47A4D">
        <w:rPr>
          <w:rFonts w:eastAsia="Arial Unicode MS" w:hAnsi="Arial Unicode MS" w:cs="Arial Unicode MS"/>
          <w:lang w:val="ru-RU"/>
        </w:rPr>
        <w:tab/>
      </w:r>
      <w:r w:rsidRPr="00C47A4D">
        <w:rPr>
          <w:szCs w:val="18"/>
          <w:lang w:val="ru-RU"/>
        </w:rPr>
        <w:t xml:space="preserve">См. замечание общего порядка № 34 </w:t>
      </w:r>
      <w:r w:rsidRPr="00C47A4D">
        <w:rPr>
          <w:lang w:val="ru-RU"/>
        </w:rPr>
        <w:t>(2011) Комитета, касающееся свободы мнений и их выражения, пункт </w:t>
      </w:r>
      <w:r w:rsidRPr="00C47A4D">
        <w:rPr>
          <w:rFonts w:eastAsia="Arial Unicode MS" w:hAnsi="Arial Unicode MS" w:cs="Arial Unicode MS"/>
          <w:lang w:val="ru-RU"/>
        </w:rPr>
        <w:t xml:space="preserve">2. </w:t>
      </w:r>
    </w:p>
  </w:footnote>
  <w:footnote w:id="13">
    <w:p w:rsidR="000A597B" w:rsidRPr="00C47A4D" w:rsidRDefault="000A597B" w:rsidP="000A597B">
      <w:pPr>
        <w:pStyle w:val="FootnoteText"/>
        <w:rPr>
          <w:lang w:val="ru-RU"/>
        </w:rPr>
      </w:pPr>
      <w:r w:rsidRPr="00C47A4D">
        <w:rPr>
          <w:lang w:val="ru-RU"/>
        </w:rPr>
        <w:tab/>
      </w:r>
      <w:r w:rsidRPr="00C47A4D">
        <w:rPr>
          <w:vertAlign w:val="superscript"/>
          <w:lang w:val="ru-RU"/>
        </w:rPr>
        <w:footnoteRef/>
      </w:r>
      <w:r w:rsidRPr="00C47A4D">
        <w:rPr>
          <w:rFonts w:eastAsia="Arial Unicode MS"/>
          <w:lang w:val="ru-RU"/>
        </w:rPr>
        <w:tab/>
        <w:t>Там же, пункт 34.</w:t>
      </w:r>
    </w:p>
  </w:footnote>
  <w:footnote w:id="14">
    <w:p w:rsidR="000A597B" w:rsidRPr="00C47A4D" w:rsidRDefault="000A597B" w:rsidP="000A597B">
      <w:pPr>
        <w:pStyle w:val="FootnoteText"/>
        <w:rPr>
          <w:lang w:val="ru-RU"/>
        </w:rPr>
      </w:pPr>
      <w:r w:rsidRPr="00C47A4D">
        <w:rPr>
          <w:lang w:val="ru-RU"/>
        </w:rPr>
        <w:tab/>
      </w:r>
      <w:r w:rsidRPr="00C47A4D">
        <w:rPr>
          <w:vertAlign w:val="superscript"/>
          <w:lang w:val="ru-RU"/>
        </w:rPr>
        <w:footnoteRef/>
      </w:r>
      <w:r w:rsidRPr="00C47A4D">
        <w:rPr>
          <w:lang w:val="ru-RU"/>
        </w:rPr>
        <w:tab/>
        <w:t xml:space="preserve">См. сообщение № 1604/2007, </w:t>
      </w:r>
      <w:r w:rsidRPr="00C47A4D">
        <w:rPr>
          <w:i/>
          <w:iCs/>
          <w:lang w:val="ru-RU"/>
        </w:rPr>
        <w:t>Залесская против Беларуси</w:t>
      </w:r>
      <w:r w:rsidRPr="00C47A4D">
        <w:rPr>
          <w:lang w:val="ru-RU"/>
        </w:rPr>
        <w:t>, соображения от 28 марта 2011 года, пункт 10.5.</w:t>
      </w:r>
    </w:p>
  </w:footnote>
  <w:footnote w:id="15">
    <w:p w:rsidR="000A597B" w:rsidRPr="00C47A4D" w:rsidRDefault="000A597B" w:rsidP="000A597B">
      <w:pPr>
        <w:pStyle w:val="FootnoteText"/>
        <w:rPr>
          <w:lang w:val="ru-RU"/>
        </w:rPr>
      </w:pPr>
      <w:r w:rsidRPr="00C47A4D">
        <w:rPr>
          <w:lang w:val="ru-RU"/>
        </w:rPr>
        <w:tab/>
      </w:r>
      <w:r w:rsidRPr="00C47A4D">
        <w:rPr>
          <w:vertAlign w:val="superscript"/>
          <w:lang w:val="ru-RU"/>
        </w:rPr>
        <w:footnoteRef/>
      </w:r>
      <w:r w:rsidRPr="00C47A4D">
        <w:rPr>
          <w:rFonts w:eastAsia="Arial Unicode MS"/>
          <w:lang w:val="ru-RU"/>
        </w:rPr>
        <w:tab/>
        <w:t xml:space="preserve">См. сообщения № 927/2000, </w:t>
      </w:r>
      <w:r w:rsidRPr="00C47A4D">
        <w:rPr>
          <w:rFonts w:eastAsia="Arial Unicode MS"/>
          <w:i/>
          <w:iCs/>
          <w:lang w:val="ru-RU"/>
        </w:rPr>
        <w:t>Светик против Беларуси</w:t>
      </w:r>
      <w:r w:rsidRPr="00C47A4D">
        <w:rPr>
          <w:rFonts w:eastAsia="Arial Unicode MS"/>
          <w:lang w:val="ru-RU"/>
        </w:rPr>
        <w:t>, соображения от 8 июля 2004</w:t>
      </w:r>
      <w:r w:rsidR="00C47A4D">
        <w:rPr>
          <w:rFonts w:eastAsia="Arial Unicode MS"/>
          <w:lang w:val="ru-RU"/>
        </w:rPr>
        <w:t> </w:t>
      </w:r>
      <w:r w:rsidRPr="00C47A4D">
        <w:rPr>
          <w:rFonts w:eastAsia="Arial Unicode MS"/>
          <w:lang w:val="ru-RU"/>
        </w:rPr>
        <w:t xml:space="preserve">года, пункт 7.3; и № 1009/2001, </w:t>
      </w:r>
      <w:r w:rsidRPr="00C47A4D">
        <w:rPr>
          <w:rFonts w:eastAsia="Arial Unicode MS"/>
          <w:i/>
          <w:iCs/>
          <w:lang w:val="ru-RU"/>
        </w:rPr>
        <w:t>Щетко против Беларуси</w:t>
      </w:r>
      <w:r w:rsidRPr="00C47A4D">
        <w:rPr>
          <w:rFonts w:eastAsia="Arial Unicode MS"/>
          <w:lang w:val="ru-RU"/>
        </w:rPr>
        <w:t>, соображения от 11</w:t>
      </w:r>
      <w:r w:rsidR="00C47A4D">
        <w:rPr>
          <w:rFonts w:eastAsia="Arial Unicode MS"/>
          <w:lang w:val="ru-RU"/>
        </w:rPr>
        <w:t> </w:t>
      </w:r>
      <w:r w:rsidRPr="00C47A4D">
        <w:rPr>
          <w:rFonts w:eastAsia="Arial Unicode MS"/>
          <w:lang w:val="ru-RU"/>
        </w:rPr>
        <w:t>июля 2006 года, пункт 7.5.</w:t>
      </w:r>
    </w:p>
  </w:footnote>
  <w:footnote w:id="16">
    <w:p w:rsidR="000A597B" w:rsidRPr="00C47A4D" w:rsidRDefault="000A597B" w:rsidP="000A597B">
      <w:pPr>
        <w:pStyle w:val="FootnoteText"/>
        <w:rPr>
          <w:lang w:val="ru-RU"/>
        </w:rPr>
      </w:pPr>
      <w:r w:rsidRPr="00C47A4D">
        <w:rPr>
          <w:lang w:val="ru-RU"/>
        </w:rPr>
        <w:tab/>
      </w:r>
      <w:r w:rsidRPr="00C47A4D">
        <w:rPr>
          <w:rStyle w:val="FootnoteReference"/>
          <w:lang w:val="ru-RU"/>
        </w:rPr>
        <w:footnoteRef/>
      </w:r>
      <w:r w:rsidRPr="00C47A4D">
        <w:rPr>
          <w:lang w:val="ru-RU"/>
        </w:rPr>
        <w:tab/>
        <w:t xml:space="preserve">См. </w:t>
      </w:r>
      <w:r w:rsidRPr="00C47A4D">
        <w:rPr>
          <w:i/>
          <w:iCs/>
          <w:lang w:val="ru-RU"/>
        </w:rPr>
        <w:t>Залесская против Беларуси</w:t>
      </w:r>
      <w:r w:rsidRPr="00C47A4D">
        <w:rPr>
          <w:lang w:val="ru-RU"/>
        </w:rPr>
        <w:t xml:space="preserve"> (сноска 13 выше), пункт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7B" w:rsidRPr="00A07633" w:rsidRDefault="00A07633" w:rsidP="00A07633">
    <w:pPr>
      <w:pStyle w:val="Header"/>
      <w:rPr>
        <w:lang w:val="en-US"/>
      </w:rPr>
    </w:pPr>
    <w:r w:rsidRPr="00A07633">
      <w:rPr>
        <w:lang w:val="en-US"/>
      </w:rPr>
      <w:t>CCPR/C/112/D/2137/2012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7B" w:rsidRPr="00A07633" w:rsidRDefault="000A597B">
    <w:pPr>
      <w:pStyle w:val="Header"/>
      <w:rPr>
        <w:lang w:val="en-US"/>
      </w:rPr>
    </w:pPr>
    <w:r>
      <w:rPr>
        <w:lang w:val="en-US"/>
      </w:rPr>
      <w:tab/>
    </w:r>
    <w:r w:rsidR="00A07633" w:rsidRPr="00A07633">
      <w:rPr>
        <w:lang w:val="en-US"/>
      </w:rPr>
      <w:t>CCPR/C/112/D/2137/2012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7B"/>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597B"/>
    <w:rsid w:val="000A60A0"/>
    <w:rsid w:val="000C3688"/>
    <w:rsid w:val="000D6863"/>
    <w:rsid w:val="000F410F"/>
    <w:rsid w:val="00117AEE"/>
    <w:rsid w:val="001463F7"/>
    <w:rsid w:val="0015769C"/>
    <w:rsid w:val="001755A4"/>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1DA8"/>
    <w:rsid w:val="00356BB2"/>
    <w:rsid w:val="00360477"/>
    <w:rsid w:val="00367FC9"/>
    <w:rsid w:val="003711A1"/>
    <w:rsid w:val="00372123"/>
    <w:rsid w:val="00381289"/>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34E6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264"/>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7B5F"/>
    <w:rsid w:val="00735602"/>
    <w:rsid w:val="0075279B"/>
    <w:rsid w:val="00753748"/>
    <w:rsid w:val="00762446"/>
    <w:rsid w:val="00781ACB"/>
    <w:rsid w:val="007A79EB"/>
    <w:rsid w:val="007D4CA0"/>
    <w:rsid w:val="007D7A23"/>
    <w:rsid w:val="007E0C40"/>
    <w:rsid w:val="007E38C3"/>
    <w:rsid w:val="007E549E"/>
    <w:rsid w:val="007E71C9"/>
    <w:rsid w:val="007F0250"/>
    <w:rsid w:val="007F7553"/>
    <w:rsid w:val="00805C7A"/>
    <w:rsid w:val="0080755E"/>
    <w:rsid w:val="008120D4"/>
    <w:rsid w:val="008139A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5578"/>
    <w:rsid w:val="009C60BE"/>
    <w:rsid w:val="009E6279"/>
    <w:rsid w:val="009F00A6"/>
    <w:rsid w:val="009F56A7"/>
    <w:rsid w:val="009F5B05"/>
    <w:rsid w:val="00A026CA"/>
    <w:rsid w:val="00A05D4D"/>
    <w:rsid w:val="00A07232"/>
    <w:rsid w:val="00A07633"/>
    <w:rsid w:val="00A14800"/>
    <w:rsid w:val="00A156DE"/>
    <w:rsid w:val="00A157ED"/>
    <w:rsid w:val="00A2446A"/>
    <w:rsid w:val="00A4025D"/>
    <w:rsid w:val="00A800D1"/>
    <w:rsid w:val="00A92699"/>
    <w:rsid w:val="00AB5BF0"/>
    <w:rsid w:val="00AC1C95"/>
    <w:rsid w:val="00AC2CCB"/>
    <w:rsid w:val="00AC443A"/>
    <w:rsid w:val="00AE60E2"/>
    <w:rsid w:val="00AF2F06"/>
    <w:rsid w:val="00B0169F"/>
    <w:rsid w:val="00B05F21"/>
    <w:rsid w:val="00B14EA9"/>
    <w:rsid w:val="00B30A3C"/>
    <w:rsid w:val="00B81305"/>
    <w:rsid w:val="00BB17DC"/>
    <w:rsid w:val="00BB1AF9"/>
    <w:rsid w:val="00BB1B91"/>
    <w:rsid w:val="00BB4C4A"/>
    <w:rsid w:val="00BC7F12"/>
    <w:rsid w:val="00BD3CAE"/>
    <w:rsid w:val="00BD5F3C"/>
    <w:rsid w:val="00C07C0F"/>
    <w:rsid w:val="00C145C4"/>
    <w:rsid w:val="00C20D2F"/>
    <w:rsid w:val="00C2131B"/>
    <w:rsid w:val="00C37AF8"/>
    <w:rsid w:val="00C37C79"/>
    <w:rsid w:val="00C41BBC"/>
    <w:rsid w:val="00C47A4D"/>
    <w:rsid w:val="00C51419"/>
    <w:rsid w:val="00C54056"/>
    <w:rsid w:val="00C663A3"/>
    <w:rsid w:val="00C75CB2"/>
    <w:rsid w:val="00C90723"/>
    <w:rsid w:val="00C90D5C"/>
    <w:rsid w:val="00CA609E"/>
    <w:rsid w:val="00CA7DA4"/>
    <w:rsid w:val="00CB31FB"/>
    <w:rsid w:val="00CE3D6F"/>
    <w:rsid w:val="00CE79A5"/>
    <w:rsid w:val="00CF0042"/>
    <w:rsid w:val="00CF262F"/>
    <w:rsid w:val="00CF5250"/>
    <w:rsid w:val="00D025D5"/>
    <w:rsid w:val="00D26B13"/>
    <w:rsid w:val="00D26CC1"/>
    <w:rsid w:val="00D30662"/>
    <w:rsid w:val="00D32A0B"/>
    <w:rsid w:val="00D6236B"/>
    <w:rsid w:val="00D76358"/>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66D9A"/>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1EE"/>
    <w:rsid w:val="00F52A0E"/>
    <w:rsid w:val="00F71F63"/>
    <w:rsid w:val="00F87506"/>
    <w:rsid w:val="00F92C41"/>
    <w:rsid w:val="00FA5522"/>
    <w:rsid w:val="00FA6E4A"/>
    <w:rsid w:val="00FB2B35"/>
    <w:rsid w:val="00FC4AE1"/>
    <w:rsid w:val="00FD78A3"/>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3246</Words>
  <Characters>21554</Characters>
  <Application>Microsoft Office Outlook</Application>
  <DocSecurity>4</DocSecurity>
  <Lines>414</Lines>
  <Paragraphs>100</Paragraphs>
  <ScaleCrop>false</ScaleCrop>
  <HeadingPairs>
    <vt:vector size="2" baseType="variant">
      <vt:variant>
        <vt:lpstr>Название</vt:lpstr>
      </vt:variant>
      <vt:variant>
        <vt:i4>1</vt:i4>
      </vt:variant>
    </vt:vector>
  </HeadingPairs>
  <TitlesOfParts>
    <vt:vector size="1" baseType="lpstr">
      <vt:lpstr>1422462</vt:lpstr>
    </vt:vector>
  </TitlesOfParts>
  <Manager>Пятин</Manager>
  <Company>CSD</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1422462</dc:title>
  <dc:subject>CCPR/C/112/D/2137/2012</dc:subject>
  <dc:creator>Larisa Maykovskaya</dc:creator>
  <cp:keywords/>
  <dc:description/>
  <cp:lastModifiedBy>Larisa Maykovskaya</cp:lastModifiedBy>
  <cp:revision>2</cp:revision>
  <cp:lastPrinted>1601-01-01T00:00:00Z</cp:lastPrinted>
  <dcterms:created xsi:type="dcterms:W3CDTF">2014-12-29T11:03:00Z</dcterms:created>
  <dcterms:modified xsi:type="dcterms:W3CDTF">2014-12-29T11:03:00Z</dcterms:modified>
</cp:coreProperties>
</file>