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04C5A311" w14:textId="77777777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BB0F57F" w14:textId="77777777" w:rsidR="002D5AAC" w:rsidRDefault="002D5AAC" w:rsidP="005A47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5EC6F63B" w14:textId="77777777"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11E12142" w14:textId="77777777" w:rsidR="002D5AAC" w:rsidRDefault="005A47D6" w:rsidP="005A47D6">
            <w:pPr>
              <w:jc w:val="right"/>
            </w:pPr>
            <w:proofErr w:type="spellStart"/>
            <w:r w:rsidRPr="005A47D6">
              <w:rPr>
                <w:sz w:val="40"/>
              </w:rPr>
              <w:t>CCPR</w:t>
            </w:r>
            <w:proofErr w:type="spellEnd"/>
            <w:r>
              <w:t>/C/124/D/2260/2013</w:t>
            </w:r>
          </w:p>
        </w:tc>
      </w:tr>
      <w:tr w:rsidR="002D5AAC" w14:paraId="35322F21" w14:textId="77777777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D0D7E98" w14:textId="77777777"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5F454B4" wp14:editId="696274F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9BE68A1" w14:textId="77777777"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18C0D968" w14:textId="77777777" w:rsidR="002D5AAC" w:rsidRDefault="005A47D6" w:rsidP="00BC362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.: </w:t>
            </w:r>
            <w:proofErr w:type="spellStart"/>
            <w:r>
              <w:t>General</w:t>
            </w:r>
            <w:proofErr w:type="spellEnd"/>
          </w:p>
          <w:p w14:paraId="39613A6E" w14:textId="77777777" w:rsidR="005A47D6" w:rsidRDefault="005A47D6" w:rsidP="005A47D6">
            <w:pPr>
              <w:spacing w:line="240" w:lineRule="exact"/>
            </w:pPr>
            <w:r>
              <w:t xml:space="preserve">13 </w:t>
            </w:r>
            <w:proofErr w:type="spellStart"/>
            <w:r>
              <w:t>December</w:t>
            </w:r>
            <w:proofErr w:type="spellEnd"/>
            <w:r>
              <w:t xml:space="preserve"> 2018</w:t>
            </w:r>
          </w:p>
          <w:p w14:paraId="620B6B05" w14:textId="77777777" w:rsidR="005A47D6" w:rsidRDefault="005A47D6" w:rsidP="005A47D6">
            <w:pPr>
              <w:spacing w:line="240" w:lineRule="exact"/>
            </w:pPr>
            <w:proofErr w:type="spellStart"/>
            <w:r>
              <w:t>Russian</w:t>
            </w:r>
            <w:proofErr w:type="spellEnd"/>
          </w:p>
          <w:p w14:paraId="6B158F95" w14:textId="77777777" w:rsidR="005A47D6" w:rsidRPr="00375F01" w:rsidRDefault="005A47D6" w:rsidP="005A47D6">
            <w:pPr>
              <w:spacing w:line="240" w:lineRule="exact"/>
            </w:pPr>
            <w:proofErr w:type="spellStart"/>
            <w:r>
              <w:t>Original</w:t>
            </w:r>
            <w:proofErr w:type="spellEnd"/>
            <w:r>
              <w:t xml:space="preserve">: </w:t>
            </w:r>
            <w:proofErr w:type="spellStart"/>
            <w:r>
              <w:t>English</w:t>
            </w:r>
            <w:proofErr w:type="spellEnd"/>
          </w:p>
        </w:tc>
      </w:tr>
    </w:tbl>
    <w:p w14:paraId="6146E352" w14:textId="77777777" w:rsidR="005A47D6" w:rsidRPr="005A47D6" w:rsidRDefault="005A47D6" w:rsidP="005A47D6">
      <w:pPr>
        <w:spacing w:before="120"/>
        <w:rPr>
          <w:b/>
          <w:sz w:val="24"/>
          <w:szCs w:val="24"/>
        </w:rPr>
      </w:pPr>
      <w:r w:rsidRPr="005A47D6">
        <w:rPr>
          <w:b/>
          <w:bCs/>
          <w:sz w:val="24"/>
          <w:szCs w:val="24"/>
        </w:rPr>
        <w:t>Комитет по правам человека</w:t>
      </w:r>
    </w:p>
    <w:p w14:paraId="778BB4ED" w14:textId="4BA4AF5A" w:rsidR="005A47D6" w:rsidRDefault="005A47D6" w:rsidP="005A47D6">
      <w:pPr>
        <w:pStyle w:val="HChGR"/>
      </w:pPr>
      <w:r w:rsidRPr="005A47D6">
        <w:tab/>
      </w:r>
      <w:r w:rsidRPr="005A47D6">
        <w:tab/>
        <w:t>Соображения, принятые Комитетом в соответствии с</w:t>
      </w:r>
      <w:r w:rsidR="00427F25">
        <w:t> </w:t>
      </w:r>
      <w:r w:rsidRPr="005A47D6">
        <w:t>пунктом 4 статьи 5 Факультативного протокола относительно сообщения № 2260/2013</w:t>
      </w:r>
      <w:r w:rsidRPr="005A47D6">
        <w:rPr>
          <w:b w:val="0"/>
          <w:sz w:val="18"/>
        </w:rPr>
        <w:footnoteReference w:customMarkFollows="1" w:id="1"/>
        <w:t xml:space="preserve">* </w:t>
      </w:r>
      <w:r w:rsidRPr="005A47D6">
        <w:rPr>
          <w:b w:val="0"/>
          <w:sz w:val="18"/>
        </w:rPr>
        <w:footnoteReference w:customMarkFollows="1" w:id="2"/>
        <w:t>**</w:t>
      </w:r>
    </w:p>
    <w:tbl>
      <w:tblPr>
        <w:tblW w:w="6804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3871"/>
      </w:tblGrid>
      <w:tr w:rsidR="005A47D6" w:rsidRPr="00B03EE9" w14:paraId="410CDFC9" w14:textId="77777777" w:rsidTr="00026896">
        <w:tc>
          <w:tcPr>
            <w:tcW w:w="2933" w:type="dxa"/>
            <w:shd w:val="clear" w:color="auto" w:fill="auto"/>
          </w:tcPr>
          <w:p w14:paraId="45A8D6C4" w14:textId="77777777" w:rsidR="005A47D6" w:rsidRPr="00B03EE9" w:rsidRDefault="005A47D6" w:rsidP="00026896">
            <w:pPr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>Представлено:</w:t>
            </w:r>
          </w:p>
        </w:tc>
        <w:tc>
          <w:tcPr>
            <w:tcW w:w="3871" w:type="dxa"/>
            <w:shd w:val="clear" w:color="auto" w:fill="auto"/>
          </w:tcPr>
          <w:p w14:paraId="794401FA" w14:textId="77777777" w:rsidR="005A47D6" w:rsidRPr="00B03EE9" w:rsidRDefault="005A47D6" w:rsidP="005A47D6">
            <w:pPr>
              <w:spacing w:after="120"/>
            </w:pPr>
            <w:r w:rsidRPr="005A47D6">
              <w:t xml:space="preserve">Андреем </w:t>
            </w:r>
            <w:proofErr w:type="spellStart"/>
            <w:r w:rsidRPr="005A47D6">
              <w:t>Стрижаком</w:t>
            </w:r>
            <w:proofErr w:type="spellEnd"/>
            <w:r w:rsidRPr="005A47D6">
              <w:t xml:space="preserve"> (адвокатом </w:t>
            </w:r>
            <w:r>
              <w:t>не </w:t>
            </w:r>
            <w:r w:rsidRPr="005A47D6">
              <w:t>представлен)</w:t>
            </w:r>
          </w:p>
        </w:tc>
      </w:tr>
      <w:tr w:rsidR="005A47D6" w14:paraId="2FD13F8E" w14:textId="77777777" w:rsidTr="00026896">
        <w:tc>
          <w:tcPr>
            <w:tcW w:w="2933" w:type="dxa"/>
            <w:shd w:val="clear" w:color="auto" w:fill="auto"/>
          </w:tcPr>
          <w:p w14:paraId="25F2078D" w14:textId="77777777" w:rsidR="005A47D6" w:rsidRPr="00B03EE9" w:rsidRDefault="005A47D6" w:rsidP="00026896">
            <w:pPr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>Предполагаемая жертва:</w:t>
            </w:r>
          </w:p>
        </w:tc>
        <w:tc>
          <w:tcPr>
            <w:tcW w:w="3871" w:type="dxa"/>
            <w:shd w:val="clear" w:color="auto" w:fill="auto"/>
          </w:tcPr>
          <w:p w14:paraId="5118646B" w14:textId="77777777" w:rsidR="005A47D6" w:rsidRDefault="005A47D6" w:rsidP="00026896">
            <w:pPr>
              <w:spacing w:after="120"/>
            </w:pPr>
            <w:r w:rsidRPr="005A47D6">
              <w:t>автор сообщения</w:t>
            </w:r>
          </w:p>
        </w:tc>
      </w:tr>
      <w:tr w:rsidR="005A47D6" w14:paraId="5D307514" w14:textId="77777777" w:rsidTr="00026896">
        <w:tc>
          <w:tcPr>
            <w:tcW w:w="2933" w:type="dxa"/>
            <w:shd w:val="clear" w:color="auto" w:fill="auto"/>
          </w:tcPr>
          <w:p w14:paraId="097FE688" w14:textId="77777777" w:rsidR="005A47D6" w:rsidRPr="00B03EE9" w:rsidRDefault="005A47D6" w:rsidP="00026896">
            <w:pPr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>Государство-участник:</w:t>
            </w:r>
          </w:p>
        </w:tc>
        <w:tc>
          <w:tcPr>
            <w:tcW w:w="3871" w:type="dxa"/>
            <w:shd w:val="clear" w:color="auto" w:fill="auto"/>
          </w:tcPr>
          <w:p w14:paraId="0ABBAEE0" w14:textId="77777777" w:rsidR="005A47D6" w:rsidRDefault="005A47D6" w:rsidP="00026896">
            <w:pPr>
              <w:spacing w:after="120"/>
            </w:pPr>
            <w:r w:rsidRPr="005A47D6">
              <w:t>Беларусь</w:t>
            </w:r>
          </w:p>
        </w:tc>
      </w:tr>
      <w:tr w:rsidR="005A47D6" w14:paraId="03D3D240" w14:textId="77777777" w:rsidTr="00026896">
        <w:tc>
          <w:tcPr>
            <w:tcW w:w="2933" w:type="dxa"/>
            <w:shd w:val="clear" w:color="auto" w:fill="auto"/>
          </w:tcPr>
          <w:p w14:paraId="270878D4" w14:textId="77777777" w:rsidR="005A47D6" w:rsidRPr="00B03EE9" w:rsidRDefault="005A47D6" w:rsidP="00026896">
            <w:pPr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>Дата сообщения:</w:t>
            </w:r>
          </w:p>
        </w:tc>
        <w:tc>
          <w:tcPr>
            <w:tcW w:w="3871" w:type="dxa"/>
            <w:shd w:val="clear" w:color="auto" w:fill="auto"/>
          </w:tcPr>
          <w:p w14:paraId="0B101A76" w14:textId="77777777" w:rsidR="005A47D6" w:rsidRPr="002A4F6C" w:rsidRDefault="005A47D6" w:rsidP="00026896">
            <w:pPr>
              <w:spacing w:after="120"/>
            </w:pPr>
            <w:r w:rsidRPr="005A47D6">
              <w:t>28 ноября 2012 года (первоначальное представление)</w:t>
            </w:r>
          </w:p>
        </w:tc>
      </w:tr>
      <w:tr w:rsidR="005A47D6" w14:paraId="2F645BB8" w14:textId="77777777" w:rsidTr="00026896">
        <w:tc>
          <w:tcPr>
            <w:tcW w:w="2933" w:type="dxa"/>
            <w:shd w:val="clear" w:color="auto" w:fill="auto"/>
          </w:tcPr>
          <w:p w14:paraId="70358942" w14:textId="77777777" w:rsidR="005A47D6" w:rsidRPr="00B03EE9" w:rsidRDefault="005A47D6" w:rsidP="00026896">
            <w:pPr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>Справочная документация:</w:t>
            </w:r>
          </w:p>
        </w:tc>
        <w:tc>
          <w:tcPr>
            <w:tcW w:w="3871" w:type="dxa"/>
            <w:shd w:val="clear" w:color="auto" w:fill="auto"/>
          </w:tcPr>
          <w:p w14:paraId="50DFA907" w14:textId="011A5CCE" w:rsidR="005A47D6" w:rsidRDefault="005A47D6" w:rsidP="00427F25">
            <w:pPr>
              <w:spacing w:after="120"/>
            </w:pPr>
            <w:r w:rsidRPr="005A47D6">
              <w:t>решение в соответствии с правилом 97 правил процедуры Комитета, препровожденное государству-участнику 18</w:t>
            </w:r>
            <w:r w:rsidR="00427F25">
              <w:t> </w:t>
            </w:r>
            <w:r w:rsidRPr="005A47D6">
              <w:t>июня 2013 года (в виде документа не</w:t>
            </w:r>
            <w:r w:rsidR="00427F25">
              <w:t> </w:t>
            </w:r>
            <w:r w:rsidRPr="005A47D6">
              <w:t>издавалось)</w:t>
            </w:r>
          </w:p>
        </w:tc>
      </w:tr>
      <w:tr w:rsidR="005A47D6" w14:paraId="26C990B8" w14:textId="77777777" w:rsidTr="00026896">
        <w:tc>
          <w:tcPr>
            <w:tcW w:w="2933" w:type="dxa"/>
            <w:shd w:val="clear" w:color="auto" w:fill="auto"/>
          </w:tcPr>
          <w:p w14:paraId="381F6415" w14:textId="77777777" w:rsidR="005A47D6" w:rsidRPr="00B03EE9" w:rsidRDefault="005A47D6" w:rsidP="00026896">
            <w:pPr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 xml:space="preserve">Дата принятия </w:t>
            </w:r>
            <w:proofErr w:type="spellStart"/>
            <w:r w:rsidRPr="00B03EE9">
              <w:rPr>
                <w:i/>
              </w:rPr>
              <w:t>Cоображений</w:t>
            </w:r>
            <w:proofErr w:type="spellEnd"/>
            <w:r w:rsidRPr="00B03EE9">
              <w:rPr>
                <w:i/>
              </w:rPr>
              <w:t>:</w:t>
            </w:r>
          </w:p>
        </w:tc>
        <w:tc>
          <w:tcPr>
            <w:tcW w:w="3871" w:type="dxa"/>
            <w:shd w:val="clear" w:color="auto" w:fill="auto"/>
            <w:vAlign w:val="bottom"/>
          </w:tcPr>
          <w:p w14:paraId="274F42FC" w14:textId="77777777" w:rsidR="005A47D6" w:rsidRDefault="005A47D6" w:rsidP="00026896">
            <w:pPr>
              <w:spacing w:after="120"/>
            </w:pPr>
            <w:r w:rsidRPr="005A47D6">
              <w:t>1 ноября 2018 года</w:t>
            </w:r>
          </w:p>
        </w:tc>
      </w:tr>
      <w:tr w:rsidR="005A47D6" w14:paraId="5B73A67C" w14:textId="77777777" w:rsidTr="00026896">
        <w:tc>
          <w:tcPr>
            <w:tcW w:w="2933" w:type="dxa"/>
            <w:shd w:val="clear" w:color="auto" w:fill="auto"/>
          </w:tcPr>
          <w:p w14:paraId="1DC1AE26" w14:textId="77777777" w:rsidR="005A47D6" w:rsidRPr="00B03EE9" w:rsidRDefault="005A47D6" w:rsidP="00026896">
            <w:pPr>
              <w:spacing w:after="120"/>
              <w:ind w:left="35"/>
              <w:rPr>
                <w:i/>
              </w:rPr>
            </w:pPr>
            <w:r w:rsidRPr="00B03EE9">
              <w:rPr>
                <w:i/>
                <w:iCs/>
              </w:rPr>
              <w:t>Тема сообщения:</w:t>
            </w:r>
          </w:p>
        </w:tc>
        <w:tc>
          <w:tcPr>
            <w:tcW w:w="3871" w:type="dxa"/>
            <w:shd w:val="clear" w:color="auto" w:fill="auto"/>
          </w:tcPr>
          <w:p w14:paraId="2A42B056" w14:textId="77777777" w:rsidR="005A47D6" w:rsidRDefault="005A47D6" w:rsidP="00026896">
            <w:pPr>
              <w:spacing w:after="120"/>
            </w:pPr>
            <w:r w:rsidRPr="005A47D6">
              <w:t>отказ властей в выдаче разрешения на проведение пикета; свобода выражения мнений</w:t>
            </w:r>
          </w:p>
        </w:tc>
      </w:tr>
      <w:tr w:rsidR="005A47D6" w14:paraId="00BB733F" w14:textId="77777777" w:rsidTr="00026896">
        <w:tc>
          <w:tcPr>
            <w:tcW w:w="2933" w:type="dxa"/>
            <w:shd w:val="clear" w:color="auto" w:fill="auto"/>
          </w:tcPr>
          <w:p w14:paraId="7EC6DBAE" w14:textId="77777777" w:rsidR="005A47D6" w:rsidRPr="00B03EE9" w:rsidRDefault="005A47D6" w:rsidP="00026896">
            <w:pPr>
              <w:spacing w:after="120"/>
              <w:ind w:left="35"/>
              <w:rPr>
                <w:i/>
                <w:iCs/>
              </w:rPr>
            </w:pPr>
            <w:r w:rsidRPr="00B03EE9">
              <w:rPr>
                <w:i/>
                <w:iCs/>
              </w:rPr>
              <w:t>Процедурные вопросы</w:t>
            </w:r>
            <w:r w:rsidRPr="00B03EE9">
              <w:rPr>
                <w:i/>
              </w:rPr>
              <w:t>:</w:t>
            </w:r>
          </w:p>
        </w:tc>
        <w:tc>
          <w:tcPr>
            <w:tcW w:w="3871" w:type="dxa"/>
            <w:shd w:val="clear" w:color="auto" w:fill="auto"/>
          </w:tcPr>
          <w:p w14:paraId="2DE68CFC" w14:textId="77777777" w:rsidR="005A47D6" w:rsidRDefault="005A47D6" w:rsidP="00026896">
            <w:pPr>
              <w:spacing w:after="120"/>
            </w:pPr>
            <w:r w:rsidRPr="005A47D6">
              <w:t>отсутствие сотрудничества со стороны государства-участника</w:t>
            </w:r>
          </w:p>
        </w:tc>
      </w:tr>
      <w:tr w:rsidR="005A47D6" w14:paraId="72D34D68" w14:textId="77777777" w:rsidTr="00026896">
        <w:tc>
          <w:tcPr>
            <w:tcW w:w="2933" w:type="dxa"/>
            <w:shd w:val="clear" w:color="auto" w:fill="auto"/>
          </w:tcPr>
          <w:p w14:paraId="3240E73E" w14:textId="77777777" w:rsidR="005A47D6" w:rsidRPr="00B03EE9" w:rsidRDefault="005A47D6" w:rsidP="00026896">
            <w:pPr>
              <w:spacing w:after="120"/>
              <w:ind w:left="35"/>
              <w:rPr>
                <w:i/>
                <w:iCs/>
              </w:rPr>
            </w:pPr>
            <w:r w:rsidRPr="00B03EE9">
              <w:rPr>
                <w:i/>
                <w:iCs/>
              </w:rPr>
              <w:t>Вопросы существа:</w:t>
            </w:r>
          </w:p>
        </w:tc>
        <w:tc>
          <w:tcPr>
            <w:tcW w:w="3871" w:type="dxa"/>
            <w:shd w:val="clear" w:color="auto" w:fill="auto"/>
          </w:tcPr>
          <w:p w14:paraId="7EF40791" w14:textId="77777777" w:rsidR="005A47D6" w:rsidRDefault="005A47D6" w:rsidP="00026896">
            <w:pPr>
              <w:spacing w:after="120"/>
            </w:pPr>
            <w:r w:rsidRPr="005A47D6">
              <w:t>свобода собраний; свобода выражения мнений</w:t>
            </w:r>
          </w:p>
        </w:tc>
      </w:tr>
      <w:tr w:rsidR="005A47D6" w14:paraId="09F3F231" w14:textId="77777777" w:rsidTr="00026896">
        <w:tc>
          <w:tcPr>
            <w:tcW w:w="2933" w:type="dxa"/>
            <w:shd w:val="clear" w:color="auto" w:fill="auto"/>
          </w:tcPr>
          <w:p w14:paraId="2F4D7D74" w14:textId="77777777" w:rsidR="005A47D6" w:rsidRPr="00B03EE9" w:rsidRDefault="005A47D6" w:rsidP="00026896">
            <w:pPr>
              <w:spacing w:after="120"/>
              <w:ind w:left="35"/>
              <w:rPr>
                <w:i/>
                <w:iCs/>
              </w:rPr>
            </w:pPr>
            <w:r w:rsidRPr="00B03EE9">
              <w:rPr>
                <w:i/>
                <w:iCs/>
              </w:rPr>
              <w:t>Статьи Пакта</w:t>
            </w:r>
            <w:r w:rsidRPr="00B03EE9">
              <w:rPr>
                <w:i/>
              </w:rPr>
              <w:t>:</w:t>
            </w:r>
          </w:p>
        </w:tc>
        <w:tc>
          <w:tcPr>
            <w:tcW w:w="3871" w:type="dxa"/>
            <w:shd w:val="clear" w:color="auto" w:fill="auto"/>
          </w:tcPr>
          <w:p w14:paraId="4AD2898E" w14:textId="11C4106A" w:rsidR="005A47D6" w:rsidRDefault="005A47D6" w:rsidP="00427F25">
            <w:pPr>
              <w:spacing w:after="120"/>
            </w:pPr>
            <w:r w:rsidRPr="005A47D6">
              <w:t>19 и 21, рассматриваемые в совокупности с</w:t>
            </w:r>
            <w:r w:rsidR="00427F25">
              <w:t> </w:t>
            </w:r>
            <w:r w:rsidRPr="005A47D6">
              <w:t>пунктом 3 статьи 2</w:t>
            </w:r>
          </w:p>
        </w:tc>
      </w:tr>
      <w:tr w:rsidR="005A47D6" w14:paraId="219A13B7" w14:textId="77777777" w:rsidTr="00026896">
        <w:tc>
          <w:tcPr>
            <w:tcW w:w="2933" w:type="dxa"/>
            <w:shd w:val="clear" w:color="auto" w:fill="auto"/>
          </w:tcPr>
          <w:p w14:paraId="6E9F00F6" w14:textId="77777777" w:rsidR="005A47D6" w:rsidRPr="00B03EE9" w:rsidRDefault="005A47D6" w:rsidP="005A47D6">
            <w:pPr>
              <w:spacing w:after="120"/>
              <w:ind w:left="35"/>
              <w:rPr>
                <w:i/>
                <w:iCs/>
              </w:rPr>
            </w:pPr>
            <w:r w:rsidRPr="00B03EE9">
              <w:rPr>
                <w:i/>
                <w:iCs/>
              </w:rPr>
              <w:t>Стать</w:t>
            </w:r>
            <w:r>
              <w:rPr>
                <w:i/>
                <w:iCs/>
              </w:rPr>
              <w:t>я</w:t>
            </w:r>
            <w:r w:rsidRPr="00B03EE9">
              <w:rPr>
                <w:i/>
                <w:iCs/>
              </w:rPr>
              <w:t xml:space="preserve"> Факультативного протокола:</w:t>
            </w:r>
          </w:p>
        </w:tc>
        <w:tc>
          <w:tcPr>
            <w:tcW w:w="3871" w:type="dxa"/>
            <w:shd w:val="clear" w:color="auto" w:fill="auto"/>
          </w:tcPr>
          <w:p w14:paraId="64F4E24A" w14:textId="77777777" w:rsidR="005A47D6" w:rsidRDefault="005A47D6" w:rsidP="00026896">
            <w:pPr>
              <w:spacing w:after="120"/>
            </w:pPr>
            <w:r w:rsidRPr="005A47D6">
              <w:t>2</w:t>
            </w:r>
          </w:p>
        </w:tc>
      </w:tr>
    </w:tbl>
    <w:p w14:paraId="2EF31D5C" w14:textId="045AE48C" w:rsidR="005A47D6" w:rsidRPr="005A47D6" w:rsidRDefault="005A47D6" w:rsidP="005A47D6">
      <w:pPr>
        <w:pStyle w:val="SingleTxtGR"/>
      </w:pPr>
      <w:r w:rsidRPr="005A47D6">
        <w:t>1.</w:t>
      </w:r>
      <w:r w:rsidRPr="005A47D6">
        <w:tab/>
        <w:t xml:space="preserve">Автором сообщения является Андрей </w:t>
      </w:r>
      <w:proofErr w:type="spellStart"/>
      <w:r w:rsidRPr="005A47D6">
        <w:t>Стрижак</w:t>
      </w:r>
      <w:proofErr w:type="spellEnd"/>
      <w:r w:rsidRPr="005A47D6">
        <w:t xml:space="preserve">, гражданин Беларуси 1986 года рождения. Он утверждает, что государство-участник нарушило его права, предусмотренные статьями 19 и 21, рассматриваемыми в совокупности с пунктами 2 </w:t>
      </w:r>
      <w:r w:rsidRPr="005A47D6">
        <w:lastRenderedPageBreak/>
        <w:t xml:space="preserve">и 3 статьи 2 Пакта. Факультативный протокол вступил в силу для Беларуси 30 декабря 1992 года. Автор </w:t>
      </w:r>
      <w:r w:rsidR="00934218" w:rsidRPr="005A47D6">
        <w:t xml:space="preserve">адвокатом </w:t>
      </w:r>
      <w:r w:rsidRPr="005A47D6">
        <w:t>не представлен.</w:t>
      </w:r>
    </w:p>
    <w:p w14:paraId="3FBA3002" w14:textId="77777777" w:rsidR="005A47D6" w:rsidRPr="005A47D6" w:rsidRDefault="005A47D6" w:rsidP="00934218">
      <w:pPr>
        <w:pStyle w:val="H23GR"/>
      </w:pPr>
      <w:r w:rsidRPr="005A47D6">
        <w:tab/>
      </w:r>
      <w:r w:rsidRPr="005A47D6">
        <w:tab/>
        <w:t>Факты в изложении автора</w:t>
      </w:r>
    </w:p>
    <w:p w14:paraId="64D0918B" w14:textId="77777777" w:rsidR="005A47D6" w:rsidRPr="005A47D6" w:rsidRDefault="005A47D6" w:rsidP="005A47D6">
      <w:pPr>
        <w:pStyle w:val="SingleTxtGR"/>
      </w:pPr>
      <w:r w:rsidRPr="005A47D6">
        <w:t>2.1</w:t>
      </w:r>
      <w:r w:rsidRPr="005A47D6">
        <w:tab/>
        <w:t xml:space="preserve">14 июня 2012 года автор подал заявление в </w:t>
      </w:r>
      <w:proofErr w:type="spellStart"/>
      <w:r w:rsidRPr="005A47D6">
        <w:t>Речицкий</w:t>
      </w:r>
      <w:proofErr w:type="spellEnd"/>
      <w:r w:rsidRPr="005A47D6">
        <w:t xml:space="preserve"> районный исполнительный комитет, Гомельская область, с просьбой дать разрешение на проведение мирного собрания (пикета) в центре города 3 июля 2012 года, в день независимости Беларуси. Цель этого мероприятия заключалась в том, чтобы привлечь внимание общественности к положению независимых профсоюзных движений в Беларуси. Предполагаемым местом проведения акции была выбрана площадь в центре города, перед Дворцом культуры на улице Советская. </w:t>
      </w:r>
    </w:p>
    <w:p w14:paraId="306C7304" w14:textId="29796484" w:rsidR="005A47D6" w:rsidRPr="005A47D6" w:rsidRDefault="005A47D6" w:rsidP="005A47D6">
      <w:pPr>
        <w:pStyle w:val="SingleTxtGR"/>
      </w:pPr>
      <w:r w:rsidRPr="005A47D6">
        <w:t>2.2</w:t>
      </w:r>
      <w:r w:rsidRPr="005A47D6">
        <w:tab/>
        <w:t xml:space="preserve">Заявление включало всю необходимую информацию, как предусмотрено законом </w:t>
      </w:r>
      <w:r w:rsidR="00934218">
        <w:t>«</w:t>
      </w:r>
      <w:r w:rsidRPr="005A47D6">
        <w:t>О массовых мероприятиях</w:t>
      </w:r>
      <w:r w:rsidR="00934218">
        <w:t>»</w:t>
      </w:r>
      <w:r w:rsidRPr="005A47D6">
        <w:t xml:space="preserve"> от 30 декабря 1997 года, а именно: цель, характер, место, дату, время начала и окончания, примерное число участников, меры, принятые для обеспечения общественного порядка и безопасности, и меры, связанные с медицинским обслуживанием и уборкой территории после проведения мероприятия. Как организатор данного мероприятия автор взял на себя письменное обязательство постоянно присутствовать на проводимом пикете для обеспечения соблюдения условий и порядка его проведения, выполнять все законные требования сотрудников правоохранительных органов, иметь отличительный знак организатора массового мероприятия, например нарукавную повязку или </w:t>
      </w:r>
      <w:proofErr w:type="spellStart"/>
      <w:r w:rsidRPr="005A47D6">
        <w:t>бейдж</w:t>
      </w:r>
      <w:proofErr w:type="spellEnd"/>
      <w:r w:rsidRPr="005A47D6">
        <w:t xml:space="preserve">, и произвести не позднее </w:t>
      </w:r>
      <w:r w:rsidR="007B0ACA">
        <w:t>10 </w:t>
      </w:r>
      <w:r w:rsidRPr="005A47D6">
        <w:t>дней после проведения мероприятия  оплату услуг по охране   общественного порядка и безопасности, расходов, связанных с медицинским обслуживанием и уборкой территории.</w:t>
      </w:r>
    </w:p>
    <w:p w14:paraId="4B851B0C" w14:textId="33AD96A6" w:rsidR="005A47D6" w:rsidRPr="005A47D6" w:rsidRDefault="005A47D6" w:rsidP="005A47D6">
      <w:pPr>
        <w:pStyle w:val="SingleTxtGR"/>
      </w:pPr>
      <w:r w:rsidRPr="005A47D6">
        <w:t>2.3</w:t>
      </w:r>
      <w:r w:rsidRPr="005A47D6">
        <w:tab/>
        <w:t xml:space="preserve">27 июня 2012 года </w:t>
      </w:r>
      <w:proofErr w:type="spellStart"/>
      <w:r w:rsidRPr="005A47D6">
        <w:t>Речицкий</w:t>
      </w:r>
      <w:proofErr w:type="spellEnd"/>
      <w:r w:rsidRPr="005A47D6">
        <w:t xml:space="preserve"> районный исполнительный комитет отказался дать разрешение на проведение пикетирования на том основании, что заявление автора не соответствовало требованиям закона </w:t>
      </w:r>
      <w:r w:rsidR="00934218">
        <w:t>«</w:t>
      </w:r>
      <w:r w:rsidRPr="005A47D6">
        <w:t>О массовых мероприятиях</w:t>
      </w:r>
      <w:r w:rsidR="00934218">
        <w:t>»</w:t>
      </w:r>
      <w:r w:rsidRPr="005A47D6">
        <w:t xml:space="preserve"> и решения № 802 от 10 апреля 2012 года </w:t>
      </w:r>
      <w:proofErr w:type="spellStart"/>
      <w:r w:rsidRPr="005A47D6">
        <w:t>Речицкого</w:t>
      </w:r>
      <w:proofErr w:type="spellEnd"/>
      <w:r w:rsidRPr="005A47D6">
        <w:t xml:space="preserve"> районного исполнительного комитета </w:t>
      </w:r>
      <w:r w:rsidR="00934218">
        <w:t>«</w:t>
      </w:r>
      <w:r w:rsidRPr="005A47D6">
        <w:t xml:space="preserve">О порядке проведения массовых мероприятий в </w:t>
      </w:r>
      <w:proofErr w:type="spellStart"/>
      <w:r w:rsidRPr="005A47D6">
        <w:t>Речицком</w:t>
      </w:r>
      <w:proofErr w:type="spellEnd"/>
      <w:r w:rsidRPr="005A47D6">
        <w:t xml:space="preserve"> районе</w:t>
      </w:r>
      <w:r w:rsidR="00934218">
        <w:t>»</w:t>
      </w:r>
      <w:r w:rsidRPr="005A47D6">
        <w:t>.</w:t>
      </w:r>
    </w:p>
    <w:p w14:paraId="4C6B76D9" w14:textId="2664E29E" w:rsidR="005A47D6" w:rsidRPr="005A47D6" w:rsidRDefault="005A47D6" w:rsidP="005A47D6">
      <w:pPr>
        <w:pStyle w:val="SingleTxtGR"/>
      </w:pPr>
      <w:r w:rsidRPr="005A47D6">
        <w:t>2.4</w:t>
      </w:r>
      <w:r w:rsidRPr="005A47D6">
        <w:tab/>
        <w:t xml:space="preserve">10 июля 2012 года автор обжаловал решение </w:t>
      </w:r>
      <w:proofErr w:type="spellStart"/>
      <w:r w:rsidRPr="005A47D6">
        <w:t>Речицкого</w:t>
      </w:r>
      <w:proofErr w:type="spellEnd"/>
      <w:r w:rsidRPr="005A47D6">
        <w:t xml:space="preserve"> районного исполнительного комитета от 27 июня 2012 года в </w:t>
      </w:r>
      <w:r w:rsidR="00F05BAA">
        <w:t>с</w:t>
      </w:r>
      <w:r w:rsidRPr="005A47D6">
        <w:t xml:space="preserve">уд </w:t>
      </w:r>
      <w:proofErr w:type="spellStart"/>
      <w:r w:rsidRPr="005A47D6">
        <w:t>Речицкого</w:t>
      </w:r>
      <w:proofErr w:type="spellEnd"/>
      <w:r w:rsidRPr="005A47D6">
        <w:t xml:space="preserve"> района Гомельской области. Он заявил, что в указанном решении отсутствуют какие-либо разъяснения относительно того, какие конкретные требования решения № 802 Исполнительного комитета не были выполнены в его заявлении. Со ссылкой на статьи 23, 33 и 35 Конституции и статьи 19 и 21 Пакта автор заявил, что отказ в разрешении на проведение пикетирования не может считаться допустимым ограничением его права на свободу мирных собраний и права на свободу выражения мнений, необходимым в демократическом обществе в интересах общественного порядка (</w:t>
      </w:r>
      <w:proofErr w:type="spellStart"/>
      <w:r w:rsidRPr="005A47D6">
        <w:t>ordre</w:t>
      </w:r>
      <w:proofErr w:type="spellEnd"/>
      <w:r w:rsidRPr="005A47D6">
        <w:t xml:space="preserve"> </w:t>
      </w:r>
      <w:proofErr w:type="spellStart"/>
      <w:r w:rsidRPr="005A47D6">
        <w:t>public</w:t>
      </w:r>
      <w:proofErr w:type="spellEnd"/>
      <w:r w:rsidRPr="005A47D6">
        <w:t>) или защиты прав и свобод других лиц.</w:t>
      </w:r>
    </w:p>
    <w:p w14:paraId="51BB345A" w14:textId="765B8A48" w:rsidR="005A47D6" w:rsidRPr="005A47D6" w:rsidRDefault="005A47D6" w:rsidP="005A47D6">
      <w:pPr>
        <w:pStyle w:val="SingleTxtGR"/>
      </w:pPr>
      <w:r w:rsidRPr="005A47D6">
        <w:t>2.5</w:t>
      </w:r>
      <w:r w:rsidRPr="005A47D6">
        <w:tab/>
        <w:t xml:space="preserve">3 августа 2012 года </w:t>
      </w:r>
      <w:r w:rsidR="00F05BAA">
        <w:t>с</w:t>
      </w:r>
      <w:r w:rsidRPr="005A47D6">
        <w:t xml:space="preserve">уд </w:t>
      </w:r>
      <w:proofErr w:type="spellStart"/>
      <w:r w:rsidRPr="005A47D6">
        <w:t>Речицкого</w:t>
      </w:r>
      <w:proofErr w:type="spellEnd"/>
      <w:r w:rsidRPr="005A47D6">
        <w:t xml:space="preserve"> района отклонил апелляционную жалобу автора. В ходе судебного разбирательства представитель </w:t>
      </w:r>
      <w:proofErr w:type="spellStart"/>
      <w:r w:rsidRPr="005A47D6">
        <w:t>Речицкого</w:t>
      </w:r>
      <w:proofErr w:type="spellEnd"/>
      <w:r w:rsidRPr="005A47D6">
        <w:t xml:space="preserve"> районного исполнительного комитета разъяснил причины отказа в разрешении на проведение пикетирования, о котором идет речь, на основании чего суд постановил, что в соответствии с пунктом 2 статьи 9 закона </w:t>
      </w:r>
      <w:r w:rsidR="00934218">
        <w:t>«</w:t>
      </w:r>
      <w:r w:rsidRPr="005A47D6">
        <w:t>О массовых мероприятиях</w:t>
      </w:r>
      <w:r w:rsidR="00934218">
        <w:t>»</w:t>
      </w:r>
      <w:r w:rsidRPr="005A47D6">
        <w:t xml:space="preserve"> постоянные места для проведения массовых мероприятий определяются местными органами власти. Решением № 802 </w:t>
      </w:r>
      <w:proofErr w:type="spellStart"/>
      <w:r w:rsidRPr="005A47D6">
        <w:t>Речицкого</w:t>
      </w:r>
      <w:proofErr w:type="spellEnd"/>
      <w:r w:rsidRPr="005A47D6">
        <w:t xml:space="preserve"> районного исполнительного комитета одним из постоянных мест проведения пикетирования, митингов, собраний была определена асфальтированная площадка парка культуры и отдыха </w:t>
      </w:r>
      <w:r w:rsidR="00934218">
        <w:t>«</w:t>
      </w:r>
      <w:r w:rsidRPr="005A47D6">
        <w:t>Победа</w:t>
      </w:r>
      <w:r w:rsidR="00934218">
        <w:t>»</w:t>
      </w:r>
      <w:r w:rsidRPr="005A47D6">
        <w:t xml:space="preserve">, находящегося не в центре города Речицы. Место, которое было выбрано автором как организатором массового мероприятия, </w:t>
      </w:r>
      <w:r w:rsidR="00361130">
        <w:t>–</w:t>
      </w:r>
      <w:r w:rsidRPr="005A47D6">
        <w:t xml:space="preserve"> открытая площадь напротив городского Дома культуры на Советской улице, </w:t>
      </w:r>
      <w:r w:rsidR="00361130">
        <w:t>–</w:t>
      </w:r>
      <w:r w:rsidRPr="005A47D6">
        <w:t xml:space="preserve"> не входит в перечень мест, отведенных для этих целей </w:t>
      </w:r>
      <w:proofErr w:type="spellStart"/>
      <w:r w:rsidRPr="005A47D6">
        <w:t>Речицким</w:t>
      </w:r>
      <w:proofErr w:type="spellEnd"/>
      <w:r w:rsidRPr="005A47D6">
        <w:t xml:space="preserve"> районным исполнительным комитетом. Суд также постановил, что, согласно статье 5 Закона </w:t>
      </w:r>
      <w:r w:rsidR="00934218">
        <w:t>«</w:t>
      </w:r>
      <w:r w:rsidRPr="005A47D6">
        <w:t>О массовых мероприятиях</w:t>
      </w:r>
      <w:r w:rsidR="00934218">
        <w:t>»</w:t>
      </w:r>
      <w:r w:rsidRPr="005A47D6">
        <w:t xml:space="preserve">, заявление о проведении массового мероприятия должно включать информацию о, в частности, мерах по обеспечению общественного порядка и </w:t>
      </w:r>
      <w:proofErr w:type="gramStart"/>
      <w:r w:rsidRPr="005A47D6">
        <w:t>безопасности</w:t>
      </w:r>
      <w:proofErr w:type="gramEnd"/>
      <w:r w:rsidRPr="005A47D6">
        <w:t xml:space="preserve"> и мерах, связанных с медицинским обслуживанием и уборкой территории после проведения мероприятия. Пункт 7 статьи 10 Закона </w:t>
      </w:r>
      <w:r w:rsidR="00934218">
        <w:t>«</w:t>
      </w:r>
      <w:r w:rsidRPr="005A47D6">
        <w:t>О массовых мероприятиях</w:t>
      </w:r>
      <w:r w:rsidR="00934218">
        <w:t>»</w:t>
      </w:r>
      <w:r w:rsidRPr="005A47D6">
        <w:t xml:space="preserve"> позволяет местным органам дополнительно регламентировать порядок проведения массового мероприятия с учетом местных условий и требований закона. Решением № 802 </w:t>
      </w:r>
      <w:proofErr w:type="spellStart"/>
      <w:r w:rsidRPr="005A47D6">
        <w:t>Речицкого</w:t>
      </w:r>
      <w:proofErr w:type="spellEnd"/>
      <w:r w:rsidRPr="005A47D6">
        <w:t xml:space="preserve"> районного исполнительного комитета определен список организаций, которые имеют право оказывать вышеупомянутые услуги, с требованием прикладывать копии договоров, заключенных с этими поставщиками услуг, к</w:t>
      </w:r>
      <w:r w:rsidR="00934218">
        <w:t> </w:t>
      </w:r>
      <w:r w:rsidRPr="005A47D6">
        <w:t xml:space="preserve">заявлению о разрешении на проведение массового мероприятия, подаваемому в Исполнительный комитет. Автор не представил </w:t>
      </w:r>
      <w:proofErr w:type="spellStart"/>
      <w:r w:rsidRPr="005A47D6">
        <w:t>Речицкому</w:t>
      </w:r>
      <w:proofErr w:type="spellEnd"/>
      <w:r w:rsidRPr="005A47D6">
        <w:t xml:space="preserve"> районному исполнительному </w:t>
      </w:r>
      <w:r w:rsidR="00D02B45">
        <w:t xml:space="preserve">комитету </w:t>
      </w:r>
      <w:r w:rsidRPr="005A47D6">
        <w:t xml:space="preserve">копии таких договоров. Суд постановил, что отказ </w:t>
      </w:r>
      <w:proofErr w:type="spellStart"/>
      <w:r w:rsidRPr="005A47D6">
        <w:t>Речицкого</w:t>
      </w:r>
      <w:proofErr w:type="spellEnd"/>
      <w:r w:rsidRPr="005A47D6">
        <w:t xml:space="preserve"> районного исполнительного комитета в проведении пикетирования 3 июля 2012 года соответствует требованиям законодательства. </w:t>
      </w:r>
    </w:p>
    <w:p w14:paraId="15D45284" w14:textId="0742A990" w:rsidR="005A47D6" w:rsidRPr="005A47D6" w:rsidRDefault="005A47D6" w:rsidP="005A47D6">
      <w:pPr>
        <w:pStyle w:val="SingleTxtGR"/>
      </w:pPr>
      <w:r w:rsidRPr="005A47D6">
        <w:t>2.6</w:t>
      </w:r>
      <w:r w:rsidRPr="005A47D6">
        <w:tab/>
        <w:t xml:space="preserve">6 августа 2012 года автор подал апелляционную жалобу на решение районного суда в Гомельский областной суд. Он заявил, что требования закона (решение №802 </w:t>
      </w:r>
      <w:proofErr w:type="spellStart"/>
      <w:r w:rsidRPr="005A47D6">
        <w:t>Речицкого</w:t>
      </w:r>
      <w:proofErr w:type="spellEnd"/>
      <w:r w:rsidRPr="005A47D6">
        <w:t xml:space="preserve"> районного исполнительного комитета) проводить массовые мероприятие в специально отведенных для этого местными органами власти местах и заранее заключать договоры с конкретными поставщиками недопустимы и противоречат статьям 23, 33 и 35 Конституции и статьям 19 и 21 Пакта. </w:t>
      </w:r>
    </w:p>
    <w:p w14:paraId="0D6E420F" w14:textId="58371E22" w:rsidR="005A47D6" w:rsidRPr="005A47D6" w:rsidRDefault="005A47D6" w:rsidP="005A47D6">
      <w:pPr>
        <w:pStyle w:val="SingleTxtGR"/>
      </w:pPr>
      <w:r w:rsidRPr="005A47D6">
        <w:t>2.7</w:t>
      </w:r>
      <w:r w:rsidRPr="005A47D6">
        <w:tab/>
        <w:t>27 сентября 2012 года Гомельский областной суд поддержал решение районного суда, исходя из тех же оснований и аргументов. В соответствии со статьей</w:t>
      </w:r>
      <w:r w:rsidR="00D02B45">
        <w:t> </w:t>
      </w:r>
      <w:r w:rsidRPr="005A47D6">
        <w:t>432 Гражданского процессуального кодекса определение суда апелляционной инстанции является окончательным и вступает в силу с момента его вынесения.</w:t>
      </w:r>
    </w:p>
    <w:p w14:paraId="59E90474" w14:textId="4DF79E6B" w:rsidR="005A47D6" w:rsidRPr="005A47D6" w:rsidRDefault="005A47D6" w:rsidP="005A47D6">
      <w:pPr>
        <w:pStyle w:val="SingleTxtGR"/>
      </w:pPr>
      <w:r w:rsidRPr="005A47D6">
        <w:t>2.8</w:t>
      </w:r>
      <w:r w:rsidRPr="005A47D6">
        <w:tab/>
        <w:t>Автор не подавал заявление в прокуратуру и суды высшей инстанции в рамках процедуры пересмотра в порядке надзора, поскольку не считает это эффективным средством правовой защиты. Он добавляет, что решение о подаче жалобы в порядке надзора не зависит от воли затрагиваемого лица, а осуществляется исключительно по усмотрению ограниченного числа высокопоставленных сотрудников судебных органов, таких, как Генеральный прокурор и председатель Верховного суда. Пересмотр в порядке надзора ограничен вопросами права и не предполагает пересмотра фактов и доказательств. Автор ссылается на практику Комитета</w:t>
      </w:r>
      <w:r w:rsidRPr="00934218">
        <w:rPr>
          <w:sz w:val="18"/>
          <w:szCs w:val="18"/>
          <w:vertAlign w:val="superscript"/>
        </w:rPr>
        <w:footnoteReference w:id="3"/>
      </w:r>
      <w:r w:rsidRPr="005A47D6">
        <w:t xml:space="preserve"> в</w:t>
      </w:r>
      <w:r w:rsidR="001F1177">
        <w:t> </w:t>
      </w:r>
      <w:r w:rsidRPr="005A47D6">
        <w:t>поддержку своего аргумента о том, что процедура пересмотра в порядке надзора вступивших в силу судебных решений не представляет собой средство правовой защиты, которое должно быть исчерпано для целей пункта 2 b) статьи 5 Факультативного протокола. Он добавляет, что внутренним законодательством не предусмотрена возможность подачи индивидуальных жалоб в Конституционный суд. Поэтому автор утверждает, что исчерпал все доступные и эффективные внутренние средства правовой защиты.</w:t>
      </w:r>
    </w:p>
    <w:p w14:paraId="5B5CA929" w14:textId="77777777" w:rsidR="005A47D6" w:rsidRPr="005A47D6" w:rsidRDefault="005A47D6" w:rsidP="00934218">
      <w:pPr>
        <w:pStyle w:val="H23GR"/>
        <w:rPr>
          <w:lang w:val="en-GB"/>
        </w:rPr>
      </w:pPr>
      <w:r w:rsidRPr="005A47D6">
        <w:tab/>
      </w:r>
      <w:r w:rsidRPr="005A47D6">
        <w:tab/>
        <w:t xml:space="preserve">Жалоба </w:t>
      </w:r>
    </w:p>
    <w:p w14:paraId="0CD26DA1" w14:textId="4D6C6616" w:rsidR="005A47D6" w:rsidRPr="005A47D6" w:rsidRDefault="005A47D6" w:rsidP="005A47D6">
      <w:pPr>
        <w:pStyle w:val="SingleTxtGR"/>
      </w:pPr>
      <w:r w:rsidRPr="005A47D6">
        <w:t>3.1</w:t>
      </w:r>
      <w:r w:rsidRPr="005A47D6">
        <w:tab/>
        <w:t>Автор утверждает, что является жертвой нарушения Республикой Беларусь права на свободу выражения мнений и права на мирные собрания в соответствии со статьями 19 и 21, рассматриваемыми в сочетании с пунктами 2 и 3 статьи 2 Пакта, поскольку остается неясным, для какой законной цели были ограничены эти права. Он</w:t>
      </w:r>
      <w:r w:rsidR="00934218">
        <w:t> </w:t>
      </w:r>
      <w:r w:rsidRPr="005A47D6">
        <w:t xml:space="preserve">утверждает, что </w:t>
      </w:r>
      <w:proofErr w:type="spellStart"/>
      <w:r w:rsidRPr="005A47D6">
        <w:t>Речицкий</w:t>
      </w:r>
      <w:proofErr w:type="spellEnd"/>
      <w:r w:rsidRPr="005A47D6">
        <w:t xml:space="preserve"> районный исполнительный комитет не объяснил, почему такие ограничения необходимы для одной из законных целей, предусмотренных в статьях 19 и 21 Пакта, и добавляет, что, по его мнению, запрещение проведения мирного собрания никак не отвечало интересам национальной безопасности, общественного порядка, охраны здоровья населения или защиты прав и свобод других лиц.</w:t>
      </w:r>
    </w:p>
    <w:p w14:paraId="7FC463E5" w14:textId="4FBC56DA" w:rsidR="005A47D6" w:rsidRPr="005A47D6" w:rsidRDefault="005A47D6" w:rsidP="005A47D6">
      <w:pPr>
        <w:pStyle w:val="SingleTxtGR"/>
      </w:pPr>
      <w:r w:rsidRPr="005A47D6">
        <w:t>3.2</w:t>
      </w:r>
      <w:r w:rsidRPr="005A47D6">
        <w:tab/>
        <w:t xml:space="preserve">Автор также утверждает, что Беларусь нарушила свои обязательства, предусмотренные пунктом 2 статьи 2 Пакта, не приняв необходимые меры для реализации права на свободу собраний, поскольку положения Закона </w:t>
      </w:r>
      <w:r w:rsidR="00934218">
        <w:t>«</w:t>
      </w:r>
      <w:r w:rsidRPr="005A47D6">
        <w:t>О массовых мероприятиях</w:t>
      </w:r>
      <w:r w:rsidR="00934218">
        <w:t>»</w:t>
      </w:r>
      <w:r w:rsidRPr="005A47D6">
        <w:t xml:space="preserve"> устанавливают туманные и двусмысленные стандарты. Например, согласно статье 9 закона руководители местных органов власти обладают дискреционным правом определять постоянные места для проведения мирных собраний.</w:t>
      </w:r>
    </w:p>
    <w:p w14:paraId="2C39410D" w14:textId="3A409D3F" w:rsidR="005A47D6" w:rsidRPr="005A47D6" w:rsidRDefault="005A47D6" w:rsidP="005A47D6">
      <w:pPr>
        <w:pStyle w:val="SingleTxtGR"/>
      </w:pPr>
      <w:r w:rsidRPr="005A47D6">
        <w:t>3.3</w:t>
      </w:r>
      <w:r w:rsidRPr="005A47D6">
        <w:tab/>
        <w:t xml:space="preserve">Автор утверждает, что применение решения № 802 </w:t>
      </w:r>
      <w:proofErr w:type="spellStart"/>
      <w:r w:rsidRPr="005A47D6">
        <w:t>Речицкого</w:t>
      </w:r>
      <w:proofErr w:type="spellEnd"/>
      <w:r w:rsidRPr="005A47D6">
        <w:t xml:space="preserve"> районного исполнительного комитета привело к нарушению его права на мирные собрания и права на свободу выражения мнений. Он заявляет, что требование местных властей проводить массовые мероприятия в строго определенных местах и заключать договоры с поставщиками услуг представляют собой неприемлемые ограничения права на мирные собрания и права на свободу выражения мнений по следующим причинам: а) решением № 802 проведение массовых мероприятий без участия государственных органов допускается только в двух местах в городе Речице (где</w:t>
      </w:r>
      <w:r w:rsidR="00934218">
        <w:t> </w:t>
      </w:r>
      <w:r w:rsidRPr="005A47D6">
        <w:t xml:space="preserve">проживает примерно 70 000 человек): одно место предназначено исключительно для проведения пикетирования, митингов и собраний, другое </w:t>
      </w:r>
      <w:r w:rsidR="00934218">
        <w:t>–</w:t>
      </w:r>
      <w:r w:rsidRPr="005A47D6">
        <w:t xml:space="preserve"> для демонстраций и уличных шествий; и b) решение № 802 налагает на организаторов массовых мероприятий дополнительные обязательства, связанные с заключением обременительных договоров с поставщиками услуг по охране общественного порядка и безопасности, медицинскому обслуживанию и уборке территории  после мероприятия.</w:t>
      </w:r>
    </w:p>
    <w:p w14:paraId="2B81691D" w14:textId="76B45FD3" w:rsidR="005A47D6" w:rsidRPr="005A47D6" w:rsidRDefault="005A47D6" w:rsidP="005A47D6">
      <w:pPr>
        <w:pStyle w:val="SingleTxtGR"/>
      </w:pPr>
      <w:r w:rsidRPr="005A47D6">
        <w:t>3.4</w:t>
      </w:r>
      <w:r w:rsidRPr="005A47D6">
        <w:tab/>
        <w:t xml:space="preserve">Автор утверждает, что проведение пикетирования в том месте, которое отведено местной администрацией </w:t>
      </w:r>
      <w:proofErr w:type="spellStart"/>
      <w:r w:rsidRPr="005A47D6">
        <w:t>Речицкого</w:t>
      </w:r>
      <w:proofErr w:type="spellEnd"/>
      <w:r w:rsidRPr="005A47D6">
        <w:t xml:space="preserve"> района для этих целей, лишило бы это мероприятие всякого смысла, сделав практически невозможным достижение его основной цели </w:t>
      </w:r>
      <w:r w:rsidR="00934218">
        <w:t>–</w:t>
      </w:r>
      <w:r w:rsidRPr="005A47D6">
        <w:t xml:space="preserve"> привлечь внимание общественности к положению независимого профсоюзного движения. </w:t>
      </w:r>
    </w:p>
    <w:p w14:paraId="1EAA4BC3" w14:textId="77777777" w:rsidR="005A47D6" w:rsidRPr="005A47D6" w:rsidRDefault="005A47D6" w:rsidP="00934218">
      <w:pPr>
        <w:pStyle w:val="H23GR"/>
      </w:pPr>
      <w:r w:rsidRPr="005A47D6">
        <w:tab/>
      </w:r>
      <w:r w:rsidRPr="005A47D6">
        <w:tab/>
        <w:t xml:space="preserve">Отсутствие сотрудничества со стороны государства-участника </w:t>
      </w:r>
    </w:p>
    <w:p w14:paraId="06294399" w14:textId="1BE54C5A" w:rsidR="005A47D6" w:rsidRPr="005A47D6" w:rsidRDefault="005A47D6" w:rsidP="005A47D6">
      <w:pPr>
        <w:pStyle w:val="SingleTxtGR"/>
      </w:pPr>
      <w:r w:rsidRPr="005A47D6">
        <w:t>4.</w:t>
      </w:r>
      <w:r w:rsidRPr="005A47D6">
        <w:tab/>
      </w:r>
      <w:proofErr w:type="gramStart"/>
      <w:r w:rsidRPr="005A47D6">
        <w:t>В</w:t>
      </w:r>
      <w:proofErr w:type="gramEnd"/>
      <w:r w:rsidRPr="005A47D6">
        <w:t xml:space="preserve"> вербальных нотах от 18 июня 2013 года, 4 февраля 2014 года и 16 апреля 2014</w:t>
      </w:r>
      <w:r w:rsidR="00934218">
        <w:t> </w:t>
      </w:r>
      <w:r w:rsidRPr="005A47D6">
        <w:t>года Комитет просил государство-участник представить ему информацию и замечания по вопросам приемлемости и существа данного сообщения. Комитет отмечает, что эта информация получена не была. Комитет выражает сожаление в связи с непредставлением государством-участником какой-либо информации в отношении приемлемости или существа утверждений автора. Он напоминает, что в соответствии с пунктом 2 статьи 4 Факультативного протокола государства-участники обязаны добросовестно изучить все выдвинутые против них обвинения и предоставить Комитету всю имеющуюся в их распоряжении информацию. В отсутствие ответа от государства-участника утверждениям автора должно быть уделено надлежащее внимание с точки зрения их обоснованности</w:t>
      </w:r>
      <w:r w:rsidRPr="00934218">
        <w:rPr>
          <w:sz w:val="18"/>
          <w:szCs w:val="18"/>
          <w:vertAlign w:val="superscript"/>
        </w:rPr>
        <w:footnoteReference w:id="4"/>
      </w:r>
      <w:r w:rsidRPr="005A47D6">
        <w:t>.</w:t>
      </w:r>
    </w:p>
    <w:p w14:paraId="7812EA31" w14:textId="77777777" w:rsidR="005A47D6" w:rsidRPr="005A47D6" w:rsidRDefault="005A47D6" w:rsidP="00934218">
      <w:pPr>
        <w:pStyle w:val="H23GR"/>
      </w:pPr>
      <w:r w:rsidRPr="005A47D6">
        <w:tab/>
      </w:r>
      <w:r w:rsidRPr="005A47D6">
        <w:tab/>
        <w:t>Вопросы и процедура их рассмотрения в Комитете</w:t>
      </w:r>
    </w:p>
    <w:p w14:paraId="08AF610D" w14:textId="77777777" w:rsidR="005A47D6" w:rsidRPr="005A47D6" w:rsidRDefault="005A47D6" w:rsidP="00934218">
      <w:pPr>
        <w:pStyle w:val="H4GR"/>
      </w:pPr>
      <w:r w:rsidRPr="005A47D6">
        <w:tab/>
      </w:r>
      <w:r w:rsidRPr="005A47D6">
        <w:tab/>
        <w:t>Рассмотрение вопроса о приемлемости</w:t>
      </w:r>
    </w:p>
    <w:p w14:paraId="4B2ADDF4" w14:textId="77777777" w:rsidR="005A47D6" w:rsidRPr="005A47D6" w:rsidRDefault="005A47D6" w:rsidP="005A47D6">
      <w:pPr>
        <w:pStyle w:val="SingleTxtGR"/>
      </w:pPr>
      <w:r w:rsidRPr="005A47D6">
        <w:t>5.1</w:t>
      </w:r>
      <w:r w:rsidRPr="005A47D6">
        <w:tab/>
        <w:t>Прежде чем рассматривать какое-либо утверждение, изложенное в том или ином сообщении, Комитет должен в соответствии с пунктом 93 правил процедуры определить, является ли данное сообщение приемлемым согласно Факультативному протоколу.</w:t>
      </w:r>
    </w:p>
    <w:p w14:paraId="4691B640" w14:textId="77777777" w:rsidR="005A47D6" w:rsidRPr="005A47D6" w:rsidRDefault="005A47D6" w:rsidP="005A47D6">
      <w:pPr>
        <w:pStyle w:val="SingleTxtGR"/>
      </w:pPr>
      <w:r w:rsidRPr="005A47D6">
        <w:t>5.2</w:t>
      </w:r>
      <w:r w:rsidRPr="005A47D6">
        <w:tab/>
        <w:t xml:space="preserve">Согласно </w:t>
      </w:r>
      <w:proofErr w:type="gramStart"/>
      <w:r w:rsidRPr="005A47D6">
        <w:t>подпункту</w:t>
      </w:r>
      <w:proofErr w:type="gramEnd"/>
      <w:r w:rsidRPr="005A47D6">
        <w:t xml:space="preserve"> а) пункта 2 статьи 5 Факультативного протокола Комитет удостоверился в том, что этот же вопрос не рассматривается в соответствии с другой процедурой международного разбирательства или урегулирования.</w:t>
      </w:r>
    </w:p>
    <w:p w14:paraId="5F09A292" w14:textId="77777777" w:rsidR="005A47D6" w:rsidRPr="005A47D6" w:rsidRDefault="005A47D6" w:rsidP="005A47D6">
      <w:pPr>
        <w:pStyle w:val="SingleTxtGR"/>
      </w:pPr>
      <w:r w:rsidRPr="005A47D6">
        <w:t>5.3</w:t>
      </w:r>
      <w:r w:rsidRPr="005A47D6">
        <w:tab/>
        <w:t>Комитет принимает к сведению утверждение автора о том, что все доступные и эффективные внутренние средства правовой защиты были исчерпаны. Кроме того, Комитет отмечает, что автор не подал ходатайства о пересмотре в порядке надзора, поскольку не считает это эффективным средством правовой защиты. В отсутствие каких-либо возражений на этот счет со стороны государства-участника Комитет считает, что требования подпункта b) пункта 2 статьи 5 Факультативного протокола были выполнены.</w:t>
      </w:r>
    </w:p>
    <w:p w14:paraId="0FAE9568" w14:textId="77777777" w:rsidR="005A47D6" w:rsidRPr="005A47D6" w:rsidRDefault="005A47D6" w:rsidP="005A47D6">
      <w:pPr>
        <w:pStyle w:val="SingleTxtGR"/>
      </w:pPr>
      <w:r w:rsidRPr="005A47D6">
        <w:t>5.4</w:t>
      </w:r>
      <w:r w:rsidRPr="005A47D6">
        <w:tab/>
        <w:t xml:space="preserve">Комитет считает, что автор сообщения в достаточной мере обосновал свою жалобу по статьям 19 и 21 в совокупности с пунктами 2 и 3 статьи 2 Пакта для целей приемлемости. В этой связи Комитет объявляет сообщение приемлемым и приступает к его </w:t>
      </w:r>
      <w:proofErr w:type="gramStart"/>
      <w:r w:rsidRPr="005A47D6">
        <w:t>рассмотрению</w:t>
      </w:r>
      <w:proofErr w:type="gramEnd"/>
      <w:r w:rsidRPr="005A47D6">
        <w:t xml:space="preserve"> по существу. </w:t>
      </w:r>
    </w:p>
    <w:p w14:paraId="37A66C81" w14:textId="77777777" w:rsidR="005A47D6" w:rsidRPr="005A47D6" w:rsidRDefault="005A47D6" w:rsidP="00934218">
      <w:pPr>
        <w:pStyle w:val="H4GR"/>
      </w:pPr>
      <w:r w:rsidRPr="005A47D6">
        <w:tab/>
      </w:r>
      <w:r w:rsidRPr="005A47D6">
        <w:tab/>
        <w:t>Рассмотрение сообщения по существу</w:t>
      </w:r>
    </w:p>
    <w:p w14:paraId="069D73C6" w14:textId="77777777" w:rsidR="005A47D6" w:rsidRPr="005A47D6" w:rsidRDefault="005A47D6" w:rsidP="005A47D6">
      <w:pPr>
        <w:pStyle w:val="SingleTxtGR"/>
      </w:pPr>
      <w:r w:rsidRPr="005A47D6">
        <w:t>6.1</w:t>
      </w:r>
      <w:r w:rsidRPr="005A47D6">
        <w:tab/>
        <w:t>Комитет рассмотрел данное сообщение с учетом всей представленной ему сторонами информации, как это предусмотрено в пункте 1 статьи 5 Факультативного протокола.</w:t>
      </w:r>
    </w:p>
    <w:p w14:paraId="616F1D6A" w14:textId="77777777" w:rsidR="005A47D6" w:rsidRPr="005A47D6" w:rsidRDefault="005A47D6" w:rsidP="005A47D6">
      <w:pPr>
        <w:pStyle w:val="SingleTxtGR"/>
      </w:pPr>
      <w:r w:rsidRPr="005A47D6">
        <w:t>6.2</w:t>
      </w:r>
      <w:r w:rsidRPr="005A47D6">
        <w:tab/>
        <w:t xml:space="preserve">Из представленных Комитету материалов следует, что действия автора были квалифицированы судами как заявление о проведении публичного мероприятия, которое было отклонено на основании того, что выбранное для мероприятия место не входит в число мест, разрешенных городскими властями, и что автор не представил копии договоров, заключенных с поставщиками услуг, указанными в соответствующем перечне. </w:t>
      </w:r>
    </w:p>
    <w:p w14:paraId="7EC844F8" w14:textId="55D3CA29" w:rsidR="005A47D6" w:rsidRPr="005A47D6" w:rsidRDefault="005A47D6" w:rsidP="005A47D6">
      <w:pPr>
        <w:pStyle w:val="SingleTxtGR"/>
      </w:pPr>
      <w:r w:rsidRPr="005A47D6">
        <w:t>6.3</w:t>
      </w:r>
      <w:r w:rsidRPr="005A47D6">
        <w:tab/>
        <w:t>Комитет принимает к сведению утверждение автора о том, что его право на свободное выражение мнений согласно пункту 2 статьи 19 в сочетании с пунктом 3 статьи 2 Пакта было произвольно ограничено. Комитет ссылается на свое замечание общего порядка № 34 (2011) о свободе мнений и их выражения, в котором он заявил, что свобода мнений и свобода их выражения являются неотъемлемыми условиями всестороннего развития личности и что такие свободы имеют ключевое значение для любого общества</w:t>
      </w:r>
      <w:r w:rsidRPr="00934218">
        <w:rPr>
          <w:sz w:val="18"/>
          <w:szCs w:val="18"/>
          <w:vertAlign w:val="superscript"/>
        </w:rPr>
        <w:footnoteReference w:id="5"/>
      </w:r>
      <w:r w:rsidRPr="005A47D6">
        <w:t>. Они являются основополагающими элементами любого свободного и демократического общества. Комитет напоминает, что в соответствии с пунктом 3 статьи 19 Пакта допускаются некоторые ограничения, но лишь при условии, что они установлены законом и являются необходимыми</w:t>
      </w:r>
      <w:r w:rsidR="00934218">
        <w:t>:</w:t>
      </w:r>
      <w:r w:rsidRPr="005A47D6">
        <w:t xml:space="preserve"> а) для уважения прав и репутации других лиц; и b) для охраны государственной безопасности, общественного порядка (</w:t>
      </w:r>
      <w:proofErr w:type="spellStart"/>
      <w:r w:rsidRPr="00934218">
        <w:rPr>
          <w:iCs/>
        </w:rPr>
        <w:t>ordre</w:t>
      </w:r>
      <w:proofErr w:type="spellEnd"/>
      <w:r w:rsidRPr="00934218">
        <w:rPr>
          <w:iCs/>
        </w:rPr>
        <w:t xml:space="preserve"> </w:t>
      </w:r>
      <w:proofErr w:type="spellStart"/>
      <w:r w:rsidRPr="00934218">
        <w:rPr>
          <w:iCs/>
        </w:rPr>
        <w:t>public</w:t>
      </w:r>
      <w:proofErr w:type="spellEnd"/>
      <w:r w:rsidRPr="005A47D6">
        <w:t xml:space="preserve">), здоровья или нравственности населения. Любое ограничение осуществления таких свобод должно сообразовываться со строгими критериями необходимости и соразмерности. Ограничения могут устанавливаться лишь для тех целей, для которых они предназначены, и должны быть непосредственно связаны с конкретной целью, достижение которой они преследуют. </w:t>
      </w:r>
    </w:p>
    <w:p w14:paraId="640AD9A6" w14:textId="0FA2C0F2" w:rsidR="005A47D6" w:rsidRPr="005A47D6" w:rsidRDefault="005A47D6" w:rsidP="005A47D6">
      <w:pPr>
        <w:pStyle w:val="SingleTxtGR"/>
      </w:pPr>
      <w:r w:rsidRPr="005A47D6">
        <w:t>6.4</w:t>
      </w:r>
      <w:r w:rsidRPr="005A47D6">
        <w:tab/>
        <w:t>Комитет отмечает, что ни государство-участник, ни национальные суды не представили какого-либо объяснения применению ограничений свободы выражения мнений автора. Комитет считает, что в обстоятельствах данного дела запреты в отношении действий автора, хотя и основанные на внутреннем законодательстве, не</w:t>
      </w:r>
      <w:r w:rsidR="00934218">
        <w:t> </w:t>
      </w:r>
      <w:r w:rsidRPr="005A47D6">
        <w:t>оправданы условиями, установленными в пункте 3 статьи 19 Пакта</w:t>
      </w:r>
      <w:r w:rsidR="00031576">
        <w:t>,</w:t>
      </w:r>
      <w:r w:rsidRPr="005A47D6">
        <w:t xml:space="preserve"> и составляют нарушение пункта 2 статьи 19 в совокупности с пунктом 3 статьи 2 Пакта.</w:t>
      </w:r>
    </w:p>
    <w:p w14:paraId="0F4CA361" w14:textId="77777777" w:rsidR="005A47D6" w:rsidRPr="005A47D6" w:rsidRDefault="005A47D6" w:rsidP="005A47D6">
      <w:pPr>
        <w:pStyle w:val="SingleTxtGR"/>
      </w:pPr>
      <w:r w:rsidRPr="005A47D6">
        <w:t>6.5</w:t>
      </w:r>
      <w:r w:rsidRPr="005A47D6">
        <w:tab/>
        <w:t>Комитет принимает к сведению утверждение автора о том, что его право на свободу собраний, предусмотренное статьей 21 в совокупности с пунктом 3 статьи 2 Пакта, было нарушено в результате отказа муниципальных властей разрешить проведение пикета. В этой связи Комитет напоминает, что право на мирные собрания, гарантируемое статьей 21 Пакта, является одним из основных прав человека, чрезвычайно важным для публичного выражения мнений и убеждений личности и необходимым в демократическом обществе</w:t>
      </w:r>
      <w:r w:rsidRPr="00934218">
        <w:rPr>
          <w:sz w:val="18"/>
          <w:szCs w:val="18"/>
          <w:vertAlign w:val="superscript"/>
        </w:rPr>
        <w:footnoteReference w:id="6"/>
      </w:r>
      <w:r w:rsidRPr="005A47D6">
        <w:t>. Это право предполагает возможность организации в общественном месте мирного собрания, мобильного или стоячего, и участия в нем. Организаторы собрания обычно имеют право выбирать такое место, где их может увидеть и услышать их целевая аудитория; ограничения этого права не допускаются, за исключением случаев, когда они установлены в соответствии с законом и необходимы в демократическом обществе в интересах государственной или общественной безопасности, общественного порядка (</w:t>
      </w:r>
      <w:proofErr w:type="spellStart"/>
      <w:r w:rsidRPr="00934218">
        <w:rPr>
          <w:iCs/>
        </w:rPr>
        <w:t>ordre</w:t>
      </w:r>
      <w:proofErr w:type="spellEnd"/>
      <w:r w:rsidRPr="00934218">
        <w:rPr>
          <w:iCs/>
        </w:rPr>
        <w:t xml:space="preserve"> </w:t>
      </w:r>
      <w:proofErr w:type="spellStart"/>
      <w:r w:rsidRPr="00934218">
        <w:rPr>
          <w:iCs/>
        </w:rPr>
        <w:t>public</w:t>
      </w:r>
      <w:proofErr w:type="spellEnd"/>
      <w:r w:rsidRPr="005A47D6">
        <w:t>), охраны здоровья или нравственности населения или защиты прав и свобод других лиц. Когда государство-участник налагает ограничения в целях обеспечения баланса между правом человека на мирные собрания и вышеупомянутыми общими интересами, оно должно руководствоваться целью содействовать осуществлению данного права, вместо того чтобы стремиться избыточно или несоразмерно ограничивать его</w:t>
      </w:r>
      <w:r w:rsidRPr="006B2E5F">
        <w:rPr>
          <w:sz w:val="18"/>
          <w:szCs w:val="18"/>
          <w:vertAlign w:val="superscript"/>
        </w:rPr>
        <w:footnoteReference w:id="7"/>
      </w:r>
      <w:r w:rsidRPr="005A47D6">
        <w:t>. Государство-участник, таким образом, обязано обосновать ограничение права, защищаемого статьей 21 Пакта</w:t>
      </w:r>
      <w:r w:rsidRPr="006B2E5F">
        <w:rPr>
          <w:sz w:val="18"/>
          <w:szCs w:val="18"/>
          <w:vertAlign w:val="superscript"/>
        </w:rPr>
        <w:footnoteReference w:id="8"/>
      </w:r>
      <w:r w:rsidRPr="005A47D6">
        <w:t>.</w:t>
      </w:r>
    </w:p>
    <w:p w14:paraId="0A246D33" w14:textId="77777777" w:rsidR="005A47D6" w:rsidRPr="005A47D6" w:rsidRDefault="005A47D6" w:rsidP="005A47D6">
      <w:pPr>
        <w:pStyle w:val="SingleTxtGR"/>
      </w:pPr>
      <w:r w:rsidRPr="005A47D6">
        <w:t>6.6</w:t>
      </w:r>
      <w:r w:rsidRPr="005A47D6">
        <w:tab/>
      </w:r>
      <w:proofErr w:type="gramStart"/>
      <w:r w:rsidRPr="005A47D6">
        <w:t>В</w:t>
      </w:r>
      <w:proofErr w:type="gramEnd"/>
      <w:r w:rsidRPr="005A47D6">
        <w:t xml:space="preserve"> свете информации, имеющейся в материалах дела, Комитет отмечает, что национальные власти и суд не представили каких-либо обоснований или объяснений по поводу запрещения автору осуществить свое право на свободу собраний.</w:t>
      </w:r>
    </w:p>
    <w:p w14:paraId="327DF068" w14:textId="77777777" w:rsidR="005A47D6" w:rsidRPr="005A47D6" w:rsidRDefault="005A47D6" w:rsidP="005A47D6">
      <w:pPr>
        <w:pStyle w:val="SingleTxtGR"/>
      </w:pPr>
      <w:r w:rsidRPr="005A47D6">
        <w:t>6.7</w:t>
      </w:r>
      <w:r w:rsidRPr="005A47D6">
        <w:tab/>
        <w:t xml:space="preserve">Комитет напоминает о том, что именно государство-участник должно продемонстрировать, что ограничения прав автора по статье 21 были необходимы и соразмерны. Комитет отмечает, что разрешение проводить пикеты только в конкретных заранее определенных местах, как представляется, не соответствует критериям необходимости и соразмерности, предусмотренным статьей 21 Пакта. </w:t>
      </w:r>
    </w:p>
    <w:p w14:paraId="247C8612" w14:textId="77777777" w:rsidR="005A47D6" w:rsidRPr="005A47D6" w:rsidRDefault="005A47D6" w:rsidP="005A47D6">
      <w:pPr>
        <w:pStyle w:val="SingleTxtGR"/>
      </w:pPr>
      <w:r w:rsidRPr="005A47D6">
        <w:t>6.8</w:t>
      </w:r>
      <w:r w:rsidRPr="005A47D6">
        <w:tab/>
        <w:t>Комитет отмечает, что он уже рассматривал аналогичные дела в отношении того же законодательства и практики государства-участника в ряде предыдущих сообщений</w:t>
      </w:r>
      <w:r w:rsidRPr="005A47D6">
        <w:rPr>
          <w:vertAlign w:val="superscript"/>
        </w:rPr>
        <w:footnoteReference w:id="9"/>
      </w:r>
      <w:r w:rsidRPr="005A47D6">
        <w:t xml:space="preserve">. В отсутствие пояснений государства-участника по затронутым в сообщении вопросам Комитет приходит к выводу о том, что в данном случае государство-участник нарушило права автора согласно статье 21 Пакта, рассматриваемой совместно с пунктом 3 статьи 2 Пакта. </w:t>
      </w:r>
    </w:p>
    <w:p w14:paraId="58303488" w14:textId="77777777" w:rsidR="005A47D6" w:rsidRPr="005A47D6" w:rsidRDefault="005A47D6" w:rsidP="005A47D6">
      <w:pPr>
        <w:pStyle w:val="SingleTxtGR"/>
      </w:pPr>
      <w:r w:rsidRPr="005A47D6">
        <w:t>6.9</w:t>
      </w:r>
      <w:r w:rsidRPr="005A47D6">
        <w:tab/>
      </w:r>
      <w:proofErr w:type="gramStart"/>
      <w:r w:rsidRPr="005A47D6">
        <w:t>В</w:t>
      </w:r>
      <w:proofErr w:type="gramEnd"/>
      <w:r w:rsidRPr="005A47D6">
        <w:t xml:space="preserve"> свете вышеизложенного вывода Комитет принимает решение не рассматривать утверждения автора по статьям 19 и 21, рассматриваемым в совокупности с пунктом 2 статьи 2 Пакта.</w:t>
      </w:r>
    </w:p>
    <w:p w14:paraId="4C5C36FF" w14:textId="77777777" w:rsidR="005A47D6" w:rsidRPr="005A47D6" w:rsidRDefault="005A47D6" w:rsidP="005A47D6">
      <w:pPr>
        <w:pStyle w:val="SingleTxtGR"/>
      </w:pPr>
      <w:r w:rsidRPr="005A47D6">
        <w:t>7.</w:t>
      </w:r>
      <w:r w:rsidRPr="005A47D6">
        <w:tab/>
        <w:t>Комитет по правам человека, действуя в соответствии с пунктом 4 статьи 5 Факультативного протокола, считает, что представленные ему факты свидетельствуют о нарушении прав автора, предусмотренных статьями 19 (2) и 21, рассматриваемыми совместно с пунктом 3 статьи 2 Пакта.</w:t>
      </w:r>
    </w:p>
    <w:p w14:paraId="08B6BC91" w14:textId="3A2199ED" w:rsidR="005A47D6" w:rsidRPr="005A47D6" w:rsidRDefault="005A47D6" w:rsidP="005A47D6">
      <w:pPr>
        <w:pStyle w:val="SingleTxtGR"/>
      </w:pPr>
      <w:r w:rsidRPr="005A47D6">
        <w:t>8.</w:t>
      </w:r>
      <w:r w:rsidRPr="005A47D6">
        <w:tab/>
        <w:t xml:space="preserve">Согласно </w:t>
      </w:r>
      <w:proofErr w:type="gramStart"/>
      <w:r w:rsidRPr="005A47D6">
        <w:t>подпункту</w:t>
      </w:r>
      <w:proofErr w:type="gramEnd"/>
      <w:r w:rsidRPr="005A47D6">
        <w:t xml:space="preserve"> а) пункта 3 статьи 2 Пакта государство-участник обязано предоставить лицам, права которых, признаваемые в Пакте, нарушены, эффективное средство правовой защиты. Для этого необходимо предоставить полное возмещение ущерба лицам, права которых, закрепленные в Пакте, были нарушены. Соответственно, государство-участник обязано, в частности: a) принять соответствующие меры для того, чтобы предоставить автору надлежащую компенсацию; и b) принять меры для предотвращения подобных нарушений в будущем. В этой связи Комитет вновь повторяет, что государству-участнику следует пересмотреть свое законодательство, которое было применено в данном случае, в</w:t>
      </w:r>
      <w:r w:rsidR="001F1177">
        <w:t> </w:t>
      </w:r>
      <w:r w:rsidRPr="005A47D6">
        <w:t xml:space="preserve">соответствии с его обязательствами по пункту 2 статьи 2, с тем чтобы обеспечить полноценное осуществление в государстве-участнике прав, закрепленных в статьях 19 и 21 Пакта. </w:t>
      </w:r>
    </w:p>
    <w:p w14:paraId="656CB7AD" w14:textId="77777777" w:rsidR="005A47D6" w:rsidRPr="005A47D6" w:rsidRDefault="005A47D6" w:rsidP="005A47D6">
      <w:pPr>
        <w:pStyle w:val="SingleTxtGR"/>
      </w:pPr>
      <w:r w:rsidRPr="005A47D6">
        <w:t>9.</w:t>
      </w:r>
      <w:r w:rsidRPr="005A47D6">
        <w:tab/>
        <w:t>Принимая во внимание, что, присоединившись к Факультативному протоколу, государство-участник признало компетенцию Комитета определять наличие или отсутствие нарушений Пакта и что согласно статье 2 Пакта государство-участник обязалось обеспечивать всем лицам, находящимся в пределах его территории или под его юрисдикцией, права, признаваемые в Пакте, и предоставлять им эффективные и имеющие исковую силу средства правовой защиты в случае установления факта нарушения, Комитет хотел бы получить от государства-участника в течение 180 дней информацию о мерах, принятых во исполнение настоящих Соображений Комитета. Государству-участнику также адресуется просьба опубликовать настоящие Соображения и обеспечить их широкое распространение на белорусском и русском языках в государстве-участнике.</w:t>
      </w:r>
    </w:p>
    <w:p w14:paraId="16CF601C" w14:textId="77777777" w:rsidR="005A47D6" w:rsidRPr="005A47D6" w:rsidRDefault="005A47D6" w:rsidP="005A47D6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A47D6" w:rsidRPr="005A47D6" w:rsidSect="005A47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1B4F8" w14:textId="77777777" w:rsidR="00C468CE" w:rsidRPr="00A312BC" w:rsidRDefault="00C468CE" w:rsidP="00A312BC"/>
  </w:endnote>
  <w:endnote w:type="continuationSeparator" w:id="0">
    <w:p w14:paraId="0ECBD779" w14:textId="77777777" w:rsidR="00C468CE" w:rsidRPr="00A312BC" w:rsidRDefault="00C468C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D14FE" w14:textId="621562F1" w:rsidR="005A47D6" w:rsidRPr="005A47D6" w:rsidRDefault="005A47D6">
    <w:pPr>
      <w:pStyle w:val="a8"/>
    </w:pPr>
    <w:r w:rsidRPr="005A47D6">
      <w:rPr>
        <w:b/>
        <w:sz w:val="18"/>
      </w:rPr>
      <w:fldChar w:fldCharType="begin"/>
    </w:r>
    <w:r w:rsidRPr="005A47D6">
      <w:rPr>
        <w:b/>
        <w:sz w:val="18"/>
      </w:rPr>
      <w:instrText xml:space="preserve"> PAGE  \* MERGEFORMAT </w:instrText>
    </w:r>
    <w:r w:rsidRPr="005A47D6">
      <w:rPr>
        <w:b/>
        <w:sz w:val="18"/>
      </w:rPr>
      <w:fldChar w:fldCharType="separate"/>
    </w:r>
    <w:r w:rsidR="000D0D41">
      <w:rPr>
        <w:b/>
        <w:noProof/>
        <w:sz w:val="18"/>
      </w:rPr>
      <w:t>2</w:t>
    </w:r>
    <w:r w:rsidRPr="005A47D6">
      <w:rPr>
        <w:b/>
        <w:sz w:val="18"/>
      </w:rPr>
      <w:fldChar w:fldCharType="end"/>
    </w:r>
    <w:r>
      <w:rPr>
        <w:b/>
        <w:sz w:val="18"/>
      </w:rPr>
      <w:tab/>
    </w:r>
    <w:r>
      <w:t>GE.18-21772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71C71" w14:textId="61453A13" w:rsidR="005A47D6" w:rsidRPr="005A47D6" w:rsidRDefault="005A47D6" w:rsidP="005A47D6">
    <w:pPr>
      <w:pStyle w:val="a8"/>
      <w:tabs>
        <w:tab w:val="clear" w:pos="9639"/>
        <w:tab w:val="right" w:pos="9638"/>
      </w:tabs>
      <w:rPr>
        <w:b/>
        <w:sz w:val="18"/>
      </w:rPr>
    </w:pPr>
    <w:r>
      <w:t>GE.18-21772</w:t>
    </w:r>
    <w:r>
      <w:tab/>
    </w:r>
    <w:r w:rsidRPr="005A47D6">
      <w:rPr>
        <w:b/>
        <w:sz w:val="18"/>
      </w:rPr>
      <w:fldChar w:fldCharType="begin"/>
    </w:r>
    <w:r w:rsidRPr="005A47D6">
      <w:rPr>
        <w:b/>
        <w:sz w:val="18"/>
      </w:rPr>
      <w:instrText xml:space="preserve"> PAGE  \* MERGEFORMAT </w:instrText>
    </w:r>
    <w:r w:rsidRPr="005A47D6">
      <w:rPr>
        <w:b/>
        <w:sz w:val="18"/>
      </w:rPr>
      <w:fldChar w:fldCharType="separate"/>
    </w:r>
    <w:r w:rsidR="000D0D41">
      <w:rPr>
        <w:b/>
        <w:noProof/>
        <w:sz w:val="18"/>
      </w:rPr>
      <w:t>5</w:t>
    </w:r>
    <w:r w:rsidRPr="005A47D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9E4D5" w14:textId="77777777" w:rsidR="00042B72" w:rsidRPr="005A47D6" w:rsidRDefault="005A47D6" w:rsidP="005A47D6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12AAB8A8" wp14:editId="3A7AC00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18-21772  (R)</w:t>
    </w:r>
    <w:r w:rsidR="00D25FE4">
      <w:rPr>
        <w:lang w:val="en-US"/>
      </w:rPr>
      <w:t xml:space="preserve">  201218  21</w:t>
    </w:r>
    <w:r>
      <w:rPr>
        <w:lang w:val="en-US"/>
      </w:rPr>
      <w:t>1218</w:t>
    </w:r>
    <w:r>
      <w:br/>
    </w:r>
    <w:r w:rsidRPr="005A47D6">
      <w:rPr>
        <w:rFonts w:ascii="C39T30Lfz" w:hAnsi="C39T30Lfz"/>
        <w:kern w:val="14"/>
        <w:sz w:val="56"/>
      </w:rPr>
      <w:t></w:t>
    </w:r>
    <w:r w:rsidRPr="005A47D6">
      <w:rPr>
        <w:rFonts w:ascii="C39T30Lfz" w:hAnsi="C39T30Lfz"/>
        <w:kern w:val="14"/>
        <w:sz w:val="56"/>
      </w:rPr>
      <w:t></w:t>
    </w:r>
    <w:r w:rsidRPr="005A47D6">
      <w:rPr>
        <w:rFonts w:ascii="C39T30Lfz" w:hAnsi="C39T30Lfz"/>
        <w:kern w:val="14"/>
        <w:sz w:val="56"/>
      </w:rPr>
      <w:t></w:t>
    </w:r>
    <w:r w:rsidRPr="005A47D6">
      <w:rPr>
        <w:rFonts w:ascii="C39T30Lfz" w:hAnsi="C39T30Lfz"/>
        <w:kern w:val="14"/>
        <w:sz w:val="56"/>
      </w:rPr>
      <w:t></w:t>
    </w:r>
    <w:r w:rsidRPr="005A47D6">
      <w:rPr>
        <w:rFonts w:ascii="C39T30Lfz" w:hAnsi="C39T30Lfz"/>
        <w:kern w:val="14"/>
        <w:sz w:val="56"/>
      </w:rPr>
      <w:t></w:t>
    </w:r>
    <w:r w:rsidRPr="005A47D6">
      <w:rPr>
        <w:rFonts w:ascii="C39T30Lfz" w:hAnsi="C39T30Lfz"/>
        <w:kern w:val="14"/>
        <w:sz w:val="56"/>
      </w:rPr>
      <w:t></w:t>
    </w:r>
    <w:r w:rsidRPr="005A47D6">
      <w:rPr>
        <w:rFonts w:ascii="C39T30Lfz" w:hAnsi="C39T30Lfz"/>
        <w:kern w:val="14"/>
        <w:sz w:val="56"/>
      </w:rPr>
      <w:t></w:t>
    </w:r>
    <w:r w:rsidRPr="005A47D6">
      <w:rPr>
        <w:rFonts w:ascii="C39T30Lfz" w:hAnsi="C39T30Lfz"/>
        <w:kern w:val="14"/>
        <w:sz w:val="56"/>
      </w:rPr>
      <w:t></w:t>
    </w:r>
    <w:r w:rsidRPr="005A47D6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22497F8" wp14:editId="20E6C20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CPR/C/124/D/2260/201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124/D/2260/201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44BF9" w14:textId="77777777" w:rsidR="00C468CE" w:rsidRPr="001075E9" w:rsidRDefault="00C468C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6C4A5BF" w14:textId="77777777" w:rsidR="00C468CE" w:rsidRDefault="00C468C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5F2BB0F" w14:textId="3EC5844C" w:rsidR="005A47D6" w:rsidRPr="005D4870" w:rsidRDefault="005A47D6" w:rsidP="005A47D6">
      <w:pPr>
        <w:pStyle w:val="ad"/>
      </w:pPr>
      <w:r>
        <w:tab/>
        <w:t>*</w:t>
      </w:r>
      <w:r>
        <w:tab/>
        <w:t>Приняты Комитетом на его 124</w:t>
      </w:r>
      <w:r w:rsidR="00583073">
        <w:t>-</w:t>
      </w:r>
      <w:r>
        <w:t>й сессии (8 октября – 2 ноября 2018 года).</w:t>
      </w:r>
    </w:p>
  </w:footnote>
  <w:footnote w:id="2">
    <w:p w14:paraId="2BFF2AAF" w14:textId="77777777" w:rsidR="005A47D6" w:rsidRPr="005D4870" w:rsidRDefault="005A47D6" w:rsidP="005A47D6">
      <w:pPr>
        <w:pStyle w:val="ad"/>
      </w:pPr>
      <w:r>
        <w:tab/>
        <w:t>**</w:t>
      </w:r>
      <w:r>
        <w:tab/>
      </w:r>
      <w:proofErr w:type="gramStart"/>
      <w:r>
        <w:t>В</w:t>
      </w:r>
      <w:proofErr w:type="gramEnd"/>
      <w:r>
        <w:t xml:space="preserve"> рассмотрении данного сообщения принимали участие следующие члены Комитета: Таня</w:t>
      </w:r>
      <w:r w:rsidR="00D25FE4">
        <w:rPr>
          <w:lang w:val="en-US"/>
        </w:rPr>
        <w:t> </w:t>
      </w:r>
      <w:r>
        <w:t xml:space="preserve">Мария </w:t>
      </w:r>
      <w:proofErr w:type="spellStart"/>
      <w:r>
        <w:t>Абдо</w:t>
      </w:r>
      <w:proofErr w:type="spellEnd"/>
      <w:r>
        <w:t xml:space="preserve"> </w:t>
      </w:r>
      <w:proofErr w:type="spellStart"/>
      <w:r>
        <w:t>Рочол</w:t>
      </w:r>
      <w:r w:rsidR="00D25FE4">
        <w:t>ь</w:t>
      </w:r>
      <w:proofErr w:type="spellEnd"/>
      <w:r>
        <w:t xml:space="preserve">, Яд Бен </w:t>
      </w:r>
      <w:proofErr w:type="spellStart"/>
      <w:r>
        <w:t>Ашур</w:t>
      </w:r>
      <w:proofErr w:type="spellEnd"/>
      <w:r>
        <w:t xml:space="preserve">, Илзе </w:t>
      </w:r>
      <w:proofErr w:type="spellStart"/>
      <w:r>
        <w:t>Брандс</w:t>
      </w:r>
      <w:proofErr w:type="spellEnd"/>
      <w:r>
        <w:t xml:space="preserve"> </w:t>
      </w:r>
      <w:proofErr w:type="spellStart"/>
      <w:r>
        <w:t>Ке</w:t>
      </w:r>
      <w:r w:rsidR="00D25FE4">
        <w:t>х</w:t>
      </w:r>
      <w:r>
        <w:t>рис</w:t>
      </w:r>
      <w:proofErr w:type="spellEnd"/>
      <w:r>
        <w:t xml:space="preserve">, Сара Кливленд, Ахмед Амин </w:t>
      </w:r>
      <w:proofErr w:type="spellStart"/>
      <w:r>
        <w:t>Фатхалла</w:t>
      </w:r>
      <w:proofErr w:type="spellEnd"/>
      <w:r>
        <w:t xml:space="preserve">, Оливье де </w:t>
      </w:r>
      <w:proofErr w:type="spellStart"/>
      <w:r>
        <w:t>Фрувиль</w:t>
      </w:r>
      <w:proofErr w:type="spellEnd"/>
      <w:r>
        <w:t xml:space="preserve">, </w:t>
      </w:r>
      <w:proofErr w:type="spellStart"/>
      <w:r>
        <w:t>Бамариам</w:t>
      </w:r>
      <w:proofErr w:type="spellEnd"/>
      <w:r>
        <w:t xml:space="preserve"> </w:t>
      </w:r>
      <w:proofErr w:type="spellStart"/>
      <w:r>
        <w:t>Койта</w:t>
      </w:r>
      <w:proofErr w:type="spellEnd"/>
      <w:r>
        <w:t xml:space="preserve">, </w:t>
      </w:r>
      <w:proofErr w:type="spellStart"/>
      <w:r>
        <w:t>Марсиа</w:t>
      </w:r>
      <w:proofErr w:type="spellEnd"/>
      <w:r>
        <w:t xml:space="preserve"> В. Дж. Кр</w:t>
      </w:r>
      <w:r w:rsidR="00D25FE4">
        <w:t xml:space="preserve">ан, </w:t>
      </w:r>
      <w:proofErr w:type="spellStart"/>
      <w:r w:rsidR="00D25FE4">
        <w:t>Да</w:t>
      </w:r>
      <w:r>
        <w:t>нкан</w:t>
      </w:r>
      <w:proofErr w:type="spellEnd"/>
      <w:r>
        <w:t xml:space="preserve"> Лаки </w:t>
      </w:r>
      <w:proofErr w:type="spellStart"/>
      <w:r>
        <w:t>Мухумуза</w:t>
      </w:r>
      <w:proofErr w:type="spellEnd"/>
      <w:r>
        <w:t xml:space="preserve">, </w:t>
      </w:r>
      <w:proofErr w:type="spellStart"/>
      <w:r>
        <w:t>Фотини</w:t>
      </w:r>
      <w:proofErr w:type="spellEnd"/>
      <w:r>
        <w:t xml:space="preserve"> </w:t>
      </w:r>
      <w:proofErr w:type="spellStart"/>
      <w:r>
        <w:t>Пазар</w:t>
      </w:r>
      <w:r w:rsidR="00D25FE4">
        <w:t>дз</w:t>
      </w:r>
      <w:r>
        <w:t>ис</w:t>
      </w:r>
      <w:proofErr w:type="spellEnd"/>
      <w:r>
        <w:t xml:space="preserve">, </w:t>
      </w:r>
      <w:proofErr w:type="spellStart"/>
      <w:r>
        <w:t>Мауро</w:t>
      </w:r>
      <w:proofErr w:type="spellEnd"/>
      <w:r>
        <w:t xml:space="preserve"> </w:t>
      </w:r>
      <w:proofErr w:type="spellStart"/>
      <w:r>
        <w:t>Полити</w:t>
      </w:r>
      <w:proofErr w:type="spellEnd"/>
      <w:r>
        <w:t xml:space="preserve">, </w:t>
      </w:r>
      <w:proofErr w:type="spellStart"/>
      <w:r>
        <w:t>Жозе</w:t>
      </w:r>
      <w:proofErr w:type="spellEnd"/>
      <w:r>
        <w:t xml:space="preserve"> Мануэл </w:t>
      </w:r>
      <w:proofErr w:type="spellStart"/>
      <w:r>
        <w:t>Сантуш</w:t>
      </w:r>
      <w:proofErr w:type="spellEnd"/>
      <w:r>
        <w:t xml:space="preserve"> </w:t>
      </w:r>
      <w:proofErr w:type="spellStart"/>
      <w:r>
        <w:t>Паиш</w:t>
      </w:r>
      <w:proofErr w:type="spellEnd"/>
      <w:r>
        <w:t xml:space="preserve"> и Андреас </w:t>
      </w:r>
      <w:proofErr w:type="spellStart"/>
      <w:r>
        <w:t>Циммерман</w:t>
      </w:r>
      <w:proofErr w:type="spellEnd"/>
      <w:r>
        <w:t>.</w:t>
      </w:r>
      <w:bookmarkStart w:id="1" w:name="OLE_LINK1"/>
      <w:bookmarkStart w:id="2" w:name="OLE_LINK2"/>
      <w:bookmarkEnd w:id="1"/>
      <w:bookmarkEnd w:id="2"/>
    </w:p>
  </w:footnote>
  <w:footnote w:id="3">
    <w:p w14:paraId="77153531" w14:textId="77777777" w:rsidR="005A47D6" w:rsidRPr="005D4870" w:rsidRDefault="005A47D6" w:rsidP="005A47D6">
      <w:pPr>
        <w:pStyle w:val="ad"/>
        <w:rPr>
          <w:rFonts w:ascii="Bookman Old Style" w:hAnsi="Bookman Old Style"/>
          <w:sz w:val="16"/>
          <w:szCs w:val="16"/>
        </w:rPr>
      </w:pPr>
      <w:r w:rsidRPr="00CA1963">
        <w:tab/>
      </w:r>
      <w:r w:rsidRPr="00764A66">
        <w:rPr>
          <w:rStyle w:val="aa"/>
        </w:rPr>
        <w:footnoteRef/>
      </w:r>
      <w:r>
        <w:tab/>
      </w:r>
      <w:r>
        <w:rPr>
          <w:i/>
          <w:iCs/>
        </w:rPr>
        <w:t>Шумилин против Беларуси</w:t>
      </w:r>
      <w:r>
        <w:t xml:space="preserve"> (</w:t>
      </w:r>
      <w:proofErr w:type="spellStart"/>
      <w:r>
        <w:t>CCPR</w:t>
      </w:r>
      <w:proofErr w:type="spellEnd"/>
      <w:r>
        <w:t xml:space="preserve">/C/105/D/1784/2008), пункт 8.3. </w:t>
      </w:r>
    </w:p>
  </w:footnote>
  <w:footnote w:id="4">
    <w:p w14:paraId="03A68CCB" w14:textId="77777777" w:rsidR="005A47D6" w:rsidRPr="005D4870" w:rsidRDefault="005A47D6" w:rsidP="005A47D6">
      <w:pPr>
        <w:pStyle w:val="ad"/>
      </w:pPr>
      <w:r w:rsidRPr="00044B01">
        <w:tab/>
      </w:r>
      <w:r w:rsidRPr="00764A66">
        <w:rPr>
          <w:rStyle w:val="aa"/>
        </w:rPr>
        <w:footnoteRef/>
      </w:r>
      <w:r>
        <w:tab/>
      </w:r>
      <w:proofErr w:type="spellStart"/>
      <w:r>
        <w:rPr>
          <w:i/>
          <w:iCs/>
        </w:rPr>
        <w:t>Саматанан</w:t>
      </w:r>
      <w:proofErr w:type="spellEnd"/>
      <w:r>
        <w:rPr>
          <w:i/>
          <w:iCs/>
        </w:rPr>
        <w:t xml:space="preserve"> против Шри-Ланки</w:t>
      </w:r>
      <w:r>
        <w:t xml:space="preserve"> (</w:t>
      </w:r>
      <w:proofErr w:type="spellStart"/>
      <w:r>
        <w:t>CCPR</w:t>
      </w:r>
      <w:proofErr w:type="spellEnd"/>
      <w:r>
        <w:t xml:space="preserve">/C/118/D/2412/2014), пункт 4.2; </w:t>
      </w:r>
      <w:proofErr w:type="spellStart"/>
      <w:r>
        <w:rPr>
          <w:i/>
          <w:iCs/>
        </w:rPr>
        <w:t>Диргаардт</w:t>
      </w:r>
      <w:proofErr w:type="spellEnd"/>
      <w:r>
        <w:rPr>
          <w:i/>
          <w:iCs/>
        </w:rPr>
        <w:t xml:space="preserve"> и др. против Намибии</w:t>
      </w:r>
      <w:r>
        <w:t xml:space="preserve"> (</w:t>
      </w:r>
      <w:proofErr w:type="spellStart"/>
      <w:r>
        <w:t>CCPR</w:t>
      </w:r>
      <w:proofErr w:type="spellEnd"/>
      <w:r>
        <w:t>/C/69/D/760/1997), пункт 10.2.</w:t>
      </w:r>
    </w:p>
  </w:footnote>
  <w:footnote w:id="5">
    <w:p w14:paraId="2774021E" w14:textId="77777777" w:rsidR="005A47D6" w:rsidRPr="005D4870" w:rsidRDefault="005A47D6" w:rsidP="005A47D6">
      <w:pPr>
        <w:pStyle w:val="ad"/>
      </w:pPr>
      <w:r w:rsidRPr="007864CD">
        <w:tab/>
      </w:r>
      <w:r w:rsidRPr="00764A66">
        <w:rPr>
          <w:rStyle w:val="aa"/>
        </w:rPr>
        <w:footnoteRef/>
      </w:r>
      <w:r>
        <w:tab/>
        <w:t>См. пункт 2.</w:t>
      </w:r>
    </w:p>
  </w:footnote>
  <w:footnote w:id="6">
    <w:p w14:paraId="2881FF7C" w14:textId="77777777" w:rsidR="005A47D6" w:rsidRPr="005D4870" w:rsidRDefault="005A47D6" w:rsidP="005A47D6">
      <w:pPr>
        <w:pStyle w:val="ad"/>
      </w:pPr>
      <w:r w:rsidRPr="007864CD">
        <w:tab/>
      </w:r>
      <w:r w:rsidRPr="00764A66">
        <w:rPr>
          <w:rStyle w:val="aa"/>
        </w:rPr>
        <w:footnoteRef/>
      </w:r>
      <w:r>
        <w:tab/>
      </w:r>
      <w:r>
        <w:rPr>
          <w:i/>
          <w:iCs/>
        </w:rPr>
        <w:t xml:space="preserve">Король против Беларуси </w:t>
      </w:r>
      <w:r>
        <w:t>(</w:t>
      </w:r>
      <w:proofErr w:type="spellStart"/>
      <w:r>
        <w:t>CCPR</w:t>
      </w:r>
      <w:proofErr w:type="spellEnd"/>
      <w:r>
        <w:t>/C/117/D/2089/2011), пункт 7.5.</w:t>
      </w:r>
    </w:p>
  </w:footnote>
  <w:footnote w:id="7">
    <w:p w14:paraId="1E32EF92" w14:textId="77777777" w:rsidR="005A47D6" w:rsidRPr="005D4870" w:rsidRDefault="005A47D6" w:rsidP="005A47D6">
      <w:pPr>
        <w:pStyle w:val="ad"/>
      </w:pPr>
      <w:r w:rsidRPr="007864CD">
        <w:tab/>
      </w:r>
      <w:r w:rsidRPr="00764A66">
        <w:rPr>
          <w:rStyle w:val="aa"/>
        </w:rPr>
        <w:footnoteRef/>
      </w:r>
      <w:r>
        <w:tab/>
      </w:r>
      <w:proofErr w:type="spellStart"/>
      <w:r>
        <w:rPr>
          <w:i/>
          <w:iCs/>
        </w:rPr>
        <w:t>Поплавный</w:t>
      </w:r>
      <w:proofErr w:type="spellEnd"/>
      <w:r>
        <w:rPr>
          <w:i/>
          <w:iCs/>
        </w:rPr>
        <w:t xml:space="preserve"> против Беларуси </w:t>
      </w:r>
      <w:r>
        <w:t>(</w:t>
      </w:r>
      <w:proofErr w:type="spellStart"/>
      <w:r>
        <w:t>CCPR</w:t>
      </w:r>
      <w:proofErr w:type="spellEnd"/>
      <w:r>
        <w:t>/C/115/D/2019/2010), пункт 8.4.</w:t>
      </w:r>
    </w:p>
  </w:footnote>
  <w:footnote w:id="8">
    <w:p w14:paraId="231D7E5F" w14:textId="71E6B0C7" w:rsidR="005A47D6" w:rsidRPr="005D4870" w:rsidRDefault="005A47D6" w:rsidP="005A47D6">
      <w:pPr>
        <w:pStyle w:val="ad"/>
      </w:pPr>
      <w:r w:rsidRPr="002F111D">
        <w:tab/>
      </w:r>
      <w:r w:rsidRPr="00764A66">
        <w:rPr>
          <w:rStyle w:val="aa"/>
        </w:rPr>
        <w:footnoteRef/>
      </w:r>
      <w:r>
        <w:tab/>
      </w:r>
      <w:r w:rsidR="000328BB">
        <w:t>Там же</w:t>
      </w:r>
      <w:r>
        <w:t>.</w:t>
      </w:r>
    </w:p>
  </w:footnote>
  <w:footnote w:id="9">
    <w:p w14:paraId="3D85BD2E" w14:textId="2040A0C3" w:rsidR="005A47D6" w:rsidRPr="005D4870" w:rsidRDefault="005A47D6" w:rsidP="005A47D6">
      <w:pPr>
        <w:pStyle w:val="ad"/>
      </w:pPr>
      <w:r w:rsidRPr="002F111D">
        <w:tab/>
      </w:r>
      <w:r w:rsidRPr="00764A66">
        <w:rPr>
          <w:rStyle w:val="aa"/>
        </w:rPr>
        <w:footnoteRef/>
      </w:r>
      <w:r>
        <w:tab/>
      </w:r>
      <w:r>
        <w:rPr>
          <w:i/>
          <w:iCs/>
        </w:rPr>
        <w:t>Корешков против Беларуси</w:t>
      </w:r>
      <w:r>
        <w:t xml:space="preserve"> (</w:t>
      </w:r>
      <w:proofErr w:type="spellStart"/>
      <w:r>
        <w:t>CCPR</w:t>
      </w:r>
      <w:proofErr w:type="spellEnd"/>
      <w:r>
        <w:t xml:space="preserve">/C/121/D/2168/2012); </w:t>
      </w:r>
      <w:proofErr w:type="spellStart"/>
      <w:r>
        <w:rPr>
          <w:i/>
          <w:iCs/>
        </w:rPr>
        <w:t>Поплавный</w:t>
      </w:r>
      <w:proofErr w:type="spellEnd"/>
      <w:r>
        <w:rPr>
          <w:i/>
          <w:iCs/>
        </w:rPr>
        <w:t xml:space="preserve"> и </w:t>
      </w:r>
      <w:proofErr w:type="spellStart"/>
      <w:r>
        <w:rPr>
          <w:i/>
          <w:iCs/>
        </w:rPr>
        <w:t>Судаленко</w:t>
      </w:r>
      <w:proofErr w:type="spellEnd"/>
      <w:r>
        <w:rPr>
          <w:i/>
          <w:iCs/>
        </w:rPr>
        <w:t xml:space="preserve"> против Беларуси</w:t>
      </w:r>
      <w:r>
        <w:t xml:space="preserve"> (</w:t>
      </w:r>
      <w:proofErr w:type="spellStart"/>
      <w:r>
        <w:t>CCPR</w:t>
      </w:r>
      <w:proofErr w:type="spellEnd"/>
      <w:r>
        <w:t xml:space="preserve">/C/118/D/2139/2012); </w:t>
      </w:r>
      <w:r>
        <w:rPr>
          <w:i/>
          <w:iCs/>
        </w:rPr>
        <w:t>Король против Беларуси</w:t>
      </w:r>
      <w:r>
        <w:t xml:space="preserve"> (</w:t>
      </w:r>
      <w:proofErr w:type="spellStart"/>
      <w:r>
        <w:t>CCPR</w:t>
      </w:r>
      <w:proofErr w:type="spellEnd"/>
      <w:r>
        <w:t xml:space="preserve">/C/117/D/2089/2011); </w:t>
      </w:r>
      <w:r>
        <w:rPr>
          <w:i/>
          <w:iCs/>
        </w:rPr>
        <w:t>Левинов против Беларуси</w:t>
      </w:r>
      <w:r>
        <w:t xml:space="preserve"> (</w:t>
      </w:r>
      <w:proofErr w:type="spellStart"/>
      <w:r>
        <w:t>CCPR</w:t>
      </w:r>
      <w:proofErr w:type="spellEnd"/>
      <w:r>
        <w:t xml:space="preserve">/C/117/D/2082/2011), пункт 8.3; и </w:t>
      </w:r>
      <w:r>
        <w:rPr>
          <w:i/>
          <w:iCs/>
        </w:rPr>
        <w:t>Левинов против Беларуси</w:t>
      </w:r>
      <w:r>
        <w:t xml:space="preserve"> (</w:t>
      </w:r>
      <w:proofErr w:type="spellStart"/>
      <w:r>
        <w:t>CCPR</w:t>
      </w:r>
      <w:proofErr w:type="spellEnd"/>
      <w:r>
        <w:t>/C/105/D/1867/2009, 1936, 1975, 1977</w:t>
      </w:r>
      <w:r w:rsidR="000328BB">
        <w:t>–</w:t>
      </w:r>
      <w:r>
        <w:t>1981, 2010/2010), пункт 10.3.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3C74A" w14:textId="5FE39E01" w:rsidR="005A47D6" w:rsidRPr="005A47D6" w:rsidRDefault="000D0D41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>
      <w:t>CCPR</w:t>
    </w:r>
    <w:proofErr w:type="spellEnd"/>
    <w:r>
      <w:t>/C/124/D/2260/2013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C32C8" w14:textId="1815DD6E" w:rsidR="005A47D6" w:rsidRPr="005A47D6" w:rsidRDefault="000D0D41" w:rsidP="005A47D6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>
      <w:t>CCPR</w:t>
    </w:r>
    <w:proofErr w:type="spellEnd"/>
    <w:r>
      <w:t>/C/124/D/2260/2013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6F46C" w14:textId="77777777" w:rsidR="005A47D6" w:rsidRDefault="005A47D6" w:rsidP="005A47D6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CE"/>
    <w:rsid w:val="00031576"/>
    <w:rsid w:val="000328BB"/>
    <w:rsid w:val="00033EE1"/>
    <w:rsid w:val="00042B72"/>
    <w:rsid w:val="000558BD"/>
    <w:rsid w:val="000B57E7"/>
    <w:rsid w:val="000B6373"/>
    <w:rsid w:val="000D0D41"/>
    <w:rsid w:val="000F09DF"/>
    <w:rsid w:val="000F61B2"/>
    <w:rsid w:val="00100274"/>
    <w:rsid w:val="001075E9"/>
    <w:rsid w:val="00180183"/>
    <w:rsid w:val="0018024D"/>
    <w:rsid w:val="0018649F"/>
    <w:rsid w:val="00196389"/>
    <w:rsid w:val="001B3EF6"/>
    <w:rsid w:val="001C7A89"/>
    <w:rsid w:val="001F1177"/>
    <w:rsid w:val="00231DC3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402C2"/>
    <w:rsid w:val="00361130"/>
    <w:rsid w:val="00375F01"/>
    <w:rsid w:val="00381C24"/>
    <w:rsid w:val="003958D0"/>
    <w:rsid w:val="003B00E5"/>
    <w:rsid w:val="00407B78"/>
    <w:rsid w:val="00424203"/>
    <w:rsid w:val="00427F25"/>
    <w:rsid w:val="00452493"/>
    <w:rsid w:val="00454E07"/>
    <w:rsid w:val="00472C5C"/>
    <w:rsid w:val="00486113"/>
    <w:rsid w:val="004969B2"/>
    <w:rsid w:val="0050108D"/>
    <w:rsid w:val="00513081"/>
    <w:rsid w:val="00517901"/>
    <w:rsid w:val="00526683"/>
    <w:rsid w:val="005709E0"/>
    <w:rsid w:val="00572E19"/>
    <w:rsid w:val="00583073"/>
    <w:rsid w:val="005961C8"/>
    <w:rsid w:val="005A47D6"/>
    <w:rsid w:val="005D7914"/>
    <w:rsid w:val="005E2B41"/>
    <w:rsid w:val="005F0B42"/>
    <w:rsid w:val="00666B97"/>
    <w:rsid w:val="00681A10"/>
    <w:rsid w:val="006A1ED8"/>
    <w:rsid w:val="006B2E5F"/>
    <w:rsid w:val="006C2031"/>
    <w:rsid w:val="006D461A"/>
    <w:rsid w:val="006F35EE"/>
    <w:rsid w:val="007021FF"/>
    <w:rsid w:val="00712895"/>
    <w:rsid w:val="00757357"/>
    <w:rsid w:val="00791B9D"/>
    <w:rsid w:val="007B0ACA"/>
    <w:rsid w:val="008055A7"/>
    <w:rsid w:val="00825F8D"/>
    <w:rsid w:val="00834B71"/>
    <w:rsid w:val="00857EA0"/>
    <w:rsid w:val="0086445C"/>
    <w:rsid w:val="00894693"/>
    <w:rsid w:val="008A08D7"/>
    <w:rsid w:val="008B6909"/>
    <w:rsid w:val="00906890"/>
    <w:rsid w:val="00911BE4"/>
    <w:rsid w:val="00934218"/>
    <w:rsid w:val="00951972"/>
    <w:rsid w:val="009608F3"/>
    <w:rsid w:val="009918E2"/>
    <w:rsid w:val="009A24AC"/>
    <w:rsid w:val="009E1984"/>
    <w:rsid w:val="00A14DA8"/>
    <w:rsid w:val="00A312BC"/>
    <w:rsid w:val="00A34D07"/>
    <w:rsid w:val="00A84021"/>
    <w:rsid w:val="00A84D35"/>
    <w:rsid w:val="00A917B3"/>
    <w:rsid w:val="00AA27B1"/>
    <w:rsid w:val="00AB4B51"/>
    <w:rsid w:val="00AD6F87"/>
    <w:rsid w:val="00B10CC7"/>
    <w:rsid w:val="00B136DB"/>
    <w:rsid w:val="00B539E7"/>
    <w:rsid w:val="00B62458"/>
    <w:rsid w:val="00B7091A"/>
    <w:rsid w:val="00B863BE"/>
    <w:rsid w:val="00BC18B2"/>
    <w:rsid w:val="00BC3629"/>
    <w:rsid w:val="00BD33EE"/>
    <w:rsid w:val="00BF1A04"/>
    <w:rsid w:val="00C0177C"/>
    <w:rsid w:val="00C106D6"/>
    <w:rsid w:val="00C468CE"/>
    <w:rsid w:val="00C46D5A"/>
    <w:rsid w:val="00C60F0C"/>
    <w:rsid w:val="00C805C9"/>
    <w:rsid w:val="00C92939"/>
    <w:rsid w:val="00CA1679"/>
    <w:rsid w:val="00CB151C"/>
    <w:rsid w:val="00CE5A1A"/>
    <w:rsid w:val="00CF55F6"/>
    <w:rsid w:val="00D02B45"/>
    <w:rsid w:val="00D25FE4"/>
    <w:rsid w:val="00D33D63"/>
    <w:rsid w:val="00D55334"/>
    <w:rsid w:val="00D90028"/>
    <w:rsid w:val="00D90138"/>
    <w:rsid w:val="00D9090B"/>
    <w:rsid w:val="00DD49B0"/>
    <w:rsid w:val="00DD78D1"/>
    <w:rsid w:val="00DE32CD"/>
    <w:rsid w:val="00DF71B9"/>
    <w:rsid w:val="00E005F7"/>
    <w:rsid w:val="00E06BEE"/>
    <w:rsid w:val="00E46656"/>
    <w:rsid w:val="00E73F76"/>
    <w:rsid w:val="00EA2C9F"/>
    <w:rsid w:val="00EA420E"/>
    <w:rsid w:val="00ED0BDA"/>
    <w:rsid w:val="00EF1360"/>
    <w:rsid w:val="00EF3220"/>
    <w:rsid w:val="00F05BAA"/>
    <w:rsid w:val="00F43903"/>
    <w:rsid w:val="00F450E6"/>
    <w:rsid w:val="00F94155"/>
    <w:rsid w:val="00F9783F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1F8136"/>
  <w15:docId w15:val="{BEC700B4-CBCD-4921-B983-EC5A88A1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5F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F1A04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AD6F87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AD6F87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AD6F87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R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AD6F87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AD6F87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6</Pages>
  <Words>2552</Words>
  <Characters>16887</Characters>
  <Application>Microsoft Office Word</Application>
  <DocSecurity>0</DocSecurity>
  <Lines>309</Lines>
  <Paragraphs>67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CCPR/C/124/D/2260/2013</vt:lpstr>
      <vt:lpstr>A/</vt:lpstr>
      <vt:lpstr>A/</vt:lpstr>
    </vt:vector>
  </TitlesOfParts>
  <Company>DCM</Company>
  <LinksUpToDate>false</LinksUpToDate>
  <CharactersWithSpaces>19405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CCPR/C/124/D/2260/2013</dc:title>
  <dc:subject/>
  <dc:creator>SHUVALOVA Natalia</dc:creator>
  <cp:keywords/>
  <cp:lastModifiedBy>Natalia Shuvalova</cp:lastModifiedBy>
  <cp:revision>3</cp:revision>
  <cp:lastPrinted>2018-12-21T07:33:00Z</cp:lastPrinted>
  <dcterms:created xsi:type="dcterms:W3CDTF">2018-12-21T07:33:00Z</dcterms:created>
  <dcterms:modified xsi:type="dcterms:W3CDTF">2018-12-21T07:34:00Z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