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0A4800" w14:paraId="209953C0" w14:textId="77777777" w:rsidTr="00A17DFD">
        <w:trPr>
          <w:trHeight w:hRule="exact" w:val="851"/>
        </w:trPr>
        <w:tc>
          <w:tcPr>
            <w:tcW w:w="1276" w:type="dxa"/>
            <w:tcBorders>
              <w:bottom w:val="single" w:sz="4" w:space="0" w:color="auto"/>
            </w:tcBorders>
          </w:tcPr>
          <w:p w14:paraId="209953BD" w14:textId="7EABC2C6" w:rsidR="002D5AAC" w:rsidRDefault="002D5AAC" w:rsidP="007134A7">
            <w:pPr>
              <w:kinsoku w:val="0"/>
              <w:overflowPunct w:val="0"/>
              <w:autoSpaceDE w:val="0"/>
              <w:autoSpaceDN w:val="0"/>
              <w:adjustRightInd w:val="0"/>
              <w:snapToGrid w:val="0"/>
            </w:pPr>
          </w:p>
        </w:tc>
        <w:tc>
          <w:tcPr>
            <w:tcW w:w="2268" w:type="dxa"/>
            <w:tcBorders>
              <w:bottom w:val="single" w:sz="4" w:space="0" w:color="auto"/>
            </w:tcBorders>
            <w:vAlign w:val="bottom"/>
          </w:tcPr>
          <w:p w14:paraId="209953BE" w14:textId="77777777"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09953BF" w14:textId="6826450B" w:rsidR="002D5AAC" w:rsidRPr="002C4E74" w:rsidRDefault="000A4800" w:rsidP="00DD56B0">
            <w:pPr>
              <w:jc w:val="right"/>
              <w:rPr>
                <w:lang w:val="en-US"/>
              </w:rPr>
            </w:pPr>
            <w:r w:rsidRPr="002C4E74">
              <w:rPr>
                <w:sz w:val="40"/>
                <w:lang w:val="en-US"/>
              </w:rPr>
              <w:t>CAT</w:t>
            </w:r>
            <w:r w:rsidR="007134A7" w:rsidRPr="002C4E74">
              <w:rPr>
                <w:lang w:val="en-US"/>
              </w:rPr>
              <w:t>/</w:t>
            </w:r>
            <w:r w:rsidRPr="002C4E74">
              <w:rPr>
                <w:lang w:val="en-US"/>
              </w:rPr>
              <w:t>OP</w:t>
            </w:r>
            <w:r w:rsidR="007134A7" w:rsidRPr="002C4E74">
              <w:rPr>
                <w:lang w:val="en-US"/>
              </w:rPr>
              <w:t>/</w:t>
            </w:r>
            <w:r w:rsidR="002C4E74" w:rsidRPr="002C4E74">
              <w:rPr>
                <w:lang w:val="en-US"/>
              </w:rPr>
              <w:t>BOL</w:t>
            </w:r>
            <w:r w:rsidR="002C4E74">
              <w:rPr>
                <w:lang w:val="en-US"/>
              </w:rPr>
              <w:t>/</w:t>
            </w:r>
            <w:r w:rsidR="00DD56B0">
              <w:rPr>
                <w:lang w:val="en-US"/>
              </w:rPr>
              <w:t>3</w:t>
            </w:r>
          </w:p>
        </w:tc>
      </w:tr>
      <w:tr w:rsidR="002D5AAC" w14:paraId="209953C7" w14:textId="77777777" w:rsidTr="00A17DFD">
        <w:trPr>
          <w:trHeight w:hRule="exact" w:val="2835"/>
        </w:trPr>
        <w:tc>
          <w:tcPr>
            <w:tcW w:w="1276" w:type="dxa"/>
            <w:tcBorders>
              <w:top w:val="single" w:sz="4" w:space="0" w:color="auto"/>
              <w:bottom w:val="single" w:sz="12" w:space="0" w:color="auto"/>
            </w:tcBorders>
          </w:tcPr>
          <w:p w14:paraId="209953C1" w14:textId="77777777" w:rsidR="002D5AAC" w:rsidRDefault="005172A2" w:rsidP="00A17DFD">
            <w:pPr>
              <w:spacing w:before="120"/>
              <w:jc w:val="center"/>
            </w:pPr>
            <w:r>
              <w:rPr>
                <w:noProof/>
                <w:lang w:eastAsia="zh-CN"/>
              </w:rPr>
              <w:drawing>
                <wp:inline distT="0" distB="0" distL="0" distR="0" wp14:anchorId="20995530" wp14:editId="20995531">
                  <wp:extent cx="714375" cy="590550"/>
                  <wp:effectExtent l="0" t="0" r="9525"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953C2" w14:textId="77777777" w:rsidR="002D5AAC" w:rsidRPr="007967DF" w:rsidRDefault="00B52259" w:rsidP="00F617E7">
            <w:pPr>
              <w:spacing w:before="120" w:line="380" w:lineRule="exact"/>
              <w:rPr>
                <w:b/>
                <w:sz w:val="34"/>
                <w:szCs w:val="34"/>
              </w:rPr>
            </w:pPr>
            <w:r>
              <w:rPr>
                <w:b/>
                <w:sz w:val="34"/>
                <w:szCs w:val="34"/>
              </w:rPr>
              <w:t>Protocolo Facultativo de la</w:t>
            </w:r>
            <w:r>
              <w:rPr>
                <w:b/>
                <w:sz w:val="34"/>
                <w:szCs w:val="34"/>
              </w:rPr>
              <w:br/>
              <w:t>Convención contra la Tortura</w:t>
            </w:r>
            <w:r>
              <w:rPr>
                <w:b/>
                <w:sz w:val="34"/>
                <w:szCs w:val="34"/>
              </w:rPr>
              <w:br/>
              <w:t>y Otros Tratos o Penas Crueles</w:t>
            </w:r>
            <w:r w:rsidR="006C1A4E">
              <w:rPr>
                <w:b/>
                <w:sz w:val="34"/>
                <w:szCs w:val="34"/>
              </w:rPr>
              <w:t>,</w:t>
            </w:r>
            <w:r>
              <w:rPr>
                <w:b/>
                <w:sz w:val="34"/>
                <w:szCs w:val="34"/>
              </w:rPr>
              <w:br/>
              <w:t>Inhumanos o Degradantes</w:t>
            </w:r>
          </w:p>
        </w:tc>
        <w:tc>
          <w:tcPr>
            <w:tcW w:w="2813" w:type="dxa"/>
            <w:tcBorders>
              <w:top w:val="single" w:sz="4" w:space="0" w:color="auto"/>
              <w:bottom w:val="single" w:sz="12" w:space="0" w:color="auto"/>
            </w:tcBorders>
          </w:tcPr>
          <w:p w14:paraId="209953C3" w14:textId="19A123E6" w:rsidR="002D5AAC" w:rsidRPr="002C4E74" w:rsidRDefault="007134A7" w:rsidP="009A2C72">
            <w:pPr>
              <w:spacing w:before="240"/>
            </w:pPr>
            <w:r w:rsidRPr="002C4E74">
              <w:t>Distr.</w:t>
            </w:r>
            <w:r w:rsidR="000C2789">
              <w:t xml:space="preserve"> </w:t>
            </w:r>
            <w:r w:rsidR="000C2789" w:rsidRPr="000C2789">
              <w:t xml:space="preserve">general </w:t>
            </w:r>
          </w:p>
          <w:p w14:paraId="209953C4" w14:textId="3F9F22C0" w:rsidR="007134A7" w:rsidRPr="002C4E74" w:rsidRDefault="000A7D9C" w:rsidP="000A7D9C">
            <w:pPr>
              <w:spacing w:line="240" w:lineRule="exact"/>
            </w:pPr>
            <w:r>
              <w:t>24</w:t>
            </w:r>
            <w:r w:rsidR="000C2789">
              <w:t xml:space="preserve"> de julio</w:t>
            </w:r>
            <w:r w:rsidR="0063057F">
              <w:t xml:space="preserve"> de </w:t>
            </w:r>
            <w:r w:rsidR="002C4E74" w:rsidRPr="002C4E74">
              <w:t>201</w:t>
            </w:r>
            <w:r w:rsidR="000C2789">
              <w:t>8</w:t>
            </w:r>
          </w:p>
          <w:p w14:paraId="4CE913FD" w14:textId="77777777" w:rsidR="00EA6784" w:rsidRDefault="00EA6784" w:rsidP="002C4E74">
            <w:pPr>
              <w:spacing w:line="240" w:lineRule="exact"/>
            </w:pPr>
          </w:p>
          <w:p w14:paraId="209953C5" w14:textId="66E92E72" w:rsidR="007134A7" w:rsidRPr="002C4E74" w:rsidRDefault="002C4E74" w:rsidP="002C4E74">
            <w:pPr>
              <w:spacing w:line="240" w:lineRule="exact"/>
            </w:pPr>
            <w:r w:rsidRPr="002C4E74">
              <w:t>Original:</w:t>
            </w:r>
            <w:r>
              <w:t xml:space="preserve"> </w:t>
            </w:r>
            <w:r w:rsidR="00353292">
              <w:t>e</w:t>
            </w:r>
            <w:r w:rsidRPr="002C4E74">
              <w:t>spañol</w:t>
            </w:r>
          </w:p>
          <w:p w14:paraId="209953C6" w14:textId="366422E2" w:rsidR="007134A7" w:rsidRPr="002C4E74" w:rsidRDefault="005C5ACB" w:rsidP="005C5ACB">
            <w:pPr>
              <w:spacing w:line="240" w:lineRule="exact"/>
            </w:pPr>
            <w:r>
              <w:t>E</w:t>
            </w:r>
            <w:r w:rsidRPr="002C4E74">
              <w:t>spañol</w:t>
            </w:r>
            <w:r w:rsidR="007134A7" w:rsidRPr="002C4E74">
              <w:t xml:space="preserve">, </w:t>
            </w:r>
            <w:r>
              <w:t>francés e</w:t>
            </w:r>
            <w:r w:rsidRPr="002C4E74">
              <w:t xml:space="preserve"> </w:t>
            </w:r>
            <w:r>
              <w:t>i</w:t>
            </w:r>
            <w:r w:rsidRPr="002C4E74">
              <w:t xml:space="preserve">nglés </w:t>
            </w:r>
            <w:r w:rsidR="007134A7" w:rsidRPr="002C4E74">
              <w:t>únicamente</w:t>
            </w:r>
          </w:p>
        </w:tc>
      </w:tr>
    </w:tbl>
    <w:p w14:paraId="209953C8" w14:textId="77777777" w:rsidR="006F35EE" w:rsidRPr="00E026EE" w:rsidRDefault="00E026EE" w:rsidP="007134A7">
      <w:pPr>
        <w:spacing w:before="120"/>
        <w:rPr>
          <w:rStyle w:val="Hipervnculovisitado"/>
          <w:b/>
          <w:color w:val="auto"/>
          <w:sz w:val="24"/>
          <w:szCs w:val="24"/>
        </w:rPr>
      </w:pPr>
      <w:r w:rsidRPr="00E026EE">
        <w:rPr>
          <w:rStyle w:val="Hipervnculovisitado"/>
          <w:b/>
          <w:color w:val="auto"/>
          <w:sz w:val="24"/>
          <w:szCs w:val="24"/>
        </w:rPr>
        <w:t>Subcomité para la Prevención de la Tortura y Otros</w:t>
      </w:r>
      <w:r w:rsidRPr="00E026EE">
        <w:rPr>
          <w:rStyle w:val="Hipervnculovisitado"/>
          <w:b/>
          <w:color w:val="auto"/>
          <w:sz w:val="24"/>
          <w:szCs w:val="24"/>
        </w:rPr>
        <w:br/>
        <w:t>Tratos o Penas Crueles, Inhumanos o Degradantes</w:t>
      </w:r>
    </w:p>
    <w:p w14:paraId="209953C9" w14:textId="2FDA34D1" w:rsidR="000A4800" w:rsidRPr="00E46984" w:rsidRDefault="000A4800" w:rsidP="000A4800">
      <w:pPr>
        <w:pStyle w:val="HMG"/>
        <w:rPr>
          <w:lang w:val="es-ES_tradnl"/>
        </w:rPr>
      </w:pPr>
      <w:r w:rsidRPr="00E46984">
        <w:rPr>
          <w:lang w:val="es-ES_tradnl"/>
        </w:rPr>
        <w:tab/>
      </w:r>
      <w:r w:rsidRPr="00E46984">
        <w:rPr>
          <w:lang w:val="es-ES_tradnl"/>
        </w:rPr>
        <w:tab/>
      </w:r>
      <w:r w:rsidRPr="00C92CFA">
        <w:rPr>
          <w:lang w:val="es-ES_tradnl"/>
        </w:rPr>
        <w:t>Visita a</w:t>
      </w:r>
      <w:r w:rsidR="00B46C31">
        <w:rPr>
          <w:lang w:val="es-ES_tradnl"/>
        </w:rPr>
        <w:t xml:space="preserve">l </w:t>
      </w:r>
      <w:r w:rsidR="00B46C31">
        <w:t>Estado Plurinacional de</w:t>
      </w:r>
      <w:r w:rsidRPr="00C92CFA">
        <w:rPr>
          <w:lang w:val="es-ES_tradnl"/>
        </w:rPr>
        <w:t xml:space="preserve"> </w:t>
      </w:r>
      <w:r w:rsidR="002C4E74" w:rsidRPr="00C92CFA">
        <w:rPr>
          <w:lang w:val="es-ES_tradnl"/>
        </w:rPr>
        <w:t>Bolivia</w:t>
      </w:r>
      <w:r w:rsidRPr="00C92CFA">
        <w:rPr>
          <w:lang w:val="es-ES_tradnl"/>
        </w:rPr>
        <w:t xml:space="preserve"> del</w:t>
      </w:r>
      <w:r w:rsidR="002970C2">
        <w:rPr>
          <w:lang w:val="es-ES_tradnl"/>
        </w:rPr>
        <w:br/>
      </w:r>
      <w:r w:rsidR="002C4E74" w:rsidRPr="00C92CFA">
        <w:rPr>
          <w:lang w:val="es-ES_tradnl"/>
        </w:rPr>
        <w:t>2</w:t>
      </w:r>
      <w:r w:rsidRPr="00C92CFA">
        <w:rPr>
          <w:lang w:val="es-ES_tradnl"/>
        </w:rPr>
        <w:t xml:space="preserve"> al </w:t>
      </w:r>
      <w:r w:rsidR="002C4E74" w:rsidRPr="00C92CFA">
        <w:rPr>
          <w:lang w:val="es-ES_tradnl"/>
        </w:rPr>
        <w:t>11</w:t>
      </w:r>
      <w:r w:rsidRPr="00C92CFA">
        <w:rPr>
          <w:lang w:val="es-ES_tradnl"/>
        </w:rPr>
        <w:t xml:space="preserve"> de </w:t>
      </w:r>
      <w:r w:rsidR="002C4E74" w:rsidRPr="00C92CFA">
        <w:rPr>
          <w:lang w:val="es-ES_tradnl"/>
        </w:rPr>
        <w:t>mayo</w:t>
      </w:r>
      <w:r w:rsidRPr="00C92CFA">
        <w:rPr>
          <w:lang w:val="es-ES_tradnl"/>
        </w:rPr>
        <w:t xml:space="preserve"> de </w:t>
      </w:r>
      <w:r w:rsidR="002C4E74" w:rsidRPr="00C92CFA">
        <w:rPr>
          <w:lang w:val="es-ES_tradnl"/>
        </w:rPr>
        <w:t>2017</w:t>
      </w:r>
      <w:r w:rsidRPr="00C92CFA">
        <w:rPr>
          <w:lang w:val="es-ES_tradnl"/>
        </w:rPr>
        <w:t xml:space="preserve">: </w:t>
      </w:r>
      <w:r w:rsidRPr="00E46984">
        <w:rPr>
          <w:lang w:val="es-ES_tradnl"/>
        </w:rPr>
        <w:t>observacione</w:t>
      </w:r>
      <w:r w:rsidR="002C4E74">
        <w:rPr>
          <w:lang w:val="es-ES_tradnl"/>
        </w:rPr>
        <w:t>s y recomendaciones dirigidas a</w:t>
      </w:r>
      <w:r w:rsidR="00B46C31">
        <w:rPr>
          <w:lang w:val="es-ES_tradnl"/>
        </w:rPr>
        <w:t>l Estado parte</w:t>
      </w:r>
    </w:p>
    <w:p w14:paraId="209953CA" w14:textId="157DD5A7" w:rsidR="000A4800" w:rsidRDefault="000A4800" w:rsidP="00DF67FB">
      <w:pPr>
        <w:pStyle w:val="HChG"/>
        <w:rPr>
          <w:b w:val="0"/>
          <w:sz w:val="20"/>
        </w:rPr>
      </w:pPr>
      <w:r w:rsidRPr="00E46984">
        <w:rPr>
          <w:lang w:val="es-ES_tradnl"/>
        </w:rPr>
        <w:tab/>
      </w:r>
      <w:r w:rsidRPr="00E46984">
        <w:rPr>
          <w:lang w:val="es-ES_tradnl"/>
        </w:rPr>
        <w:tab/>
        <w:t>Informe del Subcomité</w:t>
      </w:r>
      <w:r w:rsidRPr="002970C2">
        <w:rPr>
          <w:rStyle w:val="Refdenotaalpie"/>
          <w:b w:val="0"/>
          <w:sz w:val="20"/>
          <w:vertAlign w:val="baseline"/>
          <w:lang w:val="es-ES_tradnl"/>
        </w:rPr>
        <w:footnoteReference w:customMarkFollows="1" w:id="1"/>
        <w:t>*</w:t>
      </w:r>
      <w:r w:rsidR="00DF67FB" w:rsidRPr="00DF67FB">
        <w:rPr>
          <w:rStyle w:val="Refdenotaalpie"/>
          <w:b w:val="0"/>
          <w:sz w:val="20"/>
          <w:lang w:val="es-ES_tradnl"/>
        </w:rPr>
        <w:t>,</w:t>
      </w:r>
      <w:r w:rsidRPr="007557A3">
        <w:rPr>
          <w:b w:val="0"/>
          <w:sz w:val="20"/>
          <w:vertAlign w:val="superscript"/>
        </w:rPr>
        <w:t xml:space="preserve"> </w:t>
      </w:r>
      <w:r w:rsidR="00DF67FB" w:rsidRPr="00DF67FB">
        <w:rPr>
          <w:rStyle w:val="Refdenotaalpie"/>
          <w:b w:val="0"/>
          <w:sz w:val="20"/>
          <w:vertAlign w:val="baseline"/>
        </w:rPr>
        <w:footnoteReference w:customMarkFollows="1" w:id="2"/>
        <w:t>**</w:t>
      </w:r>
    </w:p>
    <w:p w14:paraId="37E4B24B" w14:textId="77777777" w:rsidR="00020BC2" w:rsidRDefault="00020BC2" w:rsidP="00020BC2"/>
    <w:p w14:paraId="209953CB" w14:textId="77777777" w:rsidR="002C4E74" w:rsidRPr="00690DC7" w:rsidRDefault="002C4E74">
      <w:pPr>
        <w:spacing w:line="240" w:lineRule="auto"/>
        <w:rPr>
          <w:rStyle w:val="Hipervnculovisitado"/>
          <w:color w:val="auto"/>
        </w:rPr>
      </w:pPr>
      <w:r w:rsidRPr="00690DC7">
        <w:rPr>
          <w:rStyle w:val="Hipervnculovisitado"/>
          <w:color w:val="auto"/>
        </w:rPr>
        <w:br w:type="page"/>
      </w:r>
    </w:p>
    <w:p w14:paraId="209953CD" w14:textId="77777777" w:rsidR="00651F7A" w:rsidRPr="000B7D68" w:rsidRDefault="00651F7A" w:rsidP="00651F7A">
      <w:r>
        <w:rPr>
          <w:sz w:val="28"/>
        </w:rPr>
        <w:lastRenderedPageBreak/>
        <w:t>Índice</w:t>
      </w:r>
    </w:p>
    <w:p w14:paraId="209953CE" w14:textId="77777777" w:rsidR="00651F7A" w:rsidRDefault="00651F7A" w:rsidP="00651F7A">
      <w:pPr>
        <w:pStyle w:val="SingleTxtG"/>
        <w:tabs>
          <w:tab w:val="right" w:pos="8929"/>
          <w:tab w:val="right" w:pos="9638"/>
        </w:tabs>
        <w:ind w:left="283" w:right="0"/>
        <w:jc w:val="left"/>
        <w:rPr>
          <w:sz w:val="18"/>
        </w:rPr>
      </w:pPr>
      <w:r>
        <w:rPr>
          <w:i/>
          <w:sz w:val="18"/>
        </w:rPr>
        <w:tab/>
      </w:r>
      <w:r>
        <w:rPr>
          <w:i/>
          <w:sz w:val="18"/>
        </w:rPr>
        <w:tab/>
        <w:t>Página</w:t>
      </w:r>
    </w:p>
    <w:p w14:paraId="26A093D4"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t>I.</w:t>
      </w:r>
      <w:r>
        <w:tab/>
        <w:t>Introducción</w:t>
      </w:r>
      <w:r>
        <w:tab/>
      </w:r>
      <w:r>
        <w:tab/>
        <w:t>3</w:t>
      </w:r>
    </w:p>
    <w:p w14:paraId="7953F1EC"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t>II.</w:t>
      </w:r>
      <w:r>
        <w:tab/>
      </w:r>
      <w:r w:rsidRPr="00802E03">
        <w:t xml:space="preserve">Mecanismo </w:t>
      </w:r>
      <w:r>
        <w:t>n</w:t>
      </w:r>
      <w:r w:rsidRPr="00802E03">
        <w:t xml:space="preserve">acional de </w:t>
      </w:r>
      <w:r>
        <w:t>p</w:t>
      </w:r>
      <w:r w:rsidRPr="00802E03">
        <w:t>revención</w:t>
      </w:r>
      <w:r>
        <w:tab/>
      </w:r>
      <w:r>
        <w:tab/>
        <w:t>3</w:t>
      </w:r>
    </w:p>
    <w:p w14:paraId="2474D6A2"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t>III.</w:t>
      </w:r>
      <w:r>
        <w:tab/>
      </w:r>
      <w:r w:rsidRPr="00802E03">
        <w:t>Alegaciones de tortura</w:t>
      </w:r>
      <w:r>
        <w:t xml:space="preserve"> y malos tratos </w:t>
      </w:r>
      <w:r w:rsidRPr="00802E03">
        <w:t>e impunidad</w:t>
      </w:r>
      <w:r>
        <w:tab/>
      </w:r>
      <w:r>
        <w:tab/>
        <w:t>5</w:t>
      </w:r>
    </w:p>
    <w:p w14:paraId="315ACDE8" w14:textId="77777777" w:rsidR="007F0128" w:rsidRDefault="007F0128" w:rsidP="007F0128">
      <w:pPr>
        <w:pStyle w:val="SingleTxtG"/>
        <w:numPr>
          <w:ilvl w:val="0"/>
          <w:numId w:val="16"/>
        </w:numPr>
        <w:tabs>
          <w:tab w:val="right" w:pos="850"/>
          <w:tab w:val="left" w:pos="1134"/>
          <w:tab w:val="left" w:pos="1559"/>
          <w:tab w:val="left" w:pos="1984"/>
          <w:tab w:val="left" w:leader="dot" w:pos="8931"/>
          <w:tab w:val="right" w:pos="9638"/>
        </w:tabs>
        <w:ind w:right="0"/>
        <w:jc w:val="left"/>
      </w:pPr>
      <w:r w:rsidRPr="000B7D68">
        <w:t>Alegaciones de tortura y otros malos tratos</w:t>
      </w:r>
      <w:r>
        <w:tab/>
      </w:r>
      <w:r>
        <w:tab/>
        <w:t>5</w:t>
      </w:r>
    </w:p>
    <w:p w14:paraId="039A1AF2" w14:textId="77777777" w:rsidR="007F0128" w:rsidRDefault="007F0128" w:rsidP="007F0128">
      <w:pPr>
        <w:pStyle w:val="SingleTxtG"/>
        <w:numPr>
          <w:ilvl w:val="0"/>
          <w:numId w:val="16"/>
        </w:numPr>
        <w:tabs>
          <w:tab w:val="right" w:pos="850"/>
          <w:tab w:val="left" w:pos="1134"/>
          <w:tab w:val="left" w:pos="1559"/>
          <w:tab w:val="left" w:pos="1984"/>
          <w:tab w:val="left" w:leader="dot" w:pos="8931"/>
          <w:tab w:val="right" w:pos="9638"/>
        </w:tabs>
        <w:ind w:right="0"/>
        <w:jc w:val="left"/>
      </w:pPr>
      <w:r>
        <w:t>I</w:t>
      </w:r>
      <w:r w:rsidRPr="00802E03">
        <w:t>mpunidad</w:t>
      </w:r>
      <w:r>
        <w:tab/>
      </w:r>
      <w:r>
        <w:tab/>
        <w:t>6</w:t>
      </w:r>
    </w:p>
    <w:p w14:paraId="4A086B56"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r>
      <w:r w:rsidRPr="00802E03">
        <w:t>IV.</w:t>
      </w:r>
      <w:r>
        <w:tab/>
      </w:r>
      <w:r w:rsidRPr="00802E03">
        <w:t xml:space="preserve">Seguimiento de las recomendaciones del informe del </w:t>
      </w:r>
      <w:r>
        <w:t>Subcomité</w:t>
      </w:r>
      <w:r w:rsidRPr="00802E03">
        <w:t xml:space="preserve"> de 2010</w:t>
      </w:r>
      <w:r>
        <w:tab/>
      </w:r>
      <w:r>
        <w:tab/>
        <w:t>7</w:t>
      </w:r>
    </w:p>
    <w:p w14:paraId="400AAFA3"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rPr>
          <w:rFonts w:eastAsia="Calibri"/>
          <w:lang w:eastAsia="en-US"/>
        </w:rPr>
      </w:pPr>
      <w:r>
        <w:tab/>
      </w:r>
      <w:r>
        <w:tab/>
      </w:r>
      <w:r w:rsidRPr="00802E03">
        <w:t>A.</w:t>
      </w:r>
      <w:r>
        <w:tab/>
      </w:r>
      <w:r w:rsidRPr="00D41912">
        <w:rPr>
          <w:rFonts w:eastAsia="Calibri"/>
          <w:lang w:eastAsia="en-US"/>
        </w:rPr>
        <w:t>Causas y consecuencias del excesivo uso de la detención preventiva</w:t>
      </w:r>
      <w:r>
        <w:rPr>
          <w:rFonts w:eastAsia="Calibri"/>
          <w:lang w:eastAsia="en-US"/>
        </w:rPr>
        <w:tab/>
      </w:r>
      <w:r>
        <w:rPr>
          <w:rFonts w:eastAsia="Calibri"/>
          <w:lang w:eastAsia="en-US"/>
        </w:rPr>
        <w:tab/>
        <w:t>7</w:t>
      </w:r>
    </w:p>
    <w:p w14:paraId="7500E18B"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r>
      <w:r>
        <w:tab/>
      </w:r>
      <w:r w:rsidRPr="006E01ED">
        <w:t>B.</w:t>
      </w:r>
      <w:r>
        <w:tab/>
      </w:r>
      <w:r w:rsidRPr="006E01ED">
        <w:t>Delegación de autoridad, autogobierno y corrupción</w:t>
      </w:r>
      <w:r>
        <w:tab/>
      </w:r>
      <w:r>
        <w:tab/>
        <w:t>8</w:t>
      </w:r>
    </w:p>
    <w:p w14:paraId="3DD98FD3"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r>
      <w:r>
        <w:tab/>
      </w:r>
      <w:r w:rsidRPr="006E01ED">
        <w:t>C.</w:t>
      </w:r>
      <w:r w:rsidRPr="006E01ED">
        <w:tab/>
        <w:t>Defensa Pública</w:t>
      </w:r>
      <w:r>
        <w:tab/>
      </w:r>
      <w:r>
        <w:tab/>
        <w:t>10</w:t>
      </w:r>
    </w:p>
    <w:p w14:paraId="5E6F7515"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rPr>
          <w:rFonts w:eastAsia="Calibri"/>
          <w:lang w:eastAsia="en-US"/>
        </w:rPr>
      </w:pPr>
      <w:r>
        <w:rPr>
          <w:rFonts w:eastAsia="Calibri"/>
          <w:lang w:eastAsia="en-US"/>
        </w:rPr>
        <w:tab/>
      </w:r>
      <w:r>
        <w:rPr>
          <w:rFonts w:eastAsia="Calibri"/>
          <w:lang w:eastAsia="en-US"/>
        </w:rPr>
        <w:tab/>
        <w:t>D.</w:t>
      </w:r>
      <w:r>
        <w:rPr>
          <w:rFonts w:eastAsia="Calibri"/>
          <w:lang w:eastAsia="en-US"/>
        </w:rPr>
        <w:tab/>
        <w:t>Salvaguardas</w:t>
      </w:r>
      <w:r>
        <w:rPr>
          <w:rFonts w:eastAsia="Calibri"/>
          <w:lang w:eastAsia="en-US"/>
        </w:rPr>
        <w:tab/>
      </w:r>
      <w:r>
        <w:rPr>
          <w:rFonts w:eastAsia="Calibri"/>
          <w:lang w:eastAsia="en-US"/>
        </w:rPr>
        <w:tab/>
        <w:t>11</w:t>
      </w:r>
    </w:p>
    <w:p w14:paraId="74EB81E3"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r>
      <w:r w:rsidRPr="00802E03">
        <w:t>V.</w:t>
      </w:r>
      <w:r>
        <w:tab/>
      </w:r>
      <w:r w:rsidRPr="00802E03">
        <w:t>S</w:t>
      </w:r>
      <w:r>
        <w:t>ituación de las personas privadas de libertad</w:t>
      </w:r>
      <w:r>
        <w:tab/>
      </w:r>
      <w:r>
        <w:tab/>
        <w:t>13</w:t>
      </w:r>
    </w:p>
    <w:p w14:paraId="09E2EAD0"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r>
      <w:r>
        <w:tab/>
      </w:r>
      <w:r w:rsidRPr="00802E03">
        <w:t>A.</w:t>
      </w:r>
      <w:r>
        <w:tab/>
      </w:r>
      <w:r w:rsidRPr="00802E03">
        <w:t>Estaciones de policía</w:t>
      </w:r>
      <w:r>
        <w:tab/>
      </w:r>
      <w:r>
        <w:tab/>
        <w:t>13</w:t>
      </w:r>
    </w:p>
    <w:p w14:paraId="6156DF17"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rPr>
          <w:i/>
        </w:rPr>
      </w:pPr>
      <w:r>
        <w:tab/>
      </w:r>
      <w:r>
        <w:tab/>
      </w:r>
      <w:r w:rsidRPr="00802E03">
        <w:t>B.</w:t>
      </w:r>
      <w:r>
        <w:tab/>
      </w:r>
      <w:r w:rsidRPr="00802E03">
        <w:t xml:space="preserve">Centros penitenciarios y </w:t>
      </w:r>
      <w:r w:rsidRPr="00815B60">
        <w:t>carceletas</w:t>
      </w:r>
      <w:r>
        <w:rPr>
          <w:i/>
        </w:rPr>
        <w:tab/>
      </w:r>
      <w:r>
        <w:rPr>
          <w:i/>
        </w:rPr>
        <w:tab/>
      </w:r>
      <w:r w:rsidRPr="00815B60">
        <w:t>1</w:t>
      </w:r>
      <w:r>
        <w:t>3</w:t>
      </w:r>
    </w:p>
    <w:p w14:paraId="5CB951AA"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r>
      <w:r>
        <w:tab/>
      </w:r>
      <w:r w:rsidRPr="00802E03">
        <w:t>C.</w:t>
      </w:r>
      <w:r>
        <w:tab/>
      </w:r>
      <w:r w:rsidRPr="00802E03">
        <w:t xml:space="preserve">Centros de </w:t>
      </w:r>
      <w:r>
        <w:t>r</w:t>
      </w:r>
      <w:r w:rsidRPr="00802E03">
        <w:t xml:space="preserve">eintegración </w:t>
      </w:r>
      <w:r>
        <w:t>s</w:t>
      </w:r>
      <w:r w:rsidRPr="00802E03">
        <w:t xml:space="preserve">ocial para </w:t>
      </w:r>
      <w:r>
        <w:t>a</w:t>
      </w:r>
      <w:r w:rsidRPr="00802E03">
        <w:t>dolescentes en conflicto con la ley</w:t>
      </w:r>
      <w:r>
        <w:tab/>
      </w:r>
      <w:r>
        <w:tab/>
        <w:t>16</w:t>
      </w:r>
    </w:p>
    <w:p w14:paraId="4C7EDE91" w14:textId="77777777" w:rsidR="007F0128" w:rsidRPr="0010558C" w:rsidRDefault="007F0128" w:rsidP="007F0128">
      <w:pPr>
        <w:pStyle w:val="SingleTxtG"/>
        <w:tabs>
          <w:tab w:val="right" w:pos="850"/>
          <w:tab w:val="left" w:pos="1134"/>
          <w:tab w:val="left" w:pos="1559"/>
          <w:tab w:val="left" w:pos="1984"/>
          <w:tab w:val="left" w:leader="dot" w:pos="8931"/>
          <w:tab w:val="right" w:pos="9638"/>
        </w:tabs>
        <w:ind w:left="0" w:right="0"/>
        <w:jc w:val="left"/>
        <w:rPr>
          <w:lang w:val="pt-BR"/>
        </w:rPr>
      </w:pPr>
      <w:r>
        <w:tab/>
      </w:r>
      <w:r>
        <w:tab/>
      </w:r>
      <w:r w:rsidRPr="0010558C">
        <w:rPr>
          <w:lang w:val="pt-BR"/>
        </w:rPr>
        <w:t>D.</w:t>
      </w:r>
      <w:r>
        <w:rPr>
          <w:lang w:val="pt-BR"/>
        </w:rPr>
        <w:tab/>
      </w:r>
      <w:r w:rsidRPr="0010558C">
        <w:rPr>
          <w:lang w:val="pt-BR"/>
        </w:rPr>
        <w:t>Celdas judiciales</w:t>
      </w:r>
      <w:r w:rsidRPr="0010558C">
        <w:rPr>
          <w:lang w:val="pt-BR"/>
        </w:rPr>
        <w:tab/>
      </w:r>
      <w:r>
        <w:rPr>
          <w:lang w:val="pt-BR"/>
        </w:rPr>
        <w:tab/>
        <w:t>17</w:t>
      </w:r>
    </w:p>
    <w:p w14:paraId="3A2D4B86" w14:textId="77777777" w:rsidR="007F0128" w:rsidRPr="0010558C" w:rsidRDefault="007F0128" w:rsidP="007F0128">
      <w:pPr>
        <w:pStyle w:val="SingleTxtG"/>
        <w:tabs>
          <w:tab w:val="right" w:pos="850"/>
          <w:tab w:val="left" w:pos="1134"/>
          <w:tab w:val="left" w:pos="1559"/>
          <w:tab w:val="left" w:pos="1984"/>
          <w:tab w:val="left" w:leader="dot" w:pos="8931"/>
          <w:tab w:val="right" w:pos="9638"/>
        </w:tabs>
        <w:ind w:left="0" w:right="0"/>
        <w:jc w:val="left"/>
        <w:rPr>
          <w:lang w:val="pt-BR"/>
        </w:rPr>
      </w:pPr>
      <w:r w:rsidRPr="0010558C">
        <w:rPr>
          <w:lang w:val="pt-BR"/>
        </w:rPr>
        <w:tab/>
      </w:r>
      <w:r w:rsidRPr="0010558C">
        <w:rPr>
          <w:lang w:val="pt-BR"/>
        </w:rPr>
        <w:tab/>
        <w:t>E.</w:t>
      </w:r>
      <w:r w:rsidRPr="0010558C">
        <w:rPr>
          <w:lang w:val="pt-BR"/>
        </w:rPr>
        <w:tab/>
        <w:t>Hospital psiquiátrico</w:t>
      </w:r>
      <w:r w:rsidRPr="0010558C">
        <w:rPr>
          <w:lang w:val="pt-BR"/>
        </w:rPr>
        <w:tab/>
      </w:r>
      <w:r>
        <w:rPr>
          <w:lang w:val="pt-BR"/>
        </w:rPr>
        <w:tab/>
        <w:t>17</w:t>
      </w:r>
    </w:p>
    <w:p w14:paraId="76B72E44"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rsidRPr="0010558C">
        <w:rPr>
          <w:lang w:val="pt-BR"/>
        </w:rPr>
        <w:tab/>
      </w:r>
      <w:r w:rsidRPr="00802E03">
        <w:t xml:space="preserve">VI. </w:t>
      </w:r>
      <w:r w:rsidRPr="00802E03">
        <w:tab/>
        <w:t>Situación de grupos en condición de vulnerabilidad</w:t>
      </w:r>
      <w:r>
        <w:tab/>
      </w:r>
      <w:r>
        <w:tab/>
        <w:t>19</w:t>
      </w:r>
    </w:p>
    <w:p w14:paraId="6C76D7B1" w14:textId="77777777" w:rsidR="007F0128" w:rsidRPr="007878DB" w:rsidRDefault="007F0128" w:rsidP="007F0128">
      <w:pPr>
        <w:pStyle w:val="SingleTxtG"/>
        <w:tabs>
          <w:tab w:val="right" w:pos="850"/>
          <w:tab w:val="left" w:pos="1134"/>
          <w:tab w:val="left" w:pos="1559"/>
          <w:tab w:val="left" w:pos="1984"/>
          <w:tab w:val="left" w:leader="dot" w:pos="8931"/>
          <w:tab w:val="right" w:pos="9638"/>
        </w:tabs>
        <w:ind w:left="0" w:right="0"/>
        <w:jc w:val="left"/>
      </w:pPr>
      <w:r>
        <w:tab/>
      </w:r>
      <w:r>
        <w:tab/>
      </w:r>
      <w:r w:rsidRPr="0098110E">
        <w:t>A.</w:t>
      </w:r>
      <w:r w:rsidRPr="005319D5">
        <w:rPr>
          <w:b/>
        </w:rPr>
        <w:tab/>
      </w:r>
      <w:r w:rsidRPr="007878DB">
        <w:t>Justicia indígena</w:t>
      </w:r>
      <w:r>
        <w:tab/>
      </w:r>
      <w:r>
        <w:tab/>
        <w:t>19</w:t>
      </w:r>
    </w:p>
    <w:p w14:paraId="263D9E35" w14:textId="77777777" w:rsidR="007F0128" w:rsidRPr="007878DB" w:rsidRDefault="007F0128" w:rsidP="007F0128">
      <w:pPr>
        <w:pStyle w:val="SingleTxtG"/>
        <w:tabs>
          <w:tab w:val="right" w:pos="850"/>
          <w:tab w:val="left" w:pos="1134"/>
          <w:tab w:val="left" w:pos="1559"/>
          <w:tab w:val="left" w:pos="1984"/>
          <w:tab w:val="left" w:leader="dot" w:pos="8931"/>
          <w:tab w:val="right" w:pos="9638"/>
        </w:tabs>
        <w:ind w:left="0" w:right="0"/>
        <w:jc w:val="left"/>
      </w:pPr>
      <w:r w:rsidRPr="007878DB">
        <w:tab/>
      </w:r>
      <w:r w:rsidRPr="007878DB">
        <w:tab/>
        <w:t>B.</w:t>
      </w:r>
      <w:r w:rsidRPr="007878DB">
        <w:tab/>
        <w:t>Mujeres</w:t>
      </w:r>
      <w:r>
        <w:tab/>
      </w:r>
      <w:r>
        <w:tab/>
        <w:t>20</w:t>
      </w:r>
    </w:p>
    <w:p w14:paraId="24EB294D" w14:textId="77777777" w:rsidR="007F0128" w:rsidRPr="007878DB" w:rsidRDefault="007F0128" w:rsidP="007F0128">
      <w:pPr>
        <w:pStyle w:val="SingleTxtG"/>
        <w:tabs>
          <w:tab w:val="right" w:pos="850"/>
          <w:tab w:val="left" w:pos="1134"/>
          <w:tab w:val="left" w:pos="1559"/>
          <w:tab w:val="left" w:pos="1984"/>
          <w:tab w:val="left" w:leader="dot" w:pos="8931"/>
          <w:tab w:val="right" w:pos="9638"/>
        </w:tabs>
        <w:ind w:left="0" w:right="0"/>
        <w:jc w:val="left"/>
      </w:pPr>
      <w:r w:rsidRPr="007878DB">
        <w:tab/>
      </w:r>
      <w:r w:rsidRPr="007878DB">
        <w:tab/>
        <w:t>C.</w:t>
      </w:r>
      <w:r w:rsidRPr="007878DB">
        <w:tab/>
        <w:t>Niños, niñas y adolescentes en conflicto con la ley</w:t>
      </w:r>
      <w:r>
        <w:tab/>
      </w:r>
      <w:r>
        <w:tab/>
        <w:t>20</w:t>
      </w:r>
    </w:p>
    <w:p w14:paraId="6C9C44D7" w14:textId="77777777" w:rsidR="007F0128" w:rsidRPr="007878DB" w:rsidRDefault="007F0128" w:rsidP="007F0128">
      <w:pPr>
        <w:pStyle w:val="SingleTxtG"/>
        <w:tabs>
          <w:tab w:val="right" w:pos="850"/>
          <w:tab w:val="left" w:pos="1134"/>
          <w:tab w:val="left" w:pos="1559"/>
          <w:tab w:val="left" w:pos="1984"/>
          <w:tab w:val="left" w:leader="dot" w:pos="8931"/>
          <w:tab w:val="right" w:pos="9638"/>
        </w:tabs>
        <w:ind w:left="0" w:right="0"/>
        <w:jc w:val="left"/>
      </w:pPr>
      <w:r w:rsidRPr="007878DB">
        <w:tab/>
      </w:r>
      <w:r w:rsidRPr="007878DB">
        <w:tab/>
        <w:t>D.</w:t>
      </w:r>
      <w:r w:rsidRPr="007878DB">
        <w:tab/>
        <w:t>Personas con discapacidad</w:t>
      </w:r>
      <w:r>
        <w:tab/>
      </w:r>
      <w:r>
        <w:tab/>
        <w:t>21</w:t>
      </w:r>
    </w:p>
    <w:p w14:paraId="4209CC17" w14:textId="77777777" w:rsidR="007F0128" w:rsidRDefault="007F0128" w:rsidP="007F0128">
      <w:pPr>
        <w:pStyle w:val="SingleTxtG"/>
        <w:tabs>
          <w:tab w:val="right" w:pos="850"/>
          <w:tab w:val="left" w:pos="1134"/>
          <w:tab w:val="left" w:pos="1559"/>
          <w:tab w:val="left" w:pos="1984"/>
          <w:tab w:val="left" w:leader="dot" w:pos="8931"/>
          <w:tab w:val="right" w:pos="9638"/>
        </w:tabs>
        <w:ind w:left="0" w:right="0"/>
        <w:jc w:val="left"/>
      </w:pPr>
      <w:r>
        <w:tab/>
        <w:t>VII.</w:t>
      </w:r>
      <w:r>
        <w:tab/>
      </w:r>
      <w:r w:rsidRPr="00487A9A">
        <w:t>Represalias y repercusiones de la visita</w:t>
      </w:r>
      <w:r>
        <w:tab/>
      </w:r>
      <w:r>
        <w:tab/>
        <w:t>22</w:t>
      </w:r>
    </w:p>
    <w:p w14:paraId="0CE75C0F" w14:textId="77777777" w:rsidR="007F0128" w:rsidRPr="0010558C" w:rsidRDefault="007F0128" w:rsidP="007F0128">
      <w:pPr>
        <w:pStyle w:val="SingleTxtG"/>
        <w:tabs>
          <w:tab w:val="right" w:pos="850"/>
          <w:tab w:val="left" w:pos="1134"/>
          <w:tab w:val="left" w:pos="1559"/>
          <w:tab w:val="left" w:pos="1984"/>
          <w:tab w:val="left" w:leader="dot" w:pos="8931"/>
          <w:tab w:val="right" w:pos="9638"/>
        </w:tabs>
        <w:ind w:left="0" w:right="0"/>
        <w:jc w:val="left"/>
        <w:rPr>
          <w:lang w:eastAsia="en-GB"/>
        </w:rPr>
      </w:pPr>
      <w:r w:rsidRPr="0010558C">
        <w:rPr>
          <w:lang w:eastAsia="en-GB"/>
        </w:rPr>
        <w:tab/>
        <w:t>VIII.</w:t>
      </w:r>
      <w:r w:rsidRPr="0010558C">
        <w:rPr>
          <w:b/>
          <w:lang w:eastAsia="en-GB"/>
        </w:rPr>
        <w:tab/>
      </w:r>
      <w:r w:rsidRPr="0010558C">
        <w:rPr>
          <w:lang w:eastAsia="en-GB"/>
        </w:rPr>
        <w:t>Conclusión</w:t>
      </w:r>
      <w:r w:rsidRPr="0010558C">
        <w:rPr>
          <w:lang w:eastAsia="en-GB"/>
        </w:rPr>
        <w:tab/>
      </w:r>
      <w:r>
        <w:rPr>
          <w:lang w:eastAsia="en-GB"/>
        </w:rPr>
        <w:tab/>
        <w:t>22</w:t>
      </w:r>
    </w:p>
    <w:p w14:paraId="22C36CCA" w14:textId="77777777" w:rsidR="007F0128" w:rsidRPr="007878DB" w:rsidRDefault="007F0128" w:rsidP="007F0128">
      <w:pPr>
        <w:pStyle w:val="SingleTxtG"/>
        <w:tabs>
          <w:tab w:val="right" w:pos="850"/>
          <w:tab w:val="left" w:pos="1134"/>
          <w:tab w:val="left" w:pos="1559"/>
          <w:tab w:val="left" w:leader="dot" w:pos="8931"/>
          <w:tab w:val="right" w:pos="9638"/>
        </w:tabs>
        <w:ind w:left="0" w:right="0"/>
        <w:jc w:val="left"/>
      </w:pPr>
      <w:r w:rsidRPr="007878DB">
        <w:tab/>
      </w:r>
      <w:r w:rsidRPr="007878DB">
        <w:tab/>
        <w:t>Anexos</w:t>
      </w:r>
      <w:r>
        <w:tab/>
      </w:r>
      <w:r>
        <w:tab/>
        <w:t>23</w:t>
      </w:r>
    </w:p>
    <w:p w14:paraId="209953E7" w14:textId="77777777" w:rsidR="00651F7A" w:rsidRDefault="00651F7A" w:rsidP="00651F7A">
      <w:pPr>
        <w:spacing w:before="120"/>
      </w:pPr>
      <w:bookmarkStart w:id="0" w:name="_GoBack"/>
      <w:bookmarkEnd w:id="0"/>
      <w:r>
        <w:br w:type="page"/>
      </w:r>
    </w:p>
    <w:p w14:paraId="209953E8" w14:textId="77777777" w:rsidR="00651F7A" w:rsidRPr="00802E03" w:rsidRDefault="00651F7A" w:rsidP="00651F7A">
      <w:pPr>
        <w:pStyle w:val="HChG"/>
      </w:pPr>
      <w:r>
        <w:lastRenderedPageBreak/>
        <w:tab/>
        <w:t>I.</w:t>
      </w:r>
      <w:r>
        <w:tab/>
      </w:r>
      <w:r w:rsidRPr="00802E03">
        <w:t>Introducción</w:t>
      </w:r>
    </w:p>
    <w:p w14:paraId="209953E9" w14:textId="48350F7C" w:rsidR="00651F7A" w:rsidRPr="00F13B33" w:rsidRDefault="00651F7A" w:rsidP="00651F7A">
      <w:pPr>
        <w:pStyle w:val="SingleTxtG"/>
      </w:pPr>
      <w:r w:rsidRPr="00F13B33">
        <w:t xml:space="preserve">1. </w:t>
      </w:r>
      <w:r w:rsidRPr="00F13B33">
        <w:tab/>
        <w:t>De conformidad con lo dispuesto en el Protocolo Facultativo de la Convención contra la Tortura y Otros Tratos o Penas Crueles, Inhumanos o Degradantes, el Subcomité para la Prevención de la Tortura y Otros Tratos o Penas Crueles, Inhumanos o Degradantes</w:t>
      </w:r>
      <w:r w:rsidR="006C25D0">
        <w:t xml:space="preserve"> </w:t>
      </w:r>
      <w:r w:rsidRPr="00F13B33">
        <w:t>realizó su segunda visita a</w:t>
      </w:r>
      <w:r w:rsidR="00B46C31">
        <w:t>l Estado Plurinacional de</w:t>
      </w:r>
      <w:r w:rsidRPr="00F13B33">
        <w:t xml:space="preserve"> Boli</w:t>
      </w:r>
      <w:r w:rsidR="00F04164">
        <w:t>via del 2 al 11 de mayo de 2017</w:t>
      </w:r>
      <w:r w:rsidRPr="0098110E">
        <w:rPr>
          <w:rStyle w:val="Refdenotaalpie"/>
          <w:szCs w:val="18"/>
        </w:rPr>
        <w:footnoteReference w:id="3"/>
      </w:r>
      <w:r w:rsidR="00F04164">
        <w:t>.</w:t>
      </w:r>
      <w:r w:rsidRPr="00F13B33">
        <w:t xml:space="preserve"> El </w:t>
      </w:r>
      <w:r w:rsidR="00522056">
        <w:t>Subcomité</w:t>
      </w:r>
      <w:r w:rsidRPr="00F13B33">
        <w:t xml:space="preserve"> mantuvo reuniones con altas autoridades del Estado, así como con autoridades de pueblos indígenas, representa</w:t>
      </w:r>
      <w:r w:rsidR="00F04164">
        <w:t>ntes de la</w:t>
      </w:r>
      <w:r w:rsidR="00522056">
        <w:t xml:space="preserve">s Naciones Unidas </w:t>
      </w:r>
      <w:r w:rsidR="00F04164">
        <w:t xml:space="preserve">y </w:t>
      </w:r>
      <w:r w:rsidR="00522056">
        <w:t xml:space="preserve">la </w:t>
      </w:r>
      <w:r w:rsidR="00F04164">
        <w:t>sociedad civil</w:t>
      </w:r>
      <w:r w:rsidRPr="0098110E">
        <w:rPr>
          <w:rStyle w:val="Refdenotaalpie"/>
          <w:szCs w:val="18"/>
        </w:rPr>
        <w:footnoteReference w:id="4"/>
      </w:r>
      <w:r w:rsidR="00F04164">
        <w:t>.</w:t>
      </w:r>
      <w:r w:rsidRPr="00F13B33">
        <w:t xml:space="preserve"> El </w:t>
      </w:r>
      <w:r w:rsidR="00522056">
        <w:t>Subcomité</w:t>
      </w:r>
      <w:r w:rsidRPr="00F13B33">
        <w:t xml:space="preserve"> visitó un total de 23 lugares de privación de libertad en La Paz, Cochabamba, El Alto, Santa</w:t>
      </w:r>
      <w:r w:rsidR="003F48E6">
        <w:t> </w:t>
      </w:r>
      <w:r w:rsidRPr="00F13B33">
        <w:t>Cruz, Sucre y Trinidad.</w:t>
      </w:r>
    </w:p>
    <w:p w14:paraId="209953EA" w14:textId="757CEF73" w:rsidR="00651F7A" w:rsidRPr="00F13B33" w:rsidRDefault="00651F7A" w:rsidP="00651F7A">
      <w:pPr>
        <w:pStyle w:val="SingleTxtG"/>
      </w:pPr>
      <w:r w:rsidRPr="00F13B33">
        <w:t xml:space="preserve">2. </w:t>
      </w:r>
      <w:r w:rsidRPr="00F13B33">
        <w:tab/>
        <w:t xml:space="preserve">En general, el </w:t>
      </w:r>
      <w:r w:rsidR="00522056">
        <w:t>Subcomité</w:t>
      </w:r>
      <w:r w:rsidRPr="00F13B33">
        <w:t xml:space="preserve"> observó una buena disposición para facilitar la visita. El </w:t>
      </w:r>
      <w:r w:rsidR="00522056">
        <w:t>Subcomité</w:t>
      </w:r>
      <w:r w:rsidRPr="00F13B33">
        <w:t xml:space="preserve"> tuvo acceso rápido a los lugares de privación de libertad y la cooperación de los oficiales de enlace fue efectiva. </w:t>
      </w:r>
    </w:p>
    <w:p w14:paraId="209953EB" w14:textId="42C6A469" w:rsidR="00651F7A" w:rsidRPr="00F13B33" w:rsidRDefault="00651F7A" w:rsidP="00651F7A">
      <w:pPr>
        <w:pStyle w:val="SingleTxtG"/>
      </w:pPr>
      <w:r w:rsidRPr="00F13B33">
        <w:t xml:space="preserve">3. </w:t>
      </w:r>
      <w:r w:rsidRPr="00F13B33">
        <w:tab/>
        <w:t xml:space="preserve">Sin embargo, la delegación encontró obstáculos para acceder a los registros médicos en el </w:t>
      </w:r>
      <w:r w:rsidR="00835833">
        <w:t>H</w:t>
      </w:r>
      <w:r w:rsidRPr="00F13B33">
        <w:t xml:space="preserve">ospital </w:t>
      </w:r>
      <w:r w:rsidR="00835833">
        <w:t>P</w:t>
      </w:r>
      <w:r w:rsidRPr="00F13B33">
        <w:t xml:space="preserve">siquiátrico San Juan de Dios en Sucre. En la cárcel de Mocoví, el </w:t>
      </w:r>
      <w:r w:rsidR="00522056">
        <w:t>Subcomité</w:t>
      </w:r>
      <w:r w:rsidRPr="00F13B33">
        <w:t xml:space="preserve"> no pudo entrevistarse confidencialmente con las personas privadas de libertad </w:t>
      </w:r>
      <w:r w:rsidR="00B62628">
        <w:t>personas privadas de libertad</w:t>
      </w:r>
      <w:r w:rsidR="004A6E81">
        <w:t xml:space="preserve"> </w:t>
      </w:r>
      <w:r w:rsidR="00B62628">
        <w:t>—</w:t>
      </w:r>
      <w:r w:rsidRPr="00F13B33">
        <w:t>lo que forma parte esencial de su mandato</w:t>
      </w:r>
      <w:r w:rsidR="00B62628">
        <w:t>—</w:t>
      </w:r>
      <w:r w:rsidRPr="00F13B33">
        <w:t xml:space="preserve"> debido a la falta de cooperación e inacción del personal penitenciario, el impedimento por</w:t>
      </w:r>
      <w:r>
        <w:t xml:space="preserve"> </w:t>
      </w:r>
      <w:r w:rsidRPr="00F13B33">
        <w:t xml:space="preserve">parte de los delegados y las amenazas de represalias a los internos. </w:t>
      </w:r>
    </w:p>
    <w:p w14:paraId="209953EC" w14:textId="3CBB3BED" w:rsidR="00651F7A" w:rsidRPr="00F13B33" w:rsidRDefault="00651F7A" w:rsidP="00651F7A">
      <w:pPr>
        <w:pStyle w:val="SingleTxtG"/>
      </w:pPr>
      <w:r w:rsidRPr="00F13B33">
        <w:t>4.</w:t>
      </w:r>
      <w:r w:rsidRPr="00F13B33">
        <w:tab/>
        <w:t xml:space="preserve">En el presente informe, el Subcomité expone sus conclusiones y recomendaciones acerca de la prevención de la tortura y los malos tratos de las </w:t>
      </w:r>
      <w:r w:rsidR="00B62628">
        <w:t>personas privadas de libertad</w:t>
      </w:r>
      <w:r w:rsidRPr="00F13B33">
        <w:t xml:space="preserve"> en </w:t>
      </w:r>
      <w:r w:rsidR="00635564">
        <w:t>el Estado Plurinacional de</w:t>
      </w:r>
      <w:r w:rsidR="00635564" w:rsidRPr="00F13B33">
        <w:t xml:space="preserve"> </w:t>
      </w:r>
      <w:r w:rsidRPr="00F13B33">
        <w:t xml:space="preserve">Bolivia. En el informe se utiliza el término genérico </w:t>
      </w:r>
      <w:r w:rsidR="00D56D56">
        <w:t>“</w:t>
      </w:r>
      <w:r w:rsidRPr="00F13B33">
        <w:t>malos tratos</w:t>
      </w:r>
      <w:r w:rsidR="00D56D56">
        <w:t>”</w:t>
      </w:r>
      <w:r w:rsidRPr="00F13B33">
        <w:t xml:space="preserve"> para hacer referencia a cualquier forma de tratos o penas crueles, inhumanos o degradantes. </w:t>
      </w:r>
    </w:p>
    <w:p w14:paraId="209953ED" w14:textId="7A4CAC37" w:rsidR="00651F7A" w:rsidRPr="00F13B33" w:rsidRDefault="00651F7A" w:rsidP="00651F7A">
      <w:pPr>
        <w:pStyle w:val="SingleTxtG"/>
        <w:rPr>
          <w:b/>
        </w:rPr>
      </w:pPr>
      <w:r w:rsidRPr="0098110E">
        <w:t>5.</w:t>
      </w:r>
      <w:r w:rsidRPr="0098110E">
        <w:tab/>
      </w:r>
      <w:r w:rsidRPr="00F13B33">
        <w:rPr>
          <w:b/>
        </w:rPr>
        <w:t xml:space="preserve">El Subcomité solicita a las autoridades bolivianas que, en el plazo de </w:t>
      </w:r>
      <w:r w:rsidR="00044A23" w:rsidRPr="002A15EA">
        <w:rPr>
          <w:b/>
        </w:rPr>
        <w:t>tres</w:t>
      </w:r>
      <w:r w:rsidRPr="002A15EA">
        <w:rPr>
          <w:b/>
        </w:rPr>
        <w:t xml:space="preserve"> meses</w:t>
      </w:r>
      <w:r w:rsidRPr="00F13B33">
        <w:rPr>
          <w:b/>
        </w:rPr>
        <w:t xml:space="preserve"> desde la fecha de transmisión del presente informe, faciliten una respuesta en la que den cuenta pormenorizada de las medidas adoptadas para poner en práctica las recomendaciones.</w:t>
      </w:r>
    </w:p>
    <w:p w14:paraId="209953EE" w14:textId="2E0E5A1F" w:rsidR="00651F7A" w:rsidRPr="00802E03" w:rsidRDefault="00651F7A" w:rsidP="00651F7A">
      <w:pPr>
        <w:pStyle w:val="SingleTxtG"/>
      </w:pPr>
      <w:r w:rsidRPr="00802E03">
        <w:t>6.</w:t>
      </w:r>
      <w:r w:rsidRPr="00802E03">
        <w:tab/>
        <w:t>El informe tendrá carácter confidencial hasta que el Estado parte decida hacerlo público, como se estipula en el artículo 16</w:t>
      </w:r>
      <w:r w:rsidR="00513B9A">
        <w:t>, párr.</w:t>
      </w:r>
      <w:r w:rsidRPr="00802E03">
        <w:t xml:space="preserve"> 2</w:t>
      </w:r>
      <w:r>
        <w:t>, con la excepción prevista en el artículo</w:t>
      </w:r>
      <w:r w:rsidR="00C212A6">
        <w:t> </w:t>
      </w:r>
      <w:r>
        <w:t>16</w:t>
      </w:r>
      <w:r w:rsidR="00513B9A">
        <w:t>, párr</w:t>
      </w:r>
      <w:r w:rsidR="009514CB">
        <w:t>.</w:t>
      </w:r>
      <w:r>
        <w:t xml:space="preserve"> 4</w:t>
      </w:r>
      <w:r w:rsidR="00513B9A">
        <w:t>,</w:t>
      </w:r>
      <w:r>
        <w:t xml:space="preserve"> </w:t>
      </w:r>
      <w:r w:rsidRPr="00802E03">
        <w:t>del Protocolo Facultativo. El Subcomité está convencido de que la publicación puede contribuir positivamente a la prevención de la tortura y los malos tratos</w:t>
      </w:r>
      <w:r w:rsidRPr="00EE1FED">
        <w:t>.</w:t>
      </w:r>
      <w:r w:rsidRPr="00802E03">
        <w:t xml:space="preserve"> </w:t>
      </w:r>
    </w:p>
    <w:p w14:paraId="209953EF" w14:textId="67786F61" w:rsidR="00651F7A" w:rsidRPr="00802E03" w:rsidRDefault="00651F7A" w:rsidP="00651F7A">
      <w:pPr>
        <w:pStyle w:val="SingleTxtG"/>
        <w:rPr>
          <w:b/>
        </w:rPr>
      </w:pPr>
      <w:r w:rsidRPr="0098110E">
        <w:t>7.</w:t>
      </w:r>
      <w:r w:rsidRPr="0098110E">
        <w:tab/>
      </w:r>
      <w:r w:rsidRPr="00802E03">
        <w:rPr>
          <w:b/>
        </w:rPr>
        <w:t>El Subcomité recomienda a</w:t>
      </w:r>
      <w:r w:rsidR="00635564">
        <w:rPr>
          <w:b/>
        </w:rPr>
        <w:t xml:space="preserve">l </w:t>
      </w:r>
      <w:r w:rsidR="00635564" w:rsidRPr="00815B60">
        <w:rPr>
          <w:b/>
        </w:rPr>
        <w:t>Estado Plurinacional de</w:t>
      </w:r>
      <w:r w:rsidRPr="00802E03">
        <w:rPr>
          <w:b/>
        </w:rPr>
        <w:t xml:space="preserve"> Bolivia que, como h</w:t>
      </w:r>
      <w:r>
        <w:rPr>
          <w:b/>
        </w:rPr>
        <w:t>icieron</w:t>
      </w:r>
      <w:r w:rsidRPr="00802E03">
        <w:rPr>
          <w:b/>
        </w:rPr>
        <w:t xml:space="preserve"> la gran mayoría de los Estados partes </w:t>
      </w:r>
      <w:r w:rsidR="00B86E76">
        <w:rPr>
          <w:b/>
        </w:rPr>
        <w:t xml:space="preserve">en </w:t>
      </w:r>
      <w:r>
        <w:rPr>
          <w:b/>
        </w:rPr>
        <w:t xml:space="preserve">el </w:t>
      </w:r>
      <w:r w:rsidR="00B86E76">
        <w:rPr>
          <w:b/>
        </w:rPr>
        <w:t>Protocolo Facultativo</w:t>
      </w:r>
      <w:r w:rsidRPr="00802E03">
        <w:rPr>
          <w:b/>
        </w:rPr>
        <w:t xml:space="preserve">, </w:t>
      </w:r>
      <w:r>
        <w:rPr>
          <w:b/>
        </w:rPr>
        <w:t>realice</w:t>
      </w:r>
      <w:r w:rsidRPr="00802E03">
        <w:rPr>
          <w:b/>
        </w:rPr>
        <w:t xml:space="preserve"> la publicación del presente informe, así como del informe de la visita anterior del </w:t>
      </w:r>
      <w:r w:rsidR="00522056">
        <w:rPr>
          <w:b/>
        </w:rPr>
        <w:t>Subcomité</w:t>
      </w:r>
      <w:r w:rsidRPr="00802E03">
        <w:rPr>
          <w:b/>
        </w:rPr>
        <w:t xml:space="preserve"> en 2010</w:t>
      </w:r>
      <w:r w:rsidRPr="0098110E">
        <w:rPr>
          <w:rStyle w:val="Refdenotaalpie"/>
          <w:szCs w:val="18"/>
        </w:rPr>
        <w:footnoteReference w:id="5"/>
      </w:r>
      <w:r w:rsidR="00F04164">
        <w:rPr>
          <w:b/>
        </w:rPr>
        <w:t>.</w:t>
      </w:r>
    </w:p>
    <w:p w14:paraId="209953F0" w14:textId="77777777" w:rsidR="00651F7A" w:rsidRPr="00F13B33" w:rsidRDefault="00651F7A" w:rsidP="00651F7A">
      <w:pPr>
        <w:pStyle w:val="SingleTxtG"/>
      </w:pPr>
      <w:r w:rsidRPr="00F13B33">
        <w:t>8.</w:t>
      </w:r>
      <w:r w:rsidRPr="00F13B33">
        <w:tab/>
        <w:t>El Subcomité desea señalar la existencia del Fondo Especial establecido en virtud del artículo 26 del Protocolo Facultativo. Las recomendaciones contenidas en los informes hechos públicos pueden servir al Estado parte para fundamentar una solicitud de financiación para proyectos específicos con cargo a dicho Fondo.</w:t>
      </w:r>
    </w:p>
    <w:p w14:paraId="209953F1" w14:textId="012DA14A" w:rsidR="00651F7A" w:rsidRPr="00802E03" w:rsidRDefault="00651F7A" w:rsidP="00651F7A">
      <w:pPr>
        <w:pStyle w:val="HChG"/>
      </w:pPr>
      <w:r>
        <w:tab/>
        <w:t>II.</w:t>
      </w:r>
      <w:r>
        <w:tab/>
      </w:r>
      <w:r w:rsidRPr="00802E03">
        <w:t xml:space="preserve">Mecanismo </w:t>
      </w:r>
      <w:r w:rsidR="00577B4E">
        <w:t>n</w:t>
      </w:r>
      <w:r w:rsidRPr="00802E03">
        <w:t xml:space="preserve">acional de </w:t>
      </w:r>
      <w:r w:rsidR="00577B4E">
        <w:t>p</w:t>
      </w:r>
      <w:r w:rsidRPr="00802E03">
        <w:t xml:space="preserve">revención </w:t>
      </w:r>
    </w:p>
    <w:p w14:paraId="209953F2" w14:textId="64D905BE" w:rsidR="00651F7A" w:rsidRPr="00802E03" w:rsidRDefault="00651F7A" w:rsidP="00651F7A">
      <w:pPr>
        <w:pStyle w:val="SingleTxtG"/>
      </w:pPr>
      <w:r>
        <w:t>9.</w:t>
      </w:r>
      <w:r>
        <w:tab/>
      </w:r>
      <w:r w:rsidRPr="00802E03">
        <w:t xml:space="preserve">Más de diez años han transcurrido desde que </w:t>
      </w:r>
      <w:r w:rsidR="00635564">
        <w:t>el Estado Plurinacional de</w:t>
      </w:r>
      <w:r w:rsidR="00635564" w:rsidRPr="00F13B33">
        <w:t xml:space="preserve"> </w:t>
      </w:r>
      <w:r w:rsidRPr="00802E03">
        <w:t xml:space="preserve">Bolivia ratificó el </w:t>
      </w:r>
      <w:r w:rsidR="0064655F">
        <w:t>Protocolo Facultativo</w:t>
      </w:r>
      <w:r w:rsidRPr="002A15EA">
        <w:t>. En</w:t>
      </w:r>
      <w:r w:rsidRPr="00802E03">
        <w:t xml:space="preserve"> cumplimiento de las obligaciones contraídas en virtud del </w:t>
      </w:r>
      <w:r w:rsidR="0064655F">
        <w:t>Protocolo Facultativo</w:t>
      </w:r>
      <w:r w:rsidRPr="00802E03">
        <w:t xml:space="preserve">, el </w:t>
      </w:r>
      <w:r w:rsidR="00591988">
        <w:t>mecanismo nacional de prevención</w:t>
      </w:r>
      <w:r w:rsidR="00591988" w:rsidRPr="00802E03">
        <w:t xml:space="preserve"> </w:t>
      </w:r>
      <w:r w:rsidRPr="00802E03">
        <w:t>de</w:t>
      </w:r>
      <w:r w:rsidR="00635564">
        <w:t>l Estado Plurinacional de</w:t>
      </w:r>
      <w:r w:rsidRPr="00802E03">
        <w:t xml:space="preserve"> Bolivia debió haber sido establecido o designado a más tardar en junio de 2007.</w:t>
      </w:r>
      <w:r>
        <w:t xml:space="preserve"> </w:t>
      </w:r>
    </w:p>
    <w:p w14:paraId="209953F3" w14:textId="5386B439" w:rsidR="00651F7A" w:rsidRPr="00802E03" w:rsidRDefault="00651F7A" w:rsidP="00651F7A">
      <w:pPr>
        <w:pStyle w:val="SingleTxtG"/>
      </w:pPr>
      <w:r>
        <w:t>10.</w:t>
      </w:r>
      <w:r>
        <w:tab/>
      </w:r>
      <w:r w:rsidRPr="00802E03">
        <w:t xml:space="preserve">Durante su visita en 2010, el </w:t>
      </w:r>
      <w:r w:rsidR="00522056">
        <w:t>Subcomité</w:t>
      </w:r>
      <w:r w:rsidRPr="00802E03">
        <w:t xml:space="preserve"> notó positivamente </w:t>
      </w:r>
      <w:r>
        <w:t>la adopción del</w:t>
      </w:r>
      <w:r w:rsidRPr="00802E03">
        <w:t xml:space="preserve"> Plan Nacional de Acción de Derechos Humanos 2009-2013, en el que la creación del </w:t>
      </w:r>
      <w:r w:rsidR="00591988">
        <w:t xml:space="preserve">mecanismo </w:t>
      </w:r>
      <w:r w:rsidR="00591988">
        <w:lastRenderedPageBreak/>
        <w:t>nacional de prevención</w:t>
      </w:r>
      <w:r w:rsidRPr="00802E03">
        <w:t xml:space="preserve"> </w:t>
      </w:r>
      <w:r>
        <w:t>era</w:t>
      </w:r>
      <w:r w:rsidRPr="00802E03">
        <w:t xml:space="preserve"> resaltada como una prioridad, así como el proyecto de ley del </w:t>
      </w:r>
      <w:r w:rsidR="00591988">
        <w:t>mecanismo nacional de prevención</w:t>
      </w:r>
      <w:r w:rsidRPr="00802E03">
        <w:t xml:space="preserve"> que el Ministerio de Justicia tenía previsto presentar a la legislatura en 2010. En lugar de </w:t>
      </w:r>
      <w:r>
        <w:t>lo anterior</w:t>
      </w:r>
      <w:r w:rsidRPr="00802E03">
        <w:t xml:space="preserve">, </w:t>
      </w:r>
      <w:r>
        <w:t xml:space="preserve">el Estado parte creó </w:t>
      </w:r>
      <w:r w:rsidRPr="00802E03">
        <w:t xml:space="preserve">el Servicio para la Prevención de Tortura </w:t>
      </w:r>
      <w:r w:rsidR="00301885">
        <w:t>(</w:t>
      </w:r>
      <w:r w:rsidRPr="00802E03">
        <w:t>SEPRET</w:t>
      </w:r>
      <w:r w:rsidR="00301885">
        <w:t>)</w:t>
      </w:r>
      <w:r w:rsidRPr="00802E03">
        <w:t xml:space="preserve"> por Ley n</w:t>
      </w:r>
      <w:r w:rsidR="00301885">
        <w:t>úm</w:t>
      </w:r>
      <w:r w:rsidRPr="00802E03">
        <w:t>.</w:t>
      </w:r>
      <w:r w:rsidR="00301885">
        <w:t xml:space="preserve"> </w:t>
      </w:r>
      <w:r w:rsidRPr="00802E03">
        <w:t>474 de 30 de diciembre de 2013</w:t>
      </w:r>
      <w:r>
        <w:t xml:space="preserve"> como equivalente </w:t>
      </w:r>
      <w:r w:rsidR="00D56D56">
        <w:t>de</w:t>
      </w:r>
      <w:r>
        <w:t xml:space="preserve">l </w:t>
      </w:r>
      <w:r w:rsidR="00591988">
        <w:t>mecanismo nacional de prevención</w:t>
      </w:r>
      <w:r>
        <w:t>.</w:t>
      </w:r>
    </w:p>
    <w:p w14:paraId="209953F4" w14:textId="6FC61215" w:rsidR="00651F7A" w:rsidRPr="00802E03" w:rsidRDefault="00AB5AA5" w:rsidP="00651F7A">
      <w:pPr>
        <w:pStyle w:val="SingleTxtG"/>
      </w:pPr>
      <w:r>
        <w:t>11</w:t>
      </w:r>
      <w:r w:rsidR="00651F7A" w:rsidRPr="00802E03">
        <w:t>.</w:t>
      </w:r>
      <w:r w:rsidR="003F48E6">
        <w:tab/>
      </w:r>
      <w:r w:rsidR="00651F7A" w:rsidRPr="00802E03">
        <w:t xml:space="preserve">El </w:t>
      </w:r>
      <w:r w:rsidR="00522056">
        <w:t>Subcomité</w:t>
      </w:r>
      <w:r w:rsidR="00651F7A" w:rsidRPr="00802E03">
        <w:t xml:space="preserve"> realizó reuniones y visitas conjuntas con </w:t>
      </w:r>
      <w:r w:rsidR="00651F7A">
        <w:t xml:space="preserve">el </w:t>
      </w:r>
      <w:r w:rsidR="00651F7A" w:rsidRPr="00802E03">
        <w:t xml:space="preserve">SEPRET a diferentes lugares de privación de libertad. El </w:t>
      </w:r>
      <w:r w:rsidR="00522056">
        <w:t>Subcomité</w:t>
      </w:r>
      <w:r w:rsidR="00651F7A" w:rsidRPr="00802E03">
        <w:t xml:space="preserve"> </w:t>
      </w:r>
      <w:r w:rsidR="00651F7A">
        <w:t>notó positivamente la realización</w:t>
      </w:r>
      <w:r w:rsidR="00651F7A" w:rsidRPr="00802E03">
        <w:t xml:space="preserve"> de 64 visitas no anunciadas a lugares de privación de libertad desde el inicio de sus actividades en julio de 2016</w:t>
      </w:r>
      <w:r w:rsidR="00301885">
        <w:t xml:space="preserve">, y </w:t>
      </w:r>
      <w:r w:rsidR="00651F7A" w:rsidRPr="00802E03">
        <w:t xml:space="preserve">la composición multidisciplinaria y </w:t>
      </w:r>
      <w:r w:rsidR="008C7FC8">
        <w:t xml:space="preserve">con </w:t>
      </w:r>
      <w:r w:rsidR="00651F7A" w:rsidRPr="00802E03">
        <w:t>igualdad de género del SEPRET</w:t>
      </w:r>
      <w:r w:rsidR="00D56D56">
        <w:t>,</w:t>
      </w:r>
      <w:r w:rsidR="00651F7A">
        <w:t xml:space="preserve"> entre otr</w:t>
      </w:r>
      <w:r w:rsidR="00301885">
        <w:t>o</w:t>
      </w:r>
      <w:r w:rsidR="00651F7A">
        <w:t>s.</w:t>
      </w:r>
    </w:p>
    <w:p w14:paraId="209953F5" w14:textId="3F006B07" w:rsidR="00651F7A" w:rsidRPr="00802E03" w:rsidRDefault="00651F7A" w:rsidP="00651F7A">
      <w:pPr>
        <w:pStyle w:val="SingleTxtG"/>
      </w:pPr>
      <w:r w:rsidRPr="00802E03">
        <w:t>1</w:t>
      </w:r>
      <w:r w:rsidR="00AB5AA5">
        <w:t>2</w:t>
      </w:r>
      <w:r w:rsidRPr="00802E03">
        <w:t>.</w:t>
      </w:r>
      <w:r w:rsidR="003F48E6">
        <w:tab/>
      </w:r>
      <w:r w:rsidRPr="00802E03">
        <w:t xml:space="preserve">A pesar de reconocer la labor del SEPRET, el </w:t>
      </w:r>
      <w:r w:rsidR="00522056">
        <w:t>Subcomité</w:t>
      </w:r>
      <w:r w:rsidRPr="00802E03">
        <w:t xml:space="preserve"> expresa su grave preocupación por cuanto su independencia está seriamente comprometida por la deficiente base legal que le sitúa bajo el Ministerio de Justicia. En este sentido, el SEPRET no cumple con los requerimientos del </w:t>
      </w:r>
      <w:r w:rsidR="0064655F">
        <w:t>Protocolo Facultativo</w:t>
      </w:r>
      <w:r w:rsidRPr="00802E03">
        <w:t xml:space="preserve">. Asimismo, la Ley </w:t>
      </w:r>
      <w:r w:rsidR="006E58FD">
        <w:t xml:space="preserve">núm. </w:t>
      </w:r>
      <w:r w:rsidRPr="00802E03">
        <w:t>474</w:t>
      </w:r>
      <w:r w:rsidR="000D4258">
        <w:t xml:space="preserve">, en su </w:t>
      </w:r>
      <w:r w:rsidRPr="00802E03">
        <w:t>artículo único</w:t>
      </w:r>
      <w:r w:rsidR="000D4258">
        <w:t>,</w:t>
      </w:r>
      <w:r w:rsidRPr="00802E03">
        <w:t xml:space="preserve"> no establece aspectos clave del </w:t>
      </w:r>
      <w:r w:rsidR="00591988">
        <w:t>mecanismo nacional de prevención</w:t>
      </w:r>
      <w:r>
        <w:t>,</w:t>
      </w:r>
      <w:r w:rsidRPr="00802E03">
        <w:t xml:space="preserve"> como </w:t>
      </w:r>
      <w:r>
        <w:t xml:space="preserve">su </w:t>
      </w:r>
      <w:r w:rsidRPr="00802E03">
        <w:t>mandato, facultades, el proceso y criterios de nombramiento de sus miembros, la financiación y rendició</w:t>
      </w:r>
      <w:r>
        <w:t>n de cuentas, lo que infringe la</w:t>
      </w:r>
      <w:r w:rsidRPr="00802E03">
        <w:t xml:space="preserve">s obligaciones </w:t>
      </w:r>
      <w:r>
        <w:t xml:space="preserve">estatales bajo el </w:t>
      </w:r>
      <w:r w:rsidR="0064655F">
        <w:t>Protocolo Facultativo</w:t>
      </w:r>
      <w:r w:rsidRPr="00802E03">
        <w:t xml:space="preserve">. </w:t>
      </w:r>
    </w:p>
    <w:p w14:paraId="209953F6" w14:textId="17D3527A" w:rsidR="00651F7A" w:rsidRPr="00802E03" w:rsidRDefault="00AB5AA5" w:rsidP="00651F7A">
      <w:pPr>
        <w:pStyle w:val="SingleTxtG"/>
      </w:pPr>
      <w:r>
        <w:t>13</w:t>
      </w:r>
      <w:r w:rsidR="00651F7A" w:rsidRPr="00802E03">
        <w:t>.</w:t>
      </w:r>
      <w:r w:rsidR="003F48E6">
        <w:tab/>
      </w:r>
      <w:r w:rsidR="00651F7A" w:rsidRPr="00802E03">
        <w:t xml:space="preserve">El </w:t>
      </w:r>
      <w:r w:rsidR="00522056">
        <w:t>Subcomité</w:t>
      </w:r>
      <w:r w:rsidR="00651F7A" w:rsidRPr="00802E03">
        <w:t xml:space="preserve"> observó que las lagunas del marco legal del </w:t>
      </w:r>
      <w:r w:rsidR="001D1BC1">
        <w:t xml:space="preserve">SEPRET como </w:t>
      </w:r>
      <w:r w:rsidR="00591988">
        <w:t>mecanismo nacional de prevención</w:t>
      </w:r>
      <w:r w:rsidR="00651F7A" w:rsidRPr="00802E03">
        <w:t xml:space="preserve"> tenían consecuencias directas en su labor, ya que no </w:t>
      </w:r>
      <w:r w:rsidR="00651F7A">
        <w:t>estaba</w:t>
      </w:r>
      <w:r w:rsidR="00651F7A" w:rsidRPr="00802E03">
        <w:t xml:space="preserve"> percibido como órgano independiente. Por ejemplo, el SEPRET u</w:t>
      </w:r>
      <w:r w:rsidR="00651F7A">
        <w:t>tiliz</w:t>
      </w:r>
      <w:r w:rsidR="00651F7A" w:rsidRPr="00802E03">
        <w:t xml:space="preserve">aba el logo del Ministerio de Justicia en sus documentos. En varias ocasiones, los funcionarios de los lugares de privación de libertad y las </w:t>
      </w:r>
      <w:r w:rsidR="00B62628">
        <w:t>personas privadas de libertad</w:t>
      </w:r>
      <w:r w:rsidR="00651F7A" w:rsidRPr="00802E03">
        <w:t xml:space="preserve"> se referían al SEPRET como </w:t>
      </w:r>
      <w:r w:rsidR="00651F7A">
        <w:t xml:space="preserve">a un </w:t>
      </w:r>
      <w:r w:rsidR="00651F7A" w:rsidRPr="00802E03">
        <w:t>inspec</w:t>
      </w:r>
      <w:r w:rsidR="00651F7A">
        <w:t>tor</w:t>
      </w:r>
      <w:r w:rsidR="00651F7A" w:rsidRPr="00802E03">
        <w:t xml:space="preserve"> estatal. Asimismo, más allá de reconocer la buena voluntad del equipo del SEPRET, las organizaciones de la sociedad civil pusieron de manifiesto su baja legitimidad y percibida falta de independencia, alegando además posibles conflictos de interés. </w:t>
      </w:r>
    </w:p>
    <w:p w14:paraId="209953F7" w14:textId="795FA406" w:rsidR="00651F7A" w:rsidRPr="00802E03" w:rsidRDefault="00651F7A" w:rsidP="00651F7A">
      <w:pPr>
        <w:pStyle w:val="SingleTxtG"/>
      </w:pPr>
      <w:r w:rsidRPr="00802E03">
        <w:t>1</w:t>
      </w:r>
      <w:r w:rsidR="00AB5AA5">
        <w:t>4</w:t>
      </w:r>
      <w:r w:rsidRPr="00802E03">
        <w:t>.</w:t>
      </w:r>
      <w:r w:rsidR="003F48E6">
        <w:tab/>
      </w:r>
      <w:r w:rsidRPr="00802E03">
        <w:t xml:space="preserve">En relación a la metodología de trabajo del SEPRET, el </w:t>
      </w:r>
      <w:r w:rsidR="00522056">
        <w:t>Subcomité</w:t>
      </w:r>
      <w:r w:rsidRPr="00802E03">
        <w:t xml:space="preserve"> notó que el organismo pon</w:t>
      </w:r>
      <w:r>
        <w:t>ía</w:t>
      </w:r>
      <w:r w:rsidRPr="00802E03">
        <w:t xml:space="preserve"> un énfasis desproporcionado en las condiciones materiales de detención, no entrando en detalle en eventuales alegaciones de tortura y malos tratos. Esto fue constatado a lo largo de las visitas conjuntas al penal de San Pedro y al cuartel militar de Miraflores</w:t>
      </w:r>
      <w:r w:rsidR="00301885">
        <w:t>,</w:t>
      </w:r>
      <w:r>
        <w:t xml:space="preserve"> </w:t>
      </w:r>
      <w:r w:rsidRPr="00802E03">
        <w:t>como así también a través de la revisión del contenido de sus formularios y protocolos internos.</w:t>
      </w:r>
      <w:r>
        <w:t xml:space="preserve"> </w:t>
      </w:r>
      <w:r w:rsidR="00322ABD">
        <w:t>L</w:t>
      </w:r>
      <w:r w:rsidRPr="00802E03">
        <w:t xml:space="preserve">e preocupa </w:t>
      </w:r>
      <w:r w:rsidR="00322ABD">
        <w:t xml:space="preserve">también </w:t>
      </w:r>
      <w:r w:rsidRPr="00802E03">
        <w:t xml:space="preserve">al </w:t>
      </w:r>
      <w:r w:rsidR="00522056">
        <w:t>Subcomité</w:t>
      </w:r>
      <w:r w:rsidRPr="00802E03">
        <w:t xml:space="preserve"> que en la visita a la cárcel de San Pedro no se realizaron entrevistas individuales confidenciales a las </w:t>
      </w:r>
      <w:r w:rsidR="00B62628">
        <w:t>personas privadas de libertad</w:t>
      </w:r>
      <w:r w:rsidR="00301885">
        <w:t xml:space="preserve"> </w:t>
      </w:r>
      <w:r w:rsidR="00322ABD">
        <w:t xml:space="preserve">y </w:t>
      </w:r>
      <w:r w:rsidR="00301885">
        <w:t xml:space="preserve">que </w:t>
      </w:r>
      <w:r w:rsidR="00322ABD">
        <w:t>l</w:t>
      </w:r>
      <w:r w:rsidRPr="00802E03">
        <w:t>as entrevistas colectivas se</w:t>
      </w:r>
      <w:r w:rsidR="005F343F">
        <w:t xml:space="preserve"> hicieron</w:t>
      </w:r>
      <w:r w:rsidRPr="00802E03">
        <w:t xml:space="preserve"> ante la presencia de los delegados, lo que podría generar serios riesgos de represalias. </w:t>
      </w:r>
    </w:p>
    <w:p w14:paraId="209953F8" w14:textId="72849213" w:rsidR="00651F7A" w:rsidRPr="00802E03" w:rsidRDefault="00AB5AA5" w:rsidP="00651F7A">
      <w:pPr>
        <w:pStyle w:val="SingleTxtG"/>
      </w:pPr>
      <w:r>
        <w:t>15</w:t>
      </w:r>
      <w:r w:rsidR="00651F7A" w:rsidRPr="00802E03">
        <w:t>.</w:t>
      </w:r>
      <w:r w:rsidR="00651F7A">
        <w:tab/>
      </w:r>
      <w:r w:rsidR="005F343F">
        <w:t>E</w:t>
      </w:r>
      <w:r w:rsidR="008D2001">
        <w:t>l</w:t>
      </w:r>
      <w:r w:rsidR="00651F7A" w:rsidRPr="00802E03">
        <w:t xml:space="preserve"> </w:t>
      </w:r>
      <w:r w:rsidR="00522056">
        <w:t>Subcomité</w:t>
      </w:r>
      <w:r w:rsidR="00651F7A" w:rsidRPr="00802E03">
        <w:t xml:space="preserve"> escuchó algunos argumentos de las autoridades que podrían resumirse en</w:t>
      </w:r>
      <w:r w:rsidR="002E4493">
        <w:t>:</w:t>
      </w:r>
      <w:r w:rsidR="00651F7A" w:rsidRPr="00802E03">
        <w:t xml:space="preserve"> “Es mejor tenerle a</w:t>
      </w:r>
      <w:r w:rsidR="00D579D6">
        <w:t>l</w:t>
      </w:r>
      <w:r w:rsidR="00651F7A" w:rsidRPr="00802E03">
        <w:t xml:space="preserve"> SEPRET que no tener nada”</w:t>
      </w:r>
      <w:r w:rsidR="008C7FC8">
        <w:t>.</w:t>
      </w:r>
      <w:r w:rsidR="00651F7A" w:rsidRPr="00802E03">
        <w:t xml:space="preserve"> En este sentido, el </w:t>
      </w:r>
      <w:r w:rsidR="00522056">
        <w:t>Subcomité</w:t>
      </w:r>
      <w:r w:rsidR="00651F7A" w:rsidRPr="00802E03">
        <w:t xml:space="preserve"> no solicita </w:t>
      </w:r>
      <w:r w:rsidR="00651F7A">
        <w:t xml:space="preserve">la disolución </w:t>
      </w:r>
      <w:r w:rsidR="00651F7A" w:rsidRPr="00802E03">
        <w:t xml:space="preserve">del SEPRET, que puede ser un legítimo complemento a los sistemas estatales de supervisión, pero su existencia no debe impedir la creación del </w:t>
      </w:r>
      <w:r w:rsidR="00591988">
        <w:t>mecanismo nacional de prevención</w:t>
      </w:r>
      <w:r w:rsidR="00651F7A" w:rsidRPr="00802E03">
        <w:t xml:space="preserve"> en plena conformidad con el </w:t>
      </w:r>
      <w:r w:rsidR="0064655F">
        <w:t>Protocolo Facultativo</w:t>
      </w:r>
      <w:r w:rsidR="00651F7A" w:rsidRPr="00802E03">
        <w:t>.</w:t>
      </w:r>
    </w:p>
    <w:p w14:paraId="209953F9" w14:textId="4089952D" w:rsidR="00651F7A" w:rsidRPr="00802E03" w:rsidRDefault="00AB5AA5" w:rsidP="00651F7A">
      <w:pPr>
        <w:pStyle w:val="SingleTxtG"/>
        <w:rPr>
          <w:b/>
        </w:rPr>
      </w:pPr>
      <w:r w:rsidRPr="0098110E">
        <w:t>16</w:t>
      </w:r>
      <w:r w:rsidR="00651F7A" w:rsidRPr="0098110E">
        <w:t>.</w:t>
      </w:r>
      <w:r w:rsidR="003F48E6">
        <w:rPr>
          <w:b/>
        </w:rPr>
        <w:tab/>
      </w:r>
      <w:r w:rsidR="00651F7A" w:rsidRPr="00802E03">
        <w:rPr>
          <w:b/>
        </w:rPr>
        <w:t xml:space="preserve">Recordando que, según el </w:t>
      </w:r>
      <w:r w:rsidR="0064655F">
        <w:rPr>
          <w:b/>
        </w:rPr>
        <w:t>Protocolo Facultativo</w:t>
      </w:r>
      <w:r w:rsidR="00651F7A" w:rsidRPr="00802E03">
        <w:rPr>
          <w:b/>
        </w:rPr>
        <w:t>, la independencia funcional es la disposición fundamental que compromete a los Estados partes y determina la eficacia de</w:t>
      </w:r>
      <w:r w:rsidR="00651F7A">
        <w:rPr>
          <w:b/>
        </w:rPr>
        <w:t xml:space="preserve">l </w:t>
      </w:r>
      <w:r w:rsidR="00591988">
        <w:rPr>
          <w:b/>
        </w:rPr>
        <w:t>mecanismo nacional de prevención</w:t>
      </w:r>
      <w:r w:rsidR="00651F7A" w:rsidRPr="00802E03">
        <w:rPr>
          <w:b/>
        </w:rPr>
        <w:t xml:space="preserve">, el </w:t>
      </w:r>
      <w:r w:rsidR="00522056">
        <w:rPr>
          <w:b/>
        </w:rPr>
        <w:t>Subcomité</w:t>
      </w:r>
      <w:r w:rsidR="00651F7A" w:rsidRPr="00802E03">
        <w:rPr>
          <w:b/>
        </w:rPr>
        <w:t xml:space="preserve"> urge que las autoridades bolivianas:</w:t>
      </w:r>
    </w:p>
    <w:p w14:paraId="209953FA" w14:textId="792CC818" w:rsidR="00651F7A" w:rsidRPr="00802E03" w:rsidRDefault="00C212A6" w:rsidP="00651F7A">
      <w:pPr>
        <w:pStyle w:val="SingleTxtG"/>
        <w:rPr>
          <w:b/>
        </w:rPr>
      </w:pPr>
      <w:r>
        <w:rPr>
          <w:b/>
        </w:rPr>
        <w:tab/>
      </w:r>
      <w:r w:rsidR="00651F7A">
        <w:rPr>
          <w:b/>
        </w:rPr>
        <w:tab/>
      </w:r>
      <w:r w:rsidR="00651F7A" w:rsidRPr="00802E03">
        <w:rPr>
          <w:b/>
        </w:rPr>
        <w:t>a)</w:t>
      </w:r>
      <w:r>
        <w:rPr>
          <w:b/>
        </w:rPr>
        <w:tab/>
      </w:r>
      <w:r w:rsidR="006C092E">
        <w:rPr>
          <w:b/>
        </w:rPr>
        <w:t>D</w:t>
      </w:r>
      <w:r w:rsidR="00651F7A" w:rsidRPr="00802E03">
        <w:rPr>
          <w:b/>
        </w:rPr>
        <w:t>esignen o creen, mediante un</w:t>
      </w:r>
      <w:r w:rsidR="00651F7A">
        <w:rPr>
          <w:b/>
        </w:rPr>
        <w:t>a modificación</w:t>
      </w:r>
      <w:r w:rsidR="00651F7A" w:rsidRPr="00802E03">
        <w:rPr>
          <w:b/>
        </w:rPr>
        <w:t xml:space="preserve"> constitucional o legislativ</w:t>
      </w:r>
      <w:r w:rsidR="00651F7A">
        <w:rPr>
          <w:b/>
        </w:rPr>
        <w:t>a</w:t>
      </w:r>
      <w:r w:rsidR="00651F7A" w:rsidRPr="00802E03">
        <w:rPr>
          <w:b/>
        </w:rPr>
        <w:t xml:space="preserve">, un </w:t>
      </w:r>
      <w:r w:rsidR="00591988">
        <w:rPr>
          <w:b/>
        </w:rPr>
        <w:t>mecanismo nacional de prevención</w:t>
      </w:r>
      <w:r w:rsidR="00651F7A" w:rsidRPr="00802E03">
        <w:rPr>
          <w:b/>
        </w:rPr>
        <w:t xml:space="preserve"> que goce de una total autonomía financiera y funcional e</w:t>
      </w:r>
      <w:r w:rsidR="005F343F">
        <w:rPr>
          <w:b/>
        </w:rPr>
        <w:t>n el ejercicio de las funciones</w:t>
      </w:r>
      <w:r w:rsidR="00651F7A" w:rsidRPr="00802E03">
        <w:rPr>
          <w:b/>
        </w:rPr>
        <w:t>;</w:t>
      </w:r>
    </w:p>
    <w:p w14:paraId="209953FB" w14:textId="46053E60" w:rsidR="00651F7A" w:rsidRPr="00802E03" w:rsidRDefault="00C212A6" w:rsidP="00651F7A">
      <w:pPr>
        <w:pStyle w:val="SingleTxtG"/>
        <w:rPr>
          <w:b/>
        </w:rPr>
      </w:pPr>
      <w:r>
        <w:rPr>
          <w:b/>
        </w:rPr>
        <w:tab/>
      </w:r>
      <w:r w:rsidR="00651F7A">
        <w:rPr>
          <w:b/>
        </w:rPr>
        <w:tab/>
      </w:r>
      <w:r w:rsidR="00651F7A" w:rsidRPr="00802E03">
        <w:rPr>
          <w:b/>
        </w:rPr>
        <w:t>b)</w:t>
      </w:r>
      <w:r>
        <w:rPr>
          <w:b/>
        </w:rPr>
        <w:tab/>
      </w:r>
      <w:r w:rsidR="006C092E">
        <w:rPr>
          <w:b/>
        </w:rPr>
        <w:t>A</w:t>
      </w:r>
      <w:r w:rsidR="00651F7A" w:rsidRPr="00802E03">
        <w:rPr>
          <w:b/>
        </w:rPr>
        <w:t xml:space="preserve">seguren que la nueva legislación enuncie de manera clara el mandato y las facultades del </w:t>
      </w:r>
      <w:r w:rsidR="00591988">
        <w:rPr>
          <w:b/>
        </w:rPr>
        <w:t>mecanismo nacional de prevención</w:t>
      </w:r>
      <w:r w:rsidR="00651F7A" w:rsidRPr="00802E03">
        <w:rPr>
          <w:b/>
        </w:rPr>
        <w:t>, especifique</w:t>
      </w:r>
      <w:r w:rsidR="00651F7A" w:rsidRPr="00294AB0">
        <w:t xml:space="preserve"> </w:t>
      </w:r>
      <w:r w:rsidR="00651F7A" w:rsidRPr="00294AB0">
        <w:rPr>
          <w:b/>
        </w:rPr>
        <w:t>la elección,</w:t>
      </w:r>
      <w:r w:rsidR="00651F7A">
        <w:rPr>
          <w:b/>
        </w:rPr>
        <w:t xml:space="preserve"> </w:t>
      </w:r>
      <w:r w:rsidR="00651F7A" w:rsidRPr="00294AB0">
        <w:rPr>
          <w:b/>
        </w:rPr>
        <w:t>duración del mandato e independencia</w:t>
      </w:r>
      <w:r w:rsidR="00651F7A" w:rsidRPr="00802E03">
        <w:rPr>
          <w:b/>
        </w:rPr>
        <w:t xml:space="preserve"> de los miembros del mecanismo y los motivos de su destitución; </w:t>
      </w:r>
    </w:p>
    <w:p w14:paraId="209953FC" w14:textId="5236B3E1" w:rsidR="00651F7A" w:rsidRPr="00802E03" w:rsidRDefault="00C212A6" w:rsidP="00651F7A">
      <w:pPr>
        <w:pStyle w:val="SingleTxtG"/>
        <w:ind w:right="991"/>
        <w:rPr>
          <w:b/>
        </w:rPr>
      </w:pPr>
      <w:r>
        <w:rPr>
          <w:b/>
        </w:rPr>
        <w:tab/>
      </w:r>
      <w:r w:rsidR="00651F7A">
        <w:rPr>
          <w:b/>
        </w:rPr>
        <w:tab/>
      </w:r>
      <w:r w:rsidR="00651F7A" w:rsidRPr="00802E03">
        <w:rPr>
          <w:b/>
        </w:rPr>
        <w:t>c)</w:t>
      </w:r>
      <w:r>
        <w:rPr>
          <w:b/>
        </w:rPr>
        <w:tab/>
      </w:r>
      <w:r w:rsidR="008C7FC8">
        <w:rPr>
          <w:b/>
        </w:rPr>
        <w:t>D</w:t>
      </w:r>
      <w:r w:rsidR="00651F7A" w:rsidRPr="00802E03">
        <w:rPr>
          <w:b/>
        </w:rPr>
        <w:t xml:space="preserve">oten al </w:t>
      </w:r>
      <w:r w:rsidR="00591988">
        <w:rPr>
          <w:b/>
        </w:rPr>
        <w:t>mecanismo nacional de prevención</w:t>
      </w:r>
      <w:r w:rsidR="00651F7A" w:rsidRPr="00802E03">
        <w:rPr>
          <w:b/>
        </w:rPr>
        <w:t xml:space="preserve"> de recursos suficientes para desempeñar su labor con eficacia;</w:t>
      </w:r>
    </w:p>
    <w:p w14:paraId="209953FD" w14:textId="179F91C3" w:rsidR="00651F7A" w:rsidRPr="00802E03" w:rsidRDefault="003F48E6" w:rsidP="00651F7A">
      <w:pPr>
        <w:pStyle w:val="SingleTxtG"/>
        <w:rPr>
          <w:b/>
        </w:rPr>
      </w:pPr>
      <w:r>
        <w:rPr>
          <w:b/>
        </w:rPr>
        <w:lastRenderedPageBreak/>
        <w:tab/>
      </w:r>
      <w:r w:rsidR="00651F7A">
        <w:rPr>
          <w:b/>
        </w:rPr>
        <w:tab/>
      </w:r>
      <w:r w:rsidR="00651F7A" w:rsidRPr="00802E03">
        <w:rPr>
          <w:b/>
        </w:rPr>
        <w:t>d)</w:t>
      </w:r>
      <w:r>
        <w:rPr>
          <w:b/>
        </w:rPr>
        <w:tab/>
      </w:r>
      <w:r w:rsidR="0062475F">
        <w:rPr>
          <w:b/>
        </w:rPr>
        <w:t>A</w:t>
      </w:r>
      <w:r w:rsidR="00651F7A" w:rsidRPr="00802E03">
        <w:rPr>
          <w:b/>
        </w:rPr>
        <w:t xml:space="preserve">seguren que el </w:t>
      </w:r>
      <w:r w:rsidR="00591988">
        <w:rPr>
          <w:b/>
        </w:rPr>
        <w:t>mecanismo nacional de prevención</w:t>
      </w:r>
      <w:r w:rsidR="00651F7A" w:rsidRPr="00802E03">
        <w:rPr>
          <w:b/>
        </w:rPr>
        <w:t xml:space="preserve"> cumpla cabalmente con las demás condiciones exigidas en el </w:t>
      </w:r>
      <w:r w:rsidR="0064655F">
        <w:rPr>
          <w:b/>
        </w:rPr>
        <w:t>Protocolo Facultativo</w:t>
      </w:r>
      <w:r w:rsidR="00651F7A" w:rsidRPr="00802E03">
        <w:rPr>
          <w:b/>
        </w:rPr>
        <w:t xml:space="preserve"> y con las Directric</w:t>
      </w:r>
      <w:r w:rsidR="00F04164">
        <w:rPr>
          <w:b/>
        </w:rPr>
        <w:t xml:space="preserve">es relativas a los </w:t>
      </w:r>
      <w:r w:rsidR="00591988">
        <w:rPr>
          <w:b/>
        </w:rPr>
        <w:t>mecanismo</w:t>
      </w:r>
      <w:r w:rsidR="00B1799E">
        <w:rPr>
          <w:b/>
        </w:rPr>
        <w:t>s</w:t>
      </w:r>
      <w:r w:rsidR="00591988">
        <w:rPr>
          <w:b/>
        </w:rPr>
        <w:t xml:space="preserve"> nacional</w:t>
      </w:r>
      <w:r w:rsidR="00B1799E">
        <w:rPr>
          <w:b/>
        </w:rPr>
        <w:t>es</w:t>
      </w:r>
      <w:r w:rsidR="00591988">
        <w:rPr>
          <w:b/>
        </w:rPr>
        <w:t xml:space="preserve"> de prevención</w:t>
      </w:r>
      <w:r w:rsidR="00651F7A" w:rsidRPr="0098110E">
        <w:rPr>
          <w:rStyle w:val="Refdenotaalpie"/>
        </w:rPr>
        <w:footnoteReference w:id="6"/>
      </w:r>
      <w:r w:rsidR="00F04164">
        <w:rPr>
          <w:b/>
        </w:rPr>
        <w:t>.</w:t>
      </w:r>
    </w:p>
    <w:p w14:paraId="209953FE" w14:textId="77777777" w:rsidR="00651F7A" w:rsidRPr="00802E03" w:rsidRDefault="00651F7A" w:rsidP="00651F7A">
      <w:pPr>
        <w:pStyle w:val="HChG"/>
      </w:pPr>
      <w:r>
        <w:tab/>
        <w:t>III.</w:t>
      </w:r>
      <w:r>
        <w:tab/>
      </w:r>
      <w:r w:rsidRPr="00802E03">
        <w:t>Alegaciones de tortura</w:t>
      </w:r>
      <w:r>
        <w:t xml:space="preserve"> y malos tratos </w:t>
      </w:r>
      <w:r w:rsidRPr="00802E03">
        <w:t>e impunidad</w:t>
      </w:r>
    </w:p>
    <w:p w14:paraId="209953FF" w14:textId="2331F75C" w:rsidR="00651F7A" w:rsidRPr="000B7D68" w:rsidRDefault="00651F7A" w:rsidP="00651F7A">
      <w:pPr>
        <w:pStyle w:val="H1G"/>
        <w:ind w:left="0" w:firstLine="0"/>
      </w:pPr>
      <w:r w:rsidRPr="000B7D68">
        <w:tab/>
      </w:r>
      <w:r w:rsidR="006C092E">
        <w:t>A.</w:t>
      </w:r>
      <w:r w:rsidR="006C092E">
        <w:tab/>
      </w:r>
      <w:r w:rsidRPr="000B7D68">
        <w:t>Alegaciones de tortura y otros malos tratos</w:t>
      </w:r>
    </w:p>
    <w:p w14:paraId="20995400" w14:textId="5FA7A334" w:rsidR="00651F7A" w:rsidRPr="00802E03" w:rsidRDefault="00AB5AA5" w:rsidP="00651F7A">
      <w:pPr>
        <w:pStyle w:val="SingleTxtG"/>
      </w:pPr>
      <w:r>
        <w:t>17</w:t>
      </w:r>
      <w:r w:rsidR="00651F7A">
        <w:t>.</w:t>
      </w:r>
      <w:r w:rsidR="003F48E6">
        <w:tab/>
      </w:r>
      <w:r w:rsidR="00651F7A" w:rsidRPr="00802E03">
        <w:t xml:space="preserve">Diversas personas entrevistadas por el </w:t>
      </w:r>
      <w:r w:rsidR="00522056">
        <w:t>Subcomité</w:t>
      </w:r>
      <w:r w:rsidR="00651F7A" w:rsidRPr="00802E03">
        <w:t xml:space="preserve"> coincidieron en manifestar </w:t>
      </w:r>
      <w:r w:rsidR="00651F7A" w:rsidRPr="00802E03">
        <w:rPr>
          <w:bCs/>
          <w:szCs w:val="24"/>
        </w:rPr>
        <w:t xml:space="preserve">que las prácticas de tortura y malos tratos eran utilizadas </w:t>
      </w:r>
      <w:r w:rsidR="00651F7A">
        <w:rPr>
          <w:bCs/>
          <w:szCs w:val="24"/>
        </w:rPr>
        <w:t xml:space="preserve">con frecuencia </w:t>
      </w:r>
      <w:r w:rsidR="00651F7A" w:rsidRPr="00802E03">
        <w:t xml:space="preserve">por la policía, el servicio penitenciario y los “autogobiernos” (delegados) como métodos de investigación, extorsión, castigo y sanciones disciplinarias. </w:t>
      </w:r>
    </w:p>
    <w:p w14:paraId="20995401" w14:textId="3D2CF907" w:rsidR="00651F7A" w:rsidRPr="00802E03" w:rsidRDefault="00AB5AA5" w:rsidP="00651F7A">
      <w:pPr>
        <w:pStyle w:val="SingleTxtG"/>
        <w:rPr>
          <w:bCs/>
          <w:szCs w:val="24"/>
        </w:rPr>
      </w:pPr>
      <w:r>
        <w:t>18</w:t>
      </w:r>
      <w:r w:rsidR="00651F7A">
        <w:t>.</w:t>
      </w:r>
      <w:r w:rsidR="003F48E6">
        <w:tab/>
      </w:r>
      <w:r w:rsidR="00651F7A">
        <w:t>D</w:t>
      </w:r>
      <w:r w:rsidR="00651F7A" w:rsidRPr="00802E03">
        <w:t xml:space="preserve">urante la visita al </w:t>
      </w:r>
      <w:r w:rsidR="00135647">
        <w:t>H</w:t>
      </w:r>
      <w:r w:rsidR="00651F7A" w:rsidRPr="00802E03">
        <w:t xml:space="preserve">ospital </w:t>
      </w:r>
      <w:r w:rsidR="00135647">
        <w:t>P</w:t>
      </w:r>
      <w:r w:rsidR="00651F7A" w:rsidRPr="00802E03">
        <w:t xml:space="preserve">siquiátrico San Juan de Dios en Sucre, </w:t>
      </w:r>
      <w:r w:rsidR="00651F7A">
        <w:t>e</w:t>
      </w:r>
      <w:r w:rsidR="00651F7A" w:rsidRPr="00802E03">
        <w:t xml:space="preserve">l </w:t>
      </w:r>
      <w:r w:rsidR="00522056">
        <w:t>Subcomité</w:t>
      </w:r>
      <w:r w:rsidR="00651F7A" w:rsidRPr="00802E03">
        <w:t xml:space="preserve"> observó el uso excesivo y prolongado de contención química, física y mecánica (por ejemplo, pacientes inmovilizados, amarrados con correas a sillas). </w:t>
      </w:r>
    </w:p>
    <w:p w14:paraId="20995402" w14:textId="015A540B" w:rsidR="00651F7A" w:rsidRPr="00802E03" w:rsidRDefault="00AB5AA5" w:rsidP="00651F7A">
      <w:pPr>
        <w:pStyle w:val="SingleTxtG"/>
      </w:pPr>
      <w:r>
        <w:t>19</w:t>
      </w:r>
      <w:r w:rsidR="00651F7A">
        <w:t>.</w:t>
      </w:r>
      <w:r w:rsidR="003F48E6">
        <w:tab/>
      </w:r>
      <w:r w:rsidR="00651F7A" w:rsidRPr="00802E03">
        <w:t xml:space="preserve">En particular, el </w:t>
      </w:r>
      <w:r w:rsidR="00522056">
        <w:t>Subcomité</w:t>
      </w:r>
      <w:r w:rsidR="00651F7A" w:rsidRPr="00802E03">
        <w:t xml:space="preserve"> desea resaltar con </w:t>
      </w:r>
      <w:r w:rsidR="00651F7A" w:rsidRPr="002555B9">
        <w:t xml:space="preserve">gran preocupación </w:t>
      </w:r>
      <w:r w:rsidR="00651F7A" w:rsidRPr="00802E03">
        <w:t xml:space="preserve">las siguientes alegaciones: </w:t>
      </w:r>
    </w:p>
    <w:p w14:paraId="20995403" w14:textId="7C671D88" w:rsidR="00651F7A" w:rsidRPr="00802E03" w:rsidRDefault="003F48E6" w:rsidP="00651F7A">
      <w:pPr>
        <w:pStyle w:val="SingleTxtG"/>
      </w:pPr>
      <w:r>
        <w:tab/>
      </w:r>
      <w:r w:rsidR="00651F7A">
        <w:tab/>
        <w:t>a)</w:t>
      </w:r>
      <w:r>
        <w:tab/>
      </w:r>
      <w:r w:rsidR="00651F7A" w:rsidRPr="00815B60">
        <w:t>En el penal de máxima seguridad de Chonchocoro</w:t>
      </w:r>
      <w:r w:rsidR="00651F7A" w:rsidRPr="00802E03">
        <w:t xml:space="preserve"> varios internos denunciaron ser sacados de sus celdas por la noche </w:t>
      </w:r>
      <w:r w:rsidR="00A727A4">
        <w:t>—</w:t>
      </w:r>
      <w:r w:rsidR="00651F7A" w:rsidRPr="00802E03">
        <w:t>tanto por personal penitenciario como por delegados y autoridades del autogobierno</w:t>
      </w:r>
      <w:r w:rsidR="00A727A4">
        <w:t>—,</w:t>
      </w:r>
      <w:r w:rsidR="00651F7A" w:rsidRPr="00802E03">
        <w:t xml:space="preserve"> golpeados, en ocasiones apuñalados</w:t>
      </w:r>
      <w:r w:rsidR="00651F7A">
        <w:t>,</w:t>
      </w:r>
      <w:r w:rsidR="00651F7A" w:rsidRPr="00802E03">
        <w:t xml:space="preserve"> atados a alambrados y obligados a pasar la noche a la intemperie. Según testimonios colectados por el </w:t>
      </w:r>
      <w:r w:rsidR="00522056">
        <w:t>Subcomité</w:t>
      </w:r>
      <w:r w:rsidR="00651F7A" w:rsidRPr="00802E03">
        <w:t xml:space="preserve">, estas prácticas de castigo y “bautismo” o “bienvenida” a los recién llegados al penal, también incluían </w:t>
      </w:r>
      <w:r w:rsidR="00651F7A" w:rsidRPr="00802E03">
        <w:rPr>
          <w:bCs/>
          <w:szCs w:val="24"/>
        </w:rPr>
        <w:t>insultos, uso desproporcionado</w:t>
      </w:r>
      <w:r w:rsidR="00651F7A">
        <w:rPr>
          <w:bCs/>
          <w:szCs w:val="24"/>
        </w:rPr>
        <w:t xml:space="preserve"> </w:t>
      </w:r>
      <w:r w:rsidR="00651F7A" w:rsidRPr="00802E03">
        <w:rPr>
          <w:bCs/>
          <w:szCs w:val="24"/>
        </w:rPr>
        <w:t xml:space="preserve">de la fuerza, golpizas “ejemplarizantes”, golpes con palos en la espalda y la entrepierna, asfixia con bolsa plástica, </w:t>
      </w:r>
      <w:r w:rsidR="00651F7A" w:rsidRPr="00802E03">
        <w:t xml:space="preserve">uso de gas irritante, orden de desnudarse </w:t>
      </w:r>
      <w:r w:rsidR="00651F7A">
        <w:t xml:space="preserve">y realizar flexiones, </w:t>
      </w:r>
      <w:r w:rsidR="00651F7A" w:rsidRPr="00802E03">
        <w:t>extremo ejercicio físico e inmersión en agua fría</w:t>
      </w:r>
      <w:r>
        <w:t>;</w:t>
      </w:r>
    </w:p>
    <w:p w14:paraId="20995404" w14:textId="5B440ACD" w:rsidR="00651F7A" w:rsidRDefault="003F48E6" w:rsidP="00651F7A">
      <w:pPr>
        <w:pStyle w:val="SingleTxtG"/>
      </w:pPr>
      <w:r>
        <w:tab/>
      </w:r>
      <w:r w:rsidR="00651F7A">
        <w:tab/>
        <w:t>b)</w:t>
      </w:r>
      <w:r>
        <w:tab/>
      </w:r>
      <w:r w:rsidR="00651F7A" w:rsidRPr="00815B60">
        <w:t>En el Centro de Reintegración Social para Adolescentes</w:t>
      </w:r>
      <w:r w:rsidR="00651F7A" w:rsidRPr="00B725E9">
        <w:t xml:space="preserve"> </w:t>
      </w:r>
      <w:r w:rsidR="00651F7A" w:rsidRPr="00802E03">
        <w:t>Cenvicruz</w:t>
      </w:r>
      <w:r w:rsidR="00651F7A">
        <w:t xml:space="preserve"> </w:t>
      </w:r>
      <w:r w:rsidR="00651F7A" w:rsidRPr="00802E03">
        <w:t xml:space="preserve">(Santa Cruz), según alegaciones, el personal de seguridad a cargo de la disciplina del Centro sacaba a los internos de sus dormitorios durante la noche, los golpeaba, los ataba a los postes de madera en el patio, donde debían permanecer con la cabeza inclinada, en cuclillas, privados del sueño, en ocasiones por más de </w:t>
      </w:r>
      <w:r w:rsidR="00B725E9">
        <w:t xml:space="preserve">24 </w:t>
      </w:r>
      <w:r w:rsidR="00651F7A" w:rsidRPr="00802E03">
        <w:t>horas. En Cometa (Cochabamba), varios entrevistados denunciaron el uso excesivo de la fuerza, descargas eléctricas, uso de gas irritante, privación del sueño y golpizas públicas en la cancha de fútbol del Centro</w:t>
      </w:r>
      <w:r w:rsidR="00B1799E">
        <w:t>;</w:t>
      </w:r>
    </w:p>
    <w:p w14:paraId="20995405" w14:textId="5C5F3FA0" w:rsidR="00651F7A" w:rsidRPr="00802E03" w:rsidRDefault="00AB5AA5" w:rsidP="00651F7A">
      <w:pPr>
        <w:pStyle w:val="SingleTxtG"/>
      </w:pPr>
      <w:r>
        <w:t>20</w:t>
      </w:r>
      <w:r w:rsidR="00651F7A">
        <w:t>.</w:t>
      </w:r>
      <w:r w:rsidR="003F48E6">
        <w:tab/>
      </w:r>
      <w:r w:rsidR="00651F7A" w:rsidRPr="00802E03">
        <w:t xml:space="preserve">Asimismo, al </w:t>
      </w:r>
      <w:r w:rsidR="00522056">
        <w:t>Subcomité</w:t>
      </w:r>
      <w:r w:rsidR="00651F7A" w:rsidRPr="00802E03">
        <w:t xml:space="preserve"> le preocupan las condiciones materiales inhumanas de las celdas de castigo dentro de los centros penitenciarios</w:t>
      </w:r>
      <w:r w:rsidR="00651F7A">
        <w:t xml:space="preserve"> visitados</w:t>
      </w:r>
      <w:r w:rsidR="00651F7A" w:rsidRPr="00802E03">
        <w:t xml:space="preserve"> (llamadas “loreras”, “botes” o “calabozos”). Por ejemplo, en el penal para varones de Mocoví, una celda de castigo alojaba a 15 internos, inmovilizados por la falta de espacio, semidesnudos, sin recibir comida, mostrando marcas visibles de golpizas y azotes en la espalda y entrepiernas. Algunos de ellos alegaron llevar más de tres semanas viviendo en la celda en condiciones de insalubridad</w:t>
      </w:r>
      <w:r w:rsidR="00651F7A">
        <w:t>, durmiendo en el suelo sobre mantas sucias</w:t>
      </w:r>
      <w:r w:rsidR="00651F7A" w:rsidRPr="00802E03">
        <w:t xml:space="preserve"> y sin baño. El </w:t>
      </w:r>
      <w:r w:rsidR="00522056">
        <w:t>Subcomité</w:t>
      </w:r>
      <w:r w:rsidR="00651F7A" w:rsidRPr="00802E03">
        <w:t xml:space="preserve"> observó condiciones inhumanas similares</w:t>
      </w:r>
      <w:r w:rsidR="00651F7A">
        <w:t xml:space="preserve"> en las “loreras” de Chonchocor</w:t>
      </w:r>
      <w:r w:rsidR="00651F7A" w:rsidRPr="00802E03">
        <w:t xml:space="preserve">o. El </w:t>
      </w:r>
      <w:r w:rsidR="00522056">
        <w:t>Subcomité</w:t>
      </w:r>
      <w:r w:rsidR="00651F7A" w:rsidRPr="00802E03">
        <w:t xml:space="preserve"> concluye que las condiciones materiales inhumanas de detención en estas celdas (hacinamiento, falta de comida, falta total de higiene), sumadas a la falta de salvaguardas (asistencia médica</w:t>
      </w:r>
      <w:r w:rsidR="001D1BC1">
        <w:t>,</w:t>
      </w:r>
      <w:r w:rsidR="00651F7A" w:rsidRPr="00802E03">
        <w:t xml:space="preserve"> acceso a la justicia) </w:t>
      </w:r>
      <w:r w:rsidR="00651F7A">
        <w:t xml:space="preserve">y a la duración prolongada de la detención en estas condiciones </w:t>
      </w:r>
      <w:r w:rsidR="00651F7A" w:rsidRPr="00802E03">
        <w:t>constituyen malos tratos, y en ocasiones podrían considerarse tortura.</w:t>
      </w:r>
    </w:p>
    <w:p w14:paraId="20995406" w14:textId="4D18BF35" w:rsidR="00651F7A" w:rsidRPr="000B7D68" w:rsidRDefault="00AB5AA5" w:rsidP="00651F7A">
      <w:pPr>
        <w:pStyle w:val="SingleTxtG"/>
        <w:rPr>
          <w:b/>
        </w:rPr>
      </w:pPr>
      <w:r w:rsidRPr="0098110E">
        <w:t>21</w:t>
      </w:r>
      <w:r w:rsidR="00651F7A" w:rsidRPr="0098110E">
        <w:t>.</w:t>
      </w:r>
      <w:r w:rsidR="003F48E6">
        <w:rPr>
          <w:b/>
        </w:rPr>
        <w:tab/>
      </w:r>
      <w:r w:rsidR="00651F7A" w:rsidRPr="000B7D68">
        <w:rPr>
          <w:b/>
        </w:rPr>
        <w:t xml:space="preserve">En razón de lo anterior, el </w:t>
      </w:r>
      <w:r w:rsidR="00522056">
        <w:rPr>
          <w:b/>
        </w:rPr>
        <w:t>Subcomité</w:t>
      </w:r>
      <w:r w:rsidR="00651F7A" w:rsidRPr="000B7D68">
        <w:rPr>
          <w:b/>
        </w:rPr>
        <w:t xml:space="preserve"> recomienda al Estado parte que:</w:t>
      </w:r>
    </w:p>
    <w:p w14:paraId="20995407" w14:textId="66DD7B12" w:rsidR="00651F7A" w:rsidRPr="000B7D68" w:rsidRDefault="003F48E6" w:rsidP="00651F7A">
      <w:pPr>
        <w:pStyle w:val="SingleTxtG"/>
        <w:rPr>
          <w:b/>
        </w:rPr>
      </w:pPr>
      <w:r>
        <w:rPr>
          <w:b/>
        </w:rPr>
        <w:tab/>
      </w:r>
      <w:r w:rsidR="00651F7A" w:rsidRPr="000B7D68">
        <w:rPr>
          <w:b/>
        </w:rPr>
        <w:tab/>
        <w:t>a)</w:t>
      </w:r>
      <w:r w:rsidR="00651F7A" w:rsidRPr="000B7D68">
        <w:rPr>
          <w:b/>
        </w:rPr>
        <w:tab/>
      </w:r>
      <w:r w:rsidR="00B725E9">
        <w:rPr>
          <w:b/>
        </w:rPr>
        <w:t>I</w:t>
      </w:r>
      <w:r w:rsidR="00651F7A" w:rsidRPr="000B7D68">
        <w:rPr>
          <w:b/>
        </w:rPr>
        <w:t xml:space="preserve">nstruya al personal policial y penitenciario, de manera categórica y periódica, sobre la prohibición absoluta e imperativa de tortura y malos tratos y que </w:t>
      </w:r>
      <w:r w:rsidR="00651F7A" w:rsidRPr="000B7D68">
        <w:rPr>
          <w:b/>
        </w:rPr>
        <w:lastRenderedPageBreak/>
        <w:t>dicha prohibición se incluya en las normas o instrucciones generales que se publiquen en relación con los deberes y funciones del personal policial y penitenciario</w:t>
      </w:r>
      <w:r w:rsidR="00651F7A" w:rsidRPr="0098110E">
        <w:rPr>
          <w:sz w:val="18"/>
          <w:vertAlign w:val="superscript"/>
        </w:rPr>
        <w:footnoteReference w:id="7"/>
      </w:r>
      <w:r w:rsidR="0081238D">
        <w:rPr>
          <w:b/>
        </w:rPr>
        <w:t>;</w:t>
      </w:r>
      <w:r w:rsidR="00651F7A" w:rsidRPr="000B7D68">
        <w:rPr>
          <w:b/>
        </w:rPr>
        <w:t xml:space="preserve"> </w:t>
      </w:r>
    </w:p>
    <w:p w14:paraId="20995408" w14:textId="5D7FA02D" w:rsidR="00651F7A" w:rsidRPr="000B7D68" w:rsidRDefault="003F48E6" w:rsidP="00651F7A">
      <w:pPr>
        <w:pStyle w:val="SingleTxtG"/>
        <w:rPr>
          <w:b/>
        </w:rPr>
      </w:pPr>
      <w:r>
        <w:rPr>
          <w:b/>
        </w:rPr>
        <w:tab/>
      </w:r>
      <w:r w:rsidR="00651F7A" w:rsidRPr="000B7D68">
        <w:rPr>
          <w:b/>
        </w:rPr>
        <w:tab/>
        <w:t>b)</w:t>
      </w:r>
      <w:r w:rsidR="00651F7A" w:rsidRPr="000B7D68">
        <w:rPr>
          <w:b/>
        </w:rPr>
        <w:tab/>
      </w:r>
      <w:r w:rsidR="00C75597">
        <w:rPr>
          <w:b/>
        </w:rPr>
        <w:t>A</w:t>
      </w:r>
      <w:r w:rsidR="00651F7A" w:rsidRPr="000B7D68">
        <w:rPr>
          <w:b/>
        </w:rPr>
        <w:t xml:space="preserve">dopte una política penitenciaria clara e integral para asegurar que el sistema disciplinario dentro de los centros sea ejercido sin excepción por el personal penitenciario (de acuerdo con la Ley </w:t>
      </w:r>
      <w:r w:rsidR="00C75597">
        <w:rPr>
          <w:b/>
        </w:rPr>
        <w:t xml:space="preserve">núm. </w:t>
      </w:r>
      <w:r w:rsidR="00651F7A" w:rsidRPr="000B7D68">
        <w:rPr>
          <w:b/>
        </w:rPr>
        <w:t>2298 de Ejecución Penal y Supervisión), y no por los delegados y/u otr</w:t>
      </w:r>
      <w:r w:rsidR="0081238D">
        <w:rPr>
          <w:b/>
        </w:rPr>
        <w:t>as autoridades del autogobierno</w:t>
      </w:r>
      <w:r w:rsidR="00651F7A" w:rsidRPr="000B7D68">
        <w:rPr>
          <w:b/>
        </w:rPr>
        <w:t>;</w:t>
      </w:r>
    </w:p>
    <w:p w14:paraId="20995409" w14:textId="357B6923" w:rsidR="00651F7A" w:rsidRPr="000B7D68" w:rsidRDefault="003F48E6" w:rsidP="00651F7A">
      <w:pPr>
        <w:pStyle w:val="SingleTxtG"/>
        <w:rPr>
          <w:b/>
        </w:rPr>
      </w:pPr>
      <w:r>
        <w:rPr>
          <w:b/>
        </w:rPr>
        <w:tab/>
      </w:r>
      <w:r w:rsidR="00651F7A" w:rsidRPr="000B7D68">
        <w:rPr>
          <w:b/>
        </w:rPr>
        <w:tab/>
        <w:t>c)</w:t>
      </w:r>
      <w:r w:rsidR="00651F7A" w:rsidRPr="000B7D68">
        <w:rPr>
          <w:b/>
        </w:rPr>
        <w:tab/>
      </w:r>
      <w:r w:rsidR="00C75597">
        <w:rPr>
          <w:b/>
        </w:rPr>
        <w:t>R</w:t>
      </w:r>
      <w:r w:rsidR="00651F7A" w:rsidRPr="000B7D68">
        <w:rPr>
          <w:b/>
        </w:rPr>
        <w:t xml:space="preserve">eprima el uso de prácticas de contención química, mecánica o física en instituciones psiquiátricas de acuerdo con el </w:t>
      </w:r>
      <w:r w:rsidR="00C75597">
        <w:rPr>
          <w:b/>
        </w:rPr>
        <w:t xml:space="preserve">artículo </w:t>
      </w:r>
      <w:r w:rsidR="00651F7A" w:rsidRPr="000B7D68">
        <w:rPr>
          <w:b/>
        </w:rPr>
        <w:t xml:space="preserve">16 de la Convención </w:t>
      </w:r>
      <w:r w:rsidR="00017915">
        <w:rPr>
          <w:b/>
        </w:rPr>
        <w:t xml:space="preserve">sobre </w:t>
      </w:r>
      <w:r w:rsidR="00651F7A" w:rsidRPr="000B7D68">
        <w:rPr>
          <w:b/>
        </w:rPr>
        <w:t>los Derechos de las Personas con Discapacidad;</w:t>
      </w:r>
    </w:p>
    <w:p w14:paraId="2099540A" w14:textId="764168F1" w:rsidR="00651F7A" w:rsidRPr="000B7D68" w:rsidRDefault="003F48E6" w:rsidP="00651F7A">
      <w:pPr>
        <w:pStyle w:val="SingleTxtG"/>
        <w:rPr>
          <w:b/>
        </w:rPr>
      </w:pPr>
      <w:r>
        <w:rPr>
          <w:b/>
        </w:rPr>
        <w:tab/>
      </w:r>
      <w:r w:rsidR="00651F7A" w:rsidRPr="000B7D68">
        <w:rPr>
          <w:b/>
        </w:rPr>
        <w:tab/>
        <w:t>d)</w:t>
      </w:r>
      <w:r w:rsidR="00651F7A" w:rsidRPr="000B7D68">
        <w:rPr>
          <w:b/>
        </w:rPr>
        <w:tab/>
      </w:r>
      <w:r w:rsidR="00017915">
        <w:rPr>
          <w:b/>
        </w:rPr>
        <w:t>R</w:t>
      </w:r>
      <w:r w:rsidR="00651F7A" w:rsidRPr="000B7D68">
        <w:rPr>
          <w:b/>
        </w:rPr>
        <w:t>ealice de manera urgente una auditoría a nivel nacional sobre las condiciones materiales de las celdas de castigo que efectivamente albergan detenidos y establezca un plan de acción para limpiarlas, renovarlas o clausurarlas cuando las condiciones mínimas de las mismas no se ajusten a las normas internacionales.</w:t>
      </w:r>
    </w:p>
    <w:p w14:paraId="2099540B" w14:textId="65251FE9" w:rsidR="00651F7A" w:rsidRPr="00802E03" w:rsidRDefault="00651F7A">
      <w:pPr>
        <w:pStyle w:val="H1G"/>
      </w:pPr>
      <w:r>
        <w:tab/>
      </w:r>
      <w:r w:rsidR="006C092E">
        <w:t>B.</w:t>
      </w:r>
      <w:r w:rsidR="006C092E">
        <w:tab/>
      </w:r>
      <w:r>
        <w:t>I</w:t>
      </w:r>
      <w:r w:rsidRPr="00802E03">
        <w:t xml:space="preserve">mpunidad </w:t>
      </w:r>
    </w:p>
    <w:p w14:paraId="2099540C" w14:textId="496C252D" w:rsidR="00651F7A" w:rsidRDefault="00AB5AA5" w:rsidP="00651F7A">
      <w:pPr>
        <w:pStyle w:val="SingleTxtG"/>
      </w:pPr>
      <w:r>
        <w:t>22</w:t>
      </w:r>
      <w:r w:rsidR="00651F7A">
        <w:t>.</w:t>
      </w:r>
      <w:r w:rsidR="003F48E6">
        <w:tab/>
      </w:r>
      <w:r w:rsidR="00651F7A" w:rsidRPr="00802E03">
        <w:t xml:space="preserve">El </w:t>
      </w:r>
      <w:r w:rsidR="00522056">
        <w:t>Subcomité</w:t>
      </w:r>
      <w:r w:rsidR="00651F7A" w:rsidRPr="00802E03">
        <w:t xml:space="preserve"> </w:t>
      </w:r>
      <w:r w:rsidR="00651F7A">
        <w:t>fue informado</w:t>
      </w:r>
      <w:r w:rsidR="00651F7A" w:rsidRPr="00802E03">
        <w:t xml:space="preserve"> que las víctimas no denunciaban a los perpetradores (oficiales de policía, oficiales del sistema penitenciario y autoridades del autogobierno) por</w:t>
      </w:r>
      <w:r w:rsidR="00651F7A">
        <w:t xml:space="preserve"> </w:t>
      </w:r>
      <w:r w:rsidR="00651F7A" w:rsidRPr="00802E03">
        <w:t xml:space="preserve">temor a ser maltratadas o torturadas nuevamente, </w:t>
      </w:r>
      <w:r w:rsidR="00C939AC">
        <w:t xml:space="preserve">por </w:t>
      </w:r>
      <w:r w:rsidR="00651F7A" w:rsidRPr="00802E03">
        <w:t xml:space="preserve">riesgo de represalias contra ellas o sus familiares, así como </w:t>
      </w:r>
      <w:r w:rsidR="00651F7A">
        <w:t xml:space="preserve">por </w:t>
      </w:r>
      <w:r w:rsidR="00651F7A" w:rsidRPr="00802E03">
        <w:t xml:space="preserve">la falta </w:t>
      </w:r>
      <w:r w:rsidR="00651F7A">
        <w:t xml:space="preserve">de </w:t>
      </w:r>
      <w:r w:rsidR="00651F7A" w:rsidRPr="00802E03">
        <w:t>mecanismos</w:t>
      </w:r>
      <w:r w:rsidR="00651F7A">
        <w:t xml:space="preserve"> eficaces</w:t>
      </w:r>
      <w:r w:rsidR="00651F7A" w:rsidRPr="00802E03">
        <w:t xml:space="preserve"> de denuncias y de queja, entre otr</w:t>
      </w:r>
      <w:r w:rsidR="00285041">
        <w:t>o</w:t>
      </w:r>
      <w:r w:rsidR="00651F7A" w:rsidRPr="00802E03">
        <w:t xml:space="preserve">s. </w:t>
      </w:r>
    </w:p>
    <w:p w14:paraId="2099540D" w14:textId="54DB0FC8" w:rsidR="00651F7A" w:rsidRDefault="00AB5AA5" w:rsidP="00651F7A">
      <w:pPr>
        <w:pStyle w:val="SingleTxtG"/>
      </w:pPr>
      <w:r>
        <w:t>23</w:t>
      </w:r>
      <w:r w:rsidR="00651F7A">
        <w:t>.</w:t>
      </w:r>
      <w:r w:rsidR="003F48E6">
        <w:tab/>
      </w:r>
      <w:r w:rsidR="00651F7A" w:rsidRPr="007E6A61">
        <w:t xml:space="preserve">Al </w:t>
      </w:r>
      <w:r w:rsidR="00522056">
        <w:t>Subcomité</w:t>
      </w:r>
      <w:r w:rsidR="00651F7A" w:rsidRPr="007E6A61">
        <w:t xml:space="preserve"> le preocupa</w:t>
      </w:r>
      <w:r w:rsidR="00651F7A">
        <w:t xml:space="preserve"> la</w:t>
      </w:r>
      <w:r w:rsidR="00651F7A" w:rsidRPr="007E6A61">
        <w:t xml:space="preserve"> información recibida sobre tres muertes viole</w:t>
      </w:r>
      <w:r w:rsidR="0081238D">
        <w:t xml:space="preserve">ntas en el penal de Chonchocoro </w:t>
      </w:r>
      <w:r w:rsidR="00651F7A" w:rsidRPr="007E6A61">
        <w:t xml:space="preserve">que a la fecha no habrían sido investigadas, </w:t>
      </w:r>
      <w:r w:rsidR="00651F7A">
        <w:t xml:space="preserve">ni </w:t>
      </w:r>
      <w:r w:rsidR="00285041">
        <w:t xml:space="preserve">en sede </w:t>
      </w:r>
      <w:r w:rsidR="00651F7A">
        <w:t>penal ni administrativamente.</w:t>
      </w:r>
    </w:p>
    <w:p w14:paraId="2099540E" w14:textId="1B9B8CBF" w:rsidR="00651F7A" w:rsidRPr="00651F7A" w:rsidRDefault="00AB5AA5" w:rsidP="00651F7A">
      <w:pPr>
        <w:pStyle w:val="SingleTxtG"/>
        <w:rPr>
          <w:b/>
        </w:rPr>
      </w:pPr>
      <w:r w:rsidRPr="0098110E">
        <w:t>24</w:t>
      </w:r>
      <w:r w:rsidR="00651F7A" w:rsidRPr="0098110E">
        <w:t>.</w:t>
      </w:r>
      <w:r w:rsidR="00651F7A" w:rsidRPr="0098110E">
        <w:tab/>
      </w:r>
      <w:r w:rsidR="00651F7A" w:rsidRPr="00651F7A">
        <w:rPr>
          <w:b/>
        </w:rPr>
        <w:t xml:space="preserve">El </w:t>
      </w:r>
      <w:r w:rsidR="00522056">
        <w:rPr>
          <w:b/>
        </w:rPr>
        <w:t>Subcomité</w:t>
      </w:r>
      <w:r w:rsidR="00651F7A" w:rsidRPr="00651F7A">
        <w:rPr>
          <w:b/>
        </w:rPr>
        <w:t xml:space="preserve"> insta al Estado parte a iniciar investigaciones de fondo sobre alegaciones de tortura y malos tratos presuntamente cometidas por los agentes de policía y personal penitenciario, así como establecer la responsabilidad de los superiores jerárquicos que instiguen, alienten, co</w:t>
      </w:r>
      <w:r w:rsidR="00F04164">
        <w:rPr>
          <w:b/>
        </w:rPr>
        <w:t>nsientan o toleren dichos actos</w:t>
      </w:r>
      <w:r w:rsidR="00651F7A" w:rsidRPr="0098110E">
        <w:rPr>
          <w:sz w:val="18"/>
          <w:szCs w:val="18"/>
          <w:vertAlign w:val="superscript"/>
        </w:rPr>
        <w:footnoteReference w:id="8"/>
      </w:r>
      <w:r w:rsidR="00F04164">
        <w:rPr>
          <w:b/>
        </w:rPr>
        <w:t>.</w:t>
      </w:r>
    </w:p>
    <w:p w14:paraId="2099540F" w14:textId="72F93CBA" w:rsidR="00651F7A" w:rsidRPr="00651F7A" w:rsidRDefault="00AB5AA5" w:rsidP="00651F7A">
      <w:pPr>
        <w:pStyle w:val="SingleTxtG"/>
        <w:rPr>
          <w:b/>
        </w:rPr>
      </w:pPr>
      <w:r w:rsidRPr="0098110E">
        <w:t>25</w:t>
      </w:r>
      <w:r w:rsidR="00651F7A" w:rsidRPr="0098110E">
        <w:t>.</w:t>
      </w:r>
      <w:r w:rsidR="003F48E6">
        <w:rPr>
          <w:b/>
        </w:rPr>
        <w:tab/>
      </w:r>
      <w:r w:rsidR="00651F7A" w:rsidRPr="00651F7A">
        <w:rPr>
          <w:b/>
        </w:rPr>
        <w:t xml:space="preserve">El </w:t>
      </w:r>
      <w:r w:rsidR="00522056">
        <w:rPr>
          <w:b/>
        </w:rPr>
        <w:t>Subcomité</w:t>
      </w:r>
      <w:r w:rsidR="00651F7A" w:rsidRPr="00651F7A">
        <w:rPr>
          <w:b/>
        </w:rPr>
        <w:t xml:space="preserve"> reitera su recomendación anterior sobre el Instituto de Investigaciones Forenses y la implementación del </w:t>
      </w:r>
      <w:r w:rsidR="00332319" w:rsidRPr="00815B60">
        <w:rPr>
          <w:b/>
        </w:rPr>
        <w:t>Manual para la investigación y documentación eficaces de</w:t>
      </w:r>
      <w:r w:rsidR="00410223">
        <w:rPr>
          <w:b/>
          <w:i/>
          <w:iCs/>
        </w:rPr>
        <w:t xml:space="preserve"> </w:t>
      </w:r>
      <w:r w:rsidR="00332319" w:rsidRPr="00815B60">
        <w:rPr>
          <w:b/>
        </w:rPr>
        <w:t>la tortura y otros tratos o penas crueles, inhumanos o degradantes</w:t>
      </w:r>
      <w:r w:rsidR="00332319" w:rsidRPr="00651F7A">
        <w:rPr>
          <w:b/>
        </w:rPr>
        <w:t xml:space="preserve"> </w:t>
      </w:r>
      <w:r w:rsidR="00332319">
        <w:rPr>
          <w:b/>
        </w:rPr>
        <w:t>(</w:t>
      </w:r>
      <w:r w:rsidR="00651F7A" w:rsidRPr="00651F7A">
        <w:rPr>
          <w:b/>
        </w:rPr>
        <w:t>Protocolo de Estambul</w:t>
      </w:r>
      <w:r w:rsidR="00332319">
        <w:rPr>
          <w:b/>
        </w:rPr>
        <w:t>)</w:t>
      </w:r>
      <w:r w:rsidR="00651F7A" w:rsidRPr="00815B60">
        <w:rPr>
          <w:b/>
          <w:vertAlign w:val="superscript"/>
        </w:rPr>
        <w:footnoteReference w:id="9"/>
      </w:r>
      <w:r w:rsidR="00651F7A" w:rsidRPr="00651F7A">
        <w:rPr>
          <w:b/>
        </w:rPr>
        <w:t xml:space="preserve"> e insta al Estado parte a tomar medidas para que los informes forenses se ajusten al Protocolo y que permitan documentar posibles casos de tortura. Asimismo, el </w:t>
      </w:r>
      <w:r w:rsidR="00522056">
        <w:rPr>
          <w:b/>
        </w:rPr>
        <w:t>Subcomité</w:t>
      </w:r>
      <w:r w:rsidR="00651F7A" w:rsidRPr="00651F7A">
        <w:rPr>
          <w:b/>
        </w:rPr>
        <w:t xml:space="preserve"> recomienda que, de acuerdo a las obligaciones asumidas por el Estado parte de conformidad con los artículos 12 y 16 de la Convención contra la Tortura, se proceda a una investigación pronta e imparcial siempre que haya motivos razonables para creer que se ha cometido un acto de tortura o malos tratos. Esta investigación deberá tener lugar a</w:t>
      </w:r>
      <w:r w:rsidR="00994AAF">
        <w:rPr>
          <w:b/>
        </w:rPr>
        <w:t>u</w:t>
      </w:r>
      <w:r w:rsidR="00651F7A" w:rsidRPr="00651F7A">
        <w:rPr>
          <w:b/>
        </w:rPr>
        <w:t>n en ausencia de una queja formal.</w:t>
      </w:r>
    </w:p>
    <w:p w14:paraId="20995410" w14:textId="5E9B99F0" w:rsidR="00651F7A" w:rsidRPr="00FC19FF" w:rsidRDefault="00AB5AA5" w:rsidP="00651F7A">
      <w:pPr>
        <w:pStyle w:val="SingleTxtG"/>
      </w:pPr>
      <w:r>
        <w:t>26</w:t>
      </w:r>
      <w:r w:rsidR="00651F7A">
        <w:t>.</w:t>
      </w:r>
      <w:r w:rsidR="003F48E6">
        <w:tab/>
      </w:r>
      <w:r w:rsidR="00651F7A" w:rsidRPr="00FC19FF">
        <w:t>T</w:t>
      </w:r>
      <w:r w:rsidR="00651F7A" w:rsidRPr="00802E03">
        <w:t>anto el Comité contra la Tortura</w:t>
      </w:r>
      <w:r w:rsidR="00651F7A">
        <w:rPr>
          <w:rStyle w:val="Refdenotaalpie"/>
        </w:rPr>
        <w:footnoteReference w:id="10"/>
      </w:r>
      <w:r w:rsidR="00651F7A">
        <w:t xml:space="preserve"> </w:t>
      </w:r>
      <w:r w:rsidR="00651F7A" w:rsidRPr="00802E03">
        <w:t xml:space="preserve">como el </w:t>
      </w:r>
      <w:r w:rsidR="00522056">
        <w:t>Subcomité</w:t>
      </w:r>
      <w:r w:rsidR="00651F7A" w:rsidRPr="00802E03">
        <w:t xml:space="preserve"> han concluido que la actual tipificación del delito de tortura en el </w:t>
      </w:r>
      <w:r w:rsidR="00A321ED">
        <w:t xml:space="preserve">artículo </w:t>
      </w:r>
      <w:r w:rsidR="00651F7A" w:rsidRPr="00802E03">
        <w:t xml:space="preserve">295 del Código Penal es inadecuada. Las razones ya fueron compartidas por el </w:t>
      </w:r>
      <w:r w:rsidR="00522056">
        <w:t>Subcomité</w:t>
      </w:r>
      <w:r w:rsidR="00651F7A" w:rsidRPr="00802E03">
        <w:t xml:space="preserve"> con el </w:t>
      </w:r>
      <w:r w:rsidR="00D76AD1">
        <w:t>Estado Plurinacional de</w:t>
      </w:r>
      <w:r w:rsidR="00D76AD1" w:rsidRPr="00F13B33">
        <w:t xml:space="preserve"> </w:t>
      </w:r>
      <w:r w:rsidR="00A321ED">
        <w:t xml:space="preserve">Bolivia </w:t>
      </w:r>
      <w:r w:rsidR="00651F7A" w:rsidRPr="00802E03">
        <w:t xml:space="preserve">en el informe </w:t>
      </w:r>
      <w:r w:rsidR="00F04164">
        <w:t>de su primera visita en 2010</w:t>
      </w:r>
      <w:r w:rsidR="008A3E69">
        <w:rPr>
          <w:rStyle w:val="Refdenotaalpie"/>
        </w:rPr>
        <w:footnoteReference w:id="11"/>
      </w:r>
      <w:r w:rsidR="00F04164">
        <w:t>.</w:t>
      </w:r>
    </w:p>
    <w:p w14:paraId="20995414" w14:textId="0D26073B" w:rsidR="00651F7A" w:rsidRPr="00651F7A" w:rsidRDefault="00AB5AA5" w:rsidP="00651F7A">
      <w:pPr>
        <w:pStyle w:val="SingleTxtG"/>
        <w:rPr>
          <w:b/>
        </w:rPr>
      </w:pPr>
      <w:r w:rsidRPr="0098110E">
        <w:lastRenderedPageBreak/>
        <w:t>27</w:t>
      </w:r>
      <w:r w:rsidR="00651F7A" w:rsidRPr="0098110E">
        <w:t>.</w:t>
      </w:r>
      <w:r w:rsidR="003F48E6">
        <w:rPr>
          <w:b/>
        </w:rPr>
        <w:tab/>
      </w:r>
      <w:r w:rsidR="00651F7A" w:rsidRPr="00651F7A">
        <w:rPr>
          <w:b/>
        </w:rPr>
        <w:t xml:space="preserve">Pasados siete años desde la primera visita del </w:t>
      </w:r>
      <w:r w:rsidR="00522056">
        <w:rPr>
          <w:b/>
        </w:rPr>
        <w:t>Subcomité</w:t>
      </w:r>
      <w:r w:rsidR="00651F7A" w:rsidRPr="00651F7A">
        <w:rPr>
          <w:b/>
        </w:rPr>
        <w:t xml:space="preserve">, no ha habido cambio alguno en la legislación pertinente. El </w:t>
      </w:r>
      <w:r w:rsidR="00522056">
        <w:rPr>
          <w:b/>
        </w:rPr>
        <w:t>Subcomité</w:t>
      </w:r>
      <w:r w:rsidR="00651F7A" w:rsidRPr="00651F7A">
        <w:rPr>
          <w:b/>
        </w:rPr>
        <w:t xml:space="preserve"> tiene que referirse una vez más, y con gran preocupación, a sus consideracion</w:t>
      </w:r>
      <w:r w:rsidR="00F04164">
        <w:rPr>
          <w:b/>
        </w:rPr>
        <w:t>es y recomendaciones anteriores</w:t>
      </w:r>
      <w:r w:rsidR="00651F7A" w:rsidRPr="0098110E">
        <w:rPr>
          <w:sz w:val="18"/>
          <w:vertAlign w:val="superscript"/>
        </w:rPr>
        <w:footnoteReference w:id="12"/>
      </w:r>
      <w:r w:rsidR="00F04164">
        <w:rPr>
          <w:b/>
        </w:rPr>
        <w:t>.</w:t>
      </w:r>
      <w:r w:rsidR="00651F7A" w:rsidRPr="00651F7A">
        <w:rPr>
          <w:b/>
        </w:rPr>
        <w:t xml:space="preserve"> </w:t>
      </w:r>
      <w:r w:rsidR="0010558C">
        <w:rPr>
          <w:b/>
        </w:rPr>
        <w:t xml:space="preserve"> </w:t>
      </w:r>
      <w:r w:rsidR="00651F7A" w:rsidRPr="00651F7A">
        <w:rPr>
          <w:b/>
        </w:rPr>
        <w:t xml:space="preserve">El </w:t>
      </w:r>
      <w:r w:rsidR="00522056">
        <w:rPr>
          <w:b/>
        </w:rPr>
        <w:t>Subcomité</w:t>
      </w:r>
      <w:r w:rsidR="00651F7A" w:rsidRPr="00651F7A">
        <w:rPr>
          <w:b/>
        </w:rPr>
        <w:t xml:space="preserve"> reitera en particular la importancia de que el Estado, de manera urgente, tome las medidas legislativas para adecuar la norma a los tratados internacionales sobre tortura ratificados por </w:t>
      </w:r>
      <w:r w:rsidR="00D76AD1">
        <w:rPr>
          <w:b/>
        </w:rPr>
        <w:t xml:space="preserve">el </w:t>
      </w:r>
      <w:r w:rsidR="00D76AD1" w:rsidRPr="00815B60">
        <w:rPr>
          <w:b/>
        </w:rPr>
        <w:t>Estado Plurinacional de</w:t>
      </w:r>
      <w:r w:rsidR="00D76AD1" w:rsidRPr="00F13B33">
        <w:t xml:space="preserve"> </w:t>
      </w:r>
      <w:r w:rsidR="00651F7A" w:rsidRPr="00651F7A">
        <w:rPr>
          <w:b/>
        </w:rPr>
        <w:t>Bolivia y para evitar cualquier riesgo de impunidad</w:t>
      </w:r>
      <w:r w:rsidR="0022472F">
        <w:rPr>
          <w:b/>
        </w:rPr>
        <w:t xml:space="preserve"> y </w:t>
      </w:r>
      <w:r w:rsidR="0081238D">
        <w:rPr>
          <w:b/>
        </w:rPr>
        <w:t xml:space="preserve">garantizar </w:t>
      </w:r>
      <w:r w:rsidR="00651F7A" w:rsidRPr="00651F7A">
        <w:rPr>
          <w:b/>
        </w:rPr>
        <w:t xml:space="preserve">la adecuada investigación y sanción de la tortura. </w:t>
      </w:r>
    </w:p>
    <w:p w14:paraId="20995415" w14:textId="06F0201A" w:rsidR="00651F7A" w:rsidRPr="00802E03" w:rsidRDefault="00651F7A" w:rsidP="00651F7A">
      <w:pPr>
        <w:pStyle w:val="HChG"/>
      </w:pPr>
      <w:r>
        <w:tab/>
      </w:r>
      <w:r w:rsidRPr="00802E03">
        <w:t>IV.</w:t>
      </w:r>
      <w:r>
        <w:tab/>
      </w:r>
      <w:r w:rsidRPr="00802E03">
        <w:t xml:space="preserve">Seguimiento de las recomendaciones del </w:t>
      </w:r>
      <w:r w:rsidR="00522056">
        <w:t>Subcomité</w:t>
      </w:r>
      <w:r w:rsidR="003F48E6">
        <w:br/>
      </w:r>
      <w:r w:rsidRPr="00802E03">
        <w:t xml:space="preserve">de </w:t>
      </w:r>
      <w:r w:rsidRPr="002A15EA">
        <w:t>2010</w:t>
      </w:r>
    </w:p>
    <w:p w14:paraId="20995416" w14:textId="25C4B9D9" w:rsidR="00651F7A" w:rsidRPr="00D41912" w:rsidRDefault="00651F7A" w:rsidP="00651F7A">
      <w:pPr>
        <w:pStyle w:val="H1G"/>
        <w:rPr>
          <w:rFonts w:eastAsia="Calibri"/>
          <w:lang w:eastAsia="en-US"/>
        </w:rPr>
      </w:pPr>
      <w:r>
        <w:tab/>
      </w:r>
      <w:r w:rsidRPr="00802E03">
        <w:t>A.</w:t>
      </w:r>
      <w:r>
        <w:tab/>
      </w:r>
      <w:r w:rsidRPr="00D41912">
        <w:rPr>
          <w:rFonts w:eastAsia="Calibri"/>
          <w:lang w:eastAsia="en-US"/>
        </w:rPr>
        <w:t xml:space="preserve">Causas y consecuencias del excesivo uso de la detención preventiva </w:t>
      </w:r>
    </w:p>
    <w:p w14:paraId="20995417" w14:textId="450C4BBA" w:rsidR="00651F7A" w:rsidRPr="00D41912" w:rsidRDefault="00AB5AA5" w:rsidP="00651F7A">
      <w:pPr>
        <w:pStyle w:val="SingleTxtG"/>
        <w:rPr>
          <w:b/>
        </w:rPr>
      </w:pPr>
      <w:r>
        <w:t>28</w:t>
      </w:r>
      <w:r w:rsidR="00651F7A">
        <w:t>.</w:t>
      </w:r>
      <w:r w:rsidR="003F48E6">
        <w:tab/>
      </w:r>
      <w:r w:rsidR="00651F7A">
        <w:t>E</w:t>
      </w:r>
      <w:r w:rsidR="00651F7A" w:rsidRPr="00D41912">
        <w:t xml:space="preserve">l </w:t>
      </w:r>
      <w:r w:rsidR="00522056">
        <w:t>Subcomité</w:t>
      </w:r>
      <w:r w:rsidR="00651F7A" w:rsidRPr="00D41912">
        <w:t xml:space="preserve"> constata </w:t>
      </w:r>
      <w:r w:rsidR="00651F7A" w:rsidRPr="003708E4">
        <w:t>ausencia de mejoras</w:t>
      </w:r>
      <w:r w:rsidR="00651F7A" w:rsidRPr="00D41912">
        <w:t xml:space="preserve"> </w:t>
      </w:r>
      <w:r w:rsidR="00651F7A">
        <w:t xml:space="preserve">desde su visita en 2010 </w:t>
      </w:r>
      <w:r w:rsidR="00651F7A" w:rsidRPr="00D41912">
        <w:t xml:space="preserve">en cuanto </w:t>
      </w:r>
      <w:r w:rsidR="0081238D">
        <w:t>a</w:t>
      </w:r>
      <w:r w:rsidR="00651F7A" w:rsidRPr="00D41912">
        <w:t xml:space="preserve"> la detención preventiva que supera hoy en día el 70% y, consecuentemente</w:t>
      </w:r>
      <w:r w:rsidR="00651F7A">
        <w:t>,</w:t>
      </w:r>
      <w:r w:rsidR="00651F7A" w:rsidRPr="00D41912">
        <w:t xml:space="preserve"> lleva a altísimos niveles de hacinamiento, llegando a 550% en San Pedro y 700% en Palmasola. </w:t>
      </w:r>
    </w:p>
    <w:p w14:paraId="20995418" w14:textId="03C206F3" w:rsidR="00651F7A" w:rsidRPr="006E01ED" w:rsidRDefault="00AB5AA5" w:rsidP="00651F7A">
      <w:pPr>
        <w:pStyle w:val="SingleTxtG"/>
      </w:pPr>
      <w:r>
        <w:t>29</w:t>
      </w:r>
      <w:r w:rsidR="00651F7A">
        <w:t>.</w:t>
      </w:r>
      <w:r w:rsidR="003F48E6">
        <w:tab/>
      </w:r>
      <w:r w:rsidR="00651F7A">
        <w:t>Con</w:t>
      </w:r>
      <w:r w:rsidR="00651F7A" w:rsidRPr="006E01ED">
        <w:t xml:space="preserve"> base </w:t>
      </w:r>
      <w:r w:rsidR="00651F7A">
        <w:t xml:space="preserve">en </w:t>
      </w:r>
      <w:r w:rsidR="00651F7A" w:rsidRPr="006E01ED">
        <w:t>sus dos visitas</w:t>
      </w:r>
      <w:r w:rsidR="00651F7A" w:rsidRPr="0098110E">
        <w:rPr>
          <w:sz w:val="18"/>
          <w:szCs w:val="18"/>
          <w:vertAlign w:val="superscript"/>
        </w:rPr>
        <w:footnoteReference w:id="13"/>
      </w:r>
      <w:r w:rsidR="00F04164">
        <w:t>,</w:t>
      </w:r>
      <w:r w:rsidR="00651F7A" w:rsidRPr="006E01ED">
        <w:t xml:space="preserve"> el </w:t>
      </w:r>
      <w:r w:rsidR="00522056">
        <w:t>Subcomité</w:t>
      </w:r>
      <w:r w:rsidR="00651F7A" w:rsidRPr="006E01ED">
        <w:t xml:space="preserve"> identificó las siguientes causas de los altos índices de personas en prisión preventiva:</w:t>
      </w:r>
    </w:p>
    <w:p w14:paraId="20995419" w14:textId="72395B1A" w:rsidR="00651F7A" w:rsidRPr="006E01ED" w:rsidRDefault="00651F7A" w:rsidP="00651F7A">
      <w:pPr>
        <w:pStyle w:val="SingleTxtG"/>
      </w:pPr>
      <w:r>
        <w:tab/>
      </w:r>
      <w:r w:rsidR="003F48E6">
        <w:tab/>
      </w:r>
      <w:r w:rsidRPr="006E01ED">
        <w:t>a)</w:t>
      </w:r>
      <w:r w:rsidR="003F48E6">
        <w:tab/>
      </w:r>
      <w:r>
        <w:t xml:space="preserve">Falta de </w:t>
      </w:r>
      <w:r w:rsidRPr="006E01ED">
        <w:t xml:space="preserve">aplicación de medidas </w:t>
      </w:r>
      <w:r>
        <w:t xml:space="preserve">alternativas </w:t>
      </w:r>
      <w:r w:rsidRPr="006E01ED">
        <w:t xml:space="preserve">no privativas de la libertad, </w:t>
      </w:r>
      <w:r>
        <w:t>teniendo en cuenta que</w:t>
      </w:r>
      <w:r w:rsidRPr="006E01ED">
        <w:t xml:space="preserve"> la gran proporción de las detenciones preventivas conciernen crímenes “de bagatela” de</w:t>
      </w:r>
      <w:r>
        <w:t xml:space="preserve"> </w:t>
      </w:r>
      <w:r w:rsidRPr="006E01ED">
        <w:t>personas sin antecedentes criminales.</w:t>
      </w:r>
      <w:r>
        <w:t xml:space="preserve"> En la práctica, </w:t>
      </w:r>
      <w:r w:rsidRPr="003341FB">
        <w:t xml:space="preserve">la detención preventiva </w:t>
      </w:r>
      <w:r>
        <w:t xml:space="preserve">sigue </w:t>
      </w:r>
      <w:r w:rsidRPr="003341FB">
        <w:t>constituye</w:t>
      </w:r>
      <w:r>
        <w:t>ndo la regla, s</w:t>
      </w:r>
      <w:r w:rsidRPr="006E01ED">
        <w:t xml:space="preserve">i bien el </w:t>
      </w:r>
      <w:r w:rsidRPr="003341FB">
        <w:t>art</w:t>
      </w:r>
      <w:r>
        <w:t>ículo</w:t>
      </w:r>
      <w:r w:rsidRPr="003341FB">
        <w:t xml:space="preserve"> 221 del </w:t>
      </w:r>
      <w:r w:rsidRPr="00426DAF">
        <w:t xml:space="preserve">Código de Procedimiento Penal </w:t>
      </w:r>
      <w:r w:rsidRPr="003341FB">
        <w:t>establece su carácter excepcional</w:t>
      </w:r>
      <w:r w:rsidR="0009346F">
        <w:t>;</w:t>
      </w:r>
      <w:r w:rsidRPr="003341FB">
        <w:t xml:space="preserve"> </w:t>
      </w:r>
    </w:p>
    <w:p w14:paraId="2099541A" w14:textId="1D68E4FD" w:rsidR="00651F7A" w:rsidRPr="006E01ED" w:rsidRDefault="003F48E6" w:rsidP="00651F7A">
      <w:pPr>
        <w:pStyle w:val="SingleTxtG"/>
      </w:pPr>
      <w:r>
        <w:tab/>
      </w:r>
      <w:r w:rsidR="00651F7A">
        <w:tab/>
      </w:r>
      <w:r w:rsidR="00651F7A" w:rsidRPr="006E01ED">
        <w:t>b)</w:t>
      </w:r>
      <w:r>
        <w:tab/>
      </w:r>
      <w:r w:rsidR="00651F7A">
        <w:t>I</w:t>
      </w:r>
      <w:r w:rsidR="00651F7A" w:rsidRPr="006E01ED">
        <w:t>njerencias sobre las autoridades judiciales encargadas de decidir ac</w:t>
      </w:r>
      <w:r w:rsidR="00651F7A">
        <w:t xml:space="preserve">erca de las medidas cautelares que </w:t>
      </w:r>
      <w:r w:rsidR="00651F7A" w:rsidRPr="006E01ED">
        <w:t>provienen de una fuerte visión punitiva</w:t>
      </w:r>
      <w:r w:rsidR="00651F7A">
        <w:t>,</w:t>
      </w:r>
      <w:r w:rsidR="00651F7A" w:rsidRPr="006E01ED">
        <w:t xml:space="preserve"> la opinión pública, así como de la presión por parte de la fiscalía. </w:t>
      </w:r>
      <w:r w:rsidR="00651F7A">
        <w:t xml:space="preserve">Se informó al </w:t>
      </w:r>
      <w:r w:rsidR="00522056">
        <w:t>Subcomité</w:t>
      </w:r>
      <w:r w:rsidR="00651F7A" w:rsidRPr="006E01ED">
        <w:t xml:space="preserve"> que la fiscalía mide su eficacia por el número de solicitudes de detención preventiva</w:t>
      </w:r>
      <w:r w:rsidR="00651F7A">
        <w:t>,</w:t>
      </w:r>
      <w:r w:rsidR="00651F7A" w:rsidRPr="006E01ED">
        <w:t xml:space="preserve"> y que los jueces penales se abstienen de dictar medidas alternativas a la detención por temor a ser obj</w:t>
      </w:r>
      <w:r w:rsidR="00651F7A">
        <w:t>eto de un proceso disciplinario</w:t>
      </w:r>
      <w:r w:rsidR="00651F7A" w:rsidRPr="006E01ED">
        <w:t xml:space="preserve">, especialmente en los </w:t>
      </w:r>
      <w:r w:rsidR="00651F7A">
        <w:t xml:space="preserve">casos </w:t>
      </w:r>
      <w:r w:rsidR="00651F7A" w:rsidRPr="006E01ED">
        <w:t>de repercusión pública</w:t>
      </w:r>
      <w:r w:rsidR="00732517">
        <w:t>;</w:t>
      </w:r>
      <w:r w:rsidR="00651F7A">
        <w:t xml:space="preserve"> </w:t>
      </w:r>
    </w:p>
    <w:p w14:paraId="2099541B" w14:textId="45700AEF" w:rsidR="00651F7A" w:rsidRDefault="003F48E6" w:rsidP="00651F7A">
      <w:pPr>
        <w:pStyle w:val="SingleTxtG"/>
      </w:pPr>
      <w:r>
        <w:tab/>
      </w:r>
      <w:r w:rsidR="00651F7A">
        <w:tab/>
        <w:t>c)</w:t>
      </w:r>
      <w:r w:rsidR="00651F7A">
        <w:tab/>
      </w:r>
      <w:r w:rsidR="0081238D">
        <w:t>C</w:t>
      </w:r>
      <w:r w:rsidR="00651F7A" w:rsidRPr="006E01ED">
        <w:t>ondiciones</w:t>
      </w:r>
      <w:r w:rsidR="00651F7A">
        <w:t xml:space="preserve"> impuestas por los jueces </w:t>
      </w:r>
      <w:r w:rsidR="00651F7A" w:rsidRPr="006E01ED">
        <w:t>para acceder a las medidas</w:t>
      </w:r>
      <w:r w:rsidR="00651F7A">
        <w:t xml:space="preserve"> sustitutivas</w:t>
      </w:r>
      <w:r w:rsidR="00651F7A" w:rsidRPr="006E01ED">
        <w:t xml:space="preserve"> </w:t>
      </w:r>
      <w:r w:rsidR="007F6D91">
        <w:t xml:space="preserve">que </w:t>
      </w:r>
      <w:r w:rsidR="00651F7A" w:rsidRPr="006E01ED">
        <w:t xml:space="preserve">son </w:t>
      </w:r>
      <w:r w:rsidR="00651F7A">
        <w:t>restrictivas y discriminatorias</w:t>
      </w:r>
      <w:r w:rsidR="00651F7A" w:rsidRPr="006E01ED">
        <w:t>,</w:t>
      </w:r>
      <w:r w:rsidR="00651F7A">
        <w:t xml:space="preserve"> </w:t>
      </w:r>
      <w:r w:rsidR="00651F7A" w:rsidRPr="006E01ED">
        <w:t xml:space="preserve">requiriendo en </w:t>
      </w:r>
      <w:r w:rsidR="00651F7A">
        <w:t xml:space="preserve">su </w:t>
      </w:r>
      <w:r w:rsidR="00651F7A" w:rsidRPr="006E01ED">
        <w:t xml:space="preserve">mayoría </w:t>
      </w:r>
      <w:r w:rsidR="0081238D">
        <w:t>fianzas desproporcionadas</w:t>
      </w:r>
      <w:r w:rsidR="00651F7A" w:rsidRPr="006E01ED">
        <w:t>, lo que</w:t>
      </w:r>
      <w:r w:rsidR="00651F7A">
        <w:t xml:space="preserve"> lleva </w:t>
      </w:r>
      <w:r w:rsidR="00651F7A" w:rsidRPr="006E01ED">
        <w:t>a la permanencia en prisión de los</w:t>
      </w:r>
      <w:r w:rsidR="00651F7A">
        <w:t xml:space="preserve"> grupos más pobres y marginados</w:t>
      </w:r>
      <w:r w:rsidR="00651F7A" w:rsidRPr="0098110E">
        <w:rPr>
          <w:sz w:val="18"/>
          <w:szCs w:val="18"/>
          <w:vertAlign w:val="superscript"/>
        </w:rPr>
        <w:footnoteReference w:id="14"/>
      </w:r>
      <w:r w:rsidR="00F83351">
        <w:t>;</w:t>
      </w:r>
      <w:r w:rsidR="00651F7A">
        <w:t xml:space="preserve"> </w:t>
      </w:r>
    </w:p>
    <w:p w14:paraId="2099541C" w14:textId="5C259127" w:rsidR="00651F7A" w:rsidRPr="00D41912" w:rsidRDefault="003F48E6" w:rsidP="00651F7A">
      <w:pPr>
        <w:pStyle w:val="SingleTxtG"/>
      </w:pPr>
      <w:r>
        <w:tab/>
      </w:r>
      <w:r w:rsidR="00651F7A">
        <w:tab/>
      </w:r>
      <w:r w:rsidR="00651F7A" w:rsidRPr="00D41912">
        <w:t>d)</w:t>
      </w:r>
      <w:r>
        <w:tab/>
      </w:r>
      <w:r w:rsidR="00651F7A">
        <w:t xml:space="preserve">Mora </w:t>
      </w:r>
      <w:r w:rsidR="00651F7A" w:rsidRPr="006E01ED">
        <w:t>e incumplimiento de los plazos procesales.</w:t>
      </w:r>
      <w:r w:rsidR="00F04164">
        <w:rPr>
          <w:bCs/>
          <w:iCs/>
          <w:color w:val="000000"/>
        </w:rPr>
        <w:t xml:space="preserve"> Según información disponible</w:t>
      </w:r>
      <w:r w:rsidR="00651F7A" w:rsidRPr="0098110E">
        <w:rPr>
          <w:bCs/>
          <w:iCs/>
          <w:color w:val="000000"/>
          <w:sz w:val="18"/>
          <w:szCs w:val="18"/>
          <w:vertAlign w:val="superscript"/>
        </w:rPr>
        <w:footnoteReference w:id="15"/>
      </w:r>
      <w:r w:rsidR="00F04164">
        <w:rPr>
          <w:bCs/>
          <w:iCs/>
          <w:color w:val="000000"/>
        </w:rPr>
        <w:t>,</w:t>
      </w:r>
      <w:r w:rsidR="00651F7A" w:rsidRPr="006E01ED">
        <w:rPr>
          <w:bCs/>
          <w:iCs/>
          <w:color w:val="000000"/>
        </w:rPr>
        <w:t xml:space="preserve"> más de</w:t>
      </w:r>
      <w:r w:rsidR="001633B1">
        <w:rPr>
          <w:bCs/>
          <w:iCs/>
          <w:color w:val="000000"/>
        </w:rPr>
        <w:t>l</w:t>
      </w:r>
      <w:r w:rsidR="00651F7A" w:rsidRPr="006E01ED">
        <w:rPr>
          <w:bCs/>
          <w:iCs/>
          <w:color w:val="000000"/>
        </w:rPr>
        <w:t xml:space="preserve"> </w:t>
      </w:r>
      <w:r w:rsidR="00651F7A" w:rsidRPr="006E01ED">
        <w:rPr>
          <w:rFonts w:eastAsia="Calibri"/>
          <w:color w:val="000000"/>
          <w:lang w:eastAsia="en-US"/>
        </w:rPr>
        <w:t>7</w:t>
      </w:r>
      <w:r w:rsidR="00651F7A" w:rsidRPr="006E01ED">
        <w:rPr>
          <w:color w:val="000000"/>
        </w:rPr>
        <w:t>0</w:t>
      </w:r>
      <w:r w:rsidR="00651F7A" w:rsidRPr="006E01ED">
        <w:rPr>
          <w:rFonts w:eastAsia="Calibri"/>
          <w:color w:val="000000"/>
          <w:lang w:eastAsia="en-US"/>
        </w:rPr>
        <w:t>% de las audiencias se suspendían</w:t>
      </w:r>
      <w:r w:rsidR="00651F7A">
        <w:rPr>
          <w:rFonts w:eastAsia="Calibri"/>
          <w:color w:val="000000"/>
          <w:lang w:eastAsia="en-US"/>
        </w:rPr>
        <w:t xml:space="preserve"> por inasistencia del juez cautelar</w:t>
      </w:r>
      <w:r w:rsidR="00651F7A" w:rsidRPr="006E01ED">
        <w:rPr>
          <w:rFonts w:eastAsia="Calibri"/>
          <w:color w:val="000000"/>
          <w:lang w:eastAsia="en-US"/>
        </w:rPr>
        <w:t xml:space="preserve">, </w:t>
      </w:r>
      <w:r w:rsidR="00651F7A">
        <w:rPr>
          <w:rFonts w:eastAsia="Calibri"/>
          <w:color w:val="000000"/>
          <w:lang w:eastAsia="en-US"/>
        </w:rPr>
        <w:t>o bien se realizaban sin presencia del fiscal</w:t>
      </w:r>
      <w:r w:rsidR="0081238D">
        <w:rPr>
          <w:rStyle w:val="Refdenotaalpie"/>
          <w:rFonts w:eastAsia="Calibri"/>
          <w:color w:val="000000"/>
          <w:lang w:eastAsia="en-US"/>
        </w:rPr>
        <w:footnoteReference w:id="16"/>
      </w:r>
      <w:r w:rsidR="00F04164">
        <w:rPr>
          <w:rFonts w:eastAsia="Calibri"/>
          <w:color w:val="000000"/>
          <w:lang w:eastAsia="en-US"/>
        </w:rPr>
        <w:t>.</w:t>
      </w:r>
      <w:r w:rsidR="00651F7A">
        <w:rPr>
          <w:rFonts w:eastAsia="Calibri"/>
          <w:color w:val="000000"/>
          <w:lang w:eastAsia="en-US"/>
        </w:rPr>
        <w:t xml:space="preserve"> </w:t>
      </w:r>
      <w:r w:rsidR="00651F7A" w:rsidRPr="006E01ED">
        <w:rPr>
          <w:color w:val="000000"/>
        </w:rPr>
        <w:t xml:space="preserve">El </w:t>
      </w:r>
      <w:r w:rsidR="00522056">
        <w:rPr>
          <w:color w:val="000000"/>
        </w:rPr>
        <w:t>Subcomité</w:t>
      </w:r>
      <w:r w:rsidR="00651F7A" w:rsidRPr="006E01ED">
        <w:rPr>
          <w:color w:val="000000"/>
        </w:rPr>
        <w:t xml:space="preserve"> constató a través de numeroso</w:t>
      </w:r>
      <w:r w:rsidR="00651F7A">
        <w:rPr>
          <w:color w:val="000000"/>
        </w:rPr>
        <w:t>s</w:t>
      </w:r>
      <w:r w:rsidR="00651F7A" w:rsidRPr="00D41912">
        <w:rPr>
          <w:color w:val="000000"/>
        </w:rPr>
        <w:t xml:space="preserve"> testimonios que la suspensión de las audiencias también se debe a demora o bloqueo intencional en los recintos penitenciarios para trasladar </w:t>
      </w:r>
      <w:r w:rsidR="00651F7A">
        <w:rPr>
          <w:color w:val="000000"/>
        </w:rPr>
        <w:t xml:space="preserve">a </w:t>
      </w:r>
      <w:r w:rsidR="00651F7A" w:rsidRPr="00D41912">
        <w:rPr>
          <w:color w:val="000000"/>
        </w:rPr>
        <w:t>los detenidos a los juzgados, pues este trámite se convierte en una fuente de ingresos ilegales para las autoridades penitenciarias y policiales</w:t>
      </w:r>
      <w:r w:rsidR="00F83351">
        <w:rPr>
          <w:color w:val="000000"/>
        </w:rPr>
        <w:t>;</w:t>
      </w:r>
      <w:r w:rsidR="00651F7A" w:rsidRPr="00D41912">
        <w:rPr>
          <w:color w:val="000000"/>
        </w:rPr>
        <w:t xml:space="preserve"> </w:t>
      </w:r>
    </w:p>
    <w:p w14:paraId="2099541D" w14:textId="006D0C40" w:rsidR="00651F7A" w:rsidRPr="00D41912" w:rsidRDefault="003F48E6" w:rsidP="00651F7A">
      <w:pPr>
        <w:pStyle w:val="SingleTxtG"/>
      </w:pPr>
      <w:r>
        <w:lastRenderedPageBreak/>
        <w:tab/>
      </w:r>
      <w:r w:rsidR="00651F7A">
        <w:tab/>
      </w:r>
      <w:r w:rsidR="00651F7A" w:rsidRPr="00D41912">
        <w:t>e)</w:t>
      </w:r>
      <w:r>
        <w:tab/>
      </w:r>
      <w:r w:rsidR="00651F7A">
        <w:t>C</w:t>
      </w:r>
      <w:r w:rsidR="00651F7A" w:rsidRPr="00D41912">
        <w:t>orrupción en el ámbito penal</w:t>
      </w:r>
      <w:r w:rsidR="00651F7A">
        <w:t>, lo que, c</w:t>
      </w:r>
      <w:r w:rsidR="00F04164">
        <w:t>omo el Subcomité señaló en 2010</w:t>
      </w:r>
      <w:r w:rsidR="00651F7A" w:rsidRPr="0098110E">
        <w:rPr>
          <w:sz w:val="18"/>
          <w:szCs w:val="18"/>
          <w:vertAlign w:val="superscript"/>
        </w:rPr>
        <w:footnoteReference w:id="17"/>
      </w:r>
      <w:r w:rsidR="00F04164">
        <w:t>,</w:t>
      </w:r>
      <w:r w:rsidR="00651F7A">
        <w:t xml:space="preserve"> </w:t>
      </w:r>
      <w:r w:rsidR="00651F7A" w:rsidRPr="00D41912">
        <w:t xml:space="preserve">tiene gran impacto en las personas de escasos recursos. De los numerosos testimonios recogidos, los abogados actuarían como intermediarios de las solicitudes </w:t>
      </w:r>
      <w:r w:rsidR="00651F7A">
        <w:t>monetarias</w:t>
      </w:r>
      <w:r w:rsidR="00651F7A" w:rsidRPr="00D41912">
        <w:t xml:space="preserve"> para evitar el encierro, y a veces el requerimiento vendría directamente por parte de los jueces y fiscales</w:t>
      </w:r>
      <w:r w:rsidR="00F83351">
        <w:t>;</w:t>
      </w:r>
      <w:r w:rsidR="00651F7A" w:rsidRPr="00D41912">
        <w:t xml:space="preserve"> </w:t>
      </w:r>
    </w:p>
    <w:p w14:paraId="2099541E" w14:textId="18B1F4AB" w:rsidR="00651F7A" w:rsidRPr="00D41912" w:rsidRDefault="003F48E6" w:rsidP="00651F7A">
      <w:pPr>
        <w:pStyle w:val="SingleTxtG"/>
      </w:pPr>
      <w:r>
        <w:tab/>
      </w:r>
      <w:r w:rsidR="00651F7A">
        <w:tab/>
      </w:r>
      <w:r w:rsidR="00651F7A" w:rsidRPr="00D41912">
        <w:t xml:space="preserve">f) </w:t>
      </w:r>
      <w:r w:rsidR="00651F7A">
        <w:tab/>
        <w:t xml:space="preserve">Incumplimiento del </w:t>
      </w:r>
      <w:r w:rsidR="00651F7A" w:rsidRPr="00D41912">
        <w:t xml:space="preserve">plazo máximo de 24 meses </w:t>
      </w:r>
      <w:r w:rsidR="00651F7A">
        <w:t>que establece</w:t>
      </w:r>
      <w:r w:rsidR="00651F7A" w:rsidRPr="00D41912">
        <w:t xml:space="preserve"> el </w:t>
      </w:r>
      <w:r w:rsidR="00F83351" w:rsidRPr="00426DAF">
        <w:t>Código de Procedimiento Penal</w:t>
      </w:r>
      <w:r w:rsidR="00F83351">
        <w:t>,</w:t>
      </w:r>
      <w:r w:rsidR="00F83351" w:rsidRPr="00426DAF">
        <w:t xml:space="preserve"> </w:t>
      </w:r>
      <w:r w:rsidR="00651F7A">
        <w:t>que</w:t>
      </w:r>
      <w:r w:rsidR="00651F7A" w:rsidRPr="00D41912">
        <w:t xml:space="preserve"> ocurre porque los jueces cautelares no ejercen el debido control sobre la duración de la detención preventiva.</w:t>
      </w:r>
      <w:r w:rsidR="00651F7A">
        <w:t xml:space="preserve"> E</w:t>
      </w:r>
      <w:r w:rsidR="00651F7A" w:rsidRPr="00D41912">
        <w:t xml:space="preserve">l </w:t>
      </w:r>
      <w:r w:rsidR="00522056">
        <w:t>Subcomité</w:t>
      </w:r>
      <w:r w:rsidR="00651F7A" w:rsidRPr="00D41912">
        <w:t xml:space="preserve"> fue informado que el Ministerio Público cuenta con un sistema de registro</w:t>
      </w:r>
      <w:r w:rsidR="00B375A5">
        <w:t xml:space="preserve"> y monitoreo de causas penales, pero, d</w:t>
      </w:r>
      <w:r w:rsidR="00651F7A">
        <w:t xml:space="preserve">e </w:t>
      </w:r>
      <w:r w:rsidR="00651F7A" w:rsidRPr="00D41912">
        <w:t xml:space="preserve">acuerdo a </w:t>
      </w:r>
      <w:r w:rsidR="00651F7A">
        <w:t xml:space="preserve">los </w:t>
      </w:r>
      <w:r w:rsidR="00651F7A" w:rsidRPr="00D41912">
        <w:t>testimonios recabados</w:t>
      </w:r>
      <w:r w:rsidR="00651F7A">
        <w:t xml:space="preserve"> </w:t>
      </w:r>
      <w:r w:rsidR="00F83351">
        <w:t>—</w:t>
      </w:r>
      <w:r w:rsidR="00651F7A">
        <w:t>incluyendo el</w:t>
      </w:r>
      <w:r w:rsidR="00651F7A" w:rsidRPr="00D41912">
        <w:t xml:space="preserve"> caso documentado </w:t>
      </w:r>
      <w:r w:rsidR="00651F7A">
        <w:t>de una</w:t>
      </w:r>
      <w:r w:rsidR="00651F7A" w:rsidRPr="00D41912">
        <w:t xml:space="preserve"> persona </w:t>
      </w:r>
      <w:r w:rsidR="00651F7A">
        <w:t xml:space="preserve">que llevaba </w:t>
      </w:r>
      <w:r w:rsidR="00F83351">
        <w:t xml:space="preserve">diez </w:t>
      </w:r>
      <w:r w:rsidR="00651F7A">
        <w:t xml:space="preserve">años en </w:t>
      </w:r>
      <w:r w:rsidR="00651F7A" w:rsidRPr="00D41912">
        <w:t>detención preventiva</w:t>
      </w:r>
      <w:r w:rsidR="00F83351">
        <w:t>—</w:t>
      </w:r>
      <w:r w:rsidR="00651F7A">
        <w:t xml:space="preserve"> </w:t>
      </w:r>
      <w:r w:rsidR="00651F7A" w:rsidRPr="00D41912">
        <w:t xml:space="preserve">el sistema no </w:t>
      </w:r>
      <w:r w:rsidR="008D50E9">
        <w:t>puede</w:t>
      </w:r>
      <w:r w:rsidR="00651F7A" w:rsidRPr="00D41912">
        <w:t xml:space="preserve"> emitir alertas para detectar</w:t>
      </w:r>
      <w:r w:rsidR="00651F7A">
        <w:t xml:space="preserve"> el incumplimiento del plazo, </w:t>
      </w:r>
      <w:r w:rsidR="00651F7A" w:rsidRPr="00D41912">
        <w:t>principalmente debido a que los funcionarios no cargan el sistema con la información necesaria</w:t>
      </w:r>
      <w:r w:rsidR="00F83351">
        <w:t>;</w:t>
      </w:r>
      <w:r w:rsidR="00651F7A" w:rsidRPr="00D41912">
        <w:t xml:space="preserve"> </w:t>
      </w:r>
    </w:p>
    <w:p w14:paraId="2099541F" w14:textId="0BC969FB" w:rsidR="00651F7A" w:rsidRDefault="00651F7A" w:rsidP="00651F7A">
      <w:pPr>
        <w:spacing w:after="120"/>
        <w:ind w:left="1134" w:right="1134"/>
        <w:jc w:val="both"/>
      </w:pPr>
      <w:r>
        <w:tab/>
      </w:r>
      <w:r w:rsidR="003F48E6">
        <w:tab/>
      </w:r>
      <w:r w:rsidRPr="0089335A">
        <w:t>g)</w:t>
      </w:r>
      <w:r w:rsidR="003F48E6">
        <w:tab/>
      </w:r>
      <w:r w:rsidRPr="0089335A">
        <w:t xml:space="preserve">Normativa vigente permeable a la imposición del encierro preventivo. </w:t>
      </w:r>
      <w:r w:rsidRPr="00DE3E97">
        <w:t>Las causales para la evaluación de los riesgos procesales conlleva</w:t>
      </w:r>
      <w:r>
        <w:t>n</w:t>
      </w:r>
      <w:r w:rsidRPr="00DE3E97">
        <w:t xml:space="preserve"> riesgos de interpretaciones arbitrarias por parte de los jueces, por </w:t>
      </w:r>
      <w:r w:rsidR="002E7ED3" w:rsidRPr="00DE3E97">
        <w:t>ejemplo,</w:t>
      </w:r>
      <w:r w:rsidRPr="00DE3E97">
        <w:t xml:space="preserve"> en el caso de peligro para la sociedad o riesgo de fuga</w:t>
      </w:r>
      <w:r>
        <w:t>.</w:t>
      </w:r>
    </w:p>
    <w:p w14:paraId="20995421" w14:textId="4026585C" w:rsidR="00651F7A" w:rsidRPr="00651F7A" w:rsidRDefault="00AB5AA5" w:rsidP="00651F7A">
      <w:pPr>
        <w:pStyle w:val="SingleTxtG"/>
        <w:rPr>
          <w:b/>
        </w:rPr>
      </w:pPr>
      <w:r w:rsidRPr="0098110E">
        <w:t>3</w:t>
      </w:r>
      <w:r w:rsidR="002E7ED3" w:rsidRPr="0098110E">
        <w:t>0</w:t>
      </w:r>
      <w:r w:rsidR="00651F7A" w:rsidRPr="0098110E">
        <w:t>.</w:t>
      </w:r>
      <w:r w:rsidR="003F48E6">
        <w:rPr>
          <w:b/>
        </w:rPr>
        <w:tab/>
      </w:r>
      <w:r w:rsidR="00B375A5">
        <w:rPr>
          <w:b/>
        </w:rPr>
        <w:t>El</w:t>
      </w:r>
      <w:r w:rsidR="00651F7A" w:rsidRPr="00651F7A">
        <w:rPr>
          <w:b/>
        </w:rPr>
        <w:t xml:space="preserve"> </w:t>
      </w:r>
      <w:r w:rsidR="00522056">
        <w:rPr>
          <w:b/>
        </w:rPr>
        <w:t>Subcomité</w:t>
      </w:r>
      <w:r w:rsidR="00651F7A" w:rsidRPr="00651F7A">
        <w:rPr>
          <w:b/>
        </w:rPr>
        <w:t xml:space="preserve"> insta el Estado parte a promover la formulación de una política criminal con enfoque de vulnerabilidad y derechos humanos, que destierre la aplicación generalizada de la detención preventiva y privilegie modelos de justicia restaurativa reparadora.</w:t>
      </w:r>
    </w:p>
    <w:p w14:paraId="20995422" w14:textId="43A789C9" w:rsidR="00651F7A" w:rsidRPr="00651F7A" w:rsidRDefault="00AB5AA5" w:rsidP="00651F7A">
      <w:pPr>
        <w:pStyle w:val="SingleTxtG"/>
        <w:rPr>
          <w:b/>
        </w:rPr>
      </w:pPr>
      <w:r w:rsidRPr="0098110E">
        <w:t>3</w:t>
      </w:r>
      <w:r w:rsidR="002E7ED3" w:rsidRPr="0098110E">
        <w:t>1</w:t>
      </w:r>
      <w:r w:rsidR="00651F7A" w:rsidRPr="0098110E">
        <w:t>.</w:t>
      </w:r>
      <w:r w:rsidR="003F48E6">
        <w:rPr>
          <w:b/>
        </w:rPr>
        <w:tab/>
      </w:r>
      <w:r w:rsidR="00651F7A" w:rsidRPr="00651F7A">
        <w:rPr>
          <w:b/>
        </w:rPr>
        <w:t xml:space="preserve">El </w:t>
      </w:r>
      <w:r w:rsidR="00522056">
        <w:rPr>
          <w:b/>
        </w:rPr>
        <w:t>Subcomité</w:t>
      </w:r>
      <w:r w:rsidR="00651F7A" w:rsidRPr="00651F7A">
        <w:rPr>
          <w:b/>
        </w:rPr>
        <w:t xml:space="preserve"> urge el Estado parte a implementar las recomendaciones pendientes que emanan del informe de 2010, en particular</w:t>
      </w:r>
      <w:r w:rsidR="008D50E9">
        <w:rPr>
          <w:b/>
        </w:rPr>
        <w:t xml:space="preserve"> las cont</w:t>
      </w:r>
      <w:r w:rsidR="00F04164">
        <w:rPr>
          <w:b/>
        </w:rPr>
        <w:t>enidas en los párrafos</w:t>
      </w:r>
      <w:r w:rsidR="003F48E6">
        <w:rPr>
          <w:b/>
        </w:rPr>
        <w:t> </w:t>
      </w:r>
      <w:r w:rsidR="00F04164">
        <w:rPr>
          <w:b/>
        </w:rPr>
        <w:t>56 y 143</w:t>
      </w:r>
      <w:r w:rsidR="008D50E9" w:rsidRPr="0098110E">
        <w:rPr>
          <w:rStyle w:val="Refdenotaalpie"/>
        </w:rPr>
        <w:footnoteReference w:id="18"/>
      </w:r>
      <w:r w:rsidR="00F04164">
        <w:rPr>
          <w:b/>
        </w:rPr>
        <w:t>.</w:t>
      </w:r>
    </w:p>
    <w:p w14:paraId="20995425" w14:textId="5E97661F" w:rsidR="00651F7A" w:rsidRPr="00651F7A" w:rsidRDefault="00AB5AA5" w:rsidP="00651F7A">
      <w:pPr>
        <w:pStyle w:val="SingleTxtG"/>
        <w:rPr>
          <w:b/>
        </w:rPr>
      </w:pPr>
      <w:r w:rsidRPr="0098110E">
        <w:t>3</w:t>
      </w:r>
      <w:r w:rsidR="002E7ED3" w:rsidRPr="0098110E">
        <w:t>2</w:t>
      </w:r>
      <w:r w:rsidR="00651F7A" w:rsidRPr="0098110E">
        <w:t>.</w:t>
      </w:r>
      <w:r w:rsidR="003F48E6">
        <w:rPr>
          <w:b/>
        </w:rPr>
        <w:tab/>
      </w:r>
      <w:r w:rsidR="00651F7A" w:rsidRPr="00651F7A">
        <w:rPr>
          <w:b/>
        </w:rPr>
        <w:t xml:space="preserve">Asimismo, el </w:t>
      </w:r>
      <w:r w:rsidR="00522056">
        <w:rPr>
          <w:b/>
        </w:rPr>
        <w:t>Subcomité</w:t>
      </w:r>
      <w:r w:rsidR="00651F7A" w:rsidRPr="00651F7A">
        <w:rPr>
          <w:b/>
        </w:rPr>
        <w:t xml:space="preserve"> recomienda que el Estado parte:</w:t>
      </w:r>
    </w:p>
    <w:p w14:paraId="20995426" w14:textId="2FA68248" w:rsidR="00651F7A" w:rsidRPr="00651F7A" w:rsidRDefault="00651F7A" w:rsidP="00651F7A">
      <w:pPr>
        <w:pStyle w:val="SingleTxtG"/>
        <w:rPr>
          <w:b/>
        </w:rPr>
      </w:pPr>
      <w:r>
        <w:rPr>
          <w:b/>
        </w:rPr>
        <w:tab/>
      </w:r>
      <w:r w:rsidR="003F48E6">
        <w:rPr>
          <w:b/>
        </w:rPr>
        <w:tab/>
      </w:r>
      <w:r w:rsidRPr="00651F7A">
        <w:rPr>
          <w:b/>
        </w:rPr>
        <w:t>a)</w:t>
      </w:r>
      <w:r w:rsidR="003F48E6">
        <w:rPr>
          <w:b/>
        </w:rPr>
        <w:tab/>
      </w:r>
      <w:r w:rsidRPr="00651F7A">
        <w:rPr>
          <w:b/>
        </w:rPr>
        <w:t xml:space="preserve">Garantice el principio de la independencia de los operadores judiciales y adopte una estrategia efectiva de prevención de hostigamiento en su contra; </w:t>
      </w:r>
    </w:p>
    <w:p w14:paraId="20995427" w14:textId="47CBB2AD" w:rsidR="00651F7A" w:rsidRPr="00651F7A" w:rsidRDefault="003F48E6" w:rsidP="00651F7A">
      <w:pPr>
        <w:pStyle w:val="SingleTxtG"/>
        <w:rPr>
          <w:b/>
        </w:rPr>
      </w:pPr>
      <w:r>
        <w:rPr>
          <w:b/>
        </w:rPr>
        <w:tab/>
      </w:r>
      <w:r w:rsidR="00651F7A">
        <w:rPr>
          <w:b/>
        </w:rPr>
        <w:tab/>
      </w:r>
      <w:r w:rsidR="00651F7A" w:rsidRPr="00651F7A">
        <w:rPr>
          <w:b/>
        </w:rPr>
        <w:t>b)</w:t>
      </w:r>
      <w:r>
        <w:rPr>
          <w:b/>
        </w:rPr>
        <w:tab/>
      </w:r>
      <w:r w:rsidR="00651F7A" w:rsidRPr="00651F7A">
        <w:rPr>
          <w:b/>
        </w:rPr>
        <w:t xml:space="preserve">Adopte mecanismos para detectar y sancionar prácticas de corrupción; </w:t>
      </w:r>
    </w:p>
    <w:p w14:paraId="20995428" w14:textId="4744F544" w:rsidR="00651F7A" w:rsidRPr="00651F7A" w:rsidRDefault="003F48E6" w:rsidP="00651F7A">
      <w:pPr>
        <w:pStyle w:val="SingleTxtG"/>
        <w:rPr>
          <w:b/>
        </w:rPr>
      </w:pPr>
      <w:r>
        <w:rPr>
          <w:b/>
        </w:rPr>
        <w:tab/>
      </w:r>
      <w:r w:rsidR="00651F7A">
        <w:rPr>
          <w:b/>
        </w:rPr>
        <w:tab/>
      </w:r>
      <w:r w:rsidR="00651F7A" w:rsidRPr="00651F7A">
        <w:rPr>
          <w:b/>
        </w:rPr>
        <w:t>c)</w:t>
      </w:r>
      <w:r>
        <w:rPr>
          <w:b/>
        </w:rPr>
        <w:tab/>
      </w:r>
      <w:r w:rsidR="00651F7A" w:rsidRPr="00651F7A">
        <w:rPr>
          <w:b/>
        </w:rPr>
        <w:t>Asegure que las condiciones para el otorgamiento de medidas alternativas a la prisión sean acordes a las posibilidades sociales y económicas del imputado, y considere adecuadamente las costumbres y modalidad de vida de las personas indígenas, de acuerdo con el espíritu de la Constitución Política del Estado;</w:t>
      </w:r>
    </w:p>
    <w:p w14:paraId="20995429" w14:textId="08D90FF6" w:rsidR="00651F7A" w:rsidRPr="00651F7A" w:rsidRDefault="003F48E6" w:rsidP="00651F7A">
      <w:pPr>
        <w:pStyle w:val="SingleTxtG"/>
        <w:rPr>
          <w:b/>
        </w:rPr>
      </w:pPr>
      <w:r>
        <w:rPr>
          <w:b/>
        </w:rPr>
        <w:tab/>
      </w:r>
      <w:r w:rsidR="00651F7A">
        <w:rPr>
          <w:b/>
        </w:rPr>
        <w:tab/>
      </w:r>
      <w:r w:rsidR="00651F7A" w:rsidRPr="00651F7A">
        <w:rPr>
          <w:b/>
        </w:rPr>
        <w:t>d)</w:t>
      </w:r>
      <w:r>
        <w:rPr>
          <w:b/>
        </w:rPr>
        <w:tab/>
      </w:r>
      <w:r w:rsidR="00651F7A" w:rsidRPr="00651F7A">
        <w:rPr>
          <w:b/>
        </w:rPr>
        <w:t>Lleve a cabo una auditoria en los juzgados a fin de determinar casos de retardo de justicia y efectúe regularmente una supervisión judicial independiente del período y las cond</w:t>
      </w:r>
      <w:r w:rsidR="00B375A5">
        <w:rPr>
          <w:b/>
        </w:rPr>
        <w:t>iciones de detención preventiva.</w:t>
      </w:r>
    </w:p>
    <w:p w14:paraId="2099542B" w14:textId="77777777" w:rsidR="00651F7A" w:rsidRPr="006E01ED" w:rsidRDefault="00651F7A" w:rsidP="00651F7A">
      <w:pPr>
        <w:pStyle w:val="H1G"/>
      </w:pPr>
      <w:r>
        <w:tab/>
      </w:r>
      <w:r w:rsidRPr="006E01ED">
        <w:t>B.</w:t>
      </w:r>
      <w:r>
        <w:tab/>
      </w:r>
      <w:r w:rsidRPr="006E01ED">
        <w:t xml:space="preserve">Delegación de autoridad, autogobierno y corrupción </w:t>
      </w:r>
    </w:p>
    <w:p w14:paraId="2099542C" w14:textId="0A461215" w:rsidR="00651F7A" w:rsidRPr="00130318" w:rsidRDefault="00AB5AA5" w:rsidP="00651F7A">
      <w:pPr>
        <w:pStyle w:val="SingleTxtG"/>
      </w:pPr>
      <w:r>
        <w:t>3</w:t>
      </w:r>
      <w:r w:rsidR="002C1481">
        <w:t>3</w:t>
      </w:r>
      <w:r w:rsidR="00651F7A">
        <w:t>.</w:t>
      </w:r>
      <w:r w:rsidR="003F48E6">
        <w:tab/>
      </w:r>
      <w:r w:rsidR="00651F7A" w:rsidRPr="00130318">
        <w:t xml:space="preserve">En su visita de 2010, el </w:t>
      </w:r>
      <w:r w:rsidR="00522056">
        <w:t>Subcomité</w:t>
      </w:r>
      <w:r w:rsidR="00651F7A" w:rsidRPr="00130318">
        <w:t xml:space="preserve"> </w:t>
      </w:r>
      <w:r w:rsidR="00651F7A">
        <w:t>constató</w:t>
      </w:r>
      <w:r w:rsidR="00651F7A" w:rsidRPr="00130318">
        <w:t xml:space="preserve"> la presencia de “un sistema paralelo de gobierno interno en todas las cárceles del país” y expresó su preocupación sobre el hecho </w:t>
      </w:r>
      <w:r w:rsidR="00411E89">
        <w:t xml:space="preserve">de </w:t>
      </w:r>
      <w:r w:rsidR="00651F7A" w:rsidRPr="00130318">
        <w:t xml:space="preserve">que el autogobierno cumplía función de “instrumento de control social y disciplinario”. El </w:t>
      </w:r>
      <w:r w:rsidR="00522056">
        <w:t>Subcomité</w:t>
      </w:r>
      <w:r w:rsidR="00651F7A" w:rsidRPr="00130318">
        <w:t xml:space="preserve"> indicaba que se había dado un sistema de “convivencia ordenada” entre el régimen penitenciario y las juntas de delegados “en forma de pacto no escrito para obtener ciertas li</w:t>
      </w:r>
      <w:r w:rsidR="00B375A5">
        <w:t>bertades, prebendas y permisos”</w:t>
      </w:r>
      <w:r w:rsidR="00651F7A" w:rsidRPr="0098110E">
        <w:rPr>
          <w:sz w:val="18"/>
          <w:szCs w:val="18"/>
          <w:vertAlign w:val="superscript"/>
        </w:rPr>
        <w:footnoteReference w:id="19"/>
      </w:r>
      <w:r w:rsidR="00F04164">
        <w:t>.</w:t>
      </w:r>
    </w:p>
    <w:p w14:paraId="2099542D" w14:textId="3D306E92" w:rsidR="00651F7A" w:rsidRPr="00130318" w:rsidRDefault="00AB5AA5" w:rsidP="00651F7A">
      <w:pPr>
        <w:pStyle w:val="SingleTxtG"/>
      </w:pPr>
      <w:r>
        <w:lastRenderedPageBreak/>
        <w:t>3</w:t>
      </w:r>
      <w:r w:rsidR="002C1481">
        <w:t>4</w:t>
      </w:r>
      <w:r w:rsidR="00651F7A">
        <w:t>.</w:t>
      </w:r>
      <w:r w:rsidR="003F48E6">
        <w:tab/>
      </w:r>
      <w:r w:rsidR="00651F7A" w:rsidRPr="00130318">
        <w:t>Siete años después y en comparación con lo observa</w:t>
      </w:r>
      <w:r w:rsidR="00651F7A">
        <w:t xml:space="preserve">do en su previa visita, el </w:t>
      </w:r>
      <w:r w:rsidR="00522056">
        <w:t>Subcomité</w:t>
      </w:r>
      <w:r w:rsidR="00651F7A">
        <w:t xml:space="preserve"> observó </w:t>
      </w:r>
      <w:r w:rsidR="00651F7A" w:rsidRPr="00130318">
        <w:t xml:space="preserve">que la situación de autogobierno </w:t>
      </w:r>
      <w:r w:rsidR="00651F7A">
        <w:t>se ha profundizado. En</w:t>
      </w:r>
      <w:r w:rsidR="00651F7A" w:rsidRPr="00130318">
        <w:t xml:space="preserve"> primer lugar</w:t>
      </w:r>
      <w:r w:rsidR="00651F7A">
        <w:t>, el autogobierno genera</w:t>
      </w:r>
      <w:r w:rsidR="00651F7A" w:rsidRPr="00130318">
        <w:t xml:space="preserve"> mayores desigualdades en cuanto </w:t>
      </w:r>
      <w:r w:rsidR="00651F7A" w:rsidRPr="00E206A0">
        <w:t>a las condiciones materiales entre los presos.</w:t>
      </w:r>
      <w:r w:rsidR="00651F7A">
        <w:t xml:space="preserve"> </w:t>
      </w:r>
      <w:r w:rsidR="00651F7A" w:rsidRPr="00E206A0">
        <w:t xml:space="preserve">En las cárceles de San Pedro, Mocoví varones, San Sebastián hombres y San Roque, el </w:t>
      </w:r>
      <w:r w:rsidR="00651F7A">
        <w:t xml:space="preserve">sistema de </w:t>
      </w:r>
      <w:r w:rsidR="00651F7A" w:rsidRPr="00E206A0">
        <w:t xml:space="preserve">autogobierno </w:t>
      </w:r>
      <w:r w:rsidR="00651F7A">
        <w:t>determinaba</w:t>
      </w:r>
      <w:r w:rsidR="00651F7A" w:rsidRPr="00E206A0">
        <w:t xml:space="preserve"> el reparto</w:t>
      </w:r>
      <w:r w:rsidR="00651F7A">
        <w:t xml:space="preserve"> </w:t>
      </w:r>
      <w:r w:rsidR="00651F7A" w:rsidRPr="00130318">
        <w:t xml:space="preserve">de tareas relacionadas con las condiciones materiales y de rehabilitación tales como la salud, el trabajo, la ocupación de celdas y las actividades de limpieza. </w:t>
      </w:r>
    </w:p>
    <w:p w14:paraId="2099542E" w14:textId="73450ABF" w:rsidR="00651F7A" w:rsidRPr="00130318" w:rsidRDefault="00AB5AA5" w:rsidP="00651F7A">
      <w:pPr>
        <w:pStyle w:val="SingleTxtG"/>
      </w:pPr>
      <w:r>
        <w:t>3</w:t>
      </w:r>
      <w:r w:rsidR="002C1481">
        <w:t>5</w:t>
      </w:r>
      <w:r w:rsidR="00651F7A">
        <w:t>.</w:t>
      </w:r>
      <w:r w:rsidR="00651F7A">
        <w:tab/>
      </w:r>
      <w:r w:rsidR="00651F7A" w:rsidRPr="00130318">
        <w:t xml:space="preserve">En </w:t>
      </w:r>
      <w:r w:rsidR="00651F7A">
        <w:t xml:space="preserve">su jurisprudencia, el </w:t>
      </w:r>
      <w:r w:rsidR="00522056">
        <w:t>Subcomité</w:t>
      </w:r>
      <w:r w:rsidR="00651F7A">
        <w:t xml:space="preserve"> ha constatado</w:t>
      </w:r>
      <w:r w:rsidR="00651F7A" w:rsidRPr="00130318">
        <w:t xml:space="preserve"> la correlación directa entre corrupción y autogobierno</w:t>
      </w:r>
      <w:r w:rsidR="00651F7A">
        <w:t xml:space="preserve"> carcelario</w:t>
      </w:r>
      <w:r w:rsidR="00651F7A" w:rsidRPr="00130318">
        <w:t>.</w:t>
      </w:r>
      <w:r w:rsidR="00651F7A" w:rsidRPr="007B52C7">
        <w:rPr>
          <w:sz w:val="16"/>
          <w:szCs w:val="16"/>
        </w:rPr>
        <w:t xml:space="preserve"> </w:t>
      </w:r>
      <w:r w:rsidR="00651F7A" w:rsidRPr="00130318">
        <w:t xml:space="preserve">El </w:t>
      </w:r>
      <w:r w:rsidR="00522056">
        <w:t>Subcomité</w:t>
      </w:r>
      <w:r w:rsidR="00651F7A" w:rsidRPr="00130318">
        <w:t xml:space="preserve"> está profundamente preocupado por la existencia arraigada de la corrupción en la mayoría de las cárceles de</w:t>
      </w:r>
      <w:r w:rsidR="00D76AD1">
        <w:t>l Estado Plurinacional de</w:t>
      </w:r>
      <w:r w:rsidR="00651F7A" w:rsidRPr="00130318">
        <w:t xml:space="preserve"> Bolivia, que </w:t>
      </w:r>
      <w:r w:rsidR="00651F7A">
        <w:t xml:space="preserve">es </w:t>
      </w:r>
      <w:r w:rsidR="00651F7A" w:rsidRPr="00130318">
        <w:t xml:space="preserve">percibida como algo “normal”, tanto por los reclusos como por los funcionarios. </w:t>
      </w:r>
    </w:p>
    <w:p w14:paraId="2099542F" w14:textId="060EA0B3" w:rsidR="00651F7A" w:rsidRPr="00130318" w:rsidRDefault="00AB5AA5" w:rsidP="00651F7A">
      <w:pPr>
        <w:pStyle w:val="SingleTxtG"/>
      </w:pPr>
      <w:r>
        <w:t>3</w:t>
      </w:r>
      <w:r w:rsidR="002C1481">
        <w:t>6</w:t>
      </w:r>
      <w:r w:rsidR="003F48E6">
        <w:tab/>
      </w:r>
      <w:r w:rsidR="00651F7A" w:rsidRPr="00130318">
        <w:t xml:space="preserve">Esta corrupción se </w:t>
      </w:r>
      <w:r w:rsidR="00651F7A">
        <w:t>manifestaba</w:t>
      </w:r>
      <w:r w:rsidR="00651F7A" w:rsidRPr="00130318">
        <w:t xml:space="preserve"> en el arrendamiento</w:t>
      </w:r>
      <w:r w:rsidR="00651F7A">
        <w:t xml:space="preserve"> </w:t>
      </w:r>
      <w:r w:rsidR="00651F7A" w:rsidRPr="00130318">
        <w:t>y compraventa de celdas según su capacidad y comodidad, el cobro a los reclusos por el acceso a teléfonos públicos, a las clínicas o dispensarios, a la alimentación, mayores comodidades</w:t>
      </w:r>
      <w:r w:rsidR="00232356">
        <w:t xml:space="preserve"> o</w:t>
      </w:r>
      <w:r w:rsidR="00651F7A" w:rsidRPr="00130318">
        <w:t xml:space="preserve"> privacidad de las visitas familiares, </w:t>
      </w:r>
      <w:r w:rsidR="00EC3CBC">
        <w:t>entre otros</w:t>
      </w:r>
      <w:r w:rsidR="00651F7A" w:rsidRPr="00130318">
        <w:t>. Las desigualdades económ</w:t>
      </w:r>
      <w:r w:rsidR="00B375A5">
        <w:t>icas entre los reclusos acentuaba</w:t>
      </w:r>
      <w:r w:rsidR="00651F7A" w:rsidRPr="00130318">
        <w:t>n la vulnerabilidad de los más débiles, forzados a vivir en condiciones que se asemejaban a malos tratos. Algunas desigualdades llegan a niveles</w:t>
      </w:r>
      <w:r w:rsidR="00651F7A">
        <w:t xml:space="preserve"> críticos, </w:t>
      </w:r>
      <w:r w:rsidR="00651F7A" w:rsidRPr="00130318">
        <w:t xml:space="preserve">por ejemplo, cobros en Chonchocoro </w:t>
      </w:r>
      <w:r w:rsidR="00651F7A">
        <w:t>para</w:t>
      </w:r>
      <w:r w:rsidR="00651F7A" w:rsidRPr="00130318">
        <w:t xml:space="preserve"> tener </w:t>
      </w:r>
      <w:r w:rsidR="00651F7A">
        <w:t>derecho a dormir en un colchón o</w:t>
      </w:r>
      <w:r w:rsidR="00651F7A" w:rsidRPr="00130318">
        <w:t xml:space="preserve"> el funcionamiento e</w:t>
      </w:r>
      <w:r w:rsidR="00651F7A">
        <w:t>n la cárcel de San Pedro de un</w:t>
      </w:r>
      <w:r w:rsidR="0080473A">
        <w:t>a</w:t>
      </w:r>
      <w:r w:rsidR="00651F7A">
        <w:t xml:space="preserve"> </w:t>
      </w:r>
      <w:r w:rsidR="00651F7A" w:rsidRPr="00130318">
        <w:t>sauna</w:t>
      </w:r>
      <w:r w:rsidR="00651F7A">
        <w:t>.</w:t>
      </w:r>
      <w:r w:rsidR="00651F7A" w:rsidRPr="00130318">
        <w:t xml:space="preserve"> </w:t>
      </w:r>
    </w:p>
    <w:p w14:paraId="20995430" w14:textId="5D6391BD" w:rsidR="00651F7A" w:rsidRPr="00CE3E87" w:rsidRDefault="00AB5AA5" w:rsidP="00651F7A">
      <w:pPr>
        <w:pStyle w:val="SingleTxtG"/>
      </w:pPr>
      <w:r>
        <w:t>3</w:t>
      </w:r>
      <w:r w:rsidR="002C1481">
        <w:t>7</w:t>
      </w:r>
      <w:r w:rsidR="00651F7A">
        <w:t>.</w:t>
      </w:r>
      <w:r w:rsidR="00651F7A">
        <w:tab/>
      </w:r>
      <w:r w:rsidR="00651F7A" w:rsidRPr="00130318">
        <w:t xml:space="preserve">El </w:t>
      </w:r>
      <w:r w:rsidR="00522056">
        <w:t>Subcomité</w:t>
      </w:r>
      <w:r w:rsidR="00651F7A" w:rsidRPr="00130318">
        <w:t xml:space="preserve"> observó con grave preocupación un notable recrudecimiento en el </w:t>
      </w:r>
      <w:r w:rsidR="00651F7A" w:rsidRPr="00CE3E87">
        <w:t xml:space="preserve">ejercicio de sanciones disciplinarias por </w:t>
      </w:r>
      <w:r w:rsidR="00651F7A">
        <w:t xml:space="preserve">parte de </w:t>
      </w:r>
      <w:r w:rsidR="00651F7A" w:rsidRPr="00CE3E87">
        <w:t xml:space="preserve">los delegados. </w:t>
      </w:r>
      <w:r w:rsidR="00651F7A" w:rsidRPr="00130318">
        <w:t xml:space="preserve">Preocupa al </w:t>
      </w:r>
      <w:r w:rsidR="00522056">
        <w:t>Subcomité</w:t>
      </w:r>
      <w:r w:rsidR="00651F7A" w:rsidRPr="00130318">
        <w:t xml:space="preserve"> la ausencia </w:t>
      </w:r>
      <w:r w:rsidR="00651F7A">
        <w:t xml:space="preserve">flagrante </w:t>
      </w:r>
      <w:r w:rsidR="00651F7A" w:rsidRPr="00130318">
        <w:t xml:space="preserve">de salvaguardas contra la tortura teniendo en cuenta </w:t>
      </w:r>
      <w:r w:rsidR="00651F7A" w:rsidRPr="00CE3E87">
        <w:t>la ausencia de legalidad de los castigos,</w:t>
      </w:r>
      <w:r w:rsidR="00651F7A">
        <w:t xml:space="preserve"> </w:t>
      </w:r>
      <w:r w:rsidR="00651F7A" w:rsidRPr="00CE3E87">
        <w:t>de garantías del debido proceso para la persona objeto de sanción</w:t>
      </w:r>
      <w:r w:rsidR="005F5800">
        <w:t xml:space="preserve"> </w:t>
      </w:r>
      <w:r w:rsidR="00651F7A" w:rsidRPr="00CE3E87">
        <w:t xml:space="preserve">y de registros sobre la imposición de sanciones disciplinarias. </w:t>
      </w:r>
      <w:r w:rsidR="00B375A5">
        <w:t>E</w:t>
      </w:r>
      <w:r w:rsidR="00651F7A" w:rsidRPr="00130318">
        <w:t xml:space="preserve">l </w:t>
      </w:r>
      <w:r w:rsidR="00522056">
        <w:t>Subcomité</w:t>
      </w:r>
      <w:r w:rsidR="00651F7A" w:rsidRPr="00130318">
        <w:t xml:space="preserve"> constató una completa delegación de autoridad en el penal de Mocoví</w:t>
      </w:r>
      <w:r w:rsidR="00651F7A">
        <w:t>, así como en San Sebastián hombres, que incluía</w:t>
      </w:r>
      <w:r w:rsidR="00651F7A" w:rsidRPr="00130318">
        <w:t xml:space="preserve"> regímenes disciplinarios informales desarrollados por los delegados, con la tolerancia o </w:t>
      </w:r>
      <w:r w:rsidR="00651F7A">
        <w:t xml:space="preserve">aquiescencia </w:t>
      </w:r>
      <w:r w:rsidR="00651F7A" w:rsidRPr="00130318">
        <w:t xml:space="preserve">de </w:t>
      </w:r>
      <w:r w:rsidR="00E96B12">
        <w:t>los funcionarios penitenciarios</w:t>
      </w:r>
      <w:r w:rsidR="00651F7A" w:rsidRPr="0098110E">
        <w:rPr>
          <w:sz w:val="18"/>
          <w:szCs w:val="18"/>
          <w:vertAlign w:val="superscript"/>
        </w:rPr>
        <w:footnoteReference w:id="20"/>
      </w:r>
      <w:r w:rsidR="00F04164">
        <w:t>.</w:t>
      </w:r>
      <w:r w:rsidR="00651F7A" w:rsidRPr="00130318">
        <w:t xml:space="preserve"> </w:t>
      </w:r>
    </w:p>
    <w:p w14:paraId="20995431" w14:textId="27707DAE" w:rsidR="00651F7A" w:rsidRDefault="00AB5AA5" w:rsidP="00651F7A">
      <w:pPr>
        <w:spacing w:after="120"/>
        <w:ind w:left="1134" w:right="1134"/>
        <w:jc w:val="both"/>
      </w:pPr>
      <w:r>
        <w:t>3</w:t>
      </w:r>
      <w:r w:rsidR="002C1481">
        <w:t>8</w:t>
      </w:r>
      <w:r w:rsidR="00651F7A">
        <w:t>.</w:t>
      </w:r>
      <w:r w:rsidR="00651F7A">
        <w:tab/>
      </w:r>
      <w:r w:rsidR="00651F7A" w:rsidRPr="00D13F01">
        <w:t>En varios centros penitenciarios, la policía manifestó estar s</w:t>
      </w:r>
      <w:r w:rsidR="006F10A5">
        <w:t>o</w:t>
      </w:r>
      <w:r w:rsidR="00651F7A" w:rsidRPr="00D13F01">
        <w:t xml:space="preserve">lo a cargo de la seguridad externa del lugar de privación de libertad, dejando a cargo de los delegados el control de la situación al interior del centro penitenciario. El </w:t>
      </w:r>
      <w:r w:rsidR="00522056">
        <w:t>Subcomité</w:t>
      </w:r>
      <w:r w:rsidR="00651F7A" w:rsidRPr="00D13F01">
        <w:t xml:space="preserve"> recibió numerosos testimonios confirmando el “descontrol institucional” en las cárceles. Las </w:t>
      </w:r>
      <w:r w:rsidR="00B62628">
        <w:t>personas privadas de libertad</w:t>
      </w:r>
      <w:r w:rsidR="00651F7A" w:rsidRPr="00D13F01">
        <w:t xml:space="preserve"> indicaron que el personal penitenciario no les podía proteger</w:t>
      </w:r>
      <w:r w:rsidR="00B375A5">
        <w:t xml:space="preserve">; </w:t>
      </w:r>
      <w:r w:rsidR="00651F7A" w:rsidRPr="00D13F01">
        <w:t>debido a la presencia en las cárceles de bandas criminales, los guardias recibían amenazas y temían por su seguridad y la de sus familias.</w:t>
      </w:r>
      <w:r w:rsidR="00651F7A" w:rsidRPr="00130318">
        <w:t xml:space="preserve"> </w:t>
      </w:r>
    </w:p>
    <w:p w14:paraId="20995432" w14:textId="7A379557" w:rsidR="00651F7A" w:rsidRPr="00130318" w:rsidRDefault="002C1481" w:rsidP="00651F7A">
      <w:pPr>
        <w:spacing w:after="120"/>
        <w:ind w:left="1134" w:right="1134"/>
        <w:jc w:val="both"/>
      </w:pPr>
      <w:r>
        <w:t>39</w:t>
      </w:r>
      <w:r w:rsidR="00651F7A">
        <w:t>.</w:t>
      </w:r>
      <w:r w:rsidR="003F48E6">
        <w:tab/>
      </w:r>
      <w:r w:rsidR="00651F7A" w:rsidRPr="00130318">
        <w:t xml:space="preserve">Otro ejemplo de la sustitución de la autoridad estatal se refiere a la organización de registros. Los delegados tenían registros paralelos con constancia de plazos, audiencias y otra </w:t>
      </w:r>
      <w:r w:rsidR="00651F7A">
        <w:t>informa</w:t>
      </w:r>
      <w:r w:rsidR="00651F7A" w:rsidRPr="00130318">
        <w:t>ción relativa a los procesos legales de los detenidos. En un centro penitenciario se observó que el expediente de la redención de la pena estaba firmado por los delegados, lo cual representa una clara manifestación del autogobierno.</w:t>
      </w:r>
    </w:p>
    <w:p w14:paraId="20995433" w14:textId="41693227" w:rsidR="00651F7A" w:rsidRPr="006E01ED" w:rsidRDefault="00AB5AA5" w:rsidP="00651F7A">
      <w:pPr>
        <w:spacing w:after="120"/>
        <w:ind w:left="1134" w:right="1134"/>
        <w:jc w:val="both"/>
      </w:pPr>
      <w:r>
        <w:t>4</w:t>
      </w:r>
      <w:r w:rsidR="002C1481">
        <w:t>0</w:t>
      </w:r>
      <w:r w:rsidR="00651F7A">
        <w:t>.</w:t>
      </w:r>
      <w:r w:rsidR="003F48E6">
        <w:tab/>
      </w:r>
      <w:r w:rsidR="00651F7A">
        <w:t>El</w:t>
      </w:r>
      <w:r w:rsidR="00651F7A" w:rsidRPr="00CE3E87">
        <w:t xml:space="preserve"> </w:t>
      </w:r>
      <w:r w:rsidR="00522056">
        <w:t>Subcomité</w:t>
      </w:r>
      <w:r w:rsidR="00651F7A" w:rsidRPr="00CE3E87">
        <w:t xml:space="preserve"> se encuentra preocupado por los obstáculos que el sistema de delegados representa para la libre expresión por parte de las </w:t>
      </w:r>
      <w:r w:rsidR="00B62628">
        <w:t>personas privadas de libertad</w:t>
      </w:r>
      <w:r w:rsidR="00651F7A">
        <w:t xml:space="preserve"> </w:t>
      </w:r>
      <w:r w:rsidR="00651F7A" w:rsidRPr="00CE3E87">
        <w:t xml:space="preserve">y quejas frente a posibles abusos. </w:t>
      </w:r>
      <w:r w:rsidR="00651F7A">
        <w:t>E</w:t>
      </w:r>
      <w:r w:rsidR="00651F7A" w:rsidRPr="006E01ED">
        <w:t xml:space="preserve">l </w:t>
      </w:r>
      <w:r w:rsidR="00522056">
        <w:t>Subcomité</w:t>
      </w:r>
      <w:r w:rsidR="00651F7A" w:rsidRPr="006E01ED">
        <w:t xml:space="preserve"> concluye que, combinad</w:t>
      </w:r>
      <w:r w:rsidR="00A761A9">
        <w:t>o</w:t>
      </w:r>
      <w:r w:rsidR="00651F7A" w:rsidRPr="006E01ED">
        <w:t xml:space="preserve">s, la delegación de autoridad, el autogobierno y la corrupción aumentaban la posibilidad de que las </w:t>
      </w:r>
      <w:r w:rsidR="00B62628">
        <w:t>personas privadas de libertad</w:t>
      </w:r>
      <w:r w:rsidR="00651F7A" w:rsidRPr="006E01ED">
        <w:t xml:space="preserve"> </w:t>
      </w:r>
      <w:r w:rsidR="00651F7A">
        <w:t xml:space="preserve">fuesen </w:t>
      </w:r>
      <w:r w:rsidR="00651F7A" w:rsidRPr="006E01ED">
        <w:t xml:space="preserve">víctimas de formas sistémicas de explotación, malos tratos, tortura y hasta homicidios cometidos con una probabilidad importante de impunidad. Por </w:t>
      </w:r>
      <w:r w:rsidR="00651F7A" w:rsidRPr="00F65DA4">
        <w:t xml:space="preserve">último, el </w:t>
      </w:r>
      <w:r w:rsidR="00522056">
        <w:t>Subcomité</w:t>
      </w:r>
      <w:r w:rsidR="00651F7A" w:rsidRPr="00F65DA4">
        <w:t xml:space="preserve"> nota que el sistema descrito arriba desnaturaliza totalmente el objeto y fin rehabilitador de las penas privativas de la libertad. En varias ocasiones, la delegación de autoridad fue reconocida por el personal penitenciario</w:t>
      </w:r>
      <w:r w:rsidR="005F5800">
        <w:t>,</w:t>
      </w:r>
      <w:r w:rsidR="00651F7A" w:rsidRPr="00F65DA4">
        <w:t xml:space="preserve"> lo cual para el </w:t>
      </w:r>
      <w:r w:rsidR="00522056">
        <w:t>Subcomité</w:t>
      </w:r>
      <w:r w:rsidR="00651F7A" w:rsidRPr="00F65DA4">
        <w:t xml:space="preserve"> cons</w:t>
      </w:r>
      <w:r w:rsidR="00651F7A">
        <w:t>t</w:t>
      </w:r>
      <w:r w:rsidR="00651F7A" w:rsidRPr="00F65DA4">
        <w:t xml:space="preserve">ituye una renuncia </w:t>
      </w:r>
      <w:r w:rsidR="00651F7A">
        <w:t xml:space="preserve">del Estado </w:t>
      </w:r>
      <w:r w:rsidR="00651F7A" w:rsidRPr="00F65DA4">
        <w:t xml:space="preserve">a su obligación de garante de </w:t>
      </w:r>
      <w:r w:rsidR="00A761A9">
        <w:t xml:space="preserve">los </w:t>
      </w:r>
      <w:r w:rsidR="00651F7A" w:rsidRPr="00F65DA4">
        <w:t>derechos fundamentales de las personas bajo su custodia.</w:t>
      </w:r>
    </w:p>
    <w:p w14:paraId="20995434" w14:textId="086A6590" w:rsidR="00651F7A" w:rsidRPr="00651F7A" w:rsidRDefault="00AB5AA5" w:rsidP="00651F7A">
      <w:pPr>
        <w:pStyle w:val="SingleTxtG"/>
        <w:rPr>
          <w:b/>
        </w:rPr>
      </w:pPr>
      <w:r w:rsidRPr="0098110E">
        <w:lastRenderedPageBreak/>
        <w:t>4</w:t>
      </w:r>
      <w:r w:rsidR="002C1481" w:rsidRPr="0098110E">
        <w:t>1</w:t>
      </w:r>
      <w:r w:rsidR="00651F7A" w:rsidRPr="0098110E">
        <w:t>.</w:t>
      </w:r>
      <w:r w:rsidR="003F48E6">
        <w:rPr>
          <w:b/>
        </w:rPr>
        <w:tab/>
      </w:r>
      <w:r w:rsidR="00651F7A" w:rsidRPr="00651F7A">
        <w:rPr>
          <w:b/>
        </w:rPr>
        <w:t xml:space="preserve">El </w:t>
      </w:r>
      <w:r w:rsidR="00522056">
        <w:rPr>
          <w:b/>
        </w:rPr>
        <w:t>Subcomité</w:t>
      </w:r>
      <w:r w:rsidR="00651F7A" w:rsidRPr="00651F7A">
        <w:rPr>
          <w:b/>
        </w:rPr>
        <w:t xml:space="preserve"> reitera sus recomendaciones del informe de 2010 relativas al autogobierno y corrupc</w:t>
      </w:r>
      <w:r w:rsidR="00F04164">
        <w:rPr>
          <w:b/>
        </w:rPr>
        <w:t>ión en el sistema penitenciario</w:t>
      </w:r>
      <w:r w:rsidR="00651F7A" w:rsidRPr="0098110E">
        <w:rPr>
          <w:sz w:val="18"/>
          <w:szCs w:val="18"/>
          <w:vertAlign w:val="superscript"/>
        </w:rPr>
        <w:footnoteReference w:id="21"/>
      </w:r>
      <w:r w:rsidR="00F04164">
        <w:rPr>
          <w:b/>
        </w:rPr>
        <w:t>.</w:t>
      </w:r>
      <w:r w:rsidR="00651F7A" w:rsidRPr="00651F7A">
        <w:rPr>
          <w:b/>
        </w:rPr>
        <w:t xml:space="preserve"> </w:t>
      </w:r>
    </w:p>
    <w:p w14:paraId="20995436" w14:textId="0DA84D10" w:rsidR="00651F7A" w:rsidRPr="00651F7A" w:rsidRDefault="00AB5AA5" w:rsidP="00651F7A">
      <w:pPr>
        <w:pStyle w:val="SingleTxtG"/>
        <w:rPr>
          <w:b/>
        </w:rPr>
      </w:pPr>
      <w:r w:rsidRPr="0098110E">
        <w:t>4</w:t>
      </w:r>
      <w:r w:rsidR="002C1481" w:rsidRPr="0098110E">
        <w:t>2</w:t>
      </w:r>
      <w:r w:rsidR="00651F7A" w:rsidRPr="0098110E">
        <w:t>.</w:t>
      </w:r>
      <w:r w:rsidR="003F48E6">
        <w:rPr>
          <w:b/>
        </w:rPr>
        <w:tab/>
      </w:r>
      <w:r w:rsidR="00651F7A" w:rsidRPr="00651F7A">
        <w:rPr>
          <w:b/>
        </w:rPr>
        <w:t xml:space="preserve">El </w:t>
      </w:r>
      <w:r w:rsidR="00522056">
        <w:rPr>
          <w:b/>
        </w:rPr>
        <w:t>Subcomité</w:t>
      </w:r>
      <w:r w:rsidR="00651F7A" w:rsidRPr="00651F7A">
        <w:rPr>
          <w:b/>
        </w:rPr>
        <w:t xml:space="preserve"> recomienda al Estado parte:</w:t>
      </w:r>
    </w:p>
    <w:p w14:paraId="20995437" w14:textId="4A102ED5" w:rsidR="00651F7A" w:rsidRPr="00F23AF8" w:rsidRDefault="003F48E6" w:rsidP="00F23AF8">
      <w:pPr>
        <w:pStyle w:val="SingleTxtG"/>
        <w:rPr>
          <w:b/>
        </w:rPr>
      </w:pPr>
      <w:r>
        <w:rPr>
          <w:b/>
        </w:rPr>
        <w:tab/>
      </w:r>
      <w:r w:rsidR="00F23AF8">
        <w:rPr>
          <w:b/>
        </w:rPr>
        <w:tab/>
      </w:r>
      <w:r w:rsidR="00651F7A" w:rsidRPr="00F23AF8">
        <w:rPr>
          <w:b/>
        </w:rPr>
        <w:t>a)</w:t>
      </w:r>
      <w:r w:rsidR="00F23AF8">
        <w:rPr>
          <w:b/>
        </w:rPr>
        <w:tab/>
      </w:r>
      <w:r w:rsidR="00651F7A" w:rsidRPr="00F23AF8">
        <w:rPr>
          <w:b/>
        </w:rPr>
        <w:t xml:space="preserve">Garantizar urgentemente la gobernabilidad de las prisiones, suprimiendo las formas de autogobierno en aquellos centros penitenciarios en los que las autoridades </w:t>
      </w:r>
      <w:r w:rsidR="005F5800">
        <w:rPr>
          <w:b/>
        </w:rPr>
        <w:t>no ejercen un control efectivo;</w:t>
      </w:r>
    </w:p>
    <w:p w14:paraId="20995438" w14:textId="717A8380" w:rsidR="00651F7A" w:rsidRPr="00F23AF8" w:rsidRDefault="00F23AF8" w:rsidP="00F23AF8">
      <w:pPr>
        <w:pStyle w:val="SingleTxtG"/>
        <w:rPr>
          <w:b/>
        </w:rPr>
      </w:pPr>
      <w:r>
        <w:rPr>
          <w:b/>
        </w:rPr>
        <w:tab/>
      </w:r>
      <w:r w:rsidR="003F48E6">
        <w:rPr>
          <w:b/>
        </w:rPr>
        <w:tab/>
      </w:r>
      <w:r w:rsidR="00651F7A" w:rsidRPr="00F23AF8">
        <w:rPr>
          <w:b/>
        </w:rPr>
        <w:t>b)</w:t>
      </w:r>
      <w:r>
        <w:rPr>
          <w:b/>
        </w:rPr>
        <w:tab/>
      </w:r>
      <w:r w:rsidR="00651F7A" w:rsidRPr="00F23AF8">
        <w:rPr>
          <w:b/>
        </w:rPr>
        <w:t>Investigar todo hecho de violencia y corrupción, inclusive sanciones disciplinarias impuestas arbitrariamente por los delegados, así como sancionar conforme a la ley tanto a los reclusos, como a los funcionarios res</w:t>
      </w:r>
      <w:r w:rsidR="005F5800">
        <w:rPr>
          <w:b/>
        </w:rPr>
        <w:t>ponsables de conducta omisiva.</w:t>
      </w:r>
    </w:p>
    <w:p w14:paraId="20995439" w14:textId="54CAD8E5" w:rsidR="00651F7A" w:rsidRPr="00F23AF8" w:rsidRDefault="00AB5AA5" w:rsidP="00F23AF8">
      <w:pPr>
        <w:pStyle w:val="SingleTxtG"/>
      </w:pPr>
      <w:r>
        <w:t>4</w:t>
      </w:r>
      <w:r w:rsidR="00F8360C">
        <w:t>3</w:t>
      </w:r>
      <w:r w:rsidR="00F23AF8" w:rsidRPr="00F23AF8">
        <w:t>.</w:t>
      </w:r>
      <w:r w:rsidR="00F23AF8" w:rsidRPr="00F23AF8">
        <w:tab/>
      </w:r>
      <w:r w:rsidR="00651F7A" w:rsidRPr="00F23AF8">
        <w:t xml:space="preserve">El </w:t>
      </w:r>
      <w:r w:rsidR="00522056">
        <w:t>Subcomité</w:t>
      </w:r>
      <w:r w:rsidR="00651F7A" w:rsidRPr="00F23AF8">
        <w:t xml:space="preserve"> reitera su preocupación sobre las condiciones de trabajo de los policías responsables de la seguridad penitenciaria y el registro penitenciario. A pesar de las medidas adoptadas desde la primera visita, el </w:t>
      </w:r>
      <w:r w:rsidR="00522056">
        <w:t>Subcomité</w:t>
      </w:r>
      <w:r w:rsidR="00651F7A" w:rsidRPr="00F23AF8">
        <w:t xml:space="preserve"> observó que los ambientes en los que trabajan, descansan o incluso reciben su alimentación son inadecuados y el personal cuenta con una infraestructura obsoleta, equipamiento deficiente o desactualizado. Los bajos salarios representan lógicamente otro factor que fomenta la corrupción. </w:t>
      </w:r>
    </w:p>
    <w:p w14:paraId="2099543A" w14:textId="04EFB864" w:rsidR="00651F7A" w:rsidRPr="00F23AF8" w:rsidRDefault="00AB5AA5" w:rsidP="00F23AF8">
      <w:pPr>
        <w:pStyle w:val="SingleTxtG"/>
        <w:rPr>
          <w:b/>
        </w:rPr>
      </w:pPr>
      <w:r w:rsidRPr="0098110E">
        <w:t>4</w:t>
      </w:r>
      <w:r w:rsidR="00F8360C" w:rsidRPr="0098110E">
        <w:t>4</w:t>
      </w:r>
      <w:r w:rsidR="00F23AF8" w:rsidRPr="0098110E">
        <w:t>.</w:t>
      </w:r>
      <w:r w:rsidR="00F23AF8" w:rsidRPr="0098110E">
        <w:tab/>
      </w:r>
      <w:r w:rsidR="00651F7A" w:rsidRPr="00F23AF8">
        <w:rPr>
          <w:b/>
        </w:rPr>
        <w:t xml:space="preserve">El </w:t>
      </w:r>
      <w:r w:rsidR="00522056">
        <w:rPr>
          <w:b/>
        </w:rPr>
        <w:t>Subcomité</w:t>
      </w:r>
      <w:r w:rsidR="00651F7A" w:rsidRPr="00F23AF8">
        <w:rPr>
          <w:b/>
        </w:rPr>
        <w:t xml:space="preserve"> recomienda al Estado parte asegurar que el número de agentes penitenciarios sea suficiente para garantizar la seguridad y mejorar sus condiciones laborales, incluyendo el pago de un salario digno.</w:t>
      </w:r>
    </w:p>
    <w:p w14:paraId="2099543B" w14:textId="77777777" w:rsidR="00651F7A" w:rsidRPr="006E01ED" w:rsidRDefault="00F23AF8" w:rsidP="00F23AF8">
      <w:pPr>
        <w:pStyle w:val="H1G"/>
      </w:pPr>
      <w:r>
        <w:tab/>
      </w:r>
      <w:r w:rsidR="00651F7A" w:rsidRPr="006E01ED">
        <w:t>C.</w:t>
      </w:r>
      <w:r w:rsidR="00651F7A" w:rsidRPr="006E01ED">
        <w:tab/>
        <w:t>Defensa Pública</w:t>
      </w:r>
    </w:p>
    <w:p w14:paraId="2099543C" w14:textId="4DE857C9" w:rsidR="00651F7A" w:rsidRPr="00130318" w:rsidRDefault="00AB5AA5" w:rsidP="00F23AF8">
      <w:pPr>
        <w:pStyle w:val="SingleTxtG"/>
      </w:pPr>
      <w:r>
        <w:t>4</w:t>
      </w:r>
      <w:r w:rsidR="00F8360C">
        <w:t>5</w:t>
      </w:r>
      <w:r w:rsidR="00651F7A">
        <w:t>.</w:t>
      </w:r>
      <w:r w:rsidR="003F48E6">
        <w:tab/>
      </w:r>
      <w:r w:rsidR="00651F7A" w:rsidRPr="00130318">
        <w:t xml:space="preserve">En su informe de 2010, el </w:t>
      </w:r>
      <w:r w:rsidR="00522056">
        <w:t>Subcomité</w:t>
      </w:r>
      <w:r w:rsidR="00651F7A" w:rsidRPr="00130318">
        <w:t xml:space="preserve"> </w:t>
      </w:r>
      <w:r w:rsidR="00651F7A">
        <w:t xml:space="preserve">expresó preocupación </w:t>
      </w:r>
      <w:r w:rsidR="00651F7A" w:rsidRPr="00130318">
        <w:t xml:space="preserve">por la debilidad de la institución de la Defensa </w:t>
      </w:r>
      <w:r w:rsidR="001A4FF6">
        <w:t>P</w:t>
      </w:r>
      <w:r w:rsidR="00651F7A" w:rsidRPr="00130318">
        <w:t>ública, no s</w:t>
      </w:r>
      <w:r w:rsidR="003F48E6">
        <w:t>o</w:t>
      </w:r>
      <w:r w:rsidR="00651F7A" w:rsidRPr="00130318">
        <w:t xml:space="preserve">lo en infraestructura y recursos, sino también en cantidad de </w:t>
      </w:r>
      <w:r w:rsidR="00A064B7">
        <w:t>d</w:t>
      </w:r>
      <w:r w:rsidR="00651F7A" w:rsidRPr="00130318">
        <w:t xml:space="preserve">efensores. </w:t>
      </w:r>
      <w:r w:rsidR="00651F7A">
        <w:t>E</w:t>
      </w:r>
      <w:r w:rsidR="00651F7A" w:rsidRPr="00130318">
        <w:t xml:space="preserve">l </w:t>
      </w:r>
      <w:r w:rsidR="00522056">
        <w:t>Subcomité</w:t>
      </w:r>
      <w:r w:rsidR="00651F7A" w:rsidRPr="00130318">
        <w:t xml:space="preserve"> </w:t>
      </w:r>
      <w:r w:rsidR="00651F7A">
        <w:t>constató en 2010 que</w:t>
      </w:r>
      <w:r w:rsidR="00651F7A" w:rsidRPr="00130318">
        <w:t xml:space="preserve"> poco más de 50 </w:t>
      </w:r>
      <w:r w:rsidR="00575C44">
        <w:t>d</w:t>
      </w:r>
      <w:r w:rsidR="00651F7A" w:rsidRPr="00130318">
        <w:t xml:space="preserve">efensores </w:t>
      </w:r>
      <w:r w:rsidR="00575C44">
        <w:t>p</w:t>
      </w:r>
      <w:r w:rsidR="00651F7A" w:rsidRPr="00130318">
        <w:t>úblicos s</w:t>
      </w:r>
      <w:r w:rsidR="00651F7A">
        <w:t>ervían</w:t>
      </w:r>
      <w:r w:rsidR="00651F7A" w:rsidRPr="00130318">
        <w:t xml:space="preserve"> a una población total de más de 9 millones de habitantes. Además, le preocupaba al </w:t>
      </w:r>
      <w:r w:rsidR="00522056">
        <w:t>Subcomité</w:t>
      </w:r>
      <w:r w:rsidR="00651F7A" w:rsidRPr="00130318">
        <w:t xml:space="preserve"> la gran diferencia en recursos entre la Defensa Pública y la Fiscalía, con la proporción entre de</w:t>
      </w:r>
      <w:r w:rsidR="00651F7A">
        <w:t xml:space="preserve">fensores públicos y fiscales </w:t>
      </w:r>
      <w:r w:rsidR="00651F7A" w:rsidRPr="00130318">
        <w:t xml:space="preserve">de 1 a 10, y que la remuneración de los defensores era </w:t>
      </w:r>
      <w:r w:rsidR="00F04164">
        <w:t>la mitad que la de los fiscales</w:t>
      </w:r>
      <w:r w:rsidR="00651F7A">
        <w:rPr>
          <w:rStyle w:val="Refdenotaalpie"/>
        </w:rPr>
        <w:footnoteReference w:id="22"/>
      </w:r>
      <w:r w:rsidR="00F04164">
        <w:t>.</w:t>
      </w:r>
    </w:p>
    <w:p w14:paraId="2099543D" w14:textId="78CAFEDF" w:rsidR="00651F7A" w:rsidRPr="00130318" w:rsidRDefault="00AB5AA5" w:rsidP="00F23AF8">
      <w:pPr>
        <w:pStyle w:val="SingleTxtG"/>
      </w:pPr>
      <w:r>
        <w:t>4</w:t>
      </w:r>
      <w:r w:rsidR="00F8360C">
        <w:t>6</w:t>
      </w:r>
      <w:r w:rsidR="00651F7A">
        <w:t>.</w:t>
      </w:r>
      <w:r w:rsidR="003F48E6">
        <w:tab/>
      </w:r>
      <w:r w:rsidR="00651F7A">
        <w:t>En</w:t>
      </w:r>
      <w:r w:rsidR="00651F7A" w:rsidRPr="00130318">
        <w:t xml:space="preserve"> su visita del 2017, el </w:t>
      </w:r>
      <w:r w:rsidR="00522056">
        <w:t>Subcomité</w:t>
      </w:r>
      <w:r w:rsidR="00651F7A" w:rsidRPr="00130318">
        <w:t xml:space="preserve"> not</w:t>
      </w:r>
      <w:r w:rsidR="00651F7A">
        <w:t>ó</w:t>
      </w:r>
      <w:r w:rsidR="00651F7A" w:rsidRPr="00130318">
        <w:t xml:space="preserve"> desarrollos institucionales, en particular la creación del Servicio Plurinacional de Defensa Pública, mediante la Ley </w:t>
      </w:r>
      <w:r w:rsidR="003F48E6">
        <w:t>núm. </w:t>
      </w:r>
      <w:r w:rsidR="00651F7A" w:rsidRPr="00130318">
        <w:t xml:space="preserve">463 de 11 de diciembre de 2013, en la cual se reafirma la defensa penal pública de las personas denunciadas, imputadas o procesadas penalmente como un servicio gratuito. </w:t>
      </w:r>
    </w:p>
    <w:p w14:paraId="2099543E" w14:textId="1EA0BBA2" w:rsidR="00651F7A" w:rsidRPr="00130318" w:rsidRDefault="00AB5AA5" w:rsidP="00F23AF8">
      <w:pPr>
        <w:pStyle w:val="SingleTxtG"/>
      </w:pPr>
      <w:r>
        <w:t>4</w:t>
      </w:r>
      <w:r w:rsidR="00F8360C">
        <w:t>7</w:t>
      </w:r>
      <w:r w:rsidR="00651F7A">
        <w:t xml:space="preserve">. </w:t>
      </w:r>
      <w:r w:rsidR="00F23AF8">
        <w:tab/>
      </w:r>
      <w:r w:rsidR="00651F7A" w:rsidRPr="00130318">
        <w:t xml:space="preserve">El </w:t>
      </w:r>
      <w:r w:rsidR="00522056">
        <w:t>Subcomité</w:t>
      </w:r>
      <w:r w:rsidR="00651F7A" w:rsidRPr="00130318">
        <w:t xml:space="preserve"> toma nota igualmente de la infor</w:t>
      </w:r>
      <w:r w:rsidR="00651F7A">
        <w:t>mación brindada por el Gobierno</w:t>
      </w:r>
      <w:r w:rsidR="00651F7A" w:rsidRPr="00130318">
        <w:t xml:space="preserve"> según la cual la planta de personal de defensores públicos aumentó, pasando a un total de 91</w:t>
      </w:r>
      <w:r w:rsidR="003F48E6">
        <w:t> </w:t>
      </w:r>
      <w:r w:rsidR="00651F7A" w:rsidRPr="00130318">
        <w:t>defensores públicos</w:t>
      </w:r>
      <w:r w:rsidR="00651F7A">
        <w:t xml:space="preserve">. Sin embargo, el </w:t>
      </w:r>
      <w:r w:rsidR="00522056">
        <w:t>Subcomité</w:t>
      </w:r>
      <w:r w:rsidR="00651F7A">
        <w:t xml:space="preserve"> c</w:t>
      </w:r>
      <w:r w:rsidR="00651F7A" w:rsidRPr="00130318">
        <w:t>ontinúa preocupado por la brecha en la proporción de defensores</w:t>
      </w:r>
      <w:r w:rsidR="00651F7A">
        <w:t xml:space="preserve"> público</w:t>
      </w:r>
      <w:r w:rsidR="00651F7A" w:rsidRPr="00130318">
        <w:t xml:space="preserve">s habilitados frente al total de la población, lo cual sigue impactando el derecho a la defensa de las personas, en particular en las áreas rurales y de escasos recursos económicos. </w:t>
      </w:r>
    </w:p>
    <w:p w14:paraId="2099543F" w14:textId="5E120F7C" w:rsidR="00651F7A" w:rsidRPr="00421D7E" w:rsidRDefault="0053010B" w:rsidP="00F23AF8">
      <w:pPr>
        <w:pStyle w:val="SingleTxtG"/>
      </w:pPr>
      <w:r>
        <w:t>4</w:t>
      </w:r>
      <w:r w:rsidR="00F8360C">
        <w:t>8</w:t>
      </w:r>
      <w:r w:rsidR="00651F7A">
        <w:t>.</w:t>
      </w:r>
      <w:r w:rsidR="00F23AF8">
        <w:tab/>
      </w:r>
      <w:r w:rsidR="00651F7A" w:rsidRPr="00130318">
        <w:t xml:space="preserve">De manera general, los defensores públicos carecen de facilidades técnicas e instalaciones idóneas para realizar entrevistas con sus defendidos. El </w:t>
      </w:r>
      <w:r w:rsidR="00522056">
        <w:t>Subcomité</w:t>
      </w:r>
      <w:r w:rsidR="00651F7A" w:rsidRPr="00130318">
        <w:t xml:space="preserve"> observó defensores públicos gestionando entrevistas en lugares abiertos donde no se puede garantizar la privacidad, </w:t>
      </w:r>
      <w:r w:rsidR="00651F7A" w:rsidRPr="00421D7E">
        <w:t xml:space="preserve">con lo cual es difícil que las </w:t>
      </w:r>
      <w:r w:rsidR="00B62628">
        <w:t>personas privadas de libertad</w:t>
      </w:r>
      <w:r w:rsidR="00651F7A" w:rsidRPr="00421D7E">
        <w:t xml:space="preserve"> realicen de manera confidencial una alegación de malos tratos</w:t>
      </w:r>
      <w:r w:rsidR="00651F7A">
        <w:t xml:space="preserve">. </w:t>
      </w:r>
      <w:r w:rsidR="00651F7A" w:rsidRPr="00421D7E">
        <w:t>La ausencia de medios de trabajo mínimos</w:t>
      </w:r>
      <w:r w:rsidR="00651F7A">
        <w:t>,</w:t>
      </w:r>
      <w:r w:rsidR="00651F7A" w:rsidRPr="00421D7E">
        <w:t xml:space="preserve"> como un escritorio o una silla, </w:t>
      </w:r>
      <w:r w:rsidR="00651F7A">
        <w:t xml:space="preserve">y </w:t>
      </w:r>
      <w:r w:rsidR="00651F7A" w:rsidRPr="00421D7E">
        <w:t>mala remuneración</w:t>
      </w:r>
      <w:r w:rsidR="00651F7A">
        <w:t xml:space="preserve"> </w:t>
      </w:r>
      <w:r w:rsidR="00651F7A" w:rsidRPr="00421D7E">
        <w:t>conducen a la pérdida de motivación por parte del abogado y se constituye en un campo propicio para la corrupción.</w:t>
      </w:r>
    </w:p>
    <w:p w14:paraId="20995440" w14:textId="09C7FEB2" w:rsidR="00651F7A" w:rsidRPr="00421D7E" w:rsidRDefault="00F8360C" w:rsidP="00F23AF8">
      <w:pPr>
        <w:pStyle w:val="SingleTxtG"/>
      </w:pPr>
      <w:r>
        <w:t>49</w:t>
      </w:r>
      <w:r w:rsidR="00F23AF8">
        <w:t>.</w:t>
      </w:r>
      <w:r w:rsidR="00F23AF8">
        <w:tab/>
      </w:r>
      <w:r w:rsidR="00A8556F">
        <w:t xml:space="preserve">Las </w:t>
      </w:r>
      <w:r w:rsidR="00B62628">
        <w:t>personas privadas de libertad</w:t>
      </w:r>
      <w:r w:rsidR="00651F7A" w:rsidRPr="00421D7E">
        <w:t xml:space="preserve"> entrevistadas por el </w:t>
      </w:r>
      <w:r w:rsidR="00522056">
        <w:t>Subcomité</w:t>
      </w:r>
      <w:r w:rsidR="00651F7A" w:rsidRPr="00421D7E">
        <w:t xml:space="preserve"> manifestaron que tienen poco o ningún contacto con servicios de defensoría pública,</w:t>
      </w:r>
      <w:r w:rsidR="00651F7A">
        <w:t xml:space="preserve"> </w:t>
      </w:r>
      <w:r w:rsidR="00651F7A" w:rsidRPr="00421D7E">
        <w:t>tienen dificultades para identificar a los defensores públicos como sus abogados y carecen de información sobre el estado de sus causas judiciales. Vari</w:t>
      </w:r>
      <w:r w:rsidR="00B47722">
        <w:t>a</w:t>
      </w:r>
      <w:r w:rsidR="00651F7A" w:rsidRPr="00421D7E">
        <w:t xml:space="preserve">s </w:t>
      </w:r>
      <w:r w:rsidR="00B62628">
        <w:t>personas privadas de libertad</w:t>
      </w:r>
      <w:r w:rsidR="00651F7A" w:rsidRPr="00421D7E">
        <w:t xml:space="preserve"> indicaron que</w:t>
      </w:r>
      <w:r w:rsidR="0053010B">
        <w:t>,</w:t>
      </w:r>
      <w:r w:rsidR="00651F7A" w:rsidRPr="00421D7E">
        <w:t xml:space="preserve"> ante la </w:t>
      </w:r>
      <w:r w:rsidR="00651F7A" w:rsidRPr="00421D7E">
        <w:lastRenderedPageBreak/>
        <w:t>ineficacia de defensoría pública, debieron acudir a servicios legales particulares, los</w:t>
      </w:r>
      <w:r w:rsidR="00651F7A">
        <w:t xml:space="preserve"> </w:t>
      </w:r>
      <w:r w:rsidR="00651F7A" w:rsidRPr="00421D7E">
        <w:t>que son percibidos como más efectivos. </w:t>
      </w:r>
    </w:p>
    <w:p w14:paraId="20995441" w14:textId="301F8A9A" w:rsidR="00651F7A" w:rsidRPr="00F23AF8" w:rsidRDefault="00AB5AA5" w:rsidP="00F23AF8">
      <w:pPr>
        <w:pStyle w:val="SingleTxtG"/>
        <w:rPr>
          <w:b/>
        </w:rPr>
      </w:pPr>
      <w:r w:rsidRPr="0098110E">
        <w:t>5</w:t>
      </w:r>
      <w:r w:rsidR="00F8360C" w:rsidRPr="0098110E">
        <w:t>0</w:t>
      </w:r>
      <w:r w:rsidR="00651F7A" w:rsidRPr="0098110E">
        <w:t>.</w:t>
      </w:r>
      <w:r w:rsidR="003F48E6">
        <w:rPr>
          <w:b/>
        </w:rPr>
        <w:tab/>
      </w:r>
      <w:r w:rsidR="00651F7A" w:rsidRPr="00F23AF8">
        <w:rPr>
          <w:b/>
        </w:rPr>
        <w:t xml:space="preserve">El </w:t>
      </w:r>
      <w:r w:rsidR="00522056">
        <w:rPr>
          <w:b/>
        </w:rPr>
        <w:t>Subcomité</w:t>
      </w:r>
      <w:r w:rsidR="00651F7A" w:rsidRPr="00F23AF8">
        <w:rPr>
          <w:b/>
        </w:rPr>
        <w:t xml:space="preserve"> reitera su recomendación de fortalecer institucionalmente la Defensa Pública y asegurar el presupuesto y los recursos técnicos, financieros y humanos necesarios para que el Servicio Plurinacional de Defensa P</w:t>
      </w:r>
      <w:r w:rsidR="00B47722">
        <w:rPr>
          <w:b/>
        </w:rPr>
        <w:t>ú</w:t>
      </w:r>
      <w:r w:rsidR="00651F7A" w:rsidRPr="00F23AF8">
        <w:rPr>
          <w:b/>
        </w:rPr>
        <w:t xml:space="preserve">blica pueda llevar a cabo su función de manera idónea. El </w:t>
      </w:r>
      <w:r w:rsidR="00522056">
        <w:rPr>
          <w:b/>
        </w:rPr>
        <w:t>Subcomité</w:t>
      </w:r>
      <w:r w:rsidR="00651F7A" w:rsidRPr="00F23AF8">
        <w:rPr>
          <w:b/>
        </w:rPr>
        <w:t xml:space="preserve"> recomienda al Estado parte redoblar su presupuesto para aumentar la planta de personal del servicio de Defensoría Pública, priorizando las áreas rurales. </w:t>
      </w:r>
    </w:p>
    <w:p w14:paraId="20995442" w14:textId="531FAE4C" w:rsidR="00651F7A" w:rsidRPr="00130318" w:rsidRDefault="00AB5AA5" w:rsidP="00F23AF8">
      <w:pPr>
        <w:pStyle w:val="SingleTxtG"/>
      </w:pPr>
      <w:r>
        <w:t>5</w:t>
      </w:r>
      <w:r w:rsidR="00F8360C">
        <w:t>1</w:t>
      </w:r>
      <w:r w:rsidR="00651F7A">
        <w:t>.</w:t>
      </w:r>
      <w:r w:rsidR="003F48E6">
        <w:tab/>
      </w:r>
      <w:r w:rsidR="00651F7A" w:rsidRPr="00130318">
        <w:t xml:space="preserve">El </w:t>
      </w:r>
      <w:r w:rsidR="00522056">
        <w:t>Subcomité</w:t>
      </w:r>
      <w:r w:rsidR="00651F7A" w:rsidRPr="00130318">
        <w:t xml:space="preserve"> observa con preocupación la ausencia de un sistema de control sob</w:t>
      </w:r>
      <w:r w:rsidR="00651F7A">
        <w:t xml:space="preserve">re las condiciones de detención, </w:t>
      </w:r>
      <w:r w:rsidR="00651F7A" w:rsidRPr="00130318">
        <w:t xml:space="preserve">en particular que ni el Ministerio Público ni la Defensoría Pública ni las autoridades judiciales tengan la obligación de velar por las condiciones de detención. El </w:t>
      </w:r>
      <w:r w:rsidR="00522056">
        <w:t>Subcomité</w:t>
      </w:r>
      <w:r w:rsidR="00651F7A" w:rsidRPr="00130318">
        <w:t xml:space="preserve"> observa con preocupación la ausencia de registros sobre casos de tortura y malos tratos por parte del </w:t>
      </w:r>
      <w:r w:rsidR="00B364CC">
        <w:t>S</w:t>
      </w:r>
      <w:r w:rsidR="00651F7A" w:rsidRPr="00130318">
        <w:t xml:space="preserve">ervicio de </w:t>
      </w:r>
      <w:r w:rsidR="00B364CC">
        <w:t>D</w:t>
      </w:r>
      <w:r w:rsidR="00651F7A" w:rsidRPr="00130318">
        <w:t xml:space="preserve">efensa </w:t>
      </w:r>
      <w:r w:rsidR="00B364CC">
        <w:t>P</w:t>
      </w:r>
      <w:r w:rsidR="0053010B" w:rsidRPr="00130318">
        <w:t>ública,</w:t>
      </w:r>
      <w:r w:rsidR="00651F7A" w:rsidRPr="00130318">
        <w:t xml:space="preserve"> así como sobre la ausencia de criterios para realizar dicha función. </w:t>
      </w:r>
    </w:p>
    <w:p w14:paraId="20995443" w14:textId="0424E1E7" w:rsidR="00651F7A" w:rsidRPr="00F23AF8" w:rsidRDefault="00AB5AA5" w:rsidP="00F23AF8">
      <w:pPr>
        <w:pStyle w:val="SingleTxtG"/>
        <w:rPr>
          <w:b/>
        </w:rPr>
      </w:pPr>
      <w:r w:rsidRPr="0098110E">
        <w:t>5</w:t>
      </w:r>
      <w:r w:rsidR="00F8360C" w:rsidRPr="0098110E">
        <w:t>2</w:t>
      </w:r>
      <w:r w:rsidR="00651F7A" w:rsidRPr="0098110E">
        <w:t>.</w:t>
      </w:r>
      <w:r w:rsidR="003F48E6">
        <w:rPr>
          <w:b/>
        </w:rPr>
        <w:tab/>
      </w:r>
      <w:r w:rsidR="00651F7A" w:rsidRPr="00F23AF8">
        <w:rPr>
          <w:b/>
        </w:rPr>
        <w:t xml:space="preserve">El </w:t>
      </w:r>
      <w:r w:rsidR="00522056">
        <w:rPr>
          <w:b/>
        </w:rPr>
        <w:t>Subcomité</w:t>
      </w:r>
      <w:r w:rsidR="00651F7A" w:rsidRPr="00F23AF8">
        <w:rPr>
          <w:b/>
        </w:rPr>
        <w:t xml:space="preserve"> recomienda que el Estado </w:t>
      </w:r>
      <w:r w:rsidR="00CA0898">
        <w:rPr>
          <w:b/>
        </w:rPr>
        <w:t xml:space="preserve">parte </w:t>
      </w:r>
      <w:r w:rsidR="00651F7A" w:rsidRPr="00F23AF8">
        <w:rPr>
          <w:b/>
        </w:rPr>
        <w:t>d</w:t>
      </w:r>
      <w:r w:rsidR="00CA0898">
        <w:rPr>
          <w:b/>
        </w:rPr>
        <w:t>é</w:t>
      </w:r>
      <w:r w:rsidR="00651F7A" w:rsidRPr="00F23AF8">
        <w:rPr>
          <w:b/>
        </w:rPr>
        <w:t xml:space="preserve"> estricto cumplimiento a la obligación legal de los defensores públicos de elaborar un registro de los casos de tortura u otros tratos inhumanos denunciados o conocidos confidencialmente bajo secreto profesional, tal como lo dispone el artículo 41</w:t>
      </w:r>
      <w:r w:rsidR="00E73608">
        <w:rPr>
          <w:b/>
        </w:rPr>
        <w:t>,</w:t>
      </w:r>
      <w:r w:rsidR="00651F7A" w:rsidRPr="00F23AF8">
        <w:rPr>
          <w:b/>
        </w:rPr>
        <w:t xml:space="preserve"> numeral 7</w:t>
      </w:r>
      <w:r w:rsidR="00E73608">
        <w:rPr>
          <w:b/>
        </w:rPr>
        <w:t>,</w:t>
      </w:r>
      <w:r w:rsidR="00651F7A" w:rsidRPr="00F23AF8">
        <w:rPr>
          <w:b/>
        </w:rPr>
        <w:t xml:space="preserve"> de la Ley </w:t>
      </w:r>
      <w:r w:rsidR="003F48E6">
        <w:rPr>
          <w:b/>
        </w:rPr>
        <w:t>núm. </w:t>
      </w:r>
      <w:r w:rsidR="00651F7A" w:rsidRPr="00F23AF8">
        <w:rPr>
          <w:b/>
        </w:rPr>
        <w:t xml:space="preserve">463. En particular, llama al Estado </w:t>
      </w:r>
      <w:r w:rsidR="00CA0898">
        <w:rPr>
          <w:b/>
        </w:rPr>
        <w:t xml:space="preserve">parte </w:t>
      </w:r>
      <w:r w:rsidR="00651F7A" w:rsidRPr="00F23AF8">
        <w:rPr>
          <w:b/>
        </w:rPr>
        <w:t xml:space="preserve">a instruir a los defensores públicos en la identificación y recepción de posibles casos de tortura y malos </w:t>
      </w:r>
      <w:r w:rsidR="00CA0898">
        <w:rPr>
          <w:b/>
        </w:rPr>
        <w:t xml:space="preserve">tratos </w:t>
      </w:r>
      <w:r w:rsidR="00651F7A" w:rsidRPr="00F23AF8">
        <w:rPr>
          <w:b/>
        </w:rPr>
        <w:t>en la población bajo su cobertura y divulg</w:t>
      </w:r>
      <w:r w:rsidR="005E7C3B">
        <w:rPr>
          <w:b/>
        </w:rPr>
        <w:t>ar</w:t>
      </w:r>
      <w:r w:rsidR="00651F7A" w:rsidRPr="00F23AF8">
        <w:rPr>
          <w:b/>
        </w:rPr>
        <w:t xml:space="preserve"> ampliamente entre las personas privadas de libertad la posibilidad de presentar alegaciones de tortura ante los defensores públicos. </w:t>
      </w:r>
    </w:p>
    <w:p w14:paraId="20995444" w14:textId="6B6D347B" w:rsidR="00651F7A" w:rsidRPr="00130318" w:rsidRDefault="00AB5AA5" w:rsidP="00F23AF8">
      <w:pPr>
        <w:pStyle w:val="SingleTxtG"/>
      </w:pPr>
      <w:r>
        <w:t>5</w:t>
      </w:r>
      <w:r w:rsidR="00F8360C">
        <w:t>3</w:t>
      </w:r>
      <w:r w:rsidR="00F23AF8">
        <w:t>.</w:t>
      </w:r>
      <w:r w:rsidR="00F23AF8">
        <w:tab/>
      </w:r>
      <w:r w:rsidR="00651F7A" w:rsidRPr="00130318">
        <w:t xml:space="preserve">El </w:t>
      </w:r>
      <w:r w:rsidR="00522056">
        <w:t>Subcomité</w:t>
      </w:r>
      <w:r w:rsidR="00651F7A" w:rsidRPr="00130318">
        <w:t xml:space="preserve"> observó la ausencia de una defensa técnica de las niñas, niños y adolescentes en conflicto con la ley, quienes generalmente dependen de las actuaciones de defensores de la niñez que no aplican de manera consistente el principio del interés superior del niño en los procesos judiciales. En un caso conocido por el </w:t>
      </w:r>
      <w:r w:rsidR="00522056">
        <w:t>Subcomité</w:t>
      </w:r>
      <w:r w:rsidR="00651F7A" w:rsidRPr="00130318">
        <w:t>, el abogado defensor solicitó al juez decretar una medida de privación de la</w:t>
      </w:r>
      <w:r w:rsidR="00651F7A">
        <w:t xml:space="preserve"> libertad sobre el adolescente </w:t>
      </w:r>
      <w:r w:rsidR="00651F7A" w:rsidRPr="00130318">
        <w:t>durante la audiencia de imputación de carg</w:t>
      </w:r>
      <w:r w:rsidR="00651F7A">
        <w:t xml:space="preserve">os. </w:t>
      </w:r>
      <w:r w:rsidR="00651F7A" w:rsidRPr="00130318">
        <w:t xml:space="preserve">En general, la defensa que se brinda a adolescentes busca conseguir la aplicación de un mínimo de la pena o el curso de procedimientos abreviados, en ausencia de otras estrategias de defensa que puedan llevar a resultados diferentes. </w:t>
      </w:r>
    </w:p>
    <w:p w14:paraId="20995445" w14:textId="5C4FCB41" w:rsidR="00651F7A" w:rsidRPr="00F23AF8" w:rsidRDefault="00AB5AA5" w:rsidP="00F23AF8">
      <w:pPr>
        <w:pStyle w:val="SingleTxtG"/>
        <w:rPr>
          <w:b/>
        </w:rPr>
      </w:pPr>
      <w:r w:rsidRPr="0098110E">
        <w:t>5</w:t>
      </w:r>
      <w:r w:rsidR="00F8360C" w:rsidRPr="0098110E">
        <w:t>4</w:t>
      </w:r>
      <w:r w:rsidR="008D54CE">
        <w:t>.</w:t>
      </w:r>
      <w:r w:rsidR="003F48E6">
        <w:rPr>
          <w:b/>
        </w:rPr>
        <w:tab/>
      </w:r>
      <w:r w:rsidR="00651F7A" w:rsidRPr="00F23AF8">
        <w:rPr>
          <w:b/>
        </w:rPr>
        <w:t xml:space="preserve">El </w:t>
      </w:r>
      <w:r w:rsidR="00522056">
        <w:rPr>
          <w:b/>
        </w:rPr>
        <w:t>Subcomité</w:t>
      </w:r>
      <w:r w:rsidR="00651F7A" w:rsidRPr="00F23AF8">
        <w:rPr>
          <w:b/>
        </w:rPr>
        <w:t xml:space="preserve"> recomienda al Estado conformar el servicio de defensa técnica especializada </w:t>
      </w:r>
      <w:r w:rsidR="00791BEA">
        <w:rPr>
          <w:b/>
        </w:rPr>
        <w:t>par</w:t>
      </w:r>
      <w:r w:rsidR="00651F7A" w:rsidRPr="00F23AF8">
        <w:rPr>
          <w:b/>
        </w:rPr>
        <w:t>a las niñas, niños y adolescentes, tal como se enc</w:t>
      </w:r>
      <w:r w:rsidR="00F23AF8" w:rsidRPr="00F23AF8">
        <w:rPr>
          <w:b/>
        </w:rPr>
        <w:t xml:space="preserve">uentra previsto en la Ley </w:t>
      </w:r>
      <w:r w:rsidR="003F48E6">
        <w:rPr>
          <w:b/>
        </w:rPr>
        <w:t>núm. </w:t>
      </w:r>
      <w:r w:rsidR="00F23AF8" w:rsidRPr="00F23AF8">
        <w:rPr>
          <w:b/>
        </w:rPr>
        <w:t xml:space="preserve">463. </w:t>
      </w:r>
    </w:p>
    <w:p w14:paraId="20995446" w14:textId="071A79D3" w:rsidR="00651F7A" w:rsidRPr="00F23AF8" w:rsidRDefault="00F23AF8" w:rsidP="00F23AF8">
      <w:pPr>
        <w:pStyle w:val="H1G"/>
        <w:rPr>
          <w:rFonts w:eastAsia="Calibri"/>
          <w:lang w:eastAsia="en-US"/>
        </w:rPr>
      </w:pPr>
      <w:r>
        <w:rPr>
          <w:rFonts w:eastAsia="Calibri"/>
          <w:lang w:eastAsia="en-US"/>
        </w:rPr>
        <w:tab/>
      </w:r>
      <w:r w:rsidR="00651F7A">
        <w:rPr>
          <w:rFonts w:eastAsia="Calibri"/>
          <w:lang w:eastAsia="en-US"/>
        </w:rPr>
        <w:t>D.</w:t>
      </w:r>
      <w:r>
        <w:rPr>
          <w:rFonts w:eastAsia="Calibri"/>
          <w:lang w:eastAsia="en-US"/>
        </w:rPr>
        <w:tab/>
      </w:r>
      <w:r w:rsidR="00651F7A">
        <w:rPr>
          <w:rFonts w:eastAsia="Calibri"/>
          <w:lang w:eastAsia="en-US"/>
        </w:rPr>
        <w:t>Salvaguardas</w:t>
      </w:r>
    </w:p>
    <w:p w14:paraId="20995447" w14:textId="275861D0" w:rsidR="00651F7A" w:rsidRDefault="00AB5AA5" w:rsidP="00F23AF8">
      <w:pPr>
        <w:pStyle w:val="SingleTxtG"/>
      </w:pPr>
      <w:r>
        <w:t>5</w:t>
      </w:r>
      <w:r w:rsidR="00F8360C">
        <w:t>5</w:t>
      </w:r>
      <w:r w:rsidR="00651F7A">
        <w:t>.</w:t>
      </w:r>
      <w:r w:rsidR="003F48E6">
        <w:tab/>
      </w:r>
      <w:r w:rsidR="00651F7A">
        <w:t xml:space="preserve">El </w:t>
      </w:r>
      <w:r w:rsidR="00522056">
        <w:t>Subcomité</w:t>
      </w:r>
      <w:r w:rsidR="00651F7A">
        <w:t xml:space="preserve"> nota con suma preocupación que sus recomendaciones del informe de 2010 en cuanto a la adopción de medidas efectivas para garantizar en la práctica el acceso a un abogado, a un médico, el derecho a notificar a una persona de confianza, a recibir información sobre sus derechos al momento de la detención, la adopción de sistemas de denuncias y quejas, no hayan sido implementadas. Durante las visitas realizadas en 2017 surgió claramente que siguen violándose los derechos de los detenidos mencionados, que constituyen salvaguardas contra la tortura y malos tratos. </w:t>
      </w:r>
    </w:p>
    <w:p w14:paraId="20995448" w14:textId="6897B9EA" w:rsidR="00651F7A" w:rsidRPr="00F23AF8" w:rsidRDefault="00AB5AA5" w:rsidP="00F23AF8">
      <w:pPr>
        <w:pStyle w:val="SingleTxtG"/>
        <w:rPr>
          <w:b/>
        </w:rPr>
      </w:pPr>
      <w:r w:rsidRPr="0098110E">
        <w:t>5</w:t>
      </w:r>
      <w:r w:rsidR="00F8360C" w:rsidRPr="0098110E">
        <w:t>6</w:t>
      </w:r>
      <w:r w:rsidR="00F23AF8" w:rsidRPr="0098110E">
        <w:t>.</w:t>
      </w:r>
      <w:r w:rsidR="00F23AF8" w:rsidRPr="0098110E">
        <w:tab/>
      </w:r>
      <w:r w:rsidR="00651F7A" w:rsidRPr="00F23AF8">
        <w:rPr>
          <w:b/>
        </w:rPr>
        <w:t xml:space="preserve">El </w:t>
      </w:r>
      <w:r w:rsidR="00522056">
        <w:rPr>
          <w:b/>
        </w:rPr>
        <w:t>Subcomité</w:t>
      </w:r>
      <w:r w:rsidR="00651F7A" w:rsidRPr="00F23AF8">
        <w:rPr>
          <w:b/>
        </w:rPr>
        <w:t xml:space="preserve"> urge el Estado parte a implementar sus recomendaciones anteriores. </w:t>
      </w:r>
    </w:p>
    <w:p w14:paraId="20995449" w14:textId="009237E1" w:rsidR="00651F7A" w:rsidRDefault="00AB5AA5" w:rsidP="00F23AF8">
      <w:pPr>
        <w:pStyle w:val="SingleTxtG"/>
      </w:pPr>
      <w:r>
        <w:t>5</w:t>
      </w:r>
      <w:r w:rsidR="00F8360C">
        <w:t>7</w:t>
      </w:r>
      <w:r w:rsidR="00651F7A">
        <w:t>.</w:t>
      </w:r>
      <w:r w:rsidR="003F48E6">
        <w:tab/>
      </w:r>
      <w:r w:rsidR="00651F7A">
        <w:t xml:space="preserve">En particular, el </w:t>
      </w:r>
      <w:r w:rsidR="00522056">
        <w:t>Subcomité</w:t>
      </w:r>
      <w:r w:rsidR="00651F7A">
        <w:t xml:space="preserve"> constató la ausencia evidente de progresos en relación a la obligación estatal de mantener un sistema adecuado de registros. </w:t>
      </w:r>
    </w:p>
    <w:p w14:paraId="2099544A" w14:textId="4A39C050" w:rsidR="00651F7A" w:rsidRDefault="0053010B" w:rsidP="00F23AF8">
      <w:pPr>
        <w:pStyle w:val="SingleTxtG"/>
      </w:pPr>
      <w:r>
        <w:t>5</w:t>
      </w:r>
      <w:r w:rsidR="00F8360C">
        <w:t>8</w:t>
      </w:r>
      <w:r w:rsidR="00651F7A">
        <w:t>.</w:t>
      </w:r>
      <w:r w:rsidR="003F48E6">
        <w:tab/>
      </w:r>
      <w:r w:rsidR="00651F7A">
        <w:t xml:space="preserve">De acuerdo </w:t>
      </w:r>
      <w:r w:rsidR="00651F7A" w:rsidRPr="005119C4">
        <w:t xml:space="preserve">a lo previsto por la Ley </w:t>
      </w:r>
      <w:r w:rsidR="003F48E6">
        <w:t xml:space="preserve">núm. </w:t>
      </w:r>
      <w:r w:rsidR="00651F7A" w:rsidRPr="005119C4">
        <w:t>2298</w:t>
      </w:r>
      <w:r w:rsidR="00651F7A">
        <w:rPr>
          <w:rStyle w:val="Refdenotaalpie"/>
        </w:rPr>
        <w:footnoteReference w:id="23"/>
      </w:r>
      <w:r w:rsidR="00651F7A">
        <w:t>,</w:t>
      </w:r>
      <w:r w:rsidR="00651F7A" w:rsidRPr="005119C4">
        <w:t xml:space="preserve"> el </w:t>
      </w:r>
      <w:r w:rsidRPr="005119C4">
        <w:t>director</w:t>
      </w:r>
      <w:r w:rsidR="00651F7A" w:rsidRPr="005119C4">
        <w:t xml:space="preserve"> del recinto penitenciario es el responsable de mantener actualizado el registro de </w:t>
      </w:r>
      <w:r w:rsidRPr="005119C4">
        <w:t xml:space="preserve">internos. </w:t>
      </w:r>
      <w:r w:rsidR="00651F7A" w:rsidRPr="005119C4">
        <w:t xml:space="preserve"> Cada uno </w:t>
      </w:r>
      <w:r w:rsidR="00F42BCC">
        <w:t>d</w:t>
      </w:r>
      <w:r w:rsidR="00651F7A" w:rsidRPr="005119C4">
        <w:t>e los centros penitenciarios visitados contaban con distintos modos de registro, algunos en plantillas Excel, que conviv</w:t>
      </w:r>
      <w:r w:rsidR="00651F7A">
        <w:t>ían</w:t>
      </w:r>
      <w:r w:rsidR="00651F7A" w:rsidRPr="005119C4">
        <w:t xml:space="preserve"> con sistemas de registro </w:t>
      </w:r>
      <w:r w:rsidR="0080473A">
        <w:t xml:space="preserve">manual. </w:t>
      </w:r>
    </w:p>
    <w:p w14:paraId="2099544B" w14:textId="4D824A83" w:rsidR="00651F7A" w:rsidRPr="005119C4" w:rsidRDefault="00F8360C" w:rsidP="00F23AF8">
      <w:pPr>
        <w:pStyle w:val="SingleTxtG"/>
      </w:pPr>
      <w:r>
        <w:lastRenderedPageBreak/>
        <w:t>59</w:t>
      </w:r>
      <w:r w:rsidR="00651F7A">
        <w:t>.</w:t>
      </w:r>
      <w:r w:rsidR="003F48E6">
        <w:tab/>
      </w:r>
      <w:r w:rsidR="00651F7A" w:rsidRPr="005119C4">
        <w:t>E</w:t>
      </w:r>
      <w:r w:rsidR="00651F7A">
        <w:t xml:space="preserve">l </w:t>
      </w:r>
      <w:r w:rsidR="00522056">
        <w:t>Subcomité</w:t>
      </w:r>
      <w:r w:rsidR="00651F7A">
        <w:t xml:space="preserve"> revisó numeroso</w:t>
      </w:r>
      <w:r w:rsidR="0053010B">
        <w:t>s</w:t>
      </w:r>
      <w:r w:rsidR="00651F7A">
        <w:t xml:space="preserve"> expedientes y observó con preocupación la ausencia generalizada de </w:t>
      </w:r>
      <w:r w:rsidR="00651F7A" w:rsidRPr="005119C4">
        <w:t xml:space="preserve">información </w:t>
      </w:r>
      <w:r w:rsidR="0053010B" w:rsidRPr="005119C4">
        <w:t xml:space="preserve">en relación </w:t>
      </w:r>
      <w:r w:rsidR="0053010B">
        <w:t>con el</w:t>
      </w:r>
      <w:r w:rsidR="00651F7A">
        <w:t xml:space="preserve"> juez y fiscal interviniente y sobre</w:t>
      </w:r>
      <w:r w:rsidR="00651F7A" w:rsidRPr="005119C4">
        <w:t xml:space="preserve"> </w:t>
      </w:r>
      <w:r w:rsidR="00FE55CF">
        <w:t xml:space="preserve">la </w:t>
      </w:r>
      <w:r w:rsidR="00651F7A" w:rsidRPr="005119C4">
        <w:t>fecha exacta de detención</w:t>
      </w:r>
      <w:r w:rsidR="00651F7A">
        <w:rPr>
          <w:rStyle w:val="Refdenotaalpie"/>
        </w:rPr>
        <w:footnoteReference w:id="24"/>
      </w:r>
      <w:r w:rsidR="00F04164">
        <w:t>.</w:t>
      </w:r>
      <w:r w:rsidR="00651F7A" w:rsidRPr="005119C4">
        <w:t xml:space="preserve"> La identificación del privado de libertad e</w:t>
      </w:r>
      <w:r w:rsidR="00651F7A">
        <w:t xml:space="preserve">staba </w:t>
      </w:r>
      <w:r w:rsidR="00651F7A" w:rsidRPr="005119C4">
        <w:t xml:space="preserve">incompleta, careciendo en muchos casos de su número de </w:t>
      </w:r>
      <w:r w:rsidR="00651F7A">
        <w:t>cédula de identidad</w:t>
      </w:r>
      <w:r w:rsidR="00651F7A" w:rsidRPr="005119C4">
        <w:t xml:space="preserve"> e identifica</w:t>
      </w:r>
      <w:r w:rsidR="00651F7A">
        <w:t>ción</w:t>
      </w:r>
      <w:r w:rsidR="00651F7A" w:rsidRPr="005119C4">
        <w:t xml:space="preserve"> mediante huellas digitales.</w:t>
      </w:r>
      <w:r w:rsidR="00651F7A">
        <w:t xml:space="preserve"> Asimismo,</w:t>
      </w:r>
      <w:r w:rsidR="00651F7A" w:rsidRPr="005119C4">
        <w:t xml:space="preserve"> </w:t>
      </w:r>
      <w:r w:rsidR="00651F7A">
        <w:t>el personal penitenciario explicó que ellos mismos cotejaban las huellas a</w:t>
      </w:r>
      <w:r w:rsidR="00651F7A" w:rsidRPr="005119C4">
        <w:t>l momento de la libertad,</w:t>
      </w:r>
      <w:r w:rsidR="00651F7A">
        <w:t xml:space="preserve"> sin peritaje especializado. En muchos casos, el </w:t>
      </w:r>
      <w:r w:rsidR="00522056">
        <w:t>Subcomité</w:t>
      </w:r>
      <w:r w:rsidR="00651F7A">
        <w:t xml:space="preserve"> no</w:t>
      </w:r>
      <w:r w:rsidR="00651F7A" w:rsidRPr="005119C4">
        <w:t xml:space="preserve"> encontró </w:t>
      </w:r>
      <w:r w:rsidR="00651F7A">
        <w:t>registros de</w:t>
      </w:r>
      <w:r w:rsidR="00651F7A" w:rsidRPr="005119C4">
        <w:t xml:space="preserve"> cómputos de pena, informes médicos, psicológicos, traslados</w:t>
      </w:r>
      <w:r w:rsidR="00532B19">
        <w:t xml:space="preserve"> o</w:t>
      </w:r>
      <w:r w:rsidR="00651F7A" w:rsidRPr="005119C4">
        <w:t xml:space="preserve"> sanciones disciplinarias</w:t>
      </w:r>
      <w:r w:rsidR="00651F7A">
        <w:t>,</w:t>
      </w:r>
      <w:r w:rsidR="00651F7A" w:rsidRPr="005119C4">
        <w:t xml:space="preserve"> </w:t>
      </w:r>
      <w:r w:rsidR="00532B19">
        <w:t>entre otros</w:t>
      </w:r>
      <w:r w:rsidR="00651F7A" w:rsidRPr="005119C4">
        <w:t>.</w:t>
      </w:r>
      <w:r w:rsidR="00651F7A">
        <w:t xml:space="preserve"> Le preocupa al Subcomité la disparidad y fragmentación de los registros, ya que </w:t>
      </w:r>
      <w:r w:rsidR="00651F7A" w:rsidRPr="005119C4">
        <w:t>cada funcionario de la Dirección Departamental de Régimen Penitenciario</w:t>
      </w:r>
      <w:r w:rsidR="00651F7A">
        <w:t xml:space="preserve"> (</w:t>
      </w:r>
      <w:r w:rsidR="00651F7A" w:rsidRPr="005119C4">
        <w:t>médico, trabajador</w:t>
      </w:r>
      <w:r w:rsidR="00651F7A">
        <w:t xml:space="preserve"> social</w:t>
      </w:r>
      <w:r w:rsidR="00651F7A" w:rsidRPr="005119C4">
        <w:t xml:space="preserve">, </w:t>
      </w:r>
      <w:r w:rsidR="00532B19">
        <w:t xml:space="preserve">o </w:t>
      </w:r>
      <w:r w:rsidR="00651F7A" w:rsidRPr="005119C4">
        <w:t>abogado</w:t>
      </w:r>
      <w:r w:rsidR="00651F7A">
        <w:t xml:space="preserve">, </w:t>
      </w:r>
      <w:r w:rsidR="00532B19">
        <w:t>entre otros</w:t>
      </w:r>
      <w:r w:rsidR="00651F7A">
        <w:t>)</w:t>
      </w:r>
      <w:r w:rsidR="00651F7A" w:rsidRPr="005119C4">
        <w:t xml:space="preserve"> t</w:t>
      </w:r>
      <w:r w:rsidR="00651F7A">
        <w:t>enía</w:t>
      </w:r>
      <w:r w:rsidR="00651F7A" w:rsidRPr="005119C4">
        <w:t xml:space="preserve"> su</w:t>
      </w:r>
      <w:r w:rsidR="00651F7A">
        <w:t>s</w:t>
      </w:r>
      <w:r w:rsidR="00651F7A" w:rsidRPr="005119C4">
        <w:t xml:space="preserve"> propio</w:t>
      </w:r>
      <w:r w:rsidR="00651F7A">
        <w:t>s</w:t>
      </w:r>
      <w:r w:rsidR="00651F7A" w:rsidRPr="005119C4">
        <w:t xml:space="preserve"> archivo</w:t>
      </w:r>
      <w:r w:rsidR="00651F7A">
        <w:t xml:space="preserve">s. </w:t>
      </w:r>
    </w:p>
    <w:p w14:paraId="2099544C" w14:textId="2061AD24" w:rsidR="00651F7A" w:rsidRDefault="00AB5AA5" w:rsidP="00F23AF8">
      <w:pPr>
        <w:pStyle w:val="SingleTxtG"/>
      </w:pPr>
      <w:r>
        <w:t>6</w:t>
      </w:r>
      <w:r w:rsidR="00F8360C">
        <w:t>0</w:t>
      </w:r>
      <w:r w:rsidR="00F23AF8">
        <w:t>.</w:t>
      </w:r>
      <w:r w:rsidR="00F23AF8">
        <w:tab/>
      </w:r>
      <w:r w:rsidR="00651F7A">
        <w:t>La falta de registros uniformes de</w:t>
      </w:r>
      <w:r w:rsidR="00651F7A" w:rsidRPr="005119C4">
        <w:t xml:space="preserve"> los jueces </w:t>
      </w:r>
      <w:r w:rsidR="00651F7A">
        <w:t xml:space="preserve">y </w:t>
      </w:r>
      <w:r w:rsidR="000D21AE">
        <w:t xml:space="preserve">la </w:t>
      </w:r>
      <w:r w:rsidR="00651F7A">
        <w:t xml:space="preserve">carencia de </w:t>
      </w:r>
      <w:r w:rsidR="00651F7A" w:rsidRPr="005119C4">
        <w:t>alerta</w:t>
      </w:r>
      <w:r w:rsidR="00651F7A">
        <w:t>s eficientes</w:t>
      </w:r>
      <w:r w:rsidR="00651F7A" w:rsidRPr="005119C4">
        <w:t xml:space="preserve"> sobre los vencimientos</w:t>
      </w:r>
      <w:r w:rsidR="00651F7A">
        <w:t xml:space="preserve"> </w:t>
      </w:r>
      <w:r w:rsidR="00651F7A" w:rsidRPr="005119C4">
        <w:t xml:space="preserve">de los términos </w:t>
      </w:r>
      <w:r w:rsidR="00651F7A">
        <w:t>de</w:t>
      </w:r>
      <w:r w:rsidR="00651F7A" w:rsidRPr="005119C4">
        <w:t xml:space="preserve"> las </w:t>
      </w:r>
      <w:r w:rsidR="00651F7A">
        <w:t xml:space="preserve">prisiones preventivas y condena </w:t>
      </w:r>
      <w:r w:rsidR="00651F7A" w:rsidRPr="005119C4">
        <w:t>da</w:t>
      </w:r>
      <w:r w:rsidR="00651F7A">
        <w:t>n</w:t>
      </w:r>
      <w:r w:rsidR="00651F7A" w:rsidRPr="005119C4">
        <w:t xml:space="preserve"> como resultado</w:t>
      </w:r>
      <w:r w:rsidR="00651F7A">
        <w:t xml:space="preserve"> </w:t>
      </w:r>
      <w:r w:rsidR="00651F7A" w:rsidRPr="005119C4">
        <w:t xml:space="preserve">una alta cantidad de </w:t>
      </w:r>
      <w:r w:rsidR="00B62628">
        <w:t>personas privadas de libertad</w:t>
      </w:r>
      <w:r w:rsidR="00651F7A" w:rsidRPr="005119C4">
        <w:t xml:space="preserve"> con los pl</w:t>
      </w:r>
      <w:r w:rsidR="00651F7A">
        <w:t xml:space="preserve">azos de detención vencida, en </w:t>
      </w:r>
      <w:r w:rsidR="00DD6B2E">
        <w:t xml:space="preserve">el </w:t>
      </w:r>
      <w:r w:rsidR="00651F7A" w:rsidRPr="005119C4">
        <w:t xml:space="preserve">peor de los casos con penas cumplidas, sin que el juez o </w:t>
      </w:r>
      <w:r w:rsidR="00DD6B2E">
        <w:t>d</w:t>
      </w:r>
      <w:r w:rsidR="00651F7A" w:rsidRPr="005119C4">
        <w:t xml:space="preserve">irector </w:t>
      </w:r>
      <w:r w:rsidR="00DD6B2E">
        <w:t>p</w:t>
      </w:r>
      <w:r w:rsidR="00651F7A" w:rsidRPr="005119C4">
        <w:t>enitenciario adviertan l</w:t>
      </w:r>
      <w:r w:rsidR="00651F7A">
        <w:t xml:space="preserve">a ilegal privación de libertad. </w:t>
      </w:r>
      <w:r w:rsidR="00651F7A" w:rsidRPr="005119C4">
        <w:t xml:space="preserve">Preocupa al </w:t>
      </w:r>
      <w:r w:rsidR="00522056">
        <w:t>Subcomité</w:t>
      </w:r>
      <w:r w:rsidR="00651F7A" w:rsidRPr="005119C4">
        <w:t xml:space="preserve"> la falta de coordinación </w:t>
      </w:r>
      <w:r w:rsidR="00651F7A">
        <w:t>de</w:t>
      </w:r>
      <w:r w:rsidR="00651F7A" w:rsidRPr="005119C4">
        <w:t xml:space="preserve"> los registros, dado que es vital en términos procesales para el ejercicio del derecho de defensa y de acceso a la justicia</w:t>
      </w:r>
      <w:r w:rsidR="003E4DD3">
        <w:t>.</w:t>
      </w:r>
    </w:p>
    <w:p w14:paraId="2099544D" w14:textId="5E3BFD8A" w:rsidR="00651F7A" w:rsidRPr="00F23AF8" w:rsidRDefault="00AB5AA5" w:rsidP="00F23AF8">
      <w:pPr>
        <w:pStyle w:val="SingleTxtG"/>
        <w:rPr>
          <w:b/>
        </w:rPr>
      </w:pPr>
      <w:r w:rsidRPr="0098110E">
        <w:t>6</w:t>
      </w:r>
      <w:r w:rsidR="00F8360C" w:rsidRPr="0098110E">
        <w:t>1</w:t>
      </w:r>
      <w:r w:rsidR="00F23AF8" w:rsidRPr="0098110E">
        <w:t>.</w:t>
      </w:r>
      <w:r w:rsidR="00F23AF8" w:rsidRPr="0098110E">
        <w:tab/>
      </w:r>
      <w:r w:rsidR="00651F7A" w:rsidRPr="00F23AF8">
        <w:rPr>
          <w:b/>
        </w:rPr>
        <w:t xml:space="preserve">El </w:t>
      </w:r>
      <w:r w:rsidR="00522056">
        <w:rPr>
          <w:b/>
        </w:rPr>
        <w:t>Subcomité</w:t>
      </w:r>
      <w:r w:rsidR="00651F7A" w:rsidRPr="00F23AF8">
        <w:rPr>
          <w:b/>
        </w:rPr>
        <w:t xml:space="preserve"> concluye que el problema generalizado de registros inadecuados sobre la privación de libertad en el Estado parte crea brechas en la protección de las personas contra la tortura y los malos tratos y es una de las causas que favorece la impunidad. </w:t>
      </w:r>
    </w:p>
    <w:p w14:paraId="2099544E" w14:textId="3E7A9191" w:rsidR="00651F7A" w:rsidRDefault="00AB5AA5" w:rsidP="00F23AF8">
      <w:pPr>
        <w:pStyle w:val="SingleTxtG"/>
      </w:pPr>
      <w:r>
        <w:t>6</w:t>
      </w:r>
      <w:r w:rsidR="00F8360C">
        <w:t>2</w:t>
      </w:r>
      <w:r w:rsidR="00F23AF8">
        <w:t>.</w:t>
      </w:r>
      <w:r w:rsidR="00F23AF8">
        <w:tab/>
      </w:r>
      <w:r w:rsidR="00651F7A">
        <w:t>En cuanto a las instalaciones policiales, e</w:t>
      </w:r>
      <w:r w:rsidR="00651F7A" w:rsidRPr="00CA3651">
        <w:t>l sistema de registros observado</w:t>
      </w:r>
      <w:r w:rsidR="00651F7A">
        <w:t xml:space="preserve"> tampoco p</w:t>
      </w:r>
      <w:r w:rsidR="00651F7A" w:rsidRPr="00CA3651">
        <w:t xml:space="preserve">ermitía un adecuado seguimiento de las entradas y salidas de las personas detenidas ni un control del respeto de sus garantías procesales. El </w:t>
      </w:r>
      <w:r w:rsidR="00522056">
        <w:t>Subcomité</w:t>
      </w:r>
      <w:r w:rsidR="00651F7A" w:rsidRPr="00CA3651">
        <w:t xml:space="preserve"> también observó que muchos libros de registros en las instalaciones visitadas tenían fecha reciente de creación.</w:t>
      </w:r>
    </w:p>
    <w:p w14:paraId="2099544F" w14:textId="0BE04234" w:rsidR="00651F7A" w:rsidRPr="00F23AF8" w:rsidRDefault="00AB5AA5" w:rsidP="00F23AF8">
      <w:pPr>
        <w:pStyle w:val="SingleTxtG"/>
        <w:rPr>
          <w:b/>
        </w:rPr>
      </w:pPr>
      <w:r w:rsidRPr="0098110E">
        <w:t>6</w:t>
      </w:r>
      <w:r w:rsidR="00F8360C" w:rsidRPr="0098110E">
        <w:t>3</w:t>
      </w:r>
      <w:r w:rsidR="00651F7A" w:rsidRPr="0098110E">
        <w:t>.</w:t>
      </w:r>
      <w:r w:rsidR="003F48E6">
        <w:rPr>
          <w:b/>
        </w:rPr>
        <w:tab/>
      </w:r>
      <w:r w:rsidR="00651F7A" w:rsidRPr="00F23AF8">
        <w:rPr>
          <w:b/>
        </w:rPr>
        <w:t>El Subcomité reitera sus recomendaciones sobre la implantación de un sistema uniforme de registro</w:t>
      </w:r>
      <w:r w:rsidR="00651F7A" w:rsidRPr="0098110E">
        <w:rPr>
          <w:rStyle w:val="Refdenotaalpie"/>
        </w:rPr>
        <w:footnoteReference w:id="25"/>
      </w:r>
      <w:r w:rsidR="00651F7A" w:rsidRPr="00F23AF8">
        <w:rPr>
          <w:b/>
        </w:rPr>
        <w:t xml:space="preserve"> e invita al Estado parte a recurrir a la asistencia del </w:t>
      </w:r>
      <w:r w:rsidR="003144E2">
        <w:rPr>
          <w:b/>
        </w:rPr>
        <w:t xml:space="preserve">Alto Comisionado de las Naciones Unidas para los Derechos Humanos </w:t>
      </w:r>
      <w:r w:rsidR="00651F7A" w:rsidRPr="00F23AF8">
        <w:rPr>
          <w:b/>
        </w:rPr>
        <w:t xml:space="preserve">a ese respecto. </w:t>
      </w:r>
    </w:p>
    <w:p w14:paraId="20995450" w14:textId="51CC03D1" w:rsidR="00651F7A" w:rsidRPr="00F23AF8" w:rsidRDefault="00AB5AA5" w:rsidP="00F23AF8">
      <w:pPr>
        <w:pStyle w:val="SingleTxtG"/>
        <w:rPr>
          <w:b/>
        </w:rPr>
      </w:pPr>
      <w:r w:rsidRPr="0098110E">
        <w:t>6</w:t>
      </w:r>
      <w:r w:rsidR="00F8360C" w:rsidRPr="0098110E">
        <w:t>4</w:t>
      </w:r>
      <w:r w:rsidR="00F23AF8" w:rsidRPr="0098110E">
        <w:t>.</w:t>
      </w:r>
      <w:r w:rsidR="00F23AF8">
        <w:rPr>
          <w:b/>
        </w:rPr>
        <w:tab/>
      </w:r>
      <w:r w:rsidR="00651F7A" w:rsidRPr="00F23AF8">
        <w:rPr>
          <w:b/>
        </w:rPr>
        <w:t xml:space="preserve">Asimismo, el </w:t>
      </w:r>
      <w:r w:rsidR="00522056">
        <w:rPr>
          <w:b/>
        </w:rPr>
        <w:t>Subcomité</w:t>
      </w:r>
      <w:r w:rsidR="00651F7A" w:rsidRPr="00F23AF8">
        <w:rPr>
          <w:b/>
        </w:rPr>
        <w:t xml:space="preserve"> recomienda que el Estado parte:</w:t>
      </w:r>
    </w:p>
    <w:p w14:paraId="20995451" w14:textId="1E257ECA" w:rsidR="00651F7A" w:rsidRPr="00F23AF8" w:rsidRDefault="00B024EB" w:rsidP="00F23AF8">
      <w:pPr>
        <w:pStyle w:val="SingleTxtG"/>
        <w:rPr>
          <w:b/>
        </w:rPr>
      </w:pPr>
      <w:r>
        <w:rPr>
          <w:b/>
        </w:rPr>
        <w:tab/>
      </w:r>
      <w:r w:rsidR="00F23AF8">
        <w:rPr>
          <w:b/>
        </w:rPr>
        <w:tab/>
      </w:r>
      <w:r w:rsidR="00651F7A" w:rsidRPr="00F23AF8">
        <w:rPr>
          <w:b/>
        </w:rPr>
        <w:t>a)</w:t>
      </w:r>
      <w:r w:rsidR="003F48E6">
        <w:rPr>
          <w:b/>
        </w:rPr>
        <w:tab/>
      </w:r>
      <w:r w:rsidR="005D786B">
        <w:rPr>
          <w:b/>
        </w:rPr>
        <w:t>I</w:t>
      </w:r>
      <w:r w:rsidR="00651F7A" w:rsidRPr="00F23AF8">
        <w:rPr>
          <w:b/>
        </w:rPr>
        <w:t>nstaure alertas informáticas fiables sobre vencimientos de términos de las prisiones preventivas y cumplimientos de penas;</w:t>
      </w:r>
    </w:p>
    <w:p w14:paraId="20995452" w14:textId="36CD870F" w:rsidR="00651F7A" w:rsidRPr="00F23AF8" w:rsidRDefault="00B024EB" w:rsidP="00F23AF8">
      <w:pPr>
        <w:pStyle w:val="SingleTxtG"/>
        <w:rPr>
          <w:b/>
        </w:rPr>
      </w:pPr>
      <w:r>
        <w:rPr>
          <w:b/>
        </w:rPr>
        <w:tab/>
      </w:r>
      <w:r w:rsidR="00F23AF8">
        <w:rPr>
          <w:b/>
        </w:rPr>
        <w:tab/>
      </w:r>
      <w:r w:rsidR="00651F7A" w:rsidRPr="00F23AF8">
        <w:rPr>
          <w:b/>
        </w:rPr>
        <w:t>b)</w:t>
      </w:r>
      <w:r w:rsidR="003F48E6">
        <w:rPr>
          <w:b/>
        </w:rPr>
        <w:tab/>
      </w:r>
      <w:r w:rsidR="00E409A5">
        <w:rPr>
          <w:b/>
        </w:rPr>
        <w:t>A</w:t>
      </w:r>
      <w:r w:rsidR="00651F7A" w:rsidRPr="00F23AF8">
        <w:rPr>
          <w:b/>
        </w:rPr>
        <w:t xml:space="preserve">dopte </w:t>
      </w:r>
      <w:r w:rsidR="00E409A5">
        <w:rPr>
          <w:b/>
        </w:rPr>
        <w:t>un</w:t>
      </w:r>
      <w:r w:rsidR="00651F7A" w:rsidRPr="00F23AF8">
        <w:rPr>
          <w:b/>
        </w:rPr>
        <w:t xml:space="preserve">a política institucional destinada a determinar de forma fehaciente la identidad de las </w:t>
      </w:r>
      <w:r w:rsidR="00B62628">
        <w:rPr>
          <w:b/>
        </w:rPr>
        <w:t>personas privadas de libertad</w:t>
      </w:r>
      <w:r w:rsidR="00651F7A" w:rsidRPr="00F23AF8">
        <w:rPr>
          <w:b/>
        </w:rPr>
        <w:t>, inclusive la dotación de cédulas de identidad de forma permanente y gratuita, e identificación con toma de huellas digitales y su cotejo por peritos idóneos;</w:t>
      </w:r>
    </w:p>
    <w:p w14:paraId="20995453" w14:textId="29BE8348" w:rsidR="00651F7A" w:rsidRPr="00F23AF8" w:rsidRDefault="00B024EB" w:rsidP="00F23AF8">
      <w:pPr>
        <w:pStyle w:val="SingleTxtG"/>
        <w:rPr>
          <w:b/>
        </w:rPr>
      </w:pPr>
      <w:r>
        <w:rPr>
          <w:b/>
        </w:rPr>
        <w:lastRenderedPageBreak/>
        <w:tab/>
      </w:r>
      <w:r w:rsidR="00F23AF8">
        <w:rPr>
          <w:b/>
        </w:rPr>
        <w:tab/>
      </w:r>
      <w:r w:rsidR="00651F7A" w:rsidRPr="00F23AF8">
        <w:rPr>
          <w:b/>
        </w:rPr>
        <w:t>c)</w:t>
      </w:r>
      <w:r w:rsidR="003F48E6">
        <w:rPr>
          <w:b/>
        </w:rPr>
        <w:tab/>
      </w:r>
      <w:r w:rsidR="00E409A5">
        <w:rPr>
          <w:b/>
        </w:rPr>
        <w:t>U</w:t>
      </w:r>
      <w:r w:rsidR="00651F7A" w:rsidRPr="00F23AF8">
        <w:rPr>
          <w:b/>
        </w:rPr>
        <w:t>nifique los registros médicos, psicológicos y personales;</w:t>
      </w:r>
    </w:p>
    <w:p w14:paraId="20995454" w14:textId="1CD47681" w:rsidR="00651F7A" w:rsidRPr="00F23AF8" w:rsidRDefault="00B024EB" w:rsidP="00F23AF8">
      <w:pPr>
        <w:pStyle w:val="SingleTxtG"/>
        <w:rPr>
          <w:b/>
        </w:rPr>
      </w:pPr>
      <w:r>
        <w:rPr>
          <w:b/>
        </w:rPr>
        <w:tab/>
      </w:r>
      <w:r w:rsidR="00F23AF8">
        <w:rPr>
          <w:b/>
        </w:rPr>
        <w:tab/>
      </w:r>
      <w:r w:rsidR="00651F7A" w:rsidRPr="00F23AF8">
        <w:rPr>
          <w:b/>
        </w:rPr>
        <w:t>d)</w:t>
      </w:r>
      <w:r w:rsidR="003F48E6">
        <w:rPr>
          <w:b/>
        </w:rPr>
        <w:tab/>
      </w:r>
      <w:r w:rsidR="00E527D8">
        <w:rPr>
          <w:b/>
        </w:rPr>
        <w:t>I</w:t>
      </w:r>
      <w:r w:rsidR="00651F7A" w:rsidRPr="00F23AF8">
        <w:rPr>
          <w:b/>
        </w:rPr>
        <w:t xml:space="preserve">nstruya a los </w:t>
      </w:r>
      <w:r w:rsidR="00FD1C4C">
        <w:rPr>
          <w:b/>
        </w:rPr>
        <w:t>d</w:t>
      </w:r>
      <w:r w:rsidR="00651F7A" w:rsidRPr="00F23AF8">
        <w:rPr>
          <w:b/>
        </w:rPr>
        <w:t xml:space="preserve">irectores de los penales dar estricto cumplimiento de la Ley </w:t>
      </w:r>
      <w:r w:rsidR="003F48E6">
        <w:rPr>
          <w:b/>
        </w:rPr>
        <w:t xml:space="preserve">núm. </w:t>
      </w:r>
      <w:r w:rsidR="00651F7A" w:rsidRPr="00F23AF8">
        <w:rPr>
          <w:b/>
        </w:rPr>
        <w:t xml:space="preserve">2298 manteniendo actualizados los registros y enviando mensualmente copia de ellos a los </w:t>
      </w:r>
      <w:r w:rsidR="00FD1C4C">
        <w:rPr>
          <w:b/>
        </w:rPr>
        <w:t>j</w:t>
      </w:r>
      <w:r w:rsidR="00651F7A" w:rsidRPr="00F23AF8">
        <w:rPr>
          <w:b/>
        </w:rPr>
        <w:t xml:space="preserve">ueces pertinentes; </w:t>
      </w:r>
    </w:p>
    <w:p w14:paraId="20995455" w14:textId="41314E61" w:rsidR="00651F7A" w:rsidRDefault="00B024EB" w:rsidP="00651F7A">
      <w:pPr>
        <w:pStyle w:val="SingleTxtG"/>
        <w:rPr>
          <w:b/>
        </w:rPr>
      </w:pPr>
      <w:r>
        <w:rPr>
          <w:b/>
        </w:rPr>
        <w:tab/>
      </w:r>
      <w:r w:rsidR="00F23AF8">
        <w:rPr>
          <w:b/>
        </w:rPr>
        <w:tab/>
      </w:r>
      <w:r w:rsidR="00651F7A" w:rsidRPr="00F23AF8">
        <w:rPr>
          <w:b/>
        </w:rPr>
        <w:t>e)</w:t>
      </w:r>
      <w:r w:rsidR="003F48E6">
        <w:rPr>
          <w:b/>
        </w:rPr>
        <w:tab/>
      </w:r>
      <w:r w:rsidR="00FD1C4C">
        <w:rPr>
          <w:b/>
        </w:rPr>
        <w:t>R</w:t>
      </w:r>
      <w:r w:rsidR="00651F7A" w:rsidRPr="00F23AF8">
        <w:rPr>
          <w:b/>
        </w:rPr>
        <w:t>ealice un censo a fin de detectar casos de privaciones de libertad vencidas, así como efectúe las denuncias penales correspondientes por privación ilegal de la libertad</w:t>
      </w:r>
      <w:r w:rsidR="00EA6784">
        <w:rPr>
          <w:b/>
        </w:rPr>
        <w:t>.</w:t>
      </w:r>
    </w:p>
    <w:p w14:paraId="20995456" w14:textId="72A32E06" w:rsidR="00651F7A" w:rsidRPr="00802E03" w:rsidRDefault="00F23AF8" w:rsidP="00F23AF8">
      <w:pPr>
        <w:pStyle w:val="HChG"/>
      </w:pPr>
      <w:r>
        <w:tab/>
      </w:r>
      <w:r w:rsidR="00651F7A" w:rsidRPr="00802E03">
        <w:t>V.</w:t>
      </w:r>
      <w:r>
        <w:tab/>
      </w:r>
      <w:r w:rsidR="00EA6784" w:rsidRPr="00802E03">
        <w:t>S</w:t>
      </w:r>
      <w:r w:rsidR="00EA6784">
        <w:t xml:space="preserve">ituación de las personas privadas de libertad </w:t>
      </w:r>
    </w:p>
    <w:p w14:paraId="20995457" w14:textId="77777777" w:rsidR="00651F7A" w:rsidRPr="00802E03" w:rsidRDefault="00F23AF8" w:rsidP="00F23AF8">
      <w:pPr>
        <w:pStyle w:val="H1G"/>
      </w:pPr>
      <w:r>
        <w:tab/>
      </w:r>
      <w:r w:rsidR="00651F7A" w:rsidRPr="00802E03">
        <w:t>A.</w:t>
      </w:r>
      <w:r>
        <w:tab/>
      </w:r>
      <w:r w:rsidR="00651F7A" w:rsidRPr="00802E03">
        <w:t>Estaciones de policía</w:t>
      </w:r>
    </w:p>
    <w:p w14:paraId="20995458" w14:textId="4AF5DD79" w:rsidR="00651F7A" w:rsidRPr="005B2962" w:rsidRDefault="00AB5AA5" w:rsidP="00F23AF8">
      <w:pPr>
        <w:pStyle w:val="SingleTxtG"/>
      </w:pPr>
      <w:r>
        <w:t>6</w:t>
      </w:r>
      <w:r w:rsidR="00F8360C">
        <w:t>5</w:t>
      </w:r>
      <w:r w:rsidR="00F23AF8">
        <w:t>.</w:t>
      </w:r>
      <w:r w:rsidR="003F48E6">
        <w:tab/>
      </w:r>
      <w:r w:rsidR="00651F7A" w:rsidRPr="005B2962">
        <w:t>El Subcomité observó condiciones materiales muy deficientes en las estaciones de policía visitadas, particularmente la carencia de servicios de agua potable al interior de las celdas</w:t>
      </w:r>
      <w:r w:rsidR="003E4DD3">
        <w:t>,</w:t>
      </w:r>
      <w:r w:rsidR="00651F7A" w:rsidRPr="005B2962">
        <w:t xml:space="preserve"> así como de servicios sanitarios y de higiene, de camas y/o colchones y la falta de suministro de alimen</w:t>
      </w:r>
      <w:r w:rsidR="00651F7A">
        <w:t>tos para las personas recluidas</w:t>
      </w:r>
      <w:r w:rsidR="00651F7A" w:rsidRPr="005B2962">
        <w:t xml:space="preserve">. El Subcomité observó </w:t>
      </w:r>
      <w:r w:rsidR="00B62628">
        <w:t>personas privadas de libertad</w:t>
      </w:r>
      <w:r w:rsidR="00651F7A" w:rsidRPr="005B2962">
        <w:t xml:space="preserve"> durmiendo sobre el suelo, en celdas con infraestructura deficiente, </w:t>
      </w:r>
      <w:r w:rsidR="00651F7A">
        <w:t>insalubres</w:t>
      </w:r>
      <w:r w:rsidR="00651F7A" w:rsidRPr="005B2962">
        <w:t>, con poca ventilación y sin luz natural. Aunque algunas de las estaciones policiales son de reciente construcción</w:t>
      </w:r>
      <w:r w:rsidR="00651F7A">
        <w:t>,</w:t>
      </w:r>
      <w:r w:rsidR="00651F7A" w:rsidRPr="005B2962">
        <w:t xml:space="preserve"> tales como las </w:t>
      </w:r>
      <w:r w:rsidR="00A25110">
        <w:t>e</w:t>
      </w:r>
      <w:r w:rsidR="00651F7A" w:rsidRPr="005B2962">
        <w:t xml:space="preserve">staciones </w:t>
      </w:r>
      <w:r w:rsidR="00A25110">
        <w:t>p</w:t>
      </w:r>
      <w:r w:rsidR="00651F7A" w:rsidRPr="005B2962">
        <w:t xml:space="preserve">oliciales </w:t>
      </w:r>
      <w:r w:rsidR="00A25110">
        <w:t>i</w:t>
      </w:r>
      <w:r w:rsidR="00651F7A" w:rsidRPr="005B2962">
        <w:t>ntegrales en Cochabamba, las celdas observadas por el Subcomité a</w:t>
      </w:r>
      <w:r w:rsidR="00170DA4">
        <w:t>ú</w:t>
      </w:r>
      <w:r w:rsidR="00651F7A" w:rsidRPr="005B2962">
        <w:t xml:space="preserve">n no cumplen con estándares mínimos de equipamiento, servicios y espacio. El efecto acumulado de estas condiciones </w:t>
      </w:r>
      <w:r w:rsidR="00651F7A">
        <w:t xml:space="preserve">equivale </w:t>
      </w:r>
      <w:r w:rsidR="00651F7A" w:rsidRPr="005B2962">
        <w:t>para el Subcomité</w:t>
      </w:r>
      <w:r w:rsidR="00651F7A">
        <w:t xml:space="preserve"> a</w:t>
      </w:r>
      <w:r w:rsidR="00651F7A" w:rsidRPr="005B2962">
        <w:t xml:space="preserve"> tratos inhumanos y degradantes. </w:t>
      </w:r>
    </w:p>
    <w:p w14:paraId="20995459" w14:textId="553E597A" w:rsidR="00651F7A" w:rsidRPr="00F23AF8" w:rsidRDefault="00AB5AA5" w:rsidP="00F23AF8">
      <w:pPr>
        <w:pStyle w:val="SingleTxtG"/>
        <w:rPr>
          <w:b/>
        </w:rPr>
      </w:pPr>
      <w:r w:rsidRPr="0098110E">
        <w:t>6</w:t>
      </w:r>
      <w:r w:rsidR="00F8360C" w:rsidRPr="0098110E">
        <w:t>6</w:t>
      </w:r>
      <w:r w:rsidR="00651F7A" w:rsidRPr="0098110E">
        <w:t>.</w:t>
      </w:r>
      <w:r w:rsidR="00B024EB">
        <w:rPr>
          <w:b/>
        </w:rPr>
        <w:tab/>
      </w:r>
      <w:r w:rsidR="00651F7A" w:rsidRPr="00F23AF8">
        <w:rPr>
          <w:b/>
        </w:rPr>
        <w:t>El Subcomité recomienda al Estado parte adoptar una estrategia con recursos económicos para asegurar la adecuación de estaciones y celdas de policía con estándares mínimos internacionales, incluida la provisión de condiciones de higiene, agua potable y alimentación</w:t>
      </w:r>
      <w:r w:rsidR="00170DA4">
        <w:rPr>
          <w:b/>
        </w:rPr>
        <w:t>.</w:t>
      </w:r>
    </w:p>
    <w:p w14:paraId="2099545A" w14:textId="195B0559" w:rsidR="00651F7A" w:rsidRDefault="00F23AF8" w:rsidP="00F23AF8">
      <w:pPr>
        <w:pStyle w:val="H1G"/>
        <w:rPr>
          <w:i/>
        </w:rPr>
      </w:pPr>
      <w:r>
        <w:tab/>
      </w:r>
      <w:r w:rsidR="00651F7A" w:rsidRPr="00802E03">
        <w:t>B.</w:t>
      </w:r>
      <w:r>
        <w:tab/>
      </w:r>
      <w:r w:rsidR="00651F7A" w:rsidRPr="00802E03">
        <w:t xml:space="preserve">Centros penitenciarios y </w:t>
      </w:r>
      <w:r w:rsidR="00651F7A" w:rsidRPr="00815B60">
        <w:t>carceleta</w:t>
      </w:r>
      <w:r w:rsidR="00170DA4">
        <w:t>s</w:t>
      </w:r>
    </w:p>
    <w:p w14:paraId="2099545B" w14:textId="70A156DE" w:rsidR="00651F7A" w:rsidRPr="00F23AF8" w:rsidRDefault="00AB5AA5" w:rsidP="00F23AF8">
      <w:pPr>
        <w:pStyle w:val="SingleTxtG"/>
      </w:pPr>
      <w:r>
        <w:t>6</w:t>
      </w:r>
      <w:r w:rsidR="00F8360C">
        <w:t>7</w:t>
      </w:r>
      <w:r w:rsidR="00651F7A" w:rsidRPr="00F23AF8">
        <w:t>.</w:t>
      </w:r>
      <w:r w:rsidR="003F48E6">
        <w:tab/>
      </w:r>
      <w:r w:rsidR="00651F7A" w:rsidRPr="00F23AF8">
        <w:t xml:space="preserve">El Subcomité visitó por segunda vez centros penitenciarios de mujeres y de varones que fueron parte de su primera visita y otros lugares de internamiento tales como las denominadas “carceletas” ubicadas en zonas rurales. </w:t>
      </w:r>
    </w:p>
    <w:p w14:paraId="2099545C" w14:textId="77777777" w:rsidR="00651F7A" w:rsidRPr="003A2B62" w:rsidRDefault="00F23AF8" w:rsidP="00F23AF8">
      <w:pPr>
        <w:pStyle w:val="H23G"/>
        <w:rPr>
          <w:lang w:val="es-ES_tradnl"/>
        </w:rPr>
      </w:pPr>
      <w:r>
        <w:rPr>
          <w:lang w:val="es-ES_tradnl"/>
        </w:rPr>
        <w:tab/>
        <w:t>a)</w:t>
      </w:r>
      <w:r>
        <w:rPr>
          <w:lang w:val="es-ES_tradnl"/>
        </w:rPr>
        <w:tab/>
      </w:r>
      <w:r w:rsidR="00651F7A" w:rsidRPr="003A2B62">
        <w:rPr>
          <w:lang w:val="es-ES_tradnl"/>
        </w:rPr>
        <w:t xml:space="preserve">Hacinamiento y sobrepoblación </w:t>
      </w:r>
    </w:p>
    <w:p w14:paraId="2099545D" w14:textId="1F6F981E" w:rsidR="00651F7A" w:rsidRPr="00F23AF8" w:rsidRDefault="003E4DD3" w:rsidP="00F23AF8">
      <w:pPr>
        <w:pStyle w:val="SingleTxtG"/>
      </w:pPr>
      <w:r>
        <w:t>6</w:t>
      </w:r>
      <w:r w:rsidR="00F8360C">
        <w:t>8</w:t>
      </w:r>
      <w:r w:rsidR="00651F7A" w:rsidRPr="00F23AF8">
        <w:t>.</w:t>
      </w:r>
      <w:r w:rsidR="003F48E6">
        <w:tab/>
      </w:r>
      <w:r w:rsidR="00651F7A" w:rsidRPr="00F23AF8">
        <w:t xml:space="preserve">En su informe de 2010, el </w:t>
      </w:r>
      <w:r w:rsidR="00522056">
        <w:t>Subcomité</w:t>
      </w:r>
      <w:r w:rsidR="00651F7A" w:rsidRPr="00F23AF8">
        <w:t xml:space="preserve"> constató “niveles insostenibles de hacinamiento” en casi todas las cárceles del país. Desde 2010, la situación se ha agravado y continúa vulnerando las normas internacionales. En algunos centros penitenciarios el hacinamiento se ha agravado en relación con lo observado por el Subcomité durante su primera visita. Este es el caso de la cárcel San Pedro </w:t>
      </w:r>
      <w:r w:rsidR="004C614C">
        <w:t>(</w:t>
      </w:r>
      <w:r w:rsidR="00651F7A" w:rsidRPr="00F23AF8">
        <w:t>La Paz</w:t>
      </w:r>
      <w:r w:rsidR="004C614C">
        <w:t>)</w:t>
      </w:r>
      <w:r w:rsidR="00651F7A" w:rsidRPr="00F23AF8">
        <w:t>, donde la sobrepoblación carcelaria alcanzó 400</w:t>
      </w:r>
      <w:r w:rsidR="00170DA4">
        <w:t>%</w:t>
      </w:r>
      <w:r w:rsidR="00651F7A" w:rsidRPr="00F23AF8">
        <w:t xml:space="preserve"> en</w:t>
      </w:r>
      <w:r w:rsidR="00EA24A2">
        <w:t> </w:t>
      </w:r>
      <w:r w:rsidR="00651F7A" w:rsidRPr="00F23AF8">
        <w:t>2017</w:t>
      </w:r>
      <w:r w:rsidR="00AE5C94">
        <w:t>.</w:t>
      </w:r>
    </w:p>
    <w:p w14:paraId="2099545E" w14:textId="6FBC56DD" w:rsidR="00651F7A" w:rsidRPr="00F23AF8" w:rsidRDefault="00F8360C" w:rsidP="00F23AF8">
      <w:pPr>
        <w:pStyle w:val="SingleTxtG"/>
      </w:pPr>
      <w:r>
        <w:t>69</w:t>
      </w:r>
      <w:r w:rsidR="00651F7A" w:rsidRPr="00F23AF8">
        <w:t>.</w:t>
      </w:r>
      <w:r w:rsidR="003F48E6">
        <w:tab/>
      </w:r>
      <w:r w:rsidR="00651F7A" w:rsidRPr="00F23AF8">
        <w:t>En la cárcel de San Sebastián varones</w:t>
      </w:r>
      <w:r w:rsidR="0082330E">
        <w:t>,</w:t>
      </w:r>
      <w:r w:rsidR="00651F7A" w:rsidRPr="00F23AF8">
        <w:t xml:space="preserve"> con capacidad para 200 personas, el </w:t>
      </w:r>
      <w:r w:rsidR="00522056">
        <w:t>Subcomité</w:t>
      </w:r>
      <w:r w:rsidR="00651F7A" w:rsidRPr="00F23AF8">
        <w:t xml:space="preserve"> encontró en 2010 una sobrepoblación de 600 personas que aumentó a 717</w:t>
      </w:r>
      <w:r w:rsidR="00B024EB">
        <w:t> </w:t>
      </w:r>
      <w:r w:rsidR="00651F7A" w:rsidRPr="00F23AF8">
        <w:t xml:space="preserve">personas en 2017. El </w:t>
      </w:r>
      <w:r w:rsidR="00272023">
        <w:t xml:space="preserve">80% </w:t>
      </w:r>
      <w:r w:rsidR="00651F7A" w:rsidRPr="00F23AF8">
        <w:t xml:space="preserve">de </w:t>
      </w:r>
      <w:r w:rsidR="00272023">
        <w:t xml:space="preserve">las </w:t>
      </w:r>
      <w:r w:rsidR="00B62628">
        <w:t>personas privadas de libertad</w:t>
      </w:r>
      <w:r w:rsidR="00651F7A" w:rsidRPr="00F23AF8">
        <w:t xml:space="preserve"> en San Sebastián varones se encontraba bajo prisión preventiva en el momento de la visita. En dicho centro penitenciario, el Subcomité observó las condiciones deplorables de algunos internos que en ausencia de celdas han adaptado lugares de dormitorio sobre el techo del centro de reclusión, en terrazas de difícil acceso y en ausencia de condiciones de seguridad. Por su parte, el centro penitenciario de San Roque</w:t>
      </w:r>
      <w:r w:rsidR="0090051E">
        <w:t xml:space="preserve"> (</w:t>
      </w:r>
      <w:r w:rsidR="00651F7A" w:rsidRPr="00F23AF8">
        <w:t>Sucre</w:t>
      </w:r>
      <w:r w:rsidR="0090051E">
        <w:t>)</w:t>
      </w:r>
      <w:r w:rsidR="0082330E">
        <w:t>,</w:t>
      </w:r>
      <w:r w:rsidR="00651F7A" w:rsidRPr="00F23AF8">
        <w:t xml:space="preserve"> con capacidad para 235 personas alberga</w:t>
      </w:r>
      <w:r w:rsidR="00AE5C94">
        <w:t>ba</w:t>
      </w:r>
      <w:r w:rsidR="00651F7A" w:rsidRPr="00F23AF8">
        <w:t xml:space="preserve"> 527</w:t>
      </w:r>
      <w:r w:rsidR="00C937F1">
        <w:t> </w:t>
      </w:r>
      <w:r w:rsidR="00651F7A" w:rsidRPr="00F23AF8">
        <w:t>personas.</w:t>
      </w:r>
    </w:p>
    <w:p w14:paraId="2099545F" w14:textId="44197480" w:rsidR="00651F7A" w:rsidRPr="00F23AF8" w:rsidRDefault="00AB5AA5" w:rsidP="00F23AF8">
      <w:pPr>
        <w:pStyle w:val="SingleTxtG"/>
      </w:pPr>
      <w:r>
        <w:t>7</w:t>
      </w:r>
      <w:r w:rsidR="00F8360C">
        <w:t>0</w:t>
      </w:r>
      <w:r w:rsidR="00651F7A" w:rsidRPr="00F23AF8">
        <w:t>.</w:t>
      </w:r>
      <w:r w:rsidR="003F48E6">
        <w:tab/>
      </w:r>
      <w:r w:rsidR="00651F7A" w:rsidRPr="00F23AF8">
        <w:t xml:space="preserve">El </w:t>
      </w:r>
      <w:r w:rsidR="00522056">
        <w:t>Subcomité</w:t>
      </w:r>
      <w:r w:rsidR="00651F7A" w:rsidRPr="00F23AF8">
        <w:t xml:space="preserve"> toma nota de las medidas adoptadas por el Estado parte para combatir el hacinamiento y que comprenden la ampliación de la infraestructura carcelaria</w:t>
      </w:r>
      <w:r w:rsidR="00341F69">
        <w:t>,</w:t>
      </w:r>
      <w:r w:rsidR="00651F7A" w:rsidRPr="00F23AF8">
        <w:t xml:space="preserve"> así como las leyes de descongestionamiento, incluyendo </w:t>
      </w:r>
      <w:r w:rsidR="0082330E">
        <w:t xml:space="preserve">la </w:t>
      </w:r>
      <w:r w:rsidR="00651F7A" w:rsidRPr="00F23AF8">
        <w:t xml:space="preserve">aplicación de indultos y amnistías y la práctica de procesos abreviados. Sin embargo, le preocupa que tales medidas tienen </w:t>
      </w:r>
      <w:r w:rsidR="00651F7A" w:rsidRPr="00F23AF8">
        <w:lastRenderedPageBreak/>
        <w:t xml:space="preserve">carácter coyuntural y excepcional y no ofrecen solución al problema estructural de presos sin condena. </w:t>
      </w:r>
    </w:p>
    <w:p w14:paraId="034A712D" w14:textId="1F9737F5" w:rsidR="00AE5C94" w:rsidRDefault="00AB5AA5" w:rsidP="00AE5C94">
      <w:pPr>
        <w:pStyle w:val="SingleTxtG"/>
      </w:pPr>
      <w:r>
        <w:t>7</w:t>
      </w:r>
      <w:r w:rsidR="00F8360C">
        <w:t>1</w:t>
      </w:r>
      <w:r w:rsidR="00651F7A" w:rsidRPr="00F23AF8">
        <w:t>.</w:t>
      </w:r>
      <w:r w:rsidR="001D27E4">
        <w:tab/>
      </w:r>
      <w:r w:rsidR="00AE5C94">
        <w:t xml:space="preserve">El </w:t>
      </w:r>
      <w:r w:rsidR="00522056">
        <w:t>Subcomité</w:t>
      </w:r>
      <w:r w:rsidR="00651F7A" w:rsidRPr="00F23AF8">
        <w:t xml:space="preserve"> observa con suma preocupación que las causas subyacentes al hacinamiento continúan vigentes en el Estado parte, en particular</w:t>
      </w:r>
      <w:r w:rsidR="00AE5C94">
        <w:t>:</w:t>
      </w:r>
    </w:p>
    <w:p w14:paraId="20995461" w14:textId="074A633C" w:rsidR="00AE5C94" w:rsidRDefault="00E4370B" w:rsidP="00AE5C94">
      <w:pPr>
        <w:pStyle w:val="SingleTxtG"/>
      </w:pPr>
      <w:r>
        <w:tab/>
      </w:r>
      <w:r w:rsidR="00B024EB">
        <w:tab/>
      </w:r>
      <w:r w:rsidR="00AE5C94">
        <w:t>a)</w:t>
      </w:r>
      <w:r w:rsidR="00B024EB">
        <w:tab/>
      </w:r>
      <w:r w:rsidR="00B05CD8">
        <w:t>E</w:t>
      </w:r>
      <w:r w:rsidR="00651F7A" w:rsidRPr="001D27E4">
        <w:t>l uso preval</w:t>
      </w:r>
      <w:r w:rsidR="00AE5C94">
        <w:t>ente de la detención preventiva;</w:t>
      </w:r>
    </w:p>
    <w:p w14:paraId="20995462" w14:textId="4BCDB53C" w:rsidR="00651F7A" w:rsidRPr="001D27E4" w:rsidRDefault="00B024EB" w:rsidP="001D27E4">
      <w:pPr>
        <w:pStyle w:val="SingleTxtG"/>
      </w:pPr>
      <w:r>
        <w:tab/>
      </w:r>
      <w:r w:rsidR="00E4370B">
        <w:tab/>
      </w:r>
      <w:r w:rsidR="00AE5C94">
        <w:t>b)</w:t>
      </w:r>
      <w:r>
        <w:tab/>
      </w:r>
      <w:r w:rsidR="003421C0">
        <w:t>Las d</w:t>
      </w:r>
      <w:r w:rsidR="00651F7A" w:rsidRPr="001D27E4">
        <w:t>eficiencias procesales en los procesos abreviados, incluyendo procesos de autoincriminación y la aceptación de cargo con la expectativa de una pena menor;</w:t>
      </w:r>
    </w:p>
    <w:p w14:paraId="20995463" w14:textId="2DAEA0BB" w:rsidR="00651F7A" w:rsidRPr="001D27E4" w:rsidRDefault="00B024EB" w:rsidP="001D27E4">
      <w:pPr>
        <w:pStyle w:val="SingleTxtG"/>
      </w:pPr>
      <w:r>
        <w:tab/>
      </w:r>
      <w:r w:rsidR="00E4370B">
        <w:tab/>
      </w:r>
      <w:r w:rsidR="00651F7A" w:rsidRPr="001D27E4">
        <w:t>c)</w:t>
      </w:r>
      <w:r>
        <w:tab/>
      </w:r>
      <w:r w:rsidR="003421C0">
        <w:t>La p</w:t>
      </w:r>
      <w:r w:rsidR="00651F7A" w:rsidRPr="001D27E4">
        <w:t>rivación de libertad por deudas alimentarias o laborales;</w:t>
      </w:r>
    </w:p>
    <w:p w14:paraId="20995464" w14:textId="1F58E8EC" w:rsidR="00651F7A" w:rsidRPr="001D27E4" w:rsidRDefault="00B024EB" w:rsidP="001D27E4">
      <w:pPr>
        <w:pStyle w:val="SingleTxtG"/>
      </w:pPr>
      <w:r>
        <w:tab/>
      </w:r>
      <w:r w:rsidR="00E4370B">
        <w:tab/>
      </w:r>
      <w:r w:rsidR="00651F7A" w:rsidRPr="001D27E4">
        <w:t>d)</w:t>
      </w:r>
      <w:r>
        <w:tab/>
      </w:r>
      <w:r w:rsidR="00B05CD8">
        <w:t>E</w:t>
      </w:r>
      <w:r w:rsidR="00651F7A" w:rsidRPr="001D27E4">
        <w:t xml:space="preserve">l incumplimiento de mandamientos de libertad de personas debido a trabas administrativas o falta de documentos de identidad que permitan verificar y dar seguimiento a la situación individual de las </w:t>
      </w:r>
      <w:r w:rsidR="00B62628">
        <w:t>personas privadas de libertad</w:t>
      </w:r>
      <w:r w:rsidR="00651F7A" w:rsidRPr="001D27E4">
        <w:t xml:space="preserve">. </w:t>
      </w:r>
    </w:p>
    <w:p w14:paraId="20995465" w14:textId="786064AE" w:rsidR="00651F7A" w:rsidRPr="003A2B62" w:rsidRDefault="00AB5AA5" w:rsidP="00651F7A">
      <w:pPr>
        <w:pStyle w:val="SingleTxtG"/>
      </w:pPr>
      <w:r>
        <w:t>7</w:t>
      </w:r>
      <w:r w:rsidR="00F8360C">
        <w:t>2</w:t>
      </w:r>
      <w:r w:rsidR="00651F7A">
        <w:t>.</w:t>
      </w:r>
      <w:r w:rsidR="003F48E6">
        <w:tab/>
      </w:r>
      <w:r w:rsidR="00651F7A" w:rsidRPr="003A2B62">
        <w:t>El Subcomité recuerda al Estado parte que el hacinamiento en condiciones extremas como las observadas en varios lugares visitados es violatoria de los derechos de las personas privadas de libertad y conlleva un trato cruel, inhumano y degradante. En</w:t>
      </w:r>
      <w:r w:rsidR="00651F7A">
        <w:t xml:space="preserve"> </w:t>
      </w:r>
      <w:r w:rsidR="00651F7A" w:rsidRPr="003A2B62">
        <w:t xml:space="preserve">vista de los niveles insostenibles de hacinamiento, </w:t>
      </w:r>
      <w:r w:rsidR="00651F7A">
        <w:t xml:space="preserve">y la presencia de tuberculosis en varios centros visitados, </w:t>
      </w:r>
      <w:r w:rsidR="00651F7A" w:rsidRPr="003A2B62">
        <w:t xml:space="preserve">el </w:t>
      </w:r>
      <w:r w:rsidR="00522056">
        <w:t>Subcomité</w:t>
      </w:r>
      <w:r w:rsidR="00651F7A" w:rsidRPr="003A2B62">
        <w:t xml:space="preserve"> reitera que se necesitan medidas urgentes que deberán provenir de los más altos niveles estatales como “parte de una política de Estado”</w:t>
      </w:r>
      <w:r w:rsidR="00651F7A" w:rsidRPr="001D27E4">
        <w:rPr>
          <w:sz w:val="18"/>
          <w:szCs w:val="18"/>
          <w:vertAlign w:val="superscript"/>
        </w:rPr>
        <w:footnoteReference w:id="26"/>
      </w:r>
      <w:r w:rsidR="00651F7A" w:rsidRPr="001D27E4">
        <w:rPr>
          <w:sz w:val="18"/>
          <w:szCs w:val="18"/>
        </w:rPr>
        <w:t>.</w:t>
      </w:r>
    </w:p>
    <w:p w14:paraId="20995466" w14:textId="0D0531E2" w:rsidR="00651F7A" w:rsidRPr="003A2B62" w:rsidRDefault="00AB5AA5" w:rsidP="00651F7A">
      <w:pPr>
        <w:pStyle w:val="SingleTxtG"/>
        <w:rPr>
          <w:b/>
        </w:rPr>
      </w:pPr>
      <w:r w:rsidRPr="0098110E">
        <w:t>7</w:t>
      </w:r>
      <w:r w:rsidR="00F8360C" w:rsidRPr="0098110E">
        <w:t>3</w:t>
      </w:r>
      <w:r w:rsidR="00651F7A" w:rsidRPr="0098110E">
        <w:t>.</w:t>
      </w:r>
      <w:r w:rsidR="003F48E6">
        <w:rPr>
          <w:b/>
        </w:rPr>
        <w:tab/>
      </w:r>
      <w:r w:rsidR="00651F7A" w:rsidRPr="003A2B62">
        <w:rPr>
          <w:b/>
        </w:rPr>
        <w:t xml:space="preserve">El </w:t>
      </w:r>
      <w:r w:rsidR="00522056">
        <w:rPr>
          <w:b/>
        </w:rPr>
        <w:t>Subcomité</w:t>
      </w:r>
      <w:r w:rsidR="00651F7A" w:rsidRPr="003A2B62">
        <w:rPr>
          <w:b/>
        </w:rPr>
        <w:t xml:space="preserve"> recomienda al Estado parte que:</w:t>
      </w:r>
    </w:p>
    <w:p w14:paraId="20995467" w14:textId="3B18A88A" w:rsidR="00651F7A" w:rsidRPr="00844E33" w:rsidRDefault="00B024EB" w:rsidP="00651F7A">
      <w:pPr>
        <w:pStyle w:val="SingleTxtG"/>
        <w:rPr>
          <w:b/>
        </w:rPr>
      </w:pPr>
      <w:r>
        <w:rPr>
          <w:b/>
        </w:rPr>
        <w:tab/>
      </w:r>
      <w:r w:rsidR="001D27E4">
        <w:rPr>
          <w:b/>
        </w:rPr>
        <w:tab/>
      </w:r>
      <w:r w:rsidR="00651F7A" w:rsidRPr="00844E33">
        <w:rPr>
          <w:b/>
        </w:rPr>
        <w:t>a)</w:t>
      </w:r>
      <w:r w:rsidR="001D27E4">
        <w:rPr>
          <w:b/>
        </w:rPr>
        <w:tab/>
      </w:r>
      <w:r w:rsidR="00651F7A" w:rsidRPr="00844E33">
        <w:rPr>
          <w:b/>
        </w:rPr>
        <w:t xml:space="preserve">Promueva el mejor uso de las herramientas informáticas para registrar información sobre las </w:t>
      </w:r>
      <w:r w:rsidR="00B62628">
        <w:rPr>
          <w:b/>
        </w:rPr>
        <w:t>personas privadas de libertad</w:t>
      </w:r>
      <w:r w:rsidR="00651F7A" w:rsidRPr="00844E33">
        <w:rPr>
          <w:b/>
        </w:rPr>
        <w:t xml:space="preserve"> y controlar cabalmente la duración de la detención preventiva;</w:t>
      </w:r>
    </w:p>
    <w:p w14:paraId="20995468" w14:textId="49810AB0" w:rsidR="00651F7A" w:rsidRPr="00844E33" w:rsidRDefault="00B024EB" w:rsidP="00651F7A">
      <w:pPr>
        <w:pStyle w:val="SingleTxtG"/>
        <w:rPr>
          <w:b/>
        </w:rPr>
      </w:pPr>
      <w:r>
        <w:rPr>
          <w:b/>
        </w:rPr>
        <w:tab/>
      </w:r>
      <w:r w:rsidR="001D27E4">
        <w:rPr>
          <w:b/>
        </w:rPr>
        <w:tab/>
      </w:r>
      <w:r w:rsidR="00651F7A">
        <w:rPr>
          <w:b/>
        </w:rPr>
        <w:t>b</w:t>
      </w:r>
      <w:r w:rsidR="00651F7A" w:rsidRPr="00844E33">
        <w:rPr>
          <w:b/>
        </w:rPr>
        <w:t>)</w:t>
      </w:r>
      <w:r w:rsidR="001D27E4">
        <w:rPr>
          <w:b/>
        </w:rPr>
        <w:tab/>
      </w:r>
      <w:r w:rsidR="00651F7A" w:rsidRPr="00844E33">
        <w:rPr>
          <w:b/>
        </w:rPr>
        <w:t>Realice una evaluación exhaustiva sobre la utilización de los procedimientos autoincriminatorios, velando por el respeto de la defensa en juicio y del debido proceso legal;</w:t>
      </w:r>
    </w:p>
    <w:p w14:paraId="20995469" w14:textId="25F5D955" w:rsidR="00651F7A" w:rsidRPr="00844E33" w:rsidRDefault="00B024EB" w:rsidP="00651F7A">
      <w:pPr>
        <w:pStyle w:val="SingleTxtG"/>
        <w:rPr>
          <w:b/>
        </w:rPr>
      </w:pPr>
      <w:r>
        <w:rPr>
          <w:b/>
        </w:rPr>
        <w:tab/>
      </w:r>
      <w:r w:rsidR="001D27E4">
        <w:rPr>
          <w:b/>
        </w:rPr>
        <w:tab/>
      </w:r>
      <w:r w:rsidR="00651F7A">
        <w:rPr>
          <w:b/>
        </w:rPr>
        <w:t>c</w:t>
      </w:r>
      <w:r w:rsidR="00651F7A" w:rsidRPr="00844E33">
        <w:rPr>
          <w:b/>
        </w:rPr>
        <w:t>)</w:t>
      </w:r>
      <w:r w:rsidR="001D27E4">
        <w:rPr>
          <w:b/>
        </w:rPr>
        <w:tab/>
      </w:r>
      <w:r w:rsidR="00651F7A" w:rsidRPr="00844E33">
        <w:rPr>
          <w:b/>
        </w:rPr>
        <w:t>Asegure la separación de los procesados preventivos de los condenados, considerando que los primeros deben ser sometidos a un tratamiento distinto, adecuado a su condición de personas no condenadas;</w:t>
      </w:r>
      <w:r w:rsidR="00651F7A">
        <w:rPr>
          <w:b/>
        </w:rPr>
        <w:t xml:space="preserve"> </w:t>
      </w:r>
    </w:p>
    <w:p w14:paraId="2099546A" w14:textId="555AB5A8" w:rsidR="00651F7A" w:rsidRPr="001D27E4" w:rsidRDefault="001D27E4" w:rsidP="00651F7A">
      <w:pPr>
        <w:pStyle w:val="SingleTxtG"/>
        <w:rPr>
          <w:b/>
        </w:rPr>
      </w:pPr>
      <w:r>
        <w:rPr>
          <w:b/>
        </w:rPr>
        <w:tab/>
      </w:r>
      <w:r w:rsidR="00B024EB">
        <w:rPr>
          <w:b/>
        </w:rPr>
        <w:tab/>
      </w:r>
      <w:r w:rsidR="00651F7A">
        <w:rPr>
          <w:b/>
        </w:rPr>
        <w:t>d</w:t>
      </w:r>
      <w:r w:rsidR="00651F7A" w:rsidRPr="00844E33">
        <w:rPr>
          <w:b/>
        </w:rPr>
        <w:t>)</w:t>
      </w:r>
      <w:r>
        <w:rPr>
          <w:b/>
        </w:rPr>
        <w:tab/>
      </w:r>
      <w:r w:rsidR="00651F7A" w:rsidRPr="00844E33">
        <w:rPr>
          <w:b/>
        </w:rPr>
        <w:t>Aplique medidas alternativas a la privación de libertad</w:t>
      </w:r>
      <w:r w:rsidR="00651F7A">
        <w:rPr>
          <w:b/>
        </w:rPr>
        <w:t xml:space="preserve"> </w:t>
      </w:r>
      <w:r w:rsidR="00651F7A" w:rsidRPr="00844E33">
        <w:rPr>
          <w:b/>
        </w:rPr>
        <w:t xml:space="preserve">por incumplimiento de obligaciones de asistencia familiar </w:t>
      </w:r>
      <w:r w:rsidR="00651F7A">
        <w:rPr>
          <w:b/>
        </w:rPr>
        <w:t>o pago de beneficios sociales.</w:t>
      </w:r>
    </w:p>
    <w:p w14:paraId="2099546B" w14:textId="77777777" w:rsidR="00651F7A" w:rsidRPr="003A2B62" w:rsidRDefault="001D27E4" w:rsidP="001D27E4">
      <w:pPr>
        <w:pStyle w:val="H23G"/>
      </w:pPr>
      <w:r>
        <w:tab/>
        <w:t>b)</w:t>
      </w:r>
      <w:r>
        <w:tab/>
      </w:r>
      <w:r w:rsidR="00651F7A" w:rsidRPr="003A2B62">
        <w:t xml:space="preserve">Condiciones materiales </w:t>
      </w:r>
    </w:p>
    <w:p w14:paraId="2099546C" w14:textId="7FC05D5C" w:rsidR="00651F7A" w:rsidRPr="003A2B62" w:rsidRDefault="00AB5AA5" w:rsidP="00651F7A">
      <w:pPr>
        <w:pStyle w:val="SingleTxtG"/>
      </w:pPr>
      <w:r>
        <w:t>7</w:t>
      </w:r>
      <w:r w:rsidR="00F8360C">
        <w:t>4</w:t>
      </w:r>
      <w:r w:rsidR="00651F7A">
        <w:t>.</w:t>
      </w:r>
      <w:r w:rsidR="003F48E6">
        <w:tab/>
      </w:r>
      <w:r w:rsidR="00651F7A" w:rsidRPr="003A2B62">
        <w:t xml:space="preserve">El Subcomité observa de manera general que las condiciones materiales en el ámbito carcelario son extremadamente precarias, particularmente en centros penitenciarios como San Pedro, Palmasola, San Sebastián varones, San Sebastián mujeres y Mocoví. </w:t>
      </w:r>
    </w:p>
    <w:p w14:paraId="2099546D" w14:textId="229BBEFB" w:rsidR="00651F7A" w:rsidRPr="003A2B62" w:rsidRDefault="00AB5AA5" w:rsidP="00651F7A">
      <w:pPr>
        <w:pStyle w:val="SingleTxtG"/>
      </w:pPr>
      <w:r>
        <w:t>7</w:t>
      </w:r>
      <w:r w:rsidR="00F8360C">
        <w:t>5</w:t>
      </w:r>
      <w:r w:rsidR="00651F7A">
        <w:t>.</w:t>
      </w:r>
      <w:r w:rsidR="003F48E6">
        <w:tab/>
      </w:r>
      <w:r w:rsidR="00651F7A" w:rsidRPr="003A2B62">
        <w:t xml:space="preserve">La infraestructura carcelaria es antigua y en centros penitenciarios de La Paz las </w:t>
      </w:r>
      <w:r w:rsidR="00B62628">
        <w:t>personas privadas de libertad</w:t>
      </w:r>
      <w:r w:rsidR="00651F7A" w:rsidRPr="003A2B62">
        <w:t xml:space="preserve"> han debido adecuar las celdas de manera individual. En el centro penitenciario de San Pedro se carece de condiciones de salubridad mínimas, ventilación adecuada y acceso a colchones y servicios de salud. Para el Subcomité, las condiciones de privación de libertad observadas en dicho centro penitenciario constituyen un trato cruel, inhumano y degradante. </w:t>
      </w:r>
    </w:p>
    <w:p w14:paraId="2099546E" w14:textId="6164DA54" w:rsidR="00651F7A" w:rsidRPr="003A2B62" w:rsidRDefault="00AB5AA5" w:rsidP="00651F7A">
      <w:pPr>
        <w:pStyle w:val="SingleTxtG"/>
        <w:rPr>
          <w:b/>
        </w:rPr>
      </w:pPr>
      <w:r w:rsidRPr="0098110E">
        <w:t>7</w:t>
      </w:r>
      <w:r w:rsidR="00F8360C" w:rsidRPr="0098110E">
        <w:t>6</w:t>
      </w:r>
      <w:r w:rsidR="00651F7A" w:rsidRPr="0098110E">
        <w:t>.</w:t>
      </w:r>
      <w:r w:rsidR="003F48E6">
        <w:rPr>
          <w:b/>
        </w:rPr>
        <w:tab/>
      </w:r>
      <w:r w:rsidR="00651F7A" w:rsidRPr="003A2B62">
        <w:rPr>
          <w:b/>
        </w:rPr>
        <w:t>El Subcomité reitera al Estado parte sus recomendaciones de 2010 y le insta a clausurar como medida de acción urgente las prisiones de San Pedro</w:t>
      </w:r>
      <w:r w:rsidR="001B2370">
        <w:rPr>
          <w:b/>
        </w:rPr>
        <w:t xml:space="preserve"> (</w:t>
      </w:r>
      <w:r w:rsidR="00651F7A" w:rsidRPr="003A2B62">
        <w:rPr>
          <w:b/>
        </w:rPr>
        <w:t>La Paz</w:t>
      </w:r>
      <w:r w:rsidR="001B2370">
        <w:rPr>
          <w:b/>
        </w:rPr>
        <w:t>)</w:t>
      </w:r>
      <w:r w:rsidR="00651F7A" w:rsidRPr="003A2B62">
        <w:rPr>
          <w:b/>
        </w:rPr>
        <w:t xml:space="preserve"> y Palmasola</w:t>
      </w:r>
      <w:r w:rsidR="00452506">
        <w:rPr>
          <w:b/>
        </w:rPr>
        <w:t xml:space="preserve"> (</w:t>
      </w:r>
      <w:r w:rsidR="00651F7A" w:rsidRPr="003A2B62">
        <w:rPr>
          <w:b/>
        </w:rPr>
        <w:t>Santa Cruz</w:t>
      </w:r>
      <w:r w:rsidR="00452506">
        <w:rPr>
          <w:b/>
        </w:rPr>
        <w:t>)</w:t>
      </w:r>
      <w:r w:rsidR="00651F7A" w:rsidRPr="003A2B62">
        <w:rPr>
          <w:b/>
        </w:rPr>
        <w:t xml:space="preserve">. </w:t>
      </w:r>
    </w:p>
    <w:p w14:paraId="2099546F" w14:textId="4DF6A4C6" w:rsidR="00651F7A" w:rsidRPr="003A2B62" w:rsidRDefault="00AB5AA5" w:rsidP="00651F7A">
      <w:pPr>
        <w:pStyle w:val="SingleTxtG"/>
      </w:pPr>
      <w:r>
        <w:t>7</w:t>
      </w:r>
      <w:r w:rsidR="00F8360C">
        <w:t>7</w:t>
      </w:r>
      <w:r w:rsidR="00651F7A">
        <w:t>.</w:t>
      </w:r>
      <w:r w:rsidR="003F48E6">
        <w:tab/>
      </w:r>
      <w:r w:rsidR="00651F7A" w:rsidRPr="003A2B62">
        <w:t xml:space="preserve">Las </w:t>
      </w:r>
      <w:r w:rsidR="00B62628">
        <w:t>personas privadas de libertad</w:t>
      </w:r>
      <w:r w:rsidR="00651F7A" w:rsidRPr="003A2B62">
        <w:t xml:space="preserve"> carecen de un nivel de vida adecuado y el acceso a alimentación, </w:t>
      </w:r>
      <w:r w:rsidR="00341F69">
        <w:t xml:space="preserve">asistencia médica, medicinas, </w:t>
      </w:r>
      <w:r w:rsidR="00651F7A" w:rsidRPr="003A2B62">
        <w:t xml:space="preserve">ropa, camas y artículos de aseo depende principalmente de la capacidad económica de las </w:t>
      </w:r>
      <w:r w:rsidR="00B62628">
        <w:t>personas privadas de libertad</w:t>
      </w:r>
      <w:r w:rsidR="00651F7A" w:rsidRPr="003A2B62">
        <w:t xml:space="preserve"> y en muchos casos del apoyo de familiares. A algunas </w:t>
      </w:r>
      <w:r w:rsidR="00B62628">
        <w:t>personas privadas de libertad</w:t>
      </w:r>
      <w:r w:rsidR="00651F7A" w:rsidRPr="003A2B62">
        <w:t xml:space="preserve">, el pago del </w:t>
      </w:r>
      <w:r w:rsidR="002C4D86">
        <w:t>“</w:t>
      </w:r>
      <w:r w:rsidR="00651F7A" w:rsidRPr="003A2B62">
        <w:t>prediario</w:t>
      </w:r>
      <w:r w:rsidR="002C4D86">
        <w:t>”</w:t>
      </w:r>
      <w:r w:rsidR="00651F7A" w:rsidRPr="003A2B62">
        <w:t xml:space="preserve"> </w:t>
      </w:r>
      <w:r w:rsidR="00364E42">
        <w:t xml:space="preserve">(asignación </w:t>
      </w:r>
      <w:r w:rsidR="004A5917">
        <w:t xml:space="preserve">para </w:t>
      </w:r>
      <w:r w:rsidR="00364E42">
        <w:t>persona</w:t>
      </w:r>
      <w:r w:rsidR="004A5917">
        <w:t>s</w:t>
      </w:r>
      <w:r w:rsidR="00364E42">
        <w:t xml:space="preserve"> privada</w:t>
      </w:r>
      <w:r w:rsidR="004A5917">
        <w:t>s</w:t>
      </w:r>
      <w:r w:rsidR="00364E42">
        <w:t xml:space="preserve"> de libertad) </w:t>
      </w:r>
      <w:r w:rsidR="00651F7A" w:rsidRPr="003A2B62">
        <w:t xml:space="preserve">les había sido </w:t>
      </w:r>
      <w:r w:rsidR="0098425D">
        <w:t>otorgado</w:t>
      </w:r>
      <w:r w:rsidR="00D674C9">
        <w:t xml:space="preserve"> con el </w:t>
      </w:r>
      <w:r w:rsidR="00D674C9">
        <w:lastRenderedPageBreak/>
        <w:t>retraso de más de</w:t>
      </w:r>
      <w:r w:rsidR="00651F7A" w:rsidRPr="003A2B62">
        <w:t xml:space="preserve"> un mes. </w:t>
      </w:r>
      <w:r w:rsidR="00651F7A">
        <w:t xml:space="preserve">El </w:t>
      </w:r>
      <w:r w:rsidR="00522056">
        <w:t>Subcomité</w:t>
      </w:r>
      <w:r w:rsidR="00651F7A">
        <w:t xml:space="preserve"> recibió información que no </w:t>
      </w:r>
      <w:r w:rsidR="00651F7A" w:rsidRPr="00B146BA">
        <w:t>se toma</w:t>
      </w:r>
      <w:r w:rsidR="00651F7A">
        <w:t>ba</w:t>
      </w:r>
      <w:r w:rsidR="00087F7D">
        <w:t>n</w:t>
      </w:r>
      <w:r w:rsidR="00651F7A" w:rsidRPr="00B146BA">
        <w:t xml:space="preserve"> en cuenta para el acceso al prediario</w:t>
      </w:r>
      <w:r w:rsidR="00651F7A" w:rsidRPr="003A2B62">
        <w:t xml:space="preserve"> </w:t>
      </w:r>
      <w:r w:rsidR="00651F7A" w:rsidRPr="00B146BA">
        <w:t>a los menores que se encuentran con sus madres</w:t>
      </w:r>
      <w:r w:rsidR="00651F7A">
        <w:t>.</w:t>
      </w:r>
      <w:r w:rsidR="00651F7A" w:rsidRPr="00B146BA">
        <w:t xml:space="preserve"> </w:t>
      </w:r>
    </w:p>
    <w:p w14:paraId="20995470" w14:textId="71777EDC" w:rsidR="00651F7A" w:rsidRPr="007E7FC1" w:rsidRDefault="00341F69" w:rsidP="00651F7A">
      <w:pPr>
        <w:pStyle w:val="SingleTxtG"/>
      </w:pPr>
      <w:r>
        <w:t>7</w:t>
      </w:r>
      <w:r w:rsidR="00F8360C">
        <w:t>8</w:t>
      </w:r>
      <w:r w:rsidR="00651F7A">
        <w:t>.</w:t>
      </w:r>
      <w:r w:rsidR="003F48E6">
        <w:tab/>
      </w:r>
      <w:r w:rsidR="00651F7A" w:rsidRPr="003A2B62">
        <w:t>El Subcomité observó situaciones muy críticas de insalubridad en los centros penitenciarios como Chonchocoro, San Sebastián varones</w:t>
      </w:r>
      <w:r w:rsidR="00AE5C94">
        <w:t xml:space="preserve"> y</w:t>
      </w:r>
      <w:r w:rsidR="00651F7A" w:rsidRPr="003A2B62">
        <w:t xml:space="preserve"> San Pedro debido a las restricciones en el suministro de agua potable y servicios de saneamiento. En Chonchocoro, el acceso a agua potable es intermitente e inexistente en la zona denominada “</w:t>
      </w:r>
      <w:r w:rsidR="004711AC">
        <w:t>l</w:t>
      </w:r>
      <w:r w:rsidR="00651F7A" w:rsidRPr="003A2B62">
        <w:t xml:space="preserve">orera” donde las </w:t>
      </w:r>
      <w:r w:rsidR="00651F7A" w:rsidRPr="007E7FC1">
        <w:t xml:space="preserve">personas se encuentran hacinadas y deben compartir un sanitario que emite olores nauseabundos. </w:t>
      </w:r>
    </w:p>
    <w:p w14:paraId="20995471" w14:textId="77777777" w:rsidR="00651F7A" w:rsidRPr="007E7FC1" w:rsidRDefault="001D27E4" w:rsidP="001D27E4">
      <w:pPr>
        <w:pStyle w:val="H23G"/>
      </w:pPr>
      <w:r>
        <w:tab/>
        <w:t>c)</w:t>
      </w:r>
      <w:r>
        <w:tab/>
      </w:r>
      <w:r w:rsidR="00651F7A" w:rsidRPr="007E7FC1">
        <w:t>Régimen de actividades</w:t>
      </w:r>
    </w:p>
    <w:p w14:paraId="20995472" w14:textId="1B4D8754" w:rsidR="00651F7A" w:rsidRPr="003A2B62" w:rsidRDefault="00F8360C" w:rsidP="00651F7A">
      <w:pPr>
        <w:pStyle w:val="SingleTxtG"/>
      </w:pPr>
      <w:r>
        <w:t>79</w:t>
      </w:r>
      <w:r w:rsidR="00651F7A">
        <w:t>.</w:t>
      </w:r>
      <w:r w:rsidR="003F48E6">
        <w:tab/>
      </w:r>
      <w:r w:rsidR="00651F7A" w:rsidRPr="003A2B62">
        <w:t xml:space="preserve">En algunos centros penitenciarios, el Subcomité observó espacios físicos dedicados </w:t>
      </w:r>
      <w:r w:rsidR="00704018">
        <w:t>o</w:t>
      </w:r>
      <w:r w:rsidR="00651F7A" w:rsidRPr="003A2B62">
        <w:t xml:space="preserve"> asignados a estudios de primaria y/o secundaria</w:t>
      </w:r>
      <w:r w:rsidR="00341F69">
        <w:t>,</w:t>
      </w:r>
      <w:r w:rsidR="00651F7A" w:rsidRPr="003A2B62">
        <w:t xml:space="preserve"> así como talleres principalmente de carpintería, tejidos, confección, sastrería</w:t>
      </w:r>
      <w:r w:rsidR="00651F7A">
        <w:t xml:space="preserve"> </w:t>
      </w:r>
      <w:r w:rsidR="00651F7A" w:rsidRPr="003A2B62">
        <w:t xml:space="preserve">y peluquería. Cocinar y lavar la ropa son consideradas actividades laborales para las mujeres en los centros penitenciarios. En el centro penitenciario de San Roque </w:t>
      </w:r>
      <w:r w:rsidR="00632970">
        <w:t>(</w:t>
      </w:r>
      <w:r w:rsidR="00651F7A" w:rsidRPr="003A2B62">
        <w:t>Sucre</w:t>
      </w:r>
      <w:r w:rsidR="00632970">
        <w:t>)</w:t>
      </w:r>
      <w:r w:rsidR="00651F7A" w:rsidRPr="003A2B62">
        <w:t xml:space="preserve">, el Subcomité observó igualmente aulas para la enseñanza de la carrera universitaria de </w:t>
      </w:r>
      <w:r w:rsidR="002C4D86">
        <w:t>a</w:t>
      </w:r>
      <w:r w:rsidR="00651F7A" w:rsidRPr="003A2B62">
        <w:t xml:space="preserve">gronomía. </w:t>
      </w:r>
    </w:p>
    <w:p w14:paraId="20995473" w14:textId="19F343C0" w:rsidR="00651F7A" w:rsidRPr="003A2B62" w:rsidRDefault="00AB5AA5" w:rsidP="00651F7A">
      <w:pPr>
        <w:pStyle w:val="SingleTxtG"/>
      </w:pPr>
      <w:r>
        <w:t>8</w:t>
      </w:r>
      <w:r w:rsidR="00F8360C">
        <w:t>0</w:t>
      </w:r>
      <w:r w:rsidR="001D27E4">
        <w:t>.</w:t>
      </w:r>
      <w:r w:rsidR="003F48E6">
        <w:tab/>
      </w:r>
      <w:r w:rsidR="00651F7A" w:rsidRPr="003A2B62">
        <w:t xml:space="preserve">El Subcomité observa con preocupación que solamente un número limitado de </w:t>
      </w:r>
      <w:r w:rsidR="00B62628">
        <w:t>personas privadas de libertad</w:t>
      </w:r>
      <w:r w:rsidR="00651F7A" w:rsidRPr="003A2B62">
        <w:t xml:space="preserve"> puede acceder a dichas actividades y</w:t>
      </w:r>
      <w:r w:rsidR="00AB2117">
        <w:t xml:space="preserve"> que</w:t>
      </w:r>
      <w:r w:rsidR="00651F7A" w:rsidRPr="003A2B62">
        <w:t xml:space="preserve"> la organización de las mismas</w:t>
      </w:r>
      <w:r w:rsidR="00341F69">
        <w:t>,</w:t>
      </w:r>
      <w:r w:rsidR="00651F7A" w:rsidRPr="003A2B62">
        <w:t xml:space="preserve"> así como el suministro de insumos y materiales de trabajo</w:t>
      </w:r>
      <w:r w:rsidR="00AB2117">
        <w:t>,</w:t>
      </w:r>
      <w:r w:rsidR="00651F7A" w:rsidRPr="003A2B62">
        <w:t xml:space="preserve"> depende principalmente de la gestión de los delegados. </w:t>
      </w:r>
    </w:p>
    <w:p w14:paraId="20995474" w14:textId="1781A803" w:rsidR="00651F7A" w:rsidRPr="003A2B62" w:rsidRDefault="00AB5AA5" w:rsidP="00651F7A">
      <w:pPr>
        <w:pStyle w:val="SingleTxtG"/>
      </w:pPr>
      <w:r>
        <w:t>8</w:t>
      </w:r>
      <w:r w:rsidR="00F8360C">
        <w:t>1</w:t>
      </w:r>
      <w:r w:rsidR="00651F7A">
        <w:t>.</w:t>
      </w:r>
      <w:r w:rsidR="003F48E6">
        <w:tab/>
      </w:r>
      <w:r w:rsidR="00651F7A" w:rsidRPr="003A2B62">
        <w:t>El acceso a materiales de lectura, revistas, periódicos y libros es casi inexistente, con excepción de la carceleta de Arani, donde el Subcomité observó una celda destinada a biblioteca y un</w:t>
      </w:r>
      <w:r w:rsidR="00AB2117">
        <w:t>a</w:t>
      </w:r>
      <w:r w:rsidR="00651F7A" w:rsidRPr="003A2B62">
        <w:t xml:space="preserve"> computador</w:t>
      </w:r>
      <w:r w:rsidR="00AB2117">
        <w:t>a</w:t>
      </w:r>
      <w:r w:rsidR="00651F7A" w:rsidRPr="003A2B62">
        <w:t xml:space="preserve"> para uso de las </w:t>
      </w:r>
      <w:r w:rsidR="00B62628">
        <w:t>personas privadas de libertad</w:t>
      </w:r>
      <w:r w:rsidR="00651F7A" w:rsidRPr="003A2B62">
        <w:t xml:space="preserve">. Dicha </w:t>
      </w:r>
      <w:r w:rsidR="006C25D0" w:rsidRPr="003A2B62">
        <w:t>área,</w:t>
      </w:r>
      <w:r w:rsidR="00651F7A" w:rsidRPr="003A2B62">
        <w:t xml:space="preserve"> sin embargo, es utilizada como oficina del delegado y como lugar de visita íntima de los internos que pueden pagar por su uso. </w:t>
      </w:r>
    </w:p>
    <w:p w14:paraId="20995475" w14:textId="68CC9D8F" w:rsidR="00651F7A" w:rsidRPr="00B146BA" w:rsidRDefault="00AB5AA5" w:rsidP="00651F7A">
      <w:pPr>
        <w:pStyle w:val="SingleTxtG"/>
      </w:pPr>
      <w:r>
        <w:t>8</w:t>
      </w:r>
      <w:r w:rsidR="00F8360C">
        <w:t>2</w:t>
      </w:r>
      <w:r w:rsidR="00651F7A" w:rsidRPr="00B146BA">
        <w:t>.</w:t>
      </w:r>
      <w:r w:rsidR="003F48E6">
        <w:tab/>
      </w:r>
      <w:r w:rsidR="00651F7A" w:rsidRPr="00B146BA">
        <w:t xml:space="preserve">Si bien, en algunos lugares visitados en La Paz, Cochabamba y Sucre, </w:t>
      </w:r>
      <w:r w:rsidR="007029FB">
        <w:t xml:space="preserve">y </w:t>
      </w:r>
      <w:r w:rsidR="00651F7A" w:rsidRPr="00B146BA">
        <w:t>Palmasola, el Subcomité observó la presencia de trabajadores sociales, paramédicos, psicólogas y enfermeras, no pudo constatar la existencia de equipos profesionales y en muchos casos, solamente un profesional estaba a cargo de atender a toda la población carcelaria sin dotación de medicinas. Esta brecha debe superarse de manera urgente.</w:t>
      </w:r>
      <w:r w:rsidR="00651F7A">
        <w:t xml:space="preserve"> </w:t>
      </w:r>
    </w:p>
    <w:p w14:paraId="20995476" w14:textId="0E8D03F0" w:rsidR="00651F7A" w:rsidRPr="003A2B62" w:rsidRDefault="00AB5AA5" w:rsidP="00651F7A">
      <w:pPr>
        <w:pStyle w:val="SingleTxtG"/>
      </w:pPr>
      <w:r>
        <w:t>8</w:t>
      </w:r>
      <w:r w:rsidR="00F8360C">
        <w:t>3</w:t>
      </w:r>
      <w:r w:rsidR="00651F7A">
        <w:t>.</w:t>
      </w:r>
      <w:r w:rsidR="003F48E6">
        <w:tab/>
      </w:r>
      <w:r w:rsidR="00651F7A" w:rsidRPr="003A2B62">
        <w:t xml:space="preserve">La ausencia de una oferta organizada, sistemática y que comprenda a todas las </w:t>
      </w:r>
      <w:r w:rsidR="00B62628">
        <w:t>personas privadas de libertad</w:t>
      </w:r>
      <w:r w:rsidR="00651F7A" w:rsidRPr="003A2B62">
        <w:t xml:space="preserve"> en las cárceles y car</w:t>
      </w:r>
      <w:r w:rsidR="00AB2117">
        <w:t>ce</w:t>
      </w:r>
      <w:r w:rsidR="00651F7A" w:rsidRPr="003A2B62">
        <w:t>letas impiden una mínima posibilidad del cumplimiento de la finalidad de la pena que es la resocialización.</w:t>
      </w:r>
      <w:r w:rsidR="00651F7A">
        <w:t xml:space="preserve"> </w:t>
      </w:r>
    </w:p>
    <w:p w14:paraId="20995477" w14:textId="7B5A38C7" w:rsidR="00651F7A" w:rsidRPr="00B146BA" w:rsidRDefault="00AB5AA5" w:rsidP="00651F7A">
      <w:pPr>
        <w:pStyle w:val="SingleTxtG"/>
        <w:rPr>
          <w:b/>
        </w:rPr>
      </w:pPr>
      <w:r w:rsidRPr="0098110E">
        <w:t>8</w:t>
      </w:r>
      <w:r w:rsidR="00F8360C" w:rsidRPr="0098110E">
        <w:t>4</w:t>
      </w:r>
      <w:r w:rsidR="00651F7A" w:rsidRPr="0098110E">
        <w:t>.</w:t>
      </w:r>
      <w:r w:rsidR="003F48E6">
        <w:rPr>
          <w:b/>
        </w:rPr>
        <w:tab/>
      </w:r>
      <w:r w:rsidR="00651F7A" w:rsidRPr="00B146BA">
        <w:rPr>
          <w:b/>
        </w:rPr>
        <w:t>El Subcomité recomienda al Estado parte:</w:t>
      </w:r>
    </w:p>
    <w:p w14:paraId="20995478" w14:textId="11F9BC9C" w:rsidR="00651F7A" w:rsidRPr="003A2B62" w:rsidRDefault="00B024EB" w:rsidP="00651F7A">
      <w:pPr>
        <w:pStyle w:val="SingleTxtG"/>
        <w:rPr>
          <w:b/>
        </w:rPr>
      </w:pPr>
      <w:r>
        <w:rPr>
          <w:b/>
        </w:rPr>
        <w:tab/>
      </w:r>
      <w:r w:rsidR="001D27E4">
        <w:rPr>
          <w:b/>
        </w:rPr>
        <w:tab/>
      </w:r>
      <w:r w:rsidR="00651F7A">
        <w:rPr>
          <w:b/>
        </w:rPr>
        <w:t>a)</w:t>
      </w:r>
      <w:r w:rsidR="003F48E6">
        <w:rPr>
          <w:b/>
        </w:rPr>
        <w:tab/>
      </w:r>
      <w:r w:rsidR="00651F7A" w:rsidRPr="003A2B62">
        <w:rPr>
          <w:b/>
        </w:rPr>
        <w:t>Fortalecer la labor de los jueces de ejecución de penas en la verificación de condiciones materiales de detención en centros carcelario</w:t>
      </w:r>
      <w:r w:rsidR="00AB2117">
        <w:rPr>
          <w:b/>
        </w:rPr>
        <w:t>s</w:t>
      </w:r>
      <w:r w:rsidR="00651F7A" w:rsidRPr="003A2B62">
        <w:rPr>
          <w:b/>
        </w:rPr>
        <w:t>, incluso mediante el seguimiento y los requerimientos a las autoridades penitenciarias sobre el mejoramiento de las condiciones de vida en prisión;</w:t>
      </w:r>
    </w:p>
    <w:p w14:paraId="20995479" w14:textId="12628ADA" w:rsidR="00651F7A" w:rsidRPr="003A2B62" w:rsidRDefault="00B024EB" w:rsidP="00651F7A">
      <w:pPr>
        <w:pStyle w:val="SingleTxtG"/>
        <w:rPr>
          <w:b/>
        </w:rPr>
      </w:pPr>
      <w:r>
        <w:rPr>
          <w:b/>
        </w:rPr>
        <w:tab/>
      </w:r>
      <w:r w:rsidR="001D27E4">
        <w:rPr>
          <w:b/>
        </w:rPr>
        <w:tab/>
      </w:r>
      <w:r w:rsidR="00651F7A">
        <w:rPr>
          <w:b/>
        </w:rPr>
        <w:t>b)</w:t>
      </w:r>
      <w:r w:rsidR="003F48E6">
        <w:rPr>
          <w:b/>
        </w:rPr>
        <w:tab/>
      </w:r>
      <w:r w:rsidR="00651F7A" w:rsidRPr="003A2B62">
        <w:rPr>
          <w:b/>
        </w:rPr>
        <w:t>Fortalecer la capacidad de las autoridades territoriales departamentales sobre el enfoque de derechos humanos en materia de política penitenciaria y asegurar que las medidas interinstitucionales respetan los mínimos sobre infraestructura de centros penitenciarios, particularmente aire y superficie</w:t>
      </w:r>
      <w:r w:rsidR="00651F7A" w:rsidRPr="0098110E">
        <w:rPr>
          <w:sz w:val="18"/>
          <w:szCs w:val="18"/>
          <w:vertAlign w:val="superscript"/>
        </w:rPr>
        <w:footnoteReference w:id="27"/>
      </w:r>
      <w:r w:rsidR="00651F7A" w:rsidRPr="00FC2F95">
        <w:rPr>
          <w:b/>
          <w:vertAlign w:val="superscript"/>
        </w:rPr>
        <w:t xml:space="preserve"> </w:t>
      </w:r>
      <w:r w:rsidR="00651F7A" w:rsidRPr="003A2B62">
        <w:rPr>
          <w:b/>
        </w:rPr>
        <w:t xml:space="preserve">y espacios separados para las personas en prisión preventiva y las que cumplen una sentencia; </w:t>
      </w:r>
    </w:p>
    <w:p w14:paraId="2099547A" w14:textId="5C79F0C9" w:rsidR="00651F7A" w:rsidRPr="003A2B62" w:rsidRDefault="001D27E4" w:rsidP="00651F7A">
      <w:pPr>
        <w:pStyle w:val="SingleTxtG"/>
        <w:rPr>
          <w:b/>
        </w:rPr>
      </w:pPr>
      <w:r>
        <w:rPr>
          <w:b/>
        </w:rPr>
        <w:tab/>
      </w:r>
      <w:r w:rsidR="00B024EB">
        <w:rPr>
          <w:b/>
        </w:rPr>
        <w:tab/>
      </w:r>
      <w:r w:rsidR="00651F7A">
        <w:rPr>
          <w:b/>
        </w:rPr>
        <w:t>c)</w:t>
      </w:r>
      <w:r w:rsidR="003F48E6">
        <w:rPr>
          <w:b/>
        </w:rPr>
        <w:tab/>
      </w:r>
      <w:r w:rsidR="00651F7A" w:rsidRPr="003A2B62">
        <w:rPr>
          <w:b/>
        </w:rPr>
        <w:t xml:space="preserve">Asignar recursos públicos dirigidos al mejoramiento de las condiciones materiales, priorizando los centros penitenciarios en condiciones más apremiantes y establecer dentro de sus áreas de inversión las adecuaciones de infraestructura, salubridad e higiene, agua potable, </w:t>
      </w:r>
      <w:r w:rsidR="00664C03">
        <w:rPr>
          <w:b/>
        </w:rPr>
        <w:t xml:space="preserve">y </w:t>
      </w:r>
      <w:r w:rsidR="00651F7A" w:rsidRPr="003A2B62">
        <w:rPr>
          <w:b/>
        </w:rPr>
        <w:t>espacios de cel</w:t>
      </w:r>
      <w:r w:rsidR="00651F7A">
        <w:rPr>
          <w:b/>
        </w:rPr>
        <w:t>das, dormitorios y de uso común</w:t>
      </w:r>
      <w:r w:rsidR="00651F7A" w:rsidRPr="003A2B62">
        <w:rPr>
          <w:b/>
        </w:rPr>
        <w:t>;</w:t>
      </w:r>
    </w:p>
    <w:p w14:paraId="2099547B" w14:textId="0BC0FA85" w:rsidR="00651F7A" w:rsidRPr="001D27E4" w:rsidRDefault="00B024EB" w:rsidP="00651F7A">
      <w:pPr>
        <w:pStyle w:val="SingleTxtG"/>
        <w:rPr>
          <w:b/>
        </w:rPr>
      </w:pPr>
      <w:r>
        <w:rPr>
          <w:b/>
        </w:rPr>
        <w:lastRenderedPageBreak/>
        <w:tab/>
      </w:r>
      <w:r w:rsidR="001D27E4">
        <w:rPr>
          <w:b/>
        </w:rPr>
        <w:tab/>
      </w:r>
      <w:r w:rsidR="00651F7A">
        <w:rPr>
          <w:b/>
        </w:rPr>
        <w:t>d)</w:t>
      </w:r>
      <w:r w:rsidR="003F48E6">
        <w:rPr>
          <w:b/>
        </w:rPr>
        <w:tab/>
      </w:r>
      <w:r w:rsidR="00651F7A" w:rsidRPr="003A2B62">
        <w:rPr>
          <w:b/>
        </w:rPr>
        <w:t xml:space="preserve">Establecer lineamientos de política penitenciaria y destinar presupuestos para el desarrollo de actividades laborales, educativas, culturales, deportivas y recreativas en los centros penitenciarios. El programa de actividades en centros penitenciarios debería tener como referente buenas prácticas en la prisión de San Roque </w:t>
      </w:r>
      <w:r w:rsidR="007E6030">
        <w:rPr>
          <w:b/>
        </w:rPr>
        <w:t>(</w:t>
      </w:r>
      <w:r w:rsidR="00651F7A" w:rsidRPr="003A2B62">
        <w:rPr>
          <w:b/>
        </w:rPr>
        <w:t>Sucre</w:t>
      </w:r>
      <w:r w:rsidR="00FC6784">
        <w:rPr>
          <w:b/>
        </w:rPr>
        <w:t>)</w:t>
      </w:r>
      <w:r w:rsidR="00651F7A" w:rsidRPr="003A2B62">
        <w:rPr>
          <w:b/>
        </w:rPr>
        <w:t xml:space="preserve"> y asegurar que las </w:t>
      </w:r>
      <w:r w:rsidR="00B62628">
        <w:rPr>
          <w:b/>
        </w:rPr>
        <w:t>personas privadas de libertad</w:t>
      </w:r>
      <w:r w:rsidR="00651F7A" w:rsidRPr="003A2B62">
        <w:rPr>
          <w:b/>
        </w:rPr>
        <w:t xml:space="preserve"> en condiciones de marginación por discapacidad, </w:t>
      </w:r>
      <w:r w:rsidR="000A66AD">
        <w:rPr>
          <w:b/>
        </w:rPr>
        <w:t>condición migratoria</w:t>
      </w:r>
      <w:r w:rsidR="00651F7A" w:rsidRPr="003A2B62">
        <w:rPr>
          <w:b/>
        </w:rPr>
        <w:t>, edad, sexo, género</w:t>
      </w:r>
      <w:r w:rsidR="000A66AD">
        <w:rPr>
          <w:b/>
        </w:rPr>
        <w:t xml:space="preserve"> o</w:t>
      </w:r>
      <w:r w:rsidR="00651F7A" w:rsidRPr="003A2B62">
        <w:rPr>
          <w:b/>
        </w:rPr>
        <w:t xml:space="preserve"> raza</w:t>
      </w:r>
      <w:r w:rsidR="00651F7A">
        <w:rPr>
          <w:b/>
        </w:rPr>
        <w:t xml:space="preserve"> </w:t>
      </w:r>
      <w:r w:rsidR="00651F7A" w:rsidRPr="003A2B62">
        <w:rPr>
          <w:b/>
        </w:rPr>
        <w:t xml:space="preserve">acceden en igualdad de </w:t>
      </w:r>
      <w:r w:rsidR="00651F7A">
        <w:rPr>
          <w:b/>
        </w:rPr>
        <w:t>condiciones a tales actividades.</w:t>
      </w:r>
    </w:p>
    <w:p w14:paraId="2099547C" w14:textId="05578328" w:rsidR="00651F7A" w:rsidRPr="00802E03" w:rsidRDefault="001D27E4" w:rsidP="001D27E4">
      <w:pPr>
        <w:pStyle w:val="H1G"/>
      </w:pPr>
      <w:r>
        <w:tab/>
      </w:r>
      <w:r w:rsidR="00651F7A" w:rsidRPr="00802E03">
        <w:t>C.</w:t>
      </w:r>
      <w:r>
        <w:tab/>
      </w:r>
      <w:r w:rsidR="00651F7A" w:rsidRPr="00802E03">
        <w:t xml:space="preserve">Centros de </w:t>
      </w:r>
      <w:r w:rsidR="007F3B9A">
        <w:t>r</w:t>
      </w:r>
      <w:r w:rsidR="00651F7A" w:rsidRPr="00802E03">
        <w:t xml:space="preserve">eintegración </w:t>
      </w:r>
      <w:r w:rsidR="007F3B9A">
        <w:t>s</w:t>
      </w:r>
      <w:r w:rsidR="00651F7A" w:rsidRPr="00802E03">
        <w:t xml:space="preserve">ocial para </w:t>
      </w:r>
      <w:r w:rsidR="007F3B9A">
        <w:t>a</w:t>
      </w:r>
      <w:r w:rsidR="00651F7A" w:rsidRPr="00802E03">
        <w:t>dolescentes en conflicto</w:t>
      </w:r>
      <w:r w:rsidR="00C937F1">
        <w:br/>
      </w:r>
      <w:r w:rsidR="00651F7A" w:rsidRPr="00802E03">
        <w:t>con la ley</w:t>
      </w:r>
    </w:p>
    <w:p w14:paraId="2099547D" w14:textId="41D321D9" w:rsidR="00651F7A" w:rsidRPr="00802E03" w:rsidRDefault="00AB5AA5" w:rsidP="00651F7A">
      <w:pPr>
        <w:pStyle w:val="SingleTxtG"/>
      </w:pPr>
      <w:r>
        <w:t>8</w:t>
      </w:r>
      <w:r w:rsidR="00F8360C">
        <w:t>5</w:t>
      </w:r>
      <w:r w:rsidR="00651F7A">
        <w:t>.</w:t>
      </w:r>
      <w:r w:rsidR="003F48E6">
        <w:tab/>
      </w:r>
      <w:r w:rsidR="00651F7A" w:rsidRPr="00802E03">
        <w:t xml:space="preserve">El </w:t>
      </w:r>
      <w:r w:rsidR="00522056">
        <w:t>Subcomité</w:t>
      </w:r>
      <w:r w:rsidR="00651F7A" w:rsidRPr="00802E03">
        <w:t xml:space="preserve"> acoge con satisfacción la adopción en 2014 del nuevo Código Niña, Niño y Adolescente (Ley </w:t>
      </w:r>
      <w:r w:rsidR="003F48E6">
        <w:t xml:space="preserve">núm. </w:t>
      </w:r>
      <w:r w:rsidR="00651F7A" w:rsidRPr="00802E03">
        <w:t xml:space="preserve">548). Asimismo, el </w:t>
      </w:r>
      <w:r w:rsidR="00522056">
        <w:t>Subcomité</w:t>
      </w:r>
      <w:r w:rsidR="00651F7A" w:rsidRPr="00802E03">
        <w:t xml:space="preserve"> valora positivamente el nuevo enfoque restaurativo del que el Estado desea dotar al nuevo sistema de justicia penal juvenil. Sin embargo, al </w:t>
      </w:r>
      <w:r w:rsidR="00522056">
        <w:t>Subcomité</w:t>
      </w:r>
      <w:r w:rsidR="00651F7A" w:rsidRPr="00802E03">
        <w:t xml:space="preserve"> le preocupa que el Estado parte haya disminuido la edad de imputabilidad penal de 16 a 14 años.</w:t>
      </w:r>
      <w:r w:rsidR="00651F7A">
        <w:t xml:space="preserve"> </w:t>
      </w:r>
    </w:p>
    <w:p w14:paraId="2099547E" w14:textId="61FCFB12" w:rsidR="00651F7A" w:rsidRPr="00802E03" w:rsidRDefault="000D732F" w:rsidP="00651F7A">
      <w:pPr>
        <w:pStyle w:val="SingleTxtG"/>
      </w:pPr>
      <w:r>
        <w:t>8</w:t>
      </w:r>
      <w:r w:rsidR="00F8360C">
        <w:t>6</w:t>
      </w:r>
      <w:r w:rsidR="00651F7A">
        <w:t>.</w:t>
      </w:r>
      <w:r w:rsidR="003F48E6">
        <w:tab/>
      </w:r>
      <w:r w:rsidR="00651F7A" w:rsidRPr="00802E03">
        <w:t xml:space="preserve">El </w:t>
      </w:r>
      <w:r w:rsidR="00522056">
        <w:t>Subcomité</w:t>
      </w:r>
      <w:r w:rsidR="00651F7A" w:rsidRPr="00802E03">
        <w:t xml:space="preserve"> tuvo ocasión de visitar dos </w:t>
      </w:r>
      <w:r w:rsidR="00020C78">
        <w:t>c</w:t>
      </w:r>
      <w:r w:rsidR="00651F7A" w:rsidRPr="00802E03">
        <w:t xml:space="preserve">entros de </w:t>
      </w:r>
      <w:r w:rsidR="00020C78">
        <w:t>r</w:t>
      </w:r>
      <w:r w:rsidR="00651F7A" w:rsidRPr="00802E03">
        <w:t xml:space="preserve">eintegración </w:t>
      </w:r>
      <w:r w:rsidR="00020C78">
        <w:t>s</w:t>
      </w:r>
      <w:r w:rsidR="00651F7A" w:rsidRPr="00802E03">
        <w:t xml:space="preserve">ocial para </w:t>
      </w:r>
      <w:r w:rsidR="00020C78">
        <w:t>a</w:t>
      </w:r>
      <w:r w:rsidR="00651F7A" w:rsidRPr="00802E03">
        <w:t xml:space="preserve">dolescentes en </w:t>
      </w:r>
      <w:r w:rsidR="00020C78">
        <w:t>c</w:t>
      </w:r>
      <w:r w:rsidR="00651F7A" w:rsidRPr="00802E03">
        <w:t>onflicto con la ley, Cometa en Cochabamba y Cenvicruz en Santa Cruz</w:t>
      </w:r>
      <w:r w:rsidR="00106B24">
        <w:t>,</w:t>
      </w:r>
      <w:r w:rsidR="00651F7A" w:rsidRPr="00802E03">
        <w:t xml:space="preserve"> y entrevistar </w:t>
      </w:r>
      <w:r w:rsidR="00106B24">
        <w:t xml:space="preserve">a </w:t>
      </w:r>
      <w:r w:rsidR="00651F7A" w:rsidRPr="00802E03">
        <w:t xml:space="preserve">personal encargado de seguridad y de diversas actividades en dichos establecimientos, así como </w:t>
      </w:r>
      <w:r w:rsidR="00106B24">
        <w:t xml:space="preserve">a </w:t>
      </w:r>
      <w:r w:rsidR="00651F7A" w:rsidRPr="00802E03">
        <w:t>adolescentes privados de libertad.</w:t>
      </w:r>
    </w:p>
    <w:p w14:paraId="2099547F" w14:textId="3B8726BC" w:rsidR="00651F7A" w:rsidRPr="00802E03" w:rsidRDefault="000D732F" w:rsidP="00651F7A">
      <w:pPr>
        <w:pStyle w:val="SingleTxtG"/>
      </w:pPr>
      <w:r>
        <w:t>8</w:t>
      </w:r>
      <w:r w:rsidR="00F8360C">
        <w:t>7</w:t>
      </w:r>
      <w:r w:rsidR="00651F7A">
        <w:t>.</w:t>
      </w:r>
      <w:r w:rsidR="003F48E6">
        <w:tab/>
      </w:r>
      <w:r w:rsidR="00651F7A" w:rsidRPr="00802E03">
        <w:t xml:space="preserve">En términos generales, las condiciones materiales de detención de los adolescentes en ambos centros son de gran preocupación para el </w:t>
      </w:r>
      <w:r w:rsidR="00522056">
        <w:t>Subcomité</w:t>
      </w:r>
      <w:r w:rsidR="00651F7A" w:rsidRPr="00802E03">
        <w:t xml:space="preserve">. </w:t>
      </w:r>
      <w:r w:rsidR="002E0D5D">
        <w:t>E</w:t>
      </w:r>
      <w:r w:rsidR="00651F7A" w:rsidRPr="00802E03">
        <w:t>n Cometa</w:t>
      </w:r>
      <w:r w:rsidR="00106B24">
        <w:t>,</w:t>
      </w:r>
      <w:r w:rsidR="00651F7A" w:rsidRPr="00802E03">
        <w:t xml:space="preserve"> el </w:t>
      </w:r>
      <w:r w:rsidR="00522056">
        <w:t>Subcomité</w:t>
      </w:r>
      <w:r w:rsidR="00651F7A" w:rsidRPr="00802E03">
        <w:t xml:space="preserve"> ha encontrado niveles altos de hacinamiento, la falta total de provisión de agua potable y posibilidad de ducharse para los internos. En ambos centros, las condiciones sanitarias y de higiene en las celdas, sector de cocina y en los sanitarios son deplorables (grietas en las paredes, baños inutilizables, olores nauseabundos, agua contaminada, excremento de ratas en las alacenas de la cocina de Cenvicruz, moscas e insectos sobre alimentos frescos). Asimismo, las peores condiciones fueron observadas en las celdas de aislamiento y castigo de ambos centros. </w:t>
      </w:r>
    </w:p>
    <w:p w14:paraId="20995480" w14:textId="6CB4E3A5" w:rsidR="00651F7A" w:rsidRPr="00802E03" w:rsidRDefault="00704018" w:rsidP="00651F7A">
      <w:pPr>
        <w:pStyle w:val="SingleTxtG"/>
      </w:pPr>
      <w:r>
        <w:t>8</w:t>
      </w:r>
      <w:r w:rsidR="00F8360C">
        <w:t>8</w:t>
      </w:r>
      <w:r w:rsidR="00651F7A">
        <w:t>.</w:t>
      </w:r>
      <w:r w:rsidR="003F48E6">
        <w:tab/>
      </w:r>
      <w:r w:rsidRPr="00802E03">
        <w:t>En relación con</w:t>
      </w:r>
      <w:r w:rsidR="00651F7A" w:rsidRPr="00802E03">
        <w:t xml:space="preserve"> la alimentación de los adolescentes, el </w:t>
      </w:r>
      <w:r w:rsidR="00522056">
        <w:t>Subcomité</w:t>
      </w:r>
      <w:r w:rsidR="00651F7A" w:rsidRPr="00802E03">
        <w:t xml:space="preserve"> ha obtenido testimonios de internos sobre las escasas raciones de comida entregadas diariamente. </w:t>
      </w:r>
    </w:p>
    <w:p w14:paraId="20995481" w14:textId="5211C06E" w:rsidR="00651F7A" w:rsidRPr="00802E03" w:rsidRDefault="00F8360C" w:rsidP="00651F7A">
      <w:pPr>
        <w:pStyle w:val="SingleTxtG"/>
      </w:pPr>
      <w:r>
        <w:t>89</w:t>
      </w:r>
      <w:r w:rsidR="00651F7A">
        <w:t>.</w:t>
      </w:r>
      <w:r w:rsidR="003F48E6">
        <w:tab/>
      </w:r>
      <w:r w:rsidR="00651F7A" w:rsidRPr="00802E03">
        <w:t xml:space="preserve">El </w:t>
      </w:r>
      <w:r w:rsidR="00522056">
        <w:t>Subcomité</w:t>
      </w:r>
      <w:r w:rsidR="00651F7A" w:rsidRPr="00802E03">
        <w:t xml:space="preserve"> ha observado que Cenvicruz está ubicado en una zona poco accesible, lo que dificulta las visitas de los familiares. </w:t>
      </w:r>
      <w:r w:rsidR="0067591C">
        <w:t xml:space="preserve">Asimismo, </w:t>
      </w:r>
      <w:r w:rsidR="00651F7A" w:rsidRPr="00802E03">
        <w:t>los adolescentes tienen prohibido realizar llamadas telefónicas.</w:t>
      </w:r>
    </w:p>
    <w:p w14:paraId="20995482" w14:textId="1DDB8036" w:rsidR="00651F7A" w:rsidRPr="00802E03" w:rsidRDefault="00AB5AA5" w:rsidP="00651F7A">
      <w:pPr>
        <w:pStyle w:val="SingleTxtG"/>
      </w:pPr>
      <w:r>
        <w:t>9</w:t>
      </w:r>
      <w:r w:rsidR="00F8360C">
        <w:t>0</w:t>
      </w:r>
      <w:r w:rsidR="00651F7A">
        <w:t>.</w:t>
      </w:r>
      <w:r w:rsidR="003F48E6">
        <w:tab/>
      </w:r>
      <w:r w:rsidR="00651F7A" w:rsidRPr="00802E03">
        <w:t xml:space="preserve">El </w:t>
      </w:r>
      <w:r w:rsidR="00522056">
        <w:t>Subcomité</w:t>
      </w:r>
      <w:r w:rsidR="00651F7A" w:rsidRPr="00802E03">
        <w:t xml:space="preserve"> nota con satisfacción la existencia de un microhospital y de un centro educativo (creado hace s</w:t>
      </w:r>
      <w:r w:rsidR="00106B24">
        <w:t>o</w:t>
      </w:r>
      <w:r w:rsidR="00651F7A" w:rsidRPr="00802E03">
        <w:t>lo tres meses) dentro de las instalaciones de Cenvicruz</w:t>
      </w:r>
      <w:r w:rsidR="00106B24">
        <w:t>,</w:t>
      </w:r>
      <w:r w:rsidR="00651F7A" w:rsidRPr="00802E03">
        <w:t xml:space="preserve"> como así también la existencia de talleres de artesanías y agricultura y deporte para los internos. </w:t>
      </w:r>
    </w:p>
    <w:p w14:paraId="20995483" w14:textId="04F2E492" w:rsidR="00651F7A" w:rsidRDefault="000D732F" w:rsidP="00651F7A">
      <w:pPr>
        <w:pStyle w:val="SingleTxtG"/>
      </w:pPr>
      <w:r>
        <w:t>9</w:t>
      </w:r>
      <w:r w:rsidR="00F8360C">
        <w:t>1</w:t>
      </w:r>
      <w:r w:rsidR="00651F7A">
        <w:t>.</w:t>
      </w:r>
      <w:r w:rsidR="003F48E6">
        <w:tab/>
      </w:r>
      <w:r w:rsidR="00651F7A" w:rsidRPr="00802E03">
        <w:t xml:space="preserve">El </w:t>
      </w:r>
      <w:r w:rsidR="00522056">
        <w:t>Subcomité</w:t>
      </w:r>
      <w:r w:rsidR="00651F7A" w:rsidRPr="00802E03">
        <w:t xml:space="preserve"> observó que en Cenvicruz los internos están divididos por secciones, dependiendo </w:t>
      </w:r>
      <w:r w:rsidR="00106B24">
        <w:t xml:space="preserve">de </w:t>
      </w:r>
      <w:r w:rsidR="00651F7A" w:rsidRPr="00802E03">
        <w:t>si son sentenciados, si cumplen prisión preventiva o si tienen entre 14 y 15</w:t>
      </w:r>
      <w:r w:rsidR="00C937F1">
        <w:t> </w:t>
      </w:r>
      <w:r w:rsidR="00651F7A" w:rsidRPr="00802E03">
        <w:t xml:space="preserve">años. Por su parte, en Cometa, le preocupa al </w:t>
      </w:r>
      <w:r w:rsidR="00522056">
        <w:t>Subcomité</w:t>
      </w:r>
      <w:r w:rsidR="00651F7A">
        <w:t xml:space="preserve"> </w:t>
      </w:r>
      <w:r w:rsidR="00651F7A" w:rsidRPr="00802E03">
        <w:t xml:space="preserve">que las niñas y las adolescentes se encuentran en un sector aislado separado, sin acceso a las mismas actividades que los varones. </w:t>
      </w:r>
    </w:p>
    <w:p w14:paraId="20995484" w14:textId="753774BA" w:rsidR="00651F7A" w:rsidRPr="001D27E4" w:rsidRDefault="000D732F" w:rsidP="001D27E4">
      <w:pPr>
        <w:pStyle w:val="SingleTxtG"/>
        <w:rPr>
          <w:b/>
          <w:lang w:val="es-ES_tradnl"/>
        </w:rPr>
      </w:pPr>
      <w:r w:rsidRPr="0098110E">
        <w:rPr>
          <w:lang w:val="es-ES_tradnl"/>
        </w:rPr>
        <w:t>9</w:t>
      </w:r>
      <w:r w:rsidR="00F8360C" w:rsidRPr="0098110E">
        <w:rPr>
          <w:lang w:val="es-ES_tradnl"/>
        </w:rPr>
        <w:t>2</w:t>
      </w:r>
      <w:r w:rsidR="00651F7A" w:rsidRPr="0098110E">
        <w:rPr>
          <w:lang w:val="es-ES_tradnl"/>
        </w:rPr>
        <w:t>.</w:t>
      </w:r>
      <w:r w:rsidR="007B3905">
        <w:rPr>
          <w:b/>
          <w:lang w:val="es-ES_tradnl"/>
        </w:rPr>
        <w:tab/>
      </w:r>
      <w:r w:rsidR="00651F7A" w:rsidRPr="001D27E4">
        <w:rPr>
          <w:b/>
          <w:lang w:val="es-ES_tradnl"/>
        </w:rPr>
        <w:t xml:space="preserve">En razón de lo anterior, el </w:t>
      </w:r>
      <w:r w:rsidR="00522056">
        <w:rPr>
          <w:b/>
          <w:lang w:val="es-ES_tradnl"/>
        </w:rPr>
        <w:t>Subcomité</w:t>
      </w:r>
      <w:r w:rsidR="00651F7A" w:rsidRPr="001D27E4">
        <w:rPr>
          <w:b/>
          <w:lang w:val="es-ES_tradnl"/>
        </w:rPr>
        <w:t xml:space="preserve"> recomienda al Estado parte</w:t>
      </w:r>
      <w:r w:rsidR="00106B24">
        <w:rPr>
          <w:b/>
          <w:lang w:val="es-ES_tradnl"/>
        </w:rPr>
        <w:t xml:space="preserve"> que</w:t>
      </w:r>
      <w:r w:rsidR="00651F7A" w:rsidRPr="001D27E4">
        <w:rPr>
          <w:b/>
          <w:lang w:val="es-ES_tradnl"/>
        </w:rPr>
        <w:t>:</w:t>
      </w:r>
    </w:p>
    <w:p w14:paraId="20995485" w14:textId="368C4551" w:rsidR="00651F7A" w:rsidRPr="001D27E4" w:rsidRDefault="007B3905" w:rsidP="001D27E4">
      <w:pPr>
        <w:pStyle w:val="SingleTxtG"/>
        <w:rPr>
          <w:b/>
        </w:rPr>
      </w:pPr>
      <w:r>
        <w:rPr>
          <w:b/>
        </w:rPr>
        <w:tab/>
      </w:r>
      <w:r w:rsidR="001D27E4">
        <w:rPr>
          <w:b/>
        </w:rPr>
        <w:tab/>
        <w:t>a)</w:t>
      </w:r>
      <w:r w:rsidR="001D27E4">
        <w:rPr>
          <w:b/>
        </w:rPr>
        <w:tab/>
      </w:r>
      <w:r w:rsidR="00106B24">
        <w:rPr>
          <w:b/>
        </w:rPr>
        <w:t>S</w:t>
      </w:r>
      <w:r w:rsidR="00651F7A" w:rsidRPr="001D27E4">
        <w:rPr>
          <w:b/>
        </w:rPr>
        <w:t xml:space="preserve">e mejore de inmediato las condiciones materiales de los centros de reintegración social, en especial en lo que concierne a superficies mínimas por adolescente detenido, higiene y ventilación; </w:t>
      </w:r>
    </w:p>
    <w:p w14:paraId="20995486" w14:textId="2C60370C" w:rsidR="00651F7A" w:rsidRPr="001D27E4" w:rsidRDefault="001D27E4" w:rsidP="001D27E4">
      <w:pPr>
        <w:pStyle w:val="SingleTxtG"/>
        <w:rPr>
          <w:b/>
        </w:rPr>
      </w:pPr>
      <w:r>
        <w:rPr>
          <w:b/>
        </w:rPr>
        <w:tab/>
      </w:r>
      <w:r w:rsidR="007B3905">
        <w:rPr>
          <w:b/>
        </w:rPr>
        <w:tab/>
      </w:r>
      <w:r>
        <w:rPr>
          <w:b/>
        </w:rPr>
        <w:t>b)</w:t>
      </w:r>
      <w:r>
        <w:rPr>
          <w:b/>
        </w:rPr>
        <w:tab/>
      </w:r>
      <w:r w:rsidR="00515F69">
        <w:rPr>
          <w:b/>
        </w:rPr>
        <w:t>S</w:t>
      </w:r>
      <w:r w:rsidR="00651F7A" w:rsidRPr="001D27E4">
        <w:rPr>
          <w:b/>
        </w:rPr>
        <w:t>e dote a los centros de presupuesto para la adquisición de mayor cantidad y mejor calidad de alimentos para los adolescentes, los que deberán recibir comida, de un valor nutritivo suficiente para el mantenimiento de su salud y de sus fue</w:t>
      </w:r>
      <w:r w:rsidR="0067591C">
        <w:rPr>
          <w:b/>
        </w:rPr>
        <w:t>rzas, al menos dos veces al día;</w:t>
      </w:r>
      <w:r w:rsidR="00651F7A" w:rsidRPr="001D27E4">
        <w:rPr>
          <w:b/>
        </w:rPr>
        <w:t xml:space="preserve"> </w:t>
      </w:r>
    </w:p>
    <w:p w14:paraId="20995487" w14:textId="11846AA1" w:rsidR="00651F7A" w:rsidRPr="001D27E4" w:rsidRDefault="007B3905" w:rsidP="001D27E4">
      <w:pPr>
        <w:pStyle w:val="SingleTxtG"/>
        <w:rPr>
          <w:b/>
        </w:rPr>
      </w:pPr>
      <w:r>
        <w:rPr>
          <w:b/>
        </w:rPr>
        <w:tab/>
      </w:r>
      <w:r w:rsidR="001D27E4">
        <w:rPr>
          <w:b/>
        </w:rPr>
        <w:tab/>
        <w:t>c)</w:t>
      </w:r>
      <w:r w:rsidR="001D27E4">
        <w:rPr>
          <w:b/>
        </w:rPr>
        <w:tab/>
      </w:r>
      <w:r w:rsidR="007B1E27">
        <w:rPr>
          <w:b/>
        </w:rPr>
        <w:t>S</w:t>
      </w:r>
      <w:r w:rsidR="00651F7A" w:rsidRPr="001D27E4">
        <w:rPr>
          <w:b/>
        </w:rPr>
        <w:t xml:space="preserve">e provea a los adolescentes al menos </w:t>
      </w:r>
      <w:r w:rsidR="007B1E27">
        <w:rPr>
          <w:b/>
        </w:rPr>
        <w:t xml:space="preserve">2 l </w:t>
      </w:r>
      <w:r w:rsidR="00651F7A" w:rsidRPr="001D27E4">
        <w:rPr>
          <w:b/>
        </w:rPr>
        <w:t>de agua potable por día, en forma gratuita y sistemática</w:t>
      </w:r>
      <w:r w:rsidR="007B1E27">
        <w:rPr>
          <w:b/>
        </w:rPr>
        <w:t>;</w:t>
      </w:r>
    </w:p>
    <w:p w14:paraId="20995488" w14:textId="307C8DD4" w:rsidR="00651F7A" w:rsidRPr="001D27E4" w:rsidRDefault="007B3905" w:rsidP="001D27E4">
      <w:pPr>
        <w:pStyle w:val="SingleTxtG"/>
        <w:rPr>
          <w:b/>
        </w:rPr>
      </w:pPr>
      <w:r>
        <w:rPr>
          <w:b/>
        </w:rPr>
        <w:lastRenderedPageBreak/>
        <w:tab/>
      </w:r>
      <w:r w:rsidR="001D27E4">
        <w:rPr>
          <w:b/>
        </w:rPr>
        <w:tab/>
        <w:t>d)</w:t>
      </w:r>
      <w:r w:rsidR="001D27E4">
        <w:rPr>
          <w:b/>
        </w:rPr>
        <w:tab/>
      </w:r>
      <w:r w:rsidR="007B1E27">
        <w:rPr>
          <w:b/>
        </w:rPr>
        <w:t>S</w:t>
      </w:r>
      <w:r w:rsidR="00651F7A" w:rsidRPr="001D27E4">
        <w:rPr>
          <w:b/>
        </w:rPr>
        <w:t xml:space="preserve">e asegure el acceso regular </w:t>
      </w:r>
      <w:r w:rsidR="0067591C" w:rsidRPr="001D27E4">
        <w:rPr>
          <w:b/>
        </w:rPr>
        <w:t>al baño y duchas</w:t>
      </w:r>
      <w:r w:rsidR="0067591C">
        <w:rPr>
          <w:b/>
        </w:rPr>
        <w:t xml:space="preserve"> y sus condiciones sanitarias adecuadas</w:t>
      </w:r>
      <w:r w:rsidR="00651F7A" w:rsidRPr="001D27E4">
        <w:rPr>
          <w:b/>
        </w:rPr>
        <w:t xml:space="preserve">, así como que se provean camas con colchones, incluyendo para aquellos </w:t>
      </w:r>
      <w:r w:rsidR="0067591C">
        <w:rPr>
          <w:b/>
        </w:rPr>
        <w:t>que se hallaren en aislamiento;</w:t>
      </w:r>
    </w:p>
    <w:p w14:paraId="20995489" w14:textId="74F758A9" w:rsidR="00651F7A" w:rsidRPr="001D27E4" w:rsidRDefault="001D27E4" w:rsidP="001D27E4">
      <w:pPr>
        <w:pStyle w:val="SingleTxtG"/>
        <w:rPr>
          <w:b/>
        </w:rPr>
      </w:pPr>
      <w:r>
        <w:rPr>
          <w:b/>
        </w:rPr>
        <w:tab/>
      </w:r>
      <w:r w:rsidR="007B3905">
        <w:rPr>
          <w:b/>
        </w:rPr>
        <w:tab/>
      </w:r>
      <w:r>
        <w:rPr>
          <w:b/>
        </w:rPr>
        <w:t>e)</w:t>
      </w:r>
      <w:r>
        <w:rPr>
          <w:b/>
        </w:rPr>
        <w:tab/>
      </w:r>
      <w:r w:rsidR="007B1E27">
        <w:rPr>
          <w:b/>
        </w:rPr>
        <w:t>S</w:t>
      </w:r>
      <w:r w:rsidR="00651F7A" w:rsidRPr="001D27E4">
        <w:rPr>
          <w:b/>
        </w:rPr>
        <w:t>e tomen las medidas necesarias para facilitar las visitas a los centros a través de servicios de transporte gratuito para los familiares y amigos</w:t>
      </w:r>
      <w:r w:rsidR="007B1E27">
        <w:rPr>
          <w:b/>
        </w:rPr>
        <w:t>,</w:t>
      </w:r>
      <w:r w:rsidR="00651F7A" w:rsidRPr="001D27E4">
        <w:rPr>
          <w:b/>
        </w:rPr>
        <w:t xml:space="preserve"> y que a su vez se mejore el contacto con el exterior y se asegure la posibilidad de realizar llamadas telefónic</w:t>
      </w:r>
      <w:r w:rsidR="0067591C">
        <w:rPr>
          <w:b/>
        </w:rPr>
        <w:t>as, al menos una vez por semana;</w:t>
      </w:r>
      <w:r w:rsidR="00651F7A" w:rsidRPr="001D27E4">
        <w:rPr>
          <w:b/>
        </w:rPr>
        <w:t xml:space="preserve"> </w:t>
      </w:r>
    </w:p>
    <w:p w14:paraId="2099548A" w14:textId="3DF2266F" w:rsidR="00651F7A" w:rsidRPr="001D27E4" w:rsidRDefault="007B3905" w:rsidP="001D27E4">
      <w:pPr>
        <w:pStyle w:val="SingleTxtG"/>
        <w:rPr>
          <w:b/>
        </w:rPr>
      </w:pPr>
      <w:r>
        <w:rPr>
          <w:b/>
        </w:rPr>
        <w:tab/>
      </w:r>
      <w:r w:rsidR="001D27E4">
        <w:rPr>
          <w:b/>
        </w:rPr>
        <w:tab/>
        <w:t>f)</w:t>
      </w:r>
      <w:r w:rsidR="001D27E4">
        <w:rPr>
          <w:b/>
        </w:rPr>
        <w:tab/>
      </w:r>
      <w:r w:rsidR="007B1E27">
        <w:rPr>
          <w:b/>
        </w:rPr>
        <w:t>S</w:t>
      </w:r>
      <w:r w:rsidR="00651F7A" w:rsidRPr="001D27E4">
        <w:rPr>
          <w:b/>
        </w:rPr>
        <w:t xml:space="preserve">e realicen esfuerzos para dar mayores posibilidades de educación y </w:t>
      </w:r>
      <w:r w:rsidR="00A51E4E">
        <w:rPr>
          <w:b/>
        </w:rPr>
        <w:t xml:space="preserve">formación </w:t>
      </w:r>
      <w:r w:rsidR="00651F7A" w:rsidRPr="001D27E4">
        <w:rPr>
          <w:b/>
        </w:rPr>
        <w:t xml:space="preserve">en un oficio a los adolescentes. </w:t>
      </w:r>
    </w:p>
    <w:p w14:paraId="2099548B" w14:textId="0BD07CC5" w:rsidR="00651F7A" w:rsidRPr="005A3AA7" w:rsidRDefault="001D27E4" w:rsidP="001D27E4">
      <w:pPr>
        <w:pStyle w:val="H1G"/>
      </w:pPr>
      <w:r>
        <w:tab/>
      </w:r>
      <w:r w:rsidR="00651F7A" w:rsidRPr="005A3AA7">
        <w:t>D.</w:t>
      </w:r>
      <w:r w:rsidR="003F48E6">
        <w:tab/>
      </w:r>
      <w:r w:rsidR="00651F7A" w:rsidRPr="005A3AA7">
        <w:t>Celdas judiciales</w:t>
      </w:r>
    </w:p>
    <w:p w14:paraId="2099548C" w14:textId="76D0295E" w:rsidR="00651F7A" w:rsidRPr="00BA4471" w:rsidRDefault="000D732F" w:rsidP="00651F7A">
      <w:pPr>
        <w:pStyle w:val="SingleTxtG"/>
      </w:pPr>
      <w:r>
        <w:t>9</w:t>
      </w:r>
      <w:r w:rsidR="00F8360C">
        <w:t>3</w:t>
      </w:r>
      <w:r w:rsidR="00651F7A">
        <w:t>.</w:t>
      </w:r>
      <w:r w:rsidR="003F48E6">
        <w:tab/>
      </w:r>
      <w:r w:rsidR="00651F7A" w:rsidRPr="00BA4471">
        <w:t xml:space="preserve">El </w:t>
      </w:r>
      <w:r w:rsidR="00522056">
        <w:t>Subcomité</w:t>
      </w:r>
      <w:r w:rsidR="00651F7A" w:rsidRPr="00BA4471">
        <w:t xml:space="preserve"> visitó las celdas judiciales policiales ubicadas en los tribunales de justicia en Santa Cruz y</w:t>
      </w:r>
      <w:r w:rsidR="00704018">
        <w:t xml:space="preserve"> La Paz</w:t>
      </w:r>
      <w:r w:rsidR="00651F7A" w:rsidRPr="00BA4471">
        <w:t xml:space="preserve"> observ</w:t>
      </w:r>
      <w:r w:rsidR="00704018">
        <w:t>ando</w:t>
      </w:r>
      <w:r w:rsidR="00651F7A" w:rsidRPr="00BA4471">
        <w:t xml:space="preserve"> con preocupación sobrepoblación y </w:t>
      </w:r>
      <w:r w:rsidR="00651F7A">
        <w:t xml:space="preserve">deficientes </w:t>
      </w:r>
      <w:r w:rsidR="00651F7A" w:rsidRPr="00BA4471">
        <w:t xml:space="preserve">condiciones de detención. </w:t>
      </w:r>
    </w:p>
    <w:p w14:paraId="2099548D" w14:textId="07DEFDF7" w:rsidR="00651F7A" w:rsidRPr="00BA4471" w:rsidRDefault="000D732F" w:rsidP="00651F7A">
      <w:pPr>
        <w:pStyle w:val="SingleTxtG"/>
      </w:pPr>
      <w:r>
        <w:t>9</w:t>
      </w:r>
      <w:r w:rsidR="00F8360C">
        <w:t>4</w:t>
      </w:r>
      <w:r w:rsidR="00651F7A">
        <w:t>.</w:t>
      </w:r>
      <w:r w:rsidR="003F48E6">
        <w:tab/>
      </w:r>
      <w:r w:rsidR="00651F7A">
        <w:t>E</w:t>
      </w:r>
      <w:r w:rsidR="00651F7A" w:rsidRPr="00BA4471">
        <w:t xml:space="preserve">l </w:t>
      </w:r>
      <w:r w:rsidR="00522056">
        <w:t>Subcomité</w:t>
      </w:r>
      <w:r w:rsidR="00651F7A" w:rsidRPr="00BA4471">
        <w:t xml:space="preserve"> </w:t>
      </w:r>
      <w:r w:rsidR="00651F7A">
        <w:t xml:space="preserve">constató que las </w:t>
      </w:r>
      <w:r w:rsidR="00B62628">
        <w:t>personas privadas de libertad</w:t>
      </w:r>
      <w:r w:rsidR="00651F7A" w:rsidRPr="00BA4471">
        <w:t xml:space="preserve"> </w:t>
      </w:r>
      <w:r w:rsidR="00651F7A">
        <w:t xml:space="preserve">llegaban a permanecer </w:t>
      </w:r>
      <w:r w:rsidR="00651F7A" w:rsidRPr="00BA4471">
        <w:t xml:space="preserve">en </w:t>
      </w:r>
      <w:r w:rsidR="00651F7A">
        <w:t>las</w:t>
      </w:r>
      <w:r w:rsidR="00651F7A" w:rsidRPr="00BA4471">
        <w:t xml:space="preserve"> celdas</w:t>
      </w:r>
      <w:r w:rsidR="00651F7A">
        <w:t xml:space="preserve"> judiciales</w:t>
      </w:r>
      <w:r w:rsidR="00651F7A" w:rsidRPr="00BA4471">
        <w:t xml:space="preserve"> varios días e incluso semanas, principalmente por la importante demora judicial, agravada por </w:t>
      </w:r>
      <w:r w:rsidR="00123ED2">
        <w:t xml:space="preserve">una </w:t>
      </w:r>
      <w:r w:rsidR="00651F7A" w:rsidRPr="00BA4471">
        <w:t>mala administración</w:t>
      </w:r>
      <w:r w:rsidR="00651F7A">
        <w:t>, en contra</w:t>
      </w:r>
      <w:r w:rsidR="00A11562">
        <w:t xml:space="preserve">dicción con </w:t>
      </w:r>
      <w:r w:rsidR="00651F7A">
        <w:t>el propósito de estas instalaciones</w:t>
      </w:r>
      <w:r w:rsidR="00651F7A">
        <w:rPr>
          <w:rStyle w:val="Refdenotaalpie"/>
        </w:rPr>
        <w:footnoteReference w:id="28"/>
      </w:r>
      <w:r w:rsidR="00651F7A" w:rsidRPr="00BA4471">
        <w:t xml:space="preserve">. El </w:t>
      </w:r>
      <w:r w:rsidR="00522056">
        <w:t>Subcomité</w:t>
      </w:r>
      <w:r w:rsidR="00651F7A" w:rsidRPr="00BA4471">
        <w:t xml:space="preserve"> en</w:t>
      </w:r>
      <w:r w:rsidR="00651F7A">
        <w:t xml:space="preserve">trevistó personas con libertades concedidas </w:t>
      </w:r>
      <w:r w:rsidR="00651F7A" w:rsidRPr="00BA4471">
        <w:t xml:space="preserve">que seguían detenidas en las celdas en condiciones inhumanas por cuestiones burocráticas, por ejemplo, porque la </w:t>
      </w:r>
      <w:r w:rsidR="006124D2">
        <w:t>s</w:t>
      </w:r>
      <w:r w:rsidR="00651F7A" w:rsidRPr="00BA4471">
        <w:t xml:space="preserve">ecretaria del </w:t>
      </w:r>
      <w:r w:rsidR="008B65F4">
        <w:t>j</w:t>
      </w:r>
      <w:r w:rsidR="00651F7A" w:rsidRPr="00BA4471">
        <w:t xml:space="preserve">uzgado se tomó vacaciones pero olvidó firmar el oficio de libertad. En otros casos, los detenidos quedaban en las celdas judiciales esperando los resultados de la apelación de la medida cautelar de detención preventiva. </w:t>
      </w:r>
    </w:p>
    <w:p w14:paraId="2099548E" w14:textId="6CDE9D6F" w:rsidR="00651F7A" w:rsidRPr="00BA4471" w:rsidRDefault="000D732F" w:rsidP="00651F7A">
      <w:pPr>
        <w:pStyle w:val="SingleTxtG"/>
      </w:pPr>
      <w:r>
        <w:t>9</w:t>
      </w:r>
      <w:r w:rsidR="00F8360C">
        <w:t>5</w:t>
      </w:r>
      <w:r w:rsidR="00651F7A">
        <w:t>.</w:t>
      </w:r>
      <w:r w:rsidR="003F48E6">
        <w:tab/>
      </w:r>
      <w:r w:rsidR="00651F7A" w:rsidRPr="00BA4471">
        <w:t xml:space="preserve">Puesto que las instalaciones no estaban concebidas para </w:t>
      </w:r>
      <w:r w:rsidR="009A7316">
        <w:t xml:space="preserve">una </w:t>
      </w:r>
      <w:r w:rsidR="00651F7A" w:rsidRPr="00BA4471">
        <w:t>detención más larga, los detenidos no recibían alimentación, ni tenían camas. Varios de los detenidos dormían en el piso; algunos compartían el colchón de paja entre dos. L</w:t>
      </w:r>
      <w:r w:rsidR="00651F7A">
        <w:t xml:space="preserve">as </w:t>
      </w:r>
      <w:r w:rsidR="00B62628">
        <w:t>personas privadas de libertad</w:t>
      </w:r>
      <w:r w:rsidR="00651F7A" w:rsidRPr="00BA4471">
        <w:t xml:space="preserve"> que no recibían visitas familiares dependían de la buena voluntad de otros detenidos para poder </w:t>
      </w:r>
      <w:r w:rsidR="00651F7A">
        <w:t>alimentarse</w:t>
      </w:r>
      <w:r w:rsidR="00651F7A" w:rsidRPr="00BA4471">
        <w:t>. Los agentes policiales a cargo de la custodia cobraban a los detenidos para permitirles usar la ducha.</w:t>
      </w:r>
    </w:p>
    <w:p w14:paraId="2099548F" w14:textId="52B18B11" w:rsidR="00651F7A" w:rsidRPr="00BA4471" w:rsidRDefault="000D732F" w:rsidP="00651F7A">
      <w:pPr>
        <w:pStyle w:val="SingleTxtG"/>
      </w:pPr>
      <w:r>
        <w:t>9</w:t>
      </w:r>
      <w:r w:rsidR="00F8360C">
        <w:t>6</w:t>
      </w:r>
      <w:r w:rsidR="00651F7A">
        <w:t>.</w:t>
      </w:r>
      <w:r w:rsidR="003F48E6">
        <w:tab/>
      </w:r>
      <w:r w:rsidR="00651F7A" w:rsidRPr="00BA4471">
        <w:t xml:space="preserve">Le preocupa al </w:t>
      </w:r>
      <w:r w:rsidR="00522056">
        <w:t>Subcomité</w:t>
      </w:r>
      <w:r w:rsidR="00651F7A" w:rsidRPr="00BA4471">
        <w:t xml:space="preserve"> la falta de asistencia médica en las celdas judiciales visitadas.</w:t>
      </w:r>
      <w:r w:rsidR="00651F7A">
        <w:t xml:space="preserve"> </w:t>
      </w:r>
      <w:r w:rsidR="00651F7A" w:rsidRPr="00BA4471">
        <w:t xml:space="preserve">El </w:t>
      </w:r>
      <w:r w:rsidR="00522056">
        <w:t>Subcomité</w:t>
      </w:r>
      <w:r w:rsidR="00651F7A" w:rsidRPr="00BA4471">
        <w:t xml:space="preserve"> presenció cómo una persona detenida comenzó a tener una crisis de epilepsia. Ante la indiferencia de los agentes, el </w:t>
      </w:r>
      <w:r w:rsidR="00522056">
        <w:t>Subcomité</w:t>
      </w:r>
      <w:r w:rsidR="00651F7A" w:rsidRPr="00BA4471">
        <w:t xml:space="preserve"> tuvo que insistir en que se llamara </w:t>
      </w:r>
      <w:r w:rsidR="009A7316">
        <w:t xml:space="preserve">a </w:t>
      </w:r>
      <w:r w:rsidR="00651F7A" w:rsidRPr="00BA4471">
        <w:t>una ambulancia.</w:t>
      </w:r>
    </w:p>
    <w:p w14:paraId="20995490" w14:textId="532902CA" w:rsidR="00651F7A" w:rsidRPr="00BA4471" w:rsidRDefault="000D732F" w:rsidP="00651F7A">
      <w:pPr>
        <w:pStyle w:val="SingleTxtG"/>
        <w:rPr>
          <w:b/>
        </w:rPr>
      </w:pPr>
      <w:r w:rsidRPr="0098110E">
        <w:t>9</w:t>
      </w:r>
      <w:r w:rsidR="00F8360C" w:rsidRPr="0098110E">
        <w:t>7</w:t>
      </w:r>
      <w:r w:rsidR="00651F7A" w:rsidRPr="0098110E">
        <w:t>.</w:t>
      </w:r>
      <w:r>
        <w:rPr>
          <w:b/>
        </w:rPr>
        <w:tab/>
      </w:r>
      <w:r w:rsidR="00651F7A" w:rsidRPr="00BA4471">
        <w:rPr>
          <w:b/>
        </w:rPr>
        <w:t xml:space="preserve">El </w:t>
      </w:r>
      <w:r w:rsidR="00522056">
        <w:rPr>
          <w:b/>
        </w:rPr>
        <w:t>Subcomité</w:t>
      </w:r>
      <w:r w:rsidR="00651F7A" w:rsidRPr="00BA4471">
        <w:rPr>
          <w:b/>
        </w:rPr>
        <w:t xml:space="preserve"> recomienda que el Estado parte:</w:t>
      </w:r>
    </w:p>
    <w:p w14:paraId="20995491" w14:textId="71669E3F" w:rsidR="00651F7A" w:rsidRPr="00BA4471" w:rsidRDefault="007B3905" w:rsidP="00651F7A">
      <w:pPr>
        <w:pStyle w:val="SingleTxtG"/>
        <w:rPr>
          <w:b/>
        </w:rPr>
      </w:pPr>
      <w:r>
        <w:rPr>
          <w:b/>
        </w:rPr>
        <w:tab/>
      </w:r>
      <w:r w:rsidR="000D732F">
        <w:rPr>
          <w:b/>
        </w:rPr>
        <w:tab/>
      </w:r>
      <w:r w:rsidR="00651F7A" w:rsidRPr="00BA4471">
        <w:rPr>
          <w:b/>
        </w:rPr>
        <w:t>a)</w:t>
      </w:r>
      <w:r w:rsidR="003F48E6">
        <w:rPr>
          <w:b/>
        </w:rPr>
        <w:tab/>
      </w:r>
      <w:r w:rsidR="008B65F4">
        <w:rPr>
          <w:b/>
        </w:rPr>
        <w:t>A</w:t>
      </w:r>
      <w:r w:rsidR="00651F7A" w:rsidRPr="00BA4471">
        <w:rPr>
          <w:b/>
        </w:rPr>
        <w:t xml:space="preserve">borde de manera urgente la demora en la tramitación de las causas y </w:t>
      </w:r>
      <w:r w:rsidR="002E09EB">
        <w:rPr>
          <w:b/>
        </w:rPr>
        <w:t xml:space="preserve">las razones </w:t>
      </w:r>
      <w:r w:rsidR="00651F7A" w:rsidRPr="00BA4471">
        <w:rPr>
          <w:b/>
        </w:rPr>
        <w:t>de la suspensión de las audiencias;</w:t>
      </w:r>
    </w:p>
    <w:p w14:paraId="20995492" w14:textId="763541E7" w:rsidR="00651F7A" w:rsidRPr="00BA4471" w:rsidRDefault="007B3905" w:rsidP="00651F7A">
      <w:pPr>
        <w:pStyle w:val="SingleTxtG"/>
        <w:rPr>
          <w:b/>
        </w:rPr>
      </w:pPr>
      <w:r>
        <w:rPr>
          <w:b/>
        </w:rPr>
        <w:tab/>
      </w:r>
      <w:r w:rsidR="000D732F">
        <w:rPr>
          <w:b/>
        </w:rPr>
        <w:tab/>
      </w:r>
      <w:r w:rsidR="00651F7A" w:rsidRPr="00BA4471">
        <w:rPr>
          <w:b/>
        </w:rPr>
        <w:t>b)</w:t>
      </w:r>
      <w:r w:rsidR="003F48E6">
        <w:rPr>
          <w:b/>
        </w:rPr>
        <w:tab/>
      </w:r>
      <w:r w:rsidR="008B65F4">
        <w:rPr>
          <w:b/>
        </w:rPr>
        <w:t>R</w:t>
      </w:r>
      <w:r w:rsidR="00651F7A" w:rsidRPr="00BA4471">
        <w:rPr>
          <w:b/>
        </w:rPr>
        <w:t xml:space="preserve">espete el plazo máximo de detención inspeccionando de manera regular las celdas judiciales y estableciendo controles a los registros policiales de ingreso y salida de las personas; </w:t>
      </w:r>
    </w:p>
    <w:p w14:paraId="20995493" w14:textId="289CB441" w:rsidR="00651F7A" w:rsidRPr="000D732F" w:rsidRDefault="007B3905" w:rsidP="000D732F">
      <w:pPr>
        <w:pStyle w:val="SingleTxtG"/>
        <w:rPr>
          <w:b/>
        </w:rPr>
      </w:pPr>
      <w:r>
        <w:rPr>
          <w:b/>
        </w:rPr>
        <w:tab/>
      </w:r>
      <w:r w:rsidR="000D732F">
        <w:rPr>
          <w:b/>
        </w:rPr>
        <w:tab/>
      </w:r>
      <w:r w:rsidR="00651F7A" w:rsidRPr="00BA4471">
        <w:rPr>
          <w:b/>
        </w:rPr>
        <w:t>c)</w:t>
      </w:r>
      <w:r w:rsidR="003F48E6">
        <w:rPr>
          <w:b/>
        </w:rPr>
        <w:tab/>
      </w:r>
      <w:r w:rsidR="008B65F4">
        <w:rPr>
          <w:b/>
        </w:rPr>
        <w:t>G</w:t>
      </w:r>
      <w:r w:rsidR="00651F7A" w:rsidRPr="00BA4471">
        <w:rPr>
          <w:b/>
        </w:rPr>
        <w:t>arantice de inmediato a las personas el acceso a las condiciones materiales básicas, alimentación y asistencia médica.</w:t>
      </w:r>
    </w:p>
    <w:p w14:paraId="20995494" w14:textId="77777777" w:rsidR="00651F7A" w:rsidRPr="000D732F" w:rsidRDefault="000D732F" w:rsidP="000D732F">
      <w:pPr>
        <w:pStyle w:val="H1G"/>
      </w:pPr>
      <w:r>
        <w:tab/>
      </w:r>
      <w:r w:rsidR="00651F7A" w:rsidRPr="00A8473B">
        <w:t>E.</w:t>
      </w:r>
      <w:r>
        <w:tab/>
        <w:t>Hospital psiquiátrico</w:t>
      </w:r>
    </w:p>
    <w:p w14:paraId="20995495" w14:textId="2AF57679" w:rsidR="00651F7A" w:rsidRPr="007053DF" w:rsidRDefault="00704018" w:rsidP="00651F7A">
      <w:pPr>
        <w:pStyle w:val="SingleTxtG"/>
      </w:pPr>
      <w:r>
        <w:t>9</w:t>
      </w:r>
      <w:r w:rsidR="00F8360C">
        <w:t>8</w:t>
      </w:r>
      <w:r w:rsidR="00651F7A">
        <w:t>.</w:t>
      </w:r>
      <w:r w:rsidR="003F48E6">
        <w:tab/>
      </w:r>
      <w:r w:rsidR="00651F7A" w:rsidRPr="007053DF">
        <w:t xml:space="preserve">El Subcomité visitó el Instituto Nacional de Psiquiatría Gregorio Pacheco en la ciudad de Sucre, única entidad de carácter público en el Estado parte. Allí se encontraban institucionalizadas 320 personas, de las cuales 270 fueron admitidas como consecuencia de situaciones de abandono y pobreza y 8 habían sido privadas de libertad por orden judicial bajo declaración de inimputabilidad por “discapacidad mental”, en el marco de </w:t>
      </w:r>
      <w:r w:rsidR="00651F7A" w:rsidRPr="007053DF">
        <w:lastRenderedPageBreak/>
        <w:t>investigaciones penales.</w:t>
      </w:r>
      <w:r w:rsidR="00651F7A">
        <w:t xml:space="preserve"> </w:t>
      </w:r>
      <w:r w:rsidR="00651F7A" w:rsidRPr="007053DF">
        <w:t xml:space="preserve">El </w:t>
      </w:r>
      <w:r w:rsidR="00B432C3">
        <w:t>h</w:t>
      </w:r>
      <w:r w:rsidR="00651F7A" w:rsidRPr="007053DF">
        <w:t xml:space="preserve">ospital opera como un lugar de “desintoxicación” bajo los parámetros del Sistema General de Salud y en ausencia de legislación sobre salud mental. </w:t>
      </w:r>
    </w:p>
    <w:p w14:paraId="20995496" w14:textId="0798260D" w:rsidR="00651F7A" w:rsidRPr="007053DF" w:rsidRDefault="00F8360C" w:rsidP="00651F7A">
      <w:pPr>
        <w:pStyle w:val="SingleTxtG"/>
      </w:pPr>
      <w:r>
        <w:t>99</w:t>
      </w:r>
      <w:r w:rsidR="00651F7A">
        <w:t>.</w:t>
      </w:r>
      <w:r w:rsidR="003F48E6">
        <w:tab/>
      </w:r>
      <w:r w:rsidR="00651F7A" w:rsidRPr="007053DF">
        <w:t xml:space="preserve">El Subcomité fue informado que la mayoría de personas ingresan al Instituto con su consentimiento. Sin embargo, se precisó que algunas personas habían solicitado institucionalización debido a la presión de familiares y dada la presunta imposibilidad de brindarles algún tipo de cuidado. Al Subcomité le preocupa la institucionalización en el hospital psiquiátrico como consecuencia de la condición socioeconómica y que dicha institución ejerza labores de refugio de atención social, en ausencia de lineamientos específicos sobre asistencia psicosocial. Igualmente, le preocupa la ausencia de servicios de apoyo psicosocial para facilitar la transición de personas recluidas en el hospital psiquiátrico hacia la vida en la comunidad. </w:t>
      </w:r>
    </w:p>
    <w:p w14:paraId="20995497" w14:textId="3E2D359E" w:rsidR="00651F7A" w:rsidRPr="007053DF" w:rsidRDefault="00AB5AA5" w:rsidP="00651F7A">
      <w:pPr>
        <w:pStyle w:val="SingleTxtG"/>
      </w:pPr>
      <w:r>
        <w:t>10</w:t>
      </w:r>
      <w:r w:rsidR="00F8360C">
        <w:t>0</w:t>
      </w:r>
      <w:r w:rsidR="00651F7A">
        <w:t>.</w:t>
      </w:r>
      <w:r w:rsidR="003F48E6">
        <w:tab/>
      </w:r>
      <w:r w:rsidR="00651F7A" w:rsidRPr="007053DF">
        <w:t>El Subcomité encontró durante su visita varias personas que estaban con medidas de contención física, atadas a sillas en corredores, en algunos casos con cordeles en manos y pies. En una de las residencias, una mujer estaba atada de sus pies a una silla y en la residencia de hombres denominada “pacientes agudos” observó un hombre amarrado. El Subcomité fue informado sobre los mecanismos de contención física en las camas y habitaciones y confirmó que las personas pueden permanecer atadas durante todo el día. El Subcomité revisó historias clínicas en las cuales es evidente la práctica recurrente de la contención mecánica mediante esposas de manos y de pies y por períodos de tiempo prolongados.</w:t>
      </w:r>
      <w:r w:rsidR="00651F7A">
        <w:t xml:space="preserve"> </w:t>
      </w:r>
    </w:p>
    <w:p w14:paraId="20995498" w14:textId="1EABAD5A" w:rsidR="00651F7A" w:rsidRPr="007053DF" w:rsidRDefault="00AB5AA5" w:rsidP="00651F7A">
      <w:pPr>
        <w:pStyle w:val="SingleTxtG"/>
      </w:pPr>
      <w:r>
        <w:t>10</w:t>
      </w:r>
      <w:r w:rsidR="00F8360C">
        <w:t>1</w:t>
      </w:r>
      <w:r w:rsidR="00651F7A">
        <w:t>.</w:t>
      </w:r>
      <w:r w:rsidR="003F48E6">
        <w:tab/>
      </w:r>
      <w:r w:rsidR="00651F7A" w:rsidRPr="007053DF">
        <w:t xml:space="preserve">El Subcomité fue informado que el </w:t>
      </w:r>
      <w:r w:rsidR="00F821C1">
        <w:t>h</w:t>
      </w:r>
      <w:r w:rsidR="00651F7A" w:rsidRPr="007053DF">
        <w:t>ospital había instaurado recientemente la práctic</w:t>
      </w:r>
      <w:r w:rsidR="00651F7A">
        <w:t xml:space="preserve">a de terapia electroconvulsiva. Al </w:t>
      </w:r>
      <w:r w:rsidR="00522056">
        <w:t>Subcomité</w:t>
      </w:r>
      <w:r w:rsidR="00651F7A">
        <w:t xml:space="preserve"> le preocupa la</w:t>
      </w:r>
      <w:r w:rsidR="00651F7A" w:rsidRPr="007053DF">
        <w:t xml:space="preserve"> ausencia de un mecanismo de quejas y de servicios de asistencia legal que permitan a las personas internadas denunciar torturas y malos tratos. </w:t>
      </w:r>
    </w:p>
    <w:p w14:paraId="20995499" w14:textId="42483476" w:rsidR="00651F7A" w:rsidRPr="007053DF" w:rsidRDefault="000D732F" w:rsidP="00651F7A">
      <w:pPr>
        <w:pStyle w:val="SingleTxtG"/>
      </w:pPr>
      <w:r>
        <w:t>10</w:t>
      </w:r>
      <w:r w:rsidR="00F8360C">
        <w:t>2</w:t>
      </w:r>
      <w:r w:rsidR="00651F7A">
        <w:t>.</w:t>
      </w:r>
      <w:r w:rsidR="003F48E6">
        <w:tab/>
      </w:r>
      <w:r w:rsidR="00651F7A" w:rsidRPr="007053DF">
        <w:t xml:space="preserve">El Subcomité observa con preocupación la ausencia de control judicial del internamiento de personas declaradas inimputables en el marco de procesos penales. Ante la inexistencia de procedimientos que permitan la interacción entre la autoridad judicial y la persona declarada inimputable, el tiempo de reclusión en el hospital puede extenderse aun cuando la situación de discapacidad hubiese sido superada. </w:t>
      </w:r>
    </w:p>
    <w:p w14:paraId="2099549A" w14:textId="207EC4B5" w:rsidR="00651F7A" w:rsidRPr="007053DF" w:rsidRDefault="000D732F" w:rsidP="00651F7A">
      <w:pPr>
        <w:pStyle w:val="SingleTxtG"/>
      </w:pPr>
      <w:r>
        <w:t>10</w:t>
      </w:r>
      <w:r w:rsidR="00F8360C">
        <w:t>3</w:t>
      </w:r>
      <w:r w:rsidR="00651F7A">
        <w:t>.</w:t>
      </w:r>
      <w:r w:rsidR="003F48E6">
        <w:tab/>
      </w:r>
      <w:r w:rsidR="00651F7A" w:rsidRPr="007053DF">
        <w:t>El Instituto Nacional de Psiquiatría tiene una infrae</w:t>
      </w:r>
      <w:r w:rsidR="00651F7A">
        <w:t>structura adecuada</w:t>
      </w:r>
      <w:r w:rsidR="00651F7A" w:rsidRPr="007053DF">
        <w:t>. No obstante, el Subcomité observó espacios totalmente impersonales al interior de las residencias y habitaciones, dada la falta de equipamiento. En efecto, las habitaciones solamente c</w:t>
      </w:r>
      <w:r w:rsidR="00651F7A">
        <w:t>ontaban</w:t>
      </w:r>
      <w:r w:rsidR="00651F7A" w:rsidRPr="007053DF">
        <w:t xml:space="preserve"> con una cama y un baño y en los lugares comunes solo se observaron algunas sillas de plástico y mesas p</w:t>
      </w:r>
      <w:r>
        <w:t xml:space="preserve">ara comer. </w:t>
      </w:r>
    </w:p>
    <w:p w14:paraId="2099549B" w14:textId="39F85EA3" w:rsidR="00651F7A" w:rsidRPr="000D732F" w:rsidRDefault="000D732F" w:rsidP="000D732F">
      <w:pPr>
        <w:pStyle w:val="SingleTxtG"/>
        <w:rPr>
          <w:b/>
        </w:rPr>
      </w:pPr>
      <w:r w:rsidRPr="0098110E">
        <w:t>10</w:t>
      </w:r>
      <w:r w:rsidR="00F8360C" w:rsidRPr="0098110E">
        <w:t>4</w:t>
      </w:r>
      <w:r w:rsidR="00651F7A" w:rsidRPr="0098110E">
        <w:t>.</w:t>
      </w:r>
      <w:r w:rsidR="003F48E6">
        <w:rPr>
          <w:b/>
        </w:rPr>
        <w:tab/>
      </w:r>
      <w:r w:rsidR="00651F7A" w:rsidRPr="000D732F">
        <w:rPr>
          <w:b/>
        </w:rPr>
        <w:t xml:space="preserve">El Subcomité </w:t>
      </w:r>
      <w:r w:rsidRPr="000D732F">
        <w:rPr>
          <w:b/>
        </w:rPr>
        <w:t>recomienda que el Estado parte:</w:t>
      </w:r>
    </w:p>
    <w:p w14:paraId="2099549C" w14:textId="24CB86B7" w:rsidR="00651F7A" w:rsidRPr="000D732F" w:rsidRDefault="000D732F" w:rsidP="000D732F">
      <w:pPr>
        <w:pStyle w:val="SingleTxtG"/>
        <w:rPr>
          <w:b/>
        </w:rPr>
      </w:pPr>
      <w:r>
        <w:rPr>
          <w:b/>
        </w:rPr>
        <w:tab/>
      </w:r>
      <w:r w:rsidR="007B3905">
        <w:rPr>
          <w:b/>
        </w:rPr>
        <w:tab/>
      </w:r>
      <w:r>
        <w:rPr>
          <w:b/>
        </w:rPr>
        <w:t>a)</w:t>
      </w:r>
      <w:r>
        <w:rPr>
          <w:b/>
        </w:rPr>
        <w:tab/>
      </w:r>
      <w:r w:rsidR="00651F7A" w:rsidRPr="000D732F">
        <w:rPr>
          <w:b/>
        </w:rPr>
        <w:t>Adopte legislación de salud mental que regule la práctica de instituciones psiquiátricas públicas y privadas en el país;</w:t>
      </w:r>
    </w:p>
    <w:p w14:paraId="2099549D" w14:textId="32808218" w:rsidR="00651F7A" w:rsidRPr="000D732F" w:rsidRDefault="000D732F" w:rsidP="000D732F">
      <w:pPr>
        <w:pStyle w:val="SingleTxtG"/>
        <w:rPr>
          <w:b/>
        </w:rPr>
      </w:pPr>
      <w:r>
        <w:rPr>
          <w:b/>
        </w:rPr>
        <w:tab/>
      </w:r>
      <w:r w:rsidR="007B3905">
        <w:rPr>
          <w:b/>
        </w:rPr>
        <w:tab/>
      </w:r>
      <w:r>
        <w:rPr>
          <w:b/>
        </w:rPr>
        <w:t>b)</w:t>
      </w:r>
      <w:r>
        <w:rPr>
          <w:b/>
        </w:rPr>
        <w:tab/>
      </w:r>
      <w:r w:rsidR="00651F7A" w:rsidRPr="000D732F">
        <w:rPr>
          <w:b/>
        </w:rPr>
        <w:t>Tome medidas legislativas y administrativas para prevenir la admisión y permanencia en los hospitales psiquiátricos de personas por razones socioeconómicas y adopte una estrategia para desinstitucionalizar a personas que han sido internadas con base en su discapacidad y/o si</w:t>
      </w:r>
      <w:r>
        <w:rPr>
          <w:b/>
        </w:rPr>
        <w:t xml:space="preserve">tuación de pobreza y abandono; </w:t>
      </w:r>
    </w:p>
    <w:p w14:paraId="2099549E" w14:textId="68E0967C" w:rsidR="00651F7A" w:rsidRPr="000D732F" w:rsidRDefault="007B3905" w:rsidP="000D732F">
      <w:pPr>
        <w:pStyle w:val="SingleTxtG"/>
        <w:rPr>
          <w:b/>
        </w:rPr>
      </w:pPr>
      <w:r>
        <w:rPr>
          <w:b/>
        </w:rPr>
        <w:tab/>
      </w:r>
      <w:r w:rsidR="000D732F">
        <w:rPr>
          <w:b/>
        </w:rPr>
        <w:tab/>
        <w:t>c)</w:t>
      </w:r>
      <w:r w:rsidR="000D732F">
        <w:rPr>
          <w:b/>
        </w:rPr>
        <w:tab/>
      </w:r>
      <w:r w:rsidR="00651F7A" w:rsidRPr="000D732F">
        <w:rPr>
          <w:b/>
        </w:rPr>
        <w:t>Cree un mecanismo de queja, de fácil acceso para las personas institucionalizadas en hospitales psiquiátricos y divulgue información acerca de su exis</w:t>
      </w:r>
      <w:r w:rsidR="000D732F">
        <w:rPr>
          <w:b/>
        </w:rPr>
        <w:t xml:space="preserve">tencia en formatos accesibles; </w:t>
      </w:r>
    </w:p>
    <w:p w14:paraId="2099549F" w14:textId="60EC4259" w:rsidR="00651F7A" w:rsidRPr="000D732F" w:rsidRDefault="007B3905" w:rsidP="000D732F">
      <w:pPr>
        <w:pStyle w:val="SingleTxtG"/>
        <w:rPr>
          <w:b/>
        </w:rPr>
      </w:pPr>
      <w:r>
        <w:rPr>
          <w:b/>
        </w:rPr>
        <w:tab/>
      </w:r>
      <w:r w:rsidR="000D732F">
        <w:rPr>
          <w:b/>
        </w:rPr>
        <w:tab/>
        <w:t>d)</w:t>
      </w:r>
      <w:r w:rsidR="000D732F">
        <w:rPr>
          <w:b/>
        </w:rPr>
        <w:tab/>
      </w:r>
      <w:r w:rsidR="00651F7A" w:rsidRPr="000D732F">
        <w:rPr>
          <w:b/>
        </w:rPr>
        <w:t xml:space="preserve">Realice inspecciones periódicas en hospitales psiquiátricos y lleve a cabo capacitaciones al personal sobre las obligaciones internacionales en materia de protección de derechos humanos de las personas con discapacidad establecidas en la </w:t>
      </w:r>
      <w:r w:rsidR="00545B4C" w:rsidRPr="000B7D68">
        <w:rPr>
          <w:b/>
        </w:rPr>
        <w:t xml:space="preserve">Convención </w:t>
      </w:r>
      <w:r w:rsidR="00545B4C">
        <w:rPr>
          <w:b/>
        </w:rPr>
        <w:t xml:space="preserve">sobre </w:t>
      </w:r>
      <w:r w:rsidR="00545B4C" w:rsidRPr="000B7D68">
        <w:rPr>
          <w:b/>
        </w:rPr>
        <w:t>los Derechos de las Personas con Discapacidad</w:t>
      </w:r>
      <w:r w:rsidR="00651F7A" w:rsidRPr="000D732F">
        <w:rPr>
          <w:b/>
        </w:rPr>
        <w:t xml:space="preserve">. </w:t>
      </w:r>
    </w:p>
    <w:p w14:paraId="209954A0" w14:textId="6E83B063" w:rsidR="00651F7A" w:rsidRDefault="007A61CB" w:rsidP="000D732F">
      <w:pPr>
        <w:pStyle w:val="HChG"/>
      </w:pPr>
      <w:r>
        <w:lastRenderedPageBreak/>
        <w:tab/>
        <w:t>VI.</w:t>
      </w:r>
      <w:r w:rsidR="00651F7A" w:rsidRPr="00802E03">
        <w:tab/>
        <w:t>Situación de grupos en condición de vulnerabilidad</w:t>
      </w:r>
    </w:p>
    <w:p w14:paraId="209954A1" w14:textId="77777777" w:rsidR="00651F7A" w:rsidRDefault="000D732F" w:rsidP="000D732F">
      <w:pPr>
        <w:pStyle w:val="H1G"/>
      </w:pPr>
      <w:r>
        <w:tab/>
      </w:r>
      <w:r w:rsidR="00651F7A" w:rsidRPr="005319D5">
        <w:t>A.</w:t>
      </w:r>
      <w:r w:rsidR="00651F7A" w:rsidRPr="005319D5">
        <w:tab/>
        <w:t>Justicia indígena</w:t>
      </w:r>
    </w:p>
    <w:p w14:paraId="209954A2" w14:textId="7AEE7E24" w:rsidR="00651F7A" w:rsidRPr="000D732F" w:rsidRDefault="00AB5AA5" w:rsidP="000D732F">
      <w:pPr>
        <w:pStyle w:val="SingleTxtG"/>
      </w:pPr>
      <w:r>
        <w:t>10</w:t>
      </w:r>
      <w:r w:rsidR="00F8360C">
        <w:t>5</w:t>
      </w:r>
      <w:r w:rsidR="000D732F">
        <w:t>.</w:t>
      </w:r>
      <w:r w:rsidR="000D732F">
        <w:tab/>
      </w:r>
      <w:r w:rsidR="00651F7A" w:rsidRPr="000D732F">
        <w:t xml:space="preserve">El </w:t>
      </w:r>
      <w:r w:rsidR="00522056">
        <w:t>Subcomité</w:t>
      </w:r>
      <w:r w:rsidR="00651F7A" w:rsidRPr="000D732F">
        <w:t xml:space="preserve"> nota los avances en materia de justicia indígena, como los fallos del Tribunal Constitucional y la elaboración del protocolo de coordinación y cooperación entre ambas jurisdicciones. No obstante, el Subcomité lamenta que, al excluir ciertos ámbitos de vigencia material y territorial, la Ley de Deslinde Jurisdiccional no se adecua a la Constitución Política del Estado ni al derecho internacional. En consecuencia, le preocupa al </w:t>
      </w:r>
      <w:r w:rsidR="00522056">
        <w:t>Subcomité</w:t>
      </w:r>
      <w:r w:rsidR="00651F7A" w:rsidRPr="000D732F">
        <w:t xml:space="preserve"> que, en la práctica, siguen existiendo sectores de la población cuyo acceso a la justicia está obstaculizado.</w:t>
      </w:r>
    </w:p>
    <w:p w14:paraId="209954A3" w14:textId="24803030" w:rsidR="00651F7A" w:rsidRPr="000D732F" w:rsidRDefault="00AB5AA5" w:rsidP="000D732F">
      <w:pPr>
        <w:pStyle w:val="SingleTxtG"/>
      </w:pPr>
      <w:r>
        <w:t>10</w:t>
      </w:r>
      <w:r w:rsidR="00F8360C">
        <w:t>6</w:t>
      </w:r>
      <w:r w:rsidR="000D732F">
        <w:t>.</w:t>
      </w:r>
      <w:r w:rsidR="000D732F">
        <w:tab/>
      </w:r>
      <w:r w:rsidR="00651F7A" w:rsidRPr="000D732F">
        <w:t xml:space="preserve">El </w:t>
      </w:r>
      <w:r w:rsidR="00522056">
        <w:t>Subcomité</w:t>
      </w:r>
      <w:r w:rsidR="00651F7A" w:rsidRPr="000D732F">
        <w:t xml:space="preserve"> se reunió con dirigentes de las comunidades indígenas quienes manifestaron que, incluso cuando existe posibilidad legal, los jueces de la justicia ordinaria no remiten casos a la competencia indígena por cuestiones culturales. Asimismo, el </w:t>
      </w:r>
      <w:r w:rsidR="00522056">
        <w:t>Subcomité</w:t>
      </w:r>
      <w:r w:rsidR="00651F7A" w:rsidRPr="000D732F">
        <w:t xml:space="preserve"> tuvo conocimiento de casos de violación de garantías procesales en el marco de la justicia ordinaria, cuando las audiencias se suspendían indefinidamente por falta de inté</w:t>
      </w:r>
      <w:r w:rsidR="00F04164">
        <w:t>rpretes a las lenguas indígenas</w:t>
      </w:r>
      <w:r w:rsidR="00651F7A" w:rsidRPr="000D732F">
        <w:rPr>
          <w:sz w:val="18"/>
          <w:szCs w:val="18"/>
          <w:vertAlign w:val="superscript"/>
        </w:rPr>
        <w:footnoteReference w:id="29"/>
      </w:r>
      <w:r w:rsidR="00F04164">
        <w:t>.</w:t>
      </w:r>
      <w:r w:rsidR="00651F7A" w:rsidRPr="000D732F">
        <w:t xml:space="preserve"> </w:t>
      </w:r>
    </w:p>
    <w:p w14:paraId="209954A4" w14:textId="64C57654" w:rsidR="00651F7A" w:rsidRPr="000D732F" w:rsidRDefault="00AB5AA5" w:rsidP="000D732F">
      <w:pPr>
        <w:pStyle w:val="SingleTxtG"/>
      </w:pPr>
      <w:r>
        <w:t>10</w:t>
      </w:r>
      <w:r w:rsidR="00F8360C">
        <w:t>7</w:t>
      </w:r>
      <w:r w:rsidR="000D732F">
        <w:t>.</w:t>
      </w:r>
      <w:r w:rsidR="000D732F">
        <w:tab/>
      </w:r>
      <w:r w:rsidR="00651F7A" w:rsidRPr="000D732F">
        <w:t xml:space="preserve">El </w:t>
      </w:r>
      <w:r w:rsidR="00522056">
        <w:t>Subcomité</w:t>
      </w:r>
      <w:r w:rsidR="00651F7A" w:rsidRPr="000D732F">
        <w:t xml:space="preserve"> nota con preocupación que el uso excesivo de la detención preventiva afecta a las personas indígenas de manera desproporcionada, ya que las exigencias para las medidas sustitutivas no se ajustan a su situación: se les solicita domicilio fijo con dirección, aun cuando ellas viven en las aldeas comunitarias, así como el empleo formal, aunque muchos trabajen en el sector informal de la economía. </w:t>
      </w:r>
    </w:p>
    <w:p w14:paraId="209954A5" w14:textId="2FB775D6" w:rsidR="00651F7A" w:rsidRPr="000D732F" w:rsidRDefault="00AB5AA5" w:rsidP="000D732F">
      <w:pPr>
        <w:pStyle w:val="SingleTxtG"/>
      </w:pPr>
      <w:r>
        <w:t>1</w:t>
      </w:r>
      <w:r w:rsidR="00704018">
        <w:t>0</w:t>
      </w:r>
      <w:r w:rsidR="00F8360C">
        <w:t>8</w:t>
      </w:r>
      <w:r w:rsidR="000D732F">
        <w:t>.</w:t>
      </w:r>
      <w:r w:rsidR="000D732F">
        <w:tab/>
      </w:r>
      <w:r w:rsidR="00651F7A" w:rsidRPr="000D732F">
        <w:t xml:space="preserve">Cabe destacar los efectos nefastos del encierro en el estado físico y psicológico de las personas indígenas, ya que los centros de detención no han sido pensados para albergar a personas con idiomas, culturas y cosmovisión distintos al resto de la población y </w:t>
      </w:r>
      <w:r w:rsidR="00A14DF1">
        <w:t xml:space="preserve">que </w:t>
      </w:r>
      <w:r w:rsidR="00651F7A" w:rsidRPr="000D732F">
        <w:t xml:space="preserve">a menudo siguen reproduciendo patrones de discriminación. Además, la sanción de privación de la libertad es un castigo que casi no aparece en el repertorio de la justicia indígena, por lo que en su jurisprudencia el </w:t>
      </w:r>
      <w:r w:rsidR="00522056">
        <w:t>Subcomité</w:t>
      </w:r>
      <w:r w:rsidR="00651F7A" w:rsidRPr="000D732F">
        <w:t xml:space="preserve"> afirmó que “para muchas personas indígenas la privación de la libertad en cárceles constituye un trato cruel, inhumano y degradante”</w:t>
      </w:r>
      <w:r w:rsidR="00651F7A" w:rsidRPr="0098110E">
        <w:rPr>
          <w:sz w:val="18"/>
          <w:szCs w:val="18"/>
          <w:vertAlign w:val="superscript"/>
        </w:rPr>
        <w:footnoteReference w:id="30"/>
      </w:r>
      <w:r w:rsidR="00EA6784">
        <w:t>.</w:t>
      </w:r>
      <w:r w:rsidR="00651F7A" w:rsidRPr="007A61CB">
        <w:rPr>
          <w:vertAlign w:val="superscript"/>
        </w:rPr>
        <w:t xml:space="preserve"> </w:t>
      </w:r>
    </w:p>
    <w:p w14:paraId="209954A6" w14:textId="559BF9E9" w:rsidR="00651F7A" w:rsidRPr="000D732F" w:rsidRDefault="00AB5AA5" w:rsidP="000D732F">
      <w:pPr>
        <w:pStyle w:val="SingleTxtG"/>
      </w:pPr>
      <w:r>
        <w:t>1</w:t>
      </w:r>
      <w:r w:rsidR="00F8360C">
        <w:t>09</w:t>
      </w:r>
      <w:r w:rsidR="000D732F">
        <w:t>.</w:t>
      </w:r>
      <w:r w:rsidR="000D732F">
        <w:tab/>
      </w:r>
      <w:r w:rsidR="00651F7A" w:rsidRPr="000D732F">
        <w:t xml:space="preserve">El </w:t>
      </w:r>
      <w:r w:rsidR="00522056">
        <w:t>Subcomité</w:t>
      </w:r>
      <w:r w:rsidR="00651F7A" w:rsidRPr="000D732F">
        <w:t xml:space="preserve"> está preocupado por los relatos del uso excesivo de la fuerza y alegaciones de tortura en el contexto de la protesta social, por </w:t>
      </w:r>
      <w:r w:rsidR="00704018" w:rsidRPr="000D732F">
        <w:t>ejemplo,</w:t>
      </w:r>
      <w:r w:rsidR="00651F7A" w:rsidRPr="000D732F">
        <w:t xml:space="preserve"> en relación con la marcha indígena en defensa de</w:t>
      </w:r>
      <w:r w:rsidR="00AA07A2">
        <w:t>l</w:t>
      </w:r>
      <w:r w:rsidR="00651F7A" w:rsidRPr="000D732F">
        <w:t xml:space="preserve"> </w:t>
      </w:r>
      <w:r w:rsidR="00AA07A2" w:rsidRPr="00815B60">
        <w:t>Territorio Indígena y Parque Nacional Isiboro-Secure</w:t>
      </w:r>
      <w:r w:rsidR="00AA07A2">
        <w:t xml:space="preserve"> </w:t>
      </w:r>
      <w:r w:rsidR="00651F7A" w:rsidRPr="000D732F">
        <w:t xml:space="preserve">en septiembre de 2011. Le preocupa al </w:t>
      </w:r>
      <w:r w:rsidR="00522056">
        <w:t>Subcomité</w:t>
      </w:r>
      <w:r w:rsidR="00651F7A" w:rsidRPr="000D732F">
        <w:t xml:space="preserve"> que la investigación del Ministerio Público de las violaciones de derechos humanos, inclusive tortura, aún se encuentra en etapa de investigación. </w:t>
      </w:r>
    </w:p>
    <w:p w14:paraId="209954A7" w14:textId="1D3DCF1C" w:rsidR="00651F7A" w:rsidRDefault="00AB5AA5" w:rsidP="00651F7A">
      <w:pPr>
        <w:pStyle w:val="SingleTxtG"/>
        <w:rPr>
          <w:b/>
          <w:lang w:val="es-AR"/>
        </w:rPr>
      </w:pPr>
      <w:r w:rsidRPr="0098110E">
        <w:rPr>
          <w:lang w:val="es-AR"/>
        </w:rPr>
        <w:t>11</w:t>
      </w:r>
      <w:r w:rsidR="00F8360C" w:rsidRPr="0098110E">
        <w:rPr>
          <w:lang w:val="es-AR"/>
        </w:rPr>
        <w:t>0</w:t>
      </w:r>
      <w:r w:rsidR="000D732F" w:rsidRPr="0098110E">
        <w:rPr>
          <w:lang w:val="es-AR"/>
        </w:rPr>
        <w:t>.</w:t>
      </w:r>
      <w:r w:rsidR="000D732F">
        <w:rPr>
          <w:b/>
          <w:lang w:val="es-AR"/>
        </w:rPr>
        <w:tab/>
      </w:r>
      <w:r w:rsidR="00651F7A" w:rsidRPr="00432C57">
        <w:rPr>
          <w:b/>
          <w:lang w:val="es-AR"/>
        </w:rPr>
        <w:t xml:space="preserve">El </w:t>
      </w:r>
      <w:r w:rsidR="00651F7A">
        <w:rPr>
          <w:b/>
          <w:lang w:val="es-AR"/>
        </w:rPr>
        <w:t>Subc</w:t>
      </w:r>
      <w:r w:rsidR="00651F7A" w:rsidRPr="00432C57">
        <w:rPr>
          <w:b/>
          <w:lang w:val="es-AR"/>
        </w:rPr>
        <w:t xml:space="preserve">omité exhorta al Estado parte a </w:t>
      </w:r>
      <w:r w:rsidR="00651F7A">
        <w:rPr>
          <w:b/>
          <w:lang w:val="es-AR"/>
        </w:rPr>
        <w:t>acelerar la aplicación debida de la justicia indígena a fin de descongestionar el sistema penitenciario y judicial y garantizar el acceso efectivo a la justicia para todos los bolivianos, así como fortalecer el sistema de justicia plural, de acuerdo la Constitución Política de</w:t>
      </w:r>
      <w:r w:rsidR="00AA07A2">
        <w:rPr>
          <w:b/>
          <w:lang w:val="es-AR"/>
        </w:rPr>
        <w:t>l</w:t>
      </w:r>
      <w:r w:rsidR="00651F7A">
        <w:rPr>
          <w:b/>
          <w:lang w:val="es-AR"/>
        </w:rPr>
        <w:t xml:space="preserve"> Estado. </w:t>
      </w:r>
    </w:p>
    <w:p w14:paraId="209954A8" w14:textId="5BCF37FC" w:rsidR="00651F7A" w:rsidRDefault="00AB5AA5" w:rsidP="00651F7A">
      <w:pPr>
        <w:pStyle w:val="SingleTxtG"/>
        <w:rPr>
          <w:b/>
          <w:lang w:val="es-AR"/>
        </w:rPr>
      </w:pPr>
      <w:r w:rsidRPr="0098110E">
        <w:rPr>
          <w:lang w:val="es-AR"/>
        </w:rPr>
        <w:t>11</w:t>
      </w:r>
      <w:r w:rsidR="00F8360C" w:rsidRPr="0098110E">
        <w:rPr>
          <w:lang w:val="es-AR"/>
        </w:rPr>
        <w:t>1</w:t>
      </w:r>
      <w:r w:rsidR="000D732F" w:rsidRPr="0098110E">
        <w:rPr>
          <w:lang w:val="es-AR"/>
        </w:rPr>
        <w:t>.</w:t>
      </w:r>
      <w:r w:rsidR="000D732F">
        <w:rPr>
          <w:b/>
          <w:lang w:val="es-AR"/>
        </w:rPr>
        <w:tab/>
      </w:r>
      <w:r w:rsidR="00651F7A">
        <w:rPr>
          <w:b/>
          <w:lang w:val="es-AR"/>
        </w:rPr>
        <w:t>El Subcomité recomienda al Estado parte</w:t>
      </w:r>
      <w:r w:rsidR="00AA07A2">
        <w:rPr>
          <w:b/>
          <w:lang w:val="es-AR"/>
        </w:rPr>
        <w:t>:</w:t>
      </w:r>
      <w:r w:rsidR="00651F7A">
        <w:rPr>
          <w:b/>
          <w:lang w:val="es-AR"/>
        </w:rPr>
        <w:t xml:space="preserve"> </w:t>
      </w:r>
    </w:p>
    <w:p w14:paraId="209954A9" w14:textId="6AB0C4E8" w:rsidR="00651F7A" w:rsidRDefault="007B3905" w:rsidP="00651F7A">
      <w:pPr>
        <w:pStyle w:val="SingleTxtG"/>
        <w:rPr>
          <w:b/>
          <w:lang w:val="es-AR"/>
        </w:rPr>
      </w:pPr>
      <w:r>
        <w:rPr>
          <w:b/>
          <w:lang w:val="es-AR"/>
        </w:rPr>
        <w:tab/>
      </w:r>
      <w:r w:rsidR="000D732F">
        <w:rPr>
          <w:b/>
          <w:lang w:val="es-AR"/>
        </w:rPr>
        <w:tab/>
        <w:t>a</w:t>
      </w:r>
      <w:r w:rsidR="00651F7A">
        <w:rPr>
          <w:b/>
          <w:lang w:val="es-AR"/>
        </w:rPr>
        <w:t>)</w:t>
      </w:r>
      <w:r w:rsidR="000D732F">
        <w:rPr>
          <w:b/>
          <w:lang w:val="es-AR"/>
        </w:rPr>
        <w:tab/>
      </w:r>
      <w:r w:rsidR="00AA07A2">
        <w:rPr>
          <w:b/>
          <w:lang w:val="es-AR"/>
        </w:rPr>
        <w:t>G</w:t>
      </w:r>
      <w:r w:rsidR="00651F7A">
        <w:rPr>
          <w:b/>
          <w:lang w:val="es-AR"/>
        </w:rPr>
        <w:t xml:space="preserve">arantizar el respeto de las garantías procesales, en particular </w:t>
      </w:r>
      <w:r w:rsidR="00246991">
        <w:rPr>
          <w:b/>
          <w:lang w:val="es-AR"/>
        </w:rPr>
        <w:t xml:space="preserve">el </w:t>
      </w:r>
      <w:r w:rsidR="00651F7A">
        <w:rPr>
          <w:b/>
          <w:lang w:val="es-AR"/>
        </w:rPr>
        <w:t xml:space="preserve">derecho de las personas indígenas a la defensa e </w:t>
      </w:r>
      <w:r w:rsidR="00651F7A" w:rsidRPr="00365A3B">
        <w:rPr>
          <w:b/>
          <w:lang w:val="es-AR"/>
        </w:rPr>
        <w:t>información sobre detención y</w:t>
      </w:r>
      <w:r w:rsidR="00651F7A">
        <w:rPr>
          <w:b/>
          <w:lang w:val="es-AR"/>
        </w:rPr>
        <w:t xml:space="preserve"> </w:t>
      </w:r>
      <w:r w:rsidR="00651F7A" w:rsidRPr="00365A3B">
        <w:rPr>
          <w:b/>
          <w:lang w:val="es-AR"/>
        </w:rPr>
        <w:t>derechos en su idioma</w:t>
      </w:r>
      <w:r w:rsidR="00651F7A">
        <w:rPr>
          <w:b/>
          <w:lang w:val="es-AR"/>
        </w:rPr>
        <w:t>;</w:t>
      </w:r>
    </w:p>
    <w:p w14:paraId="209954AA" w14:textId="0471796A" w:rsidR="00651F7A" w:rsidRDefault="007B3905" w:rsidP="00651F7A">
      <w:pPr>
        <w:pStyle w:val="SingleTxtG"/>
        <w:rPr>
          <w:b/>
          <w:lang w:val="es-AR"/>
        </w:rPr>
      </w:pPr>
      <w:r>
        <w:rPr>
          <w:b/>
          <w:lang w:val="es-AR"/>
        </w:rPr>
        <w:tab/>
      </w:r>
      <w:r w:rsidR="000D732F">
        <w:rPr>
          <w:b/>
          <w:lang w:val="es-AR"/>
        </w:rPr>
        <w:tab/>
        <w:t>b</w:t>
      </w:r>
      <w:r w:rsidR="00651F7A">
        <w:rPr>
          <w:b/>
          <w:lang w:val="es-AR"/>
        </w:rPr>
        <w:t>)</w:t>
      </w:r>
      <w:r w:rsidR="003F48E6">
        <w:rPr>
          <w:b/>
          <w:lang w:val="es-AR"/>
        </w:rPr>
        <w:tab/>
      </w:r>
      <w:r w:rsidR="00AA07A2">
        <w:rPr>
          <w:b/>
          <w:lang w:val="es-AR"/>
        </w:rPr>
        <w:t>T</w:t>
      </w:r>
      <w:r w:rsidR="00651F7A">
        <w:rPr>
          <w:b/>
          <w:lang w:val="es-AR"/>
        </w:rPr>
        <w:t>ener en cuenta la cultura, situación patrimonial y laboral de las personas indígenas a la hora de dictar una medida cautelar;</w:t>
      </w:r>
    </w:p>
    <w:p w14:paraId="209954AB" w14:textId="3F645D18" w:rsidR="00651F7A" w:rsidRPr="000D732F" w:rsidRDefault="007B3905" w:rsidP="00651F7A">
      <w:pPr>
        <w:pStyle w:val="SingleTxtG"/>
        <w:rPr>
          <w:b/>
          <w:lang w:val="es-AR"/>
        </w:rPr>
      </w:pPr>
      <w:r>
        <w:rPr>
          <w:b/>
          <w:lang w:val="es-AR"/>
        </w:rPr>
        <w:tab/>
      </w:r>
      <w:r w:rsidR="000D732F">
        <w:rPr>
          <w:b/>
          <w:lang w:val="es-AR"/>
        </w:rPr>
        <w:tab/>
        <w:t>c</w:t>
      </w:r>
      <w:r w:rsidR="00651F7A">
        <w:rPr>
          <w:b/>
          <w:lang w:val="es-AR"/>
        </w:rPr>
        <w:t>)</w:t>
      </w:r>
      <w:r w:rsidR="003F48E6">
        <w:rPr>
          <w:b/>
          <w:lang w:val="es-AR"/>
        </w:rPr>
        <w:tab/>
      </w:r>
      <w:r w:rsidR="00AA07A2">
        <w:rPr>
          <w:b/>
          <w:lang w:val="es-AR"/>
        </w:rPr>
        <w:t>R</w:t>
      </w:r>
      <w:r w:rsidR="00651F7A">
        <w:rPr>
          <w:b/>
          <w:lang w:val="es-AR"/>
        </w:rPr>
        <w:t>ealizar</w:t>
      </w:r>
      <w:r w:rsidR="00651F7A" w:rsidRPr="0093309B">
        <w:rPr>
          <w:b/>
          <w:lang w:val="es-AR"/>
        </w:rPr>
        <w:t xml:space="preserve"> una investigación independiente e imparcial </w:t>
      </w:r>
      <w:r w:rsidR="00651F7A">
        <w:rPr>
          <w:b/>
          <w:lang w:val="es-AR"/>
        </w:rPr>
        <w:t xml:space="preserve">sobre alegaciones de tortura en el contexto de protestas sociales </w:t>
      </w:r>
      <w:r w:rsidR="00651F7A" w:rsidRPr="0093309B">
        <w:rPr>
          <w:b/>
          <w:lang w:val="es-AR"/>
        </w:rPr>
        <w:t>y prote</w:t>
      </w:r>
      <w:r w:rsidR="00651F7A">
        <w:rPr>
          <w:b/>
          <w:lang w:val="es-AR"/>
        </w:rPr>
        <w:t>ger</w:t>
      </w:r>
      <w:r w:rsidR="00651F7A" w:rsidRPr="0093309B">
        <w:rPr>
          <w:b/>
          <w:lang w:val="es-AR"/>
        </w:rPr>
        <w:t xml:space="preserve"> a los testigos y víctimas</w:t>
      </w:r>
      <w:r w:rsidR="000D732F">
        <w:rPr>
          <w:b/>
          <w:lang w:val="es-AR"/>
        </w:rPr>
        <w:t>.</w:t>
      </w:r>
    </w:p>
    <w:p w14:paraId="209954AC" w14:textId="77777777" w:rsidR="00651F7A" w:rsidRPr="00A8473B" w:rsidRDefault="00B15AFE" w:rsidP="000D732F">
      <w:pPr>
        <w:pStyle w:val="H1G"/>
      </w:pPr>
      <w:r>
        <w:lastRenderedPageBreak/>
        <w:tab/>
        <w:t>B.</w:t>
      </w:r>
      <w:r>
        <w:tab/>
      </w:r>
      <w:r w:rsidR="00651F7A" w:rsidRPr="00A8473B">
        <w:t>Mujeres</w:t>
      </w:r>
    </w:p>
    <w:p w14:paraId="209954AD" w14:textId="24271B7C" w:rsidR="00651F7A" w:rsidRDefault="00B15AFE" w:rsidP="00651F7A">
      <w:pPr>
        <w:pStyle w:val="SingleTxtG"/>
      </w:pPr>
      <w:r>
        <w:t>1</w:t>
      </w:r>
      <w:r w:rsidR="00AB5AA5">
        <w:t>1</w:t>
      </w:r>
      <w:r w:rsidR="00F8360C">
        <w:t>2</w:t>
      </w:r>
      <w:r w:rsidR="00651F7A">
        <w:t>.</w:t>
      </w:r>
      <w:r w:rsidR="003F48E6">
        <w:tab/>
      </w:r>
      <w:r w:rsidR="00651F7A">
        <w:t xml:space="preserve">El </w:t>
      </w:r>
      <w:r w:rsidR="00522056">
        <w:t>Subcomité</w:t>
      </w:r>
      <w:r w:rsidR="00651F7A">
        <w:t xml:space="preserve"> visitó la prisión de mujeres de Trinidad (Bení), San Sebastián de mujeres (Cochabamba) y los sectores de mujeres en las cárceles de Palmasola (Santa Cruz) y San Roque (Sucre). El </w:t>
      </w:r>
      <w:r w:rsidR="00522056">
        <w:t>Subcomité</w:t>
      </w:r>
      <w:r w:rsidR="00651F7A">
        <w:t xml:space="preserve"> recibió alegaciones de maltrato físico en el momento de la detención policial. El </w:t>
      </w:r>
      <w:r w:rsidR="00522056">
        <w:t>Subcomité</w:t>
      </w:r>
      <w:r w:rsidR="00651F7A">
        <w:t xml:space="preserve"> lamenta la falta del examen médico en la admisión, lo que no permite documentar e investigar abusos físicos ocurridos antes del ingreso de la mujer en un centro penitenciario.</w:t>
      </w:r>
    </w:p>
    <w:p w14:paraId="209954AE" w14:textId="01557B68" w:rsidR="00651F7A" w:rsidRDefault="00B15AFE" w:rsidP="00651F7A">
      <w:pPr>
        <w:pStyle w:val="SingleTxtG"/>
      </w:pPr>
      <w:r>
        <w:t>1</w:t>
      </w:r>
      <w:r w:rsidR="00AB5AA5">
        <w:t>1</w:t>
      </w:r>
      <w:r w:rsidR="00F8360C">
        <w:t>3</w:t>
      </w:r>
      <w:r w:rsidR="00651F7A">
        <w:t>.</w:t>
      </w:r>
      <w:r w:rsidR="003F48E6">
        <w:tab/>
      </w:r>
      <w:r w:rsidR="00651F7A">
        <w:t xml:space="preserve">El </w:t>
      </w:r>
      <w:r w:rsidR="00522056">
        <w:t>Subcomité</w:t>
      </w:r>
      <w:r w:rsidR="00651F7A">
        <w:t xml:space="preserve"> está preocupado sobre:</w:t>
      </w:r>
    </w:p>
    <w:p w14:paraId="209954AF" w14:textId="5EBC008B" w:rsidR="00651F7A" w:rsidRDefault="00B15AFE" w:rsidP="00651F7A">
      <w:pPr>
        <w:pStyle w:val="SingleTxtG"/>
      </w:pPr>
      <w:r>
        <w:tab/>
      </w:r>
      <w:r w:rsidR="007B3905">
        <w:tab/>
      </w:r>
      <w:r w:rsidR="00651F7A">
        <w:t>a)</w:t>
      </w:r>
      <w:r>
        <w:tab/>
      </w:r>
      <w:r w:rsidR="00BA01F4">
        <w:t>L</w:t>
      </w:r>
      <w:r w:rsidR="00651F7A">
        <w:t xml:space="preserve">os efectos desproporcionados de la aplicación de la Ley </w:t>
      </w:r>
      <w:r w:rsidR="003F48E6">
        <w:t xml:space="preserve">núm. </w:t>
      </w:r>
      <w:r w:rsidR="00651F7A">
        <w:t xml:space="preserve">1008 que es la que más comúnmente se imputa a las mujeres. El </w:t>
      </w:r>
      <w:r w:rsidR="00522056">
        <w:t>Subcomité</w:t>
      </w:r>
      <w:r w:rsidR="00651F7A">
        <w:t xml:space="preserve"> fue informado que las cifras de mujeres privadas de libertad se han multiplicado en los últimos años</w:t>
      </w:r>
      <w:r w:rsidR="0089070F">
        <w:t>;</w:t>
      </w:r>
      <w:r w:rsidR="00651F7A">
        <w:t xml:space="preserve"> </w:t>
      </w:r>
    </w:p>
    <w:p w14:paraId="209954B0" w14:textId="1464CA8C" w:rsidR="00651F7A" w:rsidRDefault="007B3905" w:rsidP="00651F7A">
      <w:pPr>
        <w:pStyle w:val="SingleTxtG"/>
      </w:pPr>
      <w:r>
        <w:tab/>
      </w:r>
      <w:r w:rsidR="00B15AFE">
        <w:tab/>
      </w:r>
      <w:r w:rsidR="00651F7A">
        <w:t>b)</w:t>
      </w:r>
      <w:r w:rsidR="003F48E6">
        <w:tab/>
      </w:r>
      <w:r w:rsidR="0089070F">
        <w:t>L</w:t>
      </w:r>
      <w:r w:rsidR="00651F7A">
        <w:t xml:space="preserve">as consecuencias de la detención preventiva, que afecta a las mujeres de manera desproporcionada, ya que tiene un grave impacto psicológico para las madres con hijos a su cargo. El </w:t>
      </w:r>
      <w:r w:rsidR="00522056">
        <w:t>Subcomité</w:t>
      </w:r>
      <w:r w:rsidR="00651F7A">
        <w:t xml:space="preserve"> fue informado que en La Paz </w:t>
      </w:r>
      <w:r w:rsidR="00D8701F">
        <w:t xml:space="preserve">el </w:t>
      </w:r>
      <w:r w:rsidR="00651F7A">
        <w:t>78</w:t>
      </w:r>
      <w:r w:rsidR="00D8701F">
        <w:t>,</w:t>
      </w:r>
      <w:r w:rsidR="00651F7A">
        <w:t>2% de las mujeres privadas de libertad están detenidas preventivamente, porcentaje significativamente mayor al de varones (70%)</w:t>
      </w:r>
      <w:r w:rsidR="0089070F">
        <w:t>;</w:t>
      </w:r>
      <w:r w:rsidR="00651F7A">
        <w:t xml:space="preserve"> </w:t>
      </w:r>
    </w:p>
    <w:p w14:paraId="209954B1" w14:textId="1C81F5F9" w:rsidR="00651F7A" w:rsidRDefault="00B15AFE" w:rsidP="00651F7A">
      <w:pPr>
        <w:pStyle w:val="SingleTxtG"/>
      </w:pPr>
      <w:r>
        <w:tab/>
      </w:r>
      <w:r w:rsidR="007B3905">
        <w:tab/>
      </w:r>
      <w:r w:rsidR="00651F7A">
        <w:t>c)</w:t>
      </w:r>
      <w:r w:rsidR="003F48E6">
        <w:tab/>
      </w:r>
      <w:r w:rsidR="0080220C">
        <w:t>L</w:t>
      </w:r>
      <w:r w:rsidR="00651F7A">
        <w:t>os registros penitenciarios no contienen información sobre mujeres madres privadas de libertad</w:t>
      </w:r>
      <w:r w:rsidR="008B2C2C">
        <w:t>,</w:t>
      </w:r>
      <w:r w:rsidR="00651F7A">
        <w:t xml:space="preserve"> niños que viven con sus madres en los recintos penitenciarios</w:t>
      </w:r>
      <w:r w:rsidR="008B2C2C">
        <w:t>,</w:t>
      </w:r>
      <w:r w:rsidR="00651F7A">
        <w:t xml:space="preserve"> </w:t>
      </w:r>
      <w:r w:rsidR="0080220C">
        <w:t xml:space="preserve">o </w:t>
      </w:r>
      <w:r w:rsidR="00651F7A">
        <w:t>mujeres privadas de libertad embarazadas o con niños lactantes</w:t>
      </w:r>
      <w:r w:rsidR="008B2C2C">
        <w:t>,</w:t>
      </w:r>
      <w:r w:rsidR="00651F7A">
        <w:t xml:space="preserve"> </w:t>
      </w:r>
      <w:r w:rsidR="0080220C">
        <w:t>entre otros;</w:t>
      </w:r>
      <w:r w:rsidR="00651F7A">
        <w:t xml:space="preserve"> </w:t>
      </w:r>
    </w:p>
    <w:p w14:paraId="209954B2" w14:textId="066E4B2C" w:rsidR="00651F7A" w:rsidRDefault="007B3905" w:rsidP="00651F7A">
      <w:pPr>
        <w:pStyle w:val="SingleTxtG"/>
      </w:pPr>
      <w:r>
        <w:tab/>
      </w:r>
      <w:r w:rsidR="00B15AFE">
        <w:tab/>
      </w:r>
      <w:r w:rsidR="00651F7A">
        <w:t>d)</w:t>
      </w:r>
      <w:r w:rsidR="00B15AFE">
        <w:tab/>
      </w:r>
      <w:r w:rsidR="0080220C">
        <w:t>E</w:t>
      </w:r>
      <w:r w:rsidR="00651F7A">
        <w:t>l régimen de encierro nocturno, inclusive para mujeres con niños menores en la cárcel de mujeres de Trinidad, sin acceso al baño o salida en caso de emergencias</w:t>
      </w:r>
      <w:r w:rsidR="0080220C">
        <w:t>;</w:t>
      </w:r>
      <w:r w:rsidR="00651F7A">
        <w:t xml:space="preserve"> </w:t>
      </w:r>
    </w:p>
    <w:p w14:paraId="209954B3" w14:textId="4A5839A0" w:rsidR="00651F7A" w:rsidRDefault="007B3905" w:rsidP="00651F7A">
      <w:pPr>
        <w:pStyle w:val="SingleTxtG"/>
      </w:pPr>
      <w:r>
        <w:tab/>
      </w:r>
      <w:r w:rsidR="00B15AFE">
        <w:tab/>
      </w:r>
      <w:r w:rsidR="00651F7A">
        <w:t>e)</w:t>
      </w:r>
      <w:r w:rsidR="00B15AFE">
        <w:tab/>
      </w:r>
      <w:r w:rsidR="0080220C">
        <w:t>L</w:t>
      </w:r>
      <w:r w:rsidR="00651F7A">
        <w:t xml:space="preserve">a falta de asistencia ginecológica, principalmente en caso de mujeres embarazadas, así como la falta de productos de higiene femenina, que las mujeres tenían que comprar por su propia cuenta o esperar la caridad de otras detenidas. </w:t>
      </w:r>
    </w:p>
    <w:p w14:paraId="209954B4" w14:textId="07B256C2" w:rsidR="00651F7A" w:rsidRPr="00670897" w:rsidRDefault="00B15AFE" w:rsidP="00651F7A">
      <w:pPr>
        <w:pStyle w:val="SingleTxtG"/>
        <w:rPr>
          <w:b/>
        </w:rPr>
      </w:pPr>
      <w:r w:rsidRPr="0098110E">
        <w:t>1</w:t>
      </w:r>
      <w:r w:rsidR="00AB5AA5" w:rsidRPr="0098110E">
        <w:t>1</w:t>
      </w:r>
      <w:r w:rsidR="00F8360C" w:rsidRPr="0098110E">
        <w:t>4</w:t>
      </w:r>
      <w:r w:rsidR="00651F7A" w:rsidRPr="0098110E">
        <w:t>.</w:t>
      </w:r>
      <w:r w:rsidR="003F48E6">
        <w:rPr>
          <w:b/>
        </w:rPr>
        <w:tab/>
      </w:r>
      <w:r w:rsidR="00651F7A" w:rsidRPr="00670897">
        <w:rPr>
          <w:b/>
        </w:rPr>
        <w:t xml:space="preserve">El </w:t>
      </w:r>
      <w:r w:rsidR="00522056">
        <w:rPr>
          <w:b/>
        </w:rPr>
        <w:t>Subcomité</w:t>
      </w:r>
      <w:r w:rsidR="00651F7A" w:rsidRPr="00670897">
        <w:rPr>
          <w:b/>
        </w:rPr>
        <w:t xml:space="preserve"> reitera su recomendación del informe de 2010, relativa a la incorporación de una perspectiva de género a los programas y políticas de la </w:t>
      </w:r>
      <w:r w:rsidR="0080220C">
        <w:rPr>
          <w:b/>
        </w:rPr>
        <w:t>Dirección General de Régimen Penitenciario</w:t>
      </w:r>
      <w:r w:rsidR="00651F7A" w:rsidRPr="00670897">
        <w:rPr>
          <w:b/>
        </w:rPr>
        <w:t xml:space="preserve">. </w:t>
      </w:r>
    </w:p>
    <w:p w14:paraId="209954B5" w14:textId="0C4A6BDE" w:rsidR="00651F7A" w:rsidRPr="00670897" w:rsidRDefault="00B15AFE" w:rsidP="00651F7A">
      <w:pPr>
        <w:pStyle w:val="SingleTxtG"/>
        <w:rPr>
          <w:b/>
        </w:rPr>
      </w:pPr>
      <w:r w:rsidRPr="0098110E">
        <w:t>1</w:t>
      </w:r>
      <w:r w:rsidR="00AB5AA5" w:rsidRPr="0098110E">
        <w:t>1</w:t>
      </w:r>
      <w:r w:rsidR="00F8360C" w:rsidRPr="0098110E">
        <w:t>5</w:t>
      </w:r>
      <w:r w:rsidRPr="0098110E">
        <w:t>.</w:t>
      </w:r>
      <w:r w:rsidR="003F48E6">
        <w:rPr>
          <w:b/>
        </w:rPr>
        <w:tab/>
      </w:r>
      <w:r w:rsidR="00651F7A" w:rsidRPr="00670897">
        <w:rPr>
          <w:b/>
        </w:rPr>
        <w:t xml:space="preserve">El </w:t>
      </w:r>
      <w:r w:rsidR="00522056">
        <w:rPr>
          <w:b/>
        </w:rPr>
        <w:t>Subcomité</w:t>
      </w:r>
      <w:r w:rsidR="00651F7A" w:rsidRPr="00670897">
        <w:rPr>
          <w:b/>
        </w:rPr>
        <w:t xml:space="preserve"> recuerda la </w:t>
      </w:r>
      <w:r w:rsidR="00604F7D">
        <w:rPr>
          <w:b/>
        </w:rPr>
        <w:t>r</w:t>
      </w:r>
      <w:r w:rsidR="00651F7A" w:rsidRPr="00670897">
        <w:rPr>
          <w:b/>
        </w:rPr>
        <w:t xml:space="preserve">egla 58 de </w:t>
      </w:r>
      <w:r w:rsidR="00AB0814">
        <w:rPr>
          <w:b/>
        </w:rPr>
        <w:t xml:space="preserve">las </w:t>
      </w:r>
      <w:r w:rsidR="00AB0814" w:rsidRPr="00815B60">
        <w:rPr>
          <w:b/>
        </w:rPr>
        <w:t>Reglas de las Naciones Unidas para el Tratamiento de las Reclusas y Medidas No Privativas de la Libertad para las Mujeres Delincuentes (Reglas de Bangkok)</w:t>
      </w:r>
      <w:r w:rsidR="00AB0814" w:rsidRPr="00AB0814">
        <w:rPr>
          <w:rFonts w:ascii="Helvetica" w:hAnsi="Helvetica" w:cs="Helvetica"/>
          <w:color w:val="333333"/>
          <w:sz w:val="21"/>
          <w:szCs w:val="21"/>
        </w:rPr>
        <w:t xml:space="preserve"> </w:t>
      </w:r>
      <w:r w:rsidR="00651F7A" w:rsidRPr="00670897">
        <w:rPr>
          <w:b/>
        </w:rPr>
        <w:t xml:space="preserve">sobre medidas alternativas a la prisión preventiva y condena de mujeres. El </w:t>
      </w:r>
      <w:r w:rsidR="00522056">
        <w:rPr>
          <w:b/>
        </w:rPr>
        <w:t>Subcomité</w:t>
      </w:r>
      <w:r w:rsidR="00651F7A" w:rsidRPr="00670897">
        <w:rPr>
          <w:b/>
        </w:rPr>
        <w:t xml:space="preserve"> recomienda que el Estado parte</w:t>
      </w:r>
      <w:r w:rsidR="001F45D3">
        <w:rPr>
          <w:b/>
        </w:rPr>
        <w:t>:</w:t>
      </w:r>
    </w:p>
    <w:p w14:paraId="209954B6" w14:textId="45E3760F" w:rsidR="00651F7A" w:rsidRPr="00670897" w:rsidRDefault="007B3905" w:rsidP="00651F7A">
      <w:pPr>
        <w:pStyle w:val="SingleTxtG"/>
        <w:rPr>
          <w:b/>
        </w:rPr>
      </w:pPr>
      <w:r>
        <w:rPr>
          <w:b/>
        </w:rPr>
        <w:tab/>
      </w:r>
      <w:r w:rsidR="00B15AFE">
        <w:rPr>
          <w:b/>
        </w:rPr>
        <w:tab/>
      </w:r>
      <w:r w:rsidR="00651F7A" w:rsidRPr="00670897">
        <w:rPr>
          <w:b/>
        </w:rPr>
        <w:t>a)</w:t>
      </w:r>
      <w:r w:rsidR="00B15AFE">
        <w:rPr>
          <w:b/>
        </w:rPr>
        <w:tab/>
      </w:r>
      <w:r w:rsidR="00442CD9">
        <w:rPr>
          <w:b/>
        </w:rPr>
        <w:t>T</w:t>
      </w:r>
      <w:r w:rsidR="00651F7A" w:rsidRPr="00670897">
        <w:rPr>
          <w:b/>
        </w:rPr>
        <w:t xml:space="preserve">ome en cuenta </w:t>
      </w:r>
      <w:r w:rsidR="007A0A58">
        <w:rPr>
          <w:b/>
        </w:rPr>
        <w:t xml:space="preserve">los </w:t>
      </w:r>
      <w:r w:rsidR="00651F7A" w:rsidRPr="00670897">
        <w:rPr>
          <w:b/>
        </w:rPr>
        <w:t xml:space="preserve">riesgos elevados de vulnerabilidad de </w:t>
      </w:r>
      <w:r w:rsidR="00452750">
        <w:rPr>
          <w:b/>
        </w:rPr>
        <w:t xml:space="preserve">las </w:t>
      </w:r>
      <w:r w:rsidR="00651F7A" w:rsidRPr="00670897">
        <w:rPr>
          <w:b/>
        </w:rPr>
        <w:t xml:space="preserve">mujeres y el principio del interés superior del niño y aplique ampliamente las penas alternativas a la privación de libertad, en consonancia con las </w:t>
      </w:r>
      <w:r w:rsidR="00A03576" w:rsidRPr="00815B60">
        <w:rPr>
          <w:b/>
        </w:rPr>
        <w:t xml:space="preserve">Reglas Mínimas de las Naciones Unidas sobre las Medidas No Privativas de la Libertad (Reglas de Tokio) </w:t>
      </w:r>
      <w:r w:rsidR="00651F7A" w:rsidRPr="00670897">
        <w:rPr>
          <w:b/>
        </w:rPr>
        <w:t xml:space="preserve">y las Reglas de Bangkok, inclusive para los delitos relacionados con la Ley </w:t>
      </w:r>
      <w:r w:rsidR="003F48E6">
        <w:rPr>
          <w:b/>
        </w:rPr>
        <w:t xml:space="preserve">núm. </w:t>
      </w:r>
      <w:r w:rsidR="00651F7A" w:rsidRPr="00670897">
        <w:rPr>
          <w:b/>
        </w:rPr>
        <w:t>1008;</w:t>
      </w:r>
      <w:r w:rsidR="00651F7A">
        <w:rPr>
          <w:b/>
        </w:rPr>
        <w:t xml:space="preserve"> </w:t>
      </w:r>
    </w:p>
    <w:p w14:paraId="209954B7" w14:textId="2EAD3B9E" w:rsidR="00651F7A" w:rsidRPr="00670897" w:rsidRDefault="007B3905" w:rsidP="00651F7A">
      <w:pPr>
        <w:pStyle w:val="SingleTxtG"/>
        <w:rPr>
          <w:b/>
        </w:rPr>
      </w:pPr>
      <w:r>
        <w:rPr>
          <w:b/>
        </w:rPr>
        <w:tab/>
      </w:r>
      <w:r w:rsidR="00B15AFE">
        <w:rPr>
          <w:b/>
        </w:rPr>
        <w:tab/>
      </w:r>
      <w:r w:rsidR="00651F7A" w:rsidRPr="00670897">
        <w:rPr>
          <w:b/>
        </w:rPr>
        <w:t>b)</w:t>
      </w:r>
      <w:r w:rsidR="00B15AFE">
        <w:rPr>
          <w:b/>
        </w:rPr>
        <w:tab/>
      </w:r>
      <w:r w:rsidR="00442CD9">
        <w:rPr>
          <w:b/>
        </w:rPr>
        <w:t>M</w:t>
      </w:r>
      <w:r w:rsidR="00651F7A" w:rsidRPr="00670897">
        <w:rPr>
          <w:b/>
        </w:rPr>
        <w:t>ejore los registros de la información sobre grupos en situación de vulnerabilidad, inclusive mujeres;</w:t>
      </w:r>
      <w:r w:rsidR="00651F7A">
        <w:rPr>
          <w:b/>
        </w:rPr>
        <w:t xml:space="preserve"> </w:t>
      </w:r>
    </w:p>
    <w:p w14:paraId="209954B8" w14:textId="2814B0F4" w:rsidR="00651F7A" w:rsidRPr="00B15AFE" w:rsidRDefault="00B15AFE" w:rsidP="00651F7A">
      <w:pPr>
        <w:pStyle w:val="SingleTxtG"/>
        <w:rPr>
          <w:b/>
        </w:rPr>
      </w:pPr>
      <w:r>
        <w:rPr>
          <w:b/>
        </w:rPr>
        <w:tab/>
      </w:r>
      <w:r w:rsidR="007B3905">
        <w:rPr>
          <w:b/>
        </w:rPr>
        <w:tab/>
      </w:r>
      <w:r>
        <w:rPr>
          <w:b/>
        </w:rPr>
        <w:t>c</w:t>
      </w:r>
      <w:r w:rsidR="00651F7A" w:rsidRPr="00670897">
        <w:rPr>
          <w:b/>
        </w:rPr>
        <w:t>)</w:t>
      </w:r>
      <w:r>
        <w:rPr>
          <w:b/>
        </w:rPr>
        <w:tab/>
      </w:r>
      <w:r w:rsidR="00B81E3A">
        <w:rPr>
          <w:b/>
        </w:rPr>
        <w:t>A</w:t>
      </w:r>
      <w:r w:rsidR="00651F7A" w:rsidRPr="00670897">
        <w:rPr>
          <w:b/>
        </w:rPr>
        <w:t>celere sus esfuerzos para mejorar la infraestructura de las instituciones penitenciarias, y asegure que los servicios de salud orientados expresamente a las mujeres, así como necesidades de higiene propias del género sean compatibles con las Reglas de Bangkok (</w:t>
      </w:r>
      <w:r w:rsidR="00A3704A">
        <w:rPr>
          <w:b/>
        </w:rPr>
        <w:t>r</w:t>
      </w:r>
      <w:r w:rsidR="00651F7A" w:rsidRPr="00670897">
        <w:rPr>
          <w:b/>
        </w:rPr>
        <w:t>eglas 5</w:t>
      </w:r>
      <w:r w:rsidR="001310E7">
        <w:rPr>
          <w:b/>
        </w:rPr>
        <w:t xml:space="preserve"> a </w:t>
      </w:r>
      <w:r w:rsidR="00651F7A" w:rsidRPr="00670897">
        <w:rPr>
          <w:b/>
        </w:rPr>
        <w:t>13).</w:t>
      </w:r>
    </w:p>
    <w:p w14:paraId="209954B9" w14:textId="77777777" w:rsidR="00651F7A" w:rsidRPr="00802E03" w:rsidRDefault="00B15AFE" w:rsidP="00B15AFE">
      <w:pPr>
        <w:pStyle w:val="H1G"/>
      </w:pPr>
      <w:r>
        <w:tab/>
        <w:t>C.</w:t>
      </w:r>
      <w:r>
        <w:tab/>
      </w:r>
      <w:r w:rsidR="00651F7A" w:rsidRPr="00802E03">
        <w:t>Niños, niñas y adolescentes en conflicto con la ley</w:t>
      </w:r>
    </w:p>
    <w:p w14:paraId="209954BA" w14:textId="38F38474" w:rsidR="00651F7A" w:rsidRDefault="00B15AFE" w:rsidP="00651F7A">
      <w:pPr>
        <w:pStyle w:val="SingleTxtG"/>
        <w:rPr>
          <w:lang w:val="es-ES_tradnl"/>
        </w:rPr>
      </w:pPr>
      <w:r>
        <w:rPr>
          <w:lang w:val="es-ES_tradnl"/>
        </w:rPr>
        <w:t>1</w:t>
      </w:r>
      <w:r w:rsidR="00AB5AA5">
        <w:rPr>
          <w:lang w:val="es-ES_tradnl"/>
        </w:rPr>
        <w:t>1</w:t>
      </w:r>
      <w:r w:rsidR="00F8360C">
        <w:rPr>
          <w:lang w:val="es-ES_tradnl"/>
        </w:rPr>
        <w:t>6</w:t>
      </w:r>
      <w:r w:rsidR="00651F7A">
        <w:rPr>
          <w:lang w:val="es-ES_tradnl"/>
        </w:rPr>
        <w:t>.</w:t>
      </w:r>
      <w:r w:rsidR="003F48E6">
        <w:rPr>
          <w:lang w:val="es-ES_tradnl"/>
        </w:rPr>
        <w:tab/>
      </w:r>
      <w:r w:rsidR="00651F7A" w:rsidRPr="00C70BE4">
        <w:rPr>
          <w:lang w:val="es-ES_tradnl"/>
        </w:rPr>
        <w:t xml:space="preserve">El </w:t>
      </w:r>
      <w:r w:rsidR="00522056">
        <w:rPr>
          <w:lang w:val="es-ES_tradnl"/>
        </w:rPr>
        <w:t>Subcomité</w:t>
      </w:r>
      <w:r w:rsidR="00651F7A" w:rsidRPr="00C70BE4">
        <w:rPr>
          <w:lang w:val="es-ES_tradnl"/>
        </w:rPr>
        <w:t xml:space="preserve"> acoge con satisfacción la adopción en 2014 del nuevo Código Niñ</w:t>
      </w:r>
      <w:r w:rsidR="00651F7A">
        <w:rPr>
          <w:lang w:val="es-ES_tradnl"/>
        </w:rPr>
        <w:t xml:space="preserve">a, Niño y Adolescente (Ley </w:t>
      </w:r>
      <w:r w:rsidR="003F48E6">
        <w:rPr>
          <w:lang w:val="es-ES_tradnl"/>
        </w:rPr>
        <w:t xml:space="preserve">núm. </w:t>
      </w:r>
      <w:r w:rsidR="00651F7A" w:rsidRPr="00BA198F">
        <w:rPr>
          <w:lang w:val="es-ES_tradnl"/>
        </w:rPr>
        <w:t>548), la creación de un sistema de jurisdicción especializada para los adolescentes en conflicto con la ley, y la creación de centros de reintegración social y centros de orientación.</w:t>
      </w:r>
      <w:r w:rsidR="00651F7A">
        <w:rPr>
          <w:lang w:val="es-ES_tradnl"/>
        </w:rPr>
        <w:t xml:space="preserve"> </w:t>
      </w:r>
    </w:p>
    <w:p w14:paraId="209954BB" w14:textId="361ABB4A" w:rsidR="00651F7A" w:rsidRDefault="00B15AFE" w:rsidP="00651F7A">
      <w:pPr>
        <w:pStyle w:val="SingleTxtG"/>
        <w:rPr>
          <w:lang w:val="es-ES_tradnl"/>
        </w:rPr>
      </w:pPr>
      <w:r>
        <w:rPr>
          <w:lang w:val="es-ES_tradnl"/>
        </w:rPr>
        <w:lastRenderedPageBreak/>
        <w:t>1</w:t>
      </w:r>
      <w:r w:rsidR="00AB5AA5">
        <w:rPr>
          <w:lang w:val="es-ES_tradnl"/>
        </w:rPr>
        <w:t>1</w:t>
      </w:r>
      <w:r w:rsidR="00F8360C">
        <w:rPr>
          <w:lang w:val="es-ES_tradnl"/>
        </w:rPr>
        <w:t>7</w:t>
      </w:r>
      <w:r w:rsidR="00651F7A">
        <w:rPr>
          <w:lang w:val="es-ES_tradnl"/>
        </w:rPr>
        <w:t>.</w:t>
      </w:r>
      <w:r w:rsidR="003F48E6">
        <w:rPr>
          <w:lang w:val="es-ES_tradnl"/>
        </w:rPr>
        <w:tab/>
      </w:r>
      <w:r w:rsidR="00651F7A">
        <w:rPr>
          <w:lang w:val="es-ES_tradnl"/>
        </w:rPr>
        <w:t xml:space="preserve">Sin embargo, </w:t>
      </w:r>
      <w:r w:rsidR="00651F7A" w:rsidRPr="00566A31">
        <w:rPr>
          <w:lang w:val="es-ES_tradnl"/>
        </w:rPr>
        <w:t xml:space="preserve">al </w:t>
      </w:r>
      <w:r w:rsidR="00522056">
        <w:rPr>
          <w:lang w:val="es-ES_tradnl"/>
        </w:rPr>
        <w:t>Subcomité</w:t>
      </w:r>
      <w:r w:rsidR="00651F7A" w:rsidRPr="00566A31">
        <w:rPr>
          <w:lang w:val="es-ES_tradnl"/>
        </w:rPr>
        <w:t xml:space="preserve"> le preocupa que la privación de la libertad de los adolescentes no sea una medida de último recurso y que el uso de la prisión preventiva para niños, niñas y adolescentes de 14 a 18 años siga siendo generalizado. </w:t>
      </w:r>
      <w:r w:rsidR="00651F7A">
        <w:rPr>
          <w:lang w:val="es-ES_tradnl"/>
        </w:rPr>
        <w:t>A</w:t>
      </w:r>
      <w:r w:rsidR="00651F7A" w:rsidRPr="00C70BE4">
        <w:rPr>
          <w:lang w:val="es-ES_tradnl"/>
        </w:rPr>
        <w:t xml:space="preserve">l </w:t>
      </w:r>
      <w:r w:rsidR="00522056">
        <w:rPr>
          <w:lang w:val="es-ES_tradnl"/>
        </w:rPr>
        <w:t>Subcomité</w:t>
      </w:r>
      <w:r w:rsidR="00651F7A" w:rsidRPr="00C70BE4">
        <w:rPr>
          <w:lang w:val="es-ES_tradnl"/>
        </w:rPr>
        <w:t xml:space="preserve"> </w:t>
      </w:r>
      <w:r w:rsidR="00651F7A">
        <w:rPr>
          <w:lang w:val="es-ES_tradnl"/>
        </w:rPr>
        <w:t xml:space="preserve">también </w:t>
      </w:r>
      <w:r w:rsidR="00651F7A" w:rsidRPr="00C70BE4">
        <w:rPr>
          <w:lang w:val="es-ES_tradnl"/>
        </w:rPr>
        <w:t>le</w:t>
      </w:r>
      <w:r w:rsidR="00651F7A">
        <w:rPr>
          <w:lang w:val="es-ES_tradnl"/>
        </w:rPr>
        <w:t xml:space="preserve"> preocupa</w:t>
      </w:r>
      <w:r w:rsidR="00651F7A" w:rsidRPr="00C70BE4">
        <w:rPr>
          <w:lang w:val="es-ES_tradnl"/>
        </w:rPr>
        <w:t xml:space="preserve"> que el </w:t>
      </w:r>
      <w:r w:rsidR="00651F7A">
        <w:rPr>
          <w:lang w:val="es-ES_tradnl"/>
        </w:rPr>
        <w:t>Estado parte</w:t>
      </w:r>
      <w:r w:rsidR="00651F7A" w:rsidRPr="00C70BE4">
        <w:rPr>
          <w:lang w:val="es-ES_tradnl"/>
        </w:rPr>
        <w:t xml:space="preserve"> haya disminuido la edad de imputa</w:t>
      </w:r>
      <w:r w:rsidR="00651F7A">
        <w:rPr>
          <w:lang w:val="es-ES_tradnl"/>
        </w:rPr>
        <w:t>bilidad penal de 16 a 14</w:t>
      </w:r>
      <w:r w:rsidR="007B3905">
        <w:rPr>
          <w:lang w:val="es-ES_tradnl"/>
        </w:rPr>
        <w:t> </w:t>
      </w:r>
      <w:r w:rsidR="00651F7A">
        <w:rPr>
          <w:lang w:val="es-ES_tradnl"/>
        </w:rPr>
        <w:t>años</w:t>
      </w:r>
      <w:r w:rsidR="007A75DE">
        <w:rPr>
          <w:lang w:val="es-ES_tradnl"/>
        </w:rPr>
        <w:t>,</w:t>
      </w:r>
      <w:r w:rsidR="00651F7A">
        <w:rPr>
          <w:lang w:val="es-ES_tradnl"/>
        </w:rPr>
        <w:t xml:space="preserve"> como así también la edad de ingreso al servicio militar de 18 a 17 años.</w:t>
      </w:r>
    </w:p>
    <w:p w14:paraId="209954BC" w14:textId="3A8FCC3E" w:rsidR="00651F7A" w:rsidRPr="00B15AFE" w:rsidRDefault="00B15AFE" w:rsidP="00B15AFE">
      <w:pPr>
        <w:pStyle w:val="SingleTxtG"/>
        <w:rPr>
          <w:b/>
          <w:lang w:val="es-ES_tradnl"/>
        </w:rPr>
      </w:pPr>
      <w:r w:rsidRPr="0098110E">
        <w:rPr>
          <w:lang w:val="es-ES_tradnl"/>
        </w:rPr>
        <w:t>1</w:t>
      </w:r>
      <w:r w:rsidR="00430D76" w:rsidRPr="0098110E">
        <w:rPr>
          <w:lang w:val="es-ES_tradnl"/>
        </w:rPr>
        <w:t>1</w:t>
      </w:r>
      <w:r w:rsidR="00F8360C" w:rsidRPr="0098110E">
        <w:rPr>
          <w:lang w:val="es-ES_tradnl"/>
        </w:rPr>
        <w:t>8</w:t>
      </w:r>
      <w:r w:rsidR="00651F7A" w:rsidRPr="0098110E">
        <w:rPr>
          <w:lang w:val="es-ES_tradnl"/>
        </w:rPr>
        <w:t>.</w:t>
      </w:r>
      <w:r w:rsidR="007B3905">
        <w:rPr>
          <w:b/>
          <w:lang w:val="es-ES_tradnl"/>
        </w:rPr>
        <w:tab/>
      </w:r>
      <w:r w:rsidR="00651F7A" w:rsidRPr="00B15AFE">
        <w:rPr>
          <w:b/>
          <w:lang w:val="es-ES_tradnl"/>
        </w:rPr>
        <w:t xml:space="preserve">El </w:t>
      </w:r>
      <w:r w:rsidR="00522056">
        <w:rPr>
          <w:b/>
          <w:lang w:val="es-ES_tradnl"/>
        </w:rPr>
        <w:t>Subcomité</w:t>
      </w:r>
      <w:r w:rsidR="00651F7A" w:rsidRPr="00B15AFE">
        <w:rPr>
          <w:b/>
          <w:lang w:val="es-ES_tradnl"/>
        </w:rPr>
        <w:t xml:space="preserve"> recomienda que la privación de libertad de los adolescentes constituya una medida de último recurso con la menor duración posible y cuya aplicación se examine periódicamente con miras a retirarla. El </w:t>
      </w:r>
      <w:r w:rsidR="00522056">
        <w:rPr>
          <w:b/>
          <w:lang w:val="es-ES_tradnl"/>
        </w:rPr>
        <w:t>Subcomité</w:t>
      </w:r>
      <w:r w:rsidR="00651F7A" w:rsidRPr="00B15AFE">
        <w:rPr>
          <w:b/>
          <w:lang w:val="es-ES_tradnl"/>
        </w:rPr>
        <w:t xml:space="preserve"> también recomienda al Estado parte que: </w:t>
      </w:r>
    </w:p>
    <w:p w14:paraId="209954BD" w14:textId="1828D88D" w:rsidR="00651F7A" w:rsidRPr="00B15AFE" w:rsidRDefault="007B3905" w:rsidP="00B15AFE">
      <w:pPr>
        <w:pStyle w:val="SingleTxtG"/>
        <w:rPr>
          <w:b/>
          <w:lang w:val="es-ES_tradnl"/>
        </w:rPr>
      </w:pPr>
      <w:r>
        <w:rPr>
          <w:b/>
          <w:lang w:val="es-ES_tradnl"/>
        </w:rPr>
        <w:tab/>
      </w:r>
      <w:r w:rsidR="00B15AFE">
        <w:rPr>
          <w:b/>
          <w:lang w:val="es-ES_tradnl"/>
        </w:rPr>
        <w:tab/>
      </w:r>
      <w:r w:rsidR="00651F7A" w:rsidRPr="00B15AFE">
        <w:rPr>
          <w:b/>
          <w:lang w:val="es-ES_tradnl"/>
        </w:rPr>
        <w:t>a)</w:t>
      </w:r>
      <w:r w:rsidR="00651F7A" w:rsidRPr="00B15AFE">
        <w:rPr>
          <w:b/>
          <w:lang w:val="es-ES_tradnl"/>
        </w:rPr>
        <w:tab/>
      </w:r>
      <w:r w:rsidR="007A75DE">
        <w:rPr>
          <w:b/>
          <w:lang w:val="es-ES_tradnl"/>
        </w:rPr>
        <w:t>D</w:t>
      </w:r>
      <w:r w:rsidR="00651F7A" w:rsidRPr="00B15AFE">
        <w:rPr>
          <w:b/>
          <w:lang w:val="es-ES_tradnl"/>
        </w:rPr>
        <w:t>esarrolle penas alternativas a la privación de libertad, como la libertad condicional, la mediación, los servicios a la comunidad o la condena condicional, siempre que sea posible;</w:t>
      </w:r>
    </w:p>
    <w:p w14:paraId="209954BE" w14:textId="117A3E8F" w:rsidR="00651F7A" w:rsidRPr="00B15AFE" w:rsidRDefault="00B15AFE" w:rsidP="00B15AFE">
      <w:pPr>
        <w:pStyle w:val="SingleTxtG"/>
        <w:rPr>
          <w:b/>
          <w:lang w:val="es-ES_tradnl"/>
        </w:rPr>
      </w:pPr>
      <w:r>
        <w:rPr>
          <w:b/>
          <w:lang w:val="es-ES_tradnl"/>
        </w:rPr>
        <w:tab/>
      </w:r>
      <w:r w:rsidR="007B3905">
        <w:rPr>
          <w:b/>
          <w:lang w:val="es-ES_tradnl"/>
        </w:rPr>
        <w:tab/>
      </w:r>
      <w:r w:rsidR="00651F7A" w:rsidRPr="00B15AFE">
        <w:rPr>
          <w:b/>
          <w:lang w:val="es-ES_tradnl"/>
        </w:rPr>
        <w:t>b)</w:t>
      </w:r>
      <w:r w:rsidR="003F48E6">
        <w:rPr>
          <w:b/>
          <w:lang w:val="es-ES_tradnl"/>
        </w:rPr>
        <w:tab/>
      </w:r>
      <w:r w:rsidR="007A75DE">
        <w:rPr>
          <w:b/>
          <w:lang w:val="es-ES_tradnl"/>
        </w:rPr>
        <w:t>E</w:t>
      </w:r>
      <w:r w:rsidR="00651F7A" w:rsidRPr="00B15AFE">
        <w:rPr>
          <w:b/>
          <w:lang w:val="es-ES_tradnl"/>
        </w:rPr>
        <w:t xml:space="preserve">n </w:t>
      </w:r>
      <w:r w:rsidR="007A75DE">
        <w:rPr>
          <w:b/>
          <w:lang w:val="es-ES_tradnl"/>
        </w:rPr>
        <w:t xml:space="preserve">el </w:t>
      </w:r>
      <w:r w:rsidR="00651F7A" w:rsidRPr="00B15AFE">
        <w:rPr>
          <w:b/>
          <w:lang w:val="es-ES_tradnl"/>
        </w:rPr>
        <w:t>caso de los menores de 14 a 18 años de edad aplique de manera prioritaria las medidas alternativas a la privación de libertad;</w:t>
      </w:r>
    </w:p>
    <w:p w14:paraId="209954BF" w14:textId="6DB136B2" w:rsidR="00651F7A" w:rsidRPr="00B15AFE" w:rsidRDefault="007B3905" w:rsidP="00B15AFE">
      <w:pPr>
        <w:pStyle w:val="SingleTxtG"/>
        <w:rPr>
          <w:b/>
          <w:lang w:val="es-ES_tradnl"/>
        </w:rPr>
      </w:pPr>
      <w:r>
        <w:rPr>
          <w:b/>
          <w:lang w:val="es-ES_tradnl"/>
        </w:rPr>
        <w:tab/>
      </w:r>
      <w:r w:rsidR="00B15AFE">
        <w:rPr>
          <w:b/>
          <w:lang w:val="es-ES_tradnl"/>
        </w:rPr>
        <w:tab/>
      </w:r>
      <w:r w:rsidR="00651F7A" w:rsidRPr="00B15AFE">
        <w:rPr>
          <w:b/>
          <w:lang w:val="es-ES_tradnl"/>
        </w:rPr>
        <w:t xml:space="preserve">c) </w:t>
      </w:r>
      <w:r w:rsidR="00B15AFE">
        <w:rPr>
          <w:b/>
          <w:lang w:val="es-ES_tradnl"/>
        </w:rPr>
        <w:tab/>
      </w:r>
      <w:r w:rsidR="00CE3334">
        <w:rPr>
          <w:b/>
          <w:lang w:val="es-ES_tradnl"/>
        </w:rPr>
        <w:t xml:space="preserve">Aumente </w:t>
      </w:r>
      <w:r w:rsidR="00651F7A" w:rsidRPr="00B15AFE">
        <w:rPr>
          <w:b/>
          <w:lang w:val="es-ES_tradnl"/>
        </w:rPr>
        <w:t>la edad de ingreso al servicio militar de 17 a 18 años.</w:t>
      </w:r>
    </w:p>
    <w:p w14:paraId="209954C0" w14:textId="77777777" w:rsidR="00651F7A" w:rsidRDefault="00B15AFE" w:rsidP="00B15AFE">
      <w:pPr>
        <w:pStyle w:val="H1G"/>
      </w:pPr>
      <w:r>
        <w:tab/>
        <w:t>D.</w:t>
      </w:r>
      <w:r>
        <w:tab/>
      </w:r>
      <w:r w:rsidR="00651F7A" w:rsidRPr="00802E03">
        <w:t>Personas con discapacidad</w:t>
      </w:r>
    </w:p>
    <w:p w14:paraId="209954C1" w14:textId="4312A7CB" w:rsidR="00651F7A" w:rsidRPr="007C7041" w:rsidRDefault="00AB5AA5" w:rsidP="00651F7A">
      <w:pPr>
        <w:pStyle w:val="SingleTxtG"/>
        <w:rPr>
          <w:lang w:val="es-ES_tradnl"/>
        </w:rPr>
      </w:pPr>
      <w:r>
        <w:rPr>
          <w:lang w:val="es-ES_tradnl"/>
        </w:rPr>
        <w:t>1</w:t>
      </w:r>
      <w:r w:rsidR="00F8360C">
        <w:rPr>
          <w:lang w:val="es-ES_tradnl"/>
        </w:rPr>
        <w:t>19</w:t>
      </w:r>
      <w:r w:rsidR="00651F7A">
        <w:rPr>
          <w:lang w:val="es-ES_tradnl"/>
        </w:rPr>
        <w:t>.</w:t>
      </w:r>
      <w:r w:rsidR="003F48E6">
        <w:rPr>
          <w:lang w:val="es-ES_tradnl"/>
        </w:rPr>
        <w:tab/>
      </w:r>
      <w:r w:rsidR="00651F7A">
        <w:rPr>
          <w:lang w:val="es-ES_tradnl"/>
        </w:rPr>
        <w:t>Al</w:t>
      </w:r>
      <w:r w:rsidR="00651F7A" w:rsidRPr="007C7041">
        <w:rPr>
          <w:lang w:val="es-ES_tradnl"/>
        </w:rPr>
        <w:t xml:space="preserve"> </w:t>
      </w:r>
      <w:r w:rsidR="00522056">
        <w:rPr>
          <w:lang w:val="es-ES_tradnl"/>
        </w:rPr>
        <w:t>Subcomité</w:t>
      </w:r>
      <w:r w:rsidR="00651F7A" w:rsidRPr="007C7041">
        <w:rPr>
          <w:lang w:val="es-ES_tradnl"/>
        </w:rPr>
        <w:t xml:space="preserve"> </w:t>
      </w:r>
      <w:r w:rsidR="00651F7A">
        <w:rPr>
          <w:lang w:val="es-ES_tradnl"/>
        </w:rPr>
        <w:t xml:space="preserve">le preocupa </w:t>
      </w:r>
      <w:r w:rsidR="00651F7A" w:rsidRPr="007C7041">
        <w:rPr>
          <w:lang w:val="es-ES_tradnl"/>
        </w:rPr>
        <w:t xml:space="preserve">la situación de personas con discapacidad intelectual y/o psicosocial privadas de libertad. El </w:t>
      </w:r>
      <w:r w:rsidR="00522056">
        <w:rPr>
          <w:lang w:val="es-ES_tradnl"/>
        </w:rPr>
        <w:t>Subcomité</w:t>
      </w:r>
      <w:r w:rsidR="00651F7A" w:rsidRPr="007C7041">
        <w:rPr>
          <w:lang w:val="es-ES_tradnl"/>
        </w:rPr>
        <w:t xml:space="preserve"> observó casos de discriminación basada en la discapacidad</w:t>
      </w:r>
      <w:r w:rsidR="00430D76">
        <w:rPr>
          <w:lang w:val="es-ES_tradnl"/>
        </w:rPr>
        <w:t>,</w:t>
      </w:r>
      <w:r w:rsidR="00651F7A" w:rsidRPr="007C7041">
        <w:rPr>
          <w:lang w:val="es-ES_tradnl"/>
        </w:rPr>
        <w:t xml:space="preserve"> así como</w:t>
      </w:r>
      <w:r w:rsidR="00651F7A">
        <w:rPr>
          <w:lang w:val="es-ES_tradnl"/>
        </w:rPr>
        <w:t xml:space="preserve"> </w:t>
      </w:r>
      <w:r w:rsidR="00651F7A" w:rsidRPr="007C7041">
        <w:rPr>
          <w:lang w:val="es-ES_tradnl"/>
        </w:rPr>
        <w:t>la</w:t>
      </w:r>
      <w:r w:rsidR="00F04164">
        <w:rPr>
          <w:lang w:val="es-ES_tradnl"/>
        </w:rPr>
        <w:t xml:space="preserve"> ausencia de ajustes razonables</w:t>
      </w:r>
      <w:r w:rsidR="00651F7A" w:rsidRPr="0098110E">
        <w:rPr>
          <w:sz w:val="18"/>
          <w:szCs w:val="18"/>
          <w:vertAlign w:val="superscript"/>
          <w:lang w:val="es-ES_tradnl"/>
        </w:rPr>
        <w:footnoteReference w:id="31"/>
      </w:r>
      <w:r w:rsidR="00F04164">
        <w:rPr>
          <w:lang w:val="es-ES_tradnl"/>
        </w:rPr>
        <w:t>,</w:t>
      </w:r>
      <w:r w:rsidR="00651F7A" w:rsidRPr="007C7041">
        <w:rPr>
          <w:lang w:val="es-ES_tradnl"/>
        </w:rPr>
        <w:t xml:space="preserve"> principalmente en los centros penitenciarios de adu</w:t>
      </w:r>
      <w:r w:rsidR="00F04164">
        <w:rPr>
          <w:lang w:val="es-ES_tradnl"/>
        </w:rPr>
        <w:t>ltos y los centros para menores</w:t>
      </w:r>
      <w:r w:rsidR="00651F7A" w:rsidRPr="0098110E">
        <w:rPr>
          <w:sz w:val="18"/>
          <w:szCs w:val="18"/>
          <w:vertAlign w:val="superscript"/>
          <w:lang w:val="es-ES_tradnl"/>
        </w:rPr>
        <w:footnoteReference w:id="32"/>
      </w:r>
      <w:r w:rsidR="00F04164">
        <w:rPr>
          <w:lang w:val="es-ES_tradnl"/>
        </w:rPr>
        <w:t>.</w:t>
      </w:r>
      <w:r w:rsidR="00651F7A" w:rsidRPr="007C7041">
        <w:rPr>
          <w:lang w:val="es-ES_tradnl"/>
        </w:rPr>
        <w:t xml:space="preserve"> </w:t>
      </w:r>
    </w:p>
    <w:p w14:paraId="209954C2" w14:textId="6FB00927" w:rsidR="00651F7A" w:rsidRPr="007C7041" w:rsidRDefault="00B15AFE" w:rsidP="00651F7A">
      <w:pPr>
        <w:pStyle w:val="SingleTxtG"/>
        <w:rPr>
          <w:lang w:val="es-ES_tradnl"/>
        </w:rPr>
      </w:pPr>
      <w:r>
        <w:rPr>
          <w:lang w:val="es-ES_tradnl"/>
        </w:rPr>
        <w:t>1</w:t>
      </w:r>
      <w:r w:rsidR="00AB5AA5">
        <w:rPr>
          <w:lang w:val="es-ES_tradnl"/>
        </w:rPr>
        <w:t>2</w:t>
      </w:r>
      <w:r w:rsidR="00F8360C">
        <w:rPr>
          <w:lang w:val="es-ES_tradnl"/>
        </w:rPr>
        <w:t>0</w:t>
      </w:r>
      <w:r w:rsidR="00651F7A">
        <w:rPr>
          <w:lang w:val="es-ES_tradnl"/>
        </w:rPr>
        <w:t>.</w:t>
      </w:r>
      <w:r w:rsidR="003F48E6">
        <w:rPr>
          <w:lang w:val="es-ES_tradnl"/>
        </w:rPr>
        <w:tab/>
      </w:r>
      <w:r w:rsidR="00651F7A" w:rsidRPr="007C7041">
        <w:rPr>
          <w:lang w:val="es-ES_tradnl"/>
        </w:rPr>
        <w:t xml:space="preserve">El </w:t>
      </w:r>
      <w:r w:rsidR="00522056">
        <w:rPr>
          <w:lang w:val="es-ES_tradnl"/>
        </w:rPr>
        <w:t>Subcomité</w:t>
      </w:r>
      <w:r w:rsidR="00651F7A" w:rsidRPr="007C7041">
        <w:rPr>
          <w:lang w:val="es-ES_tradnl"/>
        </w:rPr>
        <w:t xml:space="preserve"> observó con gran preocupación que las personas con discapacidad intelectual y/o psicosocial privadas de libertad eran recluidas por tiempo indefinido (incluyendo el caso de un adolescente) en celdas de aislamiento y castigo, sin existir sanción disciplinaria</w:t>
      </w:r>
      <w:r w:rsidR="00F04164">
        <w:rPr>
          <w:lang w:val="es-ES_tradnl"/>
        </w:rPr>
        <w:t xml:space="preserve"> alguna, agravando su situación</w:t>
      </w:r>
      <w:r w:rsidR="00651F7A" w:rsidRPr="0098110E">
        <w:rPr>
          <w:sz w:val="18"/>
          <w:szCs w:val="18"/>
          <w:vertAlign w:val="superscript"/>
          <w:lang w:val="es-ES_tradnl"/>
        </w:rPr>
        <w:footnoteReference w:id="33"/>
      </w:r>
      <w:r w:rsidR="00F04164">
        <w:rPr>
          <w:lang w:val="es-ES_tradnl"/>
        </w:rPr>
        <w:t>,</w:t>
      </w:r>
      <w:r w:rsidR="00651F7A" w:rsidRPr="007C7041">
        <w:rPr>
          <w:lang w:val="es-ES_tradnl"/>
        </w:rPr>
        <w:t xml:space="preserve"> limitando sus derechos y el acceso a actividades recreativas.</w:t>
      </w:r>
      <w:r w:rsidR="00651F7A">
        <w:rPr>
          <w:lang w:val="es-ES_tradnl"/>
        </w:rPr>
        <w:t xml:space="preserve"> </w:t>
      </w:r>
      <w:r w:rsidR="00651F7A" w:rsidRPr="007C7041">
        <w:rPr>
          <w:lang w:val="es-ES_tradnl"/>
        </w:rPr>
        <w:t xml:space="preserve">El </w:t>
      </w:r>
      <w:r w:rsidR="00522056">
        <w:rPr>
          <w:lang w:val="es-ES_tradnl"/>
        </w:rPr>
        <w:t>Subcomité</w:t>
      </w:r>
      <w:r w:rsidR="00651F7A" w:rsidRPr="007C7041">
        <w:rPr>
          <w:lang w:val="es-ES_tradnl"/>
        </w:rPr>
        <w:t xml:space="preserve"> notó que el personal penitenciario carecía del conocimiento y </w:t>
      </w:r>
      <w:r w:rsidR="000A6FC6">
        <w:rPr>
          <w:lang w:val="es-ES_tradnl"/>
        </w:rPr>
        <w:t xml:space="preserve">las </w:t>
      </w:r>
      <w:r w:rsidR="00651F7A" w:rsidRPr="007C7041">
        <w:rPr>
          <w:lang w:val="es-ES_tradnl"/>
        </w:rPr>
        <w:t xml:space="preserve">competencias necesarias sobre cuestiones de discapacidad </w:t>
      </w:r>
      <w:r w:rsidR="00430D76" w:rsidRPr="007C7041">
        <w:rPr>
          <w:lang w:val="es-ES_tradnl"/>
        </w:rPr>
        <w:t>y,</w:t>
      </w:r>
      <w:r w:rsidR="00651F7A" w:rsidRPr="007C7041">
        <w:rPr>
          <w:lang w:val="es-ES_tradnl"/>
        </w:rPr>
        <w:t xml:space="preserve"> por ende, recurría erróneamente al aislamiento como “medida protec</w:t>
      </w:r>
      <w:r w:rsidR="00430D76">
        <w:rPr>
          <w:lang w:val="es-ES_tradnl"/>
        </w:rPr>
        <w:t>tora</w:t>
      </w:r>
      <w:r w:rsidR="00651F7A" w:rsidRPr="007C7041">
        <w:rPr>
          <w:lang w:val="es-ES_tradnl"/>
        </w:rPr>
        <w:t>.”</w:t>
      </w:r>
    </w:p>
    <w:p w14:paraId="209954C3" w14:textId="17422C57" w:rsidR="00651F7A" w:rsidRPr="007C7041" w:rsidRDefault="00B15AFE" w:rsidP="00651F7A">
      <w:pPr>
        <w:pStyle w:val="SingleTxtG"/>
        <w:rPr>
          <w:b/>
          <w:lang w:val="es-ES_tradnl"/>
        </w:rPr>
      </w:pPr>
      <w:r w:rsidRPr="0098110E">
        <w:rPr>
          <w:lang w:val="es-ES_tradnl"/>
        </w:rPr>
        <w:t>1</w:t>
      </w:r>
      <w:r w:rsidR="00AB5AA5" w:rsidRPr="0098110E">
        <w:rPr>
          <w:lang w:val="es-ES_tradnl"/>
        </w:rPr>
        <w:t>2</w:t>
      </w:r>
      <w:r w:rsidR="00F8360C" w:rsidRPr="0098110E">
        <w:rPr>
          <w:lang w:val="es-ES_tradnl"/>
        </w:rPr>
        <w:t>1</w:t>
      </w:r>
      <w:r w:rsidR="00651F7A" w:rsidRPr="0098110E">
        <w:rPr>
          <w:lang w:val="es-ES_tradnl"/>
        </w:rPr>
        <w:t>.</w:t>
      </w:r>
      <w:r w:rsidR="003F48E6">
        <w:rPr>
          <w:b/>
          <w:lang w:val="es-ES_tradnl"/>
        </w:rPr>
        <w:tab/>
      </w:r>
      <w:r w:rsidR="00651F7A" w:rsidRPr="007C7041">
        <w:rPr>
          <w:b/>
          <w:lang w:val="es-ES_tradnl"/>
        </w:rPr>
        <w:t xml:space="preserve">El </w:t>
      </w:r>
      <w:r w:rsidR="00522056">
        <w:rPr>
          <w:b/>
          <w:lang w:val="es-ES_tradnl"/>
        </w:rPr>
        <w:t>Subcomité</w:t>
      </w:r>
      <w:r w:rsidR="00651F7A" w:rsidRPr="007C7041">
        <w:rPr>
          <w:b/>
          <w:lang w:val="es-ES_tradnl"/>
        </w:rPr>
        <w:t xml:space="preserve"> recomienda realizar una campaña de capacitación del personal penitenciario y promoción de los derechos de las personas con discapacidad privadas de libertad.</w:t>
      </w:r>
    </w:p>
    <w:p w14:paraId="209954C4" w14:textId="60ABBE66" w:rsidR="00651F7A" w:rsidRPr="007C7041" w:rsidRDefault="00B15AFE" w:rsidP="00651F7A">
      <w:pPr>
        <w:pStyle w:val="SingleTxtG"/>
        <w:rPr>
          <w:lang w:val="es-ES_tradnl"/>
        </w:rPr>
      </w:pPr>
      <w:r>
        <w:rPr>
          <w:lang w:val="es-ES_tradnl"/>
        </w:rPr>
        <w:t>1</w:t>
      </w:r>
      <w:r w:rsidR="00AB5AA5">
        <w:rPr>
          <w:lang w:val="es-ES_tradnl"/>
        </w:rPr>
        <w:t>2</w:t>
      </w:r>
      <w:r w:rsidR="00F8360C">
        <w:rPr>
          <w:lang w:val="es-ES_tradnl"/>
        </w:rPr>
        <w:t>2</w:t>
      </w:r>
      <w:r w:rsidR="00651F7A">
        <w:rPr>
          <w:lang w:val="es-ES_tradnl"/>
        </w:rPr>
        <w:t>.</w:t>
      </w:r>
      <w:r w:rsidR="00C5194E">
        <w:rPr>
          <w:lang w:val="es-ES_tradnl"/>
        </w:rPr>
        <w:tab/>
      </w:r>
      <w:r w:rsidR="00651F7A" w:rsidRPr="007C7041">
        <w:rPr>
          <w:lang w:val="es-ES_tradnl"/>
        </w:rPr>
        <w:t xml:space="preserve">Al </w:t>
      </w:r>
      <w:r w:rsidR="00522056">
        <w:rPr>
          <w:lang w:val="es-ES_tradnl"/>
        </w:rPr>
        <w:t>Subcomité</w:t>
      </w:r>
      <w:r w:rsidR="00651F7A" w:rsidRPr="007C7041">
        <w:rPr>
          <w:lang w:val="es-ES_tradnl"/>
        </w:rPr>
        <w:t xml:space="preserve"> también le preocupa la ausencia de </w:t>
      </w:r>
      <w:r w:rsidR="00263735">
        <w:rPr>
          <w:lang w:val="es-ES_tradnl"/>
        </w:rPr>
        <w:t xml:space="preserve">un </w:t>
      </w:r>
      <w:r w:rsidR="00651F7A" w:rsidRPr="007C7041">
        <w:rPr>
          <w:lang w:val="es-ES_tradnl"/>
        </w:rPr>
        <w:t xml:space="preserve">registro de pericias oficiales psicológicas en los expedientes de los detenidos, lo cual limita la posibilidad de brindar ajustes </w:t>
      </w:r>
      <w:r w:rsidR="00430D76" w:rsidRPr="007C7041">
        <w:rPr>
          <w:lang w:val="es-ES_tradnl"/>
        </w:rPr>
        <w:t>razonables,</w:t>
      </w:r>
      <w:r w:rsidR="00651F7A" w:rsidRPr="007C7041">
        <w:rPr>
          <w:lang w:val="es-ES_tradnl"/>
        </w:rPr>
        <w:t xml:space="preserve"> así como </w:t>
      </w:r>
      <w:r w:rsidR="00666BE3">
        <w:rPr>
          <w:lang w:val="es-ES_tradnl"/>
        </w:rPr>
        <w:t xml:space="preserve">de </w:t>
      </w:r>
      <w:r w:rsidR="00651F7A" w:rsidRPr="007C7041">
        <w:rPr>
          <w:lang w:val="es-ES_tradnl"/>
        </w:rPr>
        <w:t xml:space="preserve">servicios de salud especializados que requieran las personas con discapacidad privadas de libertad. </w:t>
      </w:r>
    </w:p>
    <w:p w14:paraId="209954C5" w14:textId="37B4431F" w:rsidR="00651F7A" w:rsidRPr="007C7041" w:rsidRDefault="00B15AFE" w:rsidP="00651F7A">
      <w:pPr>
        <w:pStyle w:val="SingleTxtG"/>
        <w:rPr>
          <w:lang w:val="es-ES_tradnl"/>
        </w:rPr>
      </w:pPr>
      <w:r>
        <w:rPr>
          <w:lang w:val="es-ES_tradnl"/>
        </w:rPr>
        <w:t>1</w:t>
      </w:r>
      <w:r w:rsidR="00AB5AA5">
        <w:rPr>
          <w:lang w:val="es-ES_tradnl"/>
        </w:rPr>
        <w:t>2</w:t>
      </w:r>
      <w:r w:rsidR="00F8360C">
        <w:rPr>
          <w:lang w:val="es-ES_tradnl"/>
        </w:rPr>
        <w:t>3</w:t>
      </w:r>
      <w:r w:rsidR="00651F7A">
        <w:rPr>
          <w:lang w:val="es-ES_tradnl"/>
        </w:rPr>
        <w:t>.</w:t>
      </w:r>
      <w:r w:rsidR="00C5194E">
        <w:rPr>
          <w:lang w:val="es-ES_tradnl"/>
        </w:rPr>
        <w:tab/>
      </w:r>
      <w:r w:rsidR="00651F7A" w:rsidRPr="007C7041">
        <w:rPr>
          <w:lang w:val="es-ES_tradnl"/>
        </w:rPr>
        <w:t xml:space="preserve">Las personas con discapacidad entrevistadas por el Subcomité enfrentaban al igual que otras </w:t>
      </w:r>
      <w:r w:rsidR="00B62628">
        <w:rPr>
          <w:lang w:val="es-ES_tradnl"/>
        </w:rPr>
        <w:t>personas privadas de libertad</w:t>
      </w:r>
      <w:r w:rsidR="00651F7A" w:rsidRPr="007C7041">
        <w:rPr>
          <w:lang w:val="es-ES_tradnl"/>
        </w:rPr>
        <w:t xml:space="preserve"> carencias en el acceso y disfrute de su derecho a la salud, incl</w:t>
      </w:r>
      <w:r w:rsidR="00F04164">
        <w:rPr>
          <w:lang w:val="es-ES_tradnl"/>
        </w:rPr>
        <w:t>uidos servicios de salud mental</w:t>
      </w:r>
      <w:r w:rsidR="00651F7A" w:rsidRPr="0098110E">
        <w:rPr>
          <w:sz w:val="18"/>
          <w:szCs w:val="18"/>
          <w:vertAlign w:val="superscript"/>
          <w:lang w:val="es-ES_tradnl"/>
        </w:rPr>
        <w:footnoteReference w:id="34"/>
      </w:r>
      <w:r w:rsidR="00F04164">
        <w:rPr>
          <w:lang w:val="es-ES_tradnl"/>
        </w:rPr>
        <w:t>.</w:t>
      </w:r>
    </w:p>
    <w:p w14:paraId="209954C6" w14:textId="54997F68" w:rsidR="00651F7A" w:rsidRPr="007C7041" w:rsidRDefault="00B15AFE" w:rsidP="00651F7A">
      <w:pPr>
        <w:pStyle w:val="SingleTxtG"/>
        <w:rPr>
          <w:lang w:val="es-ES_tradnl"/>
        </w:rPr>
      </w:pPr>
      <w:r w:rsidRPr="0098110E">
        <w:rPr>
          <w:lang w:val="es-ES_tradnl"/>
        </w:rPr>
        <w:t>1</w:t>
      </w:r>
      <w:r w:rsidR="00AB5AA5" w:rsidRPr="0098110E">
        <w:rPr>
          <w:lang w:val="es-ES_tradnl"/>
        </w:rPr>
        <w:t>2</w:t>
      </w:r>
      <w:r w:rsidR="00F8360C" w:rsidRPr="0098110E">
        <w:rPr>
          <w:lang w:val="es-ES_tradnl"/>
        </w:rPr>
        <w:t>4</w:t>
      </w:r>
      <w:r w:rsidR="00651F7A" w:rsidRPr="0098110E">
        <w:rPr>
          <w:lang w:val="es-ES_tradnl"/>
        </w:rPr>
        <w:t>.</w:t>
      </w:r>
      <w:r w:rsidR="003F48E6">
        <w:rPr>
          <w:b/>
          <w:lang w:val="es-ES_tradnl"/>
        </w:rPr>
        <w:tab/>
      </w:r>
      <w:r w:rsidR="00651F7A" w:rsidRPr="007C7041">
        <w:rPr>
          <w:b/>
          <w:lang w:val="es-ES_tradnl"/>
        </w:rPr>
        <w:t xml:space="preserve">El </w:t>
      </w:r>
      <w:r w:rsidR="00522056">
        <w:rPr>
          <w:b/>
          <w:lang w:val="es-ES_tradnl"/>
        </w:rPr>
        <w:t>Subcomité</w:t>
      </w:r>
      <w:r w:rsidR="00651F7A" w:rsidRPr="007C7041">
        <w:rPr>
          <w:b/>
          <w:lang w:val="es-ES_tradnl"/>
        </w:rPr>
        <w:t xml:space="preserve"> recomienda la creación de un plan de acción nacional para asegurar el acceso adecuado y gratuito a la salud de personas con di</w:t>
      </w:r>
      <w:r w:rsidR="00EA6784">
        <w:rPr>
          <w:b/>
          <w:lang w:val="es-ES_tradnl"/>
        </w:rPr>
        <w:t>scapacidad privadas de libertad</w:t>
      </w:r>
      <w:r w:rsidR="00651F7A" w:rsidRPr="0098110E">
        <w:rPr>
          <w:sz w:val="18"/>
          <w:szCs w:val="18"/>
          <w:vertAlign w:val="superscript"/>
          <w:lang w:val="es-ES_tradnl"/>
        </w:rPr>
        <w:footnoteReference w:id="35"/>
      </w:r>
      <w:r w:rsidR="00EA6784">
        <w:rPr>
          <w:b/>
          <w:lang w:val="es-ES_tradnl"/>
        </w:rPr>
        <w:t>.</w:t>
      </w:r>
    </w:p>
    <w:p w14:paraId="209954C7" w14:textId="7EFCCCAA" w:rsidR="00651F7A" w:rsidRPr="007C7041" w:rsidRDefault="00B15AFE" w:rsidP="00651F7A">
      <w:pPr>
        <w:pStyle w:val="SingleTxtG"/>
        <w:rPr>
          <w:b/>
          <w:lang w:val="es-ES_tradnl"/>
        </w:rPr>
      </w:pPr>
      <w:r w:rsidRPr="0098110E">
        <w:rPr>
          <w:lang w:val="es-ES_tradnl"/>
        </w:rPr>
        <w:t>1</w:t>
      </w:r>
      <w:r w:rsidR="00AB5AA5" w:rsidRPr="0098110E">
        <w:rPr>
          <w:lang w:val="es-ES_tradnl"/>
        </w:rPr>
        <w:t>2</w:t>
      </w:r>
      <w:r w:rsidR="00F8360C" w:rsidRPr="0098110E">
        <w:rPr>
          <w:lang w:val="es-ES_tradnl"/>
        </w:rPr>
        <w:t>5</w:t>
      </w:r>
      <w:r w:rsidR="00651F7A" w:rsidRPr="0098110E">
        <w:rPr>
          <w:lang w:val="es-ES_tradnl"/>
        </w:rPr>
        <w:t>.</w:t>
      </w:r>
      <w:r w:rsidR="003F48E6">
        <w:rPr>
          <w:b/>
          <w:lang w:val="es-ES_tradnl"/>
        </w:rPr>
        <w:tab/>
      </w:r>
      <w:r w:rsidR="00651F7A" w:rsidRPr="007C7041">
        <w:rPr>
          <w:b/>
          <w:lang w:val="es-ES_tradnl"/>
        </w:rPr>
        <w:t xml:space="preserve">El </w:t>
      </w:r>
      <w:r w:rsidR="00522056">
        <w:rPr>
          <w:b/>
          <w:lang w:val="es-ES_tradnl"/>
        </w:rPr>
        <w:t>Subcomité</w:t>
      </w:r>
      <w:r w:rsidR="00651F7A" w:rsidRPr="007C7041">
        <w:rPr>
          <w:b/>
          <w:lang w:val="es-ES_tradnl"/>
        </w:rPr>
        <w:t xml:space="preserve"> recomienda</w:t>
      </w:r>
      <w:r w:rsidR="00BC295B">
        <w:rPr>
          <w:b/>
          <w:lang w:val="es-ES_tradnl"/>
        </w:rPr>
        <w:t>,</w:t>
      </w:r>
      <w:r w:rsidR="00651F7A" w:rsidRPr="007C7041">
        <w:rPr>
          <w:b/>
          <w:lang w:val="es-ES_tradnl"/>
        </w:rPr>
        <w:t xml:space="preserve"> cuando fuere pertinente</w:t>
      </w:r>
      <w:r w:rsidR="00BC295B">
        <w:rPr>
          <w:b/>
          <w:lang w:val="es-ES_tradnl"/>
        </w:rPr>
        <w:t>,</w:t>
      </w:r>
      <w:r w:rsidR="00651F7A" w:rsidRPr="007C7041">
        <w:rPr>
          <w:b/>
          <w:lang w:val="es-ES_tradnl"/>
        </w:rPr>
        <w:t xml:space="preserve"> la realización y acceso a una pericia oficial psicológica</w:t>
      </w:r>
      <w:r w:rsidR="00BC295B">
        <w:rPr>
          <w:b/>
          <w:lang w:val="es-ES_tradnl"/>
        </w:rPr>
        <w:t>/</w:t>
      </w:r>
      <w:r w:rsidR="00651F7A" w:rsidRPr="007C7041">
        <w:rPr>
          <w:b/>
          <w:lang w:val="es-ES_tradnl"/>
        </w:rPr>
        <w:t xml:space="preserve">psiquiátrica de forma gratuita. Asimismo, recomienda la total observancia, aplicación y respeto de las disposiciones relevantes del Código Penal (en particular, </w:t>
      </w:r>
      <w:r w:rsidR="00666BE3">
        <w:rPr>
          <w:b/>
          <w:lang w:val="es-ES_tradnl"/>
        </w:rPr>
        <w:t xml:space="preserve">los artículos </w:t>
      </w:r>
      <w:r w:rsidR="00651F7A" w:rsidRPr="007C7041">
        <w:rPr>
          <w:b/>
          <w:lang w:val="es-ES_tradnl"/>
        </w:rPr>
        <w:t>79 y 80)</w:t>
      </w:r>
      <w:r w:rsidR="00651F7A">
        <w:rPr>
          <w:b/>
          <w:lang w:val="es-ES_tradnl"/>
        </w:rPr>
        <w:t xml:space="preserve"> </w:t>
      </w:r>
      <w:r w:rsidR="00651F7A" w:rsidRPr="007C7041">
        <w:rPr>
          <w:b/>
          <w:lang w:val="es-ES_tradnl"/>
        </w:rPr>
        <w:t>y normas procesales pertinentes,</w:t>
      </w:r>
      <w:r w:rsidR="00651F7A" w:rsidRPr="007C7041">
        <w:rPr>
          <w:b/>
        </w:rPr>
        <w:t xml:space="preserve"> a la luz de </w:t>
      </w:r>
      <w:r w:rsidR="00651F7A" w:rsidRPr="007C7041">
        <w:rPr>
          <w:b/>
        </w:rPr>
        <w:lastRenderedPageBreak/>
        <w:t xml:space="preserve">las Reglas </w:t>
      </w:r>
      <w:r w:rsidR="00666BE3">
        <w:rPr>
          <w:b/>
        </w:rPr>
        <w:t>Nelson Mandela</w:t>
      </w:r>
      <w:r w:rsidR="00651F7A" w:rsidRPr="0098110E">
        <w:rPr>
          <w:sz w:val="18"/>
          <w:szCs w:val="18"/>
          <w:vertAlign w:val="superscript"/>
          <w:lang w:val="es-ES_tradnl"/>
        </w:rPr>
        <w:footnoteReference w:id="36"/>
      </w:r>
      <w:r w:rsidR="00F45C6E">
        <w:rPr>
          <w:b/>
        </w:rPr>
        <w:t>,</w:t>
      </w:r>
      <w:r w:rsidR="00651F7A" w:rsidRPr="007C7041">
        <w:rPr>
          <w:b/>
          <w:lang w:val="es-ES_tradnl"/>
        </w:rPr>
        <w:t xml:space="preserve"> por parte de todos los profesionales del </w:t>
      </w:r>
      <w:r w:rsidR="007B3905">
        <w:rPr>
          <w:b/>
          <w:lang w:val="es-ES_tradnl"/>
        </w:rPr>
        <w:t>p</w:t>
      </w:r>
      <w:r w:rsidR="00651F7A" w:rsidRPr="007C7041">
        <w:rPr>
          <w:b/>
          <w:lang w:val="es-ES_tradnl"/>
        </w:rPr>
        <w:t xml:space="preserve">oder </w:t>
      </w:r>
      <w:r w:rsidR="007B3905">
        <w:rPr>
          <w:b/>
          <w:lang w:val="es-ES_tradnl"/>
        </w:rPr>
        <w:t>j</w:t>
      </w:r>
      <w:r w:rsidR="00651F7A" w:rsidRPr="007C7041">
        <w:rPr>
          <w:b/>
          <w:lang w:val="es-ES_tradnl"/>
        </w:rPr>
        <w:t>udicial y del Ministerio Público.</w:t>
      </w:r>
    </w:p>
    <w:p w14:paraId="209954C8" w14:textId="77777777" w:rsidR="00651F7A" w:rsidRPr="00487A9A" w:rsidRDefault="00B15AFE" w:rsidP="00B15AFE">
      <w:pPr>
        <w:pStyle w:val="HChG"/>
      </w:pPr>
      <w:r>
        <w:tab/>
        <w:t>VII.</w:t>
      </w:r>
      <w:r>
        <w:tab/>
      </w:r>
      <w:r w:rsidR="00651F7A" w:rsidRPr="002A15EA">
        <w:t>Represalias</w:t>
      </w:r>
      <w:r w:rsidR="00651F7A" w:rsidRPr="00487A9A">
        <w:t xml:space="preserve"> y repercusiones de la visita</w:t>
      </w:r>
    </w:p>
    <w:p w14:paraId="209954C9" w14:textId="3FF95D2B" w:rsidR="00651F7A" w:rsidRPr="00487A9A" w:rsidRDefault="00B15AFE" w:rsidP="00651F7A">
      <w:pPr>
        <w:pStyle w:val="SingleTxtG"/>
        <w:rPr>
          <w:lang w:val="es-ES_tradnl"/>
        </w:rPr>
      </w:pPr>
      <w:r>
        <w:rPr>
          <w:lang w:val="es-ES_tradnl"/>
        </w:rPr>
        <w:t>1</w:t>
      </w:r>
      <w:r w:rsidR="00AB5AA5">
        <w:rPr>
          <w:lang w:val="es-ES_tradnl"/>
        </w:rPr>
        <w:t>2</w:t>
      </w:r>
      <w:r w:rsidR="00F8360C">
        <w:rPr>
          <w:lang w:val="es-ES_tradnl"/>
        </w:rPr>
        <w:t>6</w:t>
      </w:r>
      <w:r>
        <w:rPr>
          <w:lang w:val="es-ES_tradnl"/>
        </w:rPr>
        <w:t>.</w:t>
      </w:r>
      <w:r>
        <w:rPr>
          <w:lang w:val="es-ES_tradnl"/>
        </w:rPr>
        <w:tab/>
      </w:r>
      <w:r w:rsidR="00651F7A" w:rsidRPr="00487A9A">
        <w:rPr>
          <w:lang w:val="es-ES_tradnl"/>
        </w:rPr>
        <w:t xml:space="preserve">Al Subcomité le corresponde garantizar que, en el ejercicio de las funciones que se le encomiendan en el Protocolo Facultativo, la situación de las personas con las que se entrevista no resulte perjudicada. </w:t>
      </w:r>
    </w:p>
    <w:p w14:paraId="209954CA" w14:textId="3A78E1D6" w:rsidR="00651F7A" w:rsidRPr="00487A9A" w:rsidRDefault="00B15AFE" w:rsidP="00651F7A">
      <w:pPr>
        <w:pStyle w:val="SingleTxtG"/>
        <w:rPr>
          <w:lang w:val="es-ES_tradnl"/>
        </w:rPr>
      </w:pPr>
      <w:r>
        <w:rPr>
          <w:lang w:val="es-ES_tradnl"/>
        </w:rPr>
        <w:t>1</w:t>
      </w:r>
      <w:r w:rsidR="00AB5AA5">
        <w:rPr>
          <w:lang w:val="es-ES_tradnl"/>
        </w:rPr>
        <w:t>2</w:t>
      </w:r>
      <w:r w:rsidR="00F8360C">
        <w:rPr>
          <w:lang w:val="es-ES_tradnl"/>
        </w:rPr>
        <w:t>7</w:t>
      </w:r>
      <w:r w:rsidR="00651F7A">
        <w:rPr>
          <w:lang w:val="es-ES_tradnl"/>
        </w:rPr>
        <w:t>.</w:t>
      </w:r>
      <w:r w:rsidR="003F48E6">
        <w:rPr>
          <w:lang w:val="es-ES_tradnl"/>
        </w:rPr>
        <w:tab/>
      </w:r>
      <w:r w:rsidR="00651F7A" w:rsidRPr="00487A9A">
        <w:rPr>
          <w:lang w:val="es-ES_tradnl"/>
        </w:rPr>
        <w:t xml:space="preserve">Durante la visita, el </w:t>
      </w:r>
      <w:r w:rsidR="00522056">
        <w:rPr>
          <w:lang w:val="es-ES_tradnl"/>
        </w:rPr>
        <w:t>Subcomité</w:t>
      </w:r>
      <w:r w:rsidR="00651F7A" w:rsidRPr="00487A9A">
        <w:rPr>
          <w:lang w:val="es-ES_tradnl"/>
        </w:rPr>
        <w:t xml:space="preserve"> compartió con las autoridades sus graves preocupaciones sobre situaciones observada</w:t>
      </w:r>
      <w:r w:rsidR="00A8556F">
        <w:rPr>
          <w:lang w:val="es-ES_tradnl"/>
        </w:rPr>
        <w:t xml:space="preserve">s en el penal de varones Mocoví. </w:t>
      </w:r>
      <w:r w:rsidR="0067591C">
        <w:rPr>
          <w:lang w:val="es-ES_tradnl"/>
        </w:rPr>
        <w:t>L</w:t>
      </w:r>
      <w:r w:rsidR="00651F7A" w:rsidRPr="004F7027">
        <w:rPr>
          <w:lang w:val="es-ES_tradnl"/>
        </w:rPr>
        <w:t xml:space="preserve">os delegados, encargados de disciplina en el </w:t>
      </w:r>
      <w:r w:rsidR="004A3E5E">
        <w:rPr>
          <w:lang w:val="es-ES_tradnl"/>
        </w:rPr>
        <w:t>b</w:t>
      </w:r>
      <w:r w:rsidR="00651F7A" w:rsidRPr="004F7027">
        <w:rPr>
          <w:lang w:val="es-ES_tradnl"/>
        </w:rPr>
        <w:t xml:space="preserve">loque D, amenazaron en presencia del </w:t>
      </w:r>
      <w:r w:rsidR="00522056">
        <w:rPr>
          <w:lang w:val="es-ES_tradnl"/>
        </w:rPr>
        <w:t>Subcomité</w:t>
      </w:r>
      <w:r w:rsidR="00651F7A" w:rsidRPr="004F7027">
        <w:rPr>
          <w:lang w:val="es-ES_tradnl"/>
        </w:rPr>
        <w:t xml:space="preserve"> a los privados de libertad con castigos físicos si seguían informando </w:t>
      </w:r>
      <w:r w:rsidR="004A3E5E">
        <w:rPr>
          <w:lang w:val="es-ES_tradnl"/>
        </w:rPr>
        <w:t>a</w:t>
      </w:r>
      <w:r w:rsidR="00651F7A" w:rsidRPr="004F7027">
        <w:rPr>
          <w:lang w:val="es-ES_tradnl"/>
        </w:rPr>
        <w:t xml:space="preserve">l </w:t>
      </w:r>
      <w:r w:rsidR="00522056">
        <w:rPr>
          <w:lang w:val="es-ES_tradnl"/>
        </w:rPr>
        <w:t>Subcomité</w:t>
      </w:r>
      <w:r w:rsidR="00651F7A" w:rsidRPr="004F7027">
        <w:rPr>
          <w:lang w:val="es-ES_tradnl"/>
        </w:rPr>
        <w:t xml:space="preserve"> de la situación que padecían.</w:t>
      </w:r>
      <w:r w:rsidR="00651F7A">
        <w:rPr>
          <w:lang w:val="es-ES_tradnl"/>
        </w:rPr>
        <w:t xml:space="preserve"> </w:t>
      </w:r>
      <w:r w:rsidR="00651F7A" w:rsidRPr="004F7027">
        <w:rPr>
          <w:lang w:val="es-ES_tradnl"/>
        </w:rPr>
        <w:t xml:space="preserve">El </w:t>
      </w:r>
      <w:r w:rsidR="00522056">
        <w:rPr>
          <w:lang w:val="es-ES_tradnl"/>
        </w:rPr>
        <w:t>Subcomité</w:t>
      </w:r>
      <w:r w:rsidR="00651F7A" w:rsidRPr="004F7027">
        <w:rPr>
          <w:lang w:val="es-ES_tradnl"/>
        </w:rPr>
        <w:t xml:space="preserve"> constató con grave preocupación el temor generalizado; varios internos rechazaron hablar con el </w:t>
      </w:r>
      <w:r w:rsidR="00522056">
        <w:rPr>
          <w:lang w:val="es-ES_tradnl"/>
        </w:rPr>
        <w:t>Subcomité</w:t>
      </w:r>
      <w:r w:rsidR="00651F7A">
        <w:rPr>
          <w:lang w:val="es-ES_tradnl"/>
        </w:rPr>
        <w:t xml:space="preserve"> alegando posibles sanciones</w:t>
      </w:r>
      <w:r w:rsidR="00651F7A" w:rsidRPr="004F7027">
        <w:rPr>
          <w:lang w:val="es-ES_tradnl"/>
        </w:rPr>
        <w:t xml:space="preserve">. </w:t>
      </w:r>
      <w:r w:rsidR="00651F7A" w:rsidRPr="00487A9A">
        <w:rPr>
          <w:lang w:val="es-ES_tradnl"/>
        </w:rPr>
        <w:t xml:space="preserve">La existencia de represalias que ocurrieron a raíz de la visita del </w:t>
      </w:r>
      <w:r w:rsidR="00522056">
        <w:rPr>
          <w:lang w:val="es-ES_tradnl"/>
        </w:rPr>
        <w:t>Subcomité</w:t>
      </w:r>
      <w:r w:rsidR="00651F7A" w:rsidRPr="00487A9A">
        <w:rPr>
          <w:lang w:val="es-ES_tradnl"/>
        </w:rPr>
        <w:t xml:space="preserve"> fue corroborada por la visita de seguimiento de</w:t>
      </w:r>
      <w:r w:rsidR="00651F7A">
        <w:rPr>
          <w:lang w:val="es-ES_tradnl"/>
        </w:rPr>
        <w:t xml:space="preserve"> </w:t>
      </w:r>
      <w:r w:rsidR="004A3E5E">
        <w:rPr>
          <w:lang w:val="es-ES_tradnl"/>
        </w:rPr>
        <w:t xml:space="preserve">la Oficina del </w:t>
      </w:r>
      <w:r w:rsidR="008262BD">
        <w:rPr>
          <w:lang w:val="es-ES_tradnl"/>
        </w:rPr>
        <w:t xml:space="preserve">Alto Comisionado de las Naciones Unidas para los Derechos Humanos </w:t>
      </w:r>
      <w:r w:rsidR="004A3E5E">
        <w:rPr>
          <w:lang w:val="es-ES_tradnl"/>
        </w:rPr>
        <w:t xml:space="preserve">en el </w:t>
      </w:r>
      <w:r w:rsidR="000A4C11">
        <w:t>Estado Plurinacional de</w:t>
      </w:r>
      <w:r w:rsidR="000A4C11" w:rsidRPr="00F13B33">
        <w:t xml:space="preserve"> </w:t>
      </w:r>
      <w:r w:rsidR="00651F7A" w:rsidRPr="00487A9A">
        <w:rPr>
          <w:lang w:val="es-ES_tradnl"/>
        </w:rPr>
        <w:t xml:space="preserve">Bolivia. </w:t>
      </w:r>
      <w:r w:rsidR="00A8556F">
        <w:rPr>
          <w:lang w:val="es-ES_tradnl"/>
        </w:rPr>
        <w:t xml:space="preserve">Los castigos físicos llevaron al menos a una persona al hospital. </w:t>
      </w:r>
    </w:p>
    <w:p w14:paraId="209954CB" w14:textId="4C211CB7" w:rsidR="00651F7A" w:rsidRPr="00487A9A" w:rsidRDefault="00B15AFE" w:rsidP="00651F7A">
      <w:pPr>
        <w:pStyle w:val="SingleTxtG"/>
        <w:rPr>
          <w:lang w:val="es-ES_tradnl"/>
        </w:rPr>
      </w:pPr>
      <w:r>
        <w:rPr>
          <w:lang w:val="es-ES_tradnl"/>
        </w:rPr>
        <w:t>1</w:t>
      </w:r>
      <w:r w:rsidR="00430D76">
        <w:rPr>
          <w:lang w:val="es-ES_tradnl"/>
        </w:rPr>
        <w:t>2</w:t>
      </w:r>
      <w:r w:rsidR="00F8360C">
        <w:rPr>
          <w:lang w:val="es-ES_tradnl"/>
        </w:rPr>
        <w:t>8</w:t>
      </w:r>
      <w:r w:rsidR="00651F7A">
        <w:rPr>
          <w:lang w:val="es-ES_tradnl"/>
        </w:rPr>
        <w:t>.</w:t>
      </w:r>
      <w:r>
        <w:rPr>
          <w:lang w:val="es-ES_tradnl"/>
        </w:rPr>
        <w:tab/>
      </w:r>
      <w:r w:rsidR="00651F7A" w:rsidRPr="00487A9A">
        <w:rPr>
          <w:lang w:val="es-ES_tradnl"/>
        </w:rPr>
        <w:t xml:space="preserve">El </w:t>
      </w:r>
      <w:r w:rsidR="00522056">
        <w:rPr>
          <w:lang w:val="es-ES_tradnl"/>
        </w:rPr>
        <w:t>Subcomité</w:t>
      </w:r>
      <w:r w:rsidR="00651F7A" w:rsidRPr="00487A9A">
        <w:rPr>
          <w:lang w:val="es-ES_tradnl"/>
        </w:rPr>
        <w:t xml:space="preserve"> solicitó por cartas de 8 de mayo, 21 de junio y 7 de julio de 2017 información detallada acerca de las medidas</w:t>
      </w:r>
      <w:r w:rsidR="00651F7A">
        <w:rPr>
          <w:lang w:val="es-ES_tradnl"/>
        </w:rPr>
        <w:t xml:space="preserve"> adoptadas</w:t>
      </w:r>
      <w:r w:rsidR="00651F7A" w:rsidRPr="00487A9A">
        <w:rPr>
          <w:lang w:val="es-ES_tradnl"/>
        </w:rPr>
        <w:t xml:space="preserve">. El Estado parte respondió en las tres ocasiones, todas dentro de un plazo establecido. </w:t>
      </w:r>
      <w:r w:rsidR="00651F7A">
        <w:rPr>
          <w:lang w:val="es-ES_tradnl"/>
        </w:rPr>
        <w:t xml:space="preserve">No obstante, en opinión del </w:t>
      </w:r>
      <w:r w:rsidR="00522056">
        <w:rPr>
          <w:lang w:val="es-ES_tradnl"/>
        </w:rPr>
        <w:t>Subcomité</w:t>
      </w:r>
      <w:r w:rsidR="00651F7A">
        <w:rPr>
          <w:lang w:val="es-ES_tradnl"/>
        </w:rPr>
        <w:t xml:space="preserve">, las medidas adoptadas por el Estado parte </w:t>
      </w:r>
      <w:r w:rsidR="00651F7A" w:rsidRPr="00110075">
        <w:rPr>
          <w:lang w:val="es-ES_tradnl"/>
        </w:rPr>
        <w:t>no garantiza</w:t>
      </w:r>
      <w:r w:rsidR="00651F7A">
        <w:rPr>
          <w:lang w:val="es-ES_tradnl"/>
        </w:rPr>
        <w:t>ban</w:t>
      </w:r>
      <w:r w:rsidR="00651F7A" w:rsidRPr="00110075">
        <w:rPr>
          <w:lang w:val="es-ES_tradnl"/>
        </w:rPr>
        <w:t xml:space="preserve"> de form</w:t>
      </w:r>
      <w:r w:rsidR="00651F7A">
        <w:rPr>
          <w:lang w:val="es-ES_tradnl"/>
        </w:rPr>
        <w:t xml:space="preserve">a efectiva la investigación </w:t>
      </w:r>
      <w:r w:rsidR="00651F7A" w:rsidRPr="00110075">
        <w:rPr>
          <w:lang w:val="es-ES_tradnl"/>
        </w:rPr>
        <w:t>y garantías de no repetición</w:t>
      </w:r>
      <w:r w:rsidR="00651F7A">
        <w:rPr>
          <w:lang w:val="es-ES_tradnl"/>
        </w:rPr>
        <w:t>.</w:t>
      </w:r>
    </w:p>
    <w:p w14:paraId="5810BF55" w14:textId="18E14444" w:rsidR="00DD56B0" w:rsidRPr="00DD56B0" w:rsidRDefault="00DD56B0" w:rsidP="00651F7A">
      <w:pPr>
        <w:pStyle w:val="SingleTxtG"/>
        <w:rPr>
          <w:b/>
          <w:lang w:val="es-ES_tradnl"/>
        </w:rPr>
      </w:pPr>
      <w:r w:rsidRPr="0098110E">
        <w:rPr>
          <w:lang w:val="es-ES_tradnl"/>
        </w:rPr>
        <w:t>129.</w:t>
      </w:r>
      <w:r w:rsidRPr="0098110E">
        <w:rPr>
          <w:lang w:val="es-ES_tradnl"/>
        </w:rPr>
        <w:tab/>
      </w:r>
      <w:r w:rsidRPr="00DD56B0">
        <w:rPr>
          <w:b/>
          <w:lang w:val="es-ES_tradnl"/>
        </w:rPr>
        <w:t xml:space="preserve">El </w:t>
      </w:r>
      <w:r w:rsidR="00522056">
        <w:rPr>
          <w:b/>
          <w:lang w:val="es-ES_tradnl"/>
        </w:rPr>
        <w:t>Subcomité</w:t>
      </w:r>
      <w:r w:rsidRPr="00DD56B0">
        <w:rPr>
          <w:b/>
          <w:lang w:val="es-ES_tradnl"/>
        </w:rPr>
        <w:t xml:space="preserve"> recuerda y recomienda al Estado parte que los Estados deben velar por que se investiguen de manera inmediata, imparcial y eficaz todos los presuntos actos de represalias e intimidación, para que los responsables sean enjuiciados y para que se ofrezca una adecuada reparación a las víctimas.</w:t>
      </w:r>
    </w:p>
    <w:p w14:paraId="209954CD" w14:textId="4A7C92A0" w:rsidR="00651F7A" w:rsidRPr="00487A9A" w:rsidRDefault="00B15AFE" w:rsidP="00651F7A">
      <w:pPr>
        <w:pStyle w:val="SingleTxtG"/>
        <w:rPr>
          <w:lang w:val="es-ES_tradnl"/>
        </w:rPr>
      </w:pPr>
      <w:r>
        <w:rPr>
          <w:lang w:val="es-ES_tradnl"/>
        </w:rPr>
        <w:t>1</w:t>
      </w:r>
      <w:r w:rsidR="00AB5AA5">
        <w:rPr>
          <w:lang w:val="es-ES_tradnl"/>
        </w:rPr>
        <w:t>3</w:t>
      </w:r>
      <w:r w:rsidR="00F8360C">
        <w:rPr>
          <w:lang w:val="es-ES_tradnl"/>
        </w:rPr>
        <w:t>0</w:t>
      </w:r>
      <w:r w:rsidR="00651F7A">
        <w:rPr>
          <w:lang w:val="es-ES_tradnl"/>
        </w:rPr>
        <w:t>.</w:t>
      </w:r>
      <w:r>
        <w:rPr>
          <w:lang w:val="es-ES_tradnl"/>
        </w:rPr>
        <w:tab/>
      </w:r>
      <w:r w:rsidR="00651F7A" w:rsidRPr="00487A9A">
        <w:rPr>
          <w:lang w:val="es-ES_tradnl"/>
        </w:rPr>
        <w:t>En el marco de lo establecido en los artículos 2</w:t>
      </w:r>
      <w:r w:rsidR="00184AC5">
        <w:rPr>
          <w:lang w:val="es-ES_tradnl"/>
        </w:rPr>
        <w:t>, párr</w:t>
      </w:r>
      <w:r w:rsidR="00651F7A" w:rsidRPr="00487A9A">
        <w:rPr>
          <w:lang w:val="es-ES_tradnl"/>
        </w:rPr>
        <w:t>.</w:t>
      </w:r>
      <w:r w:rsidR="00184AC5">
        <w:rPr>
          <w:lang w:val="es-ES_tradnl"/>
        </w:rPr>
        <w:t xml:space="preserve"> </w:t>
      </w:r>
      <w:r w:rsidR="00651F7A" w:rsidRPr="00487A9A">
        <w:rPr>
          <w:lang w:val="es-ES_tradnl"/>
        </w:rPr>
        <w:t>4, 12</w:t>
      </w:r>
      <w:r w:rsidR="00184AC5">
        <w:rPr>
          <w:lang w:val="es-ES_tradnl"/>
        </w:rPr>
        <w:t>, apdos.</w:t>
      </w:r>
      <w:r w:rsidR="00651F7A" w:rsidRPr="00487A9A">
        <w:rPr>
          <w:lang w:val="es-ES_tradnl"/>
        </w:rPr>
        <w:t xml:space="preserve"> b) y d) y 14</w:t>
      </w:r>
      <w:r w:rsidR="00184AC5">
        <w:rPr>
          <w:lang w:val="es-ES_tradnl"/>
        </w:rPr>
        <w:t>, párr</w:t>
      </w:r>
      <w:r w:rsidR="00651F7A" w:rsidRPr="00487A9A">
        <w:rPr>
          <w:lang w:val="es-ES_tradnl"/>
        </w:rPr>
        <w:t>.</w:t>
      </w:r>
      <w:r w:rsidR="009514CB">
        <w:rPr>
          <w:lang w:val="es-ES_tradnl"/>
        </w:rPr>
        <w:t> </w:t>
      </w:r>
      <w:r w:rsidR="00651F7A" w:rsidRPr="00487A9A">
        <w:rPr>
          <w:lang w:val="es-ES_tradnl"/>
        </w:rPr>
        <w:t>1</w:t>
      </w:r>
      <w:r w:rsidR="00184AC5">
        <w:rPr>
          <w:lang w:val="es-ES_tradnl"/>
        </w:rPr>
        <w:t>, apdos.</w:t>
      </w:r>
      <w:r w:rsidR="00651F7A" w:rsidRPr="00487A9A">
        <w:rPr>
          <w:lang w:val="es-ES_tradnl"/>
        </w:rPr>
        <w:t xml:space="preserve"> a) y b)</w:t>
      </w:r>
      <w:r w:rsidR="00184AC5">
        <w:rPr>
          <w:lang w:val="es-ES_tradnl"/>
        </w:rPr>
        <w:t>,</w:t>
      </w:r>
      <w:r w:rsidR="00651F7A" w:rsidRPr="00487A9A">
        <w:rPr>
          <w:lang w:val="es-ES_tradnl"/>
        </w:rPr>
        <w:t xml:space="preserve"> del Protocolo Facultativo y en cumplimiento de su mandato, el </w:t>
      </w:r>
      <w:r w:rsidR="00522056">
        <w:rPr>
          <w:lang w:val="es-ES_tradnl"/>
        </w:rPr>
        <w:t>Subcomité</w:t>
      </w:r>
      <w:r w:rsidR="00651F7A" w:rsidRPr="00487A9A">
        <w:rPr>
          <w:lang w:val="es-ES_tradnl"/>
        </w:rPr>
        <w:t xml:space="preserve"> continuará activamente dando seguimiento en su diálogo con el </w:t>
      </w:r>
      <w:r w:rsidR="000A4C11">
        <w:t>Estado Plurinacional de</w:t>
      </w:r>
      <w:r w:rsidR="000A4C11" w:rsidRPr="00F13B33">
        <w:t xml:space="preserve"> </w:t>
      </w:r>
      <w:r w:rsidR="00651F7A" w:rsidRPr="00487A9A">
        <w:rPr>
          <w:lang w:val="es-ES_tradnl"/>
        </w:rPr>
        <w:t xml:space="preserve">Bolivia para la protección de los derechos de </w:t>
      </w:r>
      <w:r w:rsidR="00A8556F">
        <w:rPr>
          <w:lang w:val="es-ES_tradnl"/>
        </w:rPr>
        <w:t xml:space="preserve">las </w:t>
      </w:r>
      <w:r w:rsidR="00B62628">
        <w:rPr>
          <w:lang w:val="es-ES_tradnl"/>
        </w:rPr>
        <w:t>personas privadas de libertad</w:t>
      </w:r>
      <w:r w:rsidR="00651F7A" w:rsidRPr="00487A9A">
        <w:rPr>
          <w:lang w:val="es-ES_tradnl"/>
        </w:rPr>
        <w:t>.</w:t>
      </w:r>
    </w:p>
    <w:p w14:paraId="209954CE" w14:textId="0D9C7D8C" w:rsidR="00651F7A" w:rsidRPr="00DD56B0" w:rsidRDefault="00DD56B0" w:rsidP="00651F7A">
      <w:pPr>
        <w:pStyle w:val="SingleTxtG"/>
        <w:rPr>
          <w:b/>
          <w:lang w:val="es-ES_tradnl"/>
        </w:rPr>
      </w:pPr>
      <w:r w:rsidRPr="0098110E">
        <w:rPr>
          <w:lang w:val="es-ES_tradnl"/>
        </w:rPr>
        <w:t>131.</w:t>
      </w:r>
      <w:r w:rsidRPr="00DD56B0">
        <w:rPr>
          <w:b/>
          <w:lang w:val="es-ES_tradnl"/>
        </w:rPr>
        <w:tab/>
        <w:t xml:space="preserve">El </w:t>
      </w:r>
      <w:r w:rsidR="00522056">
        <w:rPr>
          <w:b/>
          <w:lang w:val="es-ES_tradnl"/>
        </w:rPr>
        <w:t>Subcomité</w:t>
      </w:r>
      <w:r w:rsidRPr="00DD56B0">
        <w:rPr>
          <w:b/>
          <w:lang w:val="es-ES_tradnl"/>
        </w:rPr>
        <w:t xml:space="preserve"> considera, después de un riguroso análisis, que el Estado </w:t>
      </w:r>
      <w:r w:rsidR="00184AC5">
        <w:rPr>
          <w:b/>
          <w:lang w:val="es-ES_tradnl"/>
        </w:rPr>
        <w:t>p</w:t>
      </w:r>
      <w:r w:rsidRPr="00DD56B0">
        <w:rPr>
          <w:b/>
          <w:lang w:val="es-ES_tradnl"/>
        </w:rPr>
        <w:t xml:space="preserve">arte no ha tomado las medidas suficientes para asegurarse de que todos los presuntos actos de represalias e intimidación sean investigados pronta, imparcial y eficazmente y que los responsables sean llevados ante la justicia, de conformidad con el artículo 13 de la Convención contra la Tortura y el artículo 15 del </w:t>
      </w:r>
      <w:r w:rsidR="0064655F">
        <w:rPr>
          <w:b/>
          <w:lang w:val="es-ES_tradnl"/>
        </w:rPr>
        <w:t>Protocolo Facultativo</w:t>
      </w:r>
      <w:r w:rsidRPr="00DD56B0">
        <w:rPr>
          <w:b/>
          <w:lang w:val="es-ES_tradnl"/>
        </w:rPr>
        <w:t xml:space="preserve">. Por lo tanto, y tomando en cuenta que el Estado parte </w:t>
      </w:r>
      <w:r>
        <w:rPr>
          <w:b/>
          <w:lang w:val="es-ES_tradnl"/>
        </w:rPr>
        <w:t xml:space="preserve">tampoco </w:t>
      </w:r>
      <w:r w:rsidRPr="00DD56B0">
        <w:rPr>
          <w:b/>
          <w:lang w:val="es-ES_tradnl"/>
        </w:rPr>
        <w:t xml:space="preserve">ha implementado las </w:t>
      </w:r>
      <w:r>
        <w:rPr>
          <w:b/>
          <w:lang w:val="es-ES_tradnl"/>
        </w:rPr>
        <w:t xml:space="preserve">demás </w:t>
      </w:r>
      <w:r w:rsidRPr="00DD56B0">
        <w:rPr>
          <w:b/>
          <w:lang w:val="es-ES_tradnl"/>
        </w:rPr>
        <w:t xml:space="preserve">recomendaciones del </w:t>
      </w:r>
      <w:r w:rsidR="00522056">
        <w:rPr>
          <w:b/>
          <w:lang w:val="es-ES_tradnl"/>
        </w:rPr>
        <w:t>Subcomité</w:t>
      </w:r>
      <w:r w:rsidRPr="00DD56B0">
        <w:rPr>
          <w:b/>
          <w:lang w:val="es-ES_tradnl"/>
        </w:rPr>
        <w:t xml:space="preserve">, el </w:t>
      </w:r>
      <w:r w:rsidR="00522056">
        <w:rPr>
          <w:b/>
          <w:lang w:val="es-ES_tradnl"/>
        </w:rPr>
        <w:t>Subcomité</w:t>
      </w:r>
      <w:r w:rsidRPr="00DD56B0">
        <w:rPr>
          <w:b/>
          <w:lang w:val="es-ES_tradnl"/>
        </w:rPr>
        <w:t xml:space="preserve"> procede a recurrir al mecanismo previsto en el artículo 16</w:t>
      </w:r>
      <w:r w:rsidR="00184AC5">
        <w:rPr>
          <w:b/>
          <w:lang w:val="es-ES_tradnl"/>
        </w:rPr>
        <w:t>, párr</w:t>
      </w:r>
      <w:r w:rsidRPr="00DD56B0">
        <w:rPr>
          <w:b/>
          <w:lang w:val="es-ES_tradnl"/>
        </w:rPr>
        <w:t>.</w:t>
      </w:r>
      <w:r w:rsidR="00184AC5">
        <w:rPr>
          <w:b/>
          <w:lang w:val="es-ES_tradnl"/>
        </w:rPr>
        <w:t xml:space="preserve"> </w:t>
      </w:r>
      <w:r w:rsidRPr="00DD56B0">
        <w:rPr>
          <w:b/>
          <w:lang w:val="es-ES_tradnl"/>
        </w:rPr>
        <w:t>4</w:t>
      </w:r>
      <w:r w:rsidR="00184AC5">
        <w:rPr>
          <w:b/>
          <w:lang w:val="es-ES_tradnl"/>
        </w:rPr>
        <w:t>,</w:t>
      </w:r>
      <w:r w:rsidRPr="00DD56B0">
        <w:rPr>
          <w:b/>
          <w:lang w:val="es-ES_tradnl"/>
        </w:rPr>
        <w:t xml:space="preserve"> del </w:t>
      </w:r>
      <w:r w:rsidR="0064655F">
        <w:rPr>
          <w:b/>
          <w:lang w:val="es-ES_tradnl"/>
        </w:rPr>
        <w:t>Protocolo Facultativo</w:t>
      </w:r>
      <w:r w:rsidRPr="00DD56B0">
        <w:rPr>
          <w:b/>
          <w:lang w:val="es-ES_tradnl"/>
        </w:rPr>
        <w:t>.</w:t>
      </w:r>
      <w:r w:rsidR="00651F7A" w:rsidRPr="00DD56B0">
        <w:rPr>
          <w:b/>
          <w:lang w:val="es-ES_tradnl"/>
        </w:rPr>
        <w:t xml:space="preserve"> </w:t>
      </w:r>
    </w:p>
    <w:p w14:paraId="209954CF" w14:textId="77777777" w:rsidR="00651F7A" w:rsidRPr="0010558C" w:rsidRDefault="00B15AFE" w:rsidP="00B15AFE">
      <w:pPr>
        <w:pStyle w:val="HChG"/>
        <w:rPr>
          <w:lang w:eastAsia="en-GB"/>
        </w:rPr>
      </w:pPr>
      <w:r w:rsidRPr="0010558C">
        <w:rPr>
          <w:lang w:eastAsia="en-GB"/>
        </w:rPr>
        <w:tab/>
        <w:t>VIII.</w:t>
      </w:r>
      <w:r w:rsidR="00651F7A" w:rsidRPr="0010558C">
        <w:rPr>
          <w:lang w:eastAsia="en-GB"/>
        </w:rPr>
        <w:tab/>
        <w:t>Conclusión</w:t>
      </w:r>
    </w:p>
    <w:p w14:paraId="209954D0" w14:textId="53BEB8E6" w:rsidR="00651F7A" w:rsidRPr="00487A9A" w:rsidRDefault="00B15AFE" w:rsidP="00651F7A">
      <w:pPr>
        <w:pStyle w:val="SingleTxtG"/>
        <w:rPr>
          <w:lang w:val="es-AR"/>
        </w:rPr>
      </w:pPr>
      <w:r w:rsidRPr="0098110E">
        <w:rPr>
          <w:bCs/>
          <w:color w:val="000000"/>
          <w:lang w:val="es-AR" w:eastAsia="en-GB"/>
        </w:rPr>
        <w:t>1</w:t>
      </w:r>
      <w:r w:rsidR="00AB5AA5" w:rsidRPr="0098110E">
        <w:rPr>
          <w:bCs/>
          <w:color w:val="000000"/>
          <w:lang w:val="es-AR" w:eastAsia="en-GB"/>
        </w:rPr>
        <w:t>3</w:t>
      </w:r>
      <w:r w:rsidR="00F8360C" w:rsidRPr="0098110E">
        <w:rPr>
          <w:bCs/>
          <w:color w:val="000000"/>
          <w:lang w:val="es-AR" w:eastAsia="en-GB"/>
        </w:rPr>
        <w:t>2</w:t>
      </w:r>
      <w:r w:rsidR="00651F7A" w:rsidRPr="0098110E">
        <w:rPr>
          <w:bCs/>
          <w:color w:val="000000"/>
          <w:lang w:val="es-AR" w:eastAsia="en-GB"/>
        </w:rPr>
        <w:t>.</w:t>
      </w:r>
      <w:r w:rsidR="003F48E6">
        <w:rPr>
          <w:b/>
          <w:bCs/>
          <w:color w:val="000000"/>
          <w:lang w:val="es-AR" w:eastAsia="en-GB"/>
        </w:rPr>
        <w:tab/>
      </w:r>
      <w:r w:rsidR="00651F7A" w:rsidRPr="00487A9A">
        <w:rPr>
          <w:b/>
          <w:bCs/>
          <w:color w:val="000000"/>
          <w:lang w:val="es-AR" w:eastAsia="en-GB"/>
        </w:rPr>
        <w:t xml:space="preserve">El </w:t>
      </w:r>
      <w:r w:rsidR="00522056">
        <w:rPr>
          <w:b/>
          <w:bCs/>
          <w:color w:val="000000"/>
          <w:lang w:val="es-AR" w:eastAsia="en-GB"/>
        </w:rPr>
        <w:t>Subcomité</w:t>
      </w:r>
      <w:r w:rsidR="00651F7A" w:rsidRPr="00487A9A">
        <w:rPr>
          <w:b/>
          <w:bCs/>
          <w:color w:val="000000"/>
          <w:lang w:val="es-AR" w:eastAsia="en-GB"/>
        </w:rPr>
        <w:t xml:space="preserve"> espera que el Estado parte d</w:t>
      </w:r>
      <w:r w:rsidR="00184AC5">
        <w:rPr>
          <w:b/>
          <w:bCs/>
          <w:color w:val="000000"/>
          <w:lang w:val="es-AR" w:eastAsia="en-GB"/>
        </w:rPr>
        <w:t>é</w:t>
      </w:r>
      <w:r w:rsidR="00651F7A" w:rsidRPr="00487A9A">
        <w:rPr>
          <w:b/>
          <w:bCs/>
          <w:color w:val="000000"/>
          <w:lang w:val="es-AR" w:eastAsia="en-GB"/>
        </w:rPr>
        <w:t xml:space="preserve"> la prioridad al establecimiento</w:t>
      </w:r>
      <w:r w:rsidR="00651F7A">
        <w:rPr>
          <w:b/>
          <w:bCs/>
          <w:color w:val="000000"/>
          <w:lang w:val="es-AR" w:eastAsia="en-GB"/>
        </w:rPr>
        <w:t xml:space="preserve"> </w:t>
      </w:r>
      <w:r w:rsidR="00651F7A" w:rsidRPr="00487A9A">
        <w:rPr>
          <w:b/>
          <w:bCs/>
          <w:color w:val="000000"/>
          <w:lang w:val="es-AR" w:eastAsia="en-GB"/>
        </w:rPr>
        <w:t xml:space="preserve">de un sólido andamiaje de prevención de la tortura. El </w:t>
      </w:r>
      <w:r w:rsidR="00522056">
        <w:rPr>
          <w:b/>
          <w:bCs/>
          <w:color w:val="000000"/>
          <w:lang w:val="es-AR" w:eastAsia="en-GB"/>
        </w:rPr>
        <w:t>Subcomité</w:t>
      </w:r>
      <w:r w:rsidR="00651F7A" w:rsidRPr="00487A9A">
        <w:rPr>
          <w:b/>
          <w:bCs/>
          <w:color w:val="000000"/>
          <w:lang w:val="es-AR" w:eastAsia="en-GB"/>
        </w:rPr>
        <w:t xml:space="preserve"> urge </w:t>
      </w:r>
      <w:r w:rsidR="00184AC5">
        <w:rPr>
          <w:b/>
          <w:bCs/>
          <w:color w:val="000000"/>
          <w:lang w:val="es-AR" w:eastAsia="en-GB"/>
        </w:rPr>
        <w:t xml:space="preserve">a </w:t>
      </w:r>
      <w:r w:rsidR="00651F7A" w:rsidRPr="00487A9A">
        <w:rPr>
          <w:b/>
          <w:bCs/>
          <w:color w:val="000000"/>
          <w:lang w:val="es-AR" w:eastAsia="en-GB"/>
        </w:rPr>
        <w:t xml:space="preserve">las autoridades a implementar las recomendaciones emanantes de sus </w:t>
      </w:r>
      <w:r w:rsidR="00BB0348">
        <w:rPr>
          <w:b/>
          <w:bCs/>
          <w:color w:val="000000"/>
          <w:lang w:val="es-AR" w:eastAsia="en-GB"/>
        </w:rPr>
        <w:t xml:space="preserve">sendos </w:t>
      </w:r>
      <w:r w:rsidR="00651F7A" w:rsidRPr="00487A9A">
        <w:rPr>
          <w:b/>
          <w:bCs/>
          <w:color w:val="000000"/>
          <w:lang w:val="es-AR" w:eastAsia="en-GB"/>
        </w:rPr>
        <w:t>informes de visitas</w:t>
      </w:r>
      <w:r w:rsidR="00651F7A">
        <w:rPr>
          <w:b/>
          <w:bCs/>
          <w:color w:val="000000"/>
          <w:lang w:val="es-AR" w:eastAsia="en-GB"/>
        </w:rPr>
        <w:t xml:space="preserve"> y autorizar su publicación.</w:t>
      </w:r>
    </w:p>
    <w:p w14:paraId="209954D1" w14:textId="77777777" w:rsidR="00651F7A" w:rsidRDefault="00B15AFE" w:rsidP="00B15AFE">
      <w:pPr>
        <w:spacing w:line="240" w:lineRule="auto"/>
      </w:pPr>
      <w:r>
        <w:br w:type="page"/>
      </w:r>
    </w:p>
    <w:p w14:paraId="209954D2" w14:textId="77777777" w:rsidR="00651F7A" w:rsidRPr="00EF2161" w:rsidRDefault="00B15AFE" w:rsidP="00B15AFE">
      <w:pPr>
        <w:pStyle w:val="HChG"/>
      </w:pPr>
      <w:r>
        <w:lastRenderedPageBreak/>
        <w:tab/>
      </w:r>
      <w:r>
        <w:tab/>
      </w:r>
      <w:r w:rsidR="00651F7A" w:rsidRPr="00EF2161">
        <w:t>Anexos</w:t>
      </w:r>
    </w:p>
    <w:p w14:paraId="209954D3" w14:textId="77777777" w:rsidR="00651F7A" w:rsidRPr="00EF2161" w:rsidRDefault="00B15AFE" w:rsidP="0098110E">
      <w:pPr>
        <w:pStyle w:val="HChG"/>
      </w:pPr>
      <w:r>
        <w:tab/>
      </w:r>
      <w:r>
        <w:tab/>
      </w:r>
      <w:r w:rsidR="00651F7A" w:rsidRPr="00EF2161">
        <w:t>Anexo I</w:t>
      </w:r>
    </w:p>
    <w:p w14:paraId="209954D4" w14:textId="56C82319" w:rsidR="00651F7A" w:rsidRPr="00D868CF" w:rsidRDefault="00651F7A" w:rsidP="00B15AFE">
      <w:pPr>
        <w:pStyle w:val="H1G"/>
      </w:pPr>
      <w:r w:rsidRPr="00EF2161">
        <w:tab/>
      </w:r>
      <w:r w:rsidRPr="00EF2161">
        <w:tab/>
      </w:r>
      <w:r w:rsidRPr="00D868CF">
        <w:t>Lista de altos funcionarios y otras personas con las que se reunió el</w:t>
      </w:r>
      <w:r w:rsidR="00677846">
        <w:t> </w:t>
      </w:r>
      <w:r w:rsidR="00522056">
        <w:t>Subcomité</w:t>
      </w:r>
    </w:p>
    <w:p w14:paraId="209954D5" w14:textId="7E71E8F8" w:rsidR="00651F7A" w:rsidRPr="00D868CF" w:rsidRDefault="00651F7A" w:rsidP="00B15AFE">
      <w:pPr>
        <w:pStyle w:val="H23G"/>
      </w:pPr>
      <w:r w:rsidRPr="00D868CF">
        <w:tab/>
      </w:r>
      <w:r w:rsidR="00DC1FFF">
        <w:t>A</w:t>
      </w:r>
      <w:r w:rsidRPr="00D868CF">
        <w:t>.</w:t>
      </w:r>
      <w:r w:rsidRPr="00D868CF">
        <w:tab/>
        <w:t>Autoridades nacionales</w:t>
      </w:r>
    </w:p>
    <w:p w14:paraId="209954D6" w14:textId="77777777" w:rsidR="00651F7A" w:rsidRPr="00B15AFE" w:rsidRDefault="00651F7A" w:rsidP="008631EF">
      <w:pPr>
        <w:pStyle w:val="H4G"/>
      </w:pPr>
      <w:r w:rsidRPr="00B15AFE">
        <w:tab/>
      </w:r>
      <w:r w:rsidRPr="00B15AFE">
        <w:tab/>
        <w:t>Ministerio de Gobierno</w:t>
      </w:r>
    </w:p>
    <w:p w14:paraId="209954D7" w14:textId="77777777" w:rsidR="00651F7A" w:rsidRPr="00D868CF" w:rsidRDefault="00651F7A" w:rsidP="008631EF">
      <w:pPr>
        <w:pStyle w:val="SingleTxtG"/>
      </w:pPr>
      <w:r w:rsidRPr="00D868CF">
        <w:t>Sr.</w:t>
      </w:r>
      <w:r>
        <w:t xml:space="preserve"> </w:t>
      </w:r>
      <w:r w:rsidRPr="00D868CF">
        <w:t>Carlos Romero Bonifáz, Ministro de Gobierno</w:t>
      </w:r>
    </w:p>
    <w:p w14:paraId="209954D8" w14:textId="77777777" w:rsidR="00651F7A" w:rsidRPr="00D868CF" w:rsidRDefault="00651F7A" w:rsidP="008631EF">
      <w:pPr>
        <w:pStyle w:val="SingleTxtG"/>
      </w:pPr>
      <w:r w:rsidRPr="00D868CF">
        <w:t>Sr. José Luis Quiroga Altamirano, Ministro Adjunto de Asuntos Internos y Policía</w:t>
      </w:r>
    </w:p>
    <w:p w14:paraId="209954D9" w14:textId="77777777" w:rsidR="00651F7A" w:rsidRPr="00D868CF" w:rsidRDefault="00651F7A" w:rsidP="008631EF">
      <w:pPr>
        <w:pStyle w:val="SingleTxtG"/>
      </w:pPr>
      <w:r w:rsidRPr="00D868CF">
        <w:rPr>
          <w:bCs/>
          <w:szCs w:val="24"/>
        </w:rPr>
        <w:t>Sr. Jorge López Arenas, Director General del Régimen Penitenciario</w:t>
      </w:r>
    </w:p>
    <w:p w14:paraId="209954DA" w14:textId="77777777" w:rsidR="00651F7A" w:rsidRPr="00D868CF" w:rsidRDefault="00651F7A" w:rsidP="008631EF">
      <w:pPr>
        <w:pStyle w:val="H4G"/>
      </w:pPr>
      <w:r w:rsidRPr="00D868CF">
        <w:tab/>
      </w:r>
      <w:r w:rsidRPr="00D868CF">
        <w:tab/>
        <w:t>Ministerio de Justicia</w:t>
      </w:r>
    </w:p>
    <w:p w14:paraId="209954DB" w14:textId="730375AA" w:rsidR="00651F7A" w:rsidRPr="00D868CF" w:rsidRDefault="00651F7A" w:rsidP="008631EF">
      <w:pPr>
        <w:pStyle w:val="SingleTxtG"/>
      </w:pPr>
      <w:r w:rsidRPr="00D868CF">
        <w:t>Sr. Diego Jiménez Guachalla, Viceministro de Justicia y Derechos Fundamentales</w:t>
      </w:r>
    </w:p>
    <w:p w14:paraId="209954DC" w14:textId="66C5F976" w:rsidR="00651F7A" w:rsidRPr="00D868CF" w:rsidRDefault="00651F7A" w:rsidP="008631EF">
      <w:pPr>
        <w:pStyle w:val="SingleTxtG"/>
      </w:pPr>
      <w:r w:rsidRPr="00D868CF">
        <w:t>Sr. C</w:t>
      </w:r>
      <w:r w:rsidR="00353292">
        <w:t>é</w:t>
      </w:r>
      <w:r w:rsidRPr="00D868CF">
        <w:t xml:space="preserve">sar Augusto Romano, Director del Servicio Nacional de la Defensa Pública </w:t>
      </w:r>
    </w:p>
    <w:p w14:paraId="209954DD" w14:textId="77777777" w:rsidR="00651F7A" w:rsidRPr="00D868CF" w:rsidRDefault="00651F7A" w:rsidP="008631EF">
      <w:pPr>
        <w:pStyle w:val="SingleTxtG"/>
      </w:pPr>
      <w:r w:rsidRPr="00D868CF">
        <w:t>Sr. Gilvio Janayo Caricari, Viceministro de Justicia Indígena y Campesina</w:t>
      </w:r>
    </w:p>
    <w:p w14:paraId="209954DF" w14:textId="1F9AD015" w:rsidR="00651F7A" w:rsidRPr="00D868CF" w:rsidRDefault="00651F7A" w:rsidP="008631EF">
      <w:pPr>
        <w:pStyle w:val="SingleTxtG"/>
      </w:pPr>
      <w:r w:rsidRPr="00D868CF">
        <w:t>Sr. Álvaro Guzmán, Director del SEPRET</w:t>
      </w:r>
    </w:p>
    <w:p w14:paraId="209954E0" w14:textId="77777777" w:rsidR="00651F7A" w:rsidRPr="00D868CF" w:rsidRDefault="00651F7A" w:rsidP="008631EF">
      <w:pPr>
        <w:pStyle w:val="SingleTxtG"/>
      </w:pPr>
      <w:r w:rsidRPr="00D868CF">
        <w:t>Equipo del SEPRET</w:t>
      </w:r>
    </w:p>
    <w:p w14:paraId="209954E1" w14:textId="77777777" w:rsidR="00651F7A" w:rsidRPr="00D868CF" w:rsidRDefault="00651F7A" w:rsidP="008631EF">
      <w:pPr>
        <w:pStyle w:val="H4G"/>
      </w:pPr>
      <w:r w:rsidRPr="00D868CF">
        <w:tab/>
      </w:r>
      <w:r w:rsidRPr="00D868CF">
        <w:tab/>
        <w:t>Ministerio de Relaciones Exteriores</w:t>
      </w:r>
    </w:p>
    <w:p w14:paraId="209954E2" w14:textId="77777777" w:rsidR="00651F7A" w:rsidRPr="0010558C" w:rsidRDefault="00651F7A" w:rsidP="008631EF">
      <w:pPr>
        <w:pStyle w:val="SingleTxtG"/>
        <w:rPr>
          <w:lang w:val="pt-BR"/>
        </w:rPr>
      </w:pPr>
      <w:r w:rsidRPr="0010558C">
        <w:rPr>
          <w:lang w:val="pt-BR"/>
        </w:rPr>
        <w:t>Sra. Guadalupe Palomeque de la Cruz, Viceministra de Relaciones Exteriores</w:t>
      </w:r>
    </w:p>
    <w:p w14:paraId="209954E4" w14:textId="77777777" w:rsidR="00651F7A" w:rsidRPr="0010558C" w:rsidRDefault="00651F7A" w:rsidP="008631EF">
      <w:pPr>
        <w:pStyle w:val="H4G"/>
        <w:rPr>
          <w:lang w:val="pt-BR"/>
        </w:rPr>
      </w:pPr>
      <w:r w:rsidRPr="0010558C">
        <w:rPr>
          <w:lang w:val="pt-BR"/>
        </w:rPr>
        <w:tab/>
      </w:r>
      <w:r w:rsidRPr="0010558C">
        <w:rPr>
          <w:lang w:val="pt-BR"/>
        </w:rPr>
        <w:tab/>
        <w:t>Ministerio de Defensa</w:t>
      </w:r>
    </w:p>
    <w:p w14:paraId="209954E5" w14:textId="77777777" w:rsidR="00651F7A" w:rsidRPr="0010558C" w:rsidRDefault="00651F7A" w:rsidP="008631EF">
      <w:pPr>
        <w:pStyle w:val="SingleTxtG"/>
        <w:rPr>
          <w:lang w:val="pt-BR"/>
        </w:rPr>
      </w:pPr>
      <w:r w:rsidRPr="0010558C">
        <w:rPr>
          <w:lang w:val="pt-BR"/>
        </w:rPr>
        <w:t>Sr. Reymi Ferreira Justiniano, Ministro de Defensa</w:t>
      </w:r>
    </w:p>
    <w:p w14:paraId="209954E8" w14:textId="112D783E" w:rsidR="00651F7A" w:rsidRPr="00D868CF" w:rsidRDefault="00651F7A" w:rsidP="008631EF">
      <w:pPr>
        <w:pStyle w:val="SingleTxtG"/>
      </w:pPr>
      <w:r w:rsidRPr="00D868CF">
        <w:t xml:space="preserve">Sra. Liliana Guzmán Gorena, Dirección General de Derechos Humanos e Interculturalidad en las </w:t>
      </w:r>
      <w:r w:rsidR="00353292">
        <w:t>Fuerzas Armadas</w:t>
      </w:r>
    </w:p>
    <w:p w14:paraId="209954E9" w14:textId="77777777" w:rsidR="00651F7A" w:rsidRPr="00D868CF" w:rsidRDefault="00651F7A" w:rsidP="008631EF">
      <w:pPr>
        <w:pStyle w:val="H4G"/>
      </w:pPr>
      <w:r w:rsidRPr="00D868CF">
        <w:tab/>
      </w:r>
      <w:r w:rsidRPr="00D868CF">
        <w:tab/>
        <w:t>Policía Nacional</w:t>
      </w:r>
    </w:p>
    <w:p w14:paraId="209954EA" w14:textId="186AA85C" w:rsidR="00651F7A" w:rsidRPr="00D868CF" w:rsidRDefault="00711AC0" w:rsidP="008631EF">
      <w:pPr>
        <w:pStyle w:val="SingleTxtG"/>
      </w:pPr>
      <w:r>
        <w:t>Sr</w:t>
      </w:r>
      <w:r w:rsidR="00376AB3">
        <w:t>.</w:t>
      </w:r>
      <w:r>
        <w:t xml:space="preserve"> </w:t>
      </w:r>
      <w:r w:rsidR="00651F7A" w:rsidRPr="00D868CF">
        <w:t xml:space="preserve">Abel Galo de la Barra Cáceres, Comandante General </w:t>
      </w:r>
    </w:p>
    <w:p w14:paraId="209954EC" w14:textId="56F7643A" w:rsidR="00651F7A" w:rsidRPr="00D868CF" w:rsidRDefault="00651F7A" w:rsidP="008631EF">
      <w:pPr>
        <w:pStyle w:val="H4G"/>
      </w:pPr>
      <w:r w:rsidRPr="00D868CF">
        <w:tab/>
      </w:r>
      <w:r w:rsidRPr="00D868CF">
        <w:tab/>
        <w:t xml:space="preserve">Poder </w:t>
      </w:r>
      <w:r w:rsidR="00872418">
        <w:t>j</w:t>
      </w:r>
      <w:r w:rsidRPr="00D868CF">
        <w:t>udicial</w:t>
      </w:r>
    </w:p>
    <w:p w14:paraId="209954ED" w14:textId="520AAFFE" w:rsidR="00651F7A" w:rsidRPr="00D868CF" w:rsidRDefault="00651F7A" w:rsidP="008631EF">
      <w:pPr>
        <w:pStyle w:val="SingleTxtG"/>
      </w:pPr>
      <w:r w:rsidRPr="00D868CF">
        <w:t xml:space="preserve">Representantes del Tribunal Constitucional </w:t>
      </w:r>
    </w:p>
    <w:p w14:paraId="209954EE" w14:textId="77777777" w:rsidR="00651F7A" w:rsidRPr="00D868CF" w:rsidRDefault="00651F7A" w:rsidP="008631EF">
      <w:pPr>
        <w:pStyle w:val="SingleTxtG"/>
      </w:pPr>
      <w:r w:rsidRPr="00D868CF">
        <w:t xml:space="preserve">Representante de la Justicia de Ejecución Penal </w:t>
      </w:r>
    </w:p>
    <w:p w14:paraId="209954EF" w14:textId="77777777" w:rsidR="00651F7A" w:rsidRPr="00D868CF" w:rsidRDefault="00651F7A" w:rsidP="008631EF">
      <w:pPr>
        <w:pStyle w:val="SingleTxtG"/>
      </w:pPr>
      <w:r w:rsidRPr="00D868CF">
        <w:t>Representante del Consejo de la Magistratura</w:t>
      </w:r>
    </w:p>
    <w:p w14:paraId="209954F0" w14:textId="25A5AA17" w:rsidR="00651F7A" w:rsidRPr="00D868CF" w:rsidRDefault="00651F7A" w:rsidP="008631EF">
      <w:pPr>
        <w:pStyle w:val="H4G"/>
      </w:pPr>
      <w:r w:rsidRPr="00D868CF">
        <w:tab/>
      </w:r>
      <w:r w:rsidRPr="00D868CF">
        <w:tab/>
        <w:t xml:space="preserve">Ministerio </w:t>
      </w:r>
      <w:r w:rsidR="00DC1FFF">
        <w:t>P</w:t>
      </w:r>
      <w:r w:rsidRPr="00D868CF">
        <w:t>úblico</w:t>
      </w:r>
    </w:p>
    <w:p w14:paraId="209954F1" w14:textId="77777777" w:rsidR="00651F7A" w:rsidRPr="00D868CF" w:rsidRDefault="00651F7A" w:rsidP="008631EF">
      <w:pPr>
        <w:pStyle w:val="SingleTxtG"/>
      </w:pPr>
      <w:r w:rsidRPr="00D868CF">
        <w:t>Representante de Fiscalía de Distrito</w:t>
      </w:r>
    </w:p>
    <w:p w14:paraId="209954F2" w14:textId="77777777" w:rsidR="00651F7A" w:rsidRPr="00D868CF" w:rsidRDefault="00651F7A" w:rsidP="008631EF">
      <w:pPr>
        <w:pStyle w:val="H4G"/>
      </w:pPr>
      <w:r w:rsidRPr="00D868CF">
        <w:tab/>
      </w:r>
      <w:r w:rsidRPr="00D868CF">
        <w:tab/>
        <w:t>Defensoría del Pueblo</w:t>
      </w:r>
    </w:p>
    <w:p w14:paraId="209954F3" w14:textId="77777777" w:rsidR="00651F7A" w:rsidRPr="00D868CF" w:rsidRDefault="00651F7A" w:rsidP="008631EF">
      <w:pPr>
        <w:pStyle w:val="SingleTxtG"/>
      </w:pPr>
      <w:r w:rsidRPr="00D868CF">
        <w:t>Sr. David Tezanos Pinto, Defensor del Pueblo</w:t>
      </w:r>
    </w:p>
    <w:p w14:paraId="209954F4" w14:textId="77777777" w:rsidR="00651F7A" w:rsidRPr="00D868CF" w:rsidRDefault="00651F7A" w:rsidP="008631EF">
      <w:pPr>
        <w:pStyle w:val="SingleTxtG"/>
      </w:pPr>
      <w:r w:rsidRPr="00D868CF">
        <w:t>Sr. Eduardo Cuenca</w:t>
      </w:r>
    </w:p>
    <w:p w14:paraId="209954F5" w14:textId="5F7AEB47" w:rsidR="00651F7A" w:rsidRPr="00D868CF" w:rsidRDefault="00651F7A" w:rsidP="008631EF">
      <w:pPr>
        <w:pStyle w:val="H1G"/>
      </w:pPr>
      <w:r w:rsidRPr="00D868CF">
        <w:tab/>
      </w:r>
      <w:r w:rsidR="00DC1FFF">
        <w:t>B</w:t>
      </w:r>
      <w:r w:rsidRPr="00D868CF">
        <w:t>.</w:t>
      </w:r>
      <w:r w:rsidRPr="00D868CF">
        <w:tab/>
        <w:t>Organismos de las Naciones Unidas</w:t>
      </w:r>
    </w:p>
    <w:p w14:paraId="209954F6" w14:textId="78A26450" w:rsidR="00651F7A" w:rsidRPr="00D868CF" w:rsidRDefault="00651F7A" w:rsidP="008631EF">
      <w:pPr>
        <w:pStyle w:val="SingleTxtG"/>
      </w:pPr>
      <w:r w:rsidRPr="00D868CF">
        <w:t xml:space="preserve">Oficina del Alto Comisionado de las Naciones Unidas para los Derechos Humanos en </w:t>
      </w:r>
      <w:r w:rsidR="000A4C11">
        <w:t>el Estado Plurinacional de</w:t>
      </w:r>
      <w:r w:rsidR="000A4C11" w:rsidRPr="00F13B33">
        <w:t xml:space="preserve"> </w:t>
      </w:r>
      <w:r w:rsidRPr="00D868CF">
        <w:t>Bolivia</w:t>
      </w:r>
    </w:p>
    <w:p w14:paraId="209954F7" w14:textId="36C0D604" w:rsidR="00651F7A" w:rsidRPr="00D868CF" w:rsidRDefault="00651F7A" w:rsidP="008631EF">
      <w:pPr>
        <w:pStyle w:val="SingleTxtG"/>
      </w:pPr>
      <w:r w:rsidRPr="00D868CF">
        <w:lastRenderedPageBreak/>
        <w:t xml:space="preserve">Coordinadora Residente de </w:t>
      </w:r>
      <w:r w:rsidR="000A4C11">
        <w:t xml:space="preserve">las </w:t>
      </w:r>
      <w:r w:rsidRPr="00D868CF">
        <w:t xml:space="preserve">Naciones Unidas en </w:t>
      </w:r>
      <w:r w:rsidR="000A4C11">
        <w:t>el Estado Plurinacional de</w:t>
      </w:r>
      <w:r w:rsidR="000A4C11" w:rsidRPr="00F13B33">
        <w:t xml:space="preserve"> </w:t>
      </w:r>
      <w:r w:rsidRPr="00D868CF">
        <w:t>Bolivia</w:t>
      </w:r>
    </w:p>
    <w:p w14:paraId="209954F8" w14:textId="06A2CD9D" w:rsidR="00651F7A" w:rsidRPr="00D868CF" w:rsidRDefault="00353292" w:rsidP="008631EF">
      <w:pPr>
        <w:pStyle w:val="SingleTxtG"/>
      </w:pPr>
      <w:r>
        <w:t>Fondo de las Naciones Unidas para la Infancia (</w:t>
      </w:r>
      <w:r w:rsidR="00651F7A" w:rsidRPr="00D868CF">
        <w:t>UNICEF</w:t>
      </w:r>
      <w:r>
        <w:t>)</w:t>
      </w:r>
    </w:p>
    <w:p w14:paraId="209954F9" w14:textId="7C0EDB14" w:rsidR="00651F7A" w:rsidRPr="00D868CF" w:rsidRDefault="00651F7A" w:rsidP="008631EF">
      <w:pPr>
        <w:pStyle w:val="H1G"/>
      </w:pPr>
      <w:r w:rsidRPr="00D868CF">
        <w:tab/>
      </w:r>
      <w:r w:rsidR="00DC1FFF">
        <w:t>C</w:t>
      </w:r>
      <w:r w:rsidRPr="00D868CF">
        <w:t>.</w:t>
      </w:r>
      <w:r w:rsidRPr="00D868CF">
        <w:tab/>
        <w:t>Sociedad civil</w:t>
      </w:r>
    </w:p>
    <w:p w14:paraId="209954FA" w14:textId="77777777" w:rsidR="00651F7A" w:rsidRPr="00D868CF" w:rsidRDefault="00651F7A" w:rsidP="008631EF">
      <w:pPr>
        <w:pStyle w:val="SingleTxtG"/>
      </w:pPr>
      <w:r w:rsidRPr="00D868CF">
        <w:t>Asamblea Permanente de Derechos Humanos de Bolivia (APDHB)</w:t>
      </w:r>
    </w:p>
    <w:p w14:paraId="209954FB" w14:textId="77777777" w:rsidR="00651F7A" w:rsidRPr="00D868CF" w:rsidRDefault="00651F7A" w:rsidP="008631EF">
      <w:pPr>
        <w:pStyle w:val="SingleTxtG"/>
      </w:pPr>
      <w:r w:rsidRPr="00D868CF">
        <w:t>Asociación Boliviana contra la Esclerosis Múltiple</w:t>
      </w:r>
    </w:p>
    <w:p w14:paraId="209954FC" w14:textId="77777777" w:rsidR="00651F7A" w:rsidRPr="00D868CF" w:rsidRDefault="00651F7A" w:rsidP="008631EF">
      <w:pPr>
        <w:pStyle w:val="SingleTxtG"/>
      </w:pPr>
      <w:r w:rsidRPr="00D868CF">
        <w:t>Centro de Estudios Jurídicos e Investigación Social (CEJIS)</w:t>
      </w:r>
    </w:p>
    <w:p w14:paraId="209954FD" w14:textId="59FC662B" w:rsidR="00651F7A" w:rsidRPr="00D868CF" w:rsidRDefault="00651F7A" w:rsidP="008631EF">
      <w:pPr>
        <w:pStyle w:val="SingleTxtG"/>
      </w:pPr>
      <w:r w:rsidRPr="00D868CF">
        <w:t>Comunidad de Derechos Humanos</w:t>
      </w:r>
    </w:p>
    <w:p w14:paraId="209954FF" w14:textId="77777777" w:rsidR="00651F7A" w:rsidRPr="00D868CF" w:rsidRDefault="00651F7A" w:rsidP="008631EF">
      <w:pPr>
        <w:pStyle w:val="SingleTxtG"/>
      </w:pPr>
      <w:r w:rsidRPr="00D868CF">
        <w:t>Federación Boliviana de Sordos (FEBOS)</w:t>
      </w:r>
    </w:p>
    <w:p w14:paraId="20995500" w14:textId="14F8F9B8" w:rsidR="00651F7A" w:rsidRPr="00D868CF" w:rsidRDefault="00651F7A" w:rsidP="008631EF">
      <w:pPr>
        <w:pStyle w:val="SingleTxtG"/>
      </w:pPr>
      <w:r w:rsidRPr="00D868CF">
        <w:t>Fundación C</w:t>
      </w:r>
      <w:r w:rsidR="009A46F9">
        <w:t>ONSTRUIR</w:t>
      </w:r>
    </w:p>
    <w:p w14:paraId="20995501" w14:textId="77777777" w:rsidR="00651F7A" w:rsidRPr="00D868CF" w:rsidRDefault="00651F7A" w:rsidP="008631EF">
      <w:pPr>
        <w:pStyle w:val="SingleTxtG"/>
      </w:pPr>
      <w:r w:rsidRPr="00D868CF">
        <w:t>Instituto de Terapia e Investigación sobre las secuelas de la tortura y la violencia estatal (ITEI)</w:t>
      </w:r>
    </w:p>
    <w:p w14:paraId="20995502" w14:textId="77777777" w:rsidR="00651F7A" w:rsidRPr="00D868CF" w:rsidRDefault="00651F7A" w:rsidP="008631EF">
      <w:pPr>
        <w:pStyle w:val="SingleTxtG"/>
      </w:pPr>
      <w:r w:rsidRPr="00D868CF">
        <w:t>Progettomondo</w:t>
      </w:r>
    </w:p>
    <w:p w14:paraId="20995503" w14:textId="77777777" w:rsidR="00651F7A" w:rsidRPr="00D868CF" w:rsidRDefault="00651F7A" w:rsidP="008631EF">
      <w:pPr>
        <w:pStyle w:val="SingleTxtG"/>
      </w:pPr>
      <w:r w:rsidRPr="00D868CF">
        <w:t>Sociedad Boliviana de Ciencias Forenses</w:t>
      </w:r>
    </w:p>
    <w:p w14:paraId="20995504" w14:textId="2E90C6A3" w:rsidR="00651F7A" w:rsidRPr="008631EF" w:rsidRDefault="008631EF" w:rsidP="008631EF">
      <w:pPr>
        <w:pStyle w:val="H1G"/>
      </w:pPr>
      <w:r>
        <w:tab/>
      </w:r>
      <w:r w:rsidR="00FC5799">
        <w:t>D</w:t>
      </w:r>
      <w:r>
        <w:t>.</w:t>
      </w:r>
      <w:r>
        <w:tab/>
      </w:r>
      <w:r w:rsidR="00651F7A" w:rsidRPr="008631EF">
        <w:t>Autoridades y dirigentes indígenas</w:t>
      </w:r>
    </w:p>
    <w:p w14:paraId="20995505" w14:textId="7E40C258" w:rsidR="00651F7A" w:rsidRPr="00D868CF" w:rsidRDefault="00651F7A" w:rsidP="008631EF">
      <w:pPr>
        <w:pStyle w:val="SingleTxtG"/>
      </w:pPr>
      <w:r w:rsidRPr="00D868CF">
        <w:t>Dirigentes y autoridades indígenas de</w:t>
      </w:r>
      <w:r w:rsidR="00AF09F5">
        <w:t xml:space="preserve"> la Amazonia Sur, Tierras Bajas, así como varias comunidades en Sucre y Santa Cruz</w:t>
      </w:r>
    </w:p>
    <w:p w14:paraId="20995508" w14:textId="032116F0" w:rsidR="00651F7A" w:rsidRPr="00D868CF" w:rsidRDefault="008631EF" w:rsidP="008631EF">
      <w:pPr>
        <w:pStyle w:val="H1G"/>
        <w:rPr>
          <w:sz w:val="28"/>
        </w:rPr>
      </w:pPr>
      <w:r>
        <w:tab/>
      </w:r>
      <w:r w:rsidR="00FC5799">
        <w:t>E</w:t>
      </w:r>
      <w:r>
        <w:t>.</w:t>
      </w:r>
      <w:r>
        <w:tab/>
      </w:r>
      <w:r w:rsidR="00651F7A" w:rsidRPr="00D868CF">
        <w:t>Otros</w:t>
      </w:r>
    </w:p>
    <w:p w14:paraId="20995509" w14:textId="12123144" w:rsidR="00651F7A" w:rsidRPr="00D868CF" w:rsidRDefault="00651F7A" w:rsidP="008631EF">
      <w:pPr>
        <w:pStyle w:val="SingleTxtG"/>
      </w:pPr>
      <w:r w:rsidRPr="00D868CF">
        <w:t xml:space="preserve">Abogada Daniela Vázquez (representante de pueblo indígena en </w:t>
      </w:r>
      <w:r w:rsidR="00DC4004">
        <w:t xml:space="preserve">el </w:t>
      </w:r>
      <w:r w:rsidR="00574093">
        <w:t>s</w:t>
      </w:r>
      <w:r w:rsidRPr="00D868CF">
        <w:t>caso Takovo Mora)</w:t>
      </w:r>
    </w:p>
    <w:p w14:paraId="2099550A" w14:textId="2DA1A18B" w:rsidR="00651F7A" w:rsidRPr="00574093" w:rsidRDefault="00574093" w:rsidP="008631EF">
      <w:pPr>
        <w:pStyle w:val="SingleTxtG"/>
      </w:pPr>
      <w:r w:rsidRPr="00815B60">
        <w:t>Agencia Suiza para el Desarrollo y la</w:t>
      </w:r>
      <w:r w:rsidR="00677846">
        <w:t xml:space="preserve"> </w:t>
      </w:r>
      <w:r w:rsidRPr="00815B60">
        <w:t>Cooperación,</w:t>
      </w:r>
      <w:r w:rsidR="008631EF" w:rsidRPr="00574093">
        <w:t xml:space="preserve"> </w:t>
      </w:r>
      <w:r w:rsidR="000A4C11" w:rsidRPr="00574093">
        <w:t xml:space="preserve">Estado Plurinacional de </w:t>
      </w:r>
      <w:r w:rsidR="008631EF" w:rsidRPr="00574093">
        <w:t>Bolivia</w:t>
      </w:r>
    </w:p>
    <w:p w14:paraId="2099550C" w14:textId="156CACB9" w:rsidR="00651F7A" w:rsidRPr="0010558C" w:rsidRDefault="00651F7A" w:rsidP="00651F7A">
      <w:pPr>
        <w:rPr>
          <w:lang w:val="pt-BR"/>
        </w:rPr>
      </w:pPr>
      <w:r w:rsidRPr="00D868CF">
        <w:tab/>
      </w:r>
      <w:r w:rsidRPr="00D868CF">
        <w:tab/>
      </w:r>
      <w:r w:rsidR="00AF09F5" w:rsidRPr="0010558C">
        <w:rPr>
          <w:lang w:val="pt-BR"/>
        </w:rPr>
        <w:t xml:space="preserve">Sr. </w:t>
      </w:r>
      <w:r w:rsidRPr="0010558C">
        <w:rPr>
          <w:lang w:val="pt-BR"/>
        </w:rPr>
        <w:t>David Inca (activista de derechos humanos)</w:t>
      </w:r>
    </w:p>
    <w:p w14:paraId="2099550D" w14:textId="77777777" w:rsidR="00651F7A" w:rsidRPr="00EF2161" w:rsidRDefault="00651F7A" w:rsidP="008631EF">
      <w:pPr>
        <w:pStyle w:val="HChG"/>
      </w:pPr>
      <w:r w:rsidRPr="00690DC7">
        <w:br w:type="page"/>
      </w:r>
      <w:r w:rsidR="008631EF" w:rsidRPr="00690DC7">
        <w:lastRenderedPageBreak/>
        <w:tab/>
      </w:r>
      <w:r w:rsidR="008631EF" w:rsidRPr="00690DC7">
        <w:tab/>
      </w:r>
      <w:r w:rsidRPr="00EF2161">
        <w:t>Anexo II</w:t>
      </w:r>
    </w:p>
    <w:p w14:paraId="2099550E" w14:textId="1E69872A" w:rsidR="00651F7A" w:rsidRPr="00EF2161" w:rsidRDefault="00651F7A" w:rsidP="008631EF">
      <w:pPr>
        <w:pStyle w:val="H1G"/>
      </w:pPr>
      <w:r w:rsidRPr="00EF2161">
        <w:tab/>
      </w:r>
      <w:r w:rsidRPr="00EF2161">
        <w:tab/>
        <w:t xml:space="preserve">Lista de los lugares de privación de libertad visitados por el </w:t>
      </w:r>
      <w:r w:rsidR="00522056">
        <w:t>Subcomité</w:t>
      </w:r>
    </w:p>
    <w:p w14:paraId="2099550F" w14:textId="517326E1" w:rsidR="00651F7A" w:rsidRPr="00EF2161" w:rsidRDefault="00651F7A" w:rsidP="008631EF">
      <w:pPr>
        <w:pStyle w:val="H23G"/>
      </w:pPr>
      <w:r w:rsidRPr="00EF2161">
        <w:tab/>
      </w:r>
      <w:r w:rsidR="00FC5799">
        <w:t>A</w:t>
      </w:r>
      <w:r w:rsidRPr="00EF2161">
        <w:t>.</w:t>
      </w:r>
      <w:r w:rsidRPr="00EF2161">
        <w:tab/>
        <w:t>Dependencias de la Policía Nacional</w:t>
      </w:r>
    </w:p>
    <w:p w14:paraId="20995510" w14:textId="2CBF1229" w:rsidR="00651F7A" w:rsidRPr="00725C7A" w:rsidRDefault="00651F7A" w:rsidP="00216572">
      <w:pPr>
        <w:pStyle w:val="H4G"/>
      </w:pPr>
      <w:r w:rsidRPr="00EF2161">
        <w:tab/>
      </w:r>
      <w:r w:rsidRPr="00EF2161">
        <w:tab/>
      </w:r>
      <w:r w:rsidRPr="00815B60">
        <w:t xml:space="preserve">Dirección Nacional de </w:t>
      </w:r>
      <w:r w:rsidR="00836CF4" w:rsidRPr="00815B60">
        <w:t>la Fuerza Especial de Lucha Contra el Narcotráfico</w:t>
      </w:r>
      <w:r w:rsidR="00C5194E">
        <w:t xml:space="preserve"> </w:t>
      </w:r>
      <w:r w:rsidR="00836CF4" w:rsidRPr="00725C7A">
        <w:t>(</w:t>
      </w:r>
      <w:r w:rsidRPr="00725C7A">
        <w:t>FELCN</w:t>
      </w:r>
      <w:r w:rsidR="00836CF4" w:rsidRPr="00725C7A">
        <w:t>)</w:t>
      </w:r>
    </w:p>
    <w:p w14:paraId="20995511" w14:textId="5ADB9E4D" w:rsidR="00651F7A" w:rsidRPr="00EF2161" w:rsidRDefault="00651F7A" w:rsidP="00651F7A">
      <w:pPr>
        <w:spacing w:after="120"/>
        <w:ind w:left="1134" w:right="1134"/>
        <w:jc w:val="both"/>
      </w:pPr>
      <w:r w:rsidRPr="00EF2161">
        <w:t>Jefatura Departamental FELCN – Sopocachi, La Paz</w:t>
      </w:r>
    </w:p>
    <w:p w14:paraId="20995512" w14:textId="77777777" w:rsidR="00651F7A" w:rsidRPr="00EF2161" w:rsidRDefault="00651F7A" w:rsidP="00651F7A">
      <w:pPr>
        <w:spacing w:after="120"/>
        <w:ind w:left="1134" w:right="1134"/>
        <w:jc w:val="both"/>
      </w:pPr>
      <w:r w:rsidRPr="00EF2161">
        <w:t>Jefatura Departamental FELCN – Santa Cruz de la Sierra</w:t>
      </w:r>
    </w:p>
    <w:p w14:paraId="20995513" w14:textId="19812F61" w:rsidR="00651F7A" w:rsidRPr="00EF2161" w:rsidRDefault="00651F7A" w:rsidP="008631EF">
      <w:pPr>
        <w:pStyle w:val="H4G"/>
      </w:pPr>
      <w:r w:rsidRPr="00EF2161">
        <w:tab/>
      </w:r>
      <w:r w:rsidRPr="00EF2161">
        <w:tab/>
        <w:t xml:space="preserve">Dirección de la </w:t>
      </w:r>
      <w:r w:rsidR="00836CF4" w:rsidRPr="00815B60">
        <w:t>Fuerza Especial de Lucha Contra el Crimen </w:t>
      </w:r>
      <w:r w:rsidR="00836CF4">
        <w:t>(</w:t>
      </w:r>
      <w:r w:rsidRPr="00EF2161">
        <w:t>FELCC</w:t>
      </w:r>
      <w:r w:rsidR="00836CF4">
        <w:t>)</w:t>
      </w:r>
    </w:p>
    <w:p w14:paraId="20995514" w14:textId="77777777" w:rsidR="00651F7A" w:rsidRPr="00EF2161" w:rsidRDefault="00651F7A" w:rsidP="00651F7A">
      <w:pPr>
        <w:spacing w:after="120"/>
        <w:ind w:left="1134" w:right="1134"/>
        <w:jc w:val="both"/>
      </w:pPr>
      <w:r w:rsidRPr="00EF2161">
        <w:t xml:space="preserve">Dirección Departamental de la FELCC – Cochabamba </w:t>
      </w:r>
    </w:p>
    <w:p w14:paraId="20995515" w14:textId="77777777" w:rsidR="00651F7A" w:rsidRPr="00EF2161" w:rsidRDefault="00651F7A" w:rsidP="00651F7A">
      <w:pPr>
        <w:spacing w:after="120"/>
        <w:ind w:left="1134" w:right="1134"/>
        <w:jc w:val="both"/>
      </w:pPr>
      <w:r w:rsidRPr="00EF2161">
        <w:t>Dirección Departamental de la FELCC – Santa Cruz de la Sierra</w:t>
      </w:r>
    </w:p>
    <w:p w14:paraId="20995516" w14:textId="77777777" w:rsidR="00651F7A" w:rsidRPr="00EF2161" w:rsidRDefault="00651F7A" w:rsidP="008631EF">
      <w:pPr>
        <w:pStyle w:val="H4G"/>
      </w:pPr>
      <w:r w:rsidRPr="00EF2161">
        <w:tab/>
      </w:r>
      <w:r w:rsidRPr="00EF2161">
        <w:tab/>
        <w:t xml:space="preserve">Otras </w:t>
      </w:r>
    </w:p>
    <w:p w14:paraId="20995517" w14:textId="77777777" w:rsidR="00651F7A" w:rsidRPr="00EF2161" w:rsidRDefault="00651F7A" w:rsidP="00651F7A">
      <w:pPr>
        <w:spacing w:after="120"/>
        <w:ind w:left="1134" w:right="1134"/>
        <w:jc w:val="both"/>
      </w:pPr>
      <w:r w:rsidRPr="00EF2161">
        <w:t>FELCC El Alto, La Paz</w:t>
      </w:r>
    </w:p>
    <w:p w14:paraId="20995518" w14:textId="77777777" w:rsidR="00651F7A" w:rsidRPr="00EF2161" w:rsidRDefault="00651F7A" w:rsidP="00651F7A">
      <w:pPr>
        <w:spacing w:after="120"/>
        <w:ind w:left="1134" w:right="1134"/>
        <w:jc w:val="both"/>
      </w:pPr>
      <w:r w:rsidRPr="00EF2161">
        <w:t>FELCC Punata, Cochabamba</w:t>
      </w:r>
    </w:p>
    <w:p w14:paraId="20995519" w14:textId="612ACFD8" w:rsidR="00651F7A" w:rsidRPr="00EF2161" w:rsidRDefault="00836CF4" w:rsidP="00651F7A">
      <w:pPr>
        <w:spacing w:after="120"/>
        <w:ind w:left="1134" w:right="1134"/>
        <w:jc w:val="both"/>
      </w:pPr>
      <w:r w:rsidRPr="00815B60">
        <w:t>Estación Policial Integral</w:t>
      </w:r>
      <w:r w:rsidRPr="00EF2161">
        <w:t xml:space="preserve"> </w:t>
      </w:r>
      <w:r w:rsidR="00651F7A" w:rsidRPr="00EF2161">
        <w:t>EPI Sur, Cochabamba</w:t>
      </w:r>
    </w:p>
    <w:p w14:paraId="2099551A" w14:textId="6B3C3605" w:rsidR="00651F7A" w:rsidRPr="00EF2161" w:rsidRDefault="00836CF4" w:rsidP="00651F7A">
      <w:pPr>
        <w:spacing w:after="120"/>
        <w:ind w:left="1134" w:right="1134"/>
        <w:jc w:val="both"/>
      </w:pPr>
      <w:r w:rsidRPr="00E54432">
        <w:t>Estación Policial Integral</w:t>
      </w:r>
      <w:r w:rsidRPr="00EF2161">
        <w:t xml:space="preserve"> </w:t>
      </w:r>
      <w:r w:rsidR="00651F7A" w:rsidRPr="00EF2161">
        <w:t xml:space="preserve">EPI San Roque, Sucre </w:t>
      </w:r>
    </w:p>
    <w:p w14:paraId="2099551B" w14:textId="77777777" w:rsidR="00651F7A" w:rsidRPr="00EF2161" w:rsidRDefault="00651F7A" w:rsidP="00651F7A">
      <w:pPr>
        <w:spacing w:after="120"/>
        <w:ind w:left="1134" w:right="1134"/>
        <w:jc w:val="both"/>
      </w:pPr>
      <w:r w:rsidRPr="00EF2161">
        <w:t>Instituto de Policía de Chuquisaca, Sucre</w:t>
      </w:r>
    </w:p>
    <w:p w14:paraId="2099551C" w14:textId="77777777" w:rsidR="00651F7A" w:rsidRDefault="00651F7A" w:rsidP="00651F7A">
      <w:pPr>
        <w:spacing w:after="120"/>
        <w:ind w:left="1134" w:right="1134"/>
        <w:jc w:val="both"/>
      </w:pPr>
      <w:r w:rsidRPr="00EF2161">
        <w:t>Módulo Policial de Distrito, La Paz (visita conjunta con el SEPRET)</w:t>
      </w:r>
    </w:p>
    <w:p w14:paraId="2099551D" w14:textId="59F99593" w:rsidR="00651F7A" w:rsidRPr="00EF2161" w:rsidRDefault="00651F7A" w:rsidP="00651F7A">
      <w:pPr>
        <w:spacing w:after="120"/>
        <w:ind w:left="1134" w:right="1134"/>
        <w:jc w:val="both"/>
      </w:pPr>
      <w:r w:rsidRPr="00AF09F5">
        <w:t>Celdas judiciales</w:t>
      </w:r>
      <w:r w:rsidR="00AF09F5" w:rsidRPr="00AF09F5">
        <w:t xml:space="preserve"> en Santa Cruz y La Paz</w:t>
      </w:r>
    </w:p>
    <w:p w14:paraId="2099551E" w14:textId="49A770A9" w:rsidR="00651F7A" w:rsidRPr="00EF2161" w:rsidRDefault="00651F7A" w:rsidP="008631EF">
      <w:pPr>
        <w:pStyle w:val="H1G"/>
      </w:pPr>
      <w:r w:rsidRPr="00EF2161">
        <w:tab/>
      </w:r>
      <w:r w:rsidR="00FC5799">
        <w:t>B</w:t>
      </w:r>
      <w:r w:rsidRPr="00EF2161">
        <w:t>.</w:t>
      </w:r>
      <w:r w:rsidRPr="00EF2161">
        <w:tab/>
        <w:t>Centros penitenciarios</w:t>
      </w:r>
    </w:p>
    <w:p w14:paraId="2099551F" w14:textId="77777777" w:rsidR="00651F7A" w:rsidRPr="00EF2161" w:rsidRDefault="00651F7A" w:rsidP="00651F7A">
      <w:pPr>
        <w:spacing w:after="120"/>
        <w:ind w:left="1134" w:right="1134"/>
        <w:jc w:val="both"/>
      </w:pPr>
      <w:r w:rsidRPr="00EF2161">
        <w:t>San Pedro, La</w:t>
      </w:r>
      <w:r>
        <w:t xml:space="preserve"> </w:t>
      </w:r>
      <w:r w:rsidRPr="00EF2161">
        <w:t>Paz (visita conjunta con el SEPRET)</w:t>
      </w:r>
    </w:p>
    <w:p w14:paraId="20995520" w14:textId="77777777" w:rsidR="00651F7A" w:rsidRPr="0010558C" w:rsidRDefault="00651F7A" w:rsidP="00651F7A">
      <w:pPr>
        <w:spacing w:after="120"/>
        <w:ind w:left="1134" w:right="1134"/>
        <w:jc w:val="both"/>
        <w:rPr>
          <w:lang w:val="pt-BR"/>
        </w:rPr>
      </w:pPr>
      <w:r w:rsidRPr="0010558C">
        <w:rPr>
          <w:lang w:val="pt-BR"/>
        </w:rPr>
        <w:t>Chonchocoro, La Paz</w:t>
      </w:r>
    </w:p>
    <w:p w14:paraId="20995521" w14:textId="77777777" w:rsidR="00651F7A" w:rsidRPr="0010558C" w:rsidRDefault="00651F7A" w:rsidP="00651F7A">
      <w:pPr>
        <w:spacing w:after="120"/>
        <w:ind w:left="1134" w:right="1134"/>
        <w:jc w:val="both"/>
        <w:rPr>
          <w:lang w:val="pt-BR"/>
        </w:rPr>
      </w:pPr>
      <w:r w:rsidRPr="0010558C">
        <w:rPr>
          <w:lang w:val="pt-BR"/>
        </w:rPr>
        <w:t>Palmasola, Santa Cruz</w:t>
      </w:r>
    </w:p>
    <w:p w14:paraId="20995522" w14:textId="77777777" w:rsidR="00651F7A" w:rsidRPr="00EF2161" w:rsidRDefault="00651F7A" w:rsidP="00651F7A">
      <w:pPr>
        <w:spacing w:after="120"/>
        <w:ind w:left="1134" w:right="1134"/>
        <w:jc w:val="both"/>
      </w:pPr>
      <w:r w:rsidRPr="00EF2161">
        <w:t>San Sebastián (mujeres), Cochabamba</w:t>
      </w:r>
    </w:p>
    <w:p w14:paraId="20995523" w14:textId="77777777" w:rsidR="00651F7A" w:rsidRPr="00EF2161" w:rsidRDefault="00651F7A" w:rsidP="00651F7A">
      <w:pPr>
        <w:spacing w:after="120"/>
        <w:ind w:left="1134" w:right="1134"/>
        <w:jc w:val="both"/>
      </w:pPr>
      <w:r w:rsidRPr="00EF2161">
        <w:t>San Sebastián (hombres), Cochabamba</w:t>
      </w:r>
    </w:p>
    <w:p w14:paraId="20995524" w14:textId="77777777" w:rsidR="00651F7A" w:rsidRPr="00EF2161" w:rsidRDefault="00651F7A" w:rsidP="00651F7A">
      <w:pPr>
        <w:spacing w:after="120"/>
        <w:ind w:left="1134" w:right="1134"/>
        <w:jc w:val="both"/>
      </w:pPr>
      <w:r w:rsidRPr="00EF2161">
        <w:t>Carceleta Arari, Cochabamba</w:t>
      </w:r>
    </w:p>
    <w:p w14:paraId="20995525" w14:textId="77777777" w:rsidR="00651F7A" w:rsidRPr="00EF2161" w:rsidRDefault="00651F7A" w:rsidP="00651F7A">
      <w:pPr>
        <w:spacing w:after="120"/>
        <w:ind w:left="1134" w:right="1134"/>
        <w:jc w:val="both"/>
      </w:pPr>
      <w:r w:rsidRPr="00EF2161">
        <w:t>San Roque, Sucre</w:t>
      </w:r>
    </w:p>
    <w:p w14:paraId="20995526" w14:textId="77777777" w:rsidR="00651F7A" w:rsidRPr="00EF2161" w:rsidRDefault="00651F7A" w:rsidP="00651F7A">
      <w:pPr>
        <w:spacing w:after="120"/>
        <w:ind w:left="1134" w:right="1134"/>
        <w:jc w:val="both"/>
      </w:pPr>
      <w:r w:rsidRPr="00EF2161">
        <w:t>Cárcel de Trinidad (mujeres), Trinidad</w:t>
      </w:r>
    </w:p>
    <w:p w14:paraId="20995527" w14:textId="77777777" w:rsidR="00651F7A" w:rsidRPr="00EF2161" w:rsidRDefault="00651F7A" w:rsidP="00651F7A">
      <w:pPr>
        <w:spacing w:after="120"/>
        <w:ind w:left="1134" w:right="1134"/>
        <w:jc w:val="both"/>
      </w:pPr>
      <w:r w:rsidRPr="00EF2161">
        <w:t>Mocoví, Trinidad</w:t>
      </w:r>
    </w:p>
    <w:p w14:paraId="20995528" w14:textId="3799E4F4" w:rsidR="00651F7A" w:rsidRPr="00EF2161" w:rsidRDefault="00651F7A" w:rsidP="008631EF">
      <w:pPr>
        <w:pStyle w:val="H1G"/>
      </w:pPr>
      <w:r w:rsidRPr="00EF2161">
        <w:tab/>
      </w:r>
      <w:r w:rsidR="00FC5799">
        <w:t>C</w:t>
      </w:r>
      <w:r w:rsidRPr="00EF2161">
        <w:t>.</w:t>
      </w:r>
      <w:r w:rsidRPr="00EF2161">
        <w:tab/>
        <w:t>Dependencias de las Fuerzas Armadas</w:t>
      </w:r>
    </w:p>
    <w:p w14:paraId="20995529" w14:textId="77777777" w:rsidR="00651F7A" w:rsidRPr="00EF2161" w:rsidRDefault="00651F7A" w:rsidP="00651F7A">
      <w:pPr>
        <w:spacing w:after="120"/>
        <w:ind w:left="1134" w:right="1134"/>
        <w:jc w:val="both"/>
      </w:pPr>
      <w:r w:rsidRPr="00EF2161">
        <w:t>Cuartel General de Miraflores, centro de detención de la Policía Militar, La Paz (visita conjunta con el SEPRET)</w:t>
      </w:r>
    </w:p>
    <w:p w14:paraId="2099552A" w14:textId="25F12B26" w:rsidR="00651F7A" w:rsidRPr="00EF2161" w:rsidRDefault="00651F7A" w:rsidP="008631EF">
      <w:pPr>
        <w:pStyle w:val="H1G"/>
      </w:pPr>
      <w:r w:rsidRPr="00EF2161">
        <w:tab/>
      </w:r>
      <w:r w:rsidR="00FC5799">
        <w:t>D</w:t>
      </w:r>
      <w:r w:rsidRPr="00EF2161">
        <w:t>.</w:t>
      </w:r>
      <w:r w:rsidRPr="00EF2161">
        <w:tab/>
        <w:t>Centros de reintegración social para niños, niñas y adolescentes</w:t>
      </w:r>
    </w:p>
    <w:p w14:paraId="2099552B" w14:textId="1D2DB2A9" w:rsidR="00651F7A" w:rsidRPr="00EF2161" w:rsidRDefault="00651F7A" w:rsidP="008631EF">
      <w:pPr>
        <w:pStyle w:val="SingleTxtG"/>
      </w:pPr>
      <w:r w:rsidRPr="00EF2161">
        <w:t xml:space="preserve">Centro de Reintegración Social Cenvicruz, Santa Cruz </w:t>
      </w:r>
    </w:p>
    <w:p w14:paraId="2099552C" w14:textId="1132C0EB" w:rsidR="00651F7A" w:rsidRPr="00EF2161" w:rsidRDefault="00651F7A" w:rsidP="008631EF">
      <w:pPr>
        <w:pStyle w:val="SingleTxtG"/>
      </w:pPr>
      <w:r w:rsidRPr="00EF2161">
        <w:t>Centro de Reintegrac</w:t>
      </w:r>
      <w:r w:rsidR="008631EF">
        <w:t>ión Social Cometa, Cochabamba</w:t>
      </w:r>
    </w:p>
    <w:p w14:paraId="2099552D" w14:textId="631FB316" w:rsidR="00651F7A" w:rsidRPr="00EF2161" w:rsidRDefault="008631EF" w:rsidP="008631EF">
      <w:pPr>
        <w:pStyle w:val="H1G"/>
      </w:pPr>
      <w:r>
        <w:lastRenderedPageBreak/>
        <w:tab/>
      </w:r>
      <w:r w:rsidR="00FC5799">
        <w:t>E</w:t>
      </w:r>
      <w:r w:rsidR="00651F7A" w:rsidRPr="00EF2161">
        <w:t xml:space="preserve">. </w:t>
      </w:r>
      <w:r w:rsidR="00651F7A" w:rsidRPr="00EF2161">
        <w:tab/>
        <w:t>Hospitales psiquiátricos</w:t>
      </w:r>
    </w:p>
    <w:p w14:paraId="2099552E" w14:textId="2F9B04AC" w:rsidR="00651F7A" w:rsidRDefault="00651F7A" w:rsidP="005A7515">
      <w:pPr>
        <w:pStyle w:val="SingleTxtG"/>
      </w:pPr>
      <w:r w:rsidRPr="00EF2161">
        <w:t xml:space="preserve">Hospital Psiquiátrico </w:t>
      </w:r>
      <w:r w:rsidR="00AF09F5" w:rsidRPr="00AF09F5">
        <w:t>San Juan de Dios</w:t>
      </w:r>
      <w:r w:rsidRPr="00EF2161">
        <w:t>, Sucre</w:t>
      </w:r>
    </w:p>
    <w:p w14:paraId="19B6A483" w14:textId="77777777" w:rsidR="00184394" w:rsidRPr="001D1809" w:rsidRDefault="00184394" w:rsidP="00184394">
      <w:pPr>
        <w:spacing w:before="240"/>
        <w:ind w:left="1134" w:right="1134"/>
        <w:jc w:val="center"/>
        <w:rPr>
          <w:u w:val="single"/>
        </w:rPr>
      </w:pPr>
      <w:r w:rsidRPr="001D1809">
        <w:rPr>
          <w:u w:val="single"/>
        </w:rPr>
        <w:tab/>
      </w:r>
      <w:r w:rsidRPr="001D1809">
        <w:rPr>
          <w:u w:val="single"/>
        </w:rPr>
        <w:tab/>
      </w:r>
      <w:r w:rsidRPr="001D1809">
        <w:rPr>
          <w:u w:val="single"/>
        </w:rPr>
        <w:tab/>
      </w:r>
    </w:p>
    <w:p w14:paraId="2099552F" w14:textId="77777777" w:rsidR="008631EF" w:rsidRPr="007D5BB2" w:rsidRDefault="008631EF" w:rsidP="007D5BB2">
      <w:pPr>
        <w:pStyle w:val="SingleTxtG"/>
        <w:rPr>
          <w:rStyle w:val="Refdenotaalfinal"/>
          <w:vertAlign w:val="baseline"/>
        </w:rPr>
      </w:pPr>
    </w:p>
    <w:sectPr w:rsidR="008631EF" w:rsidRPr="007D5BB2" w:rsidSect="0098110E">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8DB2A" w16cid:durableId="1D1CC124"/>
  <w16cid:commentId w16cid:paraId="349F82D6" w16cid:durableId="1D2000D8"/>
  <w16cid:commentId w16cid:paraId="738867B6" w16cid:durableId="1D2000F7"/>
  <w16cid:commentId w16cid:paraId="022C5734" w16cid:durableId="1D2001D9"/>
  <w16cid:commentId w16cid:paraId="3BF56363" w16cid:durableId="1D200A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6F36B" w14:textId="77777777" w:rsidR="003D6072" w:rsidRPr="00B94EAA" w:rsidRDefault="003D6072" w:rsidP="00B94EAA">
      <w:pPr>
        <w:pStyle w:val="Piedepgina"/>
      </w:pPr>
    </w:p>
  </w:endnote>
  <w:endnote w:type="continuationSeparator" w:id="0">
    <w:p w14:paraId="3ABBD11C" w14:textId="77777777" w:rsidR="003D6072" w:rsidRPr="00B94EAA" w:rsidRDefault="003D6072" w:rsidP="00B94EAA">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5538" w14:textId="5D64775C" w:rsidR="003F48E6" w:rsidRPr="007134A7" w:rsidRDefault="003F48E6" w:rsidP="007134A7">
    <w:pPr>
      <w:pStyle w:val="Piedepgina"/>
      <w:tabs>
        <w:tab w:val="right" w:pos="9638"/>
      </w:tabs>
    </w:pPr>
    <w:r w:rsidRPr="007134A7">
      <w:rPr>
        <w:b/>
        <w:sz w:val="18"/>
      </w:rPr>
      <w:fldChar w:fldCharType="begin"/>
    </w:r>
    <w:r w:rsidRPr="007134A7">
      <w:rPr>
        <w:b/>
        <w:sz w:val="18"/>
      </w:rPr>
      <w:instrText xml:space="preserve"> PAGE  \* MERGEFORMAT </w:instrText>
    </w:r>
    <w:r w:rsidRPr="007134A7">
      <w:rPr>
        <w:b/>
        <w:sz w:val="18"/>
      </w:rPr>
      <w:fldChar w:fldCharType="separate"/>
    </w:r>
    <w:r w:rsidR="001A0BFD">
      <w:rPr>
        <w:b/>
        <w:noProof/>
        <w:sz w:val="18"/>
      </w:rPr>
      <w:t>2</w:t>
    </w:r>
    <w:r w:rsidRPr="007134A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5539" w14:textId="355E4C37" w:rsidR="003F48E6" w:rsidRPr="007134A7" w:rsidRDefault="003F48E6" w:rsidP="007134A7">
    <w:pPr>
      <w:pStyle w:val="Piedepgina"/>
      <w:tabs>
        <w:tab w:val="right" w:pos="9638"/>
      </w:tabs>
      <w:rPr>
        <w:b/>
        <w:sz w:val="18"/>
      </w:rPr>
    </w:pPr>
    <w:r>
      <w:tab/>
    </w:r>
    <w:r w:rsidRPr="007134A7">
      <w:rPr>
        <w:b/>
        <w:sz w:val="18"/>
      </w:rPr>
      <w:fldChar w:fldCharType="begin"/>
    </w:r>
    <w:r w:rsidRPr="007134A7">
      <w:rPr>
        <w:b/>
        <w:sz w:val="18"/>
      </w:rPr>
      <w:instrText xml:space="preserve"> PAGE  \* MERGEFORMAT </w:instrText>
    </w:r>
    <w:r w:rsidRPr="007134A7">
      <w:rPr>
        <w:b/>
        <w:sz w:val="18"/>
      </w:rPr>
      <w:fldChar w:fldCharType="separate"/>
    </w:r>
    <w:r w:rsidR="001A0BFD">
      <w:rPr>
        <w:b/>
        <w:noProof/>
        <w:sz w:val="18"/>
      </w:rPr>
      <w:t>3</w:t>
    </w:r>
    <w:r w:rsidRPr="007134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15B8" w14:textId="01683D5A" w:rsidR="007D5BB2" w:rsidRPr="007D5BB2" w:rsidRDefault="007D5BB2" w:rsidP="007D5BB2">
    <w:pPr>
      <w:pStyle w:val="Piedepgina"/>
      <w:spacing w:before="120" w:line="240" w:lineRule="auto"/>
      <w:rPr>
        <w:sz w:val="20"/>
      </w:rPr>
    </w:pPr>
    <w:r>
      <w:rPr>
        <w:sz w:val="20"/>
      </w:rPr>
      <w:t>GE.18-12272  (S)</w:t>
    </w:r>
    <w:r>
      <w:rPr>
        <w:sz w:val="20"/>
      </w:rPr>
      <w:br/>
    </w:r>
    <w:r w:rsidRPr="007D5BB2">
      <w:rPr>
        <w:rFonts w:ascii="C39T30Lfz" w:hAnsi="C39T30Lfz"/>
        <w:sz w:val="56"/>
      </w:rPr>
      <w:t></w:t>
    </w:r>
    <w:r w:rsidRPr="007D5BB2">
      <w:rPr>
        <w:rFonts w:ascii="C39T30Lfz" w:hAnsi="C39T30Lfz"/>
        <w:sz w:val="56"/>
      </w:rPr>
      <w:t></w:t>
    </w:r>
    <w:r w:rsidRPr="007D5BB2">
      <w:rPr>
        <w:rFonts w:ascii="C39T30Lfz" w:hAnsi="C39T30Lfz"/>
        <w:sz w:val="56"/>
      </w:rPr>
      <w:t></w:t>
    </w:r>
    <w:r w:rsidRPr="007D5BB2">
      <w:rPr>
        <w:rFonts w:ascii="C39T30Lfz" w:hAnsi="C39T30Lfz"/>
        <w:sz w:val="56"/>
      </w:rPr>
      <w:t></w:t>
    </w:r>
    <w:r w:rsidRPr="007D5BB2">
      <w:rPr>
        <w:rFonts w:ascii="C39T30Lfz" w:hAnsi="C39T30Lfz"/>
        <w:sz w:val="56"/>
      </w:rPr>
      <w:t></w:t>
    </w:r>
    <w:r w:rsidRPr="007D5BB2">
      <w:rPr>
        <w:rFonts w:ascii="C39T30Lfz" w:hAnsi="C39T30Lfz"/>
        <w:sz w:val="56"/>
      </w:rPr>
      <w:t></w:t>
    </w:r>
    <w:r w:rsidRPr="007D5BB2">
      <w:rPr>
        <w:rFonts w:ascii="C39T30Lfz" w:hAnsi="C39T30Lfz"/>
        <w:sz w:val="56"/>
      </w:rPr>
      <w:t></w:t>
    </w:r>
    <w:r w:rsidRPr="007D5BB2">
      <w:rPr>
        <w:rFonts w:ascii="C39T30Lfz" w:hAnsi="C39T30Lfz"/>
        <w:sz w:val="56"/>
      </w:rPr>
      <w:t></w:t>
    </w:r>
    <w:r w:rsidRPr="007D5BB2">
      <w:rPr>
        <w:rFonts w:ascii="C39T30Lfz" w:hAnsi="C39T30Lfz"/>
        <w:sz w:val="56"/>
      </w:rPr>
      <w:t></w:t>
    </w:r>
    <w:r w:rsidRPr="007D5BB2">
      <w:rPr>
        <w:rFonts w:ascii="C39T30Lfz" w:hAnsi="C39T30Lfz"/>
        <w:noProof/>
        <w:sz w:val="56"/>
        <w:lang w:eastAsia="zh-CN"/>
      </w:rPr>
      <w:drawing>
        <wp:anchor distT="0" distB="0" distL="114300" distR="114300" simplePos="0" relativeHeight="251660288" behindDoc="0" locked="1" layoutInCell="1" allowOverlap="1" wp14:anchorId="17064937" wp14:editId="67337A34">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11F7F019" wp14:editId="640D50EA">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CAT/OP/BOL/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BOL/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3558" w14:textId="77777777" w:rsidR="003D6072" w:rsidRPr="001075E9" w:rsidRDefault="003D6072" w:rsidP="001075E9">
      <w:pPr>
        <w:tabs>
          <w:tab w:val="right" w:pos="2155"/>
        </w:tabs>
        <w:spacing w:after="80" w:line="240" w:lineRule="auto"/>
        <w:ind w:left="680"/>
        <w:rPr>
          <w:u w:val="single"/>
        </w:rPr>
      </w:pPr>
      <w:r>
        <w:rPr>
          <w:u w:val="single"/>
        </w:rPr>
        <w:tab/>
      </w:r>
    </w:p>
  </w:footnote>
  <w:footnote w:type="continuationSeparator" w:id="0">
    <w:p w14:paraId="656BDE3A" w14:textId="77777777" w:rsidR="003D6072" w:rsidRDefault="003D6072" w:rsidP="001B04E7">
      <w:pPr>
        <w:tabs>
          <w:tab w:val="right" w:pos="2155"/>
        </w:tabs>
        <w:spacing w:after="80" w:line="240" w:lineRule="auto"/>
        <w:ind w:left="680"/>
        <w:rPr>
          <w:u w:val="single"/>
        </w:rPr>
      </w:pPr>
      <w:r>
        <w:rPr>
          <w:u w:val="single"/>
        </w:rPr>
        <w:tab/>
      </w:r>
    </w:p>
  </w:footnote>
  <w:footnote w:id="1">
    <w:p w14:paraId="136BE362" w14:textId="1568CAF2" w:rsidR="003F48E6" w:rsidRPr="00510EEE" w:rsidRDefault="003F48E6">
      <w:pPr>
        <w:pStyle w:val="Textonotapie"/>
      </w:pPr>
      <w:r>
        <w:tab/>
      </w:r>
      <w:r w:rsidRPr="002C4E74">
        <w:rPr>
          <w:rStyle w:val="Refdenotaalpie"/>
          <w:sz w:val="20"/>
          <w:vertAlign w:val="baseline"/>
        </w:rPr>
        <w:t>*</w:t>
      </w:r>
      <w:r w:rsidRPr="002C4E74">
        <w:rPr>
          <w:rStyle w:val="Refdenotaalpie"/>
          <w:vertAlign w:val="baseline"/>
        </w:rPr>
        <w:tab/>
      </w:r>
      <w:r w:rsidRPr="002C4E74">
        <w:t xml:space="preserve">De conformidad con el artículo 16, párrafo 1, del Protocolo Facultativo, el presente informe se transmitió con carácter confidencial al mecanismo nacional de </w:t>
      </w:r>
      <w:r w:rsidRPr="002A15EA">
        <w:t>prevención el 28 de julio de 2017.</w:t>
      </w:r>
      <w:r>
        <w:t xml:space="preserve"> </w:t>
      </w:r>
      <w:r w:rsidRPr="000C2789">
        <w:t>El 28 de mayo de 2018, el Estado parte acordó publicar el informe, junto con sus respuestas.</w:t>
      </w:r>
    </w:p>
  </w:footnote>
  <w:footnote w:id="2">
    <w:p w14:paraId="177A1467" w14:textId="757D7355" w:rsidR="00DF67FB" w:rsidRPr="00DF67FB" w:rsidRDefault="00DF67FB" w:rsidP="007D5BB2">
      <w:pPr>
        <w:pStyle w:val="Textonotapie"/>
      </w:pPr>
      <w:r>
        <w:rPr>
          <w:rStyle w:val="Refdenotaalpie"/>
        </w:rPr>
        <w:tab/>
      </w:r>
      <w:r w:rsidRPr="00DF67FB">
        <w:rPr>
          <w:rStyle w:val="Refdenotaalpie"/>
          <w:sz w:val="20"/>
          <w:vertAlign w:val="baseline"/>
        </w:rPr>
        <w:t>**</w:t>
      </w:r>
      <w:r>
        <w:rPr>
          <w:rStyle w:val="Refdenotaalpie"/>
          <w:sz w:val="20"/>
          <w:vertAlign w:val="baseline"/>
        </w:rPr>
        <w:tab/>
      </w:r>
      <w:r w:rsidRPr="002C4E74">
        <w:t xml:space="preserve">Los anexos </w:t>
      </w:r>
      <w:r>
        <w:t xml:space="preserve">y las notas </w:t>
      </w:r>
      <w:r w:rsidRPr="002C4E74">
        <w:t>del presente documento se distribuyen únicamente en el idioma en que se presentaron</w:t>
      </w:r>
      <w:r>
        <w:t>.</w:t>
      </w:r>
    </w:p>
  </w:footnote>
  <w:footnote w:id="3">
    <w:p w14:paraId="20995540" w14:textId="6AA4C844" w:rsidR="003F48E6" w:rsidRPr="00CE45E0" w:rsidRDefault="003F48E6" w:rsidP="00651F7A">
      <w:pPr>
        <w:pStyle w:val="Textonotapie"/>
        <w:rPr>
          <w:lang w:val="es-AR"/>
        </w:rPr>
      </w:pPr>
      <w:r>
        <w:tab/>
      </w:r>
      <w:r w:rsidRPr="00BF498A">
        <w:rPr>
          <w:rStyle w:val="Refdenotaalpie"/>
        </w:rPr>
        <w:footnoteRef/>
      </w:r>
      <w:r>
        <w:tab/>
      </w:r>
      <w:r>
        <w:rPr>
          <w:lang w:val="es-AR"/>
        </w:rPr>
        <w:t>El</w:t>
      </w:r>
      <w:r w:rsidRPr="00BF498A">
        <w:rPr>
          <w:lang w:val="es-AR"/>
        </w:rPr>
        <w:t xml:space="preserve"> </w:t>
      </w:r>
      <w:r>
        <w:rPr>
          <w:lang w:val="es-AR"/>
        </w:rPr>
        <w:t>Subcomité</w:t>
      </w:r>
      <w:r w:rsidRPr="00BF498A">
        <w:rPr>
          <w:lang w:val="es-AR"/>
        </w:rPr>
        <w:t xml:space="preserve"> </w:t>
      </w:r>
      <w:r>
        <w:rPr>
          <w:lang w:val="es-AR"/>
        </w:rPr>
        <w:t xml:space="preserve">realizó su primera visita </w:t>
      </w:r>
      <w:r w:rsidRPr="00BF498A">
        <w:rPr>
          <w:lang w:val="es-AR"/>
        </w:rPr>
        <w:t>a</w:t>
      </w:r>
      <w:r>
        <w:rPr>
          <w:lang w:val="es-AR"/>
        </w:rPr>
        <w:t xml:space="preserve">l </w:t>
      </w:r>
      <w:r>
        <w:t>Estado Plurinacional de</w:t>
      </w:r>
      <w:r w:rsidRPr="00BF498A">
        <w:rPr>
          <w:lang w:val="es-AR"/>
        </w:rPr>
        <w:t xml:space="preserve"> Bolivia del 30 de agosto al 8</w:t>
      </w:r>
      <w:r>
        <w:rPr>
          <w:lang w:val="es-AR"/>
        </w:rPr>
        <w:t> </w:t>
      </w:r>
      <w:r w:rsidRPr="00BF498A">
        <w:rPr>
          <w:lang w:val="es-AR"/>
        </w:rPr>
        <w:t xml:space="preserve">de septiembre de 2010. </w:t>
      </w:r>
    </w:p>
  </w:footnote>
  <w:footnote w:id="4">
    <w:p w14:paraId="20995541" w14:textId="4EA3D7EE" w:rsidR="003F48E6" w:rsidRPr="0010558C" w:rsidRDefault="003F48E6" w:rsidP="00651F7A">
      <w:pPr>
        <w:pStyle w:val="Textonotapie"/>
        <w:rPr>
          <w:lang w:val="pt-BR"/>
        </w:rPr>
      </w:pPr>
      <w:r w:rsidRPr="0010558C">
        <w:tab/>
      </w:r>
      <w:r>
        <w:rPr>
          <w:rStyle w:val="Refdenotaalpie"/>
        </w:rPr>
        <w:footnoteRef/>
      </w:r>
      <w:r>
        <w:rPr>
          <w:lang w:val="pt-BR"/>
        </w:rPr>
        <w:tab/>
      </w:r>
      <w:r w:rsidRPr="0010558C">
        <w:rPr>
          <w:lang w:val="pt-BR"/>
        </w:rPr>
        <w:t>V</w:t>
      </w:r>
      <w:r>
        <w:rPr>
          <w:lang w:val="pt-BR"/>
        </w:rPr>
        <w:t xml:space="preserve">éase el </w:t>
      </w:r>
      <w:r w:rsidRPr="0010558C">
        <w:rPr>
          <w:lang w:val="pt-BR"/>
        </w:rPr>
        <w:t xml:space="preserve">anexo </w:t>
      </w:r>
      <w:r>
        <w:rPr>
          <w:lang w:val="pt-BR"/>
        </w:rPr>
        <w:t>I.</w:t>
      </w:r>
    </w:p>
  </w:footnote>
  <w:footnote w:id="5">
    <w:p w14:paraId="20995542" w14:textId="7E9FAFA1" w:rsidR="003F48E6" w:rsidRPr="0010558C" w:rsidRDefault="003F48E6" w:rsidP="00651F7A">
      <w:pPr>
        <w:pStyle w:val="Textonotapie"/>
        <w:rPr>
          <w:lang w:val="pt-BR"/>
        </w:rPr>
      </w:pPr>
      <w:r w:rsidRPr="0010558C">
        <w:rPr>
          <w:lang w:val="pt-BR"/>
        </w:rPr>
        <w:tab/>
      </w:r>
      <w:r>
        <w:rPr>
          <w:rStyle w:val="Refdenotaalpie"/>
        </w:rPr>
        <w:footnoteRef/>
      </w:r>
      <w:r>
        <w:rPr>
          <w:lang w:val="pt-BR"/>
        </w:rPr>
        <w:tab/>
        <w:t xml:space="preserve">Véase </w:t>
      </w:r>
      <w:r w:rsidRPr="0010558C">
        <w:rPr>
          <w:lang w:val="pt-BR"/>
        </w:rPr>
        <w:t>CAT/OP/BOL/R.1.</w:t>
      </w:r>
    </w:p>
  </w:footnote>
  <w:footnote w:id="6">
    <w:p w14:paraId="20995545" w14:textId="4F21C273" w:rsidR="003F48E6" w:rsidRPr="00F2602B" w:rsidRDefault="003F48E6" w:rsidP="00651F7A">
      <w:pPr>
        <w:pStyle w:val="Textonotapie"/>
      </w:pPr>
      <w:r w:rsidRPr="0010558C">
        <w:rPr>
          <w:lang w:val="pt-BR"/>
        </w:rPr>
        <w:tab/>
      </w:r>
      <w:r w:rsidRPr="0066297B">
        <w:rPr>
          <w:rStyle w:val="Refdenotaalpie"/>
          <w:szCs w:val="18"/>
        </w:rPr>
        <w:footnoteRef/>
      </w:r>
      <w:r>
        <w:tab/>
      </w:r>
      <w:r w:rsidRPr="00F2602B">
        <w:t>CAT/OP/12/5.</w:t>
      </w:r>
    </w:p>
  </w:footnote>
  <w:footnote w:id="7">
    <w:p w14:paraId="20995546" w14:textId="37933BAF" w:rsidR="003F48E6" w:rsidRDefault="003F48E6" w:rsidP="00651F7A">
      <w:pPr>
        <w:pStyle w:val="Textonotapie"/>
        <w:rPr>
          <w:lang w:val="es-AR"/>
        </w:rPr>
      </w:pPr>
      <w:r w:rsidRPr="00F2602B">
        <w:tab/>
      </w:r>
      <w:r>
        <w:rPr>
          <w:rStyle w:val="Refdenotaalpie"/>
        </w:rPr>
        <w:footnoteRef/>
      </w:r>
      <w:r>
        <w:tab/>
      </w:r>
      <w:r>
        <w:rPr>
          <w:bCs/>
          <w:szCs w:val="18"/>
          <w:lang w:val="es-ES_tradnl"/>
        </w:rPr>
        <w:t>Declaración sobre la Protección de Todas las Personas contra la Tortura y Otros Tratos o Penas Crueles, Inhumanos o Degradantes, aprobada por la Asamblea General en su resolución 3452 (XXX), de 9 de diciembre de 1975, art. 5.</w:t>
      </w:r>
      <w:r>
        <w:rPr>
          <w:lang w:val="es-ES_tradnl"/>
        </w:rPr>
        <w:t xml:space="preserve"> </w:t>
      </w:r>
    </w:p>
  </w:footnote>
  <w:footnote w:id="8">
    <w:p w14:paraId="20995547" w14:textId="1DC4DFA4" w:rsidR="003F48E6" w:rsidRDefault="003F48E6" w:rsidP="00651F7A">
      <w:pPr>
        <w:pStyle w:val="Textonotapie"/>
        <w:rPr>
          <w:lang w:val="es-AR"/>
        </w:rPr>
      </w:pPr>
      <w:r>
        <w:tab/>
      </w:r>
      <w:r>
        <w:rPr>
          <w:rStyle w:val="Refdenotaalpie"/>
        </w:rPr>
        <w:footnoteRef/>
      </w:r>
      <w:r>
        <w:t xml:space="preserve"> </w:t>
      </w:r>
      <w:r>
        <w:tab/>
      </w:r>
      <w:r>
        <w:rPr>
          <w:bCs/>
          <w:szCs w:val="18"/>
          <w:lang w:val="es-ES_tradnl"/>
        </w:rPr>
        <w:t>Observación general núm. 2 (2008) sobre la aplicación del artículo 2 por los Estados partes, párr. 26.</w:t>
      </w:r>
      <w:r>
        <w:rPr>
          <w:lang w:val="es-ES_tradnl"/>
        </w:rPr>
        <w:t xml:space="preserve"> </w:t>
      </w:r>
    </w:p>
  </w:footnote>
  <w:footnote w:id="9">
    <w:p w14:paraId="20995548" w14:textId="5D2DA57E" w:rsidR="003F48E6" w:rsidRDefault="003F48E6" w:rsidP="00651F7A">
      <w:pPr>
        <w:pStyle w:val="Textonotapie"/>
        <w:rPr>
          <w:lang w:val="es-AR"/>
        </w:rPr>
      </w:pPr>
      <w:r>
        <w:tab/>
      </w:r>
      <w:r>
        <w:rPr>
          <w:rStyle w:val="Refdenotaalpie"/>
        </w:rPr>
        <w:footnoteRef/>
      </w:r>
      <w:r>
        <w:tab/>
        <w:t xml:space="preserve">Véase </w:t>
      </w:r>
      <w:r>
        <w:rPr>
          <w:szCs w:val="18"/>
        </w:rPr>
        <w:t xml:space="preserve">CAT/OP/BOL/R.1, </w:t>
      </w:r>
      <w:r>
        <w:rPr>
          <w:lang w:val="es-AR"/>
        </w:rPr>
        <w:t>p</w:t>
      </w:r>
      <w:r>
        <w:rPr>
          <w:szCs w:val="18"/>
        </w:rPr>
        <w:t xml:space="preserve">árr. </w:t>
      </w:r>
      <w:r>
        <w:rPr>
          <w:lang w:val="es-AR"/>
        </w:rPr>
        <w:t>56.</w:t>
      </w:r>
    </w:p>
  </w:footnote>
  <w:footnote w:id="10">
    <w:p w14:paraId="20995549" w14:textId="3B32CC4F" w:rsidR="003F48E6" w:rsidRPr="00CF5E2E" w:rsidRDefault="003F48E6" w:rsidP="00651F7A">
      <w:pPr>
        <w:pStyle w:val="Textonotapie"/>
        <w:rPr>
          <w:lang w:val="es-AR"/>
        </w:rPr>
      </w:pPr>
      <w:r>
        <w:tab/>
      </w:r>
      <w:r>
        <w:rPr>
          <w:rStyle w:val="Refdenotaalpie"/>
        </w:rPr>
        <w:footnoteRef/>
      </w:r>
      <w:r>
        <w:tab/>
        <w:t xml:space="preserve">Véase </w:t>
      </w:r>
      <w:r w:rsidRPr="00CF5E2E">
        <w:rPr>
          <w:lang w:val="es-AR"/>
        </w:rPr>
        <w:t>A/56/44, párr. 95</w:t>
      </w:r>
      <w:r>
        <w:rPr>
          <w:lang w:val="es-AR"/>
        </w:rPr>
        <w:t>, apdo.</w:t>
      </w:r>
      <w:r w:rsidRPr="00CF5E2E">
        <w:rPr>
          <w:lang w:val="es-AR"/>
        </w:rPr>
        <w:t xml:space="preserve"> a) y CAT/C/BOL/CO/2</w:t>
      </w:r>
      <w:r>
        <w:rPr>
          <w:lang w:val="es-AR"/>
        </w:rPr>
        <w:t>.</w:t>
      </w:r>
    </w:p>
  </w:footnote>
  <w:footnote w:id="11">
    <w:p w14:paraId="02E4825D" w14:textId="3BB40BE1" w:rsidR="003F48E6" w:rsidRPr="0010558C" w:rsidRDefault="003F48E6" w:rsidP="008A3E69">
      <w:pPr>
        <w:pStyle w:val="Textonotapie"/>
      </w:pPr>
      <w:r>
        <w:tab/>
      </w:r>
      <w:r>
        <w:rPr>
          <w:rStyle w:val="Refdenotaalpie"/>
        </w:rPr>
        <w:footnoteRef/>
      </w:r>
      <w:r>
        <w:t xml:space="preserve"> </w:t>
      </w:r>
      <w:r>
        <w:tab/>
        <w:t>A saber, a) la tipificación actual no comprende la totalidad de los elementos previstos en la legislación internacional aplicable, y prevé penas que no están de acuerdo con la gravedad de los hechos; b) dicha tipificación coloca a las víctimas en una situación de total indefensión legal, y más aún, favorece la impunidad de los perpetradores, y c) el crimen de tortura en el Estado Plurinacional de Bolivia sigue siendo un delito prescriptible.</w:t>
      </w:r>
    </w:p>
  </w:footnote>
  <w:footnote w:id="12">
    <w:p w14:paraId="2099554A" w14:textId="26D4BE01" w:rsidR="003F48E6" w:rsidRDefault="003F48E6" w:rsidP="00651F7A">
      <w:pPr>
        <w:pStyle w:val="Textonotapie"/>
        <w:rPr>
          <w:szCs w:val="18"/>
        </w:rPr>
      </w:pPr>
      <w:r>
        <w:rPr>
          <w:szCs w:val="18"/>
        </w:rPr>
        <w:tab/>
      </w:r>
      <w:r>
        <w:rPr>
          <w:rStyle w:val="Refdenotaalpie"/>
          <w:szCs w:val="18"/>
        </w:rPr>
        <w:footnoteRef/>
      </w:r>
      <w:r>
        <w:rPr>
          <w:szCs w:val="18"/>
        </w:rPr>
        <w:tab/>
        <w:t>Véase CAT/OP/BOL/R.1, párrs. 28 a 32.</w:t>
      </w:r>
    </w:p>
  </w:footnote>
  <w:footnote w:id="13">
    <w:p w14:paraId="2099554B" w14:textId="2984C870" w:rsidR="003F48E6" w:rsidRPr="007B52C7" w:rsidRDefault="003F48E6" w:rsidP="00651F7A">
      <w:pPr>
        <w:pStyle w:val="Textonotapie"/>
        <w:rPr>
          <w:lang w:val="es-AR"/>
        </w:rPr>
      </w:pPr>
      <w:r>
        <w:tab/>
      </w:r>
      <w:r>
        <w:rPr>
          <w:rStyle w:val="Refdenotaalpie"/>
        </w:rPr>
        <w:footnoteRef/>
      </w:r>
      <w:r>
        <w:tab/>
        <w:t xml:space="preserve">Véase </w:t>
      </w:r>
      <w:r w:rsidRPr="0098110E">
        <w:rPr>
          <w:i/>
        </w:rPr>
        <w:t>ib</w:t>
      </w:r>
      <w:r>
        <w:rPr>
          <w:i/>
        </w:rPr>
        <w:t>i</w:t>
      </w:r>
      <w:r w:rsidRPr="0098110E">
        <w:rPr>
          <w:i/>
        </w:rPr>
        <w:t>d.</w:t>
      </w:r>
      <w:r>
        <w:t xml:space="preserve">, </w:t>
      </w:r>
      <w:r>
        <w:rPr>
          <w:szCs w:val="18"/>
        </w:rPr>
        <w:t xml:space="preserve">párrs. </w:t>
      </w:r>
      <w:r w:rsidRPr="007B52C7">
        <w:rPr>
          <w:szCs w:val="18"/>
        </w:rPr>
        <w:t>54, 204</w:t>
      </w:r>
      <w:r>
        <w:rPr>
          <w:szCs w:val="18"/>
        </w:rPr>
        <w:t xml:space="preserve"> y</w:t>
      </w:r>
      <w:r w:rsidRPr="007B52C7">
        <w:rPr>
          <w:szCs w:val="18"/>
        </w:rPr>
        <w:t xml:space="preserve"> 205</w:t>
      </w:r>
      <w:r w:rsidRPr="007B52C7">
        <w:rPr>
          <w:lang w:val="es-AR"/>
        </w:rPr>
        <w:t xml:space="preserve">. </w:t>
      </w:r>
    </w:p>
  </w:footnote>
  <w:footnote w:id="14">
    <w:p w14:paraId="2099554D" w14:textId="32B79BC7" w:rsidR="003F48E6" w:rsidRPr="007B52C7" w:rsidRDefault="003F48E6" w:rsidP="00651F7A">
      <w:pPr>
        <w:pStyle w:val="Textonotapie"/>
      </w:pPr>
      <w:r>
        <w:rPr>
          <w:szCs w:val="18"/>
        </w:rPr>
        <w:tab/>
      </w:r>
      <w:r w:rsidRPr="00F13B33">
        <w:rPr>
          <w:szCs w:val="18"/>
          <w:vertAlign w:val="superscript"/>
        </w:rPr>
        <w:footnoteRef/>
      </w:r>
      <w:r>
        <w:rPr>
          <w:szCs w:val="18"/>
        </w:rPr>
        <w:tab/>
        <w:t xml:space="preserve">Véase </w:t>
      </w:r>
      <w:r w:rsidRPr="007B52C7">
        <w:rPr>
          <w:szCs w:val="18"/>
        </w:rPr>
        <w:t xml:space="preserve">CAT/OP/BOL/R.1, </w:t>
      </w:r>
      <w:r>
        <w:rPr>
          <w:szCs w:val="18"/>
        </w:rPr>
        <w:t xml:space="preserve">párrs. </w:t>
      </w:r>
      <w:r w:rsidRPr="007B52C7">
        <w:rPr>
          <w:szCs w:val="18"/>
        </w:rPr>
        <w:t xml:space="preserve">138 y 139. En su jurisprudencia, el </w:t>
      </w:r>
      <w:r>
        <w:rPr>
          <w:szCs w:val="18"/>
        </w:rPr>
        <w:t>Subcomité</w:t>
      </w:r>
      <w:r w:rsidRPr="007B52C7">
        <w:rPr>
          <w:szCs w:val="18"/>
        </w:rPr>
        <w:t xml:space="preserve"> ya estableció un vínculo entre pobreza, discriminación y prisión preventiva.</w:t>
      </w:r>
    </w:p>
  </w:footnote>
  <w:footnote w:id="15">
    <w:p w14:paraId="2099554E" w14:textId="52C383C2" w:rsidR="003F48E6" w:rsidRPr="007B52C7" w:rsidRDefault="003F48E6" w:rsidP="00651F7A">
      <w:pPr>
        <w:pStyle w:val="Textonotapie"/>
      </w:pPr>
      <w:r>
        <w:tab/>
      </w:r>
      <w:r w:rsidRPr="00F13B33">
        <w:rPr>
          <w:vertAlign w:val="superscript"/>
        </w:rPr>
        <w:footnoteRef/>
      </w:r>
      <w:r>
        <w:tab/>
      </w:r>
      <w:r w:rsidRPr="007B52C7">
        <w:t xml:space="preserve">Estudio realizado por la Fundación CONSTRUIR con apoyo de la </w:t>
      </w:r>
      <w:r>
        <w:t xml:space="preserve">Oficina del Alto Comisionado de las Naciones Unidas para los Derechos Humanos en el Estado Plurinacional de </w:t>
      </w:r>
      <w:r w:rsidRPr="007B52C7">
        <w:t>Bolivia en las ciudades de La Paz</w:t>
      </w:r>
      <w:r>
        <w:t xml:space="preserve"> y El Alto.</w:t>
      </w:r>
    </w:p>
  </w:footnote>
  <w:footnote w:id="16">
    <w:p w14:paraId="7D6501CE" w14:textId="2BAB4B09" w:rsidR="003F48E6" w:rsidRPr="00E96B12" w:rsidRDefault="003F48E6">
      <w:pPr>
        <w:pStyle w:val="Textonotapie"/>
        <w:rPr>
          <w:lang w:val="es-AR"/>
        </w:rPr>
      </w:pPr>
      <w:r>
        <w:rPr>
          <w:szCs w:val="18"/>
          <w:vertAlign w:val="superscript"/>
        </w:rPr>
        <w:tab/>
      </w:r>
      <w:r w:rsidRPr="0066297B">
        <w:rPr>
          <w:szCs w:val="18"/>
          <w:vertAlign w:val="superscript"/>
        </w:rPr>
        <w:footnoteRef/>
      </w:r>
      <w:r w:rsidRPr="0066297B">
        <w:rPr>
          <w:szCs w:val="18"/>
          <w:vertAlign w:val="superscript"/>
        </w:rPr>
        <w:t xml:space="preserve"> </w:t>
      </w:r>
      <w:r>
        <w:rPr>
          <w:szCs w:val="18"/>
          <w:vertAlign w:val="superscript"/>
        </w:rPr>
        <w:tab/>
      </w:r>
      <w:r>
        <w:rPr>
          <w:lang w:val="es-AR"/>
        </w:rPr>
        <w:t>L</w:t>
      </w:r>
      <w:r w:rsidRPr="00E96B12">
        <w:rPr>
          <w:lang w:val="es-AR"/>
        </w:rPr>
        <w:t>o que limitaba la capacidad de la defensa de rebatir los argumentos vertidos en la imputación formal en presencia del fiscal y del juez.</w:t>
      </w:r>
    </w:p>
  </w:footnote>
  <w:footnote w:id="17">
    <w:p w14:paraId="2099554F" w14:textId="31A27FA5" w:rsidR="003F48E6" w:rsidRPr="00EC416A" w:rsidRDefault="003F48E6" w:rsidP="00651F7A">
      <w:pPr>
        <w:pStyle w:val="Textonotapie"/>
        <w:rPr>
          <w:lang w:val="es-AR"/>
        </w:rPr>
      </w:pPr>
      <w:r w:rsidRPr="00E96B12">
        <w:rPr>
          <w:lang w:val="es-AR"/>
        </w:rPr>
        <w:tab/>
      </w:r>
      <w:r w:rsidRPr="007A61CB">
        <w:rPr>
          <w:vertAlign w:val="superscript"/>
          <w:lang w:val="es-AR"/>
        </w:rPr>
        <w:footnoteRef/>
      </w:r>
      <w:r>
        <w:rPr>
          <w:lang w:val="es-AR"/>
        </w:rPr>
        <w:tab/>
        <w:t>Véase CAT/OP/BOL/R.1, párrs. 38, 52, y 69 a 74.</w:t>
      </w:r>
    </w:p>
  </w:footnote>
  <w:footnote w:id="18">
    <w:p w14:paraId="3BCEC7C6" w14:textId="2B18BA40" w:rsidR="003F48E6" w:rsidRPr="0066297B" w:rsidRDefault="003F48E6">
      <w:pPr>
        <w:pStyle w:val="Textonotapie"/>
        <w:rPr>
          <w:lang w:val="es-AR"/>
        </w:rPr>
      </w:pPr>
      <w:r>
        <w:rPr>
          <w:lang w:val="es-AR"/>
        </w:rPr>
        <w:tab/>
      </w:r>
      <w:r w:rsidRPr="007A61CB">
        <w:rPr>
          <w:vertAlign w:val="superscript"/>
          <w:lang w:val="es-AR"/>
        </w:rPr>
        <w:footnoteRef/>
      </w:r>
      <w:r>
        <w:rPr>
          <w:lang w:val="es-AR"/>
        </w:rPr>
        <w:tab/>
        <w:t xml:space="preserve">Véase </w:t>
      </w:r>
      <w:r w:rsidRPr="0098110E">
        <w:rPr>
          <w:i/>
          <w:lang w:val="es-AR"/>
        </w:rPr>
        <w:t>ib</w:t>
      </w:r>
      <w:r>
        <w:rPr>
          <w:i/>
          <w:lang w:val="es-AR"/>
        </w:rPr>
        <w:t>i</w:t>
      </w:r>
      <w:r w:rsidRPr="0098110E">
        <w:rPr>
          <w:i/>
          <w:lang w:val="es-AR"/>
        </w:rPr>
        <w:t>d.</w:t>
      </w:r>
      <w:r>
        <w:rPr>
          <w:lang w:val="es-AR"/>
        </w:rPr>
        <w:t xml:space="preserve">, párr. </w:t>
      </w:r>
      <w:r w:rsidRPr="00E96B12">
        <w:rPr>
          <w:lang w:val="es-AR"/>
        </w:rPr>
        <w:t>54</w:t>
      </w:r>
      <w:r>
        <w:rPr>
          <w:lang w:val="es-AR"/>
        </w:rPr>
        <w:t>,</w:t>
      </w:r>
      <w:r w:rsidRPr="00E96B12">
        <w:rPr>
          <w:lang w:val="es-AR"/>
        </w:rPr>
        <w:t xml:space="preserve"> relativo a la capacitación a jueces y operadores de justicia para una correcta aplicación e interpretación de la normativa relacionada con medidas alternativas a la detención; </w:t>
      </w:r>
      <w:r>
        <w:rPr>
          <w:lang w:val="es-AR"/>
        </w:rPr>
        <w:t xml:space="preserve">y párr. </w:t>
      </w:r>
      <w:r w:rsidRPr="00E96B12">
        <w:rPr>
          <w:lang w:val="es-AR"/>
        </w:rPr>
        <w:t>143 relativo a un mejor uso de las medidas sustitutivas</w:t>
      </w:r>
      <w:r>
        <w:rPr>
          <w:lang w:val="es-AR"/>
        </w:rPr>
        <w:t>,</w:t>
      </w:r>
      <w:r w:rsidRPr="00E96B12">
        <w:rPr>
          <w:lang w:val="es-AR"/>
        </w:rPr>
        <w:t xml:space="preserve"> la aceleración de los procesos que permitan una reducción de la detención preventiva</w:t>
      </w:r>
      <w:r>
        <w:rPr>
          <w:lang w:val="es-AR"/>
        </w:rPr>
        <w:t>,</w:t>
      </w:r>
      <w:r w:rsidRPr="00E96B12">
        <w:rPr>
          <w:lang w:val="es-AR"/>
        </w:rPr>
        <w:t xml:space="preserve"> </w:t>
      </w:r>
      <w:r>
        <w:rPr>
          <w:lang w:val="es-AR"/>
        </w:rPr>
        <w:t xml:space="preserve">y </w:t>
      </w:r>
      <w:r w:rsidRPr="00E96B12">
        <w:rPr>
          <w:lang w:val="es-AR"/>
        </w:rPr>
        <w:t>la aplicación restringida y motivada por parte de las autoridades judiciales de la detención preventiva.</w:t>
      </w:r>
    </w:p>
  </w:footnote>
  <w:footnote w:id="19">
    <w:p w14:paraId="20995554" w14:textId="6EADE1BE" w:rsidR="003F48E6" w:rsidRPr="00EC416A" w:rsidRDefault="003F48E6" w:rsidP="00651F7A">
      <w:pPr>
        <w:pStyle w:val="Textonotapie"/>
        <w:rPr>
          <w:lang w:val="es-AR"/>
        </w:rPr>
      </w:pPr>
      <w:r>
        <w:tab/>
      </w:r>
      <w:r>
        <w:rPr>
          <w:rStyle w:val="Refdenotaalpie"/>
        </w:rPr>
        <w:footnoteRef/>
      </w:r>
      <w:r>
        <w:tab/>
      </w:r>
      <w:r w:rsidRPr="0098110E">
        <w:rPr>
          <w:i/>
        </w:rPr>
        <w:t>Ib</w:t>
      </w:r>
      <w:r>
        <w:rPr>
          <w:i/>
        </w:rPr>
        <w:t>i</w:t>
      </w:r>
      <w:r w:rsidRPr="0098110E">
        <w:rPr>
          <w:i/>
        </w:rPr>
        <w:t>d.</w:t>
      </w:r>
      <w:r>
        <w:t>, párr. 159.</w:t>
      </w:r>
    </w:p>
  </w:footnote>
  <w:footnote w:id="20">
    <w:p w14:paraId="20995558" w14:textId="1FBA3494" w:rsidR="003F48E6" w:rsidRPr="00EC416A" w:rsidRDefault="003F48E6" w:rsidP="00651F7A">
      <w:pPr>
        <w:pStyle w:val="Textonotapie"/>
        <w:rPr>
          <w:lang w:val="es-AR"/>
        </w:rPr>
      </w:pPr>
      <w:r>
        <w:tab/>
      </w:r>
      <w:r>
        <w:rPr>
          <w:rStyle w:val="Refdenotaalpie"/>
        </w:rPr>
        <w:footnoteRef/>
      </w:r>
      <w:r>
        <w:tab/>
      </w:r>
      <w:r w:rsidRPr="00AE07A5">
        <w:t xml:space="preserve">De la compulsa de los legajos de los internos se advierte que dichas sanciones escapan a revisión judicial, dado que no se ha encontrado constancia de sanciones remitidas al juez competente a fin de controlar su legalidad, cuando la obligación del representante de los internos </w:t>
      </w:r>
      <w:r>
        <w:t xml:space="preserve">era </w:t>
      </w:r>
      <w:r w:rsidRPr="00AE07A5">
        <w:t xml:space="preserve">hacer entrega del parte de la sanción a las autoridades del penal y luego ser remitida al </w:t>
      </w:r>
      <w:r>
        <w:t>m</w:t>
      </w:r>
      <w:r w:rsidRPr="00AE07A5">
        <w:t>agistrado interviniente</w:t>
      </w:r>
      <w:r>
        <w:t>.</w:t>
      </w:r>
    </w:p>
  </w:footnote>
  <w:footnote w:id="21">
    <w:p w14:paraId="2099555A" w14:textId="1ECB2A9B" w:rsidR="003F48E6" w:rsidRPr="00EC416A" w:rsidRDefault="003F48E6" w:rsidP="00651F7A">
      <w:pPr>
        <w:pStyle w:val="Textonotapie"/>
        <w:rPr>
          <w:lang w:val="es-AR"/>
        </w:rPr>
      </w:pPr>
      <w:r>
        <w:tab/>
      </w:r>
      <w:r>
        <w:rPr>
          <w:rStyle w:val="Refdenotaalpie"/>
        </w:rPr>
        <w:footnoteRef/>
      </w:r>
      <w:r>
        <w:tab/>
      </w:r>
      <w:r w:rsidRPr="00D674C9">
        <w:t>CAT/OP/BOL/R.1</w:t>
      </w:r>
      <w:r>
        <w:t>, párr</w:t>
      </w:r>
      <w:r>
        <w:rPr>
          <w:lang w:val="es-AR"/>
        </w:rPr>
        <w:t>.</w:t>
      </w:r>
      <w:r w:rsidRPr="00EC416A">
        <w:rPr>
          <w:lang w:val="es-AR"/>
        </w:rPr>
        <w:t xml:space="preserve"> 161</w:t>
      </w:r>
      <w:r>
        <w:rPr>
          <w:lang w:val="es-AR"/>
        </w:rPr>
        <w:t>.</w:t>
      </w:r>
    </w:p>
  </w:footnote>
  <w:footnote w:id="22">
    <w:p w14:paraId="2099555B" w14:textId="457FE3AA" w:rsidR="003F48E6" w:rsidRPr="00F13B33" w:rsidRDefault="003F48E6" w:rsidP="00651F7A">
      <w:pPr>
        <w:pStyle w:val="Textonotapie"/>
      </w:pPr>
      <w:r>
        <w:tab/>
      </w:r>
      <w:r>
        <w:rPr>
          <w:rStyle w:val="Refdenotaalpie"/>
        </w:rPr>
        <w:footnoteRef/>
      </w:r>
      <w:r>
        <w:tab/>
      </w:r>
      <w:r w:rsidRPr="00CA1952">
        <w:t>CAT/OP/BOL/R.1, p</w:t>
      </w:r>
      <w:r>
        <w:t>árrs</w:t>
      </w:r>
      <w:r w:rsidRPr="00CA1952">
        <w:t>.</w:t>
      </w:r>
      <w:r>
        <w:t xml:space="preserve"> 47 y 48.</w:t>
      </w:r>
    </w:p>
  </w:footnote>
  <w:footnote w:id="23">
    <w:p w14:paraId="2099555C" w14:textId="014FEAB7" w:rsidR="003F48E6" w:rsidRPr="0010558C" w:rsidRDefault="003F48E6" w:rsidP="00651F7A">
      <w:pPr>
        <w:pStyle w:val="Textonotapie"/>
      </w:pPr>
      <w:r>
        <w:tab/>
      </w:r>
      <w:r>
        <w:rPr>
          <w:rStyle w:val="Refdenotaalpie"/>
        </w:rPr>
        <w:footnoteRef/>
      </w:r>
      <w:r>
        <w:tab/>
        <w:t>Ley de Ejecución de Penas, a</w:t>
      </w:r>
      <w:r w:rsidRPr="0010558C">
        <w:t>rt</w:t>
      </w:r>
      <w:r>
        <w:t xml:space="preserve">. </w:t>
      </w:r>
      <w:r w:rsidRPr="0010558C">
        <w:t>59</w:t>
      </w:r>
      <w:r>
        <w:t>.</w:t>
      </w:r>
    </w:p>
  </w:footnote>
  <w:footnote w:id="24">
    <w:p w14:paraId="2099555D" w14:textId="4DE67D6C" w:rsidR="003F48E6" w:rsidRPr="0010558C" w:rsidRDefault="003F48E6" w:rsidP="00651F7A">
      <w:pPr>
        <w:pStyle w:val="Textonotapie"/>
      </w:pPr>
      <w:r>
        <w:tab/>
      </w:r>
      <w:r>
        <w:rPr>
          <w:rStyle w:val="Refdenotaalpie"/>
        </w:rPr>
        <w:footnoteRef/>
      </w:r>
      <w:r>
        <w:tab/>
        <w:t>Se</w:t>
      </w:r>
      <w:r w:rsidRPr="005119C4">
        <w:t xml:space="preserve"> asienta </w:t>
      </w:r>
      <w:r>
        <w:t xml:space="preserve">el </w:t>
      </w:r>
      <w:r w:rsidRPr="005119C4">
        <w:t xml:space="preserve">ingreso a la comisaría o servicio penitenciario pero </w:t>
      </w:r>
      <w:r>
        <w:t>no la fecha efectiva de detención.</w:t>
      </w:r>
    </w:p>
  </w:footnote>
  <w:footnote w:id="25">
    <w:p w14:paraId="20995564" w14:textId="564DB8B0" w:rsidR="003F48E6" w:rsidRPr="0010558C" w:rsidRDefault="003F48E6" w:rsidP="00651F7A">
      <w:pPr>
        <w:pStyle w:val="Textonotapie"/>
      </w:pPr>
      <w:r>
        <w:tab/>
      </w:r>
      <w:r>
        <w:rPr>
          <w:rStyle w:val="Refdenotaalpie"/>
        </w:rPr>
        <w:footnoteRef/>
      </w:r>
      <w:r>
        <w:tab/>
        <w:t>CAT/OP/BOL/R.1, párr. 155 (</w:t>
      </w:r>
      <w:r w:rsidRPr="00CA3651">
        <w:t xml:space="preserve">El </w:t>
      </w:r>
      <w:r>
        <w:t>Subcomité</w:t>
      </w:r>
      <w:r w:rsidRPr="00CA3651">
        <w:t xml:space="preserve"> recomienda el establecimiento de un sistema uniforme de registros de entrada, donde como mínimo se deje constancia de la identidad de la persona recluida, los motivos de la detención y la autoridad competente que lo dispuso, así como el día y hora de su ingreso y de su salida. El </w:t>
      </w:r>
      <w:r>
        <w:t>Subcomité</w:t>
      </w:r>
      <w:r w:rsidRPr="00CA3651">
        <w:t xml:space="preserve"> recomienda asimismo el establecimiento de un sistema uniforme de registros de medidas disciplinarias, en el que conste la identidad del infractor, la sanción adoptada, la duración de la misma y el oficial que ordenó la sanción</w:t>
      </w:r>
      <w:r>
        <w:t>) y párr. 102 (A la luz de todo lo anterior, el Subcomité recomienda al Estado parte: a) Establecer un sistema obligatorio de registros de ingresos y salidas, encuadernado y foliado, donde se hagan constar los motivos que justifican la privación de libertad, la hora exacta de la detención, la hora exacta de ingreso y egreso de la celda, la autoridad que ordenó la detención, la identidad de los funcionarios que hayan intervenido, así como información precisa acerca del lugar de custodia de la persona, y la hora de su primera comparecencia ante el juez u otra autoridad; b) Dejar constancia en registros de los exámenes médicos, de la identidad del médico y de los resultados de dicha visita; c) Dejar constancia en registros de las quejas recibidas, de las visitas de familiares, de abogados o de órganos de supervisión y de los objetos personales de las personas detenidas; d) Entrenar al personal policial para que haga un uso adecuado y consistente de los registros; y e) Supervisar estrictamente el sistema de registros por parte de oficiales superiores, con el fin de asegurar la transcripción sistemática de toda la información relevante relativa a la privación de libertad de personas).</w:t>
      </w:r>
    </w:p>
  </w:footnote>
  <w:footnote w:id="26">
    <w:p w14:paraId="20995565" w14:textId="4ACE96BD" w:rsidR="003F48E6" w:rsidRPr="00EC416A" w:rsidRDefault="003F48E6" w:rsidP="00651F7A">
      <w:pPr>
        <w:pStyle w:val="Textonotapie"/>
        <w:rPr>
          <w:lang w:val="es-AR"/>
        </w:rPr>
      </w:pPr>
      <w:r>
        <w:tab/>
      </w:r>
      <w:r w:rsidRPr="00844E33">
        <w:rPr>
          <w:rStyle w:val="Refdenotaalpie"/>
        </w:rPr>
        <w:footnoteRef/>
      </w:r>
      <w:r>
        <w:tab/>
      </w:r>
      <w:r w:rsidRPr="0098425D">
        <w:t>CAT/OP/BOL/R.1</w:t>
      </w:r>
      <w:r>
        <w:t>,</w:t>
      </w:r>
      <w:r w:rsidRPr="00844E33">
        <w:rPr>
          <w:lang w:val="es-AR"/>
        </w:rPr>
        <w:t xml:space="preserve"> p</w:t>
      </w:r>
      <w:r>
        <w:rPr>
          <w:lang w:val="es-AR"/>
        </w:rPr>
        <w:t>árr. 143.</w:t>
      </w:r>
    </w:p>
  </w:footnote>
  <w:footnote w:id="27">
    <w:p w14:paraId="20995566" w14:textId="38E5B823" w:rsidR="003F48E6" w:rsidRPr="00B41208" w:rsidRDefault="003F48E6" w:rsidP="00651F7A">
      <w:pPr>
        <w:pStyle w:val="Textonotapie"/>
      </w:pPr>
      <w:r>
        <w:tab/>
      </w:r>
      <w:r>
        <w:rPr>
          <w:rStyle w:val="Refdenotaalpie"/>
        </w:rPr>
        <w:footnoteRef/>
      </w:r>
      <w:r>
        <w:tab/>
        <w:t>Reglas Mínimas de las Naciones Unidas para el Tratamiento de los R</w:t>
      </w:r>
      <w:r w:rsidRPr="00B41208">
        <w:t>eclusos</w:t>
      </w:r>
      <w:r>
        <w:t xml:space="preserve"> (Reglas Nelson Mandela)</w:t>
      </w:r>
      <w:r w:rsidRPr="00B41208">
        <w:t xml:space="preserve">, </w:t>
      </w:r>
      <w:r>
        <w:t>r</w:t>
      </w:r>
      <w:r w:rsidRPr="00B41208">
        <w:t xml:space="preserve">egla 10. </w:t>
      </w:r>
    </w:p>
  </w:footnote>
  <w:footnote w:id="28">
    <w:p w14:paraId="20995567" w14:textId="5FD5D847" w:rsidR="003F48E6" w:rsidRPr="00CF5E2E" w:rsidRDefault="003F48E6" w:rsidP="00651F7A">
      <w:pPr>
        <w:pStyle w:val="Textonotapie"/>
        <w:rPr>
          <w:lang w:val="es-AR"/>
        </w:rPr>
      </w:pPr>
      <w:r>
        <w:tab/>
      </w:r>
      <w:r>
        <w:rPr>
          <w:rStyle w:val="Refdenotaalpie"/>
        </w:rPr>
        <w:footnoteRef/>
      </w:r>
      <w:r>
        <w:tab/>
        <w:t>L</w:t>
      </w:r>
      <w:r w:rsidRPr="00BA4471">
        <w:t xml:space="preserve">as celdas judiciales tienen por </w:t>
      </w:r>
      <w:r>
        <w:t>objetivo el resguardo de</w:t>
      </w:r>
      <w:r w:rsidRPr="00BA4471">
        <w:t xml:space="preserve"> persona</w:t>
      </w:r>
      <w:r>
        <w:t>s</w:t>
      </w:r>
      <w:r w:rsidRPr="00BA4471">
        <w:t xml:space="preserve"> por el plazo de horas, para llevarla ante el juez y/o para la obtención del mandamiento de detención en el respectivo centro penitenciario.</w:t>
      </w:r>
    </w:p>
  </w:footnote>
  <w:footnote w:id="29">
    <w:p w14:paraId="20995568" w14:textId="29D6F329" w:rsidR="003F48E6" w:rsidRPr="0010558C" w:rsidRDefault="003F48E6" w:rsidP="00651F7A">
      <w:pPr>
        <w:pStyle w:val="Textonotapie"/>
      </w:pPr>
      <w:r>
        <w:tab/>
      </w:r>
      <w:r>
        <w:rPr>
          <w:rStyle w:val="Refdenotaalpie"/>
        </w:rPr>
        <w:footnoteRef/>
      </w:r>
      <w:r>
        <w:tab/>
      </w:r>
      <w:r w:rsidRPr="0010558C">
        <w:t>Caso de</w:t>
      </w:r>
      <w:r>
        <w:t xml:space="preserve"> </w:t>
      </w:r>
      <w:r w:rsidRPr="0010558C">
        <w:t>Adolfo Chávez</w:t>
      </w:r>
      <w:r>
        <w:t>,</w:t>
      </w:r>
      <w:r w:rsidRPr="0010558C">
        <w:t xml:space="preserve"> de lengua indígena </w:t>
      </w:r>
      <w:r>
        <w:t>t</w:t>
      </w:r>
      <w:r w:rsidRPr="0010558C">
        <w:t>acaña, por ejemplo.</w:t>
      </w:r>
    </w:p>
  </w:footnote>
  <w:footnote w:id="30">
    <w:p w14:paraId="20995569" w14:textId="363B3DCB" w:rsidR="003F48E6" w:rsidRPr="0010558C" w:rsidRDefault="003F48E6" w:rsidP="00651F7A">
      <w:pPr>
        <w:pStyle w:val="Textonotapie"/>
      </w:pPr>
      <w:r>
        <w:tab/>
      </w:r>
      <w:r>
        <w:rPr>
          <w:rStyle w:val="Refdenotaalpie"/>
        </w:rPr>
        <w:footnoteRef/>
      </w:r>
      <w:r>
        <w:tab/>
        <w:t>CAT/C/50/2, párr. 93.</w:t>
      </w:r>
    </w:p>
  </w:footnote>
  <w:footnote w:id="31">
    <w:p w14:paraId="2099556A" w14:textId="36F64113" w:rsidR="003F48E6" w:rsidRPr="00CD74A2" w:rsidRDefault="003F48E6" w:rsidP="00651F7A">
      <w:pPr>
        <w:pStyle w:val="Textonotapie"/>
      </w:pPr>
      <w:r>
        <w:tab/>
      </w:r>
      <w:r>
        <w:rPr>
          <w:rStyle w:val="Refdenotaalpie"/>
        </w:rPr>
        <w:footnoteRef/>
      </w:r>
      <w:r>
        <w:tab/>
      </w:r>
      <w:r w:rsidRPr="00815B60">
        <w:t>Convención sobre los Derechos de las Personas con Discapacidad,</w:t>
      </w:r>
      <w:r>
        <w:t xml:space="preserve"> arts. 4 y 14, párr. 2.</w:t>
      </w:r>
    </w:p>
  </w:footnote>
  <w:footnote w:id="32">
    <w:p w14:paraId="2099556B" w14:textId="202B42C8" w:rsidR="003F48E6" w:rsidRPr="00CD74A2" w:rsidRDefault="003F48E6" w:rsidP="00651F7A">
      <w:pPr>
        <w:pStyle w:val="Textonotapie"/>
        <w:rPr>
          <w:lang w:val="es-AR"/>
        </w:rPr>
      </w:pPr>
      <w:r>
        <w:tab/>
      </w:r>
      <w:r>
        <w:rPr>
          <w:rStyle w:val="Refdenotaalpie"/>
        </w:rPr>
        <w:footnoteRef/>
      </w:r>
      <w:r>
        <w:tab/>
      </w:r>
      <w:r>
        <w:rPr>
          <w:lang w:val="es-AR"/>
        </w:rPr>
        <w:t xml:space="preserve">Véase la sección V, subsección E, “Hospital psiquiátrico” </w:t>
      </w:r>
      <w:r w:rsidRPr="00815B60">
        <w:rPr>
          <w:i/>
          <w:lang w:val="es-AR"/>
        </w:rPr>
        <w:t>supra</w:t>
      </w:r>
      <w:r>
        <w:rPr>
          <w:lang w:val="es-AR"/>
        </w:rPr>
        <w:t>, sobre personas con discapacidad en esa institución.</w:t>
      </w:r>
    </w:p>
  </w:footnote>
  <w:footnote w:id="33">
    <w:p w14:paraId="2099556C" w14:textId="36ADB412" w:rsidR="003F48E6" w:rsidRPr="00E17CFB" w:rsidRDefault="003F48E6" w:rsidP="00651F7A">
      <w:pPr>
        <w:pStyle w:val="Textonotapie"/>
        <w:rPr>
          <w:lang w:val="es-AR"/>
        </w:rPr>
      </w:pPr>
      <w:r>
        <w:tab/>
      </w:r>
      <w:r>
        <w:rPr>
          <w:rStyle w:val="Refdenotaalpie"/>
        </w:rPr>
        <w:footnoteRef/>
      </w:r>
      <w:r>
        <w:tab/>
        <w:t>Reglas Nelson Mandela, r</w:t>
      </w:r>
      <w:r>
        <w:rPr>
          <w:lang w:val="es-AR"/>
        </w:rPr>
        <w:t>egla 45, párr. 2.</w:t>
      </w:r>
    </w:p>
  </w:footnote>
  <w:footnote w:id="34">
    <w:p w14:paraId="2099556D" w14:textId="345A073C" w:rsidR="003F48E6" w:rsidRPr="00CB6CC4" w:rsidRDefault="003F48E6" w:rsidP="00651F7A">
      <w:pPr>
        <w:pStyle w:val="Textonotapie"/>
        <w:rPr>
          <w:lang w:val="es-AR"/>
        </w:rPr>
      </w:pPr>
      <w:r>
        <w:tab/>
      </w:r>
      <w:r>
        <w:rPr>
          <w:rStyle w:val="Refdenotaalpie"/>
        </w:rPr>
        <w:footnoteRef/>
      </w:r>
      <w:r>
        <w:tab/>
      </w:r>
      <w:r w:rsidRPr="0098110E">
        <w:rPr>
          <w:i/>
        </w:rPr>
        <w:t>Ib</w:t>
      </w:r>
      <w:r w:rsidR="009514CB">
        <w:rPr>
          <w:i/>
        </w:rPr>
        <w:t>i</w:t>
      </w:r>
      <w:r w:rsidRPr="0098110E">
        <w:rPr>
          <w:i/>
        </w:rPr>
        <w:t>d.</w:t>
      </w:r>
      <w:r>
        <w:t xml:space="preserve">, </w:t>
      </w:r>
      <w:r>
        <w:rPr>
          <w:lang w:val="es-AR"/>
        </w:rPr>
        <w:t>regla 109, párrs. 2 y 3.</w:t>
      </w:r>
    </w:p>
  </w:footnote>
  <w:footnote w:id="35">
    <w:p w14:paraId="2099556E" w14:textId="7CD44FFA" w:rsidR="003F48E6" w:rsidRPr="0080634E" w:rsidRDefault="003F48E6" w:rsidP="00651F7A">
      <w:pPr>
        <w:pStyle w:val="Textonotapie"/>
        <w:rPr>
          <w:lang w:val="es-AR"/>
        </w:rPr>
      </w:pPr>
      <w:r>
        <w:tab/>
      </w:r>
      <w:r>
        <w:rPr>
          <w:rStyle w:val="Refdenotaalpie"/>
        </w:rPr>
        <w:footnoteRef/>
      </w:r>
      <w:r>
        <w:tab/>
      </w:r>
      <w:r w:rsidRPr="00E54432">
        <w:t>Convención sobre los Derechos de las Personas con Discapacidad,</w:t>
      </w:r>
      <w:r>
        <w:t xml:space="preserve"> a</w:t>
      </w:r>
      <w:r>
        <w:rPr>
          <w:lang w:val="es-AR"/>
        </w:rPr>
        <w:t>rt. 25.</w:t>
      </w:r>
    </w:p>
  </w:footnote>
  <w:footnote w:id="36">
    <w:p w14:paraId="2099556F" w14:textId="780D1916" w:rsidR="003F48E6" w:rsidRPr="009C436F" w:rsidRDefault="003F48E6" w:rsidP="00651F7A">
      <w:pPr>
        <w:pStyle w:val="Textonotapie"/>
        <w:rPr>
          <w:lang w:val="es-AR"/>
        </w:rPr>
      </w:pPr>
      <w:r>
        <w:tab/>
      </w:r>
      <w:r>
        <w:rPr>
          <w:rStyle w:val="Refdenotaalpie"/>
        </w:rPr>
        <w:footnoteRef/>
      </w:r>
      <w:r>
        <w:tab/>
        <w:t>Reglas Nelson Mandela, r</w:t>
      </w:r>
      <w:r>
        <w:rPr>
          <w:lang w:val="es-AR"/>
        </w:rPr>
        <w:t>egla 109, párr.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5536" w14:textId="1EC28DDA" w:rsidR="003F48E6" w:rsidRPr="002C4E74" w:rsidRDefault="003F48E6">
    <w:pPr>
      <w:pStyle w:val="Encabezado"/>
    </w:pPr>
    <w:r w:rsidRPr="002C4E74">
      <w:t>CAT/OP/BOL/</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5537" w14:textId="61AB1622" w:rsidR="003F48E6" w:rsidRPr="00651F7A" w:rsidRDefault="003F48E6" w:rsidP="007134A7">
    <w:pPr>
      <w:pStyle w:val="Encabezado"/>
      <w:jc w:val="right"/>
    </w:pPr>
    <w:r w:rsidRPr="00651F7A">
      <w:t>CAT/OP/BOL/</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84A65"/>
    <w:multiLevelType w:val="hybridMultilevel"/>
    <w:tmpl w:val="6722DD16"/>
    <w:lvl w:ilvl="0" w:tplc="441402D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A2"/>
    <w:rsid w:val="00001656"/>
    <w:rsid w:val="00006BB9"/>
    <w:rsid w:val="00017915"/>
    <w:rsid w:val="00020BC2"/>
    <w:rsid w:val="00020C78"/>
    <w:rsid w:val="0004270A"/>
    <w:rsid w:val="00042CF6"/>
    <w:rsid w:val="00043508"/>
    <w:rsid w:val="00044A23"/>
    <w:rsid w:val="0006592B"/>
    <w:rsid w:val="0007009B"/>
    <w:rsid w:val="00087F7D"/>
    <w:rsid w:val="0009346F"/>
    <w:rsid w:val="00097A50"/>
    <w:rsid w:val="000A4800"/>
    <w:rsid w:val="000A4C11"/>
    <w:rsid w:val="000A66AD"/>
    <w:rsid w:val="000A6FC6"/>
    <w:rsid w:val="000A7D9C"/>
    <w:rsid w:val="000B57E7"/>
    <w:rsid w:val="000C255A"/>
    <w:rsid w:val="000C2789"/>
    <w:rsid w:val="000D21AE"/>
    <w:rsid w:val="000D4258"/>
    <w:rsid w:val="000D732F"/>
    <w:rsid w:val="000D7D9B"/>
    <w:rsid w:val="000E265E"/>
    <w:rsid w:val="000F09DF"/>
    <w:rsid w:val="000F5B8B"/>
    <w:rsid w:val="000F61B2"/>
    <w:rsid w:val="000F78A4"/>
    <w:rsid w:val="0010558C"/>
    <w:rsid w:val="00106B24"/>
    <w:rsid w:val="001075E9"/>
    <w:rsid w:val="00107B7D"/>
    <w:rsid w:val="00123ED2"/>
    <w:rsid w:val="001310E7"/>
    <w:rsid w:val="00132915"/>
    <w:rsid w:val="00135647"/>
    <w:rsid w:val="001454F8"/>
    <w:rsid w:val="0015178E"/>
    <w:rsid w:val="00155C74"/>
    <w:rsid w:val="00157180"/>
    <w:rsid w:val="00160FF7"/>
    <w:rsid w:val="001633B1"/>
    <w:rsid w:val="001639F4"/>
    <w:rsid w:val="00170DA4"/>
    <w:rsid w:val="00174CEE"/>
    <w:rsid w:val="00175DFF"/>
    <w:rsid w:val="00180183"/>
    <w:rsid w:val="0018060E"/>
    <w:rsid w:val="00181475"/>
    <w:rsid w:val="00183405"/>
    <w:rsid w:val="00184394"/>
    <w:rsid w:val="00184AC5"/>
    <w:rsid w:val="00185AE7"/>
    <w:rsid w:val="00196389"/>
    <w:rsid w:val="001A0BFD"/>
    <w:rsid w:val="001A4FF6"/>
    <w:rsid w:val="001B04E7"/>
    <w:rsid w:val="001B0C62"/>
    <w:rsid w:val="001B2370"/>
    <w:rsid w:val="001B513E"/>
    <w:rsid w:val="001C1516"/>
    <w:rsid w:val="001C2735"/>
    <w:rsid w:val="001C7A89"/>
    <w:rsid w:val="001D1BC1"/>
    <w:rsid w:val="001D27E4"/>
    <w:rsid w:val="001E3862"/>
    <w:rsid w:val="001E652F"/>
    <w:rsid w:val="001E7660"/>
    <w:rsid w:val="001F3DD3"/>
    <w:rsid w:val="001F45D3"/>
    <w:rsid w:val="00201574"/>
    <w:rsid w:val="00216572"/>
    <w:rsid w:val="0022472F"/>
    <w:rsid w:val="002260CE"/>
    <w:rsid w:val="0022765D"/>
    <w:rsid w:val="00232356"/>
    <w:rsid w:val="00241BA3"/>
    <w:rsid w:val="00246991"/>
    <w:rsid w:val="0025121E"/>
    <w:rsid w:val="00263735"/>
    <w:rsid w:val="00272023"/>
    <w:rsid w:val="00274429"/>
    <w:rsid w:val="0028026A"/>
    <w:rsid w:val="00282457"/>
    <w:rsid w:val="00285041"/>
    <w:rsid w:val="002970C2"/>
    <w:rsid w:val="002A15EA"/>
    <w:rsid w:val="002A2EFC"/>
    <w:rsid w:val="002A68EC"/>
    <w:rsid w:val="002B5741"/>
    <w:rsid w:val="002C0E18"/>
    <w:rsid w:val="002C1481"/>
    <w:rsid w:val="002C33BB"/>
    <w:rsid w:val="002C4D86"/>
    <w:rsid w:val="002C4E74"/>
    <w:rsid w:val="002D5AAC"/>
    <w:rsid w:val="002E09EB"/>
    <w:rsid w:val="002E0D5D"/>
    <w:rsid w:val="002E14A3"/>
    <w:rsid w:val="002E4493"/>
    <w:rsid w:val="002E7ED3"/>
    <w:rsid w:val="00301299"/>
    <w:rsid w:val="00301885"/>
    <w:rsid w:val="003144E2"/>
    <w:rsid w:val="00322004"/>
    <w:rsid w:val="00322ABD"/>
    <w:rsid w:val="003275CA"/>
    <w:rsid w:val="00332319"/>
    <w:rsid w:val="003402C2"/>
    <w:rsid w:val="00341F69"/>
    <w:rsid w:val="003421C0"/>
    <w:rsid w:val="00353292"/>
    <w:rsid w:val="00357E94"/>
    <w:rsid w:val="00364C44"/>
    <w:rsid w:val="00364E42"/>
    <w:rsid w:val="003662D0"/>
    <w:rsid w:val="00376AB3"/>
    <w:rsid w:val="00381C24"/>
    <w:rsid w:val="00387485"/>
    <w:rsid w:val="003919CF"/>
    <w:rsid w:val="003958D0"/>
    <w:rsid w:val="00397E04"/>
    <w:rsid w:val="003A16C4"/>
    <w:rsid w:val="003B201D"/>
    <w:rsid w:val="003C3F9D"/>
    <w:rsid w:val="003D6072"/>
    <w:rsid w:val="003E3860"/>
    <w:rsid w:val="003E4DD3"/>
    <w:rsid w:val="003E58EA"/>
    <w:rsid w:val="003F48E6"/>
    <w:rsid w:val="00410223"/>
    <w:rsid w:val="00411E89"/>
    <w:rsid w:val="0041418E"/>
    <w:rsid w:val="0042018C"/>
    <w:rsid w:val="00430D76"/>
    <w:rsid w:val="00442CD9"/>
    <w:rsid w:val="00452506"/>
    <w:rsid w:val="00452750"/>
    <w:rsid w:val="00454E07"/>
    <w:rsid w:val="0047036F"/>
    <w:rsid w:val="004711AC"/>
    <w:rsid w:val="00494003"/>
    <w:rsid w:val="004971BB"/>
    <w:rsid w:val="004A0D22"/>
    <w:rsid w:val="004A3E5E"/>
    <w:rsid w:val="004A5917"/>
    <w:rsid w:val="004A6E81"/>
    <w:rsid w:val="004B1B39"/>
    <w:rsid w:val="004B50FC"/>
    <w:rsid w:val="004C1CCE"/>
    <w:rsid w:val="004C614C"/>
    <w:rsid w:val="004C7964"/>
    <w:rsid w:val="004F35CD"/>
    <w:rsid w:val="0050108D"/>
    <w:rsid w:val="00502D20"/>
    <w:rsid w:val="00505D03"/>
    <w:rsid w:val="00510EEE"/>
    <w:rsid w:val="00511A1C"/>
    <w:rsid w:val="005122F1"/>
    <w:rsid w:val="00513B9A"/>
    <w:rsid w:val="00515F69"/>
    <w:rsid w:val="005172A2"/>
    <w:rsid w:val="00522056"/>
    <w:rsid w:val="0053010B"/>
    <w:rsid w:val="00532008"/>
    <w:rsid w:val="00532B19"/>
    <w:rsid w:val="00534F75"/>
    <w:rsid w:val="00536D35"/>
    <w:rsid w:val="00545B4C"/>
    <w:rsid w:val="00561C11"/>
    <w:rsid w:val="00572E19"/>
    <w:rsid w:val="00574093"/>
    <w:rsid w:val="00575C44"/>
    <w:rsid w:val="00577B4E"/>
    <w:rsid w:val="00591717"/>
    <w:rsid w:val="00591988"/>
    <w:rsid w:val="00592489"/>
    <w:rsid w:val="005A2B34"/>
    <w:rsid w:val="005A393D"/>
    <w:rsid w:val="005A7515"/>
    <w:rsid w:val="005B6E67"/>
    <w:rsid w:val="005C0042"/>
    <w:rsid w:val="005C50E5"/>
    <w:rsid w:val="005C5ACB"/>
    <w:rsid w:val="005D786B"/>
    <w:rsid w:val="005E7C3B"/>
    <w:rsid w:val="005F0B42"/>
    <w:rsid w:val="005F16AE"/>
    <w:rsid w:val="005F343F"/>
    <w:rsid w:val="005F5800"/>
    <w:rsid w:val="006028CA"/>
    <w:rsid w:val="00604F7D"/>
    <w:rsid w:val="006124D2"/>
    <w:rsid w:val="00620E9A"/>
    <w:rsid w:val="0062475F"/>
    <w:rsid w:val="00627833"/>
    <w:rsid w:val="0063057F"/>
    <w:rsid w:val="00632970"/>
    <w:rsid w:val="00635564"/>
    <w:rsid w:val="0064655F"/>
    <w:rsid w:val="00651F7A"/>
    <w:rsid w:val="00655A21"/>
    <w:rsid w:val="0066297B"/>
    <w:rsid w:val="00664C03"/>
    <w:rsid w:val="00666BE3"/>
    <w:rsid w:val="0067591C"/>
    <w:rsid w:val="00677846"/>
    <w:rsid w:val="006808A9"/>
    <w:rsid w:val="00690DC7"/>
    <w:rsid w:val="006928EB"/>
    <w:rsid w:val="0069294B"/>
    <w:rsid w:val="006A4CE0"/>
    <w:rsid w:val="006A53C1"/>
    <w:rsid w:val="006B5350"/>
    <w:rsid w:val="006C092E"/>
    <w:rsid w:val="006C1A4E"/>
    <w:rsid w:val="006C25D0"/>
    <w:rsid w:val="006C3AF9"/>
    <w:rsid w:val="006E58FD"/>
    <w:rsid w:val="006F10A5"/>
    <w:rsid w:val="006F35EE"/>
    <w:rsid w:val="006F6C28"/>
    <w:rsid w:val="007021FF"/>
    <w:rsid w:val="007029FB"/>
    <w:rsid w:val="00704018"/>
    <w:rsid w:val="007060B3"/>
    <w:rsid w:val="00706385"/>
    <w:rsid w:val="007076CB"/>
    <w:rsid w:val="00711AC0"/>
    <w:rsid w:val="007134A7"/>
    <w:rsid w:val="00725C7A"/>
    <w:rsid w:val="00732517"/>
    <w:rsid w:val="00741C1F"/>
    <w:rsid w:val="00744102"/>
    <w:rsid w:val="007502E9"/>
    <w:rsid w:val="00750DBC"/>
    <w:rsid w:val="007531C5"/>
    <w:rsid w:val="00753518"/>
    <w:rsid w:val="007557A3"/>
    <w:rsid w:val="0077016D"/>
    <w:rsid w:val="007706CB"/>
    <w:rsid w:val="00773DE4"/>
    <w:rsid w:val="00774ECC"/>
    <w:rsid w:val="007761A7"/>
    <w:rsid w:val="007867BE"/>
    <w:rsid w:val="007878DB"/>
    <w:rsid w:val="00791BEA"/>
    <w:rsid w:val="00795698"/>
    <w:rsid w:val="007967DF"/>
    <w:rsid w:val="007A0A58"/>
    <w:rsid w:val="007A61CB"/>
    <w:rsid w:val="007A75DE"/>
    <w:rsid w:val="007B1E27"/>
    <w:rsid w:val="007B3905"/>
    <w:rsid w:val="007B5512"/>
    <w:rsid w:val="007D1802"/>
    <w:rsid w:val="007D5BB2"/>
    <w:rsid w:val="007E58C0"/>
    <w:rsid w:val="007E6030"/>
    <w:rsid w:val="007F0128"/>
    <w:rsid w:val="007F3B9A"/>
    <w:rsid w:val="007F6D91"/>
    <w:rsid w:val="008015EF"/>
    <w:rsid w:val="0080220C"/>
    <w:rsid w:val="0080473A"/>
    <w:rsid w:val="0081068B"/>
    <w:rsid w:val="00810DFC"/>
    <w:rsid w:val="0081238D"/>
    <w:rsid w:val="00812E97"/>
    <w:rsid w:val="008147AE"/>
    <w:rsid w:val="0081591E"/>
    <w:rsid w:val="00815B60"/>
    <w:rsid w:val="008223FD"/>
    <w:rsid w:val="0082330E"/>
    <w:rsid w:val="008262BD"/>
    <w:rsid w:val="008314ED"/>
    <w:rsid w:val="00834B71"/>
    <w:rsid w:val="00835833"/>
    <w:rsid w:val="00836CF4"/>
    <w:rsid w:val="00853089"/>
    <w:rsid w:val="008631EF"/>
    <w:rsid w:val="0086445C"/>
    <w:rsid w:val="0087010F"/>
    <w:rsid w:val="00872418"/>
    <w:rsid w:val="00876AEB"/>
    <w:rsid w:val="0089070F"/>
    <w:rsid w:val="008A08A0"/>
    <w:rsid w:val="008A08D7"/>
    <w:rsid w:val="008A13F9"/>
    <w:rsid w:val="008A3E69"/>
    <w:rsid w:val="008B0E89"/>
    <w:rsid w:val="008B2C2C"/>
    <w:rsid w:val="008B65F4"/>
    <w:rsid w:val="008C47A4"/>
    <w:rsid w:val="008C7FC8"/>
    <w:rsid w:val="008D2001"/>
    <w:rsid w:val="008D42F5"/>
    <w:rsid w:val="008D50E9"/>
    <w:rsid w:val="008D54CE"/>
    <w:rsid w:val="008D765B"/>
    <w:rsid w:val="0090051E"/>
    <w:rsid w:val="00906890"/>
    <w:rsid w:val="00917D3C"/>
    <w:rsid w:val="00921E36"/>
    <w:rsid w:val="00932170"/>
    <w:rsid w:val="009514CB"/>
    <w:rsid w:val="00951972"/>
    <w:rsid w:val="00963777"/>
    <w:rsid w:val="00965C56"/>
    <w:rsid w:val="00976AFF"/>
    <w:rsid w:val="00977F19"/>
    <w:rsid w:val="0098110E"/>
    <w:rsid w:val="0098425D"/>
    <w:rsid w:val="00994AAF"/>
    <w:rsid w:val="009962C2"/>
    <w:rsid w:val="009A1195"/>
    <w:rsid w:val="009A2C72"/>
    <w:rsid w:val="009A46F9"/>
    <w:rsid w:val="009A4EB7"/>
    <w:rsid w:val="009A6697"/>
    <w:rsid w:val="009A6B17"/>
    <w:rsid w:val="009A7316"/>
    <w:rsid w:val="009F3AAE"/>
    <w:rsid w:val="00A028FD"/>
    <w:rsid w:val="00A03576"/>
    <w:rsid w:val="00A064B7"/>
    <w:rsid w:val="00A069DC"/>
    <w:rsid w:val="00A11562"/>
    <w:rsid w:val="00A14DF1"/>
    <w:rsid w:val="00A1539B"/>
    <w:rsid w:val="00A16630"/>
    <w:rsid w:val="00A17DFD"/>
    <w:rsid w:val="00A25110"/>
    <w:rsid w:val="00A321ED"/>
    <w:rsid w:val="00A33E45"/>
    <w:rsid w:val="00A3704A"/>
    <w:rsid w:val="00A43FC8"/>
    <w:rsid w:val="00A45E90"/>
    <w:rsid w:val="00A51E4E"/>
    <w:rsid w:val="00A6214A"/>
    <w:rsid w:val="00A727A4"/>
    <w:rsid w:val="00A761A9"/>
    <w:rsid w:val="00A8556F"/>
    <w:rsid w:val="00A917B3"/>
    <w:rsid w:val="00AA07A2"/>
    <w:rsid w:val="00AB0055"/>
    <w:rsid w:val="00AB0814"/>
    <w:rsid w:val="00AB2117"/>
    <w:rsid w:val="00AB4B51"/>
    <w:rsid w:val="00AB5AA5"/>
    <w:rsid w:val="00AB7509"/>
    <w:rsid w:val="00AC287F"/>
    <w:rsid w:val="00AC5B8D"/>
    <w:rsid w:val="00AD1F98"/>
    <w:rsid w:val="00AD77BA"/>
    <w:rsid w:val="00AE328B"/>
    <w:rsid w:val="00AE5C94"/>
    <w:rsid w:val="00AF09F5"/>
    <w:rsid w:val="00B01801"/>
    <w:rsid w:val="00B024EB"/>
    <w:rsid w:val="00B05CD8"/>
    <w:rsid w:val="00B10CC7"/>
    <w:rsid w:val="00B15AFE"/>
    <w:rsid w:val="00B1799E"/>
    <w:rsid w:val="00B278BC"/>
    <w:rsid w:val="00B364CC"/>
    <w:rsid w:val="00B375A5"/>
    <w:rsid w:val="00B432C3"/>
    <w:rsid w:val="00B45F9C"/>
    <w:rsid w:val="00B46C31"/>
    <w:rsid w:val="00B47722"/>
    <w:rsid w:val="00B52259"/>
    <w:rsid w:val="00B62458"/>
    <w:rsid w:val="00B62628"/>
    <w:rsid w:val="00B676A5"/>
    <w:rsid w:val="00B725E9"/>
    <w:rsid w:val="00B81E3A"/>
    <w:rsid w:val="00B86E76"/>
    <w:rsid w:val="00B94EAA"/>
    <w:rsid w:val="00B97D87"/>
    <w:rsid w:val="00BA01F4"/>
    <w:rsid w:val="00BB0348"/>
    <w:rsid w:val="00BC295B"/>
    <w:rsid w:val="00BD33EE"/>
    <w:rsid w:val="00BD66A7"/>
    <w:rsid w:val="00BF4687"/>
    <w:rsid w:val="00C1786D"/>
    <w:rsid w:val="00C209D4"/>
    <w:rsid w:val="00C212A6"/>
    <w:rsid w:val="00C3217B"/>
    <w:rsid w:val="00C326E9"/>
    <w:rsid w:val="00C3381F"/>
    <w:rsid w:val="00C47D82"/>
    <w:rsid w:val="00C5194E"/>
    <w:rsid w:val="00C60F0C"/>
    <w:rsid w:val="00C66F95"/>
    <w:rsid w:val="00C75597"/>
    <w:rsid w:val="00C761C7"/>
    <w:rsid w:val="00C805C9"/>
    <w:rsid w:val="00C92CFA"/>
    <w:rsid w:val="00C937F1"/>
    <w:rsid w:val="00C939AC"/>
    <w:rsid w:val="00C97091"/>
    <w:rsid w:val="00CA0898"/>
    <w:rsid w:val="00CA1679"/>
    <w:rsid w:val="00CE3334"/>
    <w:rsid w:val="00D03969"/>
    <w:rsid w:val="00D1315F"/>
    <w:rsid w:val="00D31495"/>
    <w:rsid w:val="00D47EB2"/>
    <w:rsid w:val="00D56D56"/>
    <w:rsid w:val="00D57343"/>
    <w:rsid w:val="00D579D6"/>
    <w:rsid w:val="00D674C9"/>
    <w:rsid w:val="00D751E9"/>
    <w:rsid w:val="00D76AD1"/>
    <w:rsid w:val="00D8701F"/>
    <w:rsid w:val="00D90138"/>
    <w:rsid w:val="00D90D44"/>
    <w:rsid w:val="00DC1FFF"/>
    <w:rsid w:val="00DC4004"/>
    <w:rsid w:val="00DC4C3F"/>
    <w:rsid w:val="00DD56B0"/>
    <w:rsid w:val="00DD6B2E"/>
    <w:rsid w:val="00DF29B2"/>
    <w:rsid w:val="00DF67FB"/>
    <w:rsid w:val="00E00FDD"/>
    <w:rsid w:val="00E026EE"/>
    <w:rsid w:val="00E14BCD"/>
    <w:rsid w:val="00E17378"/>
    <w:rsid w:val="00E231A1"/>
    <w:rsid w:val="00E409A5"/>
    <w:rsid w:val="00E4370B"/>
    <w:rsid w:val="00E527D8"/>
    <w:rsid w:val="00E613A6"/>
    <w:rsid w:val="00E61B9C"/>
    <w:rsid w:val="00E73608"/>
    <w:rsid w:val="00E73F76"/>
    <w:rsid w:val="00E77F82"/>
    <w:rsid w:val="00E94240"/>
    <w:rsid w:val="00E96B12"/>
    <w:rsid w:val="00EA24A2"/>
    <w:rsid w:val="00EA6784"/>
    <w:rsid w:val="00EB11CC"/>
    <w:rsid w:val="00EC0A56"/>
    <w:rsid w:val="00EC3CBC"/>
    <w:rsid w:val="00ED3F84"/>
    <w:rsid w:val="00EE4E94"/>
    <w:rsid w:val="00EF1360"/>
    <w:rsid w:val="00EF2381"/>
    <w:rsid w:val="00EF3220"/>
    <w:rsid w:val="00F04164"/>
    <w:rsid w:val="00F10730"/>
    <w:rsid w:val="00F12752"/>
    <w:rsid w:val="00F23AF8"/>
    <w:rsid w:val="00F24A53"/>
    <w:rsid w:val="00F2602B"/>
    <w:rsid w:val="00F26553"/>
    <w:rsid w:val="00F42BCC"/>
    <w:rsid w:val="00F45C6E"/>
    <w:rsid w:val="00F53735"/>
    <w:rsid w:val="00F617E7"/>
    <w:rsid w:val="00F821C1"/>
    <w:rsid w:val="00F83351"/>
    <w:rsid w:val="00F8360C"/>
    <w:rsid w:val="00F8743D"/>
    <w:rsid w:val="00F94155"/>
    <w:rsid w:val="00F95712"/>
    <w:rsid w:val="00FC2F95"/>
    <w:rsid w:val="00FC5799"/>
    <w:rsid w:val="00FC6784"/>
    <w:rsid w:val="00FD1C4C"/>
    <w:rsid w:val="00FD2EF7"/>
    <w:rsid w:val="00FD4AD6"/>
    <w:rsid w:val="00FD7F36"/>
    <w:rsid w:val="00FE55CF"/>
    <w:rsid w:val="00FE6B32"/>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953BD"/>
  <w15:docId w15:val="{DF6C342E-4E82-48AF-B0E3-330FBC5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1802"/>
    <w:pPr>
      <w:spacing w:line="240" w:lineRule="atLeast"/>
    </w:pPr>
    <w:rPr>
      <w:lang w:val="es-ES" w:eastAsia="es-ES"/>
    </w:rPr>
  </w:style>
  <w:style w:type="paragraph" w:styleId="Ttulo1">
    <w:name w:val="heading 1"/>
    <w:aliases w:val="Table_G"/>
    <w:basedOn w:val="SingleTxtG"/>
    <w:next w:val="SingleTxtG"/>
    <w:link w:val="Ttulo1Car"/>
    <w:qFormat/>
    <w:rsid w:val="003E3860"/>
    <w:pPr>
      <w:keepNext/>
      <w:spacing w:after="0" w:line="240" w:lineRule="auto"/>
      <w:outlineLvl w:val="0"/>
    </w:pPr>
    <w:rPr>
      <w:rFonts w:cs="Arial"/>
      <w:bCs/>
      <w:szCs w:val="32"/>
    </w:rPr>
  </w:style>
  <w:style w:type="paragraph" w:styleId="Ttulo2">
    <w:name w:val="heading 2"/>
    <w:basedOn w:val="Normal"/>
    <w:next w:val="Normal"/>
    <w:link w:val="Ttulo2Car"/>
    <w:qFormat/>
    <w:rsid w:val="006A4CE0"/>
    <w:pPr>
      <w:keepNext/>
      <w:outlineLvl w:val="1"/>
    </w:pPr>
    <w:rPr>
      <w:rFonts w:cs="Arial"/>
      <w:bCs/>
      <w:iCs/>
      <w:szCs w:val="28"/>
    </w:rPr>
  </w:style>
  <w:style w:type="paragraph" w:styleId="Ttulo3">
    <w:name w:val="heading 3"/>
    <w:basedOn w:val="Normal"/>
    <w:next w:val="Normal"/>
    <w:link w:val="Ttulo3Car"/>
    <w:qFormat/>
    <w:rsid w:val="006A4CE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A4CE0"/>
    <w:pPr>
      <w:keepNext/>
      <w:spacing w:before="240" w:after="60"/>
      <w:outlineLvl w:val="3"/>
    </w:pPr>
    <w:rPr>
      <w:b/>
      <w:bCs/>
      <w:sz w:val="28"/>
      <w:szCs w:val="28"/>
    </w:rPr>
  </w:style>
  <w:style w:type="paragraph" w:styleId="Ttulo5">
    <w:name w:val="heading 5"/>
    <w:basedOn w:val="Normal"/>
    <w:next w:val="Normal"/>
    <w:link w:val="Ttulo5Car"/>
    <w:qFormat/>
    <w:rsid w:val="006A4CE0"/>
    <w:pPr>
      <w:spacing w:before="240" w:after="60"/>
      <w:outlineLvl w:val="4"/>
    </w:pPr>
    <w:rPr>
      <w:b/>
      <w:bCs/>
      <w:i/>
      <w:iCs/>
      <w:sz w:val="26"/>
      <w:szCs w:val="26"/>
    </w:rPr>
  </w:style>
  <w:style w:type="paragraph" w:styleId="Ttulo6">
    <w:name w:val="heading 6"/>
    <w:basedOn w:val="Normal"/>
    <w:next w:val="Normal"/>
    <w:link w:val="Ttulo6Car"/>
    <w:qFormat/>
    <w:rsid w:val="006A4CE0"/>
    <w:pPr>
      <w:spacing w:before="240" w:after="60"/>
      <w:outlineLvl w:val="5"/>
    </w:pPr>
    <w:rPr>
      <w:b/>
      <w:bCs/>
      <w:sz w:val="22"/>
      <w:szCs w:val="22"/>
    </w:rPr>
  </w:style>
  <w:style w:type="paragraph" w:styleId="Ttulo7">
    <w:name w:val="heading 7"/>
    <w:basedOn w:val="Normal"/>
    <w:next w:val="Normal"/>
    <w:link w:val="Ttulo7Car"/>
    <w:qFormat/>
    <w:rsid w:val="006A4CE0"/>
    <w:pPr>
      <w:spacing w:before="240" w:after="60"/>
      <w:outlineLvl w:val="6"/>
    </w:pPr>
    <w:rPr>
      <w:sz w:val="24"/>
      <w:szCs w:val="24"/>
    </w:rPr>
  </w:style>
  <w:style w:type="paragraph" w:styleId="Ttulo8">
    <w:name w:val="heading 8"/>
    <w:basedOn w:val="Normal"/>
    <w:next w:val="Normal"/>
    <w:link w:val="Ttulo8Car"/>
    <w:qFormat/>
    <w:rsid w:val="006A4CE0"/>
    <w:pPr>
      <w:spacing w:before="240" w:after="60"/>
      <w:outlineLvl w:val="7"/>
    </w:pPr>
    <w:rPr>
      <w:i/>
      <w:iCs/>
      <w:sz w:val="24"/>
      <w:szCs w:val="24"/>
    </w:rPr>
  </w:style>
  <w:style w:type="paragraph" w:styleId="Ttulo9">
    <w:name w:val="heading 9"/>
    <w:basedOn w:val="Normal"/>
    <w:next w:val="Normal"/>
    <w:link w:val="Ttulo9Car"/>
    <w:qFormat/>
    <w:rsid w:val="006A4C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s refss,Texto de nota al pie,referencia nota al pie,Appel note de bas de page"/>
    <w:basedOn w:val="Fuentedeprrafopredeter"/>
    <w:qFormat/>
    <w:rsid w:val="006A4CE0"/>
    <w:rPr>
      <w:rFonts w:ascii="Times New Roman" w:hAnsi="Times New Roman"/>
      <w:sz w:val="18"/>
      <w:vertAlign w:val="superscript"/>
    </w:rPr>
  </w:style>
  <w:style w:type="paragraph" w:customStyle="1" w:styleId="HMG">
    <w:name w:val="_ H __M_G"/>
    <w:basedOn w:val="Normal"/>
    <w:next w:val="Normal"/>
    <w:qFormat/>
    <w:rsid w:val="006A4CE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A4CE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A4CE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A4CE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A4CE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A4CE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rsid w:val="0018060E"/>
    <w:pPr>
      <w:pBdr>
        <w:bottom w:val="single" w:sz="4" w:space="4" w:color="auto"/>
      </w:pBdr>
      <w:spacing w:line="240" w:lineRule="auto"/>
    </w:pPr>
    <w:rPr>
      <w:b/>
      <w:sz w:val="18"/>
    </w:rPr>
  </w:style>
  <w:style w:type="paragraph" w:customStyle="1" w:styleId="SingleTxtG">
    <w:name w:val="_ Single Txt_G"/>
    <w:basedOn w:val="Normal"/>
    <w:link w:val="SingleTxtGChar"/>
    <w:qFormat/>
    <w:rsid w:val="006A4CE0"/>
    <w:pPr>
      <w:spacing w:after="120"/>
      <w:ind w:left="1134" w:right="1134"/>
      <w:jc w:val="both"/>
    </w:pPr>
  </w:style>
  <w:style w:type="paragraph" w:customStyle="1" w:styleId="SMG">
    <w:name w:val="__S_M_G"/>
    <w:basedOn w:val="Normal"/>
    <w:next w:val="Normal"/>
    <w:rsid w:val="006A4CE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A4CE0"/>
    <w:pPr>
      <w:keepNext/>
      <w:keepLines/>
      <w:spacing w:before="240" w:after="240" w:line="580" w:lineRule="exact"/>
      <w:ind w:left="1134" w:right="1134"/>
    </w:pPr>
    <w:rPr>
      <w:b/>
      <w:sz w:val="56"/>
    </w:rPr>
  </w:style>
  <w:style w:type="paragraph" w:customStyle="1" w:styleId="SSG">
    <w:name w:val="__S_S_G"/>
    <w:basedOn w:val="Normal"/>
    <w:next w:val="Normal"/>
    <w:rsid w:val="006A4CE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A4CE0"/>
    <w:rPr>
      <w:sz w:val="16"/>
    </w:rPr>
  </w:style>
  <w:style w:type="paragraph" w:customStyle="1" w:styleId="XLargeG">
    <w:name w:val="__XLarge_G"/>
    <w:basedOn w:val="Normal"/>
    <w:next w:val="Normal"/>
    <w:rsid w:val="006A4CE0"/>
    <w:pPr>
      <w:keepNext/>
      <w:keepLines/>
      <w:spacing w:before="240" w:after="240" w:line="420" w:lineRule="exact"/>
      <w:ind w:left="1134" w:right="1134"/>
    </w:pPr>
    <w:rPr>
      <w:b/>
      <w:sz w:val="40"/>
    </w:rPr>
  </w:style>
  <w:style w:type="paragraph" w:styleId="Textonotapie">
    <w:name w:val="footnote text"/>
    <w:aliases w:val="5_G,Footnote reference,FA Fu,Footnote Text Char Char Char Char Char,Footnote Text Char Char Char Char,Footnote Text Char1,Footnote Text Char Char"/>
    <w:basedOn w:val="Normal"/>
    <w:link w:val="TextonotapieCar"/>
    <w:rsid w:val="006A4CE0"/>
    <w:pPr>
      <w:tabs>
        <w:tab w:val="right" w:pos="1021"/>
      </w:tabs>
      <w:spacing w:line="220" w:lineRule="exact"/>
      <w:ind w:left="1134" w:right="1134" w:hanging="1134"/>
    </w:pPr>
    <w:rPr>
      <w:sz w:val="18"/>
    </w:rPr>
  </w:style>
  <w:style w:type="table" w:styleId="Tablaconcuadrcula">
    <w:name w:val="Table Grid"/>
    <w:basedOn w:val="Tablanormal"/>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A4CE0"/>
    <w:pPr>
      <w:numPr>
        <w:numId w:val="1"/>
      </w:numPr>
    </w:pPr>
  </w:style>
  <w:style w:type="numbering" w:styleId="1ai">
    <w:name w:val="Outline List 1"/>
    <w:basedOn w:val="Sinlista"/>
    <w:semiHidden/>
    <w:rsid w:val="006A4CE0"/>
    <w:pPr>
      <w:numPr>
        <w:numId w:val="2"/>
      </w:numPr>
    </w:pPr>
  </w:style>
  <w:style w:type="character" w:styleId="AcrnimoHTML">
    <w:name w:val="HTML Acronym"/>
    <w:basedOn w:val="Fuentedeprrafopredeter"/>
    <w:semiHidden/>
    <w:rsid w:val="006A4CE0"/>
  </w:style>
  <w:style w:type="numbering" w:styleId="ArtculoSeccin">
    <w:name w:val="Outline List 3"/>
    <w:basedOn w:val="Sinlista"/>
    <w:semiHidden/>
    <w:rsid w:val="006A4CE0"/>
    <w:pPr>
      <w:numPr>
        <w:numId w:val="3"/>
      </w:numPr>
    </w:pPr>
  </w:style>
  <w:style w:type="paragraph" w:styleId="Cierre">
    <w:name w:val="Closing"/>
    <w:basedOn w:val="Normal"/>
    <w:link w:val="CierreCar"/>
    <w:semiHidden/>
    <w:rsid w:val="006A4CE0"/>
    <w:pPr>
      <w:ind w:left="4252"/>
    </w:pPr>
  </w:style>
  <w:style w:type="character" w:styleId="CitaHTML">
    <w:name w:val="HTML Cite"/>
    <w:basedOn w:val="Fuentedeprrafopredeter"/>
    <w:semiHidden/>
    <w:rsid w:val="006A4CE0"/>
    <w:rPr>
      <w:i/>
      <w:iCs/>
    </w:rPr>
  </w:style>
  <w:style w:type="character" w:styleId="CdigoHTML">
    <w:name w:val="HTML Code"/>
    <w:basedOn w:val="Fuentedeprrafopredeter"/>
    <w:semiHidden/>
    <w:rsid w:val="006A4CE0"/>
    <w:rPr>
      <w:rFonts w:ascii="Courier New" w:hAnsi="Courier New" w:cs="Courier New"/>
      <w:sz w:val="20"/>
      <w:szCs w:val="20"/>
    </w:rPr>
  </w:style>
  <w:style w:type="paragraph" w:styleId="Continuarlista">
    <w:name w:val="List Continue"/>
    <w:basedOn w:val="Normal"/>
    <w:semiHidden/>
    <w:rsid w:val="006A4CE0"/>
    <w:pPr>
      <w:spacing w:after="120"/>
      <w:ind w:left="283"/>
    </w:pPr>
  </w:style>
  <w:style w:type="paragraph" w:styleId="Continuarlista2">
    <w:name w:val="List Continue 2"/>
    <w:basedOn w:val="Normal"/>
    <w:semiHidden/>
    <w:rsid w:val="006A4CE0"/>
    <w:pPr>
      <w:spacing w:after="120"/>
      <w:ind w:left="566"/>
    </w:pPr>
  </w:style>
  <w:style w:type="paragraph" w:styleId="Continuarlista3">
    <w:name w:val="List Continue 3"/>
    <w:basedOn w:val="Normal"/>
    <w:semiHidden/>
    <w:rsid w:val="006A4CE0"/>
    <w:pPr>
      <w:spacing w:after="120"/>
      <w:ind w:left="849"/>
    </w:pPr>
  </w:style>
  <w:style w:type="paragraph" w:styleId="Continuarlista4">
    <w:name w:val="List Continue 4"/>
    <w:basedOn w:val="Normal"/>
    <w:semiHidden/>
    <w:rsid w:val="006A4CE0"/>
    <w:pPr>
      <w:spacing w:after="120"/>
      <w:ind w:left="1132"/>
    </w:pPr>
  </w:style>
  <w:style w:type="paragraph" w:styleId="Continuarlista5">
    <w:name w:val="List Continue 5"/>
    <w:basedOn w:val="Normal"/>
    <w:semiHidden/>
    <w:rsid w:val="006A4CE0"/>
    <w:pPr>
      <w:spacing w:after="120"/>
      <w:ind w:left="1415"/>
    </w:pPr>
  </w:style>
  <w:style w:type="character" w:styleId="DefinicinHTML">
    <w:name w:val="HTML Definition"/>
    <w:basedOn w:val="Fuentedeprrafopredeter"/>
    <w:semiHidden/>
    <w:rsid w:val="006A4CE0"/>
    <w:rPr>
      <w:i/>
      <w:iCs/>
    </w:rPr>
  </w:style>
  <w:style w:type="paragraph" w:styleId="DireccinHTML">
    <w:name w:val="HTML Address"/>
    <w:basedOn w:val="Normal"/>
    <w:link w:val="DireccinHTMLCar"/>
    <w:semiHidden/>
    <w:rsid w:val="006A4CE0"/>
    <w:rPr>
      <w:i/>
      <w:iCs/>
    </w:rPr>
  </w:style>
  <w:style w:type="paragraph" w:styleId="Direccinsobre">
    <w:name w:val="envelope address"/>
    <w:basedOn w:val="Normal"/>
    <w:semiHidden/>
    <w:rsid w:val="006A4CE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A4CE0"/>
    <w:rPr>
      <w:rFonts w:ascii="Courier New" w:hAnsi="Courier New" w:cs="Courier New"/>
    </w:rPr>
  </w:style>
  <w:style w:type="paragraph" w:styleId="Encabezadodemensaje">
    <w:name w:val="Message Header"/>
    <w:basedOn w:val="Normal"/>
    <w:link w:val="EncabezadodemensajeCar"/>
    <w:semiHidden/>
    <w:rsid w:val="006A4C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A4CE0"/>
  </w:style>
  <w:style w:type="character" w:styleId="nfasis">
    <w:name w:val="Emphasis"/>
    <w:basedOn w:val="Fuentedeprrafopredeter"/>
    <w:uiPriority w:val="20"/>
    <w:qFormat/>
    <w:rsid w:val="006A4CE0"/>
    <w:rPr>
      <w:i/>
      <w:iCs/>
    </w:rPr>
  </w:style>
  <w:style w:type="paragraph" w:styleId="Fecha">
    <w:name w:val="Date"/>
    <w:basedOn w:val="Normal"/>
    <w:next w:val="Normal"/>
    <w:link w:val="FechaCar"/>
    <w:semiHidden/>
    <w:rsid w:val="006A4CE0"/>
  </w:style>
  <w:style w:type="paragraph" w:styleId="Firma">
    <w:name w:val="Signature"/>
    <w:basedOn w:val="Normal"/>
    <w:link w:val="FirmaCar"/>
    <w:semiHidden/>
    <w:rsid w:val="006A4CE0"/>
    <w:pPr>
      <w:ind w:left="4252"/>
    </w:pPr>
  </w:style>
  <w:style w:type="paragraph" w:styleId="Firmadecorreoelectrnico">
    <w:name w:val="E-mail Signature"/>
    <w:basedOn w:val="Normal"/>
    <w:link w:val="FirmadecorreoelectrnicoCar"/>
    <w:semiHidden/>
    <w:rsid w:val="006A4CE0"/>
  </w:style>
  <w:style w:type="character" w:styleId="Hipervnculo">
    <w:name w:val="Hyperlink"/>
    <w:basedOn w:val="Fuentedeprrafopredeter"/>
    <w:rsid w:val="00A16630"/>
    <w:rPr>
      <w:color w:val="0000FF"/>
      <w:u w:val="none"/>
    </w:rPr>
  </w:style>
  <w:style w:type="character" w:styleId="Hipervnculovisitado">
    <w:name w:val="FollowedHyperlink"/>
    <w:basedOn w:val="Fuentedeprrafopredeter"/>
    <w:rsid w:val="00A16630"/>
    <w:rPr>
      <w:color w:val="0000FF"/>
      <w:u w:val="none"/>
    </w:rPr>
  </w:style>
  <w:style w:type="paragraph" w:styleId="HTMLconformatoprevio">
    <w:name w:val="HTML Preformatted"/>
    <w:basedOn w:val="Normal"/>
    <w:link w:val="HTMLconformatoprevioCar"/>
    <w:semiHidden/>
    <w:rsid w:val="006A4CE0"/>
    <w:rPr>
      <w:rFonts w:ascii="Courier New" w:hAnsi="Courier New" w:cs="Courier New"/>
    </w:rPr>
  </w:style>
  <w:style w:type="paragraph" w:styleId="Lista">
    <w:name w:val="List"/>
    <w:basedOn w:val="Normal"/>
    <w:semiHidden/>
    <w:rsid w:val="006A4CE0"/>
    <w:pPr>
      <w:ind w:left="283" w:hanging="283"/>
    </w:pPr>
  </w:style>
  <w:style w:type="paragraph" w:styleId="Lista2">
    <w:name w:val="List 2"/>
    <w:basedOn w:val="Normal"/>
    <w:semiHidden/>
    <w:rsid w:val="006A4CE0"/>
    <w:pPr>
      <w:ind w:left="566" w:hanging="283"/>
    </w:pPr>
  </w:style>
  <w:style w:type="paragraph" w:styleId="Lista3">
    <w:name w:val="List 3"/>
    <w:basedOn w:val="Normal"/>
    <w:semiHidden/>
    <w:rsid w:val="006A4CE0"/>
    <w:pPr>
      <w:ind w:left="849" w:hanging="283"/>
    </w:pPr>
  </w:style>
  <w:style w:type="paragraph" w:styleId="Lista4">
    <w:name w:val="List 4"/>
    <w:basedOn w:val="Normal"/>
    <w:semiHidden/>
    <w:rsid w:val="006A4CE0"/>
    <w:pPr>
      <w:ind w:left="1132" w:hanging="283"/>
    </w:pPr>
  </w:style>
  <w:style w:type="paragraph" w:styleId="Lista5">
    <w:name w:val="List 5"/>
    <w:basedOn w:val="Normal"/>
    <w:semiHidden/>
    <w:rsid w:val="006A4CE0"/>
    <w:pPr>
      <w:ind w:left="1415" w:hanging="283"/>
    </w:pPr>
  </w:style>
  <w:style w:type="paragraph" w:styleId="Listaconnmeros">
    <w:name w:val="List Number"/>
    <w:basedOn w:val="Normal"/>
    <w:semiHidden/>
    <w:rsid w:val="006A4CE0"/>
    <w:pPr>
      <w:numPr>
        <w:numId w:val="6"/>
      </w:numPr>
    </w:pPr>
  </w:style>
  <w:style w:type="paragraph" w:styleId="Listaconnmeros2">
    <w:name w:val="List Number 2"/>
    <w:basedOn w:val="Normal"/>
    <w:semiHidden/>
    <w:rsid w:val="006A4CE0"/>
    <w:pPr>
      <w:numPr>
        <w:numId w:val="7"/>
      </w:numPr>
    </w:pPr>
  </w:style>
  <w:style w:type="paragraph" w:styleId="Listaconnmeros3">
    <w:name w:val="List Number 3"/>
    <w:basedOn w:val="Normal"/>
    <w:semiHidden/>
    <w:rsid w:val="006A4CE0"/>
    <w:pPr>
      <w:numPr>
        <w:numId w:val="8"/>
      </w:numPr>
    </w:pPr>
  </w:style>
  <w:style w:type="paragraph" w:styleId="Listaconnmeros4">
    <w:name w:val="List Number 4"/>
    <w:basedOn w:val="Normal"/>
    <w:semiHidden/>
    <w:rsid w:val="006A4CE0"/>
    <w:pPr>
      <w:numPr>
        <w:numId w:val="9"/>
      </w:numPr>
    </w:pPr>
  </w:style>
  <w:style w:type="paragraph" w:styleId="Listaconnmeros5">
    <w:name w:val="List Number 5"/>
    <w:basedOn w:val="Normal"/>
    <w:semiHidden/>
    <w:rsid w:val="006A4CE0"/>
    <w:pPr>
      <w:numPr>
        <w:numId w:val="10"/>
      </w:numPr>
    </w:pPr>
  </w:style>
  <w:style w:type="paragraph" w:styleId="Listaconvietas">
    <w:name w:val="List Bullet"/>
    <w:basedOn w:val="Normal"/>
    <w:semiHidden/>
    <w:rsid w:val="006A4CE0"/>
    <w:pPr>
      <w:numPr>
        <w:numId w:val="11"/>
      </w:numPr>
    </w:pPr>
  </w:style>
  <w:style w:type="paragraph" w:styleId="Listaconvietas2">
    <w:name w:val="List Bullet 2"/>
    <w:basedOn w:val="Normal"/>
    <w:semiHidden/>
    <w:rsid w:val="006A4CE0"/>
    <w:pPr>
      <w:numPr>
        <w:numId w:val="12"/>
      </w:numPr>
    </w:pPr>
  </w:style>
  <w:style w:type="paragraph" w:styleId="Listaconvietas3">
    <w:name w:val="List Bullet 3"/>
    <w:basedOn w:val="Normal"/>
    <w:semiHidden/>
    <w:rsid w:val="006A4CE0"/>
    <w:pPr>
      <w:numPr>
        <w:numId w:val="13"/>
      </w:numPr>
    </w:pPr>
  </w:style>
  <w:style w:type="paragraph" w:styleId="Listaconvietas4">
    <w:name w:val="List Bullet 4"/>
    <w:basedOn w:val="Normal"/>
    <w:semiHidden/>
    <w:rsid w:val="006A4CE0"/>
    <w:pPr>
      <w:numPr>
        <w:numId w:val="14"/>
      </w:numPr>
    </w:pPr>
  </w:style>
  <w:style w:type="paragraph" w:styleId="Listaconvietas5">
    <w:name w:val="List Bullet 5"/>
    <w:basedOn w:val="Normal"/>
    <w:semiHidden/>
    <w:rsid w:val="006A4CE0"/>
    <w:pPr>
      <w:numPr>
        <w:numId w:val="15"/>
      </w:numPr>
    </w:pPr>
  </w:style>
  <w:style w:type="character" w:styleId="MquinadeescribirHTML">
    <w:name w:val="HTML Typewriter"/>
    <w:basedOn w:val="Fuentedeprrafopredeter"/>
    <w:semiHidden/>
    <w:rsid w:val="006A4CE0"/>
    <w:rPr>
      <w:rFonts w:ascii="Courier New" w:hAnsi="Courier New" w:cs="Courier New"/>
      <w:sz w:val="20"/>
      <w:szCs w:val="20"/>
    </w:rPr>
  </w:style>
  <w:style w:type="paragraph" w:styleId="NormalWeb">
    <w:name w:val="Normal (Web)"/>
    <w:basedOn w:val="Normal"/>
    <w:semiHidden/>
    <w:rsid w:val="006A4CE0"/>
    <w:rPr>
      <w:sz w:val="24"/>
      <w:szCs w:val="24"/>
    </w:rPr>
  </w:style>
  <w:style w:type="character" w:styleId="Nmerodelnea">
    <w:name w:val="line number"/>
    <w:basedOn w:val="Fuentedeprrafopredeter"/>
    <w:semiHidden/>
    <w:rsid w:val="006A4CE0"/>
  </w:style>
  <w:style w:type="character" w:styleId="Nmerodepgina">
    <w:name w:val="page number"/>
    <w:aliases w:val="7_G"/>
    <w:basedOn w:val="Fuentedeprrafopredeter"/>
    <w:rsid w:val="006A4CE0"/>
    <w:rPr>
      <w:b/>
      <w:sz w:val="18"/>
    </w:rPr>
  </w:style>
  <w:style w:type="character" w:styleId="Refdenotaalfinal">
    <w:name w:val="endnote reference"/>
    <w:aliases w:val="1_G"/>
    <w:basedOn w:val="Refdenotaalpie"/>
    <w:rsid w:val="006A4CE0"/>
    <w:rPr>
      <w:rFonts w:ascii="Times New Roman" w:hAnsi="Times New Roman"/>
      <w:sz w:val="18"/>
      <w:vertAlign w:val="superscript"/>
    </w:rPr>
  </w:style>
  <w:style w:type="paragraph" w:styleId="Remitedesobre">
    <w:name w:val="envelope return"/>
    <w:basedOn w:val="Normal"/>
    <w:semiHidden/>
    <w:rsid w:val="006A4CE0"/>
    <w:rPr>
      <w:rFonts w:ascii="Arial" w:hAnsi="Arial" w:cs="Arial"/>
    </w:rPr>
  </w:style>
  <w:style w:type="paragraph" w:styleId="Saludo">
    <w:name w:val="Salutation"/>
    <w:basedOn w:val="Normal"/>
    <w:next w:val="Normal"/>
    <w:link w:val="SaludoCar"/>
    <w:semiHidden/>
    <w:rsid w:val="006A4CE0"/>
  </w:style>
  <w:style w:type="paragraph" w:styleId="Sangra2detindependiente">
    <w:name w:val="Body Text Indent 2"/>
    <w:basedOn w:val="Normal"/>
    <w:link w:val="Sangra2detindependienteCar"/>
    <w:semiHidden/>
    <w:rsid w:val="006A4CE0"/>
    <w:pPr>
      <w:spacing w:after="120" w:line="480" w:lineRule="auto"/>
      <w:ind w:left="283"/>
    </w:pPr>
  </w:style>
  <w:style w:type="paragraph" w:styleId="Sangra3detindependiente">
    <w:name w:val="Body Text Indent 3"/>
    <w:basedOn w:val="Normal"/>
    <w:link w:val="Sangra3detindependienteCar"/>
    <w:semiHidden/>
    <w:rsid w:val="006A4CE0"/>
    <w:pPr>
      <w:spacing w:after="120"/>
      <w:ind w:left="283"/>
    </w:pPr>
    <w:rPr>
      <w:sz w:val="16"/>
      <w:szCs w:val="16"/>
    </w:rPr>
  </w:style>
  <w:style w:type="paragraph" w:styleId="Sangradetextonormal">
    <w:name w:val="Body Text Indent"/>
    <w:basedOn w:val="Normal"/>
    <w:link w:val="SangradetextonormalCar"/>
    <w:semiHidden/>
    <w:rsid w:val="006A4CE0"/>
    <w:pPr>
      <w:spacing w:after="120"/>
      <w:ind w:left="283"/>
    </w:pPr>
  </w:style>
  <w:style w:type="paragraph" w:styleId="Sangranormal">
    <w:name w:val="Normal Indent"/>
    <w:basedOn w:val="Normal"/>
    <w:semiHidden/>
    <w:rsid w:val="006A4CE0"/>
    <w:pPr>
      <w:ind w:left="567"/>
    </w:pPr>
  </w:style>
  <w:style w:type="paragraph" w:styleId="Subttulo">
    <w:name w:val="Subtitle"/>
    <w:basedOn w:val="Normal"/>
    <w:link w:val="SubttuloCar"/>
    <w:qFormat/>
    <w:rsid w:val="006A4CE0"/>
    <w:pPr>
      <w:spacing w:after="60"/>
      <w:jc w:val="center"/>
      <w:outlineLvl w:val="1"/>
    </w:pPr>
    <w:rPr>
      <w:rFonts w:ascii="Arial" w:hAnsi="Arial" w:cs="Arial"/>
      <w:sz w:val="24"/>
      <w:szCs w:val="24"/>
    </w:rPr>
  </w:style>
  <w:style w:type="table" w:styleId="Tablabsica1">
    <w:name w:val="Table Simple 1"/>
    <w:basedOn w:val="Tablanormal"/>
    <w:semiHidden/>
    <w:rsid w:val="006A4CE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A4CE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A4CE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A4CE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A4CE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A4CE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A4CE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A4CE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A4CE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A4CE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A4CE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A4CE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A4CE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A4CE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A4CE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A4CE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A4CE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A4CE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A4CE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A4CE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A4CE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A4CE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A4CE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A4CE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A4CE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A4CE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A4CE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A4CE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A4CE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A4CE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A4CE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A4CE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A4CE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A4CE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A4CE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A4CE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A4CE0"/>
    <w:rPr>
      <w:rFonts w:ascii="Courier New" w:hAnsi="Courier New" w:cs="Courier New"/>
      <w:sz w:val="20"/>
      <w:szCs w:val="20"/>
    </w:rPr>
  </w:style>
  <w:style w:type="paragraph" w:styleId="Textodebloque">
    <w:name w:val="Block Text"/>
    <w:basedOn w:val="Normal"/>
    <w:semiHidden/>
    <w:rsid w:val="006A4CE0"/>
    <w:pPr>
      <w:spacing w:after="120"/>
      <w:ind w:left="1440" w:right="1440"/>
    </w:pPr>
  </w:style>
  <w:style w:type="character" w:styleId="Textoennegrita">
    <w:name w:val="Strong"/>
    <w:basedOn w:val="Fuentedeprrafopredeter"/>
    <w:qFormat/>
    <w:rsid w:val="006A4CE0"/>
    <w:rPr>
      <w:b/>
      <w:bCs/>
    </w:rPr>
  </w:style>
  <w:style w:type="paragraph" w:styleId="Textoindependiente">
    <w:name w:val="Body Text"/>
    <w:basedOn w:val="Normal"/>
    <w:link w:val="TextoindependienteCar"/>
    <w:semiHidden/>
    <w:rsid w:val="006A4CE0"/>
    <w:pPr>
      <w:spacing w:after="120"/>
    </w:pPr>
  </w:style>
  <w:style w:type="paragraph" w:styleId="Textoindependiente2">
    <w:name w:val="Body Text 2"/>
    <w:basedOn w:val="Normal"/>
    <w:link w:val="Textoindependiente2Car"/>
    <w:semiHidden/>
    <w:rsid w:val="006A4CE0"/>
    <w:pPr>
      <w:spacing w:after="120" w:line="480" w:lineRule="auto"/>
    </w:pPr>
  </w:style>
  <w:style w:type="paragraph" w:styleId="Textoindependiente3">
    <w:name w:val="Body Text 3"/>
    <w:basedOn w:val="Normal"/>
    <w:link w:val="Textoindependiente3Car"/>
    <w:semiHidden/>
    <w:rsid w:val="006A4CE0"/>
    <w:pPr>
      <w:spacing w:after="120"/>
    </w:pPr>
    <w:rPr>
      <w:sz w:val="16"/>
      <w:szCs w:val="16"/>
    </w:rPr>
  </w:style>
  <w:style w:type="paragraph" w:styleId="Textoindependienteprimerasangra">
    <w:name w:val="Body Text First Indent"/>
    <w:basedOn w:val="Textoindependiente"/>
    <w:link w:val="TextoindependienteprimerasangraCar"/>
    <w:semiHidden/>
    <w:rsid w:val="006A4CE0"/>
    <w:pPr>
      <w:ind w:firstLine="210"/>
    </w:pPr>
  </w:style>
  <w:style w:type="paragraph" w:styleId="Textoindependienteprimerasangra2">
    <w:name w:val="Body Text First Indent 2"/>
    <w:basedOn w:val="Sangradetextonormal"/>
    <w:link w:val="Textoindependienteprimerasangra2Car"/>
    <w:semiHidden/>
    <w:rsid w:val="006A4CE0"/>
    <w:pPr>
      <w:ind w:firstLine="210"/>
    </w:pPr>
  </w:style>
  <w:style w:type="paragraph" w:styleId="Textonotaalfinal">
    <w:name w:val="endnote text"/>
    <w:aliases w:val="2_G"/>
    <w:basedOn w:val="Textonotapie"/>
    <w:link w:val="TextonotaalfinalCar"/>
    <w:rsid w:val="006A4CE0"/>
  </w:style>
  <w:style w:type="paragraph" w:styleId="Textosinformato">
    <w:name w:val="Plain Text"/>
    <w:basedOn w:val="Normal"/>
    <w:link w:val="TextosinformatoCar"/>
    <w:semiHidden/>
    <w:rsid w:val="006A4CE0"/>
    <w:rPr>
      <w:rFonts w:ascii="Courier New" w:hAnsi="Courier New" w:cs="Courier New"/>
    </w:rPr>
  </w:style>
  <w:style w:type="paragraph" w:styleId="Ttulo">
    <w:name w:val="Title"/>
    <w:basedOn w:val="Normal"/>
    <w:link w:val="TtuloCar"/>
    <w:qFormat/>
    <w:rsid w:val="006A4CE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A4CE0"/>
    <w:rPr>
      <w:i/>
      <w:iCs/>
    </w:rPr>
  </w:style>
  <w:style w:type="paragraph" w:customStyle="1" w:styleId="Bullet1G">
    <w:name w:val="_Bullet 1_G"/>
    <w:basedOn w:val="Normal"/>
    <w:qFormat/>
    <w:rsid w:val="006A4CE0"/>
    <w:pPr>
      <w:numPr>
        <w:numId w:val="4"/>
      </w:numPr>
      <w:spacing w:after="120"/>
      <w:ind w:right="1134"/>
      <w:jc w:val="both"/>
    </w:pPr>
    <w:rPr>
      <w:lang w:eastAsia="en-US"/>
    </w:rPr>
  </w:style>
  <w:style w:type="paragraph" w:customStyle="1" w:styleId="Bullet2G">
    <w:name w:val="_Bullet 2_G"/>
    <w:basedOn w:val="Normal"/>
    <w:qFormat/>
    <w:rsid w:val="006A4CE0"/>
    <w:pPr>
      <w:numPr>
        <w:numId w:val="5"/>
      </w:numPr>
      <w:spacing w:after="120"/>
      <w:ind w:right="1134"/>
      <w:jc w:val="both"/>
    </w:pPr>
  </w:style>
  <w:style w:type="paragraph" w:styleId="Textodeglobo">
    <w:name w:val="Balloon Text"/>
    <w:basedOn w:val="Normal"/>
    <w:link w:val="TextodegloboCar"/>
    <w:rsid w:val="005172A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5172A2"/>
    <w:rPr>
      <w:rFonts w:ascii="Tahoma" w:hAnsi="Tahoma" w:cs="Tahoma"/>
      <w:sz w:val="16"/>
      <w:szCs w:val="16"/>
      <w:lang w:val="es-ES" w:eastAsia="es-ES"/>
    </w:rPr>
  </w:style>
  <w:style w:type="character" w:customStyle="1" w:styleId="SingleTxtGChar">
    <w:name w:val="_ Single Txt_G Char"/>
    <w:link w:val="SingleTxtG"/>
    <w:rsid w:val="000A4800"/>
    <w:rPr>
      <w:lang w:val="es-ES" w:eastAsia="es-ES"/>
    </w:rPr>
  </w:style>
  <w:style w:type="character" w:customStyle="1" w:styleId="Ttulo1Car">
    <w:name w:val="Título 1 Car"/>
    <w:aliases w:val="Table_G Car"/>
    <w:basedOn w:val="Fuentedeprrafopredeter"/>
    <w:link w:val="Ttulo1"/>
    <w:rsid w:val="00651F7A"/>
    <w:rPr>
      <w:rFonts w:cs="Arial"/>
      <w:bCs/>
      <w:szCs w:val="32"/>
      <w:lang w:val="es-ES" w:eastAsia="es-ES"/>
    </w:rPr>
  </w:style>
  <w:style w:type="character" w:customStyle="1" w:styleId="Ttulo2Car">
    <w:name w:val="Título 2 Car"/>
    <w:basedOn w:val="Fuentedeprrafopredeter"/>
    <w:link w:val="Ttulo2"/>
    <w:rsid w:val="00651F7A"/>
    <w:rPr>
      <w:rFonts w:cs="Arial"/>
      <w:bCs/>
      <w:iCs/>
      <w:szCs w:val="28"/>
      <w:lang w:val="es-ES" w:eastAsia="es-ES"/>
    </w:rPr>
  </w:style>
  <w:style w:type="character" w:customStyle="1" w:styleId="Ttulo3Car">
    <w:name w:val="Título 3 Car"/>
    <w:basedOn w:val="Fuentedeprrafopredeter"/>
    <w:link w:val="Ttulo3"/>
    <w:rsid w:val="00651F7A"/>
    <w:rPr>
      <w:rFonts w:ascii="Arial" w:hAnsi="Arial" w:cs="Arial"/>
      <w:b/>
      <w:bCs/>
      <w:sz w:val="26"/>
      <w:szCs w:val="26"/>
      <w:lang w:val="es-ES" w:eastAsia="es-ES"/>
    </w:rPr>
  </w:style>
  <w:style w:type="character" w:customStyle="1" w:styleId="Ttulo4Car">
    <w:name w:val="Título 4 Car"/>
    <w:basedOn w:val="Fuentedeprrafopredeter"/>
    <w:link w:val="Ttulo4"/>
    <w:rsid w:val="00651F7A"/>
    <w:rPr>
      <w:b/>
      <w:bCs/>
      <w:sz w:val="28"/>
      <w:szCs w:val="28"/>
      <w:lang w:val="es-ES" w:eastAsia="es-ES"/>
    </w:rPr>
  </w:style>
  <w:style w:type="character" w:customStyle="1" w:styleId="Ttulo5Car">
    <w:name w:val="Título 5 Car"/>
    <w:basedOn w:val="Fuentedeprrafopredeter"/>
    <w:link w:val="Ttulo5"/>
    <w:rsid w:val="00651F7A"/>
    <w:rPr>
      <w:b/>
      <w:bCs/>
      <w:i/>
      <w:iCs/>
      <w:sz w:val="26"/>
      <w:szCs w:val="26"/>
      <w:lang w:val="es-ES" w:eastAsia="es-ES"/>
    </w:rPr>
  </w:style>
  <w:style w:type="character" w:customStyle="1" w:styleId="Ttulo6Car">
    <w:name w:val="Título 6 Car"/>
    <w:basedOn w:val="Fuentedeprrafopredeter"/>
    <w:link w:val="Ttulo6"/>
    <w:rsid w:val="00651F7A"/>
    <w:rPr>
      <w:b/>
      <w:bCs/>
      <w:sz w:val="22"/>
      <w:szCs w:val="22"/>
      <w:lang w:val="es-ES" w:eastAsia="es-ES"/>
    </w:rPr>
  </w:style>
  <w:style w:type="character" w:customStyle="1" w:styleId="Ttulo7Car">
    <w:name w:val="Título 7 Car"/>
    <w:basedOn w:val="Fuentedeprrafopredeter"/>
    <w:link w:val="Ttulo7"/>
    <w:rsid w:val="00651F7A"/>
    <w:rPr>
      <w:sz w:val="24"/>
      <w:szCs w:val="24"/>
      <w:lang w:val="es-ES" w:eastAsia="es-ES"/>
    </w:rPr>
  </w:style>
  <w:style w:type="character" w:customStyle="1" w:styleId="Ttulo8Car">
    <w:name w:val="Título 8 Car"/>
    <w:basedOn w:val="Fuentedeprrafopredeter"/>
    <w:link w:val="Ttulo8"/>
    <w:rsid w:val="00651F7A"/>
    <w:rPr>
      <w:i/>
      <w:iCs/>
      <w:sz w:val="24"/>
      <w:szCs w:val="24"/>
      <w:lang w:val="es-ES" w:eastAsia="es-ES"/>
    </w:rPr>
  </w:style>
  <w:style w:type="character" w:customStyle="1" w:styleId="Ttulo9Car">
    <w:name w:val="Título 9 Car"/>
    <w:basedOn w:val="Fuentedeprrafopredeter"/>
    <w:link w:val="Ttulo9"/>
    <w:rsid w:val="00651F7A"/>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651F7A"/>
    <w:rPr>
      <w:b/>
      <w:sz w:val="18"/>
      <w:lang w:val="es-ES" w:eastAsia="es-ES"/>
    </w:rPr>
  </w:style>
  <w:style w:type="character" w:customStyle="1" w:styleId="PiedepginaCar">
    <w:name w:val="Pie de página Car"/>
    <w:aliases w:val="3_G Car"/>
    <w:basedOn w:val="Fuentedeprrafopredeter"/>
    <w:link w:val="Piedepgina"/>
    <w:uiPriority w:val="99"/>
    <w:rsid w:val="00651F7A"/>
    <w:rPr>
      <w:sz w:val="16"/>
      <w:lang w:val="es-ES" w:eastAsia="es-ES"/>
    </w:rPr>
  </w:style>
  <w:style w:type="character" w:customStyle="1" w:styleId="FootnoteTextChar">
    <w:name w:val="Footnote Text Char"/>
    <w:basedOn w:val="Fuentedeprrafopredeter"/>
    <w:rsid w:val="00651F7A"/>
    <w:rPr>
      <w:lang w:val="es-ES" w:eastAsia="es-ES"/>
    </w:rPr>
  </w:style>
  <w:style w:type="character" w:customStyle="1" w:styleId="CierreCar">
    <w:name w:val="Cierre Car"/>
    <w:basedOn w:val="Fuentedeprrafopredeter"/>
    <w:link w:val="Cierre"/>
    <w:semiHidden/>
    <w:rsid w:val="00651F7A"/>
    <w:rPr>
      <w:lang w:val="es-ES" w:eastAsia="es-ES"/>
    </w:rPr>
  </w:style>
  <w:style w:type="character" w:customStyle="1" w:styleId="DireccinHTMLCar">
    <w:name w:val="Dirección HTML Car"/>
    <w:basedOn w:val="Fuentedeprrafopredeter"/>
    <w:link w:val="DireccinHTML"/>
    <w:semiHidden/>
    <w:rsid w:val="00651F7A"/>
    <w:rPr>
      <w:i/>
      <w:iCs/>
      <w:lang w:val="es-ES" w:eastAsia="es-ES"/>
    </w:rPr>
  </w:style>
  <w:style w:type="character" w:customStyle="1" w:styleId="EncabezadodemensajeCar">
    <w:name w:val="Encabezado de mensaje Car"/>
    <w:basedOn w:val="Fuentedeprrafopredeter"/>
    <w:link w:val="Encabezadodemensaje"/>
    <w:semiHidden/>
    <w:rsid w:val="00651F7A"/>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51F7A"/>
    <w:rPr>
      <w:lang w:val="es-ES" w:eastAsia="es-ES"/>
    </w:rPr>
  </w:style>
  <w:style w:type="character" w:customStyle="1" w:styleId="FechaCar">
    <w:name w:val="Fecha Car"/>
    <w:basedOn w:val="Fuentedeprrafopredeter"/>
    <w:link w:val="Fecha"/>
    <w:semiHidden/>
    <w:rsid w:val="00651F7A"/>
    <w:rPr>
      <w:lang w:val="es-ES" w:eastAsia="es-ES"/>
    </w:rPr>
  </w:style>
  <w:style w:type="character" w:customStyle="1" w:styleId="FirmaCar">
    <w:name w:val="Firma Car"/>
    <w:basedOn w:val="Fuentedeprrafopredeter"/>
    <w:link w:val="Firma"/>
    <w:semiHidden/>
    <w:rsid w:val="00651F7A"/>
    <w:rPr>
      <w:lang w:val="es-ES" w:eastAsia="es-ES"/>
    </w:rPr>
  </w:style>
  <w:style w:type="character" w:customStyle="1" w:styleId="FirmadecorreoelectrnicoCar">
    <w:name w:val="Firma de correo electrónico Car"/>
    <w:basedOn w:val="Fuentedeprrafopredeter"/>
    <w:link w:val="Firmadecorreoelectrnico"/>
    <w:semiHidden/>
    <w:rsid w:val="00651F7A"/>
    <w:rPr>
      <w:lang w:val="es-ES" w:eastAsia="es-ES"/>
    </w:rPr>
  </w:style>
  <w:style w:type="character" w:customStyle="1" w:styleId="HTMLconformatoprevioCar">
    <w:name w:val="HTML con formato previo Car"/>
    <w:basedOn w:val="Fuentedeprrafopredeter"/>
    <w:link w:val="HTMLconformatoprevio"/>
    <w:semiHidden/>
    <w:rsid w:val="00651F7A"/>
    <w:rPr>
      <w:rFonts w:ascii="Courier New" w:hAnsi="Courier New" w:cs="Courier New"/>
      <w:lang w:val="es-ES" w:eastAsia="es-ES"/>
    </w:rPr>
  </w:style>
  <w:style w:type="character" w:customStyle="1" w:styleId="SaludoCar">
    <w:name w:val="Saludo Car"/>
    <w:basedOn w:val="Fuentedeprrafopredeter"/>
    <w:link w:val="Saludo"/>
    <w:semiHidden/>
    <w:rsid w:val="00651F7A"/>
    <w:rPr>
      <w:lang w:val="es-ES" w:eastAsia="es-ES"/>
    </w:rPr>
  </w:style>
  <w:style w:type="character" w:customStyle="1" w:styleId="Sangra2detindependienteCar">
    <w:name w:val="Sangría 2 de t. independiente Car"/>
    <w:basedOn w:val="Fuentedeprrafopredeter"/>
    <w:link w:val="Sangra2detindependiente"/>
    <w:semiHidden/>
    <w:rsid w:val="00651F7A"/>
    <w:rPr>
      <w:lang w:val="es-ES" w:eastAsia="es-ES"/>
    </w:rPr>
  </w:style>
  <w:style w:type="character" w:customStyle="1" w:styleId="Sangra3detindependienteCar">
    <w:name w:val="Sangría 3 de t. independiente Car"/>
    <w:basedOn w:val="Fuentedeprrafopredeter"/>
    <w:link w:val="Sangra3detindependiente"/>
    <w:semiHidden/>
    <w:rsid w:val="00651F7A"/>
    <w:rPr>
      <w:sz w:val="16"/>
      <w:szCs w:val="16"/>
      <w:lang w:val="es-ES" w:eastAsia="es-ES"/>
    </w:rPr>
  </w:style>
  <w:style w:type="character" w:customStyle="1" w:styleId="SangradetextonormalCar">
    <w:name w:val="Sangría de texto normal Car"/>
    <w:basedOn w:val="Fuentedeprrafopredeter"/>
    <w:link w:val="Sangradetextonormal"/>
    <w:semiHidden/>
    <w:rsid w:val="00651F7A"/>
    <w:rPr>
      <w:lang w:val="es-ES" w:eastAsia="es-ES"/>
    </w:rPr>
  </w:style>
  <w:style w:type="character" w:customStyle="1" w:styleId="SubttuloCar">
    <w:name w:val="Subtítulo Car"/>
    <w:basedOn w:val="Fuentedeprrafopredeter"/>
    <w:link w:val="Subttulo"/>
    <w:rsid w:val="00651F7A"/>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651F7A"/>
    <w:rPr>
      <w:lang w:val="es-ES" w:eastAsia="es-ES"/>
    </w:rPr>
  </w:style>
  <w:style w:type="character" w:customStyle="1" w:styleId="Textoindependiente2Car">
    <w:name w:val="Texto independiente 2 Car"/>
    <w:basedOn w:val="Fuentedeprrafopredeter"/>
    <w:link w:val="Textoindependiente2"/>
    <w:semiHidden/>
    <w:rsid w:val="00651F7A"/>
    <w:rPr>
      <w:lang w:val="es-ES" w:eastAsia="es-ES"/>
    </w:rPr>
  </w:style>
  <w:style w:type="character" w:customStyle="1" w:styleId="Textoindependiente3Car">
    <w:name w:val="Texto independiente 3 Car"/>
    <w:basedOn w:val="Fuentedeprrafopredeter"/>
    <w:link w:val="Textoindependiente3"/>
    <w:semiHidden/>
    <w:rsid w:val="00651F7A"/>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51F7A"/>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51F7A"/>
    <w:rPr>
      <w:lang w:val="es-ES" w:eastAsia="es-ES"/>
    </w:rPr>
  </w:style>
  <w:style w:type="character" w:customStyle="1" w:styleId="TextonotaalfinalCar">
    <w:name w:val="Texto nota al final Car"/>
    <w:aliases w:val="2_G Car"/>
    <w:basedOn w:val="Fuentedeprrafopredeter"/>
    <w:link w:val="Textonotaalfinal"/>
    <w:rsid w:val="00651F7A"/>
    <w:rPr>
      <w:sz w:val="18"/>
      <w:lang w:val="es-ES" w:eastAsia="es-ES"/>
    </w:rPr>
  </w:style>
  <w:style w:type="character" w:customStyle="1" w:styleId="TextosinformatoCar">
    <w:name w:val="Texto sin formato Car"/>
    <w:basedOn w:val="Fuentedeprrafopredeter"/>
    <w:link w:val="Textosinformato"/>
    <w:semiHidden/>
    <w:rsid w:val="00651F7A"/>
    <w:rPr>
      <w:rFonts w:ascii="Courier New" w:hAnsi="Courier New" w:cs="Courier New"/>
      <w:lang w:val="es-ES" w:eastAsia="es-ES"/>
    </w:rPr>
  </w:style>
  <w:style w:type="character" w:customStyle="1" w:styleId="TtuloCar">
    <w:name w:val="Título Car"/>
    <w:basedOn w:val="Fuentedeprrafopredeter"/>
    <w:link w:val="Ttulo"/>
    <w:rsid w:val="00651F7A"/>
    <w:rPr>
      <w:rFonts w:ascii="Arial" w:hAnsi="Arial" w:cs="Arial"/>
      <w:b/>
      <w:bCs/>
      <w:kern w:val="28"/>
      <w:sz w:val="32"/>
      <w:szCs w:val="32"/>
      <w:lang w:val="es-ES" w:eastAsia="es-ES"/>
    </w:rPr>
  </w:style>
  <w:style w:type="paragraph" w:styleId="Prrafodelista">
    <w:name w:val="List Paragraph"/>
    <w:basedOn w:val="Normal"/>
    <w:uiPriority w:val="34"/>
    <w:qFormat/>
    <w:rsid w:val="00651F7A"/>
    <w:pPr>
      <w:spacing w:after="200" w:line="240" w:lineRule="auto"/>
      <w:ind w:left="720"/>
      <w:contextualSpacing/>
      <w:jc w:val="both"/>
    </w:pPr>
    <w:rPr>
      <w:rFonts w:ascii="Arial" w:eastAsia="Calibri" w:hAnsi="Arial"/>
      <w:sz w:val="24"/>
      <w:szCs w:val="22"/>
      <w:lang w:eastAsia="en-US"/>
    </w:rPr>
  </w:style>
  <w:style w:type="character" w:styleId="Refdecomentario">
    <w:name w:val="annotation reference"/>
    <w:rsid w:val="00651F7A"/>
    <w:rPr>
      <w:sz w:val="16"/>
      <w:szCs w:val="16"/>
    </w:rPr>
  </w:style>
  <w:style w:type="paragraph" w:styleId="Textocomentario">
    <w:name w:val="annotation text"/>
    <w:basedOn w:val="Normal"/>
    <w:link w:val="TextocomentarioCar"/>
    <w:rsid w:val="00651F7A"/>
  </w:style>
  <w:style w:type="character" w:customStyle="1" w:styleId="TextocomentarioCar">
    <w:name w:val="Texto comentario Car"/>
    <w:basedOn w:val="Fuentedeprrafopredeter"/>
    <w:link w:val="Textocomentario"/>
    <w:rsid w:val="00651F7A"/>
    <w:rPr>
      <w:lang w:val="es-ES" w:eastAsia="es-ES"/>
    </w:rPr>
  </w:style>
  <w:style w:type="paragraph" w:styleId="Asuntodelcomentario">
    <w:name w:val="annotation subject"/>
    <w:basedOn w:val="Textocomentario"/>
    <w:next w:val="Textocomentario"/>
    <w:link w:val="AsuntodelcomentarioCar"/>
    <w:rsid w:val="00651F7A"/>
    <w:rPr>
      <w:b/>
      <w:bCs/>
    </w:rPr>
  </w:style>
  <w:style w:type="character" w:customStyle="1" w:styleId="AsuntodelcomentarioCar">
    <w:name w:val="Asunto del comentario Car"/>
    <w:basedOn w:val="TextocomentarioCar"/>
    <w:link w:val="Asuntodelcomentario"/>
    <w:rsid w:val="00651F7A"/>
    <w:rPr>
      <w:b/>
      <w:bCs/>
      <w:lang w:val="es-ES" w:eastAsia="es-ES"/>
    </w:rPr>
  </w:style>
  <w:style w:type="character" w:customStyle="1" w:styleId="TextonotapieCar">
    <w:name w:val="Texto nota pie Car"/>
    <w:aliases w:val="5_G Car,Footnote reference Car,FA Fu Car,Footnote Text Char Char Char Char Char Car,Footnote Text Char Char Char Char Car,Footnote Text Char1 Car,Footnote Text Char Char Car"/>
    <w:link w:val="Textonotapie"/>
    <w:locked/>
    <w:rsid w:val="00651F7A"/>
    <w:rPr>
      <w:sz w:val="18"/>
      <w:lang w:val="es-ES" w:eastAsia="es-ES"/>
    </w:rPr>
  </w:style>
  <w:style w:type="character" w:customStyle="1" w:styleId="preferred">
    <w:name w:val="preferred"/>
    <w:basedOn w:val="Fuentedeprrafopredeter"/>
    <w:rsid w:val="00AB0814"/>
  </w:style>
  <w:style w:type="paragraph" w:styleId="Revisin">
    <w:name w:val="Revision"/>
    <w:hidden/>
    <w:uiPriority w:val="99"/>
    <w:semiHidden/>
    <w:rsid w:val="00F2602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7436">
      <w:bodyDiv w:val="1"/>
      <w:marLeft w:val="0"/>
      <w:marRight w:val="0"/>
      <w:marTop w:val="0"/>
      <w:marBottom w:val="0"/>
      <w:divBdr>
        <w:top w:val="none" w:sz="0" w:space="0" w:color="auto"/>
        <w:left w:val="none" w:sz="0" w:space="0" w:color="auto"/>
        <w:bottom w:val="none" w:sz="0" w:space="0" w:color="auto"/>
        <w:right w:val="none" w:sz="0" w:space="0" w:color="auto"/>
      </w:divBdr>
      <w:divsChild>
        <w:div w:id="1573663621">
          <w:marLeft w:val="0"/>
          <w:marRight w:val="0"/>
          <w:marTop w:val="0"/>
          <w:marBottom w:val="0"/>
          <w:divBdr>
            <w:top w:val="none" w:sz="0" w:space="0" w:color="auto"/>
            <w:left w:val="none" w:sz="0" w:space="0" w:color="auto"/>
            <w:bottom w:val="none" w:sz="0" w:space="0" w:color="auto"/>
            <w:right w:val="none" w:sz="0" w:space="0" w:color="auto"/>
          </w:divBdr>
        </w:div>
      </w:divsChild>
    </w:div>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568260B013C48AB61DDD46F052E42" ma:contentTypeVersion="0" ma:contentTypeDescription="Create a new document." ma:contentTypeScope="" ma:versionID="52c6e2b440db0517a901ffe79f98091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25AE-AEEB-4DB1-89B8-D041E84139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B4C0973-6505-48DA-BBE1-6354500D5EDA}">
  <ds:schemaRefs>
    <ds:schemaRef ds:uri="http://schemas.microsoft.com/sharepoint/v3/contenttype/forms"/>
  </ds:schemaRefs>
</ds:datastoreItem>
</file>

<file path=customXml/itemProps3.xml><?xml version="1.0" encoding="utf-8"?>
<ds:datastoreItem xmlns:ds="http://schemas.openxmlformats.org/officeDocument/2006/customXml" ds:itemID="{3193684E-2686-4717-A4EB-E8F154960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05E35D-07C9-44E3-9AA5-BB38D046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11469</Words>
  <Characters>63082</Characters>
  <Application>Microsoft Office Word</Application>
  <DocSecurity>0</DocSecurity>
  <Lines>525</Lines>
  <Paragraphs>148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CAT/OP/BOL/R.3</vt:lpstr>
      <vt:lpstr>CAT/OP/BOL/R.3</vt:lpstr>
      <vt:lpstr>CAT/OP/BOL/R.3</vt:lpstr>
    </vt:vector>
  </TitlesOfParts>
  <Company>OHCHR</Company>
  <LinksUpToDate>false</LinksUpToDate>
  <CharactersWithSpaces>74403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CAT/OP/BOL/3</dc:title>
  <dc:subject>CAT/OP/BOL/3</dc:subject>
  <dc:creator>Juan Carlos Korol</dc:creator>
  <cp:keywords/>
  <dc:description/>
  <cp:lastModifiedBy>Juan Korol</cp:lastModifiedBy>
  <cp:revision>3</cp:revision>
  <cp:lastPrinted>2018-07-25T07:56:00Z</cp:lastPrinted>
  <dcterms:created xsi:type="dcterms:W3CDTF">2018-07-25T07:56:00Z</dcterms:created>
  <dcterms:modified xsi:type="dcterms:W3CDTF">2018-07-25T07:57:00Z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0x010100B3F568260B013C48AB61DDD46F052E42</vt:lpwstr>
  </property>
</Properties>
</file>