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3414A2">
                <w:t>C/GEO/CO/4</w:t>
              </w:r>
            </w:fldSimple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84613B" w:rsidRDefault="0084613B" w:rsidP="00D763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 w:rsidR="003414A2">
              <w:rPr>
                <w:lang w:val="en-US"/>
              </w:rPr>
              <w:fldChar w:fldCharType="separate"/>
            </w:r>
            <w:r w:rsidR="003414A2">
              <w:rPr>
                <w:lang w:val="en-US"/>
              </w:rPr>
              <w:t>19 August 2014</w:t>
            </w:r>
            <w:r>
              <w:rPr>
                <w:lang w:val="en-US"/>
              </w:rPr>
              <w:fldChar w:fldCharType="end"/>
            </w:r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3414A2" w:rsidRPr="003A44C4" w:rsidRDefault="003414A2" w:rsidP="003A44C4">
      <w:pPr>
        <w:spacing w:before="120"/>
        <w:rPr>
          <w:b/>
          <w:sz w:val="24"/>
          <w:szCs w:val="24"/>
        </w:rPr>
      </w:pPr>
      <w:r w:rsidRPr="003A44C4">
        <w:rPr>
          <w:b/>
          <w:sz w:val="24"/>
          <w:szCs w:val="24"/>
        </w:rPr>
        <w:t>Комитет по правам человека</w:t>
      </w:r>
    </w:p>
    <w:p w:rsidR="003414A2" w:rsidRPr="003A44C4" w:rsidRDefault="003414A2" w:rsidP="003A44C4">
      <w:pPr>
        <w:pStyle w:val="HChGR"/>
      </w:pPr>
      <w:r>
        <w:tab/>
      </w:r>
      <w:r>
        <w:tab/>
        <w:t>Заключительные замечания по четвертому периодическому докладу Грузии</w:t>
      </w:r>
      <w:r w:rsidR="003A44C4" w:rsidRPr="003A44C4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3414A2" w:rsidRDefault="003414A2" w:rsidP="003414A2">
      <w:pPr>
        <w:pStyle w:val="SingleTxtGR"/>
      </w:pPr>
      <w:r>
        <w:t>1.</w:t>
      </w:r>
      <w:r>
        <w:tab/>
        <w:t>Комитет рассмотрел четвертый периодический доклад Грузии (CCPR/C/</w:t>
      </w:r>
      <w:r w:rsidR="003A44C4" w:rsidRPr="003A44C4">
        <w:t xml:space="preserve"> </w:t>
      </w:r>
      <w:r>
        <w:t>GEO/4) на своих 3074-м и 3075-м заседаниях (CCPR/C/SR.3074 и 3075), сост</w:t>
      </w:r>
      <w:r>
        <w:t>о</w:t>
      </w:r>
      <w:r>
        <w:t>явшихся 10 и 11 июля 2014 года. На своем 3091-м заседании (CCPR/C/SR.3091)</w:t>
      </w:r>
      <w:r w:rsidR="003A44C4" w:rsidRPr="003A44C4">
        <w:t xml:space="preserve"> </w:t>
      </w:r>
      <w:r>
        <w:t>23 июля 2014 года он принял следующие заключительные замечания.</w:t>
      </w:r>
    </w:p>
    <w:p w:rsidR="003414A2" w:rsidRDefault="003414A2" w:rsidP="003A44C4">
      <w:pPr>
        <w:pStyle w:val="H1GR"/>
      </w:pPr>
      <w:r>
        <w:tab/>
        <w:t>A.</w:t>
      </w:r>
      <w:r>
        <w:tab/>
        <w:t>Введение</w:t>
      </w:r>
    </w:p>
    <w:p w:rsidR="003414A2" w:rsidRDefault="003414A2" w:rsidP="003414A2">
      <w:pPr>
        <w:pStyle w:val="SingleTxtGR"/>
      </w:pPr>
      <w:r>
        <w:t>2.</w:t>
      </w:r>
      <w:r>
        <w:tab/>
        <w:t>Комитет приветствует представление четвертого периодического доклада Грузии и содержащуюся в нем информацию. Он выражает признательность за возможность возобновить конструктивный диалог с большой делегацией выс</w:t>
      </w:r>
      <w:r>
        <w:t>о</w:t>
      </w:r>
      <w:r>
        <w:t>кого уровня государства-участника о принятых государством-участником в о</w:t>
      </w:r>
      <w:r>
        <w:t>т</w:t>
      </w:r>
      <w:r>
        <w:t>четный период мера</w:t>
      </w:r>
      <w:r w:rsidR="00617162">
        <w:t>х</w:t>
      </w:r>
      <w:r>
        <w:t xml:space="preserve"> по выполнению положений Пакта. Комитет выражает признательность госуда</w:t>
      </w:r>
      <w:r>
        <w:t>р</w:t>
      </w:r>
      <w:r>
        <w:t>ству-участнику за письменные ответы (CCPR/C/GEO/</w:t>
      </w:r>
      <w:r w:rsidR="003A44C4" w:rsidRPr="003A44C4">
        <w:t xml:space="preserve"> </w:t>
      </w:r>
      <w:r>
        <w:t>Q/4/Add.1) на перечень вопросов, которые были дополнены устными поясн</w:t>
      </w:r>
      <w:r>
        <w:t>е</w:t>
      </w:r>
      <w:r>
        <w:t>ниями членов делегации (CCPR/C/GEO/Q/4), а также за дополнительную и</w:t>
      </w:r>
      <w:r>
        <w:t>н</w:t>
      </w:r>
      <w:r>
        <w:t>формацию, которая была представлена ему в письменном виде.</w:t>
      </w:r>
    </w:p>
    <w:p w:rsidR="003414A2" w:rsidRDefault="003414A2" w:rsidP="003A44C4">
      <w:pPr>
        <w:pStyle w:val="H1GR"/>
      </w:pPr>
      <w:r>
        <w:tab/>
        <w:t>B.</w:t>
      </w:r>
      <w:r>
        <w:tab/>
        <w:t>Позитивные аспекты</w:t>
      </w:r>
    </w:p>
    <w:p w:rsidR="003414A2" w:rsidRDefault="003414A2" w:rsidP="003414A2">
      <w:pPr>
        <w:pStyle w:val="SingleTxtGR"/>
      </w:pPr>
      <w:r>
        <w:t>3.</w:t>
      </w:r>
      <w:r>
        <w:tab/>
        <w:t>Комитет приветствует следующие законодательные и организационные шаги, предпринятые гос</w:t>
      </w:r>
      <w:r>
        <w:t>у</w:t>
      </w:r>
      <w:r>
        <w:t>дарством-участником:</w:t>
      </w:r>
    </w:p>
    <w:p w:rsidR="003414A2" w:rsidRDefault="003414A2" w:rsidP="003414A2">
      <w:pPr>
        <w:pStyle w:val="SingleTxtGR"/>
      </w:pPr>
      <w:r>
        <w:tab/>
        <w:t>а)</w:t>
      </w:r>
      <w:r>
        <w:tab/>
        <w:t>принятие Национальной стратегии в области прав человека</w:t>
      </w:r>
      <w:r w:rsidR="00650417">
        <w:t xml:space="preserve"> </w:t>
      </w:r>
      <w:r>
        <w:t>на 2014−2020 годы и Национального плана действий в области прав человека на 2014−2015 годы в апр</w:t>
      </w:r>
      <w:r>
        <w:t>е</w:t>
      </w:r>
      <w:r>
        <w:t>ле и июне 2014 года, соответственно;</w:t>
      </w:r>
    </w:p>
    <w:p w:rsidR="003414A2" w:rsidRDefault="003414A2" w:rsidP="003414A2">
      <w:pPr>
        <w:pStyle w:val="SingleTxtGR"/>
      </w:pPr>
      <w:r>
        <w:tab/>
        <w:t>b)</w:t>
      </w:r>
      <w:r>
        <w:tab/>
        <w:t>внесение поправок в Закон о тюрьмах в апреле 2014 года;</w:t>
      </w:r>
    </w:p>
    <w:p w:rsidR="003414A2" w:rsidRDefault="003414A2" w:rsidP="003414A2">
      <w:pPr>
        <w:pStyle w:val="SingleTxtGR"/>
      </w:pPr>
      <w:r>
        <w:tab/>
        <w:t>с)</w:t>
      </w:r>
      <w:r>
        <w:tab/>
        <w:t>принятие решения Конституционного суда от 4 февраля 2014 года об объявлении неконсти</w:t>
      </w:r>
      <w:r w:rsidR="00CA227F">
        <w:t>туционной "</w:t>
      </w:r>
      <w:r>
        <w:t>гомосексуальности</w:t>
      </w:r>
      <w:r w:rsidR="00CA227F">
        <w:t>"</w:t>
      </w:r>
      <w:r>
        <w:t xml:space="preserve"> противопоказанием к донорской сдаче крови и ее компонентов;</w:t>
      </w:r>
    </w:p>
    <w:p w:rsidR="003414A2" w:rsidRDefault="003414A2" w:rsidP="003414A2">
      <w:pPr>
        <w:pStyle w:val="SingleTxtGR"/>
      </w:pPr>
      <w:r>
        <w:tab/>
        <w:t>d)</w:t>
      </w:r>
      <w:r>
        <w:tab/>
        <w:t>принятие в июле 2011 года поправок и добавления к Закону о со</w:t>
      </w:r>
      <w:r>
        <w:t>б</w:t>
      </w:r>
      <w:r>
        <w:t>раниях и демонстрациях;</w:t>
      </w:r>
    </w:p>
    <w:p w:rsidR="003414A2" w:rsidRDefault="003414A2" w:rsidP="003414A2">
      <w:pPr>
        <w:pStyle w:val="SingleTxtGR"/>
      </w:pPr>
      <w:r>
        <w:tab/>
        <w:t>е)</w:t>
      </w:r>
      <w:r>
        <w:tab/>
        <w:t>повышение возраста наступления уголовной ответственности</w:t>
      </w:r>
      <w:r w:rsidR="00CA227F">
        <w:t xml:space="preserve"> с 12 </w:t>
      </w:r>
      <w:r>
        <w:t>до 14 лет в феврале 2010 года.</w:t>
      </w:r>
    </w:p>
    <w:p w:rsidR="003414A2" w:rsidRDefault="003414A2" w:rsidP="003414A2">
      <w:pPr>
        <w:pStyle w:val="SingleTxtGR"/>
      </w:pPr>
      <w:r>
        <w:t>4.</w:t>
      </w:r>
      <w:r>
        <w:tab/>
        <w:t>Комитет приветствует ратификацию государством-участником следу</w:t>
      </w:r>
      <w:r>
        <w:t>ю</w:t>
      </w:r>
      <w:r>
        <w:t>щих международно-правовых инструментов или присоединение к ним:</w:t>
      </w:r>
    </w:p>
    <w:p w:rsidR="003414A2" w:rsidRDefault="003414A2" w:rsidP="003414A2">
      <w:pPr>
        <w:pStyle w:val="SingleTxtGR"/>
      </w:pPr>
      <w:r>
        <w:tab/>
        <w:t>а)</w:t>
      </w:r>
      <w:r>
        <w:tab/>
        <w:t>Факультативного протокола к Конвенции о правах ребенка, каса</w:t>
      </w:r>
      <w:r>
        <w:t>ю</w:t>
      </w:r>
      <w:r>
        <w:t>щегося участия детей в вооруженных конфликтах, 3 августа 2010 года;</w:t>
      </w:r>
    </w:p>
    <w:p w:rsidR="003414A2" w:rsidRDefault="003414A2" w:rsidP="003414A2">
      <w:pPr>
        <w:pStyle w:val="SingleTxtGR"/>
      </w:pPr>
      <w:r>
        <w:tab/>
        <w:t>b)</w:t>
      </w:r>
      <w:r>
        <w:tab/>
        <w:t>Конвенции 1954 года о статусе апатридов, 23 декабря 2011 года;</w:t>
      </w:r>
    </w:p>
    <w:p w:rsidR="003414A2" w:rsidRDefault="003414A2" w:rsidP="003414A2">
      <w:pPr>
        <w:pStyle w:val="SingleTxtGR"/>
      </w:pPr>
      <w:r>
        <w:tab/>
        <w:t>с)</w:t>
      </w:r>
      <w:r>
        <w:tab/>
        <w:t>Конвенции о правах инвалидов, 13 марта 2014 года;</w:t>
      </w:r>
    </w:p>
    <w:p w:rsidR="003414A2" w:rsidRDefault="003414A2" w:rsidP="003414A2">
      <w:pPr>
        <w:pStyle w:val="SingleTxtGR"/>
      </w:pPr>
      <w:r>
        <w:tab/>
        <w:t>d)</w:t>
      </w:r>
      <w:r>
        <w:tab/>
        <w:t>Конвенции 1961 года о сокраще</w:t>
      </w:r>
      <w:r w:rsidR="00CA227F">
        <w:t>нии безгражданства, 1 июля 2014 </w:t>
      </w:r>
      <w:r>
        <w:t>года.</w:t>
      </w:r>
    </w:p>
    <w:p w:rsidR="003414A2" w:rsidRDefault="003414A2" w:rsidP="00CA227F">
      <w:pPr>
        <w:pStyle w:val="H1GR"/>
      </w:pPr>
      <w:r>
        <w:tab/>
        <w:t>C.</w:t>
      </w:r>
      <w:r>
        <w:tab/>
        <w:t>Основные вопросы, вызывающие озабоченность,</w:t>
      </w:r>
      <w:r w:rsidR="00CA227F">
        <w:t xml:space="preserve"> и </w:t>
      </w:r>
      <w:r>
        <w:t>рекомендации</w:t>
      </w:r>
    </w:p>
    <w:p w:rsidR="003414A2" w:rsidRDefault="003414A2" w:rsidP="00CA227F">
      <w:pPr>
        <w:pStyle w:val="H23GR"/>
      </w:pPr>
      <w:r>
        <w:tab/>
      </w:r>
      <w:r>
        <w:tab/>
        <w:t>Выполнение Соображений Комитета в соответствии с Факульт</w:t>
      </w:r>
      <w:r>
        <w:t>а</w:t>
      </w:r>
      <w:r>
        <w:t>тивным протоколом к Пакту</w:t>
      </w:r>
    </w:p>
    <w:p w:rsidR="003414A2" w:rsidRDefault="003414A2" w:rsidP="003414A2">
      <w:pPr>
        <w:pStyle w:val="SingleTxtGR"/>
      </w:pPr>
      <w:r>
        <w:t>5.</w:t>
      </w:r>
      <w:r>
        <w:tab/>
        <w:t>Принимая к сведению введение процедур по осуществлению решений международных судов по правам человека, а также текущее обсуждение попр</w:t>
      </w:r>
      <w:r>
        <w:t>а</w:t>
      </w:r>
      <w:r>
        <w:t>вок к соответствующим законодательным актам, направленных на обеспечение выполнения решений и рекомендаций других международных органов, включая договорные органы Организации Объединенных Наций, Комитет выражает обеспокоенность тем, что до сих пор не создан механизм полного осуществл</w:t>
      </w:r>
      <w:r>
        <w:t>е</w:t>
      </w:r>
      <w:r>
        <w:t>ния соображений Комитета (статья 2).</w:t>
      </w:r>
    </w:p>
    <w:p w:rsidR="003414A2" w:rsidRPr="00CA227F" w:rsidRDefault="003414A2" w:rsidP="003414A2">
      <w:pPr>
        <w:pStyle w:val="SingleTxtGR"/>
        <w:rPr>
          <w:b/>
        </w:rPr>
      </w:pPr>
      <w:r w:rsidRPr="00CA227F">
        <w:rPr>
          <w:b/>
        </w:rPr>
        <w:t>Государству-участнику надлежит принять все необходимые организацио</w:t>
      </w:r>
      <w:r w:rsidRPr="00CA227F">
        <w:rPr>
          <w:b/>
        </w:rPr>
        <w:t>н</w:t>
      </w:r>
      <w:r w:rsidRPr="00CA227F">
        <w:rPr>
          <w:b/>
        </w:rPr>
        <w:t>ные и законодательные меры для полного выполнения соображений Ком</w:t>
      </w:r>
      <w:r w:rsidRPr="00CA227F">
        <w:rPr>
          <w:b/>
        </w:rPr>
        <w:t>и</w:t>
      </w:r>
      <w:r w:rsidRPr="00CA227F">
        <w:rPr>
          <w:b/>
        </w:rPr>
        <w:t>тета в целях обеспечения в соответствии с пунктом 3 статьи 2 Пакта г</w:t>
      </w:r>
      <w:r w:rsidRPr="00CA227F">
        <w:rPr>
          <w:b/>
        </w:rPr>
        <w:t>а</w:t>
      </w:r>
      <w:r w:rsidRPr="00CA227F">
        <w:rPr>
          <w:b/>
        </w:rPr>
        <w:t>рантий права жертв на эффективные средства правовой защиты в случае нарушения Пакта.</w:t>
      </w:r>
    </w:p>
    <w:p w:rsidR="003414A2" w:rsidRDefault="003414A2" w:rsidP="00CA227F">
      <w:pPr>
        <w:pStyle w:val="H23GR"/>
      </w:pPr>
      <w:r>
        <w:tab/>
      </w:r>
      <w:r>
        <w:tab/>
        <w:t>Антидискриминационное законодательство</w:t>
      </w:r>
    </w:p>
    <w:p w:rsidR="003414A2" w:rsidRDefault="003414A2" w:rsidP="003414A2">
      <w:pPr>
        <w:pStyle w:val="SingleTxtGR"/>
      </w:pPr>
      <w:r>
        <w:t>6.</w:t>
      </w:r>
      <w:r>
        <w:tab/>
        <w:t>Комитет приветствует принятие 2 мая 2014 года Закона о ликвидации всех форм дискриминации и принимает к сведению, что Бюро Общественного защитника несет ответственность за мониторинг осуществления антидискр</w:t>
      </w:r>
      <w:r>
        <w:t>и</w:t>
      </w:r>
      <w:r>
        <w:t>минационного законодательства. Вместе с тем Комитет выражает озабоче</w:t>
      </w:r>
      <w:r>
        <w:t>н</w:t>
      </w:r>
      <w:r>
        <w:t>ность: а) неэффективностью механизмов правоприменения в отсутствие нез</w:t>
      </w:r>
      <w:r>
        <w:t>а</w:t>
      </w:r>
      <w:r>
        <w:t>висимого органа, имеющ</w:t>
      </w:r>
      <w:r>
        <w:t>е</w:t>
      </w:r>
      <w:r>
        <w:t>го право выносить обязывающие решения и требовать наложения штрафов на правонарушителей; b) недостаточностью санкций для воспрепятствования дискриминации и ее предупреждения; и с) недостатком р</w:t>
      </w:r>
      <w:r>
        <w:t>е</w:t>
      </w:r>
      <w:r>
        <w:t>сурсов, выделенных Бюро Общественного защитника для эффективного выпо</w:t>
      </w:r>
      <w:r>
        <w:t>л</w:t>
      </w:r>
      <w:r>
        <w:t>нения им своих новых функций (статьи 2 и 26).</w:t>
      </w:r>
    </w:p>
    <w:p w:rsidR="003414A2" w:rsidRPr="00CA227F" w:rsidRDefault="003414A2" w:rsidP="003414A2">
      <w:pPr>
        <w:pStyle w:val="SingleTxtGR"/>
        <w:rPr>
          <w:b/>
        </w:rPr>
      </w:pPr>
      <w:r w:rsidRPr="00CA227F">
        <w:rPr>
          <w:b/>
        </w:rPr>
        <w:t>Государство-участник должно принять меры по дальнейшему совершенс</w:t>
      </w:r>
      <w:r w:rsidRPr="00CA227F">
        <w:rPr>
          <w:b/>
        </w:rPr>
        <w:t>т</w:t>
      </w:r>
      <w:r w:rsidRPr="00CA227F">
        <w:rPr>
          <w:b/>
        </w:rPr>
        <w:t>вованию своего антидискриминационного законодательства в целях обе</w:t>
      </w:r>
      <w:r w:rsidRPr="00CA227F">
        <w:rPr>
          <w:b/>
        </w:rPr>
        <w:t>с</w:t>
      </w:r>
      <w:r w:rsidRPr="00CA227F">
        <w:rPr>
          <w:b/>
        </w:rPr>
        <w:t>печения надлежащей защиты от дискриминации на практ</w:t>
      </w:r>
      <w:r w:rsidRPr="00CA227F">
        <w:rPr>
          <w:b/>
        </w:rPr>
        <w:t>и</w:t>
      </w:r>
      <w:r w:rsidRPr="00CA227F">
        <w:rPr>
          <w:b/>
        </w:rPr>
        <w:t>ке. В частности, ему следует:</w:t>
      </w:r>
    </w:p>
    <w:p w:rsidR="003414A2" w:rsidRPr="00CA227F" w:rsidRDefault="003414A2" w:rsidP="003414A2">
      <w:pPr>
        <w:pStyle w:val="SingleTxtGR"/>
        <w:rPr>
          <w:b/>
        </w:rPr>
      </w:pPr>
      <w:r w:rsidRPr="00CA227F">
        <w:rPr>
          <w:b/>
        </w:rPr>
        <w:tab/>
        <w:t>а)</w:t>
      </w:r>
      <w:r w:rsidRPr="00CA227F">
        <w:rPr>
          <w:b/>
        </w:rPr>
        <w:tab/>
        <w:t>продолжать предоставлять Бюро Общественного защитника более значительные финансовые и людские ресурсы соразмерно расшир</w:t>
      </w:r>
      <w:r w:rsidRPr="00CA227F">
        <w:rPr>
          <w:b/>
        </w:rPr>
        <w:t>е</w:t>
      </w:r>
      <w:r w:rsidRPr="00CA227F">
        <w:rPr>
          <w:b/>
        </w:rPr>
        <w:t>нию его р</w:t>
      </w:r>
      <w:r w:rsidRPr="00CA227F">
        <w:rPr>
          <w:b/>
        </w:rPr>
        <w:t>о</w:t>
      </w:r>
      <w:r w:rsidRPr="00CA227F">
        <w:rPr>
          <w:b/>
        </w:rPr>
        <w:t>ли с тем, чтобы он мог эффективно выполнять свои новые функции;</w:t>
      </w:r>
    </w:p>
    <w:p w:rsidR="003414A2" w:rsidRPr="00CA227F" w:rsidRDefault="003414A2" w:rsidP="003414A2">
      <w:pPr>
        <w:pStyle w:val="SingleTxtGR"/>
        <w:rPr>
          <w:b/>
        </w:rPr>
      </w:pPr>
      <w:r w:rsidRPr="00CA227F">
        <w:rPr>
          <w:b/>
        </w:rPr>
        <w:tab/>
        <w:t>b)</w:t>
      </w:r>
      <w:r w:rsidRPr="00CA227F">
        <w:rPr>
          <w:b/>
        </w:rPr>
        <w:tab/>
        <w:t>предоставить Бюро Общественного защитника право выносить обязывающие решения и требовать возбуждения судебного разбирательс</w:t>
      </w:r>
      <w:r w:rsidRPr="00CA227F">
        <w:rPr>
          <w:b/>
        </w:rPr>
        <w:t>т</w:t>
      </w:r>
      <w:r w:rsidRPr="00CA227F">
        <w:rPr>
          <w:b/>
        </w:rPr>
        <w:t>ва в соответствии со своим мандатом по мониторингу осуществления а</w:t>
      </w:r>
      <w:r w:rsidRPr="00CA227F">
        <w:rPr>
          <w:b/>
        </w:rPr>
        <w:t>н</w:t>
      </w:r>
      <w:r w:rsidRPr="00CA227F">
        <w:rPr>
          <w:b/>
        </w:rPr>
        <w:t>тидискриминационного законодательства либо создать отдельный незав</w:t>
      </w:r>
      <w:r w:rsidRPr="00CA227F">
        <w:rPr>
          <w:b/>
        </w:rPr>
        <w:t>и</w:t>
      </w:r>
      <w:r w:rsidRPr="00CA227F">
        <w:rPr>
          <w:b/>
        </w:rPr>
        <w:t>симый орган по такому мониторингу и наделить его такими полномочи</w:t>
      </w:r>
      <w:r w:rsidRPr="00CA227F">
        <w:rPr>
          <w:b/>
        </w:rPr>
        <w:t>я</w:t>
      </w:r>
      <w:r w:rsidRPr="00CA227F">
        <w:rPr>
          <w:b/>
        </w:rPr>
        <w:t>ми;</w:t>
      </w:r>
    </w:p>
    <w:p w:rsidR="003414A2" w:rsidRPr="00CA227F" w:rsidRDefault="003414A2" w:rsidP="003414A2">
      <w:pPr>
        <w:pStyle w:val="SingleTxtGR"/>
        <w:rPr>
          <w:b/>
        </w:rPr>
      </w:pPr>
      <w:r w:rsidRPr="00CA227F">
        <w:rPr>
          <w:b/>
        </w:rPr>
        <w:tab/>
        <w:t>с)</w:t>
      </w:r>
      <w:r w:rsidRPr="00CA227F">
        <w:rPr>
          <w:b/>
        </w:rPr>
        <w:tab/>
        <w:t>обеспечить применение надлежащих мер наказания по отнош</w:t>
      </w:r>
      <w:r w:rsidRPr="00CA227F">
        <w:rPr>
          <w:b/>
        </w:rPr>
        <w:t>е</w:t>
      </w:r>
      <w:r w:rsidRPr="00CA227F">
        <w:rPr>
          <w:b/>
        </w:rPr>
        <w:t>нию к правонарушителям и предоставление жертвам дискриминации э</w:t>
      </w:r>
      <w:r w:rsidRPr="00CA227F">
        <w:rPr>
          <w:b/>
        </w:rPr>
        <w:t>ф</w:t>
      </w:r>
      <w:r w:rsidRPr="00CA227F">
        <w:rPr>
          <w:b/>
        </w:rPr>
        <w:t>фективных и надлежащих средств правовой защиты;</w:t>
      </w:r>
    </w:p>
    <w:p w:rsidR="003414A2" w:rsidRPr="00CA227F" w:rsidRDefault="003414A2" w:rsidP="003414A2">
      <w:pPr>
        <w:pStyle w:val="SingleTxtGR"/>
        <w:rPr>
          <w:b/>
        </w:rPr>
      </w:pPr>
      <w:r w:rsidRPr="00CA227F">
        <w:rPr>
          <w:b/>
        </w:rPr>
        <w:tab/>
        <w:t>d)</w:t>
      </w:r>
      <w:r w:rsidRPr="00CA227F">
        <w:rPr>
          <w:b/>
        </w:rPr>
        <w:tab/>
        <w:t>повысить осведомленность общества о Законе о ликвидации всех форм дискриминации и о мерах наказания за дискриминацию.</w:t>
      </w:r>
    </w:p>
    <w:p w:rsidR="003414A2" w:rsidRDefault="003414A2" w:rsidP="00CA227F">
      <w:pPr>
        <w:pStyle w:val="H23GR"/>
      </w:pPr>
      <w:r>
        <w:tab/>
      </w:r>
      <w:r>
        <w:tab/>
        <w:t>Недискриминация и гендерное равенство</w:t>
      </w:r>
    </w:p>
    <w:p w:rsidR="003414A2" w:rsidRDefault="003414A2" w:rsidP="003414A2">
      <w:pPr>
        <w:pStyle w:val="SingleTxtGR"/>
      </w:pPr>
      <w:r>
        <w:t>7.</w:t>
      </w:r>
      <w:r>
        <w:tab/>
        <w:t>Приветствуя меры государства-участника по поощрению гендерного р</w:t>
      </w:r>
      <w:r>
        <w:t>а</w:t>
      </w:r>
      <w:r>
        <w:t>венства, включая принятие Закона о гендерном равенстве (2010 год) и Наци</w:t>
      </w:r>
      <w:r>
        <w:t>о</w:t>
      </w:r>
      <w:r>
        <w:t>нального плана действий в области гендерного равенства на 2014−2016 годы, Комитет выражает обеспокоенность:</w:t>
      </w:r>
    </w:p>
    <w:p w:rsidR="003414A2" w:rsidRDefault="003414A2" w:rsidP="003414A2">
      <w:pPr>
        <w:pStyle w:val="SingleTxtGR"/>
      </w:pPr>
      <w:r>
        <w:tab/>
        <w:t>а)</w:t>
      </w:r>
      <w:r>
        <w:tab/>
        <w:t>недостаточной представленностью женщин на руководящих дол</w:t>
      </w:r>
      <w:r>
        <w:t>ж</w:t>
      </w:r>
      <w:r>
        <w:t>ностях в законодательных и исполнительных органах, в том числе в парламенте и правительстве;</w:t>
      </w:r>
    </w:p>
    <w:p w:rsidR="003414A2" w:rsidRDefault="003414A2" w:rsidP="003414A2">
      <w:pPr>
        <w:pStyle w:val="SingleTxtGR"/>
      </w:pPr>
      <w:r>
        <w:tab/>
        <w:t>b)</w:t>
      </w:r>
      <w:r>
        <w:tab/>
        <w:t>существенным разрывом в заработной плате мужчин и женщин;</w:t>
      </w:r>
    </w:p>
    <w:p w:rsidR="003414A2" w:rsidRDefault="003414A2" w:rsidP="003414A2">
      <w:pPr>
        <w:pStyle w:val="SingleTxtGR"/>
      </w:pPr>
      <w:r>
        <w:tab/>
        <w:t>с)</w:t>
      </w:r>
      <w:r>
        <w:tab/>
        <w:t>широким распространением случаев сексуальных домогательств,</w:t>
      </w:r>
      <w:r w:rsidR="00CA227F">
        <w:t xml:space="preserve"> в </w:t>
      </w:r>
      <w:r>
        <w:t>том числе на рабочем месте;</w:t>
      </w:r>
    </w:p>
    <w:p w:rsidR="003414A2" w:rsidRDefault="003414A2" w:rsidP="003414A2">
      <w:pPr>
        <w:pStyle w:val="SingleTxtGR"/>
      </w:pPr>
      <w:r>
        <w:tab/>
        <w:t>d)</w:t>
      </w:r>
      <w:r>
        <w:tab/>
        <w:t>количеством ранних браков;</w:t>
      </w:r>
    </w:p>
    <w:p w:rsidR="003414A2" w:rsidRDefault="003414A2" w:rsidP="003414A2">
      <w:pPr>
        <w:pStyle w:val="SingleTxtGR"/>
      </w:pPr>
      <w:r>
        <w:tab/>
        <w:t>е)</w:t>
      </w:r>
      <w:r>
        <w:tab/>
        <w:t>практикой абортов зародышей женского пола (статьи 2, 3, 23 и 26).</w:t>
      </w:r>
    </w:p>
    <w:p w:rsidR="003414A2" w:rsidRPr="000F7655" w:rsidRDefault="003414A2" w:rsidP="003414A2">
      <w:pPr>
        <w:pStyle w:val="SingleTxtGR"/>
        <w:rPr>
          <w:b/>
        </w:rPr>
      </w:pPr>
      <w:r w:rsidRPr="000F7655">
        <w:rPr>
          <w:b/>
        </w:rPr>
        <w:t>Государство-участник должно принять более активные меры в целях обе</w:t>
      </w:r>
      <w:r w:rsidRPr="000F7655">
        <w:rPr>
          <w:b/>
        </w:rPr>
        <w:t>с</w:t>
      </w:r>
      <w:r w:rsidRPr="000F7655">
        <w:rPr>
          <w:b/>
        </w:rPr>
        <w:t>печении гендерного равенства, включая:</w:t>
      </w:r>
    </w:p>
    <w:p w:rsidR="003414A2" w:rsidRPr="000F7655" w:rsidRDefault="000F7655" w:rsidP="003414A2">
      <w:pPr>
        <w:pStyle w:val="SingleTxtGR"/>
        <w:rPr>
          <w:b/>
        </w:rPr>
      </w:pPr>
      <w:r w:rsidRPr="000F7655">
        <w:rPr>
          <w:b/>
        </w:rPr>
        <w:tab/>
        <w:t>а)</w:t>
      </w:r>
      <w:r w:rsidR="003414A2" w:rsidRPr="000F7655">
        <w:rPr>
          <w:b/>
        </w:rPr>
        <w:tab/>
        <w:t>разработку стратегии борьбы с патриархальными стереотип</w:t>
      </w:r>
      <w:r w:rsidR="003414A2" w:rsidRPr="000F7655">
        <w:rPr>
          <w:b/>
        </w:rPr>
        <w:t>а</w:t>
      </w:r>
      <w:r w:rsidR="003414A2" w:rsidRPr="000F7655">
        <w:rPr>
          <w:b/>
        </w:rPr>
        <w:t xml:space="preserve">ми и представлениями о ролях и обязанностях женщин и мужчин в семье </w:t>
      </w:r>
      <w:r w:rsidR="00650417">
        <w:rPr>
          <w:b/>
        </w:rPr>
        <w:t xml:space="preserve">и </w:t>
      </w:r>
      <w:r w:rsidR="003414A2" w:rsidRPr="000F7655">
        <w:rPr>
          <w:b/>
        </w:rPr>
        <w:t>в обществе, в том числе путем проведения информационно-пропаган</w:t>
      </w:r>
      <w:r w:rsidR="00650417">
        <w:rPr>
          <w:b/>
        </w:rPr>
        <w:t>-</w:t>
      </w:r>
      <w:r w:rsidR="003414A2" w:rsidRPr="000F7655">
        <w:rPr>
          <w:b/>
        </w:rPr>
        <w:t>дистских кампаний с целью разъяснения населению потребности в соде</w:t>
      </w:r>
      <w:r w:rsidR="003414A2" w:rsidRPr="000F7655">
        <w:rPr>
          <w:b/>
        </w:rPr>
        <w:t>й</w:t>
      </w:r>
      <w:r w:rsidR="003414A2" w:rsidRPr="000F7655">
        <w:rPr>
          <w:b/>
        </w:rPr>
        <w:t>ствии осущест</w:t>
      </w:r>
      <w:r w:rsidR="003414A2" w:rsidRPr="000F7655">
        <w:rPr>
          <w:b/>
        </w:rPr>
        <w:t>в</w:t>
      </w:r>
      <w:r w:rsidR="003414A2" w:rsidRPr="000F7655">
        <w:rPr>
          <w:b/>
        </w:rPr>
        <w:t>лению женщинами своих прав;</w:t>
      </w:r>
    </w:p>
    <w:p w:rsidR="003414A2" w:rsidRPr="000F7655" w:rsidRDefault="003414A2" w:rsidP="003414A2">
      <w:pPr>
        <w:pStyle w:val="SingleTxtGR"/>
        <w:rPr>
          <w:b/>
        </w:rPr>
      </w:pPr>
      <w:r w:rsidRPr="000F7655">
        <w:rPr>
          <w:b/>
        </w:rPr>
        <w:tab/>
        <w:t>b)</w:t>
      </w:r>
      <w:r w:rsidRPr="000F7655">
        <w:rPr>
          <w:b/>
        </w:rPr>
        <w:tab/>
        <w:t>активизацию усилий по достижению равной представленности женщин на руководящих должностях в законодательных и исполнител</w:t>
      </w:r>
      <w:r w:rsidRPr="000F7655">
        <w:rPr>
          <w:b/>
        </w:rPr>
        <w:t>ь</w:t>
      </w:r>
      <w:r w:rsidRPr="000F7655">
        <w:rPr>
          <w:b/>
        </w:rPr>
        <w:t>ных органах, в том числе в парламенте, и на высших уровнях правител</w:t>
      </w:r>
      <w:r w:rsidRPr="000F7655">
        <w:rPr>
          <w:b/>
        </w:rPr>
        <w:t>ь</w:t>
      </w:r>
      <w:r w:rsidRPr="000F7655">
        <w:rPr>
          <w:b/>
        </w:rPr>
        <w:t>ства в четко установленные конкретные сроки</w:t>
      </w:r>
      <w:r w:rsidR="00650417">
        <w:rPr>
          <w:b/>
        </w:rPr>
        <w:t>;</w:t>
      </w:r>
    </w:p>
    <w:p w:rsidR="003414A2" w:rsidRPr="000F7655" w:rsidRDefault="003414A2" w:rsidP="003414A2">
      <w:pPr>
        <w:pStyle w:val="SingleTxtGR"/>
        <w:rPr>
          <w:b/>
        </w:rPr>
      </w:pPr>
      <w:r w:rsidRPr="000F7655">
        <w:rPr>
          <w:b/>
        </w:rPr>
        <w:tab/>
        <w:t>с)</w:t>
      </w:r>
      <w:r w:rsidRPr="000F7655">
        <w:rPr>
          <w:b/>
        </w:rPr>
        <w:tab/>
        <w:t>ликвидацию разрыва в оплате труда женщин и мужчин посре</w:t>
      </w:r>
      <w:r w:rsidRPr="000F7655">
        <w:rPr>
          <w:b/>
        </w:rPr>
        <w:t>д</w:t>
      </w:r>
      <w:r w:rsidRPr="000F7655">
        <w:rPr>
          <w:b/>
        </w:rPr>
        <w:t>ством борьбы с вертикальной и горизонтальной сегрегацией на рынке тр</w:t>
      </w:r>
      <w:r w:rsidRPr="000F7655">
        <w:rPr>
          <w:b/>
        </w:rPr>
        <w:t>у</w:t>
      </w:r>
      <w:r w:rsidRPr="000F7655">
        <w:rPr>
          <w:b/>
        </w:rPr>
        <w:t>да;</w:t>
      </w:r>
    </w:p>
    <w:p w:rsidR="003414A2" w:rsidRPr="000F7655" w:rsidRDefault="003414A2" w:rsidP="003414A2">
      <w:pPr>
        <w:pStyle w:val="SingleTxtGR"/>
        <w:rPr>
          <w:b/>
        </w:rPr>
      </w:pPr>
      <w:r w:rsidRPr="000F7655">
        <w:rPr>
          <w:b/>
        </w:rPr>
        <w:tab/>
        <w:t>d)</w:t>
      </w:r>
      <w:r w:rsidRPr="000F7655">
        <w:rPr>
          <w:b/>
        </w:rPr>
        <w:tab/>
        <w:t>введение законодательного запрета сексуальных домог</w:t>
      </w:r>
      <w:r w:rsidRPr="000F7655">
        <w:rPr>
          <w:b/>
        </w:rPr>
        <w:t>а</w:t>
      </w:r>
      <w:r w:rsidRPr="000F7655">
        <w:rPr>
          <w:b/>
        </w:rPr>
        <w:t>тельств, предусмотрев при этом санкции в качестве сдерживающего фа</w:t>
      </w:r>
      <w:r w:rsidRPr="000F7655">
        <w:rPr>
          <w:b/>
        </w:rPr>
        <w:t>к</w:t>
      </w:r>
      <w:r w:rsidRPr="000F7655">
        <w:rPr>
          <w:b/>
        </w:rPr>
        <w:t>тора и меры защиты жертв, разъяснение широким слоям населения нед</w:t>
      </w:r>
      <w:r w:rsidRPr="000F7655">
        <w:rPr>
          <w:b/>
        </w:rPr>
        <w:t>о</w:t>
      </w:r>
      <w:r w:rsidRPr="000F7655">
        <w:rPr>
          <w:b/>
        </w:rPr>
        <w:t>пустимости домог</w:t>
      </w:r>
      <w:r w:rsidRPr="000F7655">
        <w:rPr>
          <w:b/>
        </w:rPr>
        <w:t>а</w:t>
      </w:r>
      <w:r w:rsidRPr="000F7655">
        <w:rPr>
          <w:b/>
        </w:rPr>
        <w:t>тельств и поощрение уведомления о таких случаях;</w:t>
      </w:r>
    </w:p>
    <w:p w:rsidR="003414A2" w:rsidRPr="000F7655" w:rsidRDefault="003414A2" w:rsidP="003414A2">
      <w:pPr>
        <w:pStyle w:val="SingleTxtGR"/>
        <w:rPr>
          <w:b/>
        </w:rPr>
      </w:pPr>
      <w:r w:rsidRPr="000F7655">
        <w:rPr>
          <w:b/>
        </w:rPr>
        <w:tab/>
        <w:t>е)</w:t>
      </w:r>
      <w:r w:rsidRPr="000F7655">
        <w:rPr>
          <w:b/>
        </w:rPr>
        <w:tab/>
        <w:t>борьбу с ранними браками, в том числе за счет проведения на уровне общин разъяснительной работы с упором на негативные последс</w:t>
      </w:r>
      <w:r w:rsidRPr="000F7655">
        <w:rPr>
          <w:b/>
        </w:rPr>
        <w:t>т</w:t>
      </w:r>
      <w:r w:rsidRPr="000F7655">
        <w:rPr>
          <w:b/>
        </w:rPr>
        <w:t>вия ранних браков;</w:t>
      </w:r>
    </w:p>
    <w:p w:rsidR="003414A2" w:rsidRPr="000F7655" w:rsidRDefault="003414A2" w:rsidP="003414A2">
      <w:pPr>
        <w:pStyle w:val="SingleTxtGR"/>
        <w:rPr>
          <w:b/>
        </w:rPr>
      </w:pPr>
      <w:r w:rsidRPr="000F7655">
        <w:rPr>
          <w:b/>
        </w:rPr>
        <w:tab/>
        <w:t>f)</w:t>
      </w:r>
      <w:r w:rsidRPr="000F7655">
        <w:rPr>
          <w:b/>
        </w:rPr>
        <w:tab/>
        <w:t>борьбу с практикой абортов по принципу гендерной селекции, включая отслеживание масштабов этого явления, устранение его коренных и долгосрочных последствий для общества, расширение и совершенств</w:t>
      </w:r>
      <w:r w:rsidRPr="000F7655">
        <w:rPr>
          <w:b/>
        </w:rPr>
        <w:t>о</w:t>
      </w:r>
      <w:r w:rsidRPr="000F7655">
        <w:rPr>
          <w:b/>
        </w:rPr>
        <w:t>вание служб планирования семьи, а также проведение разъяснительной работы о пагубном влиянии гендерной селекции и о равной ценности дев</w:t>
      </w:r>
      <w:r w:rsidRPr="000F7655">
        <w:rPr>
          <w:b/>
        </w:rPr>
        <w:t>о</w:t>
      </w:r>
      <w:r w:rsidRPr="000F7655">
        <w:rPr>
          <w:b/>
        </w:rPr>
        <w:t xml:space="preserve">чек и мальчиков. </w:t>
      </w:r>
    </w:p>
    <w:p w:rsidR="003414A2" w:rsidRDefault="003414A2" w:rsidP="000F7655">
      <w:pPr>
        <w:pStyle w:val="H23GR"/>
      </w:pPr>
      <w:r>
        <w:tab/>
      </w:r>
      <w:r>
        <w:tab/>
        <w:t>Дискриминация по признакам сексуальной ориентации и гендерной идентичности</w:t>
      </w:r>
    </w:p>
    <w:p w:rsidR="003414A2" w:rsidRDefault="003414A2" w:rsidP="003414A2">
      <w:pPr>
        <w:pStyle w:val="SingleTxtGR"/>
      </w:pPr>
      <w:r>
        <w:t>8.</w:t>
      </w:r>
      <w:r>
        <w:tab/>
        <w:t>Комитет обеспокоен дискриминацией и социальной стигматизацией, з</w:t>
      </w:r>
      <w:r>
        <w:t>а</w:t>
      </w:r>
      <w:r>
        <w:t>явлениями на почве нен</w:t>
      </w:r>
      <w:r>
        <w:t>а</w:t>
      </w:r>
      <w:r>
        <w:t>висти и актами насилия в отношении лесбиянок, геев, бисексуалов и трансгендеров и нарушением их прав на свободу выражения мнений и собраний (статьи 2, 9, 19, 21 и 26).</w:t>
      </w:r>
    </w:p>
    <w:p w:rsidR="003414A2" w:rsidRPr="000F7655" w:rsidRDefault="003414A2" w:rsidP="003414A2">
      <w:pPr>
        <w:pStyle w:val="SingleTxtGR"/>
        <w:rPr>
          <w:b/>
        </w:rPr>
      </w:pPr>
      <w:r w:rsidRPr="000F7655">
        <w:rPr>
          <w:b/>
        </w:rPr>
        <w:t>Государство-участник должно принять эффективные меры для борьбы с любыми формами социальной стигматизации гомосексуальности, бисекс</w:t>
      </w:r>
      <w:r w:rsidRPr="000F7655">
        <w:rPr>
          <w:b/>
        </w:rPr>
        <w:t>у</w:t>
      </w:r>
      <w:r w:rsidRPr="000F7655">
        <w:rPr>
          <w:b/>
        </w:rPr>
        <w:t>альности или транссексуальности, а также с заявлениями на почве нен</w:t>
      </w:r>
      <w:r w:rsidRPr="000F7655">
        <w:rPr>
          <w:b/>
        </w:rPr>
        <w:t>а</w:t>
      </w:r>
      <w:r w:rsidRPr="000F7655">
        <w:rPr>
          <w:b/>
        </w:rPr>
        <w:t>висти, дискриминацией или насилием по признаку сексуальной ориент</w:t>
      </w:r>
      <w:r w:rsidRPr="000F7655">
        <w:rPr>
          <w:b/>
        </w:rPr>
        <w:t>а</w:t>
      </w:r>
      <w:r w:rsidRPr="000F7655">
        <w:rPr>
          <w:b/>
        </w:rPr>
        <w:t>ции или гендерной идентичности. Оно должно обеспечивать эффективную защиту лесбиянок, геев, бисексуалов и трансгендеров, а также расследов</w:t>
      </w:r>
      <w:r w:rsidRPr="000F7655">
        <w:rPr>
          <w:b/>
        </w:rPr>
        <w:t>а</w:t>
      </w:r>
      <w:r w:rsidRPr="000F7655">
        <w:rPr>
          <w:b/>
        </w:rPr>
        <w:t>ние, привлечение к ответственности и наказание лиц, виновных в актах насилия из-за сексуальной ориентации жертвы или ее гендерной иденти</w:t>
      </w:r>
      <w:r w:rsidRPr="000F7655">
        <w:rPr>
          <w:b/>
        </w:rPr>
        <w:t>ч</w:t>
      </w:r>
      <w:r w:rsidRPr="000F7655">
        <w:rPr>
          <w:b/>
        </w:rPr>
        <w:t>ности в соответствии с пунктом 31 статьи 53 Уголовного кодекса. Оно та</w:t>
      </w:r>
      <w:r w:rsidRPr="000F7655">
        <w:rPr>
          <w:b/>
        </w:rPr>
        <w:t>к</w:t>
      </w:r>
      <w:r w:rsidRPr="000F7655">
        <w:rPr>
          <w:b/>
        </w:rPr>
        <w:t>же обязано принять все необходимые меры для обеспечения на практике прав на свободу выражения мнений и собраний лесбиянок, геев, бисексу</w:t>
      </w:r>
      <w:r w:rsidRPr="000F7655">
        <w:rPr>
          <w:b/>
        </w:rPr>
        <w:t>а</w:t>
      </w:r>
      <w:r w:rsidRPr="000F7655">
        <w:rPr>
          <w:b/>
        </w:rPr>
        <w:t>лов и тран</w:t>
      </w:r>
      <w:r w:rsidRPr="000F7655">
        <w:rPr>
          <w:b/>
        </w:rPr>
        <w:t>с</w:t>
      </w:r>
      <w:r w:rsidRPr="000F7655">
        <w:rPr>
          <w:b/>
        </w:rPr>
        <w:t>гендеров и защитников их прав.</w:t>
      </w:r>
    </w:p>
    <w:p w:rsidR="003414A2" w:rsidRDefault="003414A2" w:rsidP="000F7655">
      <w:pPr>
        <w:pStyle w:val="H23GR"/>
      </w:pPr>
      <w:r>
        <w:tab/>
      </w:r>
      <w:r>
        <w:tab/>
        <w:t>Насилие в семье и телесные наказания детей</w:t>
      </w:r>
    </w:p>
    <w:p w:rsidR="003414A2" w:rsidRDefault="003414A2" w:rsidP="003414A2">
      <w:pPr>
        <w:pStyle w:val="SingleTxtGR"/>
      </w:pPr>
      <w:r>
        <w:t>9.</w:t>
      </w:r>
      <w:r>
        <w:tab/>
        <w:t>Признавая меры для борьбы с насилием в семье, в том числе введение за него в июне 2012 года уголовной ответственности, Комитет выражает обесп</w:t>
      </w:r>
      <w:r>
        <w:t>о</w:t>
      </w:r>
      <w:r>
        <w:t>коенность тем, что случаи насилия в семье до сих пор не получают достаточной огласки из-за гендерных стереотипов, недобросовестного выполнения своих обязанностей сотрудниками правоохранительных органов при их расследов</w:t>
      </w:r>
      <w:r>
        <w:t>а</w:t>
      </w:r>
      <w:r>
        <w:t>нии и недейственного характера усилий по защите жертв, в том числе из-за н</w:t>
      </w:r>
      <w:r>
        <w:t>е</w:t>
      </w:r>
      <w:r>
        <w:t>эффективного осуществления постановлений о применении мер пресечения и мер по защите жертв, и ограниченного количества финансируемых государс</w:t>
      </w:r>
      <w:r>
        <w:t>т</w:t>
      </w:r>
      <w:r>
        <w:t>вом приютов и вспомогательных служб. Комитет также с обеспокоенностью отмечает, что телесные наказания, особенно в семье, продолжают считаться д</w:t>
      </w:r>
      <w:r>
        <w:t>о</w:t>
      </w:r>
      <w:r>
        <w:t>пустимыми и применяться в качестве традиционной формы наказания родит</w:t>
      </w:r>
      <w:r>
        <w:t>е</w:t>
      </w:r>
      <w:r>
        <w:t xml:space="preserve">лями и опекунами (статьи 2, 3, 6, 7, 24 и 26). </w:t>
      </w:r>
    </w:p>
    <w:p w:rsidR="003414A2" w:rsidRPr="000F7655" w:rsidRDefault="003414A2" w:rsidP="003414A2">
      <w:pPr>
        <w:pStyle w:val="SingleTxtGR"/>
        <w:rPr>
          <w:b/>
        </w:rPr>
      </w:pPr>
      <w:r w:rsidRPr="000F7655">
        <w:rPr>
          <w:b/>
        </w:rPr>
        <w:t>Государство-участник должно принимать более активные меры по предо</w:t>
      </w:r>
      <w:r w:rsidRPr="000F7655">
        <w:rPr>
          <w:b/>
        </w:rPr>
        <w:t>т</w:t>
      </w:r>
      <w:r w:rsidRPr="000F7655">
        <w:rPr>
          <w:b/>
        </w:rPr>
        <w:t>вращению и пресечению всех форм насилия в семье путем обеспечения эффекти</w:t>
      </w:r>
      <w:r w:rsidRPr="000F7655">
        <w:rPr>
          <w:b/>
        </w:rPr>
        <w:t>в</w:t>
      </w:r>
      <w:r w:rsidRPr="000F7655">
        <w:rPr>
          <w:b/>
        </w:rPr>
        <w:t>ного применения действующих соответствующих правовых норм и политич</w:t>
      </w:r>
      <w:r w:rsidRPr="000F7655">
        <w:rPr>
          <w:b/>
        </w:rPr>
        <w:t>е</w:t>
      </w:r>
      <w:r w:rsidRPr="000F7655">
        <w:rPr>
          <w:b/>
        </w:rPr>
        <w:t>ских рамок, в том числе за счет:</w:t>
      </w:r>
    </w:p>
    <w:p w:rsidR="003414A2" w:rsidRPr="000F7655" w:rsidRDefault="003414A2" w:rsidP="003414A2">
      <w:pPr>
        <w:pStyle w:val="SingleTxtGR"/>
        <w:rPr>
          <w:b/>
        </w:rPr>
      </w:pPr>
      <w:r w:rsidRPr="000F7655">
        <w:rPr>
          <w:b/>
        </w:rPr>
        <w:tab/>
        <w:t>а)</w:t>
      </w:r>
      <w:r w:rsidRPr="000F7655">
        <w:rPr>
          <w:b/>
        </w:rPr>
        <w:tab/>
        <w:t>поощрения к уведомлению о случаях насилия в семье, в час</w:t>
      </w:r>
      <w:r w:rsidRPr="000F7655">
        <w:rPr>
          <w:b/>
        </w:rPr>
        <w:t>т</w:t>
      </w:r>
      <w:r w:rsidRPr="000F7655">
        <w:rPr>
          <w:b/>
        </w:rPr>
        <w:t>ности посредством информирования женщин об их правах и надлежащих законных каналах для получения ими защиты;</w:t>
      </w:r>
    </w:p>
    <w:p w:rsidR="003414A2" w:rsidRPr="000F7655" w:rsidRDefault="003414A2" w:rsidP="003414A2">
      <w:pPr>
        <w:pStyle w:val="SingleTxtGR"/>
        <w:rPr>
          <w:b/>
        </w:rPr>
      </w:pPr>
      <w:r w:rsidRPr="000F7655">
        <w:rPr>
          <w:b/>
        </w:rPr>
        <w:tab/>
        <w:t>b)</w:t>
      </w:r>
      <w:r w:rsidRPr="000F7655">
        <w:rPr>
          <w:b/>
        </w:rPr>
        <w:tab/>
        <w:t>обеспечения эффективного осуществления законодательства о борьбе с насилием в семье и предоставления жертвам доступа к эффекти</w:t>
      </w:r>
      <w:r w:rsidRPr="000F7655">
        <w:rPr>
          <w:b/>
        </w:rPr>
        <w:t>в</w:t>
      </w:r>
      <w:r w:rsidRPr="000F7655">
        <w:rPr>
          <w:b/>
        </w:rPr>
        <w:t>ным мерам правовой помощи и средствам защиты, включая создание до</w:t>
      </w:r>
      <w:r w:rsidRPr="000F7655">
        <w:rPr>
          <w:b/>
        </w:rPr>
        <w:t>с</w:t>
      </w:r>
      <w:r w:rsidRPr="000F7655">
        <w:rPr>
          <w:b/>
        </w:rPr>
        <w:t>таточного количества приютов и вспомогательных служб во всех районах страны;</w:t>
      </w:r>
    </w:p>
    <w:p w:rsidR="003414A2" w:rsidRPr="000F7655" w:rsidRDefault="003414A2" w:rsidP="003414A2">
      <w:pPr>
        <w:pStyle w:val="SingleTxtGR"/>
        <w:rPr>
          <w:b/>
        </w:rPr>
      </w:pPr>
      <w:r w:rsidRPr="000F7655">
        <w:rPr>
          <w:b/>
        </w:rPr>
        <w:tab/>
        <w:t>с)</w:t>
      </w:r>
      <w:r w:rsidRPr="000F7655">
        <w:rPr>
          <w:b/>
        </w:rPr>
        <w:tab/>
        <w:t>обеспечения надлежащей дальнейшей подготовки сотрудников правоохранительных органов, а также медицинских и социальных рабо</w:t>
      </w:r>
      <w:r w:rsidRPr="000F7655">
        <w:rPr>
          <w:b/>
        </w:rPr>
        <w:t>т</w:t>
      </w:r>
      <w:r w:rsidRPr="000F7655">
        <w:rPr>
          <w:b/>
        </w:rPr>
        <w:t>ников по вопросам принятия мер в случаях насилия в с</w:t>
      </w:r>
      <w:r w:rsidRPr="000F7655">
        <w:rPr>
          <w:b/>
        </w:rPr>
        <w:t>е</w:t>
      </w:r>
      <w:r w:rsidRPr="000F7655">
        <w:rPr>
          <w:b/>
        </w:rPr>
        <w:t>мье;</w:t>
      </w:r>
    </w:p>
    <w:p w:rsidR="003414A2" w:rsidRPr="000F7655" w:rsidRDefault="003414A2" w:rsidP="003414A2">
      <w:pPr>
        <w:pStyle w:val="SingleTxtGR"/>
        <w:rPr>
          <w:b/>
        </w:rPr>
      </w:pPr>
      <w:r w:rsidRPr="000F7655">
        <w:rPr>
          <w:b/>
        </w:rPr>
        <w:tab/>
        <w:t>d)</w:t>
      </w:r>
      <w:r w:rsidRPr="000F7655">
        <w:rPr>
          <w:b/>
        </w:rPr>
        <w:tab/>
        <w:t>проведения мероприятий по повышению осведомленности о</w:t>
      </w:r>
      <w:r w:rsidRPr="000F7655">
        <w:rPr>
          <w:b/>
        </w:rPr>
        <w:t>б</w:t>
      </w:r>
      <w:r w:rsidRPr="000F7655">
        <w:rPr>
          <w:b/>
        </w:rPr>
        <w:t>щественности с целью разъяснения всем слоям общества пагубного вли</w:t>
      </w:r>
      <w:r w:rsidRPr="000F7655">
        <w:rPr>
          <w:b/>
        </w:rPr>
        <w:t>я</w:t>
      </w:r>
      <w:r w:rsidRPr="000F7655">
        <w:rPr>
          <w:b/>
        </w:rPr>
        <w:t>ния насилия в семье;</w:t>
      </w:r>
    </w:p>
    <w:p w:rsidR="003414A2" w:rsidRPr="000F7655" w:rsidRDefault="003414A2" w:rsidP="003414A2">
      <w:pPr>
        <w:pStyle w:val="SingleTxtGR"/>
        <w:rPr>
          <w:b/>
        </w:rPr>
      </w:pPr>
      <w:r w:rsidRPr="000F7655">
        <w:rPr>
          <w:b/>
        </w:rPr>
        <w:tab/>
        <w:t>е)</w:t>
      </w:r>
      <w:r w:rsidRPr="000F7655">
        <w:rPr>
          <w:b/>
        </w:rPr>
        <w:tab/>
        <w:t>принятия практических мер, в том числе, когда это необходимо, на законодательном уровне для пресечения телесных наказаний в любых обстоятельствах, поощрения ненасильственных мер дисциплины в качес</w:t>
      </w:r>
      <w:r w:rsidRPr="000F7655">
        <w:rPr>
          <w:b/>
        </w:rPr>
        <w:t>т</w:t>
      </w:r>
      <w:r w:rsidRPr="000F7655">
        <w:rPr>
          <w:b/>
        </w:rPr>
        <w:t>ве альтернативы телесным наказаниям, а также организации кампаний общественной и</w:t>
      </w:r>
      <w:r w:rsidRPr="000F7655">
        <w:rPr>
          <w:b/>
        </w:rPr>
        <w:t>н</w:t>
      </w:r>
      <w:r w:rsidRPr="000F7655">
        <w:rPr>
          <w:b/>
        </w:rPr>
        <w:t>формации для разъ</w:t>
      </w:r>
      <w:r w:rsidR="000F7655">
        <w:rPr>
          <w:b/>
        </w:rPr>
        <w:t>яснения их вредных последствий.</w:t>
      </w:r>
    </w:p>
    <w:p w:rsidR="003414A2" w:rsidRDefault="003414A2" w:rsidP="000F7655">
      <w:pPr>
        <w:pStyle w:val="H23GR"/>
      </w:pPr>
      <w:r>
        <w:tab/>
      </w:r>
      <w:r>
        <w:tab/>
        <w:t>Подотчетность за прошлые нарушения прав человека</w:t>
      </w:r>
    </w:p>
    <w:p w:rsidR="003414A2" w:rsidRDefault="003414A2" w:rsidP="003414A2">
      <w:pPr>
        <w:pStyle w:val="SingleTxtGR"/>
      </w:pPr>
      <w:r>
        <w:t>10.</w:t>
      </w:r>
      <w:r>
        <w:tab/>
        <w:t>Комитет обеспокоен медленным прогрессом в деле расследования, выя</w:t>
      </w:r>
      <w:r>
        <w:t>в</w:t>
      </w:r>
      <w:r>
        <w:t>ления и наказания лиц за совершенные во время или непосредственно после вооруженного конфликта 2008 года нарушения прав человека, которые могут представлять собой военные преступления и преступления против человечн</w:t>
      </w:r>
      <w:r>
        <w:t>о</w:t>
      </w:r>
      <w:r>
        <w:t>сти, включая случаи насильственных исчезновений, неизбирательных и нес</w:t>
      </w:r>
      <w:r>
        <w:t>о</w:t>
      </w:r>
      <w:r>
        <w:t>размерных нападений на гражданское население и других защищаемых лиц, н</w:t>
      </w:r>
      <w:r>
        <w:t>е</w:t>
      </w:r>
      <w:r>
        <w:t>законное задержание, пытки и бесчеловечное о</w:t>
      </w:r>
      <w:r>
        <w:t>б</w:t>
      </w:r>
      <w:r>
        <w:t>ращение, а также уничтожение и присвоение имущества (статьи 2, 6, 7, 9, 14 и 16).</w:t>
      </w:r>
    </w:p>
    <w:p w:rsidR="003414A2" w:rsidRPr="000F7655" w:rsidRDefault="003414A2" w:rsidP="003414A2">
      <w:pPr>
        <w:pStyle w:val="SingleTxtGR"/>
        <w:rPr>
          <w:b/>
        </w:rPr>
      </w:pPr>
      <w:r w:rsidRPr="000F7655">
        <w:rPr>
          <w:b/>
        </w:rPr>
        <w:t>Государству-участнику следует обеспечивать, чтобы все заявления о н</w:t>
      </w:r>
      <w:r w:rsidRPr="000F7655">
        <w:rPr>
          <w:b/>
        </w:rPr>
        <w:t>а</w:t>
      </w:r>
      <w:r w:rsidRPr="000F7655">
        <w:rPr>
          <w:b/>
        </w:rPr>
        <w:t>сильственных исчезновениях, неизбирательных и несоразмерных напад</w:t>
      </w:r>
      <w:r w:rsidRPr="000F7655">
        <w:rPr>
          <w:b/>
        </w:rPr>
        <w:t>е</w:t>
      </w:r>
      <w:r w:rsidRPr="000F7655">
        <w:rPr>
          <w:b/>
        </w:rPr>
        <w:t>ниях на гражданское население и других защищаемых лиц, незаконных з</w:t>
      </w:r>
      <w:r w:rsidRPr="000F7655">
        <w:rPr>
          <w:b/>
        </w:rPr>
        <w:t>а</w:t>
      </w:r>
      <w:r w:rsidRPr="000F7655">
        <w:rPr>
          <w:b/>
        </w:rPr>
        <w:t>держаниях, пытках и бесчеловечном обращении, а также о широкома</w:t>
      </w:r>
      <w:r w:rsidRPr="000F7655">
        <w:rPr>
          <w:b/>
        </w:rPr>
        <w:t>с</w:t>
      </w:r>
      <w:r w:rsidRPr="000F7655">
        <w:rPr>
          <w:b/>
        </w:rPr>
        <w:t>штабном уничтожении и присвоении имущества стали предметом эффе</w:t>
      </w:r>
      <w:r w:rsidRPr="000F7655">
        <w:rPr>
          <w:b/>
        </w:rPr>
        <w:t>к</w:t>
      </w:r>
      <w:r w:rsidRPr="000F7655">
        <w:rPr>
          <w:b/>
        </w:rPr>
        <w:t>тивного, независимого и беспристрастного расследования, наказания нах</w:t>
      </w:r>
      <w:r w:rsidRPr="000F7655">
        <w:rPr>
          <w:b/>
        </w:rPr>
        <w:t>о</w:t>
      </w:r>
      <w:r w:rsidRPr="000F7655">
        <w:rPr>
          <w:b/>
        </w:rPr>
        <w:t>дящихся под юрисдикцией государства</w:t>
      </w:r>
      <w:r w:rsidR="000F7655">
        <w:rPr>
          <w:b/>
        </w:rPr>
        <w:t>-участника виновных, включая, в </w:t>
      </w:r>
      <w:r w:rsidRPr="000F7655">
        <w:rPr>
          <w:b/>
        </w:rPr>
        <w:t>частности, лиц на командных должностях, и применения к ним мер нак</w:t>
      </w:r>
      <w:r w:rsidRPr="000F7655">
        <w:rPr>
          <w:b/>
        </w:rPr>
        <w:t>а</w:t>
      </w:r>
      <w:r w:rsidRPr="000F7655">
        <w:rPr>
          <w:b/>
        </w:rPr>
        <w:t>зания соразмерно тяжести их деяний, а также предоставления жертвам э</w:t>
      </w:r>
      <w:r w:rsidRPr="000F7655">
        <w:rPr>
          <w:b/>
        </w:rPr>
        <w:t>ф</w:t>
      </w:r>
      <w:r w:rsidRPr="000F7655">
        <w:rPr>
          <w:b/>
        </w:rPr>
        <w:t>фективных средств правовой защиты, включая выплату компенсации.</w:t>
      </w:r>
    </w:p>
    <w:p w:rsidR="003414A2" w:rsidRDefault="003414A2" w:rsidP="003414A2">
      <w:pPr>
        <w:pStyle w:val="SingleTxtGR"/>
      </w:pPr>
      <w:r>
        <w:t>11.</w:t>
      </w:r>
      <w:r>
        <w:tab/>
        <w:t>Признавая трудности, с которыми сталкивается государство-участник в предоставлении жертвам средств правовой защиты, Комитет заявляет о своей озабоченности десятками тысяч поданных в Прок</w:t>
      </w:r>
      <w:r>
        <w:t>у</w:t>
      </w:r>
      <w:r>
        <w:t>ратуру жалоб на нарушения, совершенные до выборов 2012 года, в том числе в связи с несправедливыми с</w:t>
      </w:r>
      <w:r>
        <w:t>у</w:t>
      </w:r>
      <w:r>
        <w:t>дебными разбирательствами, пытками и жестоким обращением, а также нез</w:t>
      </w:r>
      <w:r>
        <w:t>а</w:t>
      </w:r>
      <w:r>
        <w:t>конными экспроприациями. В то же время Комитет, признавая потребность в поддержании законности и в борьбе с коррупцией, в предоставлении жертвам нарушений прав человека эффективных средств правовой защиты и предотвр</w:t>
      </w:r>
      <w:r>
        <w:t>а</w:t>
      </w:r>
      <w:r>
        <w:t>щении безнаказанности виновных в нарушениях прав человека и коррупции, выражает обеспокоенность тем, что количество расследований и случаев уг</w:t>
      </w:r>
      <w:r>
        <w:t>о</w:t>
      </w:r>
      <w:r>
        <w:t>ловного преследования высокопоставле</w:t>
      </w:r>
      <w:r>
        <w:t>н</w:t>
      </w:r>
      <w:r>
        <w:t>ных политиков, принадлежавших к предыдущему правительству и к нынешней политической оппоз</w:t>
      </w:r>
      <w:r>
        <w:t>и</w:t>
      </w:r>
      <w:r>
        <w:t>ции, может создать впечатление, что судебная система используется для целей политич</w:t>
      </w:r>
      <w:r>
        <w:t>е</w:t>
      </w:r>
      <w:r>
        <w:t>ской мести (ст</w:t>
      </w:r>
      <w:r>
        <w:t>а</w:t>
      </w:r>
      <w:r>
        <w:t>тьи 2, 7, 9, 14 и 17).</w:t>
      </w:r>
    </w:p>
    <w:p w:rsidR="003414A2" w:rsidRPr="000F7655" w:rsidRDefault="003414A2" w:rsidP="003414A2">
      <w:pPr>
        <w:pStyle w:val="SingleTxtGR"/>
        <w:rPr>
          <w:b/>
        </w:rPr>
      </w:pPr>
      <w:r w:rsidRPr="000F7655">
        <w:rPr>
          <w:b/>
        </w:rPr>
        <w:t>Государство-участник должно расследовать прошлые злоупотребления и не допускать формирования представлений о том, что это носит характер п</w:t>
      </w:r>
      <w:r w:rsidRPr="000F7655">
        <w:rPr>
          <w:b/>
        </w:rPr>
        <w:t>о</w:t>
      </w:r>
      <w:r w:rsidRPr="000F7655">
        <w:rPr>
          <w:b/>
        </w:rPr>
        <w:t>литической мести, учитывая, что такие нарушения были совершены до выборов 2012 года. Вместе с тем оно должно делать все возможное для обеспечения жертв нарушений эффективными средствами правовой защ</w:t>
      </w:r>
      <w:r w:rsidRPr="000F7655">
        <w:rPr>
          <w:b/>
        </w:rPr>
        <w:t>и</w:t>
      </w:r>
      <w:r w:rsidRPr="000F7655">
        <w:rPr>
          <w:b/>
        </w:rPr>
        <w:t>ты в соответствии с пун</w:t>
      </w:r>
      <w:r w:rsidRPr="000F7655">
        <w:rPr>
          <w:b/>
        </w:rPr>
        <w:t>к</w:t>
      </w:r>
      <w:r w:rsidRPr="000F7655">
        <w:rPr>
          <w:b/>
        </w:rPr>
        <w:t>том 3 статьи 2 Протокола.</w:t>
      </w:r>
    </w:p>
    <w:p w:rsidR="003414A2" w:rsidRDefault="003414A2" w:rsidP="003414A2">
      <w:pPr>
        <w:pStyle w:val="SingleTxtGR"/>
      </w:pPr>
      <w:r>
        <w:t>12.</w:t>
      </w:r>
      <w:r>
        <w:tab/>
        <w:t>Комитет обеспокоен тем, что некоторые расследования все еще не пров</w:t>
      </w:r>
      <w:r>
        <w:t>е</w:t>
      </w:r>
      <w:r>
        <w:t>дены, в частности в связи со случаями: а) чрезмерного применения силы с</w:t>
      </w:r>
      <w:r>
        <w:t>о</w:t>
      </w:r>
      <w:r>
        <w:t>трудниками правоохранительных органов и/или тюремной охраной во время волнений в Тбилисской тюрьме № 5 в марте 2006 года; b) жестокого о</w:t>
      </w:r>
      <w:r>
        <w:t>б</w:t>
      </w:r>
      <w:r>
        <w:t>ращения с заключенными в тюрьме Глдани в Тбилиси, в тюрьме в Ксани № 15, в тюрьме в Кутаиси № 2, в тюрьме в Рустави № 6 и в тюрьме в Зугдиди № 4; и с) насил</w:t>
      </w:r>
      <w:r>
        <w:t>ь</w:t>
      </w:r>
      <w:r>
        <w:t>ственного разгона мирных демонстраций 7 ноября 2007 года, 15 июня 2009 года и 3 января 2011 года, а также инцидентами в Мерети (26 июня 2012 года) и К</w:t>
      </w:r>
      <w:r>
        <w:t>а</w:t>
      </w:r>
      <w:r>
        <w:t>ралети (12 июля 2012 года), в ходе которых журналисты подвергались физич</w:t>
      </w:r>
      <w:r>
        <w:t>е</w:t>
      </w:r>
      <w:r>
        <w:t>скому насилию и оскорблениям. Комитет также обеспокоен тем, что утвержд</w:t>
      </w:r>
      <w:r>
        <w:t>е</w:t>
      </w:r>
      <w:r>
        <w:t>ния о пытках и бесчеловечном или унижающ</w:t>
      </w:r>
      <w:r w:rsidR="00324FEE">
        <w:t>е</w:t>
      </w:r>
      <w:r>
        <w:t>м достоинство обращении часто расследуются в соответствии со статьей 333 Уголовного кодекса (превышение должностных полномочий) вместо статьи 144</w:t>
      </w:r>
      <w:r w:rsidRPr="00617162">
        <w:rPr>
          <w:sz w:val="18"/>
          <w:szCs w:val="18"/>
          <w:vertAlign w:val="superscript"/>
        </w:rPr>
        <w:t>1</w:t>
      </w:r>
      <w:r>
        <w:t xml:space="preserve"> (пытки) и 144</w:t>
      </w:r>
      <w:r w:rsidRPr="00617162">
        <w:rPr>
          <w:sz w:val="18"/>
          <w:szCs w:val="18"/>
          <w:vertAlign w:val="superscript"/>
        </w:rPr>
        <w:t>3</w:t>
      </w:r>
      <w:r>
        <w:t xml:space="preserve"> (бесчеловечное или унижающее достоинство обращение) Уголовного к</w:t>
      </w:r>
      <w:r>
        <w:t>о</w:t>
      </w:r>
      <w:r>
        <w:t>декса (статьи 2, 6, 7, 9, 10 и 14).</w:t>
      </w:r>
    </w:p>
    <w:p w:rsidR="003414A2" w:rsidRPr="00C57D66" w:rsidRDefault="003414A2" w:rsidP="003414A2">
      <w:pPr>
        <w:pStyle w:val="SingleTxtGR"/>
        <w:rPr>
          <w:b/>
        </w:rPr>
      </w:pPr>
      <w:r w:rsidRPr="00C57D66">
        <w:rPr>
          <w:b/>
        </w:rPr>
        <w:t>Государство-участник должно реализовать свои планы по созданию нез</w:t>
      </w:r>
      <w:r w:rsidRPr="00C57D66">
        <w:rPr>
          <w:b/>
        </w:rPr>
        <w:t>а</w:t>
      </w:r>
      <w:r w:rsidRPr="00C57D66">
        <w:rPr>
          <w:b/>
        </w:rPr>
        <w:t>висимого и беспристрастного органа для расследования утверждений о злоупотреблениях со стороны полиции и сотрудников других правоохран</w:t>
      </w:r>
      <w:r w:rsidRPr="00C57D66">
        <w:rPr>
          <w:b/>
        </w:rPr>
        <w:t>и</w:t>
      </w:r>
      <w:r w:rsidRPr="00C57D66">
        <w:rPr>
          <w:b/>
        </w:rPr>
        <w:t>тельных орг</w:t>
      </w:r>
      <w:r w:rsidRPr="00C57D66">
        <w:rPr>
          <w:b/>
        </w:rPr>
        <w:t>а</w:t>
      </w:r>
      <w:r w:rsidRPr="00C57D66">
        <w:rPr>
          <w:b/>
        </w:rPr>
        <w:t>нов, включая пытки, а также бесчеловечное или унижающее достоинство обращение. Оно должно завершить расследования таких сл</w:t>
      </w:r>
      <w:r w:rsidRPr="00C57D66">
        <w:rPr>
          <w:b/>
        </w:rPr>
        <w:t>у</w:t>
      </w:r>
      <w:r w:rsidRPr="00C57D66">
        <w:rPr>
          <w:b/>
        </w:rPr>
        <w:t>чаев без необоснованной задержки, привлечь к ответственности правон</w:t>
      </w:r>
      <w:r w:rsidRPr="00C57D66">
        <w:rPr>
          <w:b/>
        </w:rPr>
        <w:t>а</w:t>
      </w:r>
      <w:r w:rsidRPr="00C57D66">
        <w:rPr>
          <w:b/>
        </w:rPr>
        <w:t>рушителей и, в случае признания их виновными, применить к ним сан</w:t>
      </w:r>
      <w:r w:rsidRPr="00C57D66">
        <w:rPr>
          <w:b/>
        </w:rPr>
        <w:t>к</w:t>
      </w:r>
      <w:r w:rsidRPr="00C57D66">
        <w:rPr>
          <w:b/>
        </w:rPr>
        <w:t>ции соразмерно тяжести их деяний и предоставить жертвам эффективные средства правовой защиты. Оно должно обеспечить, чтобы случаи пыток или жестокого обращения преследовались по соответствующим статьям Уголовного кодекса, и воздерживаться от квалификации таких преступл</w:t>
      </w:r>
      <w:r w:rsidRPr="00C57D66">
        <w:rPr>
          <w:b/>
        </w:rPr>
        <w:t>е</w:t>
      </w:r>
      <w:r w:rsidRPr="00C57D66">
        <w:rPr>
          <w:b/>
        </w:rPr>
        <w:t>ний по нормативным положениям, которые предусматр</w:t>
      </w:r>
      <w:r w:rsidRPr="00C57D66">
        <w:rPr>
          <w:b/>
        </w:rPr>
        <w:t>и</w:t>
      </w:r>
      <w:r w:rsidRPr="00C57D66">
        <w:rPr>
          <w:b/>
        </w:rPr>
        <w:t>вают более мягкие меры наказания. Государство-участник также должно организовать подг</w:t>
      </w:r>
      <w:r w:rsidRPr="00C57D66">
        <w:rPr>
          <w:b/>
        </w:rPr>
        <w:t>о</w:t>
      </w:r>
      <w:r w:rsidRPr="00C57D66">
        <w:rPr>
          <w:b/>
        </w:rPr>
        <w:t>товку специалистов по вопросам психологической реабилитации жертв пыток.</w:t>
      </w:r>
    </w:p>
    <w:p w:rsidR="003414A2" w:rsidRDefault="003414A2" w:rsidP="00C57D66">
      <w:pPr>
        <w:pStyle w:val="H23GR"/>
      </w:pPr>
      <w:r>
        <w:tab/>
      </w:r>
      <w:r>
        <w:tab/>
        <w:t>Административное задержание</w:t>
      </w:r>
    </w:p>
    <w:p w:rsidR="003414A2" w:rsidRDefault="003414A2" w:rsidP="003414A2">
      <w:pPr>
        <w:pStyle w:val="SingleTxtGR"/>
      </w:pPr>
      <w:r>
        <w:t>13.</w:t>
      </w:r>
      <w:r>
        <w:tab/>
        <w:t>Комитет обеспокоен тем, что действующая система административного задержания предусматривает максимальный срок тюремного заключения за а</w:t>
      </w:r>
      <w:r>
        <w:t>д</w:t>
      </w:r>
      <w:r>
        <w:t>министративные правонарушения в размере 90 дней, что оно в должной мере не обеспечивает прав задержанных за административные нарушения на надлеж</w:t>
      </w:r>
      <w:r>
        <w:t>а</w:t>
      </w:r>
      <w:r>
        <w:t>щее разбирательство, включая соблюдение принципа равенства состязательных возможностей, и что задержанных содержат во временных изоляторах, подв</w:t>
      </w:r>
      <w:r>
        <w:t>е</w:t>
      </w:r>
      <w:r>
        <w:t>домственных Министерству внутренних дел. Комитет принимает к сведению, что недавно в парламенте были внесены поправки к соответствующим закон</w:t>
      </w:r>
      <w:r>
        <w:t>о</w:t>
      </w:r>
      <w:r>
        <w:t>дательным актам, направленные на устранение этих и других недостатков (ст</w:t>
      </w:r>
      <w:r>
        <w:t>а</w:t>
      </w:r>
      <w:r>
        <w:t>тьи 2, 7, 9, 10 и 14).</w:t>
      </w:r>
    </w:p>
    <w:p w:rsidR="003414A2" w:rsidRPr="00C57D66" w:rsidRDefault="003414A2" w:rsidP="003414A2">
      <w:pPr>
        <w:pStyle w:val="SingleTxtGR"/>
        <w:rPr>
          <w:b/>
        </w:rPr>
      </w:pPr>
      <w:r w:rsidRPr="00C57D66">
        <w:rPr>
          <w:b/>
        </w:rPr>
        <w:t>Государству-участнику надлежит в безотлагательном порядке реформир</w:t>
      </w:r>
      <w:r w:rsidRPr="00C57D66">
        <w:rPr>
          <w:b/>
        </w:rPr>
        <w:t>о</w:t>
      </w:r>
      <w:r w:rsidRPr="00C57D66">
        <w:rPr>
          <w:b/>
        </w:rPr>
        <w:t>вать свою систему администр</w:t>
      </w:r>
      <w:r w:rsidRPr="00C57D66">
        <w:rPr>
          <w:b/>
        </w:rPr>
        <w:t>а</w:t>
      </w:r>
      <w:r w:rsidRPr="00C57D66">
        <w:rPr>
          <w:b/>
        </w:rPr>
        <w:t>тивного задержания с целью обеспечения ее полного соответствия статьям 9 и 14 Пакта.</w:t>
      </w:r>
    </w:p>
    <w:p w:rsidR="003414A2" w:rsidRDefault="003414A2" w:rsidP="00C57D66">
      <w:pPr>
        <w:pStyle w:val="H23GR"/>
      </w:pPr>
      <w:r>
        <w:tab/>
      </w:r>
      <w:r>
        <w:tab/>
        <w:t>Суды присяжных</w:t>
      </w:r>
    </w:p>
    <w:p w:rsidR="003414A2" w:rsidRDefault="003414A2" w:rsidP="003414A2">
      <w:pPr>
        <w:pStyle w:val="SingleTxtGR"/>
      </w:pPr>
      <w:r>
        <w:t>14.</w:t>
      </w:r>
      <w:r>
        <w:tab/>
        <w:t>Комитет обеспокоен тем, что система судов присяжных не обеспечивает достаточных гарантий, позволяющих обвиняемым и общественности понимать выносимые судом присяжных вердикты, а также в нарушение Пакта (статья 14) не предоставляет возможности обжаловать обвинительные приговоры по сущ</w:t>
      </w:r>
      <w:r>
        <w:t>е</w:t>
      </w:r>
      <w:r>
        <w:t xml:space="preserve">ству рассматриваемых дел. </w:t>
      </w:r>
    </w:p>
    <w:p w:rsidR="003414A2" w:rsidRPr="00C57D66" w:rsidRDefault="003414A2" w:rsidP="003414A2">
      <w:pPr>
        <w:pStyle w:val="SingleTxtGR"/>
        <w:rPr>
          <w:b/>
        </w:rPr>
      </w:pPr>
      <w:r w:rsidRPr="00C57D66">
        <w:rPr>
          <w:b/>
        </w:rPr>
        <w:t>Государству-участнику следует незамедлительно выполнить свои планы по реформированию действующей системы судов присяжных с целью обесп</w:t>
      </w:r>
      <w:r w:rsidRPr="00C57D66">
        <w:rPr>
          <w:b/>
        </w:rPr>
        <w:t>е</w:t>
      </w:r>
      <w:r w:rsidRPr="00C57D66">
        <w:rPr>
          <w:b/>
        </w:rPr>
        <w:t>чения ее соответствия гарантиям справедливого судебного разбирательс</w:t>
      </w:r>
      <w:r w:rsidRPr="00C57D66">
        <w:rPr>
          <w:b/>
        </w:rPr>
        <w:t>т</w:t>
      </w:r>
      <w:r w:rsidRPr="00C57D66">
        <w:rPr>
          <w:b/>
        </w:rPr>
        <w:t>ва, закре</w:t>
      </w:r>
      <w:r w:rsidRPr="00C57D66">
        <w:rPr>
          <w:b/>
        </w:rPr>
        <w:t>п</w:t>
      </w:r>
      <w:r w:rsidRPr="00C57D66">
        <w:rPr>
          <w:b/>
        </w:rPr>
        <w:t xml:space="preserve">ленным в статье 14 Пакта. </w:t>
      </w:r>
    </w:p>
    <w:p w:rsidR="003414A2" w:rsidRDefault="003414A2" w:rsidP="00C57D66">
      <w:pPr>
        <w:pStyle w:val="H23GR"/>
      </w:pPr>
      <w:r>
        <w:tab/>
      </w:r>
      <w:r>
        <w:tab/>
        <w:t>Система досудебных соглашений и политика нулевой терпимости</w:t>
      </w:r>
      <w:r w:rsidR="00C57D66">
        <w:t xml:space="preserve"> к </w:t>
      </w:r>
      <w:r>
        <w:t xml:space="preserve">наркотикам </w:t>
      </w:r>
    </w:p>
    <w:p w:rsidR="003414A2" w:rsidRDefault="003414A2" w:rsidP="003414A2">
      <w:pPr>
        <w:pStyle w:val="SingleTxtGR"/>
      </w:pPr>
      <w:r>
        <w:t>15.</w:t>
      </w:r>
      <w:r>
        <w:tab/>
        <w:t>Комитет выражает озабоченность тем, что, несмотря на определенные улучшения, по уголовным делам по-прежнему выносится мало оправдательных приговоров. Он также обеспокоен недостаточными правовыми гарантиями для защиты обвиняемых в рамках действующей системы досудебных соглаше</w:t>
      </w:r>
      <w:r w:rsidR="00413F69">
        <w:t>ний, в </w:t>
      </w:r>
      <w:r>
        <w:t>том числе в отношении злоупотреблений и принуждения к вступлению в д</w:t>
      </w:r>
      <w:r>
        <w:t>о</w:t>
      </w:r>
      <w:r>
        <w:t>судебные соглашения, низкой транспарентностью переговоров о досудебном соглашении между обвиняемым и обвинителем и ограниченной ролью судьи и адвокатов в этом процессе. Комитет принимает к сведению криминализацию употребления наркотиков в контексте политики нулевой терпимости к наркот</w:t>
      </w:r>
      <w:r>
        <w:t>и</w:t>
      </w:r>
      <w:r>
        <w:t>кам и утверждения о том, что система досудебных соглашений использовалась для вымогательства денег у наркозависимых. Он также озабочен тысячами ж</w:t>
      </w:r>
      <w:r>
        <w:t>а</w:t>
      </w:r>
      <w:r>
        <w:t>лоб, поступивших в Прокуратуру после выборов в октябре 2012 года от лиц, утверждавших, что их принуждали заключать досудебные соглашения и что эта практика может быть причиной вынесения незначительного количества опра</w:t>
      </w:r>
      <w:r>
        <w:t>в</w:t>
      </w:r>
      <w:r>
        <w:t>дательных приговоров. Наконец Комитет принимает к сведению внесение зак</w:t>
      </w:r>
      <w:r>
        <w:t>о</w:t>
      </w:r>
      <w:r>
        <w:t>нодательных поправок, которые были направлены на реформирование как си</w:t>
      </w:r>
      <w:r>
        <w:t>с</w:t>
      </w:r>
      <w:r>
        <w:t>темы досудебных соглашений, так и на изменение политики нулевой терпим</w:t>
      </w:r>
      <w:r>
        <w:t>о</w:t>
      </w:r>
      <w:r>
        <w:t>сти к наркот</w:t>
      </w:r>
      <w:r>
        <w:t>и</w:t>
      </w:r>
      <w:r>
        <w:t>кам (статьи 2, 7, 9, 10 и 14).</w:t>
      </w:r>
    </w:p>
    <w:p w:rsidR="003414A2" w:rsidRPr="00C57D66" w:rsidRDefault="003414A2" w:rsidP="003414A2">
      <w:pPr>
        <w:pStyle w:val="SingleTxtGR"/>
        <w:rPr>
          <w:b/>
        </w:rPr>
      </w:pPr>
      <w:r w:rsidRPr="00C57D66">
        <w:rPr>
          <w:b/>
        </w:rPr>
        <w:t>Государству-участнику следует продолжать работу по реформированию действующей системы досудебных соглашений и изменению политики н</w:t>
      </w:r>
      <w:r w:rsidRPr="00C57D66">
        <w:rPr>
          <w:b/>
        </w:rPr>
        <w:t>у</w:t>
      </w:r>
      <w:r w:rsidRPr="00C57D66">
        <w:rPr>
          <w:b/>
        </w:rPr>
        <w:t>левой терпимости к наркотикам и принять меры по расследованию име</w:t>
      </w:r>
      <w:r w:rsidRPr="00C57D66">
        <w:rPr>
          <w:b/>
        </w:rPr>
        <w:t>в</w:t>
      </w:r>
      <w:r w:rsidRPr="00C57D66">
        <w:rPr>
          <w:b/>
        </w:rPr>
        <w:t>ших в прошлом место случаев принуждения обвиняемых к заключению досудебных соглаш</w:t>
      </w:r>
      <w:r w:rsidRPr="00C57D66">
        <w:rPr>
          <w:b/>
        </w:rPr>
        <w:t>е</w:t>
      </w:r>
      <w:r w:rsidRPr="00C57D66">
        <w:rPr>
          <w:b/>
        </w:rPr>
        <w:t>ний. В частности, государство-участник должно:</w:t>
      </w:r>
    </w:p>
    <w:p w:rsidR="003414A2" w:rsidRPr="00C57D66" w:rsidRDefault="003414A2" w:rsidP="003414A2">
      <w:pPr>
        <w:pStyle w:val="SingleTxtGR"/>
        <w:rPr>
          <w:b/>
        </w:rPr>
      </w:pPr>
      <w:r w:rsidRPr="00C57D66">
        <w:rPr>
          <w:b/>
        </w:rPr>
        <w:tab/>
        <w:t>а)</w:t>
      </w:r>
      <w:r w:rsidRPr="00C57D66">
        <w:rPr>
          <w:b/>
        </w:rPr>
        <w:tab/>
        <w:t>обеспечивать обвиняемым в соответствии с их предусмотре</w:t>
      </w:r>
      <w:r w:rsidRPr="00C57D66">
        <w:rPr>
          <w:b/>
        </w:rPr>
        <w:t>н</w:t>
      </w:r>
      <w:r w:rsidRPr="00C57D66">
        <w:rPr>
          <w:b/>
        </w:rPr>
        <w:t>ными Пактом правами достаточные правовые гарантии в контексте си</w:t>
      </w:r>
      <w:r w:rsidRPr="00C57D66">
        <w:rPr>
          <w:b/>
        </w:rPr>
        <w:t>с</w:t>
      </w:r>
      <w:r w:rsidRPr="00C57D66">
        <w:rPr>
          <w:b/>
        </w:rPr>
        <w:t>темы досудебных соглашений, в том числе от злоупотреблений и прину</w:t>
      </w:r>
      <w:r w:rsidRPr="00C57D66">
        <w:rPr>
          <w:b/>
        </w:rPr>
        <w:t>ж</w:t>
      </w:r>
      <w:r w:rsidRPr="00C57D66">
        <w:rPr>
          <w:b/>
        </w:rPr>
        <w:t>дения к заключению досудебных соглашений;</w:t>
      </w:r>
    </w:p>
    <w:p w:rsidR="003414A2" w:rsidRPr="00C57D66" w:rsidRDefault="003414A2" w:rsidP="003414A2">
      <w:pPr>
        <w:pStyle w:val="SingleTxtGR"/>
        <w:rPr>
          <w:b/>
        </w:rPr>
      </w:pPr>
      <w:r w:rsidRPr="00C57D66">
        <w:rPr>
          <w:b/>
        </w:rPr>
        <w:tab/>
        <w:t>b)</w:t>
      </w:r>
      <w:r w:rsidRPr="00C57D66">
        <w:rPr>
          <w:b/>
        </w:rPr>
        <w:tab/>
        <w:t>обеспечивать транспарентность переговоров о заключении д</w:t>
      </w:r>
      <w:r w:rsidRPr="00C57D66">
        <w:rPr>
          <w:b/>
        </w:rPr>
        <w:t>о</w:t>
      </w:r>
      <w:r w:rsidRPr="00C57D66">
        <w:rPr>
          <w:b/>
        </w:rPr>
        <w:t>судебных соглашений, а также усилить и повысить роль судьи и адвокатов в этом процессе;</w:t>
      </w:r>
    </w:p>
    <w:p w:rsidR="003414A2" w:rsidRPr="00C57D66" w:rsidRDefault="003414A2" w:rsidP="003414A2">
      <w:pPr>
        <w:pStyle w:val="SingleTxtGR"/>
        <w:rPr>
          <w:b/>
        </w:rPr>
      </w:pPr>
      <w:r w:rsidRPr="00C57D66">
        <w:rPr>
          <w:b/>
        </w:rPr>
        <w:tab/>
        <w:t>с)</w:t>
      </w:r>
      <w:r w:rsidRPr="00C57D66">
        <w:rPr>
          <w:b/>
        </w:rPr>
        <w:tab/>
        <w:t>применять правозащитный подход к решению проблемы упо</w:t>
      </w:r>
      <w:r w:rsidRPr="00C57D66">
        <w:rPr>
          <w:b/>
        </w:rPr>
        <w:t>т</w:t>
      </w:r>
      <w:r w:rsidRPr="00C57D66">
        <w:rPr>
          <w:b/>
        </w:rPr>
        <w:t>ребления наркотиков, обращая при этом повышенное внимание на надл</w:t>
      </w:r>
      <w:r w:rsidRPr="00C57D66">
        <w:rPr>
          <w:b/>
        </w:rPr>
        <w:t>е</w:t>
      </w:r>
      <w:r w:rsidRPr="00C57D66">
        <w:rPr>
          <w:b/>
        </w:rPr>
        <w:t>жащие м</w:t>
      </w:r>
      <w:r w:rsidRPr="00C57D66">
        <w:rPr>
          <w:b/>
        </w:rPr>
        <w:t>е</w:t>
      </w:r>
      <w:r w:rsidRPr="00C57D66">
        <w:rPr>
          <w:b/>
        </w:rPr>
        <w:t>ры охраны здоровья, услуги по психологической поддержке и реабилитации наркозависимых, включая такие методы лечения наркоз</w:t>
      </w:r>
      <w:r w:rsidRPr="00C57D66">
        <w:rPr>
          <w:b/>
        </w:rPr>
        <w:t>а</w:t>
      </w:r>
      <w:r w:rsidRPr="00C57D66">
        <w:rPr>
          <w:b/>
        </w:rPr>
        <w:t>висимости, как опиоидно-заместительная терапия и программы уменьш</w:t>
      </w:r>
      <w:r w:rsidRPr="00C57D66">
        <w:rPr>
          <w:b/>
        </w:rPr>
        <w:t>е</w:t>
      </w:r>
      <w:r w:rsidRPr="00C57D66">
        <w:rPr>
          <w:b/>
        </w:rPr>
        <w:t>ния вреда.</w:t>
      </w:r>
    </w:p>
    <w:p w:rsidR="003414A2" w:rsidRDefault="003414A2" w:rsidP="00C57D66">
      <w:pPr>
        <w:pStyle w:val="H23GR"/>
      </w:pPr>
      <w:r>
        <w:tab/>
      </w:r>
      <w:r>
        <w:tab/>
        <w:t>Система отправления правосудия в отношении несовершенноле</w:t>
      </w:r>
      <w:r>
        <w:t>т</w:t>
      </w:r>
      <w:r>
        <w:t>них</w:t>
      </w:r>
    </w:p>
    <w:p w:rsidR="003414A2" w:rsidRDefault="003414A2" w:rsidP="003414A2">
      <w:pPr>
        <w:pStyle w:val="SingleTxtGR"/>
      </w:pPr>
      <w:r>
        <w:t>16.</w:t>
      </w:r>
      <w:r>
        <w:tab/>
        <w:t>Отмечая прогресс в реформировании системы отправления правосудия в отношении несовершеннолетних, включая принятие в ноябре 2010 года пр</w:t>
      </w:r>
      <w:r>
        <w:t>о</w:t>
      </w:r>
      <w:r>
        <w:t>граммы по выведению несовершеннолетних прав</w:t>
      </w:r>
      <w:r>
        <w:t>о</w:t>
      </w:r>
      <w:r>
        <w:t>нарушителей из системы уголовной юстиции и их консультированию, Комитет выражает обеспокое</w:t>
      </w:r>
      <w:r>
        <w:t>н</w:t>
      </w:r>
      <w:r>
        <w:t>ность тем, что с несовершеннолетними правонарушителями до сих пор не пр</w:t>
      </w:r>
      <w:r>
        <w:t>о</w:t>
      </w:r>
      <w:r>
        <w:t>водится работа в рамках отдельного сегмента отправления правосудия в отн</w:t>
      </w:r>
      <w:r>
        <w:t>о</w:t>
      </w:r>
      <w:r>
        <w:t>шении несовершеннолетних в соответствии с их возрастом, особыми потребн</w:t>
      </w:r>
      <w:r>
        <w:t>о</w:t>
      </w:r>
      <w:r>
        <w:t xml:space="preserve">стями и уязвимостью (статьи 14 и 24). </w:t>
      </w:r>
    </w:p>
    <w:p w:rsidR="003414A2" w:rsidRPr="003B2B04" w:rsidRDefault="003414A2" w:rsidP="003414A2">
      <w:pPr>
        <w:pStyle w:val="SingleTxtGR"/>
        <w:rPr>
          <w:b/>
        </w:rPr>
      </w:pPr>
      <w:r w:rsidRPr="003B2B04">
        <w:rPr>
          <w:b/>
        </w:rPr>
        <w:t>Государству-участнику надлежит принять меры для создания палат по д</w:t>
      </w:r>
      <w:r w:rsidRPr="003B2B04">
        <w:rPr>
          <w:b/>
        </w:rPr>
        <w:t>е</w:t>
      </w:r>
      <w:r w:rsidRPr="003B2B04">
        <w:rPr>
          <w:b/>
        </w:rPr>
        <w:t>лам несовершеннолетних с квалифицированными судьями для обеспеч</w:t>
      </w:r>
      <w:r w:rsidRPr="003B2B04">
        <w:rPr>
          <w:b/>
        </w:rPr>
        <w:t>е</w:t>
      </w:r>
      <w:r w:rsidRPr="003B2B04">
        <w:rPr>
          <w:b/>
        </w:rPr>
        <w:t>ния обращения с несовершеннолетними с учетом их возраста, особых п</w:t>
      </w:r>
      <w:r w:rsidRPr="003B2B04">
        <w:rPr>
          <w:b/>
        </w:rPr>
        <w:t>о</w:t>
      </w:r>
      <w:r w:rsidRPr="003B2B04">
        <w:rPr>
          <w:b/>
        </w:rPr>
        <w:t>требностей и уязвимости. Оно должно организовать подготовку по вопр</w:t>
      </w:r>
      <w:r w:rsidRPr="003B2B04">
        <w:rPr>
          <w:b/>
        </w:rPr>
        <w:t>о</w:t>
      </w:r>
      <w:r w:rsidRPr="003B2B04">
        <w:rPr>
          <w:b/>
        </w:rPr>
        <w:t>сам соответствующих международных стандартов для всех специалистов, работающих в системе отправления правосудия в отношении несоверше</w:t>
      </w:r>
      <w:r w:rsidRPr="003B2B04">
        <w:rPr>
          <w:b/>
        </w:rPr>
        <w:t>н</w:t>
      </w:r>
      <w:r w:rsidRPr="003B2B04">
        <w:rPr>
          <w:b/>
        </w:rPr>
        <w:t>нолетних, и долгосрочные реабилитационные программы в целях содейс</w:t>
      </w:r>
      <w:r w:rsidRPr="003B2B04">
        <w:rPr>
          <w:b/>
        </w:rPr>
        <w:t>т</w:t>
      </w:r>
      <w:r w:rsidRPr="003B2B04">
        <w:rPr>
          <w:b/>
        </w:rPr>
        <w:t xml:space="preserve">вия их возвращению в общество после освобождения. </w:t>
      </w:r>
    </w:p>
    <w:p w:rsidR="003414A2" w:rsidRDefault="003414A2" w:rsidP="003B2B04">
      <w:pPr>
        <w:pStyle w:val="H23GR"/>
      </w:pPr>
      <w:r>
        <w:tab/>
      </w:r>
      <w:r>
        <w:tab/>
        <w:t>Права внутренне перемещенных лиц</w:t>
      </w:r>
    </w:p>
    <w:p w:rsidR="003414A2" w:rsidRDefault="003414A2" w:rsidP="003414A2">
      <w:pPr>
        <w:pStyle w:val="SingleTxtGR"/>
      </w:pPr>
      <w:r>
        <w:t>17.</w:t>
      </w:r>
      <w:r>
        <w:tab/>
        <w:t>С удовлетворением отмечая меры государства-участника по решению проблем внутренне перемещенных лиц, включая предоставление жилья и пр</w:t>
      </w:r>
      <w:r>
        <w:t>и</w:t>
      </w:r>
      <w:r>
        <w:t>нятие в феврале 2014 года нового законодательства, регулирующего обращение с ними, Комитет отмечает потребность в уделении повышенного внимания со</w:t>
      </w:r>
      <w:r>
        <w:t>з</w:t>
      </w:r>
      <w:r>
        <w:t>данию возможностей для получения ими средств к существованию в рамках усилий по изысканию долгосрочного решения (статьи 2, 12 и 26).</w:t>
      </w:r>
    </w:p>
    <w:p w:rsidR="003414A2" w:rsidRPr="003B2B04" w:rsidRDefault="003414A2" w:rsidP="003414A2">
      <w:pPr>
        <w:pStyle w:val="SingleTxtGR"/>
        <w:rPr>
          <w:b/>
        </w:rPr>
      </w:pPr>
      <w:r w:rsidRPr="003B2B04">
        <w:rPr>
          <w:b/>
        </w:rPr>
        <w:t>Государство-участник должно принимать более энергичные меры с целью улучшения положения внутренне перемещенных лиц и в дополнение к преставлению долговременного жилья уделять особое внимание их инт</w:t>
      </w:r>
      <w:r w:rsidRPr="003B2B04">
        <w:rPr>
          <w:b/>
        </w:rPr>
        <w:t>е</w:t>
      </w:r>
      <w:r w:rsidRPr="003B2B04">
        <w:rPr>
          <w:b/>
        </w:rPr>
        <w:t>грации в мес</w:t>
      </w:r>
      <w:r w:rsidRPr="003B2B04">
        <w:rPr>
          <w:b/>
        </w:rPr>
        <w:t>т</w:t>
      </w:r>
      <w:r w:rsidRPr="003B2B04">
        <w:rPr>
          <w:b/>
        </w:rPr>
        <w:t>ное общество и обеспечению их устойчивыми возможностями для получения дохода и другим мерам по обеспечению их устроенности в новых местах расс</w:t>
      </w:r>
      <w:r w:rsidRPr="003B2B04">
        <w:rPr>
          <w:b/>
        </w:rPr>
        <w:t>е</w:t>
      </w:r>
      <w:r w:rsidRPr="003B2B04">
        <w:rPr>
          <w:b/>
        </w:rPr>
        <w:t>ления. Оно также должно содействовать, чтобы все внутренне перемещенные лица могли осуществлять свое право на прин</w:t>
      </w:r>
      <w:r w:rsidRPr="003B2B04">
        <w:rPr>
          <w:b/>
        </w:rPr>
        <w:t>я</w:t>
      </w:r>
      <w:r w:rsidRPr="003B2B04">
        <w:rPr>
          <w:b/>
        </w:rPr>
        <w:t>тие свободного и осознанного решения относительно того, следует ли им добровольно вернуться в свои дома в условиях безопасности и соблюдения достоинства, интегрироваться в местные общины или переселиться в др</w:t>
      </w:r>
      <w:r w:rsidRPr="003B2B04">
        <w:rPr>
          <w:b/>
        </w:rPr>
        <w:t>у</w:t>
      </w:r>
      <w:r w:rsidRPr="003B2B04">
        <w:rPr>
          <w:b/>
        </w:rPr>
        <w:t xml:space="preserve">гие районы страны. </w:t>
      </w:r>
    </w:p>
    <w:p w:rsidR="003414A2" w:rsidRDefault="003414A2" w:rsidP="003B2B04">
      <w:pPr>
        <w:pStyle w:val="H23GR"/>
      </w:pPr>
      <w:r>
        <w:tab/>
      </w:r>
      <w:r>
        <w:tab/>
        <w:t>Свобода совести и религиозных убеждений</w:t>
      </w:r>
    </w:p>
    <w:p w:rsidR="003414A2" w:rsidRDefault="003414A2" w:rsidP="003414A2">
      <w:pPr>
        <w:pStyle w:val="SingleTxtGR"/>
      </w:pPr>
      <w:r>
        <w:t>18.</w:t>
      </w:r>
      <w:r>
        <w:tab/>
        <w:t>Отмечая принятие 27 января 2014 года Правительством Грузии постано</w:t>
      </w:r>
      <w:r>
        <w:t>в</w:t>
      </w:r>
      <w:r>
        <w:t>ления № 117 об осуществлении мер по выплате частичной компенсации за пр</w:t>
      </w:r>
      <w:r>
        <w:t>и</w:t>
      </w:r>
      <w:r>
        <w:t>чиненный ущерб религиозным группам в Грузии во время тоталитарного сове</w:t>
      </w:r>
      <w:r>
        <w:t>т</w:t>
      </w:r>
      <w:r>
        <w:t>ского режима, Комитет вновь выражает обеспокоенность неэффективностью принимаемых мер для решения проблемы возвращения религиозным меньши</w:t>
      </w:r>
      <w:r>
        <w:t>н</w:t>
      </w:r>
      <w:r>
        <w:t>ствам мест отправления религиозных культов и соответствующего имущества, которое было конфисковано в советскую эпоху. Он также озабочен случаями религиозной нетерпимости, включая притеснения, проявления физического н</w:t>
      </w:r>
      <w:r>
        <w:t>а</w:t>
      </w:r>
      <w:r>
        <w:t>силия и оскорбления в отношении лиц, принадлежащих к религиозным мен</w:t>
      </w:r>
      <w:r>
        <w:t>ь</w:t>
      </w:r>
      <w:r>
        <w:t>шинствам, в частности к свидетелям Иеговы, мусульманам и членам других н</w:t>
      </w:r>
      <w:r>
        <w:t>е</w:t>
      </w:r>
      <w:r>
        <w:t>традиционных религиозных мен</w:t>
      </w:r>
      <w:r>
        <w:t>ь</w:t>
      </w:r>
      <w:r>
        <w:t>шинств, равно как и случаями вмешательства в их богослужения и вандализма (статьи 2, 7, 18 и 26).</w:t>
      </w:r>
    </w:p>
    <w:p w:rsidR="003414A2" w:rsidRPr="003B2B04" w:rsidRDefault="003414A2" w:rsidP="003414A2">
      <w:pPr>
        <w:pStyle w:val="SingleTxtGR"/>
        <w:rPr>
          <w:b/>
        </w:rPr>
      </w:pPr>
      <w:r w:rsidRPr="003B2B04">
        <w:rPr>
          <w:b/>
        </w:rPr>
        <w:t>Государство-участник должно на практике гарантировать свободу религии и убеждений, а также свободу исповедовать свою религию и убеждения как ед</w:t>
      </w:r>
      <w:r w:rsidRPr="003B2B04">
        <w:rPr>
          <w:b/>
        </w:rPr>
        <w:t>и</w:t>
      </w:r>
      <w:r w:rsidRPr="003B2B04">
        <w:rPr>
          <w:b/>
        </w:rPr>
        <w:t>нолично, так и сообща с другими, публичным или частным порядком, в отправлении культа, выполнении религиозных и ритуальных обрядов и учении. Оно должно:</w:t>
      </w:r>
    </w:p>
    <w:p w:rsidR="003414A2" w:rsidRPr="003B2B04" w:rsidRDefault="003414A2" w:rsidP="003414A2">
      <w:pPr>
        <w:pStyle w:val="SingleTxtGR"/>
        <w:rPr>
          <w:b/>
        </w:rPr>
      </w:pPr>
      <w:r w:rsidRPr="003B2B04">
        <w:rPr>
          <w:b/>
        </w:rPr>
        <w:tab/>
        <w:t>а)</w:t>
      </w:r>
      <w:r w:rsidRPr="003B2B04">
        <w:rPr>
          <w:b/>
        </w:rPr>
        <w:tab/>
        <w:t>решительно осуждать любые акты насилия или выражения н</w:t>
      </w:r>
      <w:r w:rsidRPr="003B2B04">
        <w:rPr>
          <w:b/>
        </w:rPr>
        <w:t>е</w:t>
      </w:r>
      <w:r w:rsidRPr="003B2B04">
        <w:rPr>
          <w:b/>
        </w:rPr>
        <w:t>нависти в отношении религиозных меньшинств и проводить разъясн</w:t>
      </w:r>
      <w:r w:rsidRPr="003B2B04">
        <w:rPr>
          <w:b/>
        </w:rPr>
        <w:t>и</w:t>
      </w:r>
      <w:r w:rsidRPr="003B2B04">
        <w:rPr>
          <w:b/>
        </w:rPr>
        <w:t>тельные кампании с целью поощрения уважения прав человека и терп</w:t>
      </w:r>
      <w:r w:rsidRPr="003B2B04">
        <w:rPr>
          <w:b/>
        </w:rPr>
        <w:t>и</w:t>
      </w:r>
      <w:r w:rsidRPr="003B2B04">
        <w:rPr>
          <w:b/>
        </w:rPr>
        <w:t>мости к разноо</w:t>
      </w:r>
      <w:r w:rsidRPr="003B2B04">
        <w:rPr>
          <w:b/>
        </w:rPr>
        <w:t>б</w:t>
      </w:r>
      <w:r w:rsidRPr="003B2B04">
        <w:rPr>
          <w:b/>
        </w:rPr>
        <w:t>разию;</w:t>
      </w:r>
    </w:p>
    <w:p w:rsidR="003414A2" w:rsidRPr="003B2B04" w:rsidRDefault="003414A2" w:rsidP="003414A2">
      <w:pPr>
        <w:pStyle w:val="SingleTxtGR"/>
        <w:rPr>
          <w:b/>
        </w:rPr>
      </w:pPr>
      <w:r w:rsidRPr="003B2B04">
        <w:rPr>
          <w:b/>
        </w:rPr>
        <w:tab/>
        <w:t>b)</w:t>
      </w:r>
      <w:r w:rsidRPr="003B2B04">
        <w:rPr>
          <w:b/>
        </w:rPr>
        <w:tab/>
        <w:t>активизировать усилия по обеспечению надлежащей класс</w:t>
      </w:r>
      <w:r w:rsidRPr="003B2B04">
        <w:rPr>
          <w:b/>
        </w:rPr>
        <w:t>и</w:t>
      </w:r>
      <w:r w:rsidRPr="003B2B04">
        <w:rPr>
          <w:b/>
        </w:rPr>
        <w:t>фикации таких преступлений в соответствии с пунктом 31 статьи 53 Уг</w:t>
      </w:r>
      <w:r w:rsidRPr="003B2B04">
        <w:rPr>
          <w:b/>
        </w:rPr>
        <w:t>о</w:t>
      </w:r>
      <w:r w:rsidRPr="003B2B04">
        <w:rPr>
          <w:b/>
        </w:rPr>
        <w:t>ловного кодекса, их тщательного расследования, привлечения правонар</w:t>
      </w:r>
      <w:r w:rsidRPr="003B2B04">
        <w:rPr>
          <w:b/>
        </w:rPr>
        <w:t>у</w:t>
      </w:r>
      <w:r w:rsidRPr="003B2B04">
        <w:rPr>
          <w:b/>
        </w:rPr>
        <w:t>шителей к ответственности и, в случаях признания их виновными, их на</w:t>
      </w:r>
      <w:r w:rsidRPr="003B2B04">
        <w:rPr>
          <w:b/>
        </w:rPr>
        <w:t>д</w:t>
      </w:r>
      <w:r w:rsidRPr="003B2B04">
        <w:rPr>
          <w:b/>
        </w:rPr>
        <w:t>лежащего наказания, а также выплаты соотв</w:t>
      </w:r>
      <w:r w:rsidR="003B2B04">
        <w:rPr>
          <w:b/>
        </w:rPr>
        <w:t>етствующей компенсации жертвам;</w:t>
      </w:r>
    </w:p>
    <w:p w:rsidR="003414A2" w:rsidRPr="003B2B04" w:rsidRDefault="003414A2" w:rsidP="003414A2">
      <w:pPr>
        <w:pStyle w:val="SingleTxtGR"/>
        <w:rPr>
          <w:b/>
        </w:rPr>
      </w:pPr>
      <w:r w:rsidRPr="003B2B04">
        <w:rPr>
          <w:b/>
        </w:rPr>
        <w:tab/>
        <w:t>с)</w:t>
      </w:r>
      <w:r w:rsidRPr="003B2B04">
        <w:rPr>
          <w:b/>
        </w:rPr>
        <w:tab/>
        <w:t>принять все необходимые меры для обеспечения возвращения мест отправления религиозных культов и соответствующего имущества религиозным меньшинствам и выплатить надлежащую компенсацию в случаях невозможн</w:t>
      </w:r>
      <w:r w:rsidRPr="003B2B04">
        <w:rPr>
          <w:b/>
        </w:rPr>
        <w:t>о</w:t>
      </w:r>
      <w:r w:rsidRPr="003B2B04">
        <w:rPr>
          <w:b/>
        </w:rPr>
        <w:t>сти их возвращения.</w:t>
      </w:r>
    </w:p>
    <w:p w:rsidR="003414A2" w:rsidRDefault="003414A2" w:rsidP="003B2B04">
      <w:pPr>
        <w:pStyle w:val="H23GR"/>
      </w:pPr>
      <w:r>
        <w:tab/>
      </w:r>
      <w:r>
        <w:tab/>
        <w:t>Права меньшинств</w:t>
      </w:r>
    </w:p>
    <w:p w:rsidR="003414A2" w:rsidRDefault="003414A2" w:rsidP="003414A2">
      <w:pPr>
        <w:pStyle w:val="SingleTxtGR"/>
      </w:pPr>
      <w:r>
        <w:t>19.</w:t>
      </w:r>
      <w:r>
        <w:tab/>
        <w:t>Отмечая усилия государства-участника по интегрированию меньшинств в политическую и общественную жизнь, Комитет вновь выражает обеспокое</w:t>
      </w:r>
      <w:r>
        <w:t>н</w:t>
      </w:r>
      <w:r>
        <w:t>ность тем, что слабое знание грузинского языка по-прежнему является осно</w:t>
      </w:r>
      <w:r>
        <w:t>в</w:t>
      </w:r>
      <w:r>
        <w:t>ным препятствием для их интеграции и одной из причин их маргинализации и ограниченной представленности в политической жизни. Он также вновь зая</w:t>
      </w:r>
      <w:r>
        <w:t>в</w:t>
      </w:r>
      <w:r>
        <w:t>ляет о своей озабоченности тем, что местные органы власти обязаны писать о</w:t>
      </w:r>
      <w:r>
        <w:t>т</w:t>
      </w:r>
      <w:r>
        <w:t>веты заявителям из среды меньшинств на грузинском языке, даже, когда п</w:t>
      </w:r>
      <w:r>
        <w:t>о</w:t>
      </w:r>
      <w:r>
        <w:t>следние не знают этот язык. Обязательное использование грузинского языка может также не позволять членам лингвистических меньшинств выполнять о</w:t>
      </w:r>
      <w:r>
        <w:t>п</w:t>
      </w:r>
      <w:r>
        <w:t>ределенные офиц</w:t>
      </w:r>
      <w:r>
        <w:t>и</w:t>
      </w:r>
      <w:r>
        <w:t>альные функции на местном уровне. При этом он обеспокоен отсутствием специальных программ, направленных на социальную и эконом</w:t>
      </w:r>
      <w:r>
        <w:t>и</w:t>
      </w:r>
      <w:r>
        <w:t>ческую интеграцию рома (статьи 25−27).</w:t>
      </w:r>
    </w:p>
    <w:p w:rsidR="003414A2" w:rsidRPr="003B2B04" w:rsidRDefault="003414A2" w:rsidP="003414A2">
      <w:pPr>
        <w:pStyle w:val="SingleTxtGR"/>
        <w:rPr>
          <w:b/>
        </w:rPr>
      </w:pPr>
      <w:r w:rsidRPr="003B2B04">
        <w:rPr>
          <w:b/>
        </w:rPr>
        <w:t>Государство-участник должно проводить более широкие программы обуч</w:t>
      </w:r>
      <w:r w:rsidRPr="003B2B04">
        <w:rPr>
          <w:b/>
        </w:rPr>
        <w:t>е</w:t>
      </w:r>
      <w:r w:rsidRPr="003B2B04">
        <w:rPr>
          <w:b/>
        </w:rPr>
        <w:t>ния меньшинств грузинскому языку, поощрять их представленность в п</w:t>
      </w:r>
      <w:r w:rsidRPr="003B2B04">
        <w:rPr>
          <w:b/>
        </w:rPr>
        <w:t>о</w:t>
      </w:r>
      <w:r w:rsidRPr="003B2B04">
        <w:rPr>
          <w:b/>
        </w:rPr>
        <w:t>литических и государственных органах на всех уровнях и рассмотреть возможность разрешать применение языков меньшинств в местных орг</w:t>
      </w:r>
      <w:r w:rsidRPr="003B2B04">
        <w:rPr>
          <w:b/>
        </w:rPr>
        <w:t>а</w:t>
      </w:r>
      <w:r w:rsidRPr="003B2B04">
        <w:rPr>
          <w:b/>
        </w:rPr>
        <w:t>нах управления и администрации. Ему также следует разработать и пров</w:t>
      </w:r>
      <w:r w:rsidRPr="003B2B04">
        <w:rPr>
          <w:b/>
        </w:rPr>
        <w:t>о</w:t>
      </w:r>
      <w:r w:rsidRPr="003B2B04">
        <w:rPr>
          <w:b/>
        </w:rPr>
        <w:t>дить соответствующие пр</w:t>
      </w:r>
      <w:r w:rsidRPr="003B2B04">
        <w:rPr>
          <w:b/>
        </w:rPr>
        <w:t>о</w:t>
      </w:r>
      <w:r w:rsidRPr="003B2B04">
        <w:rPr>
          <w:b/>
        </w:rPr>
        <w:t>граммы и проекты для содействия социальной и экономической интеграции р</w:t>
      </w:r>
      <w:r w:rsidRPr="003B2B04">
        <w:rPr>
          <w:b/>
        </w:rPr>
        <w:t>о</w:t>
      </w:r>
      <w:r w:rsidRPr="003B2B04">
        <w:rPr>
          <w:b/>
        </w:rPr>
        <w:t>ма, в том числе путем предоставления им доступа к занятости, здравоохран</w:t>
      </w:r>
      <w:r w:rsidRPr="003B2B04">
        <w:rPr>
          <w:b/>
        </w:rPr>
        <w:t>е</w:t>
      </w:r>
      <w:r w:rsidRPr="003B2B04">
        <w:rPr>
          <w:b/>
        </w:rPr>
        <w:t xml:space="preserve">нию, образованию и социальной защите на равной основе с другими. </w:t>
      </w:r>
    </w:p>
    <w:p w:rsidR="003414A2" w:rsidRDefault="003414A2" w:rsidP="003B2B04">
      <w:pPr>
        <w:pStyle w:val="H23GR"/>
      </w:pPr>
      <w:r>
        <w:tab/>
      </w:r>
      <w:r>
        <w:tab/>
        <w:t>Распространение информации о Пакте и Факультативном проток</w:t>
      </w:r>
      <w:r>
        <w:t>о</w:t>
      </w:r>
      <w:r>
        <w:t>ле</w:t>
      </w:r>
    </w:p>
    <w:p w:rsidR="003414A2" w:rsidRDefault="003414A2" w:rsidP="003414A2">
      <w:pPr>
        <w:pStyle w:val="SingleTxtGR"/>
      </w:pPr>
      <w:r>
        <w:t>20.</w:t>
      </w:r>
      <w:r>
        <w:tab/>
        <w:t>Государство-участник должно обеспечить широкое распространение и</w:t>
      </w:r>
      <w:r>
        <w:t>н</w:t>
      </w:r>
      <w:r>
        <w:t>формации о Пакте, двух Факультативных протоколов к Пакту, текста своего четвертого периодического доклада, письменных ответов на перечень вопросов, составленный Комитетом, и настоящих заключительных замечаний среди с</w:t>
      </w:r>
      <w:r>
        <w:t>у</w:t>
      </w:r>
      <w:r>
        <w:t>дебных, законодательных и административных органов, гражданского общес</w:t>
      </w:r>
      <w:r>
        <w:t>т</w:t>
      </w:r>
      <w:r>
        <w:t>ва, а также работающих в стране неправительственных организаций и широкой общественности.</w:t>
      </w:r>
    </w:p>
    <w:p w:rsidR="003414A2" w:rsidRDefault="003414A2" w:rsidP="003414A2">
      <w:pPr>
        <w:pStyle w:val="SingleTxtGR"/>
      </w:pPr>
      <w:r>
        <w:t>21.</w:t>
      </w:r>
      <w:r>
        <w:tab/>
        <w:t>В соответствии с пунктом 5 правил 71 правил процедуры Комитета гос</w:t>
      </w:r>
      <w:r>
        <w:t>у</w:t>
      </w:r>
      <w:r>
        <w:t>дарство-участник должно в течение одного года представить соответствующую информацию о выполнении им рекомендаций Комитета, содержащихся в пун</w:t>
      </w:r>
      <w:r>
        <w:t>к</w:t>
      </w:r>
      <w:r>
        <w:t>тах 13 и 14 выше.</w:t>
      </w:r>
    </w:p>
    <w:p w:rsidR="003B2B04" w:rsidRDefault="003414A2" w:rsidP="003B2B04">
      <w:pPr>
        <w:pStyle w:val="SingleTxtGR"/>
      </w:pPr>
      <w:r>
        <w:t>22.</w:t>
      </w:r>
      <w:r>
        <w:tab/>
        <w:t>Комитет просит государство-участник обеспечить, чтобы в его следу</w:t>
      </w:r>
      <w:r>
        <w:t>ю</w:t>
      </w:r>
      <w:r>
        <w:t>щем периодическом докладе, который подлежит представле</w:t>
      </w:r>
      <w:r w:rsidR="003B2B04">
        <w:t>нию 31 июля 2019 </w:t>
      </w:r>
      <w:r>
        <w:t xml:space="preserve">года, содержалась конкретная актуальная информация о выполнении всех его рекомендаций, а также Пакта в целом. Комитет также просит государство-участник при подготовке его следующего периодического доклада проводить широкие консультации с гражданским обществом и действующими в стране неправительственными организациями. </w:t>
      </w:r>
    </w:p>
    <w:p w:rsidR="003B2B04" w:rsidRPr="003B2B04" w:rsidRDefault="003B2B04" w:rsidP="003B2B0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B2B04" w:rsidRPr="003B2B04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DED" w:rsidRDefault="00031DED">
      <w:r>
        <w:rPr>
          <w:lang w:val="en-US"/>
        </w:rPr>
        <w:tab/>
      </w:r>
      <w:r>
        <w:separator/>
      </w:r>
    </w:p>
  </w:endnote>
  <w:endnote w:type="continuationSeparator" w:id="0">
    <w:p w:rsidR="00031DED" w:rsidRDefault="0003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D99" w:rsidRPr="005F0588" w:rsidRDefault="00B95D99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C6956"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lang w:val="en-US"/>
      </w:rPr>
      <w:tab/>
      <w:t>GE.14-14187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D99" w:rsidRPr="005F0588" w:rsidRDefault="00B95D99">
    <w:pPr>
      <w:pStyle w:val="Footer"/>
      <w:rPr>
        <w:lang w:val="en-US"/>
      </w:rPr>
    </w:pPr>
    <w:r>
      <w:rPr>
        <w:lang w:val="en-US"/>
      </w:rPr>
      <w:t>GE.14-14187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C6956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79"/>
      <w:gridCol w:w="4655"/>
      <w:gridCol w:w="1221"/>
    </w:tblGrid>
    <w:tr w:rsidR="00B95D99" w:rsidTr="00611264">
      <w:trPr>
        <w:trHeight w:val="438"/>
      </w:trPr>
      <w:tc>
        <w:tcPr>
          <w:tcW w:w="4068" w:type="dxa"/>
          <w:vAlign w:val="bottom"/>
        </w:tcPr>
        <w:p w:rsidR="00B95D99" w:rsidRPr="003B2B04" w:rsidRDefault="00B95D99" w:rsidP="00611264">
          <w:r>
            <w:rPr>
              <w:lang w:val="en-US"/>
            </w:rPr>
            <w:t>GE.1</w:t>
          </w:r>
          <w:r>
            <w:t>4</w:t>
          </w:r>
          <w:r>
            <w:rPr>
              <w:lang w:val="en-US"/>
            </w:rPr>
            <w:t>-</w:t>
          </w:r>
          <w:r>
            <w:t>14187</w:t>
          </w:r>
          <w:r>
            <w:rPr>
              <w:lang w:val="en-US"/>
            </w:rPr>
            <w:t xml:space="preserve">  (R)</w:t>
          </w:r>
          <w:r>
            <w:t xml:space="preserve">  081014  081014</w:t>
          </w:r>
        </w:p>
      </w:tc>
      <w:tc>
        <w:tcPr>
          <w:tcW w:w="4663" w:type="dxa"/>
          <w:vMerge w:val="restart"/>
          <w:vAlign w:val="bottom"/>
        </w:tcPr>
        <w:p w:rsidR="00B95D99" w:rsidRDefault="00B95D99" w:rsidP="00611264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B95D99" w:rsidRDefault="00B95D99" w:rsidP="00611264">
          <w:pPr>
            <w:jc w:val="right"/>
          </w:pPr>
          <w:r>
            <w:pict>
              <v:shape id="_x0000_i1027" type="#_x0000_t75" style="width:50.25pt;height:50.25pt">
                <v:imagedata r:id="rId2" o:title="4&amp;Size=2&amp;Lang=R"/>
              </v:shape>
            </w:pict>
          </w:r>
        </w:p>
      </w:tc>
    </w:tr>
    <w:tr w:rsidR="00B95D99" w:rsidRPr="00797A78" w:rsidTr="00611264">
      <w:tc>
        <w:tcPr>
          <w:tcW w:w="4068" w:type="dxa"/>
          <w:vAlign w:val="bottom"/>
        </w:tcPr>
        <w:p w:rsidR="00B95D99" w:rsidRPr="00413F69" w:rsidRDefault="00B95D99" w:rsidP="00611264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413F6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413F6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13F6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413F6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13F6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413F6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13F6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413F6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413F6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B95D99" w:rsidRDefault="00B95D99" w:rsidP="00611264"/>
      </w:tc>
      <w:tc>
        <w:tcPr>
          <w:tcW w:w="1124" w:type="dxa"/>
          <w:vMerge/>
        </w:tcPr>
        <w:p w:rsidR="00B95D99" w:rsidRDefault="00B95D99" w:rsidP="00611264"/>
      </w:tc>
    </w:tr>
  </w:tbl>
  <w:p w:rsidR="00B95D99" w:rsidRDefault="00B95D99" w:rsidP="00381289">
    <w:pPr>
      <w:spacing w:line="240" w:lineRule="auto"/>
      <w:rPr>
        <w:sz w:val="2"/>
        <w:szCs w:val="2"/>
        <w:lang w:val="en-US"/>
      </w:rPr>
    </w:pPr>
  </w:p>
  <w:p w:rsidR="00B95D99" w:rsidRPr="002D7E3C" w:rsidRDefault="00B95D99" w:rsidP="006E7AF7">
    <w:pPr>
      <w:pStyle w:val="Footer"/>
      <w:rPr>
        <w:sz w:val="2"/>
        <w:szCs w:val="2"/>
      </w:rPr>
    </w:pPr>
    <w:r w:rsidRPr="002D7E3C">
      <w:rPr>
        <w:noProof/>
        <w:sz w:val="2"/>
        <w:szCs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0pt;margin-top:-193.15pt;width:36pt;height:162.95pt;z-index:1" filled="f" stroked="f">
          <v:textbox style="layout-flow:vertical" inset="0,0,0,0">
            <w:txbxContent>
              <w:p w:rsidR="00B95D99" w:rsidRDefault="00B95D99" w:rsidP="006E7AF7">
                <w:pPr>
                  <w:rPr>
                    <w:lang w:val="en-US"/>
                  </w:rPr>
                </w:pPr>
              </w:p>
              <w:p w:rsidR="00B95D99" w:rsidRDefault="00B95D99" w:rsidP="006E7AF7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page </w:t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FC6956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DED" w:rsidRPr="00F71F63" w:rsidRDefault="00031DED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031DED" w:rsidRPr="00F71F63" w:rsidRDefault="00031DED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031DED" w:rsidRPr="00635E86" w:rsidRDefault="00031DED" w:rsidP="00635E86">
      <w:pPr>
        <w:pStyle w:val="Footer"/>
      </w:pPr>
    </w:p>
  </w:footnote>
  <w:footnote w:id="1">
    <w:p w:rsidR="00B95D99" w:rsidRPr="003A44C4" w:rsidRDefault="00B95D99">
      <w:pPr>
        <w:pStyle w:val="FootnoteText"/>
        <w:rPr>
          <w:sz w:val="20"/>
          <w:lang w:val="ru-RU"/>
        </w:rPr>
      </w:pPr>
      <w:r>
        <w:tab/>
      </w:r>
      <w:r w:rsidRPr="003A44C4">
        <w:rPr>
          <w:rStyle w:val="FootnoteReference"/>
          <w:sz w:val="20"/>
          <w:vertAlign w:val="baseline"/>
          <w:lang w:val="ru-RU"/>
        </w:rPr>
        <w:t>*</w:t>
      </w:r>
      <w:r w:rsidRPr="003A44C4">
        <w:rPr>
          <w:lang w:val="ru-RU"/>
        </w:rPr>
        <w:tab/>
      </w:r>
      <w:r w:rsidRPr="00AA2321">
        <w:rPr>
          <w:szCs w:val="18"/>
          <w:lang w:val="ru-RU"/>
        </w:rPr>
        <w:t>Принято Комитетом на его 111-й сессии (7−25 июля 2014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D99" w:rsidRPr="003B2B04" w:rsidRDefault="00B95D99">
    <w:pPr>
      <w:pStyle w:val="Header"/>
      <w:rPr>
        <w:lang w:val="fr-FR"/>
      </w:rPr>
    </w:pPr>
    <w:r>
      <w:rPr>
        <w:lang w:val="en-US"/>
      </w:rPr>
      <w:t>CCPR/C/GEO/CO/4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D99" w:rsidRPr="005F0588" w:rsidRDefault="00B95D99">
    <w:pPr>
      <w:pStyle w:val="Header"/>
      <w:rPr>
        <w:lang w:val="en-US"/>
      </w:rPr>
    </w:pPr>
    <w:r>
      <w:rPr>
        <w:lang w:val="en-US"/>
      </w:rPr>
      <w:tab/>
      <w:t>CCPR/C/GEO/CO/4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4A2"/>
    <w:rsid w:val="000033D8"/>
    <w:rsid w:val="00005C1C"/>
    <w:rsid w:val="00016553"/>
    <w:rsid w:val="000233B3"/>
    <w:rsid w:val="00023E9E"/>
    <w:rsid w:val="00026B0C"/>
    <w:rsid w:val="00031DED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F410F"/>
    <w:rsid w:val="000F7655"/>
    <w:rsid w:val="00117AEE"/>
    <w:rsid w:val="001463F7"/>
    <w:rsid w:val="0015769C"/>
    <w:rsid w:val="001755A4"/>
    <w:rsid w:val="00180752"/>
    <w:rsid w:val="00185076"/>
    <w:rsid w:val="0018543C"/>
    <w:rsid w:val="00190231"/>
    <w:rsid w:val="00192ABD"/>
    <w:rsid w:val="0019354E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24FEE"/>
    <w:rsid w:val="00332891"/>
    <w:rsid w:val="003414A2"/>
    <w:rsid w:val="00345D55"/>
    <w:rsid w:val="00356BB2"/>
    <w:rsid w:val="00360477"/>
    <w:rsid w:val="00367FC9"/>
    <w:rsid w:val="003711A1"/>
    <w:rsid w:val="00372123"/>
    <w:rsid w:val="00381289"/>
    <w:rsid w:val="00386581"/>
    <w:rsid w:val="00387100"/>
    <w:rsid w:val="003951D3"/>
    <w:rsid w:val="003978C6"/>
    <w:rsid w:val="003A44C4"/>
    <w:rsid w:val="003B2B04"/>
    <w:rsid w:val="003B40A9"/>
    <w:rsid w:val="003C016E"/>
    <w:rsid w:val="003D5EBD"/>
    <w:rsid w:val="00401CE0"/>
    <w:rsid w:val="00403234"/>
    <w:rsid w:val="00407AC3"/>
    <w:rsid w:val="00413F69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34E6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264"/>
    <w:rsid w:val="006115AA"/>
    <w:rsid w:val="006120AE"/>
    <w:rsid w:val="00617162"/>
    <w:rsid w:val="00635E86"/>
    <w:rsid w:val="00636A37"/>
    <w:rsid w:val="006501A5"/>
    <w:rsid w:val="00650417"/>
    <w:rsid w:val="006554CA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E7AF7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0C40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727A1"/>
    <w:rsid w:val="00886B0F"/>
    <w:rsid w:val="00887A27"/>
    <w:rsid w:val="00891C08"/>
    <w:rsid w:val="008A3879"/>
    <w:rsid w:val="008A5FA8"/>
    <w:rsid w:val="008A7575"/>
    <w:rsid w:val="008B5F47"/>
    <w:rsid w:val="008C7B87"/>
    <w:rsid w:val="008D6A7A"/>
    <w:rsid w:val="008E29BC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15B1A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95D99"/>
    <w:rsid w:val="00BB17DC"/>
    <w:rsid w:val="00BB1AF9"/>
    <w:rsid w:val="00BB4C4A"/>
    <w:rsid w:val="00BC7F12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7D66"/>
    <w:rsid w:val="00C663A3"/>
    <w:rsid w:val="00C75CB2"/>
    <w:rsid w:val="00C90723"/>
    <w:rsid w:val="00C90D5C"/>
    <w:rsid w:val="00CA227F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76358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C6956"/>
    <w:rsid w:val="00FD78A3"/>
    <w:rsid w:val="00FF6C8A"/>
    <w:rsid w:val="00FF6D71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__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</Template>
  <TotalTime>1</TotalTime>
  <Pages>1</Pages>
  <Words>3289</Words>
  <Characters>22797</Characters>
  <Application>Microsoft Office Word</Application>
  <DocSecurity>4</DocSecurity>
  <Lines>438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1414187</vt:lpstr>
    </vt:vector>
  </TitlesOfParts>
  <Company>CSD</Company>
  <LinksUpToDate>false</LinksUpToDate>
  <CharactersWithSpaces>25974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1414187</dc:title>
  <dc:subject>CCPR/C/GEO/CO/4</dc:subject>
  <dc:creator>Anna Petelina</dc:creator>
  <cp:keywords/>
  <dc:description>Final</dc:description>
  <cp:lastModifiedBy>Anna Petelina</cp:lastModifiedBy>
  <cp:revision>3</cp:revision>
  <cp:lastPrinted>2014-10-08T15:08:00Z</cp:lastPrinted>
  <dcterms:created xsi:type="dcterms:W3CDTF">2014-10-08T15:08:00Z</dcterms:created>
  <dcterms:modified xsi:type="dcterms:W3CDTF">2014-10-08T15:09:00Z</dcterms:modified>
</cp:coreProperties>
</file>