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877FF" w:rsidP="00A877FF">
            <w:pPr>
              <w:bidi w:val="0"/>
              <w:spacing w:after="20"/>
              <w:jc w:val="left"/>
              <w:rPr>
                <w:szCs w:val="20"/>
              </w:rPr>
            </w:pPr>
            <w:r w:rsidRPr="00A877FF">
              <w:rPr>
                <w:sz w:val="40"/>
                <w:szCs w:val="20"/>
              </w:rPr>
              <w:t>CAT</w:t>
            </w:r>
            <w:r>
              <w:rPr>
                <w:szCs w:val="20"/>
              </w:rPr>
              <w:t>/C/46/D/395/2009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877FF" w:rsidRDefault="00A877FF" w:rsidP="00C370F7">
            <w:pPr>
              <w:bidi w:val="0"/>
              <w:spacing w:before="240" w:line="240" w:lineRule="exact"/>
              <w:jc w:val="left"/>
            </w:pPr>
            <w:r>
              <w:t>Distr.: Restricted</w:t>
            </w:r>
            <w:r w:rsidR="001A23BE" w:rsidRPr="001A23BE">
              <w:rPr>
                <w:rStyle w:val="FootnoteReference"/>
                <w:sz w:val="20"/>
                <w:vertAlign w:val="baseline"/>
                <w:rtl/>
              </w:rPr>
              <w:footnoteReference w:customMarkFollows="1" w:id="1"/>
              <w:t>*</w:t>
            </w:r>
          </w:p>
          <w:p w:rsidR="00A877FF" w:rsidRDefault="00A877FF" w:rsidP="00A877FF">
            <w:pPr>
              <w:bidi w:val="0"/>
              <w:jc w:val="left"/>
            </w:pPr>
            <w:r>
              <w:t>1 July 2011</w:t>
            </w:r>
          </w:p>
          <w:p w:rsidR="00A877FF" w:rsidRDefault="00A877FF" w:rsidP="00A877FF">
            <w:pPr>
              <w:bidi w:val="0"/>
              <w:jc w:val="left"/>
            </w:pPr>
            <w:r>
              <w:t>Arabic</w:t>
            </w:r>
          </w:p>
          <w:p w:rsidR="00257225" w:rsidRPr="008B4BC6" w:rsidRDefault="00A877FF" w:rsidP="00A877FF">
            <w:pPr>
              <w:bidi w:val="0"/>
              <w:jc w:val="left"/>
            </w:pPr>
            <w:r>
              <w:t>Original: French</w:t>
            </w:r>
          </w:p>
        </w:tc>
      </w:tr>
    </w:tbl>
    <w:p w:rsidR="00A877FF" w:rsidRPr="00B35E1D" w:rsidRDefault="00A877FF" w:rsidP="00A877FF">
      <w:pPr>
        <w:pStyle w:val="SingleTxtGA"/>
        <w:spacing w:before="120" w:after="0"/>
        <w:ind w:left="0"/>
        <w:rPr>
          <w:rFonts w:hint="cs"/>
          <w:b/>
          <w:bCs/>
          <w:sz w:val="26"/>
          <w:szCs w:val="36"/>
          <w:rtl/>
          <w:lang w:val="fr-CH"/>
        </w:rPr>
      </w:pPr>
      <w:r w:rsidRPr="00B35E1D">
        <w:rPr>
          <w:rFonts w:hint="cs"/>
          <w:b/>
          <w:bCs/>
          <w:sz w:val="26"/>
          <w:szCs w:val="36"/>
          <w:rtl/>
          <w:lang w:val="fr-CH"/>
        </w:rPr>
        <w:t>لجنة مناهضة التعذيب</w:t>
      </w:r>
    </w:p>
    <w:p w:rsidR="00A877FF" w:rsidRPr="00B13DFE" w:rsidRDefault="00A877FF" w:rsidP="00A877FF">
      <w:pPr>
        <w:pStyle w:val="SingleTxtGA"/>
        <w:spacing w:after="0"/>
        <w:ind w:left="0"/>
        <w:rPr>
          <w:rFonts w:hint="cs"/>
          <w:b/>
          <w:bCs/>
          <w:rtl/>
          <w:lang w:val="fr-CH"/>
        </w:rPr>
      </w:pPr>
      <w:r w:rsidRPr="00B13DFE">
        <w:rPr>
          <w:rFonts w:hint="cs"/>
          <w:b/>
          <w:bCs/>
          <w:rtl/>
          <w:lang w:val="fr-CH"/>
        </w:rPr>
        <w:t xml:space="preserve">الدورة </w:t>
      </w:r>
      <w:r>
        <w:rPr>
          <w:rFonts w:hint="cs"/>
          <w:b/>
          <w:bCs/>
          <w:rtl/>
          <w:lang w:val="fr-CH"/>
        </w:rPr>
        <w:t>السادسة</w:t>
      </w:r>
      <w:r w:rsidRPr="00B13DFE">
        <w:rPr>
          <w:rFonts w:hint="cs"/>
          <w:b/>
          <w:bCs/>
          <w:rtl/>
          <w:lang w:val="fr-CH"/>
        </w:rPr>
        <w:t xml:space="preserve"> والأربعون</w:t>
      </w:r>
    </w:p>
    <w:p w:rsidR="00A877FF" w:rsidRDefault="00A877FF" w:rsidP="00A877FF">
      <w:pPr>
        <w:pStyle w:val="SingleTxtGA"/>
        <w:ind w:left="0"/>
        <w:rPr>
          <w:rFonts w:hint="cs"/>
          <w:rtl/>
          <w:lang w:val="fr-CH"/>
        </w:rPr>
      </w:pPr>
      <w:r>
        <w:rPr>
          <w:rFonts w:hint="cs"/>
          <w:rtl/>
          <w:lang w:val="fr-CH"/>
        </w:rPr>
        <w:t>9 أيار/مايو - 3 حزيران/يونيه 2011</w:t>
      </w:r>
    </w:p>
    <w:p w:rsidR="00A877FF" w:rsidRPr="00CD3084" w:rsidRDefault="00A877FF" w:rsidP="00CD3084">
      <w:pPr>
        <w:pStyle w:val="HChGA"/>
        <w:rPr>
          <w:rFonts w:hint="cs"/>
          <w:szCs w:val="28"/>
          <w:rtl/>
        </w:rPr>
      </w:pPr>
      <w:r>
        <w:rPr>
          <w:rFonts w:hint="cs"/>
          <w:rtl/>
          <w:lang w:val="fr-CH"/>
        </w:rPr>
        <w:tab/>
      </w:r>
      <w:r>
        <w:rPr>
          <w:rFonts w:hint="cs"/>
          <w:rtl/>
          <w:lang w:val="fr-CH"/>
        </w:rPr>
        <w:tab/>
        <w:t>قرار</w:t>
      </w:r>
    </w:p>
    <w:p w:rsidR="00A877FF" w:rsidRPr="00CD3084" w:rsidRDefault="00A877FF" w:rsidP="00CD3084">
      <w:pPr>
        <w:pStyle w:val="H1GA"/>
        <w:rPr>
          <w:rFonts w:hint="cs"/>
          <w:szCs w:val="24"/>
          <w:rtl/>
        </w:rPr>
      </w:pPr>
      <w:r>
        <w:rPr>
          <w:rFonts w:hint="cs"/>
          <w:rtl/>
          <w:lang w:val="fr-CH"/>
        </w:rPr>
        <w:tab/>
      </w:r>
      <w:r>
        <w:rPr>
          <w:rFonts w:hint="cs"/>
          <w:rtl/>
          <w:lang w:val="fr-CH"/>
        </w:rPr>
        <w:tab/>
        <w:t>البلاغ رقم 395/2009</w:t>
      </w:r>
    </w:p>
    <w:p w:rsidR="00A877FF" w:rsidRPr="00C6006A" w:rsidRDefault="00A877FF" w:rsidP="00CD3084">
      <w:pPr>
        <w:pStyle w:val="SingleTxtGA"/>
        <w:tabs>
          <w:tab w:val="clear" w:pos="3289"/>
          <w:tab w:val="clear" w:pos="3969"/>
        </w:tabs>
        <w:ind w:left="4253" w:hanging="2325"/>
        <w:rPr>
          <w:rFonts w:hint="cs"/>
          <w:rtl/>
          <w:lang w:val="fr-CH"/>
        </w:rPr>
      </w:pPr>
      <w:r>
        <w:rPr>
          <w:rFonts w:hint="cs"/>
          <w:i/>
          <w:iCs/>
          <w:rtl/>
          <w:lang w:val="fr-CH"/>
        </w:rPr>
        <w:t>المقدم من:</w:t>
      </w:r>
      <w:r>
        <w:rPr>
          <w:rFonts w:hint="cs"/>
          <w:i/>
          <w:iCs/>
          <w:rtl/>
          <w:lang w:val="fr-CH"/>
        </w:rPr>
        <w:tab/>
      </w:r>
      <w:r w:rsidR="00CD3084" w:rsidRPr="00CD3084">
        <w:rPr>
          <w:rFonts w:hint="cs"/>
          <w:sz w:val="30"/>
          <w:rtl/>
          <w:lang w:val="fr-CH"/>
        </w:rPr>
        <w:t>ﻫ</w:t>
      </w:r>
      <w:r>
        <w:rPr>
          <w:rFonts w:hint="cs"/>
          <w:rtl/>
          <w:lang w:val="fr-CH"/>
        </w:rPr>
        <w:t>. م. (ت</w:t>
      </w:r>
      <w:r w:rsidRPr="00C6006A">
        <w:rPr>
          <w:rFonts w:hint="cs"/>
          <w:rtl/>
          <w:lang w:val="fr-CH"/>
        </w:rPr>
        <w:t>مثله المحامي</w:t>
      </w:r>
      <w:r>
        <w:rPr>
          <w:rFonts w:hint="cs"/>
          <w:rtl/>
          <w:lang w:val="fr-CH"/>
        </w:rPr>
        <w:t>ة</w:t>
      </w:r>
      <w:r w:rsidRPr="00C6006A">
        <w:rPr>
          <w:rFonts w:hint="cs"/>
          <w:rtl/>
          <w:lang w:val="fr-CH"/>
        </w:rPr>
        <w:t xml:space="preserve"> </w:t>
      </w:r>
      <w:r>
        <w:rPr>
          <w:rFonts w:hint="cs"/>
          <w:rtl/>
          <w:lang w:val="fr-CH"/>
        </w:rPr>
        <w:t>ماري هيلين جيرو</w:t>
      </w:r>
      <w:r w:rsidRPr="00C6006A">
        <w:rPr>
          <w:rFonts w:hint="cs"/>
          <w:rtl/>
          <w:lang w:val="fr-CH"/>
        </w:rPr>
        <w:t>)</w:t>
      </w:r>
    </w:p>
    <w:p w:rsidR="00A877FF" w:rsidRPr="00AC0717" w:rsidRDefault="00A877FF" w:rsidP="00A877FF">
      <w:pPr>
        <w:pStyle w:val="SingleTxtGA"/>
        <w:tabs>
          <w:tab w:val="clear" w:pos="3289"/>
          <w:tab w:val="clear" w:pos="3969"/>
        </w:tabs>
        <w:ind w:left="4253" w:hanging="2325"/>
        <w:rPr>
          <w:rFonts w:hint="cs"/>
          <w:rtl/>
          <w:lang w:val="fr-CH"/>
        </w:rPr>
      </w:pPr>
      <w:r>
        <w:rPr>
          <w:rFonts w:hint="cs"/>
          <w:i/>
          <w:iCs/>
          <w:rtl/>
          <w:lang w:val="fr-CH"/>
        </w:rPr>
        <w:t>الشخص المدعى أنه ضحية:</w:t>
      </w:r>
      <w:r>
        <w:rPr>
          <w:rFonts w:hint="cs"/>
          <w:i/>
          <w:iCs/>
          <w:rtl/>
          <w:lang w:val="fr-CH"/>
        </w:rPr>
        <w:tab/>
      </w:r>
      <w:r>
        <w:rPr>
          <w:rFonts w:hint="cs"/>
          <w:rtl/>
          <w:lang w:val="fr-CH"/>
        </w:rPr>
        <w:t>صاحب البلاغ</w:t>
      </w:r>
    </w:p>
    <w:p w:rsidR="00A877FF" w:rsidRDefault="00A877FF" w:rsidP="00A877FF">
      <w:pPr>
        <w:pStyle w:val="SingleTxtGA"/>
        <w:tabs>
          <w:tab w:val="clear" w:pos="3289"/>
          <w:tab w:val="clear" w:pos="3969"/>
        </w:tabs>
        <w:ind w:left="4253" w:hanging="2325"/>
        <w:rPr>
          <w:rFonts w:hint="cs"/>
          <w:rtl/>
          <w:lang w:val="fr-CH"/>
        </w:rPr>
      </w:pPr>
      <w:r>
        <w:rPr>
          <w:rFonts w:hint="cs"/>
          <w:i/>
          <w:iCs/>
          <w:rtl/>
          <w:lang w:val="fr-CH"/>
        </w:rPr>
        <w:t>الدولة الطرف:</w:t>
      </w:r>
      <w:r>
        <w:rPr>
          <w:rFonts w:hint="cs"/>
          <w:i/>
          <w:iCs/>
          <w:rtl/>
          <w:lang w:val="fr-CH"/>
        </w:rPr>
        <w:tab/>
      </w:r>
      <w:r>
        <w:rPr>
          <w:rFonts w:hint="cs"/>
          <w:rtl/>
          <w:lang w:val="fr-CH"/>
        </w:rPr>
        <w:t>كندا</w:t>
      </w:r>
    </w:p>
    <w:p w:rsidR="00A877FF" w:rsidRPr="00B13DFE" w:rsidRDefault="00A877FF" w:rsidP="00A877FF">
      <w:pPr>
        <w:pStyle w:val="SingleTxtGA"/>
        <w:tabs>
          <w:tab w:val="clear" w:pos="3289"/>
          <w:tab w:val="clear" w:pos="3969"/>
        </w:tabs>
        <w:ind w:left="4253" w:hanging="2325"/>
        <w:rPr>
          <w:rFonts w:hint="cs"/>
          <w:spacing w:val="-5"/>
          <w:rtl/>
          <w:lang w:val="fr-CH"/>
        </w:rPr>
      </w:pPr>
      <w:r w:rsidRPr="00B35E1D">
        <w:rPr>
          <w:rFonts w:hint="cs"/>
          <w:i/>
          <w:iCs/>
          <w:rtl/>
          <w:lang w:val="fr-CH"/>
        </w:rPr>
        <w:t>تاريخ تقديم البلاغ:</w:t>
      </w:r>
      <w:r w:rsidRPr="00B35E1D">
        <w:rPr>
          <w:rFonts w:hint="cs"/>
          <w:spacing w:val="-6"/>
          <w:rtl/>
          <w:lang w:val="fr-CH"/>
        </w:rPr>
        <w:tab/>
      </w:r>
      <w:r>
        <w:rPr>
          <w:rFonts w:hint="cs"/>
          <w:spacing w:val="-5"/>
          <w:rtl/>
          <w:lang w:val="fr-CH"/>
        </w:rPr>
        <w:t>17</w:t>
      </w:r>
      <w:r w:rsidRPr="00B13DFE">
        <w:rPr>
          <w:rFonts w:hint="cs"/>
          <w:spacing w:val="-5"/>
          <w:rtl/>
          <w:lang w:val="fr-CH"/>
        </w:rPr>
        <w:t xml:space="preserve"> </w:t>
      </w:r>
      <w:r>
        <w:rPr>
          <w:rFonts w:hint="cs"/>
          <w:spacing w:val="-5"/>
          <w:rtl/>
          <w:lang w:val="fr-CH"/>
        </w:rPr>
        <w:t>آب</w:t>
      </w:r>
      <w:r w:rsidRPr="00B13DFE">
        <w:rPr>
          <w:rFonts w:hint="cs"/>
          <w:spacing w:val="-5"/>
          <w:rtl/>
          <w:lang w:val="fr-CH"/>
        </w:rPr>
        <w:t>/أ</w:t>
      </w:r>
      <w:r>
        <w:rPr>
          <w:rFonts w:hint="cs"/>
          <w:spacing w:val="-5"/>
          <w:rtl/>
          <w:lang w:val="fr-CH"/>
        </w:rPr>
        <w:t>غسطس</w:t>
      </w:r>
      <w:r w:rsidRPr="00B13DFE">
        <w:rPr>
          <w:rFonts w:hint="cs"/>
          <w:spacing w:val="-5"/>
          <w:rtl/>
          <w:lang w:val="fr-CH"/>
        </w:rPr>
        <w:t xml:space="preserve"> </w:t>
      </w:r>
      <w:r>
        <w:rPr>
          <w:rFonts w:hint="cs"/>
          <w:spacing w:val="-5"/>
          <w:rtl/>
          <w:lang w:val="fr-CH"/>
        </w:rPr>
        <w:t>2009</w:t>
      </w:r>
      <w:r w:rsidRPr="00B13DFE">
        <w:rPr>
          <w:rFonts w:hint="cs"/>
          <w:spacing w:val="-5"/>
          <w:rtl/>
          <w:lang w:val="fr-CH"/>
        </w:rPr>
        <w:t xml:space="preserve"> (تاريخ الرسالة الأولى)</w:t>
      </w:r>
    </w:p>
    <w:p w:rsidR="00A877FF" w:rsidRDefault="00A877FF" w:rsidP="00A877FF">
      <w:pPr>
        <w:pStyle w:val="SingleTxtGA"/>
        <w:tabs>
          <w:tab w:val="clear" w:pos="3289"/>
          <w:tab w:val="clear" w:pos="3969"/>
        </w:tabs>
        <w:ind w:left="4253" w:hanging="2325"/>
        <w:rPr>
          <w:rFonts w:hint="cs"/>
          <w:rtl/>
          <w:lang w:val="fr-CH"/>
        </w:rPr>
      </w:pPr>
      <w:r>
        <w:rPr>
          <w:rFonts w:hint="cs"/>
          <w:i/>
          <w:iCs/>
          <w:rtl/>
          <w:lang w:val="fr-CH"/>
        </w:rPr>
        <w:t>تاريخ اعتماد القرار</w:t>
      </w:r>
      <w:r w:rsidRPr="00B43CD1">
        <w:rPr>
          <w:rFonts w:hint="cs"/>
          <w:i/>
          <w:iCs/>
          <w:rtl/>
          <w:lang w:val="fr-CH"/>
        </w:rPr>
        <w:t>:</w:t>
      </w:r>
      <w:r>
        <w:rPr>
          <w:rFonts w:hint="cs"/>
          <w:rtl/>
          <w:lang w:val="fr-CH"/>
        </w:rPr>
        <w:tab/>
        <w:t>23 أيار/مايو 2011</w:t>
      </w:r>
    </w:p>
    <w:p w:rsidR="00A877FF" w:rsidRDefault="00A877FF" w:rsidP="00A877FF">
      <w:pPr>
        <w:pStyle w:val="SingleTxtGA"/>
        <w:tabs>
          <w:tab w:val="clear" w:pos="3289"/>
          <w:tab w:val="clear" w:pos="3969"/>
        </w:tabs>
        <w:ind w:left="4253" w:hanging="2325"/>
        <w:rPr>
          <w:rFonts w:hint="cs"/>
          <w:rtl/>
          <w:lang w:val="fr-CH"/>
        </w:rPr>
      </w:pPr>
      <w:r w:rsidRPr="00AC0717">
        <w:rPr>
          <w:rFonts w:hint="cs"/>
          <w:i/>
          <w:iCs/>
          <w:rtl/>
          <w:lang w:val="fr-CH"/>
        </w:rPr>
        <w:t>الموضوع</w:t>
      </w:r>
      <w:r w:rsidRPr="00B43CD1">
        <w:rPr>
          <w:rFonts w:hint="cs"/>
          <w:i/>
          <w:iCs/>
          <w:rtl/>
          <w:lang w:val="fr-CH"/>
        </w:rPr>
        <w:t>:</w:t>
      </w:r>
      <w:r>
        <w:rPr>
          <w:rFonts w:hint="cs"/>
          <w:rtl/>
          <w:lang w:val="fr-CH"/>
        </w:rPr>
        <w:tab/>
        <w:t>إبعاد صاحب البلاغ إلى لبنان</w:t>
      </w:r>
    </w:p>
    <w:p w:rsidR="00A877FF" w:rsidRDefault="00A877FF" w:rsidP="00A877FF">
      <w:pPr>
        <w:pStyle w:val="SingleTxtGA"/>
        <w:tabs>
          <w:tab w:val="clear" w:pos="3289"/>
          <w:tab w:val="clear" w:pos="3969"/>
        </w:tabs>
        <w:ind w:left="4253" w:hanging="2325"/>
        <w:rPr>
          <w:rFonts w:hint="cs"/>
          <w:rtl/>
          <w:lang w:val="fr-CH"/>
        </w:rPr>
      </w:pPr>
      <w:r w:rsidRPr="00AC0717">
        <w:rPr>
          <w:rFonts w:hint="cs"/>
          <w:i/>
          <w:iCs/>
          <w:rtl/>
          <w:lang w:val="fr-CH"/>
        </w:rPr>
        <w:t>المسائل الإجرائية:</w:t>
      </w:r>
      <w:r w:rsidRPr="00AC0717">
        <w:rPr>
          <w:rFonts w:hint="cs"/>
          <w:i/>
          <w:iCs/>
          <w:rtl/>
          <w:lang w:val="fr-CH"/>
        </w:rPr>
        <w:tab/>
      </w:r>
      <w:r w:rsidRPr="00AC0717">
        <w:rPr>
          <w:rFonts w:hint="cs"/>
          <w:rtl/>
          <w:lang w:val="fr-CH"/>
        </w:rPr>
        <w:t>استنفاد سب</w:t>
      </w:r>
      <w:r>
        <w:rPr>
          <w:rFonts w:hint="cs"/>
          <w:rtl/>
          <w:lang w:val="fr-CH"/>
        </w:rPr>
        <w:t>ل</w:t>
      </w:r>
      <w:r w:rsidRPr="00AC0717">
        <w:rPr>
          <w:rFonts w:hint="cs"/>
          <w:rtl/>
          <w:lang w:val="fr-CH"/>
        </w:rPr>
        <w:t xml:space="preserve"> الانتصاف</w:t>
      </w:r>
      <w:r>
        <w:rPr>
          <w:rFonts w:hint="cs"/>
          <w:rtl/>
          <w:lang w:val="fr-CH"/>
        </w:rPr>
        <w:t xml:space="preserve"> المحلية </w:t>
      </w:r>
    </w:p>
    <w:p w:rsidR="00A877FF" w:rsidRDefault="00A877FF" w:rsidP="00A877FF">
      <w:pPr>
        <w:pStyle w:val="SingleTxtGA"/>
        <w:tabs>
          <w:tab w:val="clear" w:pos="3289"/>
          <w:tab w:val="clear" w:pos="3969"/>
        </w:tabs>
        <w:ind w:left="4253" w:hanging="2325"/>
        <w:rPr>
          <w:rFonts w:hint="cs"/>
          <w:rtl/>
          <w:lang w:val="fr-CH"/>
        </w:rPr>
      </w:pPr>
      <w:r w:rsidRPr="00AC0717">
        <w:rPr>
          <w:rFonts w:hint="cs"/>
          <w:i/>
          <w:iCs/>
          <w:rtl/>
          <w:lang w:val="fr-CH"/>
        </w:rPr>
        <w:t>المسائل الموضوعية:</w:t>
      </w:r>
      <w:r w:rsidRPr="00AC0717">
        <w:rPr>
          <w:rFonts w:hint="cs"/>
          <w:i/>
          <w:iCs/>
          <w:rtl/>
          <w:lang w:val="fr-CH"/>
        </w:rPr>
        <w:tab/>
      </w:r>
      <w:r>
        <w:rPr>
          <w:rFonts w:hint="cs"/>
          <w:rtl/>
          <w:lang w:val="fr-CH"/>
        </w:rPr>
        <w:t>عدم الترحيل القسري</w:t>
      </w:r>
    </w:p>
    <w:p w:rsidR="00A877FF" w:rsidRDefault="00A877FF" w:rsidP="00A877FF">
      <w:pPr>
        <w:pStyle w:val="SingleTxtGA"/>
        <w:tabs>
          <w:tab w:val="clear" w:pos="3289"/>
          <w:tab w:val="clear" w:pos="3969"/>
        </w:tabs>
        <w:ind w:left="4253" w:hanging="2325"/>
        <w:rPr>
          <w:rFonts w:hint="cs"/>
          <w:rtl/>
          <w:lang w:val="fr-CH"/>
        </w:rPr>
      </w:pPr>
      <w:r w:rsidRPr="00AC0717">
        <w:rPr>
          <w:rFonts w:hint="cs"/>
          <w:i/>
          <w:iCs/>
          <w:rtl/>
          <w:lang w:val="fr-CH"/>
        </w:rPr>
        <w:t xml:space="preserve">مواد </w:t>
      </w:r>
      <w:r>
        <w:rPr>
          <w:rFonts w:hint="cs"/>
          <w:i/>
          <w:iCs/>
          <w:rtl/>
          <w:lang w:val="fr-CH"/>
        </w:rPr>
        <w:t>الاتفاقية</w:t>
      </w:r>
      <w:r w:rsidRPr="00B43CD1">
        <w:rPr>
          <w:rFonts w:hint="cs"/>
          <w:i/>
          <w:iCs/>
          <w:rtl/>
          <w:lang w:val="fr-CH"/>
        </w:rPr>
        <w:t>:</w:t>
      </w:r>
      <w:r>
        <w:rPr>
          <w:rFonts w:hint="cs"/>
          <w:rtl/>
          <w:lang w:val="fr-CH"/>
        </w:rPr>
        <w:tab/>
        <w:t>المادة 3، والفقرتان 2 و5(ب) من المادة 22</w:t>
      </w:r>
    </w:p>
    <w:p w:rsidR="00A877FF" w:rsidRDefault="00A877FF" w:rsidP="00A877FF">
      <w:pPr>
        <w:pStyle w:val="SingleTxtGA"/>
        <w:tabs>
          <w:tab w:val="clear" w:pos="3289"/>
          <w:tab w:val="clear" w:pos="3969"/>
        </w:tabs>
        <w:ind w:left="4253" w:hanging="2325"/>
        <w:rPr>
          <w:rFonts w:hint="cs"/>
          <w:rtl/>
          <w:lang w:val="fr-CH"/>
        </w:rPr>
      </w:pPr>
      <w:r>
        <w:rPr>
          <w:rFonts w:hint="cs"/>
          <w:i/>
          <w:iCs/>
          <w:rtl/>
          <w:lang w:val="fr-CH"/>
        </w:rPr>
        <w:t>النظام الداخلي</w:t>
      </w:r>
      <w:r w:rsidRPr="00B43CD1">
        <w:rPr>
          <w:rFonts w:hint="cs"/>
          <w:i/>
          <w:iCs/>
          <w:rtl/>
          <w:lang w:val="fr-CH"/>
        </w:rPr>
        <w:t>:</w:t>
      </w:r>
      <w:r>
        <w:rPr>
          <w:rFonts w:hint="cs"/>
          <w:rtl/>
          <w:lang w:val="fr-CH"/>
        </w:rPr>
        <w:tab/>
        <w:t>الفقرات</w:t>
      </w:r>
      <w:r w:rsidR="00C316E4">
        <w:rPr>
          <w:rFonts w:hint="cs"/>
          <w:rtl/>
          <w:lang w:val="fr-CH"/>
        </w:rPr>
        <w:t xml:space="preserve"> (ب)</w:t>
      </w:r>
      <w:r>
        <w:rPr>
          <w:rFonts w:hint="cs"/>
          <w:rtl/>
          <w:lang w:val="fr-CH"/>
        </w:rPr>
        <w:t xml:space="preserve"> و(ج) و(ﻫ) من المادة 107</w:t>
      </w:r>
    </w:p>
    <w:p w:rsidR="00A877FF" w:rsidRPr="00AF5FAB" w:rsidRDefault="00A877FF" w:rsidP="00CD3084">
      <w:pPr>
        <w:pStyle w:val="SingleTxtGA"/>
        <w:jc w:val="left"/>
        <w:rPr>
          <w:rFonts w:hint="cs"/>
          <w:rtl/>
          <w:lang w:val="fr-CH"/>
        </w:rPr>
      </w:pPr>
      <w:r w:rsidRPr="00AF5FAB">
        <w:rPr>
          <w:rFonts w:hint="cs"/>
          <w:rtl/>
          <w:lang w:val="fr-CH"/>
        </w:rPr>
        <w:t>[مرفق]</w:t>
      </w:r>
    </w:p>
    <w:p w:rsidR="00A877FF" w:rsidRPr="00970822" w:rsidRDefault="00A877FF" w:rsidP="00970822">
      <w:pPr>
        <w:pStyle w:val="HChGA"/>
        <w:spacing w:before="120"/>
        <w:rPr>
          <w:rFonts w:hint="cs"/>
          <w:szCs w:val="28"/>
          <w:rtl/>
        </w:rPr>
      </w:pPr>
      <w:r>
        <w:rPr>
          <w:rtl/>
          <w:lang w:val="fr-CH"/>
        </w:rPr>
        <w:br w:type="page"/>
      </w:r>
      <w:r>
        <w:rPr>
          <w:rFonts w:hint="cs"/>
          <w:rtl/>
          <w:lang w:val="fr-CH"/>
        </w:rPr>
        <w:t>المرفق</w:t>
      </w:r>
    </w:p>
    <w:p w:rsidR="00A877FF" w:rsidRPr="00970822" w:rsidRDefault="00A877FF" w:rsidP="00970822">
      <w:pPr>
        <w:pStyle w:val="HChGA"/>
        <w:rPr>
          <w:rFonts w:hint="cs"/>
          <w:szCs w:val="28"/>
          <w:rtl/>
        </w:rPr>
      </w:pPr>
      <w:r>
        <w:rPr>
          <w:rFonts w:hint="cs"/>
          <w:rtl/>
          <w:lang w:val="fr-CH"/>
        </w:rPr>
        <w:tab/>
      </w:r>
      <w:r>
        <w:rPr>
          <w:rFonts w:hint="cs"/>
          <w:rtl/>
          <w:lang w:val="fr-CH"/>
        </w:rPr>
        <w:tab/>
        <w:t>قرار لجنة مناهضة التعذيب بموجب المادة 22 من اتفاقية مناهضة التعذيب وغيره من ضروب المعاملة أو العقوبة القاسية أو اللاإنسانية أو</w:t>
      </w:r>
      <w:r>
        <w:rPr>
          <w:rFonts w:hint="eastAsia"/>
          <w:rtl/>
          <w:lang w:val="fr-CH"/>
        </w:rPr>
        <w:t> </w:t>
      </w:r>
      <w:r>
        <w:rPr>
          <w:rFonts w:hint="cs"/>
          <w:rtl/>
          <w:lang w:val="fr-CH"/>
        </w:rPr>
        <w:t xml:space="preserve">المهينة </w:t>
      </w:r>
      <w:r w:rsidRPr="00AF5FAB">
        <w:rPr>
          <w:rFonts w:hint="cs"/>
          <w:b w:val="0"/>
          <w:bCs w:val="0"/>
          <w:rtl/>
          <w:lang w:val="fr-CH"/>
        </w:rPr>
        <w:t xml:space="preserve">(الدورة </w:t>
      </w:r>
      <w:r>
        <w:rPr>
          <w:rFonts w:hint="cs"/>
          <w:b w:val="0"/>
          <w:bCs w:val="0"/>
          <w:rtl/>
          <w:lang w:val="fr-CH"/>
        </w:rPr>
        <w:t>السادسة</w:t>
      </w:r>
      <w:r w:rsidRPr="00AF5FAB">
        <w:rPr>
          <w:rFonts w:hint="cs"/>
          <w:b w:val="0"/>
          <w:bCs w:val="0"/>
          <w:rtl/>
          <w:lang w:val="fr-CH"/>
        </w:rPr>
        <w:t xml:space="preserve"> والأربعون)</w:t>
      </w:r>
    </w:p>
    <w:p w:rsidR="00A877FF" w:rsidRDefault="00A877FF" w:rsidP="00A877FF">
      <w:pPr>
        <w:pStyle w:val="SingleTxtGA"/>
        <w:rPr>
          <w:rFonts w:hint="cs"/>
          <w:rtl/>
          <w:lang w:val="fr-CH"/>
        </w:rPr>
      </w:pPr>
      <w:r>
        <w:rPr>
          <w:rFonts w:hint="cs"/>
          <w:rtl/>
          <w:lang w:val="fr-CH"/>
        </w:rPr>
        <w:t>بشأن</w:t>
      </w:r>
    </w:p>
    <w:p w:rsidR="00A877FF" w:rsidRPr="00970822" w:rsidRDefault="00A877FF" w:rsidP="00970822">
      <w:pPr>
        <w:pStyle w:val="H1GA"/>
        <w:rPr>
          <w:rFonts w:hint="cs"/>
          <w:szCs w:val="24"/>
          <w:rtl/>
        </w:rPr>
      </w:pPr>
      <w:r w:rsidRPr="0063062F">
        <w:rPr>
          <w:rFonts w:hint="cs"/>
          <w:rtl/>
        </w:rPr>
        <w:tab/>
      </w:r>
      <w:r w:rsidRPr="0063062F">
        <w:rPr>
          <w:rFonts w:hint="cs"/>
          <w:rtl/>
        </w:rPr>
        <w:tab/>
      </w:r>
      <w:r w:rsidRPr="00855291">
        <w:rPr>
          <w:rFonts w:hint="cs"/>
          <w:rtl/>
        </w:rPr>
        <w:t xml:space="preserve">البلاغ رقم </w:t>
      </w:r>
      <w:r>
        <w:rPr>
          <w:rFonts w:hint="cs"/>
          <w:rtl/>
        </w:rPr>
        <w:t>395</w:t>
      </w:r>
      <w:r w:rsidRPr="00855291">
        <w:rPr>
          <w:rFonts w:hint="cs"/>
          <w:rtl/>
        </w:rPr>
        <w:t>/</w:t>
      </w:r>
      <w:r>
        <w:rPr>
          <w:rFonts w:hint="cs"/>
          <w:rtl/>
        </w:rPr>
        <w:t>2009</w:t>
      </w:r>
    </w:p>
    <w:p w:rsidR="00A877FF" w:rsidRPr="00C6006A" w:rsidRDefault="00A877FF" w:rsidP="00970822">
      <w:pPr>
        <w:pStyle w:val="SingleTxtGA"/>
        <w:tabs>
          <w:tab w:val="clear" w:pos="3289"/>
          <w:tab w:val="clear" w:pos="3969"/>
        </w:tabs>
        <w:ind w:left="4253" w:hanging="2325"/>
        <w:rPr>
          <w:rFonts w:hint="cs"/>
          <w:rtl/>
          <w:lang w:val="fr-CH"/>
        </w:rPr>
      </w:pPr>
      <w:r>
        <w:rPr>
          <w:rFonts w:hint="cs"/>
          <w:i/>
          <w:iCs/>
          <w:rtl/>
          <w:lang w:val="fr-CH"/>
        </w:rPr>
        <w:t>المقدم من:</w:t>
      </w:r>
      <w:r>
        <w:rPr>
          <w:rFonts w:hint="cs"/>
          <w:i/>
          <w:iCs/>
          <w:rtl/>
          <w:lang w:val="fr-CH"/>
        </w:rPr>
        <w:tab/>
      </w:r>
      <w:r w:rsidR="00970822" w:rsidRPr="00970822">
        <w:rPr>
          <w:rFonts w:hint="cs"/>
          <w:sz w:val="30"/>
          <w:rtl/>
          <w:lang w:val="fr-CH"/>
        </w:rPr>
        <w:t>ﻫ</w:t>
      </w:r>
      <w:r>
        <w:rPr>
          <w:rFonts w:hint="cs"/>
          <w:rtl/>
          <w:lang w:val="fr-CH"/>
        </w:rPr>
        <w:t>. م. (ت</w:t>
      </w:r>
      <w:r w:rsidRPr="00C6006A">
        <w:rPr>
          <w:rFonts w:hint="cs"/>
          <w:rtl/>
          <w:lang w:val="fr-CH"/>
        </w:rPr>
        <w:t>مثله المحامي</w:t>
      </w:r>
      <w:r>
        <w:rPr>
          <w:rFonts w:hint="cs"/>
          <w:rtl/>
          <w:lang w:val="fr-CH"/>
        </w:rPr>
        <w:t>ة</w:t>
      </w:r>
      <w:r w:rsidRPr="00C6006A">
        <w:rPr>
          <w:rFonts w:hint="cs"/>
          <w:rtl/>
          <w:lang w:val="fr-CH"/>
        </w:rPr>
        <w:t xml:space="preserve"> </w:t>
      </w:r>
      <w:r>
        <w:rPr>
          <w:rFonts w:hint="cs"/>
          <w:rtl/>
          <w:lang w:val="fr-CH"/>
        </w:rPr>
        <w:t>ماري هيلين جيرو</w:t>
      </w:r>
      <w:r w:rsidRPr="00C6006A">
        <w:rPr>
          <w:rFonts w:hint="cs"/>
          <w:rtl/>
          <w:lang w:val="fr-CH"/>
        </w:rPr>
        <w:t>)</w:t>
      </w:r>
    </w:p>
    <w:p w:rsidR="00A877FF" w:rsidRPr="00AC0717" w:rsidRDefault="00A877FF" w:rsidP="00A877FF">
      <w:pPr>
        <w:pStyle w:val="SingleTxtGA"/>
        <w:tabs>
          <w:tab w:val="clear" w:pos="3289"/>
          <w:tab w:val="clear" w:pos="3969"/>
        </w:tabs>
        <w:ind w:left="4253" w:hanging="2325"/>
        <w:rPr>
          <w:rFonts w:hint="cs"/>
          <w:rtl/>
          <w:lang w:val="fr-CH"/>
        </w:rPr>
      </w:pPr>
      <w:r>
        <w:rPr>
          <w:rFonts w:hint="cs"/>
          <w:i/>
          <w:iCs/>
          <w:rtl/>
          <w:lang w:val="fr-CH"/>
        </w:rPr>
        <w:t>الشخص المدعى أنه ضحية:</w:t>
      </w:r>
      <w:r>
        <w:rPr>
          <w:rFonts w:hint="cs"/>
          <w:i/>
          <w:iCs/>
          <w:rtl/>
          <w:lang w:val="fr-CH"/>
        </w:rPr>
        <w:tab/>
      </w:r>
      <w:r>
        <w:rPr>
          <w:rFonts w:hint="cs"/>
          <w:rtl/>
          <w:lang w:val="fr-CH"/>
        </w:rPr>
        <w:t>صاحب البلاغ</w:t>
      </w:r>
    </w:p>
    <w:p w:rsidR="00A877FF" w:rsidRDefault="00A877FF" w:rsidP="00A877FF">
      <w:pPr>
        <w:pStyle w:val="SingleTxtGA"/>
        <w:tabs>
          <w:tab w:val="clear" w:pos="3289"/>
          <w:tab w:val="clear" w:pos="3969"/>
        </w:tabs>
        <w:ind w:left="4253" w:hanging="2325"/>
        <w:rPr>
          <w:rFonts w:hint="cs"/>
          <w:rtl/>
          <w:lang w:val="fr-CH"/>
        </w:rPr>
      </w:pPr>
      <w:r>
        <w:rPr>
          <w:rFonts w:hint="cs"/>
          <w:i/>
          <w:iCs/>
          <w:rtl/>
          <w:lang w:val="fr-CH"/>
        </w:rPr>
        <w:t>الدولة الطرف:</w:t>
      </w:r>
      <w:r>
        <w:rPr>
          <w:rFonts w:hint="cs"/>
          <w:i/>
          <w:iCs/>
          <w:rtl/>
          <w:lang w:val="fr-CH"/>
        </w:rPr>
        <w:tab/>
      </w:r>
      <w:r>
        <w:rPr>
          <w:rFonts w:hint="cs"/>
          <w:rtl/>
          <w:lang w:val="fr-CH"/>
        </w:rPr>
        <w:t>كندا</w:t>
      </w:r>
    </w:p>
    <w:p w:rsidR="00A877FF" w:rsidRPr="00B13DFE" w:rsidRDefault="00A877FF" w:rsidP="00A877FF">
      <w:pPr>
        <w:pStyle w:val="SingleTxtGA"/>
        <w:tabs>
          <w:tab w:val="clear" w:pos="3289"/>
          <w:tab w:val="clear" w:pos="3969"/>
        </w:tabs>
        <w:ind w:left="4253" w:hanging="2325"/>
        <w:rPr>
          <w:rFonts w:hint="cs"/>
          <w:spacing w:val="-5"/>
          <w:rtl/>
          <w:lang w:val="fr-CH"/>
        </w:rPr>
      </w:pPr>
      <w:r>
        <w:rPr>
          <w:rFonts w:hint="cs"/>
          <w:i/>
          <w:iCs/>
          <w:rtl/>
          <w:lang w:val="fr-CH"/>
        </w:rPr>
        <w:t>تاريخ تقديم البلاغ:</w:t>
      </w:r>
      <w:r>
        <w:rPr>
          <w:rFonts w:hint="cs"/>
          <w:rtl/>
          <w:lang w:val="fr-CH"/>
        </w:rPr>
        <w:tab/>
      </w:r>
      <w:r>
        <w:rPr>
          <w:rFonts w:hint="cs"/>
          <w:spacing w:val="-5"/>
          <w:rtl/>
          <w:lang w:val="fr-CH"/>
        </w:rPr>
        <w:t>17</w:t>
      </w:r>
      <w:r w:rsidRPr="00B13DFE">
        <w:rPr>
          <w:rFonts w:hint="cs"/>
          <w:spacing w:val="-5"/>
          <w:rtl/>
          <w:lang w:val="fr-CH"/>
        </w:rPr>
        <w:t xml:space="preserve"> </w:t>
      </w:r>
      <w:r>
        <w:rPr>
          <w:rFonts w:hint="cs"/>
          <w:spacing w:val="-5"/>
          <w:rtl/>
          <w:lang w:val="fr-CH"/>
        </w:rPr>
        <w:t>آب</w:t>
      </w:r>
      <w:r w:rsidRPr="00B13DFE">
        <w:rPr>
          <w:rFonts w:hint="cs"/>
          <w:spacing w:val="-5"/>
          <w:rtl/>
          <w:lang w:val="fr-CH"/>
        </w:rPr>
        <w:t>/أ</w:t>
      </w:r>
      <w:r>
        <w:rPr>
          <w:rFonts w:hint="cs"/>
          <w:spacing w:val="-5"/>
          <w:rtl/>
          <w:lang w:val="fr-CH"/>
        </w:rPr>
        <w:t>غسطس</w:t>
      </w:r>
      <w:r w:rsidRPr="00B13DFE">
        <w:rPr>
          <w:rFonts w:hint="cs"/>
          <w:spacing w:val="-5"/>
          <w:rtl/>
          <w:lang w:val="fr-CH"/>
        </w:rPr>
        <w:t xml:space="preserve"> </w:t>
      </w:r>
      <w:r>
        <w:rPr>
          <w:rFonts w:hint="cs"/>
          <w:spacing w:val="-5"/>
          <w:rtl/>
          <w:lang w:val="fr-CH"/>
        </w:rPr>
        <w:t>2009</w:t>
      </w:r>
      <w:r w:rsidRPr="00B13DFE">
        <w:rPr>
          <w:rFonts w:hint="cs"/>
          <w:spacing w:val="-5"/>
          <w:rtl/>
          <w:lang w:val="fr-CH"/>
        </w:rPr>
        <w:t xml:space="preserve"> (تاريخ الرسالة الأولى)</w:t>
      </w:r>
    </w:p>
    <w:p w:rsidR="00A877FF" w:rsidRDefault="00A877FF" w:rsidP="00A877FF">
      <w:pPr>
        <w:pStyle w:val="SingleTxtGA"/>
        <w:rPr>
          <w:rFonts w:hint="cs"/>
          <w:rtl/>
          <w:lang w:val="fr-CH" w:eastAsia="ar-SA"/>
        </w:rPr>
      </w:pPr>
      <w:r>
        <w:rPr>
          <w:rFonts w:hint="cs"/>
          <w:rtl/>
          <w:lang w:val="fr-CH" w:eastAsia="ar-SA"/>
        </w:rPr>
        <w:tab/>
      </w:r>
      <w:r>
        <w:rPr>
          <w:rFonts w:hint="cs"/>
          <w:i/>
          <w:iCs/>
          <w:rtl/>
          <w:lang w:val="fr-CH" w:eastAsia="ar-SA"/>
        </w:rPr>
        <w:t>إن لجنة مناهضة التعذيب</w:t>
      </w:r>
      <w:r>
        <w:rPr>
          <w:rFonts w:hint="cs"/>
          <w:rtl/>
          <w:lang w:val="fr-CH" w:eastAsia="ar-SA"/>
        </w:rPr>
        <w:t>، المنشأة بموجب المادة 17 من اتفاقية مناهضة التعذيب وغيره من ضروب المعاملة أو العقوبة القاسية أو اللاإنسانية أو المهينة،</w:t>
      </w:r>
    </w:p>
    <w:p w:rsidR="00A877FF" w:rsidRDefault="00A877FF" w:rsidP="00970822">
      <w:pPr>
        <w:pStyle w:val="SingleTxtGA"/>
        <w:rPr>
          <w:rFonts w:hint="cs"/>
          <w:rtl/>
          <w:lang w:val="fr-CH" w:eastAsia="ar-SA"/>
        </w:rPr>
      </w:pPr>
      <w:r>
        <w:rPr>
          <w:rFonts w:hint="cs"/>
          <w:rtl/>
          <w:lang w:val="fr-CH" w:eastAsia="ar-SA"/>
        </w:rPr>
        <w:tab/>
      </w:r>
      <w:r>
        <w:rPr>
          <w:rFonts w:hint="cs"/>
          <w:i/>
          <w:iCs/>
          <w:rtl/>
          <w:lang w:val="fr-CH" w:eastAsia="ar-SA"/>
        </w:rPr>
        <w:t>وقد اجتمعت</w:t>
      </w:r>
      <w:r>
        <w:rPr>
          <w:rFonts w:hint="cs"/>
          <w:rtl/>
          <w:lang w:val="fr-CH" w:eastAsia="ar-SA"/>
        </w:rPr>
        <w:t xml:space="preserve"> في 23 أيار/مايو 20</w:t>
      </w:r>
      <w:r w:rsidR="00970822">
        <w:rPr>
          <w:rFonts w:hint="cs"/>
          <w:rtl/>
          <w:lang w:val="fr-CH" w:eastAsia="ar-SA"/>
        </w:rPr>
        <w:t>11</w:t>
      </w:r>
      <w:r>
        <w:rPr>
          <w:rFonts w:hint="cs"/>
          <w:rtl/>
          <w:lang w:val="fr-CH" w:eastAsia="ar-SA"/>
        </w:rPr>
        <w:t>،</w:t>
      </w:r>
    </w:p>
    <w:p w:rsidR="00A877FF" w:rsidRPr="00FF6E25" w:rsidRDefault="00A877FF" w:rsidP="00970822">
      <w:pPr>
        <w:pStyle w:val="SingleTxtGA"/>
        <w:rPr>
          <w:rFonts w:hint="cs"/>
          <w:rtl/>
          <w:lang w:val="fr-CH" w:eastAsia="ar-SA"/>
        </w:rPr>
      </w:pPr>
      <w:r>
        <w:rPr>
          <w:rFonts w:hint="cs"/>
          <w:rtl/>
          <w:lang w:val="fr-CH" w:eastAsia="ar-SA"/>
        </w:rPr>
        <w:tab/>
      </w:r>
      <w:r>
        <w:rPr>
          <w:rFonts w:hint="cs"/>
          <w:i/>
          <w:iCs/>
          <w:rtl/>
          <w:lang w:val="fr-CH" w:eastAsia="ar-SA"/>
        </w:rPr>
        <w:t xml:space="preserve">وقد فرغت من النظر </w:t>
      </w:r>
      <w:r>
        <w:rPr>
          <w:rFonts w:hint="cs"/>
          <w:rtl/>
          <w:lang w:val="fr-CH" w:eastAsia="ar-SA"/>
        </w:rPr>
        <w:t>في البلاغ رقم 395/2009 المقدم إليها نيابة عن</w:t>
      </w:r>
      <w:r w:rsidR="00970822">
        <w:rPr>
          <w:rFonts w:hint="cs"/>
          <w:rtl/>
          <w:lang w:val="fr-CH" w:eastAsia="ar-SA"/>
        </w:rPr>
        <w:t xml:space="preserve"> السيد</w:t>
      </w:r>
      <w:r>
        <w:rPr>
          <w:rFonts w:hint="cs"/>
          <w:rtl/>
          <w:lang w:val="fr-CH" w:eastAsia="ar-SA"/>
        </w:rPr>
        <w:t xml:space="preserve"> </w:t>
      </w:r>
      <w:r w:rsidR="00970822" w:rsidRPr="00970822">
        <w:rPr>
          <w:rFonts w:hint="cs"/>
          <w:sz w:val="30"/>
          <w:rtl/>
          <w:lang w:val="fr-CH" w:eastAsia="ar-SA"/>
        </w:rPr>
        <w:t>ﻫ</w:t>
      </w:r>
      <w:r>
        <w:rPr>
          <w:rFonts w:hint="cs"/>
          <w:rtl/>
          <w:lang w:val="fr-CH" w:eastAsia="ar-SA"/>
        </w:rPr>
        <w:t>. م. بموجب المادة 22 من اتفاقية مناهضة التعذيب وغيره من ضروب المعاملة أو العقوبة القاسية أو اللاإنسانية أو المهينة،</w:t>
      </w:r>
    </w:p>
    <w:p w:rsidR="00A877FF" w:rsidRPr="00FF6E25" w:rsidRDefault="00A877FF" w:rsidP="00331474">
      <w:pPr>
        <w:pStyle w:val="SingleTxtGA"/>
        <w:rPr>
          <w:rFonts w:hint="cs"/>
          <w:rtl/>
          <w:lang w:val="fr-CH"/>
        </w:rPr>
      </w:pPr>
      <w:r>
        <w:rPr>
          <w:rFonts w:hint="cs"/>
          <w:rtl/>
          <w:lang w:val="fr-CH"/>
        </w:rPr>
        <w:tab/>
      </w:r>
      <w:r>
        <w:rPr>
          <w:rFonts w:hint="cs"/>
          <w:i/>
          <w:iCs/>
          <w:rtl/>
          <w:lang w:val="fr-CH"/>
        </w:rPr>
        <w:t>وقد أخذت في</w:t>
      </w:r>
      <w:r w:rsidR="00331474">
        <w:rPr>
          <w:rFonts w:hint="cs"/>
          <w:i/>
          <w:iCs/>
          <w:rtl/>
          <w:lang w:val="fr-CH"/>
        </w:rPr>
        <w:t xml:space="preserve"> اعتبارها </w:t>
      </w:r>
      <w:r>
        <w:rPr>
          <w:rFonts w:hint="cs"/>
          <w:rtl/>
          <w:lang w:val="fr-CH"/>
        </w:rPr>
        <w:t xml:space="preserve">جميع المعلومات التي أتاحها لها صاحب البلاغ ومحاميه والدولة الطرف، </w:t>
      </w:r>
    </w:p>
    <w:p w:rsidR="00A877FF" w:rsidRPr="00FF6E25" w:rsidRDefault="00A877FF" w:rsidP="00A877FF">
      <w:pPr>
        <w:pStyle w:val="SingleTxtGA"/>
        <w:rPr>
          <w:rFonts w:hint="cs"/>
          <w:rtl/>
          <w:lang w:val="fr-CH"/>
        </w:rPr>
      </w:pPr>
      <w:r>
        <w:rPr>
          <w:rFonts w:hint="cs"/>
          <w:rtl/>
          <w:lang w:val="fr-CH"/>
        </w:rPr>
        <w:tab/>
      </w:r>
      <w:r>
        <w:rPr>
          <w:rFonts w:hint="cs"/>
          <w:i/>
          <w:iCs/>
          <w:rtl/>
          <w:lang w:val="fr-CH"/>
        </w:rPr>
        <w:t>تعتمد</w:t>
      </w:r>
      <w:r>
        <w:rPr>
          <w:rFonts w:hint="cs"/>
          <w:rtl/>
          <w:lang w:val="fr-CH"/>
        </w:rPr>
        <w:t xml:space="preserve"> ما يلي:</w:t>
      </w:r>
    </w:p>
    <w:p w:rsidR="00A877FF" w:rsidRDefault="00A877FF" w:rsidP="00A877FF">
      <w:pPr>
        <w:pStyle w:val="H23GA"/>
        <w:rPr>
          <w:rFonts w:hint="cs"/>
          <w:rtl/>
          <w:lang w:val="fr-CH"/>
        </w:rPr>
      </w:pPr>
      <w:r>
        <w:rPr>
          <w:rFonts w:hint="cs"/>
          <w:rtl/>
          <w:lang w:val="fr-CH"/>
        </w:rPr>
        <w:tab/>
      </w:r>
      <w:r>
        <w:rPr>
          <w:rFonts w:hint="cs"/>
          <w:rtl/>
          <w:lang w:val="fr-CH"/>
        </w:rPr>
        <w:tab/>
        <w:t>قرار بشأن المقبولية</w:t>
      </w:r>
    </w:p>
    <w:p w:rsidR="00A877FF" w:rsidRDefault="00A877FF" w:rsidP="0061648F">
      <w:pPr>
        <w:pStyle w:val="SingleTxtGA"/>
        <w:rPr>
          <w:rFonts w:hint="cs"/>
          <w:rtl/>
          <w:lang w:val="fr-CH"/>
        </w:rPr>
      </w:pPr>
      <w:r>
        <w:rPr>
          <w:rFonts w:hint="cs"/>
          <w:rtl/>
          <w:lang w:val="fr-CH"/>
        </w:rPr>
        <w:t>1-1</w:t>
      </w:r>
      <w:r>
        <w:rPr>
          <w:rFonts w:hint="cs"/>
          <w:rtl/>
          <w:lang w:val="fr-CH"/>
        </w:rPr>
        <w:tab/>
      </w:r>
      <w:r w:rsidRPr="00C96F72">
        <w:rPr>
          <w:rFonts w:hint="cs"/>
          <w:sz w:val="30"/>
          <w:rtl/>
        </w:rPr>
        <w:t xml:space="preserve">صاحب البلاغ هو السيد </w:t>
      </w:r>
      <w:r w:rsidR="0061648F" w:rsidRPr="0061648F">
        <w:rPr>
          <w:rFonts w:hint="cs"/>
          <w:sz w:val="30"/>
          <w:rtl/>
        </w:rPr>
        <w:t>ﻫ</w:t>
      </w:r>
      <w:r>
        <w:rPr>
          <w:rFonts w:hint="cs"/>
          <w:sz w:val="30"/>
          <w:rtl/>
        </w:rPr>
        <w:t>. م.</w:t>
      </w:r>
      <w:r w:rsidRPr="00C96F72">
        <w:rPr>
          <w:rFonts w:hint="cs"/>
          <w:sz w:val="30"/>
          <w:rtl/>
        </w:rPr>
        <w:t>، و</w:t>
      </w:r>
      <w:r>
        <w:rPr>
          <w:rFonts w:hint="cs"/>
          <w:sz w:val="30"/>
          <w:rtl/>
        </w:rPr>
        <w:t xml:space="preserve">هو </w:t>
      </w:r>
      <w:r w:rsidRPr="00C96F72">
        <w:rPr>
          <w:rFonts w:hint="cs"/>
          <w:sz w:val="30"/>
          <w:rtl/>
        </w:rPr>
        <w:t xml:space="preserve">مواطن </w:t>
      </w:r>
      <w:r>
        <w:rPr>
          <w:rFonts w:hint="cs"/>
          <w:sz w:val="30"/>
          <w:rtl/>
        </w:rPr>
        <w:t>لبناني</w:t>
      </w:r>
      <w:r w:rsidR="0061648F">
        <w:rPr>
          <w:rFonts w:hint="cs"/>
          <w:sz w:val="30"/>
          <w:rtl/>
        </w:rPr>
        <w:t xml:space="preserve"> من مواليد عام 1966 و</w:t>
      </w:r>
      <w:r>
        <w:rPr>
          <w:rFonts w:hint="cs"/>
          <w:sz w:val="30"/>
          <w:rtl/>
        </w:rPr>
        <w:t>مقيم في كندا.</w:t>
      </w:r>
      <w:r w:rsidRPr="00C96F72">
        <w:rPr>
          <w:rFonts w:hint="cs"/>
          <w:sz w:val="30"/>
          <w:rtl/>
        </w:rPr>
        <w:t xml:space="preserve"> </w:t>
      </w:r>
      <w:r>
        <w:rPr>
          <w:rFonts w:hint="cs"/>
          <w:sz w:val="30"/>
          <w:rtl/>
        </w:rPr>
        <w:t>و</w:t>
      </w:r>
      <w:r w:rsidR="0061648F">
        <w:rPr>
          <w:rFonts w:hint="cs"/>
          <w:sz w:val="30"/>
          <w:rtl/>
        </w:rPr>
        <w:t xml:space="preserve">هو </w:t>
      </w:r>
      <w:r>
        <w:rPr>
          <w:rFonts w:hint="cs"/>
          <w:sz w:val="30"/>
          <w:rtl/>
        </w:rPr>
        <w:t xml:space="preserve">يدعي </w:t>
      </w:r>
      <w:r w:rsidRPr="00C96F72">
        <w:rPr>
          <w:rFonts w:hint="cs"/>
          <w:sz w:val="30"/>
          <w:rtl/>
        </w:rPr>
        <w:t xml:space="preserve">أن </w:t>
      </w:r>
      <w:r>
        <w:rPr>
          <w:rFonts w:hint="cs"/>
          <w:sz w:val="30"/>
          <w:rtl/>
        </w:rPr>
        <w:t>إبعاده</w:t>
      </w:r>
      <w:r w:rsidRPr="00C96F72">
        <w:rPr>
          <w:rFonts w:hint="cs"/>
          <w:sz w:val="30"/>
          <w:rtl/>
        </w:rPr>
        <w:t xml:space="preserve"> إلى </w:t>
      </w:r>
      <w:r>
        <w:rPr>
          <w:rFonts w:hint="cs"/>
          <w:sz w:val="30"/>
          <w:rtl/>
        </w:rPr>
        <w:t>لبنان سي</w:t>
      </w:r>
      <w:r w:rsidRPr="00C96F72">
        <w:rPr>
          <w:rFonts w:hint="cs"/>
          <w:sz w:val="30"/>
          <w:rtl/>
        </w:rPr>
        <w:t xml:space="preserve">شكل انتهاكاً </w:t>
      </w:r>
      <w:r w:rsidR="0061648F">
        <w:rPr>
          <w:rFonts w:hint="cs"/>
          <w:sz w:val="30"/>
          <w:rtl/>
        </w:rPr>
        <w:t xml:space="preserve">من </w:t>
      </w:r>
      <w:r w:rsidRPr="00C96F72">
        <w:rPr>
          <w:rFonts w:hint="cs"/>
          <w:sz w:val="30"/>
          <w:rtl/>
        </w:rPr>
        <w:t>كندا للمادة 3 من اتفاقية مناهضة التعذيب وغيره من ضروب المعاملة أو</w:t>
      </w:r>
      <w:r>
        <w:rPr>
          <w:rFonts w:hint="cs"/>
          <w:sz w:val="30"/>
          <w:rtl/>
        </w:rPr>
        <w:t xml:space="preserve"> </w:t>
      </w:r>
      <w:r w:rsidRPr="00C96F72">
        <w:rPr>
          <w:rFonts w:hint="cs"/>
          <w:sz w:val="30"/>
          <w:rtl/>
        </w:rPr>
        <w:t>العقوبة القاس</w:t>
      </w:r>
      <w:r>
        <w:rPr>
          <w:rFonts w:hint="cs"/>
          <w:sz w:val="30"/>
          <w:rtl/>
        </w:rPr>
        <w:t>ية أو اللاإنسانية أو المهينة. وت</w:t>
      </w:r>
      <w:r w:rsidRPr="00C96F72">
        <w:rPr>
          <w:rFonts w:hint="cs"/>
          <w:sz w:val="30"/>
          <w:rtl/>
        </w:rPr>
        <w:t>مثله المحامي</w:t>
      </w:r>
      <w:r>
        <w:rPr>
          <w:rFonts w:hint="cs"/>
          <w:sz w:val="30"/>
          <w:rtl/>
        </w:rPr>
        <w:t>ة</w:t>
      </w:r>
      <w:r w:rsidRPr="00C96F72">
        <w:rPr>
          <w:rFonts w:hint="cs"/>
          <w:sz w:val="30"/>
          <w:rtl/>
        </w:rPr>
        <w:t xml:space="preserve"> </w:t>
      </w:r>
      <w:r>
        <w:rPr>
          <w:rFonts w:hint="cs"/>
          <w:sz w:val="30"/>
          <w:rtl/>
        </w:rPr>
        <w:t>ماري</w:t>
      </w:r>
      <w:r w:rsidR="0061648F">
        <w:rPr>
          <w:rFonts w:hint="cs"/>
          <w:sz w:val="30"/>
          <w:rtl/>
        </w:rPr>
        <w:t xml:space="preserve"> - </w:t>
      </w:r>
      <w:r>
        <w:rPr>
          <w:rFonts w:hint="cs"/>
          <w:sz w:val="30"/>
          <w:rtl/>
        </w:rPr>
        <w:t>هيلين جيرو</w:t>
      </w:r>
      <w:r>
        <w:rPr>
          <w:rFonts w:hint="cs"/>
          <w:rtl/>
          <w:lang w:val="fr-CH"/>
        </w:rPr>
        <w:t>.</w:t>
      </w:r>
    </w:p>
    <w:p w:rsidR="00A877FF" w:rsidRDefault="00A877FF" w:rsidP="00F302DE">
      <w:pPr>
        <w:pStyle w:val="SingleTxtGA"/>
        <w:rPr>
          <w:rFonts w:hint="cs"/>
          <w:rtl/>
          <w:lang w:val="fr-CH"/>
        </w:rPr>
      </w:pPr>
      <w:r>
        <w:rPr>
          <w:rFonts w:hint="cs"/>
          <w:rtl/>
          <w:lang w:val="fr-CH"/>
        </w:rPr>
        <w:t>1-2</w:t>
      </w:r>
      <w:r>
        <w:rPr>
          <w:rFonts w:hint="cs"/>
          <w:rtl/>
          <w:lang w:val="fr-CH"/>
        </w:rPr>
        <w:tab/>
      </w:r>
      <w:r w:rsidRPr="00AF4A5E">
        <w:rPr>
          <w:rFonts w:hint="cs"/>
          <w:sz w:val="30"/>
          <w:rtl/>
        </w:rPr>
        <w:t xml:space="preserve">وفي </w:t>
      </w:r>
      <w:r>
        <w:rPr>
          <w:rFonts w:hint="cs"/>
          <w:sz w:val="30"/>
          <w:rtl/>
        </w:rPr>
        <w:t>24</w:t>
      </w:r>
      <w:r w:rsidRPr="00AF4A5E">
        <w:rPr>
          <w:rFonts w:hint="cs"/>
          <w:sz w:val="30"/>
          <w:rtl/>
        </w:rPr>
        <w:t xml:space="preserve"> </w:t>
      </w:r>
      <w:r>
        <w:rPr>
          <w:rFonts w:hint="cs"/>
          <w:sz w:val="30"/>
          <w:rtl/>
        </w:rPr>
        <w:t>آب</w:t>
      </w:r>
      <w:r w:rsidRPr="00AF4A5E">
        <w:rPr>
          <w:rFonts w:hint="cs"/>
          <w:sz w:val="30"/>
          <w:rtl/>
        </w:rPr>
        <w:t>/أ</w:t>
      </w:r>
      <w:r>
        <w:rPr>
          <w:rFonts w:hint="cs"/>
          <w:sz w:val="30"/>
          <w:rtl/>
        </w:rPr>
        <w:t>غسطس</w:t>
      </w:r>
      <w:r w:rsidRPr="00AF4A5E">
        <w:rPr>
          <w:rFonts w:hint="cs"/>
          <w:sz w:val="30"/>
          <w:rtl/>
        </w:rPr>
        <w:t xml:space="preserve"> </w:t>
      </w:r>
      <w:r>
        <w:rPr>
          <w:rFonts w:hint="cs"/>
          <w:sz w:val="30"/>
          <w:rtl/>
        </w:rPr>
        <w:t>2009</w:t>
      </w:r>
      <w:r w:rsidRPr="00AF4A5E">
        <w:rPr>
          <w:rFonts w:hint="cs"/>
          <w:sz w:val="30"/>
          <w:rtl/>
        </w:rPr>
        <w:t xml:space="preserve">، </w:t>
      </w:r>
      <w:r w:rsidR="00A32329">
        <w:rPr>
          <w:rFonts w:hint="cs"/>
          <w:sz w:val="30"/>
          <w:rtl/>
        </w:rPr>
        <w:t>وجهت</w:t>
      </w:r>
      <w:r w:rsidRPr="00AF4A5E">
        <w:rPr>
          <w:rFonts w:hint="cs"/>
          <w:sz w:val="30"/>
          <w:rtl/>
        </w:rPr>
        <w:t xml:space="preserve"> اللجنة، </w:t>
      </w:r>
      <w:r>
        <w:rPr>
          <w:rFonts w:hint="cs"/>
          <w:sz w:val="30"/>
          <w:rtl/>
        </w:rPr>
        <w:t>بناء على طلب صاحب البلاغ و</w:t>
      </w:r>
      <w:r w:rsidRPr="00AF4A5E">
        <w:rPr>
          <w:rFonts w:hint="cs"/>
          <w:sz w:val="30"/>
          <w:rtl/>
        </w:rPr>
        <w:t xml:space="preserve">بواسطة مقررها الخاص المعني بالبلاغات الجديدة والتدابير المؤقتة، </w:t>
      </w:r>
      <w:r w:rsidR="00A32329">
        <w:rPr>
          <w:rFonts w:hint="cs"/>
          <w:sz w:val="30"/>
          <w:rtl/>
        </w:rPr>
        <w:t xml:space="preserve">طلباً إلى </w:t>
      </w:r>
      <w:r w:rsidRPr="00AF4A5E">
        <w:rPr>
          <w:rFonts w:hint="cs"/>
          <w:sz w:val="30"/>
          <w:rtl/>
        </w:rPr>
        <w:t xml:space="preserve">الدولة الطرف </w:t>
      </w:r>
      <w:r w:rsidR="00F302DE">
        <w:rPr>
          <w:rFonts w:hint="cs"/>
          <w:sz w:val="30"/>
          <w:rtl/>
        </w:rPr>
        <w:t>لوقف</w:t>
      </w:r>
      <w:r>
        <w:rPr>
          <w:rFonts w:hint="cs"/>
          <w:sz w:val="30"/>
          <w:rtl/>
        </w:rPr>
        <w:t xml:space="preserve"> إبعاد صاحب البلاغ إلى لبنان ما دام البلاغ قيد النظر</w:t>
      </w:r>
      <w:r w:rsidRPr="00AF4A5E">
        <w:rPr>
          <w:rFonts w:hint="cs"/>
          <w:sz w:val="30"/>
          <w:rtl/>
        </w:rPr>
        <w:t>.</w:t>
      </w:r>
      <w:r>
        <w:rPr>
          <w:rFonts w:hint="cs"/>
          <w:rtl/>
          <w:lang w:val="fr-CH"/>
        </w:rPr>
        <w:t xml:space="preserve"> </w:t>
      </w:r>
    </w:p>
    <w:p w:rsidR="00A877FF" w:rsidRPr="00FF6E25" w:rsidRDefault="00A877FF" w:rsidP="00A877FF">
      <w:pPr>
        <w:pStyle w:val="H23GA"/>
        <w:rPr>
          <w:rFonts w:hint="cs"/>
          <w:rtl/>
          <w:lang w:val="fr-CH"/>
        </w:rPr>
      </w:pPr>
      <w:r>
        <w:rPr>
          <w:rFonts w:hint="cs"/>
          <w:rtl/>
          <w:lang w:val="fr-CH"/>
        </w:rPr>
        <w:tab/>
      </w:r>
      <w:r>
        <w:rPr>
          <w:rFonts w:hint="cs"/>
          <w:rtl/>
          <w:lang w:val="fr-CH"/>
        </w:rPr>
        <w:tab/>
        <w:t>الوقائع</w:t>
      </w:r>
    </w:p>
    <w:p w:rsidR="00A877FF" w:rsidRDefault="00A877FF" w:rsidP="00EF5F50">
      <w:pPr>
        <w:pStyle w:val="SingleTxtGA"/>
        <w:rPr>
          <w:rFonts w:hint="cs"/>
          <w:rtl/>
          <w:lang w:val="fr-CH"/>
        </w:rPr>
      </w:pPr>
      <w:r>
        <w:rPr>
          <w:rFonts w:hint="cs"/>
          <w:rtl/>
          <w:lang w:val="fr-CH"/>
        </w:rPr>
        <w:t>2-1</w:t>
      </w:r>
      <w:r>
        <w:rPr>
          <w:rFonts w:hint="cs"/>
          <w:rtl/>
          <w:lang w:val="fr-CH"/>
        </w:rPr>
        <w:tab/>
      </w:r>
      <w:r>
        <w:rPr>
          <w:rFonts w:hint="cs"/>
          <w:sz w:val="30"/>
          <w:rtl/>
        </w:rPr>
        <w:t xml:space="preserve">كان صاحب البلاغ السيد </w:t>
      </w:r>
      <w:r w:rsidR="00F302DE" w:rsidRPr="00F302DE">
        <w:rPr>
          <w:rFonts w:hint="cs"/>
          <w:sz w:val="30"/>
          <w:rtl/>
        </w:rPr>
        <w:t>ﻫ</w:t>
      </w:r>
      <w:r>
        <w:rPr>
          <w:rFonts w:hint="cs"/>
          <w:sz w:val="30"/>
          <w:rtl/>
        </w:rPr>
        <w:t xml:space="preserve">. م. يلعب دوراً هاماً في حزب "الشيعة" في لبنان، </w:t>
      </w:r>
      <w:r w:rsidR="00EF5F50">
        <w:rPr>
          <w:rFonts w:hint="cs"/>
          <w:sz w:val="30"/>
          <w:rtl/>
        </w:rPr>
        <w:t>و</w:t>
      </w:r>
      <w:r>
        <w:rPr>
          <w:rFonts w:hint="cs"/>
          <w:sz w:val="30"/>
          <w:rtl/>
        </w:rPr>
        <w:t>ك</w:t>
      </w:r>
      <w:r w:rsidR="00EF5F50">
        <w:rPr>
          <w:rFonts w:hint="cs"/>
          <w:sz w:val="30"/>
          <w:rtl/>
        </w:rPr>
        <w:t xml:space="preserve">ان أخوه قائداً مهماً فيه. وفي </w:t>
      </w:r>
      <w:r>
        <w:rPr>
          <w:rFonts w:hint="cs"/>
          <w:sz w:val="30"/>
          <w:rtl/>
        </w:rPr>
        <w:t xml:space="preserve">عام 1989، أطلقت قوات من حزب الله النار عليه وعلى أخيه في منطقة برج البراجنة (في ضاحية بيروت الجنوبية). وبعد بضعة أشهر، </w:t>
      </w:r>
      <w:r w:rsidR="00EF5F50">
        <w:rPr>
          <w:rFonts w:hint="cs"/>
          <w:sz w:val="30"/>
          <w:rtl/>
        </w:rPr>
        <w:t xml:space="preserve">توجه أفراد من الجيش السوري إلى </w:t>
      </w:r>
      <w:r>
        <w:rPr>
          <w:rFonts w:hint="cs"/>
          <w:sz w:val="30"/>
          <w:rtl/>
        </w:rPr>
        <w:t xml:space="preserve">منزل </w:t>
      </w:r>
      <w:r w:rsidR="00EF5F50">
        <w:rPr>
          <w:rFonts w:hint="cs"/>
          <w:sz w:val="30"/>
          <w:rtl/>
        </w:rPr>
        <w:t xml:space="preserve">عائلته </w:t>
      </w:r>
      <w:r>
        <w:rPr>
          <w:rFonts w:hint="cs"/>
          <w:sz w:val="30"/>
          <w:rtl/>
        </w:rPr>
        <w:t xml:space="preserve">وهددوا </w:t>
      </w:r>
      <w:r w:rsidR="00EF5F50">
        <w:rPr>
          <w:rFonts w:hint="cs"/>
          <w:sz w:val="30"/>
          <w:rtl/>
        </w:rPr>
        <w:t>أفرادها</w:t>
      </w:r>
      <w:r>
        <w:rPr>
          <w:rFonts w:hint="cs"/>
          <w:sz w:val="30"/>
          <w:rtl/>
        </w:rPr>
        <w:t>. وفي أعقاب هذه الحادثة، غادر أخوه لبنان واستقر في كندا. أما صاحب البلاغ فهرب من المنطقة ولجأ</w:t>
      </w:r>
      <w:r w:rsidR="00EF5F50">
        <w:rPr>
          <w:rFonts w:hint="cs"/>
          <w:sz w:val="30"/>
          <w:rtl/>
        </w:rPr>
        <w:t xml:space="preserve"> إلى منطقة أخرى في بيروت. وفي </w:t>
      </w:r>
      <w:r>
        <w:rPr>
          <w:rFonts w:hint="cs"/>
          <w:sz w:val="30"/>
          <w:rtl/>
        </w:rPr>
        <w:t>عام 1993، اشتدت</w:t>
      </w:r>
      <w:r w:rsidR="00EF5F50">
        <w:rPr>
          <w:rFonts w:hint="cs"/>
          <w:sz w:val="30"/>
          <w:rtl/>
        </w:rPr>
        <w:t xml:space="preserve"> حدة التوتر مع الجيش السوري، ف</w:t>
      </w:r>
      <w:r>
        <w:rPr>
          <w:rFonts w:hint="cs"/>
          <w:sz w:val="30"/>
          <w:rtl/>
        </w:rPr>
        <w:t>اتصل به أخوه الذي كان يقيم في كندا وطلب منه جمع معلومات عن أنشطة الجيش السوري في بيروت الغربية.</w:t>
      </w:r>
      <w:r w:rsidRPr="00704C3D">
        <w:rPr>
          <w:rFonts w:hint="cs"/>
          <w:sz w:val="30"/>
          <w:rtl/>
        </w:rPr>
        <w:t xml:space="preserve"> </w:t>
      </w:r>
      <w:r>
        <w:rPr>
          <w:rFonts w:hint="cs"/>
          <w:sz w:val="30"/>
          <w:rtl/>
        </w:rPr>
        <w:t>وفي تشرين الثاني/نوفمبر من العام نفسه، أوقف أفراد من الجيش السوري صاحب البلاغ واحتجزوه في الرملة</w:t>
      </w:r>
      <w:r w:rsidR="00EF5F50">
        <w:rPr>
          <w:rFonts w:hint="cs"/>
          <w:sz w:val="30"/>
          <w:rtl/>
        </w:rPr>
        <w:t xml:space="preserve"> البيضاء (بيروت) خلال سبعة أيام، حيث </w:t>
      </w:r>
      <w:r>
        <w:rPr>
          <w:rFonts w:hint="cs"/>
          <w:sz w:val="30"/>
          <w:rtl/>
        </w:rPr>
        <w:t xml:space="preserve">أوسع ضرباً. وفي تموز/يوليه 1994، عاد أخوه إلى لبنان في زيارة عائلية، وبعد مرور أسبوع على وصوله اعتقله الجيش السوري. واحتُجز في عدرا بسوريا لأكثر من عامين. وبعد هذه الحادثة، اختبأ صاحب البلاغ عند إحدى أخواته في جنوب البلد </w:t>
      </w:r>
      <w:r w:rsidR="00EF5F50">
        <w:rPr>
          <w:rFonts w:hint="cs"/>
          <w:sz w:val="30"/>
          <w:rtl/>
        </w:rPr>
        <w:t>لمدة</w:t>
      </w:r>
      <w:r>
        <w:rPr>
          <w:rFonts w:hint="cs"/>
          <w:sz w:val="30"/>
          <w:rtl/>
        </w:rPr>
        <w:t xml:space="preserve"> عامين إذ كان يدرك أن الجيش السوري يبحث عنه أيضاً. وفي نيسان/أبريل 1996، غادر البلد مع طفلي أخيه </w:t>
      </w:r>
      <w:r w:rsidR="00EF5F50">
        <w:rPr>
          <w:rFonts w:hint="cs"/>
          <w:sz w:val="30"/>
          <w:rtl/>
        </w:rPr>
        <w:t xml:space="preserve">طالباً </w:t>
      </w:r>
      <w:r>
        <w:rPr>
          <w:rFonts w:hint="cs"/>
          <w:sz w:val="30"/>
          <w:rtl/>
        </w:rPr>
        <w:t xml:space="preserve">اللجوء </w:t>
      </w:r>
      <w:r w:rsidR="00EF5F50">
        <w:rPr>
          <w:rFonts w:hint="cs"/>
          <w:sz w:val="30"/>
          <w:rtl/>
        </w:rPr>
        <w:t>في</w:t>
      </w:r>
      <w:r>
        <w:rPr>
          <w:rFonts w:hint="cs"/>
          <w:sz w:val="30"/>
          <w:rtl/>
        </w:rPr>
        <w:t xml:space="preserve"> كندا. وفي 18 كانون الأول/ديسمبر 1998، منحته كندا وضع اللاجئ، وفي 8 كانون الأول/ديسمبر 2000 حصل على الإقامة الدائمة في البلد.</w:t>
      </w:r>
      <w:r w:rsidRPr="00892F78">
        <w:rPr>
          <w:rFonts w:hint="cs"/>
          <w:spacing w:val="-2"/>
          <w:rtl/>
          <w:lang w:val="fr-CH"/>
        </w:rPr>
        <w:t xml:space="preserve"> </w:t>
      </w:r>
    </w:p>
    <w:p w:rsidR="00A877FF" w:rsidRPr="00892F78" w:rsidRDefault="00A877FF" w:rsidP="005321CD">
      <w:pPr>
        <w:pStyle w:val="SingleTxtGA"/>
        <w:rPr>
          <w:rFonts w:hint="cs"/>
          <w:spacing w:val="-2"/>
          <w:rtl/>
          <w:lang w:val="fr-CH"/>
        </w:rPr>
      </w:pPr>
      <w:r w:rsidRPr="00892F78">
        <w:rPr>
          <w:rFonts w:hint="cs"/>
          <w:spacing w:val="-2"/>
          <w:rtl/>
          <w:lang w:val="fr-CH"/>
        </w:rPr>
        <w:t>2-2</w:t>
      </w:r>
      <w:r w:rsidRPr="00892F78">
        <w:rPr>
          <w:rFonts w:hint="cs"/>
          <w:spacing w:val="-2"/>
          <w:rtl/>
          <w:lang w:val="fr-CH"/>
        </w:rPr>
        <w:tab/>
      </w:r>
      <w:r>
        <w:rPr>
          <w:rFonts w:hint="cs"/>
          <w:sz w:val="30"/>
          <w:rtl/>
          <w:lang w:val="fr-FR"/>
        </w:rPr>
        <w:t xml:space="preserve">وفي 15 تشرين الثاني/نوفمبر 2007، حُكم على </w:t>
      </w:r>
      <w:r>
        <w:rPr>
          <w:rFonts w:hint="cs"/>
          <w:sz w:val="30"/>
          <w:rtl/>
        </w:rPr>
        <w:t xml:space="preserve">صاحب </w:t>
      </w:r>
      <w:r>
        <w:rPr>
          <w:rFonts w:hint="cs"/>
          <w:sz w:val="30"/>
          <w:rtl/>
          <w:lang w:val="fr-FR"/>
        </w:rPr>
        <w:t xml:space="preserve">البلاغ بالسجن لمدة سنتين بسبب اعتداء في ظروف مشدِّدة </w:t>
      </w:r>
      <w:r w:rsidR="005321CD">
        <w:rPr>
          <w:rFonts w:hint="cs"/>
          <w:sz w:val="30"/>
          <w:rtl/>
          <w:lang w:val="fr-FR"/>
        </w:rPr>
        <w:t>بعد أن اعتدى على زوجته السابقة بالسكين. وفي</w:t>
      </w:r>
      <w:r w:rsidR="005321CD">
        <w:rPr>
          <w:rFonts w:hint="eastAsia"/>
          <w:sz w:val="30"/>
          <w:rtl/>
          <w:lang w:val="fr-FR"/>
        </w:rPr>
        <w:t> </w:t>
      </w:r>
      <w:r>
        <w:rPr>
          <w:rFonts w:hint="cs"/>
          <w:sz w:val="30"/>
          <w:rtl/>
          <w:lang w:val="fr-FR"/>
        </w:rPr>
        <w:t xml:space="preserve">13 كانون الأول/ديسمبر 2007، فيما كان يمضي فترة الحكم في السجن، حُكم عليه بالسجن 30 يوماً إضافياً </w:t>
      </w:r>
      <w:r w:rsidR="005321CD">
        <w:rPr>
          <w:rFonts w:hint="cs"/>
          <w:sz w:val="30"/>
          <w:rtl/>
          <w:lang w:val="fr-FR"/>
        </w:rPr>
        <w:t>بسبب تحرشه ب</w:t>
      </w:r>
      <w:r>
        <w:rPr>
          <w:rFonts w:hint="cs"/>
          <w:sz w:val="30"/>
          <w:rtl/>
          <w:lang w:val="fr-FR"/>
        </w:rPr>
        <w:t>زوجته السابقة عبر الهاتف النقال.</w:t>
      </w:r>
    </w:p>
    <w:p w:rsidR="00A877FF" w:rsidRPr="004E05A6" w:rsidRDefault="00A877FF" w:rsidP="00676C25">
      <w:pPr>
        <w:pStyle w:val="SingleTxtGA"/>
        <w:rPr>
          <w:rFonts w:hint="cs"/>
          <w:spacing w:val="-2"/>
          <w:rtl/>
          <w:lang w:val="fr-CH"/>
        </w:rPr>
      </w:pPr>
      <w:r w:rsidRPr="004E05A6">
        <w:rPr>
          <w:rFonts w:hint="cs"/>
          <w:spacing w:val="-2"/>
          <w:rtl/>
          <w:lang w:val="fr-CH"/>
        </w:rPr>
        <w:t>2-3</w:t>
      </w:r>
      <w:r w:rsidRPr="004E05A6">
        <w:rPr>
          <w:rFonts w:hint="cs"/>
          <w:spacing w:val="-2"/>
          <w:rtl/>
          <w:lang w:val="fr-CH"/>
        </w:rPr>
        <w:tab/>
      </w:r>
      <w:r w:rsidRPr="004E05A6">
        <w:rPr>
          <w:rFonts w:hint="cs"/>
          <w:spacing w:val="-2"/>
          <w:sz w:val="30"/>
          <w:rtl/>
          <w:lang w:val="fr-FR"/>
        </w:rPr>
        <w:t xml:space="preserve">وفي 19 حزيران/يونيه 2008، أخطرت </w:t>
      </w:r>
      <w:r w:rsidRPr="004E05A6">
        <w:rPr>
          <w:rFonts w:hint="cs"/>
          <w:spacing w:val="-2"/>
          <w:sz w:val="30"/>
          <w:rtl/>
        </w:rPr>
        <w:t xml:space="preserve">الوكالة الكندية للخدمات الحدودية (الوكالة) صاحب البلاغ عزمها التماس رأي من وزير المواطنة والهجرة والتعددية الثقافية في كندا </w:t>
      </w:r>
      <w:r w:rsidR="005321CD" w:rsidRPr="004E05A6">
        <w:rPr>
          <w:rFonts w:hint="cs"/>
          <w:spacing w:val="-2"/>
          <w:sz w:val="30"/>
          <w:rtl/>
        </w:rPr>
        <w:t>ل</w:t>
      </w:r>
      <w:r w:rsidRPr="004E05A6">
        <w:rPr>
          <w:rFonts w:hint="cs"/>
          <w:spacing w:val="-2"/>
          <w:sz w:val="30"/>
          <w:rtl/>
        </w:rPr>
        <w:t xml:space="preserve">معرفة ما إذا كان صاحب البلاغ يشكل خطراً على </w:t>
      </w:r>
      <w:r w:rsidR="00B73DE5">
        <w:rPr>
          <w:rFonts w:hint="cs"/>
          <w:spacing w:val="-2"/>
          <w:sz w:val="30"/>
          <w:rtl/>
        </w:rPr>
        <w:t>عامة الناس في كندا بموجب المادة</w:t>
      </w:r>
      <w:r w:rsidR="00B73DE5">
        <w:rPr>
          <w:rFonts w:hint="eastAsia"/>
          <w:spacing w:val="-2"/>
          <w:sz w:val="30"/>
          <w:rtl/>
        </w:rPr>
        <w:t> </w:t>
      </w:r>
      <w:r w:rsidRPr="004E05A6">
        <w:rPr>
          <w:rFonts w:hint="cs"/>
          <w:spacing w:val="-2"/>
          <w:sz w:val="30"/>
          <w:rtl/>
        </w:rPr>
        <w:t>115(2)(أ) من قانون الهجرة</w:t>
      </w:r>
      <w:r w:rsidR="00E350B5">
        <w:rPr>
          <w:spacing w:val="-2"/>
          <w:sz w:val="30"/>
          <w:vertAlign w:val="superscript"/>
          <w:rtl/>
        </w:rPr>
        <w:t>(</w:t>
      </w:r>
      <w:r w:rsidR="00E350B5">
        <w:rPr>
          <w:rStyle w:val="FootnoteReference"/>
          <w:spacing w:val="-2"/>
          <w:rtl/>
        </w:rPr>
        <w:footnoteReference w:id="2"/>
      </w:r>
      <w:r w:rsidR="00E350B5">
        <w:rPr>
          <w:spacing w:val="-2"/>
          <w:sz w:val="30"/>
          <w:vertAlign w:val="superscript"/>
          <w:rtl/>
        </w:rPr>
        <w:t>)</w:t>
      </w:r>
      <w:r w:rsidRPr="004E05A6">
        <w:rPr>
          <w:rFonts w:hint="cs"/>
          <w:spacing w:val="-2"/>
          <w:sz w:val="30"/>
          <w:rtl/>
        </w:rPr>
        <w:t xml:space="preserve">. وفي 20 آذار/مارس 2009، أعرب الوزير عن رأي مفاده أن صاحب البلاغ يشكل خطراً على العامة في كندا. </w:t>
      </w:r>
      <w:r w:rsidR="005321CD" w:rsidRPr="004E05A6">
        <w:rPr>
          <w:rFonts w:hint="cs"/>
          <w:spacing w:val="-2"/>
          <w:sz w:val="30"/>
          <w:rtl/>
        </w:rPr>
        <w:t>واستند</w:t>
      </w:r>
      <w:r w:rsidRPr="004E05A6">
        <w:rPr>
          <w:rFonts w:hint="cs"/>
          <w:spacing w:val="-2"/>
          <w:sz w:val="30"/>
          <w:rtl/>
        </w:rPr>
        <w:t xml:space="preserve"> هذا الرأي</w:t>
      </w:r>
      <w:r w:rsidR="005321CD" w:rsidRPr="004E05A6">
        <w:rPr>
          <w:rFonts w:hint="cs"/>
          <w:spacing w:val="-2"/>
          <w:sz w:val="30"/>
          <w:rtl/>
        </w:rPr>
        <w:t xml:space="preserve"> إلى تقييم مفاده أن </w:t>
      </w:r>
      <w:r w:rsidR="005321CD" w:rsidRPr="004E05A6">
        <w:rPr>
          <w:rFonts w:hint="cs"/>
          <w:spacing w:val="-2"/>
          <w:sz w:val="30"/>
          <w:rtl/>
          <w:lang w:val="fr-FR"/>
        </w:rPr>
        <w:t>ل</w:t>
      </w:r>
      <w:r w:rsidRPr="004E05A6">
        <w:rPr>
          <w:rFonts w:hint="cs"/>
          <w:spacing w:val="-2"/>
          <w:sz w:val="30"/>
          <w:rtl/>
        </w:rPr>
        <w:t>صاحب البلاغ</w:t>
      </w:r>
      <w:r w:rsidR="005321CD" w:rsidRPr="004E05A6">
        <w:rPr>
          <w:rFonts w:hint="cs"/>
          <w:spacing w:val="-2"/>
          <w:sz w:val="30"/>
          <w:rtl/>
          <w:lang w:val="fr-FR"/>
        </w:rPr>
        <w:t xml:space="preserve"> ميلاً</w:t>
      </w:r>
      <w:r w:rsidRPr="004E05A6">
        <w:rPr>
          <w:rFonts w:hint="cs"/>
          <w:spacing w:val="-2"/>
          <w:sz w:val="30"/>
          <w:rtl/>
          <w:lang w:val="fr-FR"/>
        </w:rPr>
        <w:t xml:space="preserve"> إلى العنف، </w:t>
      </w:r>
      <w:r w:rsidR="005321CD" w:rsidRPr="004E05A6">
        <w:rPr>
          <w:rFonts w:hint="cs"/>
          <w:spacing w:val="-2"/>
          <w:sz w:val="30"/>
          <w:rtl/>
          <w:lang w:val="fr-FR"/>
        </w:rPr>
        <w:t>مستشهداً ب</w:t>
      </w:r>
      <w:r w:rsidRPr="004E05A6">
        <w:rPr>
          <w:rFonts w:hint="cs"/>
          <w:spacing w:val="-2"/>
          <w:sz w:val="30"/>
          <w:rtl/>
          <w:lang w:val="fr-FR"/>
        </w:rPr>
        <w:t>حوادث عنيفة ارتكبها ب</w:t>
      </w:r>
      <w:r w:rsidR="005321CD" w:rsidRPr="004E05A6">
        <w:rPr>
          <w:rFonts w:hint="cs"/>
          <w:spacing w:val="-2"/>
          <w:sz w:val="30"/>
          <w:rtl/>
          <w:lang w:val="fr-FR"/>
        </w:rPr>
        <w:t xml:space="preserve">حق زوجته خلال زواجهما، وادعاءات حول </w:t>
      </w:r>
      <w:r w:rsidRPr="004E05A6">
        <w:rPr>
          <w:rFonts w:hint="cs"/>
          <w:spacing w:val="-2"/>
          <w:sz w:val="30"/>
          <w:rtl/>
          <w:lang w:val="fr-FR"/>
        </w:rPr>
        <w:t>تهديد</w:t>
      </w:r>
      <w:r w:rsidR="005321CD" w:rsidRPr="004E05A6">
        <w:rPr>
          <w:rFonts w:hint="cs"/>
          <w:spacing w:val="-2"/>
          <w:sz w:val="30"/>
          <w:rtl/>
          <w:lang w:val="fr-FR"/>
        </w:rPr>
        <w:t xml:space="preserve">ه أخيه في </w:t>
      </w:r>
      <w:r w:rsidRPr="004E05A6">
        <w:rPr>
          <w:rFonts w:hint="cs"/>
          <w:spacing w:val="-2"/>
          <w:sz w:val="30"/>
          <w:rtl/>
          <w:lang w:val="fr-FR"/>
        </w:rPr>
        <w:t xml:space="preserve">عام 1998 (لم تؤدِ إلى إدانة)، وثلاثة تجاوزات سلوكية ارتكبها خلال وجوده في السجن. وبموجب المادة 33(2) من </w:t>
      </w:r>
      <w:r w:rsidR="005321CD" w:rsidRPr="004E05A6">
        <w:rPr>
          <w:spacing w:val="-2"/>
          <w:sz w:val="30"/>
          <w:rtl/>
        </w:rPr>
        <w:t xml:space="preserve">الاتفاقية المتعلقة </w:t>
      </w:r>
      <w:r w:rsidR="00FC44EF" w:rsidRPr="004E05A6">
        <w:rPr>
          <w:rFonts w:hint="cs"/>
          <w:spacing w:val="-2"/>
          <w:sz w:val="30"/>
          <w:rtl/>
        </w:rPr>
        <w:t xml:space="preserve">بوضع </w:t>
      </w:r>
      <w:r w:rsidR="00FC44EF" w:rsidRPr="004E05A6">
        <w:rPr>
          <w:spacing w:val="-2"/>
          <w:sz w:val="30"/>
          <w:rtl/>
        </w:rPr>
        <w:t>اللاجئ</w:t>
      </w:r>
      <w:r w:rsidRPr="004E05A6">
        <w:rPr>
          <w:rFonts w:hint="cs"/>
          <w:spacing w:val="-2"/>
          <w:sz w:val="30"/>
          <w:rtl/>
        </w:rPr>
        <w:t>،</w:t>
      </w:r>
      <w:r w:rsidR="00BF63EC">
        <w:rPr>
          <w:rFonts w:hint="cs"/>
          <w:spacing w:val="-2"/>
          <w:sz w:val="30"/>
          <w:rtl/>
        </w:rPr>
        <w:t xml:space="preserve"> </w:t>
      </w:r>
      <w:r w:rsidR="004E05A6" w:rsidRPr="004E05A6">
        <w:rPr>
          <w:rFonts w:hint="cs"/>
          <w:spacing w:val="-2"/>
          <w:sz w:val="30"/>
          <w:rtl/>
        </w:rPr>
        <w:t>فإن</w:t>
      </w:r>
      <w:r w:rsidRPr="004E05A6">
        <w:rPr>
          <w:rFonts w:hint="cs"/>
          <w:spacing w:val="-2"/>
          <w:sz w:val="30"/>
          <w:rtl/>
        </w:rPr>
        <w:t xml:space="preserve"> هذه الإدانات وهذا السلوك</w:t>
      </w:r>
      <w:r w:rsidR="004E05A6" w:rsidRPr="004E05A6">
        <w:rPr>
          <w:rFonts w:hint="cs"/>
          <w:spacing w:val="-2"/>
          <w:sz w:val="30"/>
          <w:rtl/>
        </w:rPr>
        <w:t xml:space="preserve"> يتيحان</w:t>
      </w:r>
      <w:r w:rsidRPr="004E05A6">
        <w:rPr>
          <w:rFonts w:hint="cs"/>
          <w:spacing w:val="-2"/>
          <w:sz w:val="30"/>
          <w:rtl/>
        </w:rPr>
        <w:t xml:space="preserve"> </w:t>
      </w:r>
      <w:r w:rsidR="004E05A6" w:rsidRPr="004E05A6">
        <w:rPr>
          <w:rFonts w:hint="cs"/>
          <w:spacing w:val="-2"/>
          <w:sz w:val="30"/>
          <w:rtl/>
        </w:rPr>
        <w:t xml:space="preserve">للبلد المضيف </w:t>
      </w:r>
      <w:r w:rsidR="00676C25">
        <w:rPr>
          <w:rFonts w:hint="cs"/>
          <w:spacing w:val="-2"/>
          <w:sz w:val="30"/>
          <w:rtl/>
        </w:rPr>
        <w:t>حرمانه من وضع اللاجئ. وفي</w:t>
      </w:r>
      <w:r w:rsidRPr="004E05A6">
        <w:rPr>
          <w:rFonts w:hint="cs"/>
          <w:spacing w:val="-2"/>
          <w:sz w:val="30"/>
          <w:rtl/>
        </w:rPr>
        <w:t>ما يتعلق بخطر التعرض للتعذيب الذي قد يواجهه صاحب البلاغ في حال إبعاده إلى لبنان، يشير الرأي إلى أن الوضع في لبنان يختلف عما كان عليه عندما حصل على وضع اللاجئ. فمن المفترض اليوم أن حزب الله هو القوة الحامية لأبناء الطائفة الشيعية في لبنان (صاحب البلاغ شيعي)، و</w:t>
      </w:r>
      <w:r w:rsidR="004E05A6" w:rsidRPr="004E05A6">
        <w:rPr>
          <w:rFonts w:hint="cs"/>
          <w:spacing w:val="-2"/>
          <w:sz w:val="30"/>
          <w:rtl/>
        </w:rPr>
        <w:t xml:space="preserve">قد </w:t>
      </w:r>
      <w:r w:rsidRPr="004E05A6">
        <w:rPr>
          <w:rFonts w:hint="cs"/>
          <w:spacing w:val="-2"/>
          <w:sz w:val="30"/>
          <w:rtl/>
        </w:rPr>
        <w:t xml:space="preserve">انسحبت القوات السورية من لبنان في عام 2005 ولم تعد تسيطر على الأراضي اللبنانية منذ ذلك الحين. وبالاستناد إلى ذلك، ووفقاً للرأي المذكور، </w:t>
      </w:r>
      <w:r w:rsidR="004E05A6" w:rsidRPr="004E05A6">
        <w:rPr>
          <w:rFonts w:hint="cs"/>
          <w:spacing w:val="-2"/>
          <w:sz w:val="30"/>
          <w:rtl/>
        </w:rPr>
        <w:t>ف</w:t>
      </w:r>
      <w:r w:rsidRPr="004E05A6">
        <w:rPr>
          <w:rFonts w:hint="cs"/>
          <w:spacing w:val="-2"/>
          <w:sz w:val="30"/>
          <w:rtl/>
        </w:rPr>
        <w:t xml:space="preserve">إن الميزان بين الخطر الذي يشكله صاحب البلاغ على عامة الناس في كندا وبين الخطر الذي قد يواجهه في حال إبعاده إلى لبنان، </w:t>
      </w:r>
      <w:r w:rsidR="004E05A6" w:rsidRPr="004E05A6">
        <w:rPr>
          <w:rFonts w:hint="cs"/>
          <w:spacing w:val="-2"/>
          <w:sz w:val="30"/>
          <w:rtl/>
        </w:rPr>
        <w:t xml:space="preserve">يرجح </w:t>
      </w:r>
      <w:r w:rsidRPr="004E05A6">
        <w:rPr>
          <w:rFonts w:hint="cs"/>
          <w:spacing w:val="-2"/>
          <w:sz w:val="30"/>
          <w:rtl/>
        </w:rPr>
        <w:t xml:space="preserve">كفة إبعاده إلى لبنان </w:t>
      </w:r>
      <w:r w:rsidRPr="004E05A6">
        <w:rPr>
          <w:rFonts w:hint="cs"/>
          <w:spacing w:val="-2"/>
          <w:sz w:val="30"/>
          <w:rtl/>
          <w:lang w:val="fr-FR"/>
        </w:rPr>
        <w:t>وإلغاء إقامته الدائمة.</w:t>
      </w:r>
    </w:p>
    <w:p w:rsidR="00A877FF" w:rsidRDefault="00A877FF" w:rsidP="0074758D">
      <w:pPr>
        <w:pStyle w:val="SingleTxtGA"/>
        <w:rPr>
          <w:rFonts w:hint="cs"/>
          <w:rtl/>
          <w:lang w:val="fr-CH"/>
        </w:rPr>
      </w:pPr>
      <w:r w:rsidRPr="00AF5FAB">
        <w:rPr>
          <w:rFonts w:hint="cs"/>
          <w:spacing w:val="-2"/>
          <w:rtl/>
          <w:lang w:val="fr-CH"/>
        </w:rPr>
        <w:t>2-4</w:t>
      </w:r>
      <w:r w:rsidRPr="00AF5FAB">
        <w:rPr>
          <w:rFonts w:hint="cs"/>
          <w:spacing w:val="-2"/>
          <w:rtl/>
          <w:lang w:val="fr-CH"/>
        </w:rPr>
        <w:tab/>
      </w:r>
      <w:r>
        <w:rPr>
          <w:rFonts w:hint="cs"/>
          <w:sz w:val="30"/>
          <w:rtl/>
        </w:rPr>
        <w:t>وفي 7 تموز/يوليه 2009، رفضت المحكمة الفيدرالية طلب الإذن بالمراجعة القضائية الذي تقدم به صاحب البلاغ، بحجة عدم تقديم الملف. وفي 13 آب/أغسطس 2009، أُخطر أن</w:t>
      </w:r>
      <w:r w:rsidR="0074758D">
        <w:rPr>
          <w:rFonts w:hint="cs"/>
          <w:sz w:val="30"/>
          <w:rtl/>
        </w:rPr>
        <w:t>ه يحق ل</w:t>
      </w:r>
      <w:r>
        <w:rPr>
          <w:rFonts w:hint="cs"/>
          <w:sz w:val="30"/>
          <w:rtl/>
        </w:rPr>
        <w:t xml:space="preserve">لوكالة </w:t>
      </w:r>
      <w:r>
        <w:rPr>
          <w:rFonts w:hint="cs"/>
          <w:sz w:val="30"/>
          <w:rtl/>
          <w:lang/>
        </w:rPr>
        <w:t>إبعاده إلى لبنان</w:t>
      </w:r>
      <w:r>
        <w:rPr>
          <w:rFonts w:hint="cs"/>
          <w:sz w:val="30"/>
          <w:rtl/>
        </w:rPr>
        <w:t xml:space="preserve"> ابتداء من 17 آب/أغسطس 2009</w:t>
      </w:r>
      <w:r>
        <w:rPr>
          <w:rFonts w:hint="cs"/>
          <w:sz w:val="30"/>
          <w:rtl/>
          <w:lang/>
        </w:rPr>
        <w:t xml:space="preserve">. </w:t>
      </w:r>
      <w:r w:rsidR="0074758D">
        <w:rPr>
          <w:rFonts w:hint="cs"/>
          <w:sz w:val="30"/>
          <w:rtl/>
          <w:lang/>
        </w:rPr>
        <w:t xml:space="preserve">ولم يزل </w:t>
      </w:r>
      <w:r>
        <w:rPr>
          <w:rFonts w:hint="cs"/>
          <w:sz w:val="30"/>
          <w:rtl/>
          <w:lang/>
        </w:rPr>
        <w:t xml:space="preserve">صاحب البلاغ </w:t>
      </w:r>
      <w:r>
        <w:rPr>
          <w:rFonts w:hint="cs"/>
          <w:sz w:val="30"/>
          <w:rtl/>
        </w:rPr>
        <w:t>رهن الاحتجاز</w:t>
      </w:r>
      <w:r>
        <w:rPr>
          <w:rFonts w:hint="cs"/>
          <w:sz w:val="30"/>
          <w:rtl/>
          <w:lang/>
        </w:rPr>
        <w:t xml:space="preserve"> لدى دوائر الهجرة بانتظار إبعاده</w:t>
      </w:r>
      <w:r w:rsidR="0074758D">
        <w:rPr>
          <w:rFonts w:hint="cs"/>
          <w:sz w:val="30"/>
          <w:rtl/>
          <w:lang/>
        </w:rPr>
        <w:t xml:space="preserve"> منذ 13 آذار/مارس 2009</w:t>
      </w:r>
      <w:r>
        <w:rPr>
          <w:rFonts w:hint="cs"/>
          <w:sz w:val="30"/>
          <w:rtl/>
          <w:lang/>
        </w:rPr>
        <w:t>.</w:t>
      </w:r>
    </w:p>
    <w:p w:rsidR="00A877FF" w:rsidRDefault="00A877FF" w:rsidP="00A877FF">
      <w:pPr>
        <w:pStyle w:val="H23GA"/>
        <w:rPr>
          <w:rFonts w:hint="cs"/>
          <w:rtl/>
          <w:lang w:val="fr-CH"/>
        </w:rPr>
      </w:pPr>
      <w:r>
        <w:rPr>
          <w:rFonts w:hint="cs"/>
          <w:rtl/>
          <w:lang w:val="fr-CH"/>
        </w:rPr>
        <w:tab/>
      </w:r>
      <w:r>
        <w:rPr>
          <w:rFonts w:hint="cs"/>
          <w:rtl/>
          <w:lang w:val="fr-CH"/>
        </w:rPr>
        <w:tab/>
        <w:t>الشكوى</w:t>
      </w:r>
    </w:p>
    <w:p w:rsidR="00A877FF" w:rsidRDefault="00A877FF" w:rsidP="000B7118">
      <w:pPr>
        <w:pStyle w:val="SingleTxtGA"/>
        <w:rPr>
          <w:rFonts w:hint="cs"/>
          <w:rtl/>
          <w:lang w:val="fr-CH"/>
        </w:rPr>
      </w:pPr>
      <w:r>
        <w:rPr>
          <w:rFonts w:hint="cs"/>
          <w:rtl/>
          <w:lang w:val="fr-CH"/>
        </w:rPr>
        <w:t>3-1</w:t>
      </w:r>
      <w:r>
        <w:rPr>
          <w:rFonts w:hint="cs"/>
          <w:rtl/>
          <w:lang w:val="fr-CH"/>
        </w:rPr>
        <w:tab/>
      </w:r>
      <w:r>
        <w:rPr>
          <w:rFonts w:hint="cs"/>
          <w:sz w:val="30"/>
          <w:rtl/>
        </w:rPr>
        <w:t>يقول صاحب البلاغ إن إبعاده سيشكل انتهاكاً ترتكبه كندا للمادة 3 من الاتفاقية. وبالنظر إلى أن الدولة الطرف منحته وضع اللاجئ في العام 1998، فهي تدرك المخاطر التي قد يواجهها في حال إبعاده إلى لبنان. ويزعم</w:t>
      </w:r>
      <w:r w:rsidR="00664B36">
        <w:rPr>
          <w:rFonts w:hint="cs"/>
          <w:sz w:val="30"/>
          <w:rtl/>
        </w:rPr>
        <w:t xml:space="preserve"> أنه</w:t>
      </w:r>
      <w:r>
        <w:rPr>
          <w:rFonts w:hint="cs"/>
          <w:sz w:val="30"/>
          <w:rtl/>
        </w:rPr>
        <w:t xml:space="preserve">، بصفته </w:t>
      </w:r>
      <w:r w:rsidRPr="008844B0">
        <w:rPr>
          <w:rFonts w:hint="cs"/>
          <w:sz w:val="30"/>
          <w:rtl/>
        </w:rPr>
        <w:t>عضواً</w:t>
      </w:r>
      <w:r>
        <w:rPr>
          <w:rFonts w:hint="cs"/>
          <w:sz w:val="30"/>
          <w:rtl/>
        </w:rPr>
        <w:t xml:space="preserve"> معروفاً في حزب "الشيعة" المعارض لتيار حزب الله السياسي، </w:t>
      </w:r>
      <w:r w:rsidR="00664B36">
        <w:rPr>
          <w:rFonts w:hint="cs"/>
          <w:sz w:val="30"/>
          <w:rtl/>
        </w:rPr>
        <w:t xml:space="preserve">فقد يتعرض </w:t>
      </w:r>
      <w:r>
        <w:rPr>
          <w:rFonts w:hint="cs"/>
          <w:sz w:val="30"/>
          <w:rtl/>
        </w:rPr>
        <w:t xml:space="preserve">للتعذيب وضروب المعاملة المهينة لأن أعضاء حزب "الشيعة" هم ضحايا انتهاكات منهجية </w:t>
      </w:r>
      <w:r w:rsidR="0045053E">
        <w:rPr>
          <w:rFonts w:hint="cs"/>
          <w:sz w:val="30"/>
          <w:rtl/>
        </w:rPr>
        <w:t xml:space="preserve">جسيمة وصارخة </w:t>
      </w:r>
      <w:r>
        <w:rPr>
          <w:rFonts w:hint="cs"/>
          <w:sz w:val="30"/>
          <w:rtl/>
        </w:rPr>
        <w:t>لحقوقهم. ويشير إلى أن الأمين العام للأمم المتحدة شدّد في تقرير من تقاريره على أن احتفاظ حزب الله بقدرات شبه عسكرية يمثل تحدياً كبيراً لحكومة لبنان</w:t>
      </w:r>
      <w:r w:rsidR="000B7118">
        <w:rPr>
          <w:sz w:val="30"/>
          <w:vertAlign w:val="superscript"/>
          <w:rtl/>
        </w:rPr>
        <w:t>(</w:t>
      </w:r>
      <w:r w:rsidR="000B7118">
        <w:rPr>
          <w:rStyle w:val="FootnoteReference"/>
          <w:rtl/>
        </w:rPr>
        <w:footnoteReference w:id="3"/>
      </w:r>
      <w:r w:rsidR="000B7118">
        <w:rPr>
          <w:sz w:val="30"/>
          <w:vertAlign w:val="superscript"/>
          <w:rtl/>
        </w:rPr>
        <w:t>)</w:t>
      </w:r>
      <w:r w:rsidR="000B7118">
        <w:rPr>
          <w:rFonts w:hint="cs"/>
          <w:sz w:val="30"/>
          <w:rtl/>
        </w:rPr>
        <w:t>.</w:t>
      </w:r>
      <w:r>
        <w:rPr>
          <w:rFonts w:hint="cs"/>
          <w:sz w:val="30"/>
          <w:rtl/>
        </w:rPr>
        <w:t xml:space="preserve"> ونتيجة لذلك، </w:t>
      </w:r>
      <w:r w:rsidR="00732872">
        <w:rPr>
          <w:rFonts w:hint="cs"/>
          <w:sz w:val="30"/>
          <w:rtl/>
        </w:rPr>
        <w:t>فإن قوات</w:t>
      </w:r>
      <w:r>
        <w:rPr>
          <w:rFonts w:hint="cs"/>
          <w:sz w:val="30"/>
          <w:rtl/>
        </w:rPr>
        <w:t xml:space="preserve"> الأمن اللبنانية غير قادرة على احتواء حزب الله ولن تستطيع منع </w:t>
      </w:r>
      <w:r w:rsidR="00200722">
        <w:rPr>
          <w:rFonts w:hint="cs"/>
          <w:sz w:val="30"/>
          <w:rtl/>
        </w:rPr>
        <w:t xml:space="preserve">حدوث </w:t>
      </w:r>
      <w:r>
        <w:rPr>
          <w:rFonts w:hint="cs"/>
          <w:sz w:val="30"/>
          <w:rtl/>
        </w:rPr>
        <w:t>انتهاكات بحق صاحب البلاغ.</w:t>
      </w:r>
      <w:r>
        <w:rPr>
          <w:rFonts w:hint="cs"/>
          <w:rtl/>
          <w:lang w:val="fr-CH"/>
        </w:rPr>
        <w:t xml:space="preserve"> </w:t>
      </w:r>
    </w:p>
    <w:p w:rsidR="00A877FF" w:rsidRPr="00B13DFE" w:rsidRDefault="00A877FF" w:rsidP="00200722">
      <w:pPr>
        <w:pStyle w:val="SingleTxtGA"/>
        <w:rPr>
          <w:rFonts w:hint="cs"/>
          <w:spacing w:val="-2"/>
          <w:rtl/>
          <w:lang w:val="fr-CH"/>
        </w:rPr>
      </w:pPr>
      <w:r>
        <w:rPr>
          <w:rFonts w:hint="cs"/>
          <w:rtl/>
          <w:lang w:val="fr-CH"/>
        </w:rPr>
        <w:t>3-2</w:t>
      </w:r>
      <w:r>
        <w:rPr>
          <w:rFonts w:hint="cs"/>
          <w:rtl/>
          <w:lang w:val="fr-CH"/>
        </w:rPr>
        <w:tab/>
      </w:r>
      <w:r>
        <w:rPr>
          <w:rFonts w:hint="cs"/>
          <w:sz w:val="30"/>
          <w:rtl/>
        </w:rPr>
        <w:t xml:space="preserve">ويعتبر صاحب البلاغ أن أمر الإبعاد لا يتناسب مع الجريمة التي ارتكبها ويتعارض مع تقييم الخبراء الذي يفيد </w:t>
      </w:r>
      <w:r w:rsidR="00200722">
        <w:rPr>
          <w:rFonts w:hint="cs"/>
          <w:sz w:val="30"/>
          <w:rtl/>
        </w:rPr>
        <w:t xml:space="preserve">بأن </w:t>
      </w:r>
      <w:r>
        <w:rPr>
          <w:rFonts w:hint="cs"/>
          <w:sz w:val="30"/>
          <w:rtl/>
        </w:rPr>
        <w:t>خطر عودته إلى الإجرام</w:t>
      </w:r>
      <w:r w:rsidR="00200722">
        <w:rPr>
          <w:rFonts w:hint="cs"/>
          <w:sz w:val="30"/>
          <w:rtl/>
        </w:rPr>
        <w:t xml:space="preserve"> متوسط الدرجة</w:t>
      </w:r>
      <w:r>
        <w:rPr>
          <w:rFonts w:hint="cs"/>
          <w:sz w:val="30"/>
          <w:rtl/>
        </w:rPr>
        <w:t>. ويدعي أيضاً أن الجريمة التي أُدين بها كانت حادثاً منعزلاً ارتكب</w:t>
      </w:r>
      <w:r w:rsidR="00200722">
        <w:rPr>
          <w:rFonts w:hint="cs"/>
          <w:sz w:val="30"/>
          <w:rtl/>
        </w:rPr>
        <w:t>ه وهو في حالة</w:t>
      </w:r>
      <w:r>
        <w:rPr>
          <w:rFonts w:hint="cs"/>
          <w:sz w:val="30"/>
          <w:rtl/>
        </w:rPr>
        <w:t xml:space="preserve"> سكر واكتئاب بسبب انفصاله عن زوجته.</w:t>
      </w:r>
    </w:p>
    <w:p w:rsidR="00A877FF" w:rsidRDefault="00A877FF" w:rsidP="00A877FF">
      <w:pPr>
        <w:pStyle w:val="H23GA"/>
        <w:rPr>
          <w:rFonts w:hint="cs"/>
          <w:rtl/>
          <w:lang w:val="fr-CH"/>
        </w:rPr>
      </w:pPr>
      <w:r>
        <w:rPr>
          <w:rFonts w:hint="cs"/>
          <w:rtl/>
          <w:lang w:val="fr-CH"/>
        </w:rPr>
        <w:tab/>
      </w:r>
      <w:r>
        <w:rPr>
          <w:rFonts w:hint="cs"/>
          <w:rtl/>
          <w:lang w:val="fr-CH"/>
        </w:rPr>
        <w:tab/>
        <w:t>ملاحظات الدولة الطرف على مقبولية البلاغ وأسسه الموضوعية</w:t>
      </w:r>
    </w:p>
    <w:p w:rsidR="00A877FF" w:rsidRDefault="00A877FF" w:rsidP="00C91F18">
      <w:pPr>
        <w:pStyle w:val="SingleTxtGA"/>
        <w:rPr>
          <w:rFonts w:hint="cs"/>
          <w:rtl/>
          <w:lang w:val="fr-CH"/>
        </w:rPr>
      </w:pPr>
      <w:r>
        <w:rPr>
          <w:rFonts w:hint="cs"/>
          <w:rtl/>
          <w:lang w:val="fr-CH"/>
        </w:rPr>
        <w:t>4-1</w:t>
      </w:r>
      <w:r>
        <w:rPr>
          <w:rFonts w:hint="cs"/>
          <w:rtl/>
          <w:lang w:val="fr-CH"/>
        </w:rPr>
        <w:tab/>
      </w:r>
      <w:r w:rsidRPr="003F5DEE">
        <w:rPr>
          <w:rFonts w:hint="cs"/>
          <w:sz w:val="30"/>
          <w:rtl/>
        </w:rPr>
        <w:t xml:space="preserve">في </w:t>
      </w:r>
      <w:r>
        <w:rPr>
          <w:rFonts w:hint="cs"/>
          <w:sz w:val="30"/>
          <w:rtl/>
        </w:rPr>
        <w:t>مذكرة مؤرخة 14</w:t>
      </w:r>
      <w:r w:rsidRPr="003F5DEE">
        <w:rPr>
          <w:rFonts w:hint="cs"/>
          <w:sz w:val="30"/>
          <w:rtl/>
        </w:rPr>
        <w:t xml:space="preserve"> </w:t>
      </w:r>
      <w:r>
        <w:rPr>
          <w:rFonts w:hint="cs"/>
          <w:sz w:val="30"/>
          <w:rtl/>
        </w:rPr>
        <w:t>كانون الأول</w:t>
      </w:r>
      <w:r w:rsidRPr="003F5DEE">
        <w:rPr>
          <w:rFonts w:hint="cs"/>
          <w:sz w:val="30"/>
          <w:rtl/>
        </w:rPr>
        <w:t>/</w:t>
      </w:r>
      <w:r>
        <w:rPr>
          <w:rFonts w:hint="cs"/>
          <w:sz w:val="30"/>
          <w:rtl/>
        </w:rPr>
        <w:t>ديسمبر</w:t>
      </w:r>
      <w:r w:rsidRPr="003F5DEE">
        <w:rPr>
          <w:rFonts w:hint="cs"/>
          <w:sz w:val="30"/>
          <w:rtl/>
        </w:rPr>
        <w:t xml:space="preserve"> </w:t>
      </w:r>
      <w:r>
        <w:rPr>
          <w:rFonts w:hint="cs"/>
          <w:sz w:val="30"/>
          <w:rtl/>
        </w:rPr>
        <w:t>2009</w:t>
      </w:r>
      <w:r w:rsidRPr="003F5DEE">
        <w:rPr>
          <w:rFonts w:hint="cs"/>
          <w:sz w:val="30"/>
          <w:rtl/>
        </w:rPr>
        <w:t>، طعنت الدولة الطرف في مقبولية البلاغ</w:t>
      </w:r>
      <w:r>
        <w:rPr>
          <w:rFonts w:hint="cs"/>
          <w:sz w:val="30"/>
          <w:rtl/>
        </w:rPr>
        <w:t xml:space="preserve"> لعدم توافق الشكوى مع الاتفاقية، وعدم وجود أدلة كافية تثبت الادعاء</w:t>
      </w:r>
      <w:r w:rsidR="000B7118">
        <w:rPr>
          <w:rFonts w:hint="cs"/>
          <w:sz w:val="30"/>
          <w:rtl/>
        </w:rPr>
        <w:t>ات الواردة فيها</w:t>
      </w:r>
      <w:r>
        <w:rPr>
          <w:rFonts w:hint="cs"/>
          <w:sz w:val="30"/>
          <w:rtl/>
        </w:rPr>
        <w:t>، و</w:t>
      </w:r>
      <w:r w:rsidR="00025118">
        <w:rPr>
          <w:rFonts w:hint="cs"/>
          <w:sz w:val="30"/>
          <w:rtl/>
        </w:rPr>
        <w:t xml:space="preserve">عدم </w:t>
      </w:r>
      <w:r>
        <w:rPr>
          <w:rFonts w:hint="cs"/>
          <w:sz w:val="30"/>
          <w:rtl/>
        </w:rPr>
        <w:t>اس</w:t>
      </w:r>
      <w:r w:rsidR="00676C25">
        <w:rPr>
          <w:rFonts w:hint="cs"/>
          <w:sz w:val="30"/>
          <w:rtl/>
        </w:rPr>
        <w:t>تنفاد سبل الانتصاف المحلية. وفي</w:t>
      </w:r>
      <w:r>
        <w:rPr>
          <w:rFonts w:hint="cs"/>
          <w:sz w:val="30"/>
          <w:rtl/>
        </w:rPr>
        <w:t xml:space="preserve">ما يتعلق بالأسس الموضوعية، تنفي الدولة الطرف </w:t>
      </w:r>
      <w:r w:rsidR="00C91F18">
        <w:rPr>
          <w:rFonts w:hint="cs"/>
          <w:sz w:val="30"/>
          <w:rtl/>
        </w:rPr>
        <w:t>حدوث</w:t>
      </w:r>
      <w:r>
        <w:rPr>
          <w:rFonts w:hint="cs"/>
          <w:sz w:val="30"/>
          <w:rtl/>
        </w:rPr>
        <w:t xml:space="preserve"> أي انتهاك للمادة 3 من الاتفاقية.</w:t>
      </w:r>
    </w:p>
    <w:p w:rsidR="00A877FF" w:rsidRDefault="00A877FF" w:rsidP="00EF52C7">
      <w:pPr>
        <w:pStyle w:val="SingleTxtGA"/>
        <w:rPr>
          <w:rFonts w:hint="cs"/>
          <w:rtl/>
          <w:lang w:val="fr-CH"/>
        </w:rPr>
      </w:pPr>
      <w:r>
        <w:rPr>
          <w:rFonts w:hint="cs"/>
          <w:rtl/>
          <w:lang w:val="fr-CH"/>
        </w:rPr>
        <w:t>4-2</w:t>
      </w:r>
      <w:r>
        <w:rPr>
          <w:rFonts w:hint="cs"/>
          <w:rtl/>
          <w:lang w:val="fr-CH"/>
        </w:rPr>
        <w:tab/>
      </w:r>
      <w:r w:rsidRPr="0070237E">
        <w:rPr>
          <w:rFonts w:hint="cs"/>
          <w:sz w:val="30"/>
          <w:rtl/>
        </w:rPr>
        <w:t>وتذكّر الدولة الطرف</w:t>
      </w:r>
      <w:r>
        <w:rPr>
          <w:rFonts w:hint="cs"/>
          <w:sz w:val="30"/>
          <w:rtl/>
        </w:rPr>
        <w:t xml:space="preserve"> أنّ صاحب البل</w:t>
      </w:r>
      <w:r w:rsidR="005C0C76">
        <w:rPr>
          <w:rFonts w:hint="cs"/>
          <w:sz w:val="30"/>
          <w:rtl/>
        </w:rPr>
        <w:t>اغ الذي حصل على وضع اللاجئ في عام</w:t>
      </w:r>
      <w:r w:rsidR="005C0C76">
        <w:rPr>
          <w:rFonts w:hint="eastAsia"/>
          <w:sz w:val="30"/>
          <w:rtl/>
        </w:rPr>
        <w:t> </w:t>
      </w:r>
      <w:r>
        <w:rPr>
          <w:rFonts w:hint="cs"/>
          <w:sz w:val="30"/>
          <w:rtl/>
        </w:rPr>
        <w:t>1998 وع</w:t>
      </w:r>
      <w:r w:rsidR="005C0C76">
        <w:rPr>
          <w:rFonts w:hint="cs"/>
          <w:sz w:val="30"/>
          <w:rtl/>
        </w:rPr>
        <w:t xml:space="preserve">لى الإقامة الدائمة في كندا في </w:t>
      </w:r>
      <w:r>
        <w:rPr>
          <w:rFonts w:hint="cs"/>
          <w:sz w:val="30"/>
          <w:rtl/>
        </w:rPr>
        <w:t>عام 2000، ثبتت إدانته بارتكاب اعتداء في ظروف مشدِّدة، وحُكم عليه بالسجن سنتين بالإضافة إلى 25 شهراً أمضاها في الاحتجاز على ذمة المحاكمة. ونتيجة هذه الإدانة، أصدرت</w:t>
      </w:r>
      <w:r w:rsidRPr="007B6C40">
        <w:rPr>
          <w:rFonts w:hint="cs"/>
          <w:sz w:val="30"/>
          <w:rtl/>
        </w:rPr>
        <w:t xml:space="preserve"> </w:t>
      </w:r>
      <w:r w:rsidRPr="007B6C40">
        <w:rPr>
          <w:rFonts w:hint="cs"/>
          <w:spacing w:val="-3"/>
          <w:sz w:val="30"/>
          <w:rtl/>
        </w:rPr>
        <w:t xml:space="preserve">الوكالة </w:t>
      </w:r>
      <w:r>
        <w:rPr>
          <w:rFonts w:hint="cs"/>
          <w:sz w:val="30"/>
          <w:rtl/>
        </w:rPr>
        <w:t>تقريراً بمنع</w:t>
      </w:r>
      <w:r w:rsidRPr="00580393">
        <w:rPr>
          <w:rFonts w:hint="cs"/>
          <w:sz w:val="30"/>
          <w:rtl/>
        </w:rPr>
        <w:t xml:space="preserve"> </w:t>
      </w:r>
      <w:r>
        <w:rPr>
          <w:rFonts w:hint="cs"/>
          <w:sz w:val="30"/>
          <w:rtl/>
        </w:rPr>
        <w:t xml:space="preserve">دخول </w:t>
      </w:r>
      <w:r w:rsidRPr="00580393">
        <w:rPr>
          <w:rFonts w:hint="cs"/>
          <w:sz w:val="30"/>
          <w:rtl/>
        </w:rPr>
        <w:t>صاحب البلاغ</w:t>
      </w:r>
      <w:r>
        <w:rPr>
          <w:rFonts w:hint="cs"/>
          <w:sz w:val="30"/>
          <w:rtl/>
        </w:rPr>
        <w:t xml:space="preserve"> إلى الأراضي الكندية</w:t>
      </w:r>
      <w:r w:rsidRPr="00580393">
        <w:rPr>
          <w:rFonts w:hint="cs"/>
          <w:sz w:val="30"/>
          <w:rtl/>
        </w:rPr>
        <w:t xml:space="preserve">، وأحالت قضيته إلى </w:t>
      </w:r>
      <w:r>
        <w:rPr>
          <w:rFonts w:hint="cs"/>
          <w:sz w:val="30"/>
          <w:rtl/>
        </w:rPr>
        <w:t>قسم</w:t>
      </w:r>
      <w:r w:rsidRPr="00580393">
        <w:rPr>
          <w:rFonts w:hint="cs"/>
          <w:sz w:val="30"/>
          <w:rtl/>
        </w:rPr>
        <w:t xml:space="preserve"> الهجرة في مجلس الهجرة واللجوء للتحقيق.</w:t>
      </w:r>
      <w:r>
        <w:rPr>
          <w:rFonts w:hint="cs"/>
          <w:sz w:val="30"/>
          <w:rtl/>
        </w:rPr>
        <w:t xml:space="preserve"> وفي 25 نيسان/أبريل 2008 وبعد جلسة استماع حصل فيها صاحب البلاغ على فرصة للتحدث، قرر قسم الهجرة أنه </w:t>
      </w:r>
      <w:r w:rsidR="005C0C76">
        <w:rPr>
          <w:rFonts w:hint="cs"/>
          <w:sz w:val="30"/>
          <w:rtl/>
        </w:rPr>
        <w:t>ينبغي بالفعل حظر</w:t>
      </w:r>
      <w:r>
        <w:rPr>
          <w:rFonts w:hint="cs"/>
          <w:sz w:val="30"/>
          <w:rtl/>
        </w:rPr>
        <w:t xml:space="preserve"> وجوده على الأراضي الكندية بسبب ارتكابه جرائم خطيرة وفقاً للتشريعات المحلية</w:t>
      </w:r>
      <w:r w:rsidR="00EF52C7">
        <w:rPr>
          <w:vertAlign w:val="superscript"/>
          <w:rtl/>
        </w:rPr>
        <w:t>(</w:t>
      </w:r>
      <w:r w:rsidR="00EF52C7">
        <w:rPr>
          <w:rStyle w:val="FootnoteReference"/>
          <w:rtl/>
        </w:rPr>
        <w:footnoteReference w:id="4"/>
      </w:r>
      <w:r w:rsidR="00EF52C7">
        <w:rPr>
          <w:vertAlign w:val="superscript"/>
          <w:rtl/>
        </w:rPr>
        <w:t>)</w:t>
      </w:r>
      <w:r>
        <w:rPr>
          <w:rFonts w:hint="cs"/>
          <w:sz w:val="30"/>
          <w:rtl/>
        </w:rPr>
        <w:t xml:space="preserve">، وأصدر أمراً بإبعاده. ونتيجة هذا الأمر، خسر صاحب البلاغ إقامته الدائمة في كندا. وطعن في القرار المذكور أمام </w:t>
      </w:r>
      <w:r>
        <w:rPr>
          <w:rFonts w:hint="cs"/>
          <w:sz w:val="30"/>
          <w:rtl/>
          <w:lang/>
        </w:rPr>
        <w:t xml:space="preserve">قسم الاستئناف الخاص بالهجرة، غير أن استئنافه رُفض </w:t>
      </w:r>
      <w:r w:rsidR="005C0620">
        <w:rPr>
          <w:rFonts w:hint="cs"/>
          <w:sz w:val="30"/>
          <w:rtl/>
          <w:lang/>
        </w:rPr>
        <w:t>ل</w:t>
      </w:r>
      <w:r>
        <w:rPr>
          <w:rFonts w:hint="cs"/>
          <w:sz w:val="30"/>
          <w:rtl/>
          <w:lang/>
        </w:rPr>
        <w:t>عدم الاختصاص</w:t>
      </w:r>
      <w:r>
        <w:rPr>
          <w:rFonts w:hint="cs"/>
          <w:rtl/>
          <w:lang w:val="fr-CH"/>
        </w:rPr>
        <w:t>.</w:t>
      </w:r>
    </w:p>
    <w:p w:rsidR="00A877FF" w:rsidRDefault="00A877FF" w:rsidP="006D54DD">
      <w:pPr>
        <w:pStyle w:val="SingleTxtGA"/>
        <w:rPr>
          <w:rFonts w:hint="cs"/>
          <w:rtl/>
          <w:lang w:val="fr-CH"/>
        </w:rPr>
      </w:pPr>
      <w:r>
        <w:rPr>
          <w:rFonts w:hint="cs"/>
          <w:rtl/>
          <w:lang w:val="fr-CH"/>
        </w:rPr>
        <w:t>4-3</w:t>
      </w:r>
      <w:r>
        <w:rPr>
          <w:rFonts w:hint="cs"/>
          <w:rtl/>
          <w:lang w:val="fr-CH"/>
        </w:rPr>
        <w:tab/>
      </w:r>
      <w:r>
        <w:rPr>
          <w:rFonts w:hint="cs"/>
          <w:sz w:val="30"/>
          <w:rtl/>
        </w:rPr>
        <w:t xml:space="preserve">وعندما أخطرت </w:t>
      </w:r>
      <w:r w:rsidRPr="007B6C40">
        <w:rPr>
          <w:rFonts w:hint="cs"/>
          <w:spacing w:val="-3"/>
          <w:sz w:val="30"/>
          <w:rtl/>
        </w:rPr>
        <w:t xml:space="preserve">الوكالة </w:t>
      </w:r>
      <w:r>
        <w:rPr>
          <w:rFonts w:hint="cs"/>
          <w:spacing w:val="-3"/>
          <w:sz w:val="30"/>
          <w:rtl/>
        </w:rPr>
        <w:t xml:space="preserve">صاحب البلاغ </w:t>
      </w:r>
      <w:r w:rsidR="00061A4C">
        <w:rPr>
          <w:rFonts w:hint="cs"/>
          <w:spacing w:val="-3"/>
          <w:sz w:val="30"/>
          <w:rtl/>
        </w:rPr>
        <w:t>ب</w:t>
      </w:r>
      <w:r>
        <w:rPr>
          <w:rFonts w:hint="cs"/>
          <w:spacing w:val="-3"/>
          <w:sz w:val="30"/>
          <w:rtl/>
        </w:rPr>
        <w:t xml:space="preserve">عزمها التماس رأي من وزير المواطنة والهجرة والتعددية الثقافية في كندا بشأن الخطر الذي يمكن أن يشكله على عامة الناس، </w:t>
      </w:r>
      <w:r w:rsidR="00EF52C7">
        <w:rPr>
          <w:rFonts w:hint="cs"/>
          <w:spacing w:val="-3"/>
          <w:sz w:val="30"/>
          <w:rtl/>
        </w:rPr>
        <w:t xml:space="preserve">فقد أبلغته أن باستطاعته </w:t>
      </w:r>
      <w:r>
        <w:rPr>
          <w:rFonts w:hint="cs"/>
          <w:spacing w:val="-3"/>
          <w:sz w:val="30"/>
          <w:rtl/>
        </w:rPr>
        <w:t xml:space="preserve">أن يقدم خلال 15 يوماً ملاحظات مكتوبة وأدلة موثقة عن المخاطر التي قد يواجهها في حال عودته إلى لبنان. ورفض صاحب البلاغ </w:t>
      </w:r>
      <w:r>
        <w:rPr>
          <w:rFonts w:hint="cs"/>
          <w:sz w:val="30"/>
          <w:rtl/>
        </w:rPr>
        <w:t xml:space="preserve">الإقرار بتلقي هذا الخطاب. وفي 8 آب/أغسطس 2008، طلبت محاميته من </w:t>
      </w:r>
      <w:r w:rsidRPr="007B6C40">
        <w:rPr>
          <w:rFonts w:hint="cs"/>
          <w:spacing w:val="-3"/>
          <w:sz w:val="30"/>
          <w:rtl/>
        </w:rPr>
        <w:t xml:space="preserve">الوكالة </w:t>
      </w:r>
      <w:r>
        <w:rPr>
          <w:rFonts w:hint="cs"/>
          <w:spacing w:val="-3"/>
          <w:sz w:val="30"/>
          <w:rtl/>
        </w:rPr>
        <w:t>إعطاءه مهلة إضافية من أجل صياغة ملاحظات مكتوبة</w:t>
      </w:r>
      <w:r w:rsidR="00EF52C7">
        <w:rPr>
          <w:rFonts w:hint="cs"/>
          <w:spacing w:val="-3"/>
          <w:sz w:val="30"/>
          <w:rtl/>
        </w:rPr>
        <w:t>، غير أن طلبها</w:t>
      </w:r>
      <w:r>
        <w:rPr>
          <w:rFonts w:hint="cs"/>
          <w:spacing w:val="-3"/>
          <w:sz w:val="30"/>
          <w:rtl/>
        </w:rPr>
        <w:t xml:space="preserve"> ر</w:t>
      </w:r>
      <w:r w:rsidR="00EF52C7">
        <w:rPr>
          <w:rFonts w:hint="cs"/>
          <w:spacing w:val="-3"/>
          <w:sz w:val="30"/>
          <w:rtl/>
        </w:rPr>
        <w:t>ُ</w:t>
      </w:r>
      <w:r>
        <w:rPr>
          <w:rFonts w:hint="cs"/>
          <w:spacing w:val="-3"/>
          <w:sz w:val="30"/>
          <w:rtl/>
        </w:rPr>
        <w:t xml:space="preserve">فض </w:t>
      </w:r>
      <w:r w:rsidR="00311DEA">
        <w:rPr>
          <w:rFonts w:hint="cs"/>
          <w:spacing w:val="-3"/>
          <w:sz w:val="30"/>
          <w:rtl/>
        </w:rPr>
        <w:t xml:space="preserve">لأن الالتماس </w:t>
      </w:r>
      <w:r>
        <w:rPr>
          <w:rFonts w:hint="cs"/>
          <w:spacing w:val="-3"/>
          <w:sz w:val="30"/>
          <w:rtl/>
        </w:rPr>
        <w:t>كان قد أُحيل إلى الوزير</w:t>
      </w:r>
      <w:r w:rsidR="00311DEA">
        <w:rPr>
          <w:rFonts w:hint="cs"/>
          <w:spacing w:val="-3"/>
          <w:sz w:val="30"/>
          <w:rtl/>
        </w:rPr>
        <w:t xml:space="preserve"> فعلاً</w:t>
      </w:r>
      <w:r>
        <w:rPr>
          <w:rFonts w:hint="cs"/>
          <w:spacing w:val="-3"/>
          <w:sz w:val="30"/>
          <w:rtl/>
        </w:rPr>
        <w:t xml:space="preserve">. غير أن المحامية أُبلغت بإمكانية تقديم هذه الملاحظات للوزير مباشرةً. وفي 11 شباط/فبراير 2009، أعطت الوكالة صاحب البلاغ فرصة جديدة </w:t>
      </w:r>
      <w:r w:rsidR="00272EF0">
        <w:rPr>
          <w:rFonts w:hint="cs"/>
          <w:spacing w:val="-3"/>
          <w:sz w:val="30"/>
          <w:rtl/>
        </w:rPr>
        <w:t>ل</w:t>
      </w:r>
      <w:r>
        <w:rPr>
          <w:rFonts w:hint="cs"/>
          <w:spacing w:val="-3"/>
          <w:sz w:val="30"/>
          <w:rtl/>
        </w:rPr>
        <w:t>تقديم ملاحظات</w:t>
      </w:r>
      <w:r w:rsidR="0015635E">
        <w:rPr>
          <w:rFonts w:hint="cs"/>
          <w:spacing w:val="-3"/>
          <w:sz w:val="30"/>
          <w:rtl/>
        </w:rPr>
        <w:t>ه</w:t>
      </w:r>
      <w:r>
        <w:rPr>
          <w:rFonts w:hint="cs"/>
          <w:spacing w:val="-3"/>
          <w:sz w:val="30"/>
          <w:rtl/>
        </w:rPr>
        <w:t xml:space="preserve">، الأمر الذي لم يقم به. ونتيجة لذلك، </w:t>
      </w:r>
      <w:r w:rsidR="0015635E">
        <w:rPr>
          <w:rFonts w:hint="cs"/>
          <w:spacing w:val="-3"/>
          <w:sz w:val="30"/>
          <w:rtl/>
        </w:rPr>
        <w:t xml:space="preserve">عندما أصدر </w:t>
      </w:r>
      <w:r>
        <w:rPr>
          <w:rFonts w:hint="cs"/>
          <w:spacing w:val="-3"/>
          <w:sz w:val="30"/>
          <w:rtl/>
        </w:rPr>
        <w:t>الوزير</w:t>
      </w:r>
      <w:r w:rsidR="0015635E">
        <w:rPr>
          <w:rFonts w:hint="cs"/>
          <w:spacing w:val="-3"/>
          <w:sz w:val="30"/>
          <w:rtl/>
        </w:rPr>
        <w:t xml:space="preserve"> رأيه</w:t>
      </w:r>
      <w:r>
        <w:rPr>
          <w:rFonts w:hint="cs"/>
          <w:spacing w:val="-3"/>
          <w:sz w:val="30"/>
          <w:rtl/>
        </w:rPr>
        <w:t xml:space="preserve"> في 20 آذار/مارس 2009، لم يكن صاحب البلاغ قد قدم بعد ملاحظاته المتعلقة بالخطر الذي قد يواجهه في حال عودته إلى لبنان. واستند الوزير بالتالي إلى المعلومات التي </w:t>
      </w:r>
      <w:r>
        <w:rPr>
          <w:rFonts w:hint="cs"/>
          <w:sz w:val="30"/>
          <w:rtl/>
        </w:rPr>
        <w:t>وضعت بحوزته فخلُص إلى عدم وجود أي خطر بانتهاك المادة 3 من الاتفاقية. وعلى أساس مصادر وثائقية مكتوبة عدّة، اعتبر الوزير أنه منذ انت</w:t>
      </w:r>
      <w:r w:rsidR="00501DFF">
        <w:rPr>
          <w:rFonts w:hint="cs"/>
          <w:sz w:val="30"/>
          <w:rtl/>
        </w:rPr>
        <w:t>هاء الحرب الأهلية في لبنان في عام 1990، لم</w:t>
      </w:r>
      <w:r>
        <w:rPr>
          <w:rFonts w:hint="cs"/>
          <w:sz w:val="30"/>
          <w:rtl/>
        </w:rPr>
        <w:t xml:space="preserve"> يشكل حزب الل</w:t>
      </w:r>
      <w:r w:rsidR="00501DFF">
        <w:rPr>
          <w:rFonts w:hint="cs"/>
          <w:sz w:val="30"/>
          <w:rtl/>
        </w:rPr>
        <w:t>ه خطراً على السكان المدنيين، لا</w:t>
      </w:r>
      <w:r w:rsidR="00501DFF">
        <w:rPr>
          <w:rFonts w:hint="eastAsia"/>
          <w:sz w:val="30"/>
          <w:rtl/>
        </w:rPr>
        <w:t> </w:t>
      </w:r>
      <w:r>
        <w:rPr>
          <w:rFonts w:hint="cs"/>
          <w:sz w:val="30"/>
          <w:rtl/>
        </w:rPr>
        <w:t>سيما أبناء الطائفة الشيعية</w:t>
      </w:r>
      <w:r w:rsidR="00501DFF">
        <w:rPr>
          <w:vertAlign w:val="superscript"/>
          <w:rtl/>
        </w:rPr>
        <w:t>(</w:t>
      </w:r>
      <w:r w:rsidR="00501DFF">
        <w:rPr>
          <w:rStyle w:val="FootnoteReference"/>
          <w:rtl/>
        </w:rPr>
        <w:footnoteReference w:id="5"/>
      </w:r>
      <w:r w:rsidR="00501DFF">
        <w:rPr>
          <w:vertAlign w:val="superscript"/>
          <w:rtl/>
        </w:rPr>
        <w:t>)</w:t>
      </w:r>
      <w:r>
        <w:rPr>
          <w:rFonts w:hint="cs"/>
          <w:sz w:val="30"/>
          <w:rtl/>
        </w:rPr>
        <w:t xml:space="preserve">. وتشدد الدولة الطرف على أن حالة صاحب البلاغ ليست حالة شخص </w:t>
      </w:r>
      <w:r w:rsidR="00501DFF">
        <w:rPr>
          <w:rFonts w:hint="cs"/>
          <w:sz w:val="30"/>
          <w:rtl/>
        </w:rPr>
        <w:t>معرّض</w:t>
      </w:r>
      <w:r>
        <w:rPr>
          <w:rFonts w:hint="cs"/>
          <w:sz w:val="30"/>
          <w:rtl/>
        </w:rPr>
        <w:t xml:space="preserve"> </w:t>
      </w:r>
      <w:r w:rsidR="00501DFF">
        <w:rPr>
          <w:rFonts w:hint="cs"/>
          <w:sz w:val="30"/>
          <w:rtl/>
        </w:rPr>
        <w:t>ل</w:t>
      </w:r>
      <w:r>
        <w:rPr>
          <w:rFonts w:hint="cs"/>
          <w:sz w:val="30"/>
          <w:rtl/>
        </w:rPr>
        <w:t xml:space="preserve">لإبعاد </w:t>
      </w:r>
      <w:r w:rsidR="006D54DD">
        <w:rPr>
          <w:rFonts w:hint="cs"/>
          <w:sz w:val="30"/>
          <w:rtl/>
        </w:rPr>
        <w:t>بسبب جرائم ارتكبها</w:t>
      </w:r>
      <w:r>
        <w:rPr>
          <w:rFonts w:hint="cs"/>
          <w:sz w:val="30"/>
          <w:rtl/>
        </w:rPr>
        <w:t xml:space="preserve"> </w:t>
      </w:r>
      <w:r>
        <w:rPr>
          <w:rFonts w:hint="cs"/>
          <w:i/>
          <w:iCs/>
          <w:sz w:val="30"/>
          <w:rtl/>
        </w:rPr>
        <w:t xml:space="preserve">رغم </w:t>
      </w:r>
      <w:r>
        <w:rPr>
          <w:rFonts w:hint="cs"/>
          <w:sz w:val="30"/>
          <w:rtl/>
        </w:rPr>
        <w:t>المخاطر التي قد يواجهها، بل هي حالة شخص غير معرض لخطر التعذيب في حال العودة إلى بلده الأصلي، وفقاً لتحقيقات السلطات الكندية.</w:t>
      </w:r>
    </w:p>
    <w:p w:rsidR="00A877FF" w:rsidRPr="009270BF" w:rsidRDefault="00A877FF" w:rsidP="00A877FF">
      <w:pPr>
        <w:pStyle w:val="SingleTxtGA"/>
        <w:rPr>
          <w:rFonts w:hint="cs"/>
          <w:rtl/>
          <w:lang w:val="fr-CH"/>
        </w:rPr>
      </w:pPr>
      <w:r>
        <w:rPr>
          <w:rFonts w:hint="cs"/>
          <w:rtl/>
          <w:lang w:val="fr-CH"/>
        </w:rPr>
        <w:t>4-4</w:t>
      </w:r>
      <w:r>
        <w:rPr>
          <w:rFonts w:hint="cs"/>
          <w:rtl/>
          <w:lang w:val="fr-CH"/>
        </w:rPr>
        <w:tab/>
      </w:r>
      <w:r w:rsidRPr="00DB2E58">
        <w:rPr>
          <w:rFonts w:hint="cs"/>
          <w:sz w:val="30"/>
          <w:rtl/>
        </w:rPr>
        <w:t>وفي 22 نيسان/أبر</w:t>
      </w:r>
      <w:r>
        <w:rPr>
          <w:rFonts w:hint="cs"/>
          <w:sz w:val="30"/>
          <w:rtl/>
        </w:rPr>
        <w:t xml:space="preserve">يل 2009، تقدم صاحب البلاغ بطلب </w:t>
      </w:r>
      <w:r w:rsidR="00BA1AA2">
        <w:rPr>
          <w:rFonts w:hint="cs"/>
          <w:sz w:val="30"/>
          <w:rtl/>
        </w:rPr>
        <w:t>لل</w:t>
      </w:r>
      <w:r>
        <w:rPr>
          <w:rFonts w:hint="cs"/>
          <w:sz w:val="30"/>
          <w:rtl/>
        </w:rPr>
        <w:t xml:space="preserve">إذن بمراجعة </w:t>
      </w:r>
      <w:r w:rsidRPr="00DB2E58">
        <w:rPr>
          <w:rFonts w:hint="cs"/>
          <w:sz w:val="30"/>
          <w:rtl/>
        </w:rPr>
        <w:t>قضائية</w:t>
      </w:r>
      <w:r>
        <w:rPr>
          <w:rFonts w:hint="cs"/>
          <w:sz w:val="30"/>
          <w:rtl/>
        </w:rPr>
        <w:t xml:space="preserve"> لرأي الوزير</w:t>
      </w:r>
      <w:r w:rsidRPr="00DB2E58">
        <w:rPr>
          <w:rFonts w:hint="cs"/>
          <w:sz w:val="30"/>
          <w:rtl/>
        </w:rPr>
        <w:t xml:space="preserve"> أمام المحكمة الف</w:t>
      </w:r>
      <w:r w:rsidR="00061A4C">
        <w:rPr>
          <w:rFonts w:hint="cs"/>
          <w:sz w:val="30"/>
          <w:rtl/>
        </w:rPr>
        <w:t>ي</w:t>
      </w:r>
      <w:r w:rsidRPr="00DB2E58">
        <w:rPr>
          <w:rFonts w:hint="cs"/>
          <w:sz w:val="30"/>
          <w:rtl/>
        </w:rPr>
        <w:t>درالية</w:t>
      </w:r>
      <w:r>
        <w:rPr>
          <w:rFonts w:hint="cs"/>
          <w:sz w:val="30"/>
          <w:rtl/>
        </w:rPr>
        <w:t xml:space="preserve"> في كندا. ورُفض هذا الطلب في 7 تموز/يوليه 2009 لأن صاحب البلاغ لم يقدم الملف. وفي 12 آب/أغسطس 2009، استأنف صاحب البلاغ ضدّ الأمر الصادر في 7 تموز/يوليه 2009، وهو يزعم إهمال محامي</w:t>
      </w:r>
      <w:r w:rsidR="00BA1AA2">
        <w:rPr>
          <w:rFonts w:hint="cs"/>
          <w:sz w:val="30"/>
          <w:rtl/>
        </w:rPr>
        <w:t>ت</w:t>
      </w:r>
      <w:r>
        <w:rPr>
          <w:rFonts w:hint="cs"/>
          <w:sz w:val="30"/>
          <w:rtl/>
        </w:rPr>
        <w:t xml:space="preserve">ه. ورفضت المحكمة </w:t>
      </w:r>
      <w:r w:rsidR="00061A4C">
        <w:rPr>
          <w:rFonts w:hint="cs"/>
          <w:sz w:val="30"/>
          <w:rtl/>
        </w:rPr>
        <w:t>الفيدرالية</w:t>
      </w:r>
      <w:r>
        <w:rPr>
          <w:rFonts w:hint="cs"/>
          <w:sz w:val="30"/>
          <w:rtl/>
        </w:rPr>
        <w:t xml:space="preserve"> هذا الاستئناف في 17 آب/أغسطس 2009 عقب جلسة استماع حظيت فيها محامية صاحب البلاغ بفرصة التحدث في هذا الشأن. واستندت أسس الرفض إلى أن إهمال المحامين لا يشكل مبرراً لإلغاء قرار ص</w:t>
      </w:r>
      <w:r w:rsidR="00BA1AA2">
        <w:rPr>
          <w:rFonts w:hint="cs"/>
          <w:sz w:val="30"/>
          <w:rtl/>
        </w:rPr>
        <w:t>ا</w:t>
      </w:r>
      <w:r>
        <w:rPr>
          <w:rFonts w:hint="cs"/>
          <w:sz w:val="30"/>
          <w:rtl/>
        </w:rPr>
        <w:t xml:space="preserve">در عن المحكمة </w:t>
      </w:r>
      <w:r w:rsidR="00061A4C">
        <w:rPr>
          <w:rFonts w:hint="cs"/>
          <w:sz w:val="30"/>
          <w:rtl/>
        </w:rPr>
        <w:t>الفيدرالية</w:t>
      </w:r>
      <w:r>
        <w:rPr>
          <w:rFonts w:hint="cs"/>
          <w:sz w:val="30"/>
          <w:rtl/>
        </w:rPr>
        <w:t>.</w:t>
      </w:r>
    </w:p>
    <w:p w:rsidR="00A877FF" w:rsidRDefault="00A877FF" w:rsidP="00532D30">
      <w:pPr>
        <w:pStyle w:val="SingleTxtGA"/>
        <w:rPr>
          <w:rFonts w:hint="cs"/>
          <w:rtl/>
          <w:lang w:val="fr-CH"/>
        </w:rPr>
      </w:pPr>
      <w:r>
        <w:rPr>
          <w:rFonts w:hint="cs"/>
          <w:rtl/>
          <w:lang w:val="fr-CH"/>
        </w:rPr>
        <w:t>4-5</w:t>
      </w:r>
      <w:r>
        <w:rPr>
          <w:rFonts w:hint="cs"/>
          <w:rtl/>
          <w:lang w:val="fr-CH"/>
        </w:rPr>
        <w:tab/>
      </w:r>
      <w:r>
        <w:rPr>
          <w:rFonts w:hint="cs"/>
          <w:sz w:val="30"/>
          <w:rtl/>
        </w:rPr>
        <w:t>وتؤكد</w:t>
      </w:r>
      <w:r w:rsidRPr="00733618">
        <w:rPr>
          <w:rFonts w:hint="cs"/>
          <w:sz w:val="30"/>
          <w:rtl/>
        </w:rPr>
        <w:t xml:space="preserve"> الدولة الطرف عدم مقبولية </w:t>
      </w:r>
      <w:r w:rsidR="00BA1AA2">
        <w:rPr>
          <w:rFonts w:hint="cs"/>
          <w:sz w:val="30"/>
          <w:rtl/>
        </w:rPr>
        <w:t>ال</w:t>
      </w:r>
      <w:r w:rsidRPr="00733618">
        <w:rPr>
          <w:rFonts w:hint="cs"/>
          <w:sz w:val="30"/>
          <w:rtl/>
        </w:rPr>
        <w:t>بلاغ أمام اللجنة لأنه لا يتوافق مع الاتفاقية بما أن</w:t>
      </w:r>
      <w:r>
        <w:rPr>
          <w:rFonts w:hint="cs"/>
          <w:sz w:val="30"/>
          <w:rtl/>
        </w:rPr>
        <w:t xml:space="preserve"> المخاطر التي يزعمها</w:t>
      </w:r>
      <w:r w:rsidRPr="00733618">
        <w:rPr>
          <w:rFonts w:hint="cs"/>
          <w:sz w:val="30"/>
          <w:rtl/>
        </w:rPr>
        <w:t xml:space="preserve"> لا تُعد</w:t>
      </w:r>
      <w:r>
        <w:rPr>
          <w:rFonts w:hint="cs"/>
          <w:sz w:val="30"/>
          <w:rtl/>
        </w:rPr>
        <w:t xml:space="preserve"> شكلاً</w:t>
      </w:r>
      <w:r w:rsidRPr="00733618">
        <w:rPr>
          <w:rFonts w:hint="cs"/>
          <w:sz w:val="30"/>
          <w:rtl/>
        </w:rPr>
        <w:t xml:space="preserve"> من أشكال التعذيب </w:t>
      </w:r>
      <w:r w:rsidRPr="00733618">
        <w:rPr>
          <w:rFonts w:hint="cs"/>
          <w:sz w:val="30"/>
          <w:rtl/>
          <w:lang/>
        </w:rPr>
        <w:t xml:space="preserve">حسب المعنى الوارد في المادة 1 من هذه الاتفاقية؛ </w:t>
      </w:r>
      <w:r w:rsidR="00BA1AA2">
        <w:rPr>
          <w:rFonts w:hint="cs"/>
          <w:sz w:val="30"/>
          <w:rtl/>
          <w:lang/>
        </w:rPr>
        <w:t>ولعدم كفاية الأدلة، وعدم استنفاد سبل الانتصاف المحلية بسبب تقصير من صاحب البلاغ</w:t>
      </w:r>
      <w:r w:rsidRPr="00733618">
        <w:rPr>
          <w:rFonts w:hint="cs"/>
          <w:sz w:val="30"/>
          <w:rtl/>
        </w:rPr>
        <w:t>.</w:t>
      </w:r>
      <w:r w:rsidR="00061A4C">
        <w:rPr>
          <w:rFonts w:hint="cs"/>
          <w:sz w:val="30"/>
          <w:rtl/>
        </w:rPr>
        <w:t xml:space="preserve"> وفي</w:t>
      </w:r>
      <w:r>
        <w:rPr>
          <w:rFonts w:hint="cs"/>
          <w:sz w:val="30"/>
          <w:rtl/>
        </w:rPr>
        <w:t xml:space="preserve">ما يتعلق بالسبب الأول، </w:t>
      </w:r>
      <w:r w:rsidRPr="00733618">
        <w:rPr>
          <w:rFonts w:hint="cs"/>
          <w:sz w:val="30"/>
          <w:rtl/>
        </w:rPr>
        <w:t xml:space="preserve">تذكّر الدولة الطرف </w:t>
      </w:r>
      <w:r w:rsidR="00061A4C">
        <w:rPr>
          <w:rFonts w:hint="cs"/>
          <w:sz w:val="30"/>
          <w:rtl/>
        </w:rPr>
        <w:t>ب</w:t>
      </w:r>
      <w:r w:rsidRPr="00733618">
        <w:rPr>
          <w:rFonts w:hint="cs"/>
          <w:sz w:val="30"/>
          <w:rtl/>
        </w:rPr>
        <w:t xml:space="preserve">أن التعذيب، حسب المعنى الوارد في المادة 1 من الاتفاقية، </w:t>
      </w:r>
      <w:r>
        <w:rPr>
          <w:rFonts w:hint="cs"/>
          <w:sz w:val="30"/>
          <w:rtl/>
        </w:rPr>
        <w:t>يقتضي</w:t>
      </w:r>
      <w:r w:rsidRPr="00733618">
        <w:rPr>
          <w:rFonts w:hint="cs"/>
          <w:sz w:val="30"/>
          <w:rtl/>
        </w:rPr>
        <w:t xml:space="preserve"> أن </w:t>
      </w:r>
      <w:r w:rsidRPr="00733618">
        <w:rPr>
          <w:rFonts w:ascii="TimesNewRomanPSMT" w:hint="cs"/>
          <w:sz w:val="30"/>
          <w:rtl/>
        </w:rPr>
        <w:t>يحرض</w:t>
      </w:r>
      <w:r w:rsidRPr="00733618">
        <w:rPr>
          <w:rFonts w:ascii="TimesNewRomanPSMT"/>
          <w:sz w:val="30"/>
        </w:rPr>
        <w:t xml:space="preserve"> </w:t>
      </w:r>
      <w:r w:rsidRPr="00733618">
        <w:rPr>
          <w:rFonts w:ascii="TimesNewRomanPSMT" w:hint="cs"/>
          <w:sz w:val="30"/>
          <w:rtl/>
        </w:rPr>
        <w:t>عل</w:t>
      </w:r>
      <w:r>
        <w:rPr>
          <w:rFonts w:ascii="TimesNewRomanPSMT" w:hint="cs"/>
          <w:sz w:val="30"/>
          <w:rtl/>
        </w:rPr>
        <w:t xml:space="preserve">ى العذاب </w:t>
      </w:r>
      <w:r w:rsidRPr="00733618">
        <w:rPr>
          <w:rFonts w:ascii="TimesNewRomanPSMT" w:hint="cs"/>
          <w:sz w:val="30"/>
          <w:rtl/>
        </w:rPr>
        <w:t>أو</w:t>
      </w:r>
      <w:r w:rsidRPr="00733618">
        <w:rPr>
          <w:rFonts w:ascii="TimesNewRomanPSMT"/>
          <w:sz w:val="30"/>
        </w:rPr>
        <w:t xml:space="preserve"> </w:t>
      </w:r>
      <w:r w:rsidRPr="00733618">
        <w:rPr>
          <w:rFonts w:ascii="TimesNewRomanPSMT" w:hint="cs"/>
          <w:sz w:val="30"/>
          <w:rtl/>
        </w:rPr>
        <w:t>يوافق</w:t>
      </w:r>
      <w:r w:rsidRPr="00733618">
        <w:rPr>
          <w:rFonts w:ascii="TimesNewRomanPSMT"/>
          <w:sz w:val="30"/>
        </w:rPr>
        <w:t xml:space="preserve"> </w:t>
      </w:r>
      <w:r w:rsidRPr="00733618">
        <w:rPr>
          <w:rFonts w:ascii="TimesNewRomanPSMT" w:hint="cs"/>
          <w:sz w:val="30"/>
          <w:rtl/>
        </w:rPr>
        <w:t>عليه</w:t>
      </w:r>
      <w:r w:rsidRPr="00733618">
        <w:rPr>
          <w:rFonts w:ascii="TimesNewRomanPSMT"/>
          <w:sz w:val="30"/>
        </w:rPr>
        <w:t xml:space="preserve"> </w:t>
      </w:r>
      <w:r w:rsidRPr="00733618">
        <w:rPr>
          <w:rFonts w:ascii="TimesNewRomanPSMT" w:hint="cs"/>
          <w:sz w:val="30"/>
          <w:rtl/>
        </w:rPr>
        <w:t>أو</w:t>
      </w:r>
      <w:r w:rsidRPr="00733618">
        <w:rPr>
          <w:rFonts w:ascii="TimesNewRomanPSMT"/>
          <w:sz w:val="30"/>
        </w:rPr>
        <w:t xml:space="preserve"> </w:t>
      </w:r>
      <w:r w:rsidRPr="00733618">
        <w:rPr>
          <w:rFonts w:ascii="TimesNewRomanPSMT" w:hint="cs"/>
          <w:sz w:val="30"/>
          <w:rtl/>
        </w:rPr>
        <w:t>يسكت</w:t>
      </w:r>
      <w:r w:rsidRPr="00733618">
        <w:rPr>
          <w:rFonts w:ascii="TimesNewRomanPSMT"/>
          <w:sz w:val="30"/>
        </w:rPr>
        <w:t xml:space="preserve"> </w:t>
      </w:r>
      <w:r w:rsidRPr="00733618">
        <w:rPr>
          <w:rFonts w:ascii="TimesNewRomanPSMT" w:hint="cs"/>
          <w:sz w:val="30"/>
          <w:rtl/>
        </w:rPr>
        <w:t>عنه موظف</w:t>
      </w:r>
      <w:r w:rsidRPr="00733618">
        <w:rPr>
          <w:rFonts w:ascii="TimesNewRomanPSMT"/>
          <w:sz w:val="30"/>
        </w:rPr>
        <w:t xml:space="preserve"> </w:t>
      </w:r>
      <w:r w:rsidRPr="00733618">
        <w:rPr>
          <w:rFonts w:ascii="TimesNewRomanPSMT" w:hint="cs"/>
          <w:sz w:val="30"/>
          <w:rtl/>
        </w:rPr>
        <w:t>رسمي</w:t>
      </w:r>
      <w:r w:rsidRPr="00733618">
        <w:rPr>
          <w:rFonts w:ascii="TimesNewRomanPSMT"/>
          <w:sz w:val="30"/>
        </w:rPr>
        <w:t xml:space="preserve"> </w:t>
      </w:r>
      <w:r w:rsidRPr="00733618">
        <w:rPr>
          <w:rFonts w:ascii="TimesNewRomanPSMT" w:hint="cs"/>
          <w:sz w:val="30"/>
          <w:rtl/>
        </w:rPr>
        <w:t>أو</w:t>
      </w:r>
      <w:r w:rsidRPr="00733618">
        <w:rPr>
          <w:rFonts w:ascii="TimesNewRomanPSMT"/>
          <w:sz w:val="30"/>
        </w:rPr>
        <w:t xml:space="preserve"> </w:t>
      </w:r>
      <w:r w:rsidRPr="00733618">
        <w:rPr>
          <w:rFonts w:ascii="TimesNewRomanPSMT" w:hint="cs"/>
          <w:sz w:val="30"/>
          <w:rtl/>
        </w:rPr>
        <w:t>أي</w:t>
      </w:r>
      <w:r w:rsidRPr="00733618">
        <w:rPr>
          <w:rFonts w:ascii="TimesNewRomanPSMT"/>
          <w:sz w:val="30"/>
        </w:rPr>
        <w:t xml:space="preserve"> </w:t>
      </w:r>
      <w:r w:rsidRPr="00733618">
        <w:rPr>
          <w:rFonts w:ascii="TimesNewRomanPSMT" w:hint="cs"/>
          <w:sz w:val="30"/>
          <w:rtl/>
        </w:rPr>
        <w:t>شخص</w:t>
      </w:r>
      <w:r w:rsidRPr="00733618">
        <w:rPr>
          <w:rFonts w:ascii="TimesNewRomanPSMT"/>
          <w:sz w:val="30"/>
        </w:rPr>
        <w:t xml:space="preserve"> </w:t>
      </w:r>
      <w:r w:rsidRPr="00733618">
        <w:rPr>
          <w:rFonts w:ascii="TimesNewRomanPSMT" w:hint="cs"/>
          <w:sz w:val="30"/>
          <w:rtl/>
        </w:rPr>
        <w:t>آخر</w:t>
      </w:r>
      <w:r w:rsidRPr="00733618">
        <w:rPr>
          <w:rFonts w:ascii="TimesNewRomanPSMT"/>
          <w:sz w:val="30"/>
        </w:rPr>
        <w:t xml:space="preserve"> </w:t>
      </w:r>
      <w:r w:rsidRPr="00733618">
        <w:rPr>
          <w:rFonts w:ascii="TimesNewRomanPSMT" w:hint="cs"/>
          <w:sz w:val="30"/>
          <w:rtl/>
        </w:rPr>
        <w:t>يتصرف</w:t>
      </w:r>
      <w:r w:rsidRPr="00733618">
        <w:rPr>
          <w:rFonts w:ascii="TimesNewRomanPSMT"/>
          <w:sz w:val="30"/>
        </w:rPr>
        <w:t xml:space="preserve"> </w:t>
      </w:r>
      <w:r w:rsidRPr="00733618">
        <w:rPr>
          <w:rFonts w:ascii="TimesNewRomanPSMT" w:hint="cs"/>
          <w:sz w:val="30"/>
          <w:rtl/>
        </w:rPr>
        <w:t>بصفته</w:t>
      </w:r>
      <w:r w:rsidRPr="00733618">
        <w:rPr>
          <w:rFonts w:ascii="TimesNewRomanPSMT"/>
          <w:sz w:val="30"/>
        </w:rPr>
        <w:t xml:space="preserve"> </w:t>
      </w:r>
      <w:r w:rsidRPr="00733618">
        <w:rPr>
          <w:rFonts w:ascii="TimesNewRomanPSMT" w:hint="cs"/>
          <w:sz w:val="30"/>
          <w:rtl/>
        </w:rPr>
        <w:t>الرسمي</w:t>
      </w:r>
      <w:r>
        <w:rPr>
          <w:rFonts w:ascii="TimesNewRomanPSMT" w:hint="cs"/>
          <w:sz w:val="30"/>
          <w:rtl/>
        </w:rPr>
        <w:t>ة</w:t>
      </w:r>
      <w:r w:rsidR="00532D30">
        <w:rPr>
          <w:vertAlign w:val="superscript"/>
          <w:rtl/>
        </w:rPr>
        <w:t>(</w:t>
      </w:r>
      <w:r w:rsidR="00532D30">
        <w:rPr>
          <w:rStyle w:val="FootnoteReference"/>
          <w:rtl/>
        </w:rPr>
        <w:footnoteReference w:id="6"/>
      </w:r>
      <w:r w:rsidR="00532D30">
        <w:rPr>
          <w:vertAlign w:val="superscript"/>
          <w:rtl/>
        </w:rPr>
        <w:t>)</w:t>
      </w:r>
      <w:r>
        <w:rPr>
          <w:rFonts w:ascii="TimesNewRomanPSMT" w:hint="cs"/>
          <w:sz w:val="30"/>
          <w:rtl/>
        </w:rPr>
        <w:t xml:space="preserve">. غير أنه بحسب الدولة الطرف ما من شيء </w:t>
      </w:r>
      <w:r>
        <w:rPr>
          <w:rFonts w:hint="cs"/>
          <w:sz w:val="30"/>
          <w:rtl/>
        </w:rPr>
        <w:t>يشير إلى</w:t>
      </w:r>
      <w:r>
        <w:rPr>
          <w:rFonts w:ascii="TimesNewRomanPSMT" w:hint="cs"/>
          <w:sz w:val="30"/>
          <w:rtl/>
        </w:rPr>
        <w:t xml:space="preserve"> أن السلطات اللبنانية يمكن أن تعر</w:t>
      </w:r>
      <w:r w:rsidR="0031422C">
        <w:rPr>
          <w:rFonts w:ascii="TimesNewRomanPSMT" w:hint="cs"/>
          <w:sz w:val="30"/>
          <w:rtl/>
        </w:rPr>
        <w:t>ّ</w:t>
      </w:r>
      <w:r>
        <w:rPr>
          <w:rFonts w:ascii="TimesNewRomanPSMT" w:hint="cs"/>
          <w:sz w:val="30"/>
          <w:rtl/>
        </w:rPr>
        <w:t xml:space="preserve">ض صاحب البلاغ للخطر. بالإضافة إلى ذلك، لا يتضمن البلاغ أدلة كافية لأغراض المقبولية لأنه لا يقدم أي دليل على </w:t>
      </w:r>
      <w:r w:rsidR="0031422C">
        <w:rPr>
          <w:rFonts w:ascii="TimesNewRomanPSMT" w:hint="cs"/>
          <w:sz w:val="30"/>
          <w:rtl/>
        </w:rPr>
        <w:t>وجود</w:t>
      </w:r>
      <w:r w:rsidR="004F115C">
        <w:rPr>
          <w:rFonts w:ascii="TimesNewRomanPSMT" w:hint="cs"/>
          <w:sz w:val="30"/>
          <w:rtl/>
        </w:rPr>
        <w:t xml:space="preserve"> خطر شخصي. و</w:t>
      </w:r>
      <w:r w:rsidR="00061A4C">
        <w:rPr>
          <w:rFonts w:ascii="TimesNewRomanPSMT" w:hint="cs"/>
          <w:sz w:val="30"/>
          <w:rtl/>
        </w:rPr>
        <w:t xml:space="preserve">لم </w:t>
      </w:r>
      <w:r>
        <w:rPr>
          <w:rFonts w:ascii="TimesNewRomanPSMT" w:hint="cs"/>
          <w:sz w:val="30"/>
          <w:rtl/>
        </w:rPr>
        <w:t xml:space="preserve">تسمح أية وثيقة قدمها صاحب البلاغ </w:t>
      </w:r>
      <w:r w:rsidR="004F115C">
        <w:rPr>
          <w:rFonts w:ascii="TimesNewRomanPSMT" w:hint="cs"/>
          <w:sz w:val="30"/>
          <w:rtl/>
        </w:rPr>
        <w:t xml:space="preserve">بالتعرف على </w:t>
      </w:r>
      <w:r>
        <w:rPr>
          <w:rFonts w:ascii="TimesNewRomanPSMT" w:hint="cs"/>
          <w:sz w:val="30"/>
          <w:rtl/>
        </w:rPr>
        <w:t xml:space="preserve">"حزب الشيعة" الذي </w:t>
      </w:r>
      <w:r>
        <w:rPr>
          <w:rFonts w:hint="cs"/>
          <w:sz w:val="30"/>
          <w:rtl/>
        </w:rPr>
        <w:t>يذكره</w:t>
      </w:r>
      <w:r>
        <w:rPr>
          <w:rFonts w:ascii="TimesNewRomanPSMT" w:hint="cs"/>
          <w:sz w:val="30"/>
          <w:rtl/>
        </w:rPr>
        <w:t xml:space="preserve">. </w:t>
      </w:r>
      <w:r w:rsidR="009521E7">
        <w:rPr>
          <w:rFonts w:ascii="TimesNewRomanPSMT" w:hint="cs"/>
          <w:sz w:val="30"/>
          <w:rtl/>
        </w:rPr>
        <w:t xml:space="preserve">ولم ترد إشارة كذلك </w:t>
      </w:r>
      <w:r>
        <w:rPr>
          <w:rFonts w:ascii="TimesNewRomanPSMT" w:hint="cs"/>
          <w:sz w:val="30"/>
          <w:rtl/>
        </w:rPr>
        <w:t xml:space="preserve">إلى طبيعة المشاركة التي يزعمها صاحب البلاغ في هذا الحزب. ولا يشرح صاحب البلاغ، وهو من أبناء الطائفة الشيعية، </w:t>
      </w:r>
      <w:r w:rsidR="009521E7">
        <w:rPr>
          <w:rFonts w:ascii="TimesNewRomanPSMT" w:hint="cs"/>
          <w:sz w:val="30"/>
          <w:rtl/>
        </w:rPr>
        <w:t xml:space="preserve">سبب خشيته من </w:t>
      </w:r>
      <w:r>
        <w:rPr>
          <w:rFonts w:ascii="TimesNewRomanPSMT" w:hint="cs"/>
          <w:sz w:val="30"/>
          <w:rtl/>
        </w:rPr>
        <w:t xml:space="preserve">حزب الله الشيعي. ولا تشير أية وثيقة من الوثائق التي قدمها إلى نزاع بين حزب الله وحزب يُدعى "حزب الشيعة" أو إلى اضطهاد حزب الله لأشخاص من </w:t>
      </w:r>
      <w:r w:rsidR="001A114A">
        <w:rPr>
          <w:rFonts w:ascii="TimesNewRomanPSMT" w:hint="cs"/>
          <w:sz w:val="30"/>
          <w:rtl/>
        </w:rPr>
        <w:t>الطائفة</w:t>
      </w:r>
      <w:r>
        <w:rPr>
          <w:rFonts w:ascii="TimesNewRomanPSMT" w:hint="cs"/>
          <w:sz w:val="30"/>
          <w:rtl/>
        </w:rPr>
        <w:t xml:space="preserve"> الشيعي</w:t>
      </w:r>
      <w:r w:rsidR="001A114A">
        <w:rPr>
          <w:rFonts w:ascii="TimesNewRomanPSMT" w:hint="cs"/>
          <w:sz w:val="30"/>
          <w:rtl/>
        </w:rPr>
        <w:t>ة</w:t>
      </w:r>
      <w:r>
        <w:rPr>
          <w:rFonts w:ascii="TimesNewRomanPSMT" w:hint="cs"/>
          <w:sz w:val="30"/>
          <w:rtl/>
        </w:rPr>
        <w:t>.</w:t>
      </w:r>
    </w:p>
    <w:p w:rsidR="00A877FF" w:rsidRDefault="00A877FF" w:rsidP="006D572B">
      <w:pPr>
        <w:pStyle w:val="SingleTxtGA"/>
        <w:rPr>
          <w:rFonts w:hint="cs"/>
          <w:rtl/>
          <w:lang w:val="fr-CH"/>
        </w:rPr>
      </w:pPr>
      <w:r>
        <w:rPr>
          <w:rFonts w:hint="cs"/>
          <w:rtl/>
          <w:lang w:val="fr-CH"/>
        </w:rPr>
        <w:t>4-6</w:t>
      </w:r>
      <w:r>
        <w:rPr>
          <w:rFonts w:hint="cs"/>
          <w:rtl/>
          <w:lang w:val="fr-CH"/>
        </w:rPr>
        <w:tab/>
      </w:r>
      <w:r>
        <w:rPr>
          <w:rFonts w:hint="cs"/>
          <w:sz w:val="30"/>
          <w:rtl/>
        </w:rPr>
        <w:t xml:space="preserve">وتقول الدولة الطرف أن صاحب البلاغ يستند بصورة خاصة إلى أن كندا </w:t>
      </w:r>
      <w:r w:rsidR="007846A6">
        <w:rPr>
          <w:rFonts w:hint="cs"/>
          <w:sz w:val="30"/>
          <w:rtl/>
        </w:rPr>
        <w:t xml:space="preserve">منحته وضع اللاجئ في </w:t>
      </w:r>
      <w:r>
        <w:rPr>
          <w:rFonts w:hint="cs"/>
          <w:sz w:val="30"/>
          <w:rtl/>
        </w:rPr>
        <w:t xml:space="preserve">عام 1998 </w:t>
      </w:r>
      <w:r w:rsidR="007846A6">
        <w:rPr>
          <w:rFonts w:hint="cs"/>
          <w:sz w:val="30"/>
          <w:rtl/>
        </w:rPr>
        <w:t xml:space="preserve">كدليل على صحة </w:t>
      </w:r>
      <w:r>
        <w:rPr>
          <w:rFonts w:hint="cs"/>
          <w:sz w:val="30"/>
          <w:rtl/>
        </w:rPr>
        <w:t>ادعاءاته. غير أنه أُعطي وضع اللاجئ بناء على ادعاءات مختلفة تماماً عن تلك التي قدمها في بلاغه أمام اللجنة. و</w:t>
      </w:r>
      <w:r w:rsidR="007846A6">
        <w:rPr>
          <w:rFonts w:hint="cs"/>
          <w:sz w:val="30"/>
          <w:rtl/>
        </w:rPr>
        <w:t>بالتحديد، لم يرد أبداً في طلب لجوئه</w:t>
      </w:r>
      <w:r w:rsidR="009708AA">
        <w:rPr>
          <w:rFonts w:hint="cs"/>
          <w:sz w:val="30"/>
          <w:rtl/>
        </w:rPr>
        <w:t xml:space="preserve"> في </w:t>
      </w:r>
      <w:r>
        <w:rPr>
          <w:rFonts w:hint="cs"/>
          <w:sz w:val="30"/>
          <w:rtl/>
        </w:rPr>
        <w:t xml:space="preserve">عام 1996 ذكر "حزب الشيعة" أو أي انتماء سياسي لصاحب البلاغ. وخلافاً لذلك، </w:t>
      </w:r>
      <w:r w:rsidR="009708AA">
        <w:rPr>
          <w:rFonts w:hint="cs"/>
          <w:sz w:val="30"/>
          <w:rtl/>
        </w:rPr>
        <w:t xml:space="preserve">كان </w:t>
      </w:r>
      <w:r>
        <w:rPr>
          <w:rFonts w:hint="cs"/>
          <w:sz w:val="30"/>
          <w:rtl/>
        </w:rPr>
        <w:t>طلب</w:t>
      </w:r>
      <w:r w:rsidR="009708AA">
        <w:rPr>
          <w:rFonts w:hint="cs"/>
          <w:sz w:val="30"/>
          <w:rtl/>
        </w:rPr>
        <w:t>ه</w:t>
      </w:r>
      <w:r>
        <w:rPr>
          <w:rFonts w:hint="cs"/>
          <w:sz w:val="30"/>
          <w:rtl/>
        </w:rPr>
        <w:t xml:space="preserve"> </w:t>
      </w:r>
      <w:r w:rsidR="009708AA">
        <w:rPr>
          <w:rFonts w:hint="cs"/>
          <w:sz w:val="30"/>
          <w:rtl/>
        </w:rPr>
        <w:t xml:space="preserve">يوحي </w:t>
      </w:r>
      <w:r>
        <w:rPr>
          <w:rFonts w:hint="cs"/>
          <w:sz w:val="30"/>
          <w:rtl/>
        </w:rPr>
        <w:t xml:space="preserve">بأن عائلته لا تملك أي اهتمامات سياسية وأن </w:t>
      </w:r>
      <w:r w:rsidR="009708AA">
        <w:rPr>
          <w:rFonts w:hint="cs"/>
          <w:sz w:val="30"/>
          <w:rtl/>
        </w:rPr>
        <w:t xml:space="preserve">حزب الله اعتدى على أخيه بسبب رفضه </w:t>
      </w:r>
      <w:r w:rsidR="00860EFD">
        <w:rPr>
          <w:rFonts w:hint="cs"/>
          <w:sz w:val="30"/>
          <w:rtl/>
        </w:rPr>
        <w:t xml:space="preserve">الانخراط في أنشطة </w:t>
      </w:r>
      <w:r>
        <w:rPr>
          <w:rFonts w:hint="cs"/>
          <w:sz w:val="30"/>
          <w:rtl/>
        </w:rPr>
        <w:t xml:space="preserve">سياسية. </w:t>
      </w:r>
      <w:r w:rsidR="00860EFD">
        <w:rPr>
          <w:rFonts w:hint="cs"/>
          <w:sz w:val="30"/>
          <w:rtl/>
        </w:rPr>
        <w:t>وأشار</w:t>
      </w:r>
      <w:r>
        <w:rPr>
          <w:rFonts w:hint="cs"/>
          <w:sz w:val="30"/>
          <w:rtl/>
        </w:rPr>
        <w:t xml:space="preserve"> الطلب إلى أن صاحب البلاغ لم يكن مستهدفاً شخصياً، بل أُصيب ب</w:t>
      </w:r>
      <w:r w:rsidR="00860EFD">
        <w:rPr>
          <w:rFonts w:hint="cs"/>
          <w:sz w:val="30"/>
          <w:rtl/>
        </w:rPr>
        <w:t>جروح بسبب وجوده بالقرب من أخيه.</w:t>
      </w:r>
      <w:r>
        <w:rPr>
          <w:rFonts w:hint="cs"/>
          <w:sz w:val="30"/>
          <w:rtl/>
        </w:rPr>
        <w:t xml:space="preserve"> </w:t>
      </w:r>
      <w:r w:rsidR="00860EFD">
        <w:rPr>
          <w:rFonts w:hint="cs"/>
          <w:sz w:val="30"/>
          <w:rtl/>
        </w:rPr>
        <w:t>و</w:t>
      </w:r>
      <w:r>
        <w:rPr>
          <w:rFonts w:hint="cs"/>
          <w:sz w:val="30"/>
          <w:rtl/>
        </w:rPr>
        <w:t xml:space="preserve">كان الخطر الوحيد الذي زعِمه في طلبه للجوء هو خطر التعرض للاضطهاد على يد القوات السورية. </w:t>
      </w:r>
      <w:r w:rsidR="006D572B">
        <w:rPr>
          <w:rFonts w:hint="cs"/>
          <w:sz w:val="30"/>
          <w:rtl/>
        </w:rPr>
        <w:t>و</w:t>
      </w:r>
      <w:r>
        <w:rPr>
          <w:rFonts w:hint="cs"/>
          <w:sz w:val="30"/>
          <w:rtl/>
        </w:rPr>
        <w:t xml:space="preserve">حتى </w:t>
      </w:r>
      <w:r w:rsidR="006D572B">
        <w:rPr>
          <w:rFonts w:hint="cs"/>
          <w:sz w:val="30"/>
          <w:rtl/>
        </w:rPr>
        <w:t xml:space="preserve">لو </w:t>
      </w:r>
      <w:r>
        <w:rPr>
          <w:rFonts w:hint="cs"/>
          <w:sz w:val="30"/>
          <w:rtl/>
        </w:rPr>
        <w:t>كان صاحب البلاغ قد رفض الانضمام إلى حزب الله خلال الحرب الأهلية، فلا شيء يشير أن هذا الأمر ما زال يشكل خطراً على سلامته بعد</w:t>
      </w:r>
      <w:r w:rsidR="006D572B">
        <w:rPr>
          <w:rFonts w:hint="cs"/>
          <w:sz w:val="30"/>
          <w:rtl/>
        </w:rPr>
        <w:t xml:space="preserve"> مرور</w:t>
      </w:r>
      <w:r>
        <w:rPr>
          <w:rFonts w:hint="cs"/>
          <w:sz w:val="30"/>
          <w:rtl/>
        </w:rPr>
        <w:t xml:space="preserve"> أكثر من عشرة أعوام. </w:t>
      </w:r>
      <w:r w:rsidR="006D572B">
        <w:rPr>
          <w:rFonts w:hint="cs"/>
          <w:sz w:val="30"/>
          <w:rtl/>
        </w:rPr>
        <w:t>و</w:t>
      </w:r>
      <w:r>
        <w:rPr>
          <w:rFonts w:hint="cs"/>
          <w:sz w:val="30"/>
          <w:rtl/>
        </w:rPr>
        <w:t>حتى ال</w:t>
      </w:r>
      <w:r w:rsidR="006D572B">
        <w:rPr>
          <w:rFonts w:hint="cs"/>
          <w:sz w:val="30"/>
          <w:rtl/>
        </w:rPr>
        <w:t>أ</w:t>
      </w:r>
      <w:r>
        <w:rPr>
          <w:rFonts w:hint="cs"/>
          <w:sz w:val="30"/>
          <w:rtl/>
        </w:rPr>
        <w:t>دل</w:t>
      </w:r>
      <w:r w:rsidR="006D572B">
        <w:rPr>
          <w:rFonts w:hint="cs"/>
          <w:sz w:val="30"/>
          <w:rtl/>
        </w:rPr>
        <w:t xml:space="preserve">ة </w:t>
      </w:r>
      <w:r>
        <w:rPr>
          <w:rFonts w:hint="cs"/>
          <w:sz w:val="30"/>
          <w:rtl/>
        </w:rPr>
        <w:t>ال</w:t>
      </w:r>
      <w:r w:rsidR="006D572B">
        <w:rPr>
          <w:rFonts w:hint="cs"/>
          <w:sz w:val="30"/>
          <w:rtl/>
        </w:rPr>
        <w:t>ت</w:t>
      </w:r>
      <w:r>
        <w:rPr>
          <w:rFonts w:hint="cs"/>
          <w:sz w:val="30"/>
          <w:rtl/>
        </w:rPr>
        <w:t>ي قدمه</w:t>
      </w:r>
      <w:r w:rsidR="006D572B">
        <w:rPr>
          <w:rFonts w:hint="cs"/>
          <w:sz w:val="30"/>
          <w:rtl/>
        </w:rPr>
        <w:t>ا</w:t>
      </w:r>
      <w:r>
        <w:rPr>
          <w:rFonts w:hint="cs"/>
          <w:sz w:val="30"/>
          <w:rtl/>
        </w:rPr>
        <w:t xml:space="preserve"> في بلاغه أمام اللجنة</w:t>
      </w:r>
      <w:r w:rsidR="006D572B">
        <w:rPr>
          <w:rFonts w:hint="cs"/>
          <w:sz w:val="30"/>
          <w:rtl/>
        </w:rPr>
        <w:t xml:space="preserve"> تشير إلى أن حزب الله لا يجند </w:t>
      </w:r>
      <w:r>
        <w:rPr>
          <w:rFonts w:hint="cs"/>
          <w:sz w:val="30"/>
          <w:rtl/>
        </w:rPr>
        <w:t>أشخاص</w:t>
      </w:r>
      <w:r w:rsidR="006D572B">
        <w:rPr>
          <w:rFonts w:hint="cs"/>
          <w:sz w:val="30"/>
          <w:rtl/>
        </w:rPr>
        <w:t>اً</w:t>
      </w:r>
      <w:r>
        <w:rPr>
          <w:rFonts w:hint="cs"/>
          <w:sz w:val="30"/>
          <w:rtl/>
        </w:rPr>
        <w:t xml:space="preserve"> بالقوة</w:t>
      </w:r>
      <w:r w:rsidR="006D572B">
        <w:rPr>
          <w:rFonts w:hint="cs"/>
          <w:sz w:val="30"/>
          <w:rtl/>
        </w:rPr>
        <w:t xml:space="preserve"> ولا يقوم بأعمال انتقامية. كما تشير هذه</w:t>
      </w:r>
      <w:r>
        <w:rPr>
          <w:rFonts w:hint="cs"/>
          <w:sz w:val="30"/>
          <w:rtl/>
        </w:rPr>
        <w:t xml:space="preserve"> ال</w:t>
      </w:r>
      <w:r w:rsidR="006D572B">
        <w:rPr>
          <w:rFonts w:hint="cs"/>
          <w:sz w:val="30"/>
          <w:rtl/>
        </w:rPr>
        <w:t>أ</w:t>
      </w:r>
      <w:r>
        <w:rPr>
          <w:rFonts w:hint="cs"/>
          <w:sz w:val="30"/>
          <w:rtl/>
        </w:rPr>
        <w:t>دل</w:t>
      </w:r>
      <w:r w:rsidR="006D572B">
        <w:rPr>
          <w:rFonts w:hint="cs"/>
          <w:sz w:val="30"/>
          <w:rtl/>
        </w:rPr>
        <w:t xml:space="preserve">ة </w:t>
      </w:r>
      <w:r>
        <w:rPr>
          <w:rFonts w:hint="cs"/>
          <w:sz w:val="30"/>
          <w:rtl/>
        </w:rPr>
        <w:t>نفسه</w:t>
      </w:r>
      <w:r w:rsidR="006D572B">
        <w:rPr>
          <w:rFonts w:hint="cs"/>
          <w:sz w:val="30"/>
          <w:rtl/>
        </w:rPr>
        <w:t>ا</w:t>
      </w:r>
      <w:r>
        <w:rPr>
          <w:rFonts w:hint="cs"/>
          <w:sz w:val="30"/>
          <w:rtl/>
        </w:rPr>
        <w:t xml:space="preserve"> إلى أن الدولة توفر حماية كافية عموماً، خاصة خارج جنوب لبنان.</w:t>
      </w:r>
    </w:p>
    <w:p w:rsidR="00A877FF" w:rsidRPr="00BE585E" w:rsidRDefault="00A877FF" w:rsidP="00BE585E">
      <w:pPr>
        <w:pStyle w:val="SingleTxtGA"/>
        <w:rPr>
          <w:rFonts w:hint="cs"/>
          <w:szCs w:val="20"/>
          <w:rtl/>
        </w:rPr>
      </w:pPr>
      <w:r>
        <w:rPr>
          <w:rFonts w:hint="cs"/>
          <w:spacing w:val="-2"/>
          <w:rtl/>
          <w:lang w:val="fr-CH"/>
        </w:rPr>
        <w:t>4</w:t>
      </w:r>
      <w:r w:rsidRPr="00B13DFE">
        <w:rPr>
          <w:rFonts w:hint="cs"/>
          <w:spacing w:val="-2"/>
          <w:rtl/>
          <w:lang w:val="fr-CH"/>
        </w:rPr>
        <w:t>-</w:t>
      </w:r>
      <w:r>
        <w:rPr>
          <w:rFonts w:hint="cs"/>
          <w:spacing w:val="-2"/>
          <w:rtl/>
          <w:lang w:val="fr-CH"/>
        </w:rPr>
        <w:t>7</w:t>
      </w:r>
      <w:r w:rsidRPr="00B13DFE">
        <w:rPr>
          <w:rFonts w:hint="cs"/>
          <w:spacing w:val="-2"/>
          <w:rtl/>
          <w:lang w:val="fr-CH"/>
        </w:rPr>
        <w:tab/>
      </w:r>
      <w:r>
        <w:rPr>
          <w:rFonts w:hint="cs"/>
          <w:rtl/>
        </w:rPr>
        <w:t xml:space="preserve">وفي إشارة إلى الأحكام السابقة للجنة وتعليقها العام رقم 1، تشدد الدولة الطرف على أن صاحب البلاغ يتحمل مسؤولية إثبات وجاهة </w:t>
      </w:r>
      <w:r w:rsidR="00850BD5">
        <w:rPr>
          <w:rFonts w:hint="cs"/>
          <w:rtl/>
        </w:rPr>
        <w:t>البلاغ</w:t>
      </w:r>
      <w:r>
        <w:rPr>
          <w:rFonts w:hint="cs"/>
          <w:rtl/>
        </w:rPr>
        <w:t xml:space="preserve"> لأغراض </w:t>
      </w:r>
      <w:r w:rsidR="00850BD5">
        <w:rPr>
          <w:rFonts w:hint="cs"/>
          <w:rtl/>
        </w:rPr>
        <w:t>ال</w:t>
      </w:r>
      <w:r>
        <w:rPr>
          <w:rFonts w:hint="cs"/>
          <w:rtl/>
        </w:rPr>
        <w:t xml:space="preserve">مقبولية </w:t>
      </w:r>
      <w:r w:rsidR="00850BD5">
        <w:rPr>
          <w:rFonts w:hint="cs"/>
          <w:rtl/>
        </w:rPr>
        <w:t>بموجب المادة</w:t>
      </w:r>
      <w:r w:rsidR="00850BD5">
        <w:rPr>
          <w:rFonts w:hint="eastAsia"/>
          <w:rtl/>
        </w:rPr>
        <w:t> </w:t>
      </w:r>
      <w:r>
        <w:rPr>
          <w:rFonts w:hint="cs"/>
          <w:rtl/>
        </w:rPr>
        <w:t>22 من الاتفاقية. وفي هذه الحال، تؤكد الدولة الطرف عدم استيفاء هذه الشروط.</w:t>
      </w:r>
    </w:p>
    <w:p w:rsidR="00A877FF" w:rsidRPr="008D3F6B" w:rsidRDefault="00A877FF" w:rsidP="00BE585E">
      <w:pPr>
        <w:pStyle w:val="SingleTxtGA"/>
        <w:rPr>
          <w:rFonts w:hint="cs"/>
          <w:rtl/>
        </w:rPr>
      </w:pPr>
      <w:r w:rsidRPr="008D3F6B">
        <w:rPr>
          <w:rFonts w:hint="cs"/>
          <w:spacing w:val="-2"/>
          <w:rtl/>
        </w:rPr>
        <w:t>4-8</w:t>
      </w:r>
      <w:r w:rsidRPr="008D3F6B">
        <w:rPr>
          <w:rFonts w:hint="cs"/>
          <w:spacing w:val="-2"/>
          <w:rtl/>
        </w:rPr>
        <w:tab/>
      </w:r>
      <w:r w:rsidR="00BE585E">
        <w:rPr>
          <w:rFonts w:hint="cs"/>
          <w:rtl/>
        </w:rPr>
        <w:t>وتدفع الدولة الطرف أيضاً أ</w:t>
      </w:r>
      <w:r w:rsidRPr="008D3F6B">
        <w:rPr>
          <w:rFonts w:hint="cs"/>
          <w:rtl/>
        </w:rPr>
        <w:t>ن صاحب البلاغ لم يستنفد سبل الانتصاف المحلية المتاحة ولم يتابع بعناية سبل الانتصاف التي استخدمها. وحظِي بفرص عدّة وأُعطي أشهر عدّة كي يُؤكد ادعاءاته أمام وزير المواطنة والهجرة والتعددية الثقافية في إطار تحقيق الأخير عن الخطر الذي يشكله صاحب البلاغ على عامة الناس في كندا والمخاطر التي قد يتعرض لها في لبنان. غير أن صاح</w:t>
      </w:r>
      <w:r w:rsidR="00BE585E">
        <w:rPr>
          <w:rFonts w:hint="cs"/>
          <w:rtl/>
        </w:rPr>
        <w:t>ب البلاغ لم يقدم أية ملاحظات</w:t>
      </w:r>
      <w:r w:rsidRPr="008D3F6B">
        <w:rPr>
          <w:rFonts w:hint="cs"/>
          <w:rtl/>
        </w:rPr>
        <w:t xml:space="preserve"> مكتوبة في إطار هذا التحقيق. بالإضافة إلى ذلك، لم يتابع طلبه بالإذن بالمراجعة القضائية بالعناية الواجبة، إذ أغفل تقديم الملف للمحكمة </w:t>
      </w:r>
      <w:r w:rsidR="00061A4C">
        <w:rPr>
          <w:rFonts w:hint="cs"/>
          <w:rtl/>
        </w:rPr>
        <w:t>الفيدرالية</w:t>
      </w:r>
      <w:r w:rsidRPr="008D3F6B">
        <w:rPr>
          <w:rFonts w:hint="cs"/>
          <w:rtl/>
        </w:rPr>
        <w:t xml:space="preserve"> من أجل دعم طلبه. وتؤكد الدولة الطرف أنه وفقاً للأحكام السابقة للجنة، لا يشكل مجرد إهمال المحامين مبرراً لعدم استنفاد سبل الانتصاف المحلية</w:t>
      </w:r>
      <w:r w:rsidR="00BE585E">
        <w:rPr>
          <w:vertAlign w:val="superscript"/>
          <w:rtl/>
        </w:rPr>
        <w:t>(</w:t>
      </w:r>
      <w:r w:rsidR="00BE585E">
        <w:rPr>
          <w:rStyle w:val="FootnoteReference"/>
          <w:rtl/>
        </w:rPr>
        <w:footnoteReference w:id="7"/>
      </w:r>
      <w:r w:rsidR="00BE585E">
        <w:rPr>
          <w:vertAlign w:val="superscript"/>
          <w:rtl/>
        </w:rPr>
        <w:t>)</w:t>
      </w:r>
      <w:r w:rsidRPr="008D3F6B">
        <w:rPr>
          <w:rFonts w:hint="cs"/>
          <w:rtl/>
        </w:rPr>
        <w:t>.</w:t>
      </w:r>
    </w:p>
    <w:p w:rsidR="00A877FF" w:rsidRPr="00652948" w:rsidRDefault="00A877FF" w:rsidP="00652948">
      <w:pPr>
        <w:pStyle w:val="SingleTxtGA"/>
        <w:rPr>
          <w:rFonts w:hint="cs"/>
          <w:szCs w:val="20"/>
          <w:rtl/>
        </w:rPr>
      </w:pPr>
      <w:r>
        <w:rPr>
          <w:rFonts w:hint="cs"/>
          <w:spacing w:val="-2"/>
          <w:rtl/>
          <w:lang w:val="fr-CH"/>
        </w:rPr>
        <w:t>4</w:t>
      </w:r>
      <w:r w:rsidRPr="00B13DFE">
        <w:rPr>
          <w:rFonts w:hint="cs"/>
          <w:spacing w:val="-2"/>
          <w:rtl/>
          <w:lang w:val="fr-CH"/>
        </w:rPr>
        <w:t>-</w:t>
      </w:r>
      <w:r>
        <w:rPr>
          <w:rFonts w:hint="cs"/>
          <w:spacing w:val="-2"/>
          <w:rtl/>
          <w:lang w:val="fr-CH"/>
        </w:rPr>
        <w:t>9</w:t>
      </w:r>
      <w:r w:rsidRPr="00B13DFE">
        <w:rPr>
          <w:rFonts w:hint="cs"/>
          <w:spacing w:val="-2"/>
          <w:rtl/>
          <w:lang w:val="fr-CH"/>
        </w:rPr>
        <w:tab/>
      </w:r>
      <w:r w:rsidR="008647FE">
        <w:rPr>
          <w:rFonts w:hint="cs"/>
          <w:rtl/>
        </w:rPr>
        <w:t>و</w:t>
      </w:r>
      <w:r>
        <w:rPr>
          <w:rFonts w:hint="cs"/>
          <w:rtl/>
        </w:rPr>
        <w:t>بالإضافة إلى ملاحظات الدو</w:t>
      </w:r>
      <w:r w:rsidR="008647FE">
        <w:rPr>
          <w:rFonts w:hint="cs"/>
          <w:rtl/>
        </w:rPr>
        <w:t>لة الطرف المتعلقة بالمقبولية و</w:t>
      </w:r>
      <w:r>
        <w:rPr>
          <w:rFonts w:hint="cs"/>
          <w:rtl/>
        </w:rPr>
        <w:t>أسباب نفسها، تؤكد الدولة</w:t>
      </w:r>
      <w:r w:rsidR="008647FE">
        <w:rPr>
          <w:rFonts w:hint="cs"/>
          <w:rtl/>
        </w:rPr>
        <w:t xml:space="preserve"> الطرف</w:t>
      </w:r>
      <w:r>
        <w:rPr>
          <w:rFonts w:hint="cs"/>
          <w:rtl/>
        </w:rPr>
        <w:t xml:space="preserve"> أنه ينبغي رفض بلاغ صاحب البلاغ استناد</w:t>
      </w:r>
      <w:r w:rsidR="00D75AB1">
        <w:rPr>
          <w:rFonts w:hint="cs"/>
          <w:rtl/>
        </w:rPr>
        <w:t>اً إلى الأسس الموضوعية، لأنه لا</w:t>
      </w:r>
      <w:r w:rsidR="00D75AB1">
        <w:rPr>
          <w:rFonts w:hint="eastAsia"/>
          <w:rtl/>
        </w:rPr>
        <w:t> </w:t>
      </w:r>
      <w:r w:rsidR="008647FE">
        <w:rPr>
          <w:rFonts w:hint="cs"/>
          <w:rtl/>
        </w:rPr>
        <w:t xml:space="preserve">يكشف </w:t>
      </w:r>
      <w:r>
        <w:rPr>
          <w:rFonts w:hint="cs"/>
          <w:rtl/>
        </w:rPr>
        <w:t>أي انتهاك للمادة 3 من الاتفاقية.</w:t>
      </w:r>
    </w:p>
    <w:p w:rsidR="00A877FF" w:rsidRPr="00652948" w:rsidRDefault="00A877FF" w:rsidP="00652948">
      <w:pPr>
        <w:pStyle w:val="H23GA"/>
        <w:rPr>
          <w:rFonts w:hint="cs"/>
          <w:szCs w:val="20"/>
          <w:rtl/>
        </w:rPr>
      </w:pPr>
      <w:r>
        <w:rPr>
          <w:rFonts w:hint="cs"/>
          <w:rtl/>
          <w:lang w:val="fr-CH"/>
        </w:rPr>
        <w:tab/>
      </w:r>
      <w:r>
        <w:rPr>
          <w:rFonts w:hint="cs"/>
          <w:rtl/>
          <w:lang w:val="fr-CH"/>
        </w:rPr>
        <w:tab/>
        <w:t>تعليقات صاحب البلاغ</w:t>
      </w:r>
    </w:p>
    <w:p w:rsidR="00A877FF" w:rsidRDefault="00A877FF" w:rsidP="00497989">
      <w:pPr>
        <w:pStyle w:val="SingleTxtGA"/>
        <w:rPr>
          <w:rFonts w:hint="cs"/>
          <w:rtl/>
          <w:lang w:val="fr-CH"/>
        </w:rPr>
      </w:pPr>
      <w:r>
        <w:rPr>
          <w:rFonts w:hint="cs"/>
          <w:spacing w:val="-3"/>
          <w:rtl/>
          <w:lang w:val="fr-CH"/>
        </w:rPr>
        <w:t>5</w:t>
      </w:r>
      <w:r w:rsidRPr="00855291">
        <w:rPr>
          <w:rFonts w:hint="cs"/>
          <w:spacing w:val="-3"/>
          <w:rtl/>
          <w:lang w:val="fr-CH"/>
        </w:rPr>
        <w:t>-1</w:t>
      </w:r>
      <w:r w:rsidRPr="00855291">
        <w:rPr>
          <w:rFonts w:hint="cs"/>
          <w:spacing w:val="-3"/>
          <w:rtl/>
          <w:lang w:val="fr-CH"/>
        </w:rPr>
        <w:tab/>
      </w:r>
      <w:r>
        <w:rPr>
          <w:rFonts w:hint="cs"/>
          <w:sz w:val="30"/>
          <w:rtl/>
        </w:rPr>
        <w:t xml:space="preserve">في الرد المؤرخ 23 كانون الأول/ديسمبر 2009 حول ملاحظات الدولة الطرف بشأن مقبولية البلاغ وأسسه الموضوعية، تؤكد المحامية أن الخطر الذي قد يواجهه صاحب البلاغ ما زال قائماً اليوم. ورغم خروج القوات السورية رسمياً من لبنان، </w:t>
      </w:r>
      <w:r w:rsidR="00652948">
        <w:rPr>
          <w:rFonts w:hint="cs"/>
          <w:sz w:val="30"/>
          <w:rtl/>
        </w:rPr>
        <w:t>فقد ازداد</w:t>
      </w:r>
      <w:r>
        <w:rPr>
          <w:rFonts w:hint="cs"/>
          <w:sz w:val="30"/>
          <w:rtl/>
        </w:rPr>
        <w:t xml:space="preserve"> نمو حزب الله ومستوى تأثيره، لا سيما منذ انتهاء النزاع </w:t>
      </w:r>
      <w:r w:rsidR="00497989">
        <w:rPr>
          <w:rFonts w:hint="cs"/>
          <w:sz w:val="30"/>
          <w:rtl/>
        </w:rPr>
        <w:t>الأخير مع إسرائيل في عام 2006. ولم</w:t>
      </w:r>
      <w:r w:rsidR="00497989">
        <w:rPr>
          <w:rFonts w:hint="eastAsia"/>
          <w:sz w:val="30"/>
          <w:rtl/>
        </w:rPr>
        <w:t> </w:t>
      </w:r>
      <w:r>
        <w:rPr>
          <w:rFonts w:hint="cs"/>
          <w:sz w:val="30"/>
          <w:rtl/>
        </w:rPr>
        <w:t xml:space="preserve">ينحسر بالتالي الخطر الذي يواجهه صاحب البلاغ، لأن رفضه الانضمام إلى الميليشيات، ومنها حزب الله، أدى إلى إصابته بجروح في عام 1989. ورغم مشاركة أجنحة من حزب الله في حكومة لبنان، </w:t>
      </w:r>
      <w:r w:rsidR="00497989">
        <w:rPr>
          <w:rFonts w:hint="cs"/>
          <w:sz w:val="30"/>
          <w:rtl/>
        </w:rPr>
        <w:t>ف</w:t>
      </w:r>
      <w:r>
        <w:rPr>
          <w:rFonts w:hint="cs"/>
          <w:sz w:val="30"/>
          <w:rtl/>
        </w:rPr>
        <w:t xml:space="preserve">إن الأفعال التي تقترفها هذه الميليشيا ضدّ </w:t>
      </w:r>
      <w:r w:rsidR="00497989">
        <w:rPr>
          <w:rFonts w:hint="cs"/>
          <w:sz w:val="30"/>
          <w:rtl/>
        </w:rPr>
        <w:t>من</w:t>
      </w:r>
      <w:r>
        <w:rPr>
          <w:rFonts w:hint="cs"/>
          <w:sz w:val="30"/>
          <w:rtl/>
        </w:rPr>
        <w:t xml:space="preserve"> يعارض</w:t>
      </w:r>
      <w:r w:rsidR="00B426B4">
        <w:rPr>
          <w:rFonts w:hint="cs"/>
          <w:sz w:val="30"/>
          <w:rtl/>
        </w:rPr>
        <w:t>ها</w:t>
      </w:r>
      <w:r w:rsidR="00497989">
        <w:rPr>
          <w:rFonts w:hint="cs"/>
          <w:sz w:val="30"/>
          <w:rtl/>
        </w:rPr>
        <w:t xml:space="preserve"> </w:t>
      </w:r>
      <w:r>
        <w:rPr>
          <w:rFonts w:hint="cs"/>
          <w:sz w:val="30"/>
          <w:rtl/>
        </w:rPr>
        <w:t>ليست أقل عنفاً أو تعسفاً اليوم. وتشير المحامية إلى حالات عدّة من الاحتجاز التعسفي قامت بها قوات حزب الله وأفاد عنها التقرير السنوي لوزارة الخارجية الأمريكية في عام 2008. وتذكر منها ثلاث حالات،</w:t>
      </w:r>
      <w:r w:rsidR="00497989">
        <w:rPr>
          <w:rFonts w:hint="cs"/>
          <w:sz w:val="30"/>
          <w:rtl/>
        </w:rPr>
        <w:t xml:space="preserve"> هي</w:t>
      </w:r>
      <w:r>
        <w:rPr>
          <w:rFonts w:hint="cs"/>
          <w:sz w:val="30"/>
          <w:rtl/>
        </w:rPr>
        <w:t xml:space="preserve"> </w:t>
      </w:r>
      <w:r w:rsidR="00497989">
        <w:rPr>
          <w:rFonts w:hint="cs"/>
          <w:sz w:val="30"/>
          <w:rtl/>
        </w:rPr>
        <w:t xml:space="preserve">احتجاز </w:t>
      </w:r>
      <w:r>
        <w:rPr>
          <w:rFonts w:hint="cs"/>
          <w:sz w:val="30"/>
          <w:rtl/>
        </w:rPr>
        <w:t xml:space="preserve">عضو في الحزب الاشتراكي الفرنسي، </w:t>
      </w:r>
      <w:r w:rsidR="00497989">
        <w:rPr>
          <w:rFonts w:hint="cs"/>
          <w:sz w:val="30"/>
          <w:rtl/>
        </w:rPr>
        <w:t xml:space="preserve">واحتجاز </w:t>
      </w:r>
      <w:r>
        <w:rPr>
          <w:rFonts w:hint="cs"/>
          <w:sz w:val="30"/>
          <w:rtl/>
        </w:rPr>
        <w:t xml:space="preserve">صحفيين برازيليين، </w:t>
      </w:r>
      <w:r w:rsidR="00497989">
        <w:rPr>
          <w:rFonts w:hint="cs"/>
          <w:sz w:val="30"/>
          <w:rtl/>
        </w:rPr>
        <w:t xml:space="preserve">واحتجاز </w:t>
      </w:r>
      <w:r>
        <w:rPr>
          <w:rFonts w:hint="cs"/>
          <w:sz w:val="30"/>
          <w:rtl/>
        </w:rPr>
        <w:t>خمسة موظفين في شركة كانوا يجرون دراسة في أحياء ضاحية بيروت الجنوبية.</w:t>
      </w:r>
    </w:p>
    <w:p w:rsidR="00A877FF" w:rsidRDefault="00A877FF" w:rsidP="004A36E8">
      <w:pPr>
        <w:pStyle w:val="SingleTxtGA"/>
        <w:rPr>
          <w:rFonts w:hint="cs"/>
          <w:rtl/>
          <w:lang w:val="fr-CH"/>
        </w:rPr>
      </w:pPr>
      <w:r>
        <w:rPr>
          <w:rFonts w:hint="cs"/>
          <w:rtl/>
          <w:lang w:val="fr-CH"/>
        </w:rPr>
        <w:t>5-2</w:t>
      </w:r>
      <w:r>
        <w:rPr>
          <w:rFonts w:hint="cs"/>
          <w:rtl/>
          <w:lang w:val="fr-CH"/>
        </w:rPr>
        <w:tab/>
      </w:r>
      <w:r>
        <w:rPr>
          <w:rFonts w:hint="cs"/>
          <w:sz w:val="30"/>
          <w:rtl/>
        </w:rPr>
        <w:t xml:space="preserve">وتضيف المحامية أن مشاركة حزب الله حالياً في الحكومة لم تعد تسمح للدولة الطرف باستبعاد إمكانية تعرض صاحب البلاغ في حال احتجازه في لبنان لممارسات محظورة بموجب المادة 1 من الاتفاقية، لأنه من الممكن أن يرتكبها موظفون في الدولة </w:t>
      </w:r>
      <w:r w:rsidR="00497989">
        <w:rPr>
          <w:rFonts w:hint="cs"/>
          <w:sz w:val="30"/>
          <w:rtl/>
        </w:rPr>
        <w:t xml:space="preserve">ينتمون إلى </w:t>
      </w:r>
      <w:r>
        <w:rPr>
          <w:rFonts w:hint="cs"/>
          <w:sz w:val="30"/>
          <w:rtl/>
        </w:rPr>
        <w:t xml:space="preserve">حزب الله أو </w:t>
      </w:r>
      <w:r w:rsidR="004A36E8">
        <w:rPr>
          <w:rFonts w:hint="cs"/>
          <w:sz w:val="30"/>
          <w:rtl/>
        </w:rPr>
        <w:t>يعملون ب</w:t>
      </w:r>
      <w:r>
        <w:rPr>
          <w:rFonts w:hint="cs"/>
          <w:sz w:val="30"/>
          <w:rtl/>
        </w:rPr>
        <w:t xml:space="preserve">تحريض </w:t>
      </w:r>
      <w:r w:rsidR="004A36E8">
        <w:rPr>
          <w:rFonts w:hint="cs"/>
          <w:sz w:val="30"/>
          <w:rtl/>
        </w:rPr>
        <w:t>منه</w:t>
      </w:r>
      <w:r>
        <w:rPr>
          <w:rFonts w:hint="cs"/>
          <w:sz w:val="30"/>
          <w:rtl/>
        </w:rPr>
        <w:t>.</w:t>
      </w:r>
    </w:p>
    <w:p w:rsidR="00A877FF" w:rsidRPr="0057578C" w:rsidRDefault="00A877FF" w:rsidP="0057578C">
      <w:pPr>
        <w:pStyle w:val="SingleTxtGA"/>
        <w:rPr>
          <w:rFonts w:hint="cs"/>
          <w:szCs w:val="20"/>
          <w:rtl/>
        </w:rPr>
      </w:pPr>
      <w:r>
        <w:rPr>
          <w:rFonts w:hint="cs"/>
          <w:rtl/>
          <w:lang w:val="fr-CH"/>
        </w:rPr>
        <w:t>5-3</w:t>
      </w:r>
      <w:r>
        <w:rPr>
          <w:rFonts w:hint="cs"/>
          <w:rtl/>
          <w:lang w:val="fr-CH"/>
        </w:rPr>
        <w:tab/>
      </w:r>
      <w:r>
        <w:rPr>
          <w:rFonts w:hint="cs"/>
          <w:rtl/>
        </w:rPr>
        <w:t xml:space="preserve">وفي ما يتعلق باستنفاد سبل الانتصاف المحلية، تشير المحامية إلى أن صاحب البلاغ تصرف </w:t>
      </w:r>
      <w:r w:rsidR="0057578C">
        <w:rPr>
          <w:rFonts w:hint="cs"/>
          <w:rtl/>
        </w:rPr>
        <w:t>بعناية</w:t>
      </w:r>
      <w:r>
        <w:rPr>
          <w:rFonts w:hint="cs"/>
          <w:rtl/>
        </w:rPr>
        <w:t>، غير أن محاميته</w:t>
      </w:r>
      <w:r w:rsidR="0057578C">
        <w:rPr>
          <w:rFonts w:hint="cs"/>
          <w:rtl/>
        </w:rPr>
        <w:t xml:space="preserve"> هي التي</w:t>
      </w:r>
      <w:r>
        <w:rPr>
          <w:rFonts w:hint="cs"/>
          <w:rtl/>
        </w:rPr>
        <w:t xml:space="preserve"> أغفلت تقديم ملفه إلى المحكمة </w:t>
      </w:r>
      <w:r w:rsidR="00061A4C">
        <w:rPr>
          <w:rFonts w:hint="cs"/>
          <w:rtl/>
        </w:rPr>
        <w:t>الفيدرالية</w:t>
      </w:r>
      <w:r>
        <w:rPr>
          <w:rFonts w:hint="cs"/>
          <w:rtl/>
        </w:rPr>
        <w:t xml:space="preserve"> في إطار طلب الإذن بالمراجعة القضائية.</w:t>
      </w:r>
    </w:p>
    <w:p w:rsidR="00A877FF" w:rsidRPr="00B37FAA" w:rsidRDefault="00A877FF" w:rsidP="0057578C">
      <w:pPr>
        <w:pStyle w:val="SingleTxtGA"/>
        <w:rPr>
          <w:rFonts w:hint="cs"/>
          <w:rtl/>
        </w:rPr>
      </w:pPr>
      <w:r w:rsidRPr="00B37FAA">
        <w:rPr>
          <w:rFonts w:hint="cs"/>
          <w:rtl/>
        </w:rPr>
        <w:t>5-4</w:t>
      </w:r>
      <w:r w:rsidRPr="00B37FAA">
        <w:rPr>
          <w:rFonts w:hint="cs"/>
          <w:rtl/>
        </w:rPr>
        <w:tab/>
        <w:t>وفي 29 كانون الثاني/يناير 2010، قدمت الم</w:t>
      </w:r>
      <w:r w:rsidR="0057578C">
        <w:rPr>
          <w:rFonts w:hint="cs"/>
          <w:rtl/>
        </w:rPr>
        <w:t xml:space="preserve">حامية إلى اللجنة نسخة عن طلبها </w:t>
      </w:r>
      <w:r w:rsidRPr="00B37FAA">
        <w:rPr>
          <w:rFonts w:hint="cs"/>
          <w:rtl/>
        </w:rPr>
        <w:t>تقييم الوضع الجنائي لصاحب البلاغ بهدف تحديد مدى خطورته على العامّة. وخلُص التقييم إلى أن خطر عودته إلى الإجرام هو خطر محدود نظراً إلى عوامل مشجعة متصلة بجوه العائلي وعدم وجود إدانات جنائية سابقة بحقه. ويرد في التقرير أن صاحب البلاغ مستعد لإجراء علاج تأهيلي يرمي إلى زيادة الحد من الخطر الذي يمثله.</w:t>
      </w:r>
    </w:p>
    <w:p w:rsidR="00A877FF" w:rsidRDefault="00A877FF" w:rsidP="00A877FF">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A877FF" w:rsidRPr="00944D59" w:rsidRDefault="00A877FF" w:rsidP="00A877FF">
      <w:pPr>
        <w:pStyle w:val="SingleTxtGA"/>
        <w:rPr>
          <w:rtl/>
          <w:lang w:val="fr-CH"/>
        </w:rPr>
      </w:pPr>
      <w:r>
        <w:rPr>
          <w:rFonts w:hint="cs"/>
          <w:rtl/>
          <w:lang w:val="fr-CH"/>
        </w:rPr>
        <w:t>6-1</w:t>
      </w:r>
      <w:r w:rsidR="00194EA9">
        <w:rPr>
          <w:rtl/>
          <w:lang w:val="fr-CH"/>
        </w:rPr>
        <w:tab/>
        <w:t>قبل النظر في أي ادعاء</w:t>
      </w:r>
      <w:r w:rsidRPr="00944D59">
        <w:rPr>
          <w:rtl/>
          <w:lang w:val="fr-CH"/>
        </w:rPr>
        <w:t xml:space="preserve"> </w:t>
      </w:r>
      <w:r w:rsidR="00194EA9">
        <w:rPr>
          <w:rFonts w:hint="cs"/>
          <w:rtl/>
          <w:lang w:val="fr-CH"/>
        </w:rPr>
        <w:t>ي</w:t>
      </w:r>
      <w:r>
        <w:rPr>
          <w:rFonts w:hint="cs"/>
          <w:rtl/>
          <w:lang w:val="fr-CH"/>
        </w:rPr>
        <w:t>رد</w:t>
      </w:r>
      <w:r w:rsidRPr="00944D59">
        <w:rPr>
          <w:rtl/>
          <w:lang w:val="fr-CH"/>
        </w:rPr>
        <w:t xml:space="preserve"> في بلاغ</w:t>
      </w:r>
      <w:r>
        <w:rPr>
          <w:rFonts w:hint="cs"/>
          <w:rtl/>
          <w:lang w:val="fr-CH"/>
        </w:rPr>
        <w:t xml:space="preserve"> ما</w:t>
      </w:r>
      <w:r w:rsidRPr="00944D59">
        <w:rPr>
          <w:rtl/>
          <w:lang w:val="fr-CH"/>
        </w:rPr>
        <w:t xml:space="preserve">، </w:t>
      </w:r>
      <w:r>
        <w:rPr>
          <w:rtl/>
          <w:lang w:val="fr-CH"/>
        </w:rPr>
        <w:t>يجب أن تقرر لجنة مناهضة التعذيب</w:t>
      </w:r>
      <w:r w:rsidRPr="00944D59">
        <w:rPr>
          <w:rtl/>
          <w:lang w:val="fr-CH"/>
        </w:rPr>
        <w:t xml:space="preserve"> ما </w:t>
      </w:r>
      <w:r w:rsidR="00864B63">
        <w:rPr>
          <w:rFonts w:hint="cs"/>
          <w:rtl/>
          <w:lang w:val="fr-CH"/>
        </w:rPr>
        <w:t xml:space="preserve">    </w:t>
      </w:r>
      <w:r w:rsidRPr="00944D59">
        <w:rPr>
          <w:rtl/>
          <w:lang w:val="fr-CH"/>
        </w:rPr>
        <w:t>إذا كان البلاغ مقبولاً أم لا بموجب المادة 22 من الاتفاقية. و</w:t>
      </w:r>
      <w:r>
        <w:rPr>
          <w:rFonts w:hint="cs"/>
          <w:rtl/>
          <w:lang w:val="fr-CH"/>
        </w:rPr>
        <w:t xml:space="preserve">قد </w:t>
      </w:r>
      <w:r w:rsidRPr="00944D59">
        <w:rPr>
          <w:rtl/>
          <w:lang w:val="fr-CH"/>
        </w:rPr>
        <w:t>تأكدت اللجنة</w:t>
      </w:r>
      <w:r>
        <w:rPr>
          <w:rFonts w:hint="cs"/>
          <w:rtl/>
          <w:lang w:val="fr-CH"/>
        </w:rPr>
        <w:t>، وفقاً</w:t>
      </w:r>
      <w:r w:rsidR="0037046F">
        <w:rPr>
          <w:rFonts w:hint="cs"/>
          <w:rtl/>
          <w:lang w:val="fr-CH"/>
        </w:rPr>
        <w:t xml:space="preserve"> للفقرة</w:t>
      </w:r>
      <w:r w:rsidR="0037046F">
        <w:rPr>
          <w:rFonts w:hint="eastAsia"/>
          <w:rtl/>
          <w:lang w:val="fr-CH"/>
        </w:rPr>
        <w:t> </w:t>
      </w:r>
      <w:r>
        <w:rPr>
          <w:rFonts w:hint="cs"/>
          <w:rtl/>
          <w:lang w:val="fr-CH"/>
        </w:rPr>
        <w:t>5(أ) من المادة 22 من الاتفاقية،</w:t>
      </w:r>
      <w:r w:rsidRPr="00944D59">
        <w:rPr>
          <w:rtl/>
          <w:lang w:val="fr-CH"/>
        </w:rPr>
        <w:t xml:space="preserve"> من أن المسألة </w:t>
      </w:r>
      <w:r>
        <w:rPr>
          <w:rFonts w:hint="cs"/>
          <w:rtl/>
          <w:lang w:val="fr-CH"/>
        </w:rPr>
        <w:t>ذات</w:t>
      </w:r>
      <w:r w:rsidRPr="00944D59">
        <w:rPr>
          <w:rtl/>
          <w:lang w:val="fr-CH"/>
        </w:rPr>
        <w:t xml:space="preserve">ها لم تبحث ولا يجري بحثها </w:t>
      </w:r>
      <w:r>
        <w:rPr>
          <w:rFonts w:hint="cs"/>
          <w:rtl/>
          <w:lang w:val="fr-CH"/>
        </w:rPr>
        <w:t xml:space="preserve">في إطار </w:t>
      </w:r>
      <w:r w:rsidRPr="00944D59">
        <w:rPr>
          <w:rtl/>
          <w:lang w:val="fr-CH"/>
        </w:rPr>
        <w:t>أي إجرا</w:t>
      </w:r>
      <w:r>
        <w:rPr>
          <w:rtl/>
          <w:lang w:val="fr-CH"/>
        </w:rPr>
        <w:t>ء آخر من إجراءات التحقيق الدولي</w:t>
      </w:r>
      <w:r w:rsidRPr="00944D59">
        <w:rPr>
          <w:rtl/>
          <w:lang w:val="fr-CH"/>
        </w:rPr>
        <w:t xml:space="preserve"> أو التسوية الدولية.</w:t>
      </w:r>
    </w:p>
    <w:p w:rsidR="00A877FF" w:rsidRDefault="00A877FF" w:rsidP="00A877FF">
      <w:pPr>
        <w:pStyle w:val="SingleTxtGA"/>
        <w:rPr>
          <w:rFonts w:hint="cs"/>
          <w:rtl/>
          <w:lang w:val="fr-CH"/>
        </w:rPr>
      </w:pPr>
      <w:r>
        <w:rPr>
          <w:rFonts w:hint="cs"/>
          <w:rtl/>
        </w:rPr>
        <w:t>6-2</w:t>
      </w:r>
      <w:r w:rsidRPr="00944D59">
        <w:rPr>
          <w:rtl/>
          <w:lang w:val="fr-CH"/>
        </w:rPr>
        <w:tab/>
        <w:t xml:space="preserve">ووفقاً للفقرة 5(ب) من المادة 22 من الاتفاقية، </w:t>
      </w:r>
      <w:r>
        <w:rPr>
          <w:rFonts w:hint="cs"/>
          <w:rtl/>
          <w:lang w:val="fr-CH"/>
        </w:rPr>
        <w:t>يجب أن تتحقق</w:t>
      </w:r>
      <w:r w:rsidRPr="00944D59">
        <w:rPr>
          <w:rtl/>
          <w:lang w:val="fr-CH"/>
        </w:rPr>
        <w:t xml:space="preserve"> اللجنة </w:t>
      </w:r>
      <w:r>
        <w:rPr>
          <w:rtl/>
          <w:lang w:val="fr-CH"/>
        </w:rPr>
        <w:t>من أن صاحب</w:t>
      </w:r>
      <w:r>
        <w:rPr>
          <w:rFonts w:hint="cs"/>
          <w:rtl/>
          <w:lang w:val="fr-CH"/>
        </w:rPr>
        <w:t xml:space="preserve"> البلاغ</w:t>
      </w:r>
      <w:r w:rsidRPr="00944D59">
        <w:rPr>
          <w:rtl/>
          <w:lang w:val="fr-CH"/>
        </w:rPr>
        <w:t xml:space="preserve"> قد است</w:t>
      </w:r>
      <w:r>
        <w:rPr>
          <w:rtl/>
          <w:lang w:val="fr-CH"/>
        </w:rPr>
        <w:t>نف</w:t>
      </w:r>
      <w:r>
        <w:rPr>
          <w:rFonts w:hint="cs"/>
          <w:rtl/>
          <w:lang w:val="fr-CH"/>
        </w:rPr>
        <w:t>د</w:t>
      </w:r>
      <w:r w:rsidRPr="00944D59">
        <w:rPr>
          <w:rtl/>
          <w:lang w:val="fr-CH"/>
        </w:rPr>
        <w:t xml:space="preserve"> </w:t>
      </w:r>
      <w:r>
        <w:rPr>
          <w:rFonts w:hint="cs"/>
          <w:rtl/>
          <w:lang w:val="fr-CH"/>
        </w:rPr>
        <w:t xml:space="preserve">جميع </w:t>
      </w:r>
      <w:r w:rsidRPr="00944D59">
        <w:rPr>
          <w:rtl/>
          <w:lang w:val="fr-CH"/>
        </w:rPr>
        <w:t xml:space="preserve">سبل الانتصاف المحلية المتاحة؛ ولا ينطبق هذا الحكم </w:t>
      </w:r>
      <w:r>
        <w:rPr>
          <w:rFonts w:hint="cs"/>
          <w:rtl/>
          <w:lang w:val="fr-CH"/>
        </w:rPr>
        <w:t>عندما تستغرق</w:t>
      </w:r>
      <w:r w:rsidRPr="00944D59">
        <w:rPr>
          <w:rtl/>
          <w:lang w:val="fr-CH"/>
        </w:rPr>
        <w:t xml:space="preserve"> هذه السبل أمداً طويلاً بدرجة غير معقولة، أو أنه من غير المحتمل أن يحقق إنصافاً فعالاً للفرد المدَّعى أنه ضحية.</w:t>
      </w:r>
    </w:p>
    <w:p w:rsidR="00A877FF" w:rsidRDefault="00A877FF" w:rsidP="00CC19C9">
      <w:pPr>
        <w:pStyle w:val="SingleTxtGA"/>
        <w:rPr>
          <w:rFonts w:hint="cs"/>
          <w:rtl/>
          <w:lang w:val="fr-CH"/>
        </w:rPr>
      </w:pPr>
      <w:r>
        <w:rPr>
          <w:rFonts w:hint="cs"/>
          <w:rtl/>
          <w:lang w:val="fr-CH"/>
        </w:rPr>
        <w:t>6-3</w:t>
      </w:r>
      <w:r>
        <w:rPr>
          <w:rFonts w:hint="cs"/>
          <w:rtl/>
          <w:lang w:val="fr-CH"/>
        </w:rPr>
        <w:tab/>
        <w:t xml:space="preserve">وتحيط اللجنة علماً بما احتجت به الدولة الطرف من أنه ينبغي إعلان البلاغ غير مقبول لأن صاحب البلاغ حصل على فرص عديدة </w:t>
      </w:r>
      <w:r w:rsidR="00194EA9">
        <w:rPr>
          <w:rFonts w:hint="cs"/>
          <w:rtl/>
          <w:lang w:val="fr-CH"/>
        </w:rPr>
        <w:t>ل</w:t>
      </w:r>
      <w:r>
        <w:rPr>
          <w:rFonts w:hint="cs"/>
          <w:rtl/>
          <w:lang w:val="fr-CH"/>
        </w:rPr>
        <w:t xml:space="preserve">تقديم أدلة على </w:t>
      </w:r>
      <w:r w:rsidR="00194EA9">
        <w:rPr>
          <w:rFonts w:hint="cs"/>
          <w:rtl/>
          <w:lang w:val="fr-CH"/>
        </w:rPr>
        <w:t xml:space="preserve">احتمال تعرضه </w:t>
      </w:r>
      <w:r>
        <w:rPr>
          <w:rFonts w:hint="cs"/>
          <w:rtl/>
          <w:lang w:val="fr-CH"/>
        </w:rPr>
        <w:t xml:space="preserve">شخصياً لخطر التعذيب إذا عاد إلى لبنان، ولم يقدم أية ملاحظات مكتوبة في مراحل الاستئناف، ولم يتابع أيضاً طلبه بالإذن بالمراجعة القضائية بالعناية الواجبة مغفلاً تقديم الملف إلى المحكمة </w:t>
      </w:r>
      <w:r w:rsidR="00061A4C">
        <w:rPr>
          <w:rFonts w:hint="cs"/>
          <w:rtl/>
          <w:lang w:val="fr-CH"/>
        </w:rPr>
        <w:t>الفيدرالية</w:t>
      </w:r>
      <w:r>
        <w:rPr>
          <w:rFonts w:hint="cs"/>
          <w:rtl/>
          <w:lang w:val="fr-CH"/>
        </w:rPr>
        <w:t xml:space="preserve"> من أجل دعم طلبه. وتحيط اللجنة علماً بما احتجت به الدولة الطرف من أن صاحب البلاغ لا يمكنه </w:t>
      </w:r>
      <w:r w:rsidR="00DB028D">
        <w:rPr>
          <w:rFonts w:hint="cs"/>
          <w:rtl/>
          <w:lang w:val="fr-CH"/>
        </w:rPr>
        <w:t>التذرع</w:t>
      </w:r>
      <w:r>
        <w:rPr>
          <w:rFonts w:hint="cs"/>
          <w:rtl/>
          <w:lang w:val="fr-CH"/>
        </w:rPr>
        <w:t xml:space="preserve"> </w:t>
      </w:r>
      <w:r w:rsidR="00DB028D">
        <w:rPr>
          <w:rFonts w:hint="cs"/>
          <w:rtl/>
          <w:lang w:val="fr-CH"/>
        </w:rPr>
        <w:t>ب</w:t>
      </w:r>
      <w:r>
        <w:rPr>
          <w:rFonts w:hint="cs"/>
          <w:rtl/>
          <w:lang w:val="fr-CH"/>
        </w:rPr>
        <w:t xml:space="preserve">إهمال محاميته لإعفائه من مسؤولية استنفاد سبل الانتصاف المحلية. وتلاحظ اللجنة </w:t>
      </w:r>
      <w:r w:rsidR="00CC19C9">
        <w:rPr>
          <w:rFonts w:hint="cs"/>
          <w:rtl/>
          <w:lang w:val="fr-CH"/>
        </w:rPr>
        <w:t xml:space="preserve">أيضاً </w:t>
      </w:r>
      <w:r>
        <w:rPr>
          <w:rFonts w:hint="cs"/>
          <w:rtl/>
          <w:lang w:val="fr-CH"/>
        </w:rPr>
        <w:t xml:space="preserve">حجة صاحب البلاغ بأنه </w:t>
      </w:r>
      <w:r w:rsidR="00CC19C9">
        <w:rPr>
          <w:rFonts w:hint="cs"/>
          <w:rtl/>
          <w:lang w:val="fr-CH"/>
        </w:rPr>
        <w:t xml:space="preserve">بذل العناية الواجبة </w:t>
      </w:r>
      <w:r>
        <w:rPr>
          <w:rFonts w:hint="cs"/>
          <w:rtl/>
          <w:lang w:val="fr-CH"/>
        </w:rPr>
        <w:t>غير أن محاميته هي مَن أغفلت تقديم الملف إلى المحكمة الفيدرالية، ولا يمكن بالتالي لومه على هذا الإهمال.</w:t>
      </w:r>
    </w:p>
    <w:p w:rsidR="00A877FF" w:rsidRDefault="00A877FF" w:rsidP="00F4753E">
      <w:pPr>
        <w:pStyle w:val="SingleTxtGA"/>
        <w:rPr>
          <w:rFonts w:hint="cs"/>
          <w:rtl/>
          <w:lang w:val="fr-CH"/>
        </w:rPr>
      </w:pPr>
      <w:r>
        <w:rPr>
          <w:rFonts w:hint="cs"/>
          <w:rtl/>
          <w:lang w:val="fr-CH"/>
        </w:rPr>
        <w:t>6-4</w:t>
      </w:r>
      <w:r>
        <w:rPr>
          <w:rFonts w:hint="cs"/>
          <w:rtl/>
          <w:lang w:val="fr-CH"/>
        </w:rPr>
        <w:tab/>
      </w:r>
      <w:r w:rsidRPr="00B35E1D">
        <w:rPr>
          <w:rFonts w:hint="cs"/>
          <w:spacing w:val="-2"/>
          <w:rtl/>
          <w:lang w:val="fr-CH"/>
        </w:rPr>
        <w:t>وتذكّر اللجنة ب</w:t>
      </w:r>
      <w:r>
        <w:rPr>
          <w:rFonts w:hint="cs"/>
          <w:spacing w:val="-2"/>
          <w:rtl/>
          <w:lang w:val="fr-CH"/>
        </w:rPr>
        <w:t>أحكامها السابقة التي تفيد ب</w:t>
      </w:r>
      <w:r w:rsidRPr="00B35E1D">
        <w:rPr>
          <w:rFonts w:hint="cs"/>
          <w:spacing w:val="-2"/>
          <w:rtl/>
          <w:lang w:val="fr-CH"/>
        </w:rPr>
        <w:t>أن أخطاء محام وكّله صاحب البلاغ بصفته الشخصية لا يمكن أن ت</w:t>
      </w:r>
      <w:r>
        <w:rPr>
          <w:rFonts w:hint="cs"/>
          <w:spacing w:val="-2"/>
          <w:rtl/>
          <w:lang w:val="fr-CH"/>
        </w:rPr>
        <w:t xml:space="preserve">ُعزى </w:t>
      </w:r>
      <w:r w:rsidR="00C85DA8">
        <w:rPr>
          <w:rFonts w:hint="cs"/>
          <w:spacing w:val="-2"/>
          <w:rtl/>
          <w:lang w:val="fr-CH"/>
        </w:rPr>
        <w:t>عموماً</w:t>
      </w:r>
      <w:r w:rsidRPr="00B35E1D">
        <w:rPr>
          <w:rFonts w:hint="cs"/>
          <w:spacing w:val="-2"/>
          <w:rtl/>
          <w:lang w:val="fr-CH"/>
        </w:rPr>
        <w:t xml:space="preserve"> إلى الدولة الطرف</w:t>
      </w:r>
      <w:r w:rsidR="00C85DA8">
        <w:rPr>
          <w:spacing w:val="-2"/>
          <w:vertAlign w:val="superscript"/>
          <w:rtl/>
          <w:lang w:val="fr-CH"/>
        </w:rPr>
        <w:t>(</w:t>
      </w:r>
      <w:r w:rsidR="00C85DA8">
        <w:rPr>
          <w:rStyle w:val="FootnoteReference"/>
          <w:spacing w:val="-2"/>
          <w:rtl/>
          <w:lang w:val="fr-CH"/>
        </w:rPr>
        <w:footnoteReference w:id="8"/>
      </w:r>
      <w:r w:rsidR="00C85DA8">
        <w:rPr>
          <w:spacing w:val="-2"/>
          <w:vertAlign w:val="superscript"/>
          <w:rtl/>
          <w:lang w:val="fr-CH"/>
        </w:rPr>
        <w:t>)</w:t>
      </w:r>
      <w:r>
        <w:rPr>
          <w:rFonts w:hint="cs"/>
          <w:spacing w:val="-2"/>
          <w:rtl/>
          <w:lang w:val="fr-CH"/>
        </w:rPr>
        <w:t xml:space="preserve">. علاوةً على ذلك، تلاحظ اللجنة أيضاً أن صاحب البلاغ حصل على فرص عدّة خلال الإجراءات المحلية المطلوبة لتقديم دليل على أنه ما زال معرضاً شخصياً لخطر التعذيب في حال إبعاده إلى لبنان؛ ولم يستفد من هذه الفرص من أجل استنفاد سبل الانتصاف المحلية كافة. ونتيجة لذلك، </w:t>
      </w:r>
      <w:r w:rsidR="00F4753E">
        <w:rPr>
          <w:rFonts w:hint="cs"/>
          <w:spacing w:val="-2"/>
          <w:rtl/>
          <w:lang w:val="fr-CH"/>
        </w:rPr>
        <w:t xml:space="preserve">ودون أن تنظر في </w:t>
      </w:r>
      <w:r>
        <w:rPr>
          <w:rFonts w:hint="cs"/>
          <w:spacing w:val="-2"/>
          <w:rtl/>
          <w:lang w:val="fr-CH"/>
        </w:rPr>
        <w:t xml:space="preserve">الادعاءات الأخرى للأطراف، تستنتج اللجنة أن صاحب البلاغ لم يقدم أدلة كافية </w:t>
      </w:r>
      <w:r w:rsidR="00F4753E">
        <w:rPr>
          <w:rFonts w:hint="cs"/>
          <w:spacing w:val="-2"/>
          <w:rtl/>
          <w:lang w:val="fr-CH"/>
        </w:rPr>
        <w:t xml:space="preserve">لتبرير عدم </w:t>
      </w:r>
      <w:r>
        <w:rPr>
          <w:rFonts w:hint="cs"/>
          <w:spacing w:val="-2"/>
          <w:rtl/>
          <w:lang w:val="fr-CH"/>
        </w:rPr>
        <w:t>ا</w:t>
      </w:r>
      <w:r w:rsidR="00F4753E">
        <w:rPr>
          <w:rFonts w:hint="cs"/>
          <w:spacing w:val="-2"/>
          <w:rtl/>
          <w:lang w:val="fr-CH"/>
        </w:rPr>
        <w:t>ستفادته</w:t>
      </w:r>
      <w:r>
        <w:rPr>
          <w:rFonts w:hint="cs"/>
          <w:spacing w:val="-2"/>
          <w:rtl/>
          <w:lang w:val="fr-CH"/>
        </w:rPr>
        <w:t xml:space="preserve"> من الفرص</w:t>
      </w:r>
      <w:r w:rsidR="00F4753E">
        <w:rPr>
          <w:rFonts w:hint="cs"/>
          <w:spacing w:val="-2"/>
          <w:rtl/>
          <w:lang w:val="fr-CH"/>
        </w:rPr>
        <w:t xml:space="preserve"> التي أُتيحت له</w:t>
      </w:r>
      <w:r>
        <w:rPr>
          <w:rFonts w:hint="cs"/>
          <w:spacing w:val="-2"/>
          <w:rtl/>
          <w:lang w:val="fr-CH"/>
        </w:rPr>
        <w:t xml:space="preserve"> ل</w:t>
      </w:r>
      <w:r w:rsidR="00F4753E">
        <w:rPr>
          <w:rFonts w:hint="cs"/>
          <w:spacing w:val="-2"/>
          <w:rtl/>
          <w:lang w:val="fr-CH"/>
        </w:rPr>
        <w:t>استنفاد كل سبل الانتصاف المحلية، والتي لم تعد متاحة أمامه اليوم بموجب القوانين المحلية.</w:t>
      </w:r>
    </w:p>
    <w:p w:rsidR="00A877FF" w:rsidRDefault="00A877FF" w:rsidP="00A877FF">
      <w:pPr>
        <w:pStyle w:val="SingleTxtGA"/>
        <w:rPr>
          <w:rFonts w:hint="cs"/>
          <w:rtl/>
          <w:lang w:val="fr-CH"/>
        </w:rPr>
      </w:pPr>
      <w:r>
        <w:rPr>
          <w:rFonts w:hint="cs"/>
          <w:rtl/>
          <w:lang w:val="fr-CH"/>
        </w:rPr>
        <w:t>6-5</w:t>
      </w:r>
      <w:r>
        <w:rPr>
          <w:rFonts w:hint="cs"/>
          <w:rtl/>
          <w:lang w:val="fr-CH"/>
        </w:rPr>
        <w:tab/>
        <w:t>لذلك ترى اللجنة أن سبل الانتصاف المحلية لم تُستنفد وفقا</w:t>
      </w:r>
      <w:r w:rsidR="00421A32">
        <w:rPr>
          <w:rFonts w:hint="cs"/>
          <w:rtl/>
          <w:lang w:val="fr-CH"/>
        </w:rPr>
        <w:t>ً</w:t>
      </w:r>
      <w:r>
        <w:rPr>
          <w:rFonts w:hint="cs"/>
          <w:rtl/>
          <w:lang w:val="fr-CH"/>
        </w:rPr>
        <w:t xml:space="preserve"> للفقرة 5(ب) من المادة</w:t>
      </w:r>
      <w:r>
        <w:rPr>
          <w:rFonts w:hint="eastAsia"/>
          <w:rtl/>
          <w:lang w:val="fr-CH"/>
        </w:rPr>
        <w:t> </w:t>
      </w:r>
      <w:r>
        <w:rPr>
          <w:rFonts w:hint="cs"/>
          <w:rtl/>
          <w:lang w:val="fr-CH"/>
        </w:rPr>
        <w:t>22 من الاتفاقية.</w:t>
      </w:r>
    </w:p>
    <w:p w:rsidR="00A877FF" w:rsidRDefault="00A877FF" w:rsidP="00A877FF">
      <w:pPr>
        <w:pStyle w:val="SingleTxtGA"/>
        <w:rPr>
          <w:rFonts w:hint="cs"/>
          <w:rtl/>
          <w:lang w:val="fr-CH"/>
        </w:rPr>
      </w:pPr>
      <w:r>
        <w:rPr>
          <w:rFonts w:hint="cs"/>
          <w:rtl/>
          <w:lang w:val="fr-CH"/>
        </w:rPr>
        <w:t>7-</w:t>
      </w:r>
      <w:r>
        <w:rPr>
          <w:rFonts w:hint="cs"/>
          <w:rtl/>
          <w:lang w:val="fr-CH"/>
        </w:rPr>
        <w:tab/>
        <w:t>وبناءً عليه، تقرر اللجنة ما يلي:</w:t>
      </w:r>
    </w:p>
    <w:p w:rsidR="00A877FF" w:rsidRDefault="00A877FF" w:rsidP="00A877FF">
      <w:pPr>
        <w:pStyle w:val="SingleTxtGA"/>
        <w:rPr>
          <w:rFonts w:hint="cs"/>
          <w:rtl/>
          <w:lang w:val="fr-CH"/>
        </w:rPr>
      </w:pPr>
      <w:r>
        <w:rPr>
          <w:rFonts w:hint="cs"/>
          <w:rtl/>
          <w:lang w:val="fr-CH"/>
        </w:rPr>
        <w:tab/>
        <w:t>(أ)</w:t>
      </w:r>
      <w:r>
        <w:rPr>
          <w:rFonts w:hint="cs"/>
          <w:rtl/>
          <w:lang w:val="fr-CH"/>
        </w:rPr>
        <w:tab/>
        <w:t>أن البلاغ غير مقبول؛</w:t>
      </w:r>
    </w:p>
    <w:p w:rsidR="00A877FF" w:rsidRDefault="00A877FF" w:rsidP="00A877FF">
      <w:pPr>
        <w:pStyle w:val="SingleTxtGA"/>
        <w:rPr>
          <w:rFonts w:hint="cs"/>
          <w:rtl/>
          <w:lang w:val="fr-CH"/>
        </w:rPr>
      </w:pPr>
      <w:r>
        <w:rPr>
          <w:rFonts w:hint="cs"/>
          <w:rtl/>
          <w:lang w:val="fr-CH"/>
        </w:rPr>
        <w:tab/>
        <w:t>(ب)</w:t>
      </w:r>
      <w:r>
        <w:rPr>
          <w:rFonts w:hint="cs"/>
          <w:rtl/>
          <w:lang w:val="fr-CH"/>
        </w:rPr>
        <w:tab/>
        <w:t>أن يُبلّغ كل من الدولة الطرف وصاحب البلاغ بهذا القرار.</w:t>
      </w:r>
    </w:p>
    <w:p w:rsidR="00A877FF" w:rsidRPr="00B35E1D" w:rsidRDefault="00A877FF" w:rsidP="00A877FF">
      <w:pPr>
        <w:pStyle w:val="SingleTxtGA"/>
        <w:rPr>
          <w:rFonts w:hint="cs"/>
          <w:spacing w:val="-4"/>
          <w:rtl/>
        </w:rPr>
      </w:pPr>
      <w:r w:rsidRPr="00B35E1D">
        <w:rPr>
          <w:rFonts w:hint="cs"/>
          <w:spacing w:val="-4"/>
          <w:rtl/>
        </w:rPr>
        <w:t xml:space="preserve">[اعتمد </w:t>
      </w:r>
      <w:r w:rsidR="00A16AF3">
        <w:rPr>
          <w:rFonts w:hint="cs"/>
          <w:spacing w:val="-4"/>
          <w:rtl/>
        </w:rPr>
        <w:t>ب</w:t>
      </w:r>
      <w:r w:rsidRPr="00B35E1D">
        <w:rPr>
          <w:rFonts w:hint="cs"/>
          <w:spacing w:val="-4"/>
          <w:rtl/>
        </w:rPr>
        <w:t xml:space="preserve">الإنكليزية </w:t>
      </w:r>
      <w:r>
        <w:rPr>
          <w:rFonts w:hint="cs"/>
          <w:spacing w:val="-4"/>
          <w:rtl/>
        </w:rPr>
        <w:t>و</w:t>
      </w:r>
      <w:r w:rsidRPr="00B35E1D">
        <w:rPr>
          <w:rFonts w:hint="cs"/>
          <w:spacing w:val="-4"/>
          <w:rtl/>
        </w:rPr>
        <w:t>الإسبانية والفرنسية، علماً بأن النص ال</w:t>
      </w:r>
      <w:r>
        <w:rPr>
          <w:rFonts w:hint="cs"/>
          <w:spacing w:val="-4"/>
          <w:rtl/>
        </w:rPr>
        <w:t>فرنسي</w:t>
      </w:r>
      <w:r w:rsidRPr="00B35E1D">
        <w:rPr>
          <w:rFonts w:hint="cs"/>
          <w:spacing w:val="-4"/>
          <w:rtl/>
        </w:rPr>
        <w:t xml:space="preserve"> هو النص الأصلي. وس</w:t>
      </w:r>
      <w:r>
        <w:rPr>
          <w:rFonts w:hint="cs"/>
          <w:spacing w:val="-4"/>
          <w:rtl/>
        </w:rPr>
        <w:t>ي</w:t>
      </w:r>
      <w:r w:rsidRPr="00B35E1D">
        <w:rPr>
          <w:rFonts w:hint="cs"/>
          <w:spacing w:val="-4"/>
          <w:rtl/>
        </w:rPr>
        <w:t>صدر لاحقاً بالعربية</w:t>
      </w:r>
      <w:r>
        <w:rPr>
          <w:rFonts w:hint="cs"/>
          <w:spacing w:val="-4"/>
          <w:rtl/>
        </w:rPr>
        <w:t xml:space="preserve"> و</w:t>
      </w:r>
      <w:r w:rsidRPr="00B35E1D">
        <w:rPr>
          <w:rFonts w:hint="cs"/>
          <w:spacing w:val="-4"/>
          <w:rtl/>
        </w:rPr>
        <w:t>الصينية و</w:t>
      </w:r>
      <w:r>
        <w:rPr>
          <w:rFonts w:hint="cs"/>
          <w:spacing w:val="-4"/>
          <w:rtl/>
        </w:rPr>
        <w:t>الروسية</w:t>
      </w:r>
      <w:r w:rsidRPr="00B35E1D">
        <w:rPr>
          <w:rFonts w:hint="cs"/>
          <w:spacing w:val="-4"/>
          <w:rtl/>
        </w:rPr>
        <w:t xml:space="preserve"> كجزء من التقرير السنوي المقدم إلى الجمعية العامة.]</w:t>
      </w:r>
    </w:p>
    <w:p w:rsidR="008B4BC6" w:rsidRPr="00C316E4" w:rsidRDefault="00C316E4" w:rsidP="00C316E4">
      <w:pPr>
        <w:spacing w:before="120"/>
        <w:jc w:val="center"/>
        <w:rPr>
          <w:rFonts w:hint="cs"/>
          <w:u w:val="single"/>
          <w:rtl/>
        </w:rPr>
      </w:pPr>
      <w:r>
        <w:rPr>
          <w:u w:val="single"/>
          <w:rtl/>
        </w:rPr>
        <w:tab/>
      </w:r>
      <w:r>
        <w:rPr>
          <w:u w:val="single"/>
          <w:rtl/>
        </w:rPr>
        <w:tab/>
      </w:r>
      <w:r>
        <w:rPr>
          <w:u w:val="single"/>
          <w:rtl/>
        </w:rPr>
        <w:tab/>
      </w:r>
    </w:p>
    <w:sectPr w:rsidR="008B4BC6" w:rsidRPr="00C316E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67" w:rsidRPr="00FE6865" w:rsidRDefault="00227467" w:rsidP="00FE6865">
      <w:pPr>
        <w:pStyle w:val="Footer"/>
      </w:pPr>
    </w:p>
  </w:endnote>
  <w:endnote w:type="continuationSeparator" w:id="0">
    <w:p w:rsidR="00227467" w:rsidRDefault="00227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FF" w:rsidRPr="00A877FF" w:rsidRDefault="00A877FF" w:rsidP="00A877FF">
    <w:pPr>
      <w:pStyle w:val="Footer"/>
      <w:tabs>
        <w:tab w:val="right" w:pos="9598"/>
      </w:tabs>
    </w:pPr>
    <w:r>
      <w:t>GE.11-43848</w:t>
    </w:r>
    <w:r>
      <w:tab/>
    </w:r>
    <w:r w:rsidRPr="00A877FF">
      <w:rPr>
        <w:b/>
        <w:sz w:val="18"/>
      </w:rPr>
      <w:fldChar w:fldCharType="begin"/>
    </w:r>
    <w:r w:rsidRPr="00A877FF">
      <w:rPr>
        <w:b/>
        <w:sz w:val="18"/>
      </w:rPr>
      <w:instrText xml:space="preserve"> PAGE  \* MERGEFORMAT </w:instrText>
    </w:r>
    <w:r w:rsidRPr="00A877FF">
      <w:rPr>
        <w:b/>
        <w:sz w:val="18"/>
      </w:rPr>
      <w:fldChar w:fldCharType="separate"/>
    </w:r>
    <w:r w:rsidR="004B7103">
      <w:rPr>
        <w:b/>
        <w:noProof/>
        <w:sz w:val="18"/>
      </w:rPr>
      <w:t>8</w:t>
    </w:r>
    <w:r w:rsidRPr="00A877F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FF" w:rsidRPr="00A877FF" w:rsidRDefault="00A877FF" w:rsidP="00A877FF">
    <w:pPr>
      <w:pStyle w:val="Footer"/>
      <w:tabs>
        <w:tab w:val="right" w:pos="9598"/>
      </w:tabs>
      <w:rPr>
        <w:b/>
        <w:sz w:val="18"/>
      </w:rPr>
    </w:pPr>
    <w:r w:rsidRPr="00A877FF">
      <w:rPr>
        <w:b/>
        <w:sz w:val="18"/>
      </w:rPr>
      <w:fldChar w:fldCharType="begin"/>
    </w:r>
    <w:r w:rsidRPr="00A877FF">
      <w:rPr>
        <w:b/>
        <w:sz w:val="18"/>
      </w:rPr>
      <w:instrText xml:space="preserve"> PAGE  \* MERGEFORMAT </w:instrText>
    </w:r>
    <w:r w:rsidRPr="00A877FF">
      <w:rPr>
        <w:b/>
        <w:sz w:val="18"/>
      </w:rPr>
      <w:fldChar w:fldCharType="separate"/>
    </w:r>
    <w:r w:rsidR="004B7103">
      <w:rPr>
        <w:b/>
        <w:noProof/>
        <w:sz w:val="18"/>
      </w:rPr>
      <w:t>9</w:t>
    </w:r>
    <w:r w:rsidRPr="00A877FF">
      <w:rPr>
        <w:b/>
        <w:sz w:val="18"/>
      </w:rPr>
      <w:fldChar w:fldCharType="end"/>
    </w:r>
    <w:r>
      <w:rPr>
        <w:b/>
        <w:sz w:val="18"/>
      </w:rPr>
      <w:tab/>
    </w:r>
    <w:r>
      <w:t>GE.11-43848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A" w:rsidRDefault="00A877FF" w:rsidP="00B43CD1">
    <w:pPr>
      <w:pStyle w:val="Footer"/>
      <w:jc w:val="right"/>
    </w:pPr>
    <w:r>
      <w:rPr>
        <w:sz w:val="20"/>
      </w:rPr>
      <w:t>(A)   GE.11-43848</w:t>
    </w:r>
    <w:r w:rsidR="00AF611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CF4411">
      <w:rPr>
        <w:sz w:val="20"/>
      </w:rPr>
      <w:t xml:space="preserve">    260711    2</w:t>
    </w:r>
    <w:r w:rsidR="00B43CD1">
      <w:rPr>
        <w:sz w:val="20"/>
      </w:rPr>
      <w:t>7</w:t>
    </w:r>
    <w:r w:rsidR="00CF4411">
      <w:rPr>
        <w:sz w:val="20"/>
      </w:rPr>
      <w:t>0711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67" w:rsidRDefault="00227467" w:rsidP="00834FF4">
      <w:pPr>
        <w:pStyle w:val="Footer"/>
        <w:bidi/>
        <w:spacing w:after="80" w:line="200" w:lineRule="exact"/>
        <w:ind w:left="680"/>
      </w:pPr>
      <w:r>
        <w:rPr>
          <w:rFonts w:hint="cs"/>
          <w:rtl/>
        </w:rPr>
        <w:t>__________</w:t>
      </w:r>
    </w:p>
  </w:footnote>
  <w:footnote w:type="continuationSeparator" w:id="0">
    <w:p w:rsidR="00227467" w:rsidRDefault="00227467" w:rsidP="00834FF4">
      <w:pPr>
        <w:pStyle w:val="Footer"/>
        <w:bidi/>
        <w:spacing w:after="80" w:line="200" w:lineRule="exact"/>
        <w:ind w:left="680"/>
      </w:pPr>
      <w:r>
        <w:rPr>
          <w:rFonts w:hint="cs"/>
          <w:rtl/>
        </w:rPr>
        <w:t>__________</w:t>
      </w:r>
    </w:p>
  </w:footnote>
  <w:footnote w:id="1">
    <w:p w:rsidR="001A23BE" w:rsidRPr="001A23BE" w:rsidRDefault="001A23BE" w:rsidP="001A23BE">
      <w:pPr>
        <w:pStyle w:val="footnoteText0"/>
        <w:rPr>
          <w:rFonts w:hint="cs"/>
        </w:rPr>
      </w:pPr>
      <w:r>
        <w:rPr>
          <w:rtl/>
        </w:rPr>
        <w:tab/>
      </w:r>
      <w:r w:rsidRPr="001A23BE">
        <w:rPr>
          <w:rStyle w:val="FootnoteReference"/>
          <w:sz w:val="20"/>
          <w:vertAlign w:val="baseline"/>
          <w:rtl/>
        </w:rPr>
        <w:t>*</w:t>
      </w:r>
      <w:r>
        <w:rPr>
          <w:rtl/>
        </w:rPr>
        <w:tab/>
      </w:r>
      <w:r>
        <w:rPr>
          <w:rFonts w:hint="cs"/>
          <w:rtl/>
        </w:rPr>
        <w:t>أُعلنت هذه الوثيقة بموجب قرار من لجنة مناهضة التعذيب.</w:t>
      </w:r>
    </w:p>
  </w:footnote>
  <w:footnote w:id="2">
    <w:p w:rsidR="00E350B5" w:rsidRDefault="00E350B5" w:rsidP="00E350B5">
      <w:pPr>
        <w:pStyle w:val="FootnoteText"/>
        <w:numPr>
          <w:ilvl w:val="0"/>
          <w:numId w:val="41"/>
        </w:numPr>
        <w:tabs>
          <w:tab w:val="clear" w:pos="1292"/>
        </w:tabs>
        <w:spacing w:after="60" w:line="300" w:lineRule="exact"/>
        <w:ind w:left="1247" w:right="1247"/>
        <w:rPr>
          <w:rFonts w:hint="cs"/>
        </w:rPr>
      </w:pPr>
      <w:r>
        <w:rPr>
          <w:rFonts w:hint="cs"/>
          <w:sz w:val="18"/>
          <w:szCs w:val="26"/>
          <w:rtl/>
        </w:rPr>
        <w:t>قانون الهجرة وحماية اللاجئين.</w:t>
      </w:r>
    </w:p>
  </w:footnote>
  <w:footnote w:id="3">
    <w:p w:rsidR="000B7118" w:rsidRPr="00C316E4" w:rsidRDefault="000B7118" w:rsidP="00676C25">
      <w:pPr>
        <w:pStyle w:val="FootnoteText"/>
        <w:numPr>
          <w:ilvl w:val="0"/>
          <w:numId w:val="40"/>
        </w:numPr>
        <w:tabs>
          <w:tab w:val="left" w:pos="1253"/>
        </w:tabs>
        <w:spacing w:after="60" w:line="300" w:lineRule="exact"/>
        <w:ind w:right="1247"/>
        <w:rPr>
          <w:rFonts w:hint="cs"/>
          <w:sz w:val="18"/>
        </w:rPr>
      </w:pPr>
      <w:r w:rsidRPr="00C316E4">
        <w:rPr>
          <w:rFonts w:hint="cs"/>
          <w:sz w:val="18"/>
          <w:szCs w:val="26"/>
          <w:rtl/>
        </w:rPr>
        <w:t xml:space="preserve">مجلس الأمن، </w:t>
      </w:r>
      <w:r w:rsidRPr="00C316E4">
        <w:rPr>
          <w:sz w:val="18"/>
          <w:szCs w:val="26"/>
          <w:lang w:val="fr-CH"/>
        </w:rPr>
        <w:t>CS/9653</w:t>
      </w:r>
      <w:r w:rsidRPr="00C316E4">
        <w:rPr>
          <w:rFonts w:hint="cs"/>
          <w:sz w:val="18"/>
          <w:szCs w:val="26"/>
          <w:rtl/>
        </w:rPr>
        <w:t>، 7 أيار/مايو 2009.</w:t>
      </w:r>
    </w:p>
  </w:footnote>
  <w:footnote w:id="4">
    <w:p w:rsidR="00EF52C7" w:rsidRPr="00C316E4" w:rsidRDefault="00EF52C7" w:rsidP="00C316E4">
      <w:pPr>
        <w:pStyle w:val="FootnoteText"/>
        <w:numPr>
          <w:ilvl w:val="0"/>
          <w:numId w:val="40"/>
        </w:numPr>
        <w:tabs>
          <w:tab w:val="clear" w:pos="1297"/>
          <w:tab w:val="left" w:pos="1253"/>
        </w:tabs>
        <w:spacing w:after="60" w:line="300" w:lineRule="exact"/>
        <w:ind w:left="1248" w:right="1247"/>
        <w:rPr>
          <w:rFonts w:hint="cs"/>
          <w:sz w:val="18"/>
        </w:rPr>
      </w:pPr>
      <w:r w:rsidRPr="00C316E4">
        <w:rPr>
          <w:rFonts w:hint="cs"/>
          <w:sz w:val="18"/>
          <w:szCs w:val="26"/>
          <w:rtl/>
        </w:rPr>
        <w:t>المادة 36(1)(أ) من قانون الهجرة وحماية اللاجئين.</w:t>
      </w:r>
    </w:p>
  </w:footnote>
  <w:footnote w:id="5">
    <w:p w:rsidR="00501DFF" w:rsidRPr="00C316E4" w:rsidRDefault="00501DFF" w:rsidP="00C316E4">
      <w:pPr>
        <w:pStyle w:val="FootnoteText"/>
        <w:numPr>
          <w:ilvl w:val="0"/>
          <w:numId w:val="40"/>
        </w:numPr>
        <w:tabs>
          <w:tab w:val="clear" w:pos="1297"/>
          <w:tab w:val="left" w:pos="1253"/>
        </w:tabs>
        <w:spacing w:after="60" w:line="300" w:lineRule="exact"/>
        <w:ind w:left="1248" w:right="1247"/>
        <w:rPr>
          <w:rFonts w:hint="cs"/>
          <w:sz w:val="18"/>
        </w:rPr>
      </w:pPr>
      <w:r w:rsidRPr="00C316E4">
        <w:rPr>
          <w:rFonts w:hint="cs"/>
          <w:sz w:val="18"/>
          <w:szCs w:val="26"/>
          <w:rtl/>
        </w:rPr>
        <w:t>شملت المصادر الوثائقية تقرير ا</w:t>
      </w:r>
      <w:r w:rsidRPr="00C316E4">
        <w:rPr>
          <w:sz w:val="18"/>
          <w:szCs w:val="26"/>
          <w:rtl/>
        </w:rPr>
        <w:t>لشبكة الإقليمية المتكاملة للمعلومات</w:t>
      </w:r>
      <w:r w:rsidRPr="00C316E4">
        <w:rPr>
          <w:rFonts w:hint="cs"/>
          <w:sz w:val="18"/>
          <w:szCs w:val="26"/>
          <w:rtl/>
        </w:rPr>
        <w:t xml:space="preserve"> المؤرخ 17 كانون الأول/ديسمبر 2008، وتقرير وزارة الخارجية الأمريكية لعام 2008، وتقرير الفريق الدولي المعني بالأزمات المؤرخ 15 أيار/مايو 2008، وتقرير </w:t>
      </w:r>
      <w:r w:rsidRPr="00C316E4">
        <w:rPr>
          <w:rFonts w:hint="cs"/>
          <w:sz w:val="18"/>
          <w:szCs w:val="26"/>
          <w:rtl/>
          <w:lang/>
        </w:rPr>
        <w:t xml:space="preserve">لجنة الهجرة </w:t>
      </w:r>
      <w:r w:rsidR="006D54DD" w:rsidRPr="00C316E4">
        <w:rPr>
          <w:rFonts w:hint="cs"/>
          <w:sz w:val="18"/>
          <w:szCs w:val="26"/>
          <w:rtl/>
          <w:lang/>
        </w:rPr>
        <w:t>واللجوء</w:t>
      </w:r>
      <w:r w:rsidRPr="00C316E4">
        <w:rPr>
          <w:rFonts w:hint="cs"/>
          <w:sz w:val="18"/>
          <w:szCs w:val="26"/>
          <w:rtl/>
          <w:lang/>
        </w:rPr>
        <w:t xml:space="preserve"> في كندا عن لبنان المؤرخ 31 تشرين الأول/أكتوبر 2007.</w:t>
      </w:r>
    </w:p>
  </w:footnote>
  <w:footnote w:id="6">
    <w:p w:rsidR="00532D30" w:rsidRPr="00C316E4" w:rsidRDefault="00532D30" w:rsidP="001A784F">
      <w:pPr>
        <w:pStyle w:val="FootnoteText"/>
        <w:numPr>
          <w:ilvl w:val="0"/>
          <w:numId w:val="40"/>
        </w:numPr>
        <w:tabs>
          <w:tab w:val="clear" w:pos="1297"/>
          <w:tab w:val="left" w:pos="1253"/>
        </w:tabs>
        <w:spacing w:after="60" w:line="300" w:lineRule="exact"/>
        <w:ind w:left="1248" w:right="1247"/>
        <w:rPr>
          <w:rFonts w:hint="cs"/>
          <w:sz w:val="18"/>
        </w:rPr>
      </w:pPr>
      <w:r w:rsidRPr="00C316E4">
        <w:rPr>
          <w:rFonts w:hint="cs"/>
          <w:sz w:val="18"/>
          <w:szCs w:val="26"/>
          <w:rtl/>
          <w:lang/>
        </w:rPr>
        <w:t xml:space="preserve">البلاغ رقم 291/2006، </w:t>
      </w:r>
      <w:r w:rsidRPr="00C316E4">
        <w:rPr>
          <w:rFonts w:hint="cs"/>
          <w:i/>
          <w:iCs/>
          <w:sz w:val="18"/>
          <w:szCs w:val="26"/>
          <w:rtl/>
          <w:lang/>
        </w:rPr>
        <w:t>س. ع. ضد تونس</w:t>
      </w:r>
      <w:r w:rsidRPr="00C316E4">
        <w:rPr>
          <w:rFonts w:hint="cs"/>
          <w:sz w:val="18"/>
          <w:szCs w:val="26"/>
          <w:rtl/>
          <w:lang/>
        </w:rPr>
        <w:t>، الفقرة 15-4.</w:t>
      </w:r>
    </w:p>
  </w:footnote>
  <w:footnote w:id="7">
    <w:p w:rsidR="00BE585E" w:rsidRPr="00C316E4" w:rsidRDefault="00BE585E" w:rsidP="001A784F">
      <w:pPr>
        <w:pStyle w:val="FootnoteText"/>
        <w:numPr>
          <w:ilvl w:val="0"/>
          <w:numId w:val="40"/>
        </w:numPr>
        <w:tabs>
          <w:tab w:val="clear" w:pos="1297"/>
          <w:tab w:val="left" w:pos="1253"/>
        </w:tabs>
        <w:spacing w:after="60" w:line="300" w:lineRule="exact"/>
        <w:ind w:left="1248" w:right="1247"/>
        <w:rPr>
          <w:rFonts w:hint="cs"/>
          <w:sz w:val="18"/>
        </w:rPr>
      </w:pPr>
      <w:r w:rsidRPr="00C316E4">
        <w:rPr>
          <w:rFonts w:hint="cs"/>
          <w:sz w:val="18"/>
          <w:szCs w:val="26"/>
          <w:rtl/>
        </w:rPr>
        <w:t xml:space="preserve">البلاغ رقم 307/2006، </w:t>
      </w:r>
      <w:r w:rsidRPr="00C316E4">
        <w:rPr>
          <w:rFonts w:hint="cs"/>
          <w:i/>
          <w:iCs/>
          <w:sz w:val="18"/>
          <w:szCs w:val="26"/>
          <w:rtl/>
        </w:rPr>
        <w:t>ع.ي. ضد كندا</w:t>
      </w:r>
      <w:r w:rsidRPr="00C316E4">
        <w:rPr>
          <w:rFonts w:hint="cs"/>
          <w:sz w:val="18"/>
          <w:szCs w:val="26"/>
          <w:rtl/>
        </w:rPr>
        <w:t>، الفقرة 9-4.</w:t>
      </w:r>
    </w:p>
  </w:footnote>
  <w:footnote w:id="8">
    <w:p w:rsidR="00C85DA8" w:rsidRPr="00C316E4" w:rsidRDefault="00C85DA8" w:rsidP="001A784F">
      <w:pPr>
        <w:pStyle w:val="FootnoteText"/>
        <w:numPr>
          <w:ilvl w:val="0"/>
          <w:numId w:val="40"/>
        </w:numPr>
        <w:tabs>
          <w:tab w:val="clear" w:pos="1297"/>
          <w:tab w:val="left" w:pos="1253"/>
        </w:tabs>
        <w:spacing w:after="60" w:line="300" w:lineRule="exact"/>
        <w:ind w:left="1248" w:right="1247"/>
        <w:rPr>
          <w:rFonts w:hint="cs"/>
          <w:sz w:val="18"/>
        </w:rPr>
      </w:pPr>
      <w:r w:rsidRPr="00C316E4">
        <w:rPr>
          <w:rFonts w:hint="cs"/>
          <w:sz w:val="18"/>
          <w:szCs w:val="26"/>
          <w:rtl/>
        </w:rPr>
        <w:t xml:space="preserve">البلاغ رقم 284/2006، </w:t>
      </w:r>
      <w:r w:rsidRPr="00C316E4">
        <w:rPr>
          <w:rFonts w:hint="cs"/>
          <w:i/>
          <w:iCs/>
          <w:sz w:val="18"/>
          <w:szCs w:val="26"/>
          <w:rtl/>
        </w:rPr>
        <w:t>ر. س. أ. ن. ضد كندا</w:t>
      </w:r>
      <w:r w:rsidRPr="00C316E4">
        <w:rPr>
          <w:rFonts w:hint="cs"/>
          <w:sz w:val="18"/>
          <w:szCs w:val="26"/>
          <w:rtl/>
        </w:rPr>
        <w:t xml:space="preserve">، الفقرة 6-4.؛ البلاغ رقم 307/2006، </w:t>
      </w:r>
      <w:r w:rsidRPr="00C316E4">
        <w:rPr>
          <w:rFonts w:hint="cs"/>
          <w:i/>
          <w:iCs/>
          <w:sz w:val="18"/>
          <w:szCs w:val="26"/>
          <w:rtl/>
        </w:rPr>
        <w:t>ع.</w:t>
      </w:r>
      <w:r w:rsidR="00B426B4">
        <w:rPr>
          <w:rFonts w:hint="cs"/>
          <w:i/>
          <w:iCs/>
          <w:sz w:val="18"/>
          <w:szCs w:val="26"/>
          <w:rtl/>
        </w:rPr>
        <w:t xml:space="preserve"> </w:t>
      </w:r>
      <w:r w:rsidRPr="00C316E4">
        <w:rPr>
          <w:rFonts w:hint="cs"/>
          <w:i/>
          <w:iCs/>
          <w:sz w:val="18"/>
          <w:szCs w:val="26"/>
          <w:rtl/>
        </w:rPr>
        <w:t>ي. ضد كندا</w:t>
      </w:r>
      <w:r w:rsidRPr="00C316E4">
        <w:rPr>
          <w:rFonts w:hint="cs"/>
          <w:sz w:val="18"/>
          <w:szCs w:val="26"/>
          <w:rtl/>
        </w:rPr>
        <w:t>، الفقرة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FF" w:rsidRPr="00A877FF" w:rsidRDefault="00A877FF" w:rsidP="00A877FF">
    <w:pPr>
      <w:pStyle w:val="Header"/>
      <w:jc w:val="right"/>
    </w:pPr>
    <w:r w:rsidRPr="00A877FF">
      <w:t>CAT/C/46/D/395/2009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A" w:rsidRPr="00A877FF" w:rsidRDefault="00A877FF" w:rsidP="00A877FF">
    <w:pPr>
      <w:pStyle w:val="Header"/>
      <w:jc w:val="left"/>
    </w:pPr>
    <w:r w:rsidRPr="00A877FF">
      <w:t>CAT/C/46/D/395/2009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A" w:rsidRDefault="00AF611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F611A" w:rsidRPr="002B399E" w:rsidRDefault="00AF611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F611A" w:rsidRPr="002B399E" w:rsidRDefault="00AF611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F611A" w:rsidRDefault="00AF611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9B46AA"/>
    <w:multiLevelType w:val="hybridMultilevel"/>
    <w:tmpl w:val="15FE0AEA"/>
    <w:lvl w:ilvl="0" w:tplc="64F483A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CD77A7"/>
    <w:multiLevelType w:val="hybridMultilevel"/>
    <w:tmpl w:val="0AC0D8EA"/>
    <w:lvl w:ilvl="0" w:tplc="02C0FDAA">
      <w:start w:val="2"/>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30C0B8A8">
      <w:start w:val="1"/>
      <w:numFmt w:val="decimal"/>
      <w:lvlRestart w:val="0"/>
      <w:lvlText w:val="(%2)"/>
      <w:lvlJc w:val="right"/>
      <w:pPr>
        <w:tabs>
          <w:tab w:val="num" w:pos="1357"/>
        </w:tabs>
        <w:ind w:left="1357" w:hanging="227"/>
      </w:pPr>
      <w:rPr>
        <w:rFonts w:hint="default"/>
        <w:sz w:val="26"/>
        <w:szCs w:val="26"/>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9F24D7"/>
    <w:multiLevelType w:val="multilevel"/>
    <w:tmpl w:val="5C98A1E6"/>
    <w:lvl w:ilvl="0">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start w:val="1"/>
      <w:numFmt w:val="decimal"/>
      <w:lvlRestart w:val="0"/>
      <w:lvlText w:val="(%2)"/>
      <w:lvlJc w:val="right"/>
      <w:pPr>
        <w:tabs>
          <w:tab w:val="num" w:pos="1357"/>
        </w:tabs>
        <w:ind w:left="1357" w:hanging="227"/>
      </w:pPr>
      <w:rPr>
        <w:rFonts w:hint="default"/>
        <w:sz w:val="26"/>
        <w:szCs w:val="26"/>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2"/>
  </w:num>
  <w:num w:numId="7">
    <w:abstractNumId w:val="11"/>
  </w:num>
  <w:num w:numId="8">
    <w:abstractNumId w:val="10"/>
  </w:num>
  <w:num w:numId="9">
    <w:abstractNumId w:val="14"/>
  </w:num>
  <w:num w:numId="10">
    <w:abstractNumId w:val="21"/>
  </w:num>
  <w:num w:numId="11">
    <w:abstractNumId w:val="1"/>
  </w:num>
  <w:num w:numId="12">
    <w:abstractNumId w:val="15"/>
  </w:num>
  <w:num w:numId="13">
    <w:abstractNumId w:val="12"/>
  </w:num>
  <w:num w:numId="14">
    <w:abstractNumId w:val="9"/>
  </w:num>
  <w:num w:numId="15">
    <w:abstractNumId w:val="22"/>
  </w:num>
  <w:num w:numId="16">
    <w:abstractNumId w:val="1"/>
  </w:num>
  <w:num w:numId="17">
    <w:abstractNumId w:val="15"/>
  </w:num>
  <w:num w:numId="18">
    <w:abstractNumId w:val="12"/>
  </w:num>
  <w:num w:numId="19">
    <w:abstractNumId w:val="9"/>
  </w:num>
  <w:num w:numId="20">
    <w:abstractNumId w:val="22"/>
  </w:num>
  <w:num w:numId="21">
    <w:abstractNumId w:val="1"/>
  </w:num>
  <w:num w:numId="22">
    <w:abstractNumId w:val="15"/>
  </w:num>
  <w:num w:numId="23">
    <w:abstractNumId w:val="9"/>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5"/>
  </w:num>
  <w:num w:numId="31">
    <w:abstractNumId w:val="8"/>
  </w:num>
  <w:num w:numId="32">
    <w:abstractNumId w:val="16"/>
  </w:num>
  <w:num w:numId="33">
    <w:abstractNumId w:val="19"/>
  </w:num>
  <w:num w:numId="34">
    <w:abstractNumId w:val="24"/>
  </w:num>
  <w:num w:numId="35">
    <w:abstractNumId w:val="6"/>
  </w:num>
  <w:num w:numId="36">
    <w:abstractNumId w:val="18"/>
  </w:num>
  <w:num w:numId="37">
    <w:abstractNumId w:val="20"/>
  </w:num>
  <w:num w:numId="38">
    <w:abstractNumId w:val="0"/>
  </w:num>
  <w:num w:numId="39">
    <w:abstractNumId w:val="7"/>
  </w:num>
  <w:num w:numId="40">
    <w:abstractNumId w:val="13"/>
  </w:num>
  <w:num w:numId="41">
    <w:abstractNumId w:val="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11A"/>
    <w:rsid w:val="00025118"/>
    <w:rsid w:val="00040E25"/>
    <w:rsid w:val="00042149"/>
    <w:rsid w:val="00061A4C"/>
    <w:rsid w:val="000648EA"/>
    <w:rsid w:val="00066BAF"/>
    <w:rsid w:val="000957C8"/>
    <w:rsid w:val="00097049"/>
    <w:rsid w:val="000A04D5"/>
    <w:rsid w:val="000B52F2"/>
    <w:rsid w:val="000B7118"/>
    <w:rsid w:val="000D0EAE"/>
    <w:rsid w:val="000D5380"/>
    <w:rsid w:val="000D6654"/>
    <w:rsid w:val="000E103D"/>
    <w:rsid w:val="000F0264"/>
    <w:rsid w:val="000F2EBF"/>
    <w:rsid w:val="000F3A9F"/>
    <w:rsid w:val="000F5FF6"/>
    <w:rsid w:val="001022B5"/>
    <w:rsid w:val="00113FA5"/>
    <w:rsid w:val="001455A0"/>
    <w:rsid w:val="0015635E"/>
    <w:rsid w:val="001602A3"/>
    <w:rsid w:val="00194EA9"/>
    <w:rsid w:val="001A114A"/>
    <w:rsid w:val="001A23BE"/>
    <w:rsid w:val="001A5161"/>
    <w:rsid w:val="001A60BD"/>
    <w:rsid w:val="001A784F"/>
    <w:rsid w:val="00200722"/>
    <w:rsid w:val="002244FB"/>
    <w:rsid w:val="00227467"/>
    <w:rsid w:val="00232277"/>
    <w:rsid w:val="0023736D"/>
    <w:rsid w:val="00257225"/>
    <w:rsid w:val="00272EF0"/>
    <w:rsid w:val="00287B86"/>
    <w:rsid w:val="00310160"/>
    <w:rsid w:val="00311DEA"/>
    <w:rsid w:val="0031422C"/>
    <w:rsid w:val="00331474"/>
    <w:rsid w:val="00341A8C"/>
    <w:rsid w:val="003446FF"/>
    <w:rsid w:val="003519E6"/>
    <w:rsid w:val="0037046F"/>
    <w:rsid w:val="003B4356"/>
    <w:rsid w:val="003F08A8"/>
    <w:rsid w:val="00421A32"/>
    <w:rsid w:val="004250E3"/>
    <w:rsid w:val="0045053E"/>
    <w:rsid w:val="00472A81"/>
    <w:rsid w:val="00497989"/>
    <w:rsid w:val="004A20A6"/>
    <w:rsid w:val="004A36E8"/>
    <w:rsid w:val="004B2C92"/>
    <w:rsid w:val="004B7103"/>
    <w:rsid w:val="004D6A3A"/>
    <w:rsid w:val="004E05A6"/>
    <w:rsid w:val="004F115C"/>
    <w:rsid w:val="004F4AD7"/>
    <w:rsid w:val="00501DFF"/>
    <w:rsid w:val="005321CD"/>
    <w:rsid w:val="00532D30"/>
    <w:rsid w:val="00557CD3"/>
    <w:rsid w:val="00571432"/>
    <w:rsid w:val="005732A2"/>
    <w:rsid w:val="0057578C"/>
    <w:rsid w:val="005762A5"/>
    <w:rsid w:val="00590BA3"/>
    <w:rsid w:val="005B46D9"/>
    <w:rsid w:val="005B7AE0"/>
    <w:rsid w:val="005C0620"/>
    <w:rsid w:val="005C0C76"/>
    <w:rsid w:val="005F146F"/>
    <w:rsid w:val="005F71B6"/>
    <w:rsid w:val="0061648F"/>
    <w:rsid w:val="00652948"/>
    <w:rsid w:val="00654786"/>
    <w:rsid w:val="00660FD4"/>
    <w:rsid w:val="00664B36"/>
    <w:rsid w:val="00676C25"/>
    <w:rsid w:val="006A4425"/>
    <w:rsid w:val="006B00A4"/>
    <w:rsid w:val="006B4669"/>
    <w:rsid w:val="006D54DD"/>
    <w:rsid w:val="006D572B"/>
    <w:rsid w:val="006F6BF8"/>
    <w:rsid w:val="00707BDF"/>
    <w:rsid w:val="00710727"/>
    <w:rsid w:val="00715F45"/>
    <w:rsid w:val="00731815"/>
    <w:rsid w:val="00731B84"/>
    <w:rsid w:val="00732872"/>
    <w:rsid w:val="00734AE7"/>
    <w:rsid w:val="0074758D"/>
    <w:rsid w:val="007846A6"/>
    <w:rsid w:val="0079344E"/>
    <w:rsid w:val="00797090"/>
    <w:rsid w:val="007E197F"/>
    <w:rsid w:val="007F68C4"/>
    <w:rsid w:val="008153DE"/>
    <w:rsid w:val="00834FF4"/>
    <w:rsid w:val="00850BD5"/>
    <w:rsid w:val="00852A10"/>
    <w:rsid w:val="00860EFD"/>
    <w:rsid w:val="00862634"/>
    <w:rsid w:val="008647FE"/>
    <w:rsid w:val="00864B63"/>
    <w:rsid w:val="00866C59"/>
    <w:rsid w:val="00877306"/>
    <w:rsid w:val="008A6242"/>
    <w:rsid w:val="008B4BC6"/>
    <w:rsid w:val="00901E57"/>
    <w:rsid w:val="009070DF"/>
    <w:rsid w:val="00935F0E"/>
    <w:rsid w:val="0095208F"/>
    <w:rsid w:val="009521E7"/>
    <w:rsid w:val="00970822"/>
    <w:rsid w:val="009708AA"/>
    <w:rsid w:val="00977B3F"/>
    <w:rsid w:val="009814AE"/>
    <w:rsid w:val="009901D3"/>
    <w:rsid w:val="00996BBE"/>
    <w:rsid w:val="009B2C03"/>
    <w:rsid w:val="009D1DD5"/>
    <w:rsid w:val="009F722C"/>
    <w:rsid w:val="00A07AA9"/>
    <w:rsid w:val="00A16AF3"/>
    <w:rsid w:val="00A20307"/>
    <w:rsid w:val="00A26157"/>
    <w:rsid w:val="00A265C3"/>
    <w:rsid w:val="00A32329"/>
    <w:rsid w:val="00A43F9A"/>
    <w:rsid w:val="00A53F38"/>
    <w:rsid w:val="00A543D4"/>
    <w:rsid w:val="00A877FF"/>
    <w:rsid w:val="00AD0014"/>
    <w:rsid w:val="00AD4CF2"/>
    <w:rsid w:val="00AE585A"/>
    <w:rsid w:val="00AF0BBA"/>
    <w:rsid w:val="00AF611A"/>
    <w:rsid w:val="00B25BBD"/>
    <w:rsid w:val="00B30468"/>
    <w:rsid w:val="00B426B4"/>
    <w:rsid w:val="00B43CD1"/>
    <w:rsid w:val="00B44E31"/>
    <w:rsid w:val="00B73DE5"/>
    <w:rsid w:val="00BA1AA2"/>
    <w:rsid w:val="00BA4F7E"/>
    <w:rsid w:val="00BB2C41"/>
    <w:rsid w:val="00BC55C8"/>
    <w:rsid w:val="00BC5C10"/>
    <w:rsid w:val="00BE2964"/>
    <w:rsid w:val="00BE585E"/>
    <w:rsid w:val="00BF63EC"/>
    <w:rsid w:val="00C21623"/>
    <w:rsid w:val="00C24FBD"/>
    <w:rsid w:val="00C316E4"/>
    <w:rsid w:val="00C370F7"/>
    <w:rsid w:val="00C473BA"/>
    <w:rsid w:val="00C611ED"/>
    <w:rsid w:val="00C6490A"/>
    <w:rsid w:val="00C64FE1"/>
    <w:rsid w:val="00C74296"/>
    <w:rsid w:val="00C8345E"/>
    <w:rsid w:val="00C85DA8"/>
    <w:rsid w:val="00C91F18"/>
    <w:rsid w:val="00CA5F7C"/>
    <w:rsid w:val="00CC19C9"/>
    <w:rsid w:val="00CD3084"/>
    <w:rsid w:val="00CF4411"/>
    <w:rsid w:val="00D51067"/>
    <w:rsid w:val="00D75657"/>
    <w:rsid w:val="00D75AB1"/>
    <w:rsid w:val="00D960AD"/>
    <w:rsid w:val="00DA0E0E"/>
    <w:rsid w:val="00DB028D"/>
    <w:rsid w:val="00DB0C39"/>
    <w:rsid w:val="00DB7679"/>
    <w:rsid w:val="00DF1702"/>
    <w:rsid w:val="00DF4DD8"/>
    <w:rsid w:val="00DF668E"/>
    <w:rsid w:val="00E04826"/>
    <w:rsid w:val="00E14D2B"/>
    <w:rsid w:val="00E20DBA"/>
    <w:rsid w:val="00E350B5"/>
    <w:rsid w:val="00E6524A"/>
    <w:rsid w:val="00E660D6"/>
    <w:rsid w:val="00E771AB"/>
    <w:rsid w:val="00EA796F"/>
    <w:rsid w:val="00EB077B"/>
    <w:rsid w:val="00EC50B9"/>
    <w:rsid w:val="00ED26A0"/>
    <w:rsid w:val="00EF52C7"/>
    <w:rsid w:val="00EF5F50"/>
    <w:rsid w:val="00F1727A"/>
    <w:rsid w:val="00F302DE"/>
    <w:rsid w:val="00F34764"/>
    <w:rsid w:val="00F34D1D"/>
    <w:rsid w:val="00F4753E"/>
    <w:rsid w:val="00F54E3C"/>
    <w:rsid w:val="00F7225E"/>
    <w:rsid w:val="00F874BD"/>
    <w:rsid w:val="00FB1D0B"/>
    <w:rsid w:val="00FC44E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A877FF"/>
    <w:pPr>
      <w:suppressAutoHyphens/>
      <w:bidi w:val="0"/>
      <w:spacing w:after="120"/>
      <w:ind w:left="1134" w:right="1134"/>
      <w:jc w:val="both"/>
    </w:pPr>
    <w:rPr>
      <w:rFonts w:cs="Times New Roman"/>
      <w:szCs w:val="20"/>
      <w:lang w:val="fr-CH"/>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2393</Words>
  <Characters>13641</Characters>
  <Application>Microsoft Office Outlook</Application>
  <DocSecurity>4</DocSecurity>
  <Lines>113</Lines>
  <Paragraphs>32</Paragraphs>
  <ScaleCrop>false</ScaleCrop>
  <HeadingPairs>
    <vt:vector size="2" baseType="variant">
      <vt:variant>
        <vt:lpstr>العنوان</vt:lpstr>
      </vt:variant>
      <vt:variant>
        <vt:i4>1</vt:i4>
      </vt:variant>
    </vt:vector>
  </HeadingPairs>
  <TitlesOfParts>
    <vt:vector size="1" baseType="lpstr">
      <vt:lpstr>CAT/C/46/D/395/2009</vt:lpstr>
    </vt:vector>
  </TitlesOfParts>
  <Company>CSD</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CAT/C/46/D/395/2009</dc:title>
  <dc:subject/>
  <dc:creator>RIZ</dc:creator>
  <cp:keywords/>
  <dc:description/>
  <cp:lastModifiedBy>RIZ</cp:lastModifiedBy>
  <cp:revision>2</cp:revision>
  <cp:lastPrinted>2009-10-16T08:54:00Z</cp:lastPrinted>
  <dcterms:created xsi:type="dcterms:W3CDTF">2011-07-27T08:03:00Z</dcterms:created>
  <dcterms:modified xsi:type="dcterms:W3CDTF">2011-07-27T08:03:00Z</dcterms:modified>
</cp:coreProperties>
</file>