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CC1514">
        <w:trPr>
          <w:trHeight w:val="851"/>
        </w:trPr>
        <w:tc>
          <w:tcPr>
            <w:tcW w:w="1259" w:type="dxa"/>
            <w:tcBorders>
              <w:top w:val="nil"/>
              <w:left w:val="nil"/>
              <w:bottom w:val="single" w:sz="4" w:space="0" w:color="auto"/>
              <w:right w:val="nil"/>
            </w:tcBorders>
          </w:tcPr>
          <w:p w:rsidR="00446DE4" w:rsidRPr="00306E2E" w:rsidRDefault="00306E2E" w:rsidP="00306E2E">
            <w:pPr>
              <w:spacing w:line="20" w:lineRule="exact"/>
              <w:rPr>
                <w:sz w:val="2"/>
              </w:rPr>
            </w:pPr>
            <w:r>
              <w:rPr>
                <w:rStyle w:val="CommentReference"/>
                <w:lang w:val="x-none"/>
              </w:rPr>
              <w:commentReference w:id="0"/>
            </w:r>
            <w:bookmarkStart w:id="1" w:name="_GoBack"/>
            <w:bookmarkEnd w:id="1"/>
          </w:p>
          <w:p w:rsidR="00306E2E" w:rsidRDefault="00306E2E"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CC1514" w:rsidP="00F1219C">
            <w:pPr>
              <w:jc w:val="right"/>
            </w:pPr>
            <w:r w:rsidRPr="00CC1514">
              <w:rPr>
                <w:sz w:val="40"/>
              </w:rPr>
              <w:t>CRC</w:t>
            </w:r>
            <w:r>
              <w:t>/C/</w:t>
            </w:r>
            <w:r w:rsidR="00F1219C">
              <w:t>ARE</w:t>
            </w:r>
            <w:r>
              <w:t>/CO/</w:t>
            </w:r>
            <w:r w:rsidR="00F1219C">
              <w:t>2</w:t>
            </w:r>
          </w:p>
        </w:tc>
      </w:tr>
      <w:tr w:rsidR="003107FA" w:rsidTr="00CC1514">
        <w:trPr>
          <w:trHeight w:val="2835"/>
        </w:trPr>
        <w:tc>
          <w:tcPr>
            <w:tcW w:w="1259" w:type="dxa"/>
            <w:tcBorders>
              <w:top w:val="single" w:sz="4" w:space="0" w:color="auto"/>
              <w:left w:val="nil"/>
              <w:bottom w:val="single" w:sz="12" w:space="0" w:color="auto"/>
              <w:right w:val="nil"/>
            </w:tcBorders>
          </w:tcPr>
          <w:p w:rsidR="003107FA" w:rsidRDefault="00306E2E" w:rsidP="00942BE3">
            <w:pPr>
              <w:spacing w:before="120"/>
              <w:jc w:val="center"/>
            </w:pPr>
            <w:r>
              <w:rPr>
                <w:noProof/>
                <w:lang w:val="en-US" w:eastAsia="zh-CN"/>
              </w:rPr>
              <w:drawing>
                <wp:inline distT="0" distB="0" distL="0" distR="0">
                  <wp:extent cx="716915" cy="592455"/>
                  <wp:effectExtent l="0" t="0" r="698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CC1514" w:rsidP="00CC1514">
            <w:pPr>
              <w:spacing w:before="240" w:line="240" w:lineRule="exact"/>
            </w:pPr>
            <w:r>
              <w:t>Distr.: General</w:t>
            </w:r>
          </w:p>
          <w:p w:rsidR="00CC1514" w:rsidRDefault="005E7C57" w:rsidP="00CC1514">
            <w:pPr>
              <w:spacing w:line="240" w:lineRule="exact"/>
            </w:pPr>
            <w:r>
              <w:t xml:space="preserve">30 </w:t>
            </w:r>
            <w:r w:rsidR="00CC1514">
              <w:t>October 2015</w:t>
            </w:r>
          </w:p>
          <w:p w:rsidR="00CC1514" w:rsidRDefault="00CC1514" w:rsidP="00CC1514">
            <w:pPr>
              <w:spacing w:line="240" w:lineRule="exact"/>
            </w:pPr>
          </w:p>
          <w:p w:rsidR="00CC1514" w:rsidRDefault="00CC1514" w:rsidP="00CC1514">
            <w:pPr>
              <w:spacing w:line="240" w:lineRule="exact"/>
            </w:pPr>
            <w:r>
              <w:t>Original: English</w:t>
            </w:r>
          </w:p>
        </w:tc>
      </w:tr>
    </w:tbl>
    <w:p w:rsidR="00CC1514" w:rsidRDefault="00CC1514" w:rsidP="00CC1514">
      <w:pPr>
        <w:spacing w:before="120"/>
        <w:rPr>
          <w:b/>
          <w:sz w:val="24"/>
          <w:szCs w:val="24"/>
        </w:rPr>
      </w:pPr>
      <w:r w:rsidRPr="00C22BB5">
        <w:rPr>
          <w:b/>
          <w:sz w:val="24"/>
          <w:szCs w:val="24"/>
        </w:rPr>
        <w:t>Committee on the Rights of the Child</w:t>
      </w:r>
    </w:p>
    <w:p w:rsidR="00F1219C" w:rsidRDefault="00F1219C" w:rsidP="00F1219C">
      <w:pPr>
        <w:pStyle w:val="HChG"/>
        <w:jc w:val="both"/>
        <w:rPr>
          <w:szCs w:val="28"/>
          <w:lang w:val="en-US"/>
        </w:rPr>
      </w:pPr>
      <w:r>
        <w:rPr>
          <w:szCs w:val="28"/>
          <w:lang w:val="en-US"/>
        </w:rPr>
        <w:tab/>
      </w:r>
      <w:r>
        <w:rPr>
          <w:szCs w:val="28"/>
          <w:lang w:val="en-US"/>
        </w:rPr>
        <w:tab/>
        <w:t>Concluding observations on the second periodic report of the United Arab Emirates</w:t>
      </w:r>
      <w:r w:rsidRPr="0049226E">
        <w:rPr>
          <w:rStyle w:val="FootnoteReference"/>
          <w:b w:val="0"/>
          <w:sz w:val="20"/>
          <w:vertAlign w:val="baseline"/>
          <w:lang w:val="en-US"/>
        </w:rPr>
        <w:footnoteReference w:customMarkFollows="1" w:id="2"/>
        <w:t>*</w:t>
      </w:r>
    </w:p>
    <w:p w:rsidR="00F1219C" w:rsidRDefault="00F1219C" w:rsidP="00F1219C">
      <w:pPr>
        <w:pStyle w:val="HChG"/>
        <w:rPr>
          <w:rFonts w:eastAsia="Malgun Gothic"/>
          <w:szCs w:val="28"/>
          <w:lang w:val="en-US" w:eastAsia="zh-CN"/>
        </w:rPr>
      </w:pPr>
      <w:r>
        <w:rPr>
          <w:rFonts w:eastAsia="Malgun Gothic"/>
          <w:color w:val="92D050"/>
          <w:szCs w:val="28"/>
          <w:lang w:val="en-US" w:eastAsia="zh-CN"/>
        </w:rPr>
        <w:tab/>
      </w:r>
      <w:r>
        <w:rPr>
          <w:rFonts w:eastAsia="Malgun Gothic"/>
          <w:szCs w:val="28"/>
          <w:lang w:val="en-US" w:eastAsia="zh-CN"/>
        </w:rPr>
        <w:t>I.</w:t>
      </w:r>
      <w:r>
        <w:rPr>
          <w:rFonts w:eastAsia="Malgun Gothic"/>
          <w:szCs w:val="28"/>
          <w:lang w:val="en-US" w:eastAsia="zh-CN"/>
        </w:rPr>
        <w:tab/>
        <w:t>Introduction</w:t>
      </w:r>
    </w:p>
    <w:p w:rsidR="00F1219C" w:rsidRPr="00BC0B5E" w:rsidRDefault="0049226E" w:rsidP="0049226E">
      <w:pPr>
        <w:pStyle w:val="SingleTxtG"/>
        <w:rPr>
          <w:rFonts w:eastAsia="Malgun Gothic"/>
          <w:lang w:val="en-US" w:eastAsia="zh-CN"/>
        </w:rPr>
      </w:pPr>
      <w:r w:rsidRPr="00BC0B5E">
        <w:rPr>
          <w:rFonts w:eastAsia="Malgun Gothic"/>
          <w:lang w:val="en-US" w:eastAsia="zh-CN"/>
        </w:rPr>
        <w:t>1.</w:t>
      </w:r>
      <w:r w:rsidRPr="00BC0B5E">
        <w:rPr>
          <w:rFonts w:eastAsia="Malgun Gothic"/>
          <w:lang w:val="en-US" w:eastAsia="zh-CN"/>
        </w:rPr>
        <w:tab/>
      </w:r>
      <w:r w:rsidR="00F1219C" w:rsidRPr="00BC0B5E">
        <w:rPr>
          <w:rFonts w:eastAsia="Malgun Gothic"/>
          <w:lang w:val="en-US" w:eastAsia="zh-CN"/>
        </w:rPr>
        <w:t>The Committee considered the second periodic report of the United Arab Emirates (CRC/C/ARE/2) at its 2026</w:t>
      </w:r>
      <w:r w:rsidR="00F1219C" w:rsidRPr="0049226E">
        <w:rPr>
          <w:rFonts w:eastAsia="Malgun Gothic"/>
          <w:snapToGrid w:val="0"/>
          <w:lang w:val="en-US" w:eastAsia="zh-CN"/>
        </w:rPr>
        <w:t xml:space="preserve">th and 2027th </w:t>
      </w:r>
      <w:r w:rsidR="00F1219C" w:rsidRPr="00BC0B5E">
        <w:rPr>
          <w:rFonts w:eastAsia="Malgun Gothic"/>
          <w:lang w:val="en-US" w:eastAsia="zh-CN"/>
        </w:rPr>
        <w:t>meetings (see CRC/C/SR.2026 and 2027), held on 14 and 15 September 2015, and adopted the following concluding observations at its 205</w:t>
      </w:r>
      <w:r w:rsidR="00E21A14" w:rsidRPr="00BC0B5E">
        <w:rPr>
          <w:rFonts w:eastAsia="Malgun Gothic"/>
          <w:lang w:val="en-US" w:eastAsia="zh-CN"/>
        </w:rPr>
        <w:t>2nd</w:t>
      </w:r>
      <w:r w:rsidR="00CF1D61" w:rsidRPr="00BC0B5E">
        <w:rPr>
          <w:rFonts w:eastAsia="Malgun Gothic"/>
          <w:lang w:val="en-US" w:eastAsia="zh-CN"/>
        </w:rPr>
        <w:t xml:space="preserve"> </w:t>
      </w:r>
      <w:r w:rsidR="00F1219C" w:rsidRPr="00BC0B5E">
        <w:rPr>
          <w:rFonts w:eastAsia="Malgun Gothic"/>
          <w:lang w:val="en-US" w:eastAsia="zh-CN"/>
        </w:rPr>
        <w:t>meeting (see CRC/C/SR.205</w:t>
      </w:r>
      <w:r w:rsidR="00E21A14" w:rsidRPr="00BC0B5E">
        <w:rPr>
          <w:rFonts w:eastAsia="Malgun Gothic"/>
          <w:lang w:val="en-US" w:eastAsia="zh-CN"/>
        </w:rPr>
        <w:t>2</w:t>
      </w:r>
      <w:r w:rsidR="00F1219C" w:rsidRPr="00BC0B5E">
        <w:rPr>
          <w:rFonts w:eastAsia="Malgun Gothic"/>
          <w:lang w:val="en-US" w:eastAsia="zh-CN"/>
        </w:rPr>
        <w:t xml:space="preserve">), held on 2 October 2015. </w:t>
      </w:r>
    </w:p>
    <w:p w:rsidR="00F1219C" w:rsidRDefault="0049226E" w:rsidP="0049226E">
      <w:pPr>
        <w:pStyle w:val="SingleTxtG"/>
        <w:rPr>
          <w:rFonts w:eastAsia="Malgun Gothic"/>
          <w:lang w:val="en-US" w:eastAsia="zh-CN"/>
        </w:rPr>
      </w:pPr>
      <w:r>
        <w:rPr>
          <w:rFonts w:eastAsia="Malgun Gothic"/>
          <w:lang w:val="en-US" w:eastAsia="zh-CN"/>
        </w:rPr>
        <w:t>2.</w:t>
      </w:r>
      <w:r>
        <w:rPr>
          <w:rFonts w:eastAsia="Malgun Gothic"/>
          <w:lang w:val="en-US" w:eastAsia="zh-CN"/>
        </w:rPr>
        <w:tab/>
      </w:r>
      <w:r w:rsidR="00F1219C">
        <w:rPr>
          <w:rFonts w:eastAsia="Malgun Gothic"/>
          <w:lang w:val="en-US" w:eastAsia="zh-CN"/>
        </w:rPr>
        <w:t xml:space="preserve">The Committee welcomes the submission of the second periodic report of the State party and the written replies to the list of issues (CRC/C/ARE/Q/2/Add.1). </w:t>
      </w:r>
      <w:r w:rsidR="00F1219C">
        <w:rPr>
          <w:rFonts w:eastAsia="Malgun Gothic"/>
          <w:lang w:val="en-US"/>
        </w:rPr>
        <w:t>The Committee regrets</w:t>
      </w:r>
      <w:r w:rsidR="005E7C57">
        <w:rPr>
          <w:rFonts w:eastAsia="Malgun Gothic"/>
          <w:lang w:val="en-US"/>
        </w:rPr>
        <w:t>, however,</w:t>
      </w:r>
      <w:r w:rsidR="00F1219C">
        <w:rPr>
          <w:rFonts w:eastAsia="Malgun Gothic"/>
          <w:lang w:val="en-US"/>
        </w:rPr>
        <w:t xml:space="preserve"> that the second periodic report was submitted with considerable delay, which has prevented the Committee from reviewing the situation of children in the United Arab Emirates for more than a decade. The Committee also regrets that some of its written </w:t>
      </w:r>
      <w:r w:rsidR="00F1219C">
        <w:rPr>
          <w:rFonts w:eastAsia="Malgun Gothic"/>
          <w:lang w:val="en-US" w:eastAsia="zh-CN"/>
        </w:rPr>
        <w:t>questions were not responded to by the State party.</w:t>
      </w:r>
    </w:p>
    <w:p w:rsidR="00F1219C" w:rsidRDefault="0049226E" w:rsidP="0049226E">
      <w:pPr>
        <w:pStyle w:val="SingleTxtG"/>
        <w:rPr>
          <w:rFonts w:eastAsia="Malgun Gothic"/>
          <w:lang w:val="en-US" w:eastAsia="zh-CN"/>
        </w:rPr>
      </w:pPr>
      <w:r>
        <w:rPr>
          <w:rFonts w:eastAsia="Malgun Gothic"/>
          <w:lang w:val="en-US" w:eastAsia="zh-CN"/>
        </w:rPr>
        <w:t>3.</w:t>
      </w:r>
      <w:r>
        <w:rPr>
          <w:rFonts w:eastAsia="Malgun Gothic"/>
          <w:lang w:val="en-US" w:eastAsia="zh-CN"/>
        </w:rPr>
        <w:tab/>
      </w:r>
      <w:r w:rsidR="00F1219C">
        <w:rPr>
          <w:rFonts w:eastAsia="Malgun Gothic"/>
          <w:lang w:val="en-US" w:eastAsia="zh-CN"/>
        </w:rPr>
        <w:t>The Committee expresses appreciation for the constructive dialogue held with the</w:t>
      </w:r>
      <w:r w:rsidR="00F1219C">
        <w:rPr>
          <w:rFonts w:eastAsia="Malgun Gothic"/>
          <w:color w:val="9BBB59"/>
          <w:lang w:val="en-US" w:eastAsia="zh-CN"/>
        </w:rPr>
        <w:t xml:space="preserve"> </w:t>
      </w:r>
      <w:r w:rsidR="00F1219C">
        <w:rPr>
          <w:rFonts w:eastAsia="Malgun Gothic"/>
          <w:lang w:val="en-US" w:eastAsia="zh-CN"/>
        </w:rPr>
        <w:t>multisectoral</w:t>
      </w:r>
      <w:r w:rsidR="00F1219C">
        <w:rPr>
          <w:rFonts w:eastAsia="Malgun Gothic"/>
          <w:b/>
          <w:color w:val="1F497D"/>
          <w:lang w:val="en-US" w:eastAsia="zh-CN"/>
        </w:rPr>
        <w:t xml:space="preserve"> </w:t>
      </w:r>
      <w:r w:rsidR="00F1219C">
        <w:rPr>
          <w:rFonts w:eastAsia="Malgun Gothic"/>
          <w:lang w:val="en-US" w:eastAsia="zh-CN"/>
        </w:rPr>
        <w:t xml:space="preserve">delegation of the State party. </w:t>
      </w:r>
    </w:p>
    <w:p w:rsidR="00F1219C" w:rsidRPr="0049226E" w:rsidRDefault="00F1219C" w:rsidP="00D31678">
      <w:pPr>
        <w:pStyle w:val="HChG"/>
        <w:rPr>
          <w:rFonts w:eastAsia="Malgun Gothic"/>
        </w:rPr>
      </w:pPr>
      <w:r>
        <w:rPr>
          <w:rFonts w:eastAsia="Malgun Gothic"/>
          <w:sz w:val="20"/>
          <w:lang w:val="en-US" w:eastAsia="zh-CN"/>
        </w:rPr>
        <w:tab/>
      </w:r>
      <w:r>
        <w:rPr>
          <w:rFonts w:eastAsia="Malgun Gothic"/>
          <w:lang w:val="en-US" w:eastAsia="zh-CN"/>
        </w:rPr>
        <w:t>II.</w:t>
      </w:r>
      <w:r>
        <w:rPr>
          <w:rFonts w:eastAsia="Malgun Gothic"/>
          <w:lang w:val="en-US" w:eastAsia="zh-CN"/>
        </w:rPr>
        <w:tab/>
        <w:t>Follow-up measures taken and progress achieved by the State party</w:t>
      </w:r>
    </w:p>
    <w:p w:rsidR="00F1219C" w:rsidRDefault="0049226E" w:rsidP="0049226E">
      <w:pPr>
        <w:pStyle w:val="SingleTxtG"/>
        <w:rPr>
          <w:rFonts w:eastAsia="Malgun Gothic"/>
          <w:lang w:val="en-US" w:eastAsia="zh-CN"/>
        </w:rPr>
      </w:pPr>
      <w:r>
        <w:rPr>
          <w:rFonts w:eastAsia="Malgun Gothic"/>
          <w:lang w:val="en-US" w:eastAsia="zh-CN"/>
        </w:rPr>
        <w:t>4.</w:t>
      </w:r>
      <w:r>
        <w:rPr>
          <w:rFonts w:eastAsia="Malgun Gothic"/>
          <w:lang w:val="en-US" w:eastAsia="zh-CN"/>
        </w:rPr>
        <w:tab/>
      </w:r>
      <w:r w:rsidR="00F1219C">
        <w:rPr>
          <w:rFonts w:eastAsia="Malgun Gothic"/>
          <w:lang w:val="en-US" w:eastAsia="zh-CN"/>
        </w:rPr>
        <w:t xml:space="preserve">The Committee welcomes the </w:t>
      </w:r>
      <w:r w:rsidR="005E7C57">
        <w:rPr>
          <w:rFonts w:eastAsia="Malgun Gothic"/>
          <w:lang w:val="en-US" w:eastAsia="zh-CN"/>
        </w:rPr>
        <w:t xml:space="preserve">State party's </w:t>
      </w:r>
      <w:r w:rsidR="00F1219C">
        <w:rPr>
          <w:rFonts w:eastAsia="Malgun Gothic"/>
          <w:lang w:val="en-US" w:eastAsia="zh-CN"/>
        </w:rPr>
        <w:t>ratification of</w:t>
      </w:r>
      <w:r w:rsidR="005E7C57">
        <w:rPr>
          <w:rFonts w:eastAsia="Malgun Gothic"/>
          <w:lang w:val="en-US" w:eastAsia="zh-CN"/>
        </w:rPr>
        <w:t xml:space="preserve"> or </w:t>
      </w:r>
      <w:r w:rsidR="00F1219C">
        <w:rPr>
          <w:rFonts w:eastAsia="Malgun Gothic"/>
          <w:lang w:val="en-US" w:eastAsia="zh-CN"/>
        </w:rPr>
        <w:t>accession to:</w:t>
      </w:r>
    </w:p>
    <w:p w:rsidR="00F1219C" w:rsidRDefault="002C4D34">
      <w:pPr>
        <w:pStyle w:val="SingleTxtG"/>
        <w:ind w:firstLine="567"/>
        <w:rPr>
          <w:bCs/>
          <w:lang w:val="en-US"/>
        </w:rPr>
      </w:pPr>
      <w:r>
        <w:rPr>
          <w:rFonts w:eastAsia="Malgun Gothic"/>
          <w:bCs/>
          <w:lang w:val="en-US"/>
        </w:rPr>
        <w:t>(a)</w:t>
      </w:r>
      <w:r>
        <w:rPr>
          <w:rFonts w:eastAsia="Malgun Gothic"/>
          <w:bCs/>
          <w:lang w:val="en-US"/>
        </w:rPr>
        <w:tab/>
      </w:r>
      <w:r w:rsidR="00F1219C">
        <w:rPr>
          <w:rFonts w:eastAsia="Malgun Gothic"/>
          <w:lang w:val="en-US" w:eastAsia="zh-CN"/>
        </w:rPr>
        <w:t xml:space="preserve">The </w:t>
      </w:r>
      <w:r w:rsidR="00F1219C">
        <w:rPr>
          <w:bCs/>
          <w:lang w:val="en-US"/>
        </w:rPr>
        <w:t xml:space="preserve">Convention against Torture and </w:t>
      </w:r>
      <w:r w:rsidR="00936F5B">
        <w:rPr>
          <w:bCs/>
          <w:lang w:val="en-US"/>
        </w:rPr>
        <w:t>O</w:t>
      </w:r>
      <w:r w:rsidR="00F1219C">
        <w:rPr>
          <w:bCs/>
          <w:lang w:val="en-US"/>
        </w:rPr>
        <w:t>ther Cruel</w:t>
      </w:r>
      <w:r w:rsidR="00936F5B">
        <w:rPr>
          <w:bCs/>
          <w:lang w:val="en-US"/>
        </w:rPr>
        <w:t>,</w:t>
      </w:r>
      <w:r w:rsidR="00F1219C">
        <w:rPr>
          <w:bCs/>
          <w:lang w:val="en-US"/>
        </w:rPr>
        <w:t xml:space="preserve"> Inhuman or Degrading Treatment or Punishment</w:t>
      </w:r>
      <w:r w:rsidR="001F3B1E">
        <w:rPr>
          <w:bCs/>
          <w:lang w:val="en-US"/>
        </w:rPr>
        <w:t>,</w:t>
      </w:r>
      <w:r w:rsidR="00F1219C">
        <w:rPr>
          <w:bCs/>
          <w:lang w:val="en-US"/>
        </w:rPr>
        <w:t xml:space="preserve"> in July 2012;</w:t>
      </w:r>
    </w:p>
    <w:p w:rsidR="00F1219C" w:rsidRDefault="002C4D34">
      <w:pPr>
        <w:pStyle w:val="SingleTxtG"/>
        <w:ind w:firstLine="567"/>
        <w:rPr>
          <w:bCs/>
          <w:lang w:val="en-US"/>
        </w:rPr>
      </w:pPr>
      <w:r>
        <w:rPr>
          <w:rFonts w:eastAsia="Malgun Gothic"/>
          <w:bCs/>
          <w:lang w:val="en-US"/>
        </w:rPr>
        <w:t>(b)</w:t>
      </w:r>
      <w:r>
        <w:rPr>
          <w:rFonts w:eastAsia="Malgun Gothic"/>
          <w:bCs/>
          <w:lang w:val="en-US"/>
        </w:rPr>
        <w:tab/>
      </w:r>
      <w:r w:rsidR="00F1219C">
        <w:rPr>
          <w:iCs/>
        </w:rPr>
        <w:t>The</w:t>
      </w:r>
      <w:r w:rsidR="005E7C57">
        <w:rPr>
          <w:iCs/>
        </w:rPr>
        <w:t xml:space="preserve"> United Nations</w:t>
      </w:r>
      <w:r w:rsidR="00F1219C">
        <w:rPr>
          <w:iCs/>
        </w:rPr>
        <w:t xml:space="preserve"> Convention against Transnational Organized Crime </w:t>
      </w:r>
      <w:r w:rsidR="00F1219C">
        <w:t xml:space="preserve">and its </w:t>
      </w:r>
      <w:r w:rsidR="00F1219C">
        <w:rPr>
          <w:iCs/>
        </w:rPr>
        <w:t>Protocol to Prevent, Suppress and Punish Trafficking in Persons, especially Women and Children</w:t>
      </w:r>
      <w:r w:rsidR="005E7C57">
        <w:rPr>
          <w:iCs/>
        </w:rPr>
        <w:t>,</w:t>
      </w:r>
      <w:r w:rsidR="00F1219C">
        <w:rPr>
          <w:iCs/>
        </w:rPr>
        <w:t xml:space="preserve"> </w:t>
      </w:r>
      <w:r w:rsidR="00F1219C">
        <w:t>in 2009.</w:t>
      </w:r>
    </w:p>
    <w:p w:rsidR="00F1219C" w:rsidRPr="003F6E0F" w:rsidRDefault="0049226E" w:rsidP="0049226E">
      <w:pPr>
        <w:pStyle w:val="SingleTxtG"/>
        <w:rPr>
          <w:rFonts w:eastAsia="Malgun Gothic"/>
          <w:lang w:val="en-US" w:eastAsia="zh-CN"/>
        </w:rPr>
      </w:pPr>
      <w:r w:rsidRPr="003F6E0F">
        <w:rPr>
          <w:rFonts w:eastAsia="Malgun Gothic"/>
          <w:lang w:val="en-US" w:eastAsia="zh-CN"/>
        </w:rPr>
        <w:t>5.</w:t>
      </w:r>
      <w:r w:rsidRPr="003F6E0F">
        <w:rPr>
          <w:rFonts w:eastAsia="Malgun Gothic"/>
          <w:lang w:val="en-US" w:eastAsia="zh-CN"/>
        </w:rPr>
        <w:tab/>
      </w:r>
      <w:r w:rsidR="00F1219C" w:rsidRPr="003F6E0F">
        <w:rPr>
          <w:rFonts w:eastAsia="Malgun Gothic"/>
          <w:lang w:val="en-US" w:eastAsia="zh-CN"/>
        </w:rPr>
        <w:t>The Committee also notes with appreciation the adoption of the following legislative measures:</w:t>
      </w:r>
    </w:p>
    <w:p w:rsidR="00F1219C" w:rsidRPr="003F6E0F" w:rsidRDefault="002C4D34" w:rsidP="002C4D34">
      <w:pPr>
        <w:pStyle w:val="SingleTxt"/>
        <w:tabs>
          <w:tab w:val="clear" w:pos="1267"/>
          <w:tab w:val="left" w:pos="1418"/>
          <w:tab w:val="left" w:pos="1560"/>
          <w:tab w:val="left" w:pos="1701"/>
        </w:tabs>
        <w:spacing w:line="240" w:lineRule="atLeast"/>
        <w:ind w:left="1134" w:right="1134" w:firstLine="567"/>
        <w:rPr>
          <w:lang w:val="en-US"/>
        </w:rPr>
      </w:pPr>
      <w:r w:rsidRPr="003F6E0F">
        <w:rPr>
          <w:lang w:val="en-US"/>
        </w:rPr>
        <w:t>(a)</w:t>
      </w:r>
      <w:r w:rsidRPr="003F6E0F">
        <w:rPr>
          <w:lang w:val="en-US"/>
        </w:rPr>
        <w:tab/>
      </w:r>
      <w:r w:rsidR="00F1219C" w:rsidRPr="003F6E0F">
        <w:rPr>
          <w:lang w:val="en-US"/>
        </w:rPr>
        <w:t>Federal Act No. 1 of 2012, concerning care for children of unknown parentage;</w:t>
      </w:r>
    </w:p>
    <w:p w:rsidR="00F1219C" w:rsidRPr="003F6E0F" w:rsidRDefault="002C4D34" w:rsidP="002C4D34">
      <w:pPr>
        <w:pStyle w:val="SingleTxt"/>
        <w:tabs>
          <w:tab w:val="clear" w:pos="1267"/>
          <w:tab w:val="left" w:pos="1418"/>
          <w:tab w:val="left" w:pos="1560"/>
          <w:tab w:val="left" w:pos="1701"/>
        </w:tabs>
        <w:spacing w:line="240" w:lineRule="atLeast"/>
        <w:ind w:left="1134" w:right="1134" w:firstLine="567"/>
        <w:rPr>
          <w:lang w:val="en-US"/>
        </w:rPr>
      </w:pPr>
      <w:r w:rsidRPr="003F6E0F">
        <w:rPr>
          <w:lang w:val="en-US"/>
        </w:rPr>
        <w:lastRenderedPageBreak/>
        <w:t>(b)</w:t>
      </w:r>
      <w:r w:rsidRPr="003F6E0F">
        <w:rPr>
          <w:lang w:val="en-US"/>
        </w:rPr>
        <w:tab/>
      </w:r>
      <w:r w:rsidR="00E21A14" w:rsidRPr="003F6E0F">
        <w:rPr>
          <w:lang w:val="en-US"/>
        </w:rPr>
        <w:t>Federal Act No. 15 of 2009, prohibiting the sale or supply of tobacco to persons below the age of 18 years</w:t>
      </w:r>
      <w:r w:rsidR="00F1219C" w:rsidRPr="003F6E0F">
        <w:rPr>
          <w:lang w:val="en-US"/>
        </w:rPr>
        <w:t>;</w:t>
      </w:r>
    </w:p>
    <w:p w:rsidR="00F1219C" w:rsidRPr="003F6E0F" w:rsidRDefault="002C4D34">
      <w:pPr>
        <w:pStyle w:val="SingleTxt"/>
        <w:tabs>
          <w:tab w:val="clear" w:pos="1267"/>
          <w:tab w:val="left" w:pos="1418"/>
          <w:tab w:val="left" w:pos="1560"/>
          <w:tab w:val="left" w:pos="1701"/>
        </w:tabs>
        <w:spacing w:line="240" w:lineRule="atLeast"/>
        <w:ind w:left="1134" w:right="1134" w:firstLine="567"/>
        <w:rPr>
          <w:lang w:val="en-US"/>
        </w:rPr>
      </w:pPr>
      <w:r w:rsidRPr="003F6E0F">
        <w:rPr>
          <w:lang w:val="en-US"/>
        </w:rPr>
        <w:t>(c)</w:t>
      </w:r>
      <w:r w:rsidRPr="003F6E0F">
        <w:rPr>
          <w:lang w:val="en-US"/>
        </w:rPr>
        <w:tab/>
      </w:r>
      <w:r w:rsidR="00F1219C" w:rsidRPr="003F6E0F">
        <w:rPr>
          <w:lang w:val="en-US"/>
        </w:rPr>
        <w:t xml:space="preserve">Federal Act No. 51 of 2006, </w:t>
      </w:r>
      <w:r w:rsidR="00936F5B" w:rsidRPr="003F6E0F">
        <w:rPr>
          <w:lang w:val="en-US"/>
        </w:rPr>
        <w:t xml:space="preserve">on combating </w:t>
      </w:r>
      <w:r w:rsidR="00F1219C" w:rsidRPr="003F6E0F">
        <w:rPr>
          <w:lang w:val="en-US"/>
        </w:rPr>
        <w:t>human trafficking offences;</w:t>
      </w:r>
    </w:p>
    <w:p w:rsidR="00F1219C" w:rsidRDefault="002C4D34" w:rsidP="002C4D34">
      <w:pPr>
        <w:pStyle w:val="SingleTxt"/>
        <w:tabs>
          <w:tab w:val="clear" w:pos="1742"/>
          <w:tab w:val="left" w:pos="1418"/>
        </w:tabs>
        <w:spacing w:line="240" w:lineRule="atLeast"/>
        <w:ind w:left="1134" w:right="1134" w:firstLine="567"/>
        <w:rPr>
          <w:lang w:val="en-US"/>
        </w:rPr>
      </w:pPr>
      <w:r w:rsidRPr="003F6E0F">
        <w:rPr>
          <w:lang w:val="en-US"/>
        </w:rPr>
        <w:t>(d)</w:t>
      </w:r>
      <w:r w:rsidRPr="003F6E0F">
        <w:rPr>
          <w:lang w:val="en-US"/>
        </w:rPr>
        <w:tab/>
      </w:r>
      <w:r w:rsidR="00E21A14" w:rsidRPr="003F6E0F">
        <w:rPr>
          <w:lang w:val="en-US"/>
        </w:rPr>
        <w:t>Federal Act No. 29 of 2006, concerning the rights of persons with disabilities, as amended by Federal Act No. 14 of 2009</w:t>
      </w:r>
      <w:r w:rsidR="00F1219C" w:rsidRPr="003F6E0F">
        <w:rPr>
          <w:lang w:val="en-US"/>
        </w:rPr>
        <w:t>.</w:t>
      </w:r>
    </w:p>
    <w:p w:rsidR="00F1219C" w:rsidRDefault="0049226E" w:rsidP="0049226E">
      <w:pPr>
        <w:pStyle w:val="SingleTxtG"/>
        <w:rPr>
          <w:rFonts w:eastAsia="Malgun Gothic"/>
          <w:lang w:val="en-US" w:eastAsia="zh-CN"/>
        </w:rPr>
      </w:pPr>
      <w:r>
        <w:rPr>
          <w:rFonts w:eastAsia="Malgun Gothic"/>
          <w:lang w:val="en-US" w:eastAsia="zh-CN"/>
        </w:rPr>
        <w:t>6.</w:t>
      </w:r>
      <w:r>
        <w:rPr>
          <w:rFonts w:eastAsia="Malgun Gothic"/>
          <w:lang w:val="en-US" w:eastAsia="zh-CN"/>
        </w:rPr>
        <w:tab/>
      </w:r>
      <w:r w:rsidR="00F1219C">
        <w:rPr>
          <w:rFonts w:eastAsia="Malgun Gothic"/>
          <w:lang w:val="en-US" w:eastAsia="zh-CN"/>
        </w:rPr>
        <w:t>The Committee also welcomes the following institutional and policy measures:</w:t>
      </w:r>
    </w:p>
    <w:p w:rsidR="00F1219C" w:rsidRDefault="002C4D34" w:rsidP="001F3B1E">
      <w:pPr>
        <w:pStyle w:val="SingleTxtG"/>
        <w:ind w:firstLine="567"/>
        <w:rPr>
          <w:rFonts w:eastAsia="Malgun Gothic"/>
          <w:lang w:val="en-US" w:eastAsia="zh-CN"/>
        </w:rPr>
      </w:pPr>
      <w:r>
        <w:rPr>
          <w:rFonts w:eastAsia="Malgun Gothic"/>
          <w:lang w:val="en-US" w:eastAsia="zh-CN"/>
        </w:rPr>
        <w:t>(a)</w:t>
      </w:r>
      <w:r>
        <w:rPr>
          <w:rFonts w:eastAsia="Malgun Gothic"/>
          <w:lang w:val="en-US" w:eastAsia="zh-CN"/>
        </w:rPr>
        <w:tab/>
      </w:r>
      <w:r w:rsidR="00F1219C">
        <w:rPr>
          <w:lang w:val="en-US"/>
        </w:rPr>
        <w:t>The</w:t>
      </w:r>
      <w:r w:rsidR="00F1219C">
        <w:rPr>
          <w:bCs/>
          <w:lang w:val="en-US"/>
        </w:rPr>
        <w:t xml:space="preserve"> </w:t>
      </w:r>
      <w:r w:rsidR="001F3B1E">
        <w:rPr>
          <w:bCs/>
          <w:lang w:val="en-US"/>
        </w:rPr>
        <w:t xml:space="preserve">adoption of the </w:t>
      </w:r>
      <w:r w:rsidR="005E7C57">
        <w:t>n</w:t>
      </w:r>
      <w:r w:rsidR="00F1219C">
        <w:t xml:space="preserve">ational </w:t>
      </w:r>
      <w:r w:rsidR="005E7C57">
        <w:t>s</w:t>
      </w:r>
      <w:r w:rsidR="00F1219C">
        <w:t xml:space="preserve">trategy for </w:t>
      </w:r>
      <w:r w:rsidR="005E7C57">
        <w:t>m</w:t>
      </w:r>
      <w:r w:rsidR="00F1219C">
        <w:t xml:space="preserve">otherhood and </w:t>
      </w:r>
      <w:r w:rsidR="005E7C57">
        <w:t>c</w:t>
      </w:r>
      <w:r w:rsidR="00F1219C">
        <w:t xml:space="preserve">hildhood </w:t>
      </w:r>
      <w:r w:rsidR="005E7C57">
        <w:t xml:space="preserve">for the period </w:t>
      </w:r>
      <w:r w:rsidR="00F1219C">
        <w:t>2015</w:t>
      </w:r>
      <w:r w:rsidR="001F3B1E">
        <w:noBreakHyphen/>
      </w:r>
      <w:r w:rsidR="00F1219C">
        <w:t>2021;</w:t>
      </w:r>
    </w:p>
    <w:p w:rsidR="00F1219C" w:rsidRDefault="002C4D34" w:rsidP="001F3B1E">
      <w:pPr>
        <w:pStyle w:val="SingleTxtG"/>
        <w:ind w:firstLine="567"/>
        <w:rPr>
          <w:rFonts w:eastAsia="Malgun Gothic"/>
          <w:lang w:val="en-US" w:eastAsia="zh-CN"/>
        </w:rPr>
      </w:pPr>
      <w:r>
        <w:rPr>
          <w:rFonts w:eastAsia="Malgun Gothic"/>
          <w:lang w:val="en-US" w:eastAsia="zh-CN"/>
        </w:rPr>
        <w:t>(b)</w:t>
      </w:r>
      <w:r>
        <w:rPr>
          <w:rFonts w:eastAsia="Malgun Gothic"/>
          <w:lang w:val="en-US" w:eastAsia="zh-CN"/>
        </w:rPr>
        <w:tab/>
      </w:r>
      <w:r w:rsidR="00F1219C">
        <w:rPr>
          <w:lang w:val="en-US"/>
        </w:rPr>
        <w:t xml:space="preserve">The </w:t>
      </w:r>
      <w:r w:rsidR="001F3B1E">
        <w:rPr>
          <w:lang w:val="en-US"/>
        </w:rPr>
        <w:t xml:space="preserve">establishment of the </w:t>
      </w:r>
      <w:r w:rsidR="00F1219C">
        <w:rPr>
          <w:lang w:val="en-US"/>
        </w:rPr>
        <w:t>Child Protection Centre</w:t>
      </w:r>
      <w:r w:rsidR="005E7C57">
        <w:rPr>
          <w:lang w:val="en-US"/>
        </w:rPr>
        <w:t xml:space="preserve">, </w:t>
      </w:r>
      <w:r w:rsidR="00F1219C">
        <w:rPr>
          <w:lang w:val="en-US"/>
        </w:rPr>
        <w:t>by Ministerial Decision No.</w:t>
      </w:r>
      <w:r w:rsidR="001F3B1E">
        <w:rPr>
          <w:lang w:val="en-US"/>
        </w:rPr>
        <w:t> </w:t>
      </w:r>
      <w:r w:rsidR="00F1219C">
        <w:rPr>
          <w:lang w:val="en-US"/>
        </w:rPr>
        <w:t>347 of</w:t>
      </w:r>
      <w:r w:rsidR="001F3B1E">
        <w:rPr>
          <w:lang w:val="en-US"/>
        </w:rPr>
        <w:t> </w:t>
      </w:r>
      <w:r w:rsidR="00F1219C">
        <w:rPr>
          <w:lang w:val="en-US"/>
        </w:rPr>
        <w:t>2011;</w:t>
      </w:r>
    </w:p>
    <w:p w:rsidR="00F1219C" w:rsidRDefault="002C4D34" w:rsidP="001F3B1E">
      <w:pPr>
        <w:pStyle w:val="SingleTxtG"/>
        <w:ind w:firstLine="567"/>
        <w:rPr>
          <w:rFonts w:eastAsia="Malgun Gothic"/>
          <w:lang w:val="en-US" w:eastAsia="zh-CN"/>
        </w:rPr>
      </w:pPr>
      <w:r>
        <w:rPr>
          <w:rFonts w:eastAsia="Malgun Gothic"/>
          <w:lang w:val="en-US" w:eastAsia="zh-CN"/>
        </w:rPr>
        <w:t>(c)</w:t>
      </w:r>
      <w:r>
        <w:rPr>
          <w:rFonts w:eastAsia="Malgun Gothic"/>
          <w:lang w:val="en-US" w:eastAsia="zh-CN"/>
        </w:rPr>
        <w:tab/>
      </w:r>
      <w:r w:rsidR="00F1219C">
        <w:rPr>
          <w:lang w:val="en-US"/>
        </w:rPr>
        <w:t>The</w:t>
      </w:r>
      <w:r w:rsidR="001F3B1E">
        <w:rPr>
          <w:lang w:val="en-US"/>
        </w:rPr>
        <w:t xml:space="preserve"> creation of the</w:t>
      </w:r>
      <w:r w:rsidR="00F1219C">
        <w:rPr>
          <w:lang w:val="en-US"/>
        </w:rPr>
        <w:t xml:space="preserve"> High Committee for the Protection of the Child</w:t>
      </w:r>
      <w:r w:rsidR="005E7C57">
        <w:rPr>
          <w:lang w:val="en-US"/>
        </w:rPr>
        <w:t>,</w:t>
      </w:r>
      <w:r w:rsidR="00F1219C">
        <w:rPr>
          <w:lang w:val="en-US"/>
        </w:rPr>
        <w:t xml:space="preserve"> in 2010;</w:t>
      </w:r>
    </w:p>
    <w:p w:rsidR="00F1219C" w:rsidRDefault="002C4D34" w:rsidP="001F3B1E">
      <w:pPr>
        <w:pStyle w:val="SingleTxtG"/>
        <w:ind w:firstLine="567"/>
        <w:rPr>
          <w:rFonts w:eastAsia="Malgun Gothic"/>
          <w:lang w:val="en-US" w:eastAsia="zh-CN"/>
        </w:rPr>
      </w:pPr>
      <w:r>
        <w:rPr>
          <w:rFonts w:eastAsia="Malgun Gothic"/>
          <w:lang w:val="en-US" w:eastAsia="zh-CN"/>
        </w:rPr>
        <w:t>(d)</w:t>
      </w:r>
      <w:r>
        <w:rPr>
          <w:rFonts w:eastAsia="Malgun Gothic"/>
          <w:lang w:val="en-US" w:eastAsia="zh-CN"/>
        </w:rPr>
        <w:tab/>
      </w:r>
      <w:r w:rsidR="00F1219C">
        <w:rPr>
          <w:rFonts w:eastAsia="Malgun Gothic"/>
          <w:lang w:val="en-US" w:eastAsia="zh-CN"/>
        </w:rPr>
        <w:t xml:space="preserve">The </w:t>
      </w:r>
      <w:r w:rsidR="001F3B1E">
        <w:rPr>
          <w:rFonts w:eastAsia="Malgun Gothic"/>
          <w:lang w:val="en-US" w:eastAsia="zh-CN"/>
        </w:rPr>
        <w:t xml:space="preserve">launch of the </w:t>
      </w:r>
      <w:r w:rsidR="00F1219C">
        <w:rPr>
          <w:rFonts w:eastAsia="Malgun Gothic"/>
          <w:lang w:val="en-US" w:eastAsia="zh-CN"/>
        </w:rPr>
        <w:t>Supreme Council for Motherhood and Childhood</w:t>
      </w:r>
      <w:r w:rsidR="005E7C57">
        <w:rPr>
          <w:rFonts w:eastAsia="Malgun Gothic"/>
          <w:lang w:val="en-US" w:eastAsia="zh-CN"/>
        </w:rPr>
        <w:t xml:space="preserve">, </w:t>
      </w:r>
      <w:r w:rsidR="00F1219C">
        <w:rPr>
          <w:rFonts w:eastAsia="Malgun Gothic"/>
          <w:lang w:val="en-US" w:eastAsia="zh-CN"/>
        </w:rPr>
        <w:t xml:space="preserve">in 2009; </w:t>
      </w:r>
    </w:p>
    <w:p w:rsidR="00F1219C" w:rsidRDefault="002C4D34" w:rsidP="001F3B1E">
      <w:pPr>
        <w:pStyle w:val="SingleTxtG"/>
        <w:ind w:firstLine="567"/>
        <w:rPr>
          <w:rFonts w:eastAsia="Malgun Gothic"/>
          <w:lang w:val="en-US" w:eastAsia="zh-CN"/>
        </w:rPr>
      </w:pPr>
      <w:r>
        <w:rPr>
          <w:rFonts w:eastAsia="Malgun Gothic"/>
          <w:lang w:val="en-US" w:eastAsia="zh-CN"/>
        </w:rPr>
        <w:t>(e)</w:t>
      </w:r>
      <w:r>
        <w:rPr>
          <w:rFonts w:eastAsia="Malgun Gothic"/>
          <w:lang w:val="en-US" w:eastAsia="zh-CN"/>
        </w:rPr>
        <w:tab/>
      </w:r>
      <w:r w:rsidR="00F1219C">
        <w:rPr>
          <w:lang w:val="en-US"/>
        </w:rPr>
        <w:t xml:space="preserve">The </w:t>
      </w:r>
      <w:r w:rsidR="001F3B1E">
        <w:rPr>
          <w:lang w:val="en-US"/>
        </w:rPr>
        <w:t xml:space="preserve">establishment of the </w:t>
      </w:r>
      <w:r w:rsidR="00F1219C">
        <w:rPr>
          <w:lang w:val="en-US"/>
        </w:rPr>
        <w:t>National Committee to Combat Human Trafficking</w:t>
      </w:r>
      <w:r w:rsidR="005E7C57">
        <w:rPr>
          <w:lang w:val="en-US"/>
        </w:rPr>
        <w:t>,</w:t>
      </w:r>
      <w:r w:rsidR="00F1219C">
        <w:rPr>
          <w:lang w:val="en-US"/>
        </w:rPr>
        <w:t xml:space="preserve"> pursuant to Federal Act No. 51 of 2006;</w:t>
      </w:r>
    </w:p>
    <w:p w:rsidR="00F1219C" w:rsidRDefault="002C4D34" w:rsidP="001F3B1E">
      <w:pPr>
        <w:pStyle w:val="SingleTxtG"/>
        <w:ind w:firstLine="567"/>
        <w:rPr>
          <w:rFonts w:eastAsia="Malgun Gothic"/>
          <w:lang w:val="en-US" w:eastAsia="zh-CN"/>
        </w:rPr>
      </w:pPr>
      <w:r>
        <w:rPr>
          <w:rFonts w:eastAsia="Malgun Gothic"/>
          <w:lang w:val="en-US" w:eastAsia="zh-CN"/>
        </w:rPr>
        <w:t>(f)</w:t>
      </w:r>
      <w:r>
        <w:rPr>
          <w:rFonts w:eastAsia="Malgun Gothic"/>
          <w:lang w:val="en-US" w:eastAsia="zh-CN"/>
        </w:rPr>
        <w:tab/>
      </w:r>
      <w:r w:rsidR="001F3B1E">
        <w:rPr>
          <w:rFonts w:eastAsia="Malgun Gothic"/>
          <w:lang w:val="en-US" w:eastAsia="zh-CN"/>
        </w:rPr>
        <w:t>The creation of s</w:t>
      </w:r>
      <w:r w:rsidR="00F1219C">
        <w:rPr>
          <w:lang w:val="en-US"/>
        </w:rPr>
        <w:t xml:space="preserve">everal </w:t>
      </w:r>
      <w:r w:rsidR="00F1219C">
        <w:t xml:space="preserve">toll-free telephone numbers, hotlines and </w:t>
      </w:r>
      <w:r w:rsidR="00F1219C" w:rsidRPr="0012463B">
        <w:t>website</w:t>
      </w:r>
      <w:r w:rsidR="005E7C57" w:rsidRPr="0012463B">
        <w:t>s</w:t>
      </w:r>
      <w:r w:rsidR="00F1219C">
        <w:t xml:space="preserve"> to provide assistance to child victims of violence.</w:t>
      </w:r>
    </w:p>
    <w:p w:rsidR="00F1219C" w:rsidRDefault="00F1219C" w:rsidP="00F1219C">
      <w:pPr>
        <w:pStyle w:val="HChG"/>
        <w:rPr>
          <w:lang w:val="en-US" w:eastAsia="en-GB"/>
        </w:rPr>
      </w:pPr>
      <w:r>
        <w:rPr>
          <w:lang w:val="en-US" w:eastAsia="en-GB"/>
        </w:rPr>
        <w:tab/>
        <w:t>III.</w:t>
      </w:r>
      <w:r>
        <w:rPr>
          <w:lang w:val="en-US" w:eastAsia="en-GB"/>
        </w:rPr>
        <w:tab/>
        <w:t>Factors and difficulties impeding the implementation of the Convention</w:t>
      </w:r>
    </w:p>
    <w:p w:rsidR="00F1219C" w:rsidRDefault="0049226E" w:rsidP="0049226E">
      <w:pPr>
        <w:pStyle w:val="SingleTxtG"/>
        <w:rPr>
          <w:lang w:val="en-US" w:eastAsia="en-GB"/>
        </w:rPr>
      </w:pPr>
      <w:r>
        <w:rPr>
          <w:lang w:val="en-US" w:eastAsia="en-GB"/>
        </w:rPr>
        <w:t>7.</w:t>
      </w:r>
      <w:r>
        <w:rPr>
          <w:lang w:val="en-US" w:eastAsia="en-GB"/>
        </w:rPr>
        <w:tab/>
      </w:r>
      <w:r w:rsidR="00F1219C">
        <w:rPr>
          <w:lang w:val="en-US" w:eastAsia="en-GB"/>
        </w:rPr>
        <w:t>With reference to its previous concluding observations (</w:t>
      </w:r>
      <w:r w:rsidR="005E7C57">
        <w:rPr>
          <w:lang w:val="en-US" w:eastAsia="en-GB"/>
        </w:rPr>
        <w:t xml:space="preserve">see </w:t>
      </w:r>
      <w:r w:rsidR="00F1219C">
        <w:rPr>
          <w:lang w:val="en-US" w:eastAsia="en-GB"/>
        </w:rPr>
        <w:t>CRC/C/15/Add.183, para.</w:t>
      </w:r>
      <w:r w:rsidR="00F341A4">
        <w:rPr>
          <w:lang w:val="en-US" w:eastAsia="en-GB"/>
        </w:rPr>
        <w:t> </w:t>
      </w:r>
      <w:r w:rsidR="00F1219C">
        <w:rPr>
          <w:lang w:val="en-US" w:eastAsia="en-GB"/>
        </w:rPr>
        <w:t xml:space="preserve">4), the Committee </w:t>
      </w:r>
      <w:r w:rsidR="00EE1711">
        <w:rPr>
          <w:lang w:val="en-US" w:eastAsia="en-GB"/>
        </w:rPr>
        <w:t xml:space="preserve">continues to </w:t>
      </w:r>
      <w:r w:rsidR="00F1219C">
        <w:rPr>
          <w:lang w:val="en-US" w:eastAsia="en-GB"/>
        </w:rPr>
        <w:t xml:space="preserve">observe that the State party’s adoption of narrow interpretations of Islamic texts </w:t>
      </w:r>
      <w:r w:rsidR="00EE1711">
        <w:rPr>
          <w:lang w:val="en-US" w:eastAsia="en-GB"/>
        </w:rPr>
        <w:t xml:space="preserve">in some areas </w:t>
      </w:r>
      <w:r w:rsidR="00F1219C">
        <w:rPr>
          <w:lang w:val="en-US" w:eastAsia="en-GB"/>
        </w:rPr>
        <w:t>may impede the enjoyment of some rights protected under the Convention.</w:t>
      </w:r>
    </w:p>
    <w:p w:rsidR="00F1219C" w:rsidRDefault="00F1219C" w:rsidP="00F1219C">
      <w:pPr>
        <w:pStyle w:val="HChG"/>
        <w:rPr>
          <w:rFonts w:eastAsia="Malgun Gothic"/>
          <w:szCs w:val="28"/>
          <w:lang w:val="en-US" w:eastAsia="zh-CN"/>
        </w:rPr>
      </w:pPr>
      <w:r>
        <w:rPr>
          <w:rFonts w:eastAsia="Malgun Gothic"/>
          <w:szCs w:val="28"/>
          <w:lang w:val="en-US" w:eastAsia="zh-CN"/>
        </w:rPr>
        <w:tab/>
        <w:t>IV.</w:t>
      </w:r>
      <w:r>
        <w:rPr>
          <w:rFonts w:eastAsia="Malgun Gothic"/>
          <w:szCs w:val="28"/>
          <w:lang w:val="en-US" w:eastAsia="zh-CN"/>
        </w:rPr>
        <w:tab/>
        <w:t>Main areas of concern and recommendations</w:t>
      </w:r>
    </w:p>
    <w:p w:rsidR="00F1219C" w:rsidRDefault="00F1219C" w:rsidP="0004443A">
      <w:pPr>
        <w:pStyle w:val="H1G"/>
        <w:rPr>
          <w:lang w:val="en-US"/>
        </w:rPr>
      </w:pPr>
      <w:r>
        <w:rPr>
          <w:lang w:val="en-US"/>
        </w:rPr>
        <w:tab/>
        <w:t>A.</w:t>
      </w:r>
      <w:r>
        <w:rPr>
          <w:lang w:val="en-US"/>
        </w:rPr>
        <w:tab/>
        <w:t xml:space="preserve">General measures of implementation (arts. 4, 42 and 44 </w:t>
      </w:r>
      <w:r w:rsidR="001F3B1E">
        <w:rPr>
          <w:lang w:val="en-US"/>
        </w:rPr>
        <w:t>(</w:t>
      </w:r>
      <w:r>
        <w:rPr>
          <w:lang w:val="en-US"/>
        </w:rPr>
        <w:t>6</w:t>
      </w:r>
      <w:r w:rsidR="001F3B1E">
        <w:rPr>
          <w:lang w:val="en-US"/>
        </w:rPr>
        <w:t>)</w:t>
      </w:r>
      <w:r>
        <w:rPr>
          <w:lang w:val="en-US"/>
        </w:rPr>
        <w:t>)</w:t>
      </w:r>
    </w:p>
    <w:p w:rsidR="00F1219C" w:rsidRDefault="00F1219C" w:rsidP="004D0B04">
      <w:pPr>
        <w:pStyle w:val="H23G"/>
        <w:rPr>
          <w:lang w:val="en-US"/>
        </w:rPr>
      </w:pPr>
      <w:r>
        <w:rPr>
          <w:sz w:val="24"/>
          <w:szCs w:val="24"/>
          <w:lang w:val="en-US"/>
        </w:rPr>
        <w:tab/>
      </w:r>
      <w:r>
        <w:rPr>
          <w:sz w:val="24"/>
          <w:szCs w:val="24"/>
          <w:lang w:val="en-US"/>
        </w:rPr>
        <w:tab/>
      </w:r>
      <w:r>
        <w:rPr>
          <w:lang w:val="en-US"/>
        </w:rPr>
        <w:t xml:space="preserve">Committee’s previous recommendations </w:t>
      </w:r>
    </w:p>
    <w:p w:rsidR="00F1219C" w:rsidRDefault="0049226E" w:rsidP="0049226E">
      <w:pPr>
        <w:pStyle w:val="SingleTxtG"/>
        <w:rPr>
          <w:b/>
          <w:bCs/>
          <w:lang w:val="en-US"/>
        </w:rPr>
      </w:pPr>
      <w:r>
        <w:rPr>
          <w:lang w:val="en-US"/>
        </w:rPr>
        <w:t>8.</w:t>
      </w:r>
      <w:r>
        <w:rPr>
          <w:lang w:val="en-US"/>
        </w:rPr>
        <w:tab/>
      </w:r>
      <w:r w:rsidR="00F1219C">
        <w:rPr>
          <w:rFonts w:eastAsia="Malgun Gothic"/>
          <w:b/>
          <w:lang w:val="en-US" w:eastAsia="zh-CN"/>
        </w:rPr>
        <w:t xml:space="preserve">The Committee recommends that the State party take all measures </w:t>
      </w:r>
      <w:r w:rsidR="0004443A" w:rsidRPr="0004443A">
        <w:rPr>
          <w:rFonts w:eastAsia="Malgun Gothic"/>
          <w:b/>
          <w:lang w:val="en-US" w:eastAsia="zh-CN"/>
        </w:rPr>
        <w:t xml:space="preserve">necessary </w:t>
      </w:r>
      <w:r w:rsidR="00F1219C">
        <w:rPr>
          <w:rFonts w:eastAsia="Malgun Gothic"/>
          <w:b/>
          <w:lang w:val="en-US" w:eastAsia="zh-CN"/>
        </w:rPr>
        <w:t xml:space="preserve">to address its previous recommendations </w:t>
      </w:r>
      <w:r w:rsidR="00FF697D">
        <w:rPr>
          <w:rFonts w:eastAsia="Malgun Gothic"/>
          <w:b/>
          <w:lang w:val="en-US" w:eastAsia="zh-CN"/>
        </w:rPr>
        <w:t xml:space="preserve">made in </w:t>
      </w:r>
      <w:r w:rsidR="00F1219C">
        <w:rPr>
          <w:rFonts w:eastAsia="Malgun Gothic"/>
          <w:b/>
          <w:lang w:val="en-US" w:eastAsia="zh-CN"/>
        </w:rPr>
        <w:t>2002 (</w:t>
      </w:r>
      <w:r w:rsidR="00F1219C">
        <w:rPr>
          <w:b/>
          <w:lang w:val="en-US" w:eastAsia="en-GB"/>
        </w:rPr>
        <w:t>CRC/C/15/Add.183</w:t>
      </w:r>
      <w:r w:rsidR="00F1219C">
        <w:rPr>
          <w:rFonts w:eastAsia="Malgun Gothic"/>
          <w:b/>
          <w:lang w:val="en-US" w:eastAsia="zh-CN"/>
        </w:rPr>
        <w:t>) that have not been implemented or not sufficiently implemented, in particular, those related to reservations (</w:t>
      </w:r>
      <w:r w:rsidR="005E7C57">
        <w:rPr>
          <w:rFonts w:eastAsia="Malgun Gothic"/>
          <w:b/>
          <w:lang w:val="en-US" w:eastAsia="zh-CN"/>
        </w:rPr>
        <w:t xml:space="preserve">see </w:t>
      </w:r>
      <w:r w:rsidR="005E7C57">
        <w:rPr>
          <w:b/>
          <w:lang w:val="en-US" w:eastAsia="en-GB"/>
        </w:rPr>
        <w:t xml:space="preserve">CRC/C/15/Add.183, </w:t>
      </w:r>
      <w:r w:rsidR="00F1219C">
        <w:rPr>
          <w:rFonts w:eastAsia="Malgun Gothic"/>
          <w:b/>
          <w:lang w:val="en-US" w:eastAsia="zh-CN"/>
        </w:rPr>
        <w:t xml:space="preserve">para. 6), legislation (para. 8), </w:t>
      </w:r>
      <w:r w:rsidR="00F1219C">
        <w:rPr>
          <w:b/>
          <w:bCs/>
          <w:lang w:val="en-US" w:eastAsia="en-GB"/>
        </w:rPr>
        <w:t>data collection (para</w:t>
      </w:r>
      <w:r w:rsidR="00CF1D61">
        <w:rPr>
          <w:b/>
          <w:bCs/>
          <w:lang w:val="en-US" w:eastAsia="en-GB"/>
        </w:rPr>
        <w:t>.</w:t>
      </w:r>
      <w:r w:rsidR="00F1219C">
        <w:rPr>
          <w:b/>
          <w:bCs/>
          <w:lang w:val="en-US" w:eastAsia="en-GB"/>
        </w:rPr>
        <w:t xml:space="preserve"> 12), </w:t>
      </w:r>
      <w:r w:rsidR="00F1219C">
        <w:rPr>
          <w:rFonts w:eastAsia="Malgun Gothic"/>
          <w:b/>
          <w:lang w:val="en-US" w:eastAsia="zh-CN"/>
        </w:rPr>
        <w:t xml:space="preserve">independent monitoring (para. 14), </w:t>
      </w:r>
      <w:r w:rsidR="00F1219C">
        <w:rPr>
          <w:b/>
          <w:bCs/>
          <w:lang w:val="en-US" w:eastAsia="en-GB"/>
        </w:rPr>
        <w:t>training</w:t>
      </w:r>
      <w:r w:rsidR="00FF697D">
        <w:rPr>
          <w:b/>
          <w:bCs/>
          <w:lang w:val="en-US" w:eastAsia="en-GB"/>
        </w:rPr>
        <w:t xml:space="preserve"> on</w:t>
      </w:r>
      <w:r w:rsidR="00DE4AC6">
        <w:rPr>
          <w:b/>
          <w:bCs/>
          <w:lang w:val="en-US" w:eastAsia="en-GB"/>
        </w:rPr>
        <w:t xml:space="preserve"> and </w:t>
      </w:r>
      <w:r w:rsidR="00F1219C">
        <w:rPr>
          <w:b/>
          <w:bCs/>
          <w:lang w:val="en-US" w:eastAsia="en-GB"/>
        </w:rPr>
        <w:t>dissemination of the Convention (para</w:t>
      </w:r>
      <w:r w:rsidR="007C5B4C">
        <w:rPr>
          <w:b/>
          <w:bCs/>
          <w:lang w:val="en-US" w:eastAsia="en-GB"/>
        </w:rPr>
        <w:t>.</w:t>
      </w:r>
      <w:r w:rsidR="00F1219C">
        <w:rPr>
          <w:b/>
          <w:bCs/>
          <w:lang w:val="en-US" w:eastAsia="en-GB"/>
        </w:rPr>
        <w:t xml:space="preserve"> 20), non-discrimination (para.</w:t>
      </w:r>
      <w:r w:rsidR="00CF1D61">
        <w:rPr>
          <w:b/>
          <w:bCs/>
          <w:lang w:val="en-US" w:eastAsia="en-GB"/>
        </w:rPr>
        <w:t xml:space="preserve"> </w:t>
      </w:r>
      <w:r w:rsidR="00F1219C">
        <w:rPr>
          <w:b/>
          <w:bCs/>
          <w:lang w:val="en-US" w:eastAsia="en-GB"/>
        </w:rPr>
        <w:t>22)</w:t>
      </w:r>
      <w:r w:rsidR="00DE4AC6">
        <w:rPr>
          <w:b/>
          <w:bCs/>
          <w:lang w:val="en-US" w:eastAsia="en-GB"/>
        </w:rPr>
        <w:t>,</w:t>
      </w:r>
      <w:r w:rsidR="00F1219C">
        <w:rPr>
          <w:b/>
          <w:bCs/>
          <w:lang w:val="en-US" w:eastAsia="en-GB"/>
        </w:rPr>
        <w:t xml:space="preserve"> best interests of the child (para.</w:t>
      </w:r>
      <w:r w:rsidR="005E7C57">
        <w:rPr>
          <w:b/>
          <w:bCs/>
          <w:lang w:val="en-US" w:eastAsia="en-GB"/>
        </w:rPr>
        <w:t> </w:t>
      </w:r>
      <w:r w:rsidR="00F1219C">
        <w:rPr>
          <w:b/>
          <w:bCs/>
          <w:lang w:val="en-US" w:eastAsia="en-GB"/>
        </w:rPr>
        <w:t>27) and violence (para.</w:t>
      </w:r>
      <w:r w:rsidR="00CF1D61">
        <w:rPr>
          <w:b/>
          <w:bCs/>
          <w:lang w:val="en-US" w:eastAsia="en-GB"/>
        </w:rPr>
        <w:t xml:space="preserve"> </w:t>
      </w:r>
      <w:r w:rsidR="00F1219C">
        <w:rPr>
          <w:b/>
          <w:bCs/>
          <w:lang w:val="en-US" w:eastAsia="en-GB"/>
        </w:rPr>
        <w:t>35).</w:t>
      </w:r>
    </w:p>
    <w:p w:rsidR="00F1219C" w:rsidRDefault="00F1219C" w:rsidP="00F1219C">
      <w:pPr>
        <w:pStyle w:val="H23G"/>
        <w:rPr>
          <w:lang w:val="en-US"/>
        </w:rPr>
      </w:pPr>
      <w:r>
        <w:rPr>
          <w:lang w:val="en-US"/>
        </w:rPr>
        <w:tab/>
      </w:r>
      <w:r>
        <w:rPr>
          <w:lang w:val="en-US"/>
        </w:rPr>
        <w:tab/>
        <w:t>Reservations</w:t>
      </w:r>
    </w:p>
    <w:p w:rsidR="00F1219C" w:rsidRDefault="0049226E" w:rsidP="0049226E">
      <w:pPr>
        <w:pStyle w:val="SingleTxtG"/>
        <w:rPr>
          <w:b/>
          <w:lang w:val="en-US" w:eastAsia="en-GB"/>
        </w:rPr>
      </w:pPr>
      <w:r>
        <w:rPr>
          <w:lang w:val="en-US" w:eastAsia="en-GB"/>
        </w:rPr>
        <w:t>9.</w:t>
      </w:r>
      <w:r>
        <w:rPr>
          <w:lang w:val="en-US" w:eastAsia="en-GB"/>
        </w:rPr>
        <w:tab/>
      </w:r>
      <w:r w:rsidR="00F1219C">
        <w:rPr>
          <w:b/>
          <w:bCs/>
          <w:lang w:val="en-US"/>
        </w:rPr>
        <w:t>With reference to its previous recommendations (</w:t>
      </w:r>
      <w:r w:rsidR="005E7C57">
        <w:rPr>
          <w:b/>
          <w:bCs/>
          <w:lang w:val="en-US"/>
        </w:rPr>
        <w:t>see</w:t>
      </w:r>
      <w:r w:rsidR="00EC5A17">
        <w:rPr>
          <w:b/>
          <w:bCs/>
          <w:lang w:val="en-US"/>
        </w:rPr>
        <w:t> </w:t>
      </w:r>
      <w:r w:rsidR="00F1219C">
        <w:rPr>
          <w:b/>
          <w:bCs/>
          <w:lang w:val="en-US"/>
        </w:rPr>
        <w:t>CRC/C/15</w:t>
      </w:r>
      <w:r w:rsidR="005E7C57">
        <w:rPr>
          <w:b/>
          <w:bCs/>
          <w:lang w:val="en-US"/>
        </w:rPr>
        <w:t>/</w:t>
      </w:r>
      <w:r w:rsidR="00F1219C">
        <w:rPr>
          <w:b/>
          <w:bCs/>
          <w:lang w:val="en-US"/>
        </w:rPr>
        <w:t>Add.183</w:t>
      </w:r>
      <w:r w:rsidR="003F3E5C">
        <w:rPr>
          <w:b/>
          <w:bCs/>
          <w:lang w:val="en-US"/>
        </w:rPr>
        <w:t>,</w:t>
      </w:r>
      <w:r w:rsidR="00F1219C">
        <w:rPr>
          <w:b/>
          <w:bCs/>
          <w:lang w:val="en-US"/>
        </w:rPr>
        <w:t xml:space="preserve"> para.</w:t>
      </w:r>
      <w:r w:rsidR="005E7C57">
        <w:rPr>
          <w:b/>
          <w:bCs/>
          <w:lang w:val="en-US"/>
        </w:rPr>
        <w:t> </w:t>
      </w:r>
      <w:r w:rsidR="00F1219C">
        <w:rPr>
          <w:b/>
          <w:bCs/>
          <w:lang w:val="en-US"/>
        </w:rPr>
        <w:t xml:space="preserve"> 6), the Committee </w:t>
      </w:r>
      <w:r w:rsidR="00F1219C">
        <w:rPr>
          <w:b/>
          <w:lang w:val="en-US" w:eastAsia="en-GB"/>
        </w:rPr>
        <w:t xml:space="preserve">recommends that the State party </w:t>
      </w:r>
      <w:r w:rsidR="00F1219C">
        <w:rPr>
          <w:b/>
          <w:bCs/>
          <w:lang w:val="en-US"/>
        </w:rPr>
        <w:t xml:space="preserve">consider </w:t>
      </w:r>
      <w:r w:rsidR="00F1219C">
        <w:rPr>
          <w:b/>
          <w:bCs/>
          <w:lang w:val="en-US" w:eastAsia="en-GB"/>
        </w:rPr>
        <w:t>withdrawing its reservations to articles 7, 14, 17 and 21 of the Convention.</w:t>
      </w:r>
    </w:p>
    <w:p w:rsidR="00F1219C" w:rsidRDefault="00F1219C" w:rsidP="00F1219C">
      <w:pPr>
        <w:pStyle w:val="H23G"/>
        <w:rPr>
          <w:rFonts w:eastAsia="Malgun Gothic"/>
          <w:lang w:val="en-US" w:eastAsia="zh-CN"/>
        </w:rPr>
      </w:pPr>
      <w:r>
        <w:rPr>
          <w:rFonts w:eastAsia="Malgun Gothic"/>
          <w:sz w:val="24"/>
          <w:szCs w:val="24"/>
          <w:lang w:val="en-US" w:eastAsia="zh-CN"/>
        </w:rPr>
        <w:lastRenderedPageBreak/>
        <w:tab/>
      </w:r>
      <w:r>
        <w:rPr>
          <w:rFonts w:eastAsia="Malgun Gothic"/>
          <w:lang w:val="en-US" w:eastAsia="zh-CN"/>
        </w:rPr>
        <w:tab/>
        <w:t>Legislation</w:t>
      </w:r>
    </w:p>
    <w:p w:rsidR="00F1219C" w:rsidRPr="00FF697D" w:rsidRDefault="0049226E" w:rsidP="0049226E">
      <w:pPr>
        <w:pStyle w:val="SingleTxtG"/>
        <w:rPr>
          <w:lang w:val="en-US"/>
        </w:rPr>
      </w:pPr>
      <w:r w:rsidRPr="00FF697D">
        <w:rPr>
          <w:lang w:val="en-US"/>
        </w:rPr>
        <w:t>10.</w:t>
      </w:r>
      <w:r w:rsidRPr="00FF697D">
        <w:rPr>
          <w:lang w:val="en-US"/>
        </w:rPr>
        <w:tab/>
      </w:r>
      <w:r w:rsidR="00F1219C" w:rsidRPr="00FF697D">
        <w:rPr>
          <w:lang w:val="en-US"/>
        </w:rPr>
        <w:t>The Committee, while noting the progress made towards the adoption of the Children’s Rights Bill, is concerned about the slow and lengthy</w:t>
      </w:r>
      <w:r w:rsidR="00DE4AC6">
        <w:rPr>
          <w:lang w:val="en-US"/>
        </w:rPr>
        <w:t xml:space="preserve"> nature of the</w:t>
      </w:r>
      <w:r w:rsidR="00F1219C" w:rsidRPr="00FF697D">
        <w:rPr>
          <w:lang w:val="en-US"/>
        </w:rPr>
        <w:t xml:space="preserve"> process.</w:t>
      </w:r>
    </w:p>
    <w:p w:rsidR="00F1219C" w:rsidRDefault="0049226E" w:rsidP="0049226E">
      <w:pPr>
        <w:pStyle w:val="SingleTxtG"/>
        <w:rPr>
          <w:b/>
          <w:lang w:val="en-US"/>
        </w:rPr>
      </w:pPr>
      <w:r>
        <w:rPr>
          <w:lang w:val="en-US"/>
        </w:rPr>
        <w:t>11.</w:t>
      </w:r>
      <w:r>
        <w:rPr>
          <w:lang w:val="en-US"/>
        </w:rPr>
        <w:tab/>
      </w:r>
      <w:r w:rsidR="00F1219C">
        <w:rPr>
          <w:b/>
          <w:lang w:val="en-US"/>
        </w:rPr>
        <w:t>The Committee recommends that the State party proceed to a swift adoption of the Children’s Rights Bill and ensure that it complies with all provisions of the Convention and covers all rights under the Convention.</w:t>
      </w:r>
    </w:p>
    <w:p w:rsidR="00F1219C" w:rsidRDefault="00F1219C" w:rsidP="00F1219C">
      <w:pPr>
        <w:pStyle w:val="H23G"/>
        <w:ind w:left="0" w:firstLine="0"/>
        <w:rPr>
          <w:rFonts w:eastAsia="Malgun Gothic"/>
          <w:lang w:val="en-US" w:eastAsia="en-GB"/>
        </w:rPr>
      </w:pPr>
      <w:r>
        <w:rPr>
          <w:bCs/>
          <w:sz w:val="24"/>
          <w:szCs w:val="24"/>
          <w:lang w:val="en-US"/>
        </w:rPr>
        <w:tab/>
      </w:r>
      <w:r>
        <w:rPr>
          <w:bCs/>
          <w:sz w:val="24"/>
          <w:szCs w:val="24"/>
          <w:lang w:val="en-US"/>
        </w:rPr>
        <w:tab/>
      </w:r>
      <w:r>
        <w:rPr>
          <w:rFonts w:eastAsia="Malgun Gothic"/>
          <w:lang w:val="en-US" w:eastAsia="en-GB"/>
        </w:rPr>
        <w:t>Coordination</w:t>
      </w:r>
    </w:p>
    <w:p w:rsidR="00F1219C" w:rsidRDefault="0049226E" w:rsidP="0049226E">
      <w:pPr>
        <w:pStyle w:val="SingleTxtG"/>
        <w:rPr>
          <w:rFonts w:eastAsia="Malgun Gothic"/>
          <w:lang w:val="en-US" w:eastAsia="zh-CN"/>
        </w:rPr>
      </w:pPr>
      <w:r>
        <w:rPr>
          <w:rFonts w:eastAsia="Malgun Gothic"/>
          <w:lang w:val="en-US" w:eastAsia="zh-CN"/>
        </w:rPr>
        <w:t>12.</w:t>
      </w:r>
      <w:r>
        <w:rPr>
          <w:rFonts w:eastAsia="Malgun Gothic"/>
          <w:lang w:val="en-US" w:eastAsia="zh-CN"/>
        </w:rPr>
        <w:tab/>
      </w:r>
      <w:r w:rsidR="00F1219C">
        <w:rPr>
          <w:rFonts w:eastAsia="Malgun Gothic"/>
          <w:lang w:val="en-US" w:eastAsia="zh-CN"/>
        </w:rPr>
        <w:t xml:space="preserve">The Committee welcomes the creation in 2009 of the </w:t>
      </w:r>
      <w:r w:rsidR="00F1219C">
        <w:rPr>
          <w:lang w:val="en-US"/>
        </w:rPr>
        <w:t>Supreme Council for Motherhood and Childhood. It is concerned</w:t>
      </w:r>
      <w:r w:rsidR="00D73933">
        <w:rPr>
          <w:lang w:val="en-US"/>
        </w:rPr>
        <w:t>, however,</w:t>
      </w:r>
      <w:r w:rsidR="00F1219C">
        <w:rPr>
          <w:lang w:val="en-US"/>
        </w:rPr>
        <w:t xml:space="preserve"> that the way </w:t>
      </w:r>
      <w:r w:rsidR="00DE4AC6">
        <w:rPr>
          <w:lang w:val="en-US"/>
        </w:rPr>
        <w:t xml:space="preserve">in which </w:t>
      </w:r>
      <w:r w:rsidR="00F1219C">
        <w:rPr>
          <w:lang w:val="en-US"/>
        </w:rPr>
        <w:t>this Council coordinates all activities for the implementation of all rights under the Convention remains unclear</w:t>
      </w:r>
      <w:r w:rsidR="00D73933">
        <w:rPr>
          <w:lang w:val="en-US"/>
        </w:rPr>
        <w:t>,</w:t>
      </w:r>
      <w:r w:rsidR="00F1219C">
        <w:rPr>
          <w:lang w:val="en-US"/>
        </w:rPr>
        <w:t xml:space="preserve"> as does its relations with the multiple other child-related bodies created in the State party.</w:t>
      </w:r>
      <w:r w:rsidR="00F1219C">
        <w:rPr>
          <w:rFonts w:eastAsia="Malgun Gothic"/>
          <w:lang w:val="en-US" w:eastAsia="zh-CN"/>
        </w:rPr>
        <w:t xml:space="preserve"> </w:t>
      </w:r>
    </w:p>
    <w:p w:rsidR="00F1219C" w:rsidRPr="00711A82" w:rsidRDefault="0049226E" w:rsidP="0049226E">
      <w:pPr>
        <w:pStyle w:val="SingleTxtG"/>
        <w:rPr>
          <w:rFonts w:eastAsia="Malgun Gothic"/>
          <w:b/>
          <w:lang w:val="en-US" w:eastAsia="zh-CN"/>
        </w:rPr>
      </w:pPr>
      <w:r w:rsidRPr="00711A82">
        <w:rPr>
          <w:rFonts w:eastAsia="Malgun Gothic"/>
          <w:lang w:val="en-US" w:eastAsia="zh-CN"/>
        </w:rPr>
        <w:t>13.</w:t>
      </w:r>
      <w:r w:rsidRPr="00711A82">
        <w:rPr>
          <w:rFonts w:eastAsia="Malgun Gothic"/>
          <w:lang w:val="en-US" w:eastAsia="zh-CN"/>
        </w:rPr>
        <w:tab/>
      </w:r>
      <w:r w:rsidR="00F1219C" w:rsidRPr="00711A82">
        <w:rPr>
          <w:rFonts w:eastAsia="Malgun Gothic"/>
          <w:b/>
          <w:lang w:val="en-US" w:eastAsia="zh-CN"/>
        </w:rPr>
        <w:t xml:space="preserve">The Committee recommends that the </w:t>
      </w:r>
      <w:r w:rsidR="00F1219C" w:rsidRPr="00711A82">
        <w:rPr>
          <w:b/>
          <w:lang w:val="en-US"/>
        </w:rPr>
        <w:t>Supreme Council for Motherhood and Childhood</w:t>
      </w:r>
      <w:r w:rsidR="00F1219C" w:rsidRPr="00711A82">
        <w:rPr>
          <w:b/>
          <w:bCs/>
          <w:lang w:val="en-US" w:eastAsia="fr-FR"/>
        </w:rPr>
        <w:t xml:space="preserve"> be provided with a clear mandate and the human, financial and technical resources </w:t>
      </w:r>
      <w:r w:rsidR="00F00B37" w:rsidRPr="00711A82">
        <w:rPr>
          <w:b/>
          <w:bCs/>
          <w:lang w:val="en-US" w:eastAsia="fr-FR"/>
        </w:rPr>
        <w:t xml:space="preserve">necessary </w:t>
      </w:r>
      <w:r w:rsidR="00F1219C" w:rsidRPr="00711A82">
        <w:rPr>
          <w:b/>
          <w:bCs/>
          <w:lang w:val="en-US" w:eastAsia="fr-FR"/>
        </w:rPr>
        <w:t xml:space="preserve">to ensure effective intersectoral coordination and cooperation at and between </w:t>
      </w:r>
      <w:r w:rsidR="00711A82" w:rsidRPr="00711A82">
        <w:rPr>
          <w:b/>
          <w:bCs/>
          <w:lang w:val="en-US" w:eastAsia="fr-FR"/>
        </w:rPr>
        <w:t xml:space="preserve">the </w:t>
      </w:r>
      <w:r w:rsidR="00F1219C" w:rsidRPr="00711A82">
        <w:rPr>
          <w:b/>
          <w:bCs/>
          <w:lang w:val="en-US" w:eastAsia="fr-FR"/>
        </w:rPr>
        <w:t xml:space="preserve">federal and </w:t>
      </w:r>
      <w:r w:rsidR="00711A82" w:rsidRPr="0049226E">
        <w:rPr>
          <w:b/>
          <w:bCs/>
          <w:lang w:val="en-US" w:eastAsia="fr-FR"/>
        </w:rPr>
        <w:t>e</w:t>
      </w:r>
      <w:r w:rsidR="00F1219C" w:rsidRPr="00711A82">
        <w:rPr>
          <w:b/>
          <w:bCs/>
          <w:lang w:val="en-US" w:eastAsia="fr-FR"/>
        </w:rPr>
        <w:t xml:space="preserve">mirate levels of government and </w:t>
      </w:r>
      <w:r w:rsidR="00EA2AC9">
        <w:rPr>
          <w:b/>
          <w:bCs/>
          <w:lang w:val="en-US" w:eastAsia="fr-FR"/>
        </w:rPr>
        <w:t xml:space="preserve">to ensure </w:t>
      </w:r>
      <w:r w:rsidR="00F1219C" w:rsidRPr="00711A82">
        <w:rPr>
          <w:b/>
          <w:bCs/>
          <w:lang w:val="en-US" w:eastAsia="fr-FR"/>
        </w:rPr>
        <w:t>effective implementation of the Convention.</w:t>
      </w:r>
    </w:p>
    <w:p w:rsidR="00F1219C" w:rsidRDefault="00F1219C" w:rsidP="00F1219C">
      <w:pPr>
        <w:pStyle w:val="H23G"/>
        <w:ind w:left="0" w:firstLine="0"/>
        <w:rPr>
          <w:rFonts w:eastAsia="Malgun Gothic"/>
          <w:color w:val="000000"/>
          <w:lang w:val="en-US" w:eastAsia="en-GB"/>
        </w:rPr>
      </w:pPr>
      <w:r>
        <w:rPr>
          <w:rFonts w:eastAsia="Malgun Gothic"/>
          <w:sz w:val="24"/>
          <w:szCs w:val="24"/>
          <w:lang w:val="en-US" w:eastAsia="zh-CN"/>
        </w:rPr>
        <w:tab/>
      </w:r>
      <w:r>
        <w:rPr>
          <w:rFonts w:eastAsia="Malgun Gothic"/>
          <w:sz w:val="24"/>
          <w:szCs w:val="24"/>
          <w:lang w:val="en-US" w:eastAsia="zh-CN"/>
        </w:rPr>
        <w:tab/>
      </w:r>
      <w:r>
        <w:rPr>
          <w:rFonts w:eastAsia="Malgun Gothic"/>
          <w:lang w:val="en-US" w:eastAsia="zh-CN"/>
        </w:rPr>
        <w:t>Allocation of resources</w:t>
      </w:r>
    </w:p>
    <w:p w:rsidR="00F1219C" w:rsidRDefault="0049226E" w:rsidP="0049226E">
      <w:pPr>
        <w:pStyle w:val="SingleTxtG"/>
        <w:rPr>
          <w:rFonts w:eastAsia="Malgun Gothic"/>
          <w:lang w:val="en-US" w:eastAsia="zh-CN"/>
        </w:rPr>
      </w:pPr>
      <w:r>
        <w:rPr>
          <w:rFonts w:eastAsia="Malgun Gothic"/>
          <w:lang w:val="en-US" w:eastAsia="zh-CN"/>
        </w:rPr>
        <w:t>14.</w:t>
      </w:r>
      <w:r>
        <w:rPr>
          <w:rFonts w:eastAsia="Malgun Gothic"/>
          <w:lang w:val="en-US" w:eastAsia="zh-CN"/>
        </w:rPr>
        <w:tab/>
      </w:r>
      <w:r w:rsidR="00F1219C">
        <w:rPr>
          <w:lang w:val="en-US"/>
        </w:rPr>
        <w:t xml:space="preserve">While welcoming the increasing spending on education and in </w:t>
      </w:r>
      <w:r w:rsidR="00D73933">
        <w:rPr>
          <w:lang w:val="en-US"/>
        </w:rPr>
        <w:t xml:space="preserve">the </w:t>
      </w:r>
      <w:r w:rsidR="00F1219C">
        <w:rPr>
          <w:lang w:val="en-US"/>
        </w:rPr>
        <w:t xml:space="preserve">light of the high economic growth in the State party, the Committee is concerned about the lack of information on the allocation of resources for the implementation of all rights under the Convention, </w:t>
      </w:r>
      <w:r w:rsidR="00F1219C">
        <w:rPr>
          <w:bCs/>
          <w:lang w:val="en-US"/>
        </w:rPr>
        <w:t>the measures taken to establish a tracking system for budgetary allocation</w:t>
      </w:r>
      <w:r w:rsidR="00EA2AC9">
        <w:rPr>
          <w:bCs/>
          <w:lang w:val="en-US"/>
        </w:rPr>
        <w:t>,</w:t>
      </w:r>
      <w:r w:rsidR="00F1219C">
        <w:rPr>
          <w:bCs/>
          <w:lang w:val="en-US"/>
        </w:rPr>
        <w:t xml:space="preserve"> the use of resources for children throughout the budget and the level of </w:t>
      </w:r>
      <w:r w:rsidR="00F1219C">
        <w:rPr>
          <w:lang w:val="en-US"/>
        </w:rPr>
        <w:t>resources allocated to children in the most disadvantaged situations.</w:t>
      </w:r>
    </w:p>
    <w:p w:rsidR="00F1219C" w:rsidRDefault="0049226E" w:rsidP="0049226E">
      <w:pPr>
        <w:pStyle w:val="SingleTxtG"/>
        <w:rPr>
          <w:rFonts w:eastAsia="Malgun Gothic"/>
          <w:lang w:val="en-US" w:eastAsia="zh-CN"/>
        </w:rPr>
      </w:pPr>
      <w:r>
        <w:rPr>
          <w:rFonts w:eastAsia="Malgun Gothic"/>
          <w:lang w:val="en-US" w:eastAsia="zh-CN"/>
        </w:rPr>
        <w:t>15.</w:t>
      </w:r>
      <w:r>
        <w:rPr>
          <w:rFonts w:eastAsia="Malgun Gothic"/>
          <w:lang w:val="en-US" w:eastAsia="zh-CN"/>
        </w:rPr>
        <w:tab/>
      </w:r>
      <w:r w:rsidR="00F1219C">
        <w:rPr>
          <w:b/>
          <w:lang w:val="en-US"/>
        </w:rPr>
        <w:t xml:space="preserve">In the light of its day of general discussion in 2007 on </w:t>
      </w:r>
      <w:r w:rsidR="00D73933">
        <w:rPr>
          <w:b/>
          <w:lang w:val="en-US"/>
        </w:rPr>
        <w:t>r</w:t>
      </w:r>
      <w:r w:rsidR="00F1219C">
        <w:rPr>
          <w:b/>
          <w:lang w:val="en-US"/>
        </w:rPr>
        <w:t xml:space="preserve">esources for </w:t>
      </w:r>
      <w:r w:rsidR="008C3E9C">
        <w:rPr>
          <w:b/>
          <w:lang w:val="en-US"/>
        </w:rPr>
        <w:t xml:space="preserve">ensuring </w:t>
      </w:r>
      <w:r w:rsidR="00F1219C">
        <w:rPr>
          <w:b/>
          <w:lang w:val="en-US"/>
        </w:rPr>
        <w:t xml:space="preserve">the rights of the child </w:t>
      </w:r>
      <w:r w:rsidR="00D73933">
        <w:rPr>
          <w:b/>
          <w:lang w:val="en-US"/>
        </w:rPr>
        <w:t xml:space="preserve">and the </w:t>
      </w:r>
      <w:r w:rsidR="00F1219C">
        <w:rPr>
          <w:b/>
          <w:lang w:val="en-US"/>
        </w:rPr>
        <w:t>responsibility of States, the Committee recommends that the State party continue giving priority to children’s rights in the allocation of resources, and in particular to:</w:t>
      </w:r>
    </w:p>
    <w:p w:rsidR="00F1219C" w:rsidRPr="00F1219C" w:rsidRDefault="002C4D34">
      <w:pPr>
        <w:pStyle w:val="SingleTxtG"/>
        <w:ind w:firstLine="567"/>
        <w:rPr>
          <w:rFonts w:eastAsia="Malgun Gothic"/>
          <w:b/>
          <w:lang w:val="en-US" w:eastAsia="zh-CN"/>
        </w:rPr>
      </w:pPr>
      <w:r w:rsidRPr="0049226E">
        <w:rPr>
          <w:rFonts w:eastAsia="Malgun Gothic"/>
          <w:bCs/>
          <w:lang w:val="en-US" w:eastAsia="zh-CN"/>
        </w:rPr>
        <w:t>(a)</w:t>
      </w:r>
      <w:r w:rsidRPr="00745D8C">
        <w:rPr>
          <w:rFonts w:eastAsia="Malgun Gothic"/>
          <w:b/>
          <w:lang w:val="en-US" w:eastAsia="zh-CN"/>
        </w:rPr>
        <w:tab/>
      </w:r>
      <w:r w:rsidR="00F1219C" w:rsidRPr="00745D8C">
        <w:rPr>
          <w:b/>
          <w:bCs/>
          <w:lang w:val="en-US"/>
        </w:rPr>
        <w:t xml:space="preserve">Utilize a child-rights approach in </w:t>
      </w:r>
      <w:r w:rsidR="00745D8C" w:rsidRPr="00745D8C">
        <w:rPr>
          <w:b/>
          <w:bCs/>
          <w:lang w:val="en-US"/>
        </w:rPr>
        <w:t>formulating</w:t>
      </w:r>
      <w:r w:rsidR="008C3E9C" w:rsidRPr="00745D8C">
        <w:rPr>
          <w:b/>
          <w:bCs/>
          <w:lang w:val="en-US"/>
        </w:rPr>
        <w:t xml:space="preserve"> </w:t>
      </w:r>
      <w:r w:rsidR="00F1219C" w:rsidRPr="00745D8C">
        <w:rPr>
          <w:b/>
          <w:bCs/>
          <w:lang w:val="en-US"/>
        </w:rPr>
        <w:t xml:space="preserve">the national budget, by implementing a tracking system for the allocation and use of resources for children throughout the budget. The State party should also use this tracking system for impact assessments </w:t>
      </w:r>
      <w:r w:rsidR="008C3E9C" w:rsidRPr="00745D8C">
        <w:rPr>
          <w:b/>
          <w:bCs/>
          <w:lang w:val="en-US"/>
        </w:rPr>
        <w:t>regarding</w:t>
      </w:r>
      <w:r w:rsidR="00F1219C" w:rsidRPr="00745D8C">
        <w:rPr>
          <w:b/>
          <w:bCs/>
          <w:lang w:val="en-US"/>
        </w:rPr>
        <w:t xml:space="preserve"> how investments in any sector may serve “the best interests of the child”, ensuring that the different impact</w:t>
      </w:r>
      <w:r w:rsidR="00D73933" w:rsidRPr="00745D8C">
        <w:rPr>
          <w:b/>
          <w:bCs/>
          <w:lang w:val="en-US"/>
        </w:rPr>
        <w:t>s</w:t>
      </w:r>
      <w:r w:rsidR="00F1219C" w:rsidRPr="00745D8C">
        <w:rPr>
          <w:b/>
          <w:bCs/>
          <w:lang w:val="en-US"/>
        </w:rPr>
        <w:t xml:space="preserve"> of such investment</w:t>
      </w:r>
      <w:r w:rsidR="00D73933" w:rsidRPr="00745D8C">
        <w:rPr>
          <w:b/>
          <w:bCs/>
          <w:lang w:val="en-US"/>
        </w:rPr>
        <w:t>s</w:t>
      </w:r>
      <w:r w:rsidR="00F1219C" w:rsidRPr="00745D8C">
        <w:rPr>
          <w:b/>
          <w:bCs/>
          <w:lang w:val="en-US"/>
        </w:rPr>
        <w:t xml:space="preserve"> on girls and boys </w:t>
      </w:r>
      <w:r w:rsidR="003C04E6">
        <w:rPr>
          <w:b/>
          <w:bCs/>
          <w:lang w:val="en-US"/>
        </w:rPr>
        <w:t>are</w:t>
      </w:r>
      <w:r w:rsidR="003C04E6" w:rsidRPr="00745D8C">
        <w:rPr>
          <w:b/>
          <w:bCs/>
          <w:lang w:val="en-US"/>
        </w:rPr>
        <w:t xml:space="preserve"> </w:t>
      </w:r>
      <w:r w:rsidR="00F1219C" w:rsidRPr="00745D8C">
        <w:rPr>
          <w:b/>
          <w:bCs/>
          <w:lang w:val="en-US"/>
        </w:rPr>
        <w:t>measured;</w:t>
      </w:r>
    </w:p>
    <w:p w:rsidR="00F1219C" w:rsidRPr="00F1219C" w:rsidRDefault="002C4D34" w:rsidP="00EE1711">
      <w:pPr>
        <w:pStyle w:val="SingleTxtG"/>
        <w:ind w:firstLine="567"/>
        <w:rPr>
          <w:rFonts w:eastAsia="Malgun Gothic"/>
          <w:b/>
          <w:lang w:val="en-US" w:eastAsia="zh-CN"/>
        </w:rPr>
      </w:pPr>
      <w:r w:rsidRPr="0049226E">
        <w:rPr>
          <w:rFonts w:eastAsia="Malgun Gothic"/>
          <w:bCs/>
          <w:lang w:val="en-US" w:eastAsia="zh-CN"/>
        </w:rPr>
        <w:t>(b)</w:t>
      </w:r>
      <w:r w:rsidRPr="00745229">
        <w:rPr>
          <w:rFonts w:eastAsia="Malgun Gothic"/>
          <w:b/>
          <w:lang w:val="en-US" w:eastAsia="zh-CN"/>
        </w:rPr>
        <w:tab/>
      </w:r>
      <w:r w:rsidR="00F1219C" w:rsidRPr="00745229">
        <w:rPr>
          <w:b/>
          <w:bCs/>
          <w:lang w:val="en-US"/>
        </w:rPr>
        <w:t xml:space="preserve">Conduct a comprehensive assessment of budget needs and establish </w:t>
      </w:r>
      <w:r w:rsidR="00EE1711">
        <w:rPr>
          <w:b/>
          <w:bCs/>
          <w:lang w:val="en-US"/>
        </w:rPr>
        <w:t xml:space="preserve">a </w:t>
      </w:r>
      <w:r w:rsidR="00F1219C" w:rsidRPr="00745D8C">
        <w:rPr>
          <w:b/>
          <w:bCs/>
          <w:lang w:val="en-US"/>
        </w:rPr>
        <w:t xml:space="preserve">transparent </w:t>
      </w:r>
      <w:r w:rsidR="00EE1711">
        <w:rPr>
          <w:b/>
          <w:bCs/>
          <w:lang w:val="en-US"/>
        </w:rPr>
        <w:t xml:space="preserve">way of allocating funds </w:t>
      </w:r>
      <w:r w:rsidR="00F1219C" w:rsidRPr="00745229">
        <w:rPr>
          <w:b/>
          <w:bCs/>
          <w:lang w:val="en-US"/>
        </w:rPr>
        <w:t>to progressively address the disparities in indicators related to children’s rights;</w:t>
      </w:r>
    </w:p>
    <w:p w:rsidR="00F1219C" w:rsidRPr="00F1219C" w:rsidRDefault="002C4D34">
      <w:pPr>
        <w:pStyle w:val="SingleTxtG"/>
        <w:ind w:firstLine="567"/>
        <w:rPr>
          <w:rFonts w:eastAsia="Malgun Gothic"/>
          <w:b/>
          <w:lang w:val="en-US" w:eastAsia="zh-CN"/>
        </w:rPr>
      </w:pPr>
      <w:r w:rsidRPr="0049226E">
        <w:rPr>
          <w:rFonts w:eastAsia="Malgun Gothic"/>
          <w:bCs/>
          <w:lang w:val="en-US" w:eastAsia="zh-CN"/>
        </w:rPr>
        <w:t>(c)</w:t>
      </w:r>
      <w:r w:rsidRPr="0049226E">
        <w:rPr>
          <w:rFonts w:eastAsia="Malgun Gothic"/>
          <w:bCs/>
          <w:lang w:val="en-US" w:eastAsia="zh-CN"/>
        </w:rPr>
        <w:tab/>
      </w:r>
      <w:r w:rsidR="00F1219C" w:rsidRPr="00EE1711">
        <w:rPr>
          <w:b/>
          <w:bCs/>
          <w:lang w:val="en-US"/>
        </w:rPr>
        <w:t xml:space="preserve">Ensure transparent and participatory budgeting through public dialogue, especially with children and for </w:t>
      </w:r>
      <w:r w:rsidR="00D73933" w:rsidRPr="00EE1711">
        <w:rPr>
          <w:b/>
          <w:bCs/>
          <w:lang w:val="en-US"/>
        </w:rPr>
        <w:t xml:space="preserve">the </w:t>
      </w:r>
      <w:r w:rsidR="00F1219C" w:rsidRPr="00EE1711">
        <w:rPr>
          <w:b/>
          <w:bCs/>
          <w:lang w:val="en-US"/>
        </w:rPr>
        <w:t>proper accountability of local authorities;</w:t>
      </w:r>
    </w:p>
    <w:p w:rsidR="00F1219C" w:rsidRPr="00F1219C" w:rsidRDefault="002C4D34">
      <w:pPr>
        <w:pStyle w:val="SingleTxtG"/>
        <w:ind w:firstLine="567"/>
        <w:rPr>
          <w:rFonts w:eastAsia="Malgun Gothic"/>
          <w:b/>
          <w:lang w:val="en-US" w:eastAsia="zh-CN"/>
        </w:rPr>
      </w:pPr>
      <w:r w:rsidRPr="0049226E">
        <w:rPr>
          <w:rFonts w:eastAsia="Malgun Gothic"/>
          <w:bCs/>
          <w:lang w:val="en-US" w:eastAsia="zh-CN"/>
        </w:rPr>
        <w:t>(d)</w:t>
      </w:r>
      <w:r w:rsidRPr="00F1219C">
        <w:rPr>
          <w:rFonts w:eastAsia="Malgun Gothic"/>
          <w:b/>
          <w:lang w:val="en-US" w:eastAsia="zh-CN"/>
        </w:rPr>
        <w:tab/>
      </w:r>
      <w:r w:rsidR="00F1219C" w:rsidRPr="00F1219C">
        <w:rPr>
          <w:b/>
          <w:bCs/>
          <w:lang w:val="en-US"/>
        </w:rPr>
        <w:t xml:space="preserve">Define strategic </w:t>
      </w:r>
      <w:r w:rsidR="00F1219C" w:rsidRPr="008C3E9C">
        <w:rPr>
          <w:b/>
          <w:bCs/>
          <w:lang w:val="en-US"/>
        </w:rPr>
        <w:t>budgetary lines</w:t>
      </w:r>
      <w:r w:rsidR="00F1219C" w:rsidRPr="00F1219C">
        <w:rPr>
          <w:b/>
          <w:bCs/>
          <w:lang w:val="en-US"/>
        </w:rPr>
        <w:t xml:space="preserve"> for children in disadvantaged or vulnerable situations that may require affirmative social measures and make sure that those budgetary lines are protected even in situations of economic crisis, natural disaster or other emergenc</w:t>
      </w:r>
      <w:r w:rsidR="00D73933">
        <w:rPr>
          <w:b/>
          <w:bCs/>
          <w:lang w:val="en-US"/>
        </w:rPr>
        <w:t>y</w:t>
      </w:r>
      <w:r w:rsidR="00F1219C" w:rsidRPr="00F1219C">
        <w:rPr>
          <w:b/>
          <w:bCs/>
          <w:lang w:val="en-US"/>
        </w:rPr>
        <w:t>.</w:t>
      </w:r>
    </w:p>
    <w:p w:rsidR="00F1219C" w:rsidRDefault="00F1219C" w:rsidP="00F1219C">
      <w:pPr>
        <w:pStyle w:val="H23G"/>
        <w:rPr>
          <w:lang w:val="en-US"/>
        </w:rPr>
      </w:pPr>
      <w:r>
        <w:rPr>
          <w:sz w:val="24"/>
          <w:szCs w:val="24"/>
          <w:lang w:val="en-US"/>
        </w:rPr>
        <w:tab/>
      </w:r>
      <w:r>
        <w:rPr>
          <w:lang w:val="en-US"/>
        </w:rPr>
        <w:tab/>
        <w:t>Data collection</w:t>
      </w:r>
    </w:p>
    <w:p w:rsidR="00F1219C" w:rsidRDefault="0049226E" w:rsidP="0049226E">
      <w:pPr>
        <w:pStyle w:val="SingleTxtG"/>
        <w:rPr>
          <w:lang w:val="en-US"/>
        </w:rPr>
      </w:pPr>
      <w:r>
        <w:rPr>
          <w:lang w:val="en-US"/>
        </w:rPr>
        <w:t>16.</w:t>
      </w:r>
      <w:r>
        <w:rPr>
          <w:lang w:val="en-US"/>
        </w:rPr>
        <w:tab/>
      </w:r>
      <w:r w:rsidR="00F1219C">
        <w:rPr>
          <w:lang w:val="en-US"/>
        </w:rPr>
        <w:t xml:space="preserve">The Committee, while noting the current development of a joint cooperation programme with </w:t>
      </w:r>
      <w:r w:rsidR="00682F7A">
        <w:rPr>
          <w:lang w:val="en-US"/>
        </w:rPr>
        <w:t>the United Nations Educational, Scientific and Cultural Organization</w:t>
      </w:r>
      <w:r w:rsidR="00F1219C">
        <w:rPr>
          <w:lang w:val="en-US"/>
        </w:rPr>
        <w:t xml:space="preserve"> to compile data on children, regrets that the State party was unable to provide </w:t>
      </w:r>
      <w:r w:rsidR="009416B7">
        <w:rPr>
          <w:lang w:val="en-US"/>
        </w:rPr>
        <w:t xml:space="preserve">such </w:t>
      </w:r>
      <w:r w:rsidR="00F1219C">
        <w:rPr>
          <w:lang w:val="en-US"/>
        </w:rPr>
        <w:t>data, both in its periodic report and in its written responses to the Committee’s list of issue</w:t>
      </w:r>
      <w:r w:rsidR="00A66D9C">
        <w:rPr>
          <w:lang w:val="en-US"/>
        </w:rPr>
        <w:t>s</w:t>
      </w:r>
      <w:r w:rsidR="00F1219C">
        <w:rPr>
          <w:lang w:val="en-US"/>
        </w:rPr>
        <w:t xml:space="preserve">. </w:t>
      </w:r>
    </w:p>
    <w:p w:rsidR="00F1219C" w:rsidRPr="001176CA" w:rsidRDefault="0049226E" w:rsidP="0049226E">
      <w:pPr>
        <w:pStyle w:val="SingleTxtG"/>
        <w:rPr>
          <w:lang w:val="en-US"/>
        </w:rPr>
      </w:pPr>
      <w:r w:rsidRPr="001176CA">
        <w:rPr>
          <w:lang w:val="en-US"/>
        </w:rPr>
        <w:t>17.</w:t>
      </w:r>
      <w:r w:rsidRPr="001176CA">
        <w:rPr>
          <w:lang w:val="en-US"/>
        </w:rPr>
        <w:tab/>
      </w:r>
      <w:r w:rsidR="00F1219C" w:rsidRPr="001176CA">
        <w:rPr>
          <w:b/>
          <w:lang w:val="en-US"/>
        </w:rPr>
        <w:t>In</w:t>
      </w:r>
      <w:r w:rsidR="00F1219C" w:rsidRPr="001176CA">
        <w:rPr>
          <w:rFonts w:eastAsia="Malgun Gothic"/>
          <w:b/>
          <w:lang w:val="en-US" w:eastAsia="zh-CN"/>
        </w:rPr>
        <w:t xml:space="preserve"> the light of its general comment No. 5 (2003) on general measures of implementation</w:t>
      </w:r>
      <w:r w:rsidR="004F4C66" w:rsidRPr="001176CA">
        <w:rPr>
          <w:rFonts w:eastAsia="Malgun Gothic"/>
          <w:b/>
          <w:lang w:val="en-US" w:eastAsia="zh-CN"/>
        </w:rPr>
        <w:t xml:space="preserve"> of the Convention</w:t>
      </w:r>
      <w:r w:rsidR="00F1219C" w:rsidRPr="001176CA">
        <w:rPr>
          <w:rFonts w:eastAsia="Malgun Gothic"/>
          <w:b/>
          <w:lang w:val="en-US" w:eastAsia="zh-CN"/>
        </w:rPr>
        <w:t>,</w:t>
      </w:r>
      <w:r w:rsidR="00F1219C" w:rsidRPr="001176CA">
        <w:rPr>
          <w:b/>
          <w:bCs/>
          <w:lang w:val="en-US" w:eastAsia="en-GB"/>
        </w:rPr>
        <w:t xml:space="preserve"> the Committee recommends that the State party speed up the establishment of a comprehensive data collection system and ensure that disaggregated data are collected on all persons under </w:t>
      </w:r>
      <w:r w:rsidR="00A66D9C" w:rsidRPr="001176CA">
        <w:rPr>
          <w:b/>
          <w:bCs/>
          <w:lang w:val="en-US" w:eastAsia="en-GB"/>
        </w:rPr>
        <w:t xml:space="preserve">the age of </w:t>
      </w:r>
      <w:r w:rsidR="00F1219C" w:rsidRPr="001176CA">
        <w:rPr>
          <w:b/>
          <w:bCs/>
          <w:lang w:val="en-US" w:eastAsia="en-GB"/>
        </w:rPr>
        <w:t xml:space="preserve">18 </w:t>
      </w:r>
      <w:r w:rsidR="009416B7">
        <w:rPr>
          <w:b/>
          <w:bCs/>
          <w:lang w:val="en-US" w:eastAsia="en-GB"/>
        </w:rPr>
        <w:t xml:space="preserve">with respect to </w:t>
      </w:r>
      <w:r w:rsidR="00F1219C" w:rsidRPr="001176CA">
        <w:rPr>
          <w:b/>
          <w:bCs/>
          <w:lang w:val="en-US" w:eastAsia="en-GB"/>
        </w:rPr>
        <w:t>all areas covered by the Convention, including the most vulnerable groups (i.e.</w:t>
      </w:r>
      <w:r w:rsidR="009416B7">
        <w:rPr>
          <w:b/>
          <w:bCs/>
          <w:lang w:val="en-US" w:eastAsia="en-GB"/>
        </w:rPr>
        <w:t> </w:t>
      </w:r>
      <w:r w:rsidR="00F1219C" w:rsidRPr="001176CA">
        <w:rPr>
          <w:b/>
          <w:bCs/>
          <w:lang w:val="en-US" w:eastAsia="en-GB"/>
        </w:rPr>
        <w:t>non</w:t>
      </w:r>
      <w:r w:rsidR="009416B7">
        <w:rPr>
          <w:b/>
          <w:bCs/>
          <w:lang w:val="en-US" w:eastAsia="en-GB"/>
        </w:rPr>
        <w:noBreakHyphen/>
      </w:r>
      <w:r w:rsidR="00F1219C" w:rsidRPr="001176CA">
        <w:rPr>
          <w:b/>
          <w:bCs/>
          <w:lang w:val="en-US" w:eastAsia="en-GB"/>
        </w:rPr>
        <w:t xml:space="preserve">nationals, </w:t>
      </w:r>
      <w:r w:rsidR="001176CA" w:rsidRPr="0049226E">
        <w:rPr>
          <w:b/>
          <w:bCs/>
          <w:i/>
          <w:lang w:val="en-US" w:eastAsia="en-GB"/>
        </w:rPr>
        <w:t>b</w:t>
      </w:r>
      <w:r w:rsidR="00F1219C" w:rsidRPr="001176CA">
        <w:rPr>
          <w:b/>
          <w:bCs/>
          <w:i/>
          <w:lang w:val="en-US" w:eastAsia="en-GB"/>
        </w:rPr>
        <w:t>idoon</w:t>
      </w:r>
      <w:r w:rsidR="001176CA" w:rsidRPr="0049226E">
        <w:rPr>
          <w:b/>
          <w:bCs/>
          <w:iCs/>
          <w:lang w:val="en-US" w:eastAsia="en-GB"/>
        </w:rPr>
        <w:t xml:space="preserve"> children</w:t>
      </w:r>
      <w:r w:rsidR="00F1219C" w:rsidRPr="0049226E">
        <w:rPr>
          <w:b/>
          <w:bCs/>
          <w:iCs/>
          <w:lang w:val="en-US" w:eastAsia="en-GB"/>
        </w:rPr>
        <w:t>, girls, children living in remote areas, children with disabilities</w:t>
      </w:r>
      <w:r w:rsidR="00FE01FA" w:rsidRPr="0049226E">
        <w:rPr>
          <w:b/>
          <w:bCs/>
          <w:iCs/>
          <w:lang w:val="en-US" w:eastAsia="en-GB"/>
        </w:rPr>
        <w:t xml:space="preserve"> and</w:t>
      </w:r>
      <w:r w:rsidR="00F1219C" w:rsidRPr="0049226E">
        <w:rPr>
          <w:b/>
          <w:bCs/>
          <w:iCs/>
          <w:lang w:val="en-US" w:eastAsia="en-GB"/>
        </w:rPr>
        <w:t xml:space="preserve"> </w:t>
      </w:r>
      <w:r w:rsidR="00F1219C" w:rsidRPr="001176CA">
        <w:rPr>
          <w:b/>
          <w:bCs/>
          <w:lang w:val="en-US" w:eastAsia="en-GB"/>
        </w:rPr>
        <w:t xml:space="preserve">children of economically disadvantaged households, </w:t>
      </w:r>
      <w:r w:rsidR="00A66D9C" w:rsidRPr="001176CA">
        <w:rPr>
          <w:b/>
          <w:bCs/>
          <w:lang w:val="en-US" w:eastAsia="en-GB"/>
        </w:rPr>
        <w:t>among others</w:t>
      </w:r>
      <w:r w:rsidR="00F1219C" w:rsidRPr="001176CA">
        <w:rPr>
          <w:b/>
          <w:bCs/>
          <w:lang w:val="en-US" w:eastAsia="en-GB"/>
        </w:rPr>
        <w:t xml:space="preserve">), and use these data to assess progress and </w:t>
      </w:r>
      <w:r w:rsidR="009416B7">
        <w:rPr>
          <w:b/>
          <w:bCs/>
          <w:lang w:val="en-US" w:eastAsia="en-GB"/>
        </w:rPr>
        <w:t xml:space="preserve">to </w:t>
      </w:r>
      <w:r w:rsidR="00F1219C" w:rsidRPr="001176CA">
        <w:rPr>
          <w:b/>
          <w:bCs/>
          <w:lang w:val="en-US" w:eastAsia="en-GB"/>
        </w:rPr>
        <w:t>design policies to implement the Convention, especially in the area of violence against children.</w:t>
      </w:r>
    </w:p>
    <w:p w:rsidR="00F1219C" w:rsidRDefault="00F1219C" w:rsidP="00F1219C">
      <w:pPr>
        <w:pStyle w:val="H23G"/>
        <w:rPr>
          <w:lang w:val="en-US"/>
        </w:rPr>
      </w:pPr>
      <w:r>
        <w:rPr>
          <w:lang w:val="en-US"/>
        </w:rPr>
        <w:tab/>
      </w:r>
      <w:r>
        <w:rPr>
          <w:lang w:val="en-US"/>
        </w:rPr>
        <w:tab/>
        <w:t xml:space="preserve">Independent monitoring </w:t>
      </w:r>
    </w:p>
    <w:p w:rsidR="00F1219C" w:rsidRDefault="0049226E" w:rsidP="0049226E">
      <w:pPr>
        <w:pStyle w:val="SingleTxtG"/>
        <w:rPr>
          <w:lang w:val="en-US"/>
        </w:rPr>
      </w:pPr>
      <w:r>
        <w:rPr>
          <w:lang w:val="en-US"/>
        </w:rPr>
        <w:t>18.</w:t>
      </w:r>
      <w:r>
        <w:rPr>
          <w:lang w:val="en-US"/>
        </w:rPr>
        <w:tab/>
      </w:r>
      <w:r w:rsidR="00F1219C">
        <w:rPr>
          <w:lang w:val="en-US"/>
        </w:rPr>
        <w:t>The Committee regrets that</w:t>
      </w:r>
      <w:r w:rsidR="00A66D9C">
        <w:rPr>
          <w:lang w:val="en-US"/>
        </w:rPr>
        <w:t>,</w:t>
      </w:r>
      <w:r w:rsidR="00F1219C">
        <w:rPr>
          <w:lang w:val="en-US"/>
        </w:rPr>
        <w:t xml:space="preserve"> in spite of the voluntary commitment made by the State party in the context of the </w:t>
      </w:r>
      <w:r w:rsidR="00A66D9C">
        <w:rPr>
          <w:lang w:val="en-US"/>
        </w:rPr>
        <w:t>u</w:t>
      </w:r>
      <w:r w:rsidR="00F1219C">
        <w:rPr>
          <w:lang w:val="en-US"/>
        </w:rPr>
        <w:t xml:space="preserve">niversal </w:t>
      </w:r>
      <w:r w:rsidR="00A66D9C">
        <w:rPr>
          <w:lang w:val="en-US"/>
        </w:rPr>
        <w:t>p</w:t>
      </w:r>
      <w:r w:rsidR="00F1219C">
        <w:rPr>
          <w:lang w:val="en-US"/>
        </w:rPr>
        <w:t xml:space="preserve">eriodic </w:t>
      </w:r>
      <w:r w:rsidR="00A66D9C">
        <w:rPr>
          <w:lang w:val="en-US"/>
        </w:rPr>
        <w:t>r</w:t>
      </w:r>
      <w:r w:rsidR="00F1219C">
        <w:rPr>
          <w:lang w:val="en-US"/>
        </w:rPr>
        <w:t>eview in 2008 (</w:t>
      </w:r>
      <w:r w:rsidR="00A66D9C">
        <w:rPr>
          <w:lang w:val="en-US"/>
        </w:rPr>
        <w:t xml:space="preserve">see </w:t>
      </w:r>
      <w:r w:rsidR="00F1219C">
        <w:rPr>
          <w:bCs/>
          <w:lang w:val="en-US"/>
        </w:rPr>
        <w:t>A/HRC/WG.6/15/ARE/1</w:t>
      </w:r>
      <w:r w:rsidR="003F3E5C">
        <w:rPr>
          <w:bCs/>
          <w:lang w:val="en-US"/>
        </w:rPr>
        <w:t>,</w:t>
      </w:r>
      <w:r w:rsidR="00F1219C">
        <w:rPr>
          <w:bCs/>
          <w:lang w:val="en-US"/>
        </w:rPr>
        <w:t xml:space="preserve"> para.</w:t>
      </w:r>
      <w:r w:rsidR="009416B7">
        <w:rPr>
          <w:bCs/>
          <w:lang w:val="en-US"/>
        </w:rPr>
        <w:t> </w:t>
      </w:r>
      <w:r w:rsidR="00F1219C">
        <w:rPr>
          <w:bCs/>
          <w:lang w:val="en-US"/>
        </w:rPr>
        <w:t>10</w:t>
      </w:r>
      <w:r w:rsidR="00F1219C">
        <w:rPr>
          <w:lang w:val="en-US"/>
        </w:rPr>
        <w:t xml:space="preserve">), little progress has been made </w:t>
      </w:r>
      <w:r w:rsidR="00FE01FA">
        <w:rPr>
          <w:lang w:val="en-US"/>
        </w:rPr>
        <w:t xml:space="preserve">in </w:t>
      </w:r>
      <w:r w:rsidR="00F1219C">
        <w:rPr>
          <w:lang w:val="en-US"/>
        </w:rPr>
        <w:t>establish</w:t>
      </w:r>
      <w:r w:rsidR="00FE01FA">
        <w:rPr>
          <w:lang w:val="en-US"/>
        </w:rPr>
        <w:t>ing</w:t>
      </w:r>
      <w:r w:rsidR="00F1219C">
        <w:rPr>
          <w:lang w:val="en-US"/>
        </w:rPr>
        <w:t xml:space="preserve"> a </w:t>
      </w:r>
      <w:r w:rsidR="00A66D9C">
        <w:rPr>
          <w:lang w:val="en-US"/>
        </w:rPr>
        <w:t>n</w:t>
      </w:r>
      <w:r w:rsidR="00F1219C">
        <w:rPr>
          <w:lang w:val="en-US"/>
        </w:rPr>
        <w:t xml:space="preserve">ational </w:t>
      </w:r>
      <w:r w:rsidR="00A66D9C">
        <w:rPr>
          <w:lang w:val="en-US"/>
        </w:rPr>
        <w:t>h</w:t>
      </w:r>
      <w:r w:rsidR="00F1219C">
        <w:rPr>
          <w:lang w:val="en-US"/>
        </w:rPr>
        <w:t xml:space="preserve">uman </w:t>
      </w:r>
      <w:r w:rsidR="00A66D9C">
        <w:rPr>
          <w:lang w:val="en-US"/>
        </w:rPr>
        <w:t>r</w:t>
      </w:r>
      <w:r w:rsidR="00F1219C">
        <w:rPr>
          <w:lang w:val="en-US"/>
        </w:rPr>
        <w:t xml:space="preserve">ights </w:t>
      </w:r>
      <w:r w:rsidR="00A66D9C">
        <w:rPr>
          <w:lang w:val="en-US"/>
        </w:rPr>
        <w:t>i</w:t>
      </w:r>
      <w:r w:rsidR="00F1219C">
        <w:rPr>
          <w:lang w:val="en-US"/>
        </w:rPr>
        <w:t>nstitution.</w:t>
      </w:r>
    </w:p>
    <w:p w:rsidR="00F1219C" w:rsidRPr="00711A82" w:rsidRDefault="0049226E" w:rsidP="0049226E">
      <w:pPr>
        <w:pStyle w:val="SingleTxtG"/>
        <w:rPr>
          <w:rFonts w:eastAsia="Malgun Gothic"/>
          <w:b/>
          <w:lang w:val="en-US" w:eastAsia="zh-CN"/>
        </w:rPr>
      </w:pPr>
      <w:r w:rsidRPr="00711A82">
        <w:rPr>
          <w:rFonts w:eastAsia="Malgun Gothic"/>
          <w:lang w:val="en-US" w:eastAsia="zh-CN"/>
        </w:rPr>
        <w:t>19.</w:t>
      </w:r>
      <w:r w:rsidRPr="00711A82">
        <w:rPr>
          <w:rFonts w:eastAsia="Malgun Gothic"/>
          <w:lang w:val="en-US" w:eastAsia="zh-CN"/>
        </w:rPr>
        <w:tab/>
      </w:r>
      <w:r w:rsidR="00F1219C" w:rsidRPr="00711A82">
        <w:rPr>
          <w:rFonts w:eastAsia="Malgun Gothic"/>
          <w:b/>
          <w:lang w:val="en-US" w:eastAsia="zh-CN"/>
        </w:rPr>
        <w:t xml:space="preserve">In the light of its general comment No. 2 (2002) on the role of independent </w:t>
      </w:r>
      <w:r w:rsidR="00E815AE" w:rsidRPr="0049226E">
        <w:rPr>
          <w:rFonts w:eastAsia="Malgun Gothic"/>
          <w:b/>
          <w:lang w:val="en-US" w:eastAsia="zh-CN"/>
        </w:rPr>
        <w:t xml:space="preserve">national </w:t>
      </w:r>
      <w:r w:rsidR="00F1219C" w:rsidRPr="00711A82">
        <w:rPr>
          <w:rFonts w:eastAsia="Malgun Gothic"/>
          <w:b/>
          <w:lang w:val="en-US" w:eastAsia="zh-CN"/>
        </w:rPr>
        <w:t>human rights institutions</w:t>
      </w:r>
      <w:r w:rsidR="00E815AE" w:rsidRPr="00711A82">
        <w:rPr>
          <w:rStyle w:val="en"/>
          <w:b/>
          <w:bCs/>
        </w:rPr>
        <w:t xml:space="preserve"> in the promotion and protection of the rights of the child</w:t>
      </w:r>
      <w:r w:rsidR="00F1219C" w:rsidRPr="00711A82">
        <w:rPr>
          <w:rFonts w:eastAsia="Malgun Gothic"/>
          <w:b/>
          <w:lang w:val="en-US" w:eastAsia="zh-CN"/>
        </w:rPr>
        <w:t>,</w:t>
      </w:r>
      <w:r w:rsidR="00F1219C" w:rsidRPr="00711A82">
        <w:rPr>
          <w:b/>
          <w:bCs/>
          <w:lang w:val="en-US" w:eastAsia="en-GB"/>
        </w:rPr>
        <w:t xml:space="preserve"> the Committee reiterates its recommendation to the State party</w:t>
      </w:r>
      <w:r w:rsidR="00F1219C" w:rsidRPr="00711A82">
        <w:rPr>
          <w:b/>
          <w:lang w:val="en-US" w:eastAsia="en-GB"/>
        </w:rPr>
        <w:t xml:space="preserve"> (</w:t>
      </w:r>
      <w:r w:rsidR="00A66D9C" w:rsidRPr="00711A82">
        <w:rPr>
          <w:b/>
          <w:lang w:val="en-US" w:eastAsia="en-GB"/>
        </w:rPr>
        <w:t>see</w:t>
      </w:r>
      <w:r w:rsidR="009416B7">
        <w:rPr>
          <w:b/>
          <w:lang w:val="en-US" w:eastAsia="en-GB"/>
        </w:rPr>
        <w:t> </w:t>
      </w:r>
      <w:r w:rsidR="00A66D9C" w:rsidRPr="00711A82">
        <w:rPr>
          <w:b/>
          <w:lang w:val="en-US" w:eastAsia="en-GB"/>
        </w:rPr>
        <w:t xml:space="preserve"> </w:t>
      </w:r>
      <w:r w:rsidR="00F1219C" w:rsidRPr="00711A82">
        <w:rPr>
          <w:b/>
          <w:lang w:val="en-US" w:eastAsia="en-GB"/>
        </w:rPr>
        <w:t>CRC/C/15/Add.183</w:t>
      </w:r>
      <w:r w:rsidR="00F231BC" w:rsidRPr="00711A82">
        <w:rPr>
          <w:b/>
          <w:lang w:val="en-US" w:eastAsia="en-GB"/>
        </w:rPr>
        <w:t>,</w:t>
      </w:r>
      <w:r w:rsidR="00F1219C" w:rsidRPr="00711A82">
        <w:rPr>
          <w:b/>
          <w:bCs/>
          <w:lang w:val="en-US" w:eastAsia="en-GB"/>
        </w:rPr>
        <w:t xml:space="preserve"> para. 14) </w:t>
      </w:r>
      <w:r w:rsidR="00FF697D" w:rsidRPr="00711A82">
        <w:rPr>
          <w:b/>
          <w:bCs/>
          <w:lang w:val="en-US" w:eastAsia="en-GB"/>
        </w:rPr>
        <w:t xml:space="preserve">that it </w:t>
      </w:r>
      <w:r w:rsidR="00F1219C" w:rsidRPr="00711A82">
        <w:rPr>
          <w:b/>
          <w:bCs/>
          <w:lang w:val="en-US" w:eastAsia="en-GB"/>
        </w:rPr>
        <w:t xml:space="preserve">establish an independent national human rights institution in accordance with </w:t>
      </w:r>
      <w:r w:rsidR="00A66D9C" w:rsidRPr="00711A82">
        <w:rPr>
          <w:b/>
          <w:bCs/>
          <w:lang w:val="en-US" w:eastAsia="en-GB"/>
        </w:rPr>
        <w:t xml:space="preserve">the </w:t>
      </w:r>
      <w:r w:rsidR="00E815AE" w:rsidRPr="00711A82">
        <w:rPr>
          <w:rStyle w:val="en"/>
          <w:b/>
          <w:bCs/>
        </w:rPr>
        <w:t xml:space="preserve">principles relating to the status of national institutions for the promotion and protection of human rights </w:t>
      </w:r>
      <w:r w:rsidR="00A66D9C" w:rsidRPr="00711A82">
        <w:rPr>
          <w:b/>
          <w:bCs/>
          <w:lang w:val="en-US" w:eastAsia="en-GB"/>
        </w:rPr>
        <w:t>(</w:t>
      </w:r>
      <w:r w:rsidR="00F1219C" w:rsidRPr="00711A82">
        <w:rPr>
          <w:b/>
          <w:bCs/>
          <w:lang w:val="en-US" w:eastAsia="en-GB"/>
        </w:rPr>
        <w:t>the Paris Principles</w:t>
      </w:r>
      <w:r w:rsidR="00A66D9C" w:rsidRPr="00711A82">
        <w:rPr>
          <w:b/>
          <w:bCs/>
          <w:lang w:val="en-US" w:eastAsia="en-GB"/>
        </w:rPr>
        <w:t>)</w:t>
      </w:r>
      <w:r w:rsidR="00F1219C" w:rsidRPr="00711A82">
        <w:rPr>
          <w:b/>
          <w:bCs/>
          <w:lang w:val="en-US" w:eastAsia="en-GB"/>
        </w:rPr>
        <w:t xml:space="preserve"> which include</w:t>
      </w:r>
      <w:r w:rsidR="009416B7">
        <w:rPr>
          <w:b/>
          <w:bCs/>
          <w:lang w:val="en-US" w:eastAsia="en-GB"/>
        </w:rPr>
        <w:t>s</w:t>
      </w:r>
      <w:r w:rsidR="00F1219C" w:rsidRPr="00711A82">
        <w:rPr>
          <w:b/>
          <w:bCs/>
          <w:lang w:val="en-US" w:eastAsia="en-GB"/>
        </w:rPr>
        <w:t xml:space="preserve"> a specific department to monitor and evaluate progress in the implementation of the Convention in all the </w:t>
      </w:r>
      <w:r w:rsidR="00711A82" w:rsidRPr="0049226E">
        <w:rPr>
          <w:b/>
          <w:bCs/>
          <w:lang w:val="en-US" w:eastAsia="en-GB"/>
        </w:rPr>
        <w:t>e</w:t>
      </w:r>
      <w:r w:rsidR="00F1219C" w:rsidRPr="00711A82">
        <w:rPr>
          <w:b/>
          <w:bCs/>
          <w:lang w:val="en-US" w:eastAsia="en-GB"/>
        </w:rPr>
        <w:t>mirates. This institution should be accessible to children and empowered to receive and investigate complaints of violations of child</w:t>
      </w:r>
      <w:r w:rsidR="006678B4" w:rsidRPr="00711A82">
        <w:rPr>
          <w:b/>
          <w:bCs/>
          <w:lang w:val="en-US" w:eastAsia="en-GB"/>
        </w:rPr>
        <w:t>ren’</w:t>
      </w:r>
      <w:r w:rsidR="009416B7">
        <w:rPr>
          <w:b/>
          <w:bCs/>
          <w:lang w:val="en-US" w:eastAsia="en-GB"/>
        </w:rPr>
        <w:t>s</w:t>
      </w:r>
      <w:r w:rsidR="00F1219C" w:rsidRPr="00711A82">
        <w:rPr>
          <w:b/>
          <w:bCs/>
          <w:lang w:val="en-US" w:eastAsia="en-GB"/>
        </w:rPr>
        <w:t xml:space="preserve"> rights in a child-sensitive manner and to address them effectively.</w:t>
      </w:r>
    </w:p>
    <w:p w:rsidR="00F1219C" w:rsidRDefault="00F1219C" w:rsidP="00F1219C">
      <w:pPr>
        <w:pStyle w:val="H23G"/>
        <w:rPr>
          <w:rFonts w:eastAsia="Malgun Gothic"/>
          <w:lang w:val="en-US" w:eastAsia="zh-CN"/>
        </w:rPr>
      </w:pPr>
      <w:r>
        <w:rPr>
          <w:rFonts w:eastAsia="Malgun Gothic"/>
          <w:lang w:val="en-US" w:eastAsia="zh-CN"/>
        </w:rPr>
        <w:tab/>
      </w:r>
      <w:r>
        <w:rPr>
          <w:rFonts w:eastAsia="Malgun Gothic"/>
          <w:lang w:val="en-US" w:eastAsia="zh-CN"/>
        </w:rPr>
        <w:tab/>
        <w:t>Dissemination, awareness-raising and training</w:t>
      </w:r>
    </w:p>
    <w:p w:rsidR="00F1219C" w:rsidRDefault="0049226E" w:rsidP="0049226E">
      <w:pPr>
        <w:pStyle w:val="SingleTxtG"/>
        <w:rPr>
          <w:rFonts w:eastAsia="Malgun Gothic"/>
          <w:b/>
          <w:lang w:val="en-US" w:eastAsia="zh-CN"/>
        </w:rPr>
      </w:pPr>
      <w:r>
        <w:rPr>
          <w:rFonts w:eastAsia="Malgun Gothic"/>
          <w:lang w:val="en-US" w:eastAsia="zh-CN"/>
        </w:rPr>
        <w:t>20.</w:t>
      </w:r>
      <w:r>
        <w:rPr>
          <w:rFonts w:eastAsia="Malgun Gothic"/>
          <w:lang w:val="en-US" w:eastAsia="zh-CN"/>
        </w:rPr>
        <w:tab/>
      </w:r>
      <w:r w:rsidR="00F1219C">
        <w:rPr>
          <w:b/>
          <w:bCs/>
          <w:lang w:val="en-US" w:eastAsia="en-GB"/>
        </w:rPr>
        <w:t xml:space="preserve">The Committee, while noting the efforts made </w:t>
      </w:r>
      <w:r w:rsidR="00261FC5">
        <w:rPr>
          <w:b/>
          <w:bCs/>
          <w:lang w:val="en-US" w:eastAsia="en-GB"/>
        </w:rPr>
        <w:t xml:space="preserve">with regard to </w:t>
      </w:r>
      <w:r w:rsidR="00F1219C">
        <w:rPr>
          <w:b/>
          <w:bCs/>
          <w:lang w:val="en-US" w:eastAsia="en-GB"/>
        </w:rPr>
        <w:t>raising awareness about the Convention, reiterates its recommendation (</w:t>
      </w:r>
      <w:r w:rsidR="00760E02">
        <w:rPr>
          <w:b/>
          <w:bCs/>
          <w:lang w:val="en-US" w:eastAsia="en-GB"/>
        </w:rPr>
        <w:t xml:space="preserve">see </w:t>
      </w:r>
      <w:r w:rsidR="00F1219C">
        <w:rPr>
          <w:b/>
          <w:lang w:val="en-US" w:eastAsia="en-GB"/>
        </w:rPr>
        <w:t>CRC/C/15/Add.183</w:t>
      </w:r>
      <w:r w:rsidR="00F231BC">
        <w:rPr>
          <w:b/>
          <w:lang w:val="en-US" w:eastAsia="en-GB"/>
        </w:rPr>
        <w:t>,</w:t>
      </w:r>
      <w:r w:rsidR="00F1219C">
        <w:rPr>
          <w:b/>
          <w:bCs/>
          <w:lang w:val="en-US" w:eastAsia="en-GB"/>
        </w:rPr>
        <w:t xml:space="preserve"> para.</w:t>
      </w:r>
      <w:r w:rsidR="00FF697D">
        <w:rPr>
          <w:b/>
          <w:bCs/>
          <w:lang w:val="en-US" w:eastAsia="en-GB"/>
        </w:rPr>
        <w:t> </w:t>
      </w:r>
      <w:r w:rsidR="00F1219C">
        <w:rPr>
          <w:b/>
          <w:bCs/>
          <w:lang w:val="en-US" w:eastAsia="en-GB"/>
        </w:rPr>
        <w:t>20</w:t>
      </w:r>
      <w:r w:rsidR="00261FC5">
        <w:rPr>
          <w:b/>
          <w:bCs/>
          <w:lang w:val="en-US" w:eastAsia="en-GB"/>
        </w:rPr>
        <w:t> </w:t>
      </w:r>
      <w:r w:rsidR="00FF697D">
        <w:rPr>
          <w:b/>
          <w:bCs/>
          <w:lang w:val="en-US" w:eastAsia="en-GB"/>
        </w:rPr>
        <w:t>(</w:t>
      </w:r>
      <w:r w:rsidR="00F1219C">
        <w:rPr>
          <w:b/>
          <w:bCs/>
          <w:lang w:val="en-US" w:eastAsia="en-GB"/>
        </w:rPr>
        <w:t>a</w:t>
      </w:r>
      <w:r w:rsidR="00FF697D">
        <w:rPr>
          <w:b/>
          <w:bCs/>
          <w:lang w:val="en-US" w:eastAsia="en-GB"/>
        </w:rPr>
        <w:t>)</w:t>
      </w:r>
      <w:r w:rsidR="00F1219C">
        <w:rPr>
          <w:b/>
          <w:bCs/>
          <w:lang w:val="en-US" w:eastAsia="en-GB"/>
        </w:rPr>
        <w:t xml:space="preserve"> and</w:t>
      </w:r>
      <w:r w:rsidR="00261FC5">
        <w:rPr>
          <w:b/>
          <w:bCs/>
          <w:lang w:val="en-US" w:eastAsia="en-GB"/>
        </w:rPr>
        <w:t> </w:t>
      </w:r>
      <w:r w:rsidR="00FF697D">
        <w:rPr>
          <w:b/>
          <w:bCs/>
          <w:lang w:val="en-US" w:eastAsia="en-GB"/>
        </w:rPr>
        <w:t>(</w:t>
      </w:r>
      <w:r w:rsidR="00F1219C">
        <w:rPr>
          <w:b/>
          <w:bCs/>
          <w:lang w:val="en-US" w:eastAsia="en-GB"/>
        </w:rPr>
        <w:t>b)</w:t>
      </w:r>
      <w:r w:rsidR="00FF697D">
        <w:rPr>
          <w:b/>
          <w:bCs/>
          <w:lang w:val="en-US" w:eastAsia="en-GB"/>
        </w:rPr>
        <w:t>)</w:t>
      </w:r>
      <w:r w:rsidR="00F1219C">
        <w:rPr>
          <w:b/>
          <w:bCs/>
          <w:lang w:val="en-US" w:eastAsia="en-GB"/>
        </w:rPr>
        <w:t xml:space="preserve"> to strengthen, expand and </w:t>
      </w:r>
      <w:r w:rsidR="00F1219C">
        <w:rPr>
          <w:rFonts w:eastAsia="Malgun Gothic"/>
          <w:b/>
          <w:lang w:val="en-US" w:eastAsia="zh-CN"/>
        </w:rPr>
        <w:t>continue</w:t>
      </w:r>
      <w:r w:rsidR="00F1219C">
        <w:rPr>
          <w:b/>
          <w:bCs/>
          <w:lang w:val="en-US" w:eastAsia="en-GB"/>
        </w:rPr>
        <w:t xml:space="preserve"> its programme for the dissemination of information on the Convention and its implementation </w:t>
      </w:r>
      <w:r w:rsidR="00FA790B">
        <w:rPr>
          <w:b/>
          <w:bCs/>
          <w:lang w:val="en-US" w:eastAsia="en-GB"/>
        </w:rPr>
        <w:t xml:space="preserve">to </w:t>
      </w:r>
      <w:r w:rsidR="00F1219C">
        <w:rPr>
          <w:b/>
          <w:bCs/>
          <w:lang w:val="en-US" w:eastAsia="en-GB"/>
        </w:rPr>
        <w:t>children</w:t>
      </w:r>
      <w:r w:rsidR="003C04E6">
        <w:rPr>
          <w:b/>
          <w:bCs/>
          <w:lang w:val="en-US" w:eastAsia="en-GB"/>
        </w:rPr>
        <w:t>,</w:t>
      </w:r>
      <w:r w:rsidR="00F1219C">
        <w:rPr>
          <w:b/>
          <w:bCs/>
          <w:lang w:val="en-US" w:eastAsia="en-GB"/>
        </w:rPr>
        <w:t xml:space="preserve"> parents, civil society and all sectors and levels of Government</w:t>
      </w:r>
      <w:r w:rsidR="00760E02">
        <w:rPr>
          <w:b/>
          <w:bCs/>
          <w:lang w:val="en-US" w:eastAsia="en-GB"/>
        </w:rPr>
        <w:t>,</w:t>
      </w:r>
      <w:r w:rsidR="00F1219C">
        <w:rPr>
          <w:b/>
          <w:bCs/>
          <w:lang w:val="en-US" w:eastAsia="en-GB"/>
        </w:rPr>
        <w:t xml:space="preserve"> and to develop systematic and ongoing training programmes on human rights, including children’s rights, for all professional groups working for and with children (e.g.</w:t>
      </w:r>
      <w:r w:rsidR="00261FC5">
        <w:rPr>
          <w:b/>
          <w:bCs/>
          <w:lang w:val="en-US" w:eastAsia="en-GB"/>
        </w:rPr>
        <w:t> </w:t>
      </w:r>
      <w:r w:rsidR="00F1219C">
        <w:rPr>
          <w:b/>
          <w:bCs/>
          <w:lang w:val="en-US" w:eastAsia="en-GB"/>
        </w:rPr>
        <w:t xml:space="preserve">judges, lawyers, law enforcement officials, civil servants, </w:t>
      </w:r>
      <w:r w:rsidR="00745229">
        <w:rPr>
          <w:b/>
          <w:bCs/>
          <w:lang w:val="en-US" w:eastAsia="en-GB"/>
        </w:rPr>
        <w:t xml:space="preserve">emirate </w:t>
      </w:r>
      <w:r w:rsidR="00F1219C">
        <w:rPr>
          <w:b/>
          <w:bCs/>
          <w:lang w:val="en-US" w:eastAsia="en-GB"/>
        </w:rPr>
        <w:t>government officials, personnel working in institutions and places of detention for children, teachers and health personnel).</w:t>
      </w:r>
    </w:p>
    <w:p w:rsidR="00F1219C" w:rsidRDefault="00F1219C" w:rsidP="00F1219C">
      <w:pPr>
        <w:pStyle w:val="H23G"/>
        <w:rPr>
          <w:rFonts w:eastAsia="Malgun Gothic"/>
          <w:lang w:val="en-US" w:eastAsia="zh-CN"/>
        </w:rPr>
      </w:pPr>
      <w:r>
        <w:rPr>
          <w:rFonts w:eastAsia="Malgun Gothic"/>
          <w:lang w:val="en-US" w:eastAsia="zh-CN"/>
        </w:rPr>
        <w:tab/>
      </w:r>
      <w:r>
        <w:rPr>
          <w:rFonts w:eastAsia="Malgun Gothic"/>
          <w:lang w:val="en-US" w:eastAsia="zh-CN"/>
        </w:rPr>
        <w:tab/>
        <w:t>Cooperation with civil society</w:t>
      </w:r>
    </w:p>
    <w:p w:rsidR="00F1219C" w:rsidRDefault="0049226E" w:rsidP="0049226E">
      <w:pPr>
        <w:pStyle w:val="SingleTxtG"/>
        <w:rPr>
          <w:rFonts w:eastAsia="Calibri"/>
          <w:lang w:val="en-US" w:eastAsia="fr-FR"/>
        </w:rPr>
      </w:pPr>
      <w:r>
        <w:rPr>
          <w:rFonts w:eastAsia="Calibri"/>
          <w:lang w:val="en-US" w:eastAsia="fr-FR"/>
        </w:rPr>
        <w:t>21.</w:t>
      </w:r>
      <w:r>
        <w:rPr>
          <w:rFonts w:eastAsia="Calibri"/>
          <w:lang w:val="en-US" w:eastAsia="fr-FR"/>
        </w:rPr>
        <w:tab/>
      </w:r>
      <w:r w:rsidR="00F1219C">
        <w:rPr>
          <w:color w:val="000000"/>
          <w:lang w:val="en-US" w:eastAsia="en-GB"/>
        </w:rPr>
        <w:t xml:space="preserve">The Committee expresses its concern about the very limited number of independent non-governmental organizations </w:t>
      </w:r>
      <w:r w:rsidR="00760E02">
        <w:rPr>
          <w:color w:val="000000"/>
          <w:lang w:val="en-US" w:eastAsia="en-GB"/>
        </w:rPr>
        <w:t xml:space="preserve">(NGOs) </w:t>
      </w:r>
      <w:r w:rsidR="00F1219C">
        <w:rPr>
          <w:color w:val="000000"/>
          <w:lang w:val="en-US" w:eastAsia="en-GB"/>
        </w:rPr>
        <w:t xml:space="preserve">working specifically in the field of children’s rights and therefore the lack of information transmitted to the Committee and the difficulty </w:t>
      </w:r>
      <w:r w:rsidR="00760E02">
        <w:rPr>
          <w:color w:val="000000"/>
          <w:lang w:val="en-US" w:eastAsia="en-GB"/>
        </w:rPr>
        <w:t xml:space="preserve">of assessing </w:t>
      </w:r>
      <w:r w:rsidR="00F1219C">
        <w:rPr>
          <w:color w:val="000000"/>
          <w:lang w:val="en-US" w:eastAsia="en-GB"/>
        </w:rPr>
        <w:t xml:space="preserve">the situation of children on the basis of a variety of sources. The Committee is also concerned about the reported </w:t>
      </w:r>
      <w:r w:rsidR="00E815AE">
        <w:rPr>
          <w:color w:val="000000"/>
          <w:lang w:val="en-US" w:eastAsia="en-GB"/>
        </w:rPr>
        <w:t xml:space="preserve">continual </w:t>
      </w:r>
      <w:r w:rsidR="00F1219C">
        <w:rPr>
          <w:rFonts w:eastAsia="Calibri"/>
          <w:lang w:val="en-US" w:eastAsia="fr-FR"/>
        </w:rPr>
        <w:t>harassment of human rights defenders in the State party, which greatly undermines the emergence of a vibrant civil society</w:t>
      </w:r>
      <w:r w:rsidR="00760E02">
        <w:rPr>
          <w:rFonts w:eastAsia="Calibri"/>
          <w:lang w:val="en-US" w:eastAsia="fr-FR"/>
        </w:rPr>
        <w:t>,</w:t>
      </w:r>
      <w:r w:rsidR="00F1219C">
        <w:rPr>
          <w:rFonts w:eastAsia="Calibri"/>
          <w:lang w:val="en-US" w:eastAsia="fr-FR"/>
        </w:rPr>
        <w:t xml:space="preserve"> as well as the protection and promotion of children’s rights.</w:t>
      </w:r>
    </w:p>
    <w:p w:rsidR="00F1219C" w:rsidRDefault="0049226E" w:rsidP="0049226E">
      <w:pPr>
        <w:pStyle w:val="SingleTxtG"/>
        <w:rPr>
          <w:lang w:val="en-US" w:eastAsia="ja-JP"/>
        </w:rPr>
      </w:pPr>
      <w:r>
        <w:rPr>
          <w:lang w:val="en-US" w:eastAsia="ja-JP"/>
        </w:rPr>
        <w:t>22.</w:t>
      </w:r>
      <w:r>
        <w:rPr>
          <w:lang w:val="en-US" w:eastAsia="ja-JP"/>
        </w:rPr>
        <w:tab/>
      </w:r>
      <w:r w:rsidR="00F1219C">
        <w:rPr>
          <w:b/>
          <w:lang w:val="en-US"/>
        </w:rPr>
        <w:t>The Committee reminds the State party that human rights defenders deserve special protection</w:t>
      </w:r>
      <w:r w:rsidR="00760E02">
        <w:rPr>
          <w:b/>
          <w:lang w:val="en-US"/>
        </w:rPr>
        <w:t>,</w:t>
      </w:r>
      <w:r w:rsidR="00F1219C">
        <w:rPr>
          <w:b/>
          <w:lang w:val="en-US"/>
        </w:rPr>
        <w:t xml:space="preserve"> as their work is critical for promoting human rights for all, including children, and thus strongly recommends that the State party ensure that reported instances of intimidation and harassment of NGOs, human rights defenders </w:t>
      </w:r>
      <w:r w:rsidR="00FA790B">
        <w:rPr>
          <w:b/>
          <w:lang w:val="en-US"/>
        </w:rPr>
        <w:t xml:space="preserve">and </w:t>
      </w:r>
      <w:r w:rsidR="00F1219C">
        <w:rPr>
          <w:b/>
          <w:lang w:val="en-US"/>
        </w:rPr>
        <w:t xml:space="preserve">civil society activists are promptly and independently investigated, and </w:t>
      </w:r>
      <w:r w:rsidR="00FA790B">
        <w:rPr>
          <w:b/>
          <w:lang w:val="en-US"/>
        </w:rPr>
        <w:t xml:space="preserve">that </w:t>
      </w:r>
      <w:r w:rsidR="00F1219C">
        <w:rPr>
          <w:b/>
          <w:lang w:val="en-US"/>
        </w:rPr>
        <w:t xml:space="preserve">those responsible for such abuses are held accountable. The State party should </w:t>
      </w:r>
      <w:r w:rsidR="00F1219C">
        <w:rPr>
          <w:b/>
          <w:bCs/>
          <w:lang w:val="en-US" w:eastAsia="en-GB"/>
        </w:rPr>
        <w:t xml:space="preserve">take concrete steps to give legitimate recognition to human rights defenders and their work, to build a climate of trust and cooperation with civil society, and to systematically involve communities </w:t>
      </w:r>
      <w:r w:rsidR="00FA790B">
        <w:rPr>
          <w:b/>
          <w:bCs/>
          <w:lang w:val="en-US" w:eastAsia="en-GB"/>
        </w:rPr>
        <w:t xml:space="preserve">and </w:t>
      </w:r>
      <w:r w:rsidR="00F1219C">
        <w:rPr>
          <w:b/>
          <w:bCs/>
          <w:lang w:val="en-US" w:eastAsia="en-GB"/>
        </w:rPr>
        <w:t xml:space="preserve">civil society, including </w:t>
      </w:r>
      <w:r w:rsidR="00A34764">
        <w:rPr>
          <w:b/>
          <w:bCs/>
          <w:lang w:val="en-US" w:eastAsia="en-GB"/>
        </w:rPr>
        <w:t>NGOs</w:t>
      </w:r>
      <w:r w:rsidR="00F1219C">
        <w:rPr>
          <w:b/>
          <w:bCs/>
          <w:lang w:val="en-US" w:eastAsia="en-GB"/>
        </w:rPr>
        <w:t xml:space="preserve"> and children’s organizations, in the planning, implementation, monitoring and evaluation of policies, plans and programmes related to children’s rights.</w:t>
      </w:r>
    </w:p>
    <w:p w:rsidR="00F1219C" w:rsidRPr="0049226E" w:rsidRDefault="00F1219C" w:rsidP="0004443A">
      <w:pPr>
        <w:pStyle w:val="H1G"/>
      </w:pPr>
      <w:r>
        <w:rPr>
          <w:szCs w:val="24"/>
          <w:lang w:val="en-US"/>
        </w:rPr>
        <w:tab/>
      </w:r>
      <w:r>
        <w:rPr>
          <w:lang w:val="en-US"/>
        </w:rPr>
        <w:t>B.</w:t>
      </w:r>
      <w:r>
        <w:rPr>
          <w:lang w:val="en-US"/>
        </w:rPr>
        <w:tab/>
        <w:t>General principles (arts. 2, 3, 6 and 12)</w:t>
      </w:r>
    </w:p>
    <w:p w:rsidR="00F1219C" w:rsidRDefault="00F1219C" w:rsidP="00F1219C">
      <w:pPr>
        <w:pStyle w:val="H23G"/>
        <w:rPr>
          <w:lang w:val="en-US"/>
        </w:rPr>
      </w:pPr>
      <w:r>
        <w:rPr>
          <w:lang w:val="en-US"/>
        </w:rPr>
        <w:tab/>
      </w:r>
      <w:r>
        <w:rPr>
          <w:lang w:val="en-US"/>
        </w:rPr>
        <w:tab/>
        <w:t>Non-discrimination</w:t>
      </w:r>
    </w:p>
    <w:p w:rsidR="00F1219C" w:rsidRPr="001176CA" w:rsidRDefault="0049226E" w:rsidP="0049226E">
      <w:pPr>
        <w:pStyle w:val="SingleTxtG"/>
        <w:rPr>
          <w:lang w:val="en-US"/>
        </w:rPr>
      </w:pPr>
      <w:r w:rsidRPr="001176CA">
        <w:rPr>
          <w:lang w:val="en-US"/>
        </w:rPr>
        <w:t>23.</w:t>
      </w:r>
      <w:r w:rsidRPr="001176CA">
        <w:rPr>
          <w:lang w:val="en-US"/>
        </w:rPr>
        <w:tab/>
      </w:r>
      <w:r w:rsidR="00F1219C" w:rsidRPr="001176CA">
        <w:rPr>
          <w:rFonts w:eastAsia="Malgun Gothic"/>
          <w:lang w:val="en-US" w:eastAsia="zh-CN"/>
        </w:rPr>
        <w:t xml:space="preserve">The Committee is concerned </w:t>
      </w:r>
      <w:r w:rsidR="00FA790B">
        <w:rPr>
          <w:bCs/>
          <w:lang w:val="en-US" w:eastAsia="de-DE"/>
        </w:rPr>
        <w:t xml:space="preserve">about the persistence of </w:t>
      </w:r>
      <w:r w:rsidR="00F1219C" w:rsidRPr="001176CA">
        <w:rPr>
          <w:bCs/>
          <w:lang w:val="en-US" w:eastAsia="de-DE"/>
        </w:rPr>
        <w:t>discrimination against girls under the personal status law</w:t>
      </w:r>
      <w:r w:rsidR="00A34764" w:rsidRPr="001176CA">
        <w:rPr>
          <w:bCs/>
          <w:lang w:val="en-US" w:eastAsia="de-DE"/>
        </w:rPr>
        <w:t>,</w:t>
      </w:r>
      <w:r w:rsidR="00F1219C" w:rsidRPr="001176CA">
        <w:rPr>
          <w:bCs/>
          <w:lang w:val="en-US" w:eastAsia="de-DE"/>
        </w:rPr>
        <w:t xml:space="preserve"> notably in the field of </w:t>
      </w:r>
      <w:r w:rsidR="00F1219C" w:rsidRPr="001176CA">
        <w:rPr>
          <w:lang w:val="en-US" w:eastAsia="fr-FR"/>
        </w:rPr>
        <w:t>inheritance</w:t>
      </w:r>
      <w:r w:rsidR="006678B4" w:rsidRPr="001176CA">
        <w:rPr>
          <w:lang w:val="en-US" w:eastAsia="fr-FR"/>
        </w:rPr>
        <w:t xml:space="preserve"> and</w:t>
      </w:r>
      <w:r w:rsidR="00F1219C" w:rsidRPr="001176CA">
        <w:rPr>
          <w:lang w:val="en-US" w:eastAsia="fr-FR"/>
        </w:rPr>
        <w:t xml:space="preserve"> custody</w:t>
      </w:r>
      <w:r w:rsidR="006678B4" w:rsidRPr="001176CA">
        <w:rPr>
          <w:lang w:val="en-US" w:eastAsia="fr-FR"/>
        </w:rPr>
        <w:t>,</w:t>
      </w:r>
      <w:r w:rsidR="00F1219C" w:rsidRPr="001176CA">
        <w:rPr>
          <w:lang w:val="en-US" w:eastAsia="fr-FR"/>
        </w:rPr>
        <w:t xml:space="preserve"> </w:t>
      </w:r>
      <w:r w:rsidR="00F1219C" w:rsidRPr="001176CA">
        <w:rPr>
          <w:rFonts w:eastAsia="Malgun Gothic"/>
          <w:lang w:val="en-US" w:eastAsia="zh-CN"/>
        </w:rPr>
        <w:t xml:space="preserve">and that no information was provided by the State party on the measures taken </w:t>
      </w:r>
      <w:r w:rsidR="00F1219C" w:rsidRPr="001176CA">
        <w:rPr>
          <w:bCs/>
          <w:lang w:val="en-US" w:eastAsia="de-DE"/>
        </w:rPr>
        <w:t>to prevent and eliminate gender-based discrimination</w:t>
      </w:r>
      <w:r w:rsidR="00F1219C" w:rsidRPr="001176CA">
        <w:rPr>
          <w:lang w:val="en-US" w:eastAsia="fr-FR"/>
        </w:rPr>
        <w:t xml:space="preserve">. The Committee is also concerned that certain rights under the Constitution </w:t>
      </w:r>
      <w:r w:rsidR="00F1219C" w:rsidRPr="001176CA">
        <w:rPr>
          <w:lang w:val="en-US" w:eastAsia="de-DE"/>
        </w:rPr>
        <w:t xml:space="preserve">are guaranteed </w:t>
      </w:r>
      <w:r w:rsidR="00A34764" w:rsidRPr="001176CA">
        <w:rPr>
          <w:lang w:val="en-US" w:eastAsia="de-DE"/>
        </w:rPr>
        <w:t xml:space="preserve">only </w:t>
      </w:r>
      <w:r w:rsidR="00F1219C" w:rsidRPr="001176CA">
        <w:rPr>
          <w:lang w:val="en-US" w:eastAsia="de-DE"/>
        </w:rPr>
        <w:t xml:space="preserve">to citizens and not to non-citizens residing on the territory of the State party and that </w:t>
      </w:r>
      <w:r w:rsidR="001176CA" w:rsidRPr="0049226E">
        <w:rPr>
          <w:i/>
          <w:iCs/>
          <w:lang w:val="en-US" w:eastAsia="de-DE"/>
        </w:rPr>
        <w:t>b</w:t>
      </w:r>
      <w:r w:rsidR="00F1219C" w:rsidRPr="0049226E">
        <w:rPr>
          <w:i/>
          <w:iCs/>
          <w:lang w:val="en-US" w:eastAsia="de-DE"/>
        </w:rPr>
        <w:t>idoon</w:t>
      </w:r>
      <w:r w:rsidR="00F1219C" w:rsidRPr="001176CA">
        <w:rPr>
          <w:lang w:val="en-US" w:eastAsia="de-DE"/>
        </w:rPr>
        <w:t xml:space="preserve"> children and </w:t>
      </w:r>
      <w:r w:rsidR="00F1219C" w:rsidRPr="001176CA">
        <w:rPr>
          <w:bCs/>
          <w:lang w:val="en-US" w:eastAsia="de-DE"/>
        </w:rPr>
        <w:t>children born out of wedlock</w:t>
      </w:r>
      <w:r w:rsidR="00F1219C" w:rsidRPr="001176CA">
        <w:rPr>
          <w:lang w:val="en-US" w:eastAsia="de-DE"/>
        </w:rPr>
        <w:t xml:space="preserve"> continue to experience serious discrimination </w:t>
      </w:r>
      <w:r w:rsidR="00FA790B">
        <w:rPr>
          <w:lang w:val="en-US" w:eastAsia="de-DE"/>
        </w:rPr>
        <w:t>in relation to</w:t>
      </w:r>
      <w:r w:rsidR="00F1219C" w:rsidRPr="001176CA">
        <w:rPr>
          <w:lang w:val="en-US" w:eastAsia="de-DE"/>
        </w:rPr>
        <w:t xml:space="preserve"> the enjoyment of their rights under the Convention.</w:t>
      </w:r>
    </w:p>
    <w:p w:rsidR="00F1219C" w:rsidRDefault="0049226E" w:rsidP="0049226E">
      <w:pPr>
        <w:pStyle w:val="SingleTxtG"/>
        <w:rPr>
          <w:lang w:val="en-US"/>
        </w:rPr>
      </w:pPr>
      <w:r>
        <w:rPr>
          <w:lang w:val="en-US"/>
        </w:rPr>
        <w:t>24.</w:t>
      </w:r>
      <w:r>
        <w:rPr>
          <w:lang w:val="en-US"/>
        </w:rPr>
        <w:tab/>
      </w:r>
      <w:r w:rsidR="00F1219C">
        <w:rPr>
          <w:rFonts w:eastAsia="Malgun Gothic"/>
          <w:b/>
          <w:lang w:val="en-US" w:eastAsia="zh-CN"/>
        </w:rPr>
        <w:t xml:space="preserve">The Committee reminds the State party that the obligation to combat all forms of discrimination is an immediate obligation and urges it to take all appropriate measures to repeal all laws and eliminate all practices that discriminate against girls. Active measures should also be taken to </w:t>
      </w:r>
      <w:r w:rsidR="00F1219C" w:rsidRPr="00A34764">
        <w:rPr>
          <w:rFonts w:eastAsia="Malgun Gothic"/>
          <w:b/>
          <w:lang w:val="en-US" w:eastAsia="zh-CN"/>
        </w:rPr>
        <w:t>eliminate de jure and de facto discrimination</w:t>
      </w:r>
      <w:r w:rsidR="00F1219C">
        <w:rPr>
          <w:rFonts w:eastAsia="Malgun Gothic"/>
          <w:b/>
          <w:lang w:val="en-US" w:eastAsia="zh-CN"/>
        </w:rPr>
        <w:t xml:space="preserve"> against children born out of wedlock, </w:t>
      </w:r>
      <w:r w:rsidR="00FA790B">
        <w:rPr>
          <w:rFonts w:eastAsia="Malgun Gothic"/>
          <w:b/>
          <w:lang w:val="en-US" w:eastAsia="zh-CN"/>
        </w:rPr>
        <w:t xml:space="preserve">as well as </w:t>
      </w:r>
      <w:r w:rsidR="0054651F">
        <w:rPr>
          <w:rFonts w:eastAsia="Malgun Gothic"/>
          <w:b/>
          <w:lang w:val="en-US" w:eastAsia="zh-CN"/>
        </w:rPr>
        <w:t xml:space="preserve">children who are not citizens of the State party </w:t>
      </w:r>
      <w:r w:rsidR="00F1219C">
        <w:rPr>
          <w:rFonts w:eastAsia="Malgun Gothic"/>
          <w:b/>
          <w:lang w:val="en-US" w:eastAsia="zh-CN"/>
        </w:rPr>
        <w:t xml:space="preserve">and </w:t>
      </w:r>
      <w:r w:rsidR="001176CA" w:rsidRPr="0049226E">
        <w:rPr>
          <w:rFonts w:eastAsia="Malgun Gothic"/>
          <w:b/>
          <w:i/>
          <w:iCs/>
          <w:lang w:val="en-US" w:eastAsia="zh-CN"/>
        </w:rPr>
        <w:t>b</w:t>
      </w:r>
      <w:r w:rsidR="00F1219C" w:rsidRPr="0049226E">
        <w:rPr>
          <w:rFonts w:eastAsia="Malgun Gothic"/>
          <w:b/>
          <w:i/>
          <w:iCs/>
          <w:lang w:val="en-US" w:eastAsia="zh-CN"/>
        </w:rPr>
        <w:t>idoon</w:t>
      </w:r>
      <w:r w:rsidR="00F1219C">
        <w:rPr>
          <w:rFonts w:eastAsia="Malgun Gothic"/>
          <w:b/>
          <w:lang w:val="en-US" w:eastAsia="zh-CN"/>
        </w:rPr>
        <w:t xml:space="preserve"> children.</w:t>
      </w:r>
    </w:p>
    <w:p w:rsidR="00F1219C" w:rsidRDefault="0049226E" w:rsidP="0049226E">
      <w:pPr>
        <w:pStyle w:val="SingleTxtG"/>
        <w:rPr>
          <w:lang w:val="en-US"/>
        </w:rPr>
      </w:pPr>
      <w:r>
        <w:rPr>
          <w:lang w:val="en-US"/>
        </w:rPr>
        <w:t>25.</w:t>
      </w:r>
      <w:r>
        <w:rPr>
          <w:lang w:val="en-US"/>
        </w:rPr>
        <w:tab/>
      </w:r>
      <w:r w:rsidR="00F1219C">
        <w:rPr>
          <w:rFonts w:eastAsia="Malgun Gothic"/>
          <w:lang w:val="en-US" w:eastAsia="zh-CN"/>
        </w:rPr>
        <w:t xml:space="preserve">The Committee is </w:t>
      </w:r>
      <w:r w:rsidR="00F1219C" w:rsidRPr="001176CA">
        <w:rPr>
          <w:rFonts w:eastAsia="Malgun Gothic"/>
          <w:lang w:val="en-US" w:eastAsia="zh-CN"/>
        </w:rPr>
        <w:t xml:space="preserve">concerned about the situation of the children of human rights defenders convicted </w:t>
      </w:r>
      <w:r w:rsidR="006678B4" w:rsidRPr="001176CA">
        <w:t>in the context of the “UAE 94”</w:t>
      </w:r>
      <w:r w:rsidR="00F1219C" w:rsidRPr="001176CA">
        <w:t xml:space="preserve"> trial, whose rights to education, identity documents, freedom of movement and </w:t>
      </w:r>
      <w:r w:rsidR="00A34764" w:rsidRPr="001176CA">
        <w:t xml:space="preserve">maintenance of </w:t>
      </w:r>
      <w:r w:rsidR="00F1219C" w:rsidRPr="001176CA">
        <w:t>contact with</w:t>
      </w:r>
      <w:r w:rsidR="00F1219C">
        <w:t xml:space="preserve"> their detained parents have reportedly been seriously undermined.</w:t>
      </w:r>
    </w:p>
    <w:p w:rsidR="00F1219C" w:rsidRDefault="0049226E" w:rsidP="0049226E">
      <w:pPr>
        <w:pStyle w:val="SingleTxtG"/>
        <w:rPr>
          <w:b/>
          <w:lang w:val="en-US"/>
        </w:rPr>
      </w:pPr>
      <w:r>
        <w:rPr>
          <w:lang w:val="en-US"/>
        </w:rPr>
        <w:t>26.</w:t>
      </w:r>
      <w:r>
        <w:rPr>
          <w:lang w:val="en-US"/>
        </w:rPr>
        <w:tab/>
      </w:r>
      <w:r w:rsidR="00F1219C">
        <w:rPr>
          <w:b/>
        </w:rPr>
        <w:t xml:space="preserve">The Committee reminds the State party of its obligation </w:t>
      </w:r>
      <w:r w:rsidR="00F1219C">
        <w:rPr>
          <w:b/>
          <w:color w:val="000000"/>
        </w:rPr>
        <w:t>to ensure that children are protected against all forms of discrimination or punishment on the basis of the status, activities, expressed opinions or beliefs of their parents</w:t>
      </w:r>
      <w:r w:rsidR="00FA790B">
        <w:rPr>
          <w:b/>
          <w:color w:val="000000"/>
        </w:rPr>
        <w:t>,</w:t>
      </w:r>
      <w:r w:rsidR="00F1219C">
        <w:rPr>
          <w:b/>
          <w:color w:val="000000"/>
        </w:rPr>
        <w:t xml:space="preserve"> and therefore recommends that </w:t>
      </w:r>
      <w:r w:rsidR="00F1219C">
        <w:rPr>
          <w:b/>
        </w:rPr>
        <w:t xml:space="preserve">the State party put an end to all forms of discrimination experienced by </w:t>
      </w:r>
      <w:r w:rsidR="00FA790B">
        <w:rPr>
          <w:b/>
        </w:rPr>
        <w:t xml:space="preserve">the </w:t>
      </w:r>
      <w:r w:rsidR="00F1219C">
        <w:rPr>
          <w:b/>
        </w:rPr>
        <w:t>children of human rights defenders and political opponents.</w:t>
      </w:r>
    </w:p>
    <w:p w:rsidR="00F1219C" w:rsidRDefault="00F1219C" w:rsidP="00F1219C">
      <w:pPr>
        <w:pStyle w:val="H23G"/>
        <w:ind w:left="0" w:firstLine="0"/>
        <w:rPr>
          <w:lang w:val="en-US"/>
        </w:rPr>
      </w:pPr>
      <w:r>
        <w:rPr>
          <w:rFonts w:eastAsia="Malgun Gothic"/>
          <w:sz w:val="24"/>
          <w:szCs w:val="24"/>
          <w:lang w:val="en-US"/>
        </w:rPr>
        <w:tab/>
      </w:r>
      <w:r>
        <w:rPr>
          <w:rFonts w:eastAsia="Malgun Gothic"/>
          <w:sz w:val="24"/>
          <w:szCs w:val="24"/>
          <w:lang w:val="en-US"/>
        </w:rPr>
        <w:tab/>
      </w:r>
      <w:r>
        <w:rPr>
          <w:lang w:val="en-US"/>
        </w:rPr>
        <w:t>Best interests of the child</w:t>
      </w:r>
    </w:p>
    <w:p w:rsidR="00F1219C" w:rsidRDefault="0049226E" w:rsidP="0049226E">
      <w:pPr>
        <w:pStyle w:val="SingleTxtG"/>
        <w:rPr>
          <w:lang w:val="en-US" w:eastAsia="fr-FR"/>
        </w:rPr>
      </w:pPr>
      <w:r>
        <w:rPr>
          <w:lang w:val="en-US" w:eastAsia="fr-FR"/>
        </w:rPr>
        <w:t>27.</w:t>
      </w:r>
      <w:r>
        <w:rPr>
          <w:lang w:val="en-US" w:eastAsia="fr-FR"/>
        </w:rPr>
        <w:tab/>
      </w:r>
      <w:r w:rsidR="00F1219C">
        <w:rPr>
          <w:lang w:val="en-US" w:eastAsia="fr-FR"/>
        </w:rPr>
        <w:t>The Committee reiterates its concern (</w:t>
      </w:r>
      <w:r w:rsidR="00A34764">
        <w:rPr>
          <w:lang w:val="en-US" w:eastAsia="fr-FR"/>
        </w:rPr>
        <w:t xml:space="preserve">see </w:t>
      </w:r>
      <w:r w:rsidR="00F1219C">
        <w:rPr>
          <w:lang w:val="en-US" w:eastAsia="fr-FR"/>
        </w:rPr>
        <w:t>CRC/C/15/Add.183</w:t>
      </w:r>
      <w:r w:rsidR="006E7B7B">
        <w:rPr>
          <w:lang w:val="en-US" w:eastAsia="fr-FR"/>
        </w:rPr>
        <w:t>,</w:t>
      </w:r>
      <w:r w:rsidR="00F1219C">
        <w:rPr>
          <w:lang w:val="en-US" w:eastAsia="fr-FR"/>
        </w:rPr>
        <w:t xml:space="preserve"> para.</w:t>
      </w:r>
      <w:r w:rsidR="006E7B7B">
        <w:rPr>
          <w:lang w:val="en-US" w:eastAsia="fr-FR"/>
        </w:rPr>
        <w:t xml:space="preserve"> </w:t>
      </w:r>
      <w:r w:rsidR="00F1219C">
        <w:rPr>
          <w:lang w:val="en-US" w:eastAsia="fr-FR"/>
        </w:rPr>
        <w:t xml:space="preserve">26) that the right </w:t>
      </w:r>
      <w:r w:rsidR="00F1219C">
        <w:rPr>
          <w:lang w:val="en-US"/>
        </w:rPr>
        <w:t>of the child to have his or her best interests taken as a primary consideration</w:t>
      </w:r>
      <w:r w:rsidR="00F1219C">
        <w:rPr>
          <w:lang w:val="en-US" w:eastAsia="fr-FR"/>
        </w:rPr>
        <w:t xml:space="preserve"> is not always respected</w:t>
      </w:r>
      <w:r w:rsidR="00A34764">
        <w:rPr>
          <w:lang w:val="en-US" w:eastAsia="fr-FR"/>
        </w:rPr>
        <w:t xml:space="preserve">, for </w:t>
      </w:r>
      <w:r w:rsidR="00FF697D">
        <w:rPr>
          <w:lang w:val="en-US" w:eastAsia="fr-FR"/>
        </w:rPr>
        <w:t>example</w:t>
      </w:r>
      <w:r w:rsidR="00F1219C">
        <w:rPr>
          <w:lang w:val="en-US" w:eastAsia="fr-FR"/>
        </w:rPr>
        <w:t xml:space="preserve"> in matters relating to family law. The Committee is particularly concerned that judges often consider underage marriage as being in the best interests of the girl child, a situation which reveals a misunderstanding of the concept of best interests and leads to multiple violations of girls</w:t>
      </w:r>
      <w:r w:rsidR="006678B4">
        <w:rPr>
          <w:lang w:val="en-US" w:eastAsia="fr-FR"/>
        </w:rPr>
        <w:t xml:space="preserve">’ </w:t>
      </w:r>
      <w:r w:rsidR="00F1219C">
        <w:rPr>
          <w:lang w:val="en-US" w:eastAsia="fr-FR"/>
        </w:rPr>
        <w:t>rights.</w:t>
      </w:r>
    </w:p>
    <w:p w:rsidR="00F1219C" w:rsidRPr="0049226E" w:rsidRDefault="0049226E" w:rsidP="0049226E">
      <w:pPr>
        <w:pStyle w:val="SingleTxtG"/>
        <w:rPr>
          <w:b/>
          <w:lang w:val="en-US" w:eastAsia="en-GB"/>
        </w:rPr>
      </w:pPr>
      <w:r w:rsidRPr="0049226E">
        <w:rPr>
          <w:lang w:val="en-US" w:eastAsia="en-GB"/>
        </w:rPr>
        <w:t>28.</w:t>
      </w:r>
      <w:r w:rsidRPr="0049226E">
        <w:rPr>
          <w:lang w:val="en-US" w:eastAsia="en-GB"/>
        </w:rPr>
        <w:tab/>
      </w:r>
      <w:r w:rsidR="00F1219C">
        <w:rPr>
          <w:b/>
          <w:lang w:val="en-US" w:eastAsia="fr-FR"/>
        </w:rPr>
        <w:t>In</w:t>
      </w:r>
      <w:r w:rsidR="00F1219C">
        <w:rPr>
          <w:rFonts w:eastAsia="Malgun Gothic"/>
          <w:b/>
          <w:lang w:val="en-US" w:eastAsia="zh-CN"/>
        </w:rPr>
        <w:t xml:space="preserve"> the light of </w:t>
      </w:r>
      <w:r w:rsidR="00F1219C" w:rsidRPr="004F4C66">
        <w:rPr>
          <w:rFonts w:eastAsia="Malgun Gothic"/>
          <w:b/>
          <w:lang w:val="en-US" w:eastAsia="zh-CN"/>
        </w:rPr>
        <w:t xml:space="preserve">its </w:t>
      </w:r>
      <w:r w:rsidR="00F1219C" w:rsidRPr="004F4C66">
        <w:rPr>
          <w:b/>
          <w:lang w:val="en-US"/>
        </w:rPr>
        <w:t>general comment No</w:t>
      </w:r>
      <w:r w:rsidR="00CF1D61" w:rsidRPr="004F4C66">
        <w:rPr>
          <w:b/>
          <w:lang w:val="en-US"/>
        </w:rPr>
        <w:t>.</w:t>
      </w:r>
      <w:r w:rsidR="00F1219C" w:rsidRPr="004F4C66">
        <w:rPr>
          <w:b/>
          <w:lang w:val="en-US"/>
        </w:rPr>
        <w:t xml:space="preserve"> 14 (2013) on the right of the</w:t>
      </w:r>
      <w:r w:rsidR="00F1219C" w:rsidRPr="004F4C66">
        <w:rPr>
          <w:b/>
          <w:sz w:val="24"/>
          <w:szCs w:val="24"/>
          <w:lang w:val="en-US"/>
        </w:rPr>
        <w:t xml:space="preserve"> </w:t>
      </w:r>
      <w:r w:rsidR="00F1219C" w:rsidRPr="004F4C66">
        <w:rPr>
          <w:b/>
          <w:lang w:val="en-US"/>
        </w:rPr>
        <w:t>child to have his or her best interests taken as a primary consideration, the Committee recommends that the State party strengthen its efforts to ensure that this right is appropriately integrated and consistently applied in all legislative, administrative and judicial proceedings and decisions</w:t>
      </w:r>
      <w:r w:rsidR="00A34764" w:rsidRPr="004F4C66">
        <w:rPr>
          <w:b/>
          <w:lang w:val="en-US"/>
        </w:rPr>
        <w:t>,</w:t>
      </w:r>
      <w:r w:rsidR="00F1219C" w:rsidRPr="004F4C66">
        <w:rPr>
          <w:b/>
          <w:lang w:val="en-US"/>
        </w:rPr>
        <w:t xml:space="preserve"> as well as in all policies, programmes and projects</w:t>
      </w:r>
      <w:r w:rsidR="00F1219C">
        <w:rPr>
          <w:b/>
          <w:lang w:val="en-US"/>
        </w:rPr>
        <w:t xml:space="preserve"> that are relevant to and have an impact on children. </w:t>
      </w:r>
      <w:r w:rsidR="00F1219C">
        <w:rPr>
          <w:b/>
          <w:lang w:val="en-US" w:eastAsia="de-DE"/>
        </w:rPr>
        <w:t xml:space="preserve">In this regard, the State party is encouraged to develop procedures and criteria to provide guidance to all relevant persons in authority for determining the best interests of the child in every area and for giving </w:t>
      </w:r>
      <w:r w:rsidR="00603FF8">
        <w:rPr>
          <w:b/>
          <w:lang w:val="en-US" w:eastAsia="de-DE"/>
        </w:rPr>
        <w:t xml:space="preserve">those interests </w:t>
      </w:r>
      <w:r w:rsidR="00F1219C">
        <w:rPr>
          <w:b/>
          <w:lang w:val="en-US" w:eastAsia="de-DE"/>
        </w:rPr>
        <w:t xml:space="preserve">due weight as a primary consideration in order to avoid misconceptions </w:t>
      </w:r>
      <w:r w:rsidR="00603FF8">
        <w:rPr>
          <w:b/>
          <w:lang w:val="en-US" w:eastAsia="de-DE"/>
        </w:rPr>
        <w:t xml:space="preserve">with regard to </w:t>
      </w:r>
      <w:r w:rsidR="00F1219C">
        <w:rPr>
          <w:b/>
          <w:lang w:val="en-US" w:eastAsia="de-DE"/>
        </w:rPr>
        <w:t xml:space="preserve">this right </w:t>
      </w:r>
      <w:r w:rsidR="00603FF8">
        <w:rPr>
          <w:b/>
          <w:lang w:val="en-US" w:eastAsia="de-DE"/>
        </w:rPr>
        <w:t xml:space="preserve">in relation </w:t>
      </w:r>
      <w:r w:rsidR="00F1219C">
        <w:rPr>
          <w:b/>
          <w:lang w:val="en-US" w:eastAsia="de-DE"/>
        </w:rPr>
        <w:t>to girls.</w:t>
      </w:r>
    </w:p>
    <w:p w:rsidR="00F1219C" w:rsidRDefault="00F1219C" w:rsidP="00F1219C">
      <w:pPr>
        <w:pStyle w:val="H23G"/>
        <w:rPr>
          <w:rFonts w:eastAsia="Malgun Gothic"/>
          <w:bCs/>
          <w:lang w:val="en-US" w:eastAsia="zh-CN"/>
        </w:rPr>
      </w:pPr>
      <w:r>
        <w:rPr>
          <w:rFonts w:eastAsia="Malgun Gothic"/>
          <w:sz w:val="24"/>
          <w:szCs w:val="24"/>
          <w:lang w:val="en-US" w:eastAsia="zh-CN"/>
        </w:rPr>
        <w:tab/>
      </w:r>
      <w:r>
        <w:rPr>
          <w:rFonts w:eastAsia="Malgun Gothic"/>
          <w:lang w:val="en-US" w:eastAsia="zh-CN"/>
        </w:rPr>
        <w:tab/>
        <w:t>Right to life, survival and development</w:t>
      </w:r>
    </w:p>
    <w:p w:rsidR="00F1219C" w:rsidRDefault="0049226E" w:rsidP="0049226E">
      <w:pPr>
        <w:pStyle w:val="SingleTxtG"/>
        <w:rPr>
          <w:lang w:val="en-US"/>
        </w:rPr>
      </w:pPr>
      <w:r>
        <w:rPr>
          <w:lang w:val="en-US"/>
        </w:rPr>
        <w:t>29.</w:t>
      </w:r>
      <w:r>
        <w:rPr>
          <w:lang w:val="en-US"/>
        </w:rPr>
        <w:tab/>
      </w:r>
      <w:r w:rsidR="00F1219C">
        <w:rPr>
          <w:lang w:val="en-US"/>
        </w:rPr>
        <w:t>The Committee is concerned that</w:t>
      </w:r>
      <w:r w:rsidR="00603FF8">
        <w:rPr>
          <w:lang w:val="en-US"/>
        </w:rPr>
        <w:t>,</w:t>
      </w:r>
      <w:r w:rsidR="00F1219C">
        <w:rPr>
          <w:lang w:val="en-US"/>
        </w:rPr>
        <w:t xml:space="preserve"> in spite of all measures taken, road accidents</w:t>
      </w:r>
      <w:r w:rsidR="00F1219C">
        <w:rPr>
          <w:lang w:val="en-US" w:eastAsia="de-DE"/>
        </w:rPr>
        <w:t xml:space="preserve"> continue to be one of the leading causes of death among adolescent</w:t>
      </w:r>
      <w:r w:rsidR="00603FF8">
        <w:rPr>
          <w:lang w:val="en-US" w:eastAsia="de-DE"/>
        </w:rPr>
        <w:t>s</w:t>
      </w:r>
      <w:r w:rsidR="00F1219C">
        <w:rPr>
          <w:lang w:val="en-US" w:eastAsia="de-DE"/>
        </w:rPr>
        <w:t xml:space="preserve"> as reported by the State party</w:t>
      </w:r>
      <w:r w:rsidR="00F1219C">
        <w:rPr>
          <w:lang w:val="en-US"/>
        </w:rPr>
        <w:t>.</w:t>
      </w:r>
    </w:p>
    <w:p w:rsidR="00F1219C" w:rsidRDefault="0049226E" w:rsidP="0049226E">
      <w:pPr>
        <w:pStyle w:val="SingleTxtG"/>
        <w:rPr>
          <w:b/>
          <w:lang w:val="en-US"/>
        </w:rPr>
      </w:pPr>
      <w:r>
        <w:rPr>
          <w:lang w:val="en-US"/>
        </w:rPr>
        <w:t>30.</w:t>
      </w:r>
      <w:r>
        <w:rPr>
          <w:lang w:val="en-US"/>
        </w:rPr>
        <w:tab/>
      </w:r>
      <w:r w:rsidR="00F1219C">
        <w:rPr>
          <w:b/>
          <w:lang w:val="en-US"/>
        </w:rPr>
        <w:t xml:space="preserve">The Committee recommends </w:t>
      </w:r>
      <w:r w:rsidR="006678B4">
        <w:rPr>
          <w:b/>
          <w:lang w:val="en-US"/>
        </w:rPr>
        <w:t xml:space="preserve">that the State party strengthen </w:t>
      </w:r>
      <w:r w:rsidR="00F1219C">
        <w:rPr>
          <w:b/>
          <w:lang w:val="en-US"/>
        </w:rPr>
        <w:t xml:space="preserve">measures </w:t>
      </w:r>
      <w:r w:rsidR="006678B4">
        <w:rPr>
          <w:b/>
          <w:lang w:val="en-US"/>
        </w:rPr>
        <w:t xml:space="preserve">and programmes </w:t>
      </w:r>
      <w:r w:rsidR="00F1219C">
        <w:rPr>
          <w:b/>
          <w:lang w:val="en-US"/>
        </w:rPr>
        <w:t>to prevent children from becoming victims of road accidents.</w:t>
      </w:r>
    </w:p>
    <w:p w:rsidR="00F1219C" w:rsidRDefault="001535F4" w:rsidP="001535F4">
      <w:pPr>
        <w:pStyle w:val="H23G"/>
        <w:rPr>
          <w:rFonts w:eastAsia="Malgun Gothic"/>
          <w:lang w:val="en-US" w:eastAsia="zh-CN"/>
        </w:rPr>
      </w:pPr>
      <w:r>
        <w:rPr>
          <w:rFonts w:eastAsia="Malgun Gothic"/>
          <w:lang w:val="en-US" w:eastAsia="zh-CN"/>
        </w:rPr>
        <w:tab/>
      </w:r>
      <w:r>
        <w:rPr>
          <w:rFonts w:eastAsia="Malgun Gothic"/>
          <w:lang w:val="en-US" w:eastAsia="zh-CN"/>
        </w:rPr>
        <w:tab/>
      </w:r>
      <w:r w:rsidR="00F1219C">
        <w:rPr>
          <w:rFonts w:eastAsia="Malgun Gothic"/>
          <w:lang w:val="en-US" w:eastAsia="zh-CN"/>
        </w:rPr>
        <w:t>Respect for the views of the child</w:t>
      </w:r>
    </w:p>
    <w:p w:rsidR="00F1219C" w:rsidRPr="00EE1711" w:rsidRDefault="0049226E" w:rsidP="0049226E">
      <w:pPr>
        <w:pStyle w:val="SingleTxtG"/>
        <w:rPr>
          <w:rFonts w:eastAsia="Malgun Gothic"/>
          <w:b/>
          <w:lang w:val="en-US" w:eastAsia="zh-CN"/>
        </w:rPr>
      </w:pPr>
      <w:r w:rsidRPr="00EE1711">
        <w:rPr>
          <w:rFonts w:eastAsia="Malgun Gothic"/>
          <w:lang w:val="en-US" w:eastAsia="zh-CN"/>
        </w:rPr>
        <w:t>31.</w:t>
      </w:r>
      <w:r w:rsidRPr="00EE1711">
        <w:rPr>
          <w:rFonts w:eastAsia="Malgun Gothic"/>
          <w:lang w:val="en-US" w:eastAsia="zh-CN"/>
        </w:rPr>
        <w:tab/>
      </w:r>
      <w:r w:rsidR="00F1219C" w:rsidRPr="00EE1711">
        <w:rPr>
          <w:lang w:val="en-US"/>
        </w:rPr>
        <w:t xml:space="preserve">The Committee notes the information provided by the State party according to which the </w:t>
      </w:r>
      <w:r w:rsidR="00603FF8" w:rsidRPr="00EE1711">
        <w:rPr>
          <w:lang w:val="en-US"/>
        </w:rPr>
        <w:t>e</w:t>
      </w:r>
      <w:r w:rsidR="00F1219C" w:rsidRPr="00EE1711">
        <w:rPr>
          <w:lang w:val="en-US"/>
        </w:rPr>
        <w:t>mirates are in the process of forming a children</w:t>
      </w:r>
      <w:r w:rsidR="00A34764" w:rsidRPr="00EE1711">
        <w:rPr>
          <w:lang w:val="en-US"/>
        </w:rPr>
        <w:t>'s</w:t>
      </w:r>
      <w:r w:rsidR="00F1219C" w:rsidRPr="00EE1711">
        <w:rPr>
          <w:lang w:val="en-US"/>
        </w:rPr>
        <w:t xml:space="preserve"> parliament that will represent all children of the State. The Committee nevertheless remains concerned about the </w:t>
      </w:r>
      <w:r w:rsidR="00A34764" w:rsidRPr="00EE1711">
        <w:rPr>
          <w:lang w:val="en-US"/>
        </w:rPr>
        <w:t>represent</w:t>
      </w:r>
      <w:r w:rsidR="00E815AE" w:rsidRPr="0049226E">
        <w:rPr>
          <w:lang w:val="en-US"/>
        </w:rPr>
        <w:t>at</w:t>
      </w:r>
      <w:r w:rsidR="00A34764" w:rsidRPr="00EE1711">
        <w:rPr>
          <w:lang w:val="en-US"/>
        </w:rPr>
        <w:t xml:space="preserve">iveness </w:t>
      </w:r>
      <w:r w:rsidR="00F1219C" w:rsidRPr="00EE1711">
        <w:rPr>
          <w:lang w:val="en-US"/>
        </w:rPr>
        <w:t xml:space="preserve">of such </w:t>
      </w:r>
      <w:r w:rsidR="00A34764" w:rsidRPr="00EE1711">
        <w:rPr>
          <w:lang w:val="en-US"/>
        </w:rPr>
        <w:t xml:space="preserve">a </w:t>
      </w:r>
      <w:r w:rsidR="00F1219C" w:rsidRPr="00EE1711">
        <w:rPr>
          <w:lang w:val="en-US"/>
        </w:rPr>
        <w:t xml:space="preserve">parliament and </w:t>
      </w:r>
      <w:r w:rsidR="00F1219C" w:rsidRPr="00EE1711">
        <w:rPr>
          <w:lang w:val="en-US" w:eastAsia="fr-FR"/>
        </w:rPr>
        <w:t xml:space="preserve">traditional attitudes towards children in </w:t>
      </w:r>
      <w:r w:rsidR="00603FF8" w:rsidRPr="00EE1711">
        <w:rPr>
          <w:lang w:val="en-US" w:eastAsia="fr-FR"/>
        </w:rPr>
        <w:t xml:space="preserve">the </w:t>
      </w:r>
      <w:r w:rsidR="00F1219C" w:rsidRPr="00EE1711">
        <w:rPr>
          <w:lang w:val="en-US" w:eastAsia="fr-FR"/>
        </w:rPr>
        <w:t xml:space="preserve">society </w:t>
      </w:r>
      <w:r w:rsidR="00A34764" w:rsidRPr="00EE1711">
        <w:rPr>
          <w:lang w:val="en-US" w:eastAsia="fr-FR"/>
        </w:rPr>
        <w:t xml:space="preserve">which </w:t>
      </w:r>
      <w:r w:rsidR="00F1219C" w:rsidRPr="00EE1711">
        <w:rPr>
          <w:lang w:val="en-US" w:eastAsia="fr-FR"/>
        </w:rPr>
        <w:t>continue to limit respect for their views, especially within the family and in schools.</w:t>
      </w:r>
    </w:p>
    <w:p w:rsidR="00F1219C" w:rsidRDefault="0049226E" w:rsidP="0049226E">
      <w:pPr>
        <w:pStyle w:val="SingleTxtG"/>
        <w:rPr>
          <w:rFonts w:eastAsia="Malgun Gothic"/>
          <w:b/>
          <w:lang w:val="en-US" w:eastAsia="zh-CN"/>
        </w:rPr>
      </w:pPr>
      <w:r>
        <w:rPr>
          <w:rFonts w:eastAsia="Malgun Gothic"/>
          <w:lang w:val="en-US" w:eastAsia="zh-CN"/>
        </w:rPr>
        <w:t>32.</w:t>
      </w:r>
      <w:r>
        <w:rPr>
          <w:rFonts w:eastAsia="Malgun Gothic"/>
          <w:lang w:val="en-US" w:eastAsia="zh-CN"/>
        </w:rPr>
        <w:tab/>
      </w:r>
      <w:r w:rsidR="00F1219C">
        <w:rPr>
          <w:rFonts w:eastAsia="Malgun Gothic"/>
          <w:b/>
          <w:lang w:val="en-US" w:eastAsia="zh-CN"/>
        </w:rPr>
        <w:t xml:space="preserve">In the light of its general comment No. 12 (2009) on the right of the child to be heard, the Committee recommends that </w:t>
      </w:r>
      <w:r w:rsidR="006678B4">
        <w:rPr>
          <w:rFonts w:eastAsia="Malgun Gothic"/>
          <w:b/>
          <w:lang w:val="en-US" w:eastAsia="zh-CN"/>
        </w:rPr>
        <w:t>the State party</w:t>
      </w:r>
      <w:r w:rsidR="00F1219C">
        <w:rPr>
          <w:rFonts w:eastAsia="Malgun Gothic"/>
          <w:b/>
          <w:lang w:val="en-US" w:eastAsia="zh-CN"/>
        </w:rPr>
        <w:t xml:space="preserve"> take measures to strengthen this right in accordance with article 12 of the Convention. To that effect, it recommends that the State party: </w:t>
      </w:r>
    </w:p>
    <w:p w:rsidR="00F1219C" w:rsidRDefault="002C4D34">
      <w:pPr>
        <w:pStyle w:val="SingleTxtG"/>
        <w:ind w:firstLine="567"/>
        <w:rPr>
          <w:rFonts w:eastAsia="Calibri"/>
          <w:b/>
          <w:lang w:val="en-US"/>
        </w:rPr>
      </w:pPr>
      <w:r w:rsidRPr="0049226E">
        <w:rPr>
          <w:rFonts w:eastAsia="Calibri"/>
          <w:bCs/>
          <w:lang w:val="en-US"/>
        </w:rPr>
        <w:t>(a)</w:t>
      </w:r>
      <w:r>
        <w:rPr>
          <w:rFonts w:eastAsia="Calibri"/>
          <w:b/>
          <w:lang w:val="en-US"/>
        </w:rPr>
        <w:tab/>
      </w:r>
      <w:r w:rsidR="00F1219C">
        <w:rPr>
          <w:b/>
          <w:lang w:val="en-US"/>
        </w:rPr>
        <w:t xml:space="preserve">Conduct research to identify the issues that are most important to children, </w:t>
      </w:r>
      <w:r w:rsidR="00E815AE">
        <w:rPr>
          <w:b/>
          <w:lang w:val="en-US"/>
        </w:rPr>
        <w:t xml:space="preserve">listen to </w:t>
      </w:r>
      <w:r w:rsidR="00F1219C">
        <w:rPr>
          <w:b/>
          <w:lang w:val="en-US"/>
        </w:rPr>
        <w:t xml:space="preserve">their views on those issues </w:t>
      </w:r>
      <w:r w:rsidR="00776D65">
        <w:rPr>
          <w:b/>
          <w:lang w:val="en-US"/>
        </w:rPr>
        <w:t xml:space="preserve">and </w:t>
      </w:r>
      <w:r w:rsidR="00F1219C">
        <w:rPr>
          <w:b/>
          <w:lang w:val="en-US"/>
        </w:rPr>
        <w:t xml:space="preserve">find out how well their voices are </w:t>
      </w:r>
      <w:r w:rsidR="00603FF8">
        <w:rPr>
          <w:b/>
          <w:lang w:val="en-US"/>
        </w:rPr>
        <w:t xml:space="preserve">being </w:t>
      </w:r>
      <w:r w:rsidR="00F1219C">
        <w:rPr>
          <w:b/>
          <w:lang w:val="en-US"/>
        </w:rPr>
        <w:t xml:space="preserve">heard in family decisions affecting their lives; </w:t>
      </w:r>
    </w:p>
    <w:p w:rsidR="00F1219C" w:rsidRDefault="002C4D34">
      <w:pPr>
        <w:pStyle w:val="SingleTxtG"/>
        <w:ind w:firstLine="567"/>
        <w:rPr>
          <w:rFonts w:eastAsia="Calibri"/>
          <w:b/>
          <w:lang w:val="en-US"/>
        </w:rPr>
      </w:pPr>
      <w:r w:rsidRPr="0049226E">
        <w:rPr>
          <w:rFonts w:eastAsia="Calibri"/>
          <w:bCs/>
          <w:lang w:val="en-US"/>
        </w:rPr>
        <w:t>(b)</w:t>
      </w:r>
      <w:r>
        <w:rPr>
          <w:rFonts w:eastAsia="Calibri"/>
          <w:b/>
          <w:lang w:val="en-US"/>
        </w:rPr>
        <w:tab/>
      </w:r>
      <w:r w:rsidR="00F1219C">
        <w:rPr>
          <w:rFonts w:eastAsia="Calibri"/>
          <w:b/>
          <w:lang w:val="en-US"/>
        </w:rPr>
        <w:t>Conduct programmes and awareness-raising activities to promote the meaningful and empowered participation of all children within the family, community and schools, including within the children</w:t>
      </w:r>
      <w:r w:rsidR="006678B4">
        <w:rPr>
          <w:rFonts w:eastAsia="Calibri"/>
          <w:b/>
          <w:lang w:val="en-US"/>
        </w:rPr>
        <w:t>’s</w:t>
      </w:r>
      <w:r w:rsidR="00F1219C">
        <w:rPr>
          <w:rFonts w:eastAsia="Calibri"/>
          <w:b/>
          <w:lang w:val="en-US"/>
        </w:rPr>
        <w:t xml:space="preserve"> parliament, </w:t>
      </w:r>
      <w:r w:rsidR="000D2720">
        <w:rPr>
          <w:rFonts w:eastAsia="Calibri"/>
          <w:b/>
          <w:lang w:val="en-US"/>
        </w:rPr>
        <w:t xml:space="preserve">paying </w:t>
      </w:r>
      <w:r w:rsidR="00F1219C">
        <w:rPr>
          <w:rFonts w:eastAsia="Calibri"/>
          <w:b/>
          <w:lang w:val="en-US"/>
        </w:rPr>
        <w:t>particular attention to girls and children in vulnerable situations;</w:t>
      </w:r>
    </w:p>
    <w:p w:rsidR="00F1219C" w:rsidRDefault="002C4D34" w:rsidP="002C4D34">
      <w:pPr>
        <w:spacing w:after="120"/>
        <w:ind w:left="1134" w:right="1134" w:firstLine="567"/>
        <w:jc w:val="both"/>
        <w:rPr>
          <w:rFonts w:eastAsia="Calibri"/>
          <w:b/>
          <w:lang w:val="en-US"/>
        </w:rPr>
      </w:pPr>
      <w:r w:rsidRPr="0049226E">
        <w:rPr>
          <w:rFonts w:eastAsia="Calibri"/>
          <w:bCs/>
          <w:lang w:val="en-US"/>
        </w:rPr>
        <w:t>(c)</w:t>
      </w:r>
      <w:r>
        <w:rPr>
          <w:rFonts w:eastAsia="Calibri"/>
          <w:b/>
          <w:lang w:val="en-US"/>
        </w:rPr>
        <w:tab/>
      </w:r>
      <w:r w:rsidR="00F1219C">
        <w:rPr>
          <w:b/>
          <w:lang w:val="en-US"/>
        </w:rPr>
        <w:t xml:space="preserve">Develop toolkits for public consultation on national policy development to standardize such consultation at a high level of inclusiveness and participation, including </w:t>
      </w:r>
      <w:r w:rsidR="00603FF8">
        <w:rPr>
          <w:b/>
          <w:lang w:val="en-US"/>
        </w:rPr>
        <w:t xml:space="preserve">by </w:t>
      </w:r>
      <w:r w:rsidR="00F1219C">
        <w:rPr>
          <w:b/>
          <w:lang w:val="en-US"/>
        </w:rPr>
        <w:t>consulting with children on issues that affect them.</w:t>
      </w:r>
    </w:p>
    <w:p w:rsidR="00F1219C" w:rsidRDefault="00F1219C" w:rsidP="00A36865">
      <w:pPr>
        <w:pStyle w:val="H1G"/>
        <w:rPr>
          <w:rFonts w:eastAsia="Malgun Gothic"/>
          <w:lang w:val="en-US" w:eastAsia="zh-CN"/>
        </w:rPr>
      </w:pPr>
      <w:r>
        <w:rPr>
          <w:rFonts w:eastAsia="Malgun Gothic"/>
          <w:szCs w:val="24"/>
          <w:lang w:val="en-US" w:eastAsia="zh-CN"/>
        </w:rPr>
        <w:tab/>
      </w:r>
      <w:r>
        <w:rPr>
          <w:rFonts w:eastAsia="Malgun Gothic"/>
          <w:lang w:val="en-US" w:eastAsia="zh-CN"/>
        </w:rPr>
        <w:t>C.</w:t>
      </w:r>
      <w:r w:rsidR="00A36865">
        <w:rPr>
          <w:rFonts w:eastAsia="Malgun Gothic"/>
          <w:lang w:val="en-US" w:eastAsia="zh-CN"/>
        </w:rPr>
        <w:tab/>
      </w:r>
      <w:r>
        <w:rPr>
          <w:rFonts w:eastAsia="Malgun Gothic"/>
          <w:lang w:val="en-US" w:eastAsia="zh-CN"/>
        </w:rPr>
        <w:t>Civil rights and freedoms (arts. 7, 8, and 13-17)</w:t>
      </w:r>
    </w:p>
    <w:p w:rsidR="00F1219C" w:rsidRDefault="00F1219C">
      <w:pPr>
        <w:pStyle w:val="H23G"/>
        <w:rPr>
          <w:lang w:val="en-US"/>
        </w:rPr>
      </w:pPr>
      <w:r>
        <w:rPr>
          <w:lang w:val="en-US"/>
        </w:rPr>
        <w:tab/>
      </w:r>
      <w:r>
        <w:rPr>
          <w:lang w:val="en-US"/>
        </w:rPr>
        <w:tab/>
        <w:t>Birth registration/</w:t>
      </w:r>
      <w:r w:rsidR="001D3E41">
        <w:rPr>
          <w:lang w:val="en-US"/>
        </w:rPr>
        <w:t>n</w:t>
      </w:r>
      <w:r>
        <w:rPr>
          <w:lang w:val="en-US"/>
        </w:rPr>
        <w:t>ame and nationality</w:t>
      </w:r>
    </w:p>
    <w:p w:rsidR="00F1219C" w:rsidRDefault="0049226E" w:rsidP="0049226E">
      <w:pPr>
        <w:pStyle w:val="SingleTxtG"/>
        <w:rPr>
          <w:lang w:val="en-US" w:eastAsia="fr-FR"/>
        </w:rPr>
      </w:pPr>
      <w:r>
        <w:rPr>
          <w:lang w:val="en-US" w:eastAsia="fr-FR"/>
        </w:rPr>
        <w:t>33.</w:t>
      </w:r>
      <w:r>
        <w:rPr>
          <w:lang w:val="en-US" w:eastAsia="fr-FR"/>
        </w:rPr>
        <w:tab/>
      </w:r>
      <w:r w:rsidR="00F1219C">
        <w:rPr>
          <w:lang w:val="en-US"/>
        </w:rPr>
        <w:t xml:space="preserve">The Committee remains concerned that children of </w:t>
      </w:r>
      <w:r w:rsidR="0054651F">
        <w:rPr>
          <w:lang w:val="en-US"/>
        </w:rPr>
        <w:t xml:space="preserve">a mother who is a </w:t>
      </w:r>
      <w:r w:rsidR="00547D6D">
        <w:rPr>
          <w:lang w:val="en-US"/>
        </w:rPr>
        <w:t>national</w:t>
      </w:r>
      <w:r w:rsidR="0054651F">
        <w:rPr>
          <w:lang w:val="en-US"/>
        </w:rPr>
        <w:t xml:space="preserve"> of the </w:t>
      </w:r>
      <w:r w:rsidR="00547D6D">
        <w:rPr>
          <w:lang w:val="en-US"/>
        </w:rPr>
        <w:t>United Arab Emirates</w:t>
      </w:r>
      <w:r w:rsidR="0054651F">
        <w:rPr>
          <w:lang w:val="en-US"/>
        </w:rPr>
        <w:t xml:space="preserve"> and a father who is not </w:t>
      </w:r>
      <w:r w:rsidR="00F1219C">
        <w:rPr>
          <w:lang w:val="en-US"/>
        </w:rPr>
        <w:t xml:space="preserve">cannot acquire </w:t>
      </w:r>
      <w:r w:rsidR="003C04E6">
        <w:rPr>
          <w:lang w:val="en-US"/>
        </w:rPr>
        <w:t xml:space="preserve">the </w:t>
      </w:r>
      <w:r w:rsidR="00F1219C">
        <w:rPr>
          <w:lang w:val="en-US"/>
        </w:rPr>
        <w:t xml:space="preserve">nationality </w:t>
      </w:r>
      <w:r w:rsidR="00547D6D">
        <w:rPr>
          <w:lang w:val="en-US"/>
        </w:rPr>
        <w:t xml:space="preserve">of the State party </w:t>
      </w:r>
      <w:r w:rsidR="00F1219C">
        <w:rPr>
          <w:lang w:val="en-US"/>
        </w:rPr>
        <w:t>and are at great risk of becoming stateless. The Committee is also concerned that the criminalization of sexual relations outside marriage prevents the registration of children born out of wedlock and may lead to their abandonment.</w:t>
      </w:r>
      <w:r w:rsidR="00D71D05">
        <w:rPr>
          <w:lang w:val="en-US"/>
        </w:rPr>
        <w:t xml:space="preserve"> </w:t>
      </w:r>
    </w:p>
    <w:p w:rsidR="00F1219C" w:rsidRDefault="0049226E" w:rsidP="0049226E">
      <w:pPr>
        <w:pStyle w:val="SingleTxtG"/>
        <w:rPr>
          <w:b/>
          <w:bCs/>
          <w:lang w:eastAsia="en-GB"/>
        </w:rPr>
      </w:pPr>
      <w:r>
        <w:rPr>
          <w:lang w:eastAsia="en-GB"/>
        </w:rPr>
        <w:t>34.</w:t>
      </w:r>
      <w:r>
        <w:rPr>
          <w:lang w:eastAsia="en-GB"/>
        </w:rPr>
        <w:tab/>
      </w:r>
      <w:r w:rsidR="00F1219C">
        <w:rPr>
          <w:b/>
          <w:lang w:val="en-US" w:eastAsia="fr-FR"/>
        </w:rPr>
        <w:t xml:space="preserve">The Committee urges the State party </w:t>
      </w:r>
      <w:r w:rsidR="00F1219C">
        <w:rPr>
          <w:b/>
          <w:bCs/>
          <w:lang w:val="en-US" w:eastAsia="fr-FR"/>
        </w:rPr>
        <w:t xml:space="preserve">ensure the right of children to acquire the </w:t>
      </w:r>
      <w:r w:rsidR="00547D6D">
        <w:rPr>
          <w:b/>
          <w:bCs/>
          <w:lang w:val="en-US" w:eastAsia="fr-FR"/>
        </w:rPr>
        <w:t xml:space="preserve">nationality of the </w:t>
      </w:r>
      <w:r w:rsidR="00F1219C">
        <w:rPr>
          <w:b/>
          <w:bCs/>
          <w:lang w:val="en-US" w:eastAsia="fr-FR"/>
        </w:rPr>
        <w:t>State party from their mothers</w:t>
      </w:r>
      <w:r w:rsidR="00547D6D">
        <w:rPr>
          <w:b/>
          <w:bCs/>
          <w:lang w:val="en-US" w:eastAsia="fr-FR"/>
        </w:rPr>
        <w:t xml:space="preserve"> who are nationals of the State party</w:t>
      </w:r>
      <w:r w:rsidR="00F1219C">
        <w:rPr>
          <w:b/>
          <w:lang w:eastAsia="fr-FR"/>
        </w:rPr>
        <w:t>.</w:t>
      </w:r>
      <w:r w:rsidR="00F1219C">
        <w:rPr>
          <w:b/>
          <w:lang w:val="en-US" w:eastAsia="fr-FR"/>
        </w:rPr>
        <w:t xml:space="preserve"> The Committee also recommends that the State party repeal legislation that criminalizes sexual relations outside of marriage</w:t>
      </w:r>
      <w:r w:rsidR="00F1219C">
        <w:rPr>
          <w:rFonts w:eastAsia="Calibri"/>
          <w:b/>
        </w:rPr>
        <w:t>.</w:t>
      </w:r>
      <w:r w:rsidR="00F1219C">
        <w:rPr>
          <w:b/>
          <w:bCs/>
          <w:lang w:eastAsia="en-GB"/>
        </w:rPr>
        <w:t xml:space="preserve"> Active measures should also be taken </w:t>
      </w:r>
      <w:r w:rsidR="00F1219C">
        <w:rPr>
          <w:b/>
        </w:rPr>
        <w:t xml:space="preserve">to foster responsible parenthood and sexual behaviour, with particular attention </w:t>
      </w:r>
      <w:r w:rsidR="00D71D05">
        <w:rPr>
          <w:b/>
        </w:rPr>
        <w:t xml:space="preserve">paid </w:t>
      </w:r>
      <w:r w:rsidR="00F1219C">
        <w:rPr>
          <w:b/>
        </w:rPr>
        <w:t>to awareness-raising among boys and men.</w:t>
      </w:r>
    </w:p>
    <w:p w:rsidR="00F1219C" w:rsidRDefault="0049226E" w:rsidP="0049226E">
      <w:pPr>
        <w:pStyle w:val="SingleTxtG"/>
        <w:rPr>
          <w:lang w:val="en-US" w:eastAsia="fr-FR"/>
        </w:rPr>
      </w:pPr>
      <w:r>
        <w:rPr>
          <w:lang w:val="en-US" w:eastAsia="fr-FR"/>
        </w:rPr>
        <w:t>35.</w:t>
      </w:r>
      <w:r>
        <w:rPr>
          <w:lang w:val="en-US" w:eastAsia="fr-FR"/>
        </w:rPr>
        <w:tab/>
      </w:r>
      <w:r w:rsidR="00F1219C">
        <w:rPr>
          <w:bCs/>
          <w:lang w:val="en-US" w:eastAsia="fr-FR"/>
        </w:rPr>
        <w:t xml:space="preserve">While welcoming the </w:t>
      </w:r>
      <w:r w:rsidR="00F1219C">
        <w:rPr>
          <w:lang w:val="en-US"/>
        </w:rPr>
        <w:t xml:space="preserve">nationwide registration campaign for stateless persons launched by the State party in 2008, the Committee regrets the lack of information on its results and remains </w:t>
      </w:r>
      <w:r w:rsidR="00F1219C">
        <w:rPr>
          <w:bCs/>
          <w:lang w:val="en-US" w:eastAsia="fr-FR"/>
        </w:rPr>
        <w:t>seriously concerned about the situation of thousands of children</w:t>
      </w:r>
      <w:r w:rsidR="001D3E41">
        <w:rPr>
          <w:bCs/>
          <w:lang w:val="en-US" w:eastAsia="fr-FR"/>
        </w:rPr>
        <w:t>,</w:t>
      </w:r>
      <w:r w:rsidR="006678B4">
        <w:rPr>
          <w:bCs/>
          <w:lang w:val="en-US" w:eastAsia="fr-FR"/>
        </w:rPr>
        <w:t xml:space="preserve"> including</w:t>
      </w:r>
      <w:r w:rsidR="00CF1D61">
        <w:rPr>
          <w:bCs/>
          <w:lang w:val="en-US" w:eastAsia="fr-FR"/>
        </w:rPr>
        <w:t xml:space="preserve"> </w:t>
      </w:r>
      <w:r w:rsidR="001176CA" w:rsidRPr="0049226E">
        <w:rPr>
          <w:bCs/>
          <w:i/>
          <w:iCs/>
          <w:lang w:val="en-US" w:eastAsia="fr-FR"/>
        </w:rPr>
        <w:t>b</w:t>
      </w:r>
      <w:r w:rsidR="006678B4" w:rsidRPr="0049226E">
        <w:rPr>
          <w:bCs/>
          <w:i/>
          <w:iCs/>
          <w:lang w:val="en-US" w:eastAsia="fr-FR"/>
        </w:rPr>
        <w:t>idoon</w:t>
      </w:r>
      <w:r w:rsidR="001176CA">
        <w:rPr>
          <w:bCs/>
          <w:lang w:val="en-US" w:eastAsia="fr-FR"/>
        </w:rPr>
        <w:t xml:space="preserve"> children</w:t>
      </w:r>
      <w:r w:rsidR="006678B4">
        <w:rPr>
          <w:bCs/>
          <w:lang w:val="en-US" w:eastAsia="fr-FR"/>
        </w:rPr>
        <w:t>, non-Arab</w:t>
      </w:r>
      <w:r w:rsidR="001176CA">
        <w:rPr>
          <w:bCs/>
          <w:lang w:val="en-US" w:eastAsia="fr-FR"/>
        </w:rPr>
        <w:t xml:space="preserve"> children</w:t>
      </w:r>
      <w:r w:rsidR="006678B4">
        <w:rPr>
          <w:bCs/>
          <w:lang w:val="en-US" w:eastAsia="fr-FR"/>
        </w:rPr>
        <w:t xml:space="preserve"> and </w:t>
      </w:r>
      <w:r w:rsidR="00F1219C">
        <w:rPr>
          <w:bCs/>
          <w:lang w:val="en-US" w:eastAsia="fr-FR"/>
        </w:rPr>
        <w:t xml:space="preserve">children of unknown parentage, who remain stateless and therefore </w:t>
      </w:r>
      <w:r w:rsidR="00D71D05">
        <w:rPr>
          <w:bCs/>
          <w:lang w:val="en-US" w:eastAsia="fr-FR"/>
        </w:rPr>
        <w:t xml:space="preserve">have </w:t>
      </w:r>
      <w:r w:rsidR="00F1219C">
        <w:rPr>
          <w:bCs/>
          <w:lang w:val="en-US" w:eastAsia="fr-FR"/>
        </w:rPr>
        <w:t>limited access to birth registration, health</w:t>
      </w:r>
      <w:r w:rsidR="001D3E41">
        <w:rPr>
          <w:bCs/>
          <w:lang w:val="en-US" w:eastAsia="fr-FR"/>
        </w:rPr>
        <w:t xml:space="preserve"> </w:t>
      </w:r>
      <w:r w:rsidR="00F1219C">
        <w:rPr>
          <w:bCs/>
          <w:lang w:val="en-US" w:eastAsia="fr-FR"/>
        </w:rPr>
        <w:t>care and education.</w:t>
      </w:r>
    </w:p>
    <w:p w:rsidR="00F1219C" w:rsidRPr="00E815AE" w:rsidRDefault="0049226E" w:rsidP="0049226E">
      <w:pPr>
        <w:pStyle w:val="SingleTxtG"/>
        <w:rPr>
          <w:b/>
          <w:lang w:val="en-US" w:eastAsia="fr-FR"/>
        </w:rPr>
      </w:pPr>
      <w:r w:rsidRPr="00E815AE">
        <w:rPr>
          <w:lang w:val="en-US" w:eastAsia="fr-FR"/>
        </w:rPr>
        <w:t>36.</w:t>
      </w:r>
      <w:r w:rsidRPr="00E815AE">
        <w:rPr>
          <w:lang w:val="en-US" w:eastAsia="fr-FR"/>
        </w:rPr>
        <w:tab/>
      </w:r>
      <w:r w:rsidR="00F1219C" w:rsidRPr="00E815AE">
        <w:rPr>
          <w:b/>
          <w:bCs/>
          <w:lang w:val="en-US" w:eastAsia="fr-FR"/>
        </w:rPr>
        <w:t>The Committee recommends that the State party</w:t>
      </w:r>
      <w:r w:rsidR="00EE1711">
        <w:rPr>
          <w:b/>
          <w:bCs/>
          <w:lang w:val="en-US" w:eastAsia="fr-FR"/>
        </w:rPr>
        <w:t>, as a matter of urgency,</w:t>
      </w:r>
      <w:r w:rsidR="00F1219C" w:rsidRPr="00E815AE">
        <w:rPr>
          <w:b/>
          <w:bCs/>
          <w:lang w:val="en-US" w:eastAsia="fr-FR"/>
        </w:rPr>
        <w:t xml:space="preserve"> regularize the situation of stateless children and ensure their right to a nationality without discrimination</w:t>
      </w:r>
      <w:r w:rsidR="00F1219C" w:rsidRPr="00E815AE">
        <w:rPr>
          <w:b/>
          <w:bCs/>
          <w:lang w:eastAsia="fr-FR"/>
        </w:rPr>
        <w:t>.</w:t>
      </w:r>
      <w:r w:rsidR="00F1219C" w:rsidRPr="00E815AE">
        <w:rPr>
          <w:b/>
          <w:bCs/>
          <w:lang w:val="en-US" w:eastAsia="fr-FR"/>
        </w:rPr>
        <w:t xml:space="preserve"> The Committee </w:t>
      </w:r>
      <w:r w:rsidR="001B55F3" w:rsidRPr="00E815AE">
        <w:rPr>
          <w:b/>
          <w:bCs/>
          <w:lang w:val="en-US" w:eastAsia="fr-FR"/>
        </w:rPr>
        <w:t xml:space="preserve">further </w:t>
      </w:r>
      <w:r w:rsidR="00F1219C" w:rsidRPr="00E815AE">
        <w:rPr>
          <w:b/>
          <w:bCs/>
          <w:lang w:val="en-US" w:eastAsia="fr-FR"/>
        </w:rPr>
        <w:t xml:space="preserve">recommends that the State party consider ratifying the </w:t>
      </w:r>
      <w:r w:rsidR="00F1219C" w:rsidRPr="00E815AE">
        <w:rPr>
          <w:b/>
          <w:iCs/>
          <w:lang w:val="en-US"/>
        </w:rPr>
        <w:t>Convention relating to the Status of Stateless Persons</w:t>
      </w:r>
      <w:r w:rsidR="00E815AE" w:rsidRPr="0049226E">
        <w:rPr>
          <w:b/>
          <w:iCs/>
          <w:lang w:val="en-US"/>
        </w:rPr>
        <w:t xml:space="preserve"> of 1954</w:t>
      </w:r>
      <w:r w:rsidR="00F1219C" w:rsidRPr="00E815AE">
        <w:rPr>
          <w:b/>
          <w:lang w:val="en-US"/>
        </w:rPr>
        <w:t xml:space="preserve">, and the </w:t>
      </w:r>
      <w:r w:rsidR="00F1219C" w:rsidRPr="00E815AE">
        <w:rPr>
          <w:b/>
          <w:iCs/>
          <w:lang w:val="en-US"/>
        </w:rPr>
        <w:t xml:space="preserve">Convention on the Reduction of Statelessness </w:t>
      </w:r>
      <w:r w:rsidR="00E815AE" w:rsidRPr="00E815AE">
        <w:rPr>
          <w:b/>
          <w:iCs/>
          <w:lang w:val="en-US"/>
        </w:rPr>
        <w:t>of 1961</w:t>
      </w:r>
      <w:r w:rsidR="00D71D05">
        <w:rPr>
          <w:b/>
          <w:iCs/>
          <w:lang w:val="en-US"/>
        </w:rPr>
        <w:t xml:space="preserve">, </w:t>
      </w:r>
      <w:r w:rsidR="00F1219C" w:rsidRPr="00E815AE">
        <w:rPr>
          <w:b/>
          <w:iCs/>
          <w:lang w:val="en-US"/>
        </w:rPr>
        <w:t xml:space="preserve">and </w:t>
      </w:r>
      <w:r w:rsidR="00D71D05">
        <w:rPr>
          <w:b/>
          <w:iCs/>
          <w:lang w:val="en-US"/>
        </w:rPr>
        <w:t xml:space="preserve">that it </w:t>
      </w:r>
      <w:r w:rsidR="00F1219C" w:rsidRPr="00E815AE">
        <w:rPr>
          <w:b/>
          <w:iCs/>
          <w:lang w:val="en-US"/>
        </w:rPr>
        <w:t xml:space="preserve">make use of </w:t>
      </w:r>
      <w:r w:rsidR="001D3E41" w:rsidRPr="00E815AE">
        <w:rPr>
          <w:b/>
          <w:iCs/>
          <w:lang w:val="en-US"/>
        </w:rPr>
        <w:t xml:space="preserve">the </w:t>
      </w:r>
      <w:r w:rsidR="00F1219C" w:rsidRPr="00E815AE">
        <w:rPr>
          <w:b/>
          <w:iCs/>
          <w:lang w:val="en-US"/>
        </w:rPr>
        <w:t xml:space="preserve">expertise </w:t>
      </w:r>
      <w:r w:rsidR="001D3E41" w:rsidRPr="00E815AE">
        <w:rPr>
          <w:b/>
          <w:iCs/>
          <w:lang w:val="en-US"/>
        </w:rPr>
        <w:t xml:space="preserve">of the Office of the United Nations High Commissioner for Refugees </w:t>
      </w:r>
      <w:r w:rsidR="00F1219C" w:rsidRPr="00E815AE">
        <w:rPr>
          <w:b/>
          <w:iCs/>
          <w:lang w:val="en-US"/>
        </w:rPr>
        <w:t>to address statelessness in the State party.</w:t>
      </w:r>
    </w:p>
    <w:p w:rsidR="00F1219C" w:rsidRDefault="00A36865" w:rsidP="00D31678">
      <w:pPr>
        <w:pStyle w:val="H1G"/>
        <w:rPr>
          <w:szCs w:val="24"/>
          <w:lang w:val="en-US"/>
        </w:rPr>
      </w:pPr>
      <w:r>
        <w:rPr>
          <w:szCs w:val="24"/>
          <w:lang w:val="en-US"/>
        </w:rPr>
        <w:tab/>
      </w:r>
      <w:r w:rsidR="00F1219C">
        <w:rPr>
          <w:szCs w:val="24"/>
          <w:lang w:val="en-US"/>
        </w:rPr>
        <w:t>D.</w:t>
      </w:r>
      <w:r w:rsidR="00F1219C">
        <w:rPr>
          <w:szCs w:val="24"/>
          <w:lang w:val="en-US"/>
        </w:rPr>
        <w:tab/>
      </w:r>
      <w:r w:rsidR="00F1219C">
        <w:rPr>
          <w:lang w:val="en-US"/>
        </w:rPr>
        <w:t>Violence against children (arts. 19, 24</w:t>
      </w:r>
      <w:r w:rsidR="00C33399">
        <w:rPr>
          <w:lang w:val="en-US"/>
        </w:rPr>
        <w:t xml:space="preserve"> (</w:t>
      </w:r>
      <w:r w:rsidR="00F1219C">
        <w:rPr>
          <w:lang w:val="en-US"/>
        </w:rPr>
        <w:t>3</w:t>
      </w:r>
      <w:r w:rsidR="00C33399">
        <w:rPr>
          <w:lang w:val="en-US"/>
        </w:rPr>
        <w:t>)</w:t>
      </w:r>
      <w:r w:rsidR="00F1219C">
        <w:rPr>
          <w:lang w:val="en-US"/>
        </w:rPr>
        <w:t xml:space="preserve">, 28 </w:t>
      </w:r>
      <w:r w:rsidR="00D31678">
        <w:rPr>
          <w:lang w:val="en-US"/>
        </w:rPr>
        <w:t>(</w:t>
      </w:r>
      <w:r w:rsidR="00F1219C">
        <w:rPr>
          <w:lang w:val="en-US"/>
        </w:rPr>
        <w:t>2</w:t>
      </w:r>
      <w:r w:rsidR="00D31678">
        <w:rPr>
          <w:lang w:val="en-US"/>
        </w:rPr>
        <w:t>)</w:t>
      </w:r>
      <w:r w:rsidR="00F1219C">
        <w:rPr>
          <w:lang w:val="en-US"/>
        </w:rPr>
        <w:t>, 34, 37</w:t>
      </w:r>
      <w:r w:rsidR="00D71D05">
        <w:rPr>
          <w:lang w:val="en-US"/>
        </w:rPr>
        <w:t> </w:t>
      </w:r>
      <w:r w:rsidR="00F1219C">
        <w:rPr>
          <w:lang w:val="en-US"/>
        </w:rPr>
        <w:t>(a) and</w:t>
      </w:r>
      <w:r w:rsidR="006E7B7B">
        <w:rPr>
          <w:lang w:val="en-US"/>
        </w:rPr>
        <w:t> </w:t>
      </w:r>
      <w:r w:rsidR="00F1219C">
        <w:rPr>
          <w:lang w:val="en-US"/>
        </w:rPr>
        <w:t>39)</w:t>
      </w:r>
    </w:p>
    <w:p w:rsidR="00F1219C" w:rsidRDefault="00F1219C" w:rsidP="00F1219C">
      <w:pPr>
        <w:pStyle w:val="H23G"/>
        <w:rPr>
          <w:rFonts w:eastAsia="Calibri"/>
          <w:lang w:val="en-US"/>
        </w:rPr>
      </w:pPr>
      <w:r>
        <w:rPr>
          <w:rFonts w:eastAsia="Malgun Gothic"/>
          <w:lang w:val="en-US" w:eastAsia="zh-CN"/>
        </w:rPr>
        <w:tab/>
      </w:r>
      <w:r>
        <w:rPr>
          <w:rFonts w:eastAsia="Malgun Gothic"/>
          <w:lang w:val="en-US" w:eastAsia="zh-CN"/>
        </w:rPr>
        <w:tab/>
      </w:r>
      <w:r>
        <w:rPr>
          <w:rFonts w:eastAsia="Calibri"/>
          <w:lang w:val="en-US"/>
        </w:rPr>
        <w:t xml:space="preserve">Freedom of the child from all forms of violence </w:t>
      </w:r>
    </w:p>
    <w:p w:rsidR="00F1219C" w:rsidRDefault="0049226E" w:rsidP="0049226E">
      <w:pPr>
        <w:pStyle w:val="SingleTxtG"/>
        <w:rPr>
          <w:lang w:val="en-US" w:eastAsia="de-DE"/>
        </w:rPr>
      </w:pPr>
      <w:r>
        <w:rPr>
          <w:lang w:val="en-US" w:eastAsia="de-DE"/>
        </w:rPr>
        <w:t>37.</w:t>
      </w:r>
      <w:r>
        <w:rPr>
          <w:lang w:val="en-US" w:eastAsia="de-DE"/>
        </w:rPr>
        <w:tab/>
      </w:r>
      <w:r w:rsidR="00F1219C">
        <w:rPr>
          <w:rFonts w:eastAsia="Calibri"/>
          <w:lang w:val="en-US"/>
        </w:rPr>
        <w:t>The Committee, while noting that</w:t>
      </w:r>
      <w:r w:rsidR="00F1219C">
        <w:rPr>
          <w:lang w:val="en-US"/>
        </w:rPr>
        <w:t xml:space="preserve"> </w:t>
      </w:r>
      <w:r w:rsidR="00F1219C">
        <w:t xml:space="preserve">a new policy has been formulated for the investigation of cases of abuse and neglect of children, remains particularly </w:t>
      </w:r>
      <w:r w:rsidR="00F1219C">
        <w:rPr>
          <w:rFonts w:eastAsia="Calibri"/>
          <w:lang w:val="en-US"/>
        </w:rPr>
        <w:t>concerned that:</w:t>
      </w:r>
    </w:p>
    <w:p w:rsidR="00F1219C" w:rsidRDefault="002C4D34" w:rsidP="002C4D34">
      <w:pPr>
        <w:pStyle w:val="SingleTxtG"/>
        <w:widowControl w:val="0"/>
        <w:autoSpaceDE w:val="0"/>
        <w:autoSpaceDN w:val="0"/>
        <w:adjustRightInd w:val="0"/>
        <w:ind w:firstLine="567"/>
        <w:rPr>
          <w:lang w:val="en-US" w:eastAsia="de-DE"/>
        </w:rPr>
      </w:pPr>
      <w:r>
        <w:rPr>
          <w:rFonts w:eastAsia="Calibri"/>
          <w:lang w:val="en-US" w:eastAsia="de-DE"/>
        </w:rPr>
        <w:t>(a)</w:t>
      </w:r>
      <w:r>
        <w:rPr>
          <w:rFonts w:eastAsia="Calibri"/>
          <w:lang w:val="en-US" w:eastAsia="de-DE"/>
        </w:rPr>
        <w:tab/>
      </w:r>
      <w:r w:rsidR="00F1219C">
        <w:rPr>
          <w:rFonts w:eastAsia="Calibri"/>
          <w:lang w:val="en-US"/>
        </w:rPr>
        <w:t>The existing legislation of the State party does not specifically criminalize all forms of violence against children;</w:t>
      </w:r>
    </w:p>
    <w:p w:rsidR="00F1219C" w:rsidRDefault="002C4D34" w:rsidP="00E815AE">
      <w:pPr>
        <w:pStyle w:val="SingleTxtG"/>
        <w:widowControl w:val="0"/>
        <w:autoSpaceDE w:val="0"/>
        <w:autoSpaceDN w:val="0"/>
        <w:adjustRightInd w:val="0"/>
        <w:ind w:firstLine="567"/>
        <w:rPr>
          <w:lang w:val="en-US" w:eastAsia="de-DE"/>
        </w:rPr>
      </w:pPr>
      <w:r w:rsidRPr="00E815AE">
        <w:rPr>
          <w:rFonts w:eastAsia="Calibri"/>
          <w:lang w:val="en-US" w:eastAsia="de-DE"/>
        </w:rPr>
        <w:t>(b)</w:t>
      </w:r>
      <w:r w:rsidRPr="00E815AE">
        <w:rPr>
          <w:rFonts w:eastAsia="Calibri"/>
          <w:lang w:val="en-US" w:eastAsia="de-DE"/>
        </w:rPr>
        <w:tab/>
      </w:r>
      <w:r w:rsidR="00F1219C" w:rsidRPr="00E815AE">
        <w:rPr>
          <w:rFonts w:eastAsia="Calibri"/>
          <w:lang w:val="en-US"/>
        </w:rPr>
        <w:t xml:space="preserve">Article 53 (1) of </w:t>
      </w:r>
      <w:r w:rsidR="00F1219C" w:rsidRPr="00EE1711">
        <w:rPr>
          <w:rFonts w:eastAsia="Calibri"/>
          <w:lang w:val="en-US"/>
        </w:rPr>
        <w:t xml:space="preserve">the Penal Code authorizes men to use violence against their wives and children within the limits prescribed by </w:t>
      </w:r>
      <w:r w:rsidR="00E815AE" w:rsidRPr="0049226E">
        <w:rPr>
          <w:rFonts w:eastAsia="Calibri"/>
          <w:iCs/>
          <w:lang w:val="en-US"/>
        </w:rPr>
        <w:t>s</w:t>
      </w:r>
      <w:r w:rsidR="00F1219C" w:rsidRPr="0049226E">
        <w:rPr>
          <w:rFonts w:eastAsia="Calibri"/>
          <w:iCs/>
          <w:lang w:val="en-US"/>
        </w:rPr>
        <w:t>haria</w:t>
      </w:r>
      <w:r w:rsidR="00F1219C" w:rsidRPr="00EE1711">
        <w:rPr>
          <w:rFonts w:eastAsia="Calibri"/>
          <w:lang w:val="en-US"/>
        </w:rPr>
        <w:t xml:space="preserve"> or by law</w:t>
      </w:r>
      <w:r w:rsidR="00F1219C" w:rsidRPr="00E815AE">
        <w:rPr>
          <w:rFonts w:eastAsia="Calibri"/>
          <w:lang w:val="en-US"/>
        </w:rPr>
        <w:t xml:space="preserve"> and provides that perpetrators of crimes can escape punishment if </w:t>
      </w:r>
      <w:r w:rsidR="00772674">
        <w:rPr>
          <w:rFonts w:eastAsia="Calibri"/>
          <w:lang w:val="en-US"/>
        </w:rPr>
        <w:t xml:space="preserve">the violence is </w:t>
      </w:r>
      <w:r w:rsidR="00F1219C" w:rsidRPr="00E815AE">
        <w:rPr>
          <w:rFonts w:eastAsia="Calibri"/>
          <w:lang w:val="en-US"/>
        </w:rPr>
        <w:t>“performed in good faith”;</w:t>
      </w:r>
    </w:p>
    <w:p w:rsidR="00F1219C" w:rsidRDefault="002C4D34">
      <w:pPr>
        <w:pStyle w:val="SingleTxtG"/>
        <w:widowControl w:val="0"/>
        <w:autoSpaceDE w:val="0"/>
        <w:autoSpaceDN w:val="0"/>
        <w:adjustRightInd w:val="0"/>
        <w:ind w:firstLine="567"/>
        <w:rPr>
          <w:lang w:val="en-US" w:eastAsia="de-DE"/>
        </w:rPr>
      </w:pPr>
      <w:r w:rsidRPr="00EE1711">
        <w:rPr>
          <w:rFonts w:eastAsia="Calibri"/>
          <w:lang w:val="en-US" w:eastAsia="de-DE"/>
        </w:rPr>
        <w:t>(c)</w:t>
      </w:r>
      <w:r w:rsidRPr="00EE1711">
        <w:rPr>
          <w:rFonts w:eastAsia="Calibri"/>
          <w:lang w:val="en-US" w:eastAsia="de-DE"/>
        </w:rPr>
        <w:tab/>
      </w:r>
      <w:r w:rsidR="00F1219C" w:rsidRPr="00EE1711">
        <w:rPr>
          <w:lang w:eastAsia="fr-FR"/>
        </w:rPr>
        <w:t xml:space="preserve">In 2010, the </w:t>
      </w:r>
      <w:r w:rsidR="00F1219C" w:rsidRPr="0049226E">
        <w:t>Federal Supreme Court</w:t>
      </w:r>
      <w:r w:rsidR="00F1219C" w:rsidRPr="00EE1711">
        <w:rPr>
          <w:lang w:eastAsia="fr-FR"/>
        </w:rPr>
        <w:t> issued a ruling indicating that beating and other </w:t>
      </w:r>
      <w:r w:rsidR="00F1219C" w:rsidRPr="0049226E">
        <w:t>forms</w:t>
      </w:r>
      <w:r w:rsidR="00F1219C" w:rsidRPr="00EE1711">
        <w:rPr>
          <w:lang w:eastAsia="fr-FR"/>
        </w:rPr>
        <w:t> of punishment or coercion by husbands o</w:t>
      </w:r>
      <w:r w:rsidR="00605CC2" w:rsidRPr="00EE1711">
        <w:rPr>
          <w:lang w:eastAsia="fr-FR"/>
        </w:rPr>
        <w:t>f</w:t>
      </w:r>
      <w:r w:rsidR="00F1219C" w:rsidRPr="00EE1711">
        <w:rPr>
          <w:lang w:eastAsia="fr-FR"/>
        </w:rPr>
        <w:t xml:space="preserve"> their wives were allowed</w:t>
      </w:r>
      <w:r w:rsidR="00D548E0" w:rsidRPr="00EE1711">
        <w:rPr>
          <w:lang w:eastAsia="fr-FR"/>
        </w:rPr>
        <w:t>,</w:t>
      </w:r>
      <w:r w:rsidR="00F1219C" w:rsidRPr="00EE1711">
        <w:rPr>
          <w:lang w:eastAsia="fr-FR"/>
        </w:rPr>
        <w:t xml:space="preserve"> provided </w:t>
      </w:r>
      <w:r w:rsidR="00D548E0" w:rsidRPr="00EE1711">
        <w:rPr>
          <w:lang w:eastAsia="fr-FR"/>
        </w:rPr>
        <w:t xml:space="preserve">that </w:t>
      </w:r>
      <w:r w:rsidR="00F1219C" w:rsidRPr="00EE1711">
        <w:rPr>
          <w:lang w:eastAsia="fr-FR"/>
        </w:rPr>
        <w:t>they d</w:t>
      </w:r>
      <w:r w:rsidR="00605CC2" w:rsidRPr="00EE1711">
        <w:rPr>
          <w:lang w:eastAsia="fr-FR"/>
        </w:rPr>
        <w:t>id</w:t>
      </w:r>
      <w:r w:rsidR="00F1219C" w:rsidRPr="00EE1711">
        <w:rPr>
          <w:lang w:eastAsia="fr-FR"/>
        </w:rPr>
        <w:t xml:space="preserve"> not leave physical marks;</w:t>
      </w:r>
    </w:p>
    <w:p w:rsidR="00F1219C" w:rsidRDefault="002C4D34" w:rsidP="002C4D34">
      <w:pPr>
        <w:pStyle w:val="SingleTxtG"/>
        <w:ind w:firstLine="567"/>
        <w:rPr>
          <w:lang w:val="en-US"/>
        </w:rPr>
      </w:pPr>
      <w:r>
        <w:rPr>
          <w:rFonts w:eastAsia="Calibri"/>
          <w:lang w:val="en-US"/>
        </w:rPr>
        <w:t>(d)</w:t>
      </w:r>
      <w:r>
        <w:rPr>
          <w:rFonts w:eastAsia="Calibri"/>
          <w:lang w:val="en-US"/>
        </w:rPr>
        <w:tab/>
      </w:r>
      <w:r w:rsidR="00F1219C">
        <w:rPr>
          <w:lang w:val="en-US" w:eastAsia="de-DE"/>
        </w:rPr>
        <w:t xml:space="preserve">Whereas corporal punishment of children is prohibited in school, it is lawful in the home and as a sentence for </w:t>
      </w:r>
      <w:r w:rsidR="00D548E0">
        <w:rPr>
          <w:lang w:val="en-US" w:eastAsia="de-DE"/>
        </w:rPr>
        <w:t xml:space="preserve">having committed a </w:t>
      </w:r>
      <w:r w:rsidR="00F1219C">
        <w:rPr>
          <w:lang w:val="en-US" w:eastAsia="de-DE"/>
        </w:rPr>
        <w:t>crime.</w:t>
      </w:r>
    </w:p>
    <w:p w:rsidR="00F1219C" w:rsidRPr="00F00B37" w:rsidRDefault="0049226E" w:rsidP="0049226E">
      <w:pPr>
        <w:pStyle w:val="SingleTxtG"/>
        <w:rPr>
          <w:b/>
          <w:lang w:val="en-US"/>
        </w:rPr>
      </w:pPr>
      <w:r w:rsidRPr="00F00B37">
        <w:rPr>
          <w:lang w:val="en-US"/>
        </w:rPr>
        <w:t>38.</w:t>
      </w:r>
      <w:r w:rsidRPr="00F00B37">
        <w:rPr>
          <w:lang w:val="en-US"/>
        </w:rPr>
        <w:tab/>
      </w:r>
      <w:r w:rsidR="00F1219C" w:rsidRPr="00F00B37">
        <w:rPr>
          <w:b/>
          <w:lang w:val="en-US"/>
        </w:rPr>
        <w:t xml:space="preserve">Recalling the recommendations of the </w:t>
      </w:r>
      <w:r w:rsidR="00605CC2" w:rsidRPr="0049226E">
        <w:rPr>
          <w:b/>
          <w:bCs/>
          <w:lang w:val="en-US" w:eastAsia="en-GB"/>
        </w:rPr>
        <w:t>independent expert for the</w:t>
      </w:r>
      <w:r w:rsidR="00605CC2" w:rsidRPr="00F00B37">
        <w:rPr>
          <w:b/>
          <w:lang w:val="en-US"/>
        </w:rPr>
        <w:t xml:space="preserve"> </w:t>
      </w:r>
      <w:r w:rsidR="00F1219C" w:rsidRPr="00F00B37">
        <w:rPr>
          <w:b/>
          <w:lang w:val="en-US"/>
        </w:rPr>
        <w:t>United Nations study on violence against children</w:t>
      </w:r>
      <w:r w:rsidR="00F00B37" w:rsidRPr="0049226E">
        <w:rPr>
          <w:b/>
          <w:lang w:val="en-US"/>
        </w:rPr>
        <w:t>,</w:t>
      </w:r>
      <w:r w:rsidR="00F1219C" w:rsidRPr="00F00B37">
        <w:rPr>
          <w:b/>
          <w:lang w:val="en-US"/>
        </w:rPr>
        <w:t xml:space="preserve"> </w:t>
      </w:r>
      <w:r w:rsidR="00F00B37" w:rsidRPr="0049226E">
        <w:rPr>
          <w:b/>
          <w:lang w:val="en-US"/>
        </w:rPr>
        <w:t>contained in document</w:t>
      </w:r>
      <w:r w:rsidR="00605CC2" w:rsidRPr="00F00B37">
        <w:rPr>
          <w:b/>
          <w:lang w:val="en-US"/>
        </w:rPr>
        <w:t xml:space="preserve"> </w:t>
      </w:r>
      <w:r w:rsidR="00F1219C" w:rsidRPr="00F00B37">
        <w:rPr>
          <w:b/>
          <w:lang w:val="en-US"/>
        </w:rPr>
        <w:t>A/61/299, the Committee recommends that the State party prioritize the elimination of all forms of violence against children</w:t>
      </w:r>
      <w:r w:rsidR="001D3E41" w:rsidRPr="00F00B37">
        <w:rPr>
          <w:b/>
          <w:lang w:val="en-US"/>
        </w:rPr>
        <w:t>,</w:t>
      </w:r>
      <w:r w:rsidR="00F1219C" w:rsidRPr="00F00B37">
        <w:rPr>
          <w:b/>
          <w:lang w:val="en-US"/>
        </w:rPr>
        <w:t xml:space="preserve"> establish a </w:t>
      </w:r>
      <w:r w:rsidR="00F1219C" w:rsidRPr="00F00B37">
        <w:rPr>
          <w:b/>
          <w:lang w:eastAsia="de-DE"/>
        </w:rPr>
        <w:t xml:space="preserve">comprehensive national framework to protect children and families from violence, </w:t>
      </w:r>
      <w:r w:rsidR="009659FE" w:rsidRPr="00F00B37">
        <w:rPr>
          <w:b/>
          <w:lang w:eastAsia="de-DE"/>
        </w:rPr>
        <w:t xml:space="preserve">take measures to </w:t>
      </w:r>
      <w:r w:rsidR="00F1219C" w:rsidRPr="00F00B37">
        <w:rPr>
          <w:b/>
          <w:lang w:eastAsia="de-DE"/>
        </w:rPr>
        <w:t>provide rehabilitation to child victims of violence and prosecute perpetrators of abuse</w:t>
      </w:r>
      <w:r w:rsidR="00F1219C" w:rsidRPr="00F00B37">
        <w:rPr>
          <w:b/>
          <w:lang w:val="en-US"/>
        </w:rPr>
        <w:t xml:space="preserve">. The Committee </w:t>
      </w:r>
      <w:r w:rsidR="001B55F3" w:rsidRPr="00F00B37">
        <w:rPr>
          <w:b/>
          <w:lang w:val="en-US"/>
        </w:rPr>
        <w:t xml:space="preserve">further </w:t>
      </w:r>
      <w:r w:rsidR="00F1219C" w:rsidRPr="00F00B37">
        <w:rPr>
          <w:b/>
          <w:lang w:val="en-US"/>
        </w:rPr>
        <w:t>recommends that the State party take into account general comment No. 13 (2011) on the right of the child to freedom from all forms of violence, and in particular:</w:t>
      </w:r>
    </w:p>
    <w:p w:rsidR="00F1219C" w:rsidRDefault="002C4D34" w:rsidP="009659FE">
      <w:pPr>
        <w:pStyle w:val="SingleTxtG"/>
        <w:widowControl w:val="0"/>
        <w:autoSpaceDE w:val="0"/>
        <w:autoSpaceDN w:val="0"/>
        <w:adjustRightInd w:val="0"/>
        <w:ind w:firstLine="567"/>
        <w:rPr>
          <w:rFonts w:eastAsia="Calibri"/>
          <w:b/>
          <w:lang w:val="en-US"/>
        </w:rPr>
      </w:pPr>
      <w:r w:rsidRPr="0049226E">
        <w:rPr>
          <w:rFonts w:eastAsia="Calibri"/>
          <w:bCs/>
          <w:lang w:val="en-US"/>
        </w:rPr>
        <w:t>(a)</w:t>
      </w:r>
      <w:r>
        <w:rPr>
          <w:rFonts w:eastAsia="Calibri"/>
          <w:b/>
          <w:lang w:val="en-US"/>
        </w:rPr>
        <w:tab/>
      </w:r>
      <w:r w:rsidR="00F1219C">
        <w:rPr>
          <w:b/>
          <w:bCs/>
          <w:lang w:val="en-US" w:eastAsia="en-GB"/>
        </w:rPr>
        <w:t>Repeal without delay all laws that allow, condone or excuse gender</w:t>
      </w:r>
      <w:r w:rsidR="009659FE">
        <w:rPr>
          <w:b/>
          <w:bCs/>
          <w:lang w:val="en-US" w:eastAsia="en-GB"/>
        </w:rPr>
        <w:noBreakHyphen/>
      </w:r>
      <w:r w:rsidR="00F1219C">
        <w:rPr>
          <w:b/>
          <w:bCs/>
          <w:lang w:val="en-US" w:eastAsia="en-GB"/>
        </w:rPr>
        <w:t xml:space="preserve">based violence and violence against children, especially articles 53 and 56 of the Penal Code, and ensure accountability for all forms of violence against children; </w:t>
      </w:r>
    </w:p>
    <w:p w:rsidR="00F1219C" w:rsidRDefault="002C4D34" w:rsidP="002C4D34">
      <w:pPr>
        <w:pStyle w:val="SingleTxtG"/>
        <w:widowControl w:val="0"/>
        <w:autoSpaceDE w:val="0"/>
        <w:autoSpaceDN w:val="0"/>
        <w:adjustRightInd w:val="0"/>
        <w:ind w:firstLine="567"/>
        <w:rPr>
          <w:b/>
          <w:lang w:val="en-US" w:eastAsia="en-GB"/>
        </w:rPr>
      </w:pPr>
      <w:r w:rsidRPr="0049226E">
        <w:rPr>
          <w:bCs/>
          <w:lang w:val="en-US" w:eastAsia="en-GB"/>
        </w:rPr>
        <w:t>(b)</w:t>
      </w:r>
      <w:r>
        <w:rPr>
          <w:b/>
          <w:lang w:val="en-US" w:eastAsia="en-GB"/>
        </w:rPr>
        <w:tab/>
      </w:r>
      <w:r w:rsidR="00F1219C">
        <w:rPr>
          <w:b/>
          <w:bCs/>
          <w:lang w:val="en-US" w:eastAsia="en-GB"/>
        </w:rPr>
        <w:t xml:space="preserve">Adopt a comprehensive law that addresses all forms of violence, explicitly prohibits corporal punishment in all settings and includes measures to raise awareness of positive, non-violent and participatory forms of child-rearing; </w:t>
      </w:r>
    </w:p>
    <w:p w:rsidR="00F1219C" w:rsidRDefault="002C4D34">
      <w:pPr>
        <w:pStyle w:val="SingleTxtG"/>
        <w:widowControl w:val="0"/>
        <w:autoSpaceDE w:val="0"/>
        <w:autoSpaceDN w:val="0"/>
        <w:adjustRightInd w:val="0"/>
        <w:ind w:firstLine="567"/>
        <w:rPr>
          <w:b/>
          <w:lang w:val="en-US" w:eastAsia="en-GB"/>
        </w:rPr>
      </w:pPr>
      <w:r w:rsidRPr="0049226E">
        <w:rPr>
          <w:bCs/>
          <w:lang w:val="en-US" w:eastAsia="en-GB"/>
        </w:rPr>
        <w:t>(c)</w:t>
      </w:r>
      <w:r>
        <w:rPr>
          <w:b/>
          <w:lang w:val="en-US" w:eastAsia="en-GB"/>
        </w:rPr>
        <w:tab/>
      </w:r>
      <w:r w:rsidR="00F1219C">
        <w:rPr>
          <w:b/>
          <w:bCs/>
          <w:lang w:val="en-US" w:eastAsia="en-GB"/>
        </w:rPr>
        <w:t>Ensure children’s access to justice, including by making the reporting of violence mandatory</w:t>
      </w:r>
      <w:r w:rsidR="003C04E6">
        <w:rPr>
          <w:b/>
          <w:bCs/>
          <w:lang w:val="en-US" w:eastAsia="en-GB"/>
        </w:rPr>
        <w:t>,</w:t>
      </w:r>
      <w:r w:rsidR="00F1219C">
        <w:rPr>
          <w:b/>
          <w:bCs/>
          <w:lang w:val="en-US" w:eastAsia="en-GB"/>
        </w:rPr>
        <w:t xml:space="preserve"> providing legal support and making available child</w:t>
      </w:r>
      <w:r w:rsidR="009659FE">
        <w:rPr>
          <w:b/>
          <w:bCs/>
          <w:lang w:val="en-US" w:eastAsia="en-GB"/>
        </w:rPr>
        <w:noBreakHyphen/>
      </w:r>
      <w:r w:rsidR="00F1219C">
        <w:rPr>
          <w:b/>
          <w:bCs/>
          <w:lang w:val="en-US" w:eastAsia="en-GB"/>
        </w:rPr>
        <w:t>friendly and confidential complaint mechanisms in institutions, schools, detention centres, hospitals and other relevant settings;</w:t>
      </w:r>
    </w:p>
    <w:p w:rsidR="00F1219C" w:rsidRDefault="002C4D34" w:rsidP="00035C21">
      <w:pPr>
        <w:pStyle w:val="SingleTxtG"/>
        <w:widowControl w:val="0"/>
        <w:autoSpaceDE w:val="0"/>
        <w:autoSpaceDN w:val="0"/>
        <w:adjustRightInd w:val="0"/>
        <w:ind w:firstLine="567"/>
        <w:rPr>
          <w:b/>
          <w:lang w:val="en-US" w:eastAsia="en-GB"/>
        </w:rPr>
      </w:pPr>
      <w:r w:rsidRPr="0049226E">
        <w:rPr>
          <w:bCs/>
          <w:lang w:val="en-US" w:eastAsia="en-GB"/>
        </w:rPr>
        <w:t>(d)</w:t>
      </w:r>
      <w:r w:rsidRPr="00035C21">
        <w:rPr>
          <w:b/>
          <w:lang w:val="en-US" w:eastAsia="en-GB"/>
        </w:rPr>
        <w:tab/>
      </w:r>
      <w:r w:rsidR="00F1219C" w:rsidRPr="00035C21">
        <w:rPr>
          <w:b/>
          <w:bCs/>
          <w:lang w:val="en-US" w:eastAsia="en-GB"/>
        </w:rPr>
        <w:t xml:space="preserve">Ensure the availability and quality of </w:t>
      </w:r>
      <w:r w:rsidR="00035C21" w:rsidRPr="0049226E">
        <w:rPr>
          <w:b/>
          <w:bCs/>
          <w:lang w:val="en-US" w:eastAsia="en-GB"/>
        </w:rPr>
        <w:t xml:space="preserve">programmes relating to </w:t>
      </w:r>
      <w:r w:rsidR="00F1219C" w:rsidRPr="00035C21">
        <w:rPr>
          <w:b/>
          <w:bCs/>
          <w:lang w:val="en-US" w:eastAsia="en-GB"/>
        </w:rPr>
        <w:t>prevention, protection, access to justice, rehabilitation and reintegration, including health services and psychosocial support, free helplines and adequate shelters for victims.</w:t>
      </w:r>
    </w:p>
    <w:p w:rsidR="00F1219C" w:rsidRDefault="00F1219C" w:rsidP="00F1219C">
      <w:pPr>
        <w:pStyle w:val="H23G"/>
        <w:rPr>
          <w:rFonts w:eastAsia="Malgun Gothic"/>
          <w:lang w:val="en-US" w:eastAsia="zh-CN"/>
        </w:rPr>
      </w:pPr>
      <w:r>
        <w:rPr>
          <w:rFonts w:eastAsia="Malgun Gothic"/>
          <w:sz w:val="24"/>
          <w:szCs w:val="24"/>
          <w:lang w:val="en-US" w:eastAsia="zh-CN"/>
        </w:rPr>
        <w:tab/>
      </w:r>
      <w:r>
        <w:rPr>
          <w:rFonts w:eastAsia="Malgun Gothic"/>
          <w:sz w:val="24"/>
          <w:szCs w:val="24"/>
          <w:lang w:val="en-US" w:eastAsia="zh-CN"/>
        </w:rPr>
        <w:tab/>
      </w:r>
      <w:r>
        <w:rPr>
          <w:rFonts w:eastAsia="Malgun Gothic"/>
          <w:lang w:val="en-US" w:eastAsia="zh-CN"/>
        </w:rPr>
        <w:t>Torture and other cruel or degrading treatment or punishment</w:t>
      </w:r>
    </w:p>
    <w:p w:rsidR="00F1219C" w:rsidRDefault="0049226E" w:rsidP="0049226E">
      <w:pPr>
        <w:pStyle w:val="SingleTxtG"/>
        <w:rPr>
          <w:lang w:val="en-US"/>
        </w:rPr>
      </w:pPr>
      <w:r>
        <w:rPr>
          <w:lang w:val="en-US"/>
        </w:rPr>
        <w:t>39.</w:t>
      </w:r>
      <w:r>
        <w:rPr>
          <w:lang w:val="en-US"/>
        </w:rPr>
        <w:tab/>
      </w:r>
      <w:r w:rsidR="00F1219C">
        <w:rPr>
          <w:lang w:val="en-US"/>
        </w:rPr>
        <w:t xml:space="preserve">The </w:t>
      </w:r>
      <w:r w:rsidR="00F1219C" w:rsidRPr="00FF697D">
        <w:rPr>
          <w:lang w:val="en-US"/>
        </w:rPr>
        <w:t>Committee is seriously concerned that</w:t>
      </w:r>
      <w:r w:rsidR="00605CC2" w:rsidRPr="00FF697D">
        <w:rPr>
          <w:lang w:val="en-US"/>
        </w:rPr>
        <w:t>,</w:t>
      </w:r>
      <w:r w:rsidR="00F1219C" w:rsidRPr="00FF697D">
        <w:rPr>
          <w:lang w:val="en-US"/>
        </w:rPr>
        <w:t xml:space="preserve"> in spite of its previous recommendation (</w:t>
      </w:r>
      <w:r w:rsidR="00605CC2" w:rsidRPr="00FF697D">
        <w:rPr>
          <w:lang w:val="en-US"/>
        </w:rPr>
        <w:t xml:space="preserve">see </w:t>
      </w:r>
      <w:r w:rsidR="00F1219C" w:rsidRPr="00FF697D">
        <w:t>CRC/C/15/Add.183</w:t>
      </w:r>
      <w:r w:rsidR="007C5B4C" w:rsidRPr="00FF697D">
        <w:t>,</w:t>
      </w:r>
      <w:r w:rsidR="00F1219C" w:rsidRPr="00FF697D">
        <w:rPr>
          <w:lang w:val="en-US"/>
        </w:rPr>
        <w:t xml:space="preserve"> para</w:t>
      </w:r>
      <w:r w:rsidR="007C5B4C" w:rsidRPr="00FF697D">
        <w:rPr>
          <w:lang w:val="en-US"/>
        </w:rPr>
        <w:t>.</w:t>
      </w:r>
      <w:r w:rsidR="00F1219C" w:rsidRPr="00FF697D">
        <w:rPr>
          <w:lang w:val="en-US"/>
        </w:rPr>
        <w:t xml:space="preserve"> 33), inhuman or degrading treatment</w:t>
      </w:r>
      <w:r w:rsidR="00F1219C">
        <w:rPr>
          <w:lang w:val="en-US"/>
        </w:rPr>
        <w:t xml:space="preserve"> or punishment can still be imposed on </w:t>
      </w:r>
      <w:r w:rsidR="00F1219C" w:rsidRPr="004F4C66">
        <w:rPr>
          <w:lang w:val="en-US"/>
        </w:rPr>
        <w:t xml:space="preserve">children as </w:t>
      </w:r>
      <w:r w:rsidR="00E868C0">
        <w:rPr>
          <w:lang w:val="en-US"/>
        </w:rPr>
        <w:t xml:space="preserve">a </w:t>
      </w:r>
      <w:r w:rsidR="00F1219C" w:rsidRPr="004F4C66">
        <w:rPr>
          <w:lang w:val="en-US"/>
        </w:rPr>
        <w:t xml:space="preserve">judicial sanction. The Committee is particularly concerned that </w:t>
      </w:r>
      <w:r w:rsidR="00F1219C" w:rsidRPr="004F4C66">
        <w:rPr>
          <w:lang w:val="en-US" w:eastAsia="de-DE"/>
        </w:rPr>
        <w:t xml:space="preserve">the </w:t>
      </w:r>
      <w:r w:rsidR="004F4C66" w:rsidRPr="0049226E">
        <w:rPr>
          <w:lang w:val="en-US" w:eastAsia="de-DE"/>
        </w:rPr>
        <w:t>l</w:t>
      </w:r>
      <w:r w:rsidR="00F1219C" w:rsidRPr="004F4C66">
        <w:rPr>
          <w:lang w:val="en-US" w:eastAsia="de-DE"/>
        </w:rPr>
        <w:t xml:space="preserve">aw on </w:t>
      </w:r>
      <w:r w:rsidR="004F4C66" w:rsidRPr="0049226E">
        <w:rPr>
          <w:lang w:val="en-US" w:eastAsia="de-DE"/>
        </w:rPr>
        <w:t>j</w:t>
      </w:r>
      <w:r w:rsidR="00F1219C" w:rsidRPr="004F4C66">
        <w:rPr>
          <w:lang w:val="en-US" w:eastAsia="de-DE"/>
        </w:rPr>
        <w:t xml:space="preserve">uvenile </w:t>
      </w:r>
      <w:r w:rsidR="004F4C66" w:rsidRPr="0049226E">
        <w:rPr>
          <w:lang w:val="en-US" w:eastAsia="de-DE"/>
        </w:rPr>
        <w:t>o</w:t>
      </w:r>
      <w:r w:rsidR="00F1219C" w:rsidRPr="004F4C66">
        <w:rPr>
          <w:lang w:val="en-US" w:eastAsia="de-DE"/>
        </w:rPr>
        <w:t xml:space="preserve">ffenders provides that </w:t>
      </w:r>
      <w:r w:rsidR="00E868C0">
        <w:rPr>
          <w:lang w:val="en-US" w:eastAsia="de-DE"/>
        </w:rPr>
        <w:t xml:space="preserve">the punishment of </w:t>
      </w:r>
      <w:r w:rsidR="00F1219C" w:rsidRPr="004F4C66">
        <w:rPr>
          <w:lang w:val="en-US" w:eastAsia="de-DE"/>
        </w:rPr>
        <w:t xml:space="preserve">whipping may be imposed </w:t>
      </w:r>
      <w:r w:rsidR="00E868C0">
        <w:rPr>
          <w:lang w:val="en-US" w:eastAsia="de-DE"/>
        </w:rPr>
        <w:t>on</w:t>
      </w:r>
      <w:r w:rsidR="00F1219C" w:rsidRPr="004F4C66">
        <w:rPr>
          <w:lang w:val="en-US" w:eastAsia="de-DE"/>
        </w:rPr>
        <w:t xml:space="preserve"> </w:t>
      </w:r>
      <w:r w:rsidR="004078C6">
        <w:rPr>
          <w:lang w:val="en-US" w:eastAsia="de-DE"/>
        </w:rPr>
        <w:t xml:space="preserve">children </w:t>
      </w:r>
      <w:r w:rsidR="00F1219C" w:rsidRPr="004F4C66">
        <w:rPr>
          <w:lang w:val="en-US" w:eastAsia="de-DE"/>
        </w:rPr>
        <w:t xml:space="preserve">over </w:t>
      </w:r>
      <w:r w:rsidR="00605CC2" w:rsidRPr="004F4C66">
        <w:rPr>
          <w:lang w:val="en-US" w:eastAsia="de-DE"/>
        </w:rPr>
        <w:t xml:space="preserve">the age of </w:t>
      </w:r>
      <w:r w:rsidR="00F1219C" w:rsidRPr="004F4C66">
        <w:rPr>
          <w:lang w:val="en-US" w:eastAsia="de-DE"/>
        </w:rPr>
        <w:t>16 for murder, assault</w:t>
      </w:r>
      <w:r w:rsidR="00F1219C">
        <w:rPr>
          <w:lang w:val="en-US" w:eastAsia="de-DE"/>
        </w:rPr>
        <w:t xml:space="preserve"> and battery</w:t>
      </w:r>
      <w:r w:rsidR="00605CC2">
        <w:rPr>
          <w:lang w:val="en-US" w:eastAsia="de-DE"/>
        </w:rPr>
        <w:t>,</w:t>
      </w:r>
      <w:r w:rsidR="00F1219C">
        <w:rPr>
          <w:lang w:val="en-US" w:eastAsia="de-DE"/>
        </w:rPr>
        <w:t xml:space="preserve"> alcohol-related offences, theft or sexual intercourse outside </w:t>
      </w:r>
      <w:r w:rsidR="003F646B">
        <w:rPr>
          <w:lang w:val="en-US" w:eastAsia="de-DE"/>
        </w:rPr>
        <w:t xml:space="preserve">of </w:t>
      </w:r>
      <w:r w:rsidR="00F1219C">
        <w:rPr>
          <w:lang w:val="en-US" w:eastAsia="de-DE"/>
        </w:rPr>
        <w:t>marriage.</w:t>
      </w:r>
    </w:p>
    <w:p w:rsidR="00F1219C" w:rsidRPr="00FA38DE" w:rsidRDefault="0049226E" w:rsidP="0049226E">
      <w:pPr>
        <w:pStyle w:val="SingleTxtG"/>
        <w:rPr>
          <w:rFonts w:eastAsia="Malgun Gothic"/>
          <w:lang w:val="en-US" w:eastAsia="zh-CN"/>
        </w:rPr>
      </w:pPr>
      <w:r w:rsidRPr="00FA38DE">
        <w:rPr>
          <w:rFonts w:eastAsia="Malgun Gothic"/>
          <w:lang w:val="en-US" w:eastAsia="zh-CN"/>
        </w:rPr>
        <w:t>40.</w:t>
      </w:r>
      <w:r w:rsidRPr="00FA38DE">
        <w:rPr>
          <w:rFonts w:eastAsia="Malgun Gothic"/>
          <w:lang w:val="en-US" w:eastAsia="zh-CN"/>
        </w:rPr>
        <w:tab/>
      </w:r>
      <w:r w:rsidR="00F1219C">
        <w:rPr>
          <w:b/>
          <w:lang w:val="en-US"/>
        </w:rPr>
        <w:t xml:space="preserve">With reference to the </w:t>
      </w:r>
      <w:r w:rsidR="00F1219C" w:rsidRPr="00276C2D">
        <w:rPr>
          <w:b/>
          <w:lang w:val="en-US"/>
        </w:rPr>
        <w:t xml:space="preserve">Committee’s general comment No. 8 (2006) on </w:t>
      </w:r>
      <w:r w:rsidR="00276C2D" w:rsidRPr="0049226E">
        <w:rPr>
          <w:b/>
          <w:lang w:val="en-US"/>
        </w:rPr>
        <w:t xml:space="preserve">the right of the child to protection from </w:t>
      </w:r>
      <w:r w:rsidR="00F1219C" w:rsidRPr="00276C2D">
        <w:rPr>
          <w:b/>
          <w:lang w:val="en-US"/>
        </w:rPr>
        <w:t xml:space="preserve">corporal punishment </w:t>
      </w:r>
      <w:r w:rsidR="00276C2D" w:rsidRPr="00276C2D">
        <w:rPr>
          <w:b/>
          <w:lang w:val="en-US"/>
        </w:rPr>
        <w:t>a</w:t>
      </w:r>
      <w:r w:rsidR="00276C2D" w:rsidRPr="00276C2D">
        <w:rPr>
          <w:rStyle w:val="en"/>
          <w:b/>
          <w:bCs/>
        </w:rPr>
        <w:t>nd other cruel or degrading forms of punishment</w:t>
      </w:r>
      <w:r w:rsidR="00E868C0">
        <w:rPr>
          <w:rStyle w:val="en"/>
          <w:b/>
          <w:bCs/>
        </w:rPr>
        <w:t>,</w:t>
      </w:r>
      <w:r w:rsidR="00276C2D" w:rsidRPr="0049226E">
        <w:rPr>
          <w:b/>
          <w:lang w:val="en-US"/>
        </w:rPr>
        <w:t xml:space="preserve"> </w:t>
      </w:r>
      <w:r w:rsidR="00F1219C" w:rsidRPr="00276C2D">
        <w:rPr>
          <w:b/>
          <w:lang w:val="en-US"/>
        </w:rPr>
        <w:t xml:space="preserve">and </w:t>
      </w:r>
      <w:r w:rsidR="00E868C0">
        <w:rPr>
          <w:b/>
          <w:lang w:val="en-US"/>
        </w:rPr>
        <w:t xml:space="preserve">to </w:t>
      </w:r>
      <w:r w:rsidR="00F1219C" w:rsidRPr="00276C2D">
        <w:rPr>
          <w:b/>
          <w:lang w:val="en-US"/>
        </w:rPr>
        <w:t>general comment No. 13 (2011</w:t>
      </w:r>
      <w:r w:rsidR="00F1219C" w:rsidRPr="00FA38DE">
        <w:rPr>
          <w:b/>
          <w:lang w:val="en-US"/>
        </w:rPr>
        <w:t>) on the right of the child to freedom fr</w:t>
      </w:r>
      <w:r w:rsidR="00F1219C" w:rsidRPr="00276C2D">
        <w:rPr>
          <w:b/>
          <w:lang w:val="en-US"/>
        </w:rPr>
        <w:t>om all forms of violence, the</w:t>
      </w:r>
      <w:r w:rsidR="00F1219C">
        <w:rPr>
          <w:b/>
          <w:lang w:val="en-US"/>
        </w:rPr>
        <w:t xml:space="preserve"> Committee urges the State party to </w:t>
      </w:r>
      <w:r w:rsidR="00F1219C">
        <w:rPr>
          <w:b/>
          <w:bCs/>
          <w:lang w:val="en-US" w:eastAsia="fr-FR"/>
        </w:rPr>
        <w:t xml:space="preserve">immediately abolish legislation </w:t>
      </w:r>
      <w:r w:rsidR="00605CC2">
        <w:rPr>
          <w:b/>
          <w:bCs/>
          <w:lang w:val="en-US" w:eastAsia="fr-FR"/>
        </w:rPr>
        <w:t xml:space="preserve">that </w:t>
      </w:r>
      <w:r w:rsidR="00F1219C">
        <w:rPr>
          <w:b/>
          <w:bCs/>
          <w:lang w:val="en-US" w:eastAsia="fr-FR"/>
        </w:rPr>
        <w:t xml:space="preserve">provides for </w:t>
      </w:r>
      <w:r w:rsidR="00F1219C" w:rsidRPr="00FA38DE">
        <w:rPr>
          <w:b/>
          <w:bCs/>
          <w:lang w:val="en-US" w:eastAsia="fr-FR"/>
        </w:rPr>
        <w:t xml:space="preserve">the imposition of </w:t>
      </w:r>
      <w:r w:rsidR="00FA38DE" w:rsidRPr="00FA38DE">
        <w:rPr>
          <w:b/>
          <w:bCs/>
          <w:lang w:val="en-US" w:eastAsia="fr-FR"/>
        </w:rPr>
        <w:t xml:space="preserve">the punishment of </w:t>
      </w:r>
      <w:r w:rsidR="00F1219C" w:rsidRPr="00FA38DE">
        <w:rPr>
          <w:b/>
          <w:bCs/>
          <w:lang w:val="en-US" w:eastAsia="fr-FR"/>
        </w:rPr>
        <w:t>flogging and other forms of cruel, inhuman or degrading treatment and punishment on children.</w:t>
      </w:r>
    </w:p>
    <w:p w:rsidR="00F1219C" w:rsidRDefault="00A36865" w:rsidP="00A36865">
      <w:pPr>
        <w:pStyle w:val="H23G"/>
      </w:pPr>
      <w:r w:rsidRPr="00FA38DE">
        <w:tab/>
      </w:r>
      <w:r w:rsidRPr="00FA38DE">
        <w:tab/>
      </w:r>
      <w:r w:rsidR="00F1219C" w:rsidRPr="00FA38DE">
        <w:t>Abuse and neglect</w:t>
      </w:r>
    </w:p>
    <w:p w:rsidR="00F1219C" w:rsidRDefault="0049226E" w:rsidP="0049226E">
      <w:pPr>
        <w:pStyle w:val="SingleTxtG"/>
        <w:rPr>
          <w:lang w:val="en-US"/>
        </w:rPr>
      </w:pPr>
      <w:r>
        <w:rPr>
          <w:lang w:val="en-US"/>
        </w:rPr>
        <w:t>41.</w:t>
      </w:r>
      <w:r>
        <w:rPr>
          <w:lang w:val="en-US"/>
        </w:rPr>
        <w:tab/>
      </w:r>
      <w:r w:rsidR="00F1219C">
        <w:rPr>
          <w:lang w:val="en-US"/>
        </w:rPr>
        <w:t>The Committee expresses concern that</w:t>
      </w:r>
      <w:r w:rsidR="00605CC2">
        <w:rPr>
          <w:lang w:val="en-US"/>
        </w:rPr>
        <w:t>,</w:t>
      </w:r>
      <w:r w:rsidR="00F1219C">
        <w:rPr>
          <w:lang w:val="en-US"/>
        </w:rPr>
        <w:t xml:space="preserve"> in numerous instances, police reportedly refused to register complaints lodged by expatriate women </w:t>
      </w:r>
      <w:r w:rsidR="00E868C0">
        <w:rPr>
          <w:lang w:val="en-US"/>
        </w:rPr>
        <w:t xml:space="preserve">regarding </w:t>
      </w:r>
      <w:r w:rsidR="00F1219C">
        <w:rPr>
          <w:lang w:val="en-US"/>
        </w:rPr>
        <w:t xml:space="preserve">domestic violence, dissuaded them </w:t>
      </w:r>
      <w:r w:rsidR="00FA38DE">
        <w:rPr>
          <w:lang w:val="en-US"/>
        </w:rPr>
        <w:t>from pursuing</w:t>
      </w:r>
      <w:r w:rsidR="00F1219C">
        <w:rPr>
          <w:lang w:val="en-US"/>
        </w:rPr>
        <w:t xml:space="preserve"> their complaint</w:t>
      </w:r>
      <w:r w:rsidR="00882B76">
        <w:rPr>
          <w:lang w:val="en-US"/>
        </w:rPr>
        <w:t>s</w:t>
      </w:r>
      <w:r w:rsidR="00F1219C">
        <w:rPr>
          <w:lang w:val="en-US"/>
        </w:rPr>
        <w:t xml:space="preserve"> or did not properly investigate </w:t>
      </w:r>
      <w:r w:rsidR="00882B76">
        <w:rPr>
          <w:lang w:val="en-US"/>
        </w:rPr>
        <w:t xml:space="preserve">such </w:t>
      </w:r>
      <w:r w:rsidR="00605CC2">
        <w:rPr>
          <w:lang w:val="en-US"/>
        </w:rPr>
        <w:t>complaint</w:t>
      </w:r>
      <w:r w:rsidR="00882B76">
        <w:rPr>
          <w:lang w:val="en-US"/>
        </w:rPr>
        <w:t>s</w:t>
      </w:r>
      <w:r w:rsidR="00F1219C">
        <w:rPr>
          <w:lang w:val="en-US"/>
        </w:rPr>
        <w:t xml:space="preserve">. The Committee is also concerned that </w:t>
      </w:r>
      <w:r w:rsidR="00E868C0">
        <w:rPr>
          <w:lang w:val="en-US"/>
        </w:rPr>
        <w:t>s</w:t>
      </w:r>
      <w:r w:rsidR="00F1219C">
        <w:rPr>
          <w:lang w:val="en-US"/>
        </w:rPr>
        <w:t xml:space="preserve">haria law is reportedly being applied </w:t>
      </w:r>
      <w:r w:rsidR="00605CC2">
        <w:rPr>
          <w:lang w:val="en-US"/>
        </w:rPr>
        <w:t xml:space="preserve">in </w:t>
      </w:r>
      <w:r w:rsidR="00F1219C">
        <w:rPr>
          <w:lang w:val="en-US"/>
        </w:rPr>
        <w:t xml:space="preserve">these cases and </w:t>
      </w:r>
      <w:r w:rsidR="001B55F3">
        <w:rPr>
          <w:lang w:val="en-US"/>
        </w:rPr>
        <w:t xml:space="preserve">that this </w:t>
      </w:r>
      <w:r w:rsidR="00F1219C">
        <w:rPr>
          <w:lang w:val="en-US"/>
        </w:rPr>
        <w:t xml:space="preserve">has led to </w:t>
      </w:r>
      <w:r w:rsidR="00E868C0">
        <w:rPr>
          <w:lang w:val="en-US"/>
        </w:rPr>
        <w:t xml:space="preserve">the conviction of </w:t>
      </w:r>
      <w:r w:rsidR="00F1219C">
        <w:rPr>
          <w:lang w:val="en-US"/>
        </w:rPr>
        <w:t xml:space="preserve">several mothers for defamation-related offences, depriving them of the custody of their children, and even to them </w:t>
      </w:r>
      <w:r w:rsidR="00E868C0">
        <w:rPr>
          <w:lang w:val="en-US"/>
        </w:rPr>
        <w:t xml:space="preserve">being deported </w:t>
      </w:r>
      <w:r w:rsidR="00F1219C">
        <w:rPr>
          <w:lang w:val="en-US"/>
        </w:rPr>
        <w:t xml:space="preserve">without their children. </w:t>
      </w:r>
    </w:p>
    <w:p w:rsidR="00F1219C" w:rsidRPr="00FA38DE" w:rsidRDefault="0049226E" w:rsidP="0049226E">
      <w:pPr>
        <w:pStyle w:val="SingleTxtG"/>
        <w:rPr>
          <w:rFonts w:eastAsia="Malgun Gothic"/>
          <w:b/>
          <w:lang w:val="en-US" w:eastAsia="zh-CN"/>
        </w:rPr>
      </w:pPr>
      <w:r w:rsidRPr="00FA38DE">
        <w:rPr>
          <w:rFonts w:eastAsia="Malgun Gothic"/>
          <w:lang w:val="en-US" w:eastAsia="zh-CN"/>
        </w:rPr>
        <w:t>42.</w:t>
      </w:r>
      <w:r w:rsidRPr="00FA38DE">
        <w:rPr>
          <w:rFonts w:eastAsia="Malgun Gothic"/>
          <w:lang w:val="en-US" w:eastAsia="zh-CN"/>
        </w:rPr>
        <w:tab/>
      </w:r>
      <w:r w:rsidR="00F1219C">
        <w:rPr>
          <w:b/>
          <w:lang w:val="en-US"/>
        </w:rPr>
        <w:t>In</w:t>
      </w:r>
      <w:r w:rsidR="00F1219C">
        <w:rPr>
          <w:rFonts w:eastAsia="Malgun Gothic"/>
          <w:b/>
          <w:lang w:val="en-US" w:eastAsia="zh-CN"/>
        </w:rPr>
        <w:t xml:space="preserve"> the </w:t>
      </w:r>
      <w:r w:rsidR="00F1219C" w:rsidRPr="00FA38DE">
        <w:rPr>
          <w:rFonts w:eastAsia="Malgun Gothic"/>
          <w:b/>
          <w:lang w:val="en-US" w:eastAsia="zh-CN"/>
        </w:rPr>
        <w:t xml:space="preserve">light of its </w:t>
      </w:r>
      <w:r w:rsidR="00F1219C" w:rsidRPr="00FA38DE">
        <w:rPr>
          <w:b/>
          <w:lang w:val="en-US"/>
        </w:rPr>
        <w:t>general comment No. 13 (2011) on the right of the child to freedom from all forms of violence,</w:t>
      </w:r>
      <w:r w:rsidR="00F1219C" w:rsidRPr="00FA38DE">
        <w:rPr>
          <w:rFonts w:eastAsia="Malgun Gothic"/>
          <w:b/>
          <w:lang w:val="en-US" w:eastAsia="zh-CN"/>
        </w:rPr>
        <w:t xml:space="preserve"> the Committee urges the State party to review as a matter of priority all legal provisions and practices </w:t>
      </w:r>
      <w:r w:rsidR="00497FBE">
        <w:rPr>
          <w:rFonts w:eastAsia="Malgun Gothic"/>
          <w:b/>
          <w:lang w:val="en-US" w:eastAsia="zh-CN"/>
        </w:rPr>
        <w:t>that</w:t>
      </w:r>
      <w:r w:rsidR="00497FBE" w:rsidRPr="00FA38DE">
        <w:rPr>
          <w:rFonts w:eastAsia="Malgun Gothic"/>
          <w:b/>
          <w:lang w:val="en-US" w:eastAsia="zh-CN"/>
        </w:rPr>
        <w:t xml:space="preserve"> </w:t>
      </w:r>
      <w:r w:rsidR="00F1219C" w:rsidRPr="00FA38DE">
        <w:rPr>
          <w:rFonts w:eastAsia="Malgun Gothic"/>
          <w:b/>
          <w:lang w:val="en-US" w:eastAsia="zh-CN"/>
        </w:rPr>
        <w:t xml:space="preserve">lead </w:t>
      </w:r>
      <w:r w:rsidR="00497FBE">
        <w:rPr>
          <w:rFonts w:eastAsia="Malgun Gothic"/>
          <w:b/>
          <w:lang w:val="en-US" w:eastAsia="zh-CN"/>
        </w:rPr>
        <w:t xml:space="preserve">to </w:t>
      </w:r>
      <w:r w:rsidR="00F1219C" w:rsidRPr="00FA38DE">
        <w:rPr>
          <w:rFonts w:eastAsia="Malgun Gothic"/>
          <w:b/>
          <w:lang w:val="en-US" w:eastAsia="zh-CN"/>
        </w:rPr>
        <w:t>mother</w:t>
      </w:r>
      <w:r w:rsidR="001B55F3" w:rsidRPr="00FA38DE">
        <w:rPr>
          <w:rFonts w:eastAsia="Malgun Gothic"/>
          <w:b/>
          <w:lang w:val="en-US" w:eastAsia="zh-CN"/>
        </w:rPr>
        <w:t>s</w:t>
      </w:r>
      <w:r w:rsidR="00F1219C" w:rsidRPr="00FA38DE">
        <w:rPr>
          <w:rFonts w:eastAsia="Malgun Gothic"/>
          <w:b/>
          <w:lang w:val="en-US" w:eastAsia="zh-CN"/>
        </w:rPr>
        <w:t xml:space="preserve"> </w:t>
      </w:r>
      <w:r w:rsidR="00497FBE">
        <w:rPr>
          <w:rFonts w:eastAsia="Malgun Gothic"/>
          <w:b/>
          <w:lang w:val="en-US" w:eastAsia="zh-CN"/>
        </w:rPr>
        <w:t xml:space="preserve">who report </w:t>
      </w:r>
      <w:r w:rsidR="00F1219C" w:rsidRPr="00FA38DE">
        <w:rPr>
          <w:rFonts w:eastAsia="Malgun Gothic"/>
          <w:b/>
          <w:lang w:val="en-US" w:eastAsia="zh-CN"/>
        </w:rPr>
        <w:t xml:space="preserve">domestic violence </w:t>
      </w:r>
      <w:r w:rsidR="00497FBE">
        <w:rPr>
          <w:rFonts w:eastAsia="Malgun Gothic"/>
          <w:b/>
          <w:lang w:val="en-US" w:eastAsia="zh-CN"/>
        </w:rPr>
        <w:t xml:space="preserve">losing </w:t>
      </w:r>
      <w:r w:rsidR="00F1219C" w:rsidRPr="00FA38DE">
        <w:rPr>
          <w:rFonts w:eastAsia="Malgun Gothic"/>
          <w:b/>
          <w:lang w:val="en-US" w:eastAsia="zh-CN"/>
        </w:rPr>
        <w:t xml:space="preserve">custody of their children, and to conduct an independent </w:t>
      </w:r>
      <w:r w:rsidR="00882B76" w:rsidRPr="00FA38DE">
        <w:rPr>
          <w:rFonts w:eastAsia="Malgun Gothic"/>
          <w:b/>
          <w:lang w:val="en-US" w:eastAsia="zh-CN"/>
        </w:rPr>
        <w:t>e</w:t>
      </w:r>
      <w:r w:rsidR="00F1219C" w:rsidRPr="00FA38DE">
        <w:rPr>
          <w:rFonts w:eastAsia="Malgun Gothic"/>
          <w:b/>
          <w:lang w:val="en-US" w:eastAsia="zh-CN"/>
        </w:rPr>
        <w:t>nquiry into all these cases in order for children to be reunited with their mothers when domestic violence is proven.</w:t>
      </w:r>
    </w:p>
    <w:p w:rsidR="00F1219C" w:rsidRDefault="00F1219C" w:rsidP="00F1219C">
      <w:pPr>
        <w:pStyle w:val="H23G"/>
        <w:rPr>
          <w:lang w:val="en-US"/>
        </w:rPr>
      </w:pPr>
      <w:r>
        <w:rPr>
          <w:lang w:val="en-US"/>
        </w:rPr>
        <w:tab/>
      </w:r>
      <w:r>
        <w:rPr>
          <w:lang w:val="en-US"/>
        </w:rPr>
        <w:tab/>
        <w:t>Sexual exploitation and abuse</w:t>
      </w:r>
    </w:p>
    <w:p w:rsidR="00F1219C" w:rsidRPr="004F4C66" w:rsidRDefault="0049226E" w:rsidP="0049226E">
      <w:pPr>
        <w:pStyle w:val="SingleTxtG"/>
        <w:rPr>
          <w:b/>
          <w:lang w:val="en-US"/>
        </w:rPr>
      </w:pPr>
      <w:r w:rsidRPr="004F4C66">
        <w:rPr>
          <w:lang w:val="en-US"/>
        </w:rPr>
        <w:t>43.</w:t>
      </w:r>
      <w:r w:rsidRPr="004F4C66">
        <w:rPr>
          <w:lang w:val="en-US"/>
        </w:rPr>
        <w:tab/>
      </w:r>
      <w:r w:rsidR="00F1219C" w:rsidRPr="004F4C66">
        <w:rPr>
          <w:lang w:val="en-US"/>
        </w:rPr>
        <w:t xml:space="preserve">The Committee is concerned that </w:t>
      </w:r>
      <w:r w:rsidR="00F1219C" w:rsidRPr="004F4C66">
        <w:rPr>
          <w:lang w:val="en-US" w:eastAsia="de-DE"/>
        </w:rPr>
        <w:t xml:space="preserve">a child victim will </w:t>
      </w:r>
      <w:r w:rsidR="00882B76" w:rsidRPr="004F4C66">
        <w:rPr>
          <w:lang w:val="en-US" w:eastAsia="de-DE"/>
        </w:rPr>
        <w:t xml:space="preserve">rarely </w:t>
      </w:r>
      <w:r w:rsidR="00F1219C" w:rsidRPr="004F4C66">
        <w:rPr>
          <w:lang w:val="en-US" w:eastAsia="de-DE"/>
        </w:rPr>
        <w:t>report any instance of sexual abuse or exploitation</w:t>
      </w:r>
      <w:r w:rsidR="00882B76" w:rsidRPr="004F4C66">
        <w:rPr>
          <w:lang w:val="en-US" w:eastAsia="de-DE"/>
        </w:rPr>
        <w:t>,</w:t>
      </w:r>
      <w:r w:rsidR="00F1219C" w:rsidRPr="004F4C66">
        <w:rPr>
          <w:lang w:val="en-US" w:eastAsia="de-DE"/>
        </w:rPr>
        <w:t xml:space="preserve"> as she or he runs the risk of being charged with having committed </w:t>
      </w:r>
      <w:r w:rsidR="00882B76" w:rsidRPr="004F4C66">
        <w:rPr>
          <w:lang w:val="en-US" w:eastAsia="de-DE"/>
        </w:rPr>
        <w:t xml:space="preserve">a </w:t>
      </w:r>
      <w:r w:rsidR="00F1219C" w:rsidRPr="004F4C66">
        <w:rPr>
          <w:lang w:val="en-US" w:eastAsia="de-DE"/>
        </w:rPr>
        <w:t>sexual crime and even be</w:t>
      </w:r>
      <w:r w:rsidR="00497FBE">
        <w:rPr>
          <w:lang w:val="en-US" w:eastAsia="de-DE"/>
        </w:rPr>
        <w:t>ing</w:t>
      </w:r>
      <w:r w:rsidR="00F1219C" w:rsidRPr="004F4C66">
        <w:rPr>
          <w:lang w:val="en-US" w:eastAsia="de-DE"/>
        </w:rPr>
        <w:t xml:space="preserve"> sentenced to flogging pursuant to </w:t>
      </w:r>
      <w:r w:rsidR="004F4C66" w:rsidRPr="004F4C66">
        <w:t>Federal Act No.</w:t>
      </w:r>
      <w:r w:rsidR="004078C6">
        <w:t> </w:t>
      </w:r>
      <w:r w:rsidR="004F4C66" w:rsidRPr="004F4C66">
        <w:t xml:space="preserve"> 9 of 1976</w:t>
      </w:r>
      <w:r w:rsidR="004F4C66">
        <w:t>,</w:t>
      </w:r>
      <w:r w:rsidR="004F4C66" w:rsidRPr="004F4C66">
        <w:t xml:space="preserve"> concerning juvenile delinquents and vagrants</w:t>
      </w:r>
      <w:r w:rsidR="00F1219C" w:rsidRPr="004F4C66">
        <w:rPr>
          <w:lang w:val="en-US" w:eastAsia="de-DE"/>
        </w:rPr>
        <w:t>, as highlighted by the Special Rapporteur on the sale of children</w:t>
      </w:r>
      <w:r w:rsidR="00FA38DE" w:rsidRPr="0049226E">
        <w:rPr>
          <w:lang w:val="en-US" w:eastAsia="de-DE"/>
        </w:rPr>
        <w:t>, child prostitution and child pornography</w:t>
      </w:r>
      <w:r w:rsidR="00F1219C" w:rsidRPr="004F4C66">
        <w:rPr>
          <w:lang w:val="en-US" w:eastAsia="de-DE"/>
        </w:rPr>
        <w:t xml:space="preserve"> (</w:t>
      </w:r>
      <w:r w:rsidR="00882B76" w:rsidRPr="004F4C66">
        <w:rPr>
          <w:lang w:val="en-US" w:eastAsia="de-DE"/>
        </w:rPr>
        <w:t>see</w:t>
      </w:r>
      <w:r w:rsidR="004078C6">
        <w:rPr>
          <w:lang w:val="en-US" w:eastAsia="de-DE"/>
        </w:rPr>
        <w:t> </w:t>
      </w:r>
      <w:r w:rsidR="00F1219C" w:rsidRPr="004F4C66">
        <w:rPr>
          <w:lang w:eastAsia="de-DE"/>
        </w:rPr>
        <w:t>A/HRC/16/57/Add.2, para. 103</w:t>
      </w:r>
      <w:r w:rsidR="00F1219C" w:rsidRPr="004F4C66">
        <w:rPr>
          <w:lang w:val="en-US" w:eastAsia="de-DE"/>
        </w:rPr>
        <w:t>). The Committee is also concerned that the legislation of the State party does not adequately protect children from pornography and prostitution.</w:t>
      </w:r>
    </w:p>
    <w:p w:rsidR="00F1219C" w:rsidRPr="00FA38DE" w:rsidRDefault="0049226E" w:rsidP="0049226E">
      <w:pPr>
        <w:pStyle w:val="SingleTxtG"/>
        <w:rPr>
          <w:b/>
          <w:lang w:val="en-US"/>
        </w:rPr>
      </w:pPr>
      <w:r w:rsidRPr="00FA38DE">
        <w:rPr>
          <w:lang w:val="en-US"/>
        </w:rPr>
        <w:t>44.</w:t>
      </w:r>
      <w:r w:rsidRPr="00FA38DE">
        <w:rPr>
          <w:lang w:val="en-US"/>
        </w:rPr>
        <w:tab/>
      </w:r>
      <w:r w:rsidR="00F1219C" w:rsidRPr="00FA38DE">
        <w:rPr>
          <w:b/>
          <w:lang w:val="en-US" w:eastAsia="de-DE"/>
        </w:rPr>
        <w:t xml:space="preserve">The Committee urges the State party to repeal all legislation treating child victims as offenders rather than </w:t>
      </w:r>
      <w:r w:rsidR="00882B76" w:rsidRPr="00FA38DE">
        <w:rPr>
          <w:b/>
          <w:lang w:val="en-US" w:eastAsia="de-DE"/>
        </w:rPr>
        <w:t xml:space="preserve">as </w:t>
      </w:r>
      <w:r w:rsidR="00F1219C" w:rsidRPr="00FA38DE">
        <w:rPr>
          <w:b/>
          <w:lang w:val="en-US" w:eastAsia="de-DE"/>
        </w:rPr>
        <w:t>victims and to ensure that sexual abuse against children, in particular child prostitution and child pornography</w:t>
      </w:r>
      <w:r w:rsidR="00882B76" w:rsidRPr="00FA38DE">
        <w:rPr>
          <w:b/>
          <w:lang w:val="en-US" w:eastAsia="de-DE"/>
        </w:rPr>
        <w:t>,</w:t>
      </w:r>
      <w:r w:rsidR="00F1219C" w:rsidRPr="00FA38DE">
        <w:rPr>
          <w:b/>
          <w:lang w:val="en-US" w:eastAsia="de-DE"/>
        </w:rPr>
        <w:t xml:space="preserve"> </w:t>
      </w:r>
      <w:r w:rsidR="00882B76" w:rsidRPr="00FA38DE">
        <w:rPr>
          <w:b/>
          <w:lang w:val="en-US" w:eastAsia="de-DE"/>
        </w:rPr>
        <w:t xml:space="preserve">is </w:t>
      </w:r>
      <w:r w:rsidR="00F1219C" w:rsidRPr="00FA38DE">
        <w:rPr>
          <w:b/>
          <w:lang w:val="en-US" w:eastAsia="de-DE"/>
        </w:rPr>
        <w:t xml:space="preserve">criminalized and </w:t>
      </w:r>
      <w:r w:rsidR="00497FBE">
        <w:rPr>
          <w:b/>
          <w:lang w:val="en-US" w:eastAsia="de-DE"/>
        </w:rPr>
        <w:t xml:space="preserve">that </w:t>
      </w:r>
      <w:r w:rsidR="00F1219C" w:rsidRPr="00FA38DE">
        <w:rPr>
          <w:b/>
          <w:lang w:val="en-US" w:eastAsia="de-DE"/>
        </w:rPr>
        <w:t xml:space="preserve">perpetrators </w:t>
      </w:r>
      <w:r w:rsidR="00497FBE">
        <w:rPr>
          <w:b/>
          <w:lang w:val="en-US" w:eastAsia="de-DE"/>
        </w:rPr>
        <w:t xml:space="preserve">are </w:t>
      </w:r>
      <w:r w:rsidR="00F1219C" w:rsidRPr="00FA38DE">
        <w:rPr>
          <w:b/>
          <w:lang w:val="en-US" w:eastAsia="de-DE"/>
        </w:rPr>
        <w:t xml:space="preserve">duly prosecuted and punished with sanctions commensurate with the gravity of their crimes. To this </w:t>
      </w:r>
      <w:r w:rsidR="00882B76" w:rsidRPr="00FA38DE">
        <w:rPr>
          <w:b/>
          <w:lang w:val="en-US" w:eastAsia="de-DE"/>
        </w:rPr>
        <w:t>end</w:t>
      </w:r>
      <w:r w:rsidR="00F1219C" w:rsidRPr="00FA38DE">
        <w:rPr>
          <w:b/>
          <w:lang w:val="en-US" w:eastAsia="de-DE"/>
        </w:rPr>
        <w:t xml:space="preserve">, the State party should also </w:t>
      </w:r>
      <w:r w:rsidR="00F1219C" w:rsidRPr="00FA38DE">
        <w:rPr>
          <w:b/>
          <w:lang w:val="en-US"/>
        </w:rPr>
        <w:t xml:space="preserve">establish mechanisms, procedures and guidelines to ensure </w:t>
      </w:r>
      <w:r w:rsidR="00915A68">
        <w:rPr>
          <w:b/>
          <w:lang w:val="en-US"/>
        </w:rPr>
        <w:t xml:space="preserve">the </w:t>
      </w:r>
      <w:r w:rsidR="00F1219C" w:rsidRPr="00FA38DE">
        <w:rPr>
          <w:b/>
          <w:lang w:val="en-US"/>
        </w:rPr>
        <w:t>mandatory reporting of cases of child sexual abuse and exploitation and to conduct awareness-</w:t>
      </w:r>
      <w:r w:rsidR="00F1219C" w:rsidRPr="00FA38DE">
        <w:rPr>
          <w:rFonts w:eastAsia="Malgun Gothic"/>
          <w:b/>
          <w:lang w:val="en-US" w:eastAsia="zh-CN"/>
        </w:rPr>
        <w:t xml:space="preserve">raising activities to combat the stigmatization of victims of sexual exploitation and abuse, including incest, and </w:t>
      </w:r>
      <w:r w:rsidR="00497FBE">
        <w:rPr>
          <w:rFonts w:eastAsia="Malgun Gothic"/>
          <w:b/>
          <w:lang w:val="en-US" w:eastAsia="zh-CN"/>
        </w:rPr>
        <w:t xml:space="preserve">to </w:t>
      </w:r>
      <w:r w:rsidR="00F1219C" w:rsidRPr="00FA38DE">
        <w:rPr>
          <w:rFonts w:eastAsia="Malgun Gothic"/>
          <w:b/>
          <w:lang w:val="en-US" w:eastAsia="zh-CN"/>
        </w:rPr>
        <w:t xml:space="preserve">ensure </w:t>
      </w:r>
      <w:r w:rsidR="00497FBE">
        <w:rPr>
          <w:rFonts w:eastAsia="Malgun Gothic"/>
          <w:b/>
          <w:lang w:val="en-US" w:eastAsia="zh-CN"/>
        </w:rPr>
        <w:t xml:space="preserve">the existence of </w:t>
      </w:r>
      <w:r w:rsidR="00F1219C" w:rsidRPr="00FA38DE">
        <w:rPr>
          <w:rFonts w:eastAsia="Malgun Gothic"/>
          <w:b/>
          <w:lang w:val="en-US" w:eastAsia="zh-CN"/>
        </w:rPr>
        <w:t>accessible, confidential, child-friendly and effective reporting channels for such violations. P</w:t>
      </w:r>
      <w:r w:rsidR="00F1219C" w:rsidRPr="00FA38DE">
        <w:rPr>
          <w:b/>
          <w:lang w:val="en-US"/>
        </w:rPr>
        <w:t>rogrammes and policies for the prevention, recovery and social reintegration of child victims should also be developed in accordance with the outcome documents adopted at the World Congresses against Commercial Sexual Exploitation of Children</w:t>
      </w:r>
      <w:r w:rsidR="00CF1D61" w:rsidRPr="00FA38DE">
        <w:rPr>
          <w:b/>
          <w:lang w:val="en-US"/>
        </w:rPr>
        <w:t>.</w:t>
      </w:r>
    </w:p>
    <w:p w:rsidR="00F1219C" w:rsidRDefault="001535F4" w:rsidP="001535F4">
      <w:pPr>
        <w:pStyle w:val="H23G"/>
        <w:rPr>
          <w:lang w:val="en-US"/>
        </w:rPr>
      </w:pPr>
      <w:r>
        <w:rPr>
          <w:rFonts w:eastAsia="Malgun Gothic"/>
          <w:lang w:val="en-US" w:eastAsia="zh-CN"/>
        </w:rPr>
        <w:tab/>
      </w:r>
      <w:r>
        <w:rPr>
          <w:rFonts w:eastAsia="Malgun Gothic"/>
          <w:lang w:val="en-US" w:eastAsia="zh-CN"/>
        </w:rPr>
        <w:tab/>
      </w:r>
      <w:r w:rsidR="00F1219C">
        <w:rPr>
          <w:rFonts w:eastAsia="Malgun Gothic"/>
          <w:lang w:val="en-US" w:eastAsia="zh-CN"/>
        </w:rPr>
        <w:t>Harmful practices</w:t>
      </w:r>
    </w:p>
    <w:p w:rsidR="00F1219C" w:rsidRPr="00FB0F78" w:rsidRDefault="0049226E" w:rsidP="0049226E">
      <w:pPr>
        <w:pStyle w:val="SingleTxtG"/>
        <w:rPr>
          <w:lang w:val="en-US" w:eastAsia="de-DE"/>
        </w:rPr>
      </w:pPr>
      <w:r w:rsidRPr="00FB0F78">
        <w:rPr>
          <w:lang w:val="en-US" w:eastAsia="de-DE"/>
        </w:rPr>
        <w:t>45.</w:t>
      </w:r>
      <w:r w:rsidRPr="00FB0F78">
        <w:rPr>
          <w:lang w:val="en-US" w:eastAsia="de-DE"/>
        </w:rPr>
        <w:tab/>
      </w:r>
      <w:r w:rsidR="00F1219C" w:rsidRPr="00FB0F78">
        <w:rPr>
          <w:lang w:val="en-US"/>
        </w:rPr>
        <w:t>The Committee is concerned that</w:t>
      </w:r>
      <w:r w:rsidR="00882B76" w:rsidRPr="00FB0F78">
        <w:rPr>
          <w:lang w:val="en-US"/>
        </w:rPr>
        <w:t>,</w:t>
      </w:r>
      <w:r w:rsidR="00F1219C" w:rsidRPr="00FB0F78">
        <w:rPr>
          <w:lang w:val="en-US"/>
        </w:rPr>
        <w:t xml:space="preserve"> </w:t>
      </w:r>
      <w:r w:rsidR="00497FBE" w:rsidRPr="00FB0F78">
        <w:rPr>
          <w:lang w:val="en-US"/>
        </w:rPr>
        <w:t xml:space="preserve">although </w:t>
      </w:r>
      <w:r w:rsidR="00F1219C" w:rsidRPr="00FB0F78">
        <w:rPr>
          <w:lang w:val="en-US" w:eastAsia="de-DE"/>
        </w:rPr>
        <w:t xml:space="preserve">the legal age for marriage </w:t>
      </w:r>
      <w:r w:rsidR="00497FBE" w:rsidRPr="00FB0F78">
        <w:rPr>
          <w:lang w:val="en-US" w:eastAsia="de-DE"/>
        </w:rPr>
        <w:t xml:space="preserve">in the State party </w:t>
      </w:r>
      <w:r w:rsidR="00F1219C" w:rsidRPr="00FB0F78">
        <w:rPr>
          <w:lang w:val="en-US" w:eastAsia="de-DE"/>
        </w:rPr>
        <w:t xml:space="preserve">is 18 years for both girls and boys, a high percentage of girls continue to be married before the age of 18 as a result of an overuse by judges of legal derogations to the </w:t>
      </w:r>
      <w:r w:rsidR="00FB0F78" w:rsidRPr="0049226E">
        <w:rPr>
          <w:lang w:val="en-US" w:eastAsia="de-DE"/>
        </w:rPr>
        <w:t xml:space="preserve">law on the </w:t>
      </w:r>
      <w:r w:rsidR="00F1219C" w:rsidRPr="00FB0F78">
        <w:rPr>
          <w:lang w:val="en-US" w:eastAsia="de-DE"/>
        </w:rPr>
        <w:t xml:space="preserve">minimum age of marriage in order to marry girls when </w:t>
      </w:r>
      <w:r w:rsidR="00497FBE" w:rsidRPr="00FB0F78">
        <w:rPr>
          <w:lang w:val="en-US" w:eastAsia="de-DE"/>
        </w:rPr>
        <w:t xml:space="preserve">it is </w:t>
      </w:r>
      <w:r w:rsidR="00F1219C" w:rsidRPr="00FB0F78">
        <w:rPr>
          <w:lang w:val="en-US" w:eastAsia="de-DE"/>
        </w:rPr>
        <w:t xml:space="preserve">in their supposed “best interests”. </w:t>
      </w:r>
    </w:p>
    <w:p w:rsidR="00F1219C" w:rsidRPr="001B5423" w:rsidRDefault="0049226E" w:rsidP="0049226E">
      <w:pPr>
        <w:pStyle w:val="SingleTxtG"/>
        <w:rPr>
          <w:b/>
          <w:lang w:val="en-US"/>
        </w:rPr>
      </w:pPr>
      <w:r w:rsidRPr="001B5423">
        <w:rPr>
          <w:lang w:val="en-US"/>
        </w:rPr>
        <w:t>46.</w:t>
      </w:r>
      <w:r w:rsidRPr="001B5423">
        <w:rPr>
          <w:lang w:val="en-US"/>
        </w:rPr>
        <w:tab/>
      </w:r>
      <w:r w:rsidR="00F1219C" w:rsidRPr="001B5423">
        <w:rPr>
          <w:b/>
          <w:lang w:val="en-US"/>
        </w:rPr>
        <w:t xml:space="preserve">The Committee urges </w:t>
      </w:r>
      <w:r w:rsidR="00F1219C" w:rsidRPr="001B5423">
        <w:rPr>
          <w:b/>
          <w:bCs/>
          <w:color w:val="000000"/>
          <w:lang w:val="en-US" w:eastAsia="en-GB"/>
        </w:rPr>
        <w:t>the State party to ensure that the minimum age of marriage, set at 18 for both girls and boys</w:t>
      </w:r>
      <w:r w:rsidR="001B55F3" w:rsidRPr="001B5423">
        <w:rPr>
          <w:b/>
          <w:bCs/>
          <w:color w:val="000000"/>
          <w:lang w:val="en-US" w:eastAsia="en-GB"/>
        </w:rPr>
        <w:t>,</w:t>
      </w:r>
      <w:r w:rsidR="00F1219C" w:rsidRPr="001B5423">
        <w:rPr>
          <w:b/>
          <w:bCs/>
          <w:color w:val="000000"/>
          <w:lang w:val="en-US" w:eastAsia="en-GB"/>
        </w:rPr>
        <w:t xml:space="preserve"> is enforced</w:t>
      </w:r>
      <w:r w:rsidR="001F3895" w:rsidRPr="001B5423">
        <w:rPr>
          <w:b/>
          <w:bCs/>
          <w:color w:val="000000"/>
          <w:lang w:val="en-US" w:eastAsia="en-GB"/>
        </w:rPr>
        <w:t xml:space="preserve"> effectively</w:t>
      </w:r>
      <w:r w:rsidR="00F1219C" w:rsidRPr="001B5423">
        <w:rPr>
          <w:b/>
          <w:bCs/>
          <w:color w:val="000000"/>
          <w:lang w:val="en-US" w:eastAsia="en-GB"/>
        </w:rPr>
        <w:t xml:space="preserve">. In </w:t>
      </w:r>
      <w:r w:rsidR="00882B76" w:rsidRPr="001B5423">
        <w:rPr>
          <w:b/>
          <w:bCs/>
          <w:color w:val="000000"/>
          <w:lang w:val="en-US" w:eastAsia="en-GB"/>
        </w:rPr>
        <w:t xml:space="preserve">the </w:t>
      </w:r>
      <w:r w:rsidR="00F1219C" w:rsidRPr="001B5423">
        <w:rPr>
          <w:b/>
          <w:bCs/>
          <w:color w:val="000000"/>
          <w:lang w:val="en-US" w:eastAsia="en-GB"/>
        </w:rPr>
        <w:t xml:space="preserve">light of </w:t>
      </w:r>
      <w:r w:rsidR="00DF6BE5" w:rsidRPr="001B5423">
        <w:rPr>
          <w:b/>
          <w:bCs/>
          <w:color w:val="000000"/>
          <w:lang w:val="en-US" w:eastAsia="en-GB"/>
        </w:rPr>
        <w:t>joint general recommendation No. 31 of the Committee on the Elimination of Discrimination against Women/general comment No. 18 of the Committee on the Rights of the Child on harmful practices (2014)</w:t>
      </w:r>
      <w:r w:rsidR="00F1219C" w:rsidRPr="001B5423">
        <w:rPr>
          <w:b/>
          <w:bCs/>
          <w:color w:val="000000"/>
          <w:lang w:val="en-US" w:eastAsia="en-GB"/>
        </w:rPr>
        <w:t>, the Committee recommend</w:t>
      </w:r>
      <w:r w:rsidR="00882B76" w:rsidRPr="001B5423">
        <w:rPr>
          <w:b/>
          <w:bCs/>
          <w:color w:val="000000"/>
          <w:lang w:val="en-US" w:eastAsia="en-GB"/>
        </w:rPr>
        <w:t>s</w:t>
      </w:r>
      <w:r w:rsidR="00F1219C" w:rsidRPr="001B5423">
        <w:rPr>
          <w:b/>
          <w:bCs/>
          <w:color w:val="000000"/>
          <w:lang w:val="en-US" w:eastAsia="en-GB"/>
        </w:rPr>
        <w:t xml:space="preserve"> that the State party </w:t>
      </w:r>
      <w:r w:rsidR="00F1219C" w:rsidRPr="001B5423">
        <w:rPr>
          <w:rStyle w:val="SingleTxtGChar"/>
          <w:b/>
        </w:rPr>
        <w:t>strengthen all measures to address early and forced marriage among girls, including through the organi</w:t>
      </w:r>
      <w:r w:rsidR="00882B76" w:rsidRPr="001B5423">
        <w:rPr>
          <w:rStyle w:val="SingleTxtGChar"/>
          <w:b/>
        </w:rPr>
        <w:t>z</w:t>
      </w:r>
      <w:r w:rsidR="00F1219C" w:rsidRPr="001B5423">
        <w:rPr>
          <w:rStyle w:val="SingleTxtGChar"/>
          <w:b/>
        </w:rPr>
        <w:t>ation of campaigns in collaboration with civil society, the media, traditional leaders and families to raise awareness of the harmful effects of such practi</w:t>
      </w:r>
      <w:r w:rsidR="00882B76" w:rsidRPr="001B5423">
        <w:rPr>
          <w:rStyle w:val="SingleTxtGChar"/>
          <w:b/>
        </w:rPr>
        <w:t>c</w:t>
      </w:r>
      <w:r w:rsidR="00F1219C" w:rsidRPr="001B5423">
        <w:rPr>
          <w:rStyle w:val="SingleTxtGChar"/>
          <w:b/>
        </w:rPr>
        <w:t>es.</w:t>
      </w:r>
    </w:p>
    <w:p w:rsidR="00F1219C" w:rsidRPr="0049226E" w:rsidRDefault="00F1219C" w:rsidP="00D31678">
      <w:pPr>
        <w:pStyle w:val="H1G"/>
      </w:pPr>
      <w:r>
        <w:rPr>
          <w:sz w:val="20"/>
          <w:lang w:val="en-US"/>
        </w:rPr>
        <w:tab/>
      </w:r>
      <w:r>
        <w:rPr>
          <w:lang w:val="en-US"/>
        </w:rPr>
        <w:t>E.</w:t>
      </w:r>
      <w:r>
        <w:rPr>
          <w:lang w:val="en-US"/>
        </w:rPr>
        <w:tab/>
        <w:t>Family environment and alternative care (arts. 5, 9-11, 18 (1</w:t>
      </w:r>
      <w:r w:rsidR="00D31678">
        <w:rPr>
          <w:lang w:val="en-US"/>
        </w:rPr>
        <w:t>-2</w:t>
      </w:r>
      <w:r w:rsidR="00CF2E66">
        <w:rPr>
          <w:lang w:val="en-US"/>
        </w:rPr>
        <w:t>)</w:t>
      </w:r>
      <w:r>
        <w:rPr>
          <w:lang w:val="en-US"/>
        </w:rPr>
        <w:t>, 20-21, 25 and 27 (4))</w:t>
      </w:r>
    </w:p>
    <w:p w:rsidR="00F1219C" w:rsidRDefault="00F1219C" w:rsidP="00F1219C">
      <w:pPr>
        <w:pStyle w:val="H23G"/>
        <w:rPr>
          <w:lang w:val="en-US"/>
        </w:rPr>
      </w:pPr>
      <w:r>
        <w:rPr>
          <w:lang w:val="en-US"/>
        </w:rPr>
        <w:tab/>
      </w:r>
      <w:r>
        <w:rPr>
          <w:lang w:val="en-US"/>
        </w:rPr>
        <w:tab/>
        <w:t>Family environment</w:t>
      </w:r>
    </w:p>
    <w:p w:rsidR="00F1219C" w:rsidRDefault="0049226E" w:rsidP="0049226E">
      <w:pPr>
        <w:pStyle w:val="SingleTxtG"/>
        <w:rPr>
          <w:b/>
          <w:bCs/>
          <w:lang w:val="en-US" w:eastAsia="en-GB"/>
        </w:rPr>
      </w:pPr>
      <w:r>
        <w:rPr>
          <w:lang w:val="en-US" w:eastAsia="en-GB"/>
        </w:rPr>
        <w:t>47.</w:t>
      </w:r>
      <w:r>
        <w:rPr>
          <w:lang w:val="en-US" w:eastAsia="en-GB"/>
        </w:rPr>
        <w:tab/>
      </w:r>
      <w:r w:rsidR="00F1219C">
        <w:rPr>
          <w:lang w:val="en-US"/>
        </w:rPr>
        <w:t xml:space="preserve">The Committee is concerned about the persistence of </w:t>
      </w:r>
      <w:r w:rsidR="00F1219C">
        <w:rPr>
          <w:bCs/>
          <w:lang w:val="en-US" w:eastAsia="en-GB"/>
        </w:rPr>
        <w:t>unequal parental responsibilities and of discriminatory provisions against women and girls in the family context</w:t>
      </w:r>
      <w:r w:rsidR="00497FBE">
        <w:rPr>
          <w:bCs/>
          <w:lang w:val="en-US" w:eastAsia="en-GB"/>
        </w:rPr>
        <w:t>,</w:t>
      </w:r>
      <w:r w:rsidR="00F1219C">
        <w:rPr>
          <w:bCs/>
          <w:lang w:val="en-US" w:eastAsia="en-GB"/>
        </w:rPr>
        <w:t xml:space="preserve"> such as the legal obligation of women to obey their husbands, the maintenance of male guardianship over women and girls</w:t>
      </w:r>
      <w:r w:rsidR="00CF2E66">
        <w:rPr>
          <w:bCs/>
          <w:lang w:val="en-US" w:eastAsia="en-GB"/>
        </w:rPr>
        <w:t>,</w:t>
      </w:r>
      <w:r w:rsidR="00F1219C">
        <w:rPr>
          <w:bCs/>
          <w:lang w:val="en-US" w:eastAsia="en-GB"/>
        </w:rPr>
        <w:t xml:space="preserve"> polygamy and legal provisions which allow men to unilaterally divorce their wi</w:t>
      </w:r>
      <w:r w:rsidR="00CF2E66">
        <w:rPr>
          <w:bCs/>
          <w:lang w:val="en-US" w:eastAsia="en-GB"/>
        </w:rPr>
        <w:t>v</w:t>
      </w:r>
      <w:r w:rsidR="00F1219C">
        <w:rPr>
          <w:bCs/>
          <w:lang w:val="en-US" w:eastAsia="en-GB"/>
        </w:rPr>
        <w:t>e</w:t>
      </w:r>
      <w:r w:rsidR="00CF2E66">
        <w:rPr>
          <w:bCs/>
          <w:lang w:val="en-US" w:eastAsia="en-GB"/>
        </w:rPr>
        <w:t>s</w:t>
      </w:r>
      <w:r w:rsidR="00F1219C">
        <w:rPr>
          <w:bCs/>
          <w:lang w:val="en-US" w:eastAsia="en-GB"/>
        </w:rPr>
        <w:t xml:space="preserve"> and </w:t>
      </w:r>
      <w:r w:rsidR="00CF2E66">
        <w:rPr>
          <w:bCs/>
          <w:lang w:val="en-US" w:eastAsia="en-GB"/>
        </w:rPr>
        <w:t xml:space="preserve">to </w:t>
      </w:r>
      <w:r w:rsidR="00F1219C">
        <w:rPr>
          <w:bCs/>
          <w:lang w:val="en-US" w:eastAsia="en-GB"/>
        </w:rPr>
        <w:t>prevent them from working. While welcoming the information provided during the dialogue about the Supreme Court’s position on the best interests of the child in custody decisions, the Committee is concerned that the law still provides that mothers can keep custody of their daughter</w:t>
      </w:r>
      <w:r w:rsidR="00CF2E66">
        <w:rPr>
          <w:bCs/>
          <w:lang w:val="en-US" w:eastAsia="en-GB"/>
        </w:rPr>
        <w:t>s</w:t>
      </w:r>
      <w:r w:rsidR="00F1219C">
        <w:rPr>
          <w:bCs/>
          <w:lang w:val="en-US" w:eastAsia="en-GB"/>
        </w:rPr>
        <w:t xml:space="preserve"> </w:t>
      </w:r>
      <w:r w:rsidR="00CF2E66">
        <w:rPr>
          <w:bCs/>
          <w:lang w:val="en-US" w:eastAsia="en-GB"/>
        </w:rPr>
        <w:t xml:space="preserve">only </w:t>
      </w:r>
      <w:r w:rsidR="00F1219C">
        <w:rPr>
          <w:bCs/>
          <w:lang w:val="en-US" w:eastAsia="en-GB"/>
        </w:rPr>
        <w:t xml:space="preserve">until the age of 13 and their sons </w:t>
      </w:r>
      <w:r w:rsidR="00CF2E66">
        <w:rPr>
          <w:bCs/>
          <w:lang w:val="en-US" w:eastAsia="en-GB"/>
        </w:rPr>
        <w:t xml:space="preserve">only </w:t>
      </w:r>
      <w:r w:rsidR="00F1219C">
        <w:rPr>
          <w:bCs/>
          <w:lang w:val="en-US" w:eastAsia="en-GB"/>
        </w:rPr>
        <w:t>until the age of 10.</w:t>
      </w:r>
    </w:p>
    <w:p w:rsidR="00F1219C" w:rsidRPr="00FB0F78" w:rsidRDefault="0049226E" w:rsidP="0049226E">
      <w:pPr>
        <w:pStyle w:val="SingleTxtG"/>
        <w:rPr>
          <w:b/>
          <w:bCs/>
          <w:color w:val="000000"/>
          <w:lang w:val="en-US" w:eastAsia="en-GB"/>
        </w:rPr>
      </w:pPr>
      <w:r w:rsidRPr="00FB0F78">
        <w:rPr>
          <w:color w:val="000000"/>
          <w:lang w:val="en-US" w:eastAsia="en-GB"/>
        </w:rPr>
        <w:t>48.</w:t>
      </w:r>
      <w:r w:rsidRPr="00FB0F78">
        <w:rPr>
          <w:color w:val="000000"/>
          <w:lang w:val="en-US" w:eastAsia="en-GB"/>
        </w:rPr>
        <w:tab/>
      </w:r>
      <w:r w:rsidR="00F1219C" w:rsidRPr="00FB0F78">
        <w:rPr>
          <w:b/>
          <w:lang w:val="en-US"/>
        </w:rPr>
        <w:t>The</w:t>
      </w:r>
      <w:r w:rsidR="00F1219C" w:rsidRPr="00FB0F78">
        <w:rPr>
          <w:b/>
          <w:bCs/>
          <w:lang w:val="en-US" w:eastAsia="en-GB"/>
        </w:rPr>
        <w:t xml:space="preserve"> Committee urges the State party to promptly repeal all provisions of the </w:t>
      </w:r>
      <w:r w:rsidR="004F4C66" w:rsidRPr="0049226E">
        <w:rPr>
          <w:b/>
          <w:bCs/>
          <w:lang w:val="en-US" w:eastAsia="en-GB"/>
        </w:rPr>
        <w:t>p</w:t>
      </w:r>
      <w:r w:rsidR="00F1219C" w:rsidRPr="00FB0F78">
        <w:rPr>
          <w:b/>
          <w:bCs/>
          <w:lang w:val="en-US" w:eastAsia="en-GB"/>
        </w:rPr>
        <w:t xml:space="preserve">ersonal </w:t>
      </w:r>
      <w:r w:rsidR="004F4C66" w:rsidRPr="0049226E">
        <w:rPr>
          <w:b/>
          <w:bCs/>
          <w:lang w:val="en-US" w:eastAsia="en-GB"/>
        </w:rPr>
        <w:t>s</w:t>
      </w:r>
      <w:r w:rsidR="00F1219C" w:rsidRPr="00FB0F78">
        <w:rPr>
          <w:b/>
          <w:bCs/>
          <w:lang w:val="en-US" w:eastAsia="en-GB"/>
        </w:rPr>
        <w:t xml:space="preserve">tatus </w:t>
      </w:r>
      <w:r w:rsidR="004F4C66" w:rsidRPr="0049226E">
        <w:rPr>
          <w:b/>
          <w:bCs/>
          <w:lang w:val="en-US" w:eastAsia="en-GB"/>
        </w:rPr>
        <w:t>l</w:t>
      </w:r>
      <w:r w:rsidR="00F1219C" w:rsidRPr="00FB0F78">
        <w:rPr>
          <w:b/>
          <w:bCs/>
          <w:lang w:val="en-US" w:eastAsia="en-GB"/>
        </w:rPr>
        <w:t xml:space="preserve">aw </w:t>
      </w:r>
      <w:r w:rsidR="00FA38DE" w:rsidRPr="00FB0F78">
        <w:rPr>
          <w:b/>
          <w:bCs/>
          <w:lang w:val="en-US" w:eastAsia="en-GB"/>
        </w:rPr>
        <w:t>that discriminate on the basis of gender</w:t>
      </w:r>
      <w:r w:rsidR="00497FBE" w:rsidRPr="00FB0F78">
        <w:rPr>
          <w:b/>
          <w:bCs/>
          <w:lang w:val="en-US" w:eastAsia="en-GB"/>
        </w:rPr>
        <w:t>,</w:t>
      </w:r>
      <w:r w:rsidR="00FA38DE" w:rsidRPr="00FB0F78">
        <w:rPr>
          <w:b/>
          <w:bCs/>
          <w:lang w:val="en-US" w:eastAsia="en-GB"/>
        </w:rPr>
        <w:t xml:space="preserve"> </w:t>
      </w:r>
      <w:r w:rsidR="00F1219C" w:rsidRPr="00FB0F78">
        <w:rPr>
          <w:b/>
          <w:bCs/>
          <w:lang w:val="en-US" w:eastAsia="en-GB"/>
        </w:rPr>
        <w:t xml:space="preserve">infringe on </w:t>
      </w:r>
      <w:r w:rsidR="00830216" w:rsidRPr="00FB0F78">
        <w:rPr>
          <w:b/>
          <w:bCs/>
          <w:lang w:val="en-US" w:eastAsia="en-GB"/>
        </w:rPr>
        <w:t xml:space="preserve">the dignity of </w:t>
      </w:r>
      <w:r w:rsidR="00F1219C" w:rsidRPr="00FB0F78">
        <w:rPr>
          <w:b/>
          <w:bCs/>
          <w:lang w:val="en-US" w:eastAsia="en-GB"/>
        </w:rPr>
        <w:t xml:space="preserve">women and girls and </w:t>
      </w:r>
      <w:r w:rsidR="00915A68" w:rsidRPr="00FB0F78">
        <w:rPr>
          <w:b/>
          <w:bCs/>
          <w:lang w:val="en-US" w:eastAsia="en-GB"/>
        </w:rPr>
        <w:t xml:space="preserve">have a negative </w:t>
      </w:r>
      <w:r w:rsidR="00F1219C" w:rsidRPr="00FB0F78">
        <w:rPr>
          <w:b/>
          <w:bCs/>
          <w:lang w:val="en-US" w:eastAsia="en-GB"/>
        </w:rPr>
        <w:t>impact the family environment</w:t>
      </w:r>
      <w:r w:rsidR="00830216" w:rsidRPr="00FB0F78">
        <w:rPr>
          <w:b/>
          <w:bCs/>
          <w:lang w:val="en-US" w:eastAsia="en-GB"/>
        </w:rPr>
        <w:t>,</w:t>
      </w:r>
      <w:r w:rsidR="00F1219C" w:rsidRPr="00FB0F78">
        <w:rPr>
          <w:b/>
          <w:bCs/>
          <w:lang w:val="en-US" w:eastAsia="en-GB"/>
        </w:rPr>
        <w:t xml:space="preserve"> and </w:t>
      </w:r>
      <w:r w:rsidR="001B55F3" w:rsidRPr="00FB0F78">
        <w:rPr>
          <w:b/>
          <w:bCs/>
          <w:lang w:val="en-US" w:eastAsia="en-GB"/>
        </w:rPr>
        <w:t xml:space="preserve">to </w:t>
      </w:r>
      <w:r w:rsidR="00F1219C" w:rsidRPr="00FB0F78">
        <w:rPr>
          <w:b/>
          <w:bCs/>
          <w:lang w:val="en-US" w:eastAsia="en-GB"/>
        </w:rPr>
        <w:t xml:space="preserve">ensure that mothers and fathers equally share the legal responsibility for their children, in accordance with article 18 </w:t>
      </w:r>
      <w:r w:rsidR="00830216" w:rsidRPr="00FB0F78">
        <w:rPr>
          <w:b/>
          <w:bCs/>
          <w:lang w:val="en-US" w:eastAsia="en-GB"/>
        </w:rPr>
        <w:t>(</w:t>
      </w:r>
      <w:r w:rsidR="00F1219C" w:rsidRPr="00FB0F78">
        <w:rPr>
          <w:b/>
          <w:bCs/>
          <w:lang w:val="en-US" w:eastAsia="en-GB"/>
        </w:rPr>
        <w:t>1</w:t>
      </w:r>
      <w:r w:rsidR="00830216" w:rsidRPr="00FB0F78">
        <w:rPr>
          <w:b/>
          <w:bCs/>
          <w:lang w:val="en-US" w:eastAsia="en-GB"/>
        </w:rPr>
        <w:t>)</w:t>
      </w:r>
      <w:r w:rsidR="00F1219C" w:rsidRPr="00FB0F78">
        <w:rPr>
          <w:b/>
          <w:bCs/>
          <w:lang w:val="en-US" w:eastAsia="en-GB"/>
        </w:rPr>
        <w:t xml:space="preserve"> of the Convention. The State party should abolish the concept of male guardianship as a matter of priority. The Committee also urges the State party to review its legislation on custody and ensure that the best interests of the child are the paramount consideration in any decision taken in this respect.</w:t>
      </w:r>
    </w:p>
    <w:p w:rsidR="00F1219C" w:rsidRDefault="00A36865" w:rsidP="00A36865">
      <w:pPr>
        <w:pStyle w:val="H23G"/>
        <w:rPr>
          <w:lang w:val="en-US" w:eastAsia="en-GB"/>
        </w:rPr>
      </w:pPr>
      <w:r>
        <w:rPr>
          <w:lang w:val="en-US" w:eastAsia="en-GB"/>
        </w:rPr>
        <w:tab/>
      </w:r>
      <w:r>
        <w:rPr>
          <w:lang w:val="en-US" w:eastAsia="en-GB"/>
        </w:rPr>
        <w:tab/>
      </w:r>
      <w:r w:rsidR="00F1219C">
        <w:rPr>
          <w:lang w:val="en-US" w:eastAsia="en-GB"/>
        </w:rPr>
        <w:t>Children deprived of a family environment</w:t>
      </w:r>
    </w:p>
    <w:p w:rsidR="00F1219C" w:rsidRDefault="0049226E" w:rsidP="0049226E">
      <w:pPr>
        <w:pStyle w:val="SingleTxtG"/>
        <w:rPr>
          <w:bCs/>
          <w:color w:val="000000"/>
          <w:lang w:val="en-US" w:eastAsia="en-GB"/>
        </w:rPr>
      </w:pPr>
      <w:r>
        <w:rPr>
          <w:color w:val="000000"/>
          <w:lang w:val="en-US" w:eastAsia="en-GB"/>
        </w:rPr>
        <w:t>49.</w:t>
      </w:r>
      <w:r>
        <w:rPr>
          <w:color w:val="000000"/>
          <w:lang w:val="en-US" w:eastAsia="en-GB"/>
        </w:rPr>
        <w:tab/>
      </w:r>
      <w:r w:rsidR="00F1219C">
        <w:rPr>
          <w:bCs/>
          <w:color w:val="000000"/>
          <w:lang w:val="en-US" w:eastAsia="en-GB"/>
        </w:rPr>
        <w:t xml:space="preserve">The Committee is deeply concerned about the impact of the situation of migrant workers, especially </w:t>
      </w:r>
      <w:r w:rsidR="00830216">
        <w:rPr>
          <w:bCs/>
          <w:color w:val="000000"/>
          <w:lang w:val="en-US" w:eastAsia="en-GB"/>
        </w:rPr>
        <w:t xml:space="preserve">the situation of </w:t>
      </w:r>
      <w:r w:rsidR="00F1219C">
        <w:rPr>
          <w:bCs/>
          <w:color w:val="000000"/>
          <w:lang w:val="en-US" w:eastAsia="en-GB"/>
        </w:rPr>
        <w:t>female domestic workers</w:t>
      </w:r>
      <w:r w:rsidR="001B55F3">
        <w:rPr>
          <w:bCs/>
          <w:color w:val="000000"/>
          <w:lang w:val="en-US" w:eastAsia="en-GB"/>
        </w:rPr>
        <w:t>,</w:t>
      </w:r>
      <w:r w:rsidR="00F1219C">
        <w:rPr>
          <w:bCs/>
          <w:color w:val="000000"/>
          <w:lang w:val="en-US" w:eastAsia="en-GB"/>
        </w:rPr>
        <w:t xml:space="preserve"> on the right of their children living abroad to a family environment. The Committee </w:t>
      </w:r>
      <w:r w:rsidR="001B55F3">
        <w:rPr>
          <w:bCs/>
          <w:color w:val="000000"/>
          <w:lang w:val="en-US" w:eastAsia="en-GB"/>
        </w:rPr>
        <w:t xml:space="preserve">is particularly concerned that the </w:t>
      </w:r>
      <w:r w:rsidR="00F1219C">
        <w:rPr>
          <w:bCs/>
          <w:color w:val="000000"/>
          <w:lang w:val="en-US" w:eastAsia="en-GB"/>
        </w:rPr>
        <w:t>sponsorship system imposed on these workers results in</w:t>
      </w:r>
      <w:r w:rsidR="00CF1D61">
        <w:rPr>
          <w:bCs/>
          <w:color w:val="000000"/>
          <w:lang w:val="en-US" w:eastAsia="en-GB"/>
        </w:rPr>
        <w:t xml:space="preserve"> </w:t>
      </w:r>
      <w:r w:rsidR="00F1219C">
        <w:rPr>
          <w:bCs/>
          <w:color w:val="000000"/>
          <w:lang w:val="en-US" w:eastAsia="en-GB"/>
        </w:rPr>
        <w:t>slavery-like working conditions,</w:t>
      </w:r>
      <w:r w:rsidR="00CF1D61">
        <w:rPr>
          <w:bCs/>
          <w:color w:val="000000"/>
          <w:lang w:val="en-US" w:eastAsia="en-GB"/>
        </w:rPr>
        <w:t xml:space="preserve"> </w:t>
      </w:r>
      <w:r w:rsidR="00830216">
        <w:rPr>
          <w:bCs/>
          <w:color w:val="000000"/>
          <w:lang w:val="en-US" w:eastAsia="en-GB"/>
        </w:rPr>
        <w:t xml:space="preserve">and that </w:t>
      </w:r>
      <w:r w:rsidR="00F1219C">
        <w:rPr>
          <w:bCs/>
          <w:color w:val="000000"/>
          <w:lang w:val="en-US" w:eastAsia="en-GB"/>
        </w:rPr>
        <w:t>the confiscation of their passports</w:t>
      </w:r>
      <w:r w:rsidR="00830216">
        <w:rPr>
          <w:bCs/>
          <w:color w:val="000000"/>
          <w:lang w:val="en-US" w:eastAsia="en-GB"/>
        </w:rPr>
        <w:t xml:space="preserve"> and</w:t>
      </w:r>
      <w:r w:rsidR="00F1219C">
        <w:rPr>
          <w:bCs/>
          <w:color w:val="000000"/>
          <w:lang w:val="en-US" w:eastAsia="en-GB"/>
        </w:rPr>
        <w:t xml:space="preserve"> restrictions on their freedom of movement de facto result in limiting their travel back to their home countries and thus depriv</w:t>
      </w:r>
      <w:r w:rsidR="00830216">
        <w:rPr>
          <w:bCs/>
          <w:color w:val="000000"/>
          <w:lang w:val="en-US" w:eastAsia="en-GB"/>
        </w:rPr>
        <w:t>e</w:t>
      </w:r>
      <w:r w:rsidR="00F1219C">
        <w:rPr>
          <w:bCs/>
          <w:color w:val="000000"/>
          <w:lang w:val="en-US" w:eastAsia="en-GB"/>
        </w:rPr>
        <w:t xml:space="preserve"> their children </w:t>
      </w:r>
      <w:r w:rsidR="00830216">
        <w:rPr>
          <w:bCs/>
          <w:color w:val="000000"/>
          <w:lang w:val="en-US" w:eastAsia="en-GB"/>
        </w:rPr>
        <w:t xml:space="preserve">who remain </w:t>
      </w:r>
      <w:r w:rsidR="00F1219C">
        <w:rPr>
          <w:bCs/>
          <w:color w:val="000000"/>
          <w:lang w:val="en-US" w:eastAsia="en-GB"/>
        </w:rPr>
        <w:t xml:space="preserve">in their home country </w:t>
      </w:r>
      <w:r w:rsidR="001B55F3">
        <w:rPr>
          <w:bCs/>
          <w:color w:val="000000"/>
          <w:lang w:val="en-US" w:eastAsia="en-GB"/>
        </w:rPr>
        <w:t>of</w:t>
      </w:r>
      <w:r w:rsidR="00F1219C">
        <w:rPr>
          <w:bCs/>
          <w:color w:val="000000"/>
          <w:lang w:val="en-US" w:eastAsia="en-GB"/>
        </w:rPr>
        <w:t xml:space="preserve"> a family environment. </w:t>
      </w:r>
    </w:p>
    <w:p w:rsidR="00F1219C" w:rsidRPr="00FB0F78" w:rsidRDefault="0049226E" w:rsidP="0049226E">
      <w:pPr>
        <w:pStyle w:val="SingleTxtG"/>
        <w:rPr>
          <w:b/>
          <w:bCs/>
          <w:color w:val="000000"/>
          <w:lang w:val="en-US" w:eastAsia="en-GB"/>
        </w:rPr>
      </w:pPr>
      <w:r w:rsidRPr="00FB0F78">
        <w:rPr>
          <w:color w:val="000000"/>
          <w:lang w:val="en-US" w:eastAsia="en-GB"/>
        </w:rPr>
        <w:t>50.</w:t>
      </w:r>
      <w:r w:rsidRPr="00FB0F78">
        <w:rPr>
          <w:color w:val="000000"/>
          <w:lang w:val="en-US" w:eastAsia="en-GB"/>
        </w:rPr>
        <w:tab/>
      </w:r>
      <w:r w:rsidR="00F1219C" w:rsidRPr="00FB0F78">
        <w:rPr>
          <w:b/>
          <w:bCs/>
          <w:color w:val="000000"/>
          <w:lang w:val="en-US" w:eastAsia="en-GB"/>
        </w:rPr>
        <w:t xml:space="preserve">The Committee urges the State party to take all </w:t>
      </w:r>
      <w:r w:rsidR="008770A3" w:rsidRPr="00FB0F78">
        <w:rPr>
          <w:b/>
          <w:bCs/>
          <w:color w:val="000000"/>
          <w:lang w:val="en-US" w:eastAsia="en-GB"/>
        </w:rPr>
        <w:t xml:space="preserve">measures </w:t>
      </w:r>
      <w:r w:rsidR="00F1219C" w:rsidRPr="00FB0F78">
        <w:rPr>
          <w:b/>
          <w:bCs/>
          <w:color w:val="000000"/>
          <w:lang w:val="en-US" w:eastAsia="en-GB"/>
        </w:rPr>
        <w:t>necessary, in particular legislative</w:t>
      </w:r>
      <w:r w:rsidR="00830216" w:rsidRPr="00FB0F78">
        <w:rPr>
          <w:b/>
          <w:bCs/>
          <w:color w:val="000000"/>
          <w:lang w:val="en-US" w:eastAsia="en-GB"/>
        </w:rPr>
        <w:t xml:space="preserve"> measures</w:t>
      </w:r>
      <w:r w:rsidR="00F1219C" w:rsidRPr="00FB0F78">
        <w:rPr>
          <w:b/>
          <w:bCs/>
          <w:color w:val="000000"/>
          <w:lang w:val="en-US" w:eastAsia="en-GB"/>
        </w:rPr>
        <w:t>, to ensure decent conditions of work for migrant workers</w:t>
      </w:r>
      <w:r w:rsidR="00830216" w:rsidRPr="00FB0F78">
        <w:rPr>
          <w:b/>
          <w:bCs/>
          <w:color w:val="000000"/>
          <w:lang w:val="en-US" w:eastAsia="en-GB"/>
        </w:rPr>
        <w:t>,</w:t>
      </w:r>
      <w:r w:rsidR="00F1219C" w:rsidRPr="00FB0F78">
        <w:rPr>
          <w:b/>
          <w:bCs/>
          <w:color w:val="000000"/>
          <w:lang w:val="en-US" w:eastAsia="en-GB"/>
        </w:rPr>
        <w:t xml:space="preserve"> as well as their right to family life with their children. In this respect, the sponsorship system imposed on migrant domestic workers should be abolished without delay and the work of migrant workers, including domestic workers, properly regulated and supervised.</w:t>
      </w:r>
    </w:p>
    <w:p w:rsidR="00F1219C" w:rsidRDefault="00F1219C" w:rsidP="00A36865">
      <w:pPr>
        <w:pStyle w:val="H23G"/>
        <w:rPr>
          <w:lang w:val="en-US"/>
        </w:rPr>
      </w:pPr>
      <w:r>
        <w:rPr>
          <w:lang w:val="en-US"/>
        </w:rPr>
        <w:tab/>
      </w:r>
      <w:r>
        <w:rPr>
          <w:lang w:val="en-US"/>
        </w:rPr>
        <w:tab/>
        <w:t>Children of parents sentenced to prison or death</w:t>
      </w:r>
    </w:p>
    <w:p w:rsidR="00F1219C" w:rsidRDefault="0049226E" w:rsidP="0049226E">
      <w:pPr>
        <w:pStyle w:val="SingleTxtG"/>
      </w:pPr>
      <w:r>
        <w:t>51.</w:t>
      </w:r>
      <w:r>
        <w:tab/>
      </w:r>
      <w:r w:rsidR="00F1219C">
        <w:t>The Committee notes the provisions related to children living with their mothers in detention facilities</w:t>
      </w:r>
      <w:r w:rsidR="00DE58A5">
        <w:t>,</w:t>
      </w:r>
      <w:r w:rsidR="00F1219C">
        <w:t xml:space="preserve"> as well as the measures taken </w:t>
      </w:r>
      <w:r w:rsidR="00B36846">
        <w:t xml:space="preserve">with regard to </w:t>
      </w:r>
      <w:r w:rsidR="00F1219C">
        <w:t>children whose parents are imprisoned or executed. The Committee is concerned</w:t>
      </w:r>
      <w:r w:rsidR="00DE58A5">
        <w:t>, however,</w:t>
      </w:r>
      <w:r w:rsidR="00F1219C">
        <w:t xml:space="preserve"> about:</w:t>
      </w:r>
    </w:p>
    <w:p w:rsidR="00F1219C" w:rsidRDefault="00F1219C" w:rsidP="00915A68">
      <w:pPr>
        <w:widowControl w:val="0"/>
        <w:autoSpaceDE w:val="0"/>
        <w:autoSpaceDN w:val="0"/>
        <w:adjustRightInd w:val="0"/>
        <w:spacing w:after="120"/>
        <w:ind w:left="1134" w:right="1134" w:firstLine="567"/>
        <w:jc w:val="both"/>
      </w:pPr>
      <w:r>
        <w:t>(</w:t>
      </w:r>
      <w:r w:rsidR="00A36865">
        <w:t>a)</w:t>
      </w:r>
      <w:r w:rsidR="00A36865">
        <w:tab/>
      </w:r>
      <w:r>
        <w:t xml:space="preserve">The impact on children </w:t>
      </w:r>
      <w:r w:rsidR="00915A68">
        <w:t xml:space="preserve">when </w:t>
      </w:r>
      <w:r>
        <w:t>the death penalty</w:t>
      </w:r>
      <w:r w:rsidR="00915A68">
        <w:t xml:space="preserve"> is imposed</w:t>
      </w:r>
      <w:r w:rsidR="00CF1D61">
        <w:t xml:space="preserve"> </w:t>
      </w:r>
      <w:r>
        <w:t xml:space="preserve">on </w:t>
      </w:r>
      <w:r w:rsidR="008770A3">
        <w:t xml:space="preserve">their </w:t>
      </w:r>
      <w:r>
        <w:t>parents and</w:t>
      </w:r>
      <w:r w:rsidR="00CF1D61">
        <w:t xml:space="preserve"> </w:t>
      </w:r>
      <w:r>
        <w:t>the lack of attention paid</w:t>
      </w:r>
      <w:r w:rsidR="00CF1D61">
        <w:t xml:space="preserve"> </w:t>
      </w:r>
      <w:r>
        <w:t xml:space="preserve">to </w:t>
      </w:r>
      <w:r w:rsidR="00B36846">
        <w:t xml:space="preserve">providing </w:t>
      </w:r>
      <w:r>
        <w:t>psychological support for such</w:t>
      </w:r>
      <w:r w:rsidR="00CF1D61">
        <w:t xml:space="preserve"> </w:t>
      </w:r>
      <w:r>
        <w:t>children;</w:t>
      </w:r>
    </w:p>
    <w:p w:rsidR="00F1219C" w:rsidRDefault="00F1219C">
      <w:pPr>
        <w:widowControl w:val="0"/>
        <w:autoSpaceDE w:val="0"/>
        <w:autoSpaceDN w:val="0"/>
        <w:adjustRightInd w:val="0"/>
        <w:spacing w:after="120"/>
        <w:ind w:left="1134" w:right="1134" w:firstLine="567"/>
        <w:jc w:val="both"/>
      </w:pPr>
      <w:r>
        <w:t>(b)</w:t>
      </w:r>
      <w:r w:rsidR="00A36865">
        <w:tab/>
      </w:r>
      <w:r>
        <w:t xml:space="preserve">Instances </w:t>
      </w:r>
      <w:r w:rsidR="00DE58A5">
        <w:t xml:space="preserve">in which </w:t>
      </w:r>
      <w:r>
        <w:t xml:space="preserve">parents are sentenced to prison for failing to pay a debt; </w:t>
      </w:r>
    </w:p>
    <w:p w:rsidR="00F1219C" w:rsidRDefault="00A36865">
      <w:pPr>
        <w:widowControl w:val="0"/>
        <w:autoSpaceDE w:val="0"/>
        <w:autoSpaceDN w:val="0"/>
        <w:adjustRightInd w:val="0"/>
        <w:spacing w:after="120"/>
        <w:ind w:left="1134" w:right="1134" w:firstLine="567"/>
        <w:jc w:val="both"/>
      </w:pPr>
      <w:r>
        <w:t>(c)</w:t>
      </w:r>
      <w:r>
        <w:tab/>
      </w:r>
      <w:r w:rsidR="00F1219C">
        <w:t>The lack of human</w:t>
      </w:r>
      <w:r w:rsidR="00CF1D61">
        <w:t xml:space="preserve"> </w:t>
      </w:r>
      <w:r w:rsidR="00F1219C">
        <w:t xml:space="preserve">resources and other support </w:t>
      </w:r>
      <w:r w:rsidR="00F00B37">
        <w:t xml:space="preserve">necessary </w:t>
      </w:r>
      <w:r w:rsidR="00F1219C">
        <w:t>for children living in prison with their mothers.</w:t>
      </w:r>
    </w:p>
    <w:p w:rsidR="00F1219C" w:rsidRDefault="0049226E" w:rsidP="0049226E">
      <w:pPr>
        <w:pStyle w:val="SingleTxtG"/>
        <w:rPr>
          <w:b/>
          <w:bCs/>
          <w:color w:val="000000"/>
          <w:lang w:eastAsia="en-GB"/>
        </w:rPr>
      </w:pPr>
      <w:r>
        <w:rPr>
          <w:color w:val="000000"/>
          <w:lang w:eastAsia="en-GB"/>
        </w:rPr>
        <w:t>52.</w:t>
      </w:r>
      <w:r>
        <w:rPr>
          <w:color w:val="000000"/>
          <w:lang w:eastAsia="en-GB"/>
        </w:rPr>
        <w:tab/>
      </w:r>
      <w:r w:rsidR="00F1219C">
        <w:rPr>
          <w:b/>
        </w:rPr>
        <w:t>The Committee recommends that the State party:</w:t>
      </w:r>
    </w:p>
    <w:p w:rsidR="00F1219C" w:rsidRDefault="002C4D34">
      <w:pPr>
        <w:widowControl w:val="0"/>
        <w:autoSpaceDE w:val="0"/>
        <w:autoSpaceDN w:val="0"/>
        <w:adjustRightInd w:val="0"/>
        <w:spacing w:after="120"/>
        <w:ind w:left="1134" w:right="1134" w:firstLine="567"/>
        <w:jc w:val="both"/>
        <w:rPr>
          <w:b/>
        </w:rPr>
      </w:pPr>
      <w:r w:rsidRPr="0049226E">
        <w:rPr>
          <w:bCs/>
        </w:rPr>
        <w:t>(a)</w:t>
      </w:r>
      <w:r w:rsidRPr="0049226E">
        <w:rPr>
          <w:bCs/>
        </w:rPr>
        <w:tab/>
      </w:r>
      <w:r w:rsidR="00F1219C" w:rsidRPr="00E21767">
        <w:rPr>
          <w:b/>
        </w:rPr>
        <w:t xml:space="preserve">Take into consideration the existence of children and their best interests when considering </w:t>
      </w:r>
      <w:r w:rsidR="00DE58A5" w:rsidRPr="00E21767">
        <w:rPr>
          <w:b/>
        </w:rPr>
        <w:t xml:space="preserve">the </w:t>
      </w:r>
      <w:r w:rsidR="00F1219C" w:rsidRPr="00E21767">
        <w:rPr>
          <w:b/>
        </w:rPr>
        <w:t xml:space="preserve">death penalty and provide psychological and other support </w:t>
      </w:r>
      <w:r w:rsidR="00F00B37" w:rsidRPr="00E21767">
        <w:rPr>
          <w:b/>
        </w:rPr>
        <w:t xml:space="preserve">necessary </w:t>
      </w:r>
      <w:r w:rsidR="00F1219C" w:rsidRPr="00E21767">
        <w:rPr>
          <w:b/>
        </w:rPr>
        <w:t xml:space="preserve">to children whose parents have been </w:t>
      </w:r>
      <w:r w:rsidR="001B55F3" w:rsidRPr="00E21767">
        <w:rPr>
          <w:b/>
        </w:rPr>
        <w:t>sentenced</w:t>
      </w:r>
      <w:r w:rsidR="00F1219C" w:rsidRPr="00E21767">
        <w:rPr>
          <w:b/>
        </w:rPr>
        <w:t xml:space="preserve"> to death;</w:t>
      </w:r>
      <w:r w:rsidR="00F1219C">
        <w:rPr>
          <w:b/>
        </w:rPr>
        <w:t xml:space="preserve"> </w:t>
      </w:r>
    </w:p>
    <w:p w:rsidR="00F1219C" w:rsidRDefault="002C4D34" w:rsidP="002C4D34">
      <w:pPr>
        <w:widowControl w:val="0"/>
        <w:autoSpaceDE w:val="0"/>
        <w:autoSpaceDN w:val="0"/>
        <w:adjustRightInd w:val="0"/>
        <w:spacing w:after="120"/>
        <w:ind w:left="1134" w:right="1134" w:firstLine="567"/>
        <w:jc w:val="both"/>
        <w:rPr>
          <w:b/>
          <w:bCs/>
          <w:color w:val="000000"/>
          <w:lang w:eastAsia="en-GB"/>
        </w:rPr>
      </w:pPr>
      <w:r w:rsidRPr="0049226E">
        <w:rPr>
          <w:color w:val="000000"/>
          <w:lang w:eastAsia="en-GB"/>
        </w:rPr>
        <w:t>(b)</w:t>
      </w:r>
      <w:r w:rsidRPr="00FA38DE">
        <w:rPr>
          <w:b/>
          <w:bCs/>
          <w:color w:val="000000"/>
          <w:lang w:eastAsia="en-GB"/>
        </w:rPr>
        <w:tab/>
      </w:r>
      <w:r w:rsidR="00F1219C" w:rsidRPr="00FA38DE">
        <w:rPr>
          <w:b/>
        </w:rPr>
        <w:t>Prohibit</w:t>
      </w:r>
      <w:r w:rsidR="00CF1D61" w:rsidRPr="00FA38DE">
        <w:rPr>
          <w:b/>
        </w:rPr>
        <w:t xml:space="preserve"> </w:t>
      </w:r>
      <w:r w:rsidR="00DE58A5" w:rsidRPr="00FA38DE">
        <w:rPr>
          <w:b/>
        </w:rPr>
        <w:t xml:space="preserve">the </w:t>
      </w:r>
      <w:r w:rsidR="00F1219C" w:rsidRPr="00FA38DE">
        <w:rPr>
          <w:b/>
        </w:rPr>
        <w:t xml:space="preserve">sentencing to prison </w:t>
      </w:r>
      <w:r w:rsidR="00DE58A5" w:rsidRPr="00FA38DE">
        <w:rPr>
          <w:b/>
        </w:rPr>
        <w:t xml:space="preserve">of </w:t>
      </w:r>
      <w:r w:rsidR="00F1219C" w:rsidRPr="00FA38DE">
        <w:rPr>
          <w:b/>
        </w:rPr>
        <w:t>parents who have failed to pay a debt</w:t>
      </w:r>
      <w:r w:rsidR="00B25979" w:rsidRPr="00FA38DE">
        <w:rPr>
          <w:b/>
        </w:rPr>
        <w:t>;</w:t>
      </w:r>
    </w:p>
    <w:p w:rsidR="00F1219C" w:rsidRDefault="002C4D34">
      <w:pPr>
        <w:widowControl w:val="0"/>
        <w:autoSpaceDE w:val="0"/>
        <w:autoSpaceDN w:val="0"/>
        <w:adjustRightInd w:val="0"/>
        <w:spacing w:after="120"/>
        <w:ind w:left="1134" w:right="1134" w:firstLine="567"/>
        <w:jc w:val="both"/>
        <w:rPr>
          <w:b/>
          <w:bCs/>
          <w:color w:val="000000"/>
          <w:lang w:eastAsia="en-GB"/>
        </w:rPr>
      </w:pPr>
      <w:r w:rsidRPr="0049226E">
        <w:rPr>
          <w:color w:val="000000"/>
          <w:lang w:eastAsia="en-GB"/>
        </w:rPr>
        <w:t>(c)</w:t>
      </w:r>
      <w:r w:rsidRPr="00DF6BE5">
        <w:rPr>
          <w:b/>
          <w:bCs/>
          <w:color w:val="000000"/>
          <w:lang w:eastAsia="en-GB"/>
        </w:rPr>
        <w:tab/>
      </w:r>
      <w:r w:rsidR="00F1219C" w:rsidRPr="00DF6BE5">
        <w:rPr>
          <w:b/>
        </w:rPr>
        <w:t xml:space="preserve">Give </w:t>
      </w:r>
      <w:r w:rsidR="001B55F3" w:rsidRPr="00DF6BE5">
        <w:rPr>
          <w:b/>
        </w:rPr>
        <w:t>primary consideration</w:t>
      </w:r>
      <w:r w:rsidR="00F1219C" w:rsidRPr="00DF6BE5">
        <w:rPr>
          <w:b/>
        </w:rPr>
        <w:t xml:space="preserve"> to the best interests of the child by considering alternatives to the detention of mothers and</w:t>
      </w:r>
      <w:r w:rsidR="00DE58A5" w:rsidRPr="00DF6BE5">
        <w:rPr>
          <w:b/>
        </w:rPr>
        <w:t>,</w:t>
      </w:r>
      <w:r w:rsidR="00F1219C" w:rsidRPr="00DF6BE5">
        <w:rPr>
          <w:b/>
        </w:rPr>
        <w:t xml:space="preserve"> only if such alternatives are not found, provide all the necessary human and financial resources</w:t>
      </w:r>
      <w:r w:rsidR="00797500">
        <w:rPr>
          <w:b/>
        </w:rPr>
        <w:t>,</w:t>
      </w:r>
      <w:r w:rsidR="00F1219C" w:rsidRPr="00DF6BE5">
        <w:rPr>
          <w:b/>
        </w:rPr>
        <w:t xml:space="preserve"> as well as </w:t>
      </w:r>
      <w:r w:rsidR="009D6420" w:rsidRPr="00DF6BE5">
        <w:rPr>
          <w:b/>
        </w:rPr>
        <w:t xml:space="preserve">all </w:t>
      </w:r>
      <w:r w:rsidR="00F1219C" w:rsidRPr="00DF6BE5">
        <w:rPr>
          <w:b/>
        </w:rPr>
        <w:t>the necessary support</w:t>
      </w:r>
      <w:r w:rsidR="00797500">
        <w:rPr>
          <w:b/>
        </w:rPr>
        <w:t>,</w:t>
      </w:r>
      <w:r w:rsidR="00F1219C" w:rsidRPr="00DF6BE5">
        <w:rPr>
          <w:b/>
        </w:rPr>
        <w:t xml:space="preserve"> to children living in detention with their mothers and to children who have </w:t>
      </w:r>
      <w:r w:rsidR="00FA38DE" w:rsidRPr="0049226E">
        <w:rPr>
          <w:b/>
        </w:rPr>
        <w:t xml:space="preserve">ceased </w:t>
      </w:r>
      <w:r w:rsidR="00560D60" w:rsidRPr="00DF6BE5">
        <w:rPr>
          <w:b/>
        </w:rPr>
        <w:t>living</w:t>
      </w:r>
      <w:r w:rsidR="00FA38DE" w:rsidRPr="0049226E">
        <w:rPr>
          <w:b/>
        </w:rPr>
        <w:t xml:space="preserve"> in </w:t>
      </w:r>
      <w:r w:rsidR="00F1219C" w:rsidRPr="00DF6BE5">
        <w:rPr>
          <w:b/>
        </w:rPr>
        <w:t xml:space="preserve">prison at the age of </w:t>
      </w:r>
      <w:r w:rsidR="00DE58A5" w:rsidRPr="00DF6BE5">
        <w:rPr>
          <w:b/>
        </w:rPr>
        <w:t>2</w:t>
      </w:r>
      <w:r w:rsidR="00F1219C" w:rsidRPr="00DF6BE5">
        <w:rPr>
          <w:b/>
        </w:rPr>
        <w:t>.</w:t>
      </w:r>
    </w:p>
    <w:p w:rsidR="00F1219C" w:rsidRPr="0049226E" w:rsidRDefault="00F1219C" w:rsidP="00096A88">
      <w:pPr>
        <w:pStyle w:val="H1G"/>
      </w:pPr>
      <w:r>
        <w:rPr>
          <w:sz w:val="20"/>
        </w:rPr>
        <w:tab/>
      </w:r>
      <w:r>
        <w:rPr>
          <w:lang w:val="en-US"/>
        </w:rPr>
        <w:t>F.</w:t>
      </w:r>
      <w:r>
        <w:rPr>
          <w:lang w:val="en-US"/>
        </w:rPr>
        <w:tab/>
        <w:t>Disability, basic health and welfare (arts. 6, 18 (3), 23, 24, 26, 27</w:t>
      </w:r>
      <w:r w:rsidR="005163BB">
        <w:rPr>
          <w:lang w:val="en-US"/>
        </w:rPr>
        <w:t> </w:t>
      </w:r>
      <w:r>
        <w:rPr>
          <w:lang w:val="en-US"/>
        </w:rPr>
        <w:t>(1-3) and 33)</w:t>
      </w:r>
    </w:p>
    <w:p w:rsidR="00F1219C" w:rsidRDefault="00F1219C" w:rsidP="00F1219C">
      <w:pPr>
        <w:pStyle w:val="H23G"/>
        <w:rPr>
          <w:bCs/>
          <w:lang w:val="en-US"/>
        </w:rPr>
      </w:pPr>
      <w:r>
        <w:rPr>
          <w:lang w:val="en-US"/>
        </w:rPr>
        <w:tab/>
      </w:r>
      <w:r>
        <w:rPr>
          <w:lang w:val="en-US"/>
        </w:rPr>
        <w:tab/>
        <w:t>Children with disabilities</w:t>
      </w:r>
      <w:r w:rsidR="00CF1D61">
        <w:rPr>
          <w:lang w:val="en-US"/>
        </w:rPr>
        <w:t xml:space="preserve"> </w:t>
      </w:r>
    </w:p>
    <w:p w:rsidR="00F1219C" w:rsidRPr="00ED689D" w:rsidRDefault="0049226E" w:rsidP="0049226E">
      <w:pPr>
        <w:pStyle w:val="SingleTxtG"/>
        <w:rPr>
          <w:lang w:val="en-US"/>
        </w:rPr>
      </w:pPr>
      <w:r w:rsidRPr="00ED689D">
        <w:rPr>
          <w:lang w:val="en-US"/>
        </w:rPr>
        <w:t>53.</w:t>
      </w:r>
      <w:r w:rsidRPr="00ED689D">
        <w:rPr>
          <w:lang w:val="en-US"/>
        </w:rPr>
        <w:tab/>
      </w:r>
      <w:r w:rsidR="00F1219C" w:rsidRPr="00ED689D">
        <w:rPr>
          <w:lang w:val="en-US"/>
        </w:rPr>
        <w:t>The Committee welcomes Federal Act No. 29 of 2006, concerning the rights of persons with disabilities, as amended by Federal Act No. 14 of 2009</w:t>
      </w:r>
      <w:r w:rsidR="00191157" w:rsidRPr="00ED689D">
        <w:rPr>
          <w:lang w:val="en-US"/>
        </w:rPr>
        <w:t>,</w:t>
      </w:r>
      <w:r w:rsidR="00F1219C" w:rsidRPr="00ED689D">
        <w:rPr>
          <w:lang w:val="en-US"/>
        </w:rPr>
        <w:t xml:space="preserve"> as well as all the circulars adopted to adapt the school environment for children with visual impairments</w:t>
      </w:r>
      <w:r w:rsidR="00ED689D">
        <w:rPr>
          <w:lang w:val="en-US"/>
        </w:rPr>
        <w:t xml:space="preserve"> (</w:t>
      </w:r>
      <w:r w:rsidR="00191157" w:rsidRPr="00ED689D">
        <w:rPr>
          <w:lang w:val="en-US"/>
        </w:rPr>
        <w:t>e.g.</w:t>
      </w:r>
      <w:r w:rsidR="00560D60" w:rsidRPr="00ED689D">
        <w:rPr>
          <w:lang w:val="en-US"/>
        </w:rPr>
        <w:t> </w:t>
      </w:r>
      <w:r w:rsidR="00191157" w:rsidRPr="00ED689D">
        <w:rPr>
          <w:lang w:val="en-US"/>
        </w:rPr>
        <w:t xml:space="preserve">by providing </w:t>
      </w:r>
      <w:r w:rsidR="00F1219C" w:rsidRPr="00ED689D">
        <w:rPr>
          <w:lang w:val="en-US"/>
        </w:rPr>
        <w:t xml:space="preserve">school books in Braille) </w:t>
      </w:r>
      <w:r w:rsidR="00191157" w:rsidRPr="00ED689D">
        <w:rPr>
          <w:lang w:val="en-US"/>
        </w:rPr>
        <w:t>or</w:t>
      </w:r>
      <w:r w:rsidR="00F1219C" w:rsidRPr="00ED689D">
        <w:rPr>
          <w:lang w:val="en-US"/>
        </w:rPr>
        <w:t xml:space="preserve"> autism (</w:t>
      </w:r>
      <w:r w:rsidR="00191157" w:rsidRPr="00ED689D">
        <w:rPr>
          <w:lang w:val="en-US"/>
        </w:rPr>
        <w:t xml:space="preserve">e.g. </w:t>
      </w:r>
      <w:r w:rsidR="00ED689D">
        <w:rPr>
          <w:lang w:val="en-US"/>
        </w:rPr>
        <w:t xml:space="preserve">by offering </w:t>
      </w:r>
      <w:r w:rsidR="00F1219C" w:rsidRPr="00ED689D">
        <w:rPr>
          <w:lang w:val="en-US"/>
        </w:rPr>
        <w:t>training programme</w:t>
      </w:r>
      <w:r w:rsidR="00ED689D">
        <w:rPr>
          <w:lang w:val="en-US"/>
        </w:rPr>
        <w:t>s</w:t>
      </w:r>
      <w:r w:rsidR="00F1219C" w:rsidRPr="00ED689D">
        <w:rPr>
          <w:lang w:val="en-US"/>
        </w:rPr>
        <w:t xml:space="preserve"> on </w:t>
      </w:r>
      <w:r w:rsidR="00ED689D" w:rsidRPr="00ED689D">
        <w:rPr>
          <w:lang w:val="en-US"/>
        </w:rPr>
        <w:t xml:space="preserve">the </w:t>
      </w:r>
      <w:r w:rsidR="00ED689D">
        <w:rPr>
          <w:lang w:val="en-US"/>
        </w:rPr>
        <w:t xml:space="preserve">use of the </w:t>
      </w:r>
      <w:r w:rsidR="00ED689D" w:rsidRPr="00ED689D">
        <w:rPr>
          <w:lang w:val="en-US"/>
        </w:rPr>
        <w:t xml:space="preserve">Vineland Adaptive Behaviour Scale and </w:t>
      </w:r>
      <w:r w:rsidR="00ED689D">
        <w:rPr>
          <w:lang w:val="en-US"/>
        </w:rPr>
        <w:t xml:space="preserve">the </w:t>
      </w:r>
      <w:r w:rsidR="00ED689D" w:rsidRPr="00ED689D">
        <w:rPr>
          <w:lang w:val="en-US"/>
        </w:rPr>
        <w:t>Gilliam Autism Rating Scale</w:t>
      </w:r>
      <w:r w:rsidR="00F1219C" w:rsidRPr="00ED689D">
        <w:rPr>
          <w:lang w:val="en-US"/>
        </w:rPr>
        <w:t>) and provide specific training to teachers. It is concerned</w:t>
      </w:r>
      <w:r w:rsidR="00191157" w:rsidRPr="00ED689D">
        <w:rPr>
          <w:lang w:val="en-US"/>
        </w:rPr>
        <w:t>, however,</w:t>
      </w:r>
      <w:r w:rsidR="00F1219C" w:rsidRPr="00ED689D">
        <w:rPr>
          <w:lang w:val="en-US"/>
        </w:rPr>
        <w:t xml:space="preserve"> that priority is still given to </w:t>
      </w:r>
      <w:r w:rsidR="00560D60" w:rsidRPr="00ED689D">
        <w:rPr>
          <w:lang w:val="en-US"/>
        </w:rPr>
        <w:t xml:space="preserve">the provision of </w:t>
      </w:r>
      <w:r w:rsidR="00F1219C" w:rsidRPr="00ED689D">
        <w:rPr>
          <w:lang w:val="en-US"/>
        </w:rPr>
        <w:t>special education, including in mainstream schools</w:t>
      </w:r>
      <w:r w:rsidR="00191157" w:rsidRPr="00ED689D">
        <w:rPr>
          <w:lang w:val="en-US"/>
        </w:rPr>
        <w:t>,</w:t>
      </w:r>
      <w:r w:rsidR="00F1219C" w:rsidRPr="00ED689D">
        <w:rPr>
          <w:lang w:val="en-US"/>
        </w:rPr>
        <w:t xml:space="preserve"> over the development of a fully inclusive education</w:t>
      </w:r>
      <w:r w:rsidR="00191157" w:rsidRPr="00ED689D">
        <w:rPr>
          <w:lang w:val="en-US"/>
        </w:rPr>
        <w:t>al</w:t>
      </w:r>
      <w:r w:rsidR="00F1219C" w:rsidRPr="00ED689D">
        <w:rPr>
          <w:lang w:val="en-US"/>
        </w:rPr>
        <w:t xml:space="preserve"> system. The Committee is also concerned about the lack of disaggregated data on children with disabilities and about the lack of measures to include them in recreational, sport and cultural activities</w:t>
      </w:r>
      <w:r w:rsidR="00191157" w:rsidRPr="00ED689D">
        <w:rPr>
          <w:lang w:val="en-US"/>
        </w:rPr>
        <w:t>,</w:t>
      </w:r>
      <w:r w:rsidR="00F1219C" w:rsidRPr="00ED689D">
        <w:rPr>
          <w:lang w:val="en-US"/>
        </w:rPr>
        <w:t xml:space="preserve"> which remain mostly segregated.</w:t>
      </w:r>
    </w:p>
    <w:p w:rsidR="00F1219C" w:rsidRDefault="0049226E" w:rsidP="0049226E">
      <w:pPr>
        <w:pStyle w:val="SingleTxtG"/>
        <w:rPr>
          <w:b/>
          <w:lang w:val="en-US"/>
        </w:rPr>
      </w:pPr>
      <w:r>
        <w:rPr>
          <w:lang w:val="en-US"/>
        </w:rPr>
        <w:t>54.</w:t>
      </w:r>
      <w:r>
        <w:rPr>
          <w:lang w:val="en-US"/>
        </w:rPr>
        <w:tab/>
      </w:r>
      <w:r w:rsidR="00F1219C">
        <w:rPr>
          <w:b/>
          <w:lang w:val="en-US"/>
        </w:rPr>
        <w:t>In the light of its general comment No. 9 (2006) on the rights of children with disabilities, the Committee urges the State party to adopt a human</w:t>
      </w:r>
      <w:r w:rsidR="00191157">
        <w:rPr>
          <w:b/>
          <w:lang w:val="en-US"/>
        </w:rPr>
        <w:t>-</w:t>
      </w:r>
      <w:r w:rsidR="00F1219C">
        <w:rPr>
          <w:b/>
          <w:lang w:val="en-US"/>
        </w:rPr>
        <w:t>rights-based approach to disability and to collect disaggregated data on children with disabilities in order to develop efficient policies and strategies for these children and adequately monitor the implementation</w:t>
      </w:r>
      <w:r w:rsidR="00191157">
        <w:rPr>
          <w:b/>
          <w:lang w:val="en-US"/>
        </w:rPr>
        <w:t xml:space="preserve"> of those policies</w:t>
      </w:r>
      <w:r w:rsidR="00F1219C">
        <w:rPr>
          <w:b/>
          <w:lang w:val="en-US"/>
        </w:rPr>
        <w:t xml:space="preserve">. The State party should also </w:t>
      </w:r>
      <w:r w:rsidR="00F1219C">
        <w:rPr>
          <w:b/>
          <w:bCs/>
          <w:color w:val="000000"/>
          <w:lang w:val="en-US" w:eastAsia="en-GB"/>
        </w:rPr>
        <w:t>set up a comprehensive strategy for the inclusion of children with disabilities in the mainstream education</w:t>
      </w:r>
      <w:r w:rsidR="00191157">
        <w:rPr>
          <w:b/>
          <w:bCs/>
          <w:color w:val="000000"/>
          <w:lang w:val="en-US" w:eastAsia="en-GB"/>
        </w:rPr>
        <w:t>al</w:t>
      </w:r>
      <w:r w:rsidR="00F1219C">
        <w:rPr>
          <w:b/>
          <w:bCs/>
          <w:color w:val="000000"/>
          <w:lang w:val="en-US" w:eastAsia="en-GB"/>
        </w:rPr>
        <w:t xml:space="preserve"> system</w:t>
      </w:r>
      <w:r w:rsidR="000A561D">
        <w:rPr>
          <w:b/>
          <w:bCs/>
          <w:color w:val="000000"/>
          <w:lang w:val="en-US" w:eastAsia="en-GB"/>
        </w:rPr>
        <w:t>, as well as in</w:t>
      </w:r>
      <w:r w:rsidR="00191157">
        <w:rPr>
          <w:b/>
          <w:bCs/>
          <w:color w:val="000000"/>
          <w:lang w:val="en-US" w:eastAsia="en-GB"/>
        </w:rPr>
        <w:t xml:space="preserve"> </w:t>
      </w:r>
      <w:r w:rsidR="00F1219C">
        <w:rPr>
          <w:b/>
          <w:bCs/>
          <w:color w:val="000000"/>
          <w:lang w:val="en-US" w:eastAsia="en-GB"/>
        </w:rPr>
        <w:t>recreational, sport and cultural activities and society at large.</w:t>
      </w:r>
    </w:p>
    <w:p w:rsidR="00F1219C" w:rsidRDefault="00F1219C" w:rsidP="00F1219C">
      <w:pPr>
        <w:pStyle w:val="H23G"/>
        <w:rPr>
          <w:rFonts w:eastAsia="Malgun Gothic"/>
          <w:lang w:val="en-US" w:eastAsia="zh-CN"/>
        </w:rPr>
      </w:pPr>
      <w:r>
        <w:rPr>
          <w:rFonts w:eastAsia="Malgun Gothic"/>
          <w:sz w:val="24"/>
          <w:szCs w:val="24"/>
          <w:lang w:val="en-US" w:eastAsia="zh-CN"/>
        </w:rPr>
        <w:tab/>
      </w:r>
      <w:r>
        <w:rPr>
          <w:rFonts w:eastAsia="Malgun Gothic"/>
          <w:sz w:val="24"/>
          <w:szCs w:val="24"/>
          <w:lang w:val="en-US" w:eastAsia="zh-CN"/>
        </w:rPr>
        <w:tab/>
      </w:r>
      <w:r>
        <w:rPr>
          <w:rFonts w:eastAsia="Malgun Gothic"/>
          <w:lang w:val="en-US" w:eastAsia="zh-CN"/>
        </w:rPr>
        <w:t>Environmental health</w:t>
      </w:r>
    </w:p>
    <w:p w:rsidR="00F1219C" w:rsidRDefault="0049226E" w:rsidP="0049226E">
      <w:pPr>
        <w:pStyle w:val="SingleTxtG"/>
        <w:rPr>
          <w:lang w:val="en-US"/>
        </w:rPr>
      </w:pPr>
      <w:r>
        <w:rPr>
          <w:lang w:val="en-US"/>
        </w:rPr>
        <w:t>55.</w:t>
      </w:r>
      <w:r>
        <w:rPr>
          <w:lang w:val="en-US"/>
        </w:rPr>
        <w:tab/>
      </w:r>
      <w:r w:rsidR="00F1219C">
        <w:rPr>
          <w:lang w:val="en-US"/>
        </w:rPr>
        <w:t>The Committee welcomes the numerous achievements of the State party in the field of child health. The Committee is concerned</w:t>
      </w:r>
      <w:r w:rsidR="00451E12">
        <w:rPr>
          <w:lang w:val="en-US"/>
        </w:rPr>
        <w:t>, however,</w:t>
      </w:r>
      <w:r w:rsidR="00F1219C">
        <w:rPr>
          <w:lang w:val="en-US"/>
        </w:rPr>
        <w:t xml:space="preserve"> about the consequences of the high consumption of </w:t>
      </w:r>
      <w:r w:rsidR="00772674">
        <w:rPr>
          <w:lang w:val="en-US"/>
        </w:rPr>
        <w:t xml:space="preserve">petroleum </w:t>
      </w:r>
      <w:r w:rsidR="00F1219C">
        <w:rPr>
          <w:lang w:val="en-US"/>
        </w:rPr>
        <w:t xml:space="preserve">on children’s health, in particular </w:t>
      </w:r>
      <w:r w:rsidR="00451E12">
        <w:rPr>
          <w:lang w:val="en-US"/>
        </w:rPr>
        <w:t xml:space="preserve">about </w:t>
      </w:r>
      <w:r w:rsidR="00F1219C">
        <w:rPr>
          <w:lang w:val="en-US"/>
        </w:rPr>
        <w:t>air pollution and lead poisoning.</w:t>
      </w:r>
    </w:p>
    <w:p w:rsidR="00F1219C" w:rsidRDefault="0049226E" w:rsidP="0049226E">
      <w:pPr>
        <w:pStyle w:val="SingleTxtG"/>
        <w:rPr>
          <w:rFonts w:eastAsia="Malgun Gothic"/>
          <w:b/>
          <w:lang w:val="en-US" w:eastAsia="zh-CN"/>
        </w:rPr>
      </w:pPr>
      <w:r>
        <w:rPr>
          <w:rFonts w:eastAsia="Malgun Gothic"/>
          <w:lang w:val="en-US" w:eastAsia="zh-CN"/>
        </w:rPr>
        <w:t>56.</w:t>
      </w:r>
      <w:r>
        <w:rPr>
          <w:rFonts w:eastAsia="Malgun Gothic"/>
          <w:lang w:val="en-US" w:eastAsia="zh-CN"/>
        </w:rPr>
        <w:tab/>
      </w:r>
      <w:r w:rsidR="00F1219C">
        <w:rPr>
          <w:b/>
          <w:lang w:val="en-US"/>
        </w:rPr>
        <w:t xml:space="preserve">The Committee draws the State party’s attention to its general comment No. 15 (2013) on the right of the child to the enjoyment of the highest attainable standard of health, and recommends that the State party assess the </w:t>
      </w:r>
      <w:r w:rsidR="001B55F3">
        <w:rPr>
          <w:b/>
          <w:lang w:val="en-US"/>
        </w:rPr>
        <w:t xml:space="preserve">negative </w:t>
      </w:r>
      <w:r w:rsidR="00F1219C">
        <w:rPr>
          <w:b/>
          <w:lang w:val="en-US"/>
        </w:rPr>
        <w:t xml:space="preserve">consequences of </w:t>
      </w:r>
      <w:r w:rsidR="00772674">
        <w:rPr>
          <w:b/>
          <w:lang w:val="en-US"/>
        </w:rPr>
        <w:t xml:space="preserve">petroleum </w:t>
      </w:r>
      <w:r w:rsidR="00F1219C">
        <w:rPr>
          <w:b/>
          <w:lang w:val="en-US"/>
        </w:rPr>
        <w:t xml:space="preserve">consumption </w:t>
      </w:r>
      <w:r w:rsidR="001B55F3">
        <w:rPr>
          <w:b/>
          <w:lang w:val="en-US"/>
        </w:rPr>
        <w:t xml:space="preserve">on children’s rights </w:t>
      </w:r>
      <w:r w:rsidR="00F1219C">
        <w:rPr>
          <w:b/>
          <w:lang w:val="en-US"/>
        </w:rPr>
        <w:t xml:space="preserve">and address the situation with adequate measures. </w:t>
      </w:r>
    </w:p>
    <w:p w:rsidR="00F1219C" w:rsidRDefault="00F1219C" w:rsidP="00F1219C">
      <w:pPr>
        <w:pStyle w:val="H23G"/>
        <w:rPr>
          <w:lang w:val="en-US"/>
        </w:rPr>
      </w:pPr>
      <w:r>
        <w:rPr>
          <w:lang w:val="en-US"/>
        </w:rPr>
        <w:tab/>
      </w:r>
      <w:r>
        <w:rPr>
          <w:lang w:val="en-US"/>
        </w:rPr>
        <w:tab/>
        <w:t>Adolescent health</w:t>
      </w:r>
    </w:p>
    <w:p w:rsidR="00F1219C" w:rsidRPr="00ED689D" w:rsidRDefault="0049226E" w:rsidP="0049226E">
      <w:pPr>
        <w:pStyle w:val="SingleTxtG"/>
        <w:rPr>
          <w:lang w:eastAsia="fr-FR"/>
        </w:rPr>
      </w:pPr>
      <w:r w:rsidRPr="00ED689D">
        <w:rPr>
          <w:lang w:eastAsia="fr-FR"/>
        </w:rPr>
        <w:t>57.</w:t>
      </w:r>
      <w:r w:rsidRPr="00ED689D">
        <w:rPr>
          <w:lang w:eastAsia="fr-FR"/>
        </w:rPr>
        <w:tab/>
      </w:r>
      <w:r w:rsidR="00F1219C" w:rsidRPr="00ED689D">
        <w:rPr>
          <w:lang w:val="en-US"/>
        </w:rPr>
        <w:t>The Committee reiterates its concern (</w:t>
      </w:r>
      <w:r w:rsidR="00451E12" w:rsidRPr="00ED689D">
        <w:rPr>
          <w:lang w:val="en-US"/>
        </w:rPr>
        <w:t xml:space="preserve">see </w:t>
      </w:r>
      <w:r w:rsidR="00F1219C" w:rsidRPr="00ED689D">
        <w:rPr>
          <w:lang w:val="en-US"/>
        </w:rPr>
        <w:t>CRC/C/15/Add.183</w:t>
      </w:r>
      <w:r w:rsidR="00451E12" w:rsidRPr="00ED689D">
        <w:rPr>
          <w:lang w:val="en-US"/>
        </w:rPr>
        <w:t>,</w:t>
      </w:r>
      <w:r w:rsidR="00F1219C" w:rsidRPr="00ED689D">
        <w:rPr>
          <w:lang w:val="en-US"/>
        </w:rPr>
        <w:t xml:space="preserve"> para. 36) that </w:t>
      </w:r>
      <w:r w:rsidR="00F1219C" w:rsidRPr="00ED689D">
        <w:rPr>
          <w:lang w:eastAsia="fr-FR"/>
        </w:rPr>
        <w:t>insufficient information is available in relation to adolescent health, such as access to confidential reproductive health services and mental health counselling services</w:t>
      </w:r>
      <w:r w:rsidR="002C2A9C" w:rsidRPr="00ED689D">
        <w:rPr>
          <w:lang w:eastAsia="fr-FR"/>
        </w:rPr>
        <w:t>,</w:t>
      </w:r>
      <w:r w:rsidR="00F1219C" w:rsidRPr="00ED689D">
        <w:rPr>
          <w:lang w:eastAsia="fr-FR"/>
        </w:rPr>
        <w:t xml:space="preserve"> and on measures to address obesity, overweight and </w:t>
      </w:r>
      <w:r w:rsidR="00451E12" w:rsidRPr="00ED689D">
        <w:rPr>
          <w:lang w:eastAsia="fr-FR"/>
        </w:rPr>
        <w:t xml:space="preserve">the </w:t>
      </w:r>
      <w:r w:rsidR="00F1219C" w:rsidRPr="00ED689D">
        <w:rPr>
          <w:lang w:eastAsia="fr-FR"/>
        </w:rPr>
        <w:t>marketing of unhealthy food</w:t>
      </w:r>
      <w:r w:rsidR="00451E12" w:rsidRPr="00ED689D">
        <w:rPr>
          <w:lang w:eastAsia="fr-FR"/>
        </w:rPr>
        <w:t>,</w:t>
      </w:r>
      <w:r w:rsidR="00F1219C" w:rsidRPr="00ED689D">
        <w:rPr>
          <w:lang w:eastAsia="fr-FR"/>
        </w:rPr>
        <w:t xml:space="preserve"> as well as drug and substance abuse. The Committee is also concerned </w:t>
      </w:r>
      <w:r w:rsidR="00F1219C" w:rsidRPr="00ED689D">
        <w:rPr>
          <w:lang w:val="en-US"/>
        </w:rPr>
        <w:t>that the only ground for allowing abortion in the State party</w:t>
      </w:r>
      <w:r w:rsidR="002C2A9C" w:rsidRPr="00ED689D">
        <w:rPr>
          <w:lang w:val="en-US"/>
        </w:rPr>
        <w:t xml:space="preserve"> is a woman’s or girl’s life being in danger</w:t>
      </w:r>
      <w:r w:rsidR="00F1219C" w:rsidRPr="00ED689D">
        <w:rPr>
          <w:lang w:val="en-US"/>
        </w:rPr>
        <w:t>, abortion being criminalized in all other situations.</w:t>
      </w:r>
    </w:p>
    <w:p w:rsidR="00F1219C" w:rsidRDefault="0049226E" w:rsidP="0049226E">
      <w:pPr>
        <w:pStyle w:val="SingleTxtG"/>
        <w:rPr>
          <w:lang w:val="en-US"/>
        </w:rPr>
      </w:pPr>
      <w:r>
        <w:rPr>
          <w:lang w:val="en-US"/>
        </w:rPr>
        <w:t>58.</w:t>
      </w:r>
      <w:r>
        <w:rPr>
          <w:lang w:val="en-US"/>
        </w:rPr>
        <w:tab/>
      </w:r>
      <w:r w:rsidR="00F1219C">
        <w:rPr>
          <w:b/>
          <w:lang w:val="en-US"/>
        </w:rPr>
        <w:t xml:space="preserve">Referring to its general comment No. 4 (2003) on adolescent health and </w:t>
      </w:r>
      <w:r w:rsidR="001176CA">
        <w:rPr>
          <w:b/>
          <w:lang w:val="en-US"/>
        </w:rPr>
        <w:t>development in the context of the Convention</w:t>
      </w:r>
      <w:r w:rsidR="002C2A9C">
        <w:rPr>
          <w:b/>
          <w:lang w:val="en-US"/>
        </w:rPr>
        <w:t>,</w:t>
      </w:r>
      <w:r w:rsidR="001176CA">
        <w:rPr>
          <w:b/>
          <w:lang w:val="en-US"/>
        </w:rPr>
        <w:t xml:space="preserve"> and </w:t>
      </w:r>
      <w:r w:rsidR="00F1219C">
        <w:rPr>
          <w:b/>
          <w:lang w:val="en-US"/>
        </w:rPr>
        <w:t>its</w:t>
      </w:r>
      <w:r w:rsidR="00F1219C">
        <w:rPr>
          <w:lang w:val="en-US"/>
        </w:rPr>
        <w:t xml:space="preserve"> </w:t>
      </w:r>
      <w:r w:rsidR="00F1219C">
        <w:rPr>
          <w:b/>
          <w:lang w:val="en-US"/>
        </w:rPr>
        <w:t>general comment No. 15</w:t>
      </w:r>
      <w:r w:rsidR="00F1219C">
        <w:rPr>
          <w:lang w:val="en-US"/>
        </w:rPr>
        <w:t xml:space="preserve">, </w:t>
      </w:r>
      <w:r w:rsidR="00F1219C">
        <w:rPr>
          <w:b/>
          <w:lang w:val="en-US"/>
        </w:rPr>
        <w:t>the Committee</w:t>
      </w:r>
      <w:r w:rsidR="00F1219C">
        <w:rPr>
          <w:lang w:val="en-US"/>
        </w:rPr>
        <w:t xml:space="preserve"> </w:t>
      </w:r>
      <w:r w:rsidR="00F1219C">
        <w:rPr>
          <w:rFonts w:eastAsia="Malgun Gothic"/>
          <w:b/>
          <w:lang w:val="en-US" w:eastAsia="zh-CN"/>
        </w:rPr>
        <w:t>recommends that the State party</w:t>
      </w:r>
      <w:r w:rsidR="001535F4">
        <w:rPr>
          <w:rFonts w:eastAsia="Malgun Gothic"/>
          <w:b/>
          <w:lang w:val="en-US" w:eastAsia="zh-CN"/>
        </w:rPr>
        <w:t>:</w:t>
      </w:r>
    </w:p>
    <w:p w:rsidR="00F1219C" w:rsidRDefault="002C4D34">
      <w:pPr>
        <w:autoSpaceDE w:val="0"/>
        <w:autoSpaceDN w:val="0"/>
        <w:adjustRightInd w:val="0"/>
        <w:spacing w:after="120"/>
        <w:ind w:left="1134" w:right="1134" w:firstLine="567"/>
        <w:jc w:val="both"/>
        <w:rPr>
          <w:b/>
          <w:bCs/>
          <w:lang w:val="en-US" w:eastAsia="en-GB"/>
        </w:rPr>
      </w:pPr>
      <w:r w:rsidRPr="0049226E">
        <w:rPr>
          <w:lang w:val="en-US" w:eastAsia="en-GB"/>
        </w:rPr>
        <w:t>(a)</w:t>
      </w:r>
      <w:r w:rsidRPr="00563817">
        <w:rPr>
          <w:b/>
          <w:bCs/>
          <w:lang w:val="en-US" w:eastAsia="en-GB"/>
        </w:rPr>
        <w:tab/>
      </w:r>
      <w:r w:rsidR="00F1219C" w:rsidRPr="00563817">
        <w:rPr>
          <w:b/>
          <w:bCs/>
          <w:lang w:val="en-US" w:eastAsia="en-GB"/>
        </w:rPr>
        <w:t>Adopt a comprehensive sexual and reproductive health policy for</w:t>
      </w:r>
      <w:r w:rsidR="00F1219C" w:rsidRPr="00563817">
        <w:rPr>
          <w:bCs/>
          <w:lang w:val="en-US"/>
        </w:rPr>
        <w:t xml:space="preserve"> </w:t>
      </w:r>
      <w:r w:rsidR="00F1219C" w:rsidRPr="00563817">
        <w:rPr>
          <w:b/>
          <w:bCs/>
          <w:lang w:val="en-US" w:eastAsia="en-GB"/>
        </w:rPr>
        <w:t>adolescents and ensure that sexual and reproductive health education is part of the mandatory school curriculum and targets</w:t>
      </w:r>
      <w:r w:rsidR="00F1219C" w:rsidRPr="00563817">
        <w:rPr>
          <w:bCs/>
          <w:lang w:val="en-US"/>
        </w:rPr>
        <w:t xml:space="preserve"> </w:t>
      </w:r>
      <w:r w:rsidR="00F1219C" w:rsidRPr="00563817">
        <w:rPr>
          <w:b/>
          <w:bCs/>
          <w:lang w:val="en-US" w:eastAsia="en-GB"/>
        </w:rPr>
        <w:t xml:space="preserve">adolescent girls and boys, with special attention </w:t>
      </w:r>
      <w:r w:rsidR="00922880" w:rsidRPr="00563817">
        <w:rPr>
          <w:b/>
          <w:bCs/>
          <w:lang w:val="en-US" w:eastAsia="en-GB"/>
        </w:rPr>
        <w:t xml:space="preserve">paid to </w:t>
      </w:r>
      <w:r w:rsidR="00F1219C" w:rsidRPr="00563817">
        <w:rPr>
          <w:b/>
          <w:bCs/>
          <w:lang w:val="en-US" w:eastAsia="en-GB"/>
        </w:rPr>
        <w:t xml:space="preserve">preventing early pregnancy and sexually transmitted infections and fostering </w:t>
      </w:r>
      <w:r w:rsidR="00F1219C" w:rsidRPr="00563817">
        <w:rPr>
          <w:b/>
          <w:lang w:val="en-US"/>
        </w:rPr>
        <w:t xml:space="preserve">responsible sexual behaviour, </w:t>
      </w:r>
      <w:r w:rsidR="00563817" w:rsidRPr="00563817">
        <w:rPr>
          <w:b/>
          <w:lang w:val="en-US"/>
        </w:rPr>
        <w:t>particularly among</w:t>
      </w:r>
      <w:r w:rsidR="00F1219C" w:rsidRPr="00563817">
        <w:rPr>
          <w:b/>
          <w:lang w:val="en-US"/>
        </w:rPr>
        <w:t xml:space="preserve"> boys and men;</w:t>
      </w:r>
    </w:p>
    <w:p w:rsidR="00F1219C" w:rsidRDefault="002C4D34">
      <w:pPr>
        <w:autoSpaceDE w:val="0"/>
        <w:autoSpaceDN w:val="0"/>
        <w:adjustRightInd w:val="0"/>
        <w:spacing w:after="120"/>
        <w:ind w:left="1134" w:right="1134" w:firstLine="567"/>
        <w:jc w:val="both"/>
        <w:rPr>
          <w:b/>
          <w:bCs/>
          <w:lang w:eastAsia="en-GB"/>
        </w:rPr>
      </w:pPr>
      <w:r w:rsidRPr="0049226E">
        <w:rPr>
          <w:lang w:eastAsia="en-GB"/>
        </w:rPr>
        <w:t>(b)</w:t>
      </w:r>
      <w:r>
        <w:rPr>
          <w:b/>
          <w:bCs/>
          <w:lang w:eastAsia="en-GB"/>
        </w:rPr>
        <w:tab/>
      </w:r>
      <w:r w:rsidR="00F1219C">
        <w:rPr>
          <w:b/>
          <w:bCs/>
          <w:lang w:eastAsia="en-GB"/>
        </w:rPr>
        <w:t>Regulate the marketing of unhealthy food, especially when such marketing is focused on children</w:t>
      </w:r>
      <w:r w:rsidR="00922880">
        <w:rPr>
          <w:b/>
          <w:bCs/>
          <w:lang w:eastAsia="en-GB"/>
        </w:rPr>
        <w:t>,</w:t>
      </w:r>
      <w:r w:rsidR="00F1219C">
        <w:rPr>
          <w:b/>
          <w:bCs/>
          <w:lang w:eastAsia="en-GB"/>
        </w:rPr>
        <w:t xml:space="preserve"> and </w:t>
      </w:r>
      <w:r w:rsidR="001B55F3">
        <w:rPr>
          <w:b/>
          <w:bCs/>
          <w:lang w:eastAsia="en-GB"/>
        </w:rPr>
        <w:t>regulate</w:t>
      </w:r>
      <w:r w:rsidR="00F1219C">
        <w:rPr>
          <w:b/>
          <w:bCs/>
          <w:lang w:eastAsia="en-GB"/>
        </w:rPr>
        <w:t xml:space="preserve"> the availability </w:t>
      </w:r>
      <w:r w:rsidR="00922880">
        <w:rPr>
          <w:b/>
          <w:bCs/>
          <w:lang w:eastAsia="en-GB"/>
        </w:rPr>
        <w:t xml:space="preserve">of such food </w:t>
      </w:r>
      <w:r w:rsidR="00F1219C">
        <w:rPr>
          <w:b/>
          <w:bCs/>
          <w:lang w:eastAsia="en-GB"/>
        </w:rPr>
        <w:t>in schools and other places;</w:t>
      </w:r>
    </w:p>
    <w:p w:rsidR="00F1219C" w:rsidRDefault="002C4D34" w:rsidP="002C4D34">
      <w:pPr>
        <w:autoSpaceDE w:val="0"/>
        <w:autoSpaceDN w:val="0"/>
        <w:adjustRightInd w:val="0"/>
        <w:spacing w:after="120"/>
        <w:ind w:left="1134" w:right="1134" w:firstLine="567"/>
        <w:jc w:val="both"/>
        <w:rPr>
          <w:b/>
          <w:bCs/>
          <w:lang w:eastAsia="en-GB"/>
        </w:rPr>
      </w:pPr>
      <w:r w:rsidRPr="0049226E">
        <w:rPr>
          <w:lang w:eastAsia="en-GB"/>
        </w:rPr>
        <w:t>(c)</w:t>
      </w:r>
      <w:r>
        <w:rPr>
          <w:b/>
          <w:bCs/>
          <w:lang w:eastAsia="en-GB"/>
        </w:rPr>
        <w:tab/>
      </w:r>
      <w:r w:rsidR="00F1219C">
        <w:rPr>
          <w:b/>
          <w:bCs/>
        </w:rPr>
        <w:t xml:space="preserve">Provide children with accurate and objective information about substance </w:t>
      </w:r>
      <w:r w:rsidR="001B55F3">
        <w:rPr>
          <w:b/>
          <w:bCs/>
        </w:rPr>
        <w:t>ab</w:t>
      </w:r>
      <w:r w:rsidR="00F1219C">
        <w:rPr>
          <w:b/>
          <w:bCs/>
        </w:rPr>
        <w:t>use, and develop specialized and youth-friendly drug-dependence treatment and harm reduction services;</w:t>
      </w:r>
    </w:p>
    <w:p w:rsidR="00F1219C" w:rsidRDefault="002C4D34" w:rsidP="002C4D34">
      <w:pPr>
        <w:autoSpaceDE w:val="0"/>
        <w:autoSpaceDN w:val="0"/>
        <w:adjustRightInd w:val="0"/>
        <w:spacing w:after="120"/>
        <w:ind w:left="1134" w:right="1134" w:firstLine="567"/>
        <w:jc w:val="both"/>
        <w:rPr>
          <w:b/>
          <w:bCs/>
          <w:lang w:val="en-US" w:eastAsia="en-GB"/>
        </w:rPr>
      </w:pPr>
      <w:r w:rsidRPr="0049226E">
        <w:rPr>
          <w:lang w:val="en-US" w:eastAsia="en-GB"/>
        </w:rPr>
        <w:t>(d)</w:t>
      </w:r>
      <w:r>
        <w:rPr>
          <w:b/>
          <w:bCs/>
          <w:lang w:val="en-US" w:eastAsia="en-GB"/>
        </w:rPr>
        <w:tab/>
      </w:r>
      <w:r w:rsidR="00F1219C">
        <w:rPr>
          <w:b/>
          <w:bCs/>
          <w:lang w:val="en-US" w:eastAsia="en-GB"/>
        </w:rPr>
        <w:t>Decriminalize</w:t>
      </w:r>
      <w:r w:rsidR="00F1219C">
        <w:rPr>
          <w:b/>
          <w:bCs/>
          <w:lang w:val="en-US"/>
        </w:rPr>
        <w:t xml:space="preserve"> abortion in all circumstances and ensure access to safe abortion and post-abortion care services for adolescents</w:t>
      </w:r>
      <w:r w:rsidR="00F1219C">
        <w:rPr>
          <w:b/>
          <w:lang w:val="en-US"/>
        </w:rPr>
        <w:t>.</w:t>
      </w:r>
    </w:p>
    <w:p w:rsidR="00F1219C" w:rsidRDefault="001535F4" w:rsidP="001535F4">
      <w:pPr>
        <w:pStyle w:val="H23G"/>
        <w:rPr>
          <w:lang w:val="en-US"/>
        </w:rPr>
      </w:pPr>
      <w:r>
        <w:rPr>
          <w:lang w:val="en-US"/>
        </w:rPr>
        <w:tab/>
      </w:r>
      <w:r>
        <w:rPr>
          <w:lang w:val="en-US"/>
        </w:rPr>
        <w:tab/>
      </w:r>
      <w:r w:rsidR="00F1219C" w:rsidRPr="00563817">
        <w:rPr>
          <w:lang w:val="en-US"/>
        </w:rPr>
        <w:t>Breastfeeding</w:t>
      </w:r>
    </w:p>
    <w:p w:rsidR="00F1219C" w:rsidRDefault="0049226E" w:rsidP="0049226E">
      <w:pPr>
        <w:pStyle w:val="SingleTxtG"/>
        <w:rPr>
          <w:rFonts w:eastAsia="Malgun Gothic"/>
          <w:b/>
          <w:lang w:val="en-US" w:eastAsia="zh-CN"/>
        </w:rPr>
      </w:pPr>
      <w:r>
        <w:rPr>
          <w:rFonts w:eastAsia="Malgun Gothic"/>
          <w:lang w:val="en-US" w:eastAsia="zh-CN"/>
        </w:rPr>
        <w:t>59.</w:t>
      </w:r>
      <w:r>
        <w:rPr>
          <w:rFonts w:eastAsia="Malgun Gothic"/>
          <w:lang w:val="en-US" w:eastAsia="zh-CN"/>
        </w:rPr>
        <w:tab/>
      </w:r>
      <w:r w:rsidR="00F1219C">
        <w:rPr>
          <w:b/>
          <w:lang w:val="en-US"/>
        </w:rPr>
        <w:t>The Committee recommends that the State party continue to promote positive breastfeeding practices while refraining from imposing obligations on mothers</w:t>
      </w:r>
      <w:r w:rsidR="002C2A9C">
        <w:rPr>
          <w:b/>
          <w:lang w:val="en-US"/>
        </w:rPr>
        <w:t>,</w:t>
      </w:r>
      <w:r w:rsidR="00F1219C">
        <w:rPr>
          <w:b/>
          <w:lang w:val="en-US"/>
        </w:rPr>
        <w:t xml:space="preserve"> whose free choice </w:t>
      </w:r>
      <w:r w:rsidR="00922880">
        <w:rPr>
          <w:b/>
          <w:lang w:val="en-US"/>
        </w:rPr>
        <w:t xml:space="preserve">of whether </w:t>
      </w:r>
      <w:r w:rsidR="00F1219C">
        <w:rPr>
          <w:b/>
          <w:lang w:val="en-US"/>
        </w:rPr>
        <w:t>to breastfeed should always be respected.</w:t>
      </w:r>
    </w:p>
    <w:p w:rsidR="00F1219C" w:rsidRPr="0049226E" w:rsidRDefault="00F1219C">
      <w:pPr>
        <w:pStyle w:val="H1G"/>
        <w:rPr>
          <w:rFonts w:eastAsia="Malgun Gothic"/>
        </w:rPr>
      </w:pPr>
      <w:r>
        <w:rPr>
          <w:rFonts w:eastAsia="Malgun Gothic"/>
          <w:sz w:val="20"/>
          <w:lang w:val="en-US" w:eastAsia="zh-CN"/>
        </w:rPr>
        <w:tab/>
      </w:r>
      <w:r w:rsidR="001B55F3">
        <w:rPr>
          <w:rFonts w:eastAsia="Malgun Gothic"/>
          <w:lang w:val="en-US" w:eastAsia="zh-CN"/>
        </w:rPr>
        <w:t>G</w:t>
      </w:r>
      <w:r>
        <w:rPr>
          <w:rFonts w:eastAsia="Malgun Gothic"/>
          <w:lang w:val="en-US" w:eastAsia="zh-CN"/>
        </w:rPr>
        <w:t>.</w:t>
      </w:r>
      <w:r>
        <w:rPr>
          <w:rFonts w:eastAsia="Malgun Gothic"/>
          <w:lang w:val="en-US" w:eastAsia="zh-CN"/>
        </w:rPr>
        <w:tab/>
        <w:t>Education, leisure and cultural activities (arts. 28</w:t>
      </w:r>
      <w:r w:rsidR="004A165A">
        <w:rPr>
          <w:rFonts w:eastAsia="Malgun Gothic"/>
          <w:lang w:val="en-US" w:eastAsia="zh-CN"/>
        </w:rPr>
        <w:noBreakHyphen/>
      </w:r>
      <w:r>
        <w:rPr>
          <w:rFonts w:eastAsia="Malgun Gothic"/>
          <w:lang w:val="en-US" w:eastAsia="zh-CN"/>
        </w:rPr>
        <w:t>31)</w:t>
      </w:r>
    </w:p>
    <w:p w:rsidR="00F1219C" w:rsidRDefault="001535F4">
      <w:pPr>
        <w:pStyle w:val="H23G"/>
        <w:rPr>
          <w:lang w:val="en-US"/>
        </w:rPr>
      </w:pPr>
      <w:r>
        <w:rPr>
          <w:lang w:val="en-US"/>
        </w:rPr>
        <w:tab/>
      </w:r>
      <w:r>
        <w:rPr>
          <w:lang w:val="en-US"/>
        </w:rPr>
        <w:tab/>
      </w:r>
      <w:r w:rsidR="00F1219C">
        <w:rPr>
          <w:lang w:val="en-US"/>
        </w:rPr>
        <w:t>Education, including vocational training and guidance/</w:t>
      </w:r>
      <w:r w:rsidR="004A165A">
        <w:rPr>
          <w:lang w:val="en-US"/>
        </w:rPr>
        <w:t>h</w:t>
      </w:r>
      <w:r w:rsidR="00F1219C">
        <w:rPr>
          <w:lang w:val="en-US"/>
        </w:rPr>
        <w:t xml:space="preserve">uman </w:t>
      </w:r>
      <w:r w:rsidR="004A165A">
        <w:rPr>
          <w:lang w:val="en-US"/>
        </w:rPr>
        <w:t>r</w:t>
      </w:r>
      <w:r w:rsidR="00F1219C">
        <w:rPr>
          <w:lang w:val="en-US"/>
        </w:rPr>
        <w:t xml:space="preserve">ights </w:t>
      </w:r>
      <w:r w:rsidR="004A165A">
        <w:rPr>
          <w:lang w:val="en-US"/>
        </w:rPr>
        <w:t>e</w:t>
      </w:r>
      <w:r w:rsidR="00F1219C">
        <w:rPr>
          <w:lang w:val="en-US"/>
        </w:rPr>
        <w:t xml:space="preserve">ducation </w:t>
      </w:r>
    </w:p>
    <w:p w:rsidR="00F1219C" w:rsidRPr="00FB0F78" w:rsidRDefault="0049226E" w:rsidP="0049226E">
      <w:pPr>
        <w:pStyle w:val="SingleTxtG"/>
        <w:rPr>
          <w:lang w:val="en-US"/>
        </w:rPr>
      </w:pPr>
      <w:r w:rsidRPr="00FB0F78">
        <w:rPr>
          <w:lang w:val="en-US"/>
        </w:rPr>
        <w:t>60.</w:t>
      </w:r>
      <w:r w:rsidRPr="00FB0F78">
        <w:rPr>
          <w:lang w:val="en-US"/>
        </w:rPr>
        <w:tab/>
      </w:r>
      <w:r w:rsidR="00F1219C" w:rsidRPr="00FB0F78">
        <w:rPr>
          <w:lang w:val="en-US"/>
        </w:rPr>
        <w:t xml:space="preserve">The Committee is concerned that access to free education is guaranteed </w:t>
      </w:r>
      <w:r w:rsidR="004A165A" w:rsidRPr="00FB0F78">
        <w:rPr>
          <w:lang w:val="en-US"/>
        </w:rPr>
        <w:t xml:space="preserve">only </w:t>
      </w:r>
      <w:r w:rsidR="00F1219C" w:rsidRPr="00FB0F78">
        <w:rPr>
          <w:lang w:val="en-US"/>
        </w:rPr>
        <w:t>to children</w:t>
      </w:r>
      <w:r w:rsidR="00FB0F78">
        <w:rPr>
          <w:lang w:val="en-US"/>
        </w:rPr>
        <w:t xml:space="preserve"> who are nationals of the United Arab Emirates</w:t>
      </w:r>
      <w:r w:rsidR="004A165A" w:rsidRPr="00FB0F78">
        <w:rPr>
          <w:lang w:val="en-US"/>
        </w:rPr>
        <w:t>,</w:t>
      </w:r>
      <w:r w:rsidR="00F1219C" w:rsidRPr="00FB0F78">
        <w:rPr>
          <w:lang w:val="en-US"/>
        </w:rPr>
        <w:t xml:space="preserve"> although the right to free primary education under the Convention applies to all children living on the territory of </w:t>
      </w:r>
      <w:r w:rsidR="004A165A" w:rsidRPr="00FB0F78">
        <w:rPr>
          <w:lang w:val="en-US"/>
        </w:rPr>
        <w:t xml:space="preserve">a </w:t>
      </w:r>
      <w:r w:rsidR="00F1219C" w:rsidRPr="00FB0F78">
        <w:rPr>
          <w:lang w:val="en-US"/>
        </w:rPr>
        <w:t>State part</w:t>
      </w:r>
      <w:r w:rsidR="004A165A" w:rsidRPr="00FB0F78">
        <w:rPr>
          <w:lang w:val="en-US"/>
        </w:rPr>
        <w:t>y</w:t>
      </w:r>
      <w:r w:rsidR="00F1219C" w:rsidRPr="00FB0F78">
        <w:rPr>
          <w:lang w:val="en-US"/>
        </w:rPr>
        <w:t>. The Committee is also concerned about the limited information provided on the provision of human right</w:t>
      </w:r>
      <w:r w:rsidR="004A165A" w:rsidRPr="00FB0F78">
        <w:rPr>
          <w:lang w:val="en-US"/>
        </w:rPr>
        <w:t>s</w:t>
      </w:r>
      <w:r w:rsidR="00F1219C" w:rsidRPr="00FB0F78">
        <w:rPr>
          <w:lang w:val="en-US"/>
        </w:rPr>
        <w:t xml:space="preserve"> education in the State party’s school</w:t>
      </w:r>
      <w:r w:rsidR="004A165A" w:rsidRPr="00FB0F78">
        <w:rPr>
          <w:lang w:val="en-US"/>
        </w:rPr>
        <w:t>s</w:t>
      </w:r>
      <w:r w:rsidR="00F1219C" w:rsidRPr="00FB0F78">
        <w:rPr>
          <w:lang w:val="en-US"/>
        </w:rPr>
        <w:t>.</w:t>
      </w:r>
    </w:p>
    <w:p w:rsidR="00F1219C" w:rsidRPr="00563817" w:rsidRDefault="0049226E" w:rsidP="0049226E">
      <w:pPr>
        <w:pStyle w:val="SingleTxtG"/>
        <w:rPr>
          <w:b/>
          <w:lang w:val="en-US"/>
        </w:rPr>
      </w:pPr>
      <w:r w:rsidRPr="00563817">
        <w:rPr>
          <w:lang w:val="en-US"/>
        </w:rPr>
        <w:t>61.</w:t>
      </w:r>
      <w:r w:rsidRPr="00563817">
        <w:rPr>
          <w:lang w:val="en-US"/>
        </w:rPr>
        <w:tab/>
      </w:r>
      <w:r w:rsidR="00F1219C" w:rsidRPr="00563817">
        <w:rPr>
          <w:b/>
          <w:lang w:val="en-US"/>
        </w:rPr>
        <w:t xml:space="preserve">The Committee recommends that the State party ensure that all children living on </w:t>
      </w:r>
      <w:r w:rsidR="004A165A" w:rsidRPr="00563817">
        <w:rPr>
          <w:b/>
          <w:lang w:val="en-US"/>
        </w:rPr>
        <w:t xml:space="preserve">its </w:t>
      </w:r>
      <w:r w:rsidR="00F1219C" w:rsidRPr="00563817">
        <w:rPr>
          <w:b/>
          <w:lang w:val="en-US"/>
        </w:rPr>
        <w:t>territory enjoy their right to free compulsory primary education and develop a national plan of action for human rights education, as recommended in the framework of the World Programme for Human Rights</w:t>
      </w:r>
      <w:r w:rsidR="00563817" w:rsidRPr="0049226E">
        <w:rPr>
          <w:b/>
          <w:lang w:val="en-US"/>
        </w:rPr>
        <w:t xml:space="preserve"> Education</w:t>
      </w:r>
      <w:r w:rsidR="00F1219C" w:rsidRPr="00563817">
        <w:rPr>
          <w:b/>
          <w:lang w:val="en-US"/>
        </w:rPr>
        <w:t>.</w:t>
      </w:r>
    </w:p>
    <w:p w:rsidR="00F1219C" w:rsidRDefault="00F1219C">
      <w:pPr>
        <w:pStyle w:val="H1G"/>
        <w:rPr>
          <w:lang w:val="en-US"/>
        </w:rPr>
      </w:pPr>
      <w:r>
        <w:rPr>
          <w:lang w:val="en-US"/>
        </w:rPr>
        <w:tab/>
      </w:r>
      <w:r w:rsidR="001B55F3">
        <w:rPr>
          <w:lang w:val="en-US"/>
        </w:rPr>
        <w:t>H</w:t>
      </w:r>
      <w:r>
        <w:rPr>
          <w:lang w:val="en-US"/>
        </w:rPr>
        <w:t>.</w:t>
      </w:r>
      <w:r>
        <w:rPr>
          <w:lang w:val="en-US"/>
        </w:rPr>
        <w:tab/>
        <w:t>Special protection measures (arts. 22, 30, 32-33, 35-36, 37 (b)-(d)</w:t>
      </w:r>
      <w:r w:rsidR="004A165A">
        <w:rPr>
          <w:lang w:val="en-US"/>
        </w:rPr>
        <w:t xml:space="preserve"> and</w:t>
      </w:r>
      <w:r>
        <w:rPr>
          <w:lang w:val="en-US"/>
        </w:rPr>
        <w:t xml:space="preserve"> 38</w:t>
      </w:r>
      <w:r w:rsidR="004A165A">
        <w:rPr>
          <w:lang w:val="en-US"/>
        </w:rPr>
        <w:noBreakHyphen/>
      </w:r>
      <w:r>
        <w:rPr>
          <w:lang w:val="en-US"/>
        </w:rPr>
        <w:t>40)</w:t>
      </w:r>
    </w:p>
    <w:p w:rsidR="00F1219C" w:rsidRDefault="00F1219C" w:rsidP="008970AD">
      <w:pPr>
        <w:pStyle w:val="H23G"/>
        <w:rPr>
          <w:lang w:val="en-US"/>
        </w:rPr>
      </w:pPr>
      <w:r>
        <w:rPr>
          <w:lang w:val="en-US"/>
        </w:rPr>
        <w:tab/>
      </w:r>
      <w:r>
        <w:rPr>
          <w:lang w:val="en-US"/>
        </w:rPr>
        <w:tab/>
      </w:r>
      <w:r w:rsidRPr="0054651F">
        <w:rPr>
          <w:lang w:val="en-US"/>
        </w:rPr>
        <w:t>Asylum-seeking and refugee children</w:t>
      </w:r>
    </w:p>
    <w:p w:rsidR="00F1219C" w:rsidRDefault="0049226E" w:rsidP="0049226E">
      <w:pPr>
        <w:pStyle w:val="SingleTxtG"/>
        <w:rPr>
          <w:lang w:val="en-US"/>
        </w:rPr>
      </w:pPr>
      <w:r>
        <w:rPr>
          <w:lang w:val="en-US"/>
        </w:rPr>
        <w:t>62.</w:t>
      </w:r>
      <w:r>
        <w:rPr>
          <w:lang w:val="en-US"/>
        </w:rPr>
        <w:tab/>
      </w:r>
      <w:r w:rsidR="00F1219C">
        <w:rPr>
          <w:lang w:val="en-US"/>
        </w:rPr>
        <w:t xml:space="preserve">The Committee welcomes </w:t>
      </w:r>
      <w:r w:rsidR="00F1219C" w:rsidRPr="00745229">
        <w:rPr>
          <w:lang w:val="en-US"/>
        </w:rPr>
        <w:t xml:space="preserve">the lead taken by the State party in the </w:t>
      </w:r>
      <w:r w:rsidR="00772674">
        <w:rPr>
          <w:lang w:val="en-US"/>
        </w:rPr>
        <w:t>adoption</w:t>
      </w:r>
      <w:r w:rsidR="00ED689D">
        <w:rPr>
          <w:lang w:val="en-US"/>
        </w:rPr>
        <w:t xml:space="preserve"> </w:t>
      </w:r>
      <w:r w:rsidR="00F1219C" w:rsidRPr="00745229">
        <w:rPr>
          <w:lang w:val="en-US"/>
        </w:rPr>
        <w:t xml:space="preserve">of the </w:t>
      </w:r>
      <w:r w:rsidR="004F4C66" w:rsidRPr="00745229">
        <w:rPr>
          <w:lang w:val="en-US"/>
        </w:rPr>
        <w:t xml:space="preserve">principles adopted at the Sharjah Conference on Refugee Children in October 2014 (the </w:t>
      </w:r>
      <w:r w:rsidR="00F1219C" w:rsidRPr="0049226E">
        <w:rPr>
          <w:iCs/>
          <w:lang w:val="en-US"/>
        </w:rPr>
        <w:t>Sharjah Principles</w:t>
      </w:r>
      <w:r w:rsidR="004F4C66" w:rsidRPr="00745229">
        <w:rPr>
          <w:iCs/>
          <w:lang w:val="en-US"/>
        </w:rPr>
        <w:t>)</w:t>
      </w:r>
      <w:r w:rsidR="00F1219C" w:rsidRPr="00745229">
        <w:rPr>
          <w:lang w:val="en-US"/>
        </w:rPr>
        <w:t xml:space="preserve"> related to the protection of refugee children in the </w:t>
      </w:r>
      <w:r w:rsidR="004A165A" w:rsidRPr="00745229">
        <w:rPr>
          <w:lang w:val="en-US"/>
        </w:rPr>
        <w:t xml:space="preserve">Middle East and North Africa </w:t>
      </w:r>
      <w:r w:rsidR="00F1219C" w:rsidRPr="00745229">
        <w:rPr>
          <w:lang w:val="en-US"/>
        </w:rPr>
        <w:t>region. The Committee regrets</w:t>
      </w:r>
      <w:r w:rsidR="004A165A" w:rsidRPr="00745229">
        <w:rPr>
          <w:lang w:val="en-US"/>
        </w:rPr>
        <w:t>, however,</w:t>
      </w:r>
      <w:r w:rsidR="00F1219C" w:rsidRPr="00745229">
        <w:rPr>
          <w:lang w:val="en-US"/>
        </w:rPr>
        <w:t xml:space="preserve"> that the State party does not recognize the presence of refugees and asylum seekers on its territory and has still not adopted any legal and policy framework in this respect</w:t>
      </w:r>
      <w:r w:rsidR="0043618A">
        <w:rPr>
          <w:lang w:val="en-US"/>
        </w:rPr>
        <w:t>,</w:t>
      </w:r>
      <w:r w:rsidR="00F1219C" w:rsidRPr="00745229">
        <w:rPr>
          <w:lang w:val="en-US"/>
        </w:rPr>
        <w:t xml:space="preserve"> as recognized in its responses to the Committee’s</w:t>
      </w:r>
      <w:r w:rsidR="00F1219C">
        <w:rPr>
          <w:lang w:val="en-US"/>
        </w:rPr>
        <w:t xml:space="preserve"> list of issues, a situation which </w:t>
      </w:r>
      <w:r w:rsidR="004F4C66">
        <w:rPr>
          <w:lang w:val="en-US"/>
        </w:rPr>
        <w:t xml:space="preserve">has led </w:t>
      </w:r>
      <w:r w:rsidR="00F1219C">
        <w:rPr>
          <w:lang w:val="en-US"/>
        </w:rPr>
        <w:t>to violations of the rights of refugee, asylum</w:t>
      </w:r>
      <w:r w:rsidR="004A165A">
        <w:rPr>
          <w:lang w:val="en-US"/>
        </w:rPr>
        <w:t>-</w:t>
      </w:r>
      <w:r w:rsidR="00F1219C">
        <w:rPr>
          <w:lang w:val="en-US"/>
        </w:rPr>
        <w:t>seeking and unaccompanied children. The Committee is particularly concerned about the situation of Syrian refugee families</w:t>
      </w:r>
      <w:r w:rsidR="004A165A">
        <w:rPr>
          <w:lang w:val="en-US"/>
        </w:rPr>
        <w:t>,</w:t>
      </w:r>
      <w:r w:rsidR="00F1219C">
        <w:rPr>
          <w:lang w:val="en-US"/>
        </w:rPr>
        <w:t xml:space="preserve"> including children who lack access to all basic services.</w:t>
      </w:r>
    </w:p>
    <w:p w:rsidR="00F1219C" w:rsidRPr="00563817" w:rsidRDefault="0049226E" w:rsidP="0049226E">
      <w:pPr>
        <w:pStyle w:val="SingleTxtG"/>
        <w:rPr>
          <w:b/>
          <w:lang w:val="en-US"/>
        </w:rPr>
      </w:pPr>
      <w:r w:rsidRPr="00563817">
        <w:rPr>
          <w:lang w:val="en-US"/>
        </w:rPr>
        <w:t>63.</w:t>
      </w:r>
      <w:r w:rsidRPr="00563817">
        <w:rPr>
          <w:lang w:val="en-US"/>
        </w:rPr>
        <w:tab/>
      </w:r>
      <w:r w:rsidR="00F1219C" w:rsidRPr="00563817">
        <w:rPr>
          <w:b/>
          <w:lang w:val="en-US"/>
        </w:rPr>
        <w:t>The Committee recommends that the State party consider ratifying the</w:t>
      </w:r>
      <w:r w:rsidR="00F1219C" w:rsidRPr="00563817">
        <w:rPr>
          <w:b/>
        </w:rPr>
        <w:t xml:space="preserve"> Convention relating to the Status of Refugees and adopt the necessary legal framework</w:t>
      </w:r>
      <w:r w:rsidR="004A165A" w:rsidRPr="00563817">
        <w:rPr>
          <w:b/>
        </w:rPr>
        <w:t>,</w:t>
      </w:r>
      <w:r w:rsidR="00F1219C" w:rsidRPr="00563817">
        <w:rPr>
          <w:b/>
        </w:rPr>
        <w:t xml:space="preserve"> as well as all the necessary measures in line with the </w:t>
      </w:r>
      <w:r w:rsidR="00F1219C" w:rsidRPr="0049226E">
        <w:rPr>
          <w:b/>
          <w:iCs/>
          <w:lang w:val="en-US"/>
        </w:rPr>
        <w:t>Sharjah Principles</w:t>
      </w:r>
      <w:r w:rsidR="004A165A" w:rsidRPr="00563817">
        <w:rPr>
          <w:b/>
          <w:iCs/>
          <w:lang w:val="en-US"/>
        </w:rPr>
        <w:t>,</w:t>
      </w:r>
      <w:r w:rsidR="00F1219C" w:rsidRPr="00563817">
        <w:rPr>
          <w:lang w:val="en-US"/>
        </w:rPr>
        <w:t xml:space="preserve"> </w:t>
      </w:r>
      <w:r w:rsidR="00F1219C" w:rsidRPr="00563817">
        <w:rPr>
          <w:b/>
        </w:rPr>
        <w:t>with a view to ensuring that asylum</w:t>
      </w:r>
      <w:r w:rsidR="00103F5C" w:rsidRPr="00563817">
        <w:rPr>
          <w:b/>
        </w:rPr>
        <w:t>-</w:t>
      </w:r>
      <w:r w:rsidR="00F1219C" w:rsidRPr="00563817">
        <w:rPr>
          <w:b/>
        </w:rPr>
        <w:t xml:space="preserve">seeking and refugee children, including Syrian </w:t>
      </w:r>
      <w:r w:rsidR="00772674">
        <w:rPr>
          <w:b/>
        </w:rPr>
        <w:t>children</w:t>
      </w:r>
      <w:r w:rsidR="00103F5C" w:rsidRPr="00563817">
        <w:rPr>
          <w:b/>
        </w:rPr>
        <w:t>,</w:t>
      </w:r>
      <w:r w:rsidR="00F1219C" w:rsidRPr="00563817">
        <w:rPr>
          <w:b/>
        </w:rPr>
        <w:t xml:space="preserve"> fully enjoy their rights under the Convention. </w:t>
      </w:r>
    </w:p>
    <w:p w:rsidR="00F1219C" w:rsidRDefault="002C4D34" w:rsidP="00D31678">
      <w:pPr>
        <w:pStyle w:val="H23G"/>
        <w:rPr>
          <w:lang w:val="en-US"/>
        </w:rPr>
      </w:pPr>
      <w:r>
        <w:rPr>
          <w:lang w:val="en-US"/>
        </w:rPr>
        <w:tab/>
      </w:r>
      <w:r>
        <w:rPr>
          <w:lang w:val="en-US"/>
        </w:rPr>
        <w:tab/>
      </w:r>
      <w:r w:rsidR="00F1219C">
        <w:rPr>
          <w:lang w:val="en-US"/>
        </w:rPr>
        <w:t>Children in armed conflict</w:t>
      </w:r>
    </w:p>
    <w:p w:rsidR="00F1219C" w:rsidRPr="00563817" w:rsidRDefault="0049226E" w:rsidP="0049226E">
      <w:pPr>
        <w:pStyle w:val="SingleTxtG"/>
        <w:rPr>
          <w:b/>
          <w:lang w:val="en-US"/>
        </w:rPr>
      </w:pPr>
      <w:r w:rsidRPr="00563817">
        <w:rPr>
          <w:lang w:val="en-US"/>
        </w:rPr>
        <w:t>64.</w:t>
      </w:r>
      <w:r w:rsidRPr="00563817">
        <w:rPr>
          <w:lang w:val="en-US"/>
        </w:rPr>
        <w:tab/>
      </w:r>
      <w:r w:rsidR="00F1219C" w:rsidRPr="00563817">
        <w:rPr>
          <w:lang w:val="en-US"/>
        </w:rPr>
        <w:t>While noting that recruitment into the State party</w:t>
      </w:r>
      <w:r w:rsidR="001B55F3" w:rsidRPr="00563817">
        <w:rPr>
          <w:lang w:val="en-US"/>
        </w:rPr>
        <w:t>’s</w:t>
      </w:r>
      <w:r w:rsidR="00F1219C" w:rsidRPr="00563817">
        <w:rPr>
          <w:lang w:val="en-US"/>
        </w:rPr>
        <w:t xml:space="preserve"> armed forces cannot take place before the age of 18, the Committee is concerned that the State party has still not ratified the Optional Protocol to the Convention </w:t>
      </w:r>
      <w:r w:rsidR="00563817" w:rsidRPr="0049226E">
        <w:rPr>
          <w:lang w:val="en-US"/>
        </w:rPr>
        <w:t xml:space="preserve">on the Rights of the Child </w:t>
      </w:r>
      <w:r w:rsidR="00F1219C" w:rsidRPr="00563817">
        <w:rPr>
          <w:lang w:val="en-US"/>
        </w:rPr>
        <w:t xml:space="preserve">on the involvement of children in armed conflict and has established </w:t>
      </w:r>
      <w:r w:rsidR="00E4504F" w:rsidRPr="00563817">
        <w:rPr>
          <w:lang w:val="en-US"/>
        </w:rPr>
        <w:t xml:space="preserve">neither </w:t>
      </w:r>
      <w:r w:rsidR="00F1219C" w:rsidRPr="00563817">
        <w:rPr>
          <w:lang w:val="en-US"/>
        </w:rPr>
        <w:t xml:space="preserve">a legal framework to criminalize all forms of recruitment and use of children in armed conflict, nor a policy framework which would enable </w:t>
      </w:r>
      <w:r w:rsidR="00E4504F" w:rsidRPr="00563817">
        <w:rPr>
          <w:lang w:val="en-US"/>
        </w:rPr>
        <w:t xml:space="preserve">the prevention of </w:t>
      </w:r>
      <w:r w:rsidR="00F1219C" w:rsidRPr="00563817">
        <w:rPr>
          <w:lang w:val="en-US"/>
        </w:rPr>
        <w:t xml:space="preserve">such recruitment and </w:t>
      </w:r>
      <w:r w:rsidR="00E4504F" w:rsidRPr="00563817">
        <w:rPr>
          <w:lang w:val="en-US"/>
        </w:rPr>
        <w:t xml:space="preserve">the identification of </w:t>
      </w:r>
      <w:r w:rsidR="00F1219C" w:rsidRPr="00563817">
        <w:rPr>
          <w:lang w:val="en-US"/>
        </w:rPr>
        <w:t>children who might have been recruited and used in armed conflict abroad.</w:t>
      </w:r>
    </w:p>
    <w:p w:rsidR="00F1219C" w:rsidRDefault="0049226E" w:rsidP="0049226E">
      <w:pPr>
        <w:pStyle w:val="SingleTxtG"/>
        <w:rPr>
          <w:b/>
          <w:lang w:val="en-US"/>
        </w:rPr>
      </w:pPr>
      <w:r>
        <w:rPr>
          <w:lang w:val="en-US"/>
        </w:rPr>
        <w:t>65.</w:t>
      </w:r>
      <w:r>
        <w:rPr>
          <w:lang w:val="en-US"/>
        </w:rPr>
        <w:tab/>
      </w:r>
      <w:r w:rsidR="00F1219C">
        <w:rPr>
          <w:b/>
          <w:lang w:val="en-US"/>
        </w:rPr>
        <w:t xml:space="preserve">The Committee recommends that the State party ratify the Optional Protocol on the involvement of children in armed conflict and take all the </w:t>
      </w:r>
      <w:r w:rsidR="00E4504F">
        <w:rPr>
          <w:b/>
          <w:lang w:val="en-US"/>
        </w:rPr>
        <w:t xml:space="preserve">measures </w:t>
      </w:r>
      <w:r w:rsidR="00F1219C">
        <w:rPr>
          <w:b/>
          <w:lang w:val="en-US"/>
        </w:rPr>
        <w:t>necessary to prevent and protect children from involvement in armed conflict.</w:t>
      </w:r>
    </w:p>
    <w:p w:rsidR="00F1219C" w:rsidRDefault="002C4D34" w:rsidP="002C4D34">
      <w:pPr>
        <w:pStyle w:val="H23G"/>
        <w:rPr>
          <w:lang w:val="en-US"/>
        </w:rPr>
      </w:pPr>
      <w:r>
        <w:rPr>
          <w:lang w:val="en-US"/>
        </w:rPr>
        <w:tab/>
      </w:r>
      <w:r>
        <w:rPr>
          <w:lang w:val="en-US"/>
        </w:rPr>
        <w:tab/>
      </w:r>
      <w:r w:rsidR="00F1219C">
        <w:rPr>
          <w:lang w:val="en-US"/>
        </w:rPr>
        <w:t>Economic exploitation, including child labour</w:t>
      </w:r>
    </w:p>
    <w:p w:rsidR="00F1219C" w:rsidRDefault="0049226E" w:rsidP="0049226E">
      <w:pPr>
        <w:pStyle w:val="SingleTxtG"/>
        <w:rPr>
          <w:lang w:val="en-US"/>
        </w:rPr>
      </w:pPr>
      <w:r>
        <w:rPr>
          <w:lang w:val="en-US"/>
        </w:rPr>
        <w:t>66.</w:t>
      </w:r>
      <w:r>
        <w:rPr>
          <w:lang w:val="en-US"/>
        </w:rPr>
        <w:tab/>
      </w:r>
      <w:r w:rsidR="00F1219C">
        <w:rPr>
          <w:lang w:val="en-US"/>
        </w:rPr>
        <w:t>The Committee,</w:t>
      </w:r>
      <w:r w:rsidR="00F1219C">
        <w:t xml:space="preserve"> while noting that the employment of children </w:t>
      </w:r>
      <w:r w:rsidR="00E4504F">
        <w:t xml:space="preserve">under </w:t>
      </w:r>
      <w:r w:rsidR="00F1219C">
        <w:t xml:space="preserve">the age of 15 </w:t>
      </w:r>
      <w:r w:rsidR="00E4504F">
        <w:t xml:space="preserve">is prohibited, </w:t>
      </w:r>
      <w:r w:rsidR="00F1219C">
        <w:t>is concerned that this prohibition does not apply to certain sectors of the economy, such as agriculture.</w:t>
      </w:r>
    </w:p>
    <w:p w:rsidR="00F1219C" w:rsidRPr="00563817" w:rsidRDefault="0049226E" w:rsidP="0049226E">
      <w:pPr>
        <w:pStyle w:val="SingleTxtG"/>
        <w:rPr>
          <w:b/>
          <w:lang w:val="en-US"/>
        </w:rPr>
      </w:pPr>
      <w:r w:rsidRPr="00563817">
        <w:rPr>
          <w:lang w:val="en-US"/>
        </w:rPr>
        <w:t>67.</w:t>
      </w:r>
      <w:r w:rsidRPr="00563817">
        <w:rPr>
          <w:lang w:val="en-US"/>
        </w:rPr>
        <w:tab/>
      </w:r>
      <w:r w:rsidR="00F1219C" w:rsidRPr="00563817">
        <w:rPr>
          <w:b/>
          <w:lang w:val="en-US"/>
        </w:rPr>
        <w:t>The Committee recommends that the State party bring its legislation in</w:t>
      </w:r>
      <w:r w:rsidR="00E4504F" w:rsidRPr="00563817">
        <w:rPr>
          <w:b/>
          <w:lang w:val="en-US"/>
        </w:rPr>
        <w:t>to</w:t>
      </w:r>
      <w:r w:rsidR="00F1219C" w:rsidRPr="00563817">
        <w:rPr>
          <w:b/>
          <w:lang w:val="en-US"/>
        </w:rPr>
        <w:t xml:space="preserve"> line with </w:t>
      </w:r>
      <w:r w:rsidR="00563817" w:rsidRPr="0049226E">
        <w:rPr>
          <w:b/>
          <w:lang w:val="en-US"/>
        </w:rPr>
        <w:t xml:space="preserve">the International Labour Organization Minimum Age </w:t>
      </w:r>
      <w:r w:rsidR="00F1219C" w:rsidRPr="00563817">
        <w:rPr>
          <w:b/>
          <w:lang w:val="en-US"/>
        </w:rPr>
        <w:t>Convention</w:t>
      </w:r>
      <w:r w:rsidR="00563817" w:rsidRPr="0049226E">
        <w:rPr>
          <w:b/>
          <w:lang w:val="en-US"/>
        </w:rPr>
        <w:t>, 1973 (No.</w:t>
      </w:r>
      <w:r w:rsidR="009157FA">
        <w:rPr>
          <w:b/>
          <w:lang w:val="en-US"/>
        </w:rPr>
        <w:t> </w:t>
      </w:r>
      <w:r w:rsidR="00F1219C" w:rsidRPr="00563817">
        <w:rPr>
          <w:b/>
          <w:lang w:val="en-US"/>
        </w:rPr>
        <w:t>138</w:t>
      </w:r>
      <w:r w:rsidR="00563817" w:rsidRPr="00563817">
        <w:rPr>
          <w:b/>
          <w:lang w:val="en-US"/>
        </w:rPr>
        <w:t>)</w:t>
      </w:r>
      <w:r w:rsidR="00F1219C" w:rsidRPr="00563817">
        <w:rPr>
          <w:b/>
          <w:lang w:val="en-US"/>
        </w:rPr>
        <w:t xml:space="preserve"> and clearly prohibit labour</w:t>
      </w:r>
      <w:r w:rsidR="00103F5C" w:rsidRPr="00563817">
        <w:rPr>
          <w:b/>
          <w:lang w:val="en-US"/>
        </w:rPr>
        <w:t xml:space="preserve"> </w:t>
      </w:r>
      <w:r w:rsidR="00563817" w:rsidRPr="00563817">
        <w:rPr>
          <w:b/>
          <w:lang w:val="en-US"/>
        </w:rPr>
        <w:t xml:space="preserve">by children under </w:t>
      </w:r>
      <w:r w:rsidR="00F1219C" w:rsidRPr="00563817">
        <w:rPr>
          <w:b/>
          <w:lang w:val="en-US"/>
        </w:rPr>
        <w:t xml:space="preserve">the age of 15 in all sectors of the economy. </w:t>
      </w:r>
    </w:p>
    <w:p w:rsidR="00F1219C" w:rsidRDefault="00F1219C" w:rsidP="00F1219C">
      <w:pPr>
        <w:pStyle w:val="H23G"/>
        <w:rPr>
          <w:rFonts w:eastAsia="Malgun Gothic"/>
          <w:lang w:val="en-US" w:eastAsia="zh-CN"/>
        </w:rPr>
      </w:pPr>
      <w:r>
        <w:rPr>
          <w:rFonts w:eastAsia="Malgun Gothic"/>
          <w:lang w:val="en-US" w:eastAsia="zh-CN"/>
        </w:rPr>
        <w:tab/>
      </w:r>
      <w:r>
        <w:rPr>
          <w:rFonts w:eastAsia="Malgun Gothic"/>
          <w:lang w:val="en-US" w:eastAsia="zh-CN"/>
        </w:rPr>
        <w:tab/>
        <w:t xml:space="preserve">Sale, trafficking and abduction </w:t>
      </w:r>
    </w:p>
    <w:p w:rsidR="00F1219C" w:rsidRPr="009F27BB" w:rsidRDefault="0049226E" w:rsidP="0049226E">
      <w:pPr>
        <w:pStyle w:val="SingleTxtG"/>
        <w:rPr>
          <w:color w:val="000000"/>
          <w:lang w:eastAsia="de-DE"/>
        </w:rPr>
      </w:pPr>
      <w:r w:rsidRPr="009F27BB">
        <w:rPr>
          <w:color w:val="000000"/>
          <w:lang w:eastAsia="de-DE"/>
        </w:rPr>
        <w:t>68.</w:t>
      </w:r>
      <w:r w:rsidRPr="009F27BB">
        <w:rPr>
          <w:color w:val="000000"/>
          <w:lang w:eastAsia="de-DE"/>
        </w:rPr>
        <w:tab/>
      </w:r>
      <w:r w:rsidR="00F1219C" w:rsidRPr="009F27BB">
        <w:rPr>
          <w:rFonts w:eastAsia="Malgun Gothic"/>
        </w:rPr>
        <w:t>The Committee welcomes the ratification of the</w:t>
      </w:r>
      <w:r w:rsidR="007B7CEB" w:rsidRPr="009F27BB">
        <w:rPr>
          <w:rFonts w:eastAsia="Malgun Gothic"/>
        </w:rPr>
        <w:t xml:space="preserve"> United Nations</w:t>
      </w:r>
      <w:r w:rsidR="00F1219C" w:rsidRPr="009F27BB">
        <w:rPr>
          <w:rFonts w:eastAsia="Malgun Gothic"/>
        </w:rPr>
        <w:t xml:space="preserve"> </w:t>
      </w:r>
      <w:r w:rsidR="00F1219C" w:rsidRPr="009F27BB">
        <w:rPr>
          <w:iCs/>
        </w:rPr>
        <w:t xml:space="preserve">Convention against Transnational Organized Crime </w:t>
      </w:r>
      <w:r w:rsidR="00F1219C" w:rsidRPr="009F27BB">
        <w:t xml:space="preserve">and its </w:t>
      </w:r>
      <w:r w:rsidR="00F1219C" w:rsidRPr="009F27BB">
        <w:rPr>
          <w:iCs/>
        </w:rPr>
        <w:t>Protocol to Prevent, Suppress and Punish Trafficking in Persons, especially Women and Children</w:t>
      </w:r>
      <w:r w:rsidR="007D397F" w:rsidRPr="009F27BB">
        <w:rPr>
          <w:iCs/>
        </w:rPr>
        <w:t xml:space="preserve">, </w:t>
      </w:r>
      <w:r w:rsidR="00F1219C" w:rsidRPr="009F27BB">
        <w:t>in 2009</w:t>
      </w:r>
      <w:r w:rsidR="007D397F" w:rsidRPr="009F27BB">
        <w:t>,</w:t>
      </w:r>
      <w:r w:rsidR="00F1219C" w:rsidRPr="009F27BB">
        <w:t xml:space="preserve"> as well as </w:t>
      </w:r>
      <w:r w:rsidR="00F1219C" w:rsidRPr="009F27BB">
        <w:rPr>
          <w:lang w:eastAsia="fr-FR"/>
        </w:rPr>
        <w:t>Federal Act No. 1 of 2015</w:t>
      </w:r>
      <w:r w:rsidR="00E4504F" w:rsidRPr="009F27BB">
        <w:rPr>
          <w:lang w:eastAsia="fr-FR"/>
        </w:rPr>
        <w:t>,</w:t>
      </w:r>
      <w:r w:rsidR="00F1219C" w:rsidRPr="009F27BB">
        <w:rPr>
          <w:lang w:eastAsia="fr-FR"/>
        </w:rPr>
        <w:t xml:space="preserve"> which provides for protection measures for victims of trafficking. </w:t>
      </w:r>
      <w:r w:rsidR="00F1219C" w:rsidRPr="009F27BB">
        <w:t xml:space="preserve">The Committee </w:t>
      </w:r>
      <w:r w:rsidR="00F1219C" w:rsidRPr="009F27BB">
        <w:rPr>
          <w:lang w:eastAsia="de-DE"/>
        </w:rPr>
        <w:t>is concerned</w:t>
      </w:r>
      <w:r w:rsidR="00E4504F" w:rsidRPr="009F27BB">
        <w:rPr>
          <w:lang w:eastAsia="de-DE"/>
        </w:rPr>
        <w:t>, however,</w:t>
      </w:r>
      <w:r w:rsidR="00F1219C" w:rsidRPr="009F27BB">
        <w:rPr>
          <w:lang w:eastAsia="de-DE"/>
        </w:rPr>
        <w:t xml:space="preserve"> that children continue to be trafficked to the State party </w:t>
      </w:r>
      <w:r w:rsidR="00F1219C" w:rsidRPr="009F27BB">
        <w:rPr>
          <w:color w:val="000000"/>
          <w:lang w:eastAsia="de-DE"/>
        </w:rPr>
        <w:t xml:space="preserve">for the purpose of sexual exploitation or for forced begging at marketplaces and petrol stations, </w:t>
      </w:r>
      <w:r w:rsidR="007D397F" w:rsidRPr="009F27BB">
        <w:rPr>
          <w:color w:val="000000"/>
          <w:lang w:eastAsia="de-DE"/>
        </w:rPr>
        <w:t xml:space="preserve">that </w:t>
      </w:r>
      <w:r w:rsidR="00772674">
        <w:rPr>
          <w:color w:val="000000"/>
          <w:lang w:eastAsia="de-DE"/>
        </w:rPr>
        <w:t xml:space="preserve">such </w:t>
      </w:r>
      <w:r w:rsidR="007D397F" w:rsidRPr="009F27BB">
        <w:rPr>
          <w:color w:val="000000"/>
          <w:lang w:eastAsia="de-DE"/>
        </w:rPr>
        <w:t xml:space="preserve">children </w:t>
      </w:r>
      <w:r w:rsidR="00F1219C" w:rsidRPr="009F27BB">
        <w:rPr>
          <w:lang w:eastAsia="de-DE"/>
        </w:rPr>
        <w:t xml:space="preserve">are not properly identified and </w:t>
      </w:r>
      <w:r w:rsidR="009F27BB">
        <w:rPr>
          <w:lang w:eastAsia="de-DE"/>
        </w:rPr>
        <w:t xml:space="preserve">are </w:t>
      </w:r>
      <w:r w:rsidR="00F1219C" w:rsidRPr="009F27BB">
        <w:rPr>
          <w:lang w:eastAsia="de-DE"/>
        </w:rPr>
        <w:t>often deported</w:t>
      </w:r>
      <w:r w:rsidR="00F1219C" w:rsidRPr="009F27BB">
        <w:rPr>
          <w:color w:val="000000"/>
          <w:lang w:eastAsia="de-DE"/>
        </w:rPr>
        <w:t xml:space="preserve"> without proper identification</w:t>
      </w:r>
      <w:r w:rsidR="007D397F" w:rsidRPr="009F27BB">
        <w:rPr>
          <w:color w:val="000000"/>
          <w:lang w:eastAsia="de-DE"/>
        </w:rPr>
        <w:t>,</w:t>
      </w:r>
      <w:r w:rsidR="00F1219C" w:rsidRPr="009F27BB">
        <w:rPr>
          <w:color w:val="000000"/>
          <w:lang w:eastAsia="de-DE"/>
        </w:rPr>
        <w:t xml:space="preserve"> and that trafficking victims encounter challenges to register</w:t>
      </w:r>
      <w:r w:rsidR="007D397F" w:rsidRPr="009F27BB">
        <w:rPr>
          <w:color w:val="000000"/>
          <w:lang w:eastAsia="de-DE"/>
        </w:rPr>
        <w:t>ing</w:t>
      </w:r>
      <w:r w:rsidR="00F1219C" w:rsidRPr="009F27BB">
        <w:rPr>
          <w:color w:val="000000"/>
          <w:lang w:eastAsia="de-DE"/>
        </w:rPr>
        <w:t xml:space="preserve"> the birth of their children, especially those born out of wedlock as a result of sexual abuse. The Committee is further concerned that </w:t>
      </w:r>
      <w:r w:rsidR="00F1219C" w:rsidRPr="009F27BB">
        <w:rPr>
          <w:lang w:eastAsia="de-DE"/>
        </w:rPr>
        <w:t xml:space="preserve">all forms of </w:t>
      </w:r>
      <w:r w:rsidR="007D397F" w:rsidRPr="009F27BB">
        <w:rPr>
          <w:lang w:eastAsia="de-DE"/>
        </w:rPr>
        <w:t xml:space="preserve">the </w:t>
      </w:r>
      <w:r w:rsidR="00F1219C" w:rsidRPr="009F27BB">
        <w:rPr>
          <w:lang w:eastAsia="de-DE"/>
        </w:rPr>
        <w:t>sale of children are not properly criminali</w:t>
      </w:r>
      <w:r w:rsidR="007D397F" w:rsidRPr="009F27BB">
        <w:rPr>
          <w:lang w:eastAsia="de-DE"/>
        </w:rPr>
        <w:t>z</w:t>
      </w:r>
      <w:r w:rsidR="00F1219C" w:rsidRPr="009F27BB">
        <w:rPr>
          <w:lang w:eastAsia="de-DE"/>
        </w:rPr>
        <w:t xml:space="preserve">ed. </w:t>
      </w:r>
    </w:p>
    <w:p w:rsidR="00F1219C" w:rsidRPr="00FB0F78" w:rsidRDefault="0049226E" w:rsidP="0049226E">
      <w:pPr>
        <w:pStyle w:val="SingleTxtG"/>
        <w:rPr>
          <w:rFonts w:eastAsia="Malgun Gothic"/>
          <w:b/>
        </w:rPr>
      </w:pPr>
      <w:r w:rsidRPr="00FB0F78">
        <w:rPr>
          <w:rFonts w:eastAsia="Malgun Gothic"/>
        </w:rPr>
        <w:t>69.</w:t>
      </w:r>
      <w:r w:rsidRPr="00FB0F78">
        <w:rPr>
          <w:rFonts w:eastAsia="Malgun Gothic"/>
        </w:rPr>
        <w:tab/>
      </w:r>
      <w:r w:rsidR="00F1219C" w:rsidRPr="00FB0F78">
        <w:rPr>
          <w:rFonts w:eastAsia="Malgun Gothic"/>
          <w:b/>
        </w:rPr>
        <w:t xml:space="preserve">The Committee urges the State party to take all </w:t>
      </w:r>
      <w:r w:rsidR="00E4504F" w:rsidRPr="00FB0F78">
        <w:rPr>
          <w:rFonts w:eastAsia="Malgun Gothic"/>
          <w:b/>
        </w:rPr>
        <w:t xml:space="preserve">measures </w:t>
      </w:r>
      <w:r w:rsidR="00F1219C" w:rsidRPr="00FB0F78">
        <w:rPr>
          <w:rFonts w:eastAsia="Malgun Gothic"/>
          <w:b/>
        </w:rPr>
        <w:t>necessary to prevent the trafficking of children, to bring perpetrators to justice</w:t>
      </w:r>
      <w:r w:rsidR="009F27BB" w:rsidRPr="00FB0F78">
        <w:rPr>
          <w:rFonts w:eastAsia="Malgun Gothic"/>
          <w:b/>
        </w:rPr>
        <w:t>,</w:t>
      </w:r>
      <w:r w:rsidR="00F1219C" w:rsidRPr="00FB0F78">
        <w:rPr>
          <w:rFonts w:eastAsia="Malgun Gothic"/>
          <w:b/>
        </w:rPr>
        <w:t xml:space="preserve"> to provide effective protection to children </w:t>
      </w:r>
      <w:r w:rsidR="007D397F" w:rsidRPr="00FB0F78">
        <w:rPr>
          <w:rFonts w:eastAsia="Malgun Gothic"/>
          <w:b/>
        </w:rPr>
        <w:t xml:space="preserve">who have been trafficked </w:t>
      </w:r>
      <w:r w:rsidR="00F1219C" w:rsidRPr="00FB0F78">
        <w:rPr>
          <w:rFonts w:eastAsia="Malgun Gothic"/>
          <w:b/>
        </w:rPr>
        <w:t xml:space="preserve">and </w:t>
      </w:r>
      <w:r w:rsidR="009F27BB" w:rsidRPr="00FB0F78">
        <w:rPr>
          <w:rFonts w:eastAsia="Malgun Gothic"/>
          <w:b/>
        </w:rPr>
        <w:t xml:space="preserve">to </w:t>
      </w:r>
      <w:r w:rsidR="00F1219C" w:rsidRPr="00FB0F78">
        <w:rPr>
          <w:rFonts w:eastAsia="Malgun Gothic"/>
          <w:b/>
        </w:rPr>
        <w:t xml:space="preserve">ensure that </w:t>
      </w:r>
      <w:r w:rsidR="00FB0F78">
        <w:rPr>
          <w:rFonts w:eastAsia="Malgun Gothic"/>
          <w:b/>
        </w:rPr>
        <w:t xml:space="preserve">such children </w:t>
      </w:r>
      <w:r w:rsidR="00F1219C" w:rsidRPr="00FB0F78">
        <w:rPr>
          <w:rFonts w:eastAsia="Malgun Gothic"/>
          <w:b/>
        </w:rPr>
        <w:t xml:space="preserve">are no longer deported. The State party should take all </w:t>
      </w:r>
      <w:r w:rsidR="00E4504F" w:rsidRPr="00FB0F78">
        <w:rPr>
          <w:rFonts w:eastAsia="Malgun Gothic"/>
          <w:b/>
        </w:rPr>
        <w:t xml:space="preserve">measures </w:t>
      </w:r>
      <w:r w:rsidR="00F1219C" w:rsidRPr="00FB0F78">
        <w:rPr>
          <w:rFonts w:eastAsia="Malgun Gothic"/>
          <w:b/>
        </w:rPr>
        <w:t>necessary to effectively register child victims of trafficking, who should under no circumstances be considered offenders. The Committee also urges the State party to criminali</w:t>
      </w:r>
      <w:r w:rsidR="00E4504F" w:rsidRPr="00FB0F78">
        <w:rPr>
          <w:rFonts w:eastAsia="Malgun Gothic"/>
          <w:b/>
        </w:rPr>
        <w:t>z</w:t>
      </w:r>
      <w:r w:rsidR="00F1219C" w:rsidRPr="00FB0F78">
        <w:rPr>
          <w:rFonts w:eastAsia="Malgun Gothic"/>
          <w:b/>
        </w:rPr>
        <w:t xml:space="preserve">e all forms of </w:t>
      </w:r>
      <w:r w:rsidR="007D397F" w:rsidRPr="00FB0F78">
        <w:rPr>
          <w:rFonts w:eastAsia="Malgun Gothic"/>
          <w:b/>
        </w:rPr>
        <w:t xml:space="preserve">the </w:t>
      </w:r>
      <w:r w:rsidR="00F1219C" w:rsidRPr="00FB0F78">
        <w:rPr>
          <w:rFonts w:eastAsia="Malgun Gothic"/>
          <w:b/>
        </w:rPr>
        <w:t xml:space="preserve">sale of children. The Committee recommends that the State party formalize a cooperation agreement with the </w:t>
      </w:r>
      <w:r w:rsidR="00E4504F" w:rsidRPr="00FB0F78">
        <w:rPr>
          <w:rFonts w:eastAsia="Malgun Gothic"/>
          <w:b/>
        </w:rPr>
        <w:t xml:space="preserve">Office of the </w:t>
      </w:r>
      <w:r w:rsidR="00F1219C" w:rsidRPr="00FB0F78">
        <w:rPr>
          <w:rFonts w:eastAsia="Malgun Gothic"/>
          <w:b/>
        </w:rPr>
        <w:t>United Nations High Commissioner for Refugees concern</w:t>
      </w:r>
      <w:r w:rsidR="00103F5C" w:rsidRPr="00FB0F78">
        <w:rPr>
          <w:rFonts w:eastAsia="Malgun Gothic"/>
          <w:b/>
        </w:rPr>
        <w:t>ing</w:t>
      </w:r>
      <w:r w:rsidR="00F1219C" w:rsidRPr="00FB0F78">
        <w:rPr>
          <w:rFonts w:eastAsia="Malgun Gothic"/>
          <w:b/>
        </w:rPr>
        <w:t xml:space="preserve"> trafficking </w:t>
      </w:r>
      <w:r w:rsidR="00103F5C" w:rsidRPr="00FB0F78">
        <w:rPr>
          <w:rFonts w:eastAsia="Malgun Gothic"/>
          <w:b/>
        </w:rPr>
        <w:t>in</w:t>
      </w:r>
      <w:r w:rsidR="00F1219C" w:rsidRPr="00FB0F78">
        <w:rPr>
          <w:rFonts w:eastAsia="Malgun Gothic"/>
          <w:b/>
        </w:rPr>
        <w:t xml:space="preserve"> persons</w:t>
      </w:r>
      <w:r w:rsidR="00E4504F" w:rsidRPr="00FB0F78">
        <w:rPr>
          <w:rFonts w:eastAsia="Malgun Gothic"/>
          <w:b/>
        </w:rPr>
        <w:t>,</w:t>
      </w:r>
      <w:r w:rsidR="00F1219C" w:rsidRPr="00FB0F78">
        <w:rPr>
          <w:rFonts w:eastAsia="Malgun Gothic"/>
          <w:b/>
        </w:rPr>
        <w:t xml:space="preserve"> including children. </w:t>
      </w:r>
    </w:p>
    <w:p w:rsidR="00F1219C" w:rsidRDefault="00F1219C" w:rsidP="00F1219C">
      <w:pPr>
        <w:pStyle w:val="H23G"/>
        <w:rPr>
          <w:rFonts w:eastAsia="Malgun Gothic"/>
          <w:lang w:val="en-US" w:eastAsia="zh-CN"/>
        </w:rPr>
      </w:pPr>
      <w:r>
        <w:rPr>
          <w:rFonts w:eastAsia="Calibri"/>
          <w:lang w:val="en-US"/>
        </w:rPr>
        <w:tab/>
      </w:r>
      <w:r>
        <w:rPr>
          <w:rFonts w:eastAsia="Calibri"/>
          <w:lang w:val="en-US"/>
        </w:rPr>
        <w:tab/>
      </w:r>
      <w:r>
        <w:rPr>
          <w:rFonts w:eastAsia="Malgun Gothic"/>
          <w:lang w:val="en-US" w:eastAsia="zh-CN"/>
        </w:rPr>
        <w:t>Administration of juvenile justice</w:t>
      </w:r>
    </w:p>
    <w:p w:rsidR="00F1219C" w:rsidRDefault="0049226E" w:rsidP="0049226E">
      <w:pPr>
        <w:pStyle w:val="SingleTxtG"/>
        <w:rPr>
          <w:b/>
          <w:lang w:val="en-US"/>
        </w:rPr>
      </w:pPr>
      <w:r>
        <w:rPr>
          <w:lang w:val="en-US"/>
        </w:rPr>
        <w:t>70.</w:t>
      </w:r>
      <w:r>
        <w:rPr>
          <w:lang w:val="en-US"/>
        </w:rPr>
        <w:tab/>
      </w:r>
      <w:r w:rsidR="00F1219C">
        <w:rPr>
          <w:lang w:val="en-US"/>
        </w:rPr>
        <w:t>The Committee remains concerned that:</w:t>
      </w:r>
    </w:p>
    <w:p w:rsidR="00F1219C" w:rsidRDefault="002C4D34">
      <w:pPr>
        <w:pStyle w:val="SingleTxtG"/>
        <w:widowControl w:val="0"/>
        <w:autoSpaceDE w:val="0"/>
        <w:autoSpaceDN w:val="0"/>
        <w:adjustRightInd w:val="0"/>
        <w:ind w:firstLine="567"/>
        <w:rPr>
          <w:lang w:eastAsia="de-DE"/>
        </w:rPr>
      </w:pPr>
      <w:r w:rsidRPr="006F6717">
        <w:rPr>
          <w:lang w:eastAsia="de-DE"/>
        </w:rPr>
        <w:t>(a)</w:t>
      </w:r>
      <w:r w:rsidRPr="006F6717">
        <w:rPr>
          <w:lang w:eastAsia="de-DE"/>
        </w:rPr>
        <w:tab/>
      </w:r>
      <w:r w:rsidR="00F1219C" w:rsidRPr="006F6717">
        <w:rPr>
          <w:lang w:eastAsia="de-DE"/>
        </w:rPr>
        <w:t>The age of criminal responsibility remains 7 years</w:t>
      </w:r>
      <w:r w:rsidR="006F6717" w:rsidRPr="006F6717">
        <w:rPr>
          <w:lang w:eastAsia="de-DE"/>
        </w:rPr>
        <w:t xml:space="preserve"> of age</w:t>
      </w:r>
      <w:r w:rsidR="00F1219C" w:rsidRPr="006F6717">
        <w:rPr>
          <w:lang w:eastAsia="de-DE"/>
        </w:rPr>
        <w:t>, well below international standards</w:t>
      </w:r>
      <w:r w:rsidR="00E4504F" w:rsidRPr="006F6717">
        <w:rPr>
          <w:lang w:eastAsia="de-DE"/>
        </w:rPr>
        <w:t>,</w:t>
      </w:r>
      <w:r w:rsidR="00F1219C" w:rsidRPr="006F6717">
        <w:rPr>
          <w:lang w:eastAsia="de-DE"/>
        </w:rPr>
        <w:t xml:space="preserve"> and that the State party intends to raise it </w:t>
      </w:r>
      <w:r w:rsidR="00E4504F" w:rsidRPr="006F6717">
        <w:rPr>
          <w:lang w:eastAsia="de-DE"/>
        </w:rPr>
        <w:t xml:space="preserve">only </w:t>
      </w:r>
      <w:r w:rsidR="00F1219C" w:rsidRPr="006F6717">
        <w:rPr>
          <w:lang w:eastAsia="de-DE"/>
        </w:rPr>
        <w:t>to 9 years</w:t>
      </w:r>
      <w:r w:rsidR="006F6717" w:rsidRPr="006F6717">
        <w:rPr>
          <w:lang w:eastAsia="de-DE"/>
        </w:rPr>
        <w:t xml:space="preserve"> of age</w:t>
      </w:r>
      <w:r w:rsidR="00F1219C" w:rsidRPr="006F6717">
        <w:rPr>
          <w:lang w:eastAsia="de-DE"/>
        </w:rPr>
        <w:t>;</w:t>
      </w:r>
    </w:p>
    <w:p w:rsidR="00F1219C" w:rsidRDefault="002C4D34">
      <w:pPr>
        <w:pStyle w:val="SingleTxtG"/>
        <w:widowControl w:val="0"/>
        <w:autoSpaceDE w:val="0"/>
        <w:autoSpaceDN w:val="0"/>
        <w:adjustRightInd w:val="0"/>
        <w:ind w:firstLine="567"/>
        <w:rPr>
          <w:lang w:eastAsia="de-DE"/>
        </w:rPr>
      </w:pPr>
      <w:r>
        <w:rPr>
          <w:lang w:eastAsia="de-DE"/>
        </w:rPr>
        <w:t>(b)</w:t>
      </w:r>
      <w:r>
        <w:rPr>
          <w:lang w:eastAsia="de-DE"/>
        </w:rPr>
        <w:tab/>
      </w:r>
      <w:r w:rsidR="00F1219C">
        <w:rPr>
          <w:lang w:eastAsia="de-DE"/>
        </w:rPr>
        <w:t xml:space="preserve">The new federal bill on </w:t>
      </w:r>
      <w:r w:rsidR="00E4504F">
        <w:rPr>
          <w:lang w:eastAsia="de-DE"/>
        </w:rPr>
        <w:t>j</w:t>
      </w:r>
      <w:r w:rsidR="00F1219C">
        <w:rPr>
          <w:lang w:eastAsia="de-DE"/>
        </w:rPr>
        <w:t xml:space="preserve">uvenile </w:t>
      </w:r>
      <w:r w:rsidR="00E4504F">
        <w:rPr>
          <w:lang w:eastAsia="de-DE"/>
        </w:rPr>
        <w:t>j</w:t>
      </w:r>
      <w:r w:rsidR="00F1219C">
        <w:rPr>
          <w:lang w:eastAsia="de-DE"/>
        </w:rPr>
        <w:t xml:space="preserve">ustice contains derogatory language </w:t>
      </w:r>
      <w:r w:rsidR="00E4504F">
        <w:rPr>
          <w:lang w:eastAsia="de-DE"/>
        </w:rPr>
        <w:t xml:space="preserve">regarding </w:t>
      </w:r>
      <w:r w:rsidR="00F1219C">
        <w:rPr>
          <w:lang w:eastAsia="de-DE"/>
        </w:rPr>
        <w:t>children in conflict with the law;</w:t>
      </w:r>
    </w:p>
    <w:p w:rsidR="00F1219C" w:rsidRDefault="002C4D34" w:rsidP="007D397F">
      <w:pPr>
        <w:pStyle w:val="SingleTxtG"/>
        <w:widowControl w:val="0"/>
        <w:autoSpaceDE w:val="0"/>
        <w:autoSpaceDN w:val="0"/>
        <w:adjustRightInd w:val="0"/>
        <w:ind w:firstLine="567"/>
        <w:rPr>
          <w:lang w:eastAsia="de-DE"/>
        </w:rPr>
      </w:pPr>
      <w:r>
        <w:rPr>
          <w:lang w:eastAsia="de-DE"/>
        </w:rPr>
        <w:t>(c)</w:t>
      </w:r>
      <w:r>
        <w:rPr>
          <w:lang w:eastAsia="de-DE"/>
        </w:rPr>
        <w:tab/>
      </w:r>
      <w:r w:rsidR="00F1219C">
        <w:t>Federal Counter-Terrorism Act No. 7 of 2014 can be applied to children over the age of 16;</w:t>
      </w:r>
    </w:p>
    <w:p w:rsidR="00F1219C" w:rsidRDefault="002C4D34" w:rsidP="007D397F">
      <w:pPr>
        <w:pStyle w:val="SingleTxtG"/>
        <w:widowControl w:val="0"/>
        <w:autoSpaceDE w:val="0"/>
        <w:autoSpaceDN w:val="0"/>
        <w:adjustRightInd w:val="0"/>
        <w:ind w:firstLine="567"/>
        <w:rPr>
          <w:lang w:eastAsia="de-DE"/>
        </w:rPr>
      </w:pPr>
      <w:r>
        <w:rPr>
          <w:lang w:eastAsia="de-DE"/>
        </w:rPr>
        <w:t>(d)</w:t>
      </w:r>
      <w:r>
        <w:rPr>
          <w:lang w:eastAsia="de-DE"/>
        </w:rPr>
        <w:tab/>
      </w:r>
      <w:r w:rsidR="00F1219C">
        <w:rPr>
          <w:lang w:eastAsia="de-DE"/>
        </w:rPr>
        <w:t xml:space="preserve">The State party does not clarify the criteria </w:t>
      </w:r>
      <w:r w:rsidR="007D397F">
        <w:rPr>
          <w:lang w:eastAsia="de-DE"/>
        </w:rPr>
        <w:t xml:space="preserve">used to determine whether cases involving </w:t>
      </w:r>
      <w:r w:rsidR="00F1219C">
        <w:rPr>
          <w:lang w:eastAsia="de-DE"/>
        </w:rPr>
        <w:t xml:space="preserve">children over </w:t>
      </w:r>
      <w:r w:rsidR="007D397F">
        <w:rPr>
          <w:lang w:eastAsia="de-DE"/>
        </w:rPr>
        <w:t xml:space="preserve">the age of </w:t>
      </w:r>
      <w:r w:rsidR="00F1219C">
        <w:rPr>
          <w:lang w:eastAsia="de-DE"/>
        </w:rPr>
        <w:t xml:space="preserve">16 years </w:t>
      </w:r>
      <w:r w:rsidR="007D397F">
        <w:rPr>
          <w:lang w:eastAsia="de-DE"/>
        </w:rPr>
        <w:t xml:space="preserve">are </w:t>
      </w:r>
      <w:r w:rsidR="00F1219C">
        <w:rPr>
          <w:lang w:eastAsia="de-DE"/>
        </w:rPr>
        <w:t>referred to</w:t>
      </w:r>
      <w:r w:rsidR="00CF1D61">
        <w:rPr>
          <w:lang w:eastAsia="de-DE"/>
        </w:rPr>
        <w:t xml:space="preserve"> </w:t>
      </w:r>
      <w:r w:rsidR="00F1219C">
        <w:rPr>
          <w:lang w:eastAsia="de-DE"/>
        </w:rPr>
        <w:t>c</w:t>
      </w:r>
      <w:r>
        <w:rPr>
          <w:lang w:eastAsia="de-DE"/>
        </w:rPr>
        <w:t>ivil courts or to sharia courts.</w:t>
      </w:r>
    </w:p>
    <w:p w:rsidR="00F1219C" w:rsidRPr="006F6717" w:rsidRDefault="0049226E" w:rsidP="0049226E">
      <w:pPr>
        <w:pStyle w:val="SingleTxtG"/>
        <w:rPr>
          <w:b/>
          <w:lang w:val="en-US"/>
        </w:rPr>
      </w:pPr>
      <w:r w:rsidRPr="006F6717">
        <w:rPr>
          <w:lang w:val="en-US"/>
        </w:rPr>
        <w:t>71.</w:t>
      </w:r>
      <w:r w:rsidRPr="006F6717">
        <w:rPr>
          <w:lang w:val="en-US"/>
        </w:rPr>
        <w:tab/>
      </w:r>
      <w:r w:rsidR="00F1219C" w:rsidRPr="006F6717">
        <w:rPr>
          <w:b/>
          <w:lang w:val="en-US"/>
        </w:rPr>
        <w:t>In the light of its general comment No. 10 (2007) on children’s rights in juvenile justice, the Committee urges the State party to bring its juvenile justice system fully into line with the Convention and other relevant standards</w:t>
      </w:r>
      <w:r w:rsidR="00690DD4" w:rsidRPr="006F6717">
        <w:rPr>
          <w:b/>
          <w:lang w:val="en-US"/>
        </w:rPr>
        <w:t>,</w:t>
      </w:r>
      <w:r w:rsidR="00F1219C" w:rsidRPr="006F6717">
        <w:rPr>
          <w:b/>
          <w:lang w:val="en-US"/>
        </w:rPr>
        <w:t xml:space="preserve"> and in particular to</w:t>
      </w:r>
      <w:r w:rsidR="002C4D34" w:rsidRPr="006F6717">
        <w:rPr>
          <w:b/>
          <w:lang w:val="en-US"/>
        </w:rPr>
        <w:t>:</w:t>
      </w:r>
    </w:p>
    <w:p w:rsidR="00F1219C" w:rsidRPr="002C4D34" w:rsidRDefault="002C4D34" w:rsidP="009F27BB">
      <w:pPr>
        <w:pStyle w:val="SingleTxtG"/>
        <w:ind w:firstLine="567"/>
        <w:rPr>
          <w:rFonts w:eastAsia="Calibri"/>
          <w:b/>
          <w:lang w:eastAsia="de-DE"/>
        </w:rPr>
      </w:pPr>
      <w:r w:rsidRPr="0049226E">
        <w:rPr>
          <w:rFonts w:eastAsia="Calibri"/>
          <w:bCs/>
          <w:lang w:eastAsia="de-DE"/>
        </w:rPr>
        <w:t>(a)</w:t>
      </w:r>
      <w:r w:rsidRPr="009F27BB">
        <w:rPr>
          <w:rFonts w:eastAsia="Calibri"/>
          <w:b/>
          <w:lang w:eastAsia="de-DE"/>
        </w:rPr>
        <w:tab/>
      </w:r>
      <w:r w:rsidR="00F1219C" w:rsidRPr="009F27BB">
        <w:rPr>
          <w:rFonts w:eastAsia="Calibri"/>
          <w:b/>
          <w:lang w:eastAsia="de-DE"/>
        </w:rPr>
        <w:t xml:space="preserve">Expeditiously adopt an amended </w:t>
      </w:r>
      <w:r w:rsidR="009F27BB" w:rsidRPr="009F27BB">
        <w:rPr>
          <w:rFonts w:eastAsia="Calibri"/>
          <w:b/>
          <w:lang w:eastAsia="de-DE"/>
        </w:rPr>
        <w:t>bill on juvenile justice</w:t>
      </w:r>
      <w:r w:rsidR="00F1219C" w:rsidRPr="009F27BB">
        <w:rPr>
          <w:rFonts w:eastAsia="Calibri"/>
          <w:b/>
          <w:lang w:eastAsia="de-DE"/>
        </w:rPr>
        <w:t xml:space="preserve"> raising the age of criminal responsibility to an internationally acceptable level, as previously recommended</w:t>
      </w:r>
      <w:r w:rsidR="00103F5C" w:rsidRPr="009F27BB">
        <w:rPr>
          <w:rFonts w:eastAsia="Calibri"/>
          <w:b/>
          <w:lang w:eastAsia="de-DE"/>
        </w:rPr>
        <w:t>,</w:t>
      </w:r>
      <w:r w:rsidR="00F1219C" w:rsidRPr="009F27BB">
        <w:rPr>
          <w:rFonts w:eastAsia="Calibri"/>
          <w:b/>
          <w:lang w:eastAsia="de-DE"/>
        </w:rPr>
        <w:t xml:space="preserve"> and clarifying that all children in conflict with the law should be brought before juvenile </w:t>
      </w:r>
      <w:r w:rsidR="00103F5C" w:rsidRPr="009F27BB">
        <w:rPr>
          <w:rFonts w:eastAsia="Calibri"/>
          <w:b/>
          <w:lang w:eastAsia="de-DE"/>
        </w:rPr>
        <w:t>justice</w:t>
      </w:r>
      <w:r w:rsidR="00690DD4" w:rsidRPr="009F27BB">
        <w:rPr>
          <w:rFonts w:eastAsia="Calibri"/>
          <w:b/>
          <w:lang w:eastAsia="de-DE"/>
        </w:rPr>
        <w:t>,</w:t>
      </w:r>
      <w:r w:rsidR="00103F5C" w:rsidRPr="009F27BB">
        <w:rPr>
          <w:rFonts w:eastAsia="Calibri"/>
          <w:b/>
          <w:lang w:eastAsia="de-DE"/>
        </w:rPr>
        <w:t xml:space="preserve"> </w:t>
      </w:r>
      <w:r w:rsidR="00F1219C" w:rsidRPr="009F27BB">
        <w:rPr>
          <w:rFonts w:eastAsia="Calibri"/>
          <w:b/>
          <w:lang w:eastAsia="de-DE"/>
        </w:rPr>
        <w:t>and not religious</w:t>
      </w:r>
      <w:r w:rsidR="00690DD4" w:rsidRPr="009F27BB">
        <w:rPr>
          <w:rFonts w:eastAsia="Calibri"/>
          <w:b/>
          <w:lang w:eastAsia="de-DE"/>
        </w:rPr>
        <w:t>,</w:t>
      </w:r>
      <w:r w:rsidR="00F1219C" w:rsidRPr="009F27BB">
        <w:rPr>
          <w:rFonts w:eastAsia="Calibri"/>
          <w:b/>
          <w:lang w:eastAsia="de-DE"/>
        </w:rPr>
        <w:t xml:space="preserve"> courts;</w:t>
      </w:r>
      <w:r w:rsidR="00F1219C" w:rsidRPr="002C4D34">
        <w:rPr>
          <w:rFonts w:eastAsia="Calibri"/>
          <w:b/>
          <w:lang w:eastAsia="de-DE"/>
        </w:rPr>
        <w:t xml:space="preserve"> </w:t>
      </w:r>
    </w:p>
    <w:p w:rsidR="00F1219C" w:rsidRPr="002C4D34" w:rsidRDefault="002C4D34" w:rsidP="009F27BB">
      <w:pPr>
        <w:pStyle w:val="SingleTxtG"/>
        <w:ind w:firstLine="567"/>
        <w:rPr>
          <w:rFonts w:eastAsia="Calibri"/>
          <w:b/>
          <w:lang w:val="en-US" w:eastAsia="de-DE"/>
        </w:rPr>
      </w:pPr>
      <w:r w:rsidRPr="0049226E">
        <w:rPr>
          <w:rFonts w:eastAsia="Calibri"/>
          <w:bCs/>
          <w:lang w:val="en-US" w:eastAsia="de-DE"/>
        </w:rPr>
        <w:t>(b)</w:t>
      </w:r>
      <w:r w:rsidRPr="009F27BB">
        <w:rPr>
          <w:rFonts w:eastAsia="Calibri"/>
          <w:b/>
          <w:lang w:val="en-US" w:eastAsia="de-DE"/>
        </w:rPr>
        <w:tab/>
      </w:r>
      <w:r w:rsidR="00F1219C" w:rsidRPr="009F27BB">
        <w:rPr>
          <w:rFonts w:eastAsia="Calibri"/>
          <w:b/>
          <w:lang w:val="en-US" w:eastAsia="de-DE"/>
        </w:rPr>
        <w:t>Ensure the provision of qualified and independent legal aid to children in conflict with the law at an early stage of</w:t>
      </w:r>
      <w:r w:rsidR="009F27BB" w:rsidRPr="0049226E">
        <w:rPr>
          <w:rFonts w:eastAsia="Calibri"/>
          <w:b/>
          <w:lang w:val="en-US" w:eastAsia="de-DE"/>
        </w:rPr>
        <w:t xml:space="preserve">, as well as </w:t>
      </w:r>
      <w:r w:rsidR="00F1219C" w:rsidRPr="009F27BB">
        <w:rPr>
          <w:rFonts w:eastAsia="Calibri"/>
          <w:b/>
          <w:lang w:val="en-US" w:eastAsia="de-DE"/>
        </w:rPr>
        <w:t>throughout</w:t>
      </w:r>
      <w:r w:rsidR="009F27BB" w:rsidRPr="0049226E">
        <w:rPr>
          <w:rFonts w:eastAsia="Calibri"/>
          <w:b/>
          <w:lang w:val="en-US" w:eastAsia="de-DE"/>
        </w:rPr>
        <w:t>,</w:t>
      </w:r>
      <w:r w:rsidR="00F1219C" w:rsidRPr="009F27BB">
        <w:rPr>
          <w:rFonts w:eastAsia="Calibri"/>
          <w:b/>
          <w:lang w:val="en-US" w:eastAsia="de-DE"/>
        </w:rPr>
        <w:t xml:space="preserve"> </w:t>
      </w:r>
      <w:r w:rsidR="009F27BB" w:rsidRPr="0049226E">
        <w:rPr>
          <w:rFonts w:eastAsia="Calibri"/>
          <w:b/>
          <w:lang w:val="en-US" w:eastAsia="de-DE"/>
        </w:rPr>
        <w:t xml:space="preserve">any </w:t>
      </w:r>
      <w:r w:rsidR="00F1219C" w:rsidRPr="009F27BB">
        <w:rPr>
          <w:rFonts w:eastAsia="Calibri"/>
          <w:b/>
          <w:lang w:val="en-US" w:eastAsia="de-DE"/>
        </w:rPr>
        <w:t>legal proceedings;</w:t>
      </w:r>
    </w:p>
    <w:p w:rsidR="00F1219C" w:rsidRPr="006F6717" w:rsidRDefault="002C4D34">
      <w:pPr>
        <w:pStyle w:val="SingleTxtG"/>
        <w:ind w:firstLine="567"/>
        <w:rPr>
          <w:rFonts w:eastAsia="Calibri"/>
          <w:b/>
          <w:lang w:val="en-US" w:eastAsia="de-DE"/>
        </w:rPr>
      </w:pPr>
      <w:r w:rsidRPr="0049226E">
        <w:rPr>
          <w:rFonts w:eastAsia="Calibri"/>
          <w:bCs/>
          <w:lang w:val="en-US" w:eastAsia="de-DE"/>
        </w:rPr>
        <w:t>(c)</w:t>
      </w:r>
      <w:r w:rsidRPr="002C4D34">
        <w:rPr>
          <w:rFonts w:eastAsia="Calibri"/>
          <w:b/>
          <w:lang w:val="en-US" w:eastAsia="de-DE"/>
        </w:rPr>
        <w:tab/>
      </w:r>
      <w:r w:rsidR="00F1219C" w:rsidRPr="002C4D34">
        <w:rPr>
          <w:rFonts w:eastAsia="Calibri"/>
          <w:b/>
          <w:lang w:val="en-US" w:eastAsia="de-DE"/>
        </w:rPr>
        <w:t xml:space="preserve">Promote alternative measures to detention, such as diversion, probation, mediation, counselling or community service, wherever possible, and ensure that detention is used only as a last resort and for the shortest possible </w:t>
      </w:r>
      <w:r w:rsidR="00F1219C" w:rsidRPr="006F6717">
        <w:rPr>
          <w:rFonts w:eastAsia="Calibri"/>
          <w:b/>
          <w:lang w:val="en-US" w:eastAsia="de-DE"/>
        </w:rPr>
        <w:t xml:space="preserve">period of time and that it is reviewed on a regular basis with a view to withdrawing it; </w:t>
      </w:r>
    </w:p>
    <w:p w:rsidR="00F1219C" w:rsidRPr="002C4D34" w:rsidRDefault="002C4D34" w:rsidP="008B3497">
      <w:pPr>
        <w:pStyle w:val="SingleTxtG"/>
        <w:ind w:firstLine="567"/>
        <w:rPr>
          <w:rFonts w:eastAsia="Calibri"/>
          <w:b/>
          <w:lang w:val="en-US" w:eastAsia="de-DE"/>
        </w:rPr>
      </w:pPr>
      <w:r w:rsidRPr="0049226E">
        <w:rPr>
          <w:rFonts w:eastAsia="Calibri"/>
          <w:bCs/>
          <w:lang w:val="en-US" w:eastAsia="de-DE"/>
        </w:rPr>
        <w:t>(d)</w:t>
      </w:r>
      <w:r w:rsidRPr="00745229">
        <w:rPr>
          <w:rFonts w:eastAsia="Calibri"/>
          <w:b/>
          <w:lang w:val="en-US" w:eastAsia="de-DE"/>
        </w:rPr>
        <w:tab/>
      </w:r>
      <w:r w:rsidR="006F6717" w:rsidRPr="00745229">
        <w:rPr>
          <w:rFonts w:eastAsia="Malgun Gothic"/>
          <w:b/>
          <w:lang w:val="en-US" w:eastAsia="zh-CN"/>
        </w:rPr>
        <w:t>M</w:t>
      </w:r>
      <w:r w:rsidR="00F1219C" w:rsidRPr="00745229">
        <w:rPr>
          <w:rFonts w:eastAsia="Malgun Gothic"/>
          <w:b/>
          <w:lang w:val="en-US" w:eastAsia="zh-CN"/>
        </w:rPr>
        <w:t>ake use</w:t>
      </w:r>
      <w:r w:rsidR="006F6717" w:rsidRPr="00745229">
        <w:rPr>
          <w:rFonts w:eastAsia="Malgun Gothic"/>
          <w:b/>
          <w:lang w:val="en-US" w:eastAsia="zh-CN"/>
        </w:rPr>
        <w:t>, to that effect,</w:t>
      </w:r>
      <w:r w:rsidR="00F1219C" w:rsidRPr="00745229">
        <w:rPr>
          <w:rFonts w:eastAsia="Malgun Gothic"/>
          <w:b/>
          <w:lang w:val="en-US" w:eastAsia="zh-CN"/>
        </w:rPr>
        <w:t xml:space="preserve"> of the technical assistance tools developed by the Interagency Panel on Juvenile Justice and its members, including the United Nations Office on Drugs and Crime</w:t>
      </w:r>
      <w:r w:rsidR="00F1219C" w:rsidRPr="008B3497">
        <w:rPr>
          <w:rFonts w:eastAsia="Malgun Gothic"/>
          <w:b/>
          <w:lang w:val="en-US" w:eastAsia="zh-CN"/>
        </w:rPr>
        <w:t xml:space="preserve">, </w:t>
      </w:r>
      <w:r w:rsidR="008B3497" w:rsidRPr="0049226E">
        <w:rPr>
          <w:b/>
          <w:lang w:val="en-US"/>
        </w:rPr>
        <w:t>the United Nations Educational, Scientific and Cultural Organization</w:t>
      </w:r>
      <w:r w:rsidR="00F1219C" w:rsidRPr="008B3497">
        <w:rPr>
          <w:rFonts w:eastAsia="Malgun Gothic"/>
          <w:b/>
          <w:lang w:val="en-US" w:eastAsia="zh-CN"/>
        </w:rPr>
        <w:t xml:space="preserve">, </w:t>
      </w:r>
      <w:r w:rsidR="008B3497" w:rsidRPr="008B3497">
        <w:rPr>
          <w:rFonts w:eastAsia="Malgun Gothic"/>
          <w:b/>
          <w:lang w:val="en-US" w:eastAsia="zh-CN"/>
        </w:rPr>
        <w:t>the Office of the United Nations High</w:t>
      </w:r>
      <w:r w:rsidR="008B3497">
        <w:rPr>
          <w:rFonts w:eastAsia="Malgun Gothic"/>
          <w:b/>
          <w:lang w:val="en-US" w:eastAsia="zh-CN"/>
        </w:rPr>
        <w:t xml:space="preserve"> Commissioner for Human Rights</w:t>
      </w:r>
      <w:r w:rsidR="008B3497" w:rsidRPr="00745229">
        <w:rPr>
          <w:rFonts w:eastAsia="Malgun Gothic"/>
          <w:b/>
          <w:lang w:val="en-US" w:eastAsia="zh-CN"/>
        </w:rPr>
        <w:t xml:space="preserve"> </w:t>
      </w:r>
      <w:r w:rsidR="00F1219C" w:rsidRPr="00745229">
        <w:rPr>
          <w:rFonts w:eastAsia="Malgun Gothic"/>
          <w:b/>
          <w:lang w:val="en-US" w:eastAsia="zh-CN"/>
        </w:rPr>
        <w:t>and NGOs, and seek technical assistance in the area of juvenile justice from members of the Panel.</w:t>
      </w:r>
    </w:p>
    <w:p w:rsidR="00F1219C" w:rsidRDefault="002C4D34" w:rsidP="002C4D34">
      <w:pPr>
        <w:pStyle w:val="H23G"/>
        <w:rPr>
          <w:rFonts w:eastAsia="Malgun Gothic"/>
          <w:lang w:val="en-US" w:eastAsia="zh-CN"/>
        </w:rPr>
      </w:pPr>
      <w:r>
        <w:rPr>
          <w:rFonts w:eastAsia="Malgun Gothic"/>
          <w:lang w:val="en-US" w:eastAsia="zh-CN"/>
        </w:rPr>
        <w:tab/>
      </w:r>
      <w:r>
        <w:rPr>
          <w:rFonts w:eastAsia="Malgun Gothic"/>
          <w:lang w:val="en-US" w:eastAsia="zh-CN"/>
        </w:rPr>
        <w:tab/>
      </w:r>
      <w:r w:rsidR="00103F5C">
        <w:rPr>
          <w:rFonts w:eastAsia="Malgun Gothic"/>
          <w:lang w:val="en-US" w:eastAsia="zh-CN"/>
        </w:rPr>
        <w:t>Child</w:t>
      </w:r>
      <w:r w:rsidR="00F1219C">
        <w:rPr>
          <w:rFonts w:eastAsia="Malgun Gothic"/>
          <w:lang w:val="en-US" w:eastAsia="zh-CN"/>
        </w:rPr>
        <w:t xml:space="preserve"> victims and witnesses of crimes</w:t>
      </w:r>
    </w:p>
    <w:p w:rsidR="00F1219C" w:rsidRPr="006F6717" w:rsidRDefault="0049226E" w:rsidP="0049226E">
      <w:pPr>
        <w:pStyle w:val="SingleTxtG"/>
        <w:rPr>
          <w:rFonts w:eastAsia="Calibri"/>
          <w:b/>
          <w:lang w:val="en-US" w:eastAsia="de-DE"/>
        </w:rPr>
      </w:pPr>
      <w:r w:rsidRPr="006F6717">
        <w:rPr>
          <w:rFonts w:eastAsia="Calibri"/>
          <w:lang w:val="en-US" w:eastAsia="de-DE"/>
        </w:rPr>
        <w:t>72.</w:t>
      </w:r>
      <w:r w:rsidRPr="006F6717">
        <w:rPr>
          <w:rFonts w:eastAsia="Calibri"/>
          <w:lang w:val="en-US" w:eastAsia="de-DE"/>
        </w:rPr>
        <w:tab/>
      </w:r>
      <w:r w:rsidR="00F1219C">
        <w:t>The Committee urges the State party to ensure, through adequate legal provisions an</w:t>
      </w:r>
      <w:r w:rsidR="00111398">
        <w:t xml:space="preserve">d regulations, </w:t>
      </w:r>
      <w:r w:rsidR="00103F5C">
        <w:t>that all child</w:t>
      </w:r>
      <w:r w:rsidR="00F1219C">
        <w:t xml:space="preserve"> victims </w:t>
      </w:r>
      <w:r w:rsidR="00690DD4">
        <w:t xml:space="preserve">of </w:t>
      </w:r>
      <w:r w:rsidR="00F1219C">
        <w:t>and</w:t>
      </w:r>
      <w:r w:rsidR="00690DD4">
        <w:t>/</w:t>
      </w:r>
      <w:r w:rsidR="00F1219C">
        <w:t xml:space="preserve">or witnesses </w:t>
      </w:r>
      <w:r w:rsidR="00690DD4">
        <w:t>t</w:t>
      </w:r>
      <w:r w:rsidR="00F1219C">
        <w:t xml:space="preserve">o crime are provided with the protection guaranteed by the </w:t>
      </w:r>
      <w:r w:rsidR="00F1219C" w:rsidRPr="006F6717">
        <w:t xml:space="preserve">Convention and </w:t>
      </w:r>
      <w:r w:rsidR="00690DD4" w:rsidRPr="006F6717">
        <w:t xml:space="preserve">are not </w:t>
      </w:r>
      <w:r w:rsidR="00F1219C" w:rsidRPr="006F6717">
        <w:t xml:space="preserve">prosecuted. The State party should also take fully into account the </w:t>
      </w:r>
      <w:r w:rsidR="006F6717" w:rsidRPr="0049226E">
        <w:t>G</w:t>
      </w:r>
      <w:r w:rsidR="00F1219C" w:rsidRPr="006F6717">
        <w:t xml:space="preserve">uidelines on </w:t>
      </w:r>
      <w:r w:rsidR="006F6717" w:rsidRPr="0049226E">
        <w:t>J</w:t>
      </w:r>
      <w:r w:rsidR="00F1219C" w:rsidRPr="006F6717">
        <w:t xml:space="preserve">ustice in </w:t>
      </w:r>
      <w:r w:rsidR="006F6717" w:rsidRPr="0049226E">
        <w:t>M</w:t>
      </w:r>
      <w:r w:rsidR="00F1219C" w:rsidRPr="006F6717">
        <w:t xml:space="preserve">atters involving </w:t>
      </w:r>
      <w:r w:rsidR="006F6717" w:rsidRPr="0049226E">
        <w:t>C</w:t>
      </w:r>
      <w:r w:rsidR="00F1219C" w:rsidRPr="006F6717">
        <w:t xml:space="preserve">hild </w:t>
      </w:r>
      <w:r w:rsidR="006F6717" w:rsidRPr="0049226E">
        <w:t>V</w:t>
      </w:r>
      <w:r w:rsidR="00F1219C" w:rsidRPr="006F6717">
        <w:t xml:space="preserve">ictims and </w:t>
      </w:r>
      <w:r w:rsidR="006F6717" w:rsidRPr="0049226E">
        <w:t>W</w:t>
      </w:r>
      <w:r w:rsidR="00F1219C" w:rsidRPr="006F6717">
        <w:t xml:space="preserve">itnesses of </w:t>
      </w:r>
      <w:r w:rsidR="006F6717" w:rsidRPr="0049226E">
        <w:t>C</w:t>
      </w:r>
      <w:r w:rsidR="00F1219C" w:rsidRPr="006F6717">
        <w:t>rime (</w:t>
      </w:r>
      <w:r w:rsidR="00690DD4" w:rsidRPr="006F6717">
        <w:t>see</w:t>
      </w:r>
      <w:r w:rsidR="00F1219C" w:rsidRPr="006F6717">
        <w:t xml:space="preserve"> </w:t>
      </w:r>
      <w:r w:rsidR="00690DD4" w:rsidRPr="006F6717">
        <w:t>E</w:t>
      </w:r>
      <w:r w:rsidR="00F1219C" w:rsidRPr="006F6717">
        <w:t xml:space="preserve">conomic and </w:t>
      </w:r>
      <w:r w:rsidR="00690DD4" w:rsidRPr="006F6717">
        <w:t>S</w:t>
      </w:r>
      <w:r w:rsidR="00F1219C" w:rsidRPr="006F6717">
        <w:t xml:space="preserve">ocial </w:t>
      </w:r>
      <w:r w:rsidR="00690DD4" w:rsidRPr="006F6717">
        <w:t>C</w:t>
      </w:r>
      <w:r w:rsidR="00F1219C" w:rsidRPr="006F6717">
        <w:t>ouncil resolution 2005/20</w:t>
      </w:r>
      <w:r w:rsidR="00690DD4" w:rsidRPr="006F6717">
        <w:t>, annex</w:t>
      </w:r>
      <w:r w:rsidR="00F1219C" w:rsidRPr="006F6717">
        <w:t>).</w:t>
      </w:r>
    </w:p>
    <w:p w:rsidR="00F1219C" w:rsidRPr="0049226E" w:rsidRDefault="00F1219C">
      <w:pPr>
        <w:pStyle w:val="H1G"/>
      </w:pPr>
      <w:r w:rsidRPr="006F6717">
        <w:rPr>
          <w:rFonts w:eastAsia="SimSun"/>
          <w:lang w:val="en-US" w:eastAsia="zh-CN"/>
        </w:rPr>
        <w:tab/>
      </w:r>
      <w:r w:rsidR="001B55F3" w:rsidRPr="006F6717">
        <w:rPr>
          <w:rFonts w:eastAsia="SimSun"/>
          <w:lang w:val="en-US" w:eastAsia="zh-CN"/>
        </w:rPr>
        <w:t>I</w:t>
      </w:r>
      <w:r w:rsidRPr="006F6717">
        <w:rPr>
          <w:rFonts w:eastAsia="SimSun"/>
          <w:lang w:val="en-US" w:eastAsia="zh-CN"/>
        </w:rPr>
        <w:t>.</w:t>
      </w:r>
      <w:r>
        <w:rPr>
          <w:rFonts w:eastAsia="SimSun"/>
          <w:lang w:val="en-US" w:eastAsia="zh-CN"/>
        </w:rPr>
        <w:tab/>
        <w:t xml:space="preserve">Ratification of </w:t>
      </w:r>
      <w:r>
        <w:rPr>
          <w:lang w:val="en-US"/>
        </w:rPr>
        <w:t xml:space="preserve">the Optional Protocols to the Convention </w:t>
      </w:r>
    </w:p>
    <w:p w:rsidR="00F1219C" w:rsidRPr="005562D5" w:rsidRDefault="0049226E" w:rsidP="0049226E">
      <w:pPr>
        <w:pStyle w:val="SingleTxtG"/>
        <w:rPr>
          <w:b/>
          <w:color w:val="000000"/>
          <w:u w:val="single"/>
          <w:lang w:val="en-US" w:eastAsia="en-GB"/>
        </w:rPr>
      </w:pPr>
      <w:r w:rsidRPr="005562D5">
        <w:rPr>
          <w:color w:val="000000"/>
          <w:lang w:val="en-US" w:eastAsia="en-GB"/>
        </w:rPr>
        <w:t>73.</w:t>
      </w:r>
      <w:r w:rsidRPr="005562D5">
        <w:rPr>
          <w:color w:val="000000"/>
          <w:lang w:val="en-US" w:eastAsia="en-GB"/>
        </w:rPr>
        <w:tab/>
      </w:r>
      <w:r w:rsidR="00F1219C" w:rsidRPr="005562D5">
        <w:rPr>
          <w:rFonts w:eastAsia="Malgun Gothic"/>
          <w:b/>
          <w:lang w:val="en-US" w:eastAsia="zh-CN"/>
        </w:rPr>
        <w:t xml:space="preserve">The Committee recommends that the State party, in order to further strengthen the fulfillment of children’s rights, ratify </w:t>
      </w:r>
      <w:r w:rsidR="00F1219C" w:rsidRPr="005562D5">
        <w:rPr>
          <w:b/>
          <w:bCs/>
          <w:lang w:val="en-US"/>
        </w:rPr>
        <w:t>the three Optional Protocols to the Convention</w:t>
      </w:r>
      <w:r w:rsidR="00F1219C" w:rsidRPr="005562D5">
        <w:rPr>
          <w:b/>
          <w:bCs/>
          <w:i/>
          <w:lang w:val="en-US"/>
        </w:rPr>
        <w:t xml:space="preserve">. </w:t>
      </w:r>
    </w:p>
    <w:p w:rsidR="00F1219C" w:rsidRPr="0049226E" w:rsidRDefault="00F1219C" w:rsidP="0049226E">
      <w:pPr>
        <w:pStyle w:val="H1G"/>
        <w:rPr>
          <w:rFonts w:eastAsia="SimSun"/>
        </w:rPr>
      </w:pPr>
      <w:r w:rsidRPr="00111398">
        <w:rPr>
          <w:rFonts w:eastAsia="SimSun"/>
          <w:sz w:val="20"/>
          <w:lang w:val="en-US" w:eastAsia="zh-CN"/>
        </w:rPr>
        <w:tab/>
      </w:r>
      <w:r w:rsidR="001B55F3" w:rsidRPr="00111398">
        <w:rPr>
          <w:rFonts w:eastAsia="SimSun"/>
          <w:lang w:val="en-US" w:eastAsia="zh-CN"/>
        </w:rPr>
        <w:t>J</w:t>
      </w:r>
      <w:r w:rsidRPr="00111398">
        <w:rPr>
          <w:rFonts w:eastAsia="SimSun"/>
          <w:lang w:val="en-US" w:eastAsia="zh-CN"/>
        </w:rPr>
        <w:t>.</w:t>
      </w:r>
      <w:r w:rsidR="00C37C8D">
        <w:rPr>
          <w:rFonts w:eastAsia="SimSun"/>
          <w:lang w:val="en-US" w:eastAsia="zh-CN"/>
        </w:rPr>
        <w:tab/>
      </w:r>
      <w:r w:rsidRPr="00111398">
        <w:rPr>
          <w:rFonts w:eastAsia="SimSun"/>
          <w:lang w:val="en-US" w:eastAsia="zh-CN"/>
        </w:rPr>
        <w:t>Ratification of international human rights instruments</w:t>
      </w:r>
    </w:p>
    <w:p w:rsidR="00F1219C" w:rsidRPr="005562D5" w:rsidRDefault="0049226E" w:rsidP="0049226E">
      <w:pPr>
        <w:pStyle w:val="SingleTxtG"/>
        <w:rPr>
          <w:b/>
          <w:lang w:eastAsia="en-GB"/>
        </w:rPr>
      </w:pPr>
      <w:r w:rsidRPr="005562D5">
        <w:rPr>
          <w:lang w:eastAsia="en-GB"/>
        </w:rPr>
        <w:t>74.</w:t>
      </w:r>
      <w:r w:rsidRPr="005562D5">
        <w:rPr>
          <w:lang w:eastAsia="en-GB"/>
        </w:rPr>
        <w:tab/>
      </w:r>
      <w:r w:rsidR="00F1219C" w:rsidRPr="005562D5">
        <w:rPr>
          <w:b/>
          <w:lang w:val="en-US"/>
        </w:rPr>
        <w:t xml:space="preserve">The Committee recommends that the State party, in order to further strengthen the fulfillment of children’s rights, ratify the core human rights instruments to which it is not yet a party, namely the </w:t>
      </w:r>
      <w:r w:rsidR="005562D5" w:rsidRPr="0049226E">
        <w:rPr>
          <w:b/>
          <w:lang w:val="en-US"/>
        </w:rPr>
        <w:t>I</w:t>
      </w:r>
      <w:r w:rsidR="00F1219C" w:rsidRPr="005562D5">
        <w:rPr>
          <w:b/>
          <w:lang w:val="en-US"/>
        </w:rPr>
        <w:t xml:space="preserve">nternational </w:t>
      </w:r>
      <w:r w:rsidR="005562D5" w:rsidRPr="0049226E">
        <w:rPr>
          <w:b/>
          <w:lang w:val="en-US"/>
        </w:rPr>
        <w:t>C</w:t>
      </w:r>
      <w:r w:rsidR="00F1219C" w:rsidRPr="005562D5">
        <w:rPr>
          <w:b/>
          <w:lang w:val="en-US"/>
        </w:rPr>
        <w:t xml:space="preserve">ovenant on </w:t>
      </w:r>
      <w:r w:rsidR="005562D5" w:rsidRPr="0049226E">
        <w:rPr>
          <w:b/>
          <w:lang w:val="en-US"/>
        </w:rPr>
        <w:t>C</w:t>
      </w:r>
      <w:r w:rsidR="00F1219C" w:rsidRPr="005562D5">
        <w:rPr>
          <w:b/>
          <w:lang w:val="en-US"/>
        </w:rPr>
        <w:t xml:space="preserve">ivil and </w:t>
      </w:r>
      <w:r w:rsidR="005562D5" w:rsidRPr="0049226E">
        <w:rPr>
          <w:b/>
          <w:lang w:val="en-US"/>
        </w:rPr>
        <w:t>P</w:t>
      </w:r>
      <w:r w:rsidR="00F1219C" w:rsidRPr="005562D5">
        <w:rPr>
          <w:b/>
          <w:lang w:val="en-US"/>
        </w:rPr>
        <w:t xml:space="preserve">olitical </w:t>
      </w:r>
      <w:r w:rsidR="005562D5" w:rsidRPr="0049226E">
        <w:rPr>
          <w:b/>
          <w:lang w:val="en-US"/>
        </w:rPr>
        <w:t>R</w:t>
      </w:r>
      <w:r w:rsidR="00F1219C" w:rsidRPr="005562D5">
        <w:rPr>
          <w:b/>
          <w:lang w:val="en-US"/>
        </w:rPr>
        <w:t>ights</w:t>
      </w:r>
      <w:r w:rsidR="009F27BB">
        <w:rPr>
          <w:b/>
          <w:lang w:val="en-US"/>
        </w:rPr>
        <w:t>,</w:t>
      </w:r>
      <w:r w:rsidR="005562D5" w:rsidRPr="0049226E">
        <w:rPr>
          <w:b/>
          <w:lang w:val="en-US"/>
        </w:rPr>
        <w:t xml:space="preserve"> the International Covenant </w:t>
      </w:r>
      <w:r w:rsidR="00F1219C" w:rsidRPr="005562D5">
        <w:rPr>
          <w:b/>
          <w:lang w:val="en-US"/>
        </w:rPr>
        <w:t xml:space="preserve">on </w:t>
      </w:r>
      <w:r w:rsidR="005562D5" w:rsidRPr="0049226E">
        <w:rPr>
          <w:b/>
          <w:lang w:val="en-US"/>
        </w:rPr>
        <w:t>E</w:t>
      </w:r>
      <w:r w:rsidR="00F1219C" w:rsidRPr="005562D5">
        <w:rPr>
          <w:b/>
          <w:lang w:val="en-US"/>
        </w:rPr>
        <w:t xml:space="preserve">conomic, </w:t>
      </w:r>
      <w:r w:rsidR="005562D5" w:rsidRPr="0049226E">
        <w:rPr>
          <w:b/>
          <w:lang w:val="en-US"/>
        </w:rPr>
        <w:t>S</w:t>
      </w:r>
      <w:r w:rsidR="00F1219C" w:rsidRPr="005562D5">
        <w:rPr>
          <w:b/>
          <w:lang w:val="en-US"/>
        </w:rPr>
        <w:t xml:space="preserve">ocial and </w:t>
      </w:r>
      <w:r w:rsidR="005562D5" w:rsidRPr="0049226E">
        <w:rPr>
          <w:b/>
          <w:lang w:val="en-US"/>
        </w:rPr>
        <w:t>C</w:t>
      </w:r>
      <w:r w:rsidR="00F1219C" w:rsidRPr="005562D5">
        <w:rPr>
          <w:b/>
          <w:lang w:val="en-US"/>
        </w:rPr>
        <w:t xml:space="preserve">ultural </w:t>
      </w:r>
      <w:r w:rsidR="005562D5" w:rsidRPr="0049226E">
        <w:rPr>
          <w:b/>
          <w:lang w:val="en-US"/>
        </w:rPr>
        <w:t>R</w:t>
      </w:r>
      <w:r w:rsidR="00F1219C" w:rsidRPr="005562D5">
        <w:rPr>
          <w:b/>
          <w:lang w:val="en-US"/>
        </w:rPr>
        <w:t>ights</w:t>
      </w:r>
      <w:r w:rsidR="00690DD4" w:rsidRPr="005562D5">
        <w:rPr>
          <w:b/>
          <w:lang w:val="en-US"/>
        </w:rPr>
        <w:t>,</w:t>
      </w:r>
      <w:r w:rsidR="00F1219C" w:rsidRPr="005562D5">
        <w:rPr>
          <w:b/>
          <w:lang w:val="en-US"/>
        </w:rPr>
        <w:t xml:space="preserve"> </w:t>
      </w:r>
      <w:r w:rsidR="009F27BB">
        <w:rPr>
          <w:b/>
          <w:lang w:val="en-US"/>
        </w:rPr>
        <w:t xml:space="preserve">and </w:t>
      </w:r>
      <w:r w:rsidR="00F1219C" w:rsidRPr="005562D5">
        <w:rPr>
          <w:b/>
          <w:lang w:val="en-US"/>
        </w:rPr>
        <w:t xml:space="preserve">their </w:t>
      </w:r>
      <w:r w:rsidR="005562D5" w:rsidRPr="0049226E">
        <w:rPr>
          <w:b/>
          <w:lang w:val="en-US"/>
        </w:rPr>
        <w:t>O</w:t>
      </w:r>
      <w:r w:rsidR="00F1219C" w:rsidRPr="005562D5">
        <w:rPr>
          <w:b/>
          <w:lang w:val="en-US"/>
        </w:rPr>
        <w:t xml:space="preserve">ptional </w:t>
      </w:r>
      <w:r w:rsidR="005562D5" w:rsidRPr="0049226E">
        <w:rPr>
          <w:b/>
          <w:lang w:val="en-US"/>
        </w:rPr>
        <w:t>P</w:t>
      </w:r>
      <w:r w:rsidR="00F1219C" w:rsidRPr="005562D5">
        <w:rPr>
          <w:b/>
          <w:lang w:val="en-US"/>
        </w:rPr>
        <w:t>rotocols</w:t>
      </w:r>
      <w:r w:rsidR="009F27BB">
        <w:rPr>
          <w:b/>
          <w:lang w:val="en-US"/>
        </w:rPr>
        <w:t>;</w:t>
      </w:r>
      <w:r w:rsidR="00F1219C" w:rsidRPr="005562D5">
        <w:rPr>
          <w:b/>
          <w:lang w:val="en-US"/>
        </w:rPr>
        <w:t xml:space="preserve"> the </w:t>
      </w:r>
      <w:r w:rsidR="005562D5" w:rsidRPr="0049226E">
        <w:rPr>
          <w:b/>
          <w:lang w:val="en-US"/>
        </w:rPr>
        <w:t xml:space="preserve">International </w:t>
      </w:r>
      <w:r w:rsidR="00F1219C" w:rsidRPr="005562D5">
        <w:rPr>
          <w:b/>
          <w:lang w:eastAsia="en-GB"/>
        </w:rPr>
        <w:t xml:space="preserve">Convention on the </w:t>
      </w:r>
      <w:r w:rsidR="005562D5" w:rsidRPr="0049226E">
        <w:rPr>
          <w:b/>
          <w:lang w:eastAsia="en-GB"/>
        </w:rPr>
        <w:t>P</w:t>
      </w:r>
      <w:r w:rsidR="00F1219C" w:rsidRPr="005562D5">
        <w:rPr>
          <w:b/>
          <w:lang w:eastAsia="en-GB"/>
        </w:rPr>
        <w:t xml:space="preserve">rotection of the </w:t>
      </w:r>
      <w:r w:rsidR="005562D5" w:rsidRPr="0049226E">
        <w:rPr>
          <w:b/>
          <w:lang w:eastAsia="en-GB"/>
        </w:rPr>
        <w:t>R</w:t>
      </w:r>
      <w:r w:rsidR="00F1219C" w:rsidRPr="005562D5">
        <w:rPr>
          <w:b/>
          <w:lang w:eastAsia="en-GB"/>
        </w:rPr>
        <w:t xml:space="preserve">ights of </w:t>
      </w:r>
      <w:r w:rsidR="005562D5" w:rsidRPr="0049226E">
        <w:rPr>
          <w:b/>
          <w:lang w:eastAsia="en-GB"/>
        </w:rPr>
        <w:t>A</w:t>
      </w:r>
      <w:r w:rsidR="00F1219C" w:rsidRPr="005562D5">
        <w:rPr>
          <w:b/>
          <w:lang w:eastAsia="en-GB"/>
        </w:rPr>
        <w:t xml:space="preserve">ll </w:t>
      </w:r>
      <w:r w:rsidR="005562D5" w:rsidRPr="0049226E">
        <w:rPr>
          <w:b/>
          <w:lang w:eastAsia="en-GB"/>
        </w:rPr>
        <w:t>M</w:t>
      </w:r>
      <w:r w:rsidR="00F1219C" w:rsidRPr="005562D5">
        <w:rPr>
          <w:b/>
          <w:lang w:eastAsia="en-GB"/>
        </w:rPr>
        <w:t xml:space="preserve">igrant </w:t>
      </w:r>
      <w:r w:rsidR="005562D5" w:rsidRPr="0049226E">
        <w:rPr>
          <w:b/>
          <w:lang w:eastAsia="en-GB"/>
        </w:rPr>
        <w:t>W</w:t>
      </w:r>
      <w:r w:rsidR="00F1219C" w:rsidRPr="005562D5">
        <w:rPr>
          <w:b/>
          <w:lang w:eastAsia="en-GB"/>
        </w:rPr>
        <w:t xml:space="preserve">orkers and </w:t>
      </w:r>
      <w:r w:rsidR="005562D5" w:rsidRPr="0049226E">
        <w:rPr>
          <w:b/>
          <w:lang w:eastAsia="en-GB"/>
        </w:rPr>
        <w:t>M</w:t>
      </w:r>
      <w:r w:rsidR="00F1219C" w:rsidRPr="005562D5">
        <w:rPr>
          <w:b/>
          <w:lang w:eastAsia="en-GB"/>
        </w:rPr>
        <w:t xml:space="preserve">embers of </w:t>
      </w:r>
      <w:r w:rsidR="005562D5" w:rsidRPr="0049226E">
        <w:rPr>
          <w:b/>
          <w:lang w:eastAsia="en-GB"/>
        </w:rPr>
        <w:t>T</w:t>
      </w:r>
      <w:r w:rsidR="00F1219C" w:rsidRPr="005562D5">
        <w:rPr>
          <w:b/>
          <w:lang w:eastAsia="en-GB"/>
        </w:rPr>
        <w:t xml:space="preserve">heir </w:t>
      </w:r>
      <w:r w:rsidR="005562D5" w:rsidRPr="0049226E">
        <w:rPr>
          <w:b/>
          <w:lang w:eastAsia="en-GB"/>
        </w:rPr>
        <w:t>F</w:t>
      </w:r>
      <w:r w:rsidR="00F1219C" w:rsidRPr="005562D5">
        <w:rPr>
          <w:b/>
          <w:lang w:eastAsia="en-GB"/>
        </w:rPr>
        <w:t>amilies</w:t>
      </w:r>
      <w:r w:rsidR="009F27BB">
        <w:rPr>
          <w:b/>
          <w:lang w:eastAsia="en-GB"/>
        </w:rPr>
        <w:t>;</w:t>
      </w:r>
      <w:r w:rsidR="00F1219C" w:rsidRPr="005562D5">
        <w:rPr>
          <w:b/>
          <w:lang w:eastAsia="en-GB"/>
        </w:rPr>
        <w:t xml:space="preserve"> the </w:t>
      </w:r>
      <w:r w:rsidR="005562D5" w:rsidRPr="0049226E">
        <w:rPr>
          <w:b/>
          <w:lang w:eastAsia="en-GB"/>
        </w:rPr>
        <w:t xml:space="preserve">International </w:t>
      </w:r>
      <w:r w:rsidR="00F1219C" w:rsidRPr="005562D5">
        <w:rPr>
          <w:b/>
          <w:lang w:eastAsia="en-GB"/>
        </w:rPr>
        <w:t xml:space="preserve">Convention for the </w:t>
      </w:r>
      <w:r w:rsidR="005562D5" w:rsidRPr="0049226E">
        <w:rPr>
          <w:b/>
          <w:lang w:eastAsia="en-GB"/>
        </w:rPr>
        <w:t>P</w:t>
      </w:r>
      <w:r w:rsidR="00F1219C" w:rsidRPr="005562D5">
        <w:rPr>
          <w:b/>
          <w:lang w:eastAsia="en-GB"/>
        </w:rPr>
        <w:t xml:space="preserve">rotection of </w:t>
      </w:r>
      <w:r w:rsidR="005562D5" w:rsidRPr="0049226E">
        <w:rPr>
          <w:b/>
          <w:lang w:eastAsia="en-GB"/>
        </w:rPr>
        <w:t>A</w:t>
      </w:r>
      <w:r w:rsidR="00F1219C" w:rsidRPr="005562D5">
        <w:rPr>
          <w:b/>
          <w:lang w:eastAsia="en-GB"/>
        </w:rPr>
        <w:t xml:space="preserve">ll </w:t>
      </w:r>
      <w:r w:rsidR="005562D5" w:rsidRPr="0049226E">
        <w:rPr>
          <w:b/>
          <w:lang w:eastAsia="en-GB"/>
        </w:rPr>
        <w:t>P</w:t>
      </w:r>
      <w:r w:rsidR="00F1219C" w:rsidRPr="005562D5">
        <w:rPr>
          <w:b/>
          <w:lang w:eastAsia="en-GB"/>
        </w:rPr>
        <w:t xml:space="preserve">ersons from </w:t>
      </w:r>
      <w:r w:rsidR="005562D5" w:rsidRPr="0049226E">
        <w:rPr>
          <w:b/>
          <w:lang w:eastAsia="en-GB"/>
        </w:rPr>
        <w:t>E</w:t>
      </w:r>
      <w:r w:rsidR="00F1219C" w:rsidRPr="005562D5">
        <w:rPr>
          <w:b/>
          <w:lang w:eastAsia="en-GB"/>
        </w:rPr>
        <w:t xml:space="preserve">nforced </w:t>
      </w:r>
      <w:r w:rsidR="005562D5" w:rsidRPr="0049226E">
        <w:rPr>
          <w:b/>
          <w:lang w:eastAsia="en-GB"/>
        </w:rPr>
        <w:t>D</w:t>
      </w:r>
      <w:r w:rsidR="00F1219C" w:rsidRPr="005562D5">
        <w:rPr>
          <w:b/>
          <w:lang w:eastAsia="en-GB"/>
        </w:rPr>
        <w:t>isappearance</w:t>
      </w:r>
      <w:r w:rsidR="009F27BB">
        <w:rPr>
          <w:b/>
          <w:lang w:eastAsia="en-GB"/>
        </w:rPr>
        <w:t>;</w:t>
      </w:r>
      <w:r w:rsidR="005562D5">
        <w:rPr>
          <w:b/>
          <w:lang w:eastAsia="en-GB"/>
        </w:rPr>
        <w:t xml:space="preserve"> and</w:t>
      </w:r>
      <w:r w:rsidR="00F1219C" w:rsidRPr="005562D5">
        <w:rPr>
          <w:b/>
          <w:lang w:eastAsia="en-GB"/>
        </w:rPr>
        <w:t xml:space="preserve"> </w:t>
      </w:r>
      <w:r w:rsidR="00F1219C" w:rsidRPr="005562D5">
        <w:rPr>
          <w:b/>
          <w:lang w:val="en-US"/>
        </w:rPr>
        <w:t xml:space="preserve">the </w:t>
      </w:r>
      <w:r w:rsidR="005562D5" w:rsidRPr="0049226E">
        <w:rPr>
          <w:b/>
          <w:lang w:eastAsia="en-GB"/>
        </w:rPr>
        <w:t>O</w:t>
      </w:r>
      <w:r w:rsidR="00F1219C" w:rsidRPr="005562D5">
        <w:rPr>
          <w:b/>
          <w:lang w:eastAsia="en-GB"/>
        </w:rPr>
        <w:t xml:space="preserve">ptional </w:t>
      </w:r>
      <w:r w:rsidR="005562D5" w:rsidRPr="0049226E">
        <w:rPr>
          <w:b/>
          <w:lang w:eastAsia="en-GB"/>
        </w:rPr>
        <w:t>P</w:t>
      </w:r>
      <w:r w:rsidR="00F1219C" w:rsidRPr="005562D5">
        <w:rPr>
          <w:b/>
          <w:lang w:eastAsia="en-GB"/>
        </w:rPr>
        <w:t xml:space="preserve">rotocols to the Convention on the </w:t>
      </w:r>
      <w:r w:rsidR="005562D5" w:rsidRPr="005562D5">
        <w:rPr>
          <w:b/>
          <w:lang w:eastAsia="en-GB"/>
        </w:rPr>
        <w:t>E</w:t>
      </w:r>
      <w:r w:rsidR="00F1219C" w:rsidRPr="005562D5">
        <w:rPr>
          <w:b/>
          <w:lang w:eastAsia="en-GB"/>
        </w:rPr>
        <w:t xml:space="preserve">limination of all </w:t>
      </w:r>
      <w:r w:rsidR="005562D5" w:rsidRPr="005562D5">
        <w:rPr>
          <w:b/>
          <w:lang w:eastAsia="en-GB"/>
        </w:rPr>
        <w:t>F</w:t>
      </w:r>
      <w:r w:rsidR="00F1219C" w:rsidRPr="005562D5">
        <w:rPr>
          <w:b/>
          <w:lang w:eastAsia="en-GB"/>
        </w:rPr>
        <w:t xml:space="preserve">orms of </w:t>
      </w:r>
      <w:r w:rsidR="005562D5" w:rsidRPr="005562D5">
        <w:rPr>
          <w:b/>
          <w:lang w:eastAsia="en-GB"/>
        </w:rPr>
        <w:t>D</w:t>
      </w:r>
      <w:r w:rsidR="00F1219C" w:rsidRPr="005562D5">
        <w:rPr>
          <w:b/>
          <w:lang w:eastAsia="en-GB"/>
        </w:rPr>
        <w:t xml:space="preserve">iscrimination against </w:t>
      </w:r>
      <w:r w:rsidR="005562D5" w:rsidRPr="005562D5">
        <w:rPr>
          <w:b/>
          <w:lang w:eastAsia="en-GB"/>
        </w:rPr>
        <w:t>W</w:t>
      </w:r>
      <w:r w:rsidR="00F1219C" w:rsidRPr="005562D5">
        <w:rPr>
          <w:b/>
          <w:lang w:eastAsia="en-GB"/>
        </w:rPr>
        <w:t xml:space="preserve">omen, the Convention against </w:t>
      </w:r>
      <w:r w:rsidR="005562D5" w:rsidRPr="0049226E">
        <w:rPr>
          <w:b/>
          <w:lang w:eastAsia="en-GB"/>
        </w:rPr>
        <w:t>T</w:t>
      </w:r>
      <w:r w:rsidR="00F1219C" w:rsidRPr="005562D5">
        <w:rPr>
          <w:b/>
          <w:lang w:eastAsia="en-GB"/>
        </w:rPr>
        <w:t xml:space="preserve">orture and </w:t>
      </w:r>
      <w:r w:rsidR="005562D5" w:rsidRPr="0049226E">
        <w:rPr>
          <w:b/>
          <w:lang w:eastAsia="en-GB"/>
        </w:rPr>
        <w:t>O</w:t>
      </w:r>
      <w:r w:rsidR="00F1219C" w:rsidRPr="005562D5">
        <w:rPr>
          <w:b/>
          <w:lang w:eastAsia="en-GB"/>
        </w:rPr>
        <w:t xml:space="preserve">ther </w:t>
      </w:r>
      <w:r w:rsidR="005562D5" w:rsidRPr="0049226E">
        <w:rPr>
          <w:b/>
          <w:lang w:eastAsia="en-GB"/>
        </w:rPr>
        <w:t>C</w:t>
      </w:r>
      <w:r w:rsidR="00F1219C" w:rsidRPr="005562D5">
        <w:rPr>
          <w:b/>
          <w:lang w:eastAsia="en-GB"/>
        </w:rPr>
        <w:t xml:space="preserve">ruel, </w:t>
      </w:r>
      <w:r w:rsidR="005562D5" w:rsidRPr="0049226E">
        <w:rPr>
          <w:b/>
          <w:lang w:eastAsia="en-GB"/>
        </w:rPr>
        <w:t>I</w:t>
      </w:r>
      <w:r w:rsidR="00F1219C" w:rsidRPr="005562D5">
        <w:rPr>
          <w:b/>
          <w:lang w:eastAsia="en-GB"/>
        </w:rPr>
        <w:t xml:space="preserve">nhuman or </w:t>
      </w:r>
      <w:r w:rsidR="005562D5" w:rsidRPr="0049226E">
        <w:rPr>
          <w:b/>
          <w:lang w:eastAsia="en-GB"/>
        </w:rPr>
        <w:t>D</w:t>
      </w:r>
      <w:r w:rsidR="00F1219C" w:rsidRPr="005562D5">
        <w:rPr>
          <w:b/>
          <w:lang w:eastAsia="en-GB"/>
        </w:rPr>
        <w:t xml:space="preserve">egrading </w:t>
      </w:r>
      <w:r w:rsidR="005562D5" w:rsidRPr="0049226E">
        <w:rPr>
          <w:b/>
          <w:lang w:eastAsia="en-GB"/>
        </w:rPr>
        <w:t>T</w:t>
      </w:r>
      <w:r w:rsidR="00F1219C" w:rsidRPr="005562D5">
        <w:rPr>
          <w:b/>
          <w:lang w:eastAsia="en-GB"/>
        </w:rPr>
        <w:t xml:space="preserve">reatment or </w:t>
      </w:r>
      <w:r w:rsidR="005562D5" w:rsidRPr="0049226E">
        <w:rPr>
          <w:b/>
          <w:lang w:eastAsia="en-GB"/>
        </w:rPr>
        <w:t>P</w:t>
      </w:r>
      <w:r w:rsidR="00F1219C" w:rsidRPr="005562D5">
        <w:rPr>
          <w:b/>
          <w:lang w:eastAsia="en-GB"/>
        </w:rPr>
        <w:t>unishment and the Convention on the Rights of Persons with Disabilities.</w:t>
      </w:r>
    </w:p>
    <w:p w:rsidR="00F1219C" w:rsidRDefault="00F1219C" w:rsidP="008C67C2">
      <w:pPr>
        <w:pStyle w:val="HChG"/>
        <w:rPr>
          <w:szCs w:val="28"/>
          <w:lang w:val="en-US"/>
        </w:rPr>
      </w:pPr>
      <w:r>
        <w:rPr>
          <w:color w:val="92D050"/>
          <w:szCs w:val="28"/>
          <w:lang w:val="en-US"/>
        </w:rPr>
        <w:tab/>
      </w:r>
      <w:r>
        <w:rPr>
          <w:szCs w:val="28"/>
          <w:lang w:val="en-US"/>
        </w:rPr>
        <w:t>V.</w:t>
      </w:r>
      <w:r>
        <w:rPr>
          <w:szCs w:val="28"/>
          <w:lang w:val="en-US"/>
        </w:rPr>
        <w:tab/>
        <w:t>Implementation and reporting</w:t>
      </w:r>
      <w:r>
        <w:rPr>
          <w:szCs w:val="28"/>
          <w:lang w:val="en-US"/>
        </w:rPr>
        <w:tab/>
      </w:r>
    </w:p>
    <w:p w:rsidR="00F1219C" w:rsidRDefault="00F1219C" w:rsidP="002C4D34">
      <w:pPr>
        <w:pStyle w:val="H1G"/>
        <w:rPr>
          <w:lang w:val="en-US"/>
        </w:rPr>
      </w:pPr>
      <w:r>
        <w:rPr>
          <w:lang w:val="en-US"/>
        </w:rPr>
        <w:tab/>
        <w:t>A.</w:t>
      </w:r>
      <w:r>
        <w:rPr>
          <w:lang w:val="en-US"/>
        </w:rPr>
        <w:tab/>
        <w:t>Follow-up and dissemination</w:t>
      </w:r>
    </w:p>
    <w:p w:rsidR="00F1219C" w:rsidRDefault="0049226E" w:rsidP="0049226E">
      <w:pPr>
        <w:pStyle w:val="SingleTxtG"/>
        <w:rPr>
          <w:rFonts w:eastAsia="Malgun Gothic"/>
          <w:b/>
          <w:bCs/>
          <w:lang w:val="en-US" w:eastAsia="zh-CN"/>
        </w:rPr>
      </w:pPr>
      <w:r>
        <w:rPr>
          <w:rFonts w:eastAsia="Malgun Gothic"/>
          <w:lang w:val="en-US" w:eastAsia="zh-CN"/>
        </w:rPr>
        <w:t>75.</w:t>
      </w:r>
      <w:r>
        <w:rPr>
          <w:rFonts w:eastAsia="Malgun Gothic"/>
          <w:lang w:val="en-US" w:eastAsia="zh-CN"/>
        </w:rPr>
        <w:tab/>
      </w:r>
      <w:r w:rsidR="00F1219C">
        <w:rPr>
          <w:rFonts w:eastAsia="Malgun Gothic"/>
          <w:b/>
          <w:bCs/>
          <w:lang w:val="en-US" w:eastAsia="zh-CN"/>
        </w:rPr>
        <w:t>The Committee recommends that the State party take all appropriate measures to ensure that the recommendations contained in the present concluding observations are fully implemented. The Committee also recommends that the second periodic report, the written replies</w:t>
      </w:r>
      <w:r w:rsidR="00690DD4">
        <w:rPr>
          <w:rFonts w:eastAsia="Malgun Gothic"/>
          <w:b/>
          <w:bCs/>
          <w:lang w:val="en-US" w:eastAsia="zh-CN"/>
        </w:rPr>
        <w:t xml:space="preserve"> of the State party </w:t>
      </w:r>
      <w:r w:rsidR="00F1219C">
        <w:rPr>
          <w:rFonts w:eastAsia="Malgun Gothic"/>
          <w:b/>
          <w:bCs/>
          <w:lang w:val="en-US" w:eastAsia="zh-CN"/>
        </w:rPr>
        <w:t>to the list of issues and the present concluding observations be made widely available in the languages of the country.</w:t>
      </w:r>
    </w:p>
    <w:p w:rsidR="00F1219C" w:rsidRPr="008C67C2" w:rsidRDefault="00F1219C" w:rsidP="008C67C2">
      <w:pPr>
        <w:pStyle w:val="H1G"/>
        <w:rPr>
          <w:rFonts w:eastAsia="Malgun Gothic"/>
          <w:lang w:val="en-US" w:eastAsia="zh-CN"/>
        </w:rPr>
      </w:pPr>
      <w:r w:rsidRPr="008C67C2">
        <w:rPr>
          <w:rFonts w:eastAsia="Malgun Gothic"/>
          <w:lang w:val="en-US" w:eastAsia="zh-CN"/>
        </w:rPr>
        <w:tab/>
        <w:t>B.</w:t>
      </w:r>
      <w:r w:rsidRPr="008C67C2">
        <w:rPr>
          <w:rFonts w:eastAsia="Malgun Gothic"/>
          <w:lang w:val="en-US" w:eastAsia="zh-CN"/>
        </w:rPr>
        <w:tab/>
        <w:t xml:space="preserve">Next report </w:t>
      </w:r>
    </w:p>
    <w:p w:rsidR="00F1219C" w:rsidRPr="009F27BB" w:rsidRDefault="0049226E" w:rsidP="0049226E">
      <w:pPr>
        <w:pStyle w:val="SingleTxtG"/>
        <w:rPr>
          <w:rFonts w:eastAsia="Malgun Gothic"/>
          <w:b/>
          <w:bCs/>
          <w:lang w:val="en-US" w:eastAsia="zh-CN"/>
        </w:rPr>
      </w:pPr>
      <w:r w:rsidRPr="009F27BB">
        <w:rPr>
          <w:rFonts w:eastAsia="Malgun Gothic"/>
          <w:lang w:val="en-US" w:eastAsia="zh-CN"/>
        </w:rPr>
        <w:t>76.</w:t>
      </w:r>
      <w:r w:rsidRPr="009F27BB">
        <w:rPr>
          <w:rFonts w:eastAsia="Malgun Gothic"/>
          <w:lang w:val="en-US" w:eastAsia="zh-CN"/>
        </w:rPr>
        <w:tab/>
      </w:r>
      <w:r w:rsidR="00F1219C" w:rsidRPr="009F27BB">
        <w:rPr>
          <w:rFonts w:eastAsia="Malgun Gothic"/>
          <w:b/>
          <w:bCs/>
          <w:lang w:val="en-US" w:eastAsia="zh-CN"/>
        </w:rPr>
        <w:t xml:space="preserve">The Committee invites the State party to submit its </w:t>
      </w:r>
      <w:r w:rsidR="00103F5C" w:rsidRPr="009F27BB">
        <w:rPr>
          <w:rFonts w:eastAsia="Malgun Gothic"/>
          <w:b/>
          <w:bCs/>
          <w:lang w:val="en-US" w:eastAsia="zh-CN"/>
        </w:rPr>
        <w:t>combined third to fifth periodic reports by 1 August 2020</w:t>
      </w:r>
      <w:r w:rsidR="00F1219C" w:rsidRPr="009F27BB">
        <w:rPr>
          <w:rFonts w:eastAsia="Malgun Gothic"/>
          <w:b/>
          <w:bCs/>
          <w:lang w:val="en-US" w:eastAsia="zh-CN"/>
        </w:rPr>
        <w:t xml:space="preserve"> and to include therein information on the follow-up to the present concluding observations. The report should be in compliance with the Committee’s harmonized treaty-specific reporting guidelines adopted on 31 January 2014 (CRC/C/58/Rev.3)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rsidR="00F1219C" w:rsidRDefault="0049226E" w:rsidP="0049226E">
      <w:pPr>
        <w:pStyle w:val="SingleTxtG"/>
        <w:rPr>
          <w:rFonts w:eastAsia="Malgun Gothic"/>
          <w:b/>
          <w:bCs/>
          <w:lang w:val="en-US" w:eastAsia="zh-CN"/>
        </w:rPr>
      </w:pPr>
      <w:r>
        <w:rPr>
          <w:rFonts w:eastAsia="Malgun Gothic"/>
          <w:lang w:val="en-US" w:eastAsia="zh-CN"/>
        </w:rPr>
        <w:t>77.</w:t>
      </w:r>
      <w:r>
        <w:rPr>
          <w:rFonts w:eastAsia="Malgun Gothic"/>
          <w:lang w:val="en-US" w:eastAsia="zh-CN"/>
        </w:rPr>
        <w:tab/>
      </w:r>
      <w:r w:rsidR="00F1219C" w:rsidRPr="00111398">
        <w:rPr>
          <w:rFonts w:eastAsia="Malgun Gothic"/>
          <w:b/>
          <w:bCs/>
          <w:lang w:val="en-US" w:eastAsia="zh-CN"/>
        </w:rPr>
        <w:t>The Committee also invites the State party to submit an updated core document</w:t>
      </w:r>
      <w:r w:rsidR="00F1219C">
        <w:rPr>
          <w:rFonts w:eastAsia="Malgun Gothic"/>
          <w:b/>
          <w:bCs/>
          <w:lang w:val="en-US" w:eastAsia="zh-CN"/>
        </w:rPr>
        <w:t>, not exceeding 42,400 words, in accordance with the requirements for common core document</w:t>
      </w:r>
      <w:r w:rsidR="009F27BB">
        <w:rPr>
          <w:rFonts w:eastAsia="Malgun Gothic"/>
          <w:b/>
          <w:bCs/>
          <w:lang w:val="en-US" w:eastAsia="zh-CN"/>
        </w:rPr>
        <w:t>s contained</w:t>
      </w:r>
      <w:r w:rsidR="00F1219C">
        <w:rPr>
          <w:rFonts w:eastAsia="Malgun Gothic"/>
          <w:b/>
          <w:bCs/>
          <w:lang w:val="en-US" w:eastAsia="zh-CN"/>
        </w:rPr>
        <w:t xml:space="preserve"> in the harmonized guidelines on reporting under the international human rights treaties, including guidelines on a core document and treaty-specific documents, approved at the fifth inter-committee meeting of the human rights treaty bodies in June 2006 (HRI/GEN/2/Rev.6, chap. I)</w:t>
      </w:r>
      <w:r w:rsidR="009F27BB">
        <w:rPr>
          <w:rFonts w:eastAsia="Malgun Gothic"/>
          <w:b/>
          <w:bCs/>
          <w:lang w:val="en-US" w:eastAsia="zh-CN"/>
        </w:rPr>
        <w:t>,</w:t>
      </w:r>
      <w:r w:rsidR="00F1219C">
        <w:rPr>
          <w:rFonts w:eastAsia="Malgun Gothic"/>
          <w:b/>
          <w:bCs/>
          <w:lang w:val="en-US" w:eastAsia="zh-CN"/>
        </w:rPr>
        <w:t xml:space="preserve"> and </w:t>
      </w:r>
      <w:r w:rsidR="009F27BB">
        <w:rPr>
          <w:rFonts w:eastAsia="Malgun Gothic"/>
          <w:b/>
          <w:bCs/>
          <w:lang w:val="en-US" w:eastAsia="zh-CN"/>
        </w:rPr>
        <w:t xml:space="preserve">in accordance with paragraph 16 of </w:t>
      </w:r>
      <w:r w:rsidR="00F1219C">
        <w:rPr>
          <w:rFonts w:eastAsia="Malgun Gothic"/>
          <w:b/>
          <w:bCs/>
          <w:lang w:val="en-US" w:eastAsia="zh-CN"/>
        </w:rPr>
        <w:t>General Assembly resolution 68/268.</w:t>
      </w:r>
    </w:p>
    <w:p w:rsidR="00CD1B71" w:rsidRPr="00CD1B71" w:rsidRDefault="00CD1B71" w:rsidP="00CD1B71">
      <w:pPr>
        <w:spacing w:before="240"/>
        <w:ind w:left="1134" w:right="1134"/>
        <w:jc w:val="center"/>
        <w:rPr>
          <w:rFonts w:eastAsia="Malgun Gothic"/>
          <w:b/>
          <w:bCs/>
          <w:szCs w:val="24"/>
          <w:u w:val="single"/>
          <w:lang w:eastAsia="zh-CN"/>
        </w:rPr>
      </w:pPr>
      <w:r>
        <w:rPr>
          <w:rFonts w:eastAsia="Malgun Gothic"/>
          <w:bCs/>
          <w:u w:val="single"/>
          <w:lang w:eastAsia="zh-CN"/>
        </w:rPr>
        <w:tab/>
      </w:r>
      <w:r>
        <w:rPr>
          <w:rFonts w:eastAsia="Malgun Gothic"/>
          <w:bCs/>
          <w:u w:val="single"/>
          <w:lang w:eastAsia="zh-CN"/>
        </w:rPr>
        <w:tab/>
      </w:r>
      <w:r>
        <w:rPr>
          <w:rFonts w:eastAsia="Malgun Gothic"/>
          <w:bCs/>
          <w:u w:val="single"/>
          <w:lang w:eastAsia="zh-CN"/>
        </w:rPr>
        <w:tab/>
      </w:r>
    </w:p>
    <w:sectPr w:rsidR="00CD1B71" w:rsidRPr="00CD1B71" w:rsidSect="00306E2E">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02T09:10:00Z" w:initials="Start">
    <w:p w:rsidR="00306E2E" w:rsidRDefault="00306E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NO&gt;&gt;N1524820E&lt;&lt;ODS JOB NO&gt;&gt;</w:t>
      </w:r>
    </w:p>
    <w:p w:rsidR="00306E2E" w:rsidRDefault="00306E2E">
      <w:pPr>
        <w:pStyle w:val="CommentText"/>
      </w:pPr>
      <w:r>
        <w:t>&lt;&lt;ODS DOC SYMBOL1&gt;&gt;CRC/C/ARE/CO/2&lt;&lt;ODS DOC SYMBOL1&gt;&gt;</w:t>
      </w:r>
    </w:p>
    <w:p w:rsidR="00306E2E" w:rsidRDefault="00306E2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1F" w:rsidRDefault="0054651F"/>
  </w:endnote>
  <w:endnote w:type="continuationSeparator" w:id="0">
    <w:p w:rsidR="0054651F" w:rsidRDefault="0054651F"/>
  </w:endnote>
  <w:endnote w:type="continuationNotice" w:id="1">
    <w:p w:rsidR="0054651F" w:rsidRDefault="00546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Pr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1F" w:rsidRPr="00CC1514" w:rsidRDefault="0054651F" w:rsidP="00CC1514">
    <w:pPr>
      <w:pStyle w:val="Footer"/>
      <w:tabs>
        <w:tab w:val="right" w:pos="9638"/>
      </w:tabs>
      <w:rPr>
        <w:b/>
        <w:sz w:val="18"/>
      </w:rPr>
    </w:pPr>
    <w:r w:rsidRPr="00CC1514">
      <w:rPr>
        <w:b/>
        <w:sz w:val="18"/>
      </w:rPr>
      <w:fldChar w:fldCharType="begin"/>
    </w:r>
    <w:r w:rsidRPr="00CC1514">
      <w:rPr>
        <w:b/>
        <w:sz w:val="18"/>
      </w:rPr>
      <w:instrText xml:space="preserve"> PAGE  \* MERGEFORMAT </w:instrText>
    </w:r>
    <w:r w:rsidRPr="00CC1514">
      <w:rPr>
        <w:b/>
        <w:sz w:val="18"/>
      </w:rPr>
      <w:fldChar w:fldCharType="separate"/>
    </w:r>
    <w:r w:rsidR="00113CF4">
      <w:rPr>
        <w:b/>
        <w:noProof/>
        <w:sz w:val="18"/>
      </w:rPr>
      <w:t>14</w:t>
    </w:r>
    <w:r w:rsidRPr="00CC1514">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1F" w:rsidRPr="00CC1514" w:rsidRDefault="0054651F" w:rsidP="00CC1514">
    <w:pPr>
      <w:pStyle w:val="Footer"/>
      <w:tabs>
        <w:tab w:val="right" w:pos="9638"/>
      </w:tabs>
    </w:pPr>
    <w:r>
      <w:rPr>
        <w:b/>
        <w:sz w:val="18"/>
      </w:rPr>
      <w:tab/>
    </w:r>
    <w:r w:rsidRPr="00CC1514">
      <w:rPr>
        <w:b/>
        <w:sz w:val="18"/>
      </w:rPr>
      <w:fldChar w:fldCharType="begin"/>
    </w:r>
    <w:r w:rsidRPr="00CC1514">
      <w:rPr>
        <w:b/>
        <w:sz w:val="18"/>
      </w:rPr>
      <w:instrText xml:space="preserve"> PAGE  \* MERGEFORMAT </w:instrText>
    </w:r>
    <w:r w:rsidRPr="00CC1514">
      <w:rPr>
        <w:b/>
        <w:sz w:val="18"/>
      </w:rPr>
      <w:fldChar w:fldCharType="separate"/>
    </w:r>
    <w:r w:rsidR="00113CF4">
      <w:rPr>
        <w:b/>
        <w:noProof/>
        <w:sz w:val="18"/>
      </w:rPr>
      <w:t>15</w:t>
    </w:r>
    <w:r w:rsidRPr="00CC151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306E2E" w:rsidTr="00306E2E">
      <w:tc>
        <w:tcPr>
          <w:tcW w:w="3614" w:type="dxa"/>
          <w:shd w:val="clear" w:color="auto" w:fill="auto"/>
        </w:tcPr>
        <w:p w:rsidR="00306E2E" w:rsidRDefault="00306E2E" w:rsidP="00306E2E">
          <w:pPr>
            <w:pStyle w:val="Footer"/>
            <w:rPr>
              <w:sz w:val="20"/>
            </w:rPr>
          </w:pPr>
          <w:r>
            <w:rPr>
              <w:noProof/>
              <w:lang w:val="en-US" w:eastAsia="zh-CN"/>
            </w:rPr>
            <w:drawing>
              <wp:anchor distT="0" distB="0" distL="114300" distR="114300" simplePos="0" relativeHeight="251659264" behindDoc="0" locked="0" layoutInCell="1" allowOverlap="1">
                <wp:simplePos x="0" y="0"/>
                <wp:positionH relativeFrom="page">
                  <wp:posOffset>5339715</wp:posOffset>
                </wp:positionH>
                <wp:positionV relativeFrom="page">
                  <wp:posOffset>-365760</wp:posOffset>
                </wp:positionV>
                <wp:extent cx="694690" cy="694690"/>
                <wp:effectExtent l="0" t="0" r="0" b="0"/>
                <wp:wrapNone/>
                <wp:docPr id="1" name="Picture 1" descr="http://undocs.org/m2/QRCode2.ashx?DS=CRC/C/ARE/CO/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ARE/CO/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GE.15-18945(E)</w:t>
          </w:r>
        </w:p>
        <w:p w:rsidR="00306E2E" w:rsidRPr="00306E2E" w:rsidRDefault="00306E2E" w:rsidP="00306E2E">
          <w:pPr>
            <w:pStyle w:val="Footer"/>
            <w:rPr>
              <w:rFonts w:ascii="Barcode 3 of 9 by request" w:hAnsi="Barcode 3 of 9 by request"/>
              <w:sz w:val="24"/>
            </w:rPr>
          </w:pPr>
          <w:r>
            <w:rPr>
              <w:rFonts w:ascii="Barcode 3 of 9 by request" w:hAnsi="Barcode 3 of 9 by request"/>
              <w:sz w:val="24"/>
            </w:rPr>
            <w:t>*1518945*</w:t>
          </w:r>
        </w:p>
      </w:tc>
      <w:tc>
        <w:tcPr>
          <w:tcW w:w="4752" w:type="dxa"/>
          <w:shd w:val="clear" w:color="auto" w:fill="auto"/>
        </w:tcPr>
        <w:p w:rsidR="00306E2E" w:rsidRDefault="00306E2E" w:rsidP="00306E2E">
          <w:pPr>
            <w:pStyle w:val="Footer"/>
            <w:spacing w:line="240" w:lineRule="atLeast"/>
            <w:jc w:val="right"/>
            <w:rPr>
              <w:sz w:val="20"/>
            </w:rPr>
          </w:pPr>
          <w:r>
            <w:rPr>
              <w:noProof/>
              <w:sz w:val="20"/>
              <w:lang w:val="en-US" w:eastAsia="zh-CN"/>
            </w:rPr>
            <w:drawing>
              <wp:inline distT="0" distB="0" distL="0" distR="0">
                <wp:extent cx="929005" cy="234315"/>
                <wp:effectExtent l="0" t="0" r="4445"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005" cy="234315"/>
                        </a:xfrm>
                        <a:prstGeom prst="rect">
                          <a:avLst/>
                        </a:prstGeom>
                        <a:noFill/>
                        <a:ln>
                          <a:noFill/>
                        </a:ln>
                      </pic:spPr>
                    </pic:pic>
                  </a:graphicData>
                </a:graphic>
              </wp:inline>
            </w:drawing>
          </w:r>
        </w:p>
      </w:tc>
    </w:tr>
  </w:tbl>
  <w:p w:rsidR="00306E2E" w:rsidRPr="00306E2E" w:rsidRDefault="00306E2E" w:rsidP="00306E2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1F" w:rsidRPr="000B175B" w:rsidRDefault="0054651F" w:rsidP="000B175B">
      <w:pPr>
        <w:tabs>
          <w:tab w:val="right" w:pos="2155"/>
        </w:tabs>
        <w:spacing w:after="80"/>
        <w:ind w:left="680"/>
        <w:rPr>
          <w:u w:val="single"/>
        </w:rPr>
      </w:pPr>
      <w:r>
        <w:rPr>
          <w:u w:val="single"/>
        </w:rPr>
        <w:tab/>
      </w:r>
    </w:p>
  </w:footnote>
  <w:footnote w:type="continuationSeparator" w:id="0">
    <w:p w:rsidR="0054651F" w:rsidRPr="00FC68B7" w:rsidRDefault="0054651F" w:rsidP="00FC68B7">
      <w:pPr>
        <w:tabs>
          <w:tab w:val="left" w:pos="2155"/>
        </w:tabs>
        <w:spacing w:after="80"/>
        <w:ind w:left="680"/>
        <w:rPr>
          <w:u w:val="single"/>
        </w:rPr>
      </w:pPr>
      <w:r>
        <w:rPr>
          <w:u w:val="single"/>
        </w:rPr>
        <w:tab/>
      </w:r>
    </w:p>
  </w:footnote>
  <w:footnote w:type="continuationNotice" w:id="1">
    <w:p w:rsidR="0054651F" w:rsidRDefault="0054651F"/>
  </w:footnote>
  <w:footnote w:id="2">
    <w:p w:rsidR="0054651F" w:rsidRDefault="0054651F" w:rsidP="00F1219C">
      <w:pPr>
        <w:pStyle w:val="FootnoteText"/>
      </w:pPr>
      <w:r>
        <w:tab/>
      </w:r>
      <w:r w:rsidRPr="00CF1D61">
        <w:rPr>
          <w:rStyle w:val="FootnoteReference"/>
          <w:sz w:val="20"/>
          <w:vertAlign w:val="baseline"/>
        </w:rPr>
        <w:t>*</w:t>
      </w:r>
      <w:r>
        <w:rPr>
          <w:sz w:val="20"/>
        </w:rPr>
        <w:tab/>
      </w:r>
      <w:r>
        <w:t>Adopted by the Committee at its seventieth</w:t>
      </w:r>
      <w:r>
        <w:rPr>
          <w:color w:val="FF0000"/>
        </w:rPr>
        <w:t xml:space="preserve"> </w:t>
      </w:r>
      <w:r>
        <w:t>session (14 September-2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1F" w:rsidRPr="00CC1514" w:rsidRDefault="0054651F" w:rsidP="0049226E">
    <w:pPr>
      <w:pStyle w:val="Header"/>
    </w:pPr>
    <w:r>
      <w:t>CRC/C/ARE/CO/2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1F" w:rsidRPr="00CC1514" w:rsidRDefault="0054651F" w:rsidP="0049226E">
    <w:pPr>
      <w:pStyle w:val="Header"/>
      <w:jc w:val="right"/>
    </w:pPr>
    <w:r>
      <w:t>CRC/C/ARE/CO/2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1B3"/>
    <w:multiLevelType w:val="hybridMultilevel"/>
    <w:tmpl w:val="ED045CA8"/>
    <w:lvl w:ilvl="0" w:tplc="B65A0A6A">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963F4C"/>
    <w:multiLevelType w:val="hybridMultilevel"/>
    <w:tmpl w:val="6A189C6E"/>
    <w:lvl w:ilvl="0" w:tplc="CB284DC8">
      <w:start w:val="1"/>
      <w:numFmt w:val="lowerLetter"/>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3">
    <w:nsid w:val="11FD3F22"/>
    <w:multiLevelType w:val="hybridMultilevel"/>
    <w:tmpl w:val="DFB836BC"/>
    <w:lvl w:ilvl="0" w:tplc="299E12A6">
      <w:start w:val="1"/>
      <w:numFmt w:val="lowerLetter"/>
      <w:lvlText w:val="(%1)"/>
      <w:lvlJc w:val="left"/>
      <w:pPr>
        <w:ind w:left="1418" w:hanging="360"/>
      </w:pPr>
    </w:lvl>
    <w:lvl w:ilvl="1" w:tplc="08090019">
      <w:start w:val="1"/>
      <w:numFmt w:val="lowerLetter"/>
      <w:lvlText w:val="%2."/>
      <w:lvlJc w:val="left"/>
      <w:pPr>
        <w:ind w:left="2138" w:hanging="360"/>
      </w:pPr>
    </w:lvl>
    <w:lvl w:ilvl="2" w:tplc="0809001B">
      <w:start w:val="1"/>
      <w:numFmt w:val="lowerRoman"/>
      <w:lvlText w:val="%3."/>
      <w:lvlJc w:val="right"/>
      <w:pPr>
        <w:ind w:left="2858" w:hanging="180"/>
      </w:pPr>
    </w:lvl>
    <w:lvl w:ilvl="3" w:tplc="0809000F">
      <w:start w:val="1"/>
      <w:numFmt w:val="decimal"/>
      <w:lvlText w:val="%4."/>
      <w:lvlJc w:val="left"/>
      <w:pPr>
        <w:ind w:left="3578" w:hanging="360"/>
      </w:pPr>
    </w:lvl>
    <w:lvl w:ilvl="4" w:tplc="08090019">
      <w:start w:val="1"/>
      <w:numFmt w:val="lowerLetter"/>
      <w:lvlText w:val="%5."/>
      <w:lvlJc w:val="left"/>
      <w:pPr>
        <w:ind w:left="4298" w:hanging="360"/>
      </w:pPr>
    </w:lvl>
    <w:lvl w:ilvl="5" w:tplc="0809001B">
      <w:start w:val="1"/>
      <w:numFmt w:val="lowerRoman"/>
      <w:lvlText w:val="%6."/>
      <w:lvlJc w:val="right"/>
      <w:pPr>
        <w:ind w:left="5018" w:hanging="180"/>
      </w:pPr>
    </w:lvl>
    <w:lvl w:ilvl="6" w:tplc="0809000F">
      <w:start w:val="1"/>
      <w:numFmt w:val="decimal"/>
      <w:lvlText w:val="%7."/>
      <w:lvlJc w:val="left"/>
      <w:pPr>
        <w:ind w:left="5738" w:hanging="360"/>
      </w:pPr>
    </w:lvl>
    <w:lvl w:ilvl="7" w:tplc="08090019">
      <w:start w:val="1"/>
      <w:numFmt w:val="lowerLetter"/>
      <w:lvlText w:val="%8."/>
      <w:lvlJc w:val="left"/>
      <w:pPr>
        <w:ind w:left="6458" w:hanging="360"/>
      </w:pPr>
    </w:lvl>
    <w:lvl w:ilvl="8" w:tplc="0809001B">
      <w:start w:val="1"/>
      <w:numFmt w:val="lowerRoman"/>
      <w:lvlText w:val="%9."/>
      <w:lvlJc w:val="right"/>
      <w:pPr>
        <w:ind w:left="7178" w:hanging="180"/>
      </w:pPr>
    </w:lvl>
  </w:abstractNum>
  <w:abstractNum w:abstractNumId="4">
    <w:nsid w:val="199C28AD"/>
    <w:multiLevelType w:val="hybridMultilevel"/>
    <w:tmpl w:val="A406E9EE"/>
    <w:lvl w:ilvl="0" w:tplc="69321818">
      <w:start w:val="1"/>
      <w:numFmt w:val="lowerLetter"/>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5">
    <w:nsid w:val="26CB7A91"/>
    <w:multiLevelType w:val="hybridMultilevel"/>
    <w:tmpl w:val="AD58936A"/>
    <w:lvl w:ilvl="0" w:tplc="33640E86">
      <w:start w:val="1"/>
      <w:numFmt w:val="lowerLetter"/>
      <w:lvlText w:val="(%1)"/>
      <w:lvlJc w:val="left"/>
      <w:pPr>
        <w:ind w:left="1494" w:hanging="360"/>
      </w:pPr>
      <w:rPr>
        <w:rFonts w:eastAsia="Calibri"/>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6">
    <w:nsid w:val="2959001A"/>
    <w:multiLevelType w:val="hybridMultilevel"/>
    <w:tmpl w:val="63922EC0"/>
    <w:lvl w:ilvl="0" w:tplc="D7E048C0">
      <w:start w:val="1"/>
      <w:numFmt w:val="lowerLetter"/>
      <w:lvlText w:val="(%1)"/>
      <w:lvlJc w:val="left"/>
      <w:pPr>
        <w:ind w:left="1494" w:hanging="360"/>
      </w:pPr>
      <w:rPr>
        <w:rFonts w:eastAsia="Malgun Gothic"/>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7">
    <w:nsid w:val="3BB24CC5"/>
    <w:multiLevelType w:val="hybridMultilevel"/>
    <w:tmpl w:val="65DE7F9C"/>
    <w:lvl w:ilvl="0" w:tplc="04D6C2C8">
      <w:start w:val="1"/>
      <w:numFmt w:val="lowerLetter"/>
      <w:lvlText w:val="(%1)"/>
      <w:lvlJc w:val="left"/>
      <w:pPr>
        <w:ind w:left="2061" w:hanging="360"/>
      </w:pPr>
      <w:rPr>
        <w:rFonts w:ascii="Times New Roman" w:eastAsia="Times New Roman" w:hAnsi="Times New Roman" w:cs="Times New Roman"/>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8">
    <w:nsid w:val="44A4194A"/>
    <w:multiLevelType w:val="hybridMultilevel"/>
    <w:tmpl w:val="B54A8A8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454C2A61"/>
    <w:multiLevelType w:val="hybridMultilevel"/>
    <w:tmpl w:val="C46E54CC"/>
    <w:lvl w:ilvl="0" w:tplc="8D5C7CC6">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46CD7B01"/>
    <w:multiLevelType w:val="hybridMultilevel"/>
    <w:tmpl w:val="34949E50"/>
    <w:lvl w:ilvl="0" w:tplc="493E2DBE">
      <w:start w:val="1"/>
      <w:numFmt w:val="lowerLetter"/>
      <w:lvlText w:val="(%1)"/>
      <w:lvlJc w:val="left"/>
      <w:pPr>
        <w:ind w:left="1494" w:hanging="360"/>
      </w:pPr>
      <w:rPr>
        <w:strike w:val="0"/>
        <w:dstrike w:val="0"/>
        <w:sz w:val="20"/>
        <w:u w:val="none"/>
        <w:effect w:val="none"/>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1">
    <w:nsid w:val="4C2279E1"/>
    <w:multiLevelType w:val="hybridMultilevel"/>
    <w:tmpl w:val="D8E2FFE8"/>
    <w:lvl w:ilvl="0" w:tplc="35101D06">
      <w:start w:val="1"/>
      <w:numFmt w:val="lowerLetter"/>
      <w:lvlText w:val="(%1)"/>
      <w:lvlJc w:val="left"/>
      <w:pPr>
        <w:ind w:left="2061" w:hanging="360"/>
      </w:pPr>
      <w:rPr>
        <w:rFonts w:ascii="Times New Roman" w:eastAsia="Calibri" w:hAnsi="Times New Roman" w:cs="Times New Roman"/>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12">
    <w:nsid w:val="50A938F7"/>
    <w:multiLevelType w:val="hybridMultilevel"/>
    <w:tmpl w:val="6BDA2744"/>
    <w:lvl w:ilvl="0" w:tplc="11C62A1A">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nsid w:val="53F80C9D"/>
    <w:multiLevelType w:val="hybridMultilevel"/>
    <w:tmpl w:val="3572C54C"/>
    <w:lvl w:ilvl="0" w:tplc="5A025E02">
      <w:start w:val="1"/>
      <w:numFmt w:val="decimal"/>
      <w:lvlText w:val="%1."/>
      <w:lvlJc w:val="left"/>
      <w:pPr>
        <w:ind w:left="1211" w:hanging="360"/>
      </w:pPr>
      <w:rPr>
        <w:b w:val="0"/>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FF72B36"/>
    <w:multiLevelType w:val="hybridMultilevel"/>
    <w:tmpl w:val="3B7C686E"/>
    <w:lvl w:ilvl="0" w:tplc="AAA29342">
      <w:start w:val="1"/>
      <w:numFmt w:val="decimal"/>
      <w:lvlText w:val="%1."/>
      <w:lvlJc w:val="left"/>
      <w:pPr>
        <w:ind w:left="1689" w:hanging="555"/>
      </w:pPr>
      <w:rPr>
        <w:rFonts w:hint="default"/>
        <w:b w:val="0"/>
        <w:bCs w:val="0"/>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7DB54A9E"/>
    <w:multiLevelType w:val="hybridMultilevel"/>
    <w:tmpl w:val="C0B44BB4"/>
    <w:lvl w:ilvl="0" w:tplc="C0D64894">
      <w:start w:val="1"/>
      <w:numFmt w:val="lowerLetter"/>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1"/>
  </w:num>
  <w:num w:numId="2">
    <w:abstractNumId w:val="14"/>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403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14"/>
    <w:rsid w:val="00010840"/>
    <w:rsid w:val="00015E9C"/>
    <w:rsid w:val="00035C21"/>
    <w:rsid w:val="0004443A"/>
    <w:rsid w:val="00050F6B"/>
    <w:rsid w:val="00072C8C"/>
    <w:rsid w:val="00091419"/>
    <w:rsid w:val="000931C0"/>
    <w:rsid w:val="00096A88"/>
    <w:rsid w:val="000A561D"/>
    <w:rsid w:val="000B175B"/>
    <w:rsid w:val="000B3398"/>
    <w:rsid w:val="000B3A0F"/>
    <w:rsid w:val="000B45CA"/>
    <w:rsid w:val="000C11CF"/>
    <w:rsid w:val="000D2720"/>
    <w:rsid w:val="000D3398"/>
    <w:rsid w:val="000E0415"/>
    <w:rsid w:val="00103F5C"/>
    <w:rsid w:val="001102D6"/>
    <w:rsid w:val="00111398"/>
    <w:rsid w:val="001135A5"/>
    <w:rsid w:val="00113CF4"/>
    <w:rsid w:val="001176CA"/>
    <w:rsid w:val="00123D96"/>
    <w:rsid w:val="0012463B"/>
    <w:rsid w:val="001535F4"/>
    <w:rsid w:val="001649D6"/>
    <w:rsid w:val="00172EF0"/>
    <w:rsid w:val="00191157"/>
    <w:rsid w:val="001B4B04"/>
    <w:rsid w:val="001B5423"/>
    <w:rsid w:val="001B55F3"/>
    <w:rsid w:val="001C6663"/>
    <w:rsid w:val="001C7895"/>
    <w:rsid w:val="001D044C"/>
    <w:rsid w:val="001D26DF"/>
    <w:rsid w:val="001D2FDC"/>
    <w:rsid w:val="001D3E41"/>
    <w:rsid w:val="001E3807"/>
    <w:rsid w:val="001F3895"/>
    <w:rsid w:val="001F3B1E"/>
    <w:rsid w:val="00211E0B"/>
    <w:rsid w:val="00220EFD"/>
    <w:rsid w:val="002311CF"/>
    <w:rsid w:val="00237785"/>
    <w:rsid w:val="00241466"/>
    <w:rsid w:val="00256405"/>
    <w:rsid w:val="00261FC5"/>
    <w:rsid w:val="00276C2D"/>
    <w:rsid w:val="00285844"/>
    <w:rsid w:val="00291DC2"/>
    <w:rsid w:val="002966A9"/>
    <w:rsid w:val="002A5CA4"/>
    <w:rsid w:val="002C0AAA"/>
    <w:rsid w:val="002C2A9C"/>
    <w:rsid w:val="002C4D34"/>
    <w:rsid w:val="002D5747"/>
    <w:rsid w:val="00306BCA"/>
    <w:rsid w:val="00306E2E"/>
    <w:rsid w:val="003107FA"/>
    <w:rsid w:val="00321DED"/>
    <w:rsid w:val="003229D8"/>
    <w:rsid w:val="00334678"/>
    <w:rsid w:val="00336125"/>
    <w:rsid w:val="003407DC"/>
    <w:rsid w:val="00346C62"/>
    <w:rsid w:val="00355C90"/>
    <w:rsid w:val="0039277A"/>
    <w:rsid w:val="003967E1"/>
    <w:rsid w:val="003972E0"/>
    <w:rsid w:val="003A5DAB"/>
    <w:rsid w:val="003B412E"/>
    <w:rsid w:val="003C04E6"/>
    <w:rsid w:val="003C2CC4"/>
    <w:rsid w:val="003D4B23"/>
    <w:rsid w:val="003E45BC"/>
    <w:rsid w:val="003F3E5C"/>
    <w:rsid w:val="003F646B"/>
    <w:rsid w:val="003F6E0F"/>
    <w:rsid w:val="004078C6"/>
    <w:rsid w:val="00410691"/>
    <w:rsid w:val="004325CB"/>
    <w:rsid w:val="0043618A"/>
    <w:rsid w:val="004365B6"/>
    <w:rsid w:val="00446DE4"/>
    <w:rsid w:val="00451E12"/>
    <w:rsid w:val="00473FF8"/>
    <w:rsid w:val="0049226E"/>
    <w:rsid w:val="00497FBE"/>
    <w:rsid w:val="004A165A"/>
    <w:rsid w:val="004D0B04"/>
    <w:rsid w:val="004F4C66"/>
    <w:rsid w:val="00500434"/>
    <w:rsid w:val="005163BB"/>
    <w:rsid w:val="00533821"/>
    <w:rsid w:val="00540C2F"/>
    <w:rsid w:val="005420F2"/>
    <w:rsid w:val="0054651F"/>
    <w:rsid w:val="00547D6D"/>
    <w:rsid w:val="00554E5E"/>
    <w:rsid w:val="00555E93"/>
    <w:rsid w:val="005562D5"/>
    <w:rsid w:val="00556F48"/>
    <w:rsid w:val="00560D60"/>
    <w:rsid w:val="00563817"/>
    <w:rsid w:val="00585664"/>
    <w:rsid w:val="0059596F"/>
    <w:rsid w:val="005A274D"/>
    <w:rsid w:val="005B1241"/>
    <w:rsid w:val="005B3DB3"/>
    <w:rsid w:val="005C0081"/>
    <w:rsid w:val="005C50EF"/>
    <w:rsid w:val="005E7C57"/>
    <w:rsid w:val="00603FF8"/>
    <w:rsid w:val="00605CC2"/>
    <w:rsid w:val="00611FC4"/>
    <w:rsid w:val="006133EF"/>
    <w:rsid w:val="006176FB"/>
    <w:rsid w:val="00624594"/>
    <w:rsid w:val="006255A5"/>
    <w:rsid w:val="00640B26"/>
    <w:rsid w:val="006678B4"/>
    <w:rsid w:val="00682D97"/>
    <w:rsid w:val="00682F7A"/>
    <w:rsid w:val="00690DD4"/>
    <w:rsid w:val="006A7392"/>
    <w:rsid w:val="006C0D34"/>
    <w:rsid w:val="006C680F"/>
    <w:rsid w:val="006D191E"/>
    <w:rsid w:val="006E472A"/>
    <w:rsid w:val="006E564B"/>
    <w:rsid w:val="006E7B7B"/>
    <w:rsid w:val="006F6717"/>
    <w:rsid w:val="00711A82"/>
    <w:rsid w:val="00720308"/>
    <w:rsid w:val="00723CA7"/>
    <w:rsid w:val="00725B98"/>
    <w:rsid w:val="0072632A"/>
    <w:rsid w:val="00745229"/>
    <w:rsid w:val="00745D8C"/>
    <w:rsid w:val="00760E02"/>
    <w:rsid w:val="00772674"/>
    <w:rsid w:val="00776D65"/>
    <w:rsid w:val="00797500"/>
    <w:rsid w:val="007A57FA"/>
    <w:rsid w:val="007B49C4"/>
    <w:rsid w:val="007B6BA5"/>
    <w:rsid w:val="007B7CEB"/>
    <w:rsid w:val="007C3390"/>
    <w:rsid w:val="007C4F4B"/>
    <w:rsid w:val="007C5B4C"/>
    <w:rsid w:val="007D397F"/>
    <w:rsid w:val="007F3143"/>
    <w:rsid w:val="007F6611"/>
    <w:rsid w:val="00801434"/>
    <w:rsid w:val="008175E9"/>
    <w:rsid w:val="008242D7"/>
    <w:rsid w:val="00830216"/>
    <w:rsid w:val="0084572B"/>
    <w:rsid w:val="00851668"/>
    <w:rsid w:val="00871FD5"/>
    <w:rsid w:val="00876F74"/>
    <w:rsid w:val="008770A3"/>
    <w:rsid w:val="00882B76"/>
    <w:rsid w:val="00890E80"/>
    <w:rsid w:val="008970AD"/>
    <w:rsid w:val="008979B1"/>
    <w:rsid w:val="008A6B25"/>
    <w:rsid w:val="008A6C4F"/>
    <w:rsid w:val="008B3497"/>
    <w:rsid w:val="008B3D0F"/>
    <w:rsid w:val="008C3E9C"/>
    <w:rsid w:val="008C67C2"/>
    <w:rsid w:val="008D3617"/>
    <w:rsid w:val="008E058D"/>
    <w:rsid w:val="008E0E46"/>
    <w:rsid w:val="008F084C"/>
    <w:rsid w:val="00907CC9"/>
    <w:rsid w:val="009157FA"/>
    <w:rsid w:val="00915A68"/>
    <w:rsid w:val="009212BB"/>
    <w:rsid w:val="00922880"/>
    <w:rsid w:val="00936F5B"/>
    <w:rsid w:val="009416B7"/>
    <w:rsid w:val="00942BE3"/>
    <w:rsid w:val="00960A18"/>
    <w:rsid w:val="00963CBA"/>
    <w:rsid w:val="009659FE"/>
    <w:rsid w:val="00983972"/>
    <w:rsid w:val="00991261"/>
    <w:rsid w:val="009C2A36"/>
    <w:rsid w:val="009D6420"/>
    <w:rsid w:val="009D7652"/>
    <w:rsid w:val="009E3017"/>
    <w:rsid w:val="009E37FE"/>
    <w:rsid w:val="009F1F9A"/>
    <w:rsid w:val="009F27BB"/>
    <w:rsid w:val="009F3E16"/>
    <w:rsid w:val="00A1427D"/>
    <w:rsid w:val="00A22EF3"/>
    <w:rsid w:val="00A34764"/>
    <w:rsid w:val="00A36865"/>
    <w:rsid w:val="00A57B20"/>
    <w:rsid w:val="00A623C9"/>
    <w:rsid w:val="00A66D9C"/>
    <w:rsid w:val="00A72F22"/>
    <w:rsid w:val="00A748A6"/>
    <w:rsid w:val="00A879A4"/>
    <w:rsid w:val="00A95C57"/>
    <w:rsid w:val="00AE48C0"/>
    <w:rsid w:val="00B14BE0"/>
    <w:rsid w:val="00B22B34"/>
    <w:rsid w:val="00B25979"/>
    <w:rsid w:val="00B30179"/>
    <w:rsid w:val="00B3317B"/>
    <w:rsid w:val="00B36846"/>
    <w:rsid w:val="00B656D2"/>
    <w:rsid w:val="00B75D73"/>
    <w:rsid w:val="00B81E12"/>
    <w:rsid w:val="00B83B1E"/>
    <w:rsid w:val="00B93068"/>
    <w:rsid w:val="00B978B7"/>
    <w:rsid w:val="00BA1AFF"/>
    <w:rsid w:val="00BB22C8"/>
    <w:rsid w:val="00BC0B5E"/>
    <w:rsid w:val="00BC74E9"/>
    <w:rsid w:val="00BE618E"/>
    <w:rsid w:val="00C01E72"/>
    <w:rsid w:val="00C0689E"/>
    <w:rsid w:val="00C10E9D"/>
    <w:rsid w:val="00C33399"/>
    <w:rsid w:val="00C37C8D"/>
    <w:rsid w:val="00C463DD"/>
    <w:rsid w:val="00C745C3"/>
    <w:rsid w:val="00C914FC"/>
    <w:rsid w:val="00CC119B"/>
    <w:rsid w:val="00CC1514"/>
    <w:rsid w:val="00CD1B71"/>
    <w:rsid w:val="00CE4A8F"/>
    <w:rsid w:val="00CE60EC"/>
    <w:rsid w:val="00CF1D61"/>
    <w:rsid w:val="00CF2E66"/>
    <w:rsid w:val="00D2031B"/>
    <w:rsid w:val="00D25FE2"/>
    <w:rsid w:val="00D31678"/>
    <w:rsid w:val="00D43252"/>
    <w:rsid w:val="00D548E0"/>
    <w:rsid w:val="00D71D05"/>
    <w:rsid w:val="00D73933"/>
    <w:rsid w:val="00D84415"/>
    <w:rsid w:val="00D978C6"/>
    <w:rsid w:val="00DA67AD"/>
    <w:rsid w:val="00DB4442"/>
    <w:rsid w:val="00DD7025"/>
    <w:rsid w:val="00DE4AC6"/>
    <w:rsid w:val="00DE58A5"/>
    <w:rsid w:val="00DF6BE5"/>
    <w:rsid w:val="00E03CFF"/>
    <w:rsid w:val="00E130AB"/>
    <w:rsid w:val="00E21767"/>
    <w:rsid w:val="00E21A14"/>
    <w:rsid w:val="00E4504F"/>
    <w:rsid w:val="00E5644E"/>
    <w:rsid w:val="00E56C71"/>
    <w:rsid w:val="00E7260F"/>
    <w:rsid w:val="00E815AE"/>
    <w:rsid w:val="00E868C0"/>
    <w:rsid w:val="00E96630"/>
    <w:rsid w:val="00EA2AC9"/>
    <w:rsid w:val="00EC1CE2"/>
    <w:rsid w:val="00EC27EA"/>
    <w:rsid w:val="00EC5A17"/>
    <w:rsid w:val="00ED479E"/>
    <w:rsid w:val="00ED689D"/>
    <w:rsid w:val="00ED7A2A"/>
    <w:rsid w:val="00EE1711"/>
    <w:rsid w:val="00EF1D7F"/>
    <w:rsid w:val="00EF5E52"/>
    <w:rsid w:val="00F00B37"/>
    <w:rsid w:val="00F02470"/>
    <w:rsid w:val="00F1219C"/>
    <w:rsid w:val="00F231BC"/>
    <w:rsid w:val="00F33B81"/>
    <w:rsid w:val="00F341A4"/>
    <w:rsid w:val="00F40E75"/>
    <w:rsid w:val="00F435C7"/>
    <w:rsid w:val="00F50D83"/>
    <w:rsid w:val="00F553AA"/>
    <w:rsid w:val="00F647AD"/>
    <w:rsid w:val="00F73C58"/>
    <w:rsid w:val="00FA38DE"/>
    <w:rsid w:val="00FA790B"/>
    <w:rsid w:val="00FB0F78"/>
    <w:rsid w:val="00FC68B7"/>
    <w:rsid w:val="00FD3A25"/>
    <w:rsid w:val="00FD5B18"/>
    <w:rsid w:val="00FE01FA"/>
    <w:rsid w:val="00FF69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HTML Typewriter"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1D61"/>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1D6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CC1514"/>
    <w:rPr>
      <w:rFonts w:eastAsia="SimSun"/>
      <w:sz w:val="18"/>
      <w:lang w:val="en-US" w:eastAsia="zh-CN"/>
    </w:rPr>
  </w:style>
  <w:style w:type="numbering" w:customStyle="1" w:styleId="NoList1">
    <w:name w:val="No List1"/>
    <w:next w:val="NoList"/>
    <w:uiPriority w:val="99"/>
    <w:semiHidden/>
    <w:unhideWhenUsed/>
    <w:rsid w:val="00F33B81"/>
  </w:style>
  <w:style w:type="character" w:customStyle="1" w:styleId="Heading1Char">
    <w:name w:val="Heading 1 Char"/>
    <w:aliases w:val="Table_G Char"/>
    <w:link w:val="Heading1"/>
    <w:locked/>
    <w:rsid w:val="00F33B81"/>
    <w:rPr>
      <w:lang w:eastAsia="en-US"/>
    </w:rPr>
  </w:style>
  <w:style w:type="character" w:customStyle="1" w:styleId="Heading2Char">
    <w:name w:val="Heading 2 Char"/>
    <w:link w:val="Heading2"/>
    <w:locked/>
    <w:rsid w:val="00F33B81"/>
    <w:rPr>
      <w:lang w:eastAsia="en-US"/>
    </w:rPr>
  </w:style>
  <w:style w:type="character" w:customStyle="1" w:styleId="Heading3Char">
    <w:name w:val="Heading 3 Char"/>
    <w:link w:val="Heading3"/>
    <w:locked/>
    <w:rsid w:val="00F33B81"/>
    <w:rPr>
      <w:lang w:eastAsia="en-US"/>
    </w:rPr>
  </w:style>
  <w:style w:type="character" w:styleId="Strong">
    <w:name w:val="Strong"/>
    <w:uiPriority w:val="22"/>
    <w:qFormat/>
    <w:rsid w:val="00F33B81"/>
    <w:rPr>
      <w:b/>
    </w:rPr>
  </w:style>
  <w:style w:type="paragraph" w:customStyle="1" w:styleId="Default">
    <w:name w:val="Default"/>
    <w:rsid w:val="00F33B81"/>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F33B81"/>
    <w:rPr>
      <w:lang w:eastAsia="en-US"/>
    </w:rPr>
  </w:style>
  <w:style w:type="character" w:customStyle="1" w:styleId="Bulletpoint1Char">
    <w:name w:val="Bulletpoint_1 Char"/>
    <w:link w:val="Bulletpoint1"/>
    <w:locked/>
    <w:rsid w:val="00F33B81"/>
    <w:rPr>
      <w:lang w:val="en-US" w:eastAsia="x-none"/>
    </w:rPr>
  </w:style>
  <w:style w:type="paragraph" w:customStyle="1" w:styleId="Bulletpoint1">
    <w:name w:val="Bulletpoint_1"/>
    <w:basedOn w:val="Normal"/>
    <w:link w:val="Bulletpoint1Char"/>
    <w:rsid w:val="00F33B81"/>
    <w:pPr>
      <w:widowControl w:val="0"/>
      <w:tabs>
        <w:tab w:val="num" w:pos="720"/>
      </w:tabs>
      <w:suppressAutoHyphens w:val="0"/>
      <w:snapToGrid w:val="0"/>
      <w:spacing w:after="120" w:line="240" w:lineRule="auto"/>
      <w:ind w:left="720" w:hanging="360"/>
      <w:jc w:val="both"/>
    </w:pPr>
    <w:rPr>
      <w:lang w:val="en-US" w:eastAsia="x-none"/>
    </w:rPr>
  </w:style>
  <w:style w:type="paragraph" w:customStyle="1" w:styleId="LightGrid-Accent31">
    <w:name w:val="Light Grid - Accent 31"/>
    <w:basedOn w:val="Normal"/>
    <w:uiPriority w:val="34"/>
    <w:qFormat/>
    <w:rsid w:val="00F33B81"/>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F33B81"/>
    <w:rPr>
      <w:b/>
      <w:sz w:val="28"/>
      <w:lang w:eastAsia="en-US"/>
    </w:rPr>
  </w:style>
  <w:style w:type="character" w:styleId="Emphasis">
    <w:name w:val="Emphasis"/>
    <w:uiPriority w:val="20"/>
    <w:qFormat/>
    <w:rsid w:val="00F33B81"/>
    <w:rPr>
      <w:rFonts w:cs="Times New Roman"/>
      <w:b/>
      <w:bCs/>
    </w:rPr>
  </w:style>
  <w:style w:type="character" w:customStyle="1" w:styleId="st">
    <w:name w:val="st"/>
    <w:rsid w:val="00F33B81"/>
    <w:rPr>
      <w:rFonts w:cs="Times New Roman"/>
    </w:rPr>
  </w:style>
  <w:style w:type="character" w:customStyle="1" w:styleId="H1GChar">
    <w:name w:val="_ H_1_G Char"/>
    <w:link w:val="H1G"/>
    <w:rsid w:val="00F33B81"/>
    <w:rPr>
      <w:b/>
      <w:sz w:val="24"/>
      <w:lang w:eastAsia="en-US"/>
    </w:rPr>
  </w:style>
  <w:style w:type="paragraph" w:styleId="BalloonText">
    <w:name w:val="Balloon Text"/>
    <w:basedOn w:val="Normal"/>
    <w:link w:val="BalloonTextChar"/>
    <w:rsid w:val="00F33B81"/>
    <w:rPr>
      <w:rFonts w:ascii="Tahoma" w:hAnsi="Tahoma"/>
      <w:sz w:val="16"/>
      <w:szCs w:val="16"/>
      <w:lang w:val="x-none"/>
    </w:rPr>
  </w:style>
  <w:style w:type="character" w:customStyle="1" w:styleId="BalloonTextChar">
    <w:name w:val="Balloon Text Char"/>
    <w:link w:val="BalloonText"/>
    <w:rsid w:val="00F33B81"/>
    <w:rPr>
      <w:rFonts w:ascii="Tahoma" w:hAnsi="Tahoma"/>
      <w:sz w:val="16"/>
      <w:szCs w:val="16"/>
      <w:lang w:val="x-none" w:eastAsia="en-US"/>
    </w:rPr>
  </w:style>
  <w:style w:type="character" w:styleId="CommentReference">
    <w:name w:val="annotation reference"/>
    <w:rsid w:val="00F33B81"/>
    <w:rPr>
      <w:sz w:val="16"/>
      <w:szCs w:val="16"/>
    </w:rPr>
  </w:style>
  <w:style w:type="paragraph" w:styleId="CommentText">
    <w:name w:val="annotation text"/>
    <w:basedOn w:val="Normal"/>
    <w:link w:val="CommentTextChar"/>
    <w:rsid w:val="00F33B81"/>
    <w:rPr>
      <w:sz w:val="24"/>
      <w:szCs w:val="24"/>
      <w:lang w:val="x-none"/>
    </w:rPr>
  </w:style>
  <w:style w:type="character" w:customStyle="1" w:styleId="CommentTextChar">
    <w:name w:val="Comment Text Char"/>
    <w:link w:val="CommentText"/>
    <w:rsid w:val="00F33B81"/>
    <w:rPr>
      <w:sz w:val="24"/>
      <w:szCs w:val="24"/>
      <w:lang w:val="x-none" w:eastAsia="en-US"/>
    </w:rPr>
  </w:style>
  <w:style w:type="paragraph" w:styleId="CommentSubject">
    <w:name w:val="annotation subject"/>
    <w:basedOn w:val="CommentText"/>
    <w:next w:val="CommentText"/>
    <w:link w:val="CommentSubjectChar"/>
    <w:rsid w:val="00F33B81"/>
    <w:rPr>
      <w:b/>
      <w:bCs/>
    </w:rPr>
  </w:style>
  <w:style w:type="character" w:customStyle="1" w:styleId="CommentSubjectChar">
    <w:name w:val="Comment Subject Char"/>
    <w:link w:val="CommentSubject"/>
    <w:rsid w:val="00F33B81"/>
    <w:rPr>
      <w:b/>
      <w:bCs/>
      <w:sz w:val="24"/>
      <w:szCs w:val="24"/>
      <w:lang w:val="x-none" w:eastAsia="en-US"/>
    </w:rPr>
  </w:style>
  <w:style w:type="character" w:customStyle="1" w:styleId="HeaderChar">
    <w:name w:val="Header Char"/>
    <w:aliases w:val="6_G Char"/>
    <w:link w:val="Header"/>
    <w:rsid w:val="00F33B81"/>
    <w:rPr>
      <w:b/>
      <w:sz w:val="18"/>
      <w:lang w:eastAsia="en-US"/>
    </w:rPr>
  </w:style>
  <w:style w:type="character" w:customStyle="1" w:styleId="FooterChar">
    <w:name w:val="Footer Char"/>
    <w:aliases w:val="3_G Char"/>
    <w:link w:val="Footer"/>
    <w:uiPriority w:val="99"/>
    <w:rsid w:val="00F33B81"/>
    <w:rPr>
      <w:sz w:val="16"/>
      <w:lang w:eastAsia="en-US"/>
    </w:rPr>
  </w:style>
  <w:style w:type="paragraph" w:styleId="DocumentMap">
    <w:name w:val="Document Map"/>
    <w:basedOn w:val="Normal"/>
    <w:link w:val="DocumentMapChar"/>
    <w:rsid w:val="00F33B81"/>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F33B81"/>
    <w:rPr>
      <w:rFonts w:ascii="Tahoma" w:eastAsia="Calibri" w:hAnsi="Tahoma"/>
      <w:sz w:val="16"/>
      <w:szCs w:val="16"/>
      <w:lang w:val="en-US" w:eastAsia="zh-CN"/>
    </w:rPr>
  </w:style>
  <w:style w:type="character" w:customStyle="1" w:styleId="highlight1">
    <w:name w:val="highlight1"/>
    <w:rsid w:val="00F33B81"/>
    <w:rPr>
      <w:shd w:val="clear" w:color="auto" w:fill="FFCC33"/>
    </w:rPr>
  </w:style>
  <w:style w:type="paragraph" w:styleId="NormalWeb">
    <w:name w:val="Normal (Web)"/>
    <w:basedOn w:val="Normal"/>
    <w:uiPriority w:val="99"/>
    <w:unhideWhenUsed/>
    <w:rsid w:val="00F33B81"/>
    <w:pPr>
      <w:suppressAutoHyphens w:val="0"/>
      <w:spacing w:before="100" w:beforeAutospacing="1" w:after="100" w:afterAutospacing="1" w:line="240" w:lineRule="auto"/>
    </w:pPr>
    <w:rPr>
      <w:sz w:val="24"/>
      <w:szCs w:val="24"/>
      <w:lang w:eastAsia="en-GB"/>
    </w:rPr>
  </w:style>
  <w:style w:type="character" w:customStyle="1" w:styleId="hps">
    <w:name w:val="hps"/>
    <w:rsid w:val="00F33B81"/>
  </w:style>
  <w:style w:type="character" w:customStyle="1" w:styleId="apple-converted-space">
    <w:name w:val="apple-converted-space"/>
    <w:rsid w:val="00F33B81"/>
  </w:style>
  <w:style w:type="character" w:customStyle="1" w:styleId="highlight">
    <w:name w:val="highlight"/>
    <w:rsid w:val="00F33B81"/>
  </w:style>
  <w:style w:type="numbering" w:customStyle="1" w:styleId="NoList11">
    <w:name w:val="No List11"/>
    <w:next w:val="NoList"/>
    <w:uiPriority w:val="99"/>
    <w:semiHidden/>
    <w:unhideWhenUsed/>
    <w:rsid w:val="00F33B81"/>
  </w:style>
  <w:style w:type="paragraph" w:customStyle="1" w:styleId="ListParagraph1">
    <w:name w:val="List Paragraph1"/>
    <w:basedOn w:val="Default"/>
    <w:uiPriority w:val="34"/>
    <w:qFormat/>
    <w:rsid w:val="00F33B81"/>
    <w:pPr>
      <w:jc w:val="both"/>
    </w:pPr>
    <w:rPr>
      <w:szCs w:val="18"/>
      <w:lang w:val="en-GB"/>
    </w:rPr>
  </w:style>
  <w:style w:type="character" w:customStyle="1" w:styleId="st1">
    <w:name w:val="st1"/>
    <w:rsid w:val="00F33B81"/>
  </w:style>
  <w:style w:type="character" w:customStyle="1" w:styleId="apple-style-span">
    <w:name w:val="apple-style-span"/>
    <w:rsid w:val="00F33B81"/>
  </w:style>
  <w:style w:type="character" w:styleId="HTMLTypewriter">
    <w:name w:val="HTML Typewriter"/>
    <w:uiPriority w:val="99"/>
    <w:unhideWhenUsed/>
    <w:rsid w:val="00F33B81"/>
    <w:rPr>
      <w:rFonts w:ascii="Courier New" w:eastAsia="Times New Roman" w:hAnsi="Courier New" w:cs="Courier New"/>
      <w:sz w:val="20"/>
      <w:szCs w:val="20"/>
    </w:rPr>
  </w:style>
  <w:style w:type="paragraph" w:customStyle="1" w:styleId="MediumList2-Accent21">
    <w:name w:val="Medium List 2 - Accent 21"/>
    <w:hidden/>
    <w:uiPriority w:val="99"/>
    <w:semiHidden/>
    <w:rsid w:val="00F33B81"/>
    <w:rPr>
      <w:sz w:val="24"/>
      <w:szCs w:val="24"/>
      <w:lang w:eastAsia="en-US"/>
    </w:rPr>
  </w:style>
  <w:style w:type="paragraph" w:styleId="HTMLPreformatted">
    <w:name w:val="HTML Preformatted"/>
    <w:basedOn w:val="Normal"/>
    <w:link w:val="HTMLPreformattedChar"/>
    <w:uiPriority w:val="99"/>
    <w:unhideWhenUsed/>
    <w:rsid w:val="00F3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4"/>
      <w:szCs w:val="24"/>
      <w:lang w:val="de-DE" w:eastAsia="de-DE"/>
    </w:rPr>
  </w:style>
  <w:style w:type="character" w:customStyle="1" w:styleId="HTMLPreformattedChar">
    <w:name w:val="HTML Preformatted Char"/>
    <w:link w:val="HTMLPreformatted"/>
    <w:uiPriority w:val="99"/>
    <w:rsid w:val="00F33B81"/>
    <w:rPr>
      <w:rFonts w:ascii="Courier" w:hAnsi="Courier" w:cs="Courier"/>
      <w:sz w:val="24"/>
      <w:szCs w:val="24"/>
      <w:lang w:val="de-DE" w:eastAsia="de-DE"/>
    </w:rPr>
  </w:style>
  <w:style w:type="paragraph" w:customStyle="1" w:styleId="ColorfulList-Accent11">
    <w:name w:val="Colorful List - Accent 11"/>
    <w:basedOn w:val="Normal"/>
    <w:uiPriority w:val="34"/>
    <w:qFormat/>
    <w:rsid w:val="00F33B81"/>
    <w:pPr>
      <w:suppressAutoHyphens w:val="0"/>
      <w:spacing w:after="160" w:line="256" w:lineRule="auto"/>
      <w:ind w:left="720"/>
      <w:contextualSpacing/>
    </w:pPr>
    <w:rPr>
      <w:rFonts w:ascii="Calibri" w:eastAsia="Calibri" w:hAnsi="Calibri"/>
      <w:sz w:val="22"/>
      <w:szCs w:val="22"/>
      <w:lang w:val="pt-BR"/>
    </w:rPr>
  </w:style>
  <w:style w:type="paragraph" w:customStyle="1" w:styleId="country-p">
    <w:name w:val="country-p"/>
    <w:basedOn w:val="Normal"/>
    <w:rsid w:val="00F33B81"/>
    <w:pPr>
      <w:suppressAutoHyphens w:val="0"/>
      <w:spacing w:before="100" w:beforeAutospacing="1" w:after="100" w:afterAutospacing="1" w:line="240" w:lineRule="auto"/>
    </w:pPr>
    <w:rPr>
      <w:rFonts w:ascii="Times" w:hAnsi="Times"/>
      <w:sz w:val="24"/>
      <w:szCs w:val="24"/>
      <w:lang w:val="de-DE" w:eastAsia="de-DE"/>
    </w:rPr>
  </w:style>
  <w:style w:type="paragraph" w:customStyle="1" w:styleId="Footnote">
    <w:name w:val="Footnote"/>
    <w:basedOn w:val="ListParagraph1"/>
    <w:qFormat/>
    <w:rsid w:val="00F33B81"/>
    <w:rPr>
      <w:sz w:val="18"/>
    </w:rPr>
  </w:style>
  <w:style w:type="paragraph" w:customStyle="1" w:styleId="footnote0">
    <w:name w:val="footnote"/>
    <w:basedOn w:val="FootnoteText"/>
    <w:link w:val="footnoteChar"/>
    <w:qFormat/>
    <w:rsid w:val="00F33B81"/>
    <w:pPr>
      <w:tabs>
        <w:tab w:val="clear" w:pos="1021"/>
      </w:tabs>
      <w:suppressAutoHyphens w:val="0"/>
      <w:spacing w:line="240" w:lineRule="auto"/>
      <w:ind w:left="0" w:right="0" w:firstLine="0"/>
      <w:jc w:val="both"/>
    </w:pPr>
    <w:rPr>
      <w:rFonts w:eastAsia="Calibri"/>
      <w:lang w:eastAsia="en-GB"/>
    </w:rPr>
  </w:style>
  <w:style w:type="character" w:customStyle="1" w:styleId="footnoteChar">
    <w:name w:val="footnote Char"/>
    <w:link w:val="footnote0"/>
    <w:rsid w:val="00F33B81"/>
    <w:rPr>
      <w:rFonts w:eastAsia="Calibri"/>
      <w:sz w:val="18"/>
    </w:rPr>
  </w:style>
  <w:style w:type="paragraph" w:customStyle="1" w:styleId="Pa7">
    <w:name w:val="Pa7"/>
    <w:basedOn w:val="Default"/>
    <w:next w:val="Default"/>
    <w:uiPriority w:val="99"/>
    <w:rsid w:val="00F33B81"/>
    <w:pPr>
      <w:spacing w:line="181" w:lineRule="atLeast"/>
    </w:pPr>
    <w:rPr>
      <w:rFonts w:ascii="Myriad Pro" w:eastAsia="Times New Roman" w:hAnsi="Myriad Pro"/>
      <w:color w:val="auto"/>
      <w:lang w:val="en-GB" w:eastAsia="en-GB"/>
    </w:rPr>
  </w:style>
  <w:style w:type="paragraph" w:styleId="Revision">
    <w:name w:val="Revision"/>
    <w:hidden/>
    <w:uiPriority w:val="71"/>
    <w:rsid w:val="00F33B81"/>
    <w:rPr>
      <w:sz w:val="24"/>
      <w:szCs w:val="24"/>
      <w:lang w:eastAsia="en-US"/>
    </w:rPr>
  </w:style>
  <w:style w:type="paragraph" w:styleId="ListParagraph">
    <w:name w:val="List Paragraph"/>
    <w:basedOn w:val="Normal"/>
    <w:uiPriority w:val="72"/>
    <w:qFormat/>
    <w:rsid w:val="00F33B81"/>
    <w:pPr>
      <w:ind w:left="720"/>
    </w:pPr>
    <w:rPr>
      <w:sz w:val="24"/>
      <w:szCs w:val="24"/>
    </w:rPr>
  </w:style>
  <w:style w:type="paragraph" w:styleId="NoSpacing">
    <w:name w:val="No Spacing"/>
    <w:link w:val="NoSpacingChar"/>
    <w:uiPriority w:val="1"/>
    <w:qFormat/>
    <w:rsid w:val="00F33B81"/>
    <w:rPr>
      <w:rFonts w:ascii="Calibri" w:eastAsia="MS Mincho" w:hAnsi="Calibri" w:cs="Arial"/>
      <w:sz w:val="22"/>
      <w:szCs w:val="22"/>
      <w:lang w:val="en-US" w:eastAsia="ja-JP"/>
    </w:rPr>
  </w:style>
  <w:style w:type="character" w:customStyle="1" w:styleId="NoSpacingChar">
    <w:name w:val="No Spacing Char"/>
    <w:link w:val="NoSpacing"/>
    <w:uiPriority w:val="1"/>
    <w:rsid w:val="00F33B81"/>
    <w:rPr>
      <w:rFonts w:ascii="Calibri" w:eastAsia="MS Mincho" w:hAnsi="Calibri" w:cs="Arial"/>
      <w:sz w:val="22"/>
      <w:szCs w:val="22"/>
      <w:lang w:val="en-US" w:eastAsia="ja-JP"/>
    </w:rPr>
  </w:style>
  <w:style w:type="paragraph" w:customStyle="1" w:styleId="SingleTxt">
    <w:name w:val="__Single Txt"/>
    <w:basedOn w:val="Normal"/>
    <w:uiPriority w:val="99"/>
    <w:rsid w:val="00F121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en">
    <w:name w:val="en"/>
    <w:basedOn w:val="DefaultParagraphFont"/>
    <w:rsid w:val="00E81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HTML Typewriter"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1D61"/>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1D6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CC1514"/>
    <w:rPr>
      <w:rFonts w:eastAsia="SimSun"/>
      <w:sz w:val="18"/>
      <w:lang w:val="en-US" w:eastAsia="zh-CN"/>
    </w:rPr>
  </w:style>
  <w:style w:type="numbering" w:customStyle="1" w:styleId="NoList1">
    <w:name w:val="No List1"/>
    <w:next w:val="NoList"/>
    <w:uiPriority w:val="99"/>
    <w:semiHidden/>
    <w:unhideWhenUsed/>
    <w:rsid w:val="00F33B81"/>
  </w:style>
  <w:style w:type="character" w:customStyle="1" w:styleId="Heading1Char">
    <w:name w:val="Heading 1 Char"/>
    <w:aliases w:val="Table_G Char"/>
    <w:link w:val="Heading1"/>
    <w:locked/>
    <w:rsid w:val="00F33B81"/>
    <w:rPr>
      <w:lang w:eastAsia="en-US"/>
    </w:rPr>
  </w:style>
  <w:style w:type="character" w:customStyle="1" w:styleId="Heading2Char">
    <w:name w:val="Heading 2 Char"/>
    <w:link w:val="Heading2"/>
    <w:locked/>
    <w:rsid w:val="00F33B81"/>
    <w:rPr>
      <w:lang w:eastAsia="en-US"/>
    </w:rPr>
  </w:style>
  <w:style w:type="character" w:customStyle="1" w:styleId="Heading3Char">
    <w:name w:val="Heading 3 Char"/>
    <w:link w:val="Heading3"/>
    <w:locked/>
    <w:rsid w:val="00F33B81"/>
    <w:rPr>
      <w:lang w:eastAsia="en-US"/>
    </w:rPr>
  </w:style>
  <w:style w:type="character" w:styleId="Strong">
    <w:name w:val="Strong"/>
    <w:uiPriority w:val="22"/>
    <w:qFormat/>
    <w:rsid w:val="00F33B81"/>
    <w:rPr>
      <w:b/>
    </w:rPr>
  </w:style>
  <w:style w:type="paragraph" w:customStyle="1" w:styleId="Default">
    <w:name w:val="Default"/>
    <w:rsid w:val="00F33B81"/>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F33B81"/>
    <w:rPr>
      <w:lang w:eastAsia="en-US"/>
    </w:rPr>
  </w:style>
  <w:style w:type="character" w:customStyle="1" w:styleId="Bulletpoint1Char">
    <w:name w:val="Bulletpoint_1 Char"/>
    <w:link w:val="Bulletpoint1"/>
    <w:locked/>
    <w:rsid w:val="00F33B81"/>
    <w:rPr>
      <w:lang w:val="en-US" w:eastAsia="x-none"/>
    </w:rPr>
  </w:style>
  <w:style w:type="paragraph" w:customStyle="1" w:styleId="Bulletpoint1">
    <w:name w:val="Bulletpoint_1"/>
    <w:basedOn w:val="Normal"/>
    <w:link w:val="Bulletpoint1Char"/>
    <w:rsid w:val="00F33B81"/>
    <w:pPr>
      <w:widowControl w:val="0"/>
      <w:tabs>
        <w:tab w:val="num" w:pos="720"/>
      </w:tabs>
      <w:suppressAutoHyphens w:val="0"/>
      <w:snapToGrid w:val="0"/>
      <w:spacing w:after="120" w:line="240" w:lineRule="auto"/>
      <w:ind w:left="720" w:hanging="360"/>
      <w:jc w:val="both"/>
    </w:pPr>
    <w:rPr>
      <w:lang w:val="en-US" w:eastAsia="x-none"/>
    </w:rPr>
  </w:style>
  <w:style w:type="paragraph" w:customStyle="1" w:styleId="LightGrid-Accent31">
    <w:name w:val="Light Grid - Accent 31"/>
    <w:basedOn w:val="Normal"/>
    <w:uiPriority w:val="34"/>
    <w:qFormat/>
    <w:rsid w:val="00F33B81"/>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F33B81"/>
    <w:rPr>
      <w:b/>
      <w:sz w:val="28"/>
      <w:lang w:eastAsia="en-US"/>
    </w:rPr>
  </w:style>
  <w:style w:type="character" w:styleId="Emphasis">
    <w:name w:val="Emphasis"/>
    <w:uiPriority w:val="20"/>
    <w:qFormat/>
    <w:rsid w:val="00F33B81"/>
    <w:rPr>
      <w:rFonts w:cs="Times New Roman"/>
      <w:b/>
      <w:bCs/>
    </w:rPr>
  </w:style>
  <w:style w:type="character" w:customStyle="1" w:styleId="st">
    <w:name w:val="st"/>
    <w:rsid w:val="00F33B81"/>
    <w:rPr>
      <w:rFonts w:cs="Times New Roman"/>
    </w:rPr>
  </w:style>
  <w:style w:type="character" w:customStyle="1" w:styleId="H1GChar">
    <w:name w:val="_ H_1_G Char"/>
    <w:link w:val="H1G"/>
    <w:rsid w:val="00F33B81"/>
    <w:rPr>
      <w:b/>
      <w:sz w:val="24"/>
      <w:lang w:eastAsia="en-US"/>
    </w:rPr>
  </w:style>
  <w:style w:type="paragraph" w:styleId="BalloonText">
    <w:name w:val="Balloon Text"/>
    <w:basedOn w:val="Normal"/>
    <w:link w:val="BalloonTextChar"/>
    <w:rsid w:val="00F33B81"/>
    <w:rPr>
      <w:rFonts w:ascii="Tahoma" w:hAnsi="Tahoma"/>
      <w:sz w:val="16"/>
      <w:szCs w:val="16"/>
      <w:lang w:val="x-none"/>
    </w:rPr>
  </w:style>
  <w:style w:type="character" w:customStyle="1" w:styleId="BalloonTextChar">
    <w:name w:val="Balloon Text Char"/>
    <w:link w:val="BalloonText"/>
    <w:rsid w:val="00F33B81"/>
    <w:rPr>
      <w:rFonts w:ascii="Tahoma" w:hAnsi="Tahoma"/>
      <w:sz w:val="16"/>
      <w:szCs w:val="16"/>
      <w:lang w:val="x-none" w:eastAsia="en-US"/>
    </w:rPr>
  </w:style>
  <w:style w:type="character" w:styleId="CommentReference">
    <w:name w:val="annotation reference"/>
    <w:rsid w:val="00F33B81"/>
    <w:rPr>
      <w:sz w:val="16"/>
      <w:szCs w:val="16"/>
    </w:rPr>
  </w:style>
  <w:style w:type="paragraph" w:styleId="CommentText">
    <w:name w:val="annotation text"/>
    <w:basedOn w:val="Normal"/>
    <w:link w:val="CommentTextChar"/>
    <w:rsid w:val="00F33B81"/>
    <w:rPr>
      <w:sz w:val="24"/>
      <w:szCs w:val="24"/>
      <w:lang w:val="x-none"/>
    </w:rPr>
  </w:style>
  <w:style w:type="character" w:customStyle="1" w:styleId="CommentTextChar">
    <w:name w:val="Comment Text Char"/>
    <w:link w:val="CommentText"/>
    <w:rsid w:val="00F33B81"/>
    <w:rPr>
      <w:sz w:val="24"/>
      <w:szCs w:val="24"/>
      <w:lang w:val="x-none" w:eastAsia="en-US"/>
    </w:rPr>
  </w:style>
  <w:style w:type="paragraph" w:styleId="CommentSubject">
    <w:name w:val="annotation subject"/>
    <w:basedOn w:val="CommentText"/>
    <w:next w:val="CommentText"/>
    <w:link w:val="CommentSubjectChar"/>
    <w:rsid w:val="00F33B81"/>
    <w:rPr>
      <w:b/>
      <w:bCs/>
    </w:rPr>
  </w:style>
  <w:style w:type="character" w:customStyle="1" w:styleId="CommentSubjectChar">
    <w:name w:val="Comment Subject Char"/>
    <w:link w:val="CommentSubject"/>
    <w:rsid w:val="00F33B81"/>
    <w:rPr>
      <w:b/>
      <w:bCs/>
      <w:sz w:val="24"/>
      <w:szCs w:val="24"/>
      <w:lang w:val="x-none" w:eastAsia="en-US"/>
    </w:rPr>
  </w:style>
  <w:style w:type="character" w:customStyle="1" w:styleId="HeaderChar">
    <w:name w:val="Header Char"/>
    <w:aliases w:val="6_G Char"/>
    <w:link w:val="Header"/>
    <w:rsid w:val="00F33B81"/>
    <w:rPr>
      <w:b/>
      <w:sz w:val="18"/>
      <w:lang w:eastAsia="en-US"/>
    </w:rPr>
  </w:style>
  <w:style w:type="character" w:customStyle="1" w:styleId="FooterChar">
    <w:name w:val="Footer Char"/>
    <w:aliases w:val="3_G Char"/>
    <w:link w:val="Footer"/>
    <w:uiPriority w:val="99"/>
    <w:rsid w:val="00F33B81"/>
    <w:rPr>
      <w:sz w:val="16"/>
      <w:lang w:eastAsia="en-US"/>
    </w:rPr>
  </w:style>
  <w:style w:type="paragraph" w:styleId="DocumentMap">
    <w:name w:val="Document Map"/>
    <w:basedOn w:val="Normal"/>
    <w:link w:val="DocumentMapChar"/>
    <w:rsid w:val="00F33B81"/>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F33B81"/>
    <w:rPr>
      <w:rFonts w:ascii="Tahoma" w:eastAsia="Calibri" w:hAnsi="Tahoma"/>
      <w:sz w:val="16"/>
      <w:szCs w:val="16"/>
      <w:lang w:val="en-US" w:eastAsia="zh-CN"/>
    </w:rPr>
  </w:style>
  <w:style w:type="character" w:customStyle="1" w:styleId="highlight1">
    <w:name w:val="highlight1"/>
    <w:rsid w:val="00F33B81"/>
    <w:rPr>
      <w:shd w:val="clear" w:color="auto" w:fill="FFCC33"/>
    </w:rPr>
  </w:style>
  <w:style w:type="paragraph" w:styleId="NormalWeb">
    <w:name w:val="Normal (Web)"/>
    <w:basedOn w:val="Normal"/>
    <w:uiPriority w:val="99"/>
    <w:unhideWhenUsed/>
    <w:rsid w:val="00F33B81"/>
    <w:pPr>
      <w:suppressAutoHyphens w:val="0"/>
      <w:spacing w:before="100" w:beforeAutospacing="1" w:after="100" w:afterAutospacing="1" w:line="240" w:lineRule="auto"/>
    </w:pPr>
    <w:rPr>
      <w:sz w:val="24"/>
      <w:szCs w:val="24"/>
      <w:lang w:eastAsia="en-GB"/>
    </w:rPr>
  </w:style>
  <w:style w:type="character" w:customStyle="1" w:styleId="hps">
    <w:name w:val="hps"/>
    <w:rsid w:val="00F33B81"/>
  </w:style>
  <w:style w:type="character" w:customStyle="1" w:styleId="apple-converted-space">
    <w:name w:val="apple-converted-space"/>
    <w:rsid w:val="00F33B81"/>
  </w:style>
  <w:style w:type="character" w:customStyle="1" w:styleId="highlight">
    <w:name w:val="highlight"/>
    <w:rsid w:val="00F33B81"/>
  </w:style>
  <w:style w:type="numbering" w:customStyle="1" w:styleId="NoList11">
    <w:name w:val="No List11"/>
    <w:next w:val="NoList"/>
    <w:uiPriority w:val="99"/>
    <w:semiHidden/>
    <w:unhideWhenUsed/>
    <w:rsid w:val="00F33B81"/>
  </w:style>
  <w:style w:type="paragraph" w:customStyle="1" w:styleId="ListParagraph1">
    <w:name w:val="List Paragraph1"/>
    <w:basedOn w:val="Default"/>
    <w:uiPriority w:val="34"/>
    <w:qFormat/>
    <w:rsid w:val="00F33B81"/>
    <w:pPr>
      <w:jc w:val="both"/>
    </w:pPr>
    <w:rPr>
      <w:szCs w:val="18"/>
      <w:lang w:val="en-GB"/>
    </w:rPr>
  </w:style>
  <w:style w:type="character" w:customStyle="1" w:styleId="st1">
    <w:name w:val="st1"/>
    <w:rsid w:val="00F33B81"/>
  </w:style>
  <w:style w:type="character" w:customStyle="1" w:styleId="apple-style-span">
    <w:name w:val="apple-style-span"/>
    <w:rsid w:val="00F33B81"/>
  </w:style>
  <w:style w:type="character" w:styleId="HTMLTypewriter">
    <w:name w:val="HTML Typewriter"/>
    <w:uiPriority w:val="99"/>
    <w:unhideWhenUsed/>
    <w:rsid w:val="00F33B81"/>
    <w:rPr>
      <w:rFonts w:ascii="Courier New" w:eastAsia="Times New Roman" w:hAnsi="Courier New" w:cs="Courier New"/>
      <w:sz w:val="20"/>
      <w:szCs w:val="20"/>
    </w:rPr>
  </w:style>
  <w:style w:type="paragraph" w:customStyle="1" w:styleId="MediumList2-Accent21">
    <w:name w:val="Medium List 2 - Accent 21"/>
    <w:hidden/>
    <w:uiPriority w:val="99"/>
    <w:semiHidden/>
    <w:rsid w:val="00F33B81"/>
    <w:rPr>
      <w:sz w:val="24"/>
      <w:szCs w:val="24"/>
      <w:lang w:eastAsia="en-US"/>
    </w:rPr>
  </w:style>
  <w:style w:type="paragraph" w:styleId="HTMLPreformatted">
    <w:name w:val="HTML Preformatted"/>
    <w:basedOn w:val="Normal"/>
    <w:link w:val="HTMLPreformattedChar"/>
    <w:uiPriority w:val="99"/>
    <w:unhideWhenUsed/>
    <w:rsid w:val="00F3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4"/>
      <w:szCs w:val="24"/>
      <w:lang w:val="de-DE" w:eastAsia="de-DE"/>
    </w:rPr>
  </w:style>
  <w:style w:type="character" w:customStyle="1" w:styleId="HTMLPreformattedChar">
    <w:name w:val="HTML Preformatted Char"/>
    <w:link w:val="HTMLPreformatted"/>
    <w:uiPriority w:val="99"/>
    <w:rsid w:val="00F33B81"/>
    <w:rPr>
      <w:rFonts w:ascii="Courier" w:hAnsi="Courier" w:cs="Courier"/>
      <w:sz w:val="24"/>
      <w:szCs w:val="24"/>
      <w:lang w:val="de-DE" w:eastAsia="de-DE"/>
    </w:rPr>
  </w:style>
  <w:style w:type="paragraph" w:customStyle="1" w:styleId="ColorfulList-Accent11">
    <w:name w:val="Colorful List - Accent 11"/>
    <w:basedOn w:val="Normal"/>
    <w:uiPriority w:val="34"/>
    <w:qFormat/>
    <w:rsid w:val="00F33B81"/>
    <w:pPr>
      <w:suppressAutoHyphens w:val="0"/>
      <w:spacing w:after="160" w:line="256" w:lineRule="auto"/>
      <w:ind w:left="720"/>
      <w:contextualSpacing/>
    </w:pPr>
    <w:rPr>
      <w:rFonts w:ascii="Calibri" w:eastAsia="Calibri" w:hAnsi="Calibri"/>
      <w:sz w:val="22"/>
      <w:szCs w:val="22"/>
      <w:lang w:val="pt-BR"/>
    </w:rPr>
  </w:style>
  <w:style w:type="paragraph" w:customStyle="1" w:styleId="country-p">
    <w:name w:val="country-p"/>
    <w:basedOn w:val="Normal"/>
    <w:rsid w:val="00F33B81"/>
    <w:pPr>
      <w:suppressAutoHyphens w:val="0"/>
      <w:spacing w:before="100" w:beforeAutospacing="1" w:after="100" w:afterAutospacing="1" w:line="240" w:lineRule="auto"/>
    </w:pPr>
    <w:rPr>
      <w:rFonts w:ascii="Times" w:hAnsi="Times"/>
      <w:sz w:val="24"/>
      <w:szCs w:val="24"/>
      <w:lang w:val="de-DE" w:eastAsia="de-DE"/>
    </w:rPr>
  </w:style>
  <w:style w:type="paragraph" w:customStyle="1" w:styleId="Footnote">
    <w:name w:val="Footnote"/>
    <w:basedOn w:val="ListParagraph1"/>
    <w:qFormat/>
    <w:rsid w:val="00F33B81"/>
    <w:rPr>
      <w:sz w:val="18"/>
    </w:rPr>
  </w:style>
  <w:style w:type="paragraph" w:customStyle="1" w:styleId="footnote0">
    <w:name w:val="footnote"/>
    <w:basedOn w:val="FootnoteText"/>
    <w:link w:val="footnoteChar"/>
    <w:qFormat/>
    <w:rsid w:val="00F33B81"/>
    <w:pPr>
      <w:tabs>
        <w:tab w:val="clear" w:pos="1021"/>
      </w:tabs>
      <w:suppressAutoHyphens w:val="0"/>
      <w:spacing w:line="240" w:lineRule="auto"/>
      <w:ind w:left="0" w:right="0" w:firstLine="0"/>
      <w:jc w:val="both"/>
    </w:pPr>
    <w:rPr>
      <w:rFonts w:eastAsia="Calibri"/>
      <w:lang w:eastAsia="en-GB"/>
    </w:rPr>
  </w:style>
  <w:style w:type="character" w:customStyle="1" w:styleId="footnoteChar">
    <w:name w:val="footnote Char"/>
    <w:link w:val="footnote0"/>
    <w:rsid w:val="00F33B81"/>
    <w:rPr>
      <w:rFonts w:eastAsia="Calibri"/>
      <w:sz w:val="18"/>
    </w:rPr>
  </w:style>
  <w:style w:type="paragraph" w:customStyle="1" w:styleId="Pa7">
    <w:name w:val="Pa7"/>
    <w:basedOn w:val="Default"/>
    <w:next w:val="Default"/>
    <w:uiPriority w:val="99"/>
    <w:rsid w:val="00F33B81"/>
    <w:pPr>
      <w:spacing w:line="181" w:lineRule="atLeast"/>
    </w:pPr>
    <w:rPr>
      <w:rFonts w:ascii="Myriad Pro" w:eastAsia="Times New Roman" w:hAnsi="Myriad Pro"/>
      <w:color w:val="auto"/>
      <w:lang w:val="en-GB" w:eastAsia="en-GB"/>
    </w:rPr>
  </w:style>
  <w:style w:type="paragraph" w:styleId="Revision">
    <w:name w:val="Revision"/>
    <w:hidden/>
    <w:uiPriority w:val="71"/>
    <w:rsid w:val="00F33B81"/>
    <w:rPr>
      <w:sz w:val="24"/>
      <w:szCs w:val="24"/>
      <w:lang w:eastAsia="en-US"/>
    </w:rPr>
  </w:style>
  <w:style w:type="paragraph" w:styleId="ListParagraph">
    <w:name w:val="List Paragraph"/>
    <w:basedOn w:val="Normal"/>
    <w:uiPriority w:val="72"/>
    <w:qFormat/>
    <w:rsid w:val="00F33B81"/>
    <w:pPr>
      <w:ind w:left="720"/>
    </w:pPr>
    <w:rPr>
      <w:sz w:val="24"/>
      <w:szCs w:val="24"/>
    </w:rPr>
  </w:style>
  <w:style w:type="paragraph" w:styleId="NoSpacing">
    <w:name w:val="No Spacing"/>
    <w:link w:val="NoSpacingChar"/>
    <w:uiPriority w:val="1"/>
    <w:qFormat/>
    <w:rsid w:val="00F33B81"/>
    <w:rPr>
      <w:rFonts w:ascii="Calibri" w:eastAsia="MS Mincho" w:hAnsi="Calibri" w:cs="Arial"/>
      <w:sz w:val="22"/>
      <w:szCs w:val="22"/>
      <w:lang w:val="en-US" w:eastAsia="ja-JP"/>
    </w:rPr>
  </w:style>
  <w:style w:type="character" w:customStyle="1" w:styleId="NoSpacingChar">
    <w:name w:val="No Spacing Char"/>
    <w:link w:val="NoSpacing"/>
    <w:uiPriority w:val="1"/>
    <w:rsid w:val="00F33B81"/>
    <w:rPr>
      <w:rFonts w:ascii="Calibri" w:eastAsia="MS Mincho" w:hAnsi="Calibri" w:cs="Arial"/>
      <w:sz w:val="22"/>
      <w:szCs w:val="22"/>
      <w:lang w:val="en-US" w:eastAsia="ja-JP"/>
    </w:rPr>
  </w:style>
  <w:style w:type="paragraph" w:customStyle="1" w:styleId="SingleTxt">
    <w:name w:val="__Single Txt"/>
    <w:basedOn w:val="Normal"/>
    <w:uiPriority w:val="99"/>
    <w:rsid w:val="00F121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en">
    <w:name w:val="en"/>
    <w:basedOn w:val="DefaultParagraphFont"/>
    <w:rsid w:val="00E8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3936">
      <w:bodyDiv w:val="1"/>
      <w:marLeft w:val="0"/>
      <w:marRight w:val="0"/>
      <w:marTop w:val="0"/>
      <w:marBottom w:val="0"/>
      <w:divBdr>
        <w:top w:val="none" w:sz="0" w:space="0" w:color="auto"/>
        <w:left w:val="none" w:sz="0" w:space="0" w:color="auto"/>
        <w:bottom w:val="none" w:sz="0" w:space="0" w:color="auto"/>
        <w:right w:val="none" w:sz="0" w:space="0" w:color="auto"/>
      </w:divBdr>
    </w:div>
    <w:div w:id="126911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471B-6792-4D8B-949C-9BA0B290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CRC_E.dotm</Template>
  <TotalTime>0</TotalTime>
  <Pages>15</Pages>
  <Words>6718</Words>
  <Characters>38299</Characters>
  <Application>Microsoft Office Word</Application>
  <DocSecurity>0</DocSecurity>
  <Lines>319</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44928</CharactersWithSpaces>
  <SharedDoc>false</SharedDoc>
  <HLinks>
    <vt:vector size="12" baseType="variant">
      <vt:variant>
        <vt:i4>4456528</vt:i4>
      </vt:variant>
      <vt:variant>
        <vt:i4>3</vt:i4>
      </vt:variant>
      <vt:variant>
        <vt:i4>0</vt:i4>
      </vt:variant>
      <vt:variant>
        <vt:i4>5</vt:i4>
      </vt:variant>
      <vt:variant>
        <vt:lpwstr>http://www.hrw.org/news/2010/10/19/uae-spousal-abuse-never-right</vt:lpwstr>
      </vt:variant>
      <vt:variant>
        <vt:lpwstr/>
      </vt:variant>
      <vt:variant>
        <vt:i4>4456528</vt:i4>
      </vt:variant>
      <vt:variant>
        <vt:i4>0</vt:i4>
      </vt:variant>
      <vt:variant>
        <vt:i4>0</vt:i4>
      </vt:variant>
      <vt:variant>
        <vt:i4>5</vt:i4>
      </vt:variant>
      <vt:variant>
        <vt:lpwstr>http://www.hrw.org/news/2010/10/19/uae-spousal-abuse-never-right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 James</dc:creator>
  <cp:lastModifiedBy>pdfeng</cp:lastModifiedBy>
  <cp:revision>3</cp:revision>
  <cp:lastPrinted>2015-11-02T08:10:00Z</cp:lastPrinted>
  <dcterms:created xsi:type="dcterms:W3CDTF">2015-11-02T08:10:00Z</dcterms:created>
  <dcterms:modified xsi:type="dcterms:W3CDTF">2015-11-02T08:10:00Z</dcterms:modified>
</cp:coreProperties>
</file>