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06068" w:rsidTr="007C7BEE">
        <w:trPr>
          <w:cantSplit/>
          <w:trHeight w:hRule="exact" w:val="851"/>
        </w:trPr>
        <w:tc>
          <w:tcPr>
            <w:tcW w:w="1276" w:type="dxa"/>
            <w:tcBorders>
              <w:bottom w:val="single" w:sz="4" w:space="0" w:color="auto"/>
            </w:tcBorders>
            <w:shd w:val="clear" w:color="auto" w:fill="auto"/>
            <w:vAlign w:val="bottom"/>
          </w:tcPr>
          <w:p w:rsidR="00B56E9C" w:rsidRPr="00ED616A" w:rsidRDefault="00B56E9C" w:rsidP="007C7BEE">
            <w:pPr>
              <w:pStyle w:val="SingleTxtG"/>
            </w:pPr>
          </w:p>
        </w:tc>
        <w:tc>
          <w:tcPr>
            <w:tcW w:w="2268" w:type="dxa"/>
            <w:tcBorders>
              <w:bottom w:val="single" w:sz="4" w:space="0" w:color="auto"/>
            </w:tcBorders>
            <w:shd w:val="clear" w:color="auto" w:fill="auto"/>
            <w:vAlign w:val="bottom"/>
          </w:tcPr>
          <w:p w:rsidR="00B56E9C" w:rsidRPr="007C7BEE" w:rsidRDefault="00B56E9C" w:rsidP="007C7BEE">
            <w:pPr>
              <w:spacing w:after="80" w:line="300" w:lineRule="exact"/>
              <w:rPr>
                <w:b/>
                <w:sz w:val="24"/>
                <w:szCs w:val="24"/>
              </w:rPr>
            </w:pPr>
            <w:r w:rsidRPr="007C7BEE">
              <w:rPr>
                <w:sz w:val="28"/>
                <w:szCs w:val="28"/>
              </w:rPr>
              <w:t>United Nations</w:t>
            </w:r>
          </w:p>
        </w:tc>
        <w:tc>
          <w:tcPr>
            <w:tcW w:w="6095" w:type="dxa"/>
            <w:gridSpan w:val="2"/>
            <w:tcBorders>
              <w:bottom w:val="single" w:sz="4" w:space="0" w:color="auto"/>
            </w:tcBorders>
            <w:shd w:val="clear" w:color="auto" w:fill="auto"/>
            <w:vAlign w:val="bottom"/>
          </w:tcPr>
          <w:p w:rsidR="00B56E9C" w:rsidRPr="00906068" w:rsidRDefault="007B2CA0" w:rsidP="00F96F53">
            <w:pPr>
              <w:suppressAutoHyphens w:val="0"/>
              <w:spacing w:after="20"/>
              <w:jc w:val="right"/>
            </w:pPr>
            <w:r w:rsidRPr="00906068">
              <w:rPr>
                <w:sz w:val="40"/>
              </w:rPr>
              <w:t>CERD</w:t>
            </w:r>
            <w:r w:rsidRPr="00906068">
              <w:t>/C/</w:t>
            </w:r>
            <w:r w:rsidR="00F96F53" w:rsidRPr="00906068">
              <w:t>OMN</w:t>
            </w:r>
            <w:r w:rsidRPr="00906068">
              <w:t>/CO/</w:t>
            </w:r>
            <w:r w:rsidR="00F96F53" w:rsidRPr="00906068">
              <w:t>2-5</w:t>
            </w:r>
          </w:p>
        </w:tc>
      </w:tr>
      <w:tr w:rsidR="00B56E9C" w:rsidTr="007C7BEE">
        <w:trPr>
          <w:cantSplit/>
          <w:trHeight w:hRule="exact" w:val="2835"/>
        </w:trPr>
        <w:tc>
          <w:tcPr>
            <w:tcW w:w="1276" w:type="dxa"/>
            <w:tcBorders>
              <w:top w:val="single" w:sz="4" w:space="0" w:color="auto"/>
              <w:bottom w:val="single" w:sz="12" w:space="0" w:color="auto"/>
            </w:tcBorders>
            <w:shd w:val="clear" w:color="auto" w:fill="auto"/>
          </w:tcPr>
          <w:p w:rsidR="00B56E9C" w:rsidRDefault="00782416" w:rsidP="007C7BEE">
            <w:pPr>
              <w:spacing w:before="120"/>
              <w:jc w:val="center"/>
            </w:pPr>
            <w:r>
              <w:rPr>
                <w:noProof/>
                <w:lang w:val="en-US" w:eastAsia="zh-CN"/>
              </w:rPr>
              <w:drawing>
                <wp:inline distT="0" distB="0" distL="0" distR="0" wp14:anchorId="19C7586B" wp14:editId="0F97D039">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C7BEE" w:rsidRDefault="00B56E9C" w:rsidP="007C7BEE">
            <w:pPr>
              <w:spacing w:before="120" w:line="380" w:lineRule="exact"/>
              <w:rPr>
                <w:b/>
                <w:sz w:val="34"/>
                <w:szCs w:val="40"/>
              </w:rPr>
            </w:pPr>
            <w:r w:rsidRPr="007C7BEE">
              <w:rPr>
                <w:b/>
                <w:sz w:val="34"/>
                <w:szCs w:val="40"/>
              </w:rPr>
              <w:t>International Convention on</w:t>
            </w:r>
            <w:r w:rsidR="00A01489" w:rsidRPr="007C7BEE">
              <w:rPr>
                <w:b/>
                <w:sz w:val="34"/>
                <w:szCs w:val="40"/>
              </w:rPr>
              <w:br/>
            </w:r>
            <w:r w:rsidR="00E63389" w:rsidRPr="007C7BEE">
              <w:rPr>
                <w:b/>
                <w:sz w:val="34"/>
                <w:szCs w:val="40"/>
              </w:rPr>
              <w:t>the Elimination of A</w:t>
            </w:r>
            <w:r w:rsidRPr="007C7BEE">
              <w:rPr>
                <w:b/>
                <w:sz w:val="34"/>
                <w:szCs w:val="40"/>
              </w:rPr>
              <w:t>ll Forms</w:t>
            </w:r>
            <w:r w:rsidR="00A01489" w:rsidRPr="007C7BEE">
              <w:rPr>
                <w:b/>
                <w:sz w:val="34"/>
                <w:szCs w:val="40"/>
              </w:rPr>
              <w:br/>
            </w:r>
            <w:r w:rsidRPr="007C7BEE">
              <w:rPr>
                <w:b/>
                <w:sz w:val="34"/>
                <w:szCs w:val="40"/>
              </w:rPr>
              <w:t>of Racial Discrimination</w:t>
            </w:r>
          </w:p>
        </w:tc>
        <w:tc>
          <w:tcPr>
            <w:tcW w:w="2835" w:type="dxa"/>
            <w:tcBorders>
              <w:top w:val="single" w:sz="4" w:space="0" w:color="auto"/>
              <w:bottom w:val="single" w:sz="12" w:space="0" w:color="auto"/>
            </w:tcBorders>
            <w:shd w:val="clear" w:color="auto" w:fill="auto"/>
          </w:tcPr>
          <w:p w:rsidR="007B2CA0" w:rsidRDefault="007B2CA0" w:rsidP="007C7BEE">
            <w:pPr>
              <w:suppressAutoHyphens w:val="0"/>
              <w:spacing w:before="240" w:line="240" w:lineRule="exact"/>
            </w:pPr>
            <w:r>
              <w:t xml:space="preserve">Distr.: </w:t>
            </w:r>
            <w:r w:rsidR="007B3AF5">
              <w:t>General</w:t>
            </w:r>
          </w:p>
          <w:p w:rsidR="007B2CA0" w:rsidRDefault="005811F1" w:rsidP="006C5AEE">
            <w:pPr>
              <w:suppressAutoHyphens w:val="0"/>
            </w:pPr>
            <w:r>
              <w:t>6</w:t>
            </w:r>
            <w:r w:rsidR="00C55F90">
              <w:t xml:space="preserve"> June</w:t>
            </w:r>
            <w:r w:rsidR="00A96934">
              <w:t xml:space="preserve"> </w:t>
            </w:r>
            <w:r w:rsidR="002D241A">
              <w:t>201</w:t>
            </w:r>
            <w:r w:rsidR="00A96934">
              <w:t>6</w:t>
            </w:r>
          </w:p>
          <w:p w:rsidR="002D241A" w:rsidRDefault="002D241A" w:rsidP="007C7BEE">
            <w:pPr>
              <w:suppressAutoHyphens w:val="0"/>
            </w:pPr>
          </w:p>
          <w:p w:rsidR="00B56E9C" w:rsidRDefault="007B2CA0" w:rsidP="009977E8">
            <w:pPr>
              <w:suppressAutoHyphens w:val="0"/>
            </w:pPr>
            <w:r>
              <w:t xml:space="preserve">Original: </w:t>
            </w:r>
            <w:r w:rsidR="009977E8">
              <w:t>English</w:t>
            </w:r>
          </w:p>
          <w:p w:rsidR="00AF322A" w:rsidRDefault="00AF322A" w:rsidP="00B70E0E">
            <w:pPr>
              <w:suppressAutoHyphens w:val="0"/>
            </w:pPr>
          </w:p>
        </w:tc>
      </w:tr>
    </w:tbl>
    <w:p w:rsidR="00EA1AB4" w:rsidRPr="00EA1AB4" w:rsidRDefault="00EA1AB4" w:rsidP="00291C94">
      <w:pPr>
        <w:spacing w:before="120"/>
        <w:rPr>
          <w:b/>
        </w:rPr>
      </w:pPr>
      <w:r w:rsidRPr="00291C94">
        <w:rPr>
          <w:b/>
          <w:sz w:val="24"/>
          <w:szCs w:val="24"/>
        </w:rPr>
        <w:t>Committee on the Elimination of Racial Discrimination</w:t>
      </w:r>
    </w:p>
    <w:p w:rsidR="00EA1AB4" w:rsidRPr="00EA1AB4" w:rsidRDefault="00EA1AB4" w:rsidP="00291C94">
      <w:pPr>
        <w:pStyle w:val="HChG"/>
      </w:pPr>
      <w:r w:rsidRPr="00EA1AB4">
        <w:tab/>
      </w:r>
      <w:r w:rsidRPr="00EA1AB4">
        <w:tab/>
        <w:t xml:space="preserve">Concluding observations on the </w:t>
      </w:r>
      <w:r w:rsidR="00B94E8B">
        <w:t xml:space="preserve">combined </w:t>
      </w:r>
      <w:r w:rsidR="00B90F75">
        <w:t xml:space="preserve">second to fifth </w:t>
      </w:r>
      <w:r w:rsidRPr="00EA1AB4">
        <w:t>periodic report</w:t>
      </w:r>
      <w:r w:rsidR="009977E8">
        <w:t>s</w:t>
      </w:r>
      <w:r w:rsidRPr="00EA1AB4">
        <w:t xml:space="preserve"> of </w:t>
      </w:r>
      <w:r w:rsidR="00B90F75">
        <w:t>Oman</w:t>
      </w:r>
      <w:r w:rsidR="007B3AF5" w:rsidRPr="00291C94">
        <w:rPr>
          <w:rStyle w:val="FootnoteReference"/>
          <w:b w:val="0"/>
          <w:bCs/>
          <w:sz w:val="20"/>
          <w:vertAlign w:val="baseline"/>
        </w:rPr>
        <w:footnoteReference w:customMarkFollows="1" w:id="2"/>
        <w:t>*</w:t>
      </w:r>
      <w:r w:rsidR="00033433">
        <w:rPr>
          <w:b w:val="0"/>
          <w:bCs/>
          <w:sz w:val="20"/>
        </w:rPr>
        <w:t xml:space="preserve"> </w:t>
      </w:r>
    </w:p>
    <w:p w:rsidR="005B0799" w:rsidRPr="0041219D" w:rsidRDefault="00291C94" w:rsidP="00291C94">
      <w:pPr>
        <w:pStyle w:val="SingleTxtG"/>
      </w:pPr>
      <w:r w:rsidRPr="0041219D">
        <w:t>1.</w:t>
      </w:r>
      <w:r w:rsidRPr="0041219D">
        <w:tab/>
      </w:r>
      <w:r w:rsidR="005B0799" w:rsidRPr="0039009F">
        <w:t>The Committee considered the combined</w:t>
      </w:r>
      <w:r w:rsidR="005B0799">
        <w:t xml:space="preserve"> </w:t>
      </w:r>
      <w:r w:rsidR="00B90F75">
        <w:t xml:space="preserve">second to fifth </w:t>
      </w:r>
      <w:r w:rsidR="005B0799" w:rsidRPr="0039009F">
        <w:t xml:space="preserve">periodic reports of </w:t>
      </w:r>
      <w:r w:rsidR="00B90F75">
        <w:t xml:space="preserve">Oman </w:t>
      </w:r>
      <w:r w:rsidR="005B0799" w:rsidRPr="0039009F">
        <w:t>(CERD/C/</w:t>
      </w:r>
      <w:r w:rsidR="00B90F75">
        <w:t>OMN</w:t>
      </w:r>
      <w:r w:rsidR="005B0799" w:rsidRPr="0039009F">
        <w:t>/</w:t>
      </w:r>
      <w:r w:rsidR="00B90F75">
        <w:t>2-</w:t>
      </w:r>
      <w:r w:rsidR="003072F5">
        <w:t>5</w:t>
      </w:r>
      <w:r w:rsidR="005B0799" w:rsidRPr="0039009F">
        <w:t xml:space="preserve">), submitted in one document, at its </w:t>
      </w:r>
      <w:r w:rsidR="00EF7760" w:rsidRPr="00782416">
        <w:t>2426</w:t>
      </w:r>
      <w:r w:rsidR="0041219D" w:rsidRPr="00782416">
        <w:t>th</w:t>
      </w:r>
      <w:r w:rsidR="00EF7760" w:rsidRPr="00782416">
        <w:t xml:space="preserve"> </w:t>
      </w:r>
      <w:r w:rsidR="005B0799" w:rsidRPr="00782416">
        <w:t xml:space="preserve">and </w:t>
      </w:r>
      <w:r w:rsidR="0041219D" w:rsidRPr="00782416">
        <w:t xml:space="preserve">2427th </w:t>
      </w:r>
      <w:r w:rsidR="005B0799" w:rsidRPr="00782416">
        <w:t>meetings (CERD/C/SR.</w:t>
      </w:r>
      <w:r w:rsidR="00EF7760" w:rsidRPr="00782416">
        <w:t>2426</w:t>
      </w:r>
      <w:r w:rsidR="00B94E8B">
        <w:t xml:space="preserve"> and </w:t>
      </w:r>
      <w:r w:rsidR="00EF7760" w:rsidRPr="00782416">
        <w:t>2427</w:t>
      </w:r>
      <w:r w:rsidR="005B0799" w:rsidRPr="00782416">
        <w:t>), held on</w:t>
      </w:r>
      <w:r w:rsidR="00E40EB4" w:rsidRPr="00782416">
        <w:t xml:space="preserve"> 27 and 28 April 2016.</w:t>
      </w:r>
      <w:r w:rsidR="005B0799" w:rsidRPr="00782416">
        <w:t xml:space="preserve"> At its</w:t>
      </w:r>
      <w:r w:rsidR="0041219D" w:rsidRPr="00782416">
        <w:t xml:space="preserve"> </w:t>
      </w:r>
      <w:r w:rsidR="00F20CBC" w:rsidRPr="00782416">
        <w:t>24</w:t>
      </w:r>
      <w:r w:rsidR="00F20CBC">
        <w:t>39</w:t>
      </w:r>
      <w:r w:rsidR="00F20CBC" w:rsidRPr="00782416">
        <w:t>th</w:t>
      </w:r>
      <w:r w:rsidR="0067369C">
        <w:t xml:space="preserve"> meeting</w:t>
      </w:r>
      <w:r w:rsidR="00EF7760" w:rsidRPr="00782416">
        <w:t>,</w:t>
      </w:r>
      <w:r w:rsidR="00EF7760">
        <w:t xml:space="preserve"> held on 9 May 2016</w:t>
      </w:r>
      <w:r w:rsidR="005B0799" w:rsidRPr="0039009F">
        <w:t xml:space="preserve">, it adopted the </w:t>
      </w:r>
      <w:r w:rsidR="00B94E8B">
        <w:t>present</w:t>
      </w:r>
      <w:r w:rsidR="00B94E8B" w:rsidRPr="0039009F">
        <w:t xml:space="preserve"> </w:t>
      </w:r>
      <w:r w:rsidR="005B0799" w:rsidRPr="0039009F">
        <w:t>concluding observations.</w:t>
      </w:r>
      <w:r w:rsidR="005B0799" w:rsidRPr="0041219D">
        <w:t xml:space="preserve"> </w:t>
      </w:r>
    </w:p>
    <w:p w:rsidR="00AE07FC" w:rsidRPr="00730D32" w:rsidRDefault="00AF322A" w:rsidP="00AF322A">
      <w:pPr>
        <w:pStyle w:val="H1G"/>
      </w:pPr>
      <w:r>
        <w:tab/>
      </w:r>
      <w:r w:rsidR="00AE07FC" w:rsidRPr="00193B1D">
        <w:t>A.</w:t>
      </w:r>
      <w:r w:rsidR="00AE07FC" w:rsidRPr="00193B1D">
        <w:tab/>
        <w:t>Introduction</w:t>
      </w:r>
      <w:r w:rsidR="00730D32">
        <w:t xml:space="preserve"> </w:t>
      </w:r>
    </w:p>
    <w:p w:rsidR="00AE07FC" w:rsidRDefault="00291C94" w:rsidP="00291C94">
      <w:pPr>
        <w:pStyle w:val="SingleTxtG"/>
      </w:pPr>
      <w:r>
        <w:t>2.</w:t>
      </w:r>
      <w:r>
        <w:tab/>
      </w:r>
      <w:r w:rsidR="00AE07FC" w:rsidRPr="00AF322A">
        <w:t xml:space="preserve">The Committee welcomes the submission of the combined </w:t>
      </w:r>
      <w:r w:rsidR="00B90F75">
        <w:t xml:space="preserve">second to fifth </w:t>
      </w:r>
      <w:r w:rsidR="00AE07FC" w:rsidRPr="00AF322A">
        <w:t>periodic</w:t>
      </w:r>
      <w:r w:rsidR="00D94B08">
        <w:t xml:space="preserve"> reports of the State party, </w:t>
      </w:r>
      <w:r w:rsidR="00AE07FC" w:rsidRPr="0039009F">
        <w:t xml:space="preserve">which included responses to the concerns raised </w:t>
      </w:r>
      <w:r w:rsidR="00AE07FC">
        <w:t>by</w:t>
      </w:r>
      <w:r w:rsidR="00AE07FC" w:rsidRPr="0039009F">
        <w:t xml:space="preserve"> the Committee</w:t>
      </w:r>
      <w:r w:rsidR="00AE07FC">
        <w:t xml:space="preserve"> in its</w:t>
      </w:r>
      <w:r w:rsidR="00AE07FC" w:rsidRPr="0039009F">
        <w:t xml:space="preserve"> pr</w:t>
      </w:r>
      <w:r w:rsidR="00AE07FC">
        <w:t>evious concluding observations</w:t>
      </w:r>
      <w:r w:rsidR="00AE07FC" w:rsidRPr="0039009F">
        <w:t xml:space="preserve">. </w:t>
      </w:r>
      <w:r w:rsidR="00AE07FC">
        <w:t xml:space="preserve">The Committee </w:t>
      </w:r>
      <w:r w:rsidR="00E92BDD">
        <w:t xml:space="preserve">also </w:t>
      </w:r>
      <w:r w:rsidR="00AE07FC" w:rsidRPr="0039009F">
        <w:t xml:space="preserve">welcomes the </w:t>
      </w:r>
      <w:r w:rsidR="00AE07FC">
        <w:t xml:space="preserve">open and constructive dialogue with </w:t>
      </w:r>
      <w:r w:rsidR="00AE07FC" w:rsidRPr="0039009F">
        <w:t>the State party</w:t>
      </w:r>
      <w:r w:rsidR="00AE07FC">
        <w:t xml:space="preserve">’s </w:t>
      </w:r>
      <w:r w:rsidR="00AE07FC" w:rsidRPr="0039009F">
        <w:t>delegation</w:t>
      </w:r>
      <w:r w:rsidR="00841291">
        <w:t xml:space="preserve">. </w:t>
      </w:r>
    </w:p>
    <w:p w:rsidR="00B0498B" w:rsidRPr="00AF322A" w:rsidRDefault="00AF322A" w:rsidP="00AF322A">
      <w:pPr>
        <w:pStyle w:val="H1G"/>
      </w:pPr>
      <w:r>
        <w:tab/>
      </w:r>
      <w:r w:rsidR="00B0498B" w:rsidRPr="00AF322A">
        <w:t>B.</w:t>
      </w:r>
      <w:r w:rsidR="00B0498B" w:rsidRPr="00AF322A">
        <w:tab/>
        <w:t>Positive aspects</w:t>
      </w:r>
    </w:p>
    <w:p w:rsidR="0061005E" w:rsidRDefault="00291C94" w:rsidP="00291C94">
      <w:pPr>
        <w:pStyle w:val="SingleTxtG"/>
      </w:pPr>
      <w:r>
        <w:t>3.</w:t>
      </w:r>
      <w:r>
        <w:tab/>
      </w:r>
      <w:r w:rsidR="00906068">
        <w:t xml:space="preserve">The Committee welcomes the ratification </w:t>
      </w:r>
      <w:r w:rsidR="008F2797">
        <w:t xml:space="preserve">by the State party </w:t>
      </w:r>
      <w:r w:rsidR="0061005E">
        <w:t xml:space="preserve">of the </w:t>
      </w:r>
      <w:r w:rsidR="0061005E" w:rsidRPr="0061005E">
        <w:t>Convention on the Rights of</w:t>
      </w:r>
      <w:r w:rsidR="0061005E">
        <w:t xml:space="preserve"> Persons with Disabilities, in 2009.</w:t>
      </w:r>
    </w:p>
    <w:p w:rsidR="00107BBF" w:rsidRDefault="00291C94" w:rsidP="00291C94">
      <w:pPr>
        <w:pStyle w:val="SingleTxtG"/>
      </w:pPr>
      <w:r>
        <w:t>4.</w:t>
      </w:r>
      <w:r>
        <w:tab/>
      </w:r>
      <w:r w:rsidR="00906068">
        <w:t xml:space="preserve">The Committee also welcomes </w:t>
      </w:r>
      <w:r w:rsidR="00B94E8B">
        <w:t xml:space="preserve">the </w:t>
      </w:r>
      <w:r w:rsidR="00906068">
        <w:t>legislative and institutional measures taken by the State party during the reporting period, in particular:</w:t>
      </w:r>
    </w:p>
    <w:p w:rsidR="00906068" w:rsidRDefault="00530D3D" w:rsidP="00291C94">
      <w:pPr>
        <w:pStyle w:val="SingleTxtG"/>
        <w:ind w:firstLine="567"/>
      </w:pPr>
      <w:r>
        <w:t>(a)</w:t>
      </w:r>
      <w:r>
        <w:tab/>
      </w:r>
      <w:r w:rsidR="008773B5" w:rsidRPr="00906068">
        <w:t xml:space="preserve">The </w:t>
      </w:r>
      <w:r w:rsidR="008773B5">
        <w:t xml:space="preserve">adoption of the </w:t>
      </w:r>
      <w:r w:rsidR="008773B5" w:rsidRPr="00906068">
        <w:t>Trafficking in Persons Act (2008)</w:t>
      </w:r>
      <w:r w:rsidR="008773B5">
        <w:t xml:space="preserve"> and t</w:t>
      </w:r>
      <w:r w:rsidR="00906068">
        <w:t>he development of the National Plan against Trafficking in Persons (2008-2016);</w:t>
      </w:r>
    </w:p>
    <w:p w:rsidR="008803C7" w:rsidRDefault="00530D3D" w:rsidP="00291C94">
      <w:pPr>
        <w:pStyle w:val="SingleTxtG"/>
        <w:ind w:firstLine="567"/>
      </w:pPr>
      <w:r>
        <w:t>(b)</w:t>
      </w:r>
      <w:r>
        <w:tab/>
      </w:r>
      <w:r w:rsidR="008803C7">
        <w:t xml:space="preserve">The adoption of </w:t>
      </w:r>
      <w:r w:rsidR="00B94E8B">
        <w:t>t</w:t>
      </w:r>
      <w:r w:rsidR="008803C7" w:rsidRPr="00D94B08">
        <w:t>he Child Act (2014);</w:t>
      </w:r>
    </w:p>
    <w:p w:rsidR="0061005E" w:rsidRDefault="00530D3D" w:rsidP="00291C94">
      <w:pPr>
        <w:pStyle w:val="SingleTxtG"/>
        <w:ind w:firstLine="567"/>
      </w:pPr>
      <w:r>
        <w:t>(c)</w:t>
      </w:r>
      <w:r>
        <w:tab/>
      </w:r>
      <w:r w:rsidR="008773B5">
        <w:t>The abolishment of the State Security Court pursua</w:t>
      </w:r>
      <w:r w:rsidR="00D94B08">
        <w:t>nt to Royal Decree No.</w:t>
      </w:r>
      <w:r>
        <w:t> </w:t>
      </w:r>
      <w:r w:rsidR="00D94B08">
        <w:t>102/2010.</w:t>
      </w:r>
    </w:p>
    <w:p w:rsidR="00906068" w:rsidRDefault="00906068" w:rsidP="00906068">
      <w:pPr>
        <w:pStyle w:val="H1G"/>
        <w:rPr>
          <w:bCs/>
          <w:szCs w:val="24"/>
        </w:rPr>
      </w:pPr>
      <w:r>
        <w:rPr>
          <w:b w:val="0"/>
          <w:bCs/>
          <w:sz w:val="23"/>
          <w:szCs w:val="23"/>
        </w:rPr>
        <w:lastRenderedPageBreak/>
        <w:tab/>
      </w:r>
      <w:r w:rsidRPr="00906068">
        <w:rPr>
          <w:bCs/>
          <w:szCs w:val="24"/>
        </w:rPr>
        <w:t>C.</w:t>
      </w:r>
      <w:r w:rsidRPr="00906068">
        <w:rPr>
          <w:bCs/>
          <w:szCs w:val="24"/>
        </w:rPr>
        <w:tab/>
      </w:r>
      <w:r w:rsidRPr="00EE7D9B">
        <w:rPr>
          <w:bCs/>
          <w:szCs w:val="24"/>
        </w:rPr>
        <w:t>Concerns and recommendations</w:t>
      </w:r>
    </w:p>
    <w:p w:rsidR="00E40EB4" w:rsidRPr="00E40EB4" w:rsidRDefault="00CD4268" w:rsidP="00CD4268">
      <w:pPr>
        <w:pStyle w:val="H23G"/>
      </w:pPr>
      <w:r>
        <w:tab/>
      </w:r>
      <w:r>
        <w:tab/>
      </w:r>
      <w:r w:rsidR="00E40EB4" w:rsidRPr="00E40EB4">
        <w:t>Relevant statistical data</w:t>
      </w:r>
      <w:bookmarkStart w:id="0" w:name="_GoBack"/>
      <w:bookmarkEnd w:id="0"/>
    </w:p>
    <w:p w:rsidR="00313634" w:rsidRDefault="00291C94" w:rsidP="00291C94">
      <w:pPr>
        <w:pStyle w:val="SingleTxtG"/>
      </w:pPr>
      <w:r>
        <w:t>5.</w:t>
      </w:r>
      <w:r>
        <w:tab/>
      </w:r>
      <w:r w:rsidR="00CF14FC">
        <w:t>The Committee notes</w:t>
      </w:r>
      <w:r w:rsidR="009E5E95" w:rsidRPr="009E5E95">
        <w:t xml:space="preserve"> the </w:t>
      </w:r>
      <w:r w:rsidR="001700D8">
        <w:t xml:space="preserve">discrepancy between the </w:t>
      </w:r>
      <w:r w:rsidR="009E5E95" w:rsidRPr="009E5E95">
        <w:t xml:space="preserve">State party’s </w:t>
      </w:r>
      <w:proofErr w:type="gramStart"/>
      <w:r w:rsidR="009E5E95" w:rsidRPr="009E5E95">
        <w:t>position</w:t>
      </w:r>
      <w:proofErr w:type="gramEnd"/>
      <w:r w:rsidR="009E5E95" w:rsidRPr="009E5E95">
        <w:t xml:space="preserve"> that it does not collect population data disaggregated by ethnic origin</w:t>
      </w:r>
      <w:r w:rsidR="001700D8">
        <w:t xml:space="preserve"> as its population is not classified by ethnic group</w:t>
      </w:r>
      <w:r w:rsidR="009E5E95" w:rsidRPr="009E5E95">
        <w:t xml:space="preserve"> </w:t>
      </w:r>
      <w:r w:rsidR="001700D8">
        <w:t>and the delegation’s statement that Omani soci</w:t>
      </w:r>
      <w:r w:rsidR="004B24E6">
        <w:t>e</w:t>
      </w:r>
      <w:r w:rsidR="00AB4A8D">
        <w:t>ty is</w:t>
      </w:r>
      <w:r w:rsidR="001700D8">
        <w:t xml:space="preserve"> ethnically diverse. The Committee reiterates its concern about the absence of</w:t>
      </w:r>
      <w:r w:rsidR="009E5E95" w:rsidRPr="009E5E95">
        <w:t xml:space="preserve"> statistical data on the </w:t>
      </w:r>
      <w:r w:rsidR="001700D8">
        <w:t xml:space="preserve">ethnic </w:t>
      </w:r>
      <w:r w:rsidR="009E5E95" w:rsidRPr="009E5E95">
        <w:t xml:space="preserve">composition of the population. It also notes the lack of relevant socioeconomic indicators </w:t>
      </w:r>
      <w:r w:rsidR="00EE7D9B">
        <w:t>regarding</w:t>
      </w:r>
      <w:r w:rsidR="009E5E95" w:rsidRPr="009E5E95">
        <w:t xml:space="preserve"> the enjoyment of the rights guaranteed under the Convention by members of various groups, in particular </w:t>
      </w:r>
      <w:r w:rsidR="00EE7D9B">
        <w:t xml:space="preserve">the </w:t>
      </w:r>
      <w:r w:rsidR="008203F2">
        <w:t>B</w:t>
      </w:r>
      <w:r w:rsidR="00006E3A">
        <w:t>al</w:t>
      </w:r>
      <w:r w:rsidR="004A68A4">
        <w:t>o</w:t>
      </w:r>
      <w:r w:rsidR="008203F2">
        <w:t>ch</w:t>
      </w:r>
      <w:r w:rsidR="00006E3A">
        <w:t xml:space="preserve"> community</w:t>
      </w:r>
      <w:r w:rsidR="00CF14FC">
        <w:t>, people</w:t>
      </w:r>
      <w:r w:rsidR="008203F2">
        <w:t xml:space="preserve"> of African des</w:t>
      </w:r>
      <w:r w:rsidR="00CF14FC">
        <w:t>cent</w:t>
      </w:r>
      <w:r w:rsidR="008203F2">
        <w:t xml:space="preserve">, </w:t>
      </w:r>
      <w:r w:rsidR="00CF14FC">
        <w:t xml:space="preserve">former slaves and their descendants, </w:t>
      </w:r>
      <w:r w:rsidR="00EE7D9B">
        <w:t>and</w:t>
      </w:r>
      <w:r w:rsidR="008203F2">
        <w:t xml:space="preserve"> workers from </w:t>
      </w:r>
      <w:r w:rsidR="00F20CBC">
        <w:t>South Asia</w:t>
      </w:r>
      <w:r w:rsidR="009E5E95" w:rsidRPr="009E5E95">
        <w:t>, as such data are necessary to determine the progress made and difficulties encountered in implementing the provisions of the Convention (arts.</w:t>
      </w:r>
      <w:r w:rsidR="004D2121">
        <w:t> </w:t>
      </w:r>
      <w:r w:rsidR="009E5E95" w:rsidRPr="009E5E95">
        <w:t>1 and 5).</w:t>
      </w:r>
    </w:p>
    <w:p w:rsidR="001700D8" w:rsidRPr="001700D8" w:rsidRDefault="00291C94" w:rsidP="00291C94">
      <w:pPr>
        <w:pStyle w:val="SingleTxtG"/>
        <w:rPr>
          <w:b/>
        </w:rPr>
      </w:pPr>
      <w:r w:rsidRPr="001700D8">
        <w:t>6.</w:t>
      </w:r>
      <w:r w:rsidRPr="001700D8">
        <w:tab/>
      </w:r>
      <w:r w:rsidR="001700D8">
        <w:rPr>
          <w:b/>
        </w:rPr>
        <w:t>D</w:t>
      </w:r>
      <w:r w:rsidR="001700D8" w:rsidRPr="001700D8">
        <w:rPr>
          <w:b/>
        </w:rPr>
        <w:t>rawing attention to the revised guid</w:t>
      </w:r>
      <w:r w:rsidR="001700D8">
        <w:rPr>
          <w:b/>
        </w:rPr>
        <w:t>elines for reporting under the C</w:t>
      </w:r>
      <w:r w:rsidR="00006E3A">
        <w:rPr>
          <w:b/>
        </w:rPr>
        <w:t>onvention (</w:t>
      </w:r>
      <w:r w:rsidR="00792C59">
        <w:rPr>
          <w:b/>
        </w:rPr>
        <w:t xml:space="preserve">see </w:t>
      </w:r>
      <w:r w:rsidR="00006E3A">
        <w:rPr>
          <w:b/>
        </w:rPr>
        <w:t>CERD/C</w:t>
      </w:r>
      <w:r w:rsidR="001700D8" w:rsidRPr="001700D8">
        <w:rPr>
          <w:b/>
        </w:rPr>
        <w:t>/2007/1, paras. 10-12), and recalling its general recommendation</w:t>
      </w:r>
      <w:r w:rsidR="00F05381">
        <w:rPr>
          <w:b/>
        </w:rPr>
        <w:t>s</w:t>
      </w:r>
      <w:r w:rsidR="001700D8" w:rsidRPr="001700D8">
        <w:rPr>
          <w:b/>
        </w:rPr>
        <w:t xml:space="preserve"> </w:t>
      </w:r>
      <w:r w:rsidR="0067369C">
        <w:rPr>
          <w:b/>
        </w:rPr>
        <w:t>N</w:t>
      </w:r>
      <w:r w:rsidR="001700D8" w:rsidRPr="001700D8">
        <w:rPr>
          <w:b/>
        </w:rPr>
        <w:t>o. 24 (1999)</w:t>
      </w:r>
      <w:r w:rsidR="004C2C22">
        <w:rPr>
          <w:b/>
        </w:rPr>
        <w:t xml:space="preserve"> concerning article 1 of the Convention</w:t>
      </w:r>
      <w:r w:rsidR="001700D8">
        <w:rPr>
          <w:b/>
        </w:rPr>
        <w:t xml:space="preserve"> </w:t>
      </w:r>
      <w:r w:rsidR="00F05381">
        <w:rPr>
          <w:b/>
        </w:rPr>
        <w:t xml:space="preserve">and </w:t>
      </w:r>
      <w:r w:rsidR="0067369C">
        <w:rPr>
          <w:b/>
        </w:rPr>
        <w:t>N</w:t>
      </w:r>
      <w:r w:rsidR="00515386">
        <w:rPr>
          <w:b/>
          <w:bCs/>
          <w:lang w:eastAsia="en-GB"/>
        </w:rPr>
        <w:t>o. 8 (1990)</w:t>
      </w:r>
      <w:r w:rsidR="00F05381">
        <w:rPr>
          <w:b/>
          <w:bCs/>
          <w:lang w:eastAsia="en-GB"/>
        </w:rPr>
        <w:t xml:space="preserve"> concerning the interpretation</w:t>
      </w:r>
      <w:r w:rsidR="00F05381">
        <w:rPr>
          <w:b/>
        </w:rPr>
        <w:t xml:space="preserve"> </w:t>
      </w:r>
      <w:r w:rsidR="00F05381">
        <w:rPr>
          <w:b/>
          <w:bCs/>
          <w:lang w:eastAsia="en-GB"/>
        </w:rPr>
        <w:t>and app</w:t>
      </w:r>
      <w:r w:rsidR="00AB4A8D">
        <w:rPr>
          <w:b/>
          <w:bCs/>
          <w:lang w:eastAsia="en-GB"/>
        </w:rPr>
        <w:t>lication of article</w:t>
      </w:r>
      <w:r w:rsidR="004C2C22">
        <w:rPr>
          <w:b/>
          <w:bCs/>
          <w:lang w:eastAsia="en-GB"/>
        </w:rPr>
        <w:t> </w:t>
      </w:r>
      <w:r w:rsidR="00AB4A8D">
        <w:rPr>
          <w:b/>
          <w:bCs/>
          <w:lang w:eastAsia="en-GB"/>
        </w:rPr>
        <w:t>1, para</w:t>
      </w:r>
      <w:r w:rsidR="00C55F90">
        <w:rPr>
          <w:b/>
          <w:bCs/>
          <w:lang w:eastAsia="en-GB"/>
        </w:rPr>
        <w:t>graph</w:t>
      </w:r>
      <w:r w:rsidR="00F05381">
        <w:rPr>
          <w:b/>
          <w:bCs/>
          <w:lang w:eastAsia="en-GB"/>
        </w:rPr>
        <w:t>s 1 and 4 of the Convention,</w:t>
      </w:r>
      <w:r w:rsidR="00F05381">
        <w:rPr>
          <w:b/>
        </w:rPr>
        <w:t xml:space="preserve"> </w:t>
      </w:r>
      <w:r w:rsidR="001700D8">
        <w:rPr>
          <w:b/>
        </w:rPr>
        <w:t>the C</w:t>
      </w:r>
      <w:r w:rsidR="001700D8" w:rsidRPr="001700D8">
        <w:rPr>
          <w:b/>
        </w:rPr>
        <w:t>ommittee recommends</w:t>
      </w:r>
      <w:r w:rsidR="001700D8">
        <w:rPr>
          <w:b/>
        </w:rPr>
        <w:t xml:space="preserve"> that the S</w:t>
      </w:r>
      <w:r w:rsidR="001700D8" w:rsidRPr="001700D8">
        <w:rPr>
          <w:b/>
        </w:rPr>
        <w:t>tate party collect and publicize reliable statistical data on the social and economic situation of individual ethnic groups</w:t>
      </w:r>
      <w:r w:rsidR="00F20CBC">
        <w:rPr>
          <w:b/>
        </w:rPr>
        <w:t>, including migrant workers an</w:t>
      </w:r>
      <w:r w:rsidR="00A26255">
        <w:rPr>
          <w:b/>
        </w:rPr>
        <w:t>d</w:t>
      </w:r>
      <w:r w:rsidR="008232FE">
        <w:rPr>
          <w:b/>
        </w:rPr>
        <w:t>,</w:t>
      </w:r>
      <w:r w:rsidR="00A26255">
        <w:rPr>
          <w:b/>
        </w:rPr>
        <w:t xml:space="preserve"> in particular</w:t>
      </w:r>
      <w:r w:rsidR="008232FE">
        <w:rPr>
          <w:b/>
        </w:rPr>
        <w:t>,</w:t>
      </w:r>
      <w:r w:rsidR="00A26255">
        <w:rPr>
          <w:b/>
        </w:rPr>
        <w:t xml:space="preserve"> migrant domestic</w:t>
      </w:r>
      <w:r w:rsidR="00F20CBC">
        <w:rPr>
          <w:b/>
        </w:rPr>
        <w:t xml:space="preserve"> workers</w:t>
      </w:r>
      <w:r w:rsidR="001700D8" w:rsidRPr="001700D8">
        <w:rPr>
          <w:b/>
        </w:rPr>
        <w:t>, disaggregated by areas</w:t>
      </w:r>
      <w:r w:rsidR="004A68A4">
        <w:rPr>
          <w:b/>
        </w:rPr>
        <w:t>,</w:t>
      </w:r>
      <w:r w:rsidR="001700D8" w:rsidRPr="001700D8">
        <w:rPr>
          <w:b/>
        </w:rPr>
        <w:t xml:space="preserve"> in order to provide an adequate empirical basis for </w:t>
      </w:r>
      <w:r w:rsidR="008534AB">
        <w:rPr>
          <w:b/>
        </w:rPr>
        <w:t xml:space="preserve">the development of </w:t>
      </w:r>
      <w:r w:rsidR="001700D8" w:rsidRPr="001700D8">
        <w:rPr>
          <w:b/>
        </w:rPr>
        <w:t>policies to enhance the equal</w:t>
      </w:r>
      <w:r w:rsidR="001700D8">
        <w:rPr>
          <w:b/>
        </w:rPr>
        <w:t xml:space="preserve"> enjoyment of rights under the Convention in Oman. The Committee requests the S</w:t>
      </w:r>
      <w:r w:rsidR="00515386">
        <w:rPr>
          <w:b/>
        </w:rPr>
        <w:t>tate party to provide</w:t>
      </w:r>
      <w:r w:rsidR="001700D8" w:rsidRPr="001700D8">
        <w:rPr>
          <w:b/>
        </w:rPr>
        <w:t xml:space="preserve"> such information in its next periodic report.</w:t>
      </w:r>
    </w:p>
    <w:p w:rsidR="005174D3" w:rsidRDefault="00CD4268" w:rsidP="00CD4268">
      <w:pPr>
        <w:pStyle w:val="H23G"/>
      </w:pPr>
      <w:r>
        <w:tab/>
      </w:r>
      <w:r>
        <w:tab/>
      </w:r>
      <w:r w:rsidR="005174D3" w:rsidRPr="005174D3">
        <w:t>National human rights institution</w:t>
      </w:r>
    </w:p>
    <w:p w:rsidR="005174D3" w:rsidRDefault="00291C94" w:rsidP="00291C94">
      <w:pPr>
        <w:pStyle w:val="SingleTxtG"/>
      </w:pPr>
      <w:r>
        <w:t>7.</w:t>
      </w:r>
      <w:r>
        <w:tab/>
      </w:r>
      <w:r w:rsidR="005174D3" w:rsidRPr="005174D3">
        <w:t>The Committee notes that</w:t>
      </w:r>
      <w:r w:rsidR="00C55F90">
        <w:t>, in 2008,</w:t>
      </w:r>
      <w:r w:rsidR="005174D3" w:rsidRPr="005174D3">
        <w:t xml:space="preserve"> the State party established </w:t>
      </w:r>
      <w:r w:rsidR="00AC42EB">
        <w:t>the</w:t>
      </w:r>
      <w:r w:rsidR="005174D3" w:rsidRPr="005174D3">
        <w:t xml:space="preserve"> National Human Rights Commission</w:t>
      </w:r>
      <w:r w:rsidR="008534AB">
        <w:t>,</w:t>
      </w:r>
      <w:r w:rsidR="005174D3" w:rsidRPr="005174D3">
        <w:t xml:space="preserve"> which is responsible for monitoring the protection of human rights in the State party. The Committee is concerned</w:t>
      </w:r>
      <w:r w:rsidR="0067369C">
        <w:t>, however,</w:t>
      </w:r>
      <w:r w:rsidR="005174D3" w:rsidRPr="005174D3">
        <w:t xml:space="preserve"> </w:t>
      </w:r>
      <w:r w:rsidR="003D5479">
        <w:t>that the Commission is accre</w:t>
      </w:r>
      <w:r w:rsidR="00006E3A">
        <w:t>dited with B status, essentially due to its</w:t>
      </w:r>
      <w:r w:rsidR="003D5479">
        <w:t xml:space="preserve"> limited</w:t>
      </w:r>
      <w:r w:rsidR="005174D3" w:rsidRPr="005174D3">
        <w:t xml:space="preserve"> ind</w:t>
      </w:r>
      <w:r w:rsidR="00006E3A">
        <w:t>ependence</w:t>
      </w:r>
      <w:r w:rsidR="003D5479">
        <w:t xml:space="preserve"> and</w:t>
      </w:r>
      <w:r w:rsidR="00E92BDD">
        <w:t xml:space="preserve"> lack of a clear mandate.</w:t>
      </w:r>
    </w:p>
    <w:p w:rsidR="00E92BDD" w:rsidRPr="00863FC4" w:rsidRDefault="00291C94" w:rsidP="00291C94">
      <w:pPr>
        <w:pStyle w:val="SingleTxtG"/>
        <w:rPr>
          <w:b/>
        </w:rPr>
      </w:pPr>
      <w:r w:rsidRPr="00863FC4">
        <w:t>8.</w:t>
      </w:r>
      <w:r w:rsidRPr="00863FC4">
        <w:tab/>
      </w:r>
      <w:r w:rsidR="00E92BDD" w:rsidRPr="003D5479">
        <w:rPr>
          <w:b/>
        </w:rPr>
        <w:t>The Committee recommends that the State pa</w:t>
      </w:r>
      <w:r w:rsidR="003D5479">
        <w:rPr>
          <w:b/>
        </w:rPr>
        <w:t xml:space="preserve">rty take immediate steps </w:t>
      </w:r>
      <w:r w:rsidR="00E92BDD" w:rsidRPr="003D5479">
        <w:rPr>
          <w:b/>
        </w:rPr>
        <w:t>to bring the National Human Rights Commission in</w:t>
      </w:r>
      <w:r w:rsidR="00AC42EB">
        <w:rPr>
          <w:b/>
        </w:rPr>
        <w:t>to</w:t>
      </w:r>
      <w:r w:rsidR="00E92BDD" w:rsidRPr="003D5479">
        <w:rPr>
          <w:b/>
        </w:rPr>
        <w:t xml:space="preserve"> full compliance with </w:t>
      </w:r>
      <w:r w:rsidR="003D5479">
        <w:rPr>
          <w:b/>
        </w:rPr>
        <w:t xml:space="preserve">the </w:t>
      </w:r>
      <w:r w:rsidR="00AC42EB">
        <w:rPr>
          <w:b/>
        </w:rPr>
        <w:t>p</w:t>
      </w:r>
      <w:r w:rsidR="003D5479">
        <w:rPr>
          <w:b/>
        </w:rPr>
        <w:t xml:space="preserve">rinciples relating </w:t>
      </w:r>
      <w:r w:rsidR="003D5479" w:rsidRPr="003D5479">
        <w:rPr>
          <w:b/>
        </w:rPr>
        <w:t xml:space="preserve">to the status </w:t>
      </w:r>
      <w:r w:rsidR="003D5479" w:rsidRPr="00863FC4">
        <w:rPr>
          <w:b/>
        </w:rPr>
        <w:t>of national institutions for the promotion and protection of human rights (</w:t>
      </w:r>
      <w:r w:rsidR="00AC42EB">
        <w:rPr>
          <w:b/>
        </w:rPr>
        <w:t xml:space="preserve">the </w:t>
      </w:r>
      <w:r w:rsidR="003D5479" w:rsidRPr="00863FC4">
        <w:rPr>
          <w:b/>
        </w:rPr>
        <w:t>Paris Principles)</w:t>
      </w:r>
      <w:r w:rsidR="00515386">
        <w:rPr>
          <w:b/>
        </w:rPr>
        <w:t>.</w:t>
      </w:r>
      <w:r w:rsidR="003D5479" w:rsidRPr="00863FC4">
        <w:rPr>
          <w:b/>
        </w:rPr>
        <w:t xml:space="preserve"> </w:t>
      </w:r>
      <w:r w:rsidR="00515386">
        <w:rPr>
          <w:b/>
        </w:rPr>
        <w:t>T</w:t>
      </w:r>
      <w:r w:rsidR="00E92BDD" w:rsidRPr="00863FC4">
        <w:rPr>
          <w:b/>
        </w:rPr>
        <w:t>o this end</w:t>
      </w:r>
      <w:r w:rsidR="003D5479" w:rsidRPr="00863FC4">
        <w:rPr>
          <w:b/>
        </w:rPr>
        <w:t>,</w:t>
      </w:r>
      <w:r w:rsidR="00E92BDD" w:rsidRPr="00863FC4">
        <w:rPr>
          <w:b/>
        </w:rPr>
        <w:t xml:space="preserve"> </w:t>
      </w:r>
      <w:r w:rsidR="00515386">
        <w:rPr>
          <w:b/>
        </w:rPr>
        <w:t xml:space="preserve">the State party should </w:t>
      </w:r>
      <w:r w:rsidR="003D5479" w:rsidRPr="00863FC4">
        <w:rPr>
          <w:b/>
        </w:rPr>
        <w:t xml:space="preserve">effectively </w:t>
      </w:r>
      <w:r w:rsidR="00D03539">
        <w:rPr>
          <w:b/>
        </w:rPr>
        <w:t>implement</w:t>
      </w:r>
      <w:r w:rsidR="00AC42EB">
        <w:rPr>
          <w:b/>
        </w:rPr>
        <w:t xml:space="preserve"> </w:t>
      </w:r>
      <w:r w:rsidR="003D5479" w:rsidRPr="00863FC4">
        <w:rPr>
          <w:b/>
        </w:rPr>
        <w:t>the recommendations</w:t>
      </w:r>
      <w:r w:rsidR="00E92BDD" w:rsidRPr="00863FC4">
        <w:rPr>
          <w:b/>
        </w:rPr>
        <w:t xml:space="preserve"> </w:t>
      </w:r>
      <w:r w:rsidR="0025590D">
        <w:rPr>
          <w:b/>
        </w:rPr>
        <w:t>made</w:t>
      </w:r>
      <w:r w:rsidR="00E92BDD" w:rsidRPr="00863FC4">
        <w:rPr>
          <w:b/>
        </w:rPr>
        <w:t xml:space="preserve"> </w:t>
      </w:r>
      <w:r w:rsidR="00213209">
        <w:rPr>
          <w:b/>
        </w:rPr>
        <w:t xml:space="preserve">to Oman </w:t>
      </w:r>
      <w:r w:rsidR="00E92BDD" w:rsidRPr="00863FC4">
        <w:rPr>
          <w:b/>
        </w:rPr>
        <w:t>by the Global Alliance of Nat</w:t>
      </w:r>
      <w:r w:rsidR="00863FC4" w:rsidRPr="00863FC4">
        <w:rPr>
          <w:b/>
        </w:rPr>
        <w:t>ional Human Rights Institutions</w:t>
      </w:r>
      <w:r w:rsidR="00213209">
        <w:rPr>
          <w:b/>
        </w:rPr>
        <w:t xml:space="preserve"> (formerly the International Coordinating Committee of National Institutions for the Promotion and Protection of human Rights) in 2013</w:t>
      </w:r>
      <w:r w:rsidR="00863FC4" w:rsidRPr="00863FC4">
        <w:rPr>
          <w:b/>
        </w:rPr>
        <w:t>. The Committee draws the State party’s attention to</w:t>
      </w:r>
      <w:r w:rsidR="004D2121">
        <w:rPr>
          <w:b/>
        </w:rPr>
        <w:t xml:space="preserve"> its general recommendation </w:t>
      </w:r>
      <w:r w:rsidR="0067369C">
        <w:rPr>
          <w:b/>
        </w:rPr>
        <w:t>N</w:t>
      </w:r>
      <w:r w:rsidR="004D2121">
        <w:rPr>
          <w:b/>
        </w:rPr>
        <w:t>o. </w:t>
      </w:r>
      <w:r w:rsidR="00863FC4" w:rsidRPr="00863FC4">
        <w:rPr>
          <w:b/>
        </w:rPr>
        <w:t xml:space="preserve">17 (1993) on the establishment of national institutions to facilitate the implementation of the </w:t>
      </w:r>
      <w:r w:rsidR="00863FC4">
        <w:rPr>
          <w:b/>
        </w:rPr>
        <w:t>C</w:t>
      </w:r>
      <w:r w:rsidR="00863FC4" w:rsidRPr="00863FC4">
        <w:rPr>
          <w:b/>
        </w:rPr>
        <w:t>onvention</w:t>
      </w:r>
      <w:r w:rsidR="00515386">
        <w:rPr>
          <w:b/>
        </w:rPr>
        <w:t>.</w:t>
      </w:r>
    </w:p>
    <w:p w:rsidR="00C162D3" w:rsidRPr="004D74D5" w:rsidRDefault="00CD4268" w:rsidP="00CD4268">
      <w:pPr>
        <w:pStyle w:val="H23G"/>
      </w:pPr>
      <w:r>
        <w:tab/>
      </w:r>
      <w:r>
        <w:tab/>
      </w:r>
      <w:r w:rsidR="00C162D3" w:rsidRPr="00EF39AA">
        <w:t>Civil society</w:t>
      </w:r>
      <w:r w:rsidR="00C162D3" w:rsidRPr="004D74D5">
        <w:t xml:space="preserve"> </w:t>
      </w:r>
    </w:p>
    <w:p w:rsidR="00C162D3" w:rsidRPr="00A51366" w:rsidRDefault="00291C94" w:rsidP="00291C94">
      <w:pPr>
        <w:pStyle w:val="SingleTxtG"/>
      </w:pPr>
      <w:r w:rsidRPr="00A51366">
        <w:t>9.</w:t>
      </w:r>
      <w:r w:rsidRPr="00A51366">
        <w:tab/>
      </w:r>
      <w:r w:rsidR="00C162D3" w:rsidRPr="004D74D5">
        <w:t xml:space="preserve">The Committee expresses great concern at the lack of information from non-governmental organizations (NGOs) on the State party’s efforts and challenges in implementing the Convention. The Committee is also concerned at reports indicating that NGOs operate within </w:t>
      </w:r>
      <w:r w:rsidR="00F20CBC">
        <w:t>restricted</w:t>
      </w:r>
      <w:r w:rsidR="00F20CBC" w:rsidRPr="004D74D5">
        <w:t xml:space="preserve"> </w:t>
      </w:r>
      <w:r w:rsidR="00C162D3" w:rsidRPr="004D74D5">
        <w:t xml:space="preserve">boundaries in the State party. </w:t>
      </w:r>
    </w:p>
    <w:p w:rsidR="004D74D5" w:rsidRPr="00C162D3" w:rsidRDefault="00291C94" w:rsidP="00291C94">
      <w:pPr>
        <w:pStyle w:val="SingleTxtG"/>
        <w:rPr>
          <w:b/>
        </w:rPr>
      </w:pPr>
      <w:r w:rsidRPr="00C162D3">
        <w:t>10.</w:t>
      </w:r>
      <w:r w:rsidRPr="00C162D3">
        <w:tab/>
      </w:r>
      <w:r w:rsidR="00C162D3" w:rsidRPr="004D74D5">
        <w:rPr>
          <w:b/>
        </w:rPr>
        <w:t>The Committee underscore</w:t>
      </w:r>
      <w:r w:rsidR="00EF39AA">
        <w:rPr>
          <w:b/>
        </w:rPr>
        <w:t>s</w:t>
      </w:r>
      <w:r w:rsidR="00C162D3" w:rsidRPr="004D74D5">
        <w:rPr>
          <w:b/>
        </w:rPr>
        <w:t xml:space="preserve"> the importance that it attaches to reports submitted by NGOs, which </w:t>
      </w:r>
      <w:r w:rsidR="00EF39AA">
        <w:rPr>
          <w:b/>
        </w:rPr>
        <w:t xml:space="preserve">serve to </w:t>
      </w:r>
      <w:r w:rsidR="00C162D3" w:rsidRPr="004D74D5">
        <w:rPr>
          <w:b/>
        </w:rPr>
        <w:t>enrich the dialogue between the Committee and the State party</w:t>
      </w:r>
      <w:r w:rsidR="0067369C">
        <w:rPr>
          <w:b/>
        </w:rPr>
        <w:t>’s</w:t>
      </w:r>
      <w:r w:rsidR="00C162D3" w:rsidRPr="004D74D5">
        <w:rPr>
          <w:b/>
        </w:rPr>
        <w:t xml:space="preserve"> delegation during the consideration of </w:t>
      </w:r>
      <w:r w:rsidR="0067369C">
        <w:rPr>
          <w:b/>
        </w:rPr>
        <w:t xml:space="preserve">the </w:t>
      </w:r>
      <w:r w:rsidR="00C162D3" w:rsidRPr="004D74D5">
        <w:rPr>
          <w:b/>
        </w:rPr>
        <w:t>State party’s reports. The</w:t>
      </w:r>
      <w:r w:rsidR="00A51366">
        <w:rPr>
          <w:b/>
        </w:rPr>
        <w:t xml:space="preserve"> </w:t>
      </w:r>
      <w:r w:rsidR="00C162D3" w:rsidRPr="004D74D5">
        <w:rPr>
          <w:b/>
        </w:rPr>
        <w:t xml:space="preserve">Committee recommends that the State party continue </w:t>
      </w:r>
      <w:r w:rsidR="00EF39AA">
        <w:rPr>
          <w:b/>
        </w:rPr>
        <w:t xml:space="preserve">to </w:t>
      </w:r>
      <w:r w:rsidR="00C162D3" w:rsidRPr="004D74D5">
        <w:rPr>
          <w:b/>
        </w:rPr>
        <w:t>consult and expand its dialogue with civil society</w:t>
      </w:r>
      <w:r w:rsidR="00EF39AA">
        <w:rPr>
          <w:b/>
        </w:rPr>
        <w:t xml:space="preserve"> organizations</w:t>
      </w:r>
      <w:r w:rsidR="00C162D3" w:rsidRPr="004D74D5">
        <w:rPr>
          <w:b/>
        </w:rPr>
        <w:t xml:space="preserve"> working in the area of human rights protection, in particular combating racial</w:t>
      </w:r>
      <w:r w:rsidR="004D74D5" w:rsidRPr="004D74D5">
        <w:rPr>
          <w:b/>
        </w:rPr>
        <w:t xml:space="preserve"> discrimination, in connection with the preparation of </w:t>
      </w:r>
      <w:r w:rsidR="003C14C1">
        <w:rPr>
          <w:b/>
        </w:rPr>
        <w:t>its</w:t>
      </w:r>
      <w:r w:rsidR="004D74D5" w:rsidRPr="004D74D5">
        <w:rPr>
          <w:b/>
        </w:rPr>
        <w:t xml:space="preserve"> next periodic report.</w:t>
      </w:r>
      <w:r w:rsidR="004D74D5">
        <w:rPr>
          <w:b/>
        </w:rPr>
        <w:t xml:space="preserve"> Th</w:t>
      </w:r>
      <w:r w:rsidR="004D74D5" w:rsidRPr="004D74D5">
        <w:rPr>
          <w:b/>
        </w:rPr>
        <w:t>e Committee also recommends that the State party in</w:t>
      </w:r>
      <w:r w:rsidR="004D74D5">
        <w:rPr>
          <w:b/>
        </w:rPr>
        <w:t>troduce the necessary changes to</w:t>
      </w:r>
      <w:r w:rsidR="004D74D5" w:rsidRPr="004D74D5">
        <w:rPr>
          <w:b/>
        </w:rPr>
        <w:t xml:space="preserve"> </w:t>
      </w:r>
      <w:r w:rsidR="00817C06">
        <w:rPr>
          <w:b/>
        </w:rPr>
        <w:t xml:space="preserve">the Civil </w:t>
      </w:r>
      <w:r w:rsidR="004D74D5" w:rsidRPr="004D74D5">
        <w:rPr>
          <w:b/>
        </w:rPr>
        <w:t>Associations</w:t>
      </w:r>
      <w:r w:rsidR="00817C06">
        <w:rPr>
          <w:b/>
        </w:rPr>
        <w:t xml:space="preserve"> Act</w:t>
      </w:r>
      <w:r w:rsidR="004D74D5" w:rsidRPr="004D74D5">
        <w:rPr>
          <w:b/>
        </w:rPr>
        <w:t xml:space="preserve"> (promu</w:t>
      </w:r>
      <w:r w:rsidR="004D74D5">
        <w:rPr>
          <w:b/>
        </w:rPr>
        <w:t xml:space="preserve">lgated by Royal Decree 14/2000) </w:t>
      </w:r>
      <w:r w:rsidR="004D74D5" w:rsidRPr="004D74D5">
        <w:rPr>
          <w:b/>
        </w:rPr>
        <w:t xml:space="preserve">with a view to creating </w:t>
      </w:r>
      <w:r w:rsidR="00A51366">
        <w:rPr>
          <w:b/>
        </w:rPr>
        <w:t>an</w:t>
      </w:r>
      <w:r w:rsidR="004D74D5" w:rsidRPr="004D74D5">
        <w:rPr>
          <w:b/>
        </w:rPr>
        <w:t xml:space="preserve"> independent civil society.</w:t>
      </w:r>
    </w:p>
    <w:p w:rsidR="00CC428D" w:rsidRDefault="00CD4268" w:rsidP="00CD4268">
      <w:pPr>
        <w:pStyle w:val="H23G"/>
      </w:pPr>
      <w:r>
        <w:tab/>
      </w:r>
      <w:r>
        <w:tab/>
      </w:r>
      <w:r w:rsidR="00CC428D">
        <w:t xml:space="preserve">Legal status of the </w:t>
      </w:r>
      <w:r w:rsidR="009A698F">
        <w:t>Convention</w:t>
      </w:r>
    </w:p>
    <w:p w:rsidR="009A698F" w:rsidRDefault="00291C94" w:rsidP="00291C94">
      <w:pPr>
        <w:pStyle w:val="SingleTxtG"/>
      </w:pPr>
      <w:r>
        <w:t>11.</w:t>
      </w:r>
      <w:r>
        <w:tab/>
      </w:r>
      <w:r w:rsidR="00CC428D" w:rsidRPr="009A698F">
        <w:t>While noting t</w:t>
      </w:r>
      <w:r w:rsidR="00484165">
        <w:t>he assertion</w:t>
      </w:r>
      <w:r w:rsidR="009A698F" w:rsidRPr="009A698F">
        <w:t xml:space="preserve"> by the delegation </w:t>
      </w:r>
      <w:r w:rsidR="00CC428D" w:rsidRPr="009A698F">
        <w:t xml:space="preserve">that the </w:t>
      </w:r>
      <w:r w:rsidR="009A698F" w:rsidRPr="009A698F">
        <w:t>Convention</w:t>
      </w:r>
      <w:r w:rsidR="00CC428D" w:rsidRPr="009A698F">
        <w:t xml:space="preserve"> is part of </w:t>
      </w:r>
      <w:r w:rsidR="009A698F" w:rsidRPr="009A698F">
        <w:t>the State party’s laws and supersedes any conflicting legislation, the Committee is concerned about the lack of instances in which the provisions</w:t>
      </w:r>
      <w:r w:rsidR="00817C06">
        <w:t xml:space="preserve"> of the Convention</w:t>
      </w:r>
      <w:r w:rsidR="009A698F" w:rsidRPr="009A698F">
        <w:t xml:space="preserve"> </w:t>
      </w:r>
      <w:r w:rsidR="00817C06">
        <w:t>have been</w:t>
      </w:r>
      <w:r w:rsidR="009A698F" w:rsidRPr="009A698F">
        <w:t xml:space="preserve"> invoked or applied by domestic courts</w:t>
      </w:r>
      <w:r w:rsidR="00F20CBC">
        <w:t xml:space="preserve"> (art. 2)</w:t>
      </w:r>
      <w:r w:rsidR="009A698F" w:rsidRPr="009A698F">
        <w:t>.</w:t>
      </w:r>
    </w:p>
    <w:p w:rsidR="00E65050" w:rsidRPr="00E65050" w:rsidRDefault="00291C94" w:rsidP="00291C94">
      <w:pPr>
        <w:pStyle w:val="SingleTxtG"/>
        <w:rPr>
          <w:b/>
        </w:rPr>
      </w:pPr>
      <w:r w:rsidRPr="00E65050">
        <w:t>12.</w:t>
      </w:r>
      <w:r w:rsidRPr="00E65050">
        <w:tab/>
      </w:r>
      <w:r w:rsidR="00E65050" w:rsidRPr="00E65050">
        <w:rPr>
          <w:b/>
          <w:bCs/>
        </w:rPr>
        <w:t>T</w:t>
      </w:r>
      <w:r w:rsidR="00E65050">
        <w:rPr>
          <w:b/>
          <w:bCs/>
        </w:rPr>
        <w:t>he Committee recommends that the S</w:t>
      </w:r>
      <w:r w:rsidR="00E65050" w:rsidRPr="00E65050">
        <w:rPr>
          <w:b/>
          <w:bCs/>
        </w:rPr>
        <w:t xml:space="preserve">tate party strengthen </w:t>
      </w:r>
      <w:r w:rsidR="00817C06">
        <w:rPr>
          <w:b/>
          <w:bCs/>
        </w:rPr>
        <w:t xml:space="preserve">its </w:t>
      </w:r>
      <w:r w:rsidR="00E65050" w:rsidRPr="00E65050">
        <w:rPr>
          <w:b/>
          <w:bCs/>
        </w:rPr>
        <w:t xml:space="preserve">efforts to make the </w:t>
      </w:r>
      <w:r w:rsidR="00515386">
        <w:rPr>
          <w:b/>
        </w:rPr>
        <w:t>C</w:t>
      </w:r>
      <w:r w:rsidR="00E65050" w:rsidRPr="00E65050">
        <w:rPr>
          <w:b/>
        </w:rPr>
        <w:t>onvention</w:t>
      </w:r>
      <w:r w:rsidR="00E65050" w:rsidRPr="00E65050">
        <w:rPr>
          <w:b/>
          <w:bCs/>
        </w:rPr>
        <w:t xml:space="preserve"> more widely known, in particular through </w:t>
      </w:r>
      <w:r w:rsidR="00E65050" w:rsidRPr="00E65050">
        <w:rPr>
          <w:b/>
        </w:rPr>
        <w:t>training</w:t>
      </w:r>
      <w:r w:rsidR="00E65050" w:rsidRPr="00E65050">
        <w:rPr>
          <w:b/>
          <w:bCs/>
        </w:rPr>
        <w:t xml:space="preserve"> courses and seminars for the </w:t>
      </w:r>
      <w:r w:rsidR="00E65050" w:rsidRPr="00E65050">
        <w:rPr>
          <w:b/>
        </w:rPr>
        <w:t>judiciary</w:t>
      </w:r>
      <w:r w:rsidR="00E65050" w:rsidRPr="00E65050">
        <w:rPr>
          <w:b/>
          <w:bCs/>
        </w:rPr>
        <w:t xml:space="preserve">, </w:t>
      </w:r>
      <w:r w:rsidR="00515386">
        <w:rPr>
          <w:b/>
          <w:bCs/>
        </w:rPr>
        <w:t>prosecutors and lawyers</w:t>
      </w:r>
      <w:r w:rsidR="00F20CBC">
        <w:rPr>
          <w:b/>
          <w:bCs/>
        </w:rPr>
        <w:t xml:space="preserve"> as well as </w:t>
      </w:r>
      <w:r w:rsidR="00A26255">
        <w:rPr>
          <w:b/>
          <w:bCs/>
        </w:rPr>
        <w:t xml:space="preserve">the </w:t>
      </w:r>
      <w:r w:rsidR="00F20CBC">
        <w:rPr>
          <w:b/>
          <w:bCs/>
        </w:rPr>
        <w:t>police and other law enforcement officials</w:t>
      </w:r>
      <w:r w:rsidR="00515386">
        <w:rPr>
          <w:b/>
          <w:bCs/>
        </w:rPr>
        <w:t xml:space="preserve">, </w:t>
      </w:r>
      <w:r w:rsidR="00E65050" w:rsidRPr="00E65050">
        <w:rPr>
          <w:b/>
          <w:bCs/>
        </w:rPr>
        <w:t xml:space="preserve">so as to foster </w:t>
      </w:r>
      <w:r w:rsidR="00E65050">
        <w:rPr>
          <w:b/>
          <w:bCs/>
        </w:rPr>
        <w:t>its application by domestic</w:t>
      </w:r>
      <w:r w:rsidR="00E65050" w:rsidRPr="00E65050">
        <w:rPr>
          <w:b/>
          <w:bCs/>
        </w:rPr>
        <w:t xml:space="preserve"> courts. F</w:t>
      </w:r>
      <w:r w:rsidR="00E65050">
        <w:rPr>
          <w:b/>
          <w:bCs/>
        </w:rPr>
        <w:t>urthermore, the S</w:t>
      </w:r>
      <w:r w:rsidR="00E65050" w:rsidRPr="00E65050">
        <w:rPr>
          <w:b/>
          <w:bCs/>
        </w:rPr>
        <w:t xml:space="preserve">tate party should provide an update on cases </w:t>
      </w:r>
      <w:r w:rsidR="00817C06">
        <w:rPr>
          <w:b/>
          <w:bCs/>
        </w:rPr>
        <w:t xml:space="preserve">in which </w:t>
      </w:r>
      <w:r w:rsidR="00E65050" w:rsidRPr="00E65050">
        <w:rPr>
          <w:b/>
          <w:bCs/>
        </w:rPr>
        <w:t xml:space="preserve">the </w:t>
      </w:r>
      <w:r w:rsidR="00515386">
        <w:rPr>
          <w:b/>
        </w:rPr>
        <w:t>C</w:t>
      </w:r>
      <w:r w:rsidR="00E65050" w:rsidRPr="00E65050">
        <w:rPr>
          <w:b/>
        </w:rPr>
        <w:t>onvention</w:t>
      </w:r>
      <w:r w:rsidR="00E65050" w:rsidRPr="00E65050">
        <w:rPr>
          <w:b/>
          <w:bCs/>
        </w:rPr>
        <w:t xml:space="preserve"> </w:t>
      </w:r>
      <w:r w:rsidR="00817C06">
        <w:rPr>
          <w:b/>
          <w:bCs/>
        </w:rPr>
        <w:t xml:space="preserve">has been applied </w:t>
      </w:r>
      <w:r w:rsidR="00E65050" w:rsidRPr="00E65050">
        <w:rPr>
          <w:b/>
          <w:bCs/>
        </w:rPr>
        <w:t>in its next periodic report</w:t>
      </w:r>
      <w:r w:rsidR="007B3AF5">
        <w:rPr>
          <w:b/>
          <w:bCs/>
        </w:rPr>
        <w:t>.</w:t>
      </w:r>
    </w:p>
    <w:p w:rsidR="002B6D8A" w:rsidRDefault="00CD4268" w:rsidP="00CD4268">
      <w:pPr>
        <w:pStyle w:val="H23G"/>
      </w:pPr>
      <w:r>
        <w:tab/>
      </w:r>
      <w:r>
        <w:tab/>
      </w:r>
      <w:r w:rsidR="000F2DDA">
        <w:t>Absence of comprehensive anti-discrimination legislation</w:t>
      </w:r>
    </w:p>
    <w:p w:rsidR="005174D3" w:rsidRDefault="00291C94" w:rsidP="00291C94">
      <w:pPr>
        <w:pStyle w:val="SingleTxtG"/>
      </w:pPr>
      <w:r>
        <w:t>13.</w:t>
      </w:r>
      <w:r>
        <w:tab/>
      </w:r>
      <w:r w:rsidR="002B6D8A" w:rsidRPr="000F2DDA">
        <w:t xml:space="preserve">The Committee is concerned </w:t>
      </w:r>
      <w:r w:rsidR="005D58DD">
        <w:t>about the lack of a definition of racial discrimination in line with article 1</w:t>
      </w:r>
      <w:r w:rsidR="00817C06">
        <w:t xml:space="preserve"> of the Convention,</w:t>
      </w:r>
      <w:r w:rsidR="005D58DD">
        <w:t xml:space="preserve"> as well as</w:t>
      </w:r>
      <w:r w:rsidR="000F2DDA" w:rsidRPr="000F2DDA">
        <w:t xml:space="preserve"> the non-compliance of existing legislation with article 4 of the Convention</w:t>
      </w:r>
      <w:r w:rsidR="000F2DDA">
        <w:t>, notably th</w:t>
      </w:r>
      <w:r w:rsidR="00515386">
        <w:t>e non-</w:t>
      </w:r>
      <w:r w:rsidR="000F2DDA">
        <w:t>prohibition of organizations that promote and incite racial discrimination</w:t>
      </w:r>
      <w:r w:rsidR="000F2DDA" w:rsidRPr="000F2DDA">
        <w:t>. T</w:t>
      </w:r>
      <w:r w:rsidR="005D58DD">
        <w:t>he C</w:t>
      </w:r>
      <w:r w:rsidR="000F2DDA" w:rsidRPr="000F2DDA">
        <w:t>ommittee notes with</w:t>
      </w:r>
      <w:r w:rsidR="005D58DD">
        <w:t xml:space="preserve"> concern that the S</w:t>
      </w:r>
      <w:r w:rsidR="000F2DDA" w:rsidRPr="000F2DDA">
        <w:t>tate party has not adopted comprehensive legislation to prevent and combat racial discrimination (arts. 1, 2 and 4).</w:t>
      </w:r>
    </w:p>
    <w:p w:rsidR="005D58DD" w:rsidRPr="00EF7760" w:rsidRDefault="00291C94" w:rsidP="00291C94">
      <w:pPr>
        <w:pStyle w:val="SingleTxtG"/>
        <w:rPr>
          <w:b/>
        </w:rPr>
      </w:pPr>
      <w:r w:rsidRPr="00EF7760">
        <w:t>14.</w:t>
      </w:r>
      <w:r w:rsidRPr="00EF7760">
        <w:tab/>
      </w:r>
      <w:r w:rsidR="001F3DC1" w:rsidRPr="001F3DC1">
        <w:rPr>
          <w:b/>
          <w:bCs/>
        </w:rPr>
        <w:t xml:space="preserve">Recalling its general recommendations </w:t>
      </w:r>
      <w:r w:rsidR="0067369C">
        <w:rPr>
          <w:b/>
          <w:bCs/>
        </w:rPr>
        <w:t>N</w:t>
      </w:r>
      <w:r w:rsidR="001F3DC1" w:rsidRPr="001F3DC1">
        <w:rPr>
          <w:b/>
          <w:bCs/>
        </w:rPr>
        <w:t>o.</w:t>
      </w:r>
      <w:r w:rsidR="005B62D8">
        <w:rPr>
          <w:b/>
          <w:bCs/>
        </w:rPr>
        <w:t> </w:t>
      </w:r>
      <w:r w:rsidR="001F3DC1" w:rsidRPr="001F3DC1">
        <w:rPr>
          <w:b/>
          <w:bCs/>
        </w:rPr>
        <w:t xml:space="preserve">7 (1985) </w:t>
      </w:r>
      <w:r w:rsidR="00817C06">
        <w:rPr>
          <w:b/>
          <w:bCs/>
        </w:rPr>
        <w:t xml:space="preserve">relating to the implementation of article 4 </w:t>
      </w:r>
      <w:r w:rsidR="00125E4E">
        <w:rPr>
          <w:b/>
          <w:bCs/>
        </w:rPr>
        <w:t xml:space="preserve">of the Convention </w:t>
      </w:r>
      <w:r w:rsidR="001F3DC1" w:rsidRPr="001F3DC1">
        <w:rPr>
          <w:b/>
          <w:bCs/>
        </w:rPr>
        <w:t xml:space="preserve">and </w:t>
      </w:r>
      <w:r w:rsidR="0067369C">
        <w:rPr>
          <w:b/>
          <w:bCs/>
        </w:rPr>
        <w:t>N</w:t>
      </w:r>
      <w:r w:rsidR="001F3DC1" w:rsidRPr="001F3DC1">
        <w:rPr>
          <w:b/>
          <w:bCs/>
        </w:rPr>
        <w:t>o.</w:t>
      </w:r>
      <w:r w:rsidR="005B62D8">
        <w:rPr>
          <w:b/>
          <w:bCs/>
        </w:rPr>
        <w:t> </w:t>
      </w:r>
      <w:r w:rsidR="001F3DC1" w:rsidRPr="001F3DC1">
        <w:rPr>
          <w:b/>
          <w:bCs/>
        </w:rPr>
        <w:t xml:space="preserve">15 (1993) on </w:t>
      </w:r>
      <w:r w:rsidR="001F3DC1" w:rsidRPr="006E57FF">
        <w:rPr>
          <w:b/>
          <w:bCs/>
        </w:rPr>
        <w:t>article</w:t>
      </w:r>
      <w:r w:rsidR="001F3DC1" w:rsidRPr="001F3DC1">
        <w:rPr>
          <w:b/>
          <w:bCs/>
        </w:rPr>
        <w:t xml:space="preserve"> 4</w:t>
      </w:r>
      <w:r w:rsidR="00125E4E">
        <w:rPr>
          <w:b/>
          <w:bCs/>
        </w:rPr>
        <w:t xml:space="preserve"> of the Convention</w:t>
      </w:r>
      <w:r w:rsidR="001F3DC1" w:rsidRPr="001F3DC1">
        <w:rPr>
          <w:b/>
          <w:bCs/>
        </w:rPr>
        <w:t>,</w:t>
      </w:r>
      <w:r w:rsidR="001F3DC1">
        <w:rPr>
          <w:b/>
          <w:bCs/>
        </w:rPr>
        <w:t xml:space="preserve"> t</w:t>
      </w:r>
      <w:r w:rsidR="005D58DD">
        <w:rPr>
          <w:b/>
          <w:bCs/>
        </w:rPr>
        <w:t>he Committee reiterates its previous recommendation</w:t>
      </w:r>
      <w:r w:rsidR="00D165CB">
        <w:rPr>
          <w:b/>
          <w:bCs/>
        </w:rPr>
        <w:t xml:space="preserve"> (see CERD/C/OMN/CO/1, para. 14)</w:t>
      </w:r>
      <w:r w:rsidR="005D58DD">
        <w:rPr>
          <w:b/>
          <w:bCs/>
        </w:rPr>
        <w:t xml:space="preserve"> that the State party adopt comprehensive legislation on the elimination of racial discrimination that includes a definition of direct and indi</w:t>
      </w:r>
      <w:r w:rsidR="00AB4A8D">
        <w:rPr>
          <w:b/>
          <w:bCs/>
        </w:rPr>
        <w:t>rect discrimination and incorporates</w:t>
      </w:r>
      <w:r w:rsidR="005D58DD">
        <w:rPr>
          <w:b/>
          <w:bCs/>
        </w:rPr>
        <w:t xml:space="preserve"> all prohibited grounds of discrimination, in line with article 1 </w:t>
      </w:r>
      <w:r w:rsidR="005D58DD" w:rsidRPr="00EF7760">
        <w:rPr>
          <w:b/>
          <w:bCs/>
        </w:rPr>
        <w:t xml:space="preserve">of the Convention. The Committee also recommends that the State party ensure that its legislation is in full conformity with the provisions of article 4 of the Convention, including by prohibiting </w:t>
      </w:r>
      <w:r w:rsidR="005D58DD" w:rsidRPr="00EF7760">
        <w:rPr>
          <w:b/>
        </w:rPr>
        <w:t>organizations that promote and incite racial discrimination</w:t>
      </w:r>
      <w:r w:rsidR="005D58DD" w:rsidRPr="00EF7760">
        <w:rPr>
          <w:b/>
          <w:bCs/>
        </w:rPr>
        <w:t>.</w:t>
      </w:r>
    </w:p>
    <w:p w:rsidR="001A1A60" w:rsidRDefault="00CD4268" w:rsidP="00CD4268">
      <w:pPr>
        <w:pStyle w:val="H23G"/>
      </w:pPr>
      <w:r>
        <w:tab/>
      </w:r>
      <w:r>
        <w:tab/>
      </w:r>
      <w:r w:rsidR="004477CA">
        <w:t>N</w:t>
      </w:r>
      <w:r w:rsidR="005174D3">
        <w:t xml:space="preserve">on-citizens </w:t>
      </w:r>
    </w:p>
    <w:p w:rsidR="005174D3" w:rsidRDefault="00291C94" w:rsidP="00291C94">
      <w:pPr>
        <w:pStyle w:val="SingleTxtG"/>
      </w:pPr>
      <w:r>
        <w:t>15.</w:t>
      </w:r>
      <w:r>
        <w:tab/>
      </w:r>
      <w:r w:rsidR="001A1A60" w:rsidRPr="001A1A60">
        <w:t xml:space="preserve">The Committee </w:t>
      </w:r>
      <w:r w:rsidR="001A1A60">
        <w:t>is</w:t>
      </w:r>
      <w:r w:rsidR="001A1A60" w:rsidRPr="001A1A60">
        <w:t xml:space="preserve"> concern</w:t>
      </w:r>
      <w:r w:rsidR="001A1A60">
        <w:t>ed</w:t>
      </w:r>
      <w:r w:rsidR="004477CA">
        <w:t xml:space="preserve"> that fundamental rights enumerated in the Basic Law of the State, such as the right to equality before the law (art</w:t>
      </w:r>
      <w:r w:rsidR="000E6112">
        <w:t>.</w:t>
      </w:r>
      <w:r w:rsidR="007B3AF5">
        <w:t> </w:t>
      </w:r>
      <w:r w:rsidR="004477CA">
        <w:t>17), the right to free choice of occupation (art</w:t>
      </w:r>
      <w:r w:rsidR="000E6112">
        <w:t>.</w:t>
      </w:r>
      <w:r w:rsidR="007B3AF5">
        <w:t> </w:t>
      </w:r>
      <w:r w:rsidR="004477CA">
        <w:t>12) and the right to freedom of assembly (art</w:t>
      </w:r>
      <w:r w:rsidR="000E6112">
        <w:t>.</w:t>
      </w:r>
      <w:r w:rsidR="007B3AF5">
        <w:t> </w:t>
      </w:r>
      <w:r w:rsidR="004477CA">
        <w:t>32) are granted to citizens</w:t>
      </w:r>
      <w:r w:rsidR="000E6112">
        <w:t xml:space="preserve"> only</w:t>
      </w:r>
      <w:r w:rsidR="004477CA">
        <w:t>.</w:t>
      </w:r>
    </w:p>
    <w:p w:rsidR="004477CA" w:rsidRPr="000026A7" w:rsidRDefault="00291C94" w:rsidP="00291C94">
      <w:pPr>
        <w:pStyle w:val="SingleTxtG"/>
        <w:rPr>
          <w:b/>
        </w:rPr>
      </w:pPr>
      <w:r w:rsidRPr="000026A7">
        <w:t>16.</w:t>
      </w:r>
      <w:r w:rsidRPr="000026A7">
        <w:tab/>
      </w:r>
      <w:r w:rsidR="009603A0" w:rsidRPr="000026A7">
        <w:rPr>
          <w:b/>
        </w:rPr>
        <w:t xml:space="preserve">The Committee </w:t>
      </w:r>
      <w:r w:rsidR="000026A7" w:rsidRPr="000026A7">
        <w:rPr>
          <w:b/>
        </w:rPr>
        <w:t>reiterat</w:t>
      </w:r>
      <w:r w:rsidR="000026A7">
        <w:rPr>
          <w:b/>
        </w:rPr>
        <w:t xml:space="preserve">es its </w:t>
      </w:r>
      <w:r w:rsidR="000E6112">
        <w:rPr>
          <w:b/>
        </w:rPr>
        <w:t xml:space="preserve">previous </w:t>
      </w:r>
      <w:r w:rsidR="000026A7">
        <w:rPr>
          <w:b/>
        </w:rPr>
        <w:t>recommendation</w:t>
      </w:r>
      <w:r w:rsidR="000E6112">
        <w:rPr>
          <w:b/>
        </w:rPr>
        <w:t xml:space="preserve"> (see CERD/C/OMN/CO/1, para. 16)</w:t>
      </w:r>
      <w:r w:rsidR="000026A7">
        <w:rPr>
          <w:b/>
        </w:rPr>
        <w:t xml:space="preserve"> to revise its legislation with a view to extending the application of fundamental freedoms to non-citizens, to the extent recognized under in</w:t>
      </w:r>
      <w:r w:rsidR="00A51366">
        <w:rPr>
          <w:b/>
        </w:rPr>
        <w:t>ternational law. The Committee</w:t>
      </w:r>
      <w:r w:rsidR="000026A7">
        <w:rPr>
          <w:b/>
        </w:rPr>
        <w:t xml:space="preserve"> draws the State party’s attention to its general recommendation </w:t>
      </w:r>
      <w:r w:rsidR="0067369C">
        <w:rPr>
          <w:b/>
        </w:rPr>
        <w:t>N</w:t>
      </w:r>
      <w:r w:rsidR="000026A7">
        <w:rPr>
          <w:b/>
        </w:rPr>
        <w:t>o. 30 (2004) on non-citizens.</w:t>
      </w:r>
      <w:r>
        <w:rPr>
          <w:b/>
        </w:rPr>
        <w:t xml:space="preserve"> </w:t>
      </w:r>
    </w:p>
    <w:p w:rsidR="004D72FA" w:rsidRDefault="00CD4268" w:rsidP="00CD4268">
      <w:pPr>
        <w:pStyle w:val="H23G"/>
      </w:pPr>
      <w:r>
        <w:tab/>
      </w:r>
      <w:r>
        <w:tab/>
      </w:r>
      <w:r w:rsidR="00CD574E">
        <w:t xml:space="preserve">Situation of </w:t>
      </w:r>
      <w:r w:rsidR="005D1520">
        <w:t>minorit</w:t>
      </w:r>
      <w:r w:rsidR="00CD574E">
        <w:t>ies</w:t>
      </w:r>
    </w:p>
    <w:p w:rsidR="004D72FA" w:rsidRDefault="00291C94" w:rsidP="00291C94">
      <w:pPr>
        <w:pStyle w:val="SingleTxtG"/>
      </w:pPr>
      <w:r>
        <w:t>17.</w:t>
      </w:r>
      <w:r>
        <w:tab/>
      </w:r>
      <w:r w:rsidR="004D72FA" w:rsidRPr="004D72FA">
        <w:t>While appreciating th</w:t>
      </w:r>
      <w:r w:rsidR="006F174D">
        <w:t>e data provided in the Statistic</w:t>
      </w:r>
      <w:r w:rsidR="0067369C">
        <w:t>al</w:t>
      </w:r>
      <w:r w:rsidR="006F174D">
        <w:t xml:space="preserve"> Y</w:t>
      </w:r>
      <w:r w:rsidR="004D72FA" w:rsidRPr="004D72FA">
        <w:t>ear</w:t>
      </w:r>
      <w:r w:rsidR="0067369C">
        <w:t>b</w:t>
      </w:r>
      <w:r w:rsidR="004D72FA" w:rsidRPr="004D72FA">
        <w:t xml:space="preserve">ook </w:t>
      </w:r>
      <w:r w:rsidR="006F174D">
        <w:t xml:space="preserve">2015 </w:t>
      </w:r>
      <w:r w:rsidR="004D72FA" w:rsidRPr="004D72FA">
        <w:t xml:space="preserve">on the participation of women in political life, </w:t>
      </w:r>
      <w:r w:rsidR="006F174D">
        <w:t xml:space="preserve">as well as on </w:t>
      </w:r>
      <w:r w:rsidR="000E6112">
        <w:t>the</w:t>
      </w:r>
      <w:r w:rsidR="006F174D">
        <w:t xml:space="preserve"> employment and education</w:t>
      </w:r>
      <w:r w:rsidR="000E6112">
        <w:t xml:space="preserve"> of women</w:t>
      </w:r>
      <w:r w:rsidR="006F174D">
        <w:t xml:space="preserve">, </w:t>
      </w:r>
      <w:r w:rsidR="00AB4A8D">
        <w:t>the Committee remains</w:t>
      </w:r>
      <w:r w:rsidR="004D72FA" w:rsidRPr="004D72FA">
        <w:t xml:space="preserve"> c</w:t>
      </w:r>
      <w:r w:rsidR="006F174D">
        <w:t>oncerned about the lack of similar information pertaining to</w:t>
      </w:r>
      <w:r w:rsidR="004D72FA" w:rsidRPr="004D72FA">
        <w:t xml:space="preserve"> </w:t>
      </w:r>
      <w:r w:rsidR="00B845EF">
        <w:t xml:space="preserve">ethnic </w:t>
      </w:r>
      <w:r w:rsidR="004D72FA" w:rsidRPr="004D72FA">
        <w:t>minorit</w:t>
      </w:r>
      <w:r w:rsidR="006F174D">
        <w:t>ies</w:t>
      </w:r>
      <w:r w:rsidR="00F20CBC">
        <w:t xml:space="preserve">, in particular women </w:t>
      </w:r>
      <w:r w:rsidR="000E6112">
        <w:t>belonging to</w:t>
      </w:r>
      <w:r w:rsidR="00F20CBC">
        <w:t xml:space="preserve"> ethnic minorities</w:t>
      </w:r>
      <w:r w:rsidR="004D72FA" w:rsidRPr="004D72FA">
        <w:t>.</w:t>
      </w:r>
      <w:r w:rsidR="00B845EF">
        <w:t xml:space="preserve"> The Committee is also concerned about the lack of information on measures adopted to ensure that all ethnic groups and migrant workers equally enjoy the rights </w:t>
      </w:r>
      <w:r w:rsidR="000E6112">
        <w:t>contained</w:t>
      </w:r>
      <w:r w:rsidR="00B845EF">
        <w:t xml:space="preserve"> in article 5 of the Convention</w:t>
      </w:r>
      <w:r w:rsidR="00322941">
        <w:t xml:space="preserve"> (arts</w:t>
      </w:r>
      <w:r w:rsidR="000E6112">
        <w:t>.</w:t>
      </w:r>
      <w:r w:rsidR="00322941">
        <w:t xml:space="preserve"> 2 and 5)</w:t>
      </w:r>
      <w:r w:rsidR="00B845EF">
        <w:t>.</w:t>
      </w:r>
    </w:p>
    <w:p w:rsidR="006F174D" w:rsidRPr="006F174D" w:rsidRDefault="00291C94" w:rsidP="00291C94">
      <w:pPr>
        <w:pStyle w:val="SingleTxtG"/>
        <w:rPr>
          <w:b/>
        </w:rPr>
      </w:pPr>
      <w:r w:rsidRPr="006F174D">
        <w:t>18.</w:t>
      </w:r>
      <w:r w:rsidRPr="006F174D">
        <w:tab/>
      </w:r>
      <w:r w:rsidR="004D72FA" w:rsidRPr="006F174D">
        <w:rPr>
          <w:b/>
        </w:rPr>
        <w:t>The Committee</w:t>
      </w:r>
      <w:r w:rsidR="00B845EF" w:rsidRPr="006F174D">
        <w:rPr>
          <w:b/>
        </w:rPr>
        <w:t xml:space="preserve"> reiterat</w:t>
      </w:r>
      <w:r w:rsidR="006F174D" w:rsidRPr="006F174D">
        <w:rPr>
          <w:b/>
        </w:rPr>
        <w:t xml:space="preserve">es its </w:t>
      </w:r>
      <w:r w:rsidR="00AB4A8D">
        <w:rPr>
          <w:b/>
        </w:rPr>
        <w:t xml:space="preserve">previous </w:t>
      </w:r>
      <w:r w:rsidR="006F174D" w:rsidRPr="006F174D">
        <w:rPr>
          <w:b/>
        </w:rPr>
        <w:t>recommendation</w:t>
      </w:r>
      <w:r w:rsidR="000E6112">
        <w:rPr>
          <w:b/>
        </w:rPr>
        <w:t xml:space="preserve"> (</w:t>
      </w:r>
      <w:r w:rsidR="006124D0">
        <w:rPr>
          <w:b/>
        </w:rPr>
        <w:t>s</w:t>
      </w:r>
      <w:r w:rsidR="000E6112">
        <w:rPr>
          <w:b/>
        </w:rPr>
        <w:t>ee CERD/C/OMN/CO/1, para. 17)</w:t>
      </w:r>
      <w:r w:rsidR="006F174D" w:rsidRPr="006F174D">
        <w:rPr>
          <w:b/>
        </w:rPr>
        <w:t xml:space="preserve"> that the S</w:t>
      </w:r>
      <w:r w:rsidR="00B845EF" w:rsidRPr="006F174D">
        <w:rPr>
          <w:b/>
        </w:rPr>
        <w:t xml:space="preserve">tate party take </w:t>
      </w:r>
      <w:r w:rsidR="00F16AD4">
        <w:rPr>
          <w:b/>
        </w:rPr>
        <w:t xml:space="preserve">the </w:t>
      </w:r>
      <w:r w:rsidR="00B845EF" w:rsidRPr="006F174D">
        <w:rPr>
          <w:b/>
        </w:rPr>
        <w:t xml:space="preserve">necessary measures, including </w:t>
      </w:r>
      <w:r w:rsidR="00F16AD4">
        <w:rPr>
          <w:b/>
        </w:rPr>
        <w:t xml:space="preserve">through </w:t>
      </w:r>
      <w:r w:rsidR="00B845EF" w:rsidRPr="006F174D">
        <w:rPr>
          <w:b/>
        </w:rPr>
        <w:t xml:space="preserve">special measures, to ensure the effective enjoyment of all rights </w:t>
      </w:r>
      <w:r w:rsidR="000E6112">
        <w:rPr>
          <w:b/>
        </w:rPr>
        <w:t>contained</w:t>
      </w:r>
      <w:r w:rsidR="00B845EF" w:rsidRPr="006F174D">
        <w:rPr>
          <w:b/>
        </w:rPr>
        <w:t xml:space="preserve"> in article 5 of the Co</w:t>
      </w:r>
      <w:r w:rsidR="00F20CBC">
        <w:rPr>
          <w:b/>
        </w:rPr>
        <w:t>nvention</w:t>
      </w:r>
      <w:r w:rsidR="00B845EF" w:rsidRPr="006F174D">
        <w:rPr>
          <w:b/>
        </w:rPr>
        <w:t xml:space="preserve"> by all ethnic groups and migrant workers living in the Stat</w:t>
      </w:r>
      <w:r w:rsidR="006F174D" w:rsidRPr="006F174D">
        <w:rPr>
          <w:b/>
        </w:rPr>
        <w:t>e party</w:t>
      </w:r>
      <w:r w:rsidR="00B845EF" w:rsidRPr="006F174D">
        <w:rPr>
          <w:b/>
        </w:rPr>
        <w:t xml:space="preserve">. The </w:t>
      </w:r>
      <w:r w:rsidR="006F174D" w:rsidRPr="006F174D">
        <w:rPr>
          <w:b/>
        </w:rPr>
        <w:t>Committee</w:t>
      </w:r>
      <w:r w:rsidR="00B845EF" w:rsidRPr="006F174D">
        <w:rPr>
          <w:b/>
        </w:rPr>
        <w:t xml:space="preserve"> further requests </w:t>
      </w:r>
      <w:r w:rsidR="006F174D" w:rsidRPr="006F174D">
        <w:rPr>
          <w:b/>
        </w:rPr>
        <w:t xml:space="preserve">that </w:t>
      </w:r>
      <w:r w:rsidR="00B845EF" w:rsidRPr="006F174D">
        <w:rPr>
          <w:b/>
        </w:rPr>
        <w:t xml:space="preserve">the State party provide </w:t>
      </w:r>
      <w:r w:rsidR="006F174D" w:rsidRPr="006F174D">
        <w:rPr>
          <w:b/>
        </w:rPr>
        <w:t xml:space="preserve">detailed </w:t>
      </w:r>
      <w:r w:rsidR="00B845EF" w:rsidRPr="006F174D">
        <w:rPr>
          <w:b/>
        </w:rPr>
        <w:t xml:space="preserve">information about </w:t>
      </w:r>
      <w:r w:rsidR="006F174D" w:rsidRPr="006F174D">
        <w:rPr>
          <w:b/>
        </w:rPr>
        <w:t xml:space="preserve">all </w:t>
      </w:r>
      <w:r w:rsidR="00F16AD4">
        <w:rPr>
          <w:b/>
        </w:rPr>
        <w:t xml:space="preserve">such </w:t>
      </w:r>
      <w:r w:rsidR="00AB4A8D">
        <w:rPr>
          <w:b/>
        </w:rPr>
        <w:t xml:space="preserve">measures </w:t>
      </w:r>
      <w:r w:rsidR="006F174D" w:rsidRPr="006F174D">
        <w:rPr>
          <w:b/>
        </w:rPr>
        <w:t xml:space="preserve">and their impact </w:t>
      </w:r>
      <w:r w:rsidR="00B845EF" w:rsidRPr="006F174D">
        <w:rPr>
          <w:b/>
        </w:rPr>
        <w:t>in its next periodic report.</w:t>
      </w:r>
    </w:p>
    <w:p w:rsidR="00E16270" w:rsidRDefault="00CD4268" w:rsidP="00CD4268">
      <w:pPr>
        <w:pStyle w:val="H23G"/>
      </w:pPr>
      <w:r>
        <w:tab/>
      </w:r>
      <w:r>
        <w:tab/>
      </w:r>
      <w:r w:rsidR="005174D3">
        <w:t>Migrant</w:t>
      </w:r>
      <w:r w:rsidR="00EF7760">
        <w:t xml:space="preserve"> workers</w:t>
      </w:r>
    </w:p>
    <w:p w:rsidR="006B3C17" w:rsidRDefault="00291C94" w:rsidP="00291C94">
      <w:pPr>
        <w:pStyle w:val="SingleTxtG"/>
      </w:pPr>
      <w:r>
        <w:t>19.</w:t>
      </w:r>
      <w:r>
        <w:tab/>
      </w:r>
      <w:r w:rsidR="00E16270" w:rsidRPr="00E16270">
        <w:t>The Committee is concer</w:t>
      </w:r>
      <w:r w:rsidR="00A51366">
        <w:t>ned about the persistence of</w:t>
      </w:r>
      <w:r w:rsidR="00C162D3">
        <w:t xml:space="preserve"> </w:t>
      </w:r>
      <w:r w:rsidR="000E6112">
        <w:t xml:space="preserve">the </w:t>
      </w:r>
      <w:r w:rsidR="00C162D3">
        <w:t>de facto</w:t>
      </w:r>
      <w:r w:rsidR="00E16270" w:rsidRPr="00E16270">
        <w:t xml:space="preserve"> </w:t>
      </w:r>
      <w:proofErr w:type="spellStart"/>
      <w:r w:rsidR="000E6112">
        <w:rPr>
          <w:i/>
        </w:rPr>
        <w:t>k</w:t>
      </w:r>
      <w:r w:rsidR="00E16270" w:rsidRPr="00006E3A">
        <w:rPr>
          <w:i/>
        </w:rPr>
        <w:t>afala</w:t>
      </w:r>
      <w:proofErr w:type="spellEnd"/>
      <w:r w:rsidR="00E16270" w:rsidRPr="00E16270">
        <w:t xml:space="preserve"> system in the State party </w:t>
      </w:r>
      <w:r w:rsidR="00901852">
        <w:t xml:space="preserve">that </w:t>
      </w:r>
      <w:r w:rsidR="00E16270" w:rsidRPr="00E16270">
        <w:t>govern</w:t>
      </w:r>
      <w:r w:rsidR="000E6112">
        <w:t>s</w:t>
      </w:r>
      <w:r w:rsidR="00E16270" w:rsidRPr="00E16270">
        <w:t xml:space="preserve"> the employment of migrant workers</w:t>
      </w:r>
      <w:r w:rsidR="000E6112">
        <w:t xml:space="preserve"> and</w:t>
      </w:r>
      <w:r w:rsidR="006B3C17" w:rsidRPr="00DD49D0">
        <w:t xml:space="preserve"> places them in a highly dependent relationship with their employers</w:t>
      </w:r>
      <w:r w:rsidR="00901852">
        <w:t>, which may involve</w:t>
      </w:r>
      <w:r w:rsidR="006B3C17" w:rsidRPr="00DD49D0">
        <w:t xml:space="preserve"> unpaid salaries</w:t>
      </w:r>
      <w:r w:rsidR="00901852">
        <w:t>,</w:t>
      </w:r>
      <w:r w:rsidR="006B3C17" w:rsidRPr="00DD49D0">
        <w:t xml:space="preserve"> unilateral cancellation of work permits by their employers</w:t>
      </w:r>
      <w:r w:rsidR="00901852">
        <w:t>,</w:t>
      </w:r>
      <w:r w:rsidR="006B3C17" w:rsidRPr="00DD49D0">
        <w:t xml:space="preserve"> poor a</w:t>
      </w:r>
      <w:r w:rsidR="00DD49D0">
        <w:t>nd unhygienic living conditions</w:t>
      </w:r>
      <w:r w:rsidR="00F16AD4">
        <w:t xml:space="preserve"> or confiscation of their passports</w:t>
      </w:r>
      <w:r w:rsidR="00E16270">
        <w:t>.</w:t>
      </w:r>
      <w:r w:rsidR="00F16AD4">
        <w:t xml:space="preserve"> The Committee is also</w:t>
      </w:r>
      <w:r w:rsidR="002406FD">
        <w:t xml:space="preserve"> con</w:t>
      </w:r>
      <w:r w:rsidR="00006E3A">
        <w:t xml:space="preserve">cerned about the </w:t>
      </w:r>
      <w:r w:rsidR="00322941">
        <w:t xml:space="preserve">existence of </w:t>
      </w:r>
      <w:r w:rsidR="00834A18">
        <w:t xml:space="preserve">many mediation and conciliation committees, the </w:t>
      </w:r>
      <w:r w:rsidR="00006E3A">
        <w:t>limited information provided o</w:t>
      </w:r>
      <w:r w:rsidR="00F16AD4">
        <w:t>n the outcomes of complain</w:t>
      </w:r>
      <w:r w:rsidR="00AB4A8D">
        <w:t>t</w:t>
      </w:r>
      <w:r w:rsidR="00F16AD4">
        <w:t>s sub</w:t>
      </w:r>
      <w:r w:rsidR="00006E3A">
        <w:t>mitted</w:t>
      </w:r>
      <w:r w:rsidR="00F16AD4">
        <w:t xml:space="preserve"> by migrant workers and the </w:t>
      </w:r>
      <w:r w:rsidR="00125E4E">
        <w:t>small</w:t>
      </w:r>
      <w:r w:rsidR="00F16AD4">
        <w:t xml:space="preserve"> number of cases </w:t>
      </w:r>
      <w:r w:rsidR="00901852">
        <w:t>brought before the</w:t>
      </w:r>
      <w:r w:rsidR="00F16AD4">
        <w:t xml:space="preserve"> courts despite the </w:t>
      </w:r>
      <w:r w:rsidR="00901852">
        <w:t>large</w:t>
      </w:r>
      <w:r w:rsidR="00F16AD4">
        <w:t xml:space="preserve"> number of complaints</w:t>
      </w:r>
      <w:r w:rsidR="00F20CBC">
        <w:t xml:space="preserve"> (art. 5)</w:t>
      </w:r>
      <w:r w:rsidR="002406FD">
        <w:rPr>
          <w:color w:val="000000"/>
          <w:lang w:eastAsia="en-GB"/>
        </w:rPr>
        <w:t>.</w:t>
      </w:r>
    </w:p>
    <w:p w:rsidR="009A362D" w:rsidRDefault="00291C94" w:rsidP="00291C94">
      <w:pPr>
        <w:pStyle w:val="SingleTxtG"/>
        <w:rPr>
          <w:b/>
        </w:rPr>
      </w:pPr>
      <w:r>
        <w:t>20.</w:t>
      </w:r>
      <w:r>
        <w:tab/>
      </w:r>
      <w:r w:rsidR="006B3C17" w:rsidRPr="00F16AD4">
        <w:rPr>
          <w:b/>
        </w:rPr>
        <w:t xml:space="preserve">The Committee recommends </w:t>
      </w:r>
      <w:r w:rsidR="00751D59">
        <w:rPr>
          <w:b/>
        </w:rPr>
        <w:t xml:space="preserve">that </w:t>
      </w:r>
      <w:r w:rsidR="002406FD" w:rsidRPr="00F16AD4">
        <w:rPr>
          <w:b/>
        </w:rPr>
        <w:t>the State party</w:t>
      </w:r>
      <w:r w:rsidR="009A362D">
        <w:rPr>
          <w:b/>
        </w:rPr>
        <w:t>:</w:t>
      </w:r>
    </w:p>
    <w:p w:rsidR="009A362D" w:rsidRPr="00050F04" w:rsidRDefault="00B057D2" w:rsidP="00291C94">
      <w:pPr>
        <w:pStyle w:val="SingleTxtG"/>
        <w:ind w:firstLine="567"/>
        <w:rPr>
          <w:b/>
        </w:rPr>
      </w:pPr>
      <w:r w:rsidRPr="00291C94">
        <w:rPr>
          <w:bCs/>
        </w:rPr>
        <w:t>(a)</w:t>
      </w:r>
      <w:r>
        <w:rPr>
          <w:b/>
        </w:rPr>
        <w:tab/>
      </w:r>
      <w:r w:rsidR="009A362D">
        <w:rPr>
          <w:b/>
        </w:rPr>
        <w:t>A</w:t>
      </w:r>
      <w:r w:rsidR="006B3C17" w:rsidRPr="00F16AD4">
        <w:rPr>
          <w:b/>
        </w:rPr>
        <w:t>bolish the</w:t>
      </w:r>
      <w:r w:rsidR="00C162D3">
        <w:rPr>
          <w:b/>
        </w:rPr>
        <w:t xml:space="preserve"> de facto</w:t>
      </w:r>
      <w:r w:rsidR="006B3C17" w:rsidRPr="00F16AD4">
        <w:rPr>
          <w:b/>
        </w:rPr>
        <w:t xml:space="preserve"> </w:t>
      </w:r>
      <w:proofErr w:type="spellStart"/>
      <w:r w:rsidR="00901852">
        <w:rPr>
          <w:b/>
          <w:i/>
        </w:rPr>
        <w:t>k</w:t>
      </w:r>
      <w:r w:rsidR="006B3C17" w:rsidRPr="00CD574E">
        <w:rPr>
          <w:b/>
          <w:i/>
        </w:rPr>
        <w:t>afala</w:t>
      </w:r>
      <w:proofErr w:type="spellEnd"/>
      <w:r w:rsidR="006B3C17" w:rsidRPr="00F16AD4">
        <w:rPr>
          <w:b/>
        </w:rPr>
        <w:t xml:space="preserve"> (</w:t>
      </w:r>
      <w:r w:rsidR="006B3C17" w:rsidRPr="00050F04">
        <w:rPr>
          <w:b/>
        </w:rPr>
        <w:t xml:space="preserve">sponsorship) system for </w:t>
      </w:r>
      <w:r w:rsidR="00901852">
        <w:rPr>
          <w:b/>
        </w:rPr>
        <w:t>hiring</w:t>
      </w:r>
      <w:r w:rsidR="00322941">
        <w:rPr>
          <w:b/>
        </w:rPr>
        <w:t xml:space="preserve"> </w:t>
      </w:r>
      <w:r w:rsidR="009A362D" w:rsidRPr="00050F04">
        <w:rPr>
          <w:b/>
        </w:rPr>
        <w:t>migrant workers</w:t>
      </w:r>
      <w:r w:rsidR="00DD49D0" w:rsidRPr="00050F04">
        <w:rPr>
          <w:b/>
        </w:rPr>
        <w:t xml:space="preserve"> and substitute it with</w:t>
      </w:r>
      <w:r w:rsidR="002406FD" w:rsidRPr="00050F04">
        <w:rPr>
          <w:b/>
        </w:rPr>
        <w:t xml:space="preserve"> a framework that guarantees respect for the rights of migrant work</w:t>
      </w:r>
      <w:r w:rsidR="009A362D" w:rsidRPr="00050F04">
        <w:rPr>
          <w:b/>
        </w:rPr>
        <w:t>ers</w:t>
      </w:r>
      <w:r w:rsidR="00901852">
        <w:rPr>
          <w:b/>
        </w:rPr>
        <w:t xml:space="preserve"> and </w:t>
      </w:r>
      <w:r w:rsidR="006124D0">
        <w:rPr>
          <w:b/>
        </w:rPr>
        <w:t xml:space="preserve">is </w:t>
      </w:r>
      <w:r w:rsidR="00050F04" w:rsidRPr="00050F04">
        <w:rPr>
          <w:b/>
        </w:rPr>
        <w:t>aim</w:t>
      </w:r>
      <w:r w:rsidR="00901852">
        <w:rPr>
          <w:b/>
        </w:rPr>
        <w:t>ed</w:t>
      </w:r>
      <w:r w:rsidR="00050F04" w:rsidRPr="00050F04">
        <w:rPr>
          <w:b/>
        </w:rPr>
        <w:t xml:space="preserve"> at reducing </w:t>
      </w:r>
      <w:r w:rsidR="00901852">
        <w:rPr>
          <w:b/>
        </w:rPr>
        <w:t xml:space="preserve">the vulnerability of </w:t>
      </w:r>
      <w:r w:rsidR="00050F04" w:rsidRPr="00050F04">
        <w:rPr>
          <w:b/>
        </w:rPr>
        <w:t>migrant workers to exploitation and abuse by their employers</w:t>
      </w:r>
      <w:r w:rsidR="009A362D" w:rsidRPr="00050F04">
        <w:rPr>
          <w:b/>
        </w:rPr>
        <w:t>;</w:t>
      </w:r>
    </w:p>
    <w:p w:rsidR="009A362D" w:rsidRDefault="00B057D2" w:rsidP="00291C94">
      <w:pPr>
        <w:pStyle w:val="SingleTxtG"/>
        <w:ind w:firstLine="567"/>
        <w:rPr>
          <w:b/>
        </w:rPr>
      </w:pPr>
      <w:r w:rsidRPr="00291C94">
        <w:rPr>
          <w:bCs/>
        </w:rPr>
        <w:t>(b)</w:t>
      </w:r>
      <w:r>
        <w:rPr>
          <w:b/>
        </w:rPr>
        <w:tab/>
      </w:r>
      <w:r w:rsidR="00996F3F">
        <w:rPr>
          <w:b/>
        </w:rPr>
        <w:t>I</w:t>
      </w:r>
      <w:r w:rsidR="00050F04" w:rsidRPr="00996F3F">
        <w:rPr>
          <w:b/>
        </w:rPr>
        <w:t>ntensify its efforts to prevent</w:t>
      </w:r>
      <w:r w:rsidR="006124D0">
        <w:rPr>
          <w:b/>
        </w:rPr>
        <w:t xml:space="preserve"> and</w:t>
      </w:r>
      <w:r w:rsidR="00050F04" w:rsidRPr="00996F3F">
        <w:rPr>
          <w:b/>
        </w:rPr>
        <w:t xml:space="preserve"> investigate cases of</w:t>
      </w:r>
      <w:r w:rsidR="00901852">
        <w:rPr>
          <w:b/>
        </w:rPr>
        <w:t xml:space="preserve"> abuse of</w:t>
      </w:r>
      <w:r w:rsidR="00050F04" w:rsidRPr="00996F3F">
        <w:rPr>
          <w:b/>
        </w:rPr>
        <w:t xml:space="preserve"> </w:t>
      </w:r>
      <w:r w:rsidR="00996F3F" w:rsidRPr="00996F3F">
        <w:rPr>
          <w:b/>
        </w:rPr>
        <w:t xml:space="preserve">migrant workers, including </w:t>
      </w:r>
      <w:r w:rsidR="00050F04" w:rsidRPr="00996F3F">
        <w:rPr>
          <w:b/>
        </w:rPr>
        <w:t>forced labour</w:t>
      </w:r>
      <w:r w:rsidR="00996F3F" w:rsidRPr="00996F3F">
        <w:rPr>
          <w:b/>
        </w:rPr>
        <w:t xml:space="preserve">, and </w:t>
      </w:r>
      <w:r w:rsidR="006124D0">
        <w:rPr>
          <w:b/>
        </w:rPr>
        <w:t xml:space="preserve">prosecute those responsible, to </w:t>
      </w:r>
      <w:r w:rsidR="00996F3F" w:rsidRPr="00996F3F">
        <w:rPr>
          <w:b/>
        </w:rPr>
        <w:t xml:space="preserve">increase </w:t>
      </w:r>
      <w:r w:rsidR="00F20CBC">
        <w:rPr>
          <w:b/>
        </w:rPr>
        <w:t>the number and presence</w:t>
      </w:r>
      <w:r w:rsidR="00996F3F" w:rsidRPr="00996F3F">
        <w:rPr>
          <w:b/>
        </w:rPr>
        <w:t xml:space="preserve"> of </w:t>
      </w:r>
      <w:r w:rsidR="00322941">
        <w:rPr>
          <w:b/>
        </w:rPr>
        <w:t>qualified</w:t>
      </w:r>
      <w:r w:rsidR="00996F3F" w:rsidRPr="00996F3F">
        <w:rPr>
          <w:b/>
        </w:rPr>
        <w:t xml:space="preserve"> and trained labour inspectors</w:t>
      </w:r>
      <w:r w:rsidR="00F20CBC">
        <w:rPr>
          <w:b/>
        </w:rPr>
        <w:t xml:space="preserve"> and </w:t>
      </w:r>
      <w:r w:rsidR="006124D0">
        <w:rPr>
          <w:b/>
        </w:rPr>
        <w:t xml:space="preserve">to </w:t>
      </w:r>
      <w:r w:rsidR="00F20CBC">
        <w:rPr>
          <w:b/>
        </w:rPr>
        <w:t>inform the Committee</w:t>
      </w:r>
      <w:r w:rsidR="00A26255">
        <w:rPr>
          <w:b/>
        </w:rPr>
        <w:t xml:space="preserve"> </w:t>
      </w:r>
      <w:r w:rsidR="00901852">
        <w:rPr>
          <w:b/>
        </w:rPr>
        <w:t>about</w:t>
      </w:r>
      <w:r w:rsidR="00A26255">
        <w:rPr>
          <w:b/>
        </w:rPr>
        <w:t xml:space="preserve"> the results of these</w:t>
      </w:r>
      <w:r w:rsidR="00F20CBC">
        <w:rPr>
          <w:b/>
        </w:rPr>
        <w:t xml:space="preserve"> investigations</w:t>
      </w:r>
      <w:r w:rsidR="00EF3A25">
        <w:rPr>
          <w:b/>
        </w:rPr>
        <w:t>;</w:t>
      </w:r>
    </w:p>
    <w:p w:rsidR="009A362D" w:rsidRDefault="00B057D2" w:rsidP="00291C94">
      <w:pPr>
        <w:pStyle w:val="SingleTxtG"/>
        <w:ind w:firstLine="567"/>
        <w:rPr>
          <w:b/>
        </w:rPr>
      </w:pPr>
      <w:r w:rsidRPr="00291C94">
        <w:rPr>
          <w:bCs/>
        </w:rPr>
        <w:t>(c)</w:t>
      </w:r>
      <w:r>
        <w:rPr>
          <w:b/>
        </w:rPr>
        <w:tab/>
      </w:r>
      <w:r w:rsidR="009A362D">
        <w:rPr>
          <w:b/>
        </w:rPr>
        <w:t>R</w:t>
      </w:r>
      <w:r w:rsidR="00F16AD4" w:rsidRPr="009A362D">
        <w:rPr>
          <w:b/>
        </w:rPr>
        <w:t xml:space="preserve">einforce existing mechanisms for </w:t>
      </w:r>
      <w:r w:rsidR="006124D0">
        <w:rPr>
          <w:b/>
        </w:rPr>
        <w:t xml:space="preserve">the submission of </w:t>
      </w:r>
      <w:r w:rsidR="00F16AD4" w:rsidRPr="009A362D">
        <w:rPr>
          <w:b/>
        </w:rPr>
        <w:t>complaints by migrant workers</w:t>
      </w:r>
      <w:r w:rsidR="0002776F">
        <w:rPr>
          <w:b/>
        </w:rPr>
        <w:t>,</w:t>
      </w:r>
      <w:r w:rsidR="009A362D">
        <w:rPr>
          <w:b/>
        </w:rPr>
        <w:t xml:space="preserve"> </w:t>
      </w:r>
      <w:r w:rsidR="00F16AD4" w:rsidRPr="009A362D">
        <w:rPr>
          <w:b/>
        </w:rPr>
        <w:t xml:space="preserve">with a view to ensuring </w:t>
      </w:r>
      <w:r w:rsidR="009A362D">
        <w:rPr>
          <w:b/>
        </w:rPr>
        <w:t>the</w:t>
      </w:r>
      <w:r w:rsidR="00F16AD4" w:rsidRPr="009A362D">
        <w:rPr>
          <w:b/>
        </w:rPr>
        <w:t xml:space="preserve"> independence and effectiveness</w:t>
      </w:r>
      <w:r w:rsidR="00322941">
        <w:rPr>
          <w:b/>
        </w:rPr>
        <w:t xml:space="preserve"> of these mechanisms, and ensure</w:t>
      </w:r>
      <w:r w:rsidR="009A362D">
        <w:rPr>
          <w:b/>
        </w:rPr>
        <w:t xml:space="preserve"> that migrant workers can submit complaints without fear of reprisals;</w:t>
      </w:r>
    </w:p>
    <w:p w:rsidR="009A362D" w:rsidRDefault="00B057D2" w:rsidP="00291C94">
      <w:pPr>
        <w:pStyle w:val="SingleTxtG"/>
        <w:ind w:firstLine="567"/>
        <w:rPr>
          <w:b/>
        </w:rPr>
      </w:pPr>
      <w:r w:rsidRPr="00291C94">
        <w:rPr>
          <w:bCs/>
        </w:rPr>
        <w:t>(d)</w:t>
      </w:r>
      <w:r w:rsidRPr="00291C94">
        <w:rPr>
          <w:bCs/>
        </w:rPr>
        <w:tab/>
      </w:r>
      <w:r w:rsidR="009A362D">
        <w:rPr>
          <w:b/>
        </w:rPr>
        <w:t>T</w:t>
      </w:r>
      <w:r w:rsidR="00F16AD4" w:rsidRPr="009A362D">
        <w:rPr>
          <w:b/>
        </w:rPr>
        <w:t xml:space="preserve">ake measures </w:t>
      </w:r>
      <w:r w:rsidR="009A362D" w:rsidRPr="009A362D">
        <w:rPr>
          <w:b/>
        </w:rPr>
        <w:t xml:space="preserve">to </w:t>
      </w:r>
      <w:r w:rsidR="00F16AD4" w:rsidRPr="009A362D">
        <w:rPr>
          <w:b/>
        </w:rPr>
        <w:t xml:space="preserve">raise awareness </w:t>
      </w:r>
      <w:r w:rsidR="009A362D" w:rsidRPr="009A362D">
        <w:rPr>
          <w:b/>
        </w:rPr>
        <w:t xml:space="preserve">among migrant workers about all existing channels for </w:t>
      </w:r>
      <w:r w:rsidR="0002776F">
        <w:rPr>
          <w:b/>
        </w:rPr>
        <w:t xml:space="preserve">submitting </w:t>
      </w:r>
      <w:r w:rsidR="009A362D" w:rsidRPr="009A362D">
        <w:rPr>
          <w:b/>
        </w:rPr>
        <w:t>complaints</w:t>
      </w:r>
      <w:r w:rsidR="00AB4A8D">
        <w:rPr>
          <w:b/>
        </w:rPr>
        <w:t xml:space="preserve">, including </w:t>
      </w:r>
      <w:r w:rsidR="0002776F">
        <w:rPr>
          <w:b/>
        </w:rPr>
        <w:t>filing</w:t>
      </w:r>
      <w:r w:rsidR="00AB4A8D">
        <w:rPr>
          <w:b/>
        </w:rPr>
        <w:t xml:space="preserve"> </w:t>
      </w:r>
      <w:r w:rsidR="009A362D" w:rsidRPr="009A362D">
        <w:rPr>
          <w:b/>
        </w:rPr>
        <w:t xml:space="preserve">cases with </w:t>
      </w:r>
      <w:r w:rsidR="009A362D">
        <w:rPr>
          <w:b/>
        </w:rPr>
        <w:t xml:space="preserve">the </w:t>
      </w:r>
      <w:r w:rsidR="009A362D" w:rsidRPr="009A362D">
        <w:rPr>
          <w:b/>
        </w:rPr>
        <w:t>courts</w:t>
      </w:r>
      <w:r w:rsidR="009A362D">
        <w:rPr>
          <w:b/>
        </w:rPr>
        <w:t xml:space="preserve">, and, to this end, </w:t>
      </w:r>
      <w:r w:rsidR="009A362D" w:rsidRPr="009A362D">
        <w:rPr>
          <w:b/>
        </w:rPr>
        <w:t xml:space="preserve">provide legal information and advisory services to victims and guarantee access </w:t>
      </w:r>
      <w:r w:rsidR="009A362D">
        <w:rPr>
          <w:b/>
        </w:rPr>
        <w:t>to those services;</w:t>
      </w:r>
    </w:p>
    <w:p w:rsidR="00F16AD4" w:rsidRPr="00F16AD4" w:rsidRDefault="00B057D2" w:rsidP="00291C94">
      <w:pPr>
        <w:pStyle w:val="SingleTxtG"/>
        <w:ind w:firstLine="567"/>
        <w:rPr>
          <w:b/>
        </w:rPr>
      </w:pPr>
      <w:r w:rsidRPr="00291C94">
        <w:rPr>
          <w:bCs/>
        </w:rPr>
        <w:t>(e)</w:t>
      </w:r>
      <w:r>
        <w:rPr>
          <w:b/>
        </w:rPr>
        <w:tab/>
      </w:r>
      <w:r w:rsidR="009A362D">
        <w:rPr>
          <w:b/>
        </w:rPr>
        <w:t>Provide detailed informati</w:t>
      </w:r>
      <w:r w:rsidR="00322941">
        <w:rPr>
          <w:b/>
        </w:rPr>
        <w:t>on in its next periodic report o</w:t>
      </w:r>
      <w:r w:rsidR="009A362D">
        <w:rPr>
          <w:b/>
        </w:rPr>
        <w:t>n the number of complain</w:t>
      </w:r>
      <w:r w:rsidR="00322941">
        <w:rPr>
          <w:b/>
        </w:rPr>
        <w:t>ts submitted by migrant workers</w:t>
      </w:r>
      <w:r w:rsidR="009A362D">
        <w:rPr>
          <w:b/>
        </w:rPr>
        <w:t xml:space="preserve"> and the</w:t>
      </w:r>
      <w:r w:rsidR="00322941">
        <w:rPr>
          <w:b/>
        </w:rPr>
        <w:t>ir outcomes</w:t>
      </w:r>
      <w:r w:rsidR="009A362D">
        <w:rPr>
          <w:b/>
        </w:rPr>
        <w:t>.</w:t>
      </w:r>
    </w:p>
    <w:p w:rsidR="007E7976" w:rsidRPr="00F16AD4" w:rsidRDefault="00CD4268" w:rsidP="00CD4268">
      <w:pPr>
        <w:pStyle w:val="H23G"/>
      </w:pPr>
      <w:r>
        <w:tab/>
      </w:r>
      <w:r>
        <w:tab/>
      </w:r>
      <w:r w:rsidR="005D1520" w:rsidRPr="00F16AD4">
        <w:t>D</w:t>
      </w:r>
      <w:r w:rsidR="005174D3" w:rsidRPr="00F16AD4">
        <w:t>omestic workers</w:t>
      </w:r>
      <w:r w:rsidR="005D1520" w:rsidRPr="00F16AD4">
        <w:t xml:space="preserve"> </w:t>
      </w:r>
    </w:p>
    <w:p w:rsidR="005174D3" w:rsidRDefault="00291C94" w:rsidP="006A4E4C">
      <w:pPr>
        <w:pStyle w:val="SingleTxtG"/>
        <w:keepNext/>
        <w:keepLines/>
      </w:pPr>
      <w:r>
        <w:t>21.</w:t>
      </w:r>
      <w:r>
        <w:tab/>
      </w:r>
      <w:r w:rsidR="007E7976" w:rsidRPr="007E7976">
        <w:t>The Committee is concerned that domestic workers</w:t>
      </w:r>
      <w:r w:rsidR="00751D59">
        <w:t>, mostly women</w:t>
      </w:r>
      <w:r w:rsidR="00F20CBC">
        <w:t xml:space="preserve"> who are foreign nationals</w:t>
      </w:r>
      <w:r w:rsidR="00751D59">
        <w:t>, are excluded from the ambit of</w:t>
      </w:r>
      <w:r w:rsidR="007E7976" w:rsidRPr="007E7976">
        <w:t xml:space="preserve"> </w:t>
      </w:r>
      <w:r w:rsidR="00F32542">
        <w:t xml:space="preserve">national </w:t>
      </w:r>
      <w:r w:rsidR="007E7976" w:rsidRPr="007E7976">
        <w:t xml:space="preserve">labour </w:t>
      </w:r>
      <w:proofErr w:type="gramStart"/>
      <w:r w:rsidR="007E7976" w:rsidRPr="007E7976">
        <w:t>laws,</w:t>
      </w:r>
      <w:proofErr w:type="gramEnd"/>
      <w:r w:rsidR="007E7976" w:rsidRPr="007E7976">
        <w:t xml:space="preserve"> instead </w:t>
      </w:r>
      <w:r w:rsidR="007E7976">
        <w:t>Ministerial O</w:t>
      </w:r>
      <w:r w:rsidR="007E7976" w:rsidRPr="007E7976">
        <w:t xml:space="preserve">rders </w:t>
      </w:r>
      <w:r w:rsidR="00F32542">
        <w:t>N</w:t>
      </w:r>
      <w:r w:rsidR="007E7976" w:rsidRPr="007E7976">
        <w:t>o. 18</w:t>
      </w:r>
      <w:r w:rsidR="00284DFE">
        <w:t xml:space="preserve">9/2004 and </w:t>
      </w:r>
      <w:r w:rsidR="00F32542">
        <w:t xml:space="preserve">No. </w:t>
      </w:r>
      <w:r w:rsidR="00284DFE">
        <w:t xml:space="preserve">1/2011 </w:t>
      </w:r>
      <w:r w:rsidR="00F32542">
        <w:t>govern</w:t>
      </w:r>
      <w:r w:rsidR="00284DFE">
        <w:t xml:space="preserve"> the</w:t>
      </w:r>
      <w:r w:rsidR="007E7976" w:rsidRPr="007E7976">
        <w:t xml:space="preserve"> work</w:t>
      </w:r>
      <w:r w:rsidR="00140CC9">
        <w:t xml:space="preserve"> of domestic workers. The Committee is concerned that</w:t>
      </w:r>
      <w:r w:rsidR="00F32542">
        <w:t>,</w:t>
      </w:r>
      <w:r w:rsidR="00140CC9">
        <w:t xml:space="preserve"> as a result</w:t>
      </w:r>
      <w:r w:rsidR="00322941">
        <w:t>,</w:t>
      </w:r>
      <w:r w:rsidR="00140CC9">
        <w:t xml:space="preserve"> domestic workers are deprived </w:t>
      </w:r>
      <w:r w:rsidR="00F32542">
        <w:t>of</w:t>
      </w:r>
      <w:r w:rsidR="00140CC9">
        <w:t xml:space="preserve"> fundamental rights and subject </w:t>
      </w:r>
      <w:r w:rsidR="00FB3DD9">
        <w:t xml:space="preserve">to a higher risk </w:t>
      </w:r>
      <w:r w:rsidR="00B44B43">
        <w:t>of abuse</w:t>
      </w:r>
      <w:r w:rsidR="00C162D3">
        <w:t>, including sexual exploitation,</w:t>
      </w:r>
      <w:r w:rsidR="00B44B43">
        <w:t xml:space="preserve"> by </w:t>
      </w:r>
      <w:r w:rsidR="00140CC9">
        <w:t xml:space="preserve">their </w:t>
      </w:r>
      <w:r w:rsidR="00B44B43">
        <w:t>employers</w:t>
      </w:r>
      <w:r w:rsidR="00322941">
        <w:t xml:space="preserve"> (art</w:t>
      </w:r>
      <w:r w:rsidR="007E7976">
        <w:t>.</w:t>
      </w:r>
      <w:r w:rsidR="00322941">
        <w:t xml:space="preserve"> 5)</w:t>
      </w:r>
      <w:r w:rsidR="007B3AF5">
        <w:t>.</w:t>
      </w:r>
    </w:p>
    <w:p w:rsidR="00661E86" w:rsidRPr="00661E86" w:rsidRDefault="00291C94" w:rsidP="00291C94">
      <w:pPr>
        <w:pStyle w:val="SingleTxtG"/>
        <w:rPr>
          <w:b/>
        </w:rPr>
      </w:pPr>
      <w:r w:rsidRPr="00661E86">
        <w:t>22.</w:t>
      </w:r>
      <w:r w:rsidRPr="00661E86">
        <w:tab/>
      </w:r>
      <w:r w:rsidR="00C67C59" w:rsidRPr="00C9275F">
        <w:rPr>
          <w:b/>
        </w:rPr>
        <w:t xml:space="preserve">The Committee recommends that </w:t>
      </w:r>
      <w:r w:rsidR="00284DFE" w:rsidRPr="00C9275F">
        <w:rPr>
          <w:b/>
        </w:rPr>
        <w:t>the State party rectify this human rights protection lacuna by</w:t>
      </w:r>
      <w:r w:rsidR="00B44B43">
        <w:rPr>
          <w:b/>
        </w:rPr>
        <w:t xml:space="preserve"> extending </w:t>
      </w:r>
      <w:r w:rsidR="00F32542">
        <w:rPr>
          <w:b/>
        </w:rPr>
        <w:t xml:space="preserve">the ambit of the national </w:t>
      </w:r>
      <w:r w:rsidR="00B44B43">
        <w:rPr>
          <w:b/>
        </w:rPr>
        <w:t>labour law</w:t>
      </w:r>
      <w:r w:rsidR="00322941">
        <w:rPr>
          <w:b/>
        </w:rPr>
        <w:t>s</w:t>
      </w:r>
      <w:r w:rsidR="00B44B43">
        <w:rPr>
          <w:b/>
        </w:rPr>
        <w:t xml:space="preserve"> </w:t>
      </w:r>
      <w:r w:rsidR="00140CC9">
        <w:rPr>
          <w:b/>
        </w:rPr>
        <w:t>to domestic worker</w:t>
      </w:r>
      <w:r w:rsidR="00322941">
        <w:rPr>
          <w:b/>
        </w:rPr>
        <w:t>s</w:t>
      </w:r>
      <w:r w:rsidR="00B44B43">
        <w:rPr>
          <w:b/>
        </w:rPr>
        <w:t>,</w:t>
      </w:r>
      <w:r w:rsidR="00F32542">
        <w:rPr>
          <w:b/>
        </w:rPr>
        <w:t xml:space="preserve"> which would </w:t>
      </w:r>
      <w:r w:rsidR="00B44B43">
        <w:rPr>
          <w:b/>
        </w:rPr>
        <w:t xml:space="preserve">also </w:t>
      </w:r>
      <w:r w:rsidR="00F32542">
        <w:rPr>
          <w:b/>
        </w:rPr>
        <w:t xml:space="preserve">serve as </w:t>
      </w:r>
      <w:r w:rsidR="00B44B43">
        <w:rPr>
          <w:b/>
        </w:rPr>
        <w:t xml:space="preserve">a means </w:t>
      </w:r>
      <w:r w:rsidR="00F32542">
        <w:rPr>
          <w:b/>
        </w:rPr>
        <w:t>of</w:t>
      </w:r>
      <w:r w:rsidR="00B44B43">
        <w:rPr>
          <w:b/>
        </w:rPr>
        <w:t xml:space="preserve"> reduc</w:t>
      </w:r>
      <w:r w:rsidR="00F32542">
        <w:rPr>
          <w:b/>
        </w:rPr>
        <w:t>ing</w:t>
      </w:r>
      <w:r w:rsidR="00B44B43">
        <w:rPr>
          <w:b/>
        </w:rPr>
        <w:t xml:space="preserve"> their vulnerability to </w:t>
      </w:r>
      <w:r w:rsidR="00F32542">
        <w:rPr>
          <w:b/>
        </w:rPr>
        <w:t>abuse</w:t>
      </w:r>
      <w:r w:rsidR="00C162D3">
        <w:rPr>
          <w:b/>
        </w:rPr>
        <w:t>, including sexual exploitation,</w:t>
      </w:r>
      <w:r w:rsidR="00B44B43">
        <w:rPr>
          <w:b/>
        </w:rPr>
        <w:t xml:space="preserve"> </w:t>
      </w:r>
      <w:r w:rsidR="00125E4E">
        <w:rPr>
          <w:b/>
        </w:rPr>
        <w:t xml:space="preserve">by employers </w:t>
      </w:r>
      <w:r w:rsidR="00B44B43">
        <w:rPr>
          <w:b/>
        </w:rPr>
        <w:t xml:space="preserve">and facilitate their enjoyment of all rights, </w:t>
      </w:r>
      <w:r w:rsidR="00F32542">
        <w:rPr>
          <w:b/>
        </w:rPr>
        <w:t xml:space="preserve">in </w:t>
      </w:r>
      <w:r w:rsidR="00B44B43">
        <w:rPr>
          <w:b/>
        </w:rPr>
        <w:t>particular freedom of movement</w:t>
      </w:r>
      <w:r w:rsidR="00F32542">
        <w:rPr>
          <w:b/>
        </w:rPr>
        <w:t>, and</w:t>
      </w:r>
      <w:r w:rsidR="00B44B43">
        <w:rPr>
          <w:b/>
        </w:rPr>
        <w:t xml:space="preserve"> the rights to work, free choice of employment, just and favourable conditions of work and to form and join trade unions</w:t>
      </w:r>
      <w:r w:rsidR="00C9275F" w:rsidRPr="00C9275F">
        <w:rPr>
          <w:b/>
        </w:rPr>
        <w:t xml:space="preserve">. </w:t>
      </w:r>
      <w:r w:rsidR="00C9275F">
        <w:rPr>
          <w:b/>
        </w:rPr>
        <w:t xml:space="preserve">The Committee also invites the State party to consider </w:t>
      </w:r>
      <w:r w:rsidR="00C9275F">
        <w:rPr>
          <w:b/>
          <w:bCs/>
        </w:rPr>
        <w:t>r</w:t>
      </w:r>
      <w:r w:rsidR="005D1520" w:rsidRPr="00C9275F">
        <w:rPr>
          <w:b/>
          <w:bCs/>
        </w:rPr>
        <w:t>atify</w:t>
      </w:r>
      <w:r w:rsidR="00C9275F">
        <w:rPr>
          <w:b/>
          <w:bCs/>
        </w:rPr>
        <w:t>ing</w:t>
      </w:r>
      <w:r w:rsidR="005D1520" w:rsidRPr="00C9275F">
        <w:rPr>
          <w:b/>
          <w:bCs/>
        </w:rPr>
        <w:t xml:space="preserve"> </w:t>
      </w:r>
      <w:r w:rsidR="00F32542" w:rsidRPr="00C9275F">
        <w:rPr>
          <w:b/>
          <w:bCs/>
        </w:rPr>
        <w:t>International Labour Organization</w:t>
      </w:r>
      <w:r w:rsidR="005D1520" w:rsidRPr="00C9275F">
        <w:rPr>
          <w:b/>
          <w:bCs/>
        </w:rPr>
        <w:t xml:space="preserve"> Domestic Workers Convention, 2011 (No. 189),</w:t>
      </w:r>
      <w:r w:rsidR="00B44B43">
        <w:rPr>
          <w:b/>
          <w:bCs/>
        </w:rPr>
        <w:t xml:space="preserve"> especially </w:t>
      </w:r>
      <w:r w:rsidR="00F32542">
        <w:rPr>
          <w:b/>
          <w:bCs/>
        </w:rPr>
        <w:t>given</w:t>
      </w:r>
      <w:r w:rsidR="00B44B43">
        <w:rPr>
          <w:b/>
          <w:bCs/>
        </w:rPr>
        <w:t xml:space="preserve"> the large number of domestic w</w:t>
      </w:r>
      <w:r w:rsidR="00140CC9">
        <w:rPr>
          <w:b/>
          <w:bCs/>
        </w:rPr>
        <w:t xml:space="preserve">orkers </w:t>
      </w:r>
      <w:r w:rsidR="00B44B43">
        <w:rPr>
          <w:b/>
          <w:bCs/>
        </w:rPr>
        <w:t>in the State party.</w:t>
      </w:r>
    </w:p>
    <w:p w:rsidR="00D1161E" w:rsidRDefault="00CD4268" w:rsidP="00CD4268">
      <w:pPr>
        <w:pStyle w:val="H23G"/>
      </w:pPr>
      <w:r>
        <w:tab/>
      </w:r>
      <w:r>
        <w:tab/>
      </w:r>
      <w:r w:rsidR="00D1161E">
        <w:t>Trafficking in persons</w:t>
      </w:r>
    </w:p>
    <w:p w:rsidR="00D1161E" w:rsidRPr="00890A61" w:rsidRDefault="00291C94" w:rsidP="00291C94">
      <w:pPr>
        <w:pStyle w:val="SingleTxtG"/>
      </w:pPr>
      <w:r w:rsidRPr="00890A61">
        <w:t>23.</w:t>
      </w:r>
      <w:r w:rsidRPr="00890A61">
        <w:tab/>
      </w:r>
      <w:r w:rsidR="00D1161E" w:rsidRPr="00890A61">
        <w:t>The Committee is concerned that the State party is a transit and destination country for human trafficking</w:t>
      </w:r>
      <w:r w:rsidR="00665398">
        <w:t xml:space="preserve">, </w:t>
      </w:r>
      <w:r w:rsidR="006023A0" w:rsidRPr="006023A0">
        <w:t xml:space="preserve">primarily of migrants from India, Pakistan, Bangladesh, Sri Lanka, the Philippines and Indonesia, </w:t>
      </w:r>
      <w:r w:rsidR="00F32542">
        <w:t>mainly</w:t>
      </w:r>
      <w:r w:rsidR="00D1161E" w:rsidRPr="00890A61">
        <w:t xml:space="preserve"> for purposes of forced labour and</w:t>
      </w:r>
      <w:r w:rsidR="00F32542">
        <w:t>,</w:t>
      </w:r>
      <w:r w:rsidR="00D1161E" w:rsidRPr="00890A61">
        <w:t xml:space="preserve"> to a lesser extent</w:t>
      </w:r>
      <w:r w:rsidR="00F32542">
        <w:t>,</w:t>
      </w:r>
      <w:r w:rsidR="00D1161E" w:rsidRPr="00890A61">
        <w:t xml:space="preserve"> forced prostitution. The Committee </w:t>
      </w:r>
      <w:r w:rsidR="00A73D99" w:rsidRPr="00890A61">
        <w:t xml:space="preserve">is also concerned about the limited </w:t>
      </w:r>
      <w:r w:rsidR="00F32542">
        <w:t xml:space="preserve">number of </w:t>
      </w:r>
      <w:r w:rsidR="00A73D99" w:rsidRPr="00890A61">
        <w:t xml:space="preserve">investigations </w:t>
      </w:r>
      <w:r w:rsidR="00F32542">
        <w:t>into</w:t>
      </w:r>
      <w:r w:rsidR="00F20CBC">
        <w:t xml:space="preserve"> this matter</w:t>
      </w:r>
      <w:r w:rsidR="00F20CBC" w:rsidRPr="00890A61">
        <w:t xml:space="preserve"> </w:t>
      </w:r>
      <w:r w:rsidR="00A73D99" w:rsidRPr="00890A61">
        <w:t>and the lack of information on court cases and sentences handed down in trafficking cases</w:t>
      </w:r>
      <w:r w:rsidR="00322941">
        <w:t xml:space="preserve"> (arts</w:t>
      </w:r>
      <w:r w:rsidR="00A73D99" w:rsidRPr="00890A61">
        <w:t>.</w:t>
      </w:r>
      <w:r w:rsidR="00322941">
        <w:t xml:space="preserve"> 5 and 6)</w:t>
      </w:r>
      <w:r w:rsidR="007B3AF5">
        <w:t>.</w:t>
      </w:r>
    </w:p>
    <w:p w:rsidR="006A6F15" w:rsidRDefault="00291C94" w:rsidP="00291C94">
      <w:pPr>
        <w:pStyle w:val="SingleTxtG"/>
        <w:rPr>
          <w:b/>
          <w:bCs/>
        </w:rPr>
      </w:pPr>
      <w:r>
        <w:rPr>
          <w:bCs/>
        </w:rPr>
        <w:t>24.</w:t>
      </w:r>
      <w:r>
        <w:rPr>
          <w:bCs/>
        </w:rPr>
        <w:tab/>
      </w:r>
      <w:r w:rsidR="00890A61" w:rsidRPr="0075039B">
        <w:rPr>
          <w:b/>
        </w:rPr>
        <w:t>The</w:t>
      </w:r>
      <w:r w:rsidR="00890A61" w:rsidRPr="0075039B">
        <w:rPr>
          <w:b/>
          <w:bCs/>
        </w:rPr>
        <w:t xml:space="preserve"> Committee recommends</w:t>
      </w:r>
      <w:r w:rsidR="00890A61">
        <w:rPr>
          <w:b/>
          <w:bCs/>
        </w:rPr>
        <w:t xml:space="preserve"> that the State party</w:t>
      </w:r>
      <w:r w:rsidR="00322941">
        <w:rPr>
          <w:b/>
          <w:bCs/>
        </w:rPr>
        <w:t>:</w:t>
      </w:r>
      <w:r w:rsidR="00890A61">
        <w:rPr>
          <w:b/>
          <w:bCs/>
        </w:rPr>
        <w:t xml:space="preserve"> </w:t>
      </w:r>
    </w:p>
    <w:p w:rsidR="006A6F15" w:rsidRDefault="00A5588C" w:rsidP="00291C94">
      <w:pPr>
        <w:pStyle w:val="SingleTxtG"/>
        <w:ind w:firstLine="567"/>
        <w:rPr>
          <w:b/>
          <w:bCs/>
        </w:rPr>
      </w:pPr>
      <w:r w:rsidRPr="00291C94">
        <w:t>(a)</w:t>
      </w:r>
      <w:r>
        <w:rPr>
          <w:b/>
          <w:bCs/>
        </w:rPr>
        <w:tab/>
      </w:r>
      <w:r w:rsidR="006A6F15">
        <w:rPr>
          <w:b/>
          <w:bCs/>
        </w:rPr>
        <w:t>R</w:t>
      </w:r>
      <w:r w:rsidR="00890A61">
        <w:rPr>
          <w:b/>
          <w:bCs/>
        </w:rPr>
        <w:t>edouble</w:t>
      </w:r>
      <w:r w:rsidR="00A73D99" w:rsidRPr="00A73D99">
        <w:rPr>
          <w:b/>
          <w:bCs/>
        </w:rPr>
        <w:t xml:space="preserve"> its efforts to combat trafficking in persons, including by effectively </w:t>
      </w:r>
      <w:r w:rsidR="0075039B" w:rsidRPr="00A73D99">
        <w:rPr>
          <w:b/>
          <w:bCs/>
        </w:rPr>
        <w:t xml:space="preserve">implementing </w:t>
      </w:r>
      <w:r w:rsidR="00A73D99" w:rsidRPr="00A73D99">
        <w:rPr>
          <w:b/>
          <w:bCs/>
        </w:rPr>
        <w:t xml:space="preserve">its </w:t>
      </w:r>
      <w:r w:rsidR="00890A61" w:rsidRPr="00890A61">
        <w:rPr>
          <w:b/>
          <w:bCs/>
        </w:rPr>
        <w:t>National Plan against Trafficking in Persons (2008-2016)</w:t>
      </w:r>
      <w:r w:rsidR="00322941">
        <w:rPr>
          <w:b/>
          <w:bCs/>
        </w:rPr>
        <w:t xml:space="preserve"> as well as the</w:t>
      </w:r>
      <w:r w:rsidR="00665398">
        <w:rPr>
          <w:b/>
          <w:bCs/>
        </w:rPr>
        <w:t xml:space="preserve"> Human Trafficking Act No. 1</w:t>
      </w:r>
      <w:r w:rsidR="00605357">
        <w:rPr>
          <w:b/>
          <w:bCs/>
        </w:rPr>
        <w:t>2</w:t>
      </w:r>
      <w:r w:rsidR="00665398">
        <w:rPr>
          <w:b/>
          <w:bCs/>
        </w:rPr>
        <w:t>6/2008</w:t>
      </w:r>
      <w:r w:rsidR="006A6F15">
        <w:rPr>
          <w:b/>
          <w:bCs/>
        </w:rPr>
        <w:t>;</w:t>
      </w:r>
    </w:p>
    <w:p w:rsidR="006A6F15" w:rsidRDefault="00A5588C" w:rsidP="00291C94">
      <w:pPr>
        <w:pStyle w:val="SingleTxtG"/>
        <w:ind w:firstLine="567"/>
        <w:rPr>
          <w:b/>
          <w:bCs/>
        </w:rPr>
      </w:pPr>
      <w:r w:rsidRPr="00291C94">
        <w:t>(b)</w:t>
      </w:r>
      <w:r>
        <w:rPr>
          <w:b/>
          <w:bCs/>
        </w:rPr>
        <w:tab/>
      </w:r>
      <w:r w:rsidR="00F20CBC">
        <w:rPr>
          <w:b/>
          <w:bCs/>
        </w:rPr>
        <w:t>Intensify</w:t>
      </w:r>
      <w:r w:rsidR="00A73D99" w:rsidRPr="00A73D99">
        <w:rPr>
          <w:b/>
          <w:bCs/>
        </w:rPr>
        <w:t xml:space="preserve"> investigations into trafficking</w:t>
      </w:r>
      <w:r w:rsidR="00605357">
        <w:rPr>
          <w:b/>
          <w:bCs/>
        </w:rPr>
        <w:t xml:space="preserve"> in persons</w:t>
      </w:r>
      <w:r w:rsidR="00A73D99" w:rsidRPr="00A73D99">
        <w:rPr>
          <w:b/>
          <w:bCs/>
        </w:rPr>
        <w:t>, prosecute those responsible and</w:t>
      </w:r>
      <w:r w:rsidR="00890A61">
        <w:rPr>
          <w:b/>
          <w:bCs/>
        </w:rPr>
        <w:t xml:space="preserve"> </w:t>
      </w:r>
      <w:r w:rsidR="00890A61" w:rsidRPr="006A6F15">
        <w:rPr>
          <w:b/>
          <w:bCs/>
        </w:rPr>
        <w:t>imp</w:t>
      </w:r>
      <w:r w:rsidR="006A6F15">
        <w:rPr>
          <w:b/>
          <w:bCs/>
        </w:rPr>
        <w:t>ose appropriate penalties;</w:t>
      </w:r>
    </w:p>
    <w:p w:rsidR="006A6F15" w:rsidRDefault="00A5588C" w:rsidP="00291C94">
      <w:pPr>
        <w:pStyle w:val="SingleTxtG"/>
        <w:ind w:firstLine="567"/>
        <w:rPr>
          <w:b/>
          <w:bCs/>
        </w:rPr>
      </w:pPr>
      <w:r w:rsidRPr="00291C94">
        <w:t>(c)</w:t>
      </w:r>
      <w:r>
        <w:rPr>
          <w:b/>
          <w:bCs/>
        </w:rPr>
        <w:tab/>
      </w:r>
      <w:r w:rsidR="006A6F15">
        <w:rPr>
          <w:b/>
          <w:bCs/>
        </w:rPr>
        <w:t>I</w:t>
      </w:r>
      <w:r w:rsidR="00A73D99" w:rsidRPr="006A6F15">
        <w:rPr>
          <w:b/>
          <w:bCs/>
        </w:rPr>
        <w:t xml:space="preserve">ncrease assistance to victims and afford them adequate </w:t>
      </w:r>
      <w:r w:rsidR="00890A61" w:rsidRPr="006A6F15">
        <w:rPr>
          <w:b/>
          <w:bCs/>
        </w:rPr>
        <w:t>remedies</w:t>
      </w:r>
      <w:r w:rsidR="006A6F15">
        <w:rPr>
          <w:b/>
          <w:bCs/>
        </w:rPr>
        <w:t>;</w:t>
      </w:r>
    </w:p>
    <w:p w:rsidR="00A73D99" w:rsidRPr="00A73D99" w:rsidRDefault="00A5588C" w:rsidP="00291C94">
      <w:pPr>
        <w:pStyle w:val="SingleTxtG"/>
        <w:ind w:firstLine="567"/>
        <w:rPr>
          <w:b/>
          <w:bCs/>
        </w:rPr>
      </w:pPr>
      <w:r w:rsidRPr="00291C94">
        <w:t>(d)</w:t>
      </w:r>
      <w:r>
        <w:rPr>
          <w:b/>
          <w:bCs/>
        </w:rPr>
        <w:tab/>
      </w:r>
      <w:r w:rsidR="006A6F15">
        <w:rPr>
          <w:b/>
          <w:bCs/>
        </w:rPr>
        <w:t>S</w:t>
      </w:r>
      <w:r w:rsidR="006A6F15" w:rsidRPr="006A6F15">
        <w:rPr>
          <w:b/>
          <w:bCs/>
        </w:rPr>
        <w:t>trengthen the regulations governing</w:t>
      </w:r>
      <w:r w:rsidR="009A074F" w:rsidRPr="006A6F15">
        <w:rPr>
          <w:b/>
          <w:bCs/>
        </w:rPr>
        <w:t xml:space="preserve"> recruitment </w:t>
      </w:r>
      <w:r w:rsidR="006A6F15" w:rsidRPr="006A6F15">
        <w:rPr>
          <w:b/>
          <w:bCs/>
        </w:rPr>
        <w:t>agencies</w:t>
      </w:r>
      <w:r w:rsidR="009A074F" w:rsidRPr="006A6F15">
        <w:rPr>
          <w:b/>
          <w:bCs/>
        </w:rPr>
        <w:t xml:space="preserve"> and </w:t>
      </w:r>
      <w:r w:rsidR="006A6F15" w:rsidRPr="006A6F15">
        <w:rPr>
          <w:b/>
          <w:bCs/>
        </w:rPr>
        <w:t xml:space="preserve">ensure </w:t>
      </w:r>
      <w:r w:rsidR="009A074F" w:rsidRPr="006A6F15">
        <w:rPr>
          <w:b/>
          <w:bCs/>
        </w:rPr>
        <w:t>the accountability and legal</w:t>
      </w:r>
      <w:r w:rsidR="00AB42EC">
        <w:rPr>
          <w:b/>
          <w:bCs/>
        </w:rPr>
        <w:t xml:space="preserve"> responsibility of these agencies</w:t>
      </w:r>
      <w:r w:rsidR="009A074F" w:rsidRPr="006A6F15">
        <w:rPr>
          <w:b/>
          <w:bCs/>
        </w:rPr>
        <w:t>.</w:t>
      </w:r>
    </w:p>
    <w:p w:rsidR="005174D3" w:rsidRPr="0075559A" w:rsidRDefault="00CD4268" w:rsidP="00605357">
      <w:pPr>
        <w:pStyle w:val="H23G"/>
      </w:pPr>
      <w:r>
        <w:tab/>
      </w:r>
      <w:r>
        <w:tab/>
      </w:r>
      <w:r w:rsidR="005174D3">
        <w:t xml:space="preserve">Right to nationality and </w:t>
      </w:r>
      <w:r w:rsidR="00605357">
        <w:t xml:space="preserve">prevention of </w:t>
      </w:r>
      <w:r w:rsidR="005174D3">
        <w:t>statelessness</w:t>
      </w:r>
    </w:p>
    <w:p w:rsidR="005D1520" w:rsidRDefault="00291C94" w:rsidP="00291C94">
      <w:pPr>
        <w:pStyle w:val="SingleTxtG"/>
      </w:pPr>
      <w:r>
        <w:t>25.</w:t>
      </w:r>
      <w:r>
        <w:tab/>
      </w:r>
      <w:r w:rsidR="005174D3">
        <w:t xml:space="preserve">The Committee appreciates the positive changes introduced through the updated </w:t>
      </w:r>
      <w:r w:rsidR="00605357">
        <w:t>n</w:t>
      </w:r>
      <w:r w:rsidR="005174D3">
        <w:t xml:space="preserve">ationality law </w:t>
      </w:r>
      <w:r w:rsidR="00605357">
        <w:t>(</w:t>
      </w:r>
      <w:r w:rsidR="005174D3">
        <w:t>2014</w:t>
      </w:r>
      <w:r w:rsidR="00605357">
        <w:t>)</w:t>
      </w:r>
      <w:r w:rsidR="005174D3">
        <w:t>, which</w:t>
      </w:r>
      <w:r w:rsidR="00605357">
        <w:t>, inter alia,</w:t>
      </w:r>
      <w:r w:rsidR="005174D3">
        <w:t xml:space="preserve"> </w:t>
      </w:r>
      <w:r w:rsidR="00605357">
        <w:t>provide for</w:t>
      </w:r>
      <w:r w:rsidR="005174D3">
        <w:t xml:space="preserve"> children born out of wedlock to u</w:t>
      </w:r>
      <w:r w:rsidR="005D1520">
        <w:t xml:space="preserve">nidentified parents </w:t>
      </w:r>
      <w:r w:rsidR="00605357">
        <w:t>to be</w:t>
      </w:r>
      <w:r w:rsidR="005D1520">
        <w:t xml:space="preserve"> entitled</w:t>
      </w:r>
      <w:r w:rsidR="005174D3">
        <w:t xml:space="preserve"> to Omani n</w:t>
      </w:r>
      <w:r w:rsidR="005D1520">
        <w:t xml:space="preserve">ationality. </w:t>
      </w:r>
      <w:r w:rsidR="00605357">
        <w:t>However, t</w:t>
      </w:r>
      <w:r w:rsidR="005174D3">
        <w:t xml:space="preserve">he Committee remains concerned that </w:t>
      </w:r>
      <w:r w:rsidR="005D1520">
        <w:t xml:space="preserve">the new law </w:t>
      </w:r>
      <w:r w:rsidR="00605357">
        <w:t xml:space="preserve">only </w:t>
      </w:r>
      <w:r w:rsidR="005D1520">
        <w:t>allows Omani women married to non-Omani men to transmit thei</w:t>
      </w:r>
      <w:r w:rsidR="004027C3">
        <w:t>r nationality to their children</w:t>
      </w:r>
      <w:r w:rsidR="005D1520">
        <w:t xml:space="preserve"> under strict conditions. The Committee is also concerned that</w:t>
      </w:r>
      <w:r w:rsidR="00605357">
        <w:t>,</w:t>
      </w:r>
      <w:r w:rsidR="005D1520">
        <w:t xml:space="preserve"> according to the new law</w:t>
      </w:r>
      <w:r w:rsidR="00605357">
        <w:t>,</w:t>
      </w:r>
      <w:r w:rsidR="005D1520">
        <w:t xml:space="preserve"> the State may revoke the citizenship of Omanis if they engage in a group, a party or an organization that adopts principles or doctrines that can harm the interests of Oman</w:t>
      </w:r>
      <w:r w:rsidR="00322941">
        <w:t xml:space="preserve"> (art.</w:t>
      </w:r>
      <w:r w:rsidR="007B3AF5">
        <w:t> </w:t>
      </w:r>
      <w:r w:rsidR="00322941">
        <w:t>5)</w:t>
      </w:r>
      <w:r w:rsidR="005D1520">
        <w:t>.</w:t>
      </w:r>
    </w:p>
    <w:p w:rsidR="00F17F8F" w:rsidRPr="00F17F8F" w:rsidRDefault="00291C94" w:rsidP="00291C94">
      <w:pPr>
        <w:pStyle w:val="SingleTxtG"/>
        <w:rPr>
          <w:b/>
        </w:rPr>
      </w:pPr>
      <w:r w:rsidRPr="00F17F8F">
        <w:t>26.</w:t>
      </w:r>
      <w:r w:rsidRPr="00F17F8F">
        <w:tab/>
      </w:r>
      <w:r w:rsidR="00F17F8F" w:rsidRPr="00F17F8F">
        <w:rPr>
          <w:b/>
        </w:rPr>
        <w:t>The Committee r</w:t>
      </w:r>
      <w:r w:rsidR="00DE2F81">
        <w:rPr>
          <w:b/>
        </w:rPr>
        <w:t>ecommends that the State party revise</w:t>
      </w:r>
      <w:r w:rsidR="00F17F8F" w:rsidRPr="00F17F8F">
        <w:rPr>
          <w:b/>
        </w:rPr>
        <w:t xml:space="preserve"> the new </w:t>
      </w:r>
      <w:r w:rsidR="00605357">
        <w:rPr>
          <w:b/>
        </w:rPr>
        <w:t>n</w:t>
      </w:r>
      <w:r w:rsidR="00F17F8F" w:rsidRPr="00F17F8F">
        <w:rPr>
          <w:b/>
        </w:rPr>
        <w:t xml:space="preserve">ationality law by removing all gender-based discriminatory provisions </w:t>
      </w:r>
      <w:r w:rsidR="00DE2F81">
        <w:rPr>
          <w:b/>
        </w:rPr>
        <w:t>and ensuring that the Government cannot revoke citizenship rights of persons who exercise their fundamental rights, including the right to freedom of express</w:t>
      </w:r>
      <w:r w:rsidR="00FF1A38">
        <w:rPr>
          <w:b/>
        </w:rPr>
        <w:t xml:space="preserve">ion, </w:t>
      </w:r>
      <w:r w:rsidR="00DE2F81">
        <w:rPr>
          <w:b/>
        </w:rPr>
        <w:t xml:space="preserve">assembly and association, </w:t>
      </w:r>
      <w:r w:rsidR="00F17F8F" w:rsidRPr="00F17F8F">
        <w:rPr>
          <w:b/>
        </w:rPr>
        <w:t xml:space="preserve">with a view </w:t>
      </w:r>
      <w:r w:rsidR="00A51366">
        <w:rPr>
          <w:b/>
        </w:rPr>
        <w:t>to prevent</w:t>
      </w:r>
      <w:r w:rsidR="00125E4E">
        <w:rPr>
          <w:b/>
        </w:rPr>
        <w:t>ing</w:t>
      </w:r>
      <w:r w:rsidR="00F17F8F" w:rsidRPr="00F17F8F">
        <w:rPr>
          <w:b/>
        </w:rPr>
        <w:t xml:space="preserve"> statelessness. </w:t>
      </w:r>
      <w:r w:rsidR="00DE2F81">
        <w:rPr>
          <w:b/>
        </w:rPr>
        <w:t xml:space="preserve">The Committee </w:t>
      </w:r>
      <w:r w:rsidR="00F17F8F" w:rsidRPr="00F17F8F">
        <w:rPr>
          <w:b/>
        </w:rPr>
        <w:t xml:space="preserve">also recommends that the State party </w:t>
      </w:r>
      <w:r w:rsidR="00DE2F81">
        <w:rPr>
          <w:b/>
        </w:rPr>
        <w:t xml:space="preserve">consider </w:t>
      </w:r>
      <w:r w:rsidR="00F17F8F" w:rsidRPr="00F17F8F">
        <w:rPr>
          <w:b/>
        </w:rPr>
        <w:t>a</w:t>
      </w:r>
      <w:r w:rsidR="00DE2F81">
        <w:rPr>
          <w:b/>
        </w:rPr>
        <w:t xml:space="preserve">cceding to </w:t>
      </w:r>
      <w:r w:rsidR="00A51366">
        <w:rPr>
          <w:b/>
        </w:rPr>
        <w:t xml:space="preserve">the </w:t>
      </w:r>
      <w:r w:rsidR="00DE2F81">
        <w:rPr>
          <w:b/>
        </w:rPr>
        <w:t>1954 C</w:t>
      </w:r>
      <w:r w:rsidR="00DE2F81" w:rsidRPr="00DE2F81">
        <w:rPr>
          <w:b/>
        </w:rPr>
        <w:t xml:space="preserve">onvention relating to </w:t>
      </w:r>
      <w:r w:rsidR="00605357">
        <w:rPr>
          <w:b/>
        </w:rPr>
        <w:t>the S</w:t>
      </w:r>
      <w:r w:rsidR="00DE2F81" w:rsidRPr="00DE2F81">
        <w:rPr>
          <w:b/>
        </w:rPr>
        <w:t>tatus</w:t>
      </w:r>
      <w:r w:rsidR="00DE2F81">
        <w:rPr>
          <w:b/>
        </w:rPr>
        <w:t xml:space="preserve"> of </w:t>
      </w:r>
      <w:r w:rsidR="00605357">
        <w:rPr>
          <w:b/>
        </w:rPr>
        <w:t>S</w:t>
      </w:r>
      <w:r w:rsidR="00DE2F81">
        <w:rPr>
          <w:b/>
        </w:rPr>
        <w:t xml:space="preserve">tateless </w:t>
      </w:r>
      <w:r w:rsidR="00605357">
        <w:rPr>
          <w:b/>
        </w:rPr>
        <w:t>P</w:t>
      </w:r>
      <w:r w:rsidR="00DE2F81">
        <w:rPr>
          <w:b/>
        </w:rPr>
        <w:t xml:space="preserve">ersons and </w:t>
      </w:r>
      <w:r w:rsidR="00A51366">
        <w:rPr>
          <w:b/>
        </w:rPr>
        <w:t xml:space="preserve">the </w:t>
      </w:r>
      <w:r w:rsidR="00DE2F81">
        <w:rPr>
          <w:b/>
        </w:rPr>
        <w:t>1961 C</w:t>
      </w:r>
      <w:r w:rsidR="00DE2F81" w:rsidRPr="00DE2F81">
        <w:rPr>
          <w:b/>
        </w:rPr>
        <w:t xml:space="preserve">onvention on </w:t>
      </w:r>
      <w:r w:rsidR="00605357">
        <w:rPr>
          <w:b/>
        </w:rPr>
        <w:t>the R</w:t>
      </w:r>
      <w:r w:rsidR="00DE2F81" w:rsidRPr="00DE2F81">
        <w:rPr>
          <w:b/>
        </w:rPr>
        <w:t xml:space="preserve">eduction of </w:t>
      </w:r>
      <w:r w:rsidR="00605357">
        <w:rPr>
          <w:b/>
        </w:rPr>
        <w:t>S</w:t>
      </w:r>
      <w:r w:rsidR="00DE2F81" w:rsidRPr="00DE2F81">
        <w:rPr>
          <w:b/>
        </w:rPr>
        <w:t>tatelessness</w:t>
      </w:r>
      <w:r w:rsidR="00DE2F81">
        <w:rPr>
          <w:b/>
        </w:rPr>
        <w:t>.</w:t>
      </w:r>
      <w:r w:rsidR="00DE2F81" w:rsidRPr="00F17F8F">
        <w:rPr>
          <w:b/>
        </w:rPr>
        <w:t xml:space="preserve"> </w:t>
      </w:r>
    </w:p>
    <w:p w:rsidR="00E92BDD" w:rsidRDefault="00CD4268" w:rsidP="00CD4268">
      <w:pPr>
        <w:pStyle w:val="H23G"/>
      </w:pPr>
      <w:r>
        <w:tab/>
      </w:r>
      <w:r>
        <w:tab/>
      </w:r>
      <w:r w:rsidR="005D1520">
        <w:t xml:space="preserve">Refugee protection </w:t>
      </w:r>
    </w:p>
    <w:p w:rsidR="005D1520" w:rsidRPr="00E92BDD" w:rsidRDefault="00291C94" w:rsidP="00291C94">
      <w:pPr>
        <w:pStyle w:val="SingleTxtG"/>
        <w:rPr>
          <w:bCs/>
        </w:rPr>
      </w:pPr>
      <w:r w:rsidRPr="00E92BDD">
        <w:rPr>
          <w:bCs/>
        </w:rPr>
        <w:t>27.</w:t>
      </w:r>
      <w:r w:rsidRPr="00E92BDD">
        <w:rPr>
          <w:bCs/>
        </w:rPr>
        <w:tab/>
      </w:r>
      <w:r w:rsidR="005D1520" w:rsidRPr="009E6BCD">
        <w:t>The</w:t>
      </w:r>
      <w:r w:rsidR="005D1520" w:rsidRPr="00E92BDD">
        <w:rPr>
          <w:bCs/>
        </w:rPr>
        <w:t xml:space="preserve"> Committee is concerned about the absence of legislation or administrative regulations governing the status of asylum seekers or refugees in </w:t>
      </w:r>
      <w:r w:rsidR="00CD574E">
        <w:rPr>
          <w:bCs/>
        </w:rPr>
        <w:t>the State party</w:t>
      </w:r>
      <w:r w:rsidR="00322941">
        <w:rPr>
          <w:bCs/>
        </w:rPr>
        <w:t xml:space="preserve"> (art</w:t>
      </w:r>
      <w:r w:rsidR="00605357">
        <w:rPr>
          <w:bCs/>
        </w:rPr>
        <w:t>.</w:t>
      </w:r>
      <w:r w:rsidR="00322941">
        <w:rPr>
          <w:bCs/>
        </w:rPr>
        <w:t xml:space="preserve"> 5)</w:t>
      </w:r>
      <w:r w:rsidR="005D1520" w:rsidRPr="00E92BDD">
        <w:rPr>
          <w:bCs/>
        </w:rPr>
        <w:t>.</w:t>
      </w:r>
      <w:r w:rsidR="00530D3D">
        <w:rPr>
          <w:bCs/>
        </w:rPr>
        <w:t xml:space="preserve"> </w:t>
      </w:r>
    </w:p>
    <w:p w:rsidR="005D1520" w:rsidRDefault="00291C94" w:rsidP="00291C94">
      <w:pPr>
        <w:pStyle w:val="SingleTxtG"/>
        <w:rPr>
          <w:b/>
          <w:bCs/>
        </w:rPr>
      </w:pPr>
      <w:r>
        <w:rPr>
          <w:bCs/>
        </w:rPr>
        <w:t>28.</w:t>
      </w:r>
      <w:r>
        <w:rPr>
          <w:bCs/>
        </w:rPr>
        <w:tab/>
      </w:r>
      <w:r w:rsidR="00E92BDD">
        <w:rPr>
          <w:b/>
          <w:bCs/>
        </w:rPr>
        <w:t>The Committee recommends that the State party a</w:t>
      </w:r>
      <w:r w:rsidR="005D1520">
        <w:rPr>
          <w:b/>
          <w:bCs/>
        </w:rPr>
        <w:t>dopt national asylum legislati</w:t>
      </w:r>
      <w:r w:rsidR="00E92BDD">
        <w:rPr>
          <w:b/>
          <w:bCs/>
        </w:rPr>
        <w:t>on</w:t>
      </w:r>
      <w:r w:rsidR="00CD574E">
        <w:rPr>
          <w:b/>
          <w:bCs/>
        </w:rPr>
        <w:t xml:space="preserve"> in line with international standards</w:t>
      </w:r>
      <w:r w:rsidR="00E92BDD">
        <w:rPr>
          <w:b/>
          <w:bCs/>
        </w:rPr>
        <w:t xml:space="preserve">. The Committee also recommends that the State party consider </w:t>
      </w:r>
      <w:r w:rsidR="00E92BDD" w:rsidRPr="00CC428D">
        <w:rPr>
          <w:b/>
          <w:bCs/>
        </w:rPr>
        <w:t>acceding</w:t>
      </w:r>
      <w:r w:rsidR="00CC428D" w:rsidRPr="00CC428D">
        <w:rPr>
          <w:b/>
          <w:bCs/>
        </w:rPr>
        <w:t xml:space="preserve"> to the 1951</w:t>
      </w:r>
      <w:r w:rsidR="005D1520" w:rsidRPr="00CC428D">
        <w:rPr>
          <w:b/>
          <w:bCs/>
        </w:rPr>
        <w:t xml:space="preserve"> Convention </w:t>
      </w:r>
      <w:r w:rsidR="00CC428D" w:rsidRPr="00CC428D">
        <w:rPr>
          <w:b/>
          <w:bCs/>
        </w:rPr>
        <w:t xml:space="preserve">relating to the </w:t>
      </w:r>
      <w:r w:rsidR="00605357">
        <w:rPr>
          <w:b/>
          <w:bCs/>
        </w:rPr>
        <w:t>S</w:t>
      </w:r>
      <w:r w:rsidR="00CC428D" w:rsidRPr="00CC428D">
        <w:rPr>
          <w:b/>
          <w:bCs/>
        </w:rPr>
        <w:t xml:space="preserve">tatus of </w:t>
      </w:r>
      <w:r w:rsidR="00286B71">
        <w:rPr>
          <w:b/>
          <w:bCs/>
        </w:rPr>
        <w:t>R</w:t>
      </w:r>
      <w:r w:rsidR="00CC428D" w:rsidRPr="00CC428D">
        <w:rPr>
          <w:b/>
        </w:rPr>
        <w:t>efugees</w:t>
      </w:r>
      <w:r w:rsidR="00CC428D" w:rsidRPr="00CC428D">
        <w:rPr>
          <w:b/>
          <w:bCs/>
        </w:rPr>
        <w:t xml:space="preserve"> </w:t>
      </w:r>
      <w:r w:rsidR="004027C3" w:rsidRPr="00CC428D">
        <w:rPr>
          <w:b/>
          <w:bCs/>
        </w:rPr>
        <w:t xml:space="preserve">and its 1967 </w:t>
      </w:r>
      <w:r w:rsidR="00286B71">
        <w:rPr>
          <w:b/>
          <w:bCs/>
        </w:rPr>
        <w:t>P</w:t>
      </w:r>
      <w:r w:rsidR="004027C3" w:rsidRPr="00CC428D">
        <w:rPr>
          <w:b/>
          <w:bCs/>
        </w:rPr>
        <w:t>rotocol.</w:t>
      </w:r>
      <w:r w:rsidR="00595914" w:rsidRPr="00CC428D">
        <w:rPr>
          <w:b/>
          <w:bCs/>
        </w:rPr>
        <w:t xml:space="preserve"> The Committee further requests that the State party submit detailed information in its next periodic report on the actual enjoyment by asylum seekers</w:t>
      </w:r>
      <w:r w:rsidR="00595914">
        <w:rPr>
          <w:b/>
          <w:bCs/>
        </w:rPr>
        <w:t xml:space="preserve"> and refugees</w:t>
      </w:r>
      <w:r w:rsidR="00286B71">
        <w:rPr>
          <w:b/>
          <w:bCs/>
        </w:rPr>
        <w:t xml:space="preserve"> of the rights set out in the Convention</w:t>
      </w:r>
      <w:r w:rsidR="00595914">
        <w:rPr>
          <w:b/>
          <w:bCs/>
        </w:rPr>
        <w:t xml:space="preserve">. </w:t>
      </w:r>
    </w:p>
    <w:p w:rsidR="005174D3" w:rsidRDefault="00CD4268" w:rsidP="00CD4268">
      <w:pPr>
        <w:pStyle w:val="H23G"/>
      </w:pPr>
      <w:r>
        <w:tab/>
      </w:r>
      <w:r>
        <w:tab/>
      </w:r>
      <w:r w:rsidR="005174D3">
        <w:t>Complaints of racial discrimination and remedies</w:t>
      </w:r>
    </w:p>
    <w:p w:rsidR="00781950" w:rsidRDefault="00291C94" w:rsidP="00291C94">
      <w:pPr>
        <w:pStyle w:val="SingleTxtG"/>
      </w:pPr>
      <w:r>
        <w:t>29.</w:t>
      </w:r>
      <w:r>
        <w:tab/>
      </w:r>
      <w:r w:rsidR="00781950">
        <w:t>The C</w:t>
      </w:r>
      <w:r w:rsidR="00781950" w:rsidRPr="00781950">
        <w:t>ommittee reiterates its concern about the lack of information on cases of racial discrimination</w:t>
      </w:r>
      <w:r w:rsidR="00A519E7">
        <w:t xml:space="preserve"> before domestic courts</w:t>
      </w:r>
      <w:r w:rsidR="00660B31">
        <w:t xml:space="preserve"> </w:t>
      </w:r>
      <w:r w:rsidR="00781950" w:rsidRPr="00781950">
        <w:t>and points out that the absence of such cases does not mean that there is no racial discrimination, but may rather reveal the existence of lacunae in the justice system</w:t>
      </w:r>
      <w:r w:rsidR="007B2F84">
        <w:t>. Furthermore</w:t>
      </w:r>
      <w:r w:rsidR="00286B71">
        <w:t xml:space="preserve">, </w:t>
      </w:r>
      <w:r w:rsidR="007B2F84">
        <w:t>bearing in mind the mandate of the National Human Rights Commission to receive complains from individuals who</w:t>
      </w:r>
      <w:r w:rsidR="008F2797">
        <w:t>se</w:t>
      </w:r>
      <w:r w:rsidR="007B2F84">
        <w:t xml:space="preserve"> rights have been violated, the Committee regrets the lack of information on the real use of this complaint </w:t>
      </w:r>
      <w:r w:rsidR="00286B71">
        <w:t>mechanism</w:t>
      </w:r>
      <w:r w:rsidR="00781950" w:rsidRPr="00781950">
        <w:t xml:space="preserve"> (arts.</w:t>
      </w:r>
      <w:r w:rsidR="007B3AF5">
        <w:t> </w:t>
      </w:r>
      <w:r w:rsidR="00781950" w:rsidRPr="00781950">
        <w:t>5 (a) and 6).</w:t>
      </w:r>
    </w:p>
    <w:p w:rsidR="00781950" w:rsidRPr="00E82BB3" w:rsidRDefault="00291C94" w:rsidP="00291C94">
      <w:pPr>
        <w:pStyle w:val="SingleTxtG"/>
        <w:rPr>
          <w:b/>
          <w:bCs/>
        </w:rPr>
      </w:pPr>
      <w:r w:rsidRPr="00E82BB3">
        <w:rPr>
          <w:bCs/>
        </w:rPr>
        <w:t>30.</w:t>
      </w:r>
      <w:r w:rsidRPr="00E82BB3">
        <w:rPr>
          <w:bCs/>
        </w:rPr>
        <w:tab/>
      </w:r>
      <w:r w:rsidR="00660B31" w:rsidRPr="00660B31">
        <w:rPr>
          <w:b/>
          <w:bCs/>
        </w:rPr>
        <w:t>The Committee recommends that the State party effectively</w:t>
      </w:r>
      <w:r w:rsidR="00286B71">
        <w:rPr>
          <w:b/>
          <w:bCs/>
        </w:rPr>
        <w:t xml:space="preserve"> investigate</w:t>
      </w:r>
      <w:r w:rsidR="00660B31" w:rsidRPr="00660B31">
        <w:rPr>
          <w:b/>
          <w:bCs/>
        </w:rPr>
        <w:t xml:space="preserve"> </w:t>
      </w:r>
      <w:r w:rsidR="00660B31" w:rsidRPr="00660B31">
        <w:rPr>
          <w:b/>
        </w:rPr>
        <w:t>cases</w:t>
      </w:r>
      <w:r w:rsidR="00660B31" w:rsidRPr="00660B31">
        <w:rPr>
          <w:b/>
          <w:bCs/>
        </w:rPr>
        <w:t xml:space="preserve"> of </w:t>
      </w:r>
      <w:r w:rsidR="00660B31" w:rsidRPr="00660B31">
        <w:rPr>
          <w:b/>
        </w:rPr>
        <w:t>racial</w:t>
      </w:r>
      <w:r w:rsidR="00660B31" w:rsidRPr="00660B31">
        <w:rPr>
          <w:b/>
          <w:bCs/>
        </w:rPr>
        <w:t xml:space="preserve"> </w:t>
      </w:r>
      <w:r w:rsidR="00660B31" w:rsidRPr="00660B31">
        <w:rPr>
          <w:b/>
        </w:rPr>
        <w:t>discrimination</w:t>
      </w:r>
      <w:r w:rsidR="00660B31" w:rsidRPr="00660B31">
        <w:rPr>
          <w:b/>
          <w:bCs/>
        </w:rPr>
        <w:t xml:space="preserve"> and provide victims with adequate remedies. </w:t>
      </w:r>
      <w:r w:rsidR="00E16270">
        <w:rPr>
          <w:b/>
          <w:bCs/>
        </w:rPr>
        <w:t>It</w:t>
      </w:r>
      <w:r w:rsidR="007B2F84">
        <w:rPr>
          <w:b/>
          <w:bCs/>
        </w:rPr>
        <w:t xml:space="preserve"> also encourages the State party to step up</w:t>
      </w:r>
      <w:r w:rsidR="00E82BB3">
        <w:rPr>
          <w:b/>
          <w:bCs/>
        </w:rPr>
        <w:t xml:space="preserve"> its efforts to inform</w:t>
      </w:r>
      <w:r w:rsidR="007B2F84" w:rsidRPr="007B2F84">
        <w:rPr>
          <w:b/>
          <w:bCs/>
        </w:rPr>
        <w:t xml:space="preserve"> </w:t>
      </w:r>
      <w:r w:rsidR="008F2797">
        <w:rPr>
          <w:b/>
          <w:bCs/>
        </w:rPr>
        <w:t>the p</w:t>
      </w:r>
      <w:r w:rsidR="00286B71">
        <w:rPr>
          <w:b/>
          <w:bCs/>
        </w:rPr>
        <w:t>opulation</w:t>
      </w:r>
      <w:r w:rsidR="007B2F84" w:rsidRPr="007B2F84">
        <w:rPr>
          <w:b/>
          <w:bCs/>
        </w:rPr>
        <w:t xml:space="preserve"> about their rights and the legal remedies at their disposal for dealing with cases of racial discrimination and human ri</w:t>
      </w:r>
      <w:r w:rsidR="007B2F84">
        <w:rPr>
          <w:b/>
          <w:bCs/>
        </w:rPr>
        <w:t>ghts violations</w:t>
      </w:r>
      <w:r w:rsidR="00A870B4">
        <w:rPr>
          <w:b/>
          <w:bCs/>
        </w:rPr>
        <w:t xml:space="preserve">, </w:t>
      </w:r>
      <w:r w:rsidR="00A870B4">
        <w:rPr>
          <w:b/>
          <w:bCs/>
          <w:lang w:eastAsia="en-GB"/>
        </w:rPr>
        <w:t>including the right to invoke the Convention before the domestic courts</w:t>
      </w:r>
      <w:r w:rsidR="007B2F84">
        <w:rPr>
          <w:b/>
          <w:bCs/>
        </w:rPr>
        <w:t>. I</w:t>
      </w:r>
      <w:r w:rsidR="007B2F84" w:rsidRPr="007B2F84">
        <w:rPr>
          <w:b/>
          <w:bCs/>
        </w:rPr>
        <w:t>n the light of its general recommendation no. 31 (2005) on the prevention of racial discrimination in the administration and functioning of th</w:t>
      </w:r>
      <w:r w:rsidR="007B2F84">
        <w:rPr>
          <w:b/>
          <w:bCs/>
        </w:rPr>
        <w:t>e criminal justi</w:t>
      </w:r>
      <w:r w:rsidR="00A870B4">
        <w:rPr>
          <w:b/>
          <w:bCs/>
        </w:rPr>
        <w:t>ce system, the Committee recommends</w:t>
      </w:r>
      <w:r w:rsidR="007B2F84">
        <w:rPr>
          <w:b/>
          <w:bCs/>
        </w:rPr>
        <w:t xml:space="preserve"> </w:t>
      </w:r>
      <w:r w:rsidR="00A519E7">
        <w:rPr>
          <w:b/>
          <w:bCs/>
        </w:rPr>
        <w:t xml:space="preserve">that </w:t>
      </w:r>
      <w:r w:rsidR="007B2F84">
        <w:rPr>
          <w:b/>
          <w:bCs/>
        </w:rPr>
        <w:t>the S</w:t>
      </w:r>
      <w:r w:rsidR="00A519E7">
        <w:rPr>
          <w:b/>
          <w:bCs/>
        </w:rPr>
        <w:t>tate party</w:t>
      </w:r>
      <w:r>
        <w:rPr>
          <w:b/>
          <w:bCs/>
        </w:rPr>
        <w:t xml:space="preserve"> take the</w:t>
      </w:r>
      <w:r w:rsidR="007B2F84" w:rsidRPr="007B2F84">
        <w:rPr>
          <w:b/>
          <w:bCs/>
        </w:rPr>
        <w:t xml:space="preserve"> steps </w:t>
      </w:r>
      <w:r w:rsidR="00286B71">
        <w:rPr>
          <w:b/>
          <w:bCs/>
        </w:rPr>
        <w:t xml:space="preserve">necessary </w:t>
      </w:r>
      <w:r w:rsidR="007B2F84" w:rsidRPr="007B2F84">
        <w:rPr>
          <w:b/>
          <w:bCs/>
        </w:rPr>
        <w:t xml:space="preserve">to ensure that </w:t>
      </w:r>
      <w:r w:rsidR="00E82BB3">
        <w:rPr>
          <w:b/>
          <w:bCs/>
        </w:rPr>
        <w:t>everyone</w:t>
      </w:r>
      <w:r w:rsidR="007B2F84">
        <w:rPr>
          <w:b/>
          <w:bCs/>
        </w:rPr>
        <w:t xml:space="preserve">, </w:t>
      </w:r>
      <w:r w:rsidR="00E82BB3">
        <w:rPr>
          <w:b/>
          <w:bCs/>
        </w:rPr>
        <w:t>particularly</w:t>
      </w:r>
      <w:r w:rsidR="007B2F84">
        <w:rPr>
          <w:b/>
          <w:bCs/>
        </w:rPr>
        <w:t xml:space="preserve"> groups that are more vulnerable to racial discrimination</w:t>
      </w:r>
      <w:r w:rsidR="00286B71">
        <w:rPr>
          <w:b/>
          <w:bCs/>
        </w:rPr>
        <w:t>,</w:t>
      </w:r>
      <w:r w:rsidR="007B2F84">
        <w:rPr>
          <w:b/>
          <w:bCs/>
        </w:rPr>
        <w:t xml:space="preserve"> including migrant workers and minor</w:t>
      </w:r>
      <w:r w:rsidR="00E82BB3">
        <w:rPr>
          <w:b/>
          <w:bCs/>
        </w:rPr>
        <w:t>ity groups,</w:t>
      </w:r>
      <w:r w:rsidR="007B2F84" w:rsidRPr="007B2F84">
        <w:rPr>
          <w:b/>
          <w:bCs/>
        </w:rPr>
        <w:t xml:space="preserve"> have access to justice by providing them wit</w:t>
      </w:r>
      <w:r w:rsidR="00E82BB3">
        <w:rPr>
          <w:b/>
          <w:bCs/>
        </w:rPr>
        <w:t xml:space="preserve">h legal advice and interpretation </w:t>
      </w:r>
      <w:r w:rsidR="007B2F84" w:rsidRPr="007B2F84">
        <w:rPr>
          <w:b/>
          <w:bCs/>
        </w:rPr>
        <w:t>services.</w:t>
      </w:r>
      <w:r w:rsidR="007B2F84">
        <w:rPr>
          <w:b/>
          <w:bCs/>
        </w:rPr>
        <w:t xml:space="preserve"> </w:t>
      </w:r>
      <w:r w:rsidR="007B2F84" w:rsidRPr="007B2F84">
        <w:rPr>
          <w:b/>
          <w:bCs/>
        </w:rPr>
        <w:t xml:space="preserve">The Committee </w:t>
      </w:r>
      <w:r w:rsidR="00E82BB3" w:rsidRPr="007B2F84">
        <w:rPr>
          <w:b/>
          <w:bCs/>
        </w:rPr>
        <w:t>further</w:t>
      </w:r>
      <w:r w:rsidR="00E82BB3">
        <w:rPr>
          <w:b/>
          <w:bCs/>
        </w:rPr>
        <w:t xml:space="preserve"> recommends that the State party</w:t>
      </w:r>
      <w:r w:rsidR="00660B31" w:rsidRPr="00660B31">
        <w:rPr>
          <w:b/>
          <w:bCs/>
        </w:rPr>
        <w:t xml:space="preserve"> </w:t>
      </w:r>
      <w:r w:rsidR="00286B71">
        <w:rPr>
          <w:b/>
          <w:bCs/>
        </w:rPr>
        <w:t>include</w:t>
      </w:r>
      <w:r w:rsidR="00660B31" w:rsidRPr="00660B31">
        <w:rPr>
          <w:b/>
          <w:bCs/>
        </w:rPr>
        <w:t xml:space="preserve"> statistical data in its next periodic report on such cases and their outcomes</w:t>
      </w:r>
      <w:r w:rsidR="00E82BB3">
        <w:rPr>
          <w:b/>
          <w:bCs/>
        </w:rPr>
        <w:t xml:space="preserve">, including </w:t>
      </w:r>
      <w:r w:rsidR="00286B71">
        <w:rPr>
          <w:b/>
          <w:bCs/>
        </w:rPr>
        <w:t>complaints</w:t>
      </w:r>
      <w:r w:rsidR="00E82BB3">
        <w:rPr>
          <w:b/>
          <w:bCs/>
        </w:rPr>
        <w:t xml:space="preserve"> submitted to the National Human Rights Commission.</w:t>
      </w:r>
    </w:p>
    <w:p w:rsidR="00E40EB4" w:rsidRPr="00E40EB4" w:rsidRDefault="00E40EB4" w:rsidP="00E40EB4">
      <w:pPr>
        <w:pStyle w:val="H1G"/>
        <w:rPr>
          <w:bCs/>
          <w:szCs w:val="24"/>
        </w:rPr>
      </w:pPr>
      <w:r>
        <w:rPr>
          <w:bCs/>
          <w:szCs w:val="24"/>
        </w:rPr>
        <w:tab/>
        <w:t>D.</w:t>
      </w:r>
      <w:r>
        <w:rPr>
          <w:bCs/>
          <w:szCs w:val="24"/>
        </w:rPr>
        <w:tab/>
      </w:r>
      <w:r w:rsidRPr="00E40EB4">
        <w:rPr>
          <w:bCs/>
          <w:szCs w:val="24"/>
        </w:rPr>
        <w:t xml:space="preserve">Other recommendations </w:t>
      </w:r>
    </w:p>
    <w:p w:rsidR="005174D3" w:rsidRPr="005174D3" w:rsidRDefault="00CD4268" w:rsidP="00CD4268">
      <w:pPr>
        <w:pStyle w:val="H23G"/>
      </w:pPr>
      <w:r>
        <w:tab/>
      </w:r>
      <w:r>
        <w:tab/>
      </w:r>
      <w:r w:rsidR="005174D3">
        <w:t xml:space="preserve">Ratification of other instruments </w:t>
      </w:r>
    </w:p>
    <w:p w:rsidR="005174D3" w:rsidRPr="005174D3" w:rsidRDefault="00291C94" w:rsidP="00291C94">
      <w:pPr>
        <w:pStyle w:val="SingleTxtG"/>
        <w:rPr>
          <w:b/>
          <w:bCs/>
        </w:rPr>
      </w:pPr>
      <w:r w:rsidRPr="005174D3">
        <w:rPr>
          <w:bCs/>
        </w:rPr>
        <w:t>31.</w:t>
      </w:r>
      <w:r w:rsidRPr="005174D3">
        <w:rPr>
          <w:bCs/>
        </w:rPr>
        <w:tab/>
      </w:r>
      <w:r w:rsidR="005174D3">
        <w:rPr>
          <w:b/>
          <w:bCs/>
        </w:rPr>
        <w:t>Bearing in mind the indivisibility of all human rights, the Committee encourages the State party to consider ratifying the</w:t>
      </w:r>
      <w:r w:rsidR="00FB46DE">
        <w:rPr>
          <w:b/>
          <w:bCs/>
        </w:rPr>
        <w:t xml:space="preserve"> core</w:t>
      </w:r>
      <w:r w:rsidR="005174D3">
        <w:rPr>
          <w:b/>
          <w:bCs/>
        </w:rPr>
        <w:t xml:space="preserve"> international human rights instruments that it has not yet ratified, </w:t>
      </w:r>
      <w:r w:rsidR="00D03539" w:rsidRPr="00A9684D">
        <w:rPr>
          <w:b/>
          <w:bCs/>
        </w:rPr>
        <w:t xml:space="preserve">in particular treaties with provisions that have direct relevance to communities that may be subjected to racial discrimination, </w:t>
      </w:r>
      <w:r w:rsidR="005174D3" w:rsidRPr="005174D3">
        <w:rPr>
          <w:b/>
          <w:bCs/>
        </w:rPr>
        <w:t>including the International Covenant on Economic, Social and Cultural Rights</w:t>
      </w:r>
      <w:r w:rsidR="00D03539">
        <w:rPr>
          <w:b/>
          <w:bCs/>
        </w:rPr>
        <w:t>, the</w:t>
      </w:r>
      <w:r w:rsidR="005174D3" w:rsidRPr="005174D3">
        <w:rPr>
          <w:b/>
          <w:bCs/>
        </w:rPr>
        <w:t xml:space="preserve"> International Covenant on Civil and Political Rights</w:t>
      </w:r>
      <w:r w:rsidR="00286B71">
        <w:rPr>
          <w:b/>
          <w:bCs/>
        </w:rPr>
        <w:t>,</w:t>
      </w:r>
      <w:r w:rsidR="005174D3" w:rsidRPr="005174D3">
        <w:rPr>
          <w:b/>
          <w:bCs/>
        </w:rPr>
        <w:t xml:space="preserve"> </w:t>
      </w:r>
      <w:r w:rsidR="00286B71">
        <w:rPr>
          <w:b/>
          <w:bCs/>
        </w:rPr>
        <w:t xml:space="preserve">the </w:t>
      </w:r>
      <w:r w:rsidR="005174D3" w:rsidRPr="005174D3">
        <w:rPr>
          <w:b/>
          <w:bCs/>
        </w:rPr>
        <w:t>Convention against Torture and Other Cruel, Inhuman</w:t>
      </w:r>
      <w:r w:rsidR="00FC6513">
        <w:rPr>
          <w:b/>
          <w:bCs/>
        </w:rPr>
        <w:t xml:space="preserve"> or</w:t>
      </w:r>
      <w:r w:rsidR="005174D3" w:rsidRPr="005174D3">
        <w:rPr>
          <w:b/>
          <w:bCs/>
        </w:rPr>
        <w:t xml:space="preserve"> Degrading Treatment or Punishment</w:t>
      </w:r>
      <w:r w:rsidR="00FC6513">
        <w:rPr>
          <w:b/>
          <w:bCs/>
        </w:rPr>
        <w:t>, the</w:t>
      </w:r>
      <w:r w:rsidR="005174D3" w:rsidRPr="005174D3">
        <w:rPr>
          <w:b/>
          <w:bCs/>
        </w:rPr>
        <w:t xml:space="preserve"> International Convention on the Protection of the Rights of All Migrant Workers and Members of Their Families and</w:t>
      </w:r>
      <w:r w:rsidR="00FC6513">
        <w:rPr>
          <w:b/>
          <w:bCs/>
        </w:rPr>
        <w:t xml:space="preserve"> the</w:t>
      </w:r>
      <w:r w:rsidR="005174D3" w:rsidRPr="005174D3">
        <w:rPr>
          <w:b/>
          <w:bCs/>
        </w:rPr>
        <w:t xml:space="preserve"> International Convention for the Protection of All Persons from Enforced Disappearance</w:t>
      </w:r>
      <w:r w:rsidR="005D1520">
        <w:rPr>
          <w:b/>
          <w:bCs/>
        </w:rPr>
        <w:t>.</w:t>
      </w:r>
      <w:r w:rsidR="005174D3">
        <w:rPr>
          <w:b/>
          <w:bCs/>
        </w:rPr>
        <w:t xml:space="preserve"> </w:t>
      </w:r>
    </w:p>
    <w:p w:rsidR="005174D3" w:rsidRPr="005174D3" w:rsidRDefault="00CD4268" w:rsidP="00CD4268">
      <w:pPr>
        <w:pStyle w:val="H23G"/>
        <w:rPr>
          <w:bCs/>
        </w:rPr>
      </w:pPr>
      <w:r>
        <w:rPr>
          <w:bCs/>
        </w:rPr>
        <w:tab/>
      </w:r>
      <w:r>
        <w:rPr>
          <w:bCs/>
        </w:rPr>
        <w:tab/>
      </w:r>
      <w:r w:rsidR="005174D3" w:rsidRPr="005174D3">
        <w:rPr>
          <w:bCs/>
        </w:rPr>
        <w:t>F</w:t>
      </w:r>
      <w:r w:rsidR="005174D3" w:rsidRPr="005174D3">
        <w:t xml:space="preserve">ollow-up to the Durban Declaration and Programme of Action </w:t>
      </w:r>
    </w:p>
    <w:p w:rsidR="005174D3" w:rsidRDefault="00291C94" w:rsidP="00291C94">
      <w:pPr>
        <w:pStyle w:val="SingleTxtG"/>
      </w:pPr>
      <w:r>
        <w:t>32.</w:t>
      </w:r>
      <w:r>
        <w:tab/>
      </w:r>
      <w:r w:rsidR="005174D3">
        <w:rPr>
          <w:b/>
          <w:bCs/>
        </w:rPr>
        <w:t>In the light of its general recommendation No.</w:t>
      </w:r>
      <w:r w:rsidR="007B3AF5">
        <w:rPr>
          <w:b/>
          <w:bCs/>
        </w:rPr>
        <w:t> </w:t>
      </w:r>
      <w:r w:rsidR="005174D3">
        <w:rPr>
          <w:b/>
          <w:bCs/>
        </w:rPr>
        <w:t xml:space="preserve">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5174D3" w:rsidRPr="005174D3" w:rsidRDefault="00CD4268" w:rsidP="00CD4268">
      <w:pPr>
        <w:pStyle w:val="H23G"/>
      </w:pPr>
      <w:r>
        <w:tab/>
      </w:r>
      <w:r>
        <w:tab/>
      </w:r>
      <w:r w:rsidR="005174D3" w:rsidRPr="005174D3">
        <w:t xml:space="preserve">International Decade for People of African Descent </w:t>
      </w:r>
    </w:p>
    <w:p w:rsidR="005174D3" w:rsidRDefault="00291C94" w:rsidP="00291C94">
      <w:pPr>
        <w:pStyle w:val="SingleTxtG"/>
      </w:pPr>
      <w:r>
        <w:t>33.</w:t>
      </w:r>
      <w:r>
        <w:tab/>
      </w:r>
      <w:r w:rsidR="005174D3">
        <w:rPr>
          <w:b/>
          <w:bCs/>
        </w:rPr>
        <w:t xml:space="preserve">In the light of General Assembly resolution 68/237, in which the Assembly proclaimed 2015-2024 the International Decade for People of African Descent, and </w:t>
      </w:r>
      <w:r w:rsidR="00FC6513">
        <w:rPr>
          <w:b/>
          <w:bCs/>
        </w:rPr>
        <w:t xml:space="preserve">Assembly </w:t>
      </w:r>
      <w:r w:rsidR="005174D3">
        <w:rPr>
          <w:b/>
          <w:bCs/>
        </w:rPr>
        <w:t xml:space="preserve">resolution 69/16 on the programme of activities for the implementation of the Decade, the Committee recommends that the State party prepare and implement a suitable programme of measures and policies. The Committee requests that the State party include in its next periodic report </w:t>
      </w:r>
      <w:r w:rsidR="00FC6513">
        <w:rPr>
          <w:b/>
          <w:bCs/>
        </w:rPr>
        <w:t>precise</w:t>
      </w:r>
      <w:r w:rsidR="005174D3">
        <w:rPr>
          <w:b/>
          <w:bCs/>
        </w:rPr>
        <w:t xml:space="preserve"> information on the concrete measures adopted in that framework, taking into account its general recommendation No. 34 (2011) on racial discrimination against people of African descent. </w:t>
      </w:r>
    </w:p>
    <w:p w:rsidR="005174D3" w:rsidRPr="005174D3" w:rsidRDefault="00CD4268" w:rsidP="00CD4268">
      <w:pPr>
        <w:pStyle w:val="H23G"/>
      </w:pPr>
      <w:r>
        <w:tab/>
      </w:r>
      <w:r>
        <w:tab/>
      </w:r>
      <w:r w:rsidR="005174D3" w:rsidRPr="005174D3">
        <w:t xml:space="preserve">Consultations with civil society </w:t>
      </w:r>
    </w:p>
    <w:p w:rsidR="005174D3" w:rsidRPr="005174D3" w:rsidRDefault="00291C94" w:rsidP="00291C94">
      <w:pPr>
        <w:pStyle w:val="SingleTxtG"/>
        <w:rPr>
          <w:sz w:val="18"/>
          <w:szCs w:val="18"/>
        </w:rPr>
      </w:pPr>
      <w:r w:rsidRPr="005174D3">
        <w:rPr>
          <w:sz w:val="18"/>
          <w:szCs w:val="18"/>
        </w:rPr>
        <w:t>34.</w:t>
      </w:r>
      <w:r w:rsidRPr="005174D3">
        <w:rPr>
          <w:sz w:val="18"/>
          <w:szCs w:val="18"/>
        </w:rPr>
        <w:tab/>
      </w:r>
      <w:r w:rsidR="005174D3">
        <w:rPr>
          <w:b/>
          <w:bCs/>
        </w:rPr>
        <w:t xml:space="preserve">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w:t>
      </w:r>
      <w:r w:rsidR="00D537DE">
        <w:rPr>
          <w:b/>
          <w:bCs/>
        </w:rPr>
        <w:t xml:space="preserve">its </w:t>
      </w:r>
      <w:r w:rsidR="005174D3">
        <w:rPr>
          <w:b/>
          <w:bCs/>
        </w:rPr>
        <w:t xml:space="preserve">follow-up to the present concluding observations. </w:t>
      </w:r>
    </w:p>
    <w:p w:rsidR="005174D3" w:rsidRPr="005174D3" w:rsidRDefault="00CD4268" w:rsidP="00CD4268">
      <w:pPr>
        <w:pStyle w:val="H23G"/>
      </w:pPr>
      <w:r>
        <w:tab/>
      </w:r>
      <w:r>
        <w:tab/>
      </w:r>
      <w:r w:rsidR="005174D3" w:rsidRPr="005174D3">
        <w:t xml:space="preserve">Amendment to article 8 of the Convention </w:t>
      </w:r>
    </w:p>
    <w:p w:rsidR="00661E86" w:rsidRPr="00A870D2" w:rsidRDefault="00291C94" w:rsidP="00291C94">
      <w:pPr>
        <w:pStyle w:val="SingleTxtG"/>
      </w:pPr>
      <w:r w:rsidRPr="00A870D2">
        <w:t>35.</w:t>
      </w:r>
      <w:r w:rsidRPr="00A870D2">
        <w:tab/>
      </w:r>
      <w:r w:rsidR="005174D3">
        <w:rPr>
          <w:b/>
          <w:bCs/>
        </w:rPr>
        <w:t>The Committee recommends that the State party ratify the amendment to article 8 (6) of the Convention</w:t>
      </w:r>
      <w:r w:rsidR="00D537DE">
        <w:rPr>
          <w:b/>
          <w:bCs/>
        </w:rPr>
        <w:t xml:space="preserve"> that was</w:t>
      </w:r>
      <w:r w:rsidR="005174D3">
        <w:rPr>
          <w:b/>
          <w:bCs/>
        </w:rPr>
        <w:t xml:space="preserve"> adopted on 15 January 1992 at the fourteenth meeting of States parties to the Convention and endorsed by the General Assembly in its resolution 47/111. </w:t>
      </w:r>
    </w:p>
    <w:p w:rsidR="005174D3" w:rsidRDefault="00CD4268" w:rsidP="00CD4268">
      <w:pPr>
        <w:pStyle w:val="H23G"/>
      </w:pPr>
      <w:r>
        <w:tab/>
      </w:r>
      <w:r>
        <w:tab/>
      </w:r>
      <w:r w:rsidR="005174D3" w:rsidRPr="005174D3">
        <w:t>Declaration</w:t>
      </w:r>
      <w:r w:rsidR="005174D3">
        <w:t xml:space="preserve"> under article 14 of the Convention </w:t>
      </w:r>
    </w:p>
    <w:p w:rsidR="005174D3" w:rsidRDefault="00291C94" w:rsidP="00291C94">
      <w:pPr>
        <w:pStyle w:val="SingleTxtG"/>
      </w:pPr>
      <w:r>
        <w:t>36.</w:t>
      </w:r>
      <w:r>
        <w:tab/>
      </w:r>
      <w:r w:rsidR="005174D3">
        <w:rPr>
          <w:b/>
          <w:bCs/>
        </w:rPr>
        <w:t xml:space="preserve">The Committee encourages the State party to make the optional declaration provided for in article 14 of the Convention recognizing the competence of the Committee to receive and consider individual communications. </w:t>
      </w:r>
    </w:p>
    <w:p w:rsidR="005174D3" w:rsidRDefault="00CD4268" w:rsidP="00CD4268">
      <w:pPr>
        <w:pStyle w:val="H23G"/>
      </w:pPr>
      <w:r>
        <w:tab/>
      </w:r>
      <w:r>
        <w:tab/>
      </w:r>
      <w:r w:rsidR="005174D3" w:rsidRPr="005174D3">
        <w:t>Follow</w:t>
      </w:r>
      <w:r w:rsidR="005174D3">
        <w:t xml:space="preserve">-up to the present concluding observations </w:t>
      </w:r>
    </w:p>
    <w:p w:rsidR="005174D3" w:rsidRDefault="00291C94" w:rsidP="00291C94">
      <w:pPr>
        <w:pStyle w:val="SingleTxtG"/>
      </w:pPr>
      <w:r>
        <w:t>37.</w:t>
      </w:r>
      <w:r>
        <w:tab/>
      </w:r>
      <w:r w:rsidR="005174D3">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 </w:t>
      </w:r>
      <w:r w:rsidR="00BA33A8">
        <w:rPr>
          <w:b/>
          <w:bCs/>
        </w:rPr>
        <w:t>20</w:t>
      </w:r>
      <w:r w:rsidR="00F20CBC">
        <w:rPr>
          <w:b/>
          <w:bCs/>
        </w:rPr>
        <w:t xml:space="preserve"> (b</w:t>
      </w:r>
      <w:r w:rsidR="00FC6513">
        <w:rPr>
          <w:b/>
          <w:bCs/>
        </w:rPr>
        <w:t>)</w:t>
      </w:r>
      <w:r w:rsidR="00F20CBC">
        <w:rPr>
          <w:b/>
          <w:bCs/>
        </w:rPr>
        <w:t xml:space="preserve"> and </w:t>
      </w:r>
      <w:r w:rsidR="00FC6513">
        <w:rPr>
          <w:b/>
          <w:bCs/>
        </w:rPr>
        <w:t>(</w:t>
      </w:r>
      <w:r w:rsidR="00F20CBC">
        <w:rPr>
          <w:b/>
          <w:bCs/>
        </w:rPr>
        <w:t>d)</w:t>
      </w:r>
      <w:r w:rsidR="00BA33A8">
        <w:rPr>
          <w:b/>
          <w:bCs/>
        </w:rPr>
        <w:t xml:space="preserve"> </w:t>
      </w:r>
      <w:r w:rsidR="005174D3">
        <w:rPr>
          <w:b/>
          <w:bCs/>
        </w:rPr>
        <w:t xml:space="preserve">above. </w:t>
      </w:r>
    </w:p>
    <w:p w:rsidR="005174D3" w:rsidRDefault="00CD4268" w:rsidP="00CD4268">
      <w:pPr>
        <w:pStyle w:val="H23G"/>
      </w:pPr>
      <w:r>
        <w:tab/>
      </w:r>
      <w:r>
        <w:tab/>
      </w:r>
      <w:r w:rsidR="005174D3" w:rsidRPr="005174D3">
        <w:t>Paragraphs</w:t>
      </w:r>
      <w:r w:rsidR="005174D3">
        <w:t xml:space="preserve"> of particular importance </w:t>
      </w:r>
    </w:p>
    <w:p w:rsidR="005174D3" w:rsidRDefault="00291C94" w:rsidP="006A4E4C">
      <w:pPr>
        <w:pStyle w:val="SingleTxtG"/>
        <w:keepNext/>
        <w:keepLines/>
      </w:pPr>
      <w:r>
        <w:t>38.</w:t>
      </w:r>
      <w:r>
        <w:tab/>
      </w:r>
      <w:r w:rsidR="005174D3">
        <w:rPr>
          <w:b/>
          <w:bCs/>
        </w:rPr>
        <w:t xml:space="preserve">The Committee wishes to draw the attention of the State party to the particular importance of the recommendations contained in paragraphs </w:t>
      </w:r>
      <w:r w:rsidR="00F20CBC">
        <w:rPr>
          <w:b/>
          <w:bCs/>
        </w:rPr>
        <w:t>20</w:t>
      </w:r>
      <w:r w:rsidR="00BA33A8">
        <w:rPr>
          <w:b/>
          <w:bCs/>
        </w:rPr>
        <w:t>, 22</w:t>
      </w:r>
      <w:r w:rsidR="005174D3">
        <w:rPr>
          <w:b/>
          <w:bCs/>
        </w:rPr>
        <w:t xml:space="preserve"> and </w:t>
      </w:r>
      <w:r w:rsidR="00F20CBC">
        <w:rPr>
          <w:b/>
          <w:bCs/>
        </w:rPr>
        <w:t>30</w:t>
      </w:r>
      <w:r w:rsidR="005174D3">
        <w:rPr>
          <w:b/>
          <w:bCs/>
        </w:rPr>
        <w:t xml:space="preserve"> above and requests the State party to provide detailed information in its next periodic report on the concrete measures taken to implement those recommendations. </w:t>
      </w:r>
    </w:p>
    <w:p w:rsidR="005174D3" w:rsidRDefault="00CD4268" w:rsidP="00CD4268">
      <w:pPr>
        <w:pStyle w:val="H23G"/>
      </w:pPr>
      <w:r>
        <w:tab/>
      </w:r>
      <w:r>
        <w:tab/>
      </w:r>
      <w:r w:rsidR="005174D3" w:rsidRPr="005174D3">
        <w:t>Dissemination</w:t>
      </w:r>
      <w:r w:rsidR="005174D3">
        <w:t xml:space="preserve"> of information </w:t>
      </w:r>
    </w:p>
    <w:p w:rsidR="005174D3" w:rsidRDefault="00291C94" w:rsidP="00291C94">
      <w:pPr>
        <w:pStyle w:val="SingleTxtG"/>
      </w:pPr>
      <w:r>
        <w:t>39.</w:t>
      </w:r>
      <w:r>
        <w:tab/>
      </w:r>
      <w:r w:rsidR="005174D3" w:rsidRPr="009E6BCD">
        <w:rPr>
          <w:b/>
          <w:bCs/>
        </w:rPr>
        <w:t>The Committee recommends that the State party’s reports be made readily</w:t>
      </w:r>
      <w:r w:rsidR="005174D3">
        <w:rPr>
          <w:b/>
          <w:bCs/>
        </w:rPr>
        <w:t xml:space="preserve"> available and accessible to the public at the time of their submission and that the concluding observations of the Committee with respect to those reports be similarly publicized in the official and other commonly used languages</w:t>
      </w:r>
      <w:r w:rsidR="004A68A4">
        <w:rPr>
          <w:b/>
          <w:bCs/>
        </w:rPr>
        <w:t>,</w:t>
      </w:r>
      <w:r w:rsidR="00F20CBC">
        <w:rPr>
          <w:b/>
          <w:bCs/>
        </w:rPr>
        <w:t xml:space="preserve"> including English</w:t>
      </w:r>
      <w:r w:rsidR="005174D3">
        <w:rPr>
          <w:b/>
          <w:bCs/>
        </w:rPr>
        <w:t xml:space="preserve">, as appropriate. </w:t>
      </w:r>
    </w:p>
    <w:p w:rsidR="005174D3" w:rsidRDefault="00CD4268" w:rsidP="00CD4268">
      <w:pPr>
        <w:pStyle w:val="H23G"/>
      </w:pPr>
      <w:r>
        <w:tab/>
      </w:r>
      <w:r>
        <w:tab/>
      </w:r>
      <w:r w:rsidR="005174D3" w:rsidRPr="005174D3">
        <w:t>Preparation</w:t>
      </w:r>
      <w:r w:rsidR="005174D3">
        <w:t xml:space="preserve"> of the next </w:t>
      </w:r>
      <w:r w:rsidR="00FC6513">
        <w:t xml:space="preserve">periodic </w:t>
      </w:r>
      <w:r w:rsidR="005174D3">
        <w:t xml:space="preserve">report </w:t>
      </w:r>
    </w:p>
    <w:p w:rsidR="005174D3" w:rsidRDefault="00291C94" w:rsidP="00291C94">
      <w:pPr>
        <w:pStyle w:val="SingleTxtG"/>
        <w:rPr>
          <w:b/>
          <w:bCs/>
        </w:rPr>
      </w:pPr>
      <w:r>
        <w:rPr>
          <w:bCs/>
        </w:rPr>
        <w:t>40.</w:t>
      </w:r>
      <w:r>
        <w:rPr>
          <w:bCs/>
        </w:rPr>
        <w:tab/>
      </w:r>
      <w:r w:rsidR="005174D3">
        <w:rPr>
          <w:b/>
          <w:bCs/>
          <w:lang w:eastAsia="en-GB"/>
        </w:rPr>
        <w:t>The Committee recommends that the State party sub</w:t>
      </w:r>
      <w:r w:rsidR="008F2797">
        <w:rPr>
          <w:b/>
          <w:bCs/>
          <w:lang w:eastAsia="en-GB"/>
        </w:rPr>
        <w:t xml:space="preserve">mit its combined sixth to </w:t>
      </w:r>
      <w:r w:rsidR="00136A07">
        <w:rPr>
          <w:b/>
          <w:bCs/>
          <w:lang w:eastAsia="en-GB"/>
        </w:rPr>
        <w:t>ninth</w:t>
      </w:r>
      <w:r w:rsidR="005174D3">
        <w:rPr>
          <w:b/>
          <w:bCs/>
          <w:lang w:eastAsia="en-GB"/>
        </w:rPr>
        <w:t xml:space="preserve"> periodic reports, as a single document, </w:t>
      </w:r>
      <w:r w:rsidR="005174D3" w:rsidRPr="008F2797">
        <w:rPr>
          <w:b/>
          <w:bCs/>
          <w:lang w:eastAsia="en-GB"/>
        </w:rPr>
        <w:t xml:space="preserve">by </w:t>
      </w:r>
      <w:r w:rsidR="00973978">
        <w:rPr>
          <w:b/>
          <w:bCs/>
          <w:lang w:eastAsia="en-GB"/>
        </w:rPr>
        <w:t>2 January 2020</w:t>
      </w:r>
      <w:r w:rsidR="00AD7D23">
        <w:rPr>
          <w:b/>
          <w:bCs/>
          <w:lang w:eastAsia="en-GB"/>
        </w:rPr>
        <w:t>,</w:t>
      </w:r>
      <w:r w:rsidR="005174D3" w:rsidRPr="008F2797">
        <w:rPr>
          <w:b/>
          <w:bCs/>
          <w:lang w:eastAsia="en-GB"/>
        </w:rPr>
        <w:t xml:space="preserve"> taking into</w:t>
      </w:r>
      <w:r w:rsidR="005174D3">
        <w:rPr>
          <w:b/>
          <w:bCs/>
          <w:lang w:eastAsia="en-GB"/>
        </w:rPr>
        <w:t xml:space="preserve">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 </w:t>
      </w:r>
    </w:p>
    <w:p w:rsidR="00107BBF" w:rsidRPr="00106A43" w:rsidRDefault="00107BBF" w:rsidP="00107BBF">
      <w:pPr>
        <w:spacing w:before="240"/>
        <w:jc w:val="center"/>
        <w:rPr>
          <w:u w:val="single"/>
        </w:rPr>
      </w:pPr>
      <w:r>
        <w:rPr>
          <w:u w:val="single"/>
        </w:rPr>
        <w:tab/>
      </w:r>
      <w:r>
        <w:rPr>
          <w:u w:val="single"/>
        </w:rPr>
        <w:tab/>
      </w:r>
      <w:r>
        <w:rPr>
          <w:u w:val="single"/>
        </w:rPr>
        <w:tab/>
      </w:r>
    </w:p>
    <w:sectPr w:rsidR="00107BBF" w:rsidRPr="00106A43" w:rsidSect="006A4E4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1A" w:rsidRDefault="00454D1A"/>
  </w:endnote>
  <w:endnote w:type="continuationSeparator" w:id="0">
    <w:p w:rsidR="00454D1A" w:rsidRDefault="00454D1A"/>
  </w:endnote>
  <w:endnote w:type="continuationNotice" w:id="1">
    <w:p w:rsidR="00454D1A" w:rsidRDefault="0045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86" w:rsidRPr="007B2CA0" w:rsidRDefault="00515386" w:rsidP="007B2CA0">
    <w:pPr>
      <w:pStyle w:val="Footer"/>
      <w:tabs>
        <w:tab w:val="right" w:pos="9598"/>
      </w:tabs>
    </w:pPr>
    <w:r w:rsidRPr="007B2CA0">
      <w:rPr>
        <w:b/>
        <w:sz w:val="18"/>
      </w:rPr>
      <w:fldChar w:fldCharType="begin"/>
    </w:r>
    <w:r w:rsidRPr="007B2CA0">
      <w:rPr>
        <w:b/>
        <w:sz w:val="18"/>
      </w:rPr>
      <w:instrText xml:space="preserve"> PAGE  \* MERGEFORMAT </w:instrText>
    </w:r>
    <w:r w:rsidRPr="007B2CA0">
      <w:rPr>
        <w:b/>
        <w:sz w:val="18"/>
      </w:rPr>
      <w:fldChar w:fldCharType="separate"/>
    </w:r>
    <w:r w:rsidR="008F29A9">
      <w:rPr>
        <w:b/>
        <w:noProof/>
        <w:sz w:val="18"/>
      </w:rPr>
      <w:t>2</w:t>
    </w:r>
    <w:r w:rsidRPr="007B2CA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86" w:rsidRPr="007B2CA0" w:rsidRDefault="00515386" w:rsidP="007B2CA0">
    <w:pPr>
      <w:pStyle w:val="Footer"/>
      <w:tabs>
        <w:tab w:val="right" w:pos="9598"/>
      </w:tabs>
      <w:rPr>
        <w:b/>
        <w:sz w:val="18"/>
      </w:rPr>
    </w:pPr>
    <w:r>
      <w:tab/>
    </w:r>
    <w:r w:rsidRPr="007B2CA0">
      <w:rPr>
        <w:b/>
        <w:sz w:val="18"/>
      </w:rPr>
      <w:fldChar w:fldCharType="begin"/>
    </w:r>
    <w:r w:rsidRPr="007B2CA0">
      <w:rPr>
        <w:b/>
        <w:sz w:val="18"/>
      </w:rPr>
      <w:instrText xml:space="preserve"> PAGE  \* MERGEFORMAT </w:instrText>
    </w:r>
    <w:r w:rsidRPr="007B2CA0">
      <w:rPr>
        <w:b/>
        <w:sz w:val="18"/>
      </w:rPr>
      <w:fldChar w:fldCharType="separate"/>
    </w:r>
    <w:r w:rsidR="008F29A9">
      <w:rPr>
        <w:b/>
        <w:noProof/>
        <w:sz w:val="18"/>
      </w:rPr>
      <w:t>3</w:t>
    </w:r>
    <w:r w:rsidRPr="007B2C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A9" w:rsidRDefault="008F29A9" w:rsidP="008F29A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F29A9" w:rsidRDefault="008F29A9" w:rsidP="008F29A9">
    <w:pPr>
      <w:pStyle w:val="Footer"/>
      <w:ind w:right="1134"/>
      <w:rPr>
        <w:sz w:val="20"/>
      </w:rPr>
    </w:pPr>
    <w:r>
      <w:rPr>
        <w:sz w:val="20"/>
      </w:rPr>
      <w:t>GE.16-08152(E)</w:t>
    </w:r>
  </w:p>
  <w:p w:rsidR="008F29A9" w:rsidRPr="008F29A9" w:rsidRDefault="008F29A9" w:rsidP="008F29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ERD/C/OMN/CO/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OMN/CO/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1A" w:rsidRPr="000B175B" w:rsidRDefault="00454D1A" w:rsidP="000B175B">
      <w:pPr>
        <w:tabs>
          <w:tab w:val="right" w:pos="2155"/>
        </w:tabs>
        <w:spacing w:after="80"/>
        <w:ind w:left="680"/>
        <w:rPr>
          <w:u w:val="single"/>
        </w:rPr>
      </w:pPr>
      <w:r>
        <w:rPr>
          <w:u w:val="single"/>
        </w:rPr>
        <w:tab/>
      </w:r>
    </w:p>
  </w:footnote>
  <w:footnote w:type="continuationSeparator" w:id="0">
    <w:p w:rsidR="00454D1A" w:rsidRPr="00FC68B7" w:rsidRDefault="00454D1A" w:rsidP="00FC68B7">
      <w:pPr>
        <w:tabs>
          <w:tab w:val="left" w:pos="2155"/>
        </w:tabs>
        <w:spacing w:after="80"/>
        <w:ind w:left="680"/>
        <w:rPr>
          <w:u w:val="single"/>
        </w:rPr>
      </w:pPr>
      <w:r>
        <w:rPr>
          <w:u w:val="single"/>
        </w:rPr>
        <w:tab/>
      </w:r>
    </w:p>
  </w:footnote>
  <w:footnote w:type="continuationNotice" w:id="1">
    <w:p w:rsidR="00454D1A" w:rsidRDefault="00454D1A"/>
  </w:footnote>
  <w:footnote w:id="2">
    <w:p w:rsidR="007B3AF5" w:rsidRDefault="007B3AF5" w:rsidP="00B94E8B">
      <w:pPr>
        <w:pStyle w:val="FootnoteText"/>
      </w:pPr>
      <w:r>
        <w:tab/>
      </w:r>
      <w:r w:rsidRPr="00291C94">
        <w:rPr>
          <w:rStyle w:val="FootnoteReference"/>
          <w:sz w:val="20"/>
          <w:vertAlign w:val="baseline"/>
        </w:rPr>
        <w:t>*</w:t>
      </w:r>
      <w:r>
        <w:tab/>
      </w:r>
      <w:proofErr w:type="gramStart"/>
      <w:r>
        <w:t>Adopted by the Committee at its eighty-ninth</w:t>
      </w:r>
      <w:r>
        <w:rPr>
          <w:color w:val="FF0000"/>
        </w:rPr>
        <w:t xml:space="preserve"> </w:t>
      </w:r>
      <w:r>
        <w:t>session (25 April</w:t>
      </w:r>
      <w:r w:rsidR="00B94E8B">
        <w:t>-</w:t>
      </w:r>
      <w:r>
        <w:t>13 May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86" w:rsidRPr="00E92BDD" w:rsidRDefault="00515386" w:rsidP="007B2CA0">
    <w:pPr>
      <w:pStyle w:val="Header"/>
    </w:pPr>
    <w:r w:rsidRPr="00E92BDD">
      <w:t>CERD/C/OMN/CO/2-5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86" w:rsidRPr="00E92BDD" w:rsidRDefault="00515386" w:rsidP="007B2CA0">
    <w:pPr>
      <w:pStyle w:val="Header"/>
      <w:jc w:val="right"/>
    </w:pPr>
    <w:r w:rsidRPr="00E92BDD">
      <w:t>CERD/C/OMN/CO/2-5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CCF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8D18E1"/>
    <w:multiLevelType w:val="hybridMultilevel"/>
    <w:tmpl w:val="4F8C3EAE"/>
    <w:lvl w:ilvl="0" w:tplc="6246AEE4">
      <w:start w:val="1"/>
      <w:numFmt w:val="decimal"/>
      <w:lvlText w:val="%1."/>
      <w:lvlJc w:val="left"/>
      <w:pPr>
        <w:ind w:left="1353" w:hanging="360"/>
      </w:pPr>
      <w:rPr>
        <w:b w:val="0"/>
        <w:i w:val="0"/>
        <w:color w:val="auto"/>
      </w:rPr>
    </w:lvl>
    <w:lvl w:ilvl="1" w:tplc="2828F4C0">
      <w:start w:val="1"/>
      <w:numFmt w:val="lowerLetter"/>
      <w:lvlText w:val="(%2)"/>
      <w:lvlJc w:val="left"/>
      <w:pPr>
        <w:ind w:left="2629" w:hanging="360"/>
      </w:pPr>
      <w:rPr>
        <w:rFonts w:ascii="Times New Roman" w:eastAsia="Times New Roman" w:hAnsi="Times New Roman" w:cs="Times New Roman"/>
        <w:b w:val="0"/>
        <w:bCs/>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F833A22"/>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1701ADC"/>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CF6DBB"/>
    <w:multiLevelType w:val="hybridMultilevel"/>
    <w:tmpl w:val="E9784B0C"/>
    <w:lvl w:ilvl="0" w:tplc="97F29854">
      <w:start w:val="1"/>
      <w:numFmt w:val="lowerLetter"/>
      <w:lvlText w:val="(%1)"/>
      <w:lvlJc w:val="left"/>
      <w:pPr>
        <w:ind w:left="1854" w:hanging="360"/>
      </w:pPr>
      <w:rPr>
        <w:rFonts w:eastAsia="Times New Roman"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2F560BB"/>
    <w:multiLevelType w:val="hybridMultilevel"/>
    <w:tmpl w:val="4D60D09A"/>
    <w:lvl w:ilvl="0" w:tplc="5A8C1458">
      <w:start w:val="1"/>
      <w:numFmt w:val="lowerLetter"/>
      <w:lvlText w:val="(%1)"/>
      <w:lvlJc w:val="left"/>
      <w:pPr>
        <w:ind w:left="2345" w:hanging="360"/>
      </w:pPr>
      <w:rPr>
        <w:rFonts w:eastAsia="Times New Roman" w:hint="default"/>
        <w:b/>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5C2C4AC7"/>
    <w:multiLevelType w:val="hybridMultilevel"/>
    <w:tmpl w:val="D864137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0110E23"/>
    <w:multiLevelType w:val="hybridMultilevel"/>
    <w:tmpl w:val="70980CC0"/>
    <w:lvl w:ilvl="0" w:tplc="911670B2">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767D7B88"/>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8"/>
  </w:num>
  <w:num w:numId="12">
    <w:abstractNumId w:val="17"/>
  </w:num>
  <w:num w:numId="13">
    <w:abstractNumId w:val="11"/>
  </w:num>
  <w:num w:numId="14">
    <w:abstractNumId w:val="22"/>
  </w:num>
  <w:num w:numId="15">
    <w:abstractNumId w:val="16"/>
  </w:num>
  <w:num w:numId="16">
    <w:abstractNumId w:val="13"/>
  </w:num>
  <w:num w:numId="17">
    <w:abstractNumId w:val="12"/>
  </w:num>
  <w:num w:numId="18">
    <w:abstractNumId w:val="21"/>
  </w:num>
  <w:num w:numId="19">
    <w:abstractNumId w:val="23"/>
  </w:num>
  <w:num w:numId="20">
    <w:abstractNumId w:val="20"/>
  </w:num>
  <w:num w:numId="21">
    <w:abstractNumId w:val="19"/>
  </w:num>
  <w:num w:numId="22">
    <w:abstractNumId w:val="0"/>
  </w:num>
  <w:num w:numId="23">
    <w:abstractNumId w:val="15"/>
  </w:num>
  <w:num w:numId="24">
    <w:abstractNumId w:val="24"/>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F5"/>
    <w:rsid w:val="000026A7"/>
    <w:rsid w:val="00003B9C"/>
    <w:rsid w:val="00006E3A"/>
    <w:rsid w:val="000126ED"/>
    <w:rsid w:val="0002776F"/>
    <w:rsid w:val="00032FF2"/>
    <w:rsid w:val="00033433"/>
    <w:rsid w:val="00043F7F"/>
    <w:rsid w:val="00050F04"/>
    <w:rsid w:val="00050F6B"/>
    <w:rsid w:val="000551DC"/>
    <w:rsid w:val="000673D0"/>
    <w:rsid w:val="00072C8C"/>
    <w:rsid w:val="000733B5"/>
    <w:rsid w:val="00074492"/>
    <w:rsid w:val="00075555"/>
    <w:rsid w:val="00077485"/>
    <w:rsid w:val="000814F4"/>
    <w:rsid w:val="000931C0"/>
    <w:rsid w:val="00094995"/>
    <w:rsid w:val="000954AA"/>
    <w:rsid w:val="000A5D3B"/>
    <w:rsid w:val="000B175B"/>
    <w:rsid w:val="000B2225"/>
    <w:rsid w:val="000B3A0F"/>
    <w:rsid w:val="000B4EF7"/>
    <w:rsid w:val="000B5E73"/>
    <w:rsid w:val="000C10AD"/>
    <w:rsid w:val="000C1462"/>
    <w:rsid w:val="000C1EC0"/>
    <w:rsid w:val="000C2D2E"/>
    <w:rsid w:val="000D38CB"/>
    <w:rsid w:val="000D3CB8"/>
    <w:rsid w:val="000D4DAB"/>
    <w:rsid w:val="000E0415"/>
    <w:rsid w:val="000E6112"/>
    <w:rsid w:val="000F2DDA"/>
    <w:rsid w:val="001006AC"/>
    <w:rsid w:val="00107BBF"/>
    <w:rsid w:val="001103AA"/>
    <w:rsid w:val="001112B5"/>
    <w:rsid w:val="00125E4E"/>
    <w:rsid w:val="00135B61"/>
    <w:rsid w:val="00136A07"/>
    <w:rsid w:val="00140CC9"/>
    <w:rsid w:val="00155467"/>
    <w:rsid w:val="001602AF"/>
    <w:rsid w:val="001700D8"/>
    <w:rsid w:val="0017269E"/>
    <w:rsid w:val="00177689"/>
    <w:rsid w:val="00180D95"/>
    <w:rsid w:val="00182C27"/>
    <w:rsid w:val="0018711F"/>
    <w:rsid w:val="001932E7"/>
    <w:rsid w:val="00193B1D"/>
    <w:rsid w:val="00195F80"/>
    <w:rsid w:val="00197C13"/>
    <w:rsid w:val="001A10EA"/>
    <w:rsid w:val="001A1A60"/>
    <w:rsid w:val="001B30AE"/>
    <w:rsid w:val="001B4B04"/>
    <w:rsid w:val="001C510A"/>
    <w:rsid w:val="001C562A"/>
    <w:rsid w:val="001C6663"/>
    <w:rsid w:val="001C7895"/>
    <w:rsid w:val="001D1D50"/>
    <w:rsid w:val="001D26DF"/>
    <w:rsid w:val="001E37AA"/>
    <w:rsid w:val="001E3AF4"/>
    <w:rsid w:val="001E5AA0"/>
    <w:rsid w:val="001E7D94"/>
    <w:rsid w:val="001F066A"/>
    <w:rsid w:val="001F06AC"/>
    <w:rsid w:val="001F36E2"/>
    <w:rsid w:val="001F3DC1"/>
    <w:rsid w:val="00202DA8"/>
    <w:rsid w:val="00206627"/>
    <w:rsid w:val="002072C1"/>
    <w:rsid w:val="00211E0B"/>
    <w:rsid w:val="00213209"/>
    <w:rsid w:val="00227D1C"/>
    <w:rsid w:val="0023390A"/>
    <w:rsid w:val="002406FD"/>
    <w:rsid w:val="00255131"/>
    <w:rsid w:val="0025590D"/>
    <w:rsid w:val="0025642E"/>
    <w:rsid w:val="00261697"/>
    <w:rsid w:val="002652C0"/>
    <w:rsid w:val="0026703B"/>
    <w:rsid w:val="0027731A"/>
    <w:rsid w:val="00284DFE"/>
    <w:rsid w:val="00286147"/>
    <w:rsid w:val="00286B71"/>
    <w:rsid w:val="00290367"/>
    <w:rsid w:val="00291C94"/>
    <w:rsid w:val="002941E5"/>
    <w:rsid w:val="002960FA"/>
    <w:rsid w:val="00297452"/>
    <w:rsid w:val="002B0464"/>
    <w:rsid w:val="002B16D9"/>
    <w:rsid w:val="002B6D8A"/>
    <w:rsid w:val="002D241A"/>
    <w:rsid w:val="002D49D8"/>
    <w:rsid w:val="002F175C"/>
    <w:rsid w:val="003072F5"/>
    <w:rsid w:val="00313634"/>
    <w:rsid w:val="0032219B"/>
    <w:rsid w:val="003222C0"/>
    <w:rsid w:val="00322941"/>
    <w:rsid w:val="003229D8"/>
    <w:rsid w:val="003305AB"/>
    <w:rsid w:val="003427E0"/>
    <w:rsid w:val="00344502"/>
    <w:rsid w:val="00352709"/>
    <w:rsid w:val="00354A09"/>
    <w:rsid w:val="00371178"/>
    <w:rsid w:val="003718FA"/>
    <w:rsid w:val="00374D84"/>
    <w:rsid w:val="0037535C"/>
    <w:rsid w:val="0039077B"/>
    <w:rsid w:val="0039098D"/>
    <w:rsid w:val="003A4810"/>
    <w:rsid w:val="003A6810"/>
    <w:rsid w:val="003B101F"/>
    <w:rsid w:val="003B3595"/>
    <w:rsid w:val="003B6AB3"/>
    <w:rsid w:val="003C14C1"/>
    <w:rsid w:val="003C2CC4"/>
    <w:rsid w:val="003D4B23"/>
    <w:rsid w:val="003D5479"/>
    <w:rsid w:val="003F06D1"/>
    <w:rsid w:val="003F1120"/>
    <w:rsid w:val="003F3685"/>
    <w:rsid w:val="003F71F9"/>
    <w:rsid w:val="00401E8A"/>
    <w:rsid w:val="004027C3"/>
    <w:rsid w:val="00405DDC"/>
    <w:rsid w:val="00410C89"/>
    <w:rsid w:val="0041219D"/>
    <w:rsid w:val="00412229"/>
    <w:rsid w:val="00413D12"/>
    <w:rsid w:val="00421115"/>
    <w:rsid w:val="00421E1E"/>
    <w:rsid w:val="004325CB"/>
    <w:rsid w:val="00440B14"/>
    <w:rsid w:val="00441194"/>
    <w:rsid w:val="004477CA"/>
    <w:rsid w:val="0045495B"/>
    <w:rsid w:val="00454D1A"/>
    <w:rsid w:val="00460F0F"/>
    <w:rsid w:val="004610FB"/>
    <w:rsid w:val="00463E90"/>
    <w:rsid w:val="00467142"/>
    <w:rsid w:val="0047321A"/>
    <w:rsid w:val="00484165"/>
    <w:rsid w:val="00495928"/>
    <w:rsid w:val="00496C5C"/>
    <w:rsid w:val="004978B8"/>
    <w:rsid w:val="004A2288"/>
    <w:rsid w:val="004A3A7E"/>
    <w:rsid w:val="004A68A4"/>
    <w:rsid w:val="004A6AE3"/>
    <w:rsid w:val="004B24E6"/>
    <w:rsid w:val="004C15AE"/>
    <w:rsid w:val="004C2C22"/>
    <w:rsid w:val="004C67B4"/>
    <w:rsid w:val="004D2121"/>
    <w:rsid w:val="004D25E4"/>
    <w:rsid w:val="004D558B"/>
    <w:rsid w:val="004D5E04"/>
    <w:rsid w:val="004D72FA"/>
    <w:rsid w:val="004D74D5"/>
    <w:rsid w:val="004F718D"/>
    <w:rsid w:val="0050248E"/>
    <w:rsid w:val="00510108"/>
    <w:rsid w:val="00513237"/>
    <w:rsid w:val="00515386"/>
    <w:rsid w:val="00515E83"/>
    <w:rsid w:val="005174D3"/>
    <w:rsid w:val="00517B36"/>
    <w:rsid w:val="00530AF5"/>
    <w:rsid w:val="00530D3D"/>
    <w:rsid w:val="0053342C"/>
    <w:rsid w:val="00536248"/>
    <w:rsid w:val="005420F2"/>
    <w:rsid w:val="00570369"/>
    <w:rsid w:val="00574091"/>
    <w:rsid w:val="005811F1"/>
    <w:rsid w:val="00595914"/>
    <w:rsid w:val="005A7E74"/>
    <w:rsid w:val="005B0799"/>
    <w:rsid w:val="005B2352"/>
    <w:rsid w:val="005B3DB3"/>
    <w:rsid w:val="005B62D8"/>
    <w:rsid w:val="005C6A79"/>
    <w:rsid w:val="005D078A"/>
    <w:rsid w:val="005D1520"/>
    <w:rsid w:val="005D58DD"/>
    <w:rsid w:val="005E2999"/>
    <w:rsid w:val="006001EE"/>
    <w:rsid w:val="006023A0"/>
    <w:rsid w:val="006050D0"/>
    <w:rsid w:val="00605357"/>
    <w:rsid w:val="0061005E"/>
    <w:rsid w:val="00610262"/>
    <w:rsid w:val="00611FC4"/>
    <w:rsid w:val="006124D0"/>
    <w:rsid w:val="006176FB"/>
    <w:rsid w:val="00623C4A"/>
    <w:rsid w:val="00640B26"/>
    <w:rsid w:val="006422D0"/>
    <w:rsid w:val="00643492"/>
    <w:rsid w:val="00643B16"/>
    <w:rsid w:val="00655C65"/>
    <w:rsid w:val="006606D9"/>
    <w:rsid w:val="00660B31"/>
    <w:rsid w:val="0066123B"/>
    <w:rsid w:val="00661E86"/>
    <w:rsid w:val="00665398"/>
    <w:rsid w:val="00665829"/>
    <w:rsid w:val="006702DB"/>
    <w:rsid w:val="0067369C"/>
    <w:rsid w:val="0067392E"/>
    <w:rsid w:val="006978BB"/>
    <w:rsid w:val="006A4E4C"/>
    <w:rsid w:val="006A6F15"/>
    <w:rsid w:val="006B3C17"/>
    <w:rsid w:val="006B3D46"/>
    <w:rsid w:val="006C5AEE"/>
    <w:rsid w:val="006E564B"/>
    <w:rsid w:val="006E57FF"/>
    <w:rsid w:val="006E65EA"/>
    <w:rsid w:val="006F105D"/>
    <w:rsid w:val="006F174D"/>
    <w:rsid w:val="006F5FDA"/>
    <w:rsid w:val="00702DA1"/>
    <w:rsid w:val="0072632A"/>
    <w:rsid w:val="00730D32"/>
    <w:rsid w:val="00735905"/>
    <w:rsid w:val="00745739"/>
    <w:rsid w:val="0075039B"/>
    <w:rsid w:val="00751D59"/>
    <w:rsid w:val="00754960"/>
    <w:rsid w:val="0075559A"/>
    <w:rsid w:val="007707EA"/>
    <w:rsid w:val="00781950"/>
    <w:rsid w:val="00782416"/>
    <w:rsid w:val="00791F3D"/>
    <w:rsid w:val="00792C59"/>
    <w:rsid w:val="00794C9C"/>
    <w:rsid w:val="007A206A"/>
    <w:rsid w:val="007B112D"/>
    <w:rsid w:val="007B2CA0"/>
    <w:rsid w:val="007B2EFB"/>
    <w:rsid w:val="007B2F84"/>
    <w:rsid w:val="007B3AF5"/>
    <w:rsid w:val="007B6BA5"/>
    <w:rsid w:val="007C2A2D"/>
    <w:rsid w:val="007C3390"/>
    <w:rsid w:val="007C4F4B"/>
    <w:rsid w:val="007C7BEE"/>
    <w:rsid w:val="007D27BA"/>
    <w:rsid w:val="007D6F8F"/>
    <w:rsid w:val="007E4AD0"/>
    <w:rsid w:val="007E7976"/>
    <w:rsid w:val="007F6462"/>
    <w:rsid w:val="007F6611"/>
    <w:rsid w:val="00817C06"/>
    <w:rsid w:val="008203F2"/>
    <w:rsid w:val="008232FE"/>
    <w:rsid w:val="008242D7"/>
    <w:rsid w:val="0082705E"/>
    <w:rsid w:val="00832D01"/>
    <w:rsid w:val="00834A18"/>
    <w:rsid w:val="00841291"/>
    <w:rsid w:val="008413CE"/>
    <w:rsid w:val="00843305"/>
    <w:rsid w:val="00847FC8"/>
    <w:rsid w:val="008534AB"/>
    <w:rsid w:val="00856BFF"/>
    <w:rsid w:val="00863FC4"/>
    <w:rsid w:val="008767C1"/>
    <w:rsid w:val="008773B5"/>
    <w:rsid w:val="008803C7"/>
    <w:rsid w:val="00881DC5"/>
    <w:rsid w:val="00890A61"/>
    <w:rsid w:val="008979B1"/>
    <w:rsid w:val="00897DB8"/>
    <w:rsid w:val="008A3DB4"/>
    <w:rsid w:val="008A4CA9"/>
    <w:rsid w:val="008A596F"/>
    <w:rsid w:val="008A6B25"/>
    <w:rsid w:val="008A6C4F"/>
    <w:rsid w:val="008B2335"/>
    <w:rsid w:val="008B41C8"/>
    <w:rsid w:val="008C1461"/>
    <w:rsid w:val="008E0DE8"/>
    <w:rsid w:val="008F14D3"/>
    <w:rsid w:val="008F2241"/>
    <w:rsid w:val="008F2797"/>
    <w:rsid w:val="008F29A9"/>
    <w:rsid w:val="00900B5E"/>
    <w:rsid w:val="00901852"/>
    <w:rsid w:val="00906068"/>
    <w:rsid w:val="0091160E"/>
    <w:rsid w:val="00913537"/>
    <w:rsid w:val="00916443"/>
    <w:rsid w:val="009223CA"/>
    <w:rsid w:val="009369F6"/>
    <w:rsid w:val="00940F93"/>
    <w:rsid w:val="00941946"/>
    <w:rsid w:val="00943462"/>
    <w:rsid w:val="00951FD8"/>
    <w:rsid w:val="00953AB9"/>
    <w:rsid w:val="009557E5"/>
    <w:rsid w:val="009603A0"/>
    <w:rsid w:val="009603EF"/>
    <w:rsid w:val="0097261D"/>
    <w:rsid w:val="00973978"/>
    <w:rsid w:val="00980212"/>
    <w:rsid w:val="009836AA"/>
    <w:rsid w:val="00996F3F"/>
    <w:rsid w:val="009977E8"/>
    <w:rsid w:val="009A074F"/>
    <w:rsid w:val="009A362D"/>
    <w:rsid w:val="009A3D56"/>
    <w:rsid w:val="009A698F"/>
    <w:rsid w:val="009B4A1B"/>
    <w:rsid w:val="009C0EE8"/>
    <w:rsid w:val="009C14AA"/>
    <w:rsid w:val="009C38A8"/>
    <w:rsid w:val="009D4CAF"/>
    <w:rsid w:val="009E589F"/>
    <w:rsid w:val="009E5E95"/>
    <w:rsid w:val="009E6BCD"/>
    <w:rsid w:val="009F1E10"/>
    <w:rsid w:val="00A01489"/>
    <w:rsid w:val="00A02057"/>
    <w:rsid w:val="00A02551"/>
    <w:rsid w:val="00A15309"/>
    <w:rsid w:val="00A25EC0"/>
    <w:rsid w:val="00A26255"/>
    <w:rsid w:val="00A309AE"/>
    <w:rsid w:val="00A316B5"/>
    <w:rsid w:val="00A32B9B"/>
    <w:rsid w:val="00A33E6E"/>
    <w:rsid w:val="00A51366"/>
    <w:rsid w:val="00A519E7"/>
    <w:rsid w:val="00A5588C"/>
    <w:rsid w:val="00A61CCD"/>
    <w:rsid w:val="00A64310"/>
    <w:rsid w:val="00A64909"/>
    <w:rsid w:val="00A72F22"/>
    <w:rsid w:val="00A73D99"/>
    <w:rsid w:val="00A748A6"/>
    <w:rsid w:val="00A75630"/>
    <w:rsid w:val="00A776B4"/>
    <w:rsid w:val="00A80DD5"/>
    <w:rsid w:val="00A82F57"/>
    <w:rsid w:val="00A83656"/>
    <w:rsid w:val="00A870B4"/>
    <w:rsid w:val="00A870D2"/>
    <w:rsid w:val="00A94361"/>
    <w:rsid w:val="00A96934"/>
    <w:rsid w:val="00AA2E32"/>
    <w:rsid w:val="00AB42EC"/>
    <w:rsid w:val="00AB4A8D"/>
    <w:rsid w:val="00AC1552"/>
    <w:rsid w:val="00AC42EB"/>
    <w:rsid w:val="00AD690E"/>
    <w:rsid w:val="00AD7D23"/>
    <w:rsid w:val="00AE07FC"/>
    <w:rsid w:val="00AF322A"/>
    <w:rsid w:val="00B0498B"/>
    <w:rsid w:val="00B057D2"/>
    <w:rsid w:val="00B06775"/>
    <w:rsid w:val="00B15B18"/>
    <w:rsid w:val="00B30179"/>
    <w:rsid w:val="00B3311A"/>
    <w:rsid w:val="00B3540B"/>
    <w:rsid w:val="00B36BCD"/>
    <w:rsid w:val="00B44B43"/>
    <w:rsid w:val="00B56585"/>
    <w:rsid w:val="00B56E9C"/>
    <w:rsid w:val="00B64B1F"/>
    <w:rsid w:val="00B6553F"/>
    <w:rsid w:val="00B70E0E"/>
    <w:rsid w:val="00B757F1"/>
    <w:rsid w:val="00B81E12"/>
    <w:rsid w:val="00B845EF"/>
    <w:rsid w:val="00B86AAF"/>
    <w:rsid w:val="00B90F75"/>
    <w:rsid w:val="00B938F1"/>
    <w:rsid w:val="00B93CE8"/>
    <w:rsid w:val="00B94E8B"/>
    <w:rsid w:val="00BA33A8"/>
    <w:rsid w:val="00BB21E4"/>
    <w:rsid w:val="00BB5EC7"/>
    <w:rsid w:val="00BC74E9"/>
    <w:rsid w:val="00BD4AF5"/>
    <w:rsid w:val="00BE373D"/>
    <w:rsid w:val="00BF27B8"/>
    <w:rsid w:val="00BF41D1"/>
    <w:rsid w:val="00BF68A8"/>
    <w:rsid w:val="00C008E3"/>
    <w:rsid w:val="00C162D3"/>
    <w:rsid w:val="00C164A7"/>
    <w:rsid w:val="00C26BF1"/>
    <w:rsid w:val="00C27548"/>
    <w:rsid w:val="00C3206E"/>
    <w:rsid w:val="00C412D8"/>
    <w:rsid w:val="00C44B9C"/>
    <w:rsid w:val="00C463DD"/>
    <w:rsid w:val="00C4724C"/>
    <w:rsid w:val="00C475AB"/>
    <w:rsid w:val="00C47B2F"/>
    <w:rsid w:val="00C50745"/>
    <w:rsid w:val="00C53A77"/>
    <w:rsid w:val="00C55F90"/>
    <w:rsid w:val="00C56081"/>
    <w:rsid w:val="00C629A0"/>
    <w:rsid w:val="00C67C59"/>
    <w:rsid w:val="00C745C3"/>
    <w:rsid w:val="00C74C87"/>
    <w:rsid w:val="00C75DDD"/>
    <w:rsid w:val="00C75FB9"/>
    <w:rsid w:val="00C8684C"/>
    <w:rsid w:val="00C90E56"/>
    <w:rsid w:val="00C90F5F"/>
    <w:rsid w:val="00C924E5"/>
    <w:rsid w:val="00C9275F"/>
    <w:rsid w:val="00C95C66"/>
    <w:rsid w:val="00CC00AC"/>
    <w:rsid w:val="00CC24D2"/>
    <w:rsid w:val="00CC3F8B"/>
    <w:rsid w:val="00CC428D"/>
    <w:rsid w:val="00CC4A8A"/>
    <w:rsid w:val="00CD1D91"/>
    <w:rsid w:val="00CD40E0"/>
    <w:rsid w:val="00CD4268"/>
    <w:rsid w:val="00CD574E"/>
    <w:rsid w:val="00CE0900"/>
    <w:rsid w:val="00CE4A8F"/>
    <w:rsid w:val="00CF14FC"/>
    <w:rsid w:val="00CF7238"/>
    <w:rsid w:val="00D000C6"/>
    <w:rsid w:val="00D026BE"/>
    <w:rsid w:val="00D03539"/>
    <w:rsid w:val="00D052EE"/>
    <w:rsid w:val="00D06422"/>
    <w:rsid w:val="00D1161E"/>
    <w:rsid w:val="00D12EB3"/>
    <w:rsid w:val="00D165CB"/>
    <w:rsid w:val="00D2031B"/>
    <w:rsid w:val="00D218CB"/>
    <w:rsid w:val="00D25FE2"/>
    <w:rsid w:val="00D338AE"/>
    <w:rsid w:val="00D43252"/>
    <w:rsid w:val="00D450C5"/>
    <w:rsid w:val="00D51E7F"/>
    <w:rsid w:val="00D537DE"/>
    <w:rsid w:val="00D72566"/>
    <w:rsid w:val="00D7767E"/>
    <w:rsid w:val="00D82CA2"/>
    <w:rsid w:val="00D85758"/>
    <w:rsid w:val="00D94B08"/>
    <w:rsid w:val="00D978C6"/>
    <w:rsid w:val="00DA3414"/>
    <w:rsid w:val="00DA3C1C"/>
    <w:rsid w:val="00DC2AD2"/>
    <w:rsid w:val="00DD088B"/>
    <w:rsid w:val="00DD49D0"/>
    <w:rsid w:val="00DE2F81"/>
    <w:rsid w:val="00DF1870"/>
    <w:rsid w:val="00DF4734"/>
    <w:rsid w:val="00E109FB"/>
    <w:rsid w:val="00E11DC9"/>
    <w:rsid w:val="00E131E7"/>
    <w:rsid w:val="00E16270"/>
    <w:rsid w:val="00E200BF"/>
    <w:rsid w:val="00E23369"/>
    <w:rsid w:val="00E26490"/>
    <w:rsid w:val="00E40EB4"/>
    <w:rsid w:val="00E42C25"/>
    <w:rsid w:val="00E4365E"/>
    <w:rsid w:val="00E468F5"/>
    <w:rsid w:val="00E63389"/>
    <w:rsid w:val="00E65050"/>
    <w:rsid w:val="00E70956"/>
    <w:rsid w:val="00E71BC8"/>
    <w:rsid w:val="00E7260F"/>
    <w:rsid w:val="00E768B8"/>
    <w:rsid w:val="00E82BB3"/>
    <w:rsid w:val="00E8579C"/>
    <w:rsid w:val="00E92BDD"/>
    <w:rsid w:val="00E939E3"/>
    <w:rsid w:val="00E96630"/>
    <w:rsid w:val="00E97D1F"/>
    <w:rsid w:val="00EA1AB4"/>
    <w:rsid w:val="00EA560C"/>
    <w:rsid w:val="00EB122A"/>
    <w:rsid w:val="00EB34EF"/>
    <w:rsid w:val="00EC1315"/>
    <w:rsid w:val="00ED32A3"/>
    <w:rsid w:val="00ED3539"/>
    <w:rsid w:val="00ED616A"/>
    <w:rsid w:val="00ED7A2A"/>
    <w:rsid w:val="00EE7D9B"/>
    <w:rsid w:val="00EF1D7F"/>
    <w:rsid w:val="00EF39AA"/>
    <w:rsid w:val="00EF3A25"/>
    <w:rsid w:val="00EF7760"/>
    <w:rsid w:val="00F03EA2"/>
    <w:rsid w:val="00F05381"/>
    <w:rsid w:val="00F055C3"/>
    <w:rsid w:val="00F16AD4"/>
    <w:rsid w:val="00F17F8F"/>
    <w:rsid w:val="00F20CBC"/>
    <w:rsid w:val="00F220CF"/>
    <w:rsid w:val="00F22548"/>
    <w:rsid w:val="00F2492E"/>
    <w:rsid w:val="00F25799"/>
    <w:rsid w:val="00F26F1A"/>
    <w:rsid w:val="00F3011F"/>
    <w:rsid w:val="00F32542"/>
    <w:rsid w:val="00F32B3C"/>
    <w:rsid w:val="00F34583"/>
    <w:rsid w:val="00F358C9"/>
    <w:rsid w:val="00F37306"/>
    <w:rsid w:val="00F458C7"/>
    <w:rsid w:val="00F504DF"/>
    <w:rsid w:val="00F5102E"/>
    <w:rsid w:val="00F741FF"/>
    <w:rsid w:val="00F92F4D"/>
    <w:rsid w:val="00F96F53"/>
    <w:rsid w:val="00FA271C"/>
    <w:rsid w:val="00FA3BF1"/>
    <w:rsid w:val="00FA475A"/>
    <w:rsid w:val="00FB1B12"/>
    <w:rsid w:val="00FB3DD9"/>
    <w:rsid w:val="00FB46DE"/>
    <w:rsid w:val="00FB72FC"/>
    <w:rsid w:val="00FC2A63"/>
    <w:rsid w:val="00FC6513"/>
    <w:rsid w:val="00FC68B7"/>
    <w:rsid w:val="00FC762C"/>
    <w:rsid w:val="00FD05BE"/>
    <w:rsid w:val="00FF1A38"/>
    <w:rsid w:val="00FF6E7B"/>
    <w:rsid w:val="00FF7D02"/>
    <w:rsid w:val="00FF7F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5811F1"/>
    <w:rPr>
      <w:rFonts w:ascii="Times New Roman" w:hAnsi="Times New Roman"/>
      <w:sz w:val="18"/>
      <w:vertAlign w:val="superscript"/>
    </w:rPr>
  </w:style>
  <w:style w:type="paragraph" w:styleId="FootnoteText">
    <w:name w:val="footnote text"/>
    <w:aliases w:val="5_G"/>
    <w:basedOn w:val="Normal"/>
    <w:link w:val="FootnoteTextChar"/>
    <w:qFormat/>
    <w:rsid w:val="005811F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cs="Tahoma"/>
      <w:sz w:val="16"/>
      <w:szCs w:val="16"/>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paragraph" w:customStyle="1" w:styleId="Default">
    <w:name w:val="Default"/>
    <w:rsid w:val="00906068"/>
    <w:pPr>
      <w:autoSpaceDE w:val="0"/>
      <w:autoSpaceDN w:val="0"/>
      <w:adjustRightInd w:val="0"/>
    </w:pPr>
    <w:rPr>
      <w:color w:val="000000"/>
      <w:sz w:val="24"/>
      <w:szCs w:val="24"/>
    </w:rPr>
  </w:style>
  <w:style w:type="character" w:customStyle="1" w:styleId="FootnoteTextChar">
    <w:name w:val="Footnote Text Char"/>
    <w:aliases w:val="5_G Char"/>
    <w:link w:val="FootnoteText"/>
    <w:rsid w:val="005174D3"/>
    <w:rPr>
      <w:rFonts w:eastAsia="SimSun"/>
      <w:sz w:val="18"/>
      <w:lang w:val="en-US" w:eastAsia="zh-CN"/>
    </w:rPr>
  </w:style>
  <w:style w:type="character" w:customStyle="1" w:styleId="highlight1">
    <w:name w:val="highlight1"/>
    <w:rsid w:val="00A73D99"/>
    <w:rPr>
      <w:shd w:val="clear" w:color="auto" w:fill="FFCC33"/>
    </w:rPr>
  </w:style>
  <w:style w:type="paragraph" w:styleId="CommentSubject">
    <w:name w:val="annotation subject"/>
    <w:basedOn w:val="CommentText"/>
    <w:next w:val="CommentText"/>
    <w:link w:val="CommentSubjectChar"/>
    <w:rsid w:val="0025590D"/>
    <w:pPr>
      <w:spacing w:line="240" w:lineRule="auto"/>
    </w:pPr>
    <w:rPr>
      <w:b/>
      <w:bCs/>
    </w:rPr>
  </w:style>
  <w:style w:type="character" w:customStyle="1" w:styleId="CommentTextChar">
    <w:name w:val="Comment Text Char"/>
    <w:basedOn w:val="DefaultParagraphFont"/>
    <w:link w:val="CommentText"/>
    <w:semiHidden/>
    <w:rsid w:val="0025590D"/>
    <w:rPr>
      <w:lang w:eastAsia="en-US"/>
    </w:rPr>
  </w:style>
  <w:style w:type="character" w:customStyle="1" w:styleId="CommentSubjectChar">
    <w:name w:val="Comment Subject Char"/>
    <w:basedOn w:val="CommentTextChar"/>
    <w:link w:val="CommentSubject"/>
    <w:rsid w:val="0025590D"/>
    <w:rPr>
      <w:b/>
      <w:bCs/>
      <w:lang w:eastAsia="en-US"/>
    </w:rPr>
  </w:style>
  <w:style w:type="paragraph" w:styleId="Revision">
    <w:name w:val="Revision"/>
    <w:hidden/>
    <w:uiPriority w:val="99"/>
    <w:semiHidden/>
    <w:rsid w:val="0067369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5811F1"/>
    <w:rPr>
      <w:rFonts w:ascii="Times New Roman" w:hAnsi="Times New Roman"/>
      <w:sz w:val="18"/>
      <w:vertAlign w:val="superscript"/>
    </w:rPr>
  </w:style>
  <w:style w:type="paragraph" w:styleId="FootnoteText">
    <w:name w:val="footnote text"/>
    <w:aliases w:val="5_G"/>
    <w:basedOn w:val="Normal"/>
    <w:link w:val="FootnoteTextChar"/>
    <w:qFormat/>
    <w:rsid w:val="005811F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cs="Tahoma"/>
      <w:sz w:val="16"/>
      <w:szCs w:val="16"/>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paragraph" w:customStyle="1" w:styleId="Default">
    <w:name w:val="Default"/>
    <w:rsid w:val="00906068"/>
    <w:pPr>
      <w:autoSpaceDE w:val="0"/>
      <w:autoSpaceDN w:val="0"/>
      <w:adjustRightInd w:val="0"/>
    </w:pPr>
    <w:rPr>
      <w:color w:val="000000"/>
      <w:sz w:val="24"/>
      <w:szCs w:val="24"/>
    </w:rPr>
  </w:style>
  <w:style w:type="character" w:customStyle="1" w:styleId="FootnoteTextChar">
    <w:name w:val="Footnote Text Char"/>
    <w:aliases w:val="5_G Char"/>
    <w:link w:val="FootnoteText"/>
    <w:rsid w:val="005174D3"/>
    <w:rPr>
      <w:rFonts w:eastAsia="SimSun"/>
      <w:sz w:val="18"/>
      <w:lang w:val="en-US" w:eastAsia="zh-CN"/>
    </w:rPr>
  </w:style>
  <w:style w:type="character" w:customStyle="1" w:styleId="highlight1">
    <w:name w:val="highlight1"/>
    <w:rsid w:val="00A73D99"/>
    <w:rPr>
      <w:shd w:val="clear" w:color="auto" w:fill="FFCC33"/>
    </w:rPr>
  </w:style>
  <w:style w:type="paragraph" w:styleId="CommentSubject">
    <w:name w:val="annotation subject"/>
    <w:basedOn w:val="CommentText"/>
    <w:next w:val="CommentText"/>
    <w:link w:val="CommentSubjectChar"/>
    <w:rsid w:val="0025590D"/>
    <w:pPr>
      <w:spacing w:line="240" w:lineRule="auto"/>
    </w:pPr>
    <w:rPr>
      <w:b/>
      <w:bCs/>
    </w:rPr>
  </w:style>
  <w:style w:type="character" w:customStyle="1" w:styleId="CommentTextChar">
    <w:name w:val="Comment Text Char"/>
    <w:basedOn w:val="DefaultParagraphFont"/>
    <w:link w:val="CommentText"/>
    <w:semiHidden/>
    <w:rsid w:val="0025590D"/>
    <w:rPr>
      <w:lang w:eastAsia="en-US"/>
    </w:rPr>
  </w:style>
  <w:style w:type="character" w:customStyle="1" w:styleId="CommentSubjectChar">
    <w:name w:val="Comment Subject Char"/>
    <w:basedOn w:val="CommentTextChar"/>
    <w:link w:val="CommentSubject"/>
    <w:rsid w:val="0025590D"/>
    <w:rPr>
      <w:b/>
      <w:bCs/>
      <w:lang w:eastAsia="en-US"/>
    </w:rPr>
  </w:style>
  <w:style w:type="paragraph" w:styleId="Revision">
    <w:name w:val="Revision"/>
    <w:hidden/>
    <w:uiPriority w:val="99"/>
    <w:semiHidden/>
    <w:rsid w:val="006736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3318</Words>
  <Characters>18696</Characters>
  <Application>Microsoft Office Word</Application>
  <DocSecurity>0</DocSecurity>
  <Lines>317</Lines>
  <Paragraphs>87</Paragraphs>
  <ScaleCrop>false</ScaleCrop>
  <HeadingPairs>
    <vt:vector size="2" baseType="variant">
      <vt:variant>
        <vt:lpstr>Title</vt:lpstr>
      </vt:variant>
      <vt:variant>
        <vt:i4>1</vt:i4>
      </vt:variant>
    </vt:vector>
  </HeadingPairs>
  <TitlesOfParts>
    <vt:vector size="1" baseType="lpstr">
      <vt:lpstr>1607252</vt:lpstr>
    </vt:vector>
  </TitlesOfParts>
  <Company>CSD</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1608152</dc:title>
  <dc:subject>CERD/C/OMN/CO/2-5</dc:subject>
  <dc:creator>Morris</dc:creator>
  <cp:keywords/>
  <dc:description/>
  <cp:lastModifiedBy>pdfeng</cp:lastModifiedBy>
  <cp:revision>2</cp:revision>
  <cp:lastPrinted>2016-05-04T07:55:00Z</cp:lastPrinted>
  <dcterms:created xsi:type="dcterms:W3CDTF">2016-06-06T10:01:00Z</dcterms:created>
  <dcterms:modified xsi:type="dcterms:W3CDTF">2016-06-06T10:01:00Z</dcterms:modified>
</cp:coreProperties>
</file>