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55pt;margin-top:699.3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41705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310507   010607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4904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CERD/C/ATG/GO/9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11 April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КОМИТЕТ ПО ЛИКВИДАЦИИ РАСОВОЙ ДИСКРИМИНАЦИИ</w:t>
      </w:r>
    </w:p>
    <w:p w:rsidR="00000000" w:rsidRDefault="00000000">
      <w:pPr>
        <w:rPr>
          <w:b/>
          <w:bCs/>
        </w:rPr>
      </w:pPr>
      <w:r>
        <w:rPr>
          <w:b/>
          <w:bCs/>
        </w:rPr>
        <w:t>Семидесятая</w:t>
      </w:r>
      <w:r>
        <w:rPr>
          <w:b/>
          <w:bCs/>
          <w:szCs w:val="24"/>
        </w:rPr>
        <w:t xml:space="preserve"> </w:t>
      </w:r>
      <w:r>
        <w:rPr>
          <w:b/>
          <w:bCs/>
        </w:rPr>
        <w:t>сессия</w:t>
      </w:r>
    </w:p>
    <w:p w:rsidR="00000000" w:rsidRDefault="00000000">
      <w:pPr>
        <w:rPr>
          <w:b/>
          <w:bCs/>
        </w:rPr>
      </w:pPr>
      <w:r>
        <w:rPr>
          <w:b/>
          <w:bCs/>
        </w:rPr>
        <w:t>19 февраля - 9 марта 2007 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  <w:r>
        <w:rPr>
          <w:b/>
          <w:bCs/>
        </w:rPr>
        <w:br/>
        <w:t>расовой дискриминации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АНТИГУА и БАРБУДА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первоначальный–девятый периодические доклады Антигуа и Барбуда, подлежащие представлению соответственно в 1989, 1991, 1993, 1995, 1997, 1999, 2001, 2003 и 2005</w:t>
      </w:r>
      <w:r>
        <w:rPr>
          <w:lang w:val="en-US"/>
        </w:rPr>
        <w:t> </w:t>
      </w:r>
      <w:r>
        <w:t>годах и сведенные в один документ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ATG</w:t>
      </w:r>
      <w:r>
        <w:t>/9), на своих 1802</w:t>
      </w:r>
      <w:r>
        <w:noBreakHyphen/>
        <w:t>м и 1803 м 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.1802 и 1803), состоявшихся 28 февраля и 1 марта 2007 года.  На своем 1813-м заседании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.1813), состоявшемся 8 марта 2007 года,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</w:pPr>
    </w:p>
    <w:p w:rsidR="00000000" w:rsidRDefault="00000000">
      <w:r>
        <w:t>2.</w:t>
      </w:r>
      <w:r>
        <w:tab/>
        <w:t>Комитет приветствует первоначальный–девятый периодические доклады Антигуа и Барбуда и возможность начать открытый и конструктивный диалог с государством-участником.  Комитет выражает признательность за дополнительную информацию, представленную делегацией в письменной форме, а также всеобъемлющие и подробные ответы на широкий спектр вопросов, заданных членами Комитета.</w:t>
      </w:r>
    </w:p>
    <w:p w:rsidR="00000000" w:rsidRDefault="00000000"/>
    <w:p w:rsidR="00000000" w:rsidRDefault="00000000">
      <w:r>
        <w:t>3.</w:t>
      </w:r>
      <w:r>
        <w:tab/>
        <w:t xml:space="preserve">Комитет отмечает, что государство-участник впервые представляет Комитету доклад с момента ратификации Конвенции в 1988 году.  Он призывает государство-участник соблюдать рекомендованный им график представления будущих докладов. </w:t>
      </w:r>
    </w:p>
    <w:p w:rsidR="00000000" w:rsidRDefault="00000000"/>
    <w:p w:rsidR="00000000" w:rsidRDefault="00000000">
      <w:r>
        <w:t>4.</w:t>
      </w:r>
      <w:r>
        <w:tab/>
        <w:t>Комитет с удовлетворением отмечает тот факт, что доклад, общая форма и содержание которого отвечают требованиям руководящих принципов Комитета, является результатом сотрудничества между соответствующими государственными учреждениями.  Вместе с тем он выражает сожаление по поводу того, что в докладе не содержится достаточной информации о практическом применении Конвенции.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 с удовлетворением отмечает ратификацию государством-участником, помимо Конвенции о ликвидации всех форм расовой дискриминации, трех основных договоров Организации Объединенных Наций по правам человека:  Конвенции против пыток и других жестоких, бесчеловечных или унижающих достоинство видов обращения и наказания, Конвенции о ликвидации всех форм дискриминации в отношении женщин и Конвенции о правах ребенка и Факультативного протокола, касающегося торговли детьми, детской проституции и детской порнографии.  Комитет убежден, что государство-участник примет необходимые меры с целью ратификации остальных договоров по правам человека.</w:t>
      </w:r>
    </w:p>
    <w:p w:rsidR="00000000" w:rsidRDefault="00000000"/>
    <w:p w:rsidR="00000000" w:rsidRDefault="00000000">
      <w:r>
        <w:t>6.</w:t>
      </w:r>
      <w:r>
        <w:tab/>
        <w:t>Комитет хотел бы выразить удовлетворение в связи с учреждением в государстве-участнике института омбудсмена.  Комитет также приветствует создание Центра правовой помощи для оказания содействия представителям малообеспеченных и находящихся в неблагоприятном положении слоев общества в получении доступа к судам государства-участника.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принимает к сведению стремление государства-участника принять все необходимые меры, с тем чтобы гарантировать возможность осуществления негражданами, в том числе экономическими мигрантами, их прав человека без какой-либо дискриминации.  Он хотел бы выразить государству-участнику признательность за целый ряд мероприятий, осуществляемых с целью обеспечения возможности получения гражданства всем лицам, которые вносят вклад в развитие Антигуа и Барбуды.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page"/>
        <w:t>C.</w:t>
      </w:r>
      <w:r>
        <w:rPr>
          <w:b/>
          <w:bCs/>
        </w:rPr>
        <w:tab/>
        <w:t>Проблемы,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tabs>
          <w:tab w:val="clear" w:pos="567"/>
          <w:tab w:val="clear" w:pos="1134"/>
          <w:tab w:val="clear" w:pos="1701"/>
          <w:tab w:val="left" w:pos="561"/>
        </w:tabs>
      </w:pPr>
      <w:r>
        <w:t>8.</w:t>
      </w:r>
      <w:r>
        <w:tab/>
        <w:t>Комитет с озабоченностью отмечает оговорки, сделанные государством-участником при ратификации Конвенции, в частности заявление о том, что признание Конвенции не означает принятия обязательств, выходящих за рамки Конституции или какого-либо обязательства в отношении введения судебных процедур, выходящих за рамки тех, которые предусмотрены в Конституции.</w:t>
      </w:r>
    </w:p>
    <w:p w:rsidR="00000000" w:rsidRDefault="00000000">
      <w:pPr>
        <w:tabs>
          <w:tab w:val="clear" w:pos="567"/>
          <w:tab w:val="clear" w:pos="1134"/>
          <w:tab w:val="clear" w:pos="1701"/>
          <w:tab w:val="left" w:pos="561"/>
        </w:tabs>
      </w:pPr>
    </w:p>
    <w:p w:rsidR="00000000" w:rsidRDefault="00000000">
      <w:pPr>
        <w:pStyle w:val="BodyTextIndent"/>
        <w:tabs>
          <w:tab w:val="clear" w:pos="1134"/>
          <w:tab w:val="left" w:pos="1080"/>
        </w:tabs>
        <w:ind w:firstLine="0"/>
      </w:pPr>
      <w:r>
        <w:t>Комитет рекомендует государству-участнику рассмотреть возможность снятия всех оговорок, сделанных им при присоединении к Конвенции.</w:t>
      </w:r>
    </w:p>
    <w:p w:rsidR="00000000" w:rsidRDefault="00000000">
      <w:pPr>
        <w:pStyle w:val="BodyTextIndent"/>
        <w:tabs>
          <w:tab w:val="clear" w:pos="1134"/>
          <w:tab w:val="left" w:pos="1080"/>
        </w:tabs>
      </w:pPr>
    </w:p>
    <w:p w:rsidR="00000000" w:rsidRDefault="00000000">
      <w:r>
        <w:t>9.</w:t>
      </w:r>
      <w:r>
        <w:tab/>
        <w:t>Комитет выражает сожаление в связи с тем, что государство-участник не представило информации относительно применения статьи 16 Конституции, которая допускает во время чрезвычайного положения отклонение от предписаний Конституции, включая запрещение дискриминации.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предлагает государству-участнику включить соответствующую информацию с указанием конкретных примеров таких ограничений, в случае их применения, а также информацию об имеющихся конституционных гарантиях в следующий периодический доклад.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tabs>
          <w:tab w:val="left" w:pos="567"/>
        </w:tabs>
      </w:pPr>
      <w:r>
        <w:t>10.</w:t>
      </w:r>
      <w:r>
        <w:tab/>
        <w:t>Комитет сожалеет по поводу отсутствия национального органа по правам человека, который был бы создан в соответствии с Принципами, касающимися статуса национальных учреждений, занимающихся поощрением и защитой прав человека (Парижские принципы, резолюция 48/134 Генеральной Ассамблеи, приложение).</w:t>
      </w:r>
    </w:p>
    <w:p w:rsidR="00000000" w:rsidRDefault="00000000">
      <w:pPr>
        <w:tabs>
          <w:tab w:val="clear" w:pos="567"/>
        </w:tabs>
      </w:pPr>
    </w:p>
    <w:p w:rsidR="00000000" w:rsidRDefault="00000000">
      <w:pPr>
        <w:tabs>
          <w:tab w:val="clear" w:pos="567"/>
          <w:tab w:val="left" w:pos="374"/>
        </w:tabs>
        <w:ind w:left="374"/>
        <w:rPr>
          <w:b/>
          <w:bCs/>
        </w:rPr>
      </w:pPr>
      <w:r>
        <w:rPr>
          <w:b/>
          <w:bCs/>
        </w:rPr>
        <w:t>Комитет рекомендует государству-участнику рассмотреть вопрос</w:t>
      </w:r>
      <w:r>
        <w:rPr>
          <w:b/>
          <w:bCs/>
        </w:rPr>
        <w:br/>
        <w:t>о создании национального учреждения по правам человека в соответствии</w:t>
      </w:r>
      <w:r>
        <w:rPr>
          <w:b/>
          <w:bCs/>
        </w:rPr>
        <w:br/>
        <w:t>с резолюцией 48/134 Генеральной Ассамблеи, приложение.</w:t>
      </w:r>
    </w:p>
    <w:p w:rsidR="00000000" w:rsidRDefault="00000000">
      <w:pPr>
        <w:tabs>
          <w:tab w:val="clear" w:pos="567"/>
          <w:tab w:val="left" w:pos="374"/>
        </w:tabs>
        <w:jc w:val="center"/>
        <w:rPr>
          <w:b/>
          <w:bCs/>
        </w:rPr>
      </w:pPr>
    </w:p>
    <w:p w:rsidR="00000000" w:rsidRDefault="00000000">
      <w:r>
        <w:t>11.</w:t>
      </w:r>
      <w:r>
        <w:tab/>
        <w:t>Комитет выражает обеспокоенность в связи с определением расовой дискриминации, содержащимся в статье 14 Конституции, которое не в полной мере соответствует определению, данному статьей 1 Конвенции, поскольку не включает "национальное или этническое происхождение" в число запрещенных оснований дискриминации (статья 1).</w:t>
      </w:r>
    </w:p>
    <w:p w:rsidR="00000000" w:rsidRDefault="00000000"/>
    <w:p w:rsidR="00000000" w:rsidRDefault="00000000">
      <w:pPr>
        <w:ind w:left="567"/>
        <w:rPr>
          <w:b/>
          <w:bCs/>
        </w:rPr>
      </w:pPr>
      <w:r>
        <w:rPr>
          <w:b/>
          <w:bCs/>
        </w:rPr>
        <w:t>Комитет призывает государство-участник привести его национальное законодательство в соответствие с Конвенцией, добавив в статью 14 Конституции "национальное или этническое происхождение" в качестве запрещенных оснований дискриминации.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12.</w:t>
      </w:r>
      <w:r>
        <w:tab/>
        <w:t>Комитет обеспокоен по поводу того, что в соответствии со статьей 14 Конвенции положение о запрете дискриминации "не применяется к любому закону, если такой закон […] касается лиц, не являющихся гражданами страны".  Комитет также отмечает, что в соответствии со статьей 8 Конституции закон не будет признан противоречащим Конституции только лишь потому, что он ограничивает свободу передвижения лиц, не являющихся гражданами страны (статьи 1-5).</w:t>
      </w:r>
    </w:p>
    <w:p w:rsidR="00000000" w:rsidRDefault="00000000"/>
    <w:p w:rsidR="00000000" w:rsidRDefault="00000000">
      <w:pPr>
        <w:tabs>
          <w:tab w:val="clear" w:pos="567"/>
          <w:tab w:val="left" w:pos="374"/>
        </w:tabs>
        <w:ind w:left="374"/>
        <w:rPr>
          <w:b/>
          <w:bCs/>
        </w:rPr>
      </w:pPr>
      <w:r>
        <w:rPr>
          <w:b/>
          <w:bCs/>
        </w:rPr>
        <w:t>Комитет обращает внимание государства-участника на свою общую рекомендацию № 30 (2004 год) о дискриминации неграждан и рекомендует государству-участнику пересмотреть свои Конституцию и законодательство,</w:t>
      </w:r>
      <w:r>
        <w:rPr>
          <w:b/>
          <w:bCs/>
        </w:rPr>
        <w:br/>
        <w:t>с тем чтобы гарантировать равенство между гражданами и негражданами</w:t>
      </w:r>
      <w:r>
        <w:rPr>
          <w:b/>
          <w:bCs/>
        </w:rPr>
        <w:br/>
        <w:t>в осуществлении ими предусмотренных в Конвенции прав в той мере, в какой они признаются в международном праве.</w:t>
      </w:r>
    </w:p>
    <w:p w:rsidR="00000000" w:rsidRDefault="00000000">
      <w:pPr>
        <w:tabs>
          <w:tab w:val="clear" w:pos="567"/>
          <w:tab w:val="left" w:pos="374"/>
        </w:tabs>
        <w:jc w:val="center"/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</w:pPr>
      <w:r>
        <w:t>13.</w:t>
      </w:r>
      <w:r>
        <w:tab/>
        <w:t xml:space="preserve">Комитет принимает к сведению утверждение государства-участника о том, что, хотя пункт 4 статьи 14 Конституции и допускает принятие особых мер в соответствии с пунктом 4 статьи 1 и пунктом 2 статьи 2 Конвенции, такие меры не принимались, поскольку проживающие в Антигуа и Барбуде расовые и этнические группы не нуждаются в особой защите (статья 1 (4) и статья 2 (2)).   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tabs>
          <w:tab w:val="clear" w:pos="567"/>
          <w:tab w:val="left" w:pos="374"/>
        </w:tabs>
        <w:ind w:left="374"/>
        <w:rPr>
          <w:b/>
          <w:bCs/>
        </w:rPr>
      </w:pPr>
      <w:r>
        <w:rPr>
          <w:b/>
          <w:bCs/>
        </w:rPr>
        <w:t>Комитет призывает государство-участник осуществлять сбор информации,</w:t>
      </w:r>
      <w:r>
        <w:rPr>
          <w:b/>
          <w:bCs/>
        </w:rPr>
        <w:br/>
        <w:t xml:space="preserve">с тем чтобы гарантировать, что его убежденность в отсутствии необходимости принятия особых мер не обусловлена недостаточностью информации о положении расовых или этнических групп. </w:t>
      </w:r>
    </w:p>
    <w:p w:rsidR="00000000" w:rsidRDefault="00000000">
      <w:pPr>
        <w:tabs>
          <w:tab w:val="clear" w:pos="567"/>
          <w:tab w:val="left" w:pos="374"/>
        </w:tabs>
        <w:jc w:val="center"/>
        <w:rPr>
          <w:b/>
          <w:bCs/>
        </w:rPr>
      </w:pPr>
    </w:p>
    <w:p w:rsidR="00000000" w:rsidRDefault="00000000">
      <w:r>
        <w:t>14.</w:t>
      </w:r>
      <w:r>
        <w:tab/>
        <w:t>Отмечая существующую в настоящее время сравнительную однородность населения, Комитет обеспокоен отсутствием дезагрегированных статистических данных о численности и экономическом положении лиц различного этнического и расового происхождения, проживающих в Антигуа и Барбуде.  В отсутствие такой статистической информации Комитету сложно оценивать масштабы расовой и этнической дискриминации, а также способы практического применения Конвенции на территории государства-участника (статья 2).</w:t>
      </w:r>
    </w:p>
    <w:p w:rsidR="00000000" w:rsidRDefault="00000000"/>
    <w:p w:rsidR="00000000" w:rsidRDefault="00000000">
      <w:pPr>
        <w:pStyle w:val="BodyTextIndent"/>
        <w:tabs>
          <w:tab w:val="clear" w:pos="567"/>
          <w:tab w:val="left" w:pos="561"/>
        </w:tabs>
        <w:ind w:left="561" w:firstLine="0"/>
      </w:pPr>
      <w:r>
        <w:t>Комитет предлагает государству-участнику включить более подробные вопросы в перепись населения, с тем чтобы иметь лучшее представление об этническом и национальном составе населения страны, и в этой связи обращает внимание государства-участника на пункт 8 своих Общих руководящих принципов в отношении формы и содержания докладов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/70/</w:t>
      </w:r>
      <w:r>
        <w:rPr>
          <w:lang w:val="en-US"/>
        </w:rPr>
        <w:t>Rev</w:t>
      </w:r>
      <w:r>
        <w:t>.5).  Комитет рекомендует включить вопрос этнического и национального происхождения во все процессы сбора информации, следуя примеру осуществляемой в настоящее время Инициативы по оценке уровня нищеты.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jc w:val="center"/>
      </w:pP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15.</w:t>
      </w:r>
      <w:r>
        <w:rPr>
          <w:b w:val="0"/>
          <w:bCs w:val="0"/>
        </w:rPr>
        <w:tab/>
        <w:t>Комитет принимает к сведению утверждение государства-участника о том, что в случае предполагаемой "сегрегации" групп иммигрантов в удаленных общинах Антигуа и Барбуды речь идет о "добровольных действиях самих иммигрантов, а не о принудительной сегрегации со стороны государства".  Комитет, тем не менее, обеспокоен тем, что фактически такая сегрегация может быть результатом частных действий и конкретных социальных и экономических условий, которыми не занимается государство-участник (статья 3).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</w:p>
    <w:p w:rsidR="00000000" w:rsidRDefault="00000000">
      <w:pPr>
        <w:pStyle w:val="BodyTextIndent"/>
        <w:tabs>
          <w:tab w:val="clear" w:pos="567"/>
          <w:tab w:val="left" w:pos="561"/>
        </w:tabs>
        <w:ind w:left="561" w:firstLine="0"/>
      </w:pPr>
      <w:r>
        <w:t>Комитет просит государство-участник проанализировать причины концентрации отдельных групп иммигрантов в удаленных районах Антигуа и Барбуды и решить вопрос в отношении любых действий частных компаний, которые могут приводить к фактической сегрегации, принимая во внимание общую рекомендацию Комитета № 19 (1995 год) о Расовой сегрегации и апартеиде (статья 3).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jc w:val="center"/>
      </w:pPr>
    </w:p>
    <w:p w:rsidR="00000000" w:rsidRDefault="00000000">
      <w:pPr>
        <w:tabs>
          <w:tab w:val="clear" w:pos="567"/>
          <w:tab w:val="left" w:pos="561"/>
        </w:tabs>
      </w:pPr>
      <w:r>
        <w:t>16.</w:t>
      </w:r>
      <w:r>
        <w:tab/>
        <w:t>Комитет выражает сожаление по поводу того, что Антигуа и Барбуда полагает, что в настоящее время не требуются дополнительные усилия для приведения национального права в соответствие с положениями Конвенции, и не является обязательным принятие законодательства, удовлетворяющего требованиям статьи 4 Конвенции, с целью расширения перечня преступлений, предусмотренных Трудовым кодексом (статья 4).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pStyle w:val="BodyTextIndent"/>
        <w:tabs>
          <w:tab w:val="clear" w:pos="567"/>
          <w:tab w:val="left" w:pos="561"/>
        </w:tabs>
        <w:ind w:left="561" w:firstLine="0"/>
      </w:pPr>
      <w:r>
        <w:t>Комитет рекомендует государству-участнику соблюдать требования статьи 4 Конвенции, в частности путем признания в качестве караемого по закону преступления всякое распространение идей, основанных на расовом превосходстве или ненависти, всякое подстрекательство к расовой дискриминации, а также все акты насилия или подстрекательство к таким актам;  а также объявления вне закона и запрещения организаций, которые насаждают и поощряют расовую дискриминацию.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jc w:val="center"/>
      </w:pPr>
    </w:p>
    <w:p w:rsidR="00000000" w:rsidRDefault="00000000">
      <w:pPr>
        <w:tabs>
          <w:tab w:val="clear" w:pos="567"/>
          <w:tab w:val="left" w:pos="561"/>
        </w:tabs>
      </w:pPr>
      <w:r>
        <w:t>17.</w:t>
      </w:r>
      <w:r>
        <w:tab/>
        <w:t>Комитет выражает сожаление в связи с тем, что в докладе государства-участника отсутствует какая-либо информация, которая позволила бы Комитету оценить равное осуществление всех прав человека членами различных составляющих общество групп, включая трудящихся мигрантов (статья 5).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Комитет рекомендует государству-участнику представить информацию относительно осуществления без дискриминации прав и свобод, упомянутых в статье 5 Конвенции, как оговорено в общей рекомендации № 20 (1996 год), касающейся осуществления без дискриминации прав и свобод (статья 5), в частности права на образование, здравоохранение и жилище, особенно мигрантами.</w:t>
      </w:r>
    </w:p>
    <w:p w:rsidR="00000000" w:rsidRDefault="00000000">
      <w:pPr>
        <w:tabs>
          <w:tab w:val="clear" w:pos="567"/>
          <w:tab w:val="left" w:pos="561"/>
        </w:tabs>
        <w:jc w:val="center"/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</w:pPr>
      <w:r>
        <w:t>18.</w:t>
      </w:r>
      <w:r>
        <w:tab/>
        <w:t xml:space="preserve">Приветствуя упразднение практики исключения детей неграждан из государственных школ в течение двух первых лет их пребывания в Антигуа и Барбуде, Комитет отмечает, что дети продолжают исключаться из школ по причине нехватки финансирования, отсутствуют механизмы для проведения проверок таких исключений и обеспечения доступа к образованию для всех детей (статья 5 е) </w:t>
      </w:r>
      <w:r>
        <w:rPr>
          <w:lang w:val="en-US"/>
        </w:rPr>
        <w:t>v</w:t>
      </w:r>
      <w:r>
        <w:t>)).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Комитет рекомендует государству-участнику осуществлять систематический надзор за любыми исключениями детей из школ, определять причины исключений и создать независимый механизм для управления таким надзором и обеспечения того, что все дети, независимо от их социальной или национальной принадлежности, могли осуществлять право на образование.</w:t>
      </w:r>
    </w:p>
    <w:p w:rsidR="00000000" w:rsidRDefault="00000000">
      <w:pPr>
        <w:tabs>
          <w:tab w:val="clear" w:pos="567"/>
          <w:tab w:val="left" w:pos="561"/>
        </w:tabs>
        <w:jc w:val="center"/>
        <w:rPr>
          <w:b/>
          <w:bCs/>
        </w:rPr>
      </w:pPr>
    </w:p>
    <w:p w:rsidR="00000000" w:rsidRDefault="00000000">
      <w:r>
        <w:t>19.</w:t>
      </w:r>
      <w:r>
        <w:tab/>
        <w:t xml:space="preserve">Отмечая представленную информацию относительно женщин, работающих в государственных учреждениях и правительстве, Комитет обеспокоен в связи с отсутствием статистических сведений о представленности на государственной службе этнических меньшинств (статья 5 с) и е) </w:t>
      </w:r>
      <w:r>
        <w:rPr>
          <w:lang w:val="en-US"/>
        </w:rPr>
        <w:t>i</w:t>
      </w:r>
      <w:r>
        <w:t>)).</w:t>
      </w:r>
    </w:p>
    <w:p w:rsidR="00000000" w:rsidRDefault="00000000"/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Комитет рекомендует государству-участнику обеспечить, чтобы все этнические меньшинства имели адекватные возможности для участия в управлении страной на всех уровнях.  Комитет, в частности, просит государство-участник включить в его следующий периодический доклад обновленную статистическую информацию о доле и функциях представителей меньшинств, работающих в государственных учреждениях и правительстве.</w:t>
      </w:r>
    </w:p>
    <w:p w:rsidR="00000000" w:rsidRDefault="00000000">
      <w:pPr>
        <w:tabs>
          <w:tab w:val="clear" w:pos="567"/>
          <w:tab w:val="left" w:pos="561"/>
        </w:tabs>
        <w:jc w:val="center"/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  <w:r>
        <w:t>20.</w:t>
      </w:r>
      <w:r>
        <w:tab/>
        <w:t>Комитет напоминает государству-участнику, что он не может признавать голословные утверждения государств-участников об отсутствии на их территории расовой дискриминации.  Комитет сожалеет об отсутствии информации относительно эффективной защиты и средств правовой защиты через компетентные национальные суды и другие государственные институты в случае любых актов расовой дискриминации, а также права предъявлять в эти суды иск о справедливом и адекватном возмещении или удовлетворении за любой ущерб, понесенный в результате такой дискриминации (статья 6).</w:t>
      </w:r>
      <w:r>
        <w:rPr>
          <w:b/>
          <w:bCs/>
        </w:rPr>
        <w:t xml:space="preserve"> </w:t>
      </w: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Комитет просит государство-участник включить в свой следующий периодический доклад статистическую информацию о мерах, принятых в случае совершения правонарушений, связанных с расовой дискриминацией, а также примеры применения соответствующих положений существующего внутреннего законодательства.  Комитет напоминает государству-участнику, что сам по себе факт отсутствия жалоб и судебных исков со стороны жертв расовой дискриминации может в значительной степени указывать на отсутствие соответствующего конкретного законодательства, на отсутствие осведомленности о наличии средств правовой защиты или на недостаточную решимость со стороны властей преследовать такие деяния или на отсутствие должного внимания со стороны властей и недостаточную подготовку (в том числе судей и адвокатов).  Комитет просит государство-участник предусмотреть соответствующие положения в национальном законодательстве и проинформировать население о наличии всех средств правовой защиты в области расовой дискриминации.</w:t>
      </w:r>
    </w:p>
    <w:p w:rsidR="00000000" w:rsidRDefault="00000000">
      <w:pPr>
        <w:tabs>
          <w:tab w:val="clear" w:pos="567"/>
          <w:tab w:val="left" w:pos="561"/>
        </w:tabs>
        <w:jc w:val="center"/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</w:pPr>
      <w:r>
        <w:t>21.</w:t>
      </w:r>
      <w:r>
        <w:tab/>
        <w:t>Комитет выражает сожаление в связи с отсутствием информации о категориях дел, в которых к участию привлекается Омбудсмен, и, в частности, о том, передавались ли ей на рассмотрение жалобы, касающиеся расовой дискриминации.  Комитет также отмечает, что Омбудсмен обладает недостаточными полномочиями для того, чтобы обеспечить выполнение ее решений (статья 6).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Комитет предлагает государству-участнику представить информацию о любых жалобах, связанных с расовой дискриминацией, которые рассматривал Омбудсмен, а также обеспечить выполнение ее рекомендаций и выводов.</w:t>
      </w:r>
    </w:p>
    <w:p w:rsidR="00000000" w:rsidRDefault="00000000">
      <w:pPr>
        <w:tabs>
          <w:tab w:val="clear" w:pos="567"/>
          <w:tab w:val="left" w:pos="561"/>
        </w:tabs>
        <w:jc w:val="center"/>
        <w:rPr>
          <w:b/>
          <w:bCs/>
        </w:rPr>
      </w:pPr>
    </w:p>
    <w:p w:rsidR="00000000" w:rsidRDefault="00000000">
      <w:r>
        <w:t>22.</w:t>
      </w:r>
      <w:r>
        <w:tab/>
        <w:t>Комитет озабочен тем, что основные положения Конвенции не доведены до сведения общественности, хотя и с удовлетворением отмечает проведение в мае 2007 года Дня разнообразия с целью повышения уровня осведомленности общества для построения интегрированного и этнически неоднородного общества.</w:t>
      </w:r>
    </w:p>
    <w:p w:rsidR="00000000" w:rsidRDefault="00000000"/>
    <w:p w:rsidR="00000000" w:rsidRDefault="00000000">
      <w:pPr>
        <w:pStyle w:val="BodyTextIndent"/>
        <w:tabs>
          <w:tab w:val="clear" w:pos="567"/>
          <w:tab w:val="left" w:pos="561"/>
        </w:tabs>
        <w:ind w:left="561" w:firstLine="0"/>
      </w:pPr>
      <w:r>
        <w:t>Комитет рекомендует государству-участнику предоставлять широкой общественности на регулярной основе информацию об основных положениях Конвенции и активизировать свои усилия по информированию населения о находящихся в его распоряжении возможностях для подачи апелляционных жалоб в связи со случаями расовой дискриминации.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jc w:val="center"/>
      </w:pPr>
    </w:p>
    <w:p w:rsidR="00000000" w:rsidRDefault="00000000">
      <w:r>
        <w:t>23.</w:t>
      </w:r>
      <w:r>
        <w:rPr>
          <w:b/>
          <w:bCs/>
        </w:rPr>
        <w:tab/>
      </w:r>
      <w:r>
        <w:t>Комитет настоятельно рекомендует государству-участнику ратифицировать поправки к пункту 6 статьи 8 Конвенции, принятые 15 января 1992 года на четырнадцатом совещании государств - участников Конвенции и одобренные Генеральной Ассамблеей в ее резолюции 47/111.  В этой связи Комитет ссылается на резолюцию 59/176 Генеральной Ассамблеи от 20 декабря 2004 года, в которой Ассамблея настоятельно призывает государства-участники ускорить свои внутренние процедуры ратификации поправки и оперативно уведомить в письменном виде Генерального секретаря о своем согласии с ней.</w:t>
      </w:r>
    </w:p>
    <w:p w:rsidR="00000000" w:rsidRDefault="00000000"/>
    <w:p w:rsidR="00000000" w:rsidRDefault="00000000">
      <w:r>
        <w:t>24.</w:t>
      </w:r>
      <w:r>
        <w:tab/>
        <w:t>Комитет отмечает, что государство-участник не сделало факультативного заявления, предусмотренного статьей 14 Конвенции, и призывает государство-участник рассмотреть вопрос о том, чтобы сделать такое заявление.</w:t>
      </w:r>
    </w:p>
    <w:p w:rsidR="00000000" w:rsidRDefault="00000000"/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25.</w:t>
      </w:r>
      <w:r>
        <w:rPr>
          <w:b w:val="0"/>
          <w:bCs w:val="0"/>
        </w:rPr>
        <w:tab/>
        <w:t>Комитет рекомендует государству-участнику присоединиться к Международной конвенции о защите прав всех трудящихся-мигрантов и членов их семей.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26.</w:t>
      </w:r>
      <w:r>
        <w:rPr>
          <w:b w:val="0"/>
          <w:bCs w:val="0"/>
        </w:rPr>
        <w:tab/>
        <w:t>Комитет рекомендует государству-участнику принимать во</w:t>
      </w:r>
      <w:r>
        <w:t xml:space="preserve"> </w:t>
      </w:r>
      <w:r>
        <w:rPr>
          <w:b w:val="0"/>
          <w:bCs w:val="0"/>
        </w:rPr>
        <w:t>внимание соответствующие части Дурбанской декларации и Программы действий при осуществлении Конвенции в рамках внутреннего права, в частности в отношении статей 2</w:t>
      </w:r>
      <w:r>
        <w:rPr>
          <w:b w:val="0"/>
          <w:bCs w:val="0"/>
        </w:rPr>
        <w:noBreakHyphen/>
        <w:t>7 Конвенции, и включить в его следующий периодический доклад информацию о планах действий и иных мерах, принятых во исполнение Дурбанской декларации и Программы действий на национальном уровне.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27.</w:t>
      </w:r>
      <w:r>
        <w:rPr>
          <w:b w:val="0"/>
          <w:bCs w:val="0"/>
        </w:rPr>
        <w:tab/>
        <w:t xml:space="preserve">Комитет рекомендует государству-участнику представить базовый документ в соответствии с требованиями Согласованных руководящих принципов представления докладов, одобренных в недавнее время международными договорными органами по правам человека (HRI/MC/2006/3 и </w:t>
      </w:r>
      <w:r>
        <w:rPr>
          <w:b w:val="0"/>
          <w:bCs w:val="0"/>
          <w:lang w:val="en-US"/>
        </w:rPr>
        <w:t>Corr</w:t>
      </w:r>
      <w:r>
        <w:rPr>
          <w:b w:val="0"/>
          <w:bCs w:val="0"/>
        </w:rPr>
        <w:t>.1).</w:t>
      </w:r>
    </w:p>
    <w:p w:rsidR="00000000" w:rsidRDefault="00000000">
      <w:pPr>
        <w:pStyle w:val="BodyTextIndent"/>
        <w:tabs>
          <w:tab w:val="clear" w:pos="567"/>
          <w:tab w:val="left" w:pos="561"/>
        </w:tabs>
        <w:ind w:left="0" w:firstLine="0"/>
        <w:rPr>
          <w:b w:val="0"/>
          <w:bCs w:val="0"/>
        </w:rPr>
      </w:pPr>
    </w:p>
    <w:p w:rsidR="00000000" w:rsidRDefault="00000000">
      <w:r>
        <w:t>28.</w:t>
      </w:r>
      <w:r>
        <w:rPr>
          <w:b/>
          <w:bCs/>
        </w:rPr>
        <w:tab/>
      </w:r>
      <w:r>
        <w:t>Комитет рекомендует государству-участнику предоставлять общественности широкий доступ к его докладам с момента их представления и обеспечивать такое же распространение замечаний Комитета по этим докладам.</w:t>
      </w:r>
    </w:p>
    <w:p w:rsidR="00000000" w:rsidRDefault="00000000"/>
    <w:p w:rsidR="00000000" w:rsidRDefault="00000000">
      <w:r>
        <w:t>29.</w:t>
      </w:r>
      <w:r>
        <w:rPr>
          <w:b/>
          <w:bCs/>
        </w:rPr>
        <w:tab/>
      </w:r>
      <w:r>
        <w:t>Комитет рекомендует государству-участнику проводить широкие консультации с организациями гражданского общества, занимающимися вопросами борьбы против расовой дискриминации, в связи с подготовкой следующего периодического доклада.</w:t>
      </w:r>
    </w:p>
    <w:p w:rsidR="00000000" w:rsidRDefault="00000000"/>
    <w:p w:rsidR="00000000" w:rsidRDefault="00000000">
      <w:r>
        <w:t>30.</w:t>
      </w:r>
      <w:r>
        <w:tab/>
        <w:t>В соответствии с пунктом 1 правила 65 правил процедуры Комитета государству-участнику следует в течение одного года представить информацию о принятых им мерах в связи с рекомендациями Комитета, содержащимися в пунктах 10, 14 и 16.</w:t>
      </w:r>
    </w:p>
    <w:p w:rsidR="00000000" w:rsidRDefault="00000000"/>
    <w:p w:rsidR="00000000" w:rsidRDefault="00000000">
      <w:r>
        <w:t>31.</w:t>
      </w:r>
      <w:r>
        <w:tab/>
        <w:t>Комитет рекомендует государству-участнику представить свои десятый и одиннадцатый периодические доклады в едином документе, подлежащем представлению 24 ноября 2009 года, обеспечить всеобъемлющий характер такого доклада и отразить в нем все вопросы, затронутые в настоящих заключительных замечаниях.</w:t>
      </w:r>
    </w:p>
    <w:p w:rsidR="00000000" w:rsidRDefault="00000000"/>
    <w:p w:rsidR="00000000" w:rsidRDefault="00000000">
      <w:pPr>
        <w:jc w:val="center"/>
      </w:pPr>
      <w:r>
        <w:t>--------</w:t>
      </w: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CERD/C/ATG/CO/9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CERD/C/ATG/CO/9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A791FF6"/>
    <w:multiLevelType w:val="hybridMultilevel"/>
    <w:tmpl w:val="7B2CCF2A"/>
    <w:lvl w:ilvl="0" w:tplc="B3E292E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DepCentury Old Style" w:hAnsi="DepCentury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03A27"/>
    <w:multiLevelType w:val="hybridMultilevel"/>
    <w:tmpl w:val="3DB00FE4"/>
    <w:lvl w:ilvl="0" w:tplc="C9D464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2592</Words>
  <Characters>14777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0741705</vt:lpstr>
    </vt:vector>
  </TitlesOfParts>
  <Company> 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0741705</dc:title>
  <dc:subject/>
  <dc:creator>Вера Аргунова</dc:creator>
  <cp:keywords/>
  <dc:description/>
  <cp:lastModifiedBy>Вера Аргунова</cp:lastModifiedBy>
  <cp:revision>3</cp:revision>
  <cp:lastPrinted>2007-06-01T08:37:00Z</cp:lastPrinted>
  <dcterms:created xsi:type="dcterms:W3CDTF">2007-06-01T08:37:00Z</dcterms:created>
  <dcterms:modified xsi:type="dcterms:W3CDTF">2007-06-01T08:38:00Z</dcterms:modified>
</cp:coreProperties>
</file>