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92B1D" w:rsidRPr="004F6D62" w:rsidTr="004C4D99">
        <w:trPr>
          <w:trHeight w:hRule="exact" w:val="851"/>
        </w:trPr>
        <w:tc>
          <w:tcPr>
            <w:tcW w:w="1276" w:type="dxa"/>
            <w:tcBorders>
              <w:bottom w:val="single" w:sz="4" w:space="0" w:color="auto"/>
            </w:tcBorders>
          </w:tcPr>
          <w:p w:rsidR="00392B1D" w:rsidRPr="00DB58B5" w:rsidRDefault="00392B1D" w:rsidP="00A259AF"/>
        </w:tc>
        <w:tc>
          <w:tcPr>
            <w:tcW w:w="2268" w:type="dxa"/>
            <w:tcBorders>
              <w:bottom w:val="single" w:sz="4" w:space="0" w:color="auto"/>
            </w:tcBorders>
            <w:vAlign w:val="bottom"/>
          </w:tcPr>
          <w:p w:rsidR="00392B1D" w:rsidRPr="00D16E3A" w:rsidRDefault="00392B1D" w:rsidP="004C4D99">
            <w:pPr>
              <w:spacing w:after="80" w:line="300" w:lineRule="exact"/>
              <w:rPr>
                <w:sz w:val="28"/>
              </w:rPr>
            </w:pPr>
            <w:r w:rsidRPr="00D16E3A">
              <w:rPr>
                <w:sz w:val="28"/>
              </w:rPr>
              <w:t>Nations Unies</w:t>
            </w:r>
          </w:p>
        </w:tc>
        <w:tc>
          <w:tcPr>
            <w:tcW w:w="6095" w:type="dxa"/>
            <w:gridSpan w:val="2"/>
            <w:tcBorders>
              <w:bottom w:val="single" w:sz="4" w:space="0" w:color="auto"/>
            </w:tcBorders>
            <w:vAlign w:val="bottom"/>
          </w:tcPr>
          <w:p w:rsidR="00392B1D" w:rsidRPr="00D16E3A" w:rsidRDefault="00A259AF" w:rsidP="00A259AF">
            <w:pPr>
              <w:jc w:val="right"/>
              <w:rPr>
                <w:lang w:val="en-US"/>
              </w:rPr>
            </w:pPr>
            <w:r w:rsidRPr="00D16E3A">
              <w:rPr>
                <w:sz w:val="40"/>
                <w:lang w:val="en-US"/>
              </w:rPr>
              <w:t>CED</w:t>
            </w:r>
            <w:r w:rsidRPr="00D16E3A">
              <w:rPr>
                <w:lang w:val="en-US"/>
              </w:rPr>
              <w:t>/C/GAB/Q/1/Add.1</w:t>
            </w:r>
          </w:p>
        </w:tc>
      </w:tr>
      <w:tr w:rsidR="00392B1D" w:rsidRPr="00D16E3A" w:rsidTr="004C4D99">
        <w:trPr>
          <w:trHeight w:hRule="exact" w:val="2835"/>
        </w:trPr>
        <w:tc>
          <w:tcPr>
            <w:tcW w:w="1276" w:type="dxa"/>
            <w:tcBorders>
              <w:top w:val="single" w:sz="4" w:space="0" w:color="auto"/>
              <w:bottom w:val="single" w:sz="12" w:space="0" w:color="auto"/>
            </w:tcBorders>
          </w:tcPr>
          <w:p w:rsidR="00392B1D" w:rsidRPr="00D16E3A" w:rsidRDefault="00392B1D" w:rsidP="004C4D99">
            <w:pPr>
              <w:spacing w:before="120"/>
              <w:jc w:val="center"/>
            </w:pPr>
            <w:r w:rsidRPr="00D16E3A">
              <w:rPr>
                <w:noProof/>
                <w:lang w:eastAsia="fr-CH"/>
              </w:rPr>
              <w:drawing>
                <wp:inline distT="0" distB="0" distL="0" distR="0" wp14:anchorId="4C850289" wp14:editId="25BF21A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92B1D" w:rsidRPr="00D16E3A" w:rsidRDefault="00392B1D" w:rsidP="004C4D99">
            <w:pPr>
              <w:spacing w:before="120" w:line="380" w:lineRule="exact"/>
              <w:rPr>
                <w:b/>
                <w:sz w:val="40"/>
                <w:szCs w:val="40"/>
              </w:rPr>
            </w:pPr>
            <w:r w:rsidRPr="00D16E3A">
              <w:rPr>
                <w:b/>
                <w:sz w:val="34"/>
                <w:szCs w:val="34"/>
              </w:rPr>
              <w:t>Convention internationale pour la protection de toutes les personnes contre les disparitions forcées</w:t>
            </w:r>
          </w:p>
        </w:tc>
        <w:tc>
          <w:tcPr>
            <w:tcW w:w="2835" w:type="dxa"/>
            <w:tcBorders>
              <w:top w:val="single" w:sz="4" w:space="0" w:color="auto"/>
              <w:bottom w:val="single" w:sz="12" w:space="0" w:color="auto"/>
            </w:tcBorders>
          </w:tcPr>
          <w:p w:rsidR="00392B1D" w:rsidRPr="00D16E3A" w:rsidRDefault="00A259AF" w:rsidP="004C4D99">
            <w:pPr>
              <w:spacing w:before="240"/>
            </w:pPr>
            <w:r w:rsidRPr="00D16E3A">
              <w:t>Distr. générale</w:t>
            </w:r>
          </w:p>
          <w:p w:rsidR="00A259AF" w:rsidRDefault="00A259AF" w:rsidP="00DD368C">
            <w:pPr>
              <w:spacing w:after="240" w:line="240" w:lineRule="exact"/>
            </w:pPr>
            <w:r w:rsidRPr="00D16E3A">
              <w:t>7 août 2017</w:t>
            </w:r>
          </w:p>
          <w:p w:rsidR="00A259AF" w:rsidRPr="00D16E3A" w:rsidRDefault="00A259AF" w:rsidP="00A259AF">
            <w:pPr>
              <w:spacing w:line="240" w:lineRule="exact"/>
            </w:pPr>
            <w:r w:rsidRPr="00D16E3A">
              <w:t xml:space="preserve">Original : </w:t>
            </w:r>
            <w:r w:rsidR="003D773B" w:rsidRPr="00D16E3A">
              <w:t>français</w:t>
            </w:r>
          </w:p>
          <w:p w:rsidR="003D773B" w:rsidRPr="00D16E3A" w:rsidRDefault="003D773B" w:rsidP="003D773B">
            <w:pPr>
              <w:spacing w:line="240" w:lineRule="exact"/>
            </w:pPr>
            <w:r w:rsidRPr="00D16E3A">
              <w:t>Anglais, espagnol et français seulement</w:t>
            </w:r>
          </w:p>
        </w:tc>
      </w:tr>
    </w:tbl>
    <w:p w:rsidR="00392B1D" w:rsidRPr="00D16E3A" w:rsidRDefault="00392B1D" w:rsidP="00392B1D">
      <w:pPr>
        <w:spacing w:before="120"/>
        <w:rPr>
          <w:b/>
          <w:sz w:val="24"/>
          <w:szCs w:val="24"/>
        </w:rPr>
      </w:pPr>
      <w:r w:rsidRPr="00D16E3A">
        <w:rPr>
          <w:b/>
          <w:sz w:val="24"/>
          <w:szCs w:val="24"/>
        </w:rPr>
        <w:t>Comité des disparitions forcées</w:t>
      </w:r>
    </w:p>
    <w:p w:rsidR="00316185" w:rsidRPr="00D16E3A" w:rsidRDefault="00316185" w:rsidP="00316185">
      <w:pPr>
        <w:rPr>
          <w:b/>
          <w:lang w:val="fr-FR"/>
        </w:rPr>
      </w:pPr>
      <w:r w:rsidRPr="00D16E3A">
        <w:rPr>
          <w:b/>
          <w:lang w:val="fr-FR"/>
        </w:rPr>
        <w:t>Treizième session</w:t>
      </w:r>
    </w:p>
    <w:p w:rsidR="00316185" w:rsidRPr="00D16E3A" w:rsidRDefault="00316185" w:rsidP="00316185">
      <w:pPr>
        <w:rPr>
          <w:lang w:val="fr-FR"/>
        </w:rPr>
      </w:pPr>
      <w:r w:rsidRPr="00D16E3A">
        <w:rPr>
          <w:lang w:val="fr-FR"/>
        </w:rPr>
        <w:t>4-15 septembre 2017</w:t>
      </w:r>
    </w:p>
    <w:p w:rsidR="00316185" w:rsidRPr="00D16E3A" w:rsidRDefault="00316185" w:rsidP="00316185">
      <w:pPr>
        <w:suppressAutoHyphens w:val="0"/>
        <w:rPr>
          <w:lang w:val="fr-FR"/>
        </w:rPr>
      </w:pPr>
      <w:r w:rsidRPr="00D16E3A">
        <w:rPr>
          <w:lang w:val="fr-FR"/>
        </w:rPr>
        <w:t>Point 8 de l’ordre du jour provisoire</w:t>
      </w:r>
    </w:p>
    <w:p w:rsidR="00316185" w:rsidRPr="00D16E3A" w:rsidRDefault="00316185" w:rsidP="00316185">
      <w:pPr>
        <w:suppressAutoHyphens w:val="0"/>
        <w:spacing w:after="240"/>
        <w:rPr>
          <w:b/>
          <w:lang w:val="fr-FR"/>
        </w:rPr>
      </w:pPr>
      <w:r w:rsidRPr="00D16E3A">
        <w:rPr>
          <w:b/>
          <w:lang w:val="fr-FR"/>
        </w:rPr>
        <w:t>Examen des rapports des États parties à la Convention</w:t>
      </w:r>
    </w:p>
    <w:p w:rsidR="00316185" w:rsidRPr="00D16E3A" w:rsidRDefault="00316185" w:rsidP="00316185">
      <w:pPr>
        <w:pStyle w:val="HChG"/>
        <w:rPr>
          <w:b w:val="0"/>
        </w:rPr>
      </w:pPr>
      <w:r w:rsidRPr="00D16E3A">
        <w:rPr>
          <w:lang w:val="fr-FR"/>
        </w:rPr>
        <w:tab/>
      </w:r>
      <w:r w:rsidRPr="00D16E3A">
        <w:rPr>
          <w:lang w:val="fr-FR"/>
        </w:rPr>
        <w:tab/>
      </w:r>
      <w:r w:rsidRPr="00D16E3A">
        <w:t xml:space="preserve">Liste de points concernant le rapport soumis par le Gabon </w:t>
      </w:r>
      <w:r w:rsidR="00EC1BBB" w:rsidRPr="00D16E3A">
        <w:br/>
      </w:r>
      <w:r w:rsidRPr="00D16E3A">
        <w:t xml:space="preserve">en application du paragraphe 1 de l’article 29 </w:t>
      </w:r>
      <w:r w:rsidR="00EC1BBB" w:rsidRPr="00D16E3A">
        <w:br/>
      </w:r>
      <w:r w:rsidRPr="00D16E3A">
        <w:t>de la Convention</w:t>
      </w:r>
    </w:p>
    <w:p w:rsidR="00316185" w:rsidRPr="00D16E3A" w:rsidRDefault="00316185" w:rsidP="00316185">
      <w:pPr>
        <w:pStyle w:val="H23G"/>
      </w:pPr>
      <w:r w:rsidRPr="00D16E3A">
        <w:rPr>
          <w:lang w:val="fr-FR"/>
        </w:rPr>
        <w:tab/>
      </w:r>
      <w:r w:rsidRPr="00D16E3A">
        <w:rPr>
          <w:lang w:val="fr-FR"/>
        </w:rPr>
        <w:tab/>
      </w:r>
      <w:r w:rsidRPr="00D16E3A">
        <w:t>Additif</w:t>
      </w:r>
    </w:p>
    <w:p w:rsidR="00316185" w:rsidRPr="00D16E3A" w:rsidRDefault="00316185" w:rsidP="00316185">
      <w:pPr>
        <w:pStyle w:val="HChG"/>
        <w:tabs>
          <w:tab w:val="clear" w:pos="851"/>
        </w:tabs>
        <w:rPr>
          <w:lang w:val="fr-FR"/>
        </w:rPr>
      </w:pPr>
      <w:r w:rsidRPr="00D16E3A">
        <w:rPr>
          <w:lang w:val="fr-FR"/>
        </w:rPr>
        <w:tab/>
      </w:r>
      <w:r w:rsidRPr="00D16E3A">
        <w:t>Réponses du Gabon à la liste de points</w:t>
      </w:r>
      <w:r w:rsidRPr="00D16E3A">
        <w:rPr>
          <w:rStyle w:val="Appelnotedebasdep"/>
          <w:b w:val="0"/>
          <w:bCs/>
          <w:sz w:val="20"/>
          <w:vertAlign w:val="baseline"/>
          <w:lang w:val="fr-FR"/>
        </w:rPr>
        <w:footnoteReference w:customMarkFollows="1" w:id="2"/>
        <w:t>*</w:t>
      </w:r>
      <w:r w:rsidRPr="00D16E3A">
        <w:rPr>
          <w:b w:val="0"/>
          <w:bCs/>
          <w:sz w:val="20"/>
          <w:lang w:val="fr-FR"/>
        </w:rPr>
        <w:t xml:space="preserve"> </w:t>
      </w:r>
    </w:p>
    <w:p w:rsidR="00316185" w:rsidRPr="00D16E3A" w:rsidRDefault="00316185" w:rsidP="00316185">
      <w:pPr>
        <w:spacing w:after="120"/>
        <w:ind w:left="1134" w:right="1134"/>
        <w:jc w:val="right"/>
        <w:rPr>
          <w:rFonts w:eastAsia="Calibri"/>
          <w:lang w:val="fr-FR"/>
        </w:rPr>
      </w:pPr>
      <w:r w:rsidRPr="00D16E3A">
        <w:rPr>
          <w:rFonts w:eastAsia="Calibri"/>
          <w:lang w:val="fr-FR"/>
        </w:rPr>
        <w:t>[Date de réception : 24 juillet 2017]</w:t>
      </w:r>
    </w:p>
    <w:p w:rsidR="00316185" w:rsidRPr="00D16E3A" w:rsidRDefault="00316185" w:rsidP="0003764A">
      <w:r w:rsidRPr="00D16E3A">
        <w:rPr>
          <w:rFonts w:eastAsia="Calibri"/>
          <w:lang w:val="fr-FR"/>
        </w:rPr>
        <w:br w:type="page"/>
      </w:r>
      <w:r w:rsidRPr="00D16E3A">
        <w:rPr>
          <w:b/>
          <w:sz w:val="28"/>
        </w:rPr>
        <w:lastRenderedPageBreak/>
        <w:tab/>
        <w:t>I.</w:t>
      </w:r>
      <w:r w:rsidRPr="00D16E3A">
        <w:rPr>
          <w:b/>
          <w:sz w:val="28"/>
        </w:rPr>
        <w:tab/>
        <w:t>Renseignements d’ordre général</w:t>
      </w:r>
    </w:p>
    <w:p w:rsidR="00316185" w:rsidRPr="00D16E3A" w:rsidRDefault="00316185" w:rsidP="00316185">
      <w:pPr>
        <w:pStyle w:val="H23G"/>
        <w:rPr>
          <w:rFonts w:eastAsia="Calibri"/>
          <w:lang w:val="fr-FR"/>
        </w:rPr>
      </w:pPr>
      <w:r w:rsidRPr="00D16E3A">
        <w:rPr>
          <w:rFonts w:eastAsia="Calibri"/>
          <w:lang w:val="fr-FR"/>
        </w:rPr>
        <w:tab/>
      </w:r>
      <w:r w:rsidRPr="00D16E3A">
        <w:rPr>
          <w:rFonts w:eastAsia="Calibri"/>
          <w:lang w:val="fr-FR"/>
        </w:rPr>
        <w:tab/>
        <w:t>Réponse au paragraphe 1 de la liste de points</w:t>
      </w:r>
    </w:p>
    <w:p w:rsidR="00316185" w:rsidRPr="00D16E3A" w:rsidRDefault="00A12F17" w:rsidP="0003764A">
      <w:pPr>
        <w:pStyle w:val="SingleTxtG"/>
        <w:rPr>
          <w:rFonts w:eastAsia="Calibri"/>
          <w:b/>
          <w:lang w:val="fr-FR"/>
        </w:rPr>
      </w:pPr>
      <w:r w:rsidRPr="00D16E3A">
        <w:rPr>
          <w:rFonts w:eastAsia="Calibri"/>
          <w:lang w:val="fr-FR"/>
        </w:rPr>
        <w:t>1.</w:t>
      </w:r>
      <w:r w:rsidRPr="00D16E3A">
        <w:rPr>
          <w:rFonts w:eastAsia="Calibri"/>
          <w:lang w:val="fr-FR"/>
        </w:rPr>
        <w:tab/>
      </w:r>
      <w:r w:rsidR="00316185" w:rsidRPr="00D16E3A">
        <w:rPr>
          <w:rFonts w:eastAsia="Calibri"/>
          <w:lang w:val="fr-FR"/>
        </w:rPr>
        <w:t>La</w:t>
      </w:r>
      <w:r w:rsidR="00316185" w:rsidRPr="00D16E3A">
        <w:rPr>
          <w:rStyle w:val="SingleTxtGChar"/>
          <w:lang w:val="fr-FR"/>
        </w:rPr>
        <w:t xml:space="preserve"> </w:t>
      </w:r>
      <w:r w:rsidR="00316185" w:rsidRPr="00D16E3A">
        <w:rPr>
          <w:rFonts w:eastAsia="SimSun"/>
          <w:lang w:val="es-ES_tradnl" w:eastAsia="zh-CN"/>
        </w:rPr>
        <w:t>reconnaissance</w:t>
      </w:r>
      <w:r w:rsidR="00316185" w:rsidRPr="00D16E3A">
        <w:rPr>
          <w:rFonts w:eastAsia="Calibri"/>
          <w:lang w:val="fr-FR"/>
        </w:rPr>
        <w:t xml:space="preserve"> de la compétence du comité pour recevoir et examiner des communications individuelles ou interétatiques est actuellement examinée par les services techniques.</w:t>
      </w:r>
    </w:p>
    <w:p w:rsidR="00316185" w:rsidRPr="00D16E3A" w:rsidRDefault="00A12F17" w:rsidP="0003764A">
      <w:pPr>
        <w:spacing w:before="240" w:after="120"/>
        <w:rPr>
          <w:rFonts w:eastAsia="Calibri"/>
          <w:b/>
          <w:lang w:val="fr-FR"/>
        </w:rPr>
      </w:pPr>
      <w:r w:rsidRPr="00D16E3A">
        <w:rPr>
          <w:rFonts w:eastAsia="Calibri"/>
          <w:b/>
          <w:lang w:val="fr-FR"/>
        </w:rPr>
        <w:tab/>
      </w:r>
      <w:r w:rsidRPr="00D16E3A">
        <w:rPr>
          <w:rFonts w:eastAsia="Calibri"/>
          <w:b/>
          <w:lang w:val="fr-FR"/>
        </w:rPr>
        <w:tab/>
      </w:r>
      <w:r w:rsidR="00316185" w:rsidRPr="00D16E3A">
        <w:rPr>
          <w:rFonts w:eastAsia="Calibri"/>
          <w:b/>
          <w:lang w:val="fr-FR"/>
        </w:rPr>
        <w:t>Réponse au paragraphe 2 de la liste de points</w:t>
      </w:r>
    </w:p>
    <w:p w:rsidR="00316185" w:rsidRPr="00D16E3A" w:rsidRDefault="00A12F17" w:rsidP="0003764A">
      <w:pPr>
        <w:pStyle w:val="SingleTxtG"/>
        <w:rPr>
          <w:rFonts w:eastAsia="Calibri"/>
          <w:b/>
          <w:lang w:val="fr-FR"/>
        </w:rPr>
      </w:pPr>
      <w:r w:rsidRPr="00D16E3A">
        <w:rPr>
          <w:rFonts w:eastAsia="Calibri"/>
          <w:lang w:val="fr-FR"/>
        </w:rPr>
        <w:t>2.</w:t>
      </w:r>
      <w:r w:rsidRPr="00D16E3A">
        <w:rPr>
          <w:rFonts w:eastAsia="Calibri"/>
          <w:lang w:val="fr-FR"/>
        </w:rPr>
        <w:tab/>
      </w:r>
      <w:r w:rsidR="00316185" w:rsidRPr="00D16E3A">
        <w:rPr>
          <w:rFonts w:eastAsia="Calibri"/>
          <w:lang w:val="fr-FR"/>
        </w:rPr>
        <w:t>Pour l’heure, les dispositions de la Convention ne sont pas directement invoquées ni appliquées devant les tribunaux ou autres instances compétentes à titre autre qu’informatif. Il n’y a pas de décisions de justice rendues par les tribunaux ou autres autorités compétentes dans lesquelles les dispositions de la Convention ont été appliquées ; de même que pour les violations de la Convention.</w:t>
      </w:r>
    </w:p>
    <w:p w:rsidR="00316185" w:rsidRPr="00D16E3A" w:rsidRDefault="00A12F17" w:rsidP="0003764A">
      <w:pPr>
        <w:spacing w:before="240" w:after="120"/>
        <w:rPr>
          <w:rFonts w:eastAsia="Calibri"/>
          <w:b/>
          <w:lang w:val="fr-FR"/>
        </w:rPr>
      </w:pPr>
      <w:r w:rsidRPr="00D16E3A">
        <w:rPr>
          <w:rFonts w:eastAsia="Calibri"/>
          <w:b/>
          <w:lang w:val="fr-FR"/>
        </w:rPr>
        <w:tab/>
      </w:r>
      <w:r w:rsidRPr="00D16E3A">
        <w:rPr>
          <w:rFonts w:eastAsia="Calibri"/>
          <w:b/>
          <w:lang w:val="fr-FR"/>
        </w:rPr>
        <w:tab/>
      </w:r>
      <w:r w:rsidR="00316185" w:rsidRPr="00D16E3A">
        <w:rPr>
          <w:rFonts w:eastAsia="Calibri"/>
          <w:b/>
          <w:lang w:val="fr-FR"/>
        </w:rPr>
        <w:t>Réponse au paragraphe 3 de la liste de points</w:t>
      </w:r>
    </w:p>
    <w:p w:rsidR="00316185" w:rsidRPr="00D16E3A" w:rsidRDefault="00A12F17" w:rsidP="0003764A">
      <w:pPr>
        <w:pStyle w:val="SingleTxtG"/>
        <w:rPr>
          <w:rFonts w:eastAsia="Calibri"/>
          <w:lang w:val="fr-FR"/>
        </w:rPr>
      </w:pPr>
      <w:r w:rsidRPr="00D16E3A">
        <w:rPr>
          <w:rFonts w:eastAsia="Calibri"/>
          <w:lang w:val="fr-FR"/>
        </w:rPr>
        <w:t>3.</w:t>
      </w:r>
      <w:r w:rsidRPr="00D16E3A">
        <w:rPr>
          <w:rFonts w:eastAsia="Calibri"/>
          <w:lang w:val="fr-FR"/>
        </w:rPr>
        <w:tab/>
      </w:r>
      <w:r w:rsidR="00316185" w:rsidRPr="00D16E3A">
        <w:rPr>
          <w:rFonts w:eastAsia="Calibri"/>
          <w:lang w:val="fr-FR"/>
        </w:rPr>
        <w:t xml:space="preserve">Pour rendre la Commission </w:t>
      </w:r>
      <w:r w:rsidR="007A56B5" w:rsidRPr="00D16E3A">
        <w:rPr>
          <w:rFonts w:eastAsia="Calibri"/>
          <w:lang w:val="fr-FR"/>
        </w:rPr>
        <w:t>n</w:t>
      </w:r>
      <w:r w:rsidR="00316185" w:rsidRPr="00D16E3A">
        <w:rPr>
          <w:rFonts w:eastAsia="Calibri"/>
          <w:lang w:val="fr-FR"/>
        </w:rPr>
        <w:t xml:space="preserve">ationale des </w:t>
      </w:r>
      <w:r w:rsidR="007A56B5" w:rsidRPr="00D16E3A">
        <w:rPr>
          <w:rFonts w:eastAsia="Calibri"/>
          <w:lang w:val="fr-FR"/>
        </w:rPr>
        <w:t>d</w:t>
      </w:r>
      <w:r w:rsidR="00316185" w:rsidRPr="00D16E3A">
        <w:rPr>
          <w:rFonts w:eastAsia="Calibri"/>
          <w:lang w:val="fr-FR"/>
        </w:rPr>
        <w:t>roits de l’</w:t>
      </w:r>
      <w:r w:rsidR="007A56B5" w:rsidRPr="00D16E3A">
        <w:rPr>
          <w:rFonts w:eastAsia="Calibri"/>
          <w:lang w:val="fr-FR"/>
        </w:rPr>
        <w:t>h</w:t>
      </w:r>
      <w:r w:rsidR="00316185" w:rsidRPr="00D16E3A">
        <w:rPr>
          <w:rFonts w:eastAsia="Calibri"/>
          <w:lang w:val="fr-FR"/>
        </w:rPr>
        <w:t xml:space="preserve">omme pleinement conforme aux Principes de Paris et afin de permettre son accréditation auprès du Comité </w:t>
      </w:r>
      <w:r w:rsidR="007A56B5" w:rsidRPr="00D16E3A">
        <w:rPr>
          <w:rFonts w:eastAsia="Calibri"/>
          <w:lang w:val="fr-FR"/>
        </w:rPr>
        <w:t>i</w:t>
      </w:r>
      <w:r w:rsidR="00316185" w:rsidRPr="00D16E3A">
        <w:rPr>
          <w:rFonts w:eastAsia="Calibri"/>
          <w:lang w:val="fr-FR"/>
        </w:rPr>
        <w:t>nternational de coordination des institutions nationales des droits de l’</w:t>
      </w:r>
      <w:r w:rsidR="007A56B5" w:rsidRPr="00D16E3A">
        <w:rPr>
          <w:rFonts w:eastAsia="Calibri"/>
          <w:lang w:val="fr-FR"/>
        </w:rPr>
        <w:t>h</w:t>
      </w:r>
      <w:r w:rsidR="00316185" w:rsidRPr="00D16E3A">
        <w:rPr>
          <w:rFonts w:eastAsia="Calibri"/>
          <w:lang w:val="fr-FR"/>
        </w:rPr>
        <w:t>omme, l’</w:t>
      </w:r>
      <w:r w:rsidRPr="00D16E3A">
        <w:rPr>
          <w:rFonts w:eastAsia="Calibri"/>
          <w:lang w:val="fr-FR"/>
        </w:rPr>
        <w:t>É</w:t>
      </w:r>
      <w:r w:rsidR="00316185" w:rsidRPr="00D16E3A">
        <w:rPr>
          <w:rFonts w:eastAsia="Calibri"/>
          <w:lang w:val="fr-FR"/>
        </w:rPr>
        <w:t xml:space="preserve">tat accompagne la CNDH dans la réforme de la CNDH depuis a organisé en collaboration avec la CNDH et les partenaires au développement un atelier portant sur la refondation de la CNDH. En octobre 2013, un plaidoyer a été mené en partenariat avec l’Agence </w:t>
      </w:r>
      <w:r w:rsidR="007A56B5" w:rsidRPr="00D16E3A">
        <w:rPr>
          <w:rFonts w:eastAsia="Calibri"/>
          <w:lang w:val="fr-FR"/>
        </w:rPr>
        <w:t>f</w:t>
      </w:r>
      <w:r w:rsidR="00316185" w:rsidRPr="00D16E3A">
        <w:rPr>
          <w:rFonts w:eastAsia="Calibri"/>
          <w:lang w:val="fr-FR"/>
        </w:rPr>
        <w:t xml:space="preserve">rancophone des Commissions </w:t>
      </w:r>
      <w:r w:rsidR="007A56B5" w:rsidRPr="00D16E3A">
        <w:rPr>
          <w:rFonts w:eastAsia="Calibri"/>
          <w:lang w:val="fr-FR"/>
        </w:rPr>
        <w:t>n</w:t>
      </w:r>
      <w:r w:rsidR="00316185" w:rsidRPr="00D16E3A">
        <w:rPr>
          <w:rFonts w:eastAsia="Calibri"/>
          <w:lang w:val="fr-FR"/>
        </w:rPr>
        <w:t xml:space="preserve">ationales des </w:t>
      </w:r>
      <w:r w:rsidR="007A56B5" w:rsidRPr="00D16E3A">
        <w:rPr>
          <w:rFonts w:eastAsia="Calibri"/>
          <w:lang w:val="fr-FR"/>
        </w:rPr>
        <w:t>d</w:t>
      </w:r>
      <w:r w:rsidR="00316185" w:rsidRPr="00D16E3A">
        <w:rPr>
          <w:rFonts w:eastAsia="Calibri"/>
          <w:lang w:val="fr-FR"/>
        </w:rPr>
        <w:t>roits de l’</w:t>
      </w:r>
      <w:r w:rsidR="007A56B5" w:rsidRPr="00D16E3A">
        <w:rPr>
          <w:rFonts w:eastAsia="Calibri"/>
          <w:lang w:val="fr-FR"/>
        </w:rPr>
        <w:t>h</w:t>
      </w:r>
      <w:r w:rsidR="00316185" w:rsidRPr="00D16E3A">
        <w:rPr>
          <w:rFonts w:eastAsia="Calibri"/>
          <w:lang w:val="fr-FR"/>
        </w:rPr>
        <w:t xml:space="preserve">omme, auprès des Institutions gabonaises dont le Conseil économique et social. Ce plaidoyer a conduit à la mise à disposition du siège actuel de la CNDH. De façon générale, la CNDH mène des actions auprès des services de police et de gendarmerie pour contrôler les conditions d’encellulement et de garde à vue. Elle organise aussi des visites à la prison centrale et des rencontres multipliées avec le </w:t>
      </w:r>
      <w:r w:rsidR="00803789" w:rsidRPr="00D16E3A">
        <w:rPr>
          <w:rFonts w:eastAsia="Calibri"/>
          <w:lang w:val="fr-FR"/>
        </w:rPr>
        <w:t>M</w:t>
      </w:r>
      <w:r w:rsidR="00316185" w:rsidRPr="00D16E3A">
        <w:rPr>
          <w:rFonts w:eastAsia="Calibri"/>
          <w:lang w:val="fr-FR"/>
        </w:rPr>
        <w:t xml:space="preserve">inistère de la </w:t>
      </w:r>
      <w:r w:rsidR="00803789" w:rsidRPr="00D16E3A">
        <w:rPr>
          <w:rFonts w:eastAsia="Calibri"/>
          <w:lang w:val="fr-FR"/>
        </w:rPr>
        <w:t>j</w:t>
      </w:r>
      <w:r w:rsidR="00316185" w:rsidRPr="00D16E3A">
        <w:rPr>
          <w:rFonts w:eastAsia="Calibri"/>
          <w:lang w:val="fr-FR"/>
        </w:rPr>
        <w:t xml:space="preserve">ustice en charge des </w:t>
      </w:r>
      <w:r w:rsidR="00803789" w:rsidRPr="00D16E3A">
        <w:rPr>
          <w:rFonts w:eastAsia="Calibri"/>
          <w:lang w:val="fr-FR"/>
        </w:rPr>
        <w:t>d</w:t>
      </w:r>
      <w:r w:rsidR="00316185" w:rsidRPr="00D16E3A">
        <w:rPr>
          <w:rFonts w:eastAsia="Calibri"/>
          <w:lang w:val="fr-FR"/>
        </w:rPr>
        <w:t xml:space="preserve">roits humains, avec les partenaires au développement et la société civile. </w:t>
      </w:r>
    </w:p>
    <w:p w:rsidR="00316185" w:rsidRPr="00D16E3A" w:rsidRDefault="00A12F17" w:rsidP="0003764A">
      <w:pPr>
        <w:pStyle w:val="SingleTxtG"/>
        <w:rPr>
          <w:rFonts w:eastAsia="Calibri"/>
          <w:lang w:val="fr-FR"/>
        </w:rPr>
      </w:pPr>
      <w:r w:rsidRPr="00D16E3A">
        <w:rPr>
          <w:rFonts w:eastAsia="Calibri"/>
          <w:lang w:val="fr-FR"/>
        </w:rPr>
        <w:t>4.</w:t>
      </w:r>
      <w:r w:rsidRPr="00D16E3A">
        <w:rPr>
          <w:rFonts w:eastAsia="Calibri"/>
          <w:lang w:val="fr-FR"/>
        </w:rPr>
        <w:tab/>
      </w:r>
      <w:r w:rsidR="00BF3D4D" w:rsidRPr="00D16E3A">
        <w:rPr>
          <w:rFonts w:eastAsia="Calibri"/>
          <w:lang w:val="fr-FR"/>
        </w:rPr>
        <w:t xml:space="preserve">À </w:t>
      </w:r>
      <w:r w:rsidR="00316185" w:rsidRPr="00D16E3A">
        <w:rPr>
          <w:rFonts w:eastAsia="Calibri"/>
          <w:lang w:val="fr-FR"/>
        </w:rPr>
        <w:t>l’issue d’un atelier portant sur la refondation de la CNDH une feuille de route a été élaborée. La mise en œuvre de ladite feuille de route a conduit depuis décembre 2016, à la réécriture effective du texte portant création et organisation de la CNDH en collaboration avec le Conseil d’</w:t>
      </w:r>
      <w:r w:rsidR="00BF3D4D" w:rsidRPr="00D16E3A">
        <w:rPr>
          <w:rFonts w:eastAsia="Calibri"/>
          <w:lang w:val="fr-FR"/>
        </w:rPr>
        <w:t>É</w:t>
      </w:r>
      <w:r w:rsidR="00316185" w:rsidRPr="00D16E3A">
        <w:rPr>
          <w:rFonts w:eastAsia="Calibri"/>
          <w:lang w:val="fr-FR"/>
        </w:rPr>
        <w:t xml:space="preserve">tat ; ledit texte de loi est actuellement en cours d’adoption à la chambre haute du </w:t>
      </w:r>
      <w:r w:rsidR="00317344" w:rsidRPr="00D16E3A">
        <w:rPr>
          <w:rFonts w:eastAsia="Calibri"/>
          <w:lang w:val="fr-FR"/>
        </w:rPr>
        <w:t>P</w:t>
      </w:r>
      <w:r w:rsidR="00316185" w:rsidRPr="00D16E3A">
        <w:rPr>
          <w:rFonts w:eastAsia="Calibri"/>
          <w:lang w:val="fr-FR"/>
        </w:rPr>
        <w:t>arlement.</w:t>
      </w:r>
    </w:p>
    <w:p w:rsidR="00316185" w:rsidRPr="00D16E3A" w:rsidRDefault="00A12F17" w:rsidP="0003764A">
      <w:pPr>
        <w:pStyle w:val="SingleTxtG"/>
        <w:rPr>
          <w:rFonts w:eastAsia="Calibri"/>
          <w:lang w:val="fr-FR"/>
        </w:rPr>
      </w:pPr>
      <w:r w:rsidRPr="00D16E3A">
        <w:rPr>
          <w:rFonts w:eastAsia="Calibri"/>
          <w:lang w:val="fr-FR"/>
        </w:rPr>
        <w:t>5.</w:t>
      </w:r>
      <w:r w:rsidRPr="00D16E3A">
        <w:rPr>
          <w:rFonts w:eastAsia="Calibri"/>
          <w:lang w:val="fr-FR"/>
        </w:rPr>
        <w:tab/>
      </w:r>
      <w:r w:rsidR="00316185" w:rsidRPr="00D16E3A">
        <w:rPr>
          <w:rFonts w:eastAsia="Calibri"/>
          <w:lang w:val="fr-FR"/>
        </w:rPr>
        <w:t xml:space="preserve">Conformément au décret </w:t>
      </w:r>
      <w:r w:rsidR="00BF3D4D" w:rsidRPr="00D16E3A">
        <w:rPr>
          <w:rFonts w:eastAsia="MS Mincho"/>
          <w:lang w:val="fr-FR"/>
        </w:rPr>
        <w:t>n</w:t>
      </w:r>
      <w:r w:rsidR="00BF3D4D" w:rsidRPr="00D16E3A">
        <w:rPr>
          <w:rFonts w:eastAsia="MS Mincho"/>
          <w:vertAlign w:val="superscript"/>
          <w:lang w:val="fr-FR"/>
        </w:rPr>
        <w:t>o</w:t>
      </w:r>
      <w:r w:rsidR="00BF3D4D" w:rsidRPr="00D16E3A">
        <w:rPr>
          <w:rFonts w:eastAsia="Calibri"/>
          <w:lang w:val="fr-FR"/>
        </w:rPr>
        <w:t> </w:t>
      </w:r>
      <w:r w:rsidR="00316185" w:rsidRPr="00D16E3A">
        <w:rPr>
          <w:rFonts w:eastAsia="Calibri"/>
          <w:lang w:val="fr-FR"/>
        </w:rPr>
        <w:t>000102/PR/MDHLCCLCI du 15</w:t>
      </w:r>
      <w:r w:rsidR="00946AD5" w:rsidRPr="00D16E3A">
        <w:rPr>
          <w:rFonts w:eastAsia="Calibri"/>
          <w:lang w:val="fr-FR"/>
        </w:rPr>
        <w:t> </w:t>
      </w:r>
      <w:r w:rsidR="00316185" w:rsidRPr="00D16E3A">
        <w:rPr>
          <w:rFonts w:eastAsia="Calibri"/>
          <w:lang w:val="fr-FR"/>
        </w:rPr>
        <w:t xml:space="preserve">janvier 2007 portant création et organisation du </w:t>
      </w:r>
      <w:r w:rsidR="00317344" w:rsidRPr="00D16E3A">
        <w:rPr>
          <w:rFonts w:eastAsia="Calibri"/>
          <w:lang w:val="fr-FR"/>
        </w:rPr>
        <w:t>C</w:t>
      </w:r>
      <w:r w:rsidR="00316185" w:rsidRPr="00D16E3A">
        <w:rPr>
          <w:rFonts w:eastAsia="Calibri"/>
          <w:lang w:val="fr-FR"/>
        </w:rPr>
        <w:t xml:space="preserve">omité national de rédaction des rapports sur les droits humains au Gabon, la session nationale de restitution et de validation du rapport a réuni les représentants des départements ministériels, des organisations de la société civile , des parlementaires et de la Commission </w:t>
      </w:r>
      <w:r w:rsidR="00946AD5" w:rsidRPr="00D16E3A">
        <w:rPr>
          <w:rFonts w:eastAsia="Calibri"/>
          <w:lang w:val="fr-FR"/>
        </w:rPr>
        <w:t>n</w:t>
      </w:r>
      <w:r w:rsidR="00316185" w:rsidRPr="00D16E3A">
        <w:rPr>
          <w:rFonts w:eastAsia="Calibri"/>
          <w:lang w:val="fr-FR"/>
        </w:rPr>
        <w:t xml:space="preserve">ationale des </w:t>
      </w:r>
      <w:r w:rsidR="00946AD5" w:rsidRPr="00D16E3A">
        <w:rPr>
          <w:rFonts w:eastAsia="Calibri"/>
          <w:lang w:val="fr-FR"/>
        </w:rPr>
        <w:t>d</w:t>
      </w:r>
      <w:r w:rsidR="00316185" w:rsidRPr="00D16E3A">
        <w:rPr>
          <w:rFonts w:eastAsia="Calibri"/>
          <w:lang w:val="fr-FR"/>
        </w:rPr>
        <w:t>roits de l’</w:t>
      </w:r>
      <w:r w:rsidR="00946AD5" w:rsidRPr="00D16E3A">
        <w:rPr>
          <w:rFonts w:eastAsia="Calibri"/>
          <w:lang w:val="fr-FR"/>
        </w:rPr>
        <w:t>h</w:t>
      </w:r>
      <w:r w:rsidR="00316185" w:rsidRPr="00D16E3A">
        <w:rPr>
          <w:rFonts w:eastAsia="Calibri"/>
          <w:lang w:val="fr-FR"/>
        </w:rPr>
        <w:t xml:space="preserve">omme. Aucune position publique n’a été prise par la Commission </w:t>
      </w:r>
      <w:r w:rsidR="00317344" w:rsidRPr="00D16E3A">
        <w:rPr>
          <w:rFonts w:eastAsia="Calibri"/>
          <w:lang w:val="fr-FR"/>
        </w:rPr>
        <w:t>n</w:t>
      </w:r>
      <w:r w:rsidR="00316185" w:rsidRPr="00D16E3A">
        <w:rPr>
          <w:rFonts w:eastAsia="Calibri"/>
          <w:lang w:val="fr-FR"/>
        </w:rPr>
        <w:t xml:space="preserve">ationale des </w:t>
      </w:r>
      <w:r w:rsidR="00317344" w:rsidRPr="00D16E3A">
        <w:rPr>
          <w:rFonts w:eastAsia="Calibri"/>
          <w:lang w:val="fr-FR"/>
        </w:rPr>
        <w:t>d</w:t>
      </w:r>
      <w:r w:rsidR="00316185" w:rsidRPr="00D16E3A">
        <w:rPr>
          <w:rFonts w:eastAsia="Calibri"/>
          <w:lang w:val="fr-FR"/>
        </w:rPr>
        <w:t>roits de l’</w:t>
      </w:r>
      <w:r w:rsidR="00CB5750" w:rsidRPr="00D16E3A">
        <w:rPr>
          <w:rFonts w:eastAsia="Calibri"/>
          <w:lang w:val="fr-FR"/>
        </w:rPr>
        <w:t>h</w:t>
      </w:r>
      <w:r w:rsidR="00316185" w:rsidRPr="00D16E3A">
        <w:rPr>
          <w:rFonts w:eastAsia="Calibri"/>
          <w:lang w:val="fr-FR"/>
        </w:rPr>
        <w:t xml:space="preserve">omme sur le rapport. </w:t>
      </w:r>
      <w:r w:rsidR="00946AD5" w:rsidRPr="00D16E3A">
        <w:rPr>
          <w:rFonts w:eastAsia="Calibri"/>
          <w:lang w:val="fr-FR"/>
        </w:rPr>
        <w:t>À</w:t>
      </w:r>
      <w:r w:rsidR="00316185" w:rsidRPr="00D16E3A">
        <w:rPr>
          <w:rFonts w:eastAsia="Calibri"/>
          <w:lang w:val="fr-FR"/>
        </w:rPr>
        <w:t xml:space="preserve"> ce jour, le Mécanisme </w:t>
      </w:r>
      <w:r w:rsidR="00946AD5" w:rsidRPr="00D16E3A">
        <w:rPr>
          <w:rFonts w:eastAsia="Calibri"/>
          <w:lang w:val="fr-FR"/>
        </w:rPr>
        <w:t>n</w:t>
      </w:r>
      <w:r w:rsidR="00316185" w:rsidRPr="00D16E3A">
        <w:rPr>
          <w:rFonts w:eastAsia="Calibri"/>
          <w:lang w:val="fr-FR"/>
        </w:rPr>
        <w:t xml:space="preserve">ational de </w:t>
      </w:r>
      <w:r w:rsidR="00946AD5" w:rsidRPr="00D16E3A">
        <w:rPr>
          <w:rFonts w:eastAsia="Calibri"/>
          <w:lang w:val="fr-FR"/>
        </w:rPr>
        <w:t>p</w:t>
      </w:r>
      <w:r w:rsidR="00316185" w:rsidRPr="00D16E3A">
        <w:rPr>
          <w:rFonts w:eastAsia="Calibri"/>
          <w:lang w:val="fr-FR"/>
        </w:rPr>
        <w:t xml:space="preserve">révention de la </w:t>
      </w:r>
      <w:r w:rsidR="00946AD5" w:rsidRPr="00D16E3A">
        <w:rPr>
          <w:rFonts w:eastAsia="Calibri"/>
          <w:lang w:val="fr-FR"/>
        </w:rPr>
        <w:t>t</w:t>
      </w:r>
      <w:r w:rsidR="00316185" w:rsidRPr="00D16E3A">
        <w:rPr>
          <w:rFonts w:eastAsia="Calibri"/>
          <w:lang w:val="fr-FR"/>
        </w:rPr>
        <w:t>orture n’a pas été mis en place, le texte y relatif est en examen au Conseil d’</w:t>
      </w:r>
      <w:r w:rsidR="00946AD5" w:rsidRPr="00D16E3A">
        <w:rPr>
          <w:rFonts w:eastAsia="Calibri"/>
          <w:lang w:val="fr-FR"/>
        </w:rPr>
        <w:t>É</w:t>
      </w:r>
      <w:r w:rsidR="00316185" w:rsidRPr="00D16E3A">
        <w:rPr>
          <w:rFonts w:eastAsia="Calibri"/>
          <w:lang w:val="fr-FR"/>
        </w:rPr>
        <w:t>tat.</w:t>
      </w:r>
    </w:p>
    <w:p w:rsidR="00316185" w:rsidRPr="00D16E3A" w:rsidRDefault="00316185" w:rsidP="00316185">
      <w:pPr>
        <w:pStyle w:val="HChG"/>
        <w:rPr>
          <w:rFonts w:eastAsia="Calibri"/>
          <w:lang w:val="fr-FR"/>
        </w:rPr>
      </w:pPr>
      <w:r w:rsidRPr="00D16E3A">
        <w:rPr>
          <w:rFonts w:eastAsia="Calibri"/>
          <w:lang w:val="fr-FR"/>
        </w:rPr>
        <w:tab/>
        <w:t>II.</w:t>
      </w:r>
      <w:r w:rsidRPr="00D16E3A">
        <w:rPr>
          <w:rFonts w:eastAsia="Calibri"/>
          <w:lang w:val="fr-FR"/>
        </w:rPr>
        <w:tab/>
        <w:t xml:space="preserve">Définition et incrimination de la disparition forcée </w:t>
      </w:r>
      <w:r w:rsidRPr="00D16E3A">
        <w:rPr>
          <w:rFonts w:eastAsia="Calibri"/>
          <w:lang w:val="fr-FR"/>
        </w:rPr>
        <w:br/>
        <w:t>(art. 1 à 7)</w:t>
      </w:r>
    </w:p>
    <w:p w:rsidR="00316185" w:rsidRPr="00D16E3A" w:rsidRDefault="00316185" w:rsidP="00316185">
      <w:pPr>
        <w:pStyle w:val="H23G"/>
        <w:rPr>
          <w:rFonts w:eastAsia="Calibri"/>
          <w:lang w:val="fr-FR"/>
        </w:rPr>
      </w:pPr>
      <w:r w:rsidRPr="00D16E3A">
        <w:rPr>
          <w:rFonts w:eastAsia="Calibri"/>
          <w:lang w:val="fr-FR"/>
        </w:rPr>
        <w:tab/>
      </w:r>
      <w:r w:rsidRPr="00D16E3A">
        <w:rPr>
          <w:rFonts w:eastAsia="Calibri"/>
          <w:lang w:val="fr-FR"/>
        </w:rPr>
        <w:tab/>
        <w:t>Réponse au paragraphe 4 de la liste de points</w:t>
      </w:r>
    </w:p>
    <w:p w:rsidR="00316185" w:rsidRPr="00D16E3A" w:rsidRDefault="00A12F17" w:rsidP="0003764A">
      <w:pPr>
        <w:pStyle w:val="SingleTxtG"/>
        <w:rPr>
          <w:rFonts w:eastAsia="Calibri"/>
          <w:lang w:val="fr-FR"/>
        </w:rPr>
      </w:pPr>
      <w:r w:rsidRPr="00D16E3A">
        <w:rPr>
          <w:rFonts w:eastAsia="Calibri"/>
          <w:lang w:val="fr-FR"/>
        </w:rPr>
        <w:t>6.</w:t>
      </w:r>
      <w:r w:rsidRPr="00D16E3A">
        <w:rPr>
          <w:rFonts w:eastAsia="Calibri"/>
          <w:lang w:val="fr-FR"/>
        </w:rPr>
        <w:tab/>
      </w:r>
      <w:r w:rsidR="00316185" w:rsidRPr="00D16E3A">
        <w:rPr>
          <w:rFonts w:eastAsia="Calibri"/>
          <w:lang w:val="fr-FR"/>
        </w:rPr>
        <w:t xml:space="preserve">Sauf omission, aucune allégation de disparition forcée, au sens de l’article </w:t>
      </w:r>
      <w:r w:rsidR="005444F0" w:rsidRPr="00D16E3A">
        <w:rPr>
          <w:rFonts w:eastAsia="Calibri"/>
          <w:lang w:val="fr-FR"/>
        </w:rPr>
        <w:t xml:space="preserve">premier </w:t>
      </w:r>
      <w:r w:rsidR="00316185" w:rsidRPr="00D16E3A">
        <w:rPr>
          <w:rFonts w:eastAsia="Calibri"/>
          <w:lang w:val="fr-FR"/>
        </w:rPr>
        <w:t>de la Convention n’a été portée à la connaissance de la justice.</w:t>
      </w:r>
    </w:p>
    <w:p w:rsidR="00316185" w:rsidRPr="00D16E3A" w:rsidRDefault="00316185" w:rsidP="00316185">
      <w:pPr>
        <w:pStyle w:val="H23G"/>
        <w:rPr>
          <w:rFonts w:eastAsia="Calibri"/>
          <w:lang w:val="fr-FR"/>
        </w:rPr>
      </w:pPr>
      <w:r w:rsidRPr="00D16E3A">
        <w:rPr>
          <w:rFonts w:eastAsia="Calibri"/>
          <w:lang w:val="fr-FR"/>
        </w:rPr>
        <w:tab/>
      </w:r>
      <w:r w:rsidRPr="00D16E3A">
        <w:rPr>
          <w:rFonts w:eastAsia="Calibri"/>
          <w:lang w:val="fr-FR"/>
        </w:rPr>
        <w:tab/>
        <w:t>Réponse au paragraphe</w:t>
      </w:r>
      <w:r w:rsidR="005444F0" w:rsidRPr="00D16E3A">
        <w:rPr>
          <w:rFonts w:eastAsia="Calibri"/>
          <w:lang w:val="fr-FR"/>
        </w:rPr>
        <w:t> </w:t>
      </w:r>
      <w:r w:rsidRPr="00D16E3A">
        <w:rPr>
          <w:rFonts w:eastAsia="Calibri"/>
          <w:lang w:val="fr-FR"/>
        </w:rPr>
        <w:t>5 de la liste de points</w:t>
      </w:r>
    </w:p>
    <w:p w:rsidR="00316185" w:rsidRPr="00D16E3A" w:rsidRDefault="00A12F17" w:rsidP="0003764A">
      <w:pPr>
        <w:pStyle w:val="SingleTxtG"/>
        <w:rPr>
          <w:rFonts w:eastAsia="Calibri"/>
          <w:lang w:val="fr-FR"/>
        </w:rPr>
      </w:pPr>
      <w:r w:rsidRPr="00D16E3A">
        <w:rPr>
          <w:rFonts w:eastAsia="Calibri"/>
          <w:lang w:val="fr-FR"/>
        </w:rPr>
        <w:t>7.</w:t>
      </w:r>
      <w:r w:rsidRPr="00D16E3A">
        <w:rPr>
          <w:rFonts w:eastAsia="Calibri"/>
          <w:lang w:val="fr-FR"/>
        </w:rPr>
        <w:tab/>
      </w:r>
      <w:r w:rsidR="00316185" w:rsidRPr="00D16E3A">
        <w:rPr>
          <w:rFonts w:eastAsia="Calibri"/>
          <w:lang w:val="fr-FR"/>
        </w:rPr>
        <w:t xml:space="preserve">La réforme du </w:t>
      </w:r>
      <w:r w:rsidR="005444F0" w:rsidRPr="00D16E3A">
        <w:rPr>
          <w:rFonts w:eastAsia="Calibri"/>
          <w:lang w:val="fr-FR"/>
        </w:rPr>
        <w:t>C</w:t>
      </w:r>
      <w:r w:rsidR="00316185" w:rsidRPr="00D16E3A">
        <w:rPr>
          <w:rFonts w:eastAsia="Calibri"/>
          <w:lang w:val="fr-FR"/>
        </w:rPr>
        <w:t>ode pénal en cours d’adoption prévoit la définition et l’incrimination de la disparition forcée.</w:t>
      </w:r>
    </w:p>
    <w:p w:rsidR="00316185" w:rsidRPr="00D16E3A" w:rsidRDefault="00316185" w:rsidP="00316185">
      <w:pPr>
        <w:pStyle w:val="H23G"/>
        <w:rPr>
          <w:rFonts w:eastAsia="Calibri"/>
          <w:lang w:val="fr-FR"/>
        </w:rPr>
      </w:pPr>
      <w:r w:rsidRPr="00D16E3A">
        <w:rPr>
          <w:rFonts w:eastAsia="Calibri"/>
          <w:lang w:val="fr-FR"/>
        </w:rPr>
        <w:lastRenderedPageBreak/>
        <w:tab/>
      </w:r>
      <w:r w:rsidRPr="00D16E3A">
        <w:rPr>
          <w:rFonts w:eastAsia="Calibri"/>
          <w:lang w:val="fr-FR"/>
        </w:rPr>
        <w:tab/>
        <w:t>Réponse au paragraphe</w:t>
      </w:r>
      <w:r w:rsidR="005444F0" w:rsidRPr="00D16E3A">
        <w:rPr>
          <w:rFonts w:eastAsia="Calibri"/>
          <w:lang w:val="fr-FR"/>
        </w:rPr>
        <w:t> </w:t>
      </w:r>
      <w:r w:rsidRPr="00D16E3A">
        <w:rPr>
          <w:rFonts w:eastAsia="Calibri"/>
          <w:lang w:val="fr-FR"/>
        </w:rPr>
        <w:t>7 de la liste de points</w:t>
      </w:r>
    </w:p>
    <w:p w:rsidR="00316185" w:rsidRPr="00D16E3A" w:rsidRDefault="00A12F17" w:rsidP="0003764A">
      <w:pPr>
        <w:pStyle w:val="SingleTxtG"/>
        <w:rPr>
          <w:rFonts w:eastAsia="Calibri"/>
          <w:lang w:val="fr-FR"/>
        </w:rPr>
      </w:pPr>
      <w:r w:rsidRPr="00D16E3A">
        <w:rPr>
          <w:rFonts w:eastAsia="Calibri"/>
          <w:lang w:val="fr-FR"/>
        </w:rPr>
        <w:t>8.</w:t>
      </w:r>
      <w:r w:rsidRPr="00D16E3A">
        <w:rPr>
          <w:rFonts w:eastAsia="Calibri"/>
          <w:lang w:val="fr-FR"/>
        </w:rPr>
        <w:tab/>
      </w:r>
      <w:r w:rsidR="00316185" w:rsidRPr="00D16E3A">
        <w:rPr>
          <w:rFonts w:eastAsia="Calibri"/>
          <w:lang w:val="fr-FR"/>
        </w:rPr>
        <w:t>Aucune plainte à ce jour n’a été déposée concernant une disparition forcée au sens de l’article</w:t>
      </w:r>
      <w:r w:rsidR="005444F0" w:rsidRPr="00D16E3A">
        <w:rPr>
          <w:rFonts w:eastAsia="Calibri"/>
          <w:lang w:val="fr-FR"/>
        </w:rPr>
        <w:t> </w:t>
      </w:r>
      <w:r w:rsidR="00316185" w:rsidRPr="00D16E3A">
        <w:rPr>
          <w:rFonts w:eastAsia="Calibri"/>
          <w:lang w:val="fr-FR"/>
        </w:rPr>
        <w:t>2 de la Convention. Il en est de même pour les cas de plaintes liées à la traite d’êtres humains pouvant relever des articles</w:t>
      </w:r>
      <w:r w:rsidR="005444F0" w:rsidRPr="00D16E3A">
        <w:rPr>
          <w:rFonts w:eastAsia="Calibri"/>
          <w:lang w:val="fr-FR"/>
        </w:rPr>
        <w:t> </w:t>
      </w:r>
      <w:r w:rsidR="00316185" w:rsidRPr="00D16E3A">
        <w:rPr>
          <w:rFonts w:eastAsia="Calibri"/>
          <w:lang w:val="fr-FR"/>
        </w:rPr>
        <w:t xml:space="preserve">2 et 3 de la </w:t>
      </w:r>
      <w:r w:rsidR="005444F0" w:rsidRPr="00D16E3A">
        <w:rPr>
          <w:rFonts w:eastAsia="Calibri"/>
          <w:lang w:val="fr-FR"/>
        </w:rPr>
        <w:t>C</w:t>
      </w:r>
      <w:r w:rsidR="00316185" w:rsidRPr="00D16E3A">
        <w:rPr>
          <w:rFonts w:eastAsia="Calibri"/>
          <w:lang w:val="fr-FR"/>
        </w:rPr>
        <w:t xml:space="preserve">onvention. </w:t>
      </w:r>
    </w:p>
    <w:p w:rsidR="00316185" w:rsidRPr="00D16E3A" w:rsidRDefault="00316185" w:rsidP="00316185">
      <w:pPr>
        <w:pStyle w:val="H23G"/>
        <w:rPr>
          <w:rFonts w:eastAsia="Calibri"/>
          <w:lang w:val="fr-FR"/>
        </w:rPr>
      </w:pPr>
      <w:r w:rsidRPr="00D16E3A">
        <w:rPr>
          <w:rFonts w:eastAsia="Calibri"/>
          <w:lang w:val="fr-FR"/>
        </w:rPr>
        <w:tab/>
      </w:r>
      <w:r w:rsidRPr="00D16E3A">
        <w:rPr>
          <w:rFonts w:eastAsia="Calibri"/>
          <w:lang w:val="fr-FR"/>
        </w:rPr>
        <w:tab/>
        <w:t>Réponse au paragraphe</w:t>
      </w:r>
      <w:r w:rsidR="005444F0" w:rsidRPr="00D16E3A">
        <w:rPr>
          <w:rFonts w:eastAsia="Calibri"/>
          <w:lang w:val="fr-FR"/>
        </w:rPr>
        <w:t> </w:t>
      </w:r>
      <w:r w:rsidRPr="00D16E3A">
        <w:rPr>
          <w:rFonts w:eastAsia="Calibri"/>
          <w:lang w:val="fr-FR"/>
        </w:rPr>
        <w:t>9 de la liste de points</w:t>
      </w:r>
    </w:p>
    <w:p w:rsidR="00316185" w:rsidRPr="00D16E3A" w:rsidRDefault="00A12F17" w:rsidP="0003764A">
      <w:pPr>
        <w:pStyle w:val="SingleTxtG"/>
        <w:rPr>
          <w:rFonts w:eastAsia="Calibri"/>
          <w:lang w:val="fr-FR"/>
        </w:rPr>
      </w:pPr>
      <w:r w:rsidRPr="00D16E3A">
        <w:rPr>
          <w:rFonts w:eastAsia="Calibri"/>
          <w:lang w:val="fr-FR"/>
        </w:rPr>
        <w:t>9.</w:t>
      </w:r>
      <w:r w:rsidRPr="00D16E3A">
        <w:rPr>
          <w:rFonts w:eastAsia="Calibri"/>
          <w:lang w:val="fr-FR"/>
        </w:rPr>
        <w:tab/>
      </w:r>
      <w:r w:rsidR="00316185" w:rsidRPr="00D16E3A">
        <w:rPr>
          <w:rFonts w:eastAsia="Calibri"/>
          <w:lang w:val="fr-FR"/>
        </w:rPr>
        <w:t xml:space="preserve">Il faut noter qu’en vertu du sacro-saint principe de l’individualisation des peines et délit, chaque mis en cause, auteur d’un délit ou d’un crime, est personnellement et pénalement responsable de l’acte qualifié de crime ou délit. </w:t>
      </w:r>
    </w:p>
    <w:p w:rsidR="00316185" w:rsidRPr="00D16E3A" w:rsidRDefault="00316185" w:rsidP="00316185">
      <w:pPr>
        <w:pStyle w:val="HChG"/>
        <w:rPr>
          <w:rFonts w:eastAsia="Calibri"/>
          <w:lang w:val="fr-FR"/>
        </w:rPr>
      </w:pPr>
      <w:r w:rsidRPr="00D16E3A">
        <w:rPr>
          <w:lang w:val="fr-FR"/>
        </w:rPr>
        <w:tab/>
        <w:t>III.</w:t>
      </w:r>
      <w:r w:rsidRPr="00D16E3A">
        <w:rPr>
          <w:lang w:val="fr-FR"/>
        </w:rPr>
        <w:tab/>
        <w:t>Procédure judiciaire et coopération dans les affaires pénales (art. 8 à 15)</w:t>
      </w:r>
    </w:p>
    <w:p w:rsidR="00316185" w:rsidRPr="00D16E3A" w:rsidRDefault="00316185" w:rsidP="00316185">
      <w:pPr>
        <w:pStyle w:val="H23G"/>
        <w:rPr>
          <w:rFonts w:eastAsia="Calibri"/>
          <w:lang w:val="fr-FR"/>
        </w:rPr>
      </w:pPr>
      <w:r w:rsidRPr="00D16E3A">
        <w:rPr>
          <w:rFonts w:eastAsia="Calibri"/>
          <w:lang w:val="fr-FR"/>
        </w:rPr>
        <w:tab/>
      </w:r>
      <w:r w:rsidRPr="00D16E3A">
        <w:rPr>
          <w:rFonts w:eastAsia="Calibri"/>
          <w:lang w:val="fr-FR"/>
        </w:rPr>
        <w:tab/>
        <w:t>Réponse au paragraphe 11 de la liste de points</w:t>
      </w:r>
    </w:p>
    <w:p w:rsidR="00316185" w:rsidRPr="00D16E3A" w:rsidRDefault="00A12F17" w:rsidP="0003764A">
      <w:pPr>
        <w:pStyle w:val="SingleTxtG"/>
        <w:rPr>
          <w:rFonts w:eastAsia="Calibri"/>
          <w:lang w:val="fr-FR"/>
        </w:rPr>
      </w:pPr>
      <w:r w:rsidRPr="00D16E3A">
        <w:rPr>
          <w:rFonts w:eastAsia="Calibri"/>
          <w:lang w:val="fr-FR"/>
        </w:rPr>
        <w:t>10.</w:t>
      </w:r>
      <w:r w:rsidRPr="00D16E3A">
        <w:rPr>
          <w:rFonts w:eastAsia="Calibri"/>
          <w:lang w:val="fr-FR"/>
        </w:rPr>
        <w:tab/>
      </w:r>
      <w:r w:rsidR="00316185" w:rsidRPr="00D16E3A">
        <w:rPr>
          <w:rFonts w:eastAsia="Calibri"/>
          <w:lang w:val="fr-FR"/>
        </w:rPr>
        <w:t>Dans</w:t>
      </w:r>
      <w:r w:rsidR="00316185" w:rsidRPr="00D16E3A">
        <w:rPr>
          <w:rFonts w:eastAsia="Calibri"/>
          <w:b/>
          <w:lang w:val="fr-FR"/>
        </w:rPr>
        <w:t xml:space="preserve"> </w:t>
      </w:r>
      <w:r w:rsidR="00316185" w:rsidRPr="00D16E3A">
        <w:rPr>
          <w:rFonts w:eastAsia="Calibri"/>
          <w:lang w:val="fr-FR"/>
        </w:rPr>
        <w:t xml:space="preserve">le cadre des réformes de la législation pénale, actuellement en cours, l’imprescriptibilité s’appliquera effectivement à la disparition forcée en tant que crime contre l’humanité. Par ailleurs, la prescription de </w:t>
      </w:r>
      <w:r w:rsidR="005444F0" w:rsidRPr="00D16E3A">
        <w:rPr>
          <w:rFonts w:eastAsia="Calibri"/>
          <w:lang w:val="fr-FR"/>
        </w:rPr>
        <w:t>vingt</w:t>
      </w:r>
      <w:r w:rsidR="00316185" w:rsidRPr="00D16E3A">
        <w:rPr>
          <w:rFonts w:eastAsia="Calibri"/>
          <w:lang w:val="fr-FR"/>
        </w:rPr>
        <w:t xml:space="preserve"> ans s’appliquera à la disparition forcée définie comme crime autonome.</w:t>
      </w:r>
    </w:p>
    <w:p w:rsidR="00316185" w:rsidRPr="00D16E3A" w:rsidRDefault="00A12F17" w:rsidP="0003764A">
      <w:pPr>
        <w:pStyle w:val="SingleTxtG"/>
        <w:rPr>
          <w:rFonts w:eastAsia="Calibri"/>
          <w:lang w:val="fr-FR"/>
        </w:rPr>
      </w:pPr>
      <w:r w:rsidRPr="00D16E3A">
        <w:rPr>
          <w:rFonts w:eastAsia="Calibri"/>
          <w:lang w:val="fr-FR"/>
        </w:rPr>
        <w:t>11.</w:t>
      </w:r>
      <w:r w:rsidRPr="00D16E3A">
        <w:rPr>
          <w:rFonts w:eastAsia="Calibri"/>
          <w:lang w:val="fr-FR"/>
        </w:rPr>
        <w:tab/>
      </w:r>
      <w:r w:rsidR="00316185" w:rsidRPr="00D16E3A">
        <w:rPr>
          <w:rFonts w:eastAsia="Calibri"/>
          <w:lang w:val="fr-FR"/>
        </w:rPr>
        <w:t>Les procédures d’extradition dans ces cas obéissent aux règles de droit commun d’extradition et de coopération judiciaire internationale.</w:t>
      </w:r>
    </w:p>
    <w:p w:rsidR="00316185" w:rsidRPr="00D16E3A" w:rsidRDefault="00316185" w:rsidP="00316185">
      <w:pPr>
        <w:pStyle w:val="H23G"/>
        <w:rPr>
          <w:rFonts w:eastAsia="Calibri"/>
          <w:lang w:val="fr-FR"/>
        </w:rPr>
      </w:pPr>
      <w:r w:rsidRPr="00D16E3A">
        <w:rPr>
          <w:rFonts w:eastAsia="Calibri"/>
          <w:lang w:val="fr-FR"/>
        </w:rPr>
        <w:tab/>
      </w:r>
      <w:r w:rsidRPr="00D16E3A">
        <w:rPr>
          <w:rFonts w:eastAsia="Calibri"/>
          <w:lang w:val="fr-FR"/>
        </w:rPr>
        <w:tab/>
        <w:t>Réponse au paragraphe 12 de la liste de points</w:t>
      </w:r>
    </w:p>
    <w:p w:rsidR="00316185" w:rsidRPr="00D16E3A" w:rsidRDefault="00A12F17" w:rsidP="0003764A">
      <w:pPr>
        <w:pStyle w:val="SingleTxtG"/>
        <w:rPr>
          <w:rFonts w:eastAsia="Calibri"/>
          <w:lang w:val="fr-FR"/>
        </w:rPr>
      </w:pPr>
      <w:r w:rsidRPr="00D16E3A">
        <w:rPr>
          <w:rFonts w:eastAsia="Calibri"/>
          <w:lang w:val="fr-FR"/>
        </w:rPr>
        <w:t>12.</w:t>
      </w:r>
      <w:r w:rsidRPr="00D16E3A">
        <w:rPr>
          <w:rFonts w:eastAsia="Calibri"/>
          <w:lang w:val="fr-FR"/>
        </w:rPr>
        <w:tab/>
      </w:r>
      <w:r w:rsidR="00316185" w:rsidRPr="00D16E3A">
        <w:rPr>
          <w:rFonts w:eastAsia="Calibri"/>
          <w:lang w:val="fr-FR"/>
        </w:rPr>
        <w:t xml:space="preserve">Les procédures et les mesures d’examen rapide des allégations de disparitions forcées reposent sur les techniques et moyens d’investigations ordinaires d’enquêtes pénales par l’identification, la recherche </w:t>
      </w:r>
      <w:r w:rsidR="005444F0" w:rsidRPr="00D16E3A">
        <w:rPr>
          <w:rFonts w:eastAsia="Calibri"/>
          <w:lang w:val="fr-FR"/>
        </w:rPr>
        <w:t>d</w:t>
      </w:r>
      <w:r w:rsidR="00316185" w:rsidRPr="00D16E3A">
        <w:rPr>
          <w:rFonts w:eastAsia="Calibri"/>
          <w:lang w:val="fr-FR"/>
        </w:rPr>
        <w:t>u disparu ; l’exploitation de tous les moyens modernes et traditionnels ; rassembler tous indices ou éléments matériel de nature à renseigner sur la destination ou la localisation du disparu.</w:t>
      </w:r>
    </w:p>
    <w:p w:rsidR="00316185" w:rsidRPr="00D16E3A" w:rsidRDefault="00A12F17" w:rsidP="0003764A">
      <w:pPr>
        <w:pStyle w:val="SingleTxtG"/>
        <w:rPr>
          <w:rFonts w:eastAsia="Calibri"/>
          <w:lang w:val="fr-FR"/>
        </w:rPr>
      </w:pPr>
      <w:r w:rsidRPr="00D16E3A">
        <w:rPr>
          <w:rFonts w:eastAsia="Calibri"/>
          <w:lang w:val="fr-FR"/>
        </w:rPr>
        <w:t>13.</w:t>
      </w:r>
      <w:r w:rsidRPr="00D16E3A">
        <w:rPr>
          <w:rFonts w:eastAsia="Calibri"/>
          <w:lang w:val="fr-FR"/>
        </w:rPr>
        <w:tab/>
      </w:r>
      <w:r w:rsidR="00316185" w:rsidRPr="00D16E3A">
        <w:rPr>
          <w:rFonts w:eastAsia="Calibri"/>
          <w:lang w:val="fr-FR"/>
        </w:rPr>
        <w:t xml:space="preserve">Il existe en effet, des possibilités pour les officiers de police judiciaire d’ouvrir une enquête dès lors qu’ils ont connaissance d’un fait qualifié de crime ou délit à charge pour eux d’en informer immédiatement par tout moyen le </w:t>
      </w:r>
      <w:r w:rsidR="006F02FD" w:rsidRPr="00D16E3A">
        <w:rPr>
          <w:rFonts w:eastAsia="Calibri"/>
          <w:lang w:val="fr-FR"/>
        </w:rPr>
        <w:t>P</w:t>
      </w:r>
      <w:r w:rsidR="00316185" w:rsidRPr="00D16E3A">
        <w:rPr>
          <w:rFonts w:eastAsia="Calibri"/>
          <w:lang w:val="fr-FR"/>
        </w:rPr>
        <w:t>rocureur de la République.</w:t>
      </w:r>
    </w:p>
    <w:p w:rsidR="00316185" w:rsidRPr="00D16E3A" w:rsidRDefault="00A12F17" w:rsidP="0003764A">
      <w:pPr>
        <w:pStyle w:val="SingleTxtG"/>
        <w:rPr>
          <w:rFonts w:eastAsia="Calibri"/>
          <w:lang w:val="fr-FR"/>
        </w:rPr>
      </w:pPr>
      <w:r w:rsidRPr="00D16E3A">
        <w:rPr>
          <w:rFonts w:eastAsia="Calibri"/>
          <w:lang w:val="fr-FR"/>
        </w:rPr>
        <w:t>14.</w:t>
      </w:r>
      <w:r w:rsidRPr="00D16E3A">
        <w:rPr>
          <w:rFonts w:eastAsia="Calibri"/>
          <w:lang w:val="fr-FR"/>
        </w:rPr>
        <w:tab/>
      </w:r>
      <w:r w:rsidR="00316185" w:rsidRPr="00D16E3A">
        <w:rPr>
          <w:rFonts w:eastAsia="Calibri"/>
          <w:lang w:val="fr-FR"/>
        </w:rPr>
        <w:t xml:space="preserve">Le </w:t>
      </w:r>
      <w:r w:rsidR="006F02FD" w:rsidRPr="00D16E3A">
        <w:rPr>
          <w:rFonts w:eastAsia="Calibri"/>
          <w:lang w:val="fr-FR"/>
        </w:rPr>
        <w:t>P</w:t>
      </w:r>
      <w:r w:rsidR="00316185" w:rsidRPr="00D16E3A">
        <w:rPr>
          <w:rFonts w:eastAsia="Calibri"/>
          <w:lang w:val="fr-FR"/>
        </w:rPr>
        <w:t>rocureur de la République est sans conteste l’autorité judiciaire compétente pour contrôler les mesures de privation de liberté prises par les autorités militaires, y</w:t>
      </w:r>
      <w:r w:rsidR="002F3380" w:rsidRPr="00D16E3A">
        <w:rPr>
          <w:rFonts w:eastAsia="Calibri"/>
          <w:lang w:val="fr-FR"/>
        </w:rPr>
        <w:t> </w:t>
      </w:r>
      <w:r w:rsidR="00316185" w:rsidRPr="00D16E3A">
        <w:rPr>
          <w:rFonts w:eastAsia="Calibri"/>
          <w:lang w:val="fr-FR"/>
        </w:rPr>
        <w:t>compris le service de contre</w:t>
      </w:r>
      <w:r w:rsidR="002F3380" w:rsidRPr="00D16E3A">
        <w:rPr>
          <w:rFonts w:eastAsia="Calibri"/>
          <w:lang w:val="fr-FR"/>
        </w:rPr>
        <w:t>-</w:t>
      </w:r>
      <w:r w:rsidR="00316185" w:rsidRPr="00D16E3A">
        <w:rPr>
          <w:rFonts w:eastAsia="Calibri"/>
          <w:lang w:val="fr-FR"/>
        </w:rPr>
        <w:t>ingérence de l’armée agissant dans le cadre d’une mission de police judiciaire.</w:t>
      </w:r>
    </w:p>
    <w:p w:rsidR="00316185" w:rsidRPr="00D16E3A" w:rsidRDefault="00A12F17" w:rsidP="0003764A">
      <w:pPr>
        <w:pStyle w:val="SingleTxtG"/>
        <w:rPr>
          <w:rFonts w:eastAsia="Calibri"/>
          <w:lang w:val="fr-FR"/>
        </w:rPr>
      </w:pPr>
      <w:r w:rsidRPr="00D16E3A">
        <w:rPr>
          <w:rFonts w:eastAsia="Calibri"/>
          <w:lang w:val="fr-FR"/>
        </w:rPr>
        <w:t>15.</w:t>
      </w:r>
      <w:r w:rsidRPr="00D16E3A">
        <w:rPr>
          <w:rFonts w:eastAsia="Calibri"/>
          <w:lang w:val="fr-FR"/>
        </w:rPr>
        <w:tab/>
      </w:r>
      <w:r w:rsidR="00316185" w:rsidRPr="00D16E3A">
        <w:rPr>
          <w:rFonts w:eastAsia="Calibri"/>
          <w:lang w:val="fr-FR"/>
        </w:rPr>
        <w:t xml:space="preserve">Les mêmes autorités (officiers de police judiciaires sous la direction du </w:t>
      </w:r>
      <w:r w:rsidR="00671D42" w:rsidRPr="00D16E3A">
        <w:rPr>
          <w:rFonts w:eastAsia="Calibri"/>
          <w:lang w:val="fr-FR"/>
        </w:rPr>
        <w:t>P</w:t>
      </w:r>
      <w:r w:rsidR="00316185" w:rsidRPr="00D16E3A">
        <w:rPr>
          <w:rFonts w:eastAsia="Calibri"/>
          <w:lang w:val="fr-FR"/>
        </w:rPr>
        <w:t>rocureur de la république) sont en charge des enquêtes portant sur des cas de disparitions forcées commis par le personnel des forces armées y compris lorsqu’ils sont perpétrés contre d’autres militaires.</w:t>
      </w:r>
    </w:p>
    <w:p w:rsidR="00316185" w:rsidRPr="00D16E3A" w:rsidRDefault="00316185" w:rsidP="00316185">
      <w:pPr>
        <w:pStyle w:val="HChG"/>
        <w:rPr>
          <w:rFonts w:eastAsia="Calibri"/>
          <w:lang w:val="fr-FR"/>
        </w:rPr>
      </w:pPr>
      <w:r w:rsidRPr="00D16E3A">
        <w:rPr>
          <w:rFonts w:eastAsia="Calibri"/>
          <w:lang w:val="fr-FR"/>
        </w:rPr>
        <w:tab/>
        <w:t>IV.</w:t>
      </w:r>
      <w:r w:rsidRPr="00D16E3A">
        <w:rPr>
          <w:rFonts w:eastAsia="Calibri"/>
          <w:lang w:val="fr-FR"/>
        </w:rPr>
        <w:tab/>
        <w:t>Mesures de prévention des disparitions forcées (art. 16 à 23)</w:t>
      </w:r>
    </w:p>
    <w:p w:rsidR="00316185" w:rsidRPr="00D16E3A" w:rsidRDefault="00316185" w:rsidP="00316185">
      <w:pPr>
        <w:pStyle w:val="H23G"/>
        <w:rPr>
          <w:rFonts w:eastAsia="Calibri"/>
          <w:lang w:val="fr-FR"/>
        </w:rPr>
      </w:pPr>
      <w:r w:rsidRPr="00D16E3A">
        <w:rPr>
          <w:rFonts w:eastAsia="Calibri"/>
          <w:lang w:val="fr-FR"/>
        </w:rPr>
        <w:tab/>
      </w:r>
      <w:r w:rsidRPr="00D16E3A">
        <w:rPr>
          <w:rFonts w:eastAsia="Calibri"/>
          <w:lang w:val="fr-FR"/>
        </w:rPr>
        <w:tab/>
        <w:t>Réponse au paragraphe 16 de la liste de points</w:t>
      </w:r>
    </w:p>
    <w:p w:rsidR="00316185" w:rsidRPr="00D16E3A" w:rsidRDefault="00A12F17" w:rsidP="0003764A">
      <w:pPr>
        <w:pStyle w:val="SingleTxtG"/>
        <w:rPr>
          <w:rFonts w:eastAsia="Calibri"/>
          <w:lang w:val="fr-FR"/>
        </w:rPr>
      </w:pPr>
      <w:r w:rsidRPr="00D16E3A">
        <w:rPr>
          <w:rFonts w:eastAsia="Calibri"/>
          <w:lang w:val="fr-FR"/>
        </w:rPr>
        <w:t>16.</w:t>
      </w:r>
      <w:r w:rsidRPr="00D16E3A">
        <w:rPr>
          <w:rFonts w:eastAsia="Calibri"/>
          <w:lang w:val="fr-FR"/>
        </w:rPr>
        <w:tab/>
      </w:r>
      <w:r w:rsidR="00316185" w:rsidRPr="00D16E3A">
        <w:rPr>
          <w:rFonts w:eastAsia="Calibri"/>
          <w:lang w:val="fr-FR"/>
        </w:rPr>
        <w:t xml:space="preserve">Il n’existe pas de dispositions du droit interne qui interdisent de manière expresse la détention secrète ou non officielle. </w:t>
      </w:r>
    </w:p>
    <w:p w:rsidR="00316185" w:rsidRPr="00D16E3A" w:rsidRDefault="00A12F17" w:rsidP="0003764A">
      <w:pPr>
        <w:pStyle w:val="SingleTxtG"/>
        <w:rPr>
          <w:rFonts w:eastAsia="Calibri"/>
          <w:lang w:val="fr-FR"/>
        </w:rPr>
      </w:pPr>
      <w:r w:rsidRPr="00D16E3A">
        <w:rPr>
          <w:rFonts w:eastAsia="Calibri"/>
          <w:lang w:val="fr-FR"/>
        </w:rPr>
        <w:t>17.</w:t>
      </w:r>
      <w:r w:rsidRPr="00D16E3A">
        <w:rPr>
          <w:rFonts w:eastAsia="Calibri"/>
          <w:lang w:val="fr-FR"/>
        </w:rPr>
        <w:tab/>
      </w:r>
      <w:r w:rsidR="00316185" w:rsidRPr="00D16E3A">
        <w:rPr>
          <w:rFonts w:eastAsia="Calibri"/>
          <w:lang w:val="fr-FR"/>
        </w:rPr>
        <w:t xml:space="preserve">La loi, notamment le </w:t>
      </w:r>
      <w:r w:rsidR="002F3380" w:rsidRPr="00D16E3A">
        <w:rPr>
          <w:rFonts w:eastAsia="Calibri"/>
          <w:lang w:val="fr-FR"/>
        </w:rPr>
        <w:t>C</w:t>
      </w:r>
      <w:r w:rsidR="00316185" w:rsidRPr="00D16E3A">
        <w:rPr>
          <w:rFonts w:eastAsia="Calibri"/>
          <w:lang w:val="fr-FR"/>
        </w:rPr>
        <w:t>ode de procédure pénal</w:t>
      </w:r>
      <w:r w:rsidR="002F3380" w:rsidRPr="00D16E3A">
        <w:rPr>
          <w:rFonts w:eastAsia="Calibri"/>
          <w:lang w:val="fr-FR"/>
        </w:rPr>
        <w:t>,</w:t>
      </w:r>
      <w:r w:rsidR="00316185" w:rsidRPr="00D16E3A">
        <w:rPr>
          <w:rFonts w:eastAsia="Calibri"/>
          <w:lang w:val="fr-FR"/>
        </w:rPr>
        <w:t xml:space="preserve"> prescrit, entre autres, au </w:t>
      </w:r>
      <w:r w:rsidR="00671D42" w:rsidRPr="00D16E3A">
        <w:rPr>
          <w:rFonts w:eastAsia="Calibri"/>
          <w:lang w:val="fr-FR"/>
        </w:rPr>
        <w:t>P</w:t>
      </w:r>
      <w:r w:rsidR="00316185" w:rsidRPr="00D16E3A">
        <w:rPr>
          <w:rFonts w:eastAsia="Calibri"/>
          <w:lang w:val="fr-FR"/>
        </w:rPr>
        <w:t xml:space="preserve">rocureur de la République de visiter de façon inopinée tous les lieux de privation de liberté. </w:t>
      </w:r>
    </w:p>
    <w:p w:rsidR="00316185" w:rsidRPr="00D16E3A" w:rsidRDefault="00A12F17" w:rsidP="0003764A">
      <w:pPr>
        <w:pStyle w:val="SingleTxtG"/>
        <w:rPr>
          <w:rFonts w:eastAsia="Calibri"/>
          <w:lang w:val="fr-FR"/>
        </w:rPr>
      </w:pPr>
      <w:r w:rsidRPr="00D16E3A">
        <w:rPr>
          <w:rFonts w:eastAsia="Calibri"/>
          <w:lang w:val="fr-FR"/>
        </w:rPr>
        <w:t>18.</w:t>
      </w:r>
      <w:r w:rsidRPr="00D16E3A">
        <w:rPr>
          <w:rFonts w:eastAsia="Calibri"/>
          <w:lang w:val="fr-FR"/>
        </w:rPr>
        <w:tab/>
      </w:r>
      <w:r w:rsidR="00316185" w:rsidRPr="00D16E3A">
        <w:rPr>
          <w:rFonts w:eastAsia="Calibri"/>
          <w:lang w:val="fr-FR"/>
        </w:rPr>
        <w:t xml:space="preserve">La </w:t>
      </w:r>
      <w:r w:rsidR="00671D42" w:rsidRPr="00D16E3A">
        <w:rPr>
          <w:rFonts w:eastAsia="Calibri"/>
          <w:lang w:val="fr-FR"/>
        </w:rPr>
        <w:t>C</w:t>
      </w:r>
      <w:r w:rsidR="00316185" w:rsidRPr="00D16E3A">
        <w:rPr>
          <w:rFonts w:eastAsia="Calibri"/>
          <w:lang w:val="fr-FR"/>
        </w:rPr>
        <w:t>ommission nationale des droits de l’</w:t>
      </w:r>
      <w:r w:rsidR="00671D42" w:rsidRPr="00D16E3A">
        <w:rPr>
          <w:rFonts w:eastAsia="Calibri"/>
          <w:lang w:val="fr-FR"/>
        </w:rPr>
        <w:t>h</w:t>
      </w:r>
      <w:r w:rsidR="00316185" w:rsidRPr="00D16E3A">
        <w:rPr>
          <w:rFonts w:eastAsia="Calibri"/>
          <w:lang w:val="fr-FR"/>
        </w:rPr>
        <w:t>omme a pour mandat principal la visite des lieux de privation de liberté. Les organisations non gouvernementales par contre peuvent visiter les personnes privées de liberté et mener des activités avec elles mais les visites se déroulent dans des salles prévues à cet effet.</w:t>
      </w:r>
    </w:p>
    <w:p w:rsidR="00316185" w:rsidRPr="00D16E3A" w:rsidRDefault="00316185" w:rsidP="00316185">
      <w:pPr>
        <w:pStyle w:val="H23G"/>
        <w:rPr>
          <w:rFonts w:eastAsia="Calibri"/>
          <w:lang w:val="fr-FR"/>
        </w:rPr>
      </w:pPr>
      <w:r w:rsidRPr="00D16E3A">
        <w:rPr>
          <w:rFonts w:eastAsia="Calibri"/>
          <w:lang w:val="fr-FR"/>
        </w:rPr>
        <w:lastRenderedPageBreak/>
        <w:tab/>
      </w:r>
      <w:r w:rsidRPr="00D16E3A">
        <w:rPr>
          <w:rFonts w:eastAsia="Calibri"/>
          <w:lang w:val="fr-FR"/>
        </w:rPr>
        <w:tab/>
        <w:t>Réponse au paragraphe 17 de la liste de points</w:t>
      </w:r>
    </w:p>
    <w:p w:rsidR="00316185" w:rsidRPr="00D16E3A" w:rsidRDefault="00A12F17" w:rsidP="0003764A">
      <w:pPr>
        <w:pStyle w:val="SingleTxtG"/>
        <w:rPr>
          <w:rFonts w:eastAsia="Calibri"/>
          <w:lang w:val="fr-FR"/>
        </w:rPr>
      </w:pPr>
      <w:r w:rsidRPr="00D16E3A">
        <w:rPr>
          <w:rFonts w:eastAsia="Calibri"/>
          <w:lang w:val="fr-FR"/>
        </w:rPr>
        <w:t>19.</w:t>
      </w:r>
      <w:r w:rsidRPr="00D16E3A">
        <w:rPr>
          <w:rFonts w:eastAsia="Calibri"/>
          <w:lang w:val="fr-FR"/>
        </w:rPr>
        <w:tab/>
      </w:r>
      <w:r w:rsidR="00316185" w:rsidRPr="00D16E3A">
        <w:rPr>
          <w:rFonts w:eastAsia="Calibri"/>
          <w:lang w:val="fr-FR"/>
        </w:rPr>
        <w:t>Les dispositions des articles</w:t>
      </w:r>
      <w:r w:rsidR="00671D42" w:rsidRPr="00D16E3A">
        <w:rPr>
          <w:rFonts w:eastAsia="Calibri"/>
          <w:lang w:val="fr-FR"/>
        </w:rPr>
        <w:t> </w:t>
      </w:r>
      <w:r w:rsidR="00316185" w:rsidRPr="00D16E3A">
        <w:rPr>
          <w:rFonts w:eastAsia="Calibri"/>
          <w:lang w:val="fr-FR"/>
        </w:rPr>
        <w:t xml:space="preserve">50 et suivants relatives à la garde à vue, la loi qui fait obligation à l’officier de police judiciaire qui prend une mesure de garde à vue contre un mis en cause de permettre à ce dernier d’avoir accès à un avocat de son choix. La durée de la garde à vue est de </w:t>
      </w:r>
      <w:r w:rsidR="00671D42" w:rsidRPr="00D16E3A">
        <w:rPr>
          <w:rFonts w:eastAsia="Calibri"/>
          <w:lang w:val="fr-FR"/>
        </w:rPr>
        <w:t>quarante-huit</w:t>
      </w:r>
      <w:r w:rsidR="00316185" w:rsidRPr="00D16E3A">
        <w:rPr>
          <w:rFonts w:eastAsia="Calibri"/>
          <w:lang w:val="fr-FR"/>
        </w:rPr>
        <w:t xml:space="preserve"> heures avec une possibilité de la prolonger de façon expresse par le </w:t>
      </w:r>
      <w:r w:rsidR="00671D42" w:rsidRPr="00D16E3A">
        <w:rPr>
          <w:rFonts w:eastAsia="Calibri"/>
          <w:lang w:val="fr-FR"/>
        </w:rPr>
        <w:t>P</w:t>
      </w:r>
      <w:r w:rsidR="00316185" w:rsidRPr="00D16E3A">
        <w:rPr>
          <w:rFonts w:eastAsia="Calibri"/>
          <w:lang w:val="fr-FR"/>
        </w:rPr>
        <w:t xml:space="preserve">rocureur de la </w:t>
      </w:r>
      <w:r w:rsidR="002F3380" w:rsidRPr="00D16E3A">
        <w:rPr>
          <w:rFonts w:eastAsia="Calibri"/>
          <w:lang w:val="fr-FR"/>
        </w:rPr>
        <w:t>R</w:t>
      </w:r>
      <w:r w:rsidR="00316185" w:rsidRPr="00D16E3A">
        <w:rPr>
          <w:rFonts w:eastAsia="Calibri"/>
          <w:lang w:val="fr-FR"/>
        </w:rPr>
        <w:t>épublique. Toutefois, la durée de garde à vue est de</w:t>
      </w:r>
      <w:r w:rsidR="00671D42" w:rsidRPr="00D16E3A">
        <w:rPr>
          <w:rFonts w:eastAsia="Calibri"/>
          <w:lang w:val="fr-FR"/>
        </w:rPr>
        <w:t xml:space="preserve"> huit</w:t>
      </w:r>
      <w:r w:rsidR="00316185" w:rsidRPr="00D16E3A">
        <w:rPr>
          <w:rFonts w:eastAsia="Calibri"/>
          <w:lang w:val="fr-FR"/>
        </w:rPr>
        <w:t xml:space="preserve"> jours pour les localités géographiquement éloignées des juridictions. C’est dans ce dernier cas que l’officier de police judiciaire est autorisé à décerner un ordre d’écrou pour les nécessités d’enquête. Durant la période de garde à vue ou de privation de liberté, la loi édicte des mesures pour garantir les droits fondamentaux du mis en cause ou de la personne gardée à vue qui a droit à la visite d’un parent ou un proche, de se faire examiner par un médecin qui peut juger le prévenu apte à la garde à vue, d’informer un membre de sa famille de sa garde à vue, de communiquer avec son avocat pendant une heure maximum. </w:t>
      </w:r>
    </w:p>
    <w:p w:rsidR="00316185" w:rsidRPr="00D16E3A" w:rsidRDefault="00316185" w:rsidP="00316185">
      <w:pPr>
        <w:pStyle w:val="H23G"/>
        <w:rPr>
          <w:rFonts w:eastAsia="Calibri"/>
          <w:lang w:val="fr-FR"/>
        </w:rPr>
      </w:pPr>
      <w:r w:rsidRPr="00D16E3A">
        <w:rPr>
          <w:rFonts w:eastAsia="Calibri"/>
          <w:lang w:val="fr-FR"/>
        </w:rPr>
        <w:tab/>
      </w:r>
      <w:r w:rsidRPr="00D16E3A">
        <w:rPr>
          <w:rFonts w:eastAsia="Calibri"/>
          <w:lang w:val="fr-FR"/>
        </w:rPr>
        <w:tab/>
        <w:t>Réponse au paragraphe 18 de la liste de points</w:t>
      </w:r>
    </w:p>
    <w:p w:rsidR="00316185" w:rsidRPr="00D16E3A" w:rsidRDefault="00A12F17" w:rsidP="0003764A">
      <w:pPr>
        <w:pStyle w:val="SingleTxtG"/>
        <w:rPr>
          <w:rFonts w:eastAsia="Calibri"/>
          <w:lang w:val="fr-FR"/>
        </w:rPr>
      </w:pPr>
      <w:r w:rsidRPr="00D16E3A">
        <w:rPr>
          <w:rFonts w:eastAsia="Calibri"/>
          <w:lang w:val="fr-FR"/>
        </w:rPr>
        <w:t>20.</w:t>
      </w:r>
      <w:r w:rsidRPr="00D16E3A">
        <w:rPr>
          <w:rFonts w:eastAsia="Calibri"/>
          <w:lang w:val="fr-FR"/>
        </w:rPr>
        <w:tab/>
      </w:r>
      <w:r w:rsidR="00316185" w:rsidRPr="00D16E3A">
        <w:rPr>
          <w:rFonts w:eastAsia="Calibri"/>
          <w:lang w:val="fr-FR"/>
        </w:rPr>
        <w:t>Lors des troubles du 31</w:t>
      </w:r>
      <w:r w:rsidR="00671D42" w:rsidRPr="00D16E3A">
        <w:rPr>
          <w:rFonts w:eastAsia="Calibri"/>
          <w:lang w:val="fr-FR"/>
        </w:rPr>
        <w:t> </w:t>
      </w:r>
      <w:r w:rsidR="00316185" w:rsidRPr="00D16E3A">
        <w:rPr>
          <w:rFonts w:eastAsia="Calibri"/>
          <w:lang w:val="fr-FR"/>
        </w:rPr>
        <w:t>ao</w:t>
      </w:r>
      <w:r w:rsidR="00671D42" w:rsidRPr="00D16E3A">
        <w:rPr>
          <w:rFonts w:eastAsia="Calibri"/>
          <w:lang w:val="fr-FR"/>
        </w:rPr>
        <w:t>û</w:t>
      </w:r>
      <w:r w:rsidR="00316185" w:rsidRPr="00D16E3A">
        <w:rPr>
          <w:rFonts w:eastAsia="Calibri"/>
          <w:lang w:val="fr-FR"/>
        </w:rPr>
        <w:t xml:space="preserve">t 2016, aucune disparition ou plainte n’a été portée à la connaissance des autorités judiciaires ou de police de façon à prendre des mesures pour retrouver les personnes disparues après les émeutes qui ont suivi l’élection présidentielle. </w:t>
      </w:r>
    </w:p>
    <w:p w:rsidR="00316185" w:rsidRPr="00D16E3A" w:rsidRDefault="00A12F17" w:rsidP="0003764A">
      <w:pPr>
        <w:pStyle w:val="SingleTxtG"/>
        <w:rPr>
          <w:rFonts w:eastAsia="Calibri"/>
          <w:lang w:val="fr-FR"/>
        </w:rPr>
      </w:pPr>
      <w:r w:rsidRPr="00D16E3A">
        <w:rPr>
          <w:rFonts w:eastAsia="Calibri"/>
          <w:lang w:val="fr-FR"/>
        </w:rPr>
        <w:t>21.</w:t>
      </w:r>
      <w:r w:rsidRPr="00D16E3A">
        <w:rPr>
          <w:rFonts w:eastAsia="Calibri"/>
          <w:lang w:val="fr-FR"/>
        </w:rPr>
        <w:tab/>
      </w:r>
      <w:r w:rsidR="00316185" w:rsidRPr="00D16E3A">
        <w:rPr>
          <w:rFonts w:eastAsia="Calibri"/>
          <w:lang w:val="fr-FR"/>
        </w:rPr>
        <w:t>En revanche, s’agissant des arrestations, on peut indiquer que sur 800</w:t>
      </w:r>
      <w:r w:rsidR="00477252" w:rsidRPr="00D16E3A">
        <w:rPr>
          <w:rFonts w:eastAsia="Calibri"/>
          <w:lang w:val="fr-FR"/>
        </w:rPr>
        <w:t> </w:t>
      </w:r>
      <w:r w:rsidR="00316185" w:rsidRPr="00D16E3A">
        <w:rPr>
          <w:rFonts w:eastAsia="Calibri"/>
          <w:lang w:val="fr-FR"/>
        </w:rPr>
        <w:t>personnes arrêtées :</w:t>
      </w:r>
    </w:p>
    <w:p w:rsidR="00316185" w:rsidRPr="00D16E3A" w:rsidRDefault="00A12F17" w:rsidP="0003764A">
      <w:pPr>
        <w:pStyle w:val="Bullet1G"/>
        <w:numPr>
          <w:ilvl w:val="0"/>
          <w:numId w:val="0"/>
        </w:numPr>
        <w:tabs>
          <w:tab w:val="left" w:pos="1701"/>
        </w:tabs>
        <w:ind w:left="1701" w:hanging="170"/>
        <w:rPr>
          <w:rFonts w:eastAsia="Calibri"/>
          <w:lang w:val="fr-FR"/>
        </w:rPr>
      </w:pPr>
      <w:r w:rsidRPr="00D16E3A">
        <w:rPr>
          <w:rFonts w:eastAsia="Calibri"/>
          <w:lang w:val="fr-FR"/>
        </w:rPr>
        <w:t>•</w:t>
      </w:r>
      <w:r w:rsidRPr="00D16E3A">
        <w:rPr>
          <w:rFonts w:eastAsia="Calibri"/>
          <w:lang w:val="fr-FR"/>
        </w:rPr>
        <w:tab/>
      </w:r>
      <w:r w:rsidR="00316185" w:rsidRPr="00D16E3A">
        <w:rPr>
          <w:rFonts w:eastAsia="Calibri"/>
          <w:lang w:val="fr-FR"/>
        </w:rPr>
        <w:t>300</w:t>
      </w:r>
      <w:r w:rsidR="00477252" w:rsidRPr="00D16E3A">
        <w:rPr>
          <w:rFonts w:eastAsia="Calibri"/>
          <w:lang w:val="fr-FR"/>
        </w:rPr>
        <w:t> </w:t>
      </w:r>
      <w:r w:rsidR="00316185" w:rsidRPr="00D16E3A">
        <w:rPr>
          <w:rFonts w:eastAsia="Calibri"/>
          <w:lang w:val="fr-FR"/>
        </w:rPr>
        <w:t>personnes ont été libérées d’office car aucune charge ne pouvait être retenue contre eux ;</w:t>
      </w:r>
    </w:p>
    <w:p w:rsidR="00316185" w:rsidRPr="00D16E3A" w:rsidRDefault="00A12F17" w:rsidP="0003764A">
      <w:pPr>
        <w:pStyle w:val="Bullet1G"/>
        <w:numPr>
          <w:ilvl w:val="0"/>
          <w:numId w:val="0"/>
        </w:numPr>
        <w:tabs>
          <w:tab w:val="left" w:pos="1701"/>
        </w:tabs>
        <w:ind w:left="1701" w:hanging="170"/>
        <w:rPr>
          <w:rFonts w:eastAsia="Calibri"/>
          <w:lang w:val="fr-FR"/>
        </w:rPr>
      </w:pPr>
      <w:r w:rsidRPr="00D16E3A">
        <w:rPr>
          <w:rFonts w:eastAsia="Calibri"/>
          <w:lang w:val="fr-FR"/>
        </w:rPr>
        <w:t>•</w:t>
      </w:r>
      <w:r w:rsidRPr="00D16E3A">
        <w:rPr>
          <w:rFonts w:eastAsia="Calibri"/>
          <w:lang w:val="fr-FR"/>
        </w:rPr>
        <w:tab/>
      </w:r>
      <w:r w:rsidR="00316185" w:rsidRPr="00D16E3A">
        <w:rPr>
          <w:rFonts w:eastAsia="Calibri"/>
          <w:lang w:val="fr-FR"/>
        </w:rPr>
        <w:t>500</w:t>
      </w:r>
      <w:r w:rsidR="00477252" w:rsidRPr="00D16E3A">
        <w:rPr>
          <w:rFonts w:eastAsia="Calibri"/>
          <w:lang w:val="fr-FR"/>
        </w:rPr>
        <w:t xml:space="preserve"> </w:t>
      </w:r>
      <w:r w:rsidR="00316185" w:rsidRPr="00D16E3A">
        <w:rPr>
          <w:rFonts w:eastAsia="Calibri"/>
          <w:lang w:val="fr-FR"/>
        </w:rPr>
        <w:t xml:space="preserve">personnes ont été déférées au </w:t>
      </w:r>
      <w:r w:rsidR="00671D42" w:rsidRPr="00D16E3A">
        <w:rPr>
          <w:rFonts w:eastAsia="Calibri"/>
          <w:lang w:val="fr-FR"/>
        </w:rPr>
        <w:t>P</w:t>
      </w:r>
      <w:r w:rsidR="00316185" w:rsidRPr="00D16E3A">
        <w:rPr>
          <w:rFonts w:eastAsia="Calibri"/>
          <w:lang w:val="fr-FR"/>
        </w:rPr>
        <w:t xml:space="preserve">rocureur de la </w:t>
      </w:r>
      <w:r w:rsidR="00FD5AAB" w:rsidRPr="00D16E3A">
        <w:rPr>
          <w:rFonts w:eastAsia="Calibri"/>
          <w:lang w:val="fr-FR"/>
        </w:rPr>
        <w:t>R</w:t>
      </w:r>
      <w:r w:rsidR="00316185" w:rsidRPr="00D16E3A">
        <w:rPr>
          <w:rFonts w:eastAsia="Calibri"/>
          <w:lang w:val="fr-FR"/>
        </w:rPr>
        <w:t>épublique qui a aussitôt libéré 448</w:t>
      </w:r>
      <w:r w:rsidR="00477252" w:rsidRPr="00D16E3A">
        <w:rPr>
          <w:rFonts w:eastAsia="Calibri"/>
          <w:lang w:val="fr-FR"/>
        </w:rPr>
        <w:t> </w:t>
      </w:r>
      <w:r w:rsidR="00316185" w:rsidRPr="00D16E3A">
        <w:rPr>
          <w:rFonts w:eastAsia="Calibri"/>
          <w:lang w:val="fr-FR"/>
        </w:rPr>
        <w:t>personnes pour insuffisance de charge</w:t>
      </w:r>
      <w:r w:rsidR="00FD5AAB" w:rsidRPr="00D16E3A">
        <w:rPr>
          <w:rFonts w:eastAsia="Calibri"/>
          <w:lang w:val="fr-FR"/>
        </w:rPr>
        <w:t>s</w:t>
      </w:r>
      <w:r w:rsidR="00316185" w:rsidRPr="00D16E3A">
        <w:rPr>
          <w:rFonts w:eastAsia="Calibri"/>
          <w:lang w:val="fr-FR"/>
        </w:rPr>
        <w:t> ;</w:t>
      </w:r>
    </w:p>
    <w:p w:rsidR="00316185" w:rsidRPr="00D16E3A" w:rsidRDefault="00A12F17" w:rsidP="0003764A">
      <w:pPr>
        <w:pStyle w:val="Bullet1G"/>
        <w:numPr>
          <w:ilvl w:val="0"/>
          <w:numId w:val="0"/>
        </w:numPr>
        <w:tabs>
          <w:tab w:val="left" w:pos="1701"/>
        </w:tabs>
        <w:ind w:left="1701" w:hanging="170"/>
        <w:rPr>
          <w:rFonts w:eastAsia="Calibri"/>
          <w:lang w:val="fr-FR"/>
        </w:rPr>
      </w:pPr>
      <w:r w:rsidRPr="00D16E3A">
        <w:rPr>
          <w:rFonts w:eastAsia="Calibri"/>
          <w:lang w:val="fr-FR"/>
        </w:rPr>
        <w:t>•</w:t>
      </w:r>
      <w:r w:rsidRPr="00D16E3A">
        <w:rPr>
          <w:rFonts w:eastAsia="Calibri"/>
          <w:lang w:val="fr-FR"/>
        </w:rPr>
        <w:tab/>
      </w:r>
      <w:r w:rsidR="00316185" w:rsidRPr="00D16E3A">
        <w:rPr>
          <w:rFonts w:eastAsia="Calibri"/>
          <w:lang w:val="fr-FR"/>
        </w:rPr>
        <w:t>27</w:t>
      </w:r>
      <w:r w:rsidR="00477252" w:rsidRPr="00D16E3A">
        <w:rPr>
          <w:rFonts w:eastAsia="Calibri"/>
          <w:lang w:val="fr-FR"/>
        </w:rPr>
        <w:t> </w:t>
      </w:r>
      <w:r w:rsidR="00316185" w:rsidRPr="00D16E3A">
        <w:rPr>
          <w:rFonts w:eastAsia="Calibri"/>
          <w:lang w:val="fr-FR"/>
        </w:rPr>
        <w:t>personnes ont été envoyées devant le tribunal correctionnel selon la procédure de flagrant délit pour répondre des faits de pillage, destruction de biens publics ou privés, attroupement</w:t>
      </w:r>
      <w:r w:rsidR="00FD5AAB" w:rsidRPr="00D16E3A">
        <w:rPr>
          <w:rFonts w:eastAsia="Calibri"/>
          <w:lang w:val="fr-FR"/>
        </w:rPr>
        <w:t>s</w:t>
      </w:r>
      <w:r w:rsidR="00316185" w:rsidRPr="00D16E3A">
        <w:rPr>
          <w:rFonts w:eastAsia="Calibri"/>
          <w:lang w:val="fr-FR"/>
        </w:rPr>
        <w:t xml:space="preserve"> armés ou non armés prévus par les articles</w:t>
      </w:r>
      <w:r w:rsidR="00477252" w:rsidRPr="00D16E3A">
        <w:rPr>
          <w:rFonts w:eastAsia="Calibri"/>
          <w:lang w:val="fr-FR"/>
        </w:rPr>
        <w:t xml:space="preserve"> </w:t>
      </w:r>
      <w:r w:rsidR="00316185" w:rsidRPr="00D16E3A">
        <w:rPr>
          <w:rFonts w:eastAsia="Calibri"/>
          <w:lang w:val="fr-FR"/>
        </w:rPr>
        <w:t>79 et suivants, et 333</w:t>
      </w:r>
      <w:r w:rsidR="00477252" w:rsidRPr="00D16E3A">
        <w:rPr>
          <w:rFonts w:eastAsia="Calibri"/>
          <w:lang w:val="fr-FR"/>
        </w:rPr>
        <w:t> </w:t>
      </w:r>
      <w:r w:rsidR="00316185" w:rsidRPr="00D16E3A">
        <w:rPr>
          <w:rFonts w:eastAsia="Calibri"/>
          <w:lang w:val="fr-FR"/>
        </w:rPr>
        <w:t xml:space="preserve">du </w:t>
      </w:r>
      <w:r w:rsidR="00477252" w:rsidRPr="00D16E3A">
        <w:rPr>
          <w:rFonts w:eastAsia="Calibri"/>
          <w:lang w:val="fr-FR"/>
        </w:rPr>
        <w:t>C</w:t>
      </w:r>
      <w:r w:rsidR="00316185" w:rsidRPr="00D16E3A">
        <w:rPr>
          <w:rFonts w:eastAsia="Calibri"/>
          <w:lang w:val="fr-FR"/>
        </w:rPr>
        <w:t>ode pénal. Dans le cadre de cette procédure, 18</w:t>
      </w:r>
      <w:r w:rsidR="00477252" w:rsidRPr="00D16E3A">
        <w:rPr>
          <w:rFonts w:eastAsia="Calibri"/>
          <w:lang w:val="fr-FR"/>
        </w:rPr>
        <w:t> </w:t>
      </w:r>
      <w:r w:rsidR="00316185" w:rsidRPr="00D16E3A">
        <w:rPr>
          <w:rFonts w:eastAsia="Calibri"/>
          <w:lang w:val="fr-FR"/>
        </w:rPr>
        <w:t>personnes ont été condamnées à des peines d’emprisonnement allant de deux</w:t>
      </w:r>
      <w:r w:rsidR="00477252" w:rsidRPr="00D16E3A">
        <w:rPr>
          <w:rFonts w:eastAsia="Calibri"/>
          <w:lang w:val="fr-FR"/>
        </w:rPr>
        <w:t xml:space="preserve"> </w:t>
      </w:r>
      <w:r w:rsidR="00316185" w:rsidRPr="00D16E3A">
        <w:rPr>
          <w:rFonts w:eastAsia="Calibri"/>
          <w:lang w:val="fr-FR"/>
        </w:rPr>
        <w:t>(2) à six</w:t>
      </w:r>
      <w:r w:rsidR="00477252" w:rsidRPr="00D16E3A">
        <w:rPr>
          <w:rFonts w:eastAsia="Calibri"/>
          <w:lang w:val="fr-FR"/>
        </w:rPr>
        <w:t xml:space="preserve"> </w:t>
      </w:r>
      <w:r w:rsidR="00316185" w:rsidRPr="00D16E3A">
        <w:rPr>
          <w:rFonts w:eastAsia="Calibri"/>
          <w:lang w:val="fr-FR"/>
        </w:rPr>
        <w:t>(6) mois et neuf personnes ont été relaxées.</w:t>
      </w:r>
    </w:p>
    <w:p w:rsidR="00316185" w:rsidRPr="00D16E3A" w:rsidRDefault="00A12F17" w:rsidP="0003764A">
      <w:pPr>
        <w:pStyle w:val="SingleTxtG"/>
        <w:rPr>
          <w:rFonts w:eastAsia="Calibri"/>
          <w:lang w:val="fr-FR"/>
        </w:rPr>
      </w:pPr>
      <w:r w:rsidRPr="00D16E3A">
        <w:rPr>
          <w:rFonts w:eastAsia="Calibri"/>
          <w:lang w:val="fr-FR"/>
        </w:rPr>
        <w:t>22.</w:t>
      </w:r>
      <w:r w:rsidRPr="00D16E3A">
        <w:rPr>
          <w:rFonts w:eastAsia="Calibri"/>
          <w:lang w:val="fr-FR"/>
        </w:rPr>
        <w:tab/>
      </w:r>
      <w:r w:rsidR="00477252" w:rsidRPr="00D16E3A">
        <w:rPr>
          <w:rFonts w:eastAsia="Calibri"/>
          <w:lang w:val="fr-FR"/>
        </w:rPr>
        <w:t>À</w:t>
      </w:r>
      <w:r w:rsidR="00316185" w:rsidRPr="00D16E3A">
        <w:rPr>
          <w:rFonts w:eastAsia="Calibri"/>
          <w:lang w:val="fr-FR"/>
        </w:rPr>
        <w:t xml:space="preserve"> ce jour, les personnes condamnées ont été libérées à l’expiration de leurs peines.</w:t>
      </w:r>
    </w:p>
    <w:p w:rsidR="00316185" w:rsidRPr="00D16E3A" w:rsidRDefault="00A12F17" w:rsidP="0003764A">
      <w:pPr>
        <w:pStyle w:val="Bullet1G"/>
        <w:numPr>
          <w:ilvl w:val="0"/>
          <w:numId w:val="0"/>
        </w:numPr>
        <w:tabs>
          <w:tab w:val="left" w:pos="1701"/>
        </w:tabs>
        <w:ind w:left="1701" w:hanging="170"/>
        <w:rPr>
          <w:rFonts w:eastAsia="Calibri"/>
          <w:lang w:val="fr-FR"/>
        </w:rPr>
      </w:pPr>
      <w:r w:rsidRPr="00D16E3A">
        <w:rPr>
          <w:rFonts w:eastAsia="Calibri"/>
          <w:lang w:val="fr-FR"/>
        </w:rPr>
        <w:t>•</w:t>
      </w:r>
      <w:r w:rsidRPr="00D16E3A">
        <w:rPr>
          <w:rFonts w:eastAsia="Calibri"/>
          <w:lang w:val="fr-FR"/>
        </w:rPr>
        <w:tab/>
      </w:r>
      <w:r w:rsidR="00316185" w:rsidRPr="00D16E3A">
        <w:rPr>
          <w:rFonts w:eastAsia="Calibri"/>
          <w:lang w:val="fr-FR"/>
        </w:rPr>
        <w:t>25</w:t>
      </w:r>
      <w:r w:rsidR="00DB5D8E" w:rsidRPr="00D16E3A">
        <w:rPr>
          <w:rFonts w:eastAsia="Calibri"/>
          <w:lang w:val="fr-FR"/>
        </w:rPr>
        <w:t> </w:t>
      </w:r>
      <w:r w:rsidR="00316185" w:rsidRPr="00D16E3A">
        <w:rPr>
          <w:rFonts w:eastAsia="Calibri"/>
          <w:lang w:val="fr-FR"/>
        </w:rPr>
        <w:t>personnes ont été présentée à un juge d’instruction à travers l’ouverture d’une information judiciaire pour les faits d’incendies volontaires, association de malfaiteurs, pillages et destructions de biens, instigations aux actes et aux manœuvre de nature à compromettre la sécurité publique, à provoquer des troubles ou manifestations contre l’autorité de l’</w:t>
      </w:r>
      <w:r w:rsidR="00CA3CD8" w:rsidRPr="00D16E3A">
        <w:rPr>
          <w:rFonts w:eastAsia="Calibri"/>
          <w:lang w:val="fr-FR"/>
        </w:rPr>
        <w:t>É</w:t>
      </w:r>
      <w:r w:rsidR="00316185" w:rsidRPr="00D16E3A">
        <w:rPr>
          <w:rFonts w:eastAsia="Calibri"/>
          <w:lang w:val="fr-FR"/>
        </w:rPr>
        <w:t>tat, instigations aux violences et voies de faits prévus et réprimés par les articles</w:t>
      </w:r>
      <w:r w:rsidR="00CA3CD8" w:rsidRPr="00D16E3A">
        <w:rPr>
          <w:rFonts w:eastAsia="Calibri"/>
          <w:lang w:val="fr-FR"/>
        </w:rPr>
        <w:t> </w:t>
      </w:r>
      <w:r w:rsidR="00316185" w:rsidRPr="00D16E3A">
        <w:rPr>
          <w:rFonts w:eastAsia="Calibri"/>
          <w:lang w:val="fr-FR"/>
        </w:rPr>
        <w:t>193, 48,</w:t>
      </w:r>
      <w:r w:rsidR="00FD5AAB" w:rsidRPr="00D16E3A">
        <w:rPr>
          <w:rFonts w:eastAsia="Calibri"/>
          <w:lang w:val="fr-FR"/>
        </w:rPr>
        <w:t xml:space="preserve"> </w:t>
      </w:r>
      <w:r w:rsidR="00316185" w:rsidRPr="00D16E3A">
        <w:rPr>
          <w:rFonts w:eastAsia="Calibri"/>
          <w:lang w:val="fr-FR"/>
        </w:rPr>
        <w:t xml:space="preserve">74 et 230 du </w:t>
      </w:r>
      <w:r w:rsidR="00CA3CD8" w:rsidRPr="00D16E3A">
        <w:rPr>
          <w:rFonts w:eastAsia="Calibri"/>
          <w:lang w:val="fr-FR"/>
        </w:rPr>
        <w:t>C</w:t>
      </w:r>
      <w:r w:rsidR="00316185" w:rsidRPr="00D16E3A">
        <w:rPr>
          <w:rFonts w:eastAsia="Calibri"/>
          <w:lang w:val="fr-FR"/>
        </w:rPr>
        <w:t>ode pénal.</w:t>
      </w:r>
    </w:p>
    <w:p w:rsidR="00316185" w:rsidRPr="00D16E3A" w:rsidRDefault="00A12F17" w:rsidP="0003764A">
      <w:pPr>
        <w:pStyle w:val="SingleTxtG"/>
        <w:rPr>
          <w:rFonts w:eastAsia="Calibri"/>
          <w:lang w:val="fr-FR"/>
        </w:rPr>
      </w:pPr>
      <w:r w:rsidRPr="00D16E3A">
        <w:rPr>
          <w:rFonts w:eastAsia="Calibri"/>
          <w:lang w:val="fr-FR"/>
        </w:rPr>
        <w:t>23.</w:t>
      </w:r>
      <w:r w:rsidRPr="00D16E3A">
        <w:rPr>
          <w:rFonts w:eastAsia="Calibri"/>
          <w:lang w:val="fr-FR"/>
        </w:rPr>
        <w:tab/>
      </w:r>
      <w:r w:rsidR="00CA3CD8" w:rsidRPr="00D16E3A">
        <w:rPr>
          <w:rFonts w:eastAsia="Calibri"/>
          <w:lang w:val="fr-FR"/>
        </w:rPr>
        <w:t>À</w:t>
      </w:r>
      <w:r w:rsidR="00316185" w:rsidRPr="00D16E3A">
        <w:rPr>
          <w:rFonts w:eastAsia="Calibri"/>
          <w:lang w:val="fr-FR"/>
        </w:rPr>
        <w:t xml:space="preserve"> ce jour, seuls trois (3) des inculpés sont en détention dans le cadre de l’instruction qui suit son cours dans le respect des délais de la détention préventive prévue par l’article</w:t>
      </w:r>
      <w:r w:rsidR="00DB5D8E" w:rsidRPr="00D16E3A">
        <w:rPr>
          <w:rFonts w:eastAsia="Calibri"/>
          <w:lang w:val="fr-FR"/>
        </w:rPr>
        <w:t> </w:t>
      </w:r>
      <w:r w:rsidR="00316185" w:rsidRPr="00D16E3A">
        <w:rPr>
          <w:rFonts w:eastAsia="Calibri"/>
          <w:lang w:val="fr-FR"/>
        </w:rPr>
        <w:t xml:space="preserve">177-2 du </w:t>
      </w:r>
      <w:r w:rsidR="00DB5D8E" w:rsidRPr="00D16E3A">
        <w:rPr>
          <w:rFonts w:eastAsia="Calibri"/>
          <w:lang w:val="fr-FR"/>
        </w:rPr>
        <w:t>C</w:t>
      </w:r>
      <w:r w:rsidR="00316185" w:rsidRPr="00D16E3A">
        <w:rPr>
          <w:rFonts w:eastAsia="Calibri"/>
          <w:lang w:val="fr-FR"/>
        </w:rPr>
        <w:t>ode de procédure pénale.</w:t>
      </w:r>
    </w:p>
    <w:p w:rsidR="00316185" w:rsidRPr="00D16E3A" w:rsidRDefault="00A12F17" w:rsidP="0003764A">
      <w:pPr>
        <w:pStyle w:val="SingleTxtG"/>
        <w:rPr>
          <w:rFonts w:eastAsia="Calibri"/>
          <w:lang w:val="fr-FR"/>
        </w:rPr>
      </w:pPr>
      <w:r w:rsidRPr="00D16E3A">
        <w:rPr>
          <w:rFonts w:eastAsia="Calibri"/>
          <w:lang w:val="fr-FR"/>
        </w:rPr>
        <w:t>24.</w:t>
      </w:r>
      <w:r w:rsidRPr="00D16E3A">
        <w:rPr>
          <w:rFonts w:eastAsia="Calibri"/>
          <w:lang w:val="fr-FR"/>
        </w:rPr>
        <w:tab/>
      </w:r>
      <w:r w:rsidR="00316185" w:rsidRPr="00D16E3A">
        <w:rPr>
          <w:rFonts w:eastAsia="Calibri"/>
          <w:lang w:val="fr-FR"/>
        </w:rPr>
        <w:t>Lors des audiences, les personnes poursuivies étaient assistées d’avocats, dont certains ont été commis d’office, aussi bien dans le cadre de la procédure de flagrant délit que dans les autres procédures.</w:t>
      </w:r>
    </w:p>
    <w:p w:rsidR="00316185" w:rsidRPr="00D16E3A" w:rsidRDefault="00316185" w:rsidP="00316185">
      <w:pPr>
        <w:pStyle w:val="H23G"/>
        <w:rPr>
          <w:rFonts w:eastAsia="Calibri"/>
          <w:lang w:val="fr-FR"/>
        </w:rPr>
      </w:pPr>
      <w:r w:rsidRPr="00D16E3A">
        <w:rPr>
          <w:rFonts w:eastAsia="Calibri"/>
          <w:lang w:val="fr-FR"/>
        </w:rPr>
        <w:tab/>
      </w:r>
      <w:r w:rsidRPr="00D16E3A">
        <w:rPr>
          <w:rFonts w:eastAsia="Calibri"/>
          <w:lang w:val="fr-FR"/>
        </w:rPr>
        <w:tab/>
        <w:t>Réponse au paragraphe 19 de la liste de points</w:t>
      </w:r>
    </w:p>
    <w:p w:rsidR="00446FE5" w:rsidRDefault="00DB5D8E" w:rsidP="008C07B1">
      <w:pPr>
        <w:pStyle w:val="SingleTxtG"/>
        <w:rPr>
          <w:lang w:val="fr-FR"/>
        </w:rPr>
      </w:pPr>
      <w:r w:rsidRPr="00D16E3A">
        <w:rPr>
          <w:lang w:val="fr-FR"/>
        </w:rPr>
        <w:t>25.</w:t>
      </w:r>
      <w:r w:rsidRPr="00D16E3A">
        <w:rPr>
          <w:lang w:val="fr-FR"/>
        </w:rPr>
        <w:tab/>
      </w:r>
      <w:r w:rsidR="00316185" w:rsidRPr="00D16E3A">
        <w:rPr>
          <w:lang w:val="fr-FR"/>
        </w:rPr>
        <w:t>Le personnel militaire ou civil chargé de l’application des lois reçoit une formation en droit</w:t>
      </w:r>
      <w:r w:rsidR="00545752" w:rsidRPr="00D16E3A">
        <w:rPr>
          <w:lang w:val="fr-FR"/>
        </w:rPr>
        <w:t>s</w:t>
      </w:r>
      <w:r w:rsidR="00316185" w:rsidRPr="00D16E3A">
        <w:rPr>
          <w:lang w:val="fr-FR"/>
        </w:rPr>
        <w:t xml:space="preserve"> de l’homme. Nous prenons acte des dispositions de l’</w:t>
      </w:r>
      <w:r w:rsidR="00D16E3A">
        <w:rPr>
          <w:lang w:val="fr-FR"/>
        </w:rPr>
        <w:t>article </w:t>
      </w:r>
      <w:r w:rsidR="00316185" w:rsidRPr="00D16E3A">
        <w:rPr>
          <w:lang w:val="fr-FR"/>
        </w:rPr>
        <w:t>23 de la Convention et après l’incrimination du crime de disparition forcée, l’État envisage à ce que la formation soit prise en compte.</w:t>
      </w:r>
    </w:p>
    <w:p w:rsidR="00F21265" w:rsidRPr="0003764A" w:rsidRDefault="00F21265" w:rsidP="0003764A">
      <w:pPr>
        <w:pStyle w:val="SingleTxtG"/>
        <w:spacing w:before="240" w:after="0"/>
        <w:jc w:val="center"/>
        <w:rPr>
          <w:u w:val="single"/>
        </w:rPr>
      </w:pPr>
      <w:r>
        <w:rPr>
          <w:u w:val="single"/>
        </w:rPr>
        <w:tab/>
      </w:r>
      <w:r>
        <w:rPr>
          <w:u w:val="single"/>
        </w:rPr>
        <w:tab/>
      </w:r>
      <w:r>
        <w:rPr>
          <w:u w:val="single"/>
        </w:rPr>
        <w:tab/>
      </w:r>
      <w:bookmarkStart w:id="0" w:name="_GoBack"/>
      <w:bookmarkEnd w:id="0"/>
    </w:p>
    <w:sectPr w:rsidR="00F21265" w:rsidRPr="0003764A" w:rsidSect="00A259A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55B" w:rsidRDefault="0062355B" w:rsidP="00F95C08">
      <w:pPr>
        <w:spacing w:line="240" w:lineRule="auto"/>
      </w:pPr>
    </w:p>
  </w:endnote>
  <w:endnote w:type="continuationSeparator" w:id="0">
    <w:p w:rsidR="0062355B" w:rsidRPr="00AC3823" w:rsidRDefault="0062355B" w:rsidP="00AC3823">
      <w:pPr>
        <w:pStyle w:val="Pieddepage"/>
      </w:pPr>
    </w:p>
  </w:endnote>
  <w:endnote w:type="continuationNotice" w:id="1">
    <w:p w:rsidR="0062355B" w:rsidRDefault="0062355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9AF" w:rsidRPr="00A259AF" w:rsidRDefault="00A259AF" w:rsidP="00A259AF">
    <w:pPr>
      <w:pStyle w:val="Pieddepage"/>
      <w:tabs>
        <w:tab w:val="right" w:pos="9638"/>
      </w:tabs>
    </w:pPr>
    <w:r w:rsidRPr="00A259AF">
      <w:rPr>
        <w:b/>
        <w:sz w:val="18"/>
      </w:rPr>
      <w:fldChar w:fldCharType="begin"/>
    </w:r>
    <w:r w:rsidRPr="00A259AF">
      <w:rPr>
        <w:b/>
        <w:sz w:val="18"/>
      </w:rPr>
      <w:instrText xml:space="preserve"> PAGE  \* MERGEFORMAT </w:instrText>
    </w:r>
    <w:r w:rsidRPr="00A259AF">
      <w:rPr>
        <w:b/>
        <w:sz w:val="18"/>
      </w:rPr>
      <w:fldChar w:fldCharType="separate"/>
    </w:r>
    <w:r w:rsidR="00C97743">
      <w:rPr>
        <w:b/>
        <w:noProof/>
        <w:sz w:val="18"/>
      </w:rPr>
      <w:t>4</w:t>
    </w:r>
    <w:r w:rsidRPr="00A259AF">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9AF" w:rsidRPr="00A259AF" w:rsidRDefault="00A259AF" w:rsidP="00A259AF">
    <w:pPr>
      <w:pStyle w:val="Pieddepage"/>
      <w:tabs>
        <w:tab w:val="right" w:pos="9638"/>
      </w:tabs>
      <w:rPr>
        <w:b/>
        <w:sz w:val="18"/>
      </w:rPr>
    </w:pPr>
    <w:r>
      <w:tab/>
    </w:r>
    <w:r w:rsidRPr="00A259AF">
      <w:rPr>
        <w:b/>
        <w:sz w:val="18"/>
      </w:rPr>
      <w:fldChar w:fldCharType="begin"/>
    </w:r>
    <w:r w:rsidRPr="00A259AF">
      <w:rPr>
        <w:b/>
        <w:sz w:val="18"/>
      </w:rPr>
      <w:instrText xml:space="preserve"> PAGE  \* MERGEFORMAT </w:instrText>
    </w:r>
    <w:r w:rsidRPr="00A259AF">
      <w:rPr>
        <w:b/>
        <w:sz w:val="18"/>
      </w:rPr>
      <w:fldChar w:fldCharType="separate"/>
    </w:r>
    <w:r w:rsidR="00C97743">
      <w:rPr>
        <w:b/>
        <w:noProof/>
        <w:sz w:val="18"/>
      </w:rPr>
      <w:t>3</w:t>
    </w:r>
    <w:r w:rsidRPr="00A259A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185" w:rsidRPr="004F6D62" w:rsidRDefault="004F6D62" w:rsidP="00A259AF">
    <w:pPr>
      <w:pStyle w:val="Pieddepage"/>
      <w:spacing w:before="120"/>
      <w:rPr>
        <w:rFonts w:ascii="C39T30Lfz" w:hAnsi="C39T30Lfz"/>
        <w:sz w:val="56"/>
      </w:rPr>
    </w:pPr>
    <w:r>
      <w:rPr>
        <w:noProof/>
        <w:lang w:eastAsia="fr-CH"/>
      </w:rPr>
      <w:drawing>
        <wp:anchor distT="0" distB="0" distL="114300" distR="114300" simplePos="0" relativeHeight="251657728" behindDoc="0" locked="0" layoutInCell="1" allowOverlap="0" wp14:anchorId="7BC47A50" wp14:editId="3B954A05">
          <wp:simplePos x="0" y="0"/>
          <wp:positionH relativeFrom="margin">
            <wp:posOffset>4319905</wp:posOffset>
          </wp:positionH>
          <wp:positionV relativeFrom="margin">
            <wp:posOffset>9156424</wp:posOffset>
          </wp:positionV>
          <wp:extent cx="1104900" cy="23368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33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fr-CH"/>
      </w:rPr>
      <w:drawing>
        <wp:anchor distT="0" distB="0" distL="114300" distR="114300" simplePos="0" relativeHeight="251660800" behindDoc="0" locked="0" layoutInCell="1" allowOverlap="1">
          <wp:simplePos x="0" y="0"/>
          <wp:positionH relativeFrom="column">
            <wp:posOffset>5473148</wp:posOffset>
          </wp:positionH>
          <wp:positionV relativeFrom="paragraph">
            <wp:posOffset>6627</wp:posOffset>
          </wp:positionV>
          <wp:extent cx="638175" cy="638175"/>
          <wp:effectExtent l="0" t="0" r="9525" b="9525"/>
          <wp:wrapNone/>
          <wp:docPr id="3" name="Image 1" descr="https://undocs.org/m2/QRCode.ashx?DS=CED/C/GAB/Q/1/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GAB/Q/1/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GE.17-</w:t>
    </w:r>
    <w:r>
      <w:rPr>
        <w:sz w:val="20"/>
      </w:rPr>
      <w:t>1</w:t>
    </w:r>
    <w:r>
      <w:rPr>
        <w:sz w:val="20"/>
      </w:rPr>
      <w:t>3</w:t>
    </w:r>
    <w:r>
      <w:rPr>
        <w:sz w:val="20"/>
      </w:rPr>
      <w:t>501</w:t>
    </w:r>
    <w:r>
      <w:rPr>
        <w:sz w:val="20"/>
      </w:rPr>
      <w:t xml:space="preserve">  (F)</w:t>
    </w:r>
    <w:r>
      <w:rPr>
        <w:sz w:val="20"/>
      </w:rPr>
      <w:br/>
    </w:r>
    <w:r w:rsidRPr="004F6D62">
      <w:rPr>
        <w:rFonts w:ascii="C39T30Lfz" w:hAnsi="C39T30Lfz"/>
        <w:sz w:val="56"/>
      </w:rPr>
      <w:t></w:t>
    </w:r>
    <w:r w:rsidRPr="004F6D62">
      <w:rPr>
        <w:rFonts w:ascii="C39T30Lfz" w:hAnsi="C39T30Lfz"/>
        <w:sz w:val="56"/>
      </w:rPr>
      <w:t></w:t>
    </w:r>
    <w:r w:rsidRPr="004F6D62">
      <w:rPr>
        <w:rFonts w:ascii="C39T30Lfz" w:hAnsi="C39T30Lfz"/>
        <w:sz w:val="56"/>
      </w:rPr>
      <w:t></w:t>
    </w:r>
    <w:r w:rsidRPr="004F6D62">
      <w:rPr>
        <w:rFonts w:ascii="C39T30Lfz" w:hAnsi="C39T30Lfz"/>
        <w:sz w:val="56"/>
      </w:rPr>
      <w:t></w:t>
    </w:r>
    <w:r w:rsidRPr="004F6D62">
      <w:rPr>
        <w:rFonts w:ascii="C39T30Lfz" w:hAnsi="C39T30Lfz"/>
        <w:sz w:val="56"/>
      </w:rPr>
      <w:t></w:t>
    </w:r>
    <w:r w:rsidRPr="004F6D62">
      <w:rPr>
        <w:rFonts w:ascii="C39T30Lfz" w:hAnsi="C39T30Lfz"/>
        <w:sz w:val="56"/>
      </w:rPr>
      <w:t></w:t>
    </w:r>
    <w:r w:rsidRPr="004F6D62">
      <w:rPr>
        <w:rFonts w:ascii="C39T30Lfz" w:hAnsi="C39T30Lfz"/>
        <w:sz w:val="56"/>
      </w:rPr>
      <w:t></w:t>
    </w:r>
    <w:r w:rsidRPr="004F6D62">
      <w:rPr>
        <w:rFonts w:ascii="C39T30Lfz" w:hAnsi="C39T30Lfz"/>
        <w:sz w:val="56"/>
      </w:rPr>
      <w:t></w:t>
    </w:r>
    <w:r w:rsidRPr="004F6D62">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55B" w:rsidRPr="00AC3823" w:rsidRDefault="0062355B" w:rsidP="00AC3823">
      <w:pPr>
        <w:pStyle w:val="Pieddepage"/>
        <w:tabs>
          <w:tab w:val="right" w:pos="2155"/>
        </w:tabs>
        <w:spacing w:after="80" w:line="240" w:lineRule="atLeast"/>
        <w:ind w:left="680"/>
        <w:rPr>
          <w:u w:val="single"/>
        </w:rPr>
      </w:pPr>
      <w:r>
        <w:rPr>
          <w:u w:val="single"/>
        </w:rPr>
        <w:tab/>
      </w:r>
    </w:p>
  </w:footnote>
  <w:footnote w:type="continuationSeparator" w:id="0">
    <w:p w:rsidR="0062355B" w:rsidRPr="00AC3823" w:rsidRDefault="0062355B" w:rsidP="00AC3823">
      <w:pPr>
        <w:pStyle w:val="Pieddepage"/>
        <w:tabs>
          <w:tab w:val="right" w:pos="2155"/>
        </w:tabs>
        <w:spacing w:after="80" w:line="240" w:lineRule="atLeast"/>
        <w:ind w:left="680"/>
        <w:rPr>
          <w:u w:val="single"/>
        </w:rPr>
      </w:pPr>
      <w:r>
        <w:rPr>
          <w:u w:val="single"/>
        </w:rPr>
        <w:tab/>
      </w:r>
    </w:p>
  </w:footnote>
  <w:footnote w:type="continuationNotice" w:id="1">
    <w:p w:rsidR="0062355B" w:rsidRPr="00AC3823" w:rsidRDefault="0062355B">
      <w:pPr>
        <w:spacing w:line="240" w:lineRule="auto"/>
        <w:rPr>
          <w:sz w:val="2"/>
          <w:szCs w:val="2"/>
        </w:rPr>
      </w:pPr>
    </w:p>
  </w:footnote>
  <w:footnote w:id="2">
    <w:p w:rsidR="00316185" w:rsidRPr="00174F9B" w:rsidRDefault="00316185" w:rsidP="00316185">
      <w:pPr>
        <w:pStyle w:val="Notedebasdepage"/>
        <w:rPr>
          <w:lang w:val="fr-FR"/>
        </w:rPr>
      </w:pPr>
      <w:r>
        <w:tab/>
      </w:r>
      <w:r w:rsidRPr="0003764A">
        <w:rPr>
          <w:rStyle w:val="Appelnotedebasdep"/>
          <w:sz w:val="20"/>
          <w:vertAlign w:val="baseline"/>
          <w:lang w:val="fr-FR"/>
        </w:rPr>
        <w:t>*</w:t>
      </w:r>
      <w:r w:rsidRPr="00174F9B">
        <w:rPr>
          <w:sz w:val="20"/>
          <w:lang w:val="fr-FR"/>
        </w:rPr>
        <w:tab/>
      </w:r>
      <w:r w:rsidRPr="00A91E42">
        <w:rPr>
          <w:lang w:val="fr-FR"/>
        </w:rPr>
        <w:t xml:space="preserve">Le présent document n’a pas </w:t>
      </w:r>
      <w:r>
        <w:rPr>
          <w:lang w:val="fr-FR"/>
        </w:rPr>
        <w:t>été revu</w:t>
      </w:r>
      <w:r w:rsidRPr="00A91E42">
        <w:rPr>
          <w:lang w:val="fr-FR"/>
        </w:rPr>
        <w:t xml:space="preserve"> par les services d’édition</w:t>
      </w:r>
      <w:r w:rsidRPr="00174F9B">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9AF" w:rsidRPr="00A259AF" w:rsidRDefault="00C97743">
    <w:pPr>
      <w:pStyle w:val="En-tte"/>
    </w:pPr>
    <w:r>
      <w:fldChar w:fldCharType="begin"/>
    </w:r>
    <w:r>
      <w:instrText xml:space="preserve"> TITLE  \* MERGEFORMAT </w:instrText>
    </w:r>
    <w:r>
      <w:fldChar w:fldCharType="separate"/>
    </w:r>
    <w:r>
      <w:t>CED/C/GAB/Q/1/Add.1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9AF" w:rsidRPr="00A259AF" w:rsidRDefault="00C97743" w:rsidP="00A259AF">
    <w:pPr>
      <w:pStyle w:val="En-tte"/>
      <w:jc w:val="right"/>
    </w:pPr>
    <w:r>
      <w:fldChar w:fldCharType="begin"/>
    </w:r>
    <w:r>
      <w:instrText xml:space="preserve"> TITLE  \* MERGEFORMAT </w:instrText>
    </w:r>
    <w:r>
      <w:fldChar w:fldCharType="separate"/>
    </w:r>
    <w:r>
      <w:t>CED/C/GAB/Q/1/Add.1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FAA671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E991CE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ACF4EB2"/>
    <w:multiLevelType w:val="hybridMultilevel"/>
    <w:tmpl w:val="4DCACB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39327D6"/>
    <w:multiLevelType w:val="hybridMultilevel"/>
    <w:tmpl w:val="B0AC569A"/>
    <w:lvl w:ilvl="0" w:tplc="AFF24CFC">
      <w:start w:val="1"/>
      <w:numFmt w:val="decimal"/>
      <w:lvlText w:val="%1."/>
      <w:lvlJc w:val="left"/>
      <w:pPr>
        <w:ind w:left="1495"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68AD07B2"/>
    <w:multiLevelType w:val="hybridMultilevel"/>
    <w:tmpl w:val="7DAEDE7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2"/>
  </w:num>
  <w:num w:numId="16">
    <w:abstractNumId w:val="10"/>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displayBackgroundShape/>
  <w:attachedTemplate r:id="rId1"/>
  <w:defaultTabStop w:val="567"/>
  <w:hyphenationZone w:val="425"/>
  <w:evenAndOddHeaders/>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55B"/>
    <w:rsid w:val="00017F94"/>
    <w:rsid w:val="00022D2E"/>
    <w:rsid w:val="00023842"/>
    <w:rsid w:val="000334F9"/>
    <w:rsid w:val="0003764A"/>
    <w:rsid w:val="0007796D"/>
    <w:rsid w:val="000B7790"/>
    <w:rsid w:val="00111F2F"/>
    <w:rsid w:val="00133EDE"/>
    <w:rsid w:val="0014365E"/>
    <w:rsid w:val="00176178"/>
    <w:rsid w:val="001A68A9"/>
    <w:rsid w:val="001F525A"/>
    <w:rsid w:val="00223272"/>
    <w:rsid w:val="0024779E"/>
    <w:rsid w:val="002A0D94"/>
    <w:rsid w:val="002F3380"/>
    <w:rsid w:val="00316185"/>
    <w:rsid w:val="00317344"/>
    <w:rsid w:val="00392B1D"/>
    <w:rsid w:val="003D407B"/>
    <w:rsid w:val="003D773B"/>
    <w:rsid w:val="00446FE5"/>
    <w:rsid w:val="00452396"/>
    <w:rsid w:val="00477252"/>
    <w:rsid w:val="004C4D99"/>
    <w:rsid w:val="004F6D62"/>
    <w:rsid w:val="005444F0"/>
    <w:rsid w:val="00545752"/>
    <w:rsid w:val="005463C1"/>
    <w:rsid w:val="005505B7"/>
    <w:rsid w:val="00573BE5"/>
    <w:rsid w:val="00586ED3"/>
    <w:rsid w:val="00596AA9"/>
    <w:rsid w:val="0062355B"/>
    <w:rsid w:val="00671D42"/>
    <w:rsid w:val="00685E7F"/>
    <w:rsid w:val="006F02FD"/>
    <w:rsid w:val="0071601D"/>
    <w:rsid w:val="0077586E"/>
    <w:rsid w:val="007A56B5"/>
    <w:rsid w:val="007A62E6"/>
    <w:rsid w:val="00803789"/>
    <w:rsid w:val="0080684C"/>
    <w:rsid w:val="00871C75"/>
    <w:rsid w:val="00872A39"/>
    <w:rsid w:val="008776DC"/>
    <w:rsid w:val="008C07B1"/>
    <w:rsid w:val="00946AD5"/>
    <w:rsid w:val="009705C8"/>
    <w:rsid w:val="00A12F17"/>
    <w:rsid w:val="00A259AF"/>
    <w:rsid w:val="00A30353"/>
    <w:rsid w:val="00A8252F"/>
    <w:rsid w:val="00AC01F7"/>
    <w:rsid w:val="00AC3823"/>
    <w:rsid w:val="00AE323C"/>
    <w:rsid w:val="00AE6B0E"/>
    <w:rsid w:val="00B00181"/>
    <w:rsid w:val="00B765F7"/>
    <w:rsid w:val="00B9212A"/>
    <w:rsid w:val="00BA0CA9"/>
    <w:rsid w:val="00BF3D4D"/>
    <w:rsid w:val="00C02897"/>
    <w:rsid w:val="00C97743"/>
    <w:rsid w:val="00CA3CD8"/>
    <w:rsid w:val="00CA7C3B"/>
    <w:rsid w:val="00CB5750"/>
    <w:rsid w:val="00CE2527"/>
    <w:rsid w:val="00CF2BDE"/>
    <w:rsid w:val="00D16E3A"/>
    <w:rsid w:val="00D3439C"/>
    <w:rsid w:val="00DB1831"/>
    <w:rsid w:val="00DB5D8E"/>
    <w:rsid w:val="00DD368C"/>
    <w:rsid w:val="00DD3BFD"/>
    <w:rsid w:val="00DE43BF"/>
    <w:rsid w:val="00DF6678"/>
    <w:rsid w:val="00E41C1F"/>
    <w:rsid w:val="00E70289"/>
    <w:rsid w:val="00EC1BBB"/>
    <w:rsid w:val="00F21265"/>
    <w:rsid w:val="00F660DF"/>
    <w:rsid w:val="00F95C08"/>
    <w:rsid w:val="00FD5AA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69457E80"/>
  <w15:docId w15:val="{DA63B5D0-FE8B-4FFB-971D-E9F105F29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D2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022D2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022D2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022D2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022D2E"/>
    <w:pPr>
      <w:spacing w:line="240" w:lineRule="auto"/>
    </w:pPr>
    <w:rPr>
      <w:sz w:val="16"/>
    </w:rPr>
  </w:style>
  <w:style w:type="character" w:customStyle="1" w:styleId="PieddepageCar">
    <w:name w:val="Pied de page Car"/>
    <w:aliases w:val="3_G Car"/>
    <w:basedOn w:val="Policepardfaut"/>
    <w:link w:val="Pieddepage"/>
    <w:rsid w:val="00022D2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022D2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C01F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022D2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22D2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22D2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22D2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022D2E"/>
    <w:pPr>
      <w:spacing w:after="120"/>
      <w:ind w:left="1134" w:right="1134"/>
      <w:jc w:val="both"/>
    </w:pPr>
  </w:style>
  <w:style w:type="paragraph" w:customStyle="1" w:styleId="SLG">
    <w:name w:val="__S_L_G"/>
    <w:basedOn w:val="Normal"/>
    <w:next w:val="Normal"/>
    <w:rsid w:val="00022D2E"/>
    <w:pPr>
      <w:keepNext/>
      <w:keepLines/>
      <w:spacing w:before="240" w:after="240" w:line="580" w:lineRule="exact"/>
      <w:ind w:left="1134" w:right="1134"/>
    </w:pPr>
    <w:rPr>
      <w:b/>
      <w:sz w:val="56"/>
    </w:rPr>
  </w:style>
  <w:style w:type="paragraph" w:customStyle="1" w:styleId="SMG">
    <w:name w:val="__S_M_G"/>
    <w:basedOn w:val="Normal"/>
    <w:next w:val="Normal"/>
    <w:rsid w:val="00022D2E"/>
    <w:pPr>
      <w:keepNext/>
      <w:keepLines/>
      <w:spacing w:before="240" w:after="240" w:line="420" w:lineRule="exact"/>
      <w:ind w:left="1134" w:right="1134"/>
    </w:pPr>
    <w:rPr>
      <w:b/>
      <w:sz w:val="40"/>
    </w:rPr>
  </w:style>
  <w:style w:type="paragraph" w:customStyle="1" w:styleId="SSG">
    <w:name w:val="__S_S_G"/>
    <w:basedOn w:val="Normal"/>
    <w:next w:val="Normal"/>
    <w:rsid w:val="00022D2E"/>
    <w:pPr>
      <w:keepNext/>
      <w:keepLines/>
      <w:spacing w:before="240" w:after="240" w:line="300" w:lineRule="exact"/>
      <w:ind w:left="1134" w:right="1134"/>
    </w:pPr>
    <w:rPr>
      <w:b/>
      <w:sz w:val="28"/>
    </w:rPr>
  </w:style>
  <w:style w:type="paragraph" w:customStyle="1" w:styleId="XLargeG">
    <w:name w:val="__XLarge_G"/>
    <w:basedOn w:val="Normal"/>
    <w:next w:val="Normal"/>
    <w:rsid w:val="00022D2E"/>
    <w:pPr>
      <w:keepNext/>
      <w:keepLines/>
      <w:spacing w:before="240" w:after="240" w:line="420" w:lineRule="exact"/>
      <w:ind w:left="1134" w:right="1134"/>
    </w:pPr>
    <w:rPr>
      <w:b/>
      <w:sz w:val="40"/>
    </w:rPr>
  </w:style>
  <w:style w:type="paragraph" w:customStyle="1" w:styleId="Bullet1G">
    <w:name w:val="_Bullet 1_G"/>
    <w:basedOn w:val="Normal"/>
    <w:qFormat/>
    <w:rsid w:val="00022D2E"/>
    <w:pPr>
      <w:numPr>
        <w:numId w:val="14"/>
      </w:numPr>
      <w:spacing w:after="120"/>
      <w:ind w:right="1134"/>
      <w:jc w:val="both"/>
    </w:pPr>
  </w:style>
  <w:style w:type="paragraph" w:customStyle="1" w:styleId="Bullet2G">
    <w:name w:val="_Bullet 2_G"/>
    <w:basedOn w:val="Normal"/>
    <w:qFormat/>
    <w:rsid w:val="00022D2E"/>
    <w:pPr>
      <w:numPr>
        <w:numId w:val="15"/>
      </w:numPr>
      <w:spacing w:after="120"/>
      <w:ind w:right="1134"/>
      <w:jc w:val="both"/>
    </w:pPr>
  </w:style>
  <w:style w:type="paragraph" w:customStyle="1" w:styleId="ParNoG">
    <w:name w:val="_ParNo_G"/>
    <w:basedOn w:val="Normal"/>
    <w:qFormat/>
    <w:rsid w:val="00022D2E"/>
    <w:pPr>
      <w:numPr>
        <w:numId w:val="16"/>
      </w:numPr>
      <w:tabs>
        <w:tab w:val="clear" w:pos="1701"/>
      </w:tabs>
      <w:spacing w:after="120"/>
      <w:ind w:right="1134"/>
      <w:jc w:val="both"/>
    </w:pPr>
  </w:style>
  <w:style w:type="character" w:styleId="Appelnotedebasdep">
    <w:name w:val="footnote reference"/>
    <w:aliases w:val="4_G"/>
    <w:basedOn w:val="Policepardfaut"/>
    <w:qFormat/>
    <w:rsid w:val="00022D2E"/>
    <w:rPr>
      <w:rFonts w:ascii="Times New Roman" w:hAnsi="Times New Roman"/>
      <w:sz w:val="18"/>
      <w:vertAlign w:val="superscript"/>
      <w:lang w:val="fr-CH"/>
    </w:rPr>
  </w:style>
  <w:style w:type="character" w:styleId="Appeldenotedefin">
    <w:name w:val="endnote reference"/>
    <w:aliases w:val="1_G"/>
    <w:basedOn w:val="Appelnotedebasdep"/>
    <w:qFormat/>
    <w:rsid w:val="00022D2E"/>
    <w:rPr>
      <w:rFonts w:ascii="Times New Roman" w:hAnsi="Times New Roman"/>
      <w:sz w:val="18"/>
      <w:vertAlign w:val="superscript"/>
      <w:lang w:val="fr-CH"/>
    </w:rPr>
  </w:style>
  <w:style w:type="table" w:styleId="Grilledutableau">
    <w:name w:val="Table Grid"/>
    <w:basedOn w:val="TableauNormal"/>
    <w:rsid w:val="00022D2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022D2E"/>
    <w:rPr>
      <w:color w:val="0000FF"/>
      <w:u w:val="none"/>
    </w:rPr>
  </w:style>
  <w:style w:type="character" w:styleId="Lienhypertextesuivivisit">
    <w:name w:val="FollowedHyperlink"/>
    <w:basedOn w:val="Policepardfaut"/>
    <w:unhideWhenUsed/>
    <w:rsid w:val="00022D2E"/>
    <w:rPr>
      <w:color w:val="0000FF"/>
      <w:u w:val="none"/>
    </w:rPr>
  </w:style>
  <w:style w:type="paragraph" w:styleId="Notedebasdepage">
    <w:name w:val="footnote text"/>
    <w:aliases w:val="5_G"/>
    <w:basedOn w:val="Normal"/>
    <w:link w:val="NotedebasdepageCar"/>
    <w:qFormat/>
    <w:rsid w:val="00022D2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022D2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022D2E"/>
  </w:style>
  <w:style w:type="character" w:customStyle="1" w:styleId="NotedefinCar">
    <w:name w:val="Note de fin Car"/>
    <w:aliases w:val="2_G Car"/>
    <w:basedOn w:val="Policepardfaut"/>
    <w:link w:val="Notedefin"/>
    <w:rsid w:val="00022D2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022D2E"/>
    <w:rPr>
      <w:rFonts w:ascii="Times New Roman" w:hAnsi="Times New Roman"/>
      <w:b/>
      <w:sz w:val="18"/>
      <w:lang w:val="fr-CH"/>
    </w:rPr>
  </w:style>
  <w:style w:type="character" w:customStyle="1" w:styleId="Titre1Car">
    <w:name w:val="Titre 1 Car"/>
    <w:aliases w:val="Table_G Car"/>
    <w:basedOn w:val="Policepardfaut"/>
    <w:link w:val="Titre1"/>
    <w:rsid w:val="00022D2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92B1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2B1D"/>
    <w:rPr>
      <w:rFonts w:ascii="Tahoma" w:hAnsi="Tahoma" w:cs="Tahoma"/>
      <w:sz w:val="16"/>
      <w:szCs w:val="16"/>
      <w:lang w:eastAsia="en-US"/>
    </w:rPr>
  </w:style>
  <w:style w:type="character" w:customStyle="1" w:styleId="SingleTxtGChar">
    <w:name w:val="_ Single Txt_G Char"/>
    <w:link w:val="SingleTxtG"/>
    <w:locked/>
    <w:rsid w:val="0077586E"/>
    <w:rPr>
      <w:rFonts w:ascii="Times New Roman" w:eastAsiaTheme="minorHAnsi" w:hAnsi="Times New Roman" w:cs="Times New Roman"/>
      <w:sz w:val="20"/>
      <w:szCs w:val="20"/>
      <w:lang w:eastAsia="en-US"/>
    </w:rPr>
  </w:style>
  <w:style w:type="character" w:customStyle="1" w:styleId="HChGChar">
    <w:name w:val="_ H _Ch_G Char"/>
    <w:link w:val="HChG"/>
    <w:rsid w:val="0077586E"/>
    <w:rPr>
      <w:rFonts w:ascii="Times New Roman" w:eastAsiaTheme="minorHAnsi" w:hAnsi="Times New Roman" w:cs="Times New Roman"/>
      <w:b/>
      <w:sz w:val="28"/>
      <w:szCs w:val="20"/>
      <w:lang w:eastAsia="en-US"/>
    </w:rPr>
  </w:style>
  <w:style w:type="character" w:customStyle="1" w:styleId="H1GChar">
    <w:name w:val="_ H_1_G Char"/>
    <w:link w:val="H1G"/>
    <w:locked/>
    <w:rsid w:val="0077586E"/>
    <w:rPr>
      <w:rFonts w:ascii="Times New Roman" w:eastAsiaTheme="minorHAnsi" w:hAnsi="Times New Roman" w:cs="Times New Roman"/>
      <w:b/>
      <w:sz w:val="24"/>
      <w:szCs w:val="20"/>
      <w:lang w:eastAsia="en-US"/>
    </w:rPr>
  </w:style>
  <w:style w:type="character" w:customStyle="1" w:styleId="H23GChar">
    <w:name w:val="_ H_2/3_G Char"/>
    <w:link w:val="H23G"/>
    <w:locked/>
    <w:rsid w:val="0077586E"/>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0</TotalTime>
  <Pages>4</Pages>
  <Words>1597</Words>
  <Characters>9059</Characters>
  <Application>Microsoft Office Word</Application>
  <DocSecurity>0</DocSecurity>
  <Lines>124</Lines>
  <Paragraphs>58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CED/C/GAB/Q/1/Add.1</vt:lpstr>
      <vt:lpstr>CED/C/GAB/Q/1/Add.1</vt:lpstr>
    </vt:vector>
  </TitlesOfParts>
  <Company>DCM</Company>
  <LinksUpToDate>false</LinksUpToDate>
  <CharactersWithSpaces>10598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CED/C/GAB/Q/1/Add.1</dc:title>
  <dc:subject>qrcode</dc:subject>
  <dc:creator>dvx</dc:creator>
  <cp:keywords/>
  <dc:description/>
  <cp:lastModifiedBy>Christine DEVOUASSOUX</cp:lastModifiedBy>
  <cp:revision>3</cp:revision>
  <cp:lastPrinted>2017-08-07T13:56:00Z</cp:lastPrinted>
  <dcterms:created xsi:type="dcterms:W3CDTF">2017-08-07T13:56:00Z</dcterms:created>
  <dcterms:modified xsi:type="dcterms:W3CDTF">2017-08-07T13:56:00Z</dcterms:modified>
</cp:coreProperties>
</file>