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702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7027B" w:rsidP="00F7027B">
            <w:pPr>
              <w:jc w:val="right"/>
            </w:pPr>
            <w:r w:rsidRPr="00F7027B">
              <w:rPr>
                <w:sz w:val="40"/>
              </w:rPr>
              <w:t>CCPR</w:t>
            </w:r>
            <w:r>
              <w:t>/C/PAK/CO/1</w:t>
            </w:r>
          </w:p>
        </w:tc>
      </w:tr>
      <w:tr w:rsidR="002D5AAC" w:rsidRPr="001F5A4B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3D684C5" wp14:editId="77B0374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F7027B" w:rsidRDefault="00F7027B" w:rsidP="00BC3629">
            <w:pPr>
              <w:spacing w:before="240"/>
              <w:rPr>
                <w:lang w:val="en-US"/>
              </w:rPr>
            </w:pPr>
            <w:r w:rsidRPr="00F7027B">
              <w:rPr>
                <w:lang w:val="en-US"/>
              </w:rPr>
              <w:t>Distr.: General</w:t>
            </w:r>
          </w:p>
          <w:p w:rsidR="00F7027B" w:rsidRPr="00F7027B" w:rsidRDefault="00F7027B" w:rsidP="00F7027B">
            <w:pPr>
              <w:spacing w:line="240" w:lineRule="exact"/>
              <w:rPr>
                <w:lang w:val="en-US"/>
              </w:rPr>
            </w:pPr>
            <w:r w:rsidRPr="00F7027B">
              <w:rPr>
                <w:lang w:val="en-US"/>
              </w:rPr>
              <w:t>23 August 2017</w:t>
            </w:r>
          </w:p>
          <w:p w:rsidR="00F7027B" w:rsidRPr="00F7027B" w:rsidRDefault="00F7027B" w:rsidP="00F7027B">
            <w:pPr>
              <w:spacing w:line="240" w:lineRule="exact"/>
              <w:rPr>
                <w:lang w:val="en-US"/>
              </w:rPr>
            </w:pPr>
            <w:r w:rsidRPr="00F7027B">
              <w:rPr>
                <w:lang w:val="en-US"/>
              </w:rPr>
              <w:t>Russian</w:t>
            </w:r>
          </w:p>
          <w:p w:rsidR="00F7027B" w:rsidRPr="00F7027B" w:rsidRDefault="00F7027B" w:rsidP="00F7027B">
            <w:pPr>
              <w:spacing w:line="240" w:lineRule="exact"/>
              <w:rPr>
                <w:lang w:val="en-US"/>
              </w:rPr>
            </w:pPr>
            <w:r w:rsidRPr="00F7027B">
              <w:rPr>
                <w:lang w:val="en-US"/>
              </w:rPr>
              <w:t>Original: English</w:t>
            </w:r>
          </w:p>
        </w:tc>
      </w:tr>
    </w:tbl>
    <w:p w:rsidR="00F7027B" w:rsidRPr="00F7027B" w:rsidRDefault="00F7027B" w:rsidP="00F7027B">
      <w:pPr>
        <w:spacing w:before="120"/>
        <w:rPr>
          <w:b/>
          <w:sz w:val="24"/>
          <w:szCs w:val="24"/>
        </w:rPr>
      </w:pPr>
      <w:r w:rsidRPr="00F7027B">
        <w:rPr>
          <w:b/>
          <w:sz w:val="24"/>
          <w:szCs w:val="24"/>
        </w:rPr>
        <w:t>Комитет по правам человека</w:t>
      </w:r>
    </w:p>
    <w:p w:rsidR="00F7027B" w:rsidRPr="00F7027B" w:rsidRDefault="00F7027B" w:rsidP="00F7027B">
      <w:pPr>
        <w:pStyle w:val="HChGR"/>
      </w:pPr>
      <w:r w:rsidRPr="00F7027B">
        <w:tab/>
      </w:r>
      <w:r w:rsidRPr="00F7027B">
        <w:tab/>
        <w:t>Заключительные замечания по первоначальному докладу Пакистана</w:t>
      </w:r>
      <w:r w:rsidRPr="00F7027B">
        <w:rPr>
          <w:b w:val="0"/>
          <w:sz w:val="20"/>
        </w:rPr>
        <w:footnoteReference w:customMarkFollows="1" w:id="1"/>
        <w:t>*</w:t>
      </w:r>
    </w:p>
    <w:p w:rsidR="00F7027B" w:rsidRPr="00F7027B" w:rsidRDefault="00F7027B" w:rsidP="00F7027B">
      <w:pPr>
        <w:pStyle w:val="SingleTxtGR"/>
      </w:pPr>
      <w:r w:rsidRPr="00F7027B">
        <w:t>1.</w:t>
      </w:r>
      <w:r w:rsidRPr="00F7027B">
        <w:tab/>
        <w:t>Комитет рассмотрел первоначальный доклад Пакистана (CCPR/C/PAK/1) на своих 3386-м, 3387-м и 3388-м заседаниях (см. CCPR/C/SR.3386, 3387 и 3388), состоявшихся 11 и 12 июля 2017 года. На своих 3406-м и 3407-м засед</w:t>
      </w:r>
      <w:r w:rsidRPr="00F7027B">
        <w:t>а</w:t>
      </w:r>
      <w:r w:rsidRPr="00F7027B">
        <w:t>ниях 25 и 26 июля 2017 года Комитет принял настоящие заключительные зам</w:t>
      </w:r>
      <w:r w:rsidRPr="00F7027B">
        <w:t>е</w:t>
      </w:r>
      <w:r w:rsidRPr="00F7027B">
        <w:t>чания.</w:t>
      </w:r>
    </w:p>
    <w:p w:rsidR="00F7027B" w:rsidRPr="00F7027B" w:rsidRDefault="00F7027B" w:rsidP="00586A25">
      <w:pPr>
        <w:pStyle w:val="H1GR"/>
      </w:pPr>
      <w:r w:rsidRPr="00F7027B">
        <w:tab/>
        <w:t>A.</w:t>
      </w:r>
      <w:r w:rsidRPr="00F7027B">
        <w:tab/>
        <w:t>Введение</w:t>
      </w:r>
    </w:p>
    <w:p w:rsidR="00F7027B" w:rsidRPr="00F7027B" w:rsidRDefault="00F7027B" w:rsidP="00F7027B">
      <w:pPr>
        <w:pStyle w:val="SingleTxtGR"/>
      </w:pPr>
      <w:r w:rsidRPr="00F7027B">
        <w:t>2.</w:t>
      </w:r>
      <w:r w:rsidRPr="00F7027B">
        <w:tab/>
        <w:t>Комитет приветствует представление первоначального доклада Пакист</w:t>
      </w:r>
      <w:r w:rsidRPr="00F7027B">
        <w:t>а</w:t>
      </w:r>
      <w:r w:rsidRPr="00F7027B">
        <w:t>на, хотя и с четырехлетним опозданием, и изложенную в нем информацию. Он</w:t>
      </w:r>
      <w:r w:rsidR="00B67DC0">
        <w:rPr>
          <w:lang w:val="en-US"/>
        </w:rPr>
        <w:t> </w:t>
      </w:r>
      <w:r w:rsidRPr="00F7027B">
        <w:t>выражает признательность за возможность начать конструктивный диалог с делегацией высокого уровня государства-участника по вопросу о мерах, прин</w:t>
      </w:r>
      <w:r w:rsidRPr="00F7027B">
        <w:t>я</w:t>
      </w:r>
      <w:r w:rsidRPr="00F7027B">
        <w:t>тых государством-участником с момента вступления в силу Пакта с целью ос</w:t>
      </w:r>
      <w:r w:rsidRPr="00F7027B">
        <w:t>у</w:t>
      </w:r>
      <w:r w:rsidRPr="00F7027B">
        <w:t>ществления его положений. Комитет благодарит государство-участник за пис</w:t>
      </w:r>
      <w:r w:rsidRPr="00F7027B">
        <w:t>ь</w:t>
      </w:r>
      <w:r w:rsidRPr="00F7027B">
        <w:t>менные ответы (CCPR/C/PAK/Q/1/Add.1) на перечень вопросов (CCPR/C/PAK/</w:t>
      </w:r>
      <w:r w:rsidR="00B67DC0" w:rsidRPr="00B67DC0">
        <w:br/>
      </w:r>
      <w:r w:rsidRPr="00F7027B">
        <w:t xml:space="preserve">Q/1), дополненные устными ответами делегации. </w:t>
      </w:r>
    </w:p>
    <w:p w:rsidR="00F7027B" w:rsidRPr="00F7027B" w:rsidRDefault="00F7027B" w:rsidP="00586A25">
      <w:pPr>
        <w:pStyle w:val="H1GR"/>
      </w:pPr>
      <w:r w:rsidRPr="00F7027B">
        <w:tab/>
        <w:t>B.</w:t>
      </w:r>
      <w:r w:rsidRPr="00F7027B">
        <w:tab/>
        <w:t>Позитивные аспекты</w:t>
      </w:r>
    </w:p>
    <w:p w:rsidR="00F7027B" w:rsidRPr="00F7027B" w:rsidRDefault="00F7027B" w:rsidP="00F7027B">
      <w:pPr>
        <w:pStyle w:val="SingleTxtGR"/>
      </w:pPr>
      <w:r w:rsidRPr="00F7027B">
        <w:t>3.</w:t>
      </w:r>
      <w:r w:rsidRPr="00F7027B">
        <w:tab/>
        <w:t xml:space="preserve">Комитет приветствует принятые </w:t>
      </w:r>
      <w:proofErr w:type="gramStart"/>
      <w:r w:rsidRPr="00F7027B">
        <w:t>государством-участником</w:t>
      </w:r>
      <w:proofErr w:type="gramEnd"/>
      <w:r w:rsidRPr="00F7027B">
        <w:t xml:space="preserve"> следующие з</w:t>
      </w:r>
      <w:r w:rsidRPr="00F7027B">
        <w:t>а</w:t>
      </w:r>
      <w:r w:rsidRPr="00F7027B">
        <w:t>конодательные, институциональные и политические меры:</w:t>
      </w:r>
    </w:p>
    <w:p w:rsidR="00F7027B" w:rsidRPr="00F7027B" w:rsidRDefault="00F7027B" w:rsidP="00F7027B">
      <w:pPr>
        <w:pStyle w:val="SingleTxtGR"/>
      </w:pPr>
      <w:r w:rsidRPr="00F7027B">
        <w:tab/>
        <w:t>а)</w:t>
      </w:r>
      <w:r w:rsidRPr="00F7027B">
        <w:tab/>
        <w:t>Закон об уголовном праве (поправка) (о преступлениях, соверша</w:t>
      </w:r>
      <w:r w:rsidRPr="00F7027B">
        <w:t>е</w:t>
      </w:r>
      <w:r w:rsidRPr="00F7027B">
        <w:t>мых во имя или под предлогом защиты чести), принятый в 2016 году;</w:t>
      </w:r>
    </w:p>
    <w:p w:rsidR="00F7027B" w:rsidRPr="00F7027B" w:rsidRDefault="00F7027B" w:rsidP="00F7027B">
      <w:pPr>
        <w:pStyle w:val="SingleTxtGR"/>
      </w:pPr>
      <w:r w:rsidRPr="00F7027B">
        <w:tab/>
        <w:t>b)</w:t>
      </w:r>
      <w:r w:rsidRPr="00F7027B">
        <w:tab/>
        <w:t xml:space="preserve">Закон об уголовном праве (поправка) (о преступлениях, связанных с изнасилованием), принятый в 2016 году; </w:t>
      </w:r>
    </w:p>
    <w:p w:rsidR="00F7027B" w:rsidRPr="00F7027B" w:rsidRDefault="00F7027B" w:rsidP="00F7027B">
      <w:pPr>
        <w:pStyle w:val="SingleTxtGR"/>
      </w:pPr>
      <w:r w:rsidRPr="00F7027B">
        <w:tab/>
        <w:t>с)</w:t>
      </w:r>
      <w:r w:rsidRPr="00F7027B">
        <w:tab/>
        <w:t xml:space="preserve">Национальный план действий в области прав человека, принятый в 2016 году; </w:t>
      </w:r>
    </w:p>
    <w:p w:rsidR="00F7027B" w:rsidRPr="00F7027B" w:rsidRDefault="00F7027B" w:rsidP="00F7027B">
      <w:pPr>
        <w:pStyle w:val="SingleTxtGR"/>
      </w:pPr>
      <w:r w:rsidRPr="00F7027B">
        <w:tab/>
        <w:t>d)</w:t>
      </w:r>
      <w:r w:rsidRPr="00F7027B">
        <w:tab/>
        <w:t>Закон о Национальной комиссии по правам человека, принятый в 2012 году, и Национальная комиссия по правам человека, созданная в соотве</w:t>
      </w:r>
      <w:r w:rsidRPr="00F7027B">
        <w:t>т</w:t>
      </w:r>
      <w:r w:rsidRPr="00F7027B">
        <w:t xml:space="preserve">ствии с этим Законом в 2015 году. </w:t>
      </w:r>
    </w:p>
    <w:p w:rsidR="00F7027B" w:rsidRPr="00F7027B" w:rsidRDefault="00F7027B" w:rsidP="00F7027B">
      <w:pPr>
        <w:pStyle w:val="SingleTxtGR"/>
      </w:pPr>
      <w:r w:rsidRPr="00F7027B">
        <w:t>4.</w:t>
      </w:r>
      <w:r w:rsidRPr="00F7027B">
        <w:tab/>
        <w:t>Комитет приветствует также ратификацию государством-участником сл</w:t>
      </w:r>
      <w:r w:rsidRPr="00F7027B">
        <w:t>е</w:t>
      </w:r>
      <w:r w:rsidRPr="00F7027B">
        <w:t>дующих международных договоров или его присоединение к ним:</w:t>
      </w:r>
    </w:p>
    <w:p w:rsidR="00F7027B" w:rsidRPr="00F7027B" w:rsidRDefault="00F7027B" w:rsidP="00F7027B">
      <w:pPr>
        <w:pStyle w:val="SingleTxtGR"/>
      </w:pPr>
      <w:r w:rsidRPr="00F7027B">
        <w:tab/>
        <w:t>а)</w:t>
      </w:r>
      <w:r w:rsidRPr="00F7027B">
        <w:tab/>
        <w:t>Конвенция о правах инвалидов в 2011 году;</w:t>
      </w:r>
    </w:p>
    <w:p w:rsidR="00F7027B" w:rsidRPr="00F7027B" w:rsidRDefault="00F7027B" w:rsidP="00F7027B">
      <w:pPr>
        <w:pStyle w:val="SingleTxtGR"/>
      </w:pPr>
      <w:r w:rsidRPr="00F7027B">
        <w:lastRenderedPageBreak/>
        <w:tab/>
        <w:t>b)</w:t>
      </w:r>
      <w:r w:rsidRPr="00F7027B">
        <w:tab/>
        <w:t>Факультативный протокол к Конвенции о правах ребенка, каса</w:t>
      </w:r>
      <w:r w:rsidRPr="00F7027B">
        <w:t>ю</w:t>
      </w:r>
      <w:r w:rsidRPr="00F7027B">
        <w:t>щийся торговли детьми, детской проституции и детской порнографии, в 2011</w:t>
      </w:r>
      <w:r w:rsidR="00B67DC0">
        <w:rPr>
          <w:lang w:val="en-US"/>
        </w:rPr>
        <w:t> </w:t>
      </w:r>
      <w:r w:rsidRPr="00F7027B">
        <w:t>году;</w:t>
      </w:r>
    </w:p>
    <w:p w:rsidR="00F7027B" w:rsidRPr="00F7027B" w:rsidRDefault="00F7027B" w:rsidP="00F7027B">
      <w:pPr>
        <w:pStyle w:val="SingleTxtGR"/>
      </w:pPr>
      <w:r w:rsidRPr="00F7027B">
        <w:tab/>
        <w:t>с)</w:t>
      </w:r>
      <w:r w:rsidRPr="00F7027B">
        <w:tab/>
        <w:t>Факультативный протокол к Конвенции о правах ребенка, каса</w:t>
      </w:r>
      <w:r w:rsidRPr="00F7027B">
        <w:t>ю</w:t>
      </w:r>
      <w:r w:rsidRPr="00F7027B">
        <w:t xml:space="preserve">щийся участия детей в вооруженных конфликтах, в 2016 году. </w:t>
      </w:r>
    </w:p>
    <w:p w:rsidR="00F7027B" w:rsidRPr="00F7027B" w:rsidRDefault="00F7027B" w:rsidP="00586A25">
      <w:pPr>
        <w:pStyle w:val="H1GR"/>
      </w:pPr>
      <w:r w:rsidRPr="00F7027B">
        <w:tab/>
        <w:t>C.</w:t>
      </w:r>
      <w:r w:rsidRPr="00F7027B">
        <w:tab/>
        <w:t>Основные вопросы, вызывающие обеспокоенность, и</w:t>
      </w:r>
      <w:r w:rsidR="00B67DC0">
        <w:rPr>
          <w:lang w:val="en-US"/>
        </w:rPr>
        <w:t> </w:t>
      </w:r>
      <w:r w:rsidRPr="00F7027B">
        <w:t>рекомендации</w:t>
      </w:r>
    </w:p>
    <w:p w:rsidR="00F7027B" w:rsidRPr="001F5A4B" w:rsidRDefault="00B67DC0" w:rsidP="00586A25">
      <w:pPr>
        <w:pStyle w:val="H23GR"/>
      </w:pPr>
      <w:r>
        <w:tab/>
      </w:r>
      <w:r>
        <w:tab/>
        <w:t>Применение Пакта</w:t>
      </w:r>
    </w:p>
    <w:p w:rsidR="00F7027B" w:rsidRPr="00F7027B" w:rsidRDefault="00F7027B" w:rsidP="00F7027B">
      <w:pPr>
        <w:pStyle w:val="SingleTxtGR"/>
      </w:pPr>
      <w:bookmarkStart w:id="1" w:name="_Hlk487842396"/>
      <w:r w:rsidRPr="00F7027B">
        <w:t>5.</w:t>
      </w:r>
      <w:r w:rsidRPr="00F7027B">
        <w:tab/>
        <w:t>Комитет обеспокоен тем, что права, закрепленные в Пакте, не действуют в полной мере во внутренней правовой системе государства-участника и что с</w:t>
      </w:r>
      <w:r w:rsidRPr="00F7027B">
        <w:t>у</w:t>
      </w:r>
      <w:r w:rsidRPr="00F7027B">
        <w:t xml:space="preserve">ды в некоторых случаях не проявляют готовности применять положения Пакта (статья 2). </w:t>
      </w:r>
    </w:p>
    <w:p w:rsidR="00F7027B" w:rsidRPr="00F7027B" w:rsidRDefault="00F7027B" w:rsidP="00F7027B">
      <w:pPr>
        <w:pStyle w:val="SingleTxtGR"/>
        <w:rPr>
          <w:b/>
        </w:rPr>
      </w:pPr>
      <w:r w:rsidRPr="00F7027B">
        <w:t>6.</w:t>
      </w:r>
      <w:r w:rsidRPr="00F7027B">
        <w:tab/>
      </w:r>
      <w:r w:rsidRPr="00F7027B">
        <w:rPr>
          <w:b/>
        </w:rPr>
        <w:t>Государству-участнику следует принимать все необходимые меры для того, чтобы закрепленные в Пакте права действовали в полной мере во внутренней правовой системе и чтобы национальные суды на всех уровнях применяли эти права, в том числе повышать уровень подготовки судей, прокуроров, адвокатов и государственных должностных лиц в вопросах, касающихся положений Пакта.</w:t>
      </w:r>
    </w:p>
    <w:p w:rsidR="00F7027B" w:rsidRPr="00F7027B" w:rsidRDefault="00F7027B" w:rsidP="00586A25">
      <w:pPr>
        <w:pStyle w:val="H23GR"/>
      </w:pPr>
      <w:r w:rsidRPr="00F7027B">
        <w:tab/>
      </w:r>
      <w:r w:rsidRPr="00F7027B">
        <w:tab/>
        <w:t xml:space="preserve">Оговорки </w:t>
      </w:r>
    </w:p>
    <w:p w:rsidR="00F7027B" w:rsidRPr="00F7027B" w:rsidRDefault="00F7027B" w:rsidP="00F7027B">
      <w:pPr>
        <w:pStyle w:val="SingleTxtGR"/>
      </w:pPr>
      <w:r w:rsidRPr="00F7027B">
        <w:t>7.</w:t>
      </w:r>
      <w:r w:rsidRPr="00F7027B">
        <w:tab/>
        <w:t>Комитет приветствует тот факт, что в 2011 году государство-участник сняло ряд оговорок и сузило оговорки в отношении статей 3 и 25. Вместе с тем он выражает сожаление по поводу того, что государство-участник сохраняет свои оговорки к статьям 3 и 25, вследствие чего эти статьи применяются лишь в той степени, в какой они согласуются с мусульманским частным правом и Зак</w:t>
      </w:r>
      <w:r w:rsidRPr="00F7027B">
        <w:t>о</w:t>
      </w:r>
      <w:r w:rsidRPr="00F7027B">
        <w:t>ном о доказательствах и с некоторыми положениями Конституции, соотве</w:t>
      </w:r>
      <w:r w:rsidRPr="00F7027B">
        <w:t>т</w:t>
      </w:r>
      <w:r w:rsidRPr="00F7027B">
        <w:t xml:space="preserve">ственно. </w:t>
      </w:r>
    </w:p>
    <w:bookmarkEnd w:id="1"/>
    <w:p w:rsidR="00F7027B" w:rsidRPr="00F7027B" w:rsidRDefault="00F7027B" w:rsidP="00F7027B">
      <w:pPr>
        <w:pStyle w:val="SingleTxtGR"/>
        <w:rPr>
          <w:b/>
        </w:rPr>
      </w:pPr>
      <w:r w:rsidRPr="00F7027B">
        <w:t>8.</w:t>
      </w:r>
      <w:r w:rsidRPr="00F7027B">
        <w:tab/>
      </w:r>
      <w:r w:rsidRPr="00F7027B">
        <w:rPr>
          <w:b/>
        </w:rPr>
        <w:t>Государству-участнику следует рассмотреть возможность снятия остающихся оговорок к статьям 3 и 25 с целью обеспечения полного и э</w:t>
      </w:r>
      <w:r w:rsidRPr="00F7027B">
        <w:rPr>
          <w:b/>
        </w:rPr>
        <w:t>ф</w:t>
      </w:r>
      <w:r w:rsidRPr="00F7027B">
        <w:rPr>
          <w:b/>
        </w:rPr>
        <w:t>фективного осуществления Пакта.</w:t>
      </w:r>
    </w:p>
    <w:p w:rsidR="00F7027B" w:rsidRPr="00F7027B" w:rsidRDefault="00F7027B" w:rsidP="00586A25">
      <w:pPr>
        <w:pStyle w:val="H23GR"/>
      </w:pPr>
      <w:r w:rsidRPr="00F7027B">
        <w:tab/>
      </w:r>
      <w:r w:rsidRPr="00F7027B">
        <w:tab/>
        <w:t xml:space="preserve">Национальное правозащитное учреждение </w:t>
      </w:r>
    </w:p>
    <w:p w:rsidR="00F7027B" w:rsidRPr="00F7027B" w:rsidRDefault="00F7027B" w:rsidP="00F7027B">
      <w:pPr>
        <w:pStyle w:val="SingleTxtGR"/>
      </w:pPr>
      <w:r w:rsidRPr="00F7027B">
        <w:t>9.</w:t>
      </w:r>
      <w:r w:rsidRPr="00F7027B">
        <w:tab/>
        <w:t>Приветствуя создание в 2015 году Национальной комиссии по правам ч</w:t>
      </w:r>
      <w:r w:rsidRPr="00F7027B">
        <w:t>е</w:t>
      </w:r>
      <w:r w:rsidRPr="00F7027B">
        <w:t>ловека, Комитет</w:t>
      </w:r>
      <w:r w:rsidR="00971C02" w:rsidRPr="00971C02">
        <w:t>,</w:t>
      </w:r>
      <w:r w:rsidRPr="00F7027B">
        <w:t xml:space="preserve"> тем не менее</w:t>
      </w:r>
      <w:r w:rsidR="00971C02" w:rsidRPr="00971C02">
        <w:t>,</w:t>
      </w:r>
      <w:r w:rsidRPr="00F7027B">
        <w:t xml:space="preserve"> выражает обеспокоенность в связи с тем, что председатель Комиссии, как сообщается, не получил требуемого разрешения на поездку в Женеву для встречи с Комитетом, и есть основания полагать, что К</w:t>
      </w:r>
      <w:r w:rsidRPr="00F7027B">
        <w:t>о</w:t>
      </w:r>
      <w:r w:rsidRPr="00F7027B">
        <w:t>миссия не является полностью независимой. Комитет обеспокоен также тем, что Комиссия, согласно своему учредительному документу, лишена возможн</w:t>
      </w:r>
      <w:r w:rsidRPr="00F7027B">
        <w:t>о</w:t>
      </w:r>
      <w:r w:rsidRPr="00F7027B">
        <w:t xml:space="preserve">сти в полной мере сотрудничать с правозащитными механизмами Организации Объединенных Наций, не может расследовать деятельность разведывательных </w:t>
      </w:r>
      <w:proofErr w:type="gramStart"/>
      <w:r w:rsidRPr="00F7027B">
        <w:t>служб</w:t>
      </w:r>
      <w:proofErr w:type="gramEnd"/>
      <w:r w:rsidRPr="00F7027B">
        <w:t xml:space="preserve"> и не уполномочена проводить полноценные расследования в связи с с</w:t>
      </w:r>
      <w:r w:rsidRPr="00F7027B">
        <w:t>о</w:t>
      </w:r>
      <w:r w:rsidRPr="00F7027B">
        <w:t xml:space="preserve">общениями о нарушениях прав человека военнослужащими. </w:t>
      </w:r>
    </w:p>
    <w:p w:rsidR="00F7027B" w:rsidRPr="00F7027B" w:rsidRDefault="00F7027B" w:rsidP="00F7027B">
      <w:pPr>
        <w:pStyle w:val="SingleTxtGR"/>
        <w:rPr>
          <w:b/>
        </w:rPr>
      </w:pPr>
      <w:r w:rsidRPr="00F7027B">
        <w:t>10.</w:t>
      </w:r>
      <w:r w:rsidRPr="00F7027B">
        <w:tab/>
      </w:r>
      <w:r w:rsidRPr="00F7027B">
        <w:rPr>
          <w:b/>
        </w:rPr>
        <w:t>Государству-участнику следует принять все необходимые законод</w:t>
      </w:r>
      <w:r w:rsidRPr="00F7027B">
        <w:rPr>
          <w:b/>
        </w:rPr>
        <w:t>а</w:t>
      </w:r>
      <w:r w:rsidRPr="00F7027B">
        <w:rPr>
          <w:b/>
        </w:rPr>
        <w:t xml:space="preserve">тельные, политические и институциональные меры, с </w:t>
      </w:r>
      <w:proofErr w:type="gramStart"/>
      <w:r w:rsidRPr="00F7027B">
        <w:rPr>
          <w:b/>
        </w:rPr>
        <w:t>тем</w:t>
      </w:r>
      <w:proofErr w:type="gramEnd"/>
      <w:r w:rsidRPr="00F7027B">
        <w:rPr>
          <w:b/>
        </w:rPr>
        <w:t xml:space="preserve"> чтобы Наци</w:t>
      </w:r>
      <w:r w:rsidRPr="00F7027B">
        <w:rPr>
          <w:b/>
        </w:rPr>
        <w:t>о</w:t>
      </w:r>
      <w:r w:rsidRPr="00F7027B">
        <w:rPr>
          <w:b/>
        </w:rPr>
        <w:t>нальная комиссия по правам человека могла выполнять свой мандат в полном объеме, эффективным и независимым образом в полном соотве</w:t>
      </w:r>
      <w:r w:rsidRPr="00F7027B">
        <w:rPr>
          <w:b/>
        </w:rPr>
        <w:t>т</w:t>
      </w:r>
      <w:r w:rsidRPr="00F7027B">
        <w:rPr>
          <w:b/>
        </w:rPr>
        <w:t>ствии с принципами, касающимися статуса национальных учреждений, занимающихся поощрением и защитой прав человека (Парижские при</w:t>
      </w:r>
      <w:r w:rsidRPr="00F7027B">
        <w:rPr>
          <w:b/>
        </w:rPr>
        <w:t>н</w:t>
      </w:r>
      <w:r w:rsidRPr="00F7027B">
        <w:rPr>
          <w:b/>
        </w:rPr>
        <w:t>ципы). Государству-участнику следует укрепить полномочия Комиссии и способствовать тому, чтобы она могла проводить расследования по всем сообщениям о нарушении каким-либо официальным органом прав, пр</w:t>
      </w:r>
      <w:r w:rsidRPr="00F7027B">
        <w:rPr>
          <w:b/>
        </w:rPr>
        <w:t>и</w:t>
      </w:r>
      <w:r w:rsidRPr="00F7027B">
        <w:rPr>
          <w:b/>
        </w:rPr>
        <w:t xml:space="preserve">знанных в Пакте, включая нарушения, предположительно совершенные сотрудниками спецслужб или военнослужащими. Государству-участнику </w:t>
      </w:r>
      <w:r w:rsidRPr="00F7027B">
        <w:rPr>
          <w:b/>
        </w:rPr>
        <w:lastRenderedPageBreak/>
        <w:t>следует также активизировать усилия по предоставлению Комиссии дост</w:t>
      </w:r>
      <w:r w:rsidRPr="00F7027B">
        <w:rPr>
          <w:b/>
        </w:rPr>
        <w:t>а</w:t>
      </w:r>
      <w:r w:rsidRPr="00F7027B">
        <w:rPr>
          <w:b/>
        </w:rPr>
        <w:t xml:space="preserve">точных финансовых и людских ресурсов, с </w:t>
      </w:r>
      <w:proofErr w:type="gramStart"/>
      <w:r w:rsidRPr="00F7027B">
        <w:rPr>
          <w:b/>
        </w:rPr>
        <w:t>тем</w:t>
      </w:r>
      <w:proofErr w:type="gramEnd"/>
      <w:r w:rsidRPr="00F7027B">
        <w:rPr>
          <w:b/>
        </w:rPr>
        <w:t xml:space="preserve"> чтобы она могла осущест</w:t>
      </w:r>
      <w:r w:rsidRPr="00F7027B">
        <w:rPr>
          <w:b/>
        </w:rPr>
        <w:t>в</w:t>
      </w:r>
      <w:r w:rsidRPr="00F7027B">
        <w:rPr>
          <w:b/>
        </w:rPr>
        <w:t>лять свою деятельность по всей территории государства-участника.</w:t>
      </w:r>
    </w:p>
    <w:p w:rsidR="00F7027B" w:rsidRPr="00F7027B" w:rsidRDefault="00F7027B" w:rsidP="00586A25">
      <w:pPr>
        <w:pStyle w:val="H23GR"/>
      </w:pPr>
      <w:r w:rsidRPr="00F7027B">
        <w:tab/>
      </w:r>
      <w:r w:rsidRPr="00F7027B">
        <w:tab/>
        <w:t xml:space="preserve">Недискриминация </w:t>
      </w:r>
    </w:p>
    <w:p w:rsidR="00F7027B" w:rsidRPr="00F7027B" w:rsidRDefault="00F7027B" w:rsidP="00F7027B">
      <w:pPr>
        <w:pStyle w:val="SingleTxtGR"/>
      </w:pPr>
      <w:r w:rsidRPr="00F7027B">
        <w:t>11.</w:t>
      </w:r>
      <w:r w:rsidRPr="00F7027B">
        <w:tab/>
        <w:t>Комитет выражает обеспокоенность в связи с тем, что положения о н</w:t>
      </w:r>
      <w:r w:rsidRPr="00F7027B">
        <w:t>е</w:t>
      </w:r>
      <w:r w:rsidRPr="00F7027B">
        <w:t xml:space="preserve">дискриминации, принятые государством-участником, в том числе статьи 25 и 27 Конституции, не обеспечивают защиту от дискриминации по всем основаниям, запрещенным Пактом. Он также выражает обеспокоенность в связи с тем, что в стране предусмотрено уголовное наказание за однополые отношения между взрослыми людьми по обоюдному согласию. </w:t>
      </w:r>
      <w:proofErr w:type="gramStart"/>
      <w:r w:rsidRPr="00F7027B">
        <w:t>Комитет приветствует информ</w:t>
      </w:r>
      <w:r w:rsidRPr="00F7027B">
        <w:t>а</w:t>
      </w:r>
      <w:r w:rsidRPr="00F7027B">
        <w:t>цию об улучшении положения интерсексуалов в государстве-участнике, но вм</w:t>
      </w:r>
      <w:r w:rsidRPr="00F7027B">
        <w:t>е</w:t>
      </w:r>
      <w:r w:rsidRPr="00F7027B">
        <w:t>сте с тем выражает сожаление по поводу того, что делегация не предоставила информацию об эффективных мерах для предупреждения всех форм дискрим</w:t>
      </w:r>
      <w:r w:rsidRPr="00F7027B">
        <w:t>и</w:t>
      </w:r>
      <w:r w:rsidRPr="00F7027B">
        <w:t xml:space="preserve">нации в отношении лесбиянок, </w:t>
      </w:r>
      <w:proofErr w:type="spellStart"/>
      <w:r w:rsidRPr="00F7027B">
        <w:t>геев</w:t>
      </w:r>
      <w:proofErr w:type="spellEnd"/>
      <w:r w:rsidRPr="00F7027B">
        <w:t>, бисексуалов, трансгендеров и интерсекс</w:t>
      </w:r>
      <w:r w:rsidRPr="00F7027B">
        <w:t>у</w:t>
      </w:r>
      <w:r w:rsidRPr="00F7027B">
        <w:t xml:space="preserve">алов и привлечения виновных в такой дискриминации </w:t>
      </w:r>
      <w:r w:rsidR="00971C02">
        <w:t>к ответственности</w:t>
      </w:r>
      <w:r w:rsidRPr="00F7027B">
        <w:t xml:space="preserve"> (ст</w:t>
      </w:r>
      <w:r w:rsidRPr="00F7027B">
        <w:t>а</w:t>
      </w:r>
      <w:r w:rsidRPr="00F7027B">
        <w:t>тьи 2, 3 и 26).</w:t>
      </w:r>
      <w:proofErr w:type="gramEnd"/>
    </w:p>
    <w:p w:rsidR="00F7027B" w:rsidRPr="00F7027B" w:rsidRDefault="00F7027B" w:rsidP="00F7027B">
      <w:pPr>
        <w:pStyle w:val="SingleTxtGR"/>
        <w:rPr>
          <w:b/>
        </w:rPr>
      </w:pPr>
      <w:r w:rsidRPr="00F7027B">
        <w:t>12.</w:t>
      </w:r>
      <w:r w:rsidRPr="00F7027B">
        <w:tab/>
      </w:r>
      <w:r w:rsidRPr="00F7027B">
        <w:rPr>
          <w:b/>
        </w:rPr>
        <w:t>Государству-участнику следует принять все необходимые меры, включая принятие всеобъемлющего антидискриминационного законод</w:t>
      </w:r>
      <w:r w:rsidRPr="00F7027B">
        <w:rPr>
          <w:b/>
        </w:rPr>
        <w:t>а</w:t>
      </w:r>
      <w:r w:rsidRPr="00F7027B">
        <w:rPr>
          <w:b/>
        </w:rPr>
        <w:t xml:space="preserve">тельства, с </w:t>
      </w:r>
      <w:proofErr w:type="gramStart"/>
      <w:r w:rsidRPr="00F7027B">
        <w:rPr>
          <w:b/>
        </w:rPr>
        <w:t>тем</w:t>
      </w:r>
      <w:proofErr w:type="gramEnd"/>
      <w:r w:rsidRPr="00F7027B">
        <w:rPr>
          <w:b/>
        </w:rPr>
        <w:t xml:space="preserve"> чтобы его нормативно-правовая база: </w:t>
      </w:r>
    </w:p>
    <w:p w:rsidR="00F7027B" w:rsidRPr="00F7027B" w:rsidRDefault="00F7027B" w:rsidP="00F7027B">
      <w:pPr>
        <w:pStyle w:val="SingleTxtGR"/>
        <w:rPr>
          <w:b/>
        </w:rPr>
      </w:pPr>
      <w:r w:rsidRPr="00F7027B">
        <w:rPr>
          <w:b/>
        </w:rPr>
        <w:tab/>
        <w:t>а)</w:t>
      </w:r>
      <w:r w:rsidRPr="00F7027B">
        <w:rPr>
          <w:b/>
        </w:rPr>
        <w:tab/>
        <w:t>обеспечивала полную и эффективную защиту от дискримин</w:t>
      </w:r>
      <w:r w:rsidRPr="00F7027B">
        <w:rPr>
          <w:b/>
        </w:rPr>
        <w:t>а</w:t>
      </w:r>
      <w:r w:rsidRPr="00F7027B">
        <w:rPr>
          <w:b/>
        </w:rPr>
        <w:t>ции во всех сферах, в том числе в частном секторе, и</w:t>
      </w:r>
      <w:r w:rsidRPr="00F7027B">
        <w:t xml:space="preserve"> </w:t>
      </w:r>
      <w:r w:rsidRPr="00F7027B">
        <w:rPr>
          <w:b/>
        </w:rPr>
        <w:t xml:space="preserve">устанавливала запрет на прямую, косвенную и множественную дискриминацию; </w:t>
      </w:r>
    </w:p>
    <w:p w:rsidR="00F7027B" w:rsidRPr="00F7027B" w:rsidRDefault="00F7027B" w:rsidP="00F7027B">
      <w:pPr>
        <w:pStyle w:val="SingleTxtGR"/>
        <w:rPr>
          <w:b/>
        </w:rPr>
      </w:pPr>
      <w:r w:rsidRPr="00F7027B">
        <w:rPr>
          <w:b/>
        </w:rPr>
        <w:tab/>
        <w:t>b)</w:t>
      </w:r>
      <w:r w:rsidRPr="00F7027B">
        <w:rPr>
          <w:b/>
        </w:rPr>
        <w:tab/>
        <w:t>содержала всеобъемлющий перечень запрещенных оснований для дискриминации, включая цвет кожи, язык, политические или иные убеждения, национальное или социальное происхождение, имущественное положение, инвалидность, сексуальную ориентацию и гендерную иденти</w:t>
      </w:r>
      <w:r w:rsidRPr="00F7027B">
        <w:rPr>
          <w:b/>
        </w:rPr>
        <w:t>ч</w:t>
      </w:r>
      <w:r w:rsidRPr="00F7027B">
        <w:rPr>
          <w:b/>
        </w:rPr>
        <w:t xml:space="preserve">ность или иной статус; </w:t>
      </w:r>
    </w:p>
    <w:p w:rsidR="00F7027B" w:rsidRPr="00F7027B" w:rsidRDefault="00F7027B" w:rsidP="00F7027B">
      <w:pPr>
        <w:pStyle w:val="SingleTxtGR"/>
        <w:rPr>
          <w:b/>
        </w:rPr>
      </w:pPr>
      <w:r w:rsidRPr="00F7027B">
        <w:tab/>
      </w:r>
      <w:r w:rsidRPr="00F7027B">
        <w:rPr>
          <w:b/>
        </w:rPr>
        <w:t>с)</w:t>
      </w:r>
      <w:r w:rsidRPr="00F7027B">
        <w:rPr>
          <w:b/>
        </w:rPr>
        <w:tab/>
        <w:t>предусматривала эффективные средства защиты в случае нарушений. Государству-участнику следует также отменить уголовную о</w:t>
      </w:r>
      <w:r w:rsidRPr="00F7027B">
        <w:rPr>
          <w:b/>
        </w:rPr>
        <w:t>т</w:t>
      </w:r>
      <w:r w:rsidRPr="00F7027B">
        <w:rPr>
          <w:b/>
        </w:rPr>
        <w:t>ветственность за однополые отношения между взрослыми людьми по об</w:t>
      </w:r>
      <w:r w:rsidRPr="00F7027B">
        <w:rPr>
          <w:b/>
        </w:rPr>
        <w:t>о</w:t>
      </w:r>
      <w:r w:rsidRPr="00F7027B">
        <w:rPr>
          <w:b/>
        </w:rPr>
        <w:t>юдному согласию.</w:t>
      </w:r>
    </w:p>
    <w:p w:rsidR="00F7027B" w:rsidRPr="00F7027B" w:rsidRDefault="00F7027B" w:rsidP="00586A25">
      <w:pPr>
        <w:pStyle w:val="H23GR"/>
      </w:pPr>
      <w:r w:rsidRPr="00F7027B">
        <w:tab/>
      </w:r>
      <w:r w:rsidRPr="00F7027B">
        <w:tab/>
        <w:t xml:space="preserve">Насилие в отношении женщин и насилие в семье </w:t>
      </w:r>
    </w:p>
    <w:p w:rsidR="00F7027B" w:rsidRPr="00F7027B" w:rsidRDefault="00F7027B" w:rsidP="00F7027B">
      <w:pPr>
        <w:pStyle w:val="SingleTxtGR"/>
      </w:pPr>
      <w:r w:rsidRPr="00F7027B">
        <w:t>13.</w:t>
      </w:r>
      <w:r w:rsidRPr="00F7027B">
        <w:tab/>
        <w:t>Комитет обеспокоен тем, что, несмотря на усилия, прилагаемые госуда</w:t>
      </w:r>
      <w:r w:rsidRPr="00F7027B">
        <w:t>р</w:t>
      </w:r>
      <w:r w:rsidRPr="00F7027B">
        <w:t>ством-участником, насилие в отношении женщин по-прежнему широко распр</w:t>
      </w:r>
      <w:r w:rsidRPr="00F7027B">
        <w:t>о</w:t>
      </w:r>
      <w:r w:rsidRPr="00F7027B">
        <w:t xml:space="preserve">странено. </w:t>
      </w:r>
      <w:proofErr w:type="gramStart"/>
      <w:r w:rsidRPr="00F7027B">
        <w:t xml:space="preserve">Он выражает особую обеспокоенность в связи с тем, что по-прежнему имеют место случаи так называемых убийств на почве оскорбленной чести; что, по сообщениям, в некоторых из этих случаев применяются законы </w:t>
      </w:r>
      <w:r w:rsidR="002316F9">
        <w:t>«</w:t>
      </w:r>
      <w:proofErr w:type="spellStart"/>
      <w:r w:rsidRPr="00F7027B">
        <w:t>кисас</w:t>
      </w:r>
      <w:proofErr w:type="spellEnd"/>
      <w:r w:rsidR="002316F9">
        <w:t>»</w:t>
      </w:r>
      <w:r w:rsidRPr="00F7027B">
        <w:t xml:space="preserve"> (наказание, равное по тяжести совершенному деянию) и </w:t>
      </w:r>
      <w:r w:rsidR="002316F9">
        <w:t>«</w:t>
      </w:r>
      <w:proofErr w:type="spellStart"/>
      <w:r w:rsidRPr="00F7027B">
        <w:t>дият</w:t>
      </w:r>
      <w:proofErr w:type="spellEnd"/>
      <w:r w:rsidR="002316F9">
        <w:t>»</w:t>
      </w:r>
      <w:r w:rsidRPr="00F7027B">
        <w:t xml:space="preserve"> (д</w:t>
      </w:r>
      <w:r w:rsidRPr="00F7027B">
        <w:t>е</w:t>
      </w:r>
      <w:r w:rsidRPr="00F7027B">
        <w:t>нежная компенсация), а в ряде отдаленных районов юрисдикция в отношении таких дел по-прежнему осуществляется советами племен.</w:t>
      </w:r>
      <w:proofErr w:type="gramEnd"/>
      <w:r w:rsidRPr="00F7027B">
        <w:t xml:space="preserve"> Он обеспокоен также информацией о том, что, несмотря на принятие закона о борьбе с изнасилов</w:t>
      </w:r>
      <w:r w:rsidRPr="00F7027B">
        <w:t>а</w:t>
      </w:r>
      <w:r w:rsidRPr="00F7027B">
        <w:t>ниями, ситуация в области предоставления жертвам изнасилований эффекти</w:t>
      </w:r>
      <w:r w:rsidRPr="00F7027B">
        <w:t>в</w:t>
      </w:r>
      <w:r w:rsidRPr="00F7027B">
        <w:t>ного доступа к правосудию не улучшилась, как ожидалось, поскольку по-прежнему не созданы механизмы, которые обеспечивали бы применение ос</w:t>
      </w:r>
      <w:r w:rsidRPr="00F7027B">
        <w:t>о</w:t>
      </w:r>
      <w:r w:rsidRPr="00F7027B">
        <w:t>бых процедур в ходе судебных слушаний. Он обеспокоен также крайне низким уровнем регистрации случаев насилия в отношении женщин, включая насилие в семье; отсутствием оперативных и эффективных расследований таких случ</w:t>
      </w:r>
      <w:r w:rsidRPr="00F7027B">
        <w:t>а</w:t>
      </w:r>
      <w:r w:rsidRPr="00F7027B">
        <w:t>ев; незначительным числом случаев судебного преследования и осуждения в</w:t>
      </w:r>
      <w:r w:rsidRPr="00F7027B">
        <w:t>и</w:t>
      </w:r>
      <w:r w:rsidRPr="00F7027B">
        <w:t>новных; и недостаточност</w:t>
      </w:r>
      <w:r w:rsidR="002316F9">
        <w:t xml:space="preserve">ью помощи, оказываемой жертвам </w:t>
      </w:r>
      <w:r w:rsidRPr="00F7027B">
        <w:t xml:space="preserve">(статьи 2, 3, 6, 7, 24 и 26). </w:t>
      </w:r>
    </w:p>
    <w:p w:rsidR="00F7027B" w:rsidRPr="00F7027B" w:rsidRDefault="00F7027B" w:rsidP="00F7027B">
      <w:pPr>
        <w:pStyle w:val="SingleTxtGR"/>
        <w:rPr>
          <w:b/>
        </w:rPr>
      </w:pPr>
      <w:r w:rsidRPr="00F7027B">
        <w:t>14.</w:t>
      </w:r>
      <w:r w:rsidRPr="00F7027B">
        <w:tab/>
      </w:r>
      <w:r w:rsidRPr="00F7027B">
        <w:rPr>
          <w:b/>
        </w:rPr>
        <w:t>Государству-участнику следует продолжать усилия, с тем чтобы:</w:t>
      </w:r>
    </w:p>
    <w:p w:rsidR="00F7027B" w:rsidRPr="00F7027B" w:rsidRDefault="00F7027B" w:rsidP="00F7027B">
      <w:pPr>
        <w:pStyle w:val="SingleTxtGR"/>
        <w:rPr>
          <w:b/>
        </w:rPr>
      </w:pPr>
      <w:r w:rsidRPr="00F7027B">
        <w:rPr>
          <w:b/>
        </w:rPr>
        <w:tab/>
        <w:t>а)</w:t>
      </w:r>
      <w:r w:rsidRPr="00F7027B">
        <w:rPr>
          <w:b/>
        </w:rPr>
        <w:tab/>
        <w:t>ускорить принятие рассматривающихся на федеральном и пр</w:t>
      </w:r>
      <w:r w:rsidRPr="00F7027B">
        <w:rPr>
          <w:b/>
        </w:rPr>
        <w:t>о</w:t>
      </w:r>
      <w:r w:rsidRPr="00F7027B">
        <w:rPr>
          <w:b/>
        </w:rPr>
        <w:t xml:space="preserve">винциальном </w:t>
      </w:r>
      <w:proofErr w:type="gramStart"/>
      <w:r w:rsidRPr="00F7027B">
        <w:rPr>
          <w:b/>
        </w:rPr>
        <w:t>уровнях</w:t>
      </w:r>
      <w:proofErr w:type="gramEnd"/>
      <w:r w:rsidRPr="00F7027B">
        <w:rPr>
          <w:b/>
        </w:rPr>
        <w:t xml:space="preserve"> законов о борьбе с насилием в отношении женщин и обеспечить их соответствие международным стандартам в области прав человека;</w:t>
      </w:r>
    </w:p>
    <w:p w:rsidR="00F7027B" w:rsidRPr="00F7027B" w:rsidRDefault="00F7027B" w:rsidP="00F7027B">
      <w:pPr>
        <w:pStyle w:val="SingleTxtGR"/>
        <w:rPr>
          <w:b/>
        </w:rPr>
      </w:pPr>
      <w:r w:rsidRPr="00F7027B">
        <w:rPr>
          <w:b/>
        </w:rPr>
        <w:tab/>
        <w:t>b)</w:t>
      </w:r>
      <w:r w:rsidRPr="00F7027B">
        <w:rPr>
          <w:b/>
        </w:rPr>
        <w:tab/>
        <w:t>обеспечить эффективное исполнение законов о борьбе с уби</w:t>
      </w:r>
      <w:r w:rsidRPr="00F7027B">
        <w:rPr>
          <w:b/>
        </w:rPr>
        <w:t>й</w:t>
      </w:r>
      <w:r w:rsidRPr="00F7027B">
        <w:rPr>
          <w:b/>
        </w:rPr>
        <w:t xml:space="preserve">ствами на почве оскорбленной чести и о борьбе </w:t>
      </w:r>
      <w:r w:rsidR="008B3E6A">
        <w:rPr>
          <w:b/>
        </w:rPr>
        <w:t xml:space="preserve">с </w:t>
      </w:r>
      <w:r w:rsidRPr="00F7027B">
        <w:rPr>
          <w:b/>
        </w:rPr>
        <w:t>изнасилованиями и др</w:t>
      </w:r>
      <w:r w:rsidRPr="00F7027B">
        <w:rPr>
          <w:b/>
        </w:rPr>
        <w:t>у</w:t>
      </w:r>
      <w:r w:rsidRPr="00F7027B">
        <w:rPr>
          <w:b/>
        </w:rPr>
        <w:t>гих соответствующих законов, устанавливающих уголовную ответстве</w:t>
      </w:r>
      <w:r w:rsidRPr="00F7027B">
        <w:rPr>
          <w:b/>
        </w:rPr>
        <w:t>н</w:t>
      </w:r>
      <w:r w:rsidRPr="00F7027B">
        <w:rPr>
          <w:b/>
        </w:rPr>
        <w:t>ность за насилие в отношении женщин и насилие в семье, а также ос</w:t>
      </w:r>
      <w:r w:rsidRPr="00F7027B">
        <w:rPr>
          <w:b/>
        </w:rPr>
        <w:t>у</w:t>
      </w:r>
      <w:r w:rsidRPr="00F7027B">
        <w:rPr>
          <w:b/>
        </w:rPr>
        <w:t xml:space="preserve">ществлять </w:t>
      </w:r>
      <w:proofErr w:type="gramStart"/>
      <w:r w:rsidRPr="00F7027B">
        <w:rPr>
          <w:b/>
        </w:rPr>
        <w:t>контроль за</w:t>
      </w:r>
      <w:proofErr w:type="gramEnd"/>
      <w:r w:rsidRPr="00F7027B">
        <w:rPr>
          <w:b/>
        </w:rPr>
        <w:t xml:space="preserve"> их исполнением на всей территории страны;</w:t>
      </w:r>
    </w:p>
    <w:p w:rsidR="00F7027B" w:rsidRPr="00F7027B" w:rsidRDefault="00F7027B" w:rsidP="00F7027B">
      <w:pPr>
        <w:pStyle w:val="SingleTxtGR"/>
        <w:rPr>
          <w:b/>
        </w:rPr>
      </w:pPr>
      <w:r w:rsidRPr="00F7027B">
        <w:rPr>
          <w:b/>
        </w:rPr>
        <w:tab/>
        <w:t>с)</w:t>
      </w:r>
      <w:r w:rsidRPr="00F7027B">
        <w:rPr>
          <w:b/>
        </w:rPr>
        <w:tab/>
        <w:t xml:space="preserve">обеспечить соблюдение запрета на применение законов </w:t>
      </w:r>
      <w:r w:rsidR="008B3E6A">
        <w:rPr>
          <w:b/>
        </w:rPr>
        <w:t>«</w:t>
      </w:r>
      <w:proofErr w:type="spellStart"/>
      <w:r w:rsidRPr="00F7027B">
        <w:rPr>
          <w:b/>
        </w:rPr>
        <w:t>кисас</w:t>
      </w:r>
      <w:proofErr w:type="spellEnd"/>
      <w:r w:rsidR="008B3E6A">
        <w:rPr>
          <w:b/>
        </w:rPr>
        <w:t>»</w:t>
      </w:r>
      <w:r w:rsidRPr="00F7027B">
        <w:rPr>
          <w:b/>
        </w:rPr>
        <w:t xml:space="preserve"> и </w:t>
      </w:r>
      <w:r w:rsidR="008B3E6A">
        <w:rPr>
          <w:b/>
        </w:rPr>
        <w:t>«</w:t>
      </w:r>
      <w:proofErr w:type="spellStart"/>
      <w:r w:rsidRPr="00F7027B">
        <w:rPr>
          <w:b/>
        </w:rPr>
        <w:t>дият</w:t>
      </w:r>
      <w:proofErr w:type="spellEnd"/>
      <w:r w:rsidR="008B3E6A">
        <w:rPr>
          <w:b/>
        </w:rPr>
        <w:t>»</w:t>
      </w:r>
      <w:r w:rsidRPr="00F7027B">
        <w:rPr>
          <w:b/>
        </w:rPr>
        <w:t xml:space="preserve"> в отношении так называемых преступлений в защиту чести и продолжать регулировать и контролировать деятельность советов племен;</w:t>
      </w:r>
    </w:p>
    <w:p w:rsidR="00F7027B" w:rsidRPr="00F7027B" w:rsidRDefault="00F7027B" w:rsidP="00F7027B">
      <w:pPr>
        <w:pStyle w:val="SingleTxtGR"/>
        <w:rPr>
          <w:b/>
        </w:rPr>
      </w:pPr>
      <w:r w:rsidRPr="00F7027B">
        <w:tab/>
      </w:r>
      <w:r w:rsidRPr="00F7027B">
        <w:rPr>
          <w:b/>
        </w:rPr>
        <w:t>d)</w:t>
      </w:r>
      <w:r w:rsidRPr="00F7027B">
        <w:rPr>
          <w:b/>
        </w:rPr>
        <w:tab/>
        <w:t>поощрять сообщения о случаях насилия в отношении женщин, в частности посредством информирования женщин об их правах, а также о существующих юридических и иных услугах, с помощью которых они м</w:t>
      </w:r>
      <w:r w:rsidRPr="00F7027B">
        <w:rPr>
          <w:b/>
        </w:rPr>
        <w:t>о</w:t>
      </w:r>
      <w:r w:rsidRPr="00F7027B">
        <w:rPr>
          <w:b/>
        </w:rPr>
        <w:t>гут получить защиту и компенсацию;</w:t>
      </w:r>
    </w:p>
    <w:p w:rsidR="00F7027B" w:rsidRPr="00F7027B" w:rsidRDefault="00F7027B" w:rsidP="00F7027B">
      <w:pPr>
        <w:pStyle w:val="SingleTxtGR"/>
        <w:rPr>
          <w:b/>
        </w:rPr>
      </w:pPr>
      <w:r w:rsidRPr="00F7027B">
        <w:rPr>
          <w:b/>
        </w:rPr>
        <w:tab/>
        <w:t>e)</w:t>
      </w:r>
      <w:r w:rsidRPr="00F7027B">
        <w:rPr>
          <w:b/>
        </w:rPr>
        <w:tab/>
        <w:t>обеспечивать проведение оперативных и тщательных рассл</w:t>
      </w:r>
      <w:r w:rsidRPr="00F7027B">
        <w:rPr>
          <w:b/>
        </w:rPr>
        <w:t>е</w:t>
      </w:r>
      <w:r w:rsidRPr="00F7027B">
        <w:rPr>
          <w:b/>
        </w:rPr>
        <w:t>дований случаев насилия в отношении женщин и насилия в семье, привл</w:t>
      </w:r>
      <w:r w:rsidRPr="00F7027B">
        <w:rPr>
          <w:b/>
        </w:rPr>
        <w:t>е</w:t>
      </w:r>
      <w:r w:rsidRPr="00F7027B">
        <w:rPr>
          <w:b/>
        </w:rPr>
        <w:t>чение виновных к ответственности и, в случае вынесения обвинительного приговора, назначение наказаний, соразмерных тяжести совершенных ими преступлений;</w:t>
      </w:r>
    </w:p>
    <w:p w:rsidR="00F7027B" w:rsidRPr="00F7027B" w:rsidRDefault="00F7027B" w:rsidP="00F7027B">
      <w:pPr>
        <w:pStyle w:val="SingleTxtGR"/>
        <w:rPr>
          <w:b/>
        </w:rPr>
      </w:pPr>
      <w:r w:rsidRPr="00F7027B">
        <w:tab/>
      </w:r>
      <w:r w:rsidRPr="00F7027B">
        <w:rPr>
          <w:b/>
        </w:rPr>
        <w:t>f)</w:t>
      </w:r>
      <w:r w:rsidRPr="00F7027B">
        <w:rPr>
          <w:b/>
        </w:rPr>
        <w:tab/>
        <w:t>обеспечить предоставление жертвам необходимой юридич</w:t>
      </w:r>
      <w:r w:rsidRPr="00F7027B">
        <w:rPr>
          <w:b/>
        </w:rPr>
        <w:t>е</w:t>
      </w:r>
      <w:r w:rsidRPr="00F7027B">
        <w:rPr>
          <w:b/>
        </w:rPr>
        <w:t>ской, медицинской, финансовой и психологической помощи, а также д</w:t>
      </w:r>
      <w:r w:rsidRPr="00F7027B">
        <w:rPr>
          <w:b/>
        </w:rPr>
        <w:t>о</w:t>
      </w:r>
      <w:r w:rsidRPr="00F7027B">
        <w:rPr>
          <w:b/>
        </w:rPr>
        <w:t>ступа к эффективным средствам правовой защиты и иным средствам з</w:t>
      </w:r>
      <w:r w:rsidRPr="00F7027B">
        <w:rPr>
          <w:b/>
        </w:rPr>
        <w:t>а</w:t>
      </w:r>
      <w:r w:rsidRPr="00F7027B">
        <w:rPr>
          <w:b/>
        </w:rPr>
        <w:t>щиты;</w:t>
      </w:r>
    </w:p>
    <w:p w:rsidR="00F7027B" w:rsidRPr="00F7027B" w:rsidRDefault="00F7027B" w:rsidP="00F7027B">
      <w:pPr>
        <w:pStyle w:val="SingleTxtGR"/>
        <w:rPr>
          <w:b/>
        </w:rPr>
      </w:pPr>
      <w:r w:rsidRPr="00F7027B">
        <w:rPr>
          <w:b/>
        </w:rPr>
        <w:tab/>
        <w:t>g)</w:t>
      </w:r>
      <w:r w:rsidRPr="00F7027B">
        <w:rPr>
          <w:b/>
        </w:rPr>
        <w:tab/>
        <w:t>способствовать тому, чтобы судьи, прокуроры и сотрудники правоохранительных органов продолжали проходить надлежащую подг</w:t>
      </w:r>
      <w:r w:rsidRPr="00F7027B">
        <w:rPr>
          <w:b/>
        </w:rPr>
        <w:t>о</w:t>
      </w:r>
      <w:r w:rsidRPr="00F7027B">
        <w:rPr>
          <w:b/>
        </w:rPr>
        <w:t>товку, необходимую для эффективного рассмотрения дел,</w:t>
      </w:r>
      <w:r w:rsidRPr="00F7027B">
        <w:t xml:space="preserve"> </w:t>
      </w:r>
      <w:r w:rsidRPr="00F7027B">
        <w:rPr>
          <w:b/>
        </w:rPr>
        <w:t>связанных с насилием в отношении женщин и насилием в семье, на основе учета ге</w:t>
      </w:r>
      <w:r w:rsidRPr="00F7027B">
        <w:rPr>
          <w:b/>
        </w:rPr>
        <w:t>н</w:t>
      </w:r>
      <w:r w:rsidRPr="00F7027B">
        <w:rPr>
          <w:b/>
        </w:rPr>
        <w:t>дерных аспектов; и увеличить количество женщин-полицейских, а также подразделений, специализирующихся на подобных делах, до надлежащего уровня.</w:t>
      </w:r>
    </w:p>
    <w:p w:rsidR="00F7027B" w:rsidRPr="00F7027B" w:rsidRDefault="00F7027B" w:rsidP="00586A25">
      <w:pPr>
        <w:pStyle w:val="H23GR"/>
      </w:pPr>
      <w:r w:rsidRPr="00F7027B">
        <w:tab/>
      </w:r>
      <w:r w:rsidRPr="00F7027B">
        <w:tab/>
        <w:t>Добровольное прерывание беременности и материнская смертность</w:t>
      </w:r>
    </w:p>
    <w:p w:rsidR="00F7027B" w:rsidRPr="00F7027B" w:rsidRDefault="00F7027B" w:rsidP="00F7027B">
      <w:pPr>
        <w:pStyle w:val="SingleTxtGR"/>
      </w:pPr>
      <w:r w:rsidRPr="00F7027B">
        <w:t>15.</w:t>
      </w:r>
      <w:r w:rsidRPr="00F7027B">
        <w:tab/>
        <w:t xml:space="preserve">Комитет обеспокоен тем, что аборты по-прежнему квалифицируются в качестве уголовного преступления, за исключением случаев, когда речь идет о спасении жизни женщины или предоставлении ей </w:t>
      </w:r>
      <w:r w:rsidR="00DA6129">
        <w:t>«</w:t>
      </w:r>
      <w:r w:rsidRPr="00F7027B">
        <w:t>необходимого лечения</w:t>
      </w:r>
      <w:r w:rsidR="00DA6129">
        <w:t>»</w:t>
      </w:r>
      <w:r w:rsidRPr="00F7027B">
        <w:t>; о</w:t>
      </w:r>
      <w:r w:rsidRPr="00F7027B">
        <w:t>т</w:t>
      </w:r>
      <w:r w:rsidRPr="00F7027B">
        <w:t>сутствует четкое определение того, при каких обстоятельствах допускается добровольное прерывание беременности, и понимание этого медицинскими р</w:t>
      </w:r>
      <w:r w:rsidRPr="00F7027B">
        <w:t>а</w:t>
      </w:r>
      <w:r w:rsidRPr="00F7027B">
        <w:t>ботниками и населением в целом; по этой причине множество женщин приб</w:t>
      </w:r>
      <w:r w:rsidRPr="00F7027B">
        <w:t>е</w:t>
      </w:r>
      <w:r w:rsidRPr="00F7027B">
        <w:t>гают к небезопасным абортам, которые могут создавать угрозу для их жизни и здоровья; вследствие этого отмечается высокий уровень материнской смертн</w:t>
      </w:r>
      <w:r w:rsidRPr="00F7027B">
        <w:t>о</w:t>
      </w:r>
      <w:r w:rsidRPr="00F7027B">
        <w:t xml:space="preserve">сти. Комитет обеспокоен также весьма высокими показателями нежелательной беременности вследствие ограниченного доступа к информации и услугам в области сексуального и репродуктивного здоровья (статьи 2, 3, 6, 7, 17 и 26). </w:t>
      </w:r>
    </w:p>
    <w:p w:rsidR="00F7027B" w:rsidRPr="00F7027B" w:rsidRDefault="00F7027B" w:rsidP="00F7027B">
      <w:pPr>
        <w:pStyle w:val="SingleTxtGR"/>
        <w:rPr>
          <w:b/>
        </w:rPr>
      </w:pPr>
      <w:r w:rsidRPr="00F7027B">
        <w:t>16.</w:t>
      </w:r>
      <w:r w:rsidRPr="00F7027B">
        <w:tab/>
      </w:r>
      <w:r w:rsidRPr="00F7027B">
        <w:rPr>
          <w:b/>
        </w:rPr>
        <w:t xml:space="preserve">Государству-участнику следует пересмотреть свое законодательство, с </w:t>
      </w:r>
      <w:proofErr w:type="gramStart"/>
      <w:r w:rsidRPr="00F7027B">
        <w:rPr>
          <w:b/>
        </w:rPr>
        <w:t>тем</w:t>
      </w:r>
      <w:proofErr w:type="gramEnd"/>
      <w:r w:rsidRPr="00F7027B">
        <w:rPr>
          <w:b/>
        </w:rPr>
        <w:t xml:space="preserve"> чтобы устранить правовые ограничения, вынуждающие женщин прибегать к небезопасным абортам, которые могут создавать угрозу для их жизни и здоровья. Ему следует также принять все необходимые меры для борьбы со стигматизацией, связанной с абортами; обеспечить возможность безопасного добровольного прерывания беременности с помощью услуг квалифицированного медицинского персонала; обеспечить свободный д</w:t>
      </w:r>
      <w:r w:rsidRPr="00F7027B">
        <w:rPr>
          <w:b/>
        </w:rPr>
        <w:t>о</w:t>
      </w:r>
      <w:r w:rsidRPr="00F7027B">
        <w:rPr>
          <w:b/>
        </w:rPr>
        <w:t>ступ к недорогостоящим медицинским услугам по уходу после произво</w:t>
      </w:r>
      <w:r w:rsidRPr="00F7027B">
        <w:rPr>
          <w:b/>
        </w:rPr>
        <w:t>д</w:t>
      </w:r>
      <w:r w:rsidRPr="00F7027B">
        <w:rPr>
          <w:b/>
        </w:rPr>
        <w:t>ства аборта на всей территории страны; и расширить доступ к недорог</w:t>
      </w:r>
      <w:r w:rsidRPr="00F7027B">
        <w:rPr>
          <w:b/>
        </w:rPr>
        <w:t>о</w:t>
      </w:r>
      <w:r w:rsidRPr="00F7027B">
        <w:rPr>
          <w:b/>
        </w:rPr>
        <w:t>стоящим средствам контрацепции, а также услугам и программам просв</w:t>
      </w:r>
      <w:r w:rsidRPr="00F7027B">
        <w:rPr>
          <w:b/>
        </w:rPr>
        <w:t>е</w:t>
      </w:r>
      <w:r w:rsidR="00DA6129">
        <w:rPr>
          <w:b/>
        </w:rPr>
        <w:t xml:space="preserve">щения </w:t>
      </w:r>
      <w:r w:rsidRPr="00F7027B">
        <w:rPr>
          <w:b/>
        </w:rPr>
        <w:t>в области сексуального и репродуктивного здоровья, в том числе для</w:t>
      </w:r>
      <w:r w:rsidRPr="00F7027B">
        <w:t xml:space="preserve"> </w:t>
      </w:r>
      <w:r w:rsidRPr="00F7027B">
        <w:rPr>
          <w:b/>
        </w:rPr>
        <w:t xml:space="preserve">подростков и находящихся в неблагоприятном положении женщин и девочек в сельских районах. </w:t>
      </w:r>
    </w:p>
    <w:p w:rsidR="00F7027B" w:rsidRPr="00F7027B" w:rsidRDefault="00F7027B" w:rsidP="00586A25">
      <w:pPr>
        <w:pStyle w:val="H23GR"/>
      </w:pPr>
      <w:r w:rsidRPr="00F7027B">
        <w:tab/>
      </w:r>
      <w:r w:rsidRPr="00F7027B">
        <w:tab/>
        <w:t>Смертная казнь</w:t>
      </w:r>
    </w:p>
    <w:p w:rsidR="00F7027B" w:rsidRPr="00F7027B" w:rsidRDefault="00F7027B" w:rsidP="00F7027B">
      <w:pPr>
        <w:pStyle w:val="SingleTxtGR"/>
      </w:pPr>
      <w:r w:rsidRPr="00F7027B">
        <w:t>17.</w:t>
      </w:r>
      <w:r w:rsidRPr="00F7027B">
        <w:tab/>
        <w:t>Комитет с обеспокоенностью отмечает, что в декабре 2014 года госуда</w:t>
      </w:r>
      <w:r w:rsidRPr="00F7027B">
        <w:t>р</w:t>
      </w:r>
      <w:r w:rsidRPr="00F7027B">
        <w:t>ство-участник отменило мораторий на смертную казнь и с тех пор является о</w:t>
      </w:r>
      <w:r w:rsidRPr="00F7027B">
        <w:t>д</w:t>
      </w:r>
      <w:r w:rsidRPr="00F7027B">
        <w:t>ним из госуда</w:t>
      </w:r>
      <w:proofErr w:type="gramStart"/>
      <w:r w:rsidRPr="00F7027B">
        <w:t>рств с с</w:t>
      </w:r>
      <w:proofErr w:type="gramEnd"/>
      <w:r w:rsidRPr="00F7027B">
        <w:t>амыми высокими показателями по числу казней. Он ос</w:t>
      </w:r>
      <w:r w:rsidRPr="00F7027B">
        <w:t>о</w:t>
      </w:r>
      <w:r w:rsidRPr="00F7027B">
        <w:t xml:space="preserve">бенно обеспокоен тем, что смертная казнь применяется не только за </w:t>
      </w:r>
      <w:r w:rsidR="00DA6129">
        <w:t>«</w:t>
      </w:r>
      <w:r w:rsidRPr="00F7027B">
        <w:t>самые тяжкие преступления</w:t>
      </w:r>
      <w:r w:rsidR="00DA6129">
        <w:t>»</w:t>
      </w:r>
      <w:r w:rsidRPr="00F7027B">
        <w:t xml:space="preserve"> по смыслу пункта 2 статьи 6 Пакта, но и за такие, как торговля наркотиками и богохульство; как сообщается, смертные приговоры и казни применяются в отношении несовершеннолетних и лиц с психосоциал</w:t>
      </w:r>
      <w:r w:rsidRPr="00F7027B">
        <w:t>ь</w:t>
      </w:r>
      <w:r w:rsidRPr="00F7027B">
        <w:t>ными и умственными расстройствами; как утверждается, в стране проводится политика полного отказа от рассмотрения прошений о помиловании, и ни одно подобное прошение не было удовлетворено; и, как утверждается, казни прив</w:t>
      </w:r>
      <w:r w:rsidRPr="00F7027B">
        <w:t>о</w:t>
      </w:r>
      <w:r w:rsidRPr="00F7027B">
        <w:t>дятся в исполнение с применением методов, равнозначных пыткам или жест</w:t>
      </w:r>
      <w:r w:rsidRPr="00F7027B">
        <w:t>о</w:t>
      </w:r>
      <w:r w:rsidRPr="00F7027B">
        <w:t>кому, бесчеловечному или унижающему достоинство наказанию. Он также обеспокоен большим числом пакистанских трудящихся-мигрантов, которые б</w:t>
      </w:r>
      <w:r w:rsidRPr="00F7027B">
        <w:t>ы</w:t>
      </w:r>
      <w:r w:rsidRPr="00F7027B">
        <w:t>ли приговорены к смерти и казнены за рубежом, при этом, как сообщается, им не было предоставлено надлежащих консульских и юридических услуг (ст</w:t>
      </w:r>
      <w:r w:rsidRPr="00F7027B">
        <w:t>а</w:t>
      </w:r>
      <w:r w:rsidRPr="00F7027B">
        <w:t>тьи</w:t>
      </w:r>
      <w:r w:rsidR="00D57D93">
        <w:t> </w:t>
      </w:r>
      <w:r w:rsidRPr="00F7027B">
        <w:t xml:space="preserve">2, 6, 7, 9, 14 и 24). </w:t>
      </w:r>
    </w:p>
    <w:p w:rsidR="00F7027B" w:rsidRPr="00F7027B" w:rsidRDefault="00F7027B" w:rsidP="00F7027B">
      <w:pPr>
        <w:pStyle w:val="SingleTxtGR"/>
        <w:rPr>
          <w:b/>
        </w:rPr>
      </w:pPr>
      <w:r w:rsidRPr="00F7027B">
        <w:t>18.</w:t>
      </w:r>
      <w:r w:rsidRPr="00F7027B">
        <w:tab/>
      </w:r>
      <w:r w:rsidRPr="00F7027B">
        <w:rPr>
          <w:b/>
        </w:rPr>
        <w:t>Государству-участнику следует вновь ввести мораторий на смертную казнь, а также рассмотреть вопрос о полной отмене смертной казни и о присоединении ко второму Факультативному протоколу к Пакту. В случае сохранения смертной казни государству-участнику следует в первоочере</w:t>
      </w:r>
      <w:r w:rsidRPr="00F7027B">
        <w:rPr>
          <w:b/>
        </w:rPr>
        <w:t>д</w:t>
      </w:r>
      <w:r w:rsidRPr="00F7027B">
        <w:rPr>
          <w:b/>
        </w:rPr>
        <w:t>ном порядке принять все необходимые меры, с тем чтобы:</w:t>
      </w:r>
    </w:p>
    <w:p w:rsidR="00F7027B" w:rsidRPr="00F7027B" w:rsidRDefault="00F7027B" w:rsidP="00F7027B">
      <w:pPr>
        <w:pStyle w:val="SingleTxtGR"/>
        <w:rPr>
          <w:b/>
        </w:rPr>
      </w:pPr>
      <w:r w:rsidRPr="00F7027B">
        <w:tab/>
      </w:r>
      <w:r w:rsidRPr="00D57D93">
        <w:rPr>
          <w:b/>
        </w:rPr>
        <w:t>а)</w:t>
      </w:r>
      <w:r w:rsidRPr="00D57D93">
        <w:rPr>
          <w:b/>
        </w:rPr>
        <w:tab/>
      </w:r>
      <w:r w:rsidRPr="00F7027B">
        <w:rPr>
          <w:b/>
        </w:rPr>
        <w:t xml:space="preserve">смертная казнь применялась только за </w:t>
      </w:r>
      <w:r w:rsidR="00D57D93">
        <w:rPr>
          <w:b/>
        </w:rPr>
        <w:t>«</w:t>
      </w:r>
      <w:r w:rsidRPr="00F7027B">
        <w:rPr>
          <w:b/>
        </w:rPr>
        <w:t>самые тяжкие пр</w:t>
      </w:r>
      <w:r w:rsidRPr="00F7027B">
        <w:rPr>
          <w:b/>
        </w:rPr>
        <w:t>е</w:t>
      </w:r>
      <w:r w:rsidRPr="00F7027B">
        <w:rPr>
          <w:b/>
        </w:rPr>
        <w:t>ступления</w:t>
      </w:r>
      <w:r w:rsidR="00D57D93">
        <w:rPr>
          <w:b/>
        </w:rPr>
        <w:t>»</w:t>
      </w:r>
      <w:r w:rsidRPr="00F7027B">
        <w:rPr>
          <w:b/>
        </w:rPr>
        <w:t>, связанные с преднамеренным убийством; она не являлась об</w:t>
      </w:r>
      <w:r w:rsidRPr="00F7027B">
        <w:rPr>
          <w:b/>
        </w:rPr>
        <w:t>я</w:t>
      </w:r>
      <w:r w:rsidRPr="00F7027B">
        <w:rPr>
          <w:b/>
        </w:rPr>
        <w:t>зательной; во всех случаях вне зависимости от совершенного преступления сохранялась возможность помилования или замены смертного приговора; и смертная казнь никогда не применялась в нарушение Пакта, в том числе при отсутствии процедур справедливого судебного разбирательства, и не назначалась военными трибуналами, особенно в отношении гражданских лиц;</w:t>
      </w:r>
    </w:p>
    <w:p w:rsidR="00F7027B" w:rsidRPr="00F7027B" w:rsidRDefault="00F7027B" w:rsidP="00F7027B">
      <w:pPr>
        <w:pStyle w:val="SingleTxtGR"/>
        <w:rPr>
          <w:b/>
        </w:rPr>
      </w:pPr>
      <w:r w:rsidRPr="00F7027B">
        <w:tab/>
      </w:r>
      <w:proofErr w:type="gramStart"/>
      <w:r w:rsidRPr="00D57D93">
        <w:rPr>
          <w:b/>
        </w:rPr>
        <w:t>b)</w:t>
      </w:r>
      <w:r w:rsidRPr="00D57D93">
        <w:rPr>
          <w:b/>
        </w:rPr>
        <w:tab/>
      </w:r>
      <w:r w:rsidRPr="00F7027B">
        <w:rPr>
          <w:b/>
        </w:rPr>
        <w:t>смертный приговор не выносился в отношении лиц, которые на момент совершения преступления были моложе 18 лет, а лица, обвиня</w:t>
      </w:r>
      <w:r w:rsidRPr="00F7027B">
        <w:rPr>
          <w:b/>
        </w:rPr>
        <w:t>е</w:t>
      </w:r>
      <w:r w:rsidRPr="00F7027B">
        <w:rPr>
          <w:b/>
        </w:rPr>
        <w:t>мые в совершении преступлений, за которые предусмотрена смертная казнь, имели доступ к эффективной и независимой процедуре определения возраста и рассматривались в качестве детей, если остаются сомнения о</w:t>
      </w:r>
      <w:r w:rsidRPr="00F7027B">
        <w:rPr>
          <w:b/>
        </w:rPr>
        <w:t>т</w:t>
      </w:r>
      <w:r w:rsidRPr="00F7027B">
        <w:rPr>
          <w:b/>
        </w:rPr>
        <w:t>носительно их возраста на момент совершения преступления;</w:t>
      </w:r>
      <w:proofErr w:type="gramEnd"/>
    </w:p>
    <w:p w:rsidR="00F7027B" w:rsidRPr="00F7027B" w:rsidRDefault="00F7027B" w:rsidP="00F7027B">
      <w:pPr>
        <w:pStyle w:val="SingleTxtGR"/>
        <w:rPr>
          <w:b/>
        </w:rPr>
      </w:pPr>
      <w:r w:rsidRPr="00F7027B">
        <w:tab/>
      </w:r>
      <w:proofErr w:type="gramStart"/>
      <w:r w:rsidRPr="00D57D93">
        <w:rPr>
          <w:b/>
        </w:rPr>
        <w:t>с)</w:t>
      </w:r>
      <w:r w:rsidRPr="00D57D93">
        <w:rPr>
          <w:b/>
        </w:rPr>
        <w:tab/>
      </w:r>
      <w:r w:rsidRPr="00F7027B">
        <w:rPr>
          <w:b/>
        </w:rPr>
        <w:t>смертные приговоры и казни не применялись в отношении лиц с серьезными психосоциальными и умственными расстройствами, в том числе за счет создания независимого механизма для рассмотрения всех случаев, когда имеются достоверные доказательства того, что заключе</w:t>
      </w:r>
      <w:r w:rsidRPr="00F7027B">
        <w:rPr>
          <w:b/>
        </w:rPr>
        <w:t>н</w:t>
      </w:r>
      <w:r w:rsidRPr="00F7027B">
        <w:rPr>
          <w:b/>
        </w:rPr>
        <w:t>ные, приговоренные к смертной казни, страдают такими расстройствами, и обеспечивать освидетельствование психического здоровья заключенных, приговоренных к смертной казни;</w:t>
      </w:r>
      <w:proofErr w:type="gramEnd"/>
    </w:p>
    <w:p w:rsidR="00F7027B" w:rsidRPr="00F7027B" w:rsidRDefault="00F7027B" w:rsidP="00F7027B">
      <w:pPr>
        <w:pStyle w:val="SingleTxtGR"/>
        <w:rPr>
          <w:b/>
        </w:rPr>
      </w:pPr>
      <w:r w:rsidRPr="00F7027B">
        <w:tab/>
      </w:r>
      <w:r w:rsidRPr="00D57D93">
        <w:rPr>
          <w:b/>
        </w:rPr>
        <w:t>d)</w:t>
      </w:r>
      <w:r w:rsidRPr="00F7027B">
        <w:tab/>
      </w:r>
      <w:r w:rsidRPr="00F7027B">
        <w:rPr>
          <w:b/>
        </w:rPr>
        <w:t>протокол казни соответствовал международным стандартам в области прав человека и казни осуществлялись в соответствии с утве</w:t>
      </w:r>
      <w:r w:rsidRPr="00F7027B">
        <w:rPr>
          <w:b/>
        </w:rPr>
        <w:t>р</w:t>
      </w:r>
      <w:r w:rsidRPr="00F7027B">
        <w:rPr>
          <w:b/>
        </w:rPr>
        <w:t>жденным протоколом;</w:t>
      </w:r>
    </w:p>
    <w:p w:rsidR="00F7027B" w:rsidRPr="00F7027B" w:rsidRDefault="00F7027B" w:rsidP="00F7027B">
      <w:pPr>
        <w:pStyle w:val="SingleTxtGR"/>
        <w:rPr>
          <w:b/>
        </w:rPr>
      </w:pPr>
      <w:r w:rsidRPr="00F7027B">
        <w:tab/>
      </w:r>
      <w:r w:rsidRPr="00D57D93">
        <w:rPr>
          <w:b/>
        </w:rPr>
        <w:t>e)</w:t>
      </w:r>
      <w:r w:rsidRPr="00F7027B">
        <w:tab/>
      </w:r>
      <w:r w:rsidRPr="00F7027B">
        <w:rPr>
          <w:b/>
        </w:rPr>
        <w:t>пакистанским трудящимся-мигрантам, приговоренным к смертной казни за рубежом, предоставлялись надлежащие юридические и консульские услуги в ходе всего судебного разбирательства.</w:t>
      </w:r>
    </w:p>
    <w:p w:rsidR="00F7027B" w:rsidRPr="00F7027B" w:rsidRDefault="00F7027B" w:rsidP="00586A25">
      <w:pPr>
        <w:pStyle w:val="H23GR"/>
      </w:pPr>
      <w:r w:rsidRPr="00F7027B">
        <w:tab/>
      </w:r>
      <w:r w:rsidRPr="00F7027B">
        <w:tab/>
        <w:t>Насильственные исчезновения и внесудебные казни</w:t>
      </w:r>
    </w:p>
    <w:p w:rsidR="00F7027B" w:rsidRPr="00F7027B" w:rsidRDefault="00F7027B" w:rsidP="00F7027B">
      <w:pPr>
        <w:pStyle w:val="SingleTxtGR"/>
      </w:pPr>
      <w:r w:rsidRPr="00F7027B">
        <w:t>19.</w:t>
      </w:r>
      <w:r w:rsidRPr="00F7027B">
        <w:tab/>
        <w:t>Комитет выражает обеспокоенность по поводу большого числа случаев насильственных исчезновений и внесудебных казней, предположительно с</w:t>
      </w:r>
      <w:r w:rsidRPr="00F7027B">
        <w:t>о</w:t>
      </w:r>
      <w:r w:rsidRPr="00F7027B">
        <w:t>вершенных полицейскими, военнослужащими и сотрудниками служб безопа</w:t>
      </w:r>
      <w:r w:rsidRPr="00F7027B">
        <w:t>с</w:t>
      </w:r>
      <w:r w:rsidRPr="00F7027B">
        <w:t>ности; отсутствия в национальном законодательстве прямой уголовной отве</w:t>
      </w:r>
      <w:r w:rsidRPr="00F7027B">
        <w:t>т</w:t>
      </w:r>
      <w:r w:rsidRPr="00F7027B">
        <w:t xml:space="preserve">ственности за насильственные исчезновения; </w:t>
      </w:r>
      <w:proofErr w:type="gramStart"/>
      <w:r w:rsidRPr="00F7027B">
        <w:t>Положений о действиях (в п</w:t>
      </w:r>
      <w:r w:rsidRPr="00F7027B">
        <w:t>о</w:t>
      </w:r>
      <w:r w:rsidRPr="00F7027B">
        <w:t>мощь гражданским властям) 2011 года, согласно которым военнослужащие м</w:t>
      </w:r>
      <w:r w:rsidRPr="00F7027B">
        <w:t>о</w:t>
      </w:r>
      <w:r w:rsidRPr="00F7027B">
        <w:t>гут задерживать лиц без предъявления ордера на арест и без судебного надзора и бессрочно удерживать их в военных центрах содержания под стражей, а та</w:t>
      </w:r>
      <w:r w:rsidRPr="00F7027B">
        <w:t>к</w:t>
      </w:r>
      <w:r w:rsidRPr="00F7027B">
        <w:t>же по поводу сообщений о большом числе лиц, содержащихся в тайных местах лишения свободы на основании этих Положений.</w:t>
      </w:r>
      <w:proofErr w:type="gramEnd"/>
      <w:r w:rsidRPr="00F7027B">
        <w:t xml:space="preserve"> </w:t>
      </w:r>
      <w:proofErr w:type="gramStart"/>
      <w:r w:rsidRPr="00F7027B">
        <w:t>Он обеспокоен также соо</w:t>
      </w:r>
      <w:r w:rsidRPr="00F7027B">
        <w:t>б</w:t>
      </w:r>
      <w:r w:rsidRPr="00F7027B">
        <w:t>щениями о том, что семьи исчезнувших лиц подвергаются угрозам и запугив</w:t>
      </w:r>
      <w:r w:rsidRPr="00F7027B">
        <w:t>а</w:t>
      </w:r>
      <w:r w:rsidRPr="00F7027B">
        <w:t>нию, с помощью которых их пытаются заставить отказаться от подачи заявл</w:t>
      </w:r>
      <w:r w:rsidRPr="00F7027B">
        <w:t>е</w:t>
      </w:r>
      <w:r w:rsidRPr="00F7027B">
        <w:t>ний о насильственном исчезновении; отсутствием оперативных и эффективных расследований, а также крайне низкими показателями судебного преследования и осуждения виновных; и недостаточностью средств правовой защиты и во</w:t>
      </w:r>
      <w:r w:rsidRPr="00F7027B">
        <w:t>з</w:t>
      </w:r>
      <w:r w:rsidRPr="00F7027B">
        <w:t>мещения ущерба, предоставляемых жертвам и их семьям.</w:t>
      </w:r>
      <w:proofErr w:type="gramEnd"/>
      <w:r w:rsidRPr="00F7027B">
        <w:t xml:space="preserve"> Приветствуя создание Комиссии по расследованию случаев насильственных исчезновений, Комитет</w:t>
      </w:r>
      <w:r w:rsidR="00A1160C">
        <w:t>,</w:t>
      </w:r>
      <w:r w:rsidRPr="00F7027B">
        <w:t xml:space="preserve"> тем не менее</w:t>
      </w:r>
      <w:r w:rsidR="00A1160C">
        <w:t>,</w:t>
      </w:r>
      <w:r w:rsidRPr="00F7027B">
        <w:t xml:space="preserve"> вновь выражает обеспокоенность в связи с</w:t>
      </w:r>
      <w:r w:rsidR="00DB21AA">
        <w:t xml:space="preserve"> </w:t>
      </w:r>
      <w:r w:rsidRPr="00F7027B">
        <w:t>недостаточным объ</w:t>
      </w:r>
      <w:r w:rsidRPr="00F7027B">
        <w:t>е</w:t>
      </w:r>
      <w:r w:rsidRPr="00F7027B">
        <w:t>мом полномочий Комиссии и ресурсов, выделяемых на ее нужды; несоблюд</w:t>
      </w:r>
      <w:r w:rsidRPr="00F7027B">
        <w:t>е</w:t>
      </w:r>
      <w:r w:rsidRPr="00F7027B">
        <w:t>нием постановлений Комиссии соответствующими органами; а также в связи с тем, что большое количество дел, представляемых на рассмотрение Комиссии, остаются неурегулированными, а виновные не подвергаются уголовному пр</w:t>
      </w:r>
      <w:r w:rsidRPr="00F7027B">
        <w:t>е</w:t>
      </w:r>
      <w:r w:rsidRPr="00F7027B">
        <w:t>следованию (статьи 2, 6, 7, 9, 14 и 16).</w:t>
      </w:r>
    </w:p>
    <w:p w:rsidR="00F7027B" w:rsidRPr="00F7027B" w:rsidRDefault="00F7027B" w:rsidP="00F7027B">
      <w:pPr>
        <w:pStyle w:val="SingleTxtGR"/>
        <w:rPr>
          <w:b/>
        </w:rPr>
      </w:pPr>
      <w:r w:rsidRPr="00F7027B">
        <w:t>20.</w:t>
      </w:r>
      <w:r w:rsidRPr="00F7027B">
        <w:tab/>
      </w:r>
      <w:r w:rsidRPr="00F7027B">
        <w:rPr>
          <w:b/>
        </w:rPr>
        <w:t>Государству-участнику следует ввести уголовную ответственность за насильственные исчезновения и положить конец практике насильстве</w:t>
      </w:r>
      <w:r w:rsidRPr="00F7027B">
        <w:rPr>
          <w:b/>
        </w:rPr>
        <w:t>н</w:t>
      </w:r>
      <w:r w:rsidRPr="00F7027B">
        <w:rPr>
          <w:b/>
        </w:rPr>
        <w:t xml:space="preserve">ных исчезновений и тайного содержания под стражей. Ему также следует пересмотреть Положения о действиях (в помощь гражданским властям) 2011 года, с </w:t>
      </w:r>
      <w:proofErr w:type="gramStart"/>
      <w:r w:rsidRPr="00F7027B">
        <w:rPr>
          <w:b/>
        </w:rPr>
        <w:t>тем</w:t>
      </w:r>
      <w:proofErr w:type="gramEnd"/>
      <w:r w:rsidRPr="00F7027B">
        <w:rPr>
          <w:b/>
        </w:rPr>
        <w:t xml:space="preserve"> чтобы полностью отменить их либо привести в соотве</w:t>
      </w:r>
      <w:r w:rsidRPr="00F7027B">
        <w:rPr>
          <w:b/>
        </w:rPr>
        <w:t>т</w:t>
      </w:r>
      <w:r w:rsidRPr="00F7027B">
        <w:rPr>
          <w:b/>
        </w:rPr>
        <w:t xml:space="preserve">ствие с международными стандартами. </w:t>
      </w:r>
      <w:proofErr w:type="gramStart"/>
      <w:r w:rsidRPr="00F7027B">
        <w:rPr>
          <w:b/>
        </w:rPr>
        <w:t>Ему следует также обеспечить пр</w:t>
      </w:r>
      <w:r w:rsidRPr="00F7027B">
        <w:rPr>
          <w:b/>
        </w:rPr>
        <w:t>о</w:t>
      </w:r>
      <w:r w:rsidRPr="00F7027B">
        <w:rPr>
          <w:b/>
        </w:rPr>
        <w:t>ведение оперативных и тщательных расследований по всем заявлениям о насильственных исчезновениях и внесудебных казнях; привлечение к о</w:t>
      </w:r>
      <w:r w:rsidRPr="00F7027B">
        <w:rPr>
          <w:b/>
        </w:rPr>
        <w:t>т</w:t>
      </w:r>
      <w:r w:rsidRPr="00F7027B">
        <w:rPr>
          <w:b/>
        </w:rPr>
        <w:t>ветственности и наказание всех виновных соразмерно степени тяжести с</w:t>
      </w:r>
      <w:r w:rsidRPr="00F7027B">
        <w:rPr>
          <w:b/>
        </w:rPr>
        <w:t>о</w:t>
      </w:r>
      <w:r w:rsidRPr="00F7027B">
        <w:rPr>
          <w:b/>
        </w:rPr>
        <w:t>вершенных ими деяний; защиту семей исчезнувших лиц, их адвокатов, а также</w:t>
      </w:r>
      <w:r w:rsidRPr="00F7027B">
        <w:t xml:space="preserve"> </w:t>
      </w:r>
      <w:r w:rsidRPr="00F7027B">
        <w:rPr>
          <w:b/>
        </w:rPr>
        <w:t>свидетелей; и создание механизма для предоставления полного и своевременного возмещени</w:t>
      </w:r>
      <w:r w:rsidR="001347B0">
        <w:rPr>
          <w:b/>
        </w:rPr>
        <w:t>я</w:t>
      </w:r>
      <w:r w:rsidRPr="00F7027B">
        <w:rPr>
          <w:b/>
        </w:rPr>
        <w:t xml:space="preserve"> ущерба жертвам и их семьям.</w:t>
      </w:r>
      <w:proofErr w:type="gramEnd"/>
      <w:r w:rsidRPr="00F7027B">
        <w:rPr>
          <w:b/>
        </w:rPr>
        <w:t xml:space="preserve"> Государству-участнику следует и дальше укреплять авторитет и потенциал (с точки зрения финансовых и кадровых ресурсов) Комиссии по расследованию случаев насильственных исчезновений, с </w:t>
      </w:r>
      <w:proofErr w:type="gramStart"/>
      <w:r w:rsidRPr="00F7027B">
        <w:rPr>
          <w:b/>
        </w:rPr>
        <w:t>тем</w:t>
      </w:r>
      <w:proofErr w:type="gramEnd"/>
      <w:r w:rsidRPr="00F7027B">
        <w:rPr>
          <w:b/>
        </w:rPr>
        <w:t xml:space="preserve"> чтобы она могла эффективно выполнять свои функции. </w:t>
      </w:r>
    </w:p>
    <w:p w:rsidR="00F7027B" w:rsidRPr="00F7027B" w:rsidRDefault="00F7027B" w:rsidP="00586A25">
      <w:pPr>
        <w:pStyle w:val="H23GR"/>
      </w:pPr>
      <w:r w:rsidRPr="00F7027B">
        <w:tab/>
      </w:r>
      <w:r w:rsidRPr="00F7027B">
        <w:tab/>
        <w:t xml:space="preserve">Закон о борьбе с терроризмом </w:t>
      </w:r>
    </w:p>
    <w:p w:rsidR="00F7027B" w:rsidRPr="00F7027B" w:rsidRDefault="00F7027B" w:rsidP="00F7027B">
      <w:pPr>
        <w:pStyle w:val="SingleTxtGR"/>
      </w:pPr>
      <w:r w:rsidRPr="00F7027B">
        <w:t>21.</w:t>
      </w:r>
      <w:r w:rsidRPr="00F7027B">
        <w:tab/>
      </w:r>
      <w:proofErr w:type="gramStart"/>
      <w:r w:rsidRPr="00F7027B">
        <w:t>Отмечая, что государству-участнику необходимо принимать меры по борьбе с терроризмом, Комитет вместе с тем вновь выражает обеспокоенность в связи с весьма широким определением терроризма, содержащимся в Законе о борьбе с терроризмом; преимущественной силой этого Закона по отношению к другим законам, включая Указ 2000 года о системе правосудия по делам нес</w:t>
      </w:r>
      <w:r w:rsidRPr="00F7027B">
        <w:t>о</w:t>
      </w:r>
      <w:r w:rsidRPr="00F7027B">
        <w:t>вершеннолетних, который предусматривает возможность рассмотрения судами дел несовершеннолетних;</w:t>
      </w:r>
      <w:proofErr w:type="gramEnd"/>
      <w:r w:rsidRPr="00F7027B">
        <w:t xml:space="preserve"> полномочиями властей задерживать то или иное лицо на срок до одного года; и допустимостью использования в качестве доказател</w:t>
      </w:r>
      <w:r w:rsidRPr="00F7027B">
        <w:t>ь</w:t>
      </w:r>
      <w:r w:rsidRPr="00F7027B">
        <w:t>ства в суде признаний, сделанных во время содержания под стражей в полиции, как предусмотрено в разделе 21-H Закона. Комитет обеспокоен также широкой юрисдикцией судов, рассматривающих дела о терроризме, огромным колич</w:t>
      </w:r>
      <w:r w:rsidRPr="00F7027B">
        <w:t>е</w:t>
      </w:r>
      <w:r w:rsidRPr="00F7027B">
        <w:t>ством нерассмотренных дел, а также отсутствием процессуальных гарантий в ходе судебных разбирательств (статьи 2, 6, 7, 14 и 15).</w:t>
      </w:r>
    </w:p>
    <w:p w:rsidR="00F7027B" w:rsidRPr="00F7027B" w:rsidRDefault="00F7027B" w:rsidP="00F7027B">
      <w:pPr>
        <w:pStyle w:val="SingleTxtGR"/>
        <w:rPr>
          <w:b/>
        </w:rPr>
      </w:pPr>
      <w:r w:rsidRPr="00F7027B">
        <w:t>22.</w:t>
      </w:r>
      <w:r w:rsidRPr="00F7027B">
        <w:tab/>
      </w:r>
      <w:r w:rsidRPr="00F7027B">
        <w:rPr>
          <w:b/>
        </w:rPr>
        <w:t>Государству-участнику следует пересмотреть Закон о борьбе с терр</w:t>
      </w:r>
      <w:r w:rsidRPr="00F7027B">
        <w:rPr>
          <w:b/>
        </w:rPr>
        <w:t>о</w:t>
      </w:r>
      <w:r w:rsidRPr="00F7027B">
        <w:rPr>
          <w:b/>
        </w:rPr>
        <w:t xml:space="preserve">ризмом, с </w:t>
      </w:r>
      <w:proofErr w:type="gramStart"/>
      <w:r w:rsidRPr="00F7027B">
        <w:rPr>
          <w:b/>
        </w:rPr>
        <w:t>тем</w:t>
      </w:r>
      <w:proofErr w:type="gramEnd"/>
      <w:r w:rsidRPr="00F7027B">
        <w:rPr>
          <w:b/>
        </w:rPr>
        <w:t xml:space="preserve"> чтобы привести определение терроризма, содержащееся в статье 6 Закона, в соответствие с международными стандартами; отменить юрисдикцию судов, рассматривающих дела о терроризме, в отношении несовершеннолетних правонарушителей; отменить раздел 21-H Закона; з</w:t>
      </w:r>
      <w:r w:rsidRPr="00F7027B">
        <w:rPr>
          <w:b/>
        </w:rPr>
        <w:t>а</w:t>
      </w:r>
      <w:r w:rsidRPr="00F7027B">
        <w:rPr>
          <w:b/>
        </w:rPr>
        <w:t>крепить в Законе процессуальные гарантии и привести порядок рассмо</w:t>
      </w:r>
      <w:r w:rsidRPr="00F7027B">
        <w:rPr>
          <w:b/>
        </w:rPr>
        <w:t>т</w:t>
      </w:r>
      <w:r w:rsidRPr="00F7027B">
        <w:rPr>
          <w:b/>
        </w:rPr>
        <w:t>рения дел в судах в соответствие со статьями 14 и 15 Пакта для обеспеч</w:t>
      </w:r>
      <w:r w:rsidRPr="00F7027B">
        <w:rPr>
          <w:b/>
        </w:rPr>
        <w:t>е</w:t>
      </w:r>
      <w:r w:rsidRPr="00F7027B">
        <w:rPr>
          <w:b/>
        </w:rPr>
        <w:t>ния справедливого судебного разбирательства. Ему следует также, де</w:t>
      </w:r>
      <w:r w:rsidRPr="00F7027B">
        <w:rPr>
          <w:b/>
        </w:rPr>
        <w:t>й</w:t>
      </w:r>
      <w:r w:rsidRPr="00F7027B">
        <w:rPr>
          <w:b/>
        </w:rPr>
        <w:t>ствуя в соответствии с Пактом, принять необходимые меры в целях с</w:t>
      </w:r>
      <w:r w:rsidRPr="00F7027B">
        <w:rPr>
          <w:b/>
        </w:rPr>
        <w:t>о</w:t>
      </w:r>
      <w:r w:rsidRPr="00F7027B">
        <w:rPr>
          <w:b/>
        </w:rPr>
        <w:t>кращения числа нерассмотренных дел.</w:t>
      </w:r>
    </w:p>
    <w:p w:rsidR="00F7027B" w:rsidRPr="00F7027B" w:rsidRDefault="00F7027B" w:rsidP="00586A25">
      <w:pPr>
        <w:pStyle w:val="H23GR"/>
      </w:pPr>
      <w:r w:rsidRPr="00F7027B">
        <w:tab/>
      </w:r>
      <w:r w:rsidRPr="00F7027B">
        <w:tab/>
        <w:t>Военные суды</w:t>
      </w:r>
    </w:p>
    <w:p w:rsidR="00F7027B" w:rsidRPr="00F7027B" w:rsidRDefault="00F7027B" w:rsidP="00F7027B">
      <w:pPr>
        <w:pStyle w:val="SingleTxtGR"/>
      </w:pPr>
      <w:r w:rsidRPr="00F7027B">
        <w:t>23.</w:t>
      </w:r>
      <w:r w:rsidRPr="00F7027B">
        <w:tab/>
        <w:t>Комитет выражает обеспокоенность по поводу распространения юри</w:t>
      </w:r>
      <w:r w:rsidRPr="00F7027B">
        <w:t>с</w:t>
      </w:r>
      <w:r w:rsidRPr="00F7027B">
        <w:t>дикции военных судов на дела, переданные из судов, рассматривающих дела о терроризме, а также на лиц, содержащихся под стражей на основании Полож</w:t>
      </w:r>
      <w:r w:rsidRPr="00F7027B">
        <w:t>е</w:t>
      </w:r>
      <w:r w:rsidRPr="00F7027B">
        <w:t>ний о действиях (в помощь гражданским властям). Комитет обеспокоен также тем, что по итогам тайных судебных разбирательств эти суды вынесли обвин</w:t>
      </w:r>
      <w:r w:rsidRPr="00F7027B">
        <w:t>и</w:t>
      </w:r>
      <w:r w:rsidRPr="00F7027B">
        <w:t>тельные приговоры в</w:t>
      </w:r>
      <w:r w:rsidR="003710B3">
        <w:t xml:space="preserve"> </w:t>
      </w:r>
      <w:proofErr w:type="gramStart"/>
      <w:r w:rsidR="003710B3">
        <w:t>отношении</w:t>
      </w:r>
      <w:proofErr w:type="gramEnd"/>
      <w:r w:rsidR="003710B3">
        <w:t xml:space="preserve"> по меньшей мере 274 </w:t>
      </w:r>
      <w:r w:rsidRPr="00F7027B">
        <w:t>гражданских лиц, в том числе, предположительно, в отношении детей, и приговорили 161 гражданское лицо к смертной казни. Он обеспокоен также тем, что около 90</w:t>
      </w:r>
      <w:r w:rsidR="003710B3">
        <w:t>%</w:t>
      </w:r>
      <w:r w:rsidRPr="00F7027B">
        <w:t xml:space="preserve"> обвинител</w:t>
      </w:r>
      <w:r w:rsidRPr="00F7027B">
        <w:t>ь</w:t>
      </w:r>
      <w:r w:rsidRPr="00F7027B">
        <w:t>ных приговоров основаны на признаниях; не ясно, на основе каких критериев те или иные дела передаются на рассмотрение в эти суды; на практике подс</w:t>
      </w:r>
      <w:r w:rsidRPr="00F7027B">
        <w:t>у</w:t>
      </w:r>
      <w:r w:rsidRPr="00F7027B">
        <w:t>димые лишены права нанимать адвоката по своему выбору, равно как и эффе</w:t>
      </w:r>
      <w:r w:rsidRPr="00F7027B">
        <w:t>к</w:t>
      </w:r>
      <w:r w:rsidRPr="00F7027B">
        <w:t xml:space="preserve">тивного права на обжалование в гражданских судах; и обвинения, выдвигаемые против подсудимых, характер доказательств и письменные постановления, </w:t>
      </w:r>
      <w:r w:rsidR="003710B3">
        <w:br/>
      </w:r>
      <w:r w:rsidRPr="00F7027B">
        <w:t>объясняющие причины осуждения, не предаются гласности. Кроме того, Ком</w:t>
      </w:r>
      <w:r w:rsidRPr="00F7027B">
        <w:t>и</w:t>
      </w:r>
      <w:r w:rsidRPr="00F7027B">
        <w:t xml:space="preserve">тет выражает обеспокоенность в связи с утверждениями о том, что военными судами было </w:t>
      </w:r>
      <w:proofErr w:type="gramStart"/>
      <w:r w:rsidRPr="00F7027B">
        <w:t>осуждено</w:t>
      </w:r>
      <w:proofErr w:type="gramEnd"/>
      <w:r w:rsidRPr="00F7027B">
        <w:t xml:space="preserve"> по меньшей мере пять </w:t>
      </w:r>
      <w:r w:rsidR="003710B3">
        <w:t>«</w:t>
      </w:r>
      <w:r w:rsidRPr="00F7027B">
        <w:t>пропавших без вести лиц</w:t>
      </w:r>
      <w:r w:rsidR="003710B3">
        <w:t>»</w:t>
      </w:r>
      <w:r w:rsidRPr="00F7027B">
        <w:t>, чьи дела расследуются Комиссией по расследованию случаев насильственных и</w:t>
      </w:r>
      <w:r w:rsidRPr="00F7027B">
        <w:t>с</w:t>
      </w:r>
      <w:r w:rsidRPr="00F7027B">
        <w:t>чезновений (статьи 2, 6, 7, 9, 14 и 15).</w:t>
      </w:r>
      <w:bookmarkStart w:id="2" w:name="_Hlk488013801"/>
      <w:bookmarkEnd w:id="2"/>
    </w:p>
    <w:p w:rsidR="00F7027B" w:rsidRPr="00F7027B" w:rsidRDefault="00F7027B" w:rsidP="00F7027B">
      <w:pPr>
        <w:pStyle w:val="SingleTxtGR"/>
        <w:rPr>
          <w:b/>
        </w:rPr>
      </w:pPr>
      <w:r w:rsidRPr="00F7027B">
        <w:t>24.</w:t>
      </w:r>
      <w:r w:rsidRPr="00F7027B">
        <w:tab/>
      </w:r>
      <w:r w:rsidRPr="00F7027B">
        <w:rPr>
          <w:b/>
        </w:rPr>
        <w:t xml:space="preserve">Государству-участнику следует a) пересмотреть законодательство, касающееся военных судов, с целью отмены их юрисдикции в отношении гражданских лиц и их полномочий по вынесению смертных приговоров и b) провести реформу военных судов, с </w:t>
      </w:r>
      <w:proofErr w:type="gramStart"/>
      <w:r w:rsidRPr="00F7027B">
        <w:rPr>
          <w:b/>
        </w:rPr>
        <w:t>тем</w:t>
      </w:r>
      <w:proofErr w:type="gramEnd"/>
      <w:r w:rsidRPr="00F7027B">
        <w:rPr>
          <w:b/>
        </w:rPr>
        <w:t xml:space="preserve"> чтобы привести их деятельность в полное соответствие со статьями 14 и 15 Пакта в целях обеспечения справедливого судебного разбирательства. </w:t>
      </w:r>
    </w:p>
    <w:p w:rsidR="00F7027B" w:rsidRPr="00F7027B" w:rsidRDefault="00F7027B" w:rsidP="00586A25">
      <w:pPr>
        <w:pStyle w:val="H23GR"/>
      </w:pPr>
      <w:r w:rsidRPr="00F7027B">
        <w:tab/>
      </w:r>
      <w:r w:rsidRPr="00F7027B">
        <w:tab/>
        <w:t xml:space="preserve">Пытки </w:t>
      </w:r>
    </w:p>
    <w:p w:rsidR="00F7027B" w:rsidRPr="00F7027B" w:rsidRDefault="00F7027B" w:rsidP="00F7027B">
      <w:pPr>
        <w:pStyle w:val="SingleTxtGR"/>
      </w:pPr>
      <w:r w:rsidRPr="00F7027B">
        <w:t>25.</w:t>
      </w:r>
      <w:r w:rsidRPr="00F7027B">
        <w:tab/>
        <w:t>Комитет обеспокоен тем, что во внутреннем законодательстве отсутств</w:t>
      </w:r>
      <w:r w:rsidRPr="00F7027B">
        <w:t>у</w:t>
      </w:r>
      <w:r w:rsidRPr="00F7027B">
        <w:t>ет определение пыток и не предусматривается уголовная ответственность за их применение, как того требуют статья 7 Пакта и другие международные ста</w:t>
      </w:r>
      <w:r w:rsidRPr="00F7027B">
        <w:t>н</w:t>
      </w:r>
      <w:r w:rsidRPr="00F7027B">
        <w:t>дарты; как утверждается, пытки широко используются полицейскими, военн</w:t>
      </w:r>
      <w:r w:rsidRPr="00F7027B">
        <w:t>о</w:t>
      </w:r>
      <w:r w:rsidRPr="00F7027B">
        <w:t>служащими и сотрудниками сил безопасности и разведывательных служб; а также тем, что по сообщениям о пытках не проводится оперативных и тщател</w:t>
      </w:r>
      <w:r w:rsidRPr="00F7027B">
        <w:t>ь</w:t>
      </w:r>
      <w:r w:rsidRPr="00F7027B">
        <w:t>ных расследований, а виновные редко привлекаются к ответственности (2, 7, 14 и 15).</w:t>
      </w:r>
    </w:p>
    <w:p w:rsidR="00F7027B" w:rsidRPr="00F7027B" w:rsidRDefault="00F7027B" w:rsidP="00F7027B">
      <w:pPr>
        <w:pStyle w:val="SingleTxtGR"/>
        <w:rPr>
          <w:b/>
        </w:rPr>
      </w:pPr>
      <w:r w:rsidRPr="00DE0128">
        <w:t>26.</w:t>
      </w:r>
      <w:r w:rsidRPr="00DE0128">
        <w:tab/>
      </w:r>
      <w:r w:rsidRPr="00F7027B">
        <w:rPr>
          <w:b/>
        </w:rPr>
        <w:t xml:space="preserve">Государству-участнику следует: </w:t>
      </w:r>
    </w:p>
    <w:p w:rsidR="00F7027B" w:rsidRPr="00F7027B" w:rsidRDefault="00F7027B" w:rsidP="00F7027B">
      <w:pPr>
        <w:pStyle w:val="SingleTxtGR"/>
        <w:rPr>
          <w:b/>
        </w:rPr>
      </w:pPr>
      <w:r w:rsidRPr="00F7027B">
        <w:rPr>
          <w:b/>
        </w:rPr>
        <w:tab/>
        <w:t>а)</w:t>
      </w:r>
      <w:r w:rsidRPr="00F7027B">
        <w:rPr>
          <w:b/>
        </w:rPr>
        <w:tab/>
        <w:t xml:space="preserve">внести изменения в законодательство, с </w:t>
      </w:r>
      <w:proofErr w:type="gramStart"/>
      <w:r w:rsidRPr="00F7027B">
        <w:rPr>
          <w:b/>
        </w:rPr>
        <w:t>тем</w:t>
      </w:r>
      <w:proofErr w:type="gramEnd"/>
      <w:r w:rsidRPr="00F7027B">
        <w:rPr>
          <w:b/>
        </w:rPr>
        <w:t xml:space="preserve"> чтобы все элеме</w:t>
      </w:r>
      <w:r w:rsidRPr="00F7027B">
        <w:rPr>
          <w:b/>
        </w:rPr>
        <w:t>н</w:t>
      </w:r>
      <w:r w:rsidRPr="00F7027B">
        <w:rPr>
          <w:b/>
        </w:rPr>
        <w:t>ты преступления в форме пыток были запрещены в соответствии со стат</w:t>
      </w:r>
      <w:r w:rsidRPr="00F7027B">
        <w:rPr>
          <w:b/>
        </w:rPr>
        <w:t>ь</w:t>
      </w:r>
      <w:r w:rsidRPr="00F7027B">
        <w:rPr>
          <w:b/>
        </w:rPr>
        <w:t xml:space="preserve">ей 7 Пакта, а также предусмотреть меры наказания за применение пыток, соразмерные тяжести преступления; </w:t>
      </w:r>
    </w:p>
    <w:p w:rsidR="00F7027B" w:rsidRPr="00F7027B" w:rsidRDefault="00F7027B" w:rsidP="00F7027B">
      <w:pPr>
        <w:pStyle w:val="SingleTxtGR"/>
        <w:rPr>
          <w:b/>
        </w:rPr>
      </w:pPr>
      <w:r w:rsidRPr="00F7027B">
        <w:rPr>
          <w:b/>
        </w:rPr>
        <w:tab/>
        <w:t>b)</w:t>
      </w:r>
      <w:r w:rsidRPr="00F7027B">
        <w:rPr>
          <w:b/>
        </w:rPr>
        <w:tab/>
        <w:t>обеспечивать оперативное, тщательное и эффективное рассл</w:t>
      </w:r>
      <w:r w:rsidRPr="00F7027B">
        <w:rPr>
          <w:b/>
        </w:rPr>
        <w:t>е</w:t>
      </w:r>
      <w:r w:rsidRPr="00F7027B">
        <w:rPr>
          <w:b/>
        </w:rPr>
        <w:t>дование по всем сообщениям о пытках и жестоком обращении, осущест</w:t>
      </w:r>
      <w:r w:rsidRPr="00F7027B">
        <w:rPr>
          <w:b/>
        </w:rPr>
        <w:t>в</w:t>
      </w:r>
      <w:r w:rsidRPr="00F7027B">
        <w:rPr>
          <w:b/>
        </w:rPr>
        <w:t>лять уголовное преследование и, в случае вынесения обвинительного пр</w:t>
      </w:r>
      <w:r w:rsidRPr="00F7027B">
        <w:rPr>
          <w:b/>
        </w:rPr>
        <w:t>и</w:t>
      </w:r>
      <w:r w:rsidRPr="00F7027B">
        <w:rPr>
          <w:b/>
        </w:rPr>
        <w:t>говора, наказывать виновных соразмерно тяжести совершенных ими де</w:t>
      </w:r>
      <w:r w:rsidRPr="00F7027B">
        <w:rPr>
          <w:b/>
        </w:rPr>
        <w:t>я</w:t>
      </w:r>
      <w:r w:rsidRPr="00F7027B">
        <w:rPr>
          <w:b/>
        </w:rPr>
        <w:t>ний, а также предоставлять жертвам эффективные средства правовой з</w:t>
      </w:r>
      <w:r w:rsidRPr="00F7027B">
        <w:rPr>
          <w:b/>
        </w:rPr>
        <w:t>а</w:t>
      </w:r>
      <w:r w:rsidRPr="00F7027B">
        <w:rPr>
          <w:b/>
        </w:rPr>
        <w:t xml:space="preserve">щиты, включая реабилитацию; </w:t>
      </w:r>
    </w:p>
    <w:p w:rsidR="00F7027B" w:rsidRPr="00F7027B" w:rsidRDefault="00F7027B" w:rsidP="00F7027B">
      <w:pPr>
        <w:pStyle w:val="SingleTxtGR"/>
        <w:rPr>
          <w:b/>
        </w:rPr>
      </w:pPr>
      <w:r w:rsidRPr="00F7027B">
        <w:tab/>
      </w:r>
      <w:r w:rsidRPr="00F7027B">
        <w:rPr>
          <w:b/>
        </w:rPr>
        <w:t>с)</w:t>
      </w:r>
      <w:r w:rsidRPr="00F7027B">
        <w:rPr>
          <w:b/>
        </w:rPr>
        <w:tab/>
        <w:t>не допускать использования в судебных разбирательствах пр</w:t>
      </w:r>
      <w:r w:rsidRPr="00F7027B">
        <w:rPr>
          <w:b/>
        </w:rPr>
        <w:t>и</w:t>
      </w:r>
      <w:r w:rsidRPr="00F7027B">
        <w:rPr>
          <w:b/>
        </w:rPr>
        <w:t xml:space="preserve">знаний, полученных под принуждением; </w:t>
      </w:r>
    </w:p>
    <w:p w:rsidR="00F7027B" w:rsidRPr="00F7027B" w:rsidRDefault="00F7027B" w:rsidP="00F7027B">
      <w:pPr>
        <w:pStyle w:val="SingleTxtGR"/>
        <w:rPr>
          <w:b/>
        </w:rPr>
      </w:pPr>
      <w:r w:rsidRPr="00F7027B">
        <w:rPr>
          <w:b/>
        </w:rPr>
        <w:tab/>
        <w:t>d)</w:t>
      </w:r>
      <w:r w:rsidRPr="00F7027B">
        <w:rPr>
          <w:b/>
        </w:rPr>
        <w:tab/>
        <w:t>принимать все необходимые меры для предупреждения пыток, в том числе укреплять профессиональную подготовку судей, прокуроров, сотрудников полиции, военнослужащих и сотрудников служб безопасности.</w:t>
      </w:r>
    </w:p>
    <w:p w:rsidR="00F7027B" w:rsidRPr="00F7027B" w:rsidRDefault="00F7027B" w:rsidP="00586A25">
      <w:pPr>
        <w:pStyle w:val="H23GR"/>
      </w:pPr>
      <w:r w:rsidRPr="00F7027B">
        <w:tab/>
      </w:r>
      <w:r w:rsidRPr="00F7027B">
        <w:tab/>
        <w:t>Лишение свободы</w:t>
      </w:r>
    </w:p>
    <w:p w:rsidR="00F7027B" w:rsidRPr="00F7027B" w:rsidRDefault="00F7027B" w:rsidP="00F7027B">
      <w:pPr>
        <w:pStyle w:val="SingleTxtGR"/>
      </w:pPr>
      <w:bookmarkStart w:id="3" w:name="_Hlk487980674"/>
      <w:r w:rsidRPr="00F7027B">
        <w:t>27.</w:t>
      </w:r>
      <w:r w:rsidRPr="00F7027B">
        <w:tab/>
      </w:r>
      <w:proofErr w:type="gramStart"/>
      <w:r w:rsidRPr="00F7027B">
        <w:t>Комитет обеспокоен высоким уровнем переполненности тюрем и соо</w:t>
      </w:r>
      <w:r w:rsidRPr="00F7027B">
        <w:t>б</w:t>
      </w:r>
      <w:r w:rsidRPr="00F7027B">
        <w:t xml:space="preserve">щениями о ненадлежащих условиях содержания под стражей, а также высокой долей заключенных, находящихся под следствием, причем некоторые из них, по сообщениям, содержались под стражей на стадии досудебного расследования в течение периода времени, превышающего максимальный срок наказания за вменяемое им преступление (статьи 6, 7, 9, 10). </w:t>
      </w:r>
      <w:proofErr w:type="gramEnd"/>
    </w:p>
    <w:p w:rsidR="00F7027B" w:rsidRPr="00F7027B" w:rsidRDefault="00F7027B" w:rsidP="00F7027B">
      <w:pPr>
        <w:pStyle w:val="SingleTxtGR"/>
        <w:rPr>
          <w:b/>
        </w:rPr>
      </w:pPr>
      <w:r w:rsidRPr="00F7027B">
        <w:t>28.</w:t>
      </w:r>
      <w:r w:rsidRPr="00F7027B">
        <w:tab/>
      </w:r>
      <w:r w:rsidRPr="00F7027B">
        <w:rPr>
          <w:b/>
        </w:rPr>
        <w:t>Государству-участнику следует активизировать усилия в целях с</w:t>
      </w:r>
      <w:r w:rsidRPr="00F7027B">
        <w:rPr>
          <w:b/>
        </w:rPr>
        <w:t>о</w:t>
      </w:r>
      <w:r w:rsidRPr="00F7027B">
        <w:rPr>
          <w:b/>
        </w:rPr>
        <w:t>кращения переполненности тюрем и улучшения условий содержания под стражей, особенно в том, что касается здравоохранения и гигиены. Гос</w:t>
      </w:r>
      <w:r w:rsidRPr="00F7027B">
        <w:rPr>
          <w:b/>
        </w:rPr>
        <w:t>у</w:t>
      </w:r>
      <w:r w:rsidRPr="00F7027B">
        <w:rPr>
          <w:b/>
        </w:rPr>
        <w:t>дарству-участнику следует также принять все необходимые меры, чтобы заключение под стражу д</w:t>
      </w:r>
      <w:r w:rsidR="008C393F">
        <w:rPr>
          <w:b/>
        </w:rPr>
        <w:t xml:space="preserve">о суда </w:t>
      </w:r>
      <w:proofErr w:type="gramStart"/>
      <w:r w:rsidR="008C393F">
        <w:rPr>
          <w:b/>
        </w:rPr>
        <w:t xml:space="preserve">использовалось только в </w:t>
      </w:r>
      <w:r w:rsidRPr="00F7027B">
        <w:rPr>
          <w:b/>
        </w:rPr>
        <w:t>качестве искл</w:t>
      </w:r>
      <w:r w:rsidRPr="00F7027B">
        <w:rPr>
          <w:b/>
        </w:rPr>
        <w:t>ю</w:t>
      </w:r>
      <w:r w:rsidRPr="00F7027B">
        <w:rPr>
          <w:b/>
        </w:rPr>
        <w:t>чительной меры и не было</w:t>
      </w:r>
      <w:proofErr w:type="gramEnd"/>
      <w:r w:rsidRPr="00F7027B">
        <w:rPr>
          <w:b/>
        </w:rPr>
        <w:t xml:space="preserve"> чрезмерно продолжительным, в соответствии со статьей 9 Пакта.</w:t>
      </w:r>
    </w:p>
    <w:p w:rsidR="00F7027B" w:rsidRPr="00F7027B" w:rsidRDefault="00F7027B" w:rsidP="00586A25">
      <w:pPr>
        <w:pStyle w:val="H23GR"/>
      </w:pPr>
      <w:r w:rsidRPr="00F7027B">
        <w:tab/>
      </w:r>
      <w:r w:rsidRPr="00F7027B">
        <w:tab/>
        <w:t xml:space="preserve">Свобода передвижения </w:t>
      </w:r>
      <w:bookmarkEnd w:id="3"/>
    </w:p>
    <w:p w:rsidR="00F7027B" w:rsidRPr="00F7027B" w:rsidRDefault="00F7027B" w:rsidP="00F7027B">
      <w:pPr>
        <w:pStyle w:val="SingleTxtGR"/>
      </w:pPr>
      <w:r w:rsidRPr="00F7027B">
        <w:t>29.</w:t>
      </w:r>
      <w:r w:rsidRPr="00F7027B">
        <w:tab/>
      </w:r>
      <w:proofErr w:type="gramStart"/>
      <w:r w:rsidRPr="00F7027B">
        <w:t>Комитет обращает внимание на использование различных списков для осуществления контроля за въездом в государство-участник и выездом из него и выражает сожаление в связи с отсутствием информации по этому вопросу, включая критерии или основания для включения в эти списки тех или иных имен, процедуры включения в эти списки и исключения из них, а также гара</w:t>
      </w:r>
      <w:r w:rsidRPr="00F7027B">
        <w:t>н</w:t>
      </w:r>
      <w:r w:rsidRPr="00F7027B">
        <w:t>тии, предусмотренные для предотвращения злоупотреблений этими списками</w:t>
      </w:r>
      <w:proofErr w:type="gramEnd"/>
      <w:r w:rsidRPr="00F7027B">
        <w:t xml:space="preserve">. Комитет обеспокоен тем, что список </w:t>
      </w:r>
      <w:proofErr w:type="gramStart"/>
      <w:r w:rsidRPr="00F7027B">
        <w:t>контроля за</w:t>
      </w:r>
      <w:proofErr w:type="gramEnd"/>
      <w:r w:rsidRPr="00F7027B">
        <w:t xml:space="preserve"> выездом, как утверждается, используется для ограничения свободы передвижения несогласных и что в ст</w:t>
      </w:r>
      <w:r w:rsidRPr="00F7027B">
        <w:t>а</w:t>
      </w:r>
      <w:r w:rsidRPr="00F7027B">
        <w:t>тье 8 Закона о паспортах не указано, при каких обстоятельствах паспорт может быть аннулирован, изъят или конфискован (статья 12).</w:t>
      </w:r>
    </w:p>
    <w:p w:rsidR="00F7027B" w:rsidRPr="00F7027B" w:rsidRDefault="00F7027B" w:rsidP="00F7027B">
      <w:pPr>
        <w:pStyle w:val="SingleTxtGR"/>
        <w:rPr>
          <w:b/>
        </w:rPr>
      </w:pPr>
      <w:r w:rsidRPr="00F7027B">
        <w:t>30.</w:t>
      </w:r>
      <w:r w:rsidRPr="00F7027B">
        <w:tab/>
      </w:r>
      <w:r w:rsidRPr="00F7027B">
        <w:rPr>
          <w:b/>
        </w:rPr>
        <w:t>Государству-участнику следует пересмотреть Закон о паспортах, а также другие законы и политику в отношении списка контроля за вые</w:t>
      </w:r>
      <w:r w:rsidRPr="00F7027B">
        <w:rPr>
          <w:b/>
        </w:rPr>
        <w:t>з</w:t>
      </w:r>
      <w:r w:rsidRPr="00F7027B">
        <w:rPr>
          <w:b/>
        </w:rPr>
        <w:t xml:space="preserve">дом, </w:t>
      </w:r>
      <w:r w:rsidR="008C393F">
        <w:rPr>
          <w:b/>
        </w:rPr>
        <w:t>«</w:t>
      </w:r>
      <w:r w:rsidRPr="00F7027B">
        <w:rPr>
          <w:b/>
        </w:rPr>
        <w:t>черного списка</w:t>
      </w:r>
      <w:r w:rsidR="008C393F">
        <w:rPr>
          <w:b/>
        </w:rPr>
        <w:t>»</w:t>
      </w:r>
      <w:r w:rsidRPr="00F7027B">
        <w:rPr>
          <w:b/>
        </w:rPr>
        <w:t xml:space="preserve">, списка паспортного контроля и списка визового контроля, с </w:t>
      </w:r>
      <w:proofErr w:type="gramStart"/>
      <w:r w:rsidRPr="00F7027B">
        <w:rPr>
          <w:b/>
        </w:rPr>
        <w:t>тем</w:t>
      </w:r>
      <w:proofErr w:type="gramEnd"/>
      <w:r w:rsidRPr="00F7027B">
        <w:rPr>
          <w:b/>
        </w:rPr>
        <w:t xml:space="preserve"> чтобы привести эти законы и политику в соответствие со статьей 12 Пакта и устранить установленные в них ограничения на своб</w:t>
      </w:r>
      <w:r w:rsidRPr="00F7027B">
        <w:rPr>
          <w:b/>
        </w:rPr>
        <w:t>о</w:t>
      </w:r>
      <w:r w:rsidRPr="00F7027B">
        <w:rPr>
          <w:b/>
        </w:rPr>
        <w:t xml:space="preserve">ду передвижения по необоснованным причинам. </w:t>
      </w:r>
    </w:p>
    <w:p w:rsidR="00F7027B" w:rsidRPr="00F7027B" w:rsidRDefault="00F7027B" w:rsidP="00586A25">
      <w:pPr>
        <w:pStyle w:val="H23GR"/>
      </w:pPr>
      <w:r w:rsidRPr="00F7027B">
        <w:tab/>
      </w:r>
      <w:r w:rsidRPr="00F7027B">
        <w:tab/>
        <w:t>Право на справедливое судебное разбирательство и отправление правосудия</w:t>
      </w:r>
    </w:p>
    <w:p w:rsidR="00F7027B" w:rsidRPr="00F7027B" w:rsidRDefault="00F7027B" w:rsidP="00F7027B">
      <w:pPr>
        <w:pStyle w:val="SingleTxtGR"/>
      </w:pPr>
      <w:bookmarkStart w:id="4" w:name="_Hlk487845192"/>
      <w:r w:rsidRPr="00F7027B">
        <w:t>31.</w:t>
      </w:r>
      <w:r w:rsidRPr="00F7027B">
        <w:tab/>
        <w:t>Комитет обеспокоен тем, что Конституция, федеральные законы и юри</w:t>
      </w:r>
      <w:r w:rsidRPr="00F7027B">
        <w:t>с</w:t>
      </w:r>
      <w:r w:rsidRPr="00F7027B">
        <w:t>дикция судов высшей инстанции не применяются на Территориях племен фед</w:t>
      </w:r>
      <w:r w:rsidRPr="00F7027B">
        <w:t>е</w:t>
      </w:r>
      <w:r w:rsidRPr="00F7027B">
        <w:t>раль</w:t>
      </w:r>
      <w:r w:rsidR="008C393F">
        <w:t xml:space="preserve">ного управления. </w:t>
      </w:r>
      <w:proofErr w:type="gramStart"/>
      <w:r w:rsidR="008C393F">
        <w:t xml:space="preserve">Комитет также </w:t>
      </w:r>
      <w:r w:rsidRPr="00F7027B">
        <w:t>испытывает обеспокоенность по поводу проблем, с которыми сталкиваются судебные органы в вопросах, касающихся укрепления их независимости и эффективности, включая отсутствие трансп</w:t>
      </w:r>
      <w:r w:rsidRPr="00F7027B">
        <w:t>а</w:t>
      </w:r>
      <w:r w:rsidRPr="00F7027B">
        <w:t>рентности в процедурах назначения судей; нехватки судей и долгосрочных в</w:t>
      </w:r>
      <w:r w:rsidRPr="00F7027B">
        <w:t>а</w:t>
      </w:r>
      <w:r w:rsidRPr="00F7027B">
        <w:t>кантных должностей в судебных органах; недостаточности бюджетных асси</w:t>
      </w:r>
      <w:r w:rsidRPr="00F7027B">
        <w:t>г</w:t>
      </w:r>
      <w:r w:rsidRPr="00F7027B">
        <w:t>нований; значительного количества нерассмотренных дел; отсутствия кач</w:t>
      </w:r>
      <w:r w:rsidRPr="00F7027B">
        <w:t>е</w:t>
      </w:r>
      <w:r w:rsidRPr="00F7027B">
        <w:t>ственного юридического образования и непрерывной профессиональной подг</w:t>
      </w:r>
      <w:r w:rsidRPr="00F7027B">
        <w:t>о</w:t>
      </w:r>
      <w:r w:rsidRPr="00F7027B">
        <w:t>товки специалистов в области права;</w:t>
      </w:r>
      <w:proofErr w:type="gramEnd"/>
      <w:r w:rsidRPr="00F7027B">
        <w:t xml:space="preserve"> а также коррупции в судебной системе (статья 14).</w:t>
      </w:r>
    </w:p>
    <w:bookmarkEnd w:id="4"/>
    <w:p w:rsidR="00F7027B" w:rsidRPr="00F7027B" w:rsidRDefault="00F7027B" w:rsidP="00F7027B">
      <w:pPr>
        <w:pStyle w:val="SingleTxtGR"/>
        <w:rPr>
          <w:b/>
        </w:rPr>
      </w:pPr>
      <w:r w:rsidRPr="00F7027B">
        <w:t>32.</w:t>
      </w:r>
      <w:r w:rsidRPr="00F7027B">
        <w:tab/>
      </w:r>
      <w:r w:rsidRPr="00F7027B">
        <w:rPr>
          <w:b/>
        </w:rPr>
        <w:t>Государству-участнику следует продолжить пересмотр существующ</w:t>
      </w:r>
      <w:r w:rsidRPr="00F7027B">
        <w:rPr>
          <w:b/>
        </w:rPr>
        <w:t>е</w:t>
      </w:r>
      <w:r w:rsidRPr="00F7027B">
        <w:rPr>
          <w:b/>
        </w:rPr>
        <w:t xml:space="preserve">го законодательства, касающегося отправления правосудия, с </w:t>
      </w:r>
      <w:proofErr w:type="gramStart"/>
      <w:r w:rsidRPr="00F7027B">
        <w:rPr>
          <w:b/>
        </w:rPr>
        <w:t>тем</w:t>
      </w:r>
      <w:proofErr w:type="gramEnd"/>
      <w:r w:rsidRPr="00F7027B">
        <w:rPr>
          <w:b/>
        </w:rPr>
        <w:t xml:space="preserve"> чтобы привести его в соответствие с положениями Пакта и международными стандартами в области прав человека, а также предпринимать конкретные шаги, с тем чтобы Конституция, федеральные законы и юрисдикция судов высшей инстанции применялись на всей территории государства-участника, в том числе на Территориях племен федерального управления. Ему следует также принять все необходимые меры для укрепления незав</w:t>
      </w:r>
      <w:r w:rsidRPr="00F7027B">
        <w:rPr>
          <w:b/>
        </w:rPr>
        <w:t>и</w:t>
      </w:r>
      <w:r w:rsidRPr="00F7027B">
        <w:rPr>
          <w:b/>
        </w:rPr>
        <w:t>симости, профессиональной подготовки и эффективности сотрудников с</w:t>
      </w:r>
      <w:r w:rsidRPr="00F7027B">
        <w:rPr>
          <w:b/>
        </w:rPr>
        <w:t>у</w:t>
      </w:r>
      <w:r w:rsidRPr="00F7027B">
        <w:rPr>
          <w:b/>
        </w:rPr>
        <w:t>дебной системы.</w:t>
      </w:r>
    </w:p>
    <w:p w:rsidR="00F7027B" w:rsidRPr="00F7027B" w:rsidRDefault="00F7027B" w:rsidP="00586A25">
      <w:pPr>
        <w:pStyle w:val="H23GR"/>
      </w:pPr>
      <w:r w:rsidRPr="00F7027B">
        <w:tab/>
      </w:r>
      <w:r w:rsidRPr="00F7027B">
        <w:tab/>
        <w:t xml:space="preserve">Свобода религии, совести и убеждений </w:t>
      </w:r>
    </w:p>
    <w:p w:rsidR="00F7027B" w:rsidRPr="00F7027B" w:rsidRDefault="00F7027B" w:rsidP="00F7027B">
      <w:pPr>
        <w:pStyle w:val="SingleTxtGR"/>
      </w:pPr>
      <w:r w:rsidRPr="00F7027B">
        <w:t>33.</w:t>
      </w:r>
      <w:r w:rsidRPr="00F7027B">
        <w:tab/>
        <w:t>Комитет выражает обеспокоенность в связи с наличием законов о бог</w:t>
      </w:r>
      <w:r w:rsidRPr="00F7027B">
        <w:t>о</w:t>
      </w:r>
      <w:r w:rsidRPr="00F7027B">
        <w:t>хульстве, включая статьи 295 и 298 Уголовного кодекса Пакистана, которые предусматривают суровые меры наказания, включая обязательное применение смертной казни (статья 295 (С)), и, согласно сообщениям, имеют дискримин</w:t>
      </w:r>
      <w:r w:rsidRPr="00F7027B">
        <w:t>а</w:t>
      </w:r>
      <w:r w:rsidRPr="00F7027B">
        <w:t xml:space="preserve">ционные последствия, в особенности для </w:t>
      </w:r>
      <w:proofErr w:type="spellStart"/>
      <w:r w:rsidRPr="00F7027B">
        <w:t>ахмадитов</w:t>
      </w:r>
      <w:proofErr w:type="spellEnd"/>
      <w:r w:rsidRPr="00F7027B">
        <w:t xml:space="preserve"> (статья 298 (B) и (C)); весьма большим числом дел о богохульстве, основанных на ложных обвинен</w:t>
      </w:r>
      <w:r w:rsidRPr="00F7027B">
        <w:t>и</w:t>
      </w:r>
      <w:r w:rsidRPr="00F7027B">
        <w:t xml:space="preserve">ях, и насилием в отношении лиц, обвиняемых в богохульстве, как это было в случае с </w:t>
      </w:r>
      <w:proofErr w:type="spellStart"/>
      <w:r w:rsidRPr="00F7027B">
        <w:t>Машалем</w:t>
      </w:r>
      <w:proofErr w:type="spellEnd"/>
      <w:r w:rsidRPr="00F7027B">
        <w:t xml:space="preserve"> Ханом; и неоднократными сообщениями о том, что судьи, рассматривающие дела о богохульстве, нередко подвергаются преследованиям, запугиванию и угрозам. </w:t>
      </w:r>
      <w:proofErr w:type="gramStart"/>
      <w:r w:rsidRPr="00F7027B">
        <w:t>Комитет принимает к сведению решение Верховного суда от 19 июня 2014 года, но вместе с тем выражает сожаление по поводу о</w:t>
      </w:r>
      <w:r w:rsidRPr="00F7027B">
        <w:t>т</w:t>
      </w:r>
      <w:r w:rsidRPr="00F7027B">
        <w:t>сутствия информации об осуществлении этого решения и вновь выражает обеспокоенность в связи с постоянно поступающими сообщениями о ненавис</w:t>
      </w:r>
      <w:r w:rsidRPr="00F7027B">
        <w:t>т</w:t>
      </w:r>
      <w:r w:rsidRPr="00F7027B">
        <w:t>нических высказываниях и преступлениях на почве ненависти в отношении лиц, принадлежащих к религиозным меньшинствам, и их мест отправления культа, а также в связи</w:t>
      </w:r>
      <w:proofErr w:type="gramEnd"/>
      <w:r w:rsidRPr="00F7027B">
        <w:t xml:space="preserve"> с религиозно предвзятым содержанием учебников и учебных программ в государственных школах и медресе (статьи 2, 14,18 и 19).</w:t>
      </w:r>
    </w:p>
    <w:p w:rsidR="00F7027B" w:rsidRPr="00F7027B" w:rsidRDefault="00F7027B" w:rsidP="00F7027B">
      <w:pPr>
        <w:pStyle w:val="SingleTxtGR"/>
        <w:rPr>
          <w:b/>
        </w:rPr>
      </w:pPr>
      <w:r w:rsidRPr="00F7027B">
        <w:t>34.</w:t>
      </w:r>
      <w:r w:rsidRPr="00F7027B">
        <w:tab/>
      </w:r>
      <w:r w:rsidRPr="00F7027B">
        <w:rPr>
          <w:b/>
        </w:rPr>
        <w:t>Государству-участнику следует:</w:t>
      </w:r>
    </w:p>
    <w:p w:rsidR="00F7027B" w:rsidRPr="00F7027B" w:rsidRDefault="00F7027B" w:rsidP="00F7027B">
      <w:pPr>
        <w:pStyle w:val="SingleTxtGR"/>
        <w:rPr>
          <w:b/>
        </w:rPr>
      </w:pPr>
      <w:r w:rsidRPr="00F7027B">
        <w:rPr>
          <w:b/>
        </w:rPr>
        <w:tab/>
        <w:t>а)</w:t>
      </w:r>
      <w:r w:rsidRPr="00F7027B">
        <w:rPr>
          <w:b/>
        </w:rPr>
        <w:tab/>
        <w:t>отменить все законы о богохульстве или внести в них поправки в соответствии со строгими требованиями Пакта, в том числе в соотве</w:t>
      </w:r>
      <w:r w:rsidRPr="00F7027B">
        <w:rPr>
          <w:b/>
        </w:rPr>
        <w:t>т</w:t>
      </w:r>
      <w:r w:rsidRPr="00F7027B">
        <w:rPr>
          <w:b/>
        </w:rPr>
        <w:t xml:space="preserve">ствии с пунктом 48 замечания общего порядка № 34 Комитета (2011 год) о свободе мнений и их выражения; </w:t>
      </w:r>
    </w:p>
    <w:p w:rsidR="00F7027B" w:rsidRPr="00F7027B" w:rsidRDefault="00F7027B" w:rsidP="00F7027B">
      <w:pPr>
        <w:pStyle w:val="SingleTxtGR"/>
        <w:rPr>
          <w:b/>
        </w:rPr>
      </w:pPr>
      <w:r w:rsidRPr="00F7027B">
        <w:rPr>
          <w:b/>
        </w:rPr>
        <w:tab/>
        <w:t>b)</w:t>
      </w:r>
      <w:r w:rsidRPr="00F7027B">
        <w:rPr>
          <w:b/>
        </w:rPr>
        <w:tab/>
        <w:t>обеспечить привлечение к судебной ответственности и надл</w:t>
      </w:r>
      <w:r w:rsidRPr="00F7027B">
        <w:rPr>
          <w:b/>
        </w:rPr>
        <w:t>е</w:t>
      </w:r>
      <w:r w:rsidRPr="00F7027B">
        <w:rPr>
          <w:b/>
        </w:rPr>
        <w:t>жащее наказание всех лиц, которые подстрекают к насилию или прибегает к насилию в отношении других лиц на основании заявлений о богохул</w:t>
      </w:r>
      <w:r w:rsidRPr="00F7027B">
        <w:rPr>
          <w:b/>
        </w:rPr>
        <w:t>ь</w:t>
      </w:r>
      <w:r w:rsidRPr="00F7027B">
        <w:rPr>
          <w:b/>
        </w:rPr>
        <w:t>стве, а также тех, кто выдвигает ложные обвинения в богохульстве в о</w:t>
      </w:r>
      <w:r w:rsidRPr="00F7027B">
        <w:rPr>
          <w:b/>
        </w:rPr>
        <w:t>т</w:t>
      </w:r>
      <w:r w:rsidRPr="00F7027B">
        <w:rPr>
          <w:b/>
        </w:rPr>
        <w:t xml:space="preserve">ношении тех или иных лиц; </w:t>
      </w:r>
    </w:p>
    <w:p w:rsidR="00F7027B" w:rsidRPr="00F7027B" w:rsidRDefault="00F7027B" w:rsidP="00F7027B">
      <w:pPr>
        <w:pStyle w:val="SingleTxtGR"/>
        <w:rPr>
          <w:b/>
        </w:rPr>
      </w:pPr>
      <w:r w:rsidRPr="00F7027B">
        <w:rPr>
          <w:b/>
        </w:rPr>
        <w:tab/>
        <w:t>с)</w:t>
      </w:r>
      <w:r w:rsidRPr="00F7027B">
        <w:rPr>
          <w:b/>
        </w:rPr>
        <w:tab/>
        <w:t xml:space="preserve">принять все необходимые меры для обеспечения надлежащей защиты всех судей, прокуроров, адвокатов и свидетелей, вовлеченных в дела о богохульстве; </w:t>
      </w:r>
    </w:p>
    <w:p w:rsidR="00F7027B" w:rsidRPr="00F7027B" w:rsidRDefault="00F7027B" w:rsidP="00F7027B">
      <w:pPr>
        <w:pStyle w:val="SingleTxtGR"/>
        <w:rPr>
          <w:b/>
        </w:rPr>
      </w:pPr>
      <w:r w:rsidRPr="00F7027B">
        <w:rPr>
          <w:b/>
        </w:rPr>
        <w:tab/>
        <w:t>d)</w:t>
      </w:r>
      <w:r w:rsidRPr="00F7027B">
        <w:rPr>
          <w:b/>
        </w:rPr>
        <w:tab/>
        <w:t>обеспечить тщательное и оперативное расследование всех сл</w:t>
      </w:r>
      <w:r w:rsidRPr="00F7027B">
        <w:rPr>
          <w:b/>
        </w:rPr>
        <w:t>у</w:t>
      </w:r>
      <w:r w:rsidRPr="00F7027B">
        <w:rPr>
          <w:b/>
        </w:rPr>
        <w:t>чаев, связанных с ненавистническими высказываниями и преступлениями на почве ненависти, судебное преследование и, в случае вынесения обв</w:t>
      </w:r>
      <w:r w:rsidRPr="00F7027B">
        <w:rPr>
          <w:b/>
        </w:rPr>
        <w:t>и</w:t>
      </w:r>
      <w:r w:rsidRPr="00F7027B">
        <w:rPr>
          <w:b/>
        </w:rPr>
        <w:t xml:space="preserve">нительного приговора, наказание виновных; </w:t>
      </w:r>
    </w:p>
    <w:p w:rsidR="00F7027B" w:rsidRPr="00F7027B" w:rsidRDefault="00F7027B" w:rsidP="00F7027B">
      <w:pPr>
        <w:pStyle w:val="SingleTxtGR"/>
        <w:rPr>
          <w:b/>
        </w:rPr>
      </w:pPr>
      <w:r w:rsidRPr="00F7027B">
        <w:rPr>
          <w:b/>
        </w:rPr>
        <w:tab/>
        <w:t>e)</w:t>
      </w:r>
      <w:r w:rsidRPr="00F7027B">
        <w:rPr>
          <w:b/>
        </w:rPr>
        <w:tab/>
        <w:t>пересмотреть школьные учебники и учебные программы в ц</w:t>
      </w:r>
      <w:r w:rsidRPr="00F7027B">
        <w:rPr>
          <w:b/>
        </w:rPr>
        <w:t>е</w:t>
      </w:r>
      <w:r w:rsidRPr="00F7027B">
        <w:rPr>
          <w:b/>
        </w:rPr>
        <w:t xml:space="preserve">лях полного устранения религиозно предвзятых материалов, ввести </w:t>
      </w:r>
      <w:proofErr w:type="gramStart"/>
      <w:r w:rsidRPr="00F7027B">
        <w:rPr>
          <w:b/>
        </w:rPr>
        <w:t>обуч</w:t>
      </w:r>
      <w:r w:rsidRPr="00F7027B">
        <w:rPr>
          <w:b/>
        </w:rPr>
        <w:t>е</w:t>
      </w:r>
      <w:r w:rsidRPr="00F7027B">
        <w:rPr>
          <w:b/>
        </w:rPr>
        <w:t>ние по вопросам</w:t>
      </w:r>
      <w:proofErr w:type="gramEnd"/>
      <w:r w:rsidRPr="00F7027B">
        <w:rPr>
          <w:b/>
        </w:rPr>
        <w:t xml:space="preserve"> прав человека и продолжать регулировать деятельность медресе;</w:t>
      </w:r>
    </w:p>
    <w:p w:rsidR="00F7027B" w:rsidRPr="00F7027B" w:rsidRDefault="00F7027B" w:rsidP="00F7027B">
      <w:pPr>
        <w:pStyle w:val="SingleTxtGR"/>
        <w:rPr>
          <w:b/>
        </w:rPr>
      </w:pPr>
      <w:r w:rsidRPr="00F7027B">
        <w:rPr>
          <w:b/>
        </w:rPr>
        <w:tab/>
        <w:t>f)</w:t>
      </w:r>
      <w:r w:rsidRPr="00F7027B">
        <w:rPr>
          <w:b/>
        </w:rPr>
        <w:tab/>
        <w:t>полностью выполнить решение Верховного суда от 19 июня 2014 года.</w:t>
      </w:r>
    </w:p>
    <w:p w:rsidR="00F7027B" w:rsidRPr="00F7027B" w:rsidRDefault="00F7027B" w:rsidP="00586A25">
      <w:pPr>
        <w:pStyle w:val="H23GR"/>
      </w:pPr>
      <w:r w:rsidRPr="00F7027B">
        <w:tab/>
      </w:r>
      <w:r w:rsidRPr="00F7027B">
        <w:tab/>
        <w:t>Право на частную жизнь</w:t>
      </w:r>
    </w:p>
    <w:p w:rsidR="00F7027B" w:rsidRPr="00F7027B" w:rsidRDefault="00F7027B" w:rsidP="00F7027B">
      <w:pPr>
        <w:pStyle w:val="SingleTxtGR"/>
      </w:pPr>
      <w:r w:rsidRPr="00F7027B">
        <w:t>35.</w:t>
      </w:r>
      <w:r w:rsidRPr="00F7027B">
        <w:tab/>
        <w:t xml:space="preserve">Комитет принимает во внимание мнение государства-участника о том, что Закон 2016 года о предотвращении </w:t>
      </w:r>
      <w:proofErr w:type="spellStart"/>
      <w:r w:rsidRPr="00F7027B">
        <w:t>киберпреступлений</w:t>
      </w:r>
      <w:proofErr w:type="spellEnd"/>
      <w:r w:rsidRPr="00F7027B">
        <w:t xml:space="preserve"> соответствует пол</w:t>
      </w:r>
      <w:r w:rsidRPr="00F7027B">
        <w:t>о</w:t>
      </w:r>
      <w:r w:rsidRPr="00F7027B">
        <w:t>жениям Конвенции о киберпреступности, однако он выражает обеспокоенность в связи с тем, что Закон предусматривает: a) чрезмерно широкие полномочия Телекоммуникационного управления Пакистана и уполномоченных сотрудн</w:t>
      </w:r>
      <w:r w:rsidRPr="00F7027B">
        <w:t>и</w:t>
      </w:r>
      <w:r w:rsidRPr="00F7027B">
        <w:t xml:space="preserve">ков при отсутствии надлежащих независимых механизмов судебного надзора; b) обязательное массовое сохранение данных о трафике поставщиками услуг в </w:t>
      </w:r>
      <w:proofErr w:type="gramStart"/>
      <w:r w:rsidRPr="00F7027B">
        <w:t>течение</w:t>
      </w:r>
      <w:proofErr w:type="gramEnd"/>
      <w:r w:rsidRPr="00F7027B">
        <w:t xml:space="preserve"> по меньшей мере одного года; c) неоправданные ограничительные тр</w:t>
      </w:r>
      <w:r w:rsidRPr="00F7027B">
        <w:t>е</w:t>
      </w:r>
      <w:r w:rsidRPr="00F7027B">
        <w:t xml:space="preserve">бования в отношении лицензирования поставщиков сетевых услуг; d) обмен информацией и сотрудничество с иностранными правительствами без санкции суда и судебного надзора (статьи 17 и 19). </w:t>
      </w:r>
    </w:p>
    <w:p w:rsidR="00F7027B" w:rsidRPr="00F7027B" w:rsidRDefault="00F7027B" w:rsidP="00F7027B">
      <w:pPr>
        <w:pStyle w:val="SingleTxtGR"/>
        <w:rPr>
          <w:b/>
        </w:rPr>
      </w:pPr>
      <w:r w:rsidRPr="00F7027B">
        <w:t>36.</w:t>
      </w:r>
      <w:r w:rsidRPr="00F7027B">
        <w:tab/>
      </w:r>
      <w:r w:rsidRPr="00F7027B">
        <w:rPr>
          <w:b/>
        </w:rPr>
        <w:t>Государству-участнику следует пересмотреть свое законодательство в области сбора и контроля данных, в частности Закон 2016 года о предо</w:t>
      </w:r>
      <w:r w:rsidRPr="00F7027B">
        <w:rPr>
          <w:b/>
        </w:rPr>
        <w:t>т</w:t>
      </w:r>
      <w:r w:rsidRPr="00F7027B">
        <w:rPr>
          <w:b/>
        </w:rPr>
        <w:t xml:space="preserve">вращении </w:t>
      </w:r>
      <w:proofErr w:type="spellStart"/>
      <w:r w:rsidRPr="00F7027B">
        <w:rPr>
          <w:b/>
        </w:rPr>
        <w:t>киберпреступлений</w:t>
      </w:r>
      <w:proofErr w:type="spellEnd"/>
      <w:r w:rsidRPr="00F7027B">
        <w:rPr>
          <w:b/>
        </w:rPr>
        <w:t xml:space="preserve">, с </w:t>
      </w:r>
      <w:proofErr w:type="gramStart"/>
      <w:r w:rsidRPr="00F7027B">
        <w:rPr>
          <w:b/>
        </w:rPr>
        <w:t>тем</w:t>
      </w:r>
      <w:proofErr w:type="gramEnd"/>
      <w:r w:rsidRPr="00F7027B">
        <w:rPr>
          <w:b/>
        </w:rPr>
        <w:t xml:space="preserve"> чтобы привести его в соответствие с обязательствами по Пакту. </w:t>
      </w:r>
      <w:proofErr w:type="gramStart"/>
      <w:r w:rsidRPr="00F7027B">
        <w:rPr>
          <w:b/>
        </w:rPr>
        <w:t>Ему следует также создать независимые мех</w:t>
      </w:r>
      <w:r w:rsidRPr="00F7027B">
        <w:rPr>
          <w:b/>
        </w:rPr>
        <w:t>а</w:t>
      </w:r>
      <w:r w:rsidRPr="00F7027B">
        <w:rPr>
          <w:b/>
        </w:rPr>
        <w:t>низмы надзора за осуществлением Закона, включая судебный контроль за деятельностью по наблюдению; пересмотреть свои законы и практику о</w:t>
      </w:r>
      <w:r w:rsidRPr="00F7027B">
        <w:rPr>
          <w:b/>
        </w:rPr>
        <w:t>б</w:t>
      </w:r>
      <w:r w:rsidRPr="00F7027B">
        <w:rPr>
          <w:b/>
        </w:rPr>
        <w:t>мена разведданными с иностранными учреждениями в целях обеспечения ее соответствия положениям Пакта; пересмотреть все требования в отн</w:t>
      </w:r>
      <w:r w:rsidRPr="00F7027B">
        <w:rPr>
          <w:b/>
        </w:rPr>
        <w:t>о</w:t>
      </w:r>
      <w:r w:rsidRPr="00F7027B">
        <w:rPr>
          <w:b/>
        </w:rPr>
        <w:t>шении лицензирования, которые обязывают поставщиков сетевых услуг осуществлять наблюдение за сообщениями, в частности требований, кас</w:t>
      </w:r>
      <w:r w:rsidRPr="00F7027B">
        <w:rPr>
          <w:b/>
        </w:rPr>
        <w:t>а</w:t>
      </w:r>
      <w:r w:rsidRPr="00F7027B">
        <w:rPr>
          <w:b/>
        </w:rPr>
        <w:t>ющихся неизбирательного сохранения данных;</w:t>
      </w:r>
      <w:proofErr w:type="gramEnd"/>
      <w:r w:rsidRPr="00F7027B">
        <w:rPr>
          <w:b/>
        </w:rPr>
        <w:t xml:space="preserve"> и принимать меры, с тем чтобы мероприятия по наблюдению не противоречили</w:t>
      </w:r>
      <w:r w:rsidRPr="00F7027B">
        <w:t xml:space="preserve"> </w:t>
      </w:r>
      <w:r w:rsidRPr="00F7027B">
        <w:rPr>
          <w:b/>
        </w:rPr>
        <w:t xml:space="preserve">обязательствам </w:t>
      </w:r>
      <w:proofErr w:type="spellStart"/>
      <w:proofErr w:type="gramStart"/>
      <w:r w:rsidRPr="00F7027B">
        <w:rPr>
          <w:b/>
        </w:rPr>
        <w:t>го</w:t>
      </w:r>
      <w:r w:rsidR="00EB5FCC">
        <w:rPr>
          <w:b/>
        </w:rPr>
        <w:t>-</w:t>
      </w:r>
      <w:r w:rsidRPr="00F7027B">
        <w:rPr>
          <w:b/>
        </w:rPr>
        <w:t>сударства</w:t>
      </w:r>
      <w:proofErr w:type="spellEnd"/>
      <w:proofErr w:type="gramEnd"/>
      <w:r w:rsidR="00EB5FCC">
        <w:rPr>
          <w:b/>
        </w:rPr>
        <w:t xml:space="preserve"> – </w:t>
      </w:r>
      <w:r w:rsidRPr="00F7027B">
        <w:rPr>
          <w:b/>
        </w:rPr>
        <w:t xml:space="preserve">участника по Пакту. Кроме того, ему следует принять </w:t>
      </w:r>
      <w:proofErr w:type="gramStart"/>
      <w:r w:rsidRPr="00F7027B">
        <w:rPr>
          <w:b/>
        </w:rPr>
        <w:t>все</w:t>
      </w:r>
      <w:r w:rsidR="00EB5FCC">
        <w:rPr>
          <w:b/>
        </w:rPr>
        <w:t>-</w:t>
      </w:r>
      <w:r w:rsidRPr="00F7027B">
        <w:rPr>
          <w:b/>
        </w:rPr>
        <w:t>объемлющий</w:t>
      </w:r>
      <w:proofErr w:type="gramEnd"/>
      <w:r w:rsidRPr="00F7027B">
        <w:rPr>
          <w:b/>
        </w:rPr>
        <w:t xml:space="preserve"> закон о защите данных в соответствии с международными стандартами.</w:t>
      </w:r>
    </w:p>
    <w:p w:rsidR="00F7027B" w:rsidRPr="00F7027B" w:rsidRDefault="00F7027B" w:rsidP="00586A25">
      <w:pPr>
        <w:pStyle w:val="H23GR"/>
      </w:pPr>
      <w:r w:rsidRPr="00F7027B">
        <w:tab/>
      </w:r>
      <w:r w:rsidRPr="00F7027B">
        <w:tab/>
        <w:t>Свобода выражения мнений</w:t>
      </w:r>
    </w:p>
    <w:p w:rsidR="00F7027B" w:rsidRPr="00F7027B" w:rsidRDefault="00F7027B" w:rsidP="00F7027B">
      <w:pPr>
        <w:pStyle w:val="SingleTxtGR"/>
      </w:pPr>
      <w:r w:rsidRPr="00F7027B">
        <w:t>37.</w:t>
      </w:r>
      <w:r w:rsidRPr="00F7027B">
        <w:tab/>
        <w:t>Комитет выражает обеспокоенность по поводу того, что клевета квал</w:t>
      </w:r>
      <w:r w:rsidRPr="00F7027B">
        <w:t>и</w:t>
      </w:r>
      <w:r w:rsidRPr="00F7027B">
        <w:t>фицируется в качестве уголовного преступления, за которое может быть назн</w:t>
      </w:r>
      <w:r w:rsidRPr="00F7027B">
        <w:t>а</w:t>
      </w:r>
      <w:r w:rsidRPr="00F7027B">
        <w:t>чено наказание в виде тюремного заключения, а также по поводу сообщений о том, что уголовное законодательство применяется ненадлежащим образом в о</w:t>
      </w:r>
      <w:r w:rsidRPr="00F7027B">
        <w:t>т</w:t>
      </w:r>
      <w:r w:rsidRPr="00F7027B">
        <w:t>ношении журналистов и лиц, выражающих несогласие. Он также обеспокоен сообщениями о том, каким образом Орган по регулированию электронных средств массовой информации Пакистана осуществляет свои полномочия в о</w:t>
      </w:r>
      <w:r w:rsidRPr="00F7027B">
        <w:t>т</w:t>
      </w:r>
      <w:r w:rsidRPr="00F7027B">
        <w:t>ношении содержания материалов средств массовой информации, включая пр</w:t>
      </w:r>
      <w:r w:rsidRPr="00F7027B">
        <w:t>и</w:t>
      </w:r>
      <w:r w:rsidRPr="00F7027B">
        <w:t xml:space="preserve">остановление трансляции более 20 программ в течение последних четырех лет; а также отсутствием ясности в отношении предусмотренных процессуальных гарантий и надзорных механизмов для </w:t>
      </w:r>
      <w:proofErr w:type="gramStart"/>
      <w:r w:rsidRPr="00F7027B">
        <w:t>контроля за</w:t>
      </w:r>
      <w:proofErr w:type="gramEnd"/>
      <w:r w:rsidRPr="00F7027B">
        <w:t xml:space="preserve"> тем, чтобы Орган по регул</w:t>
      </w:r>
      <w:r w:rsidRPr="00F7027B">
        <w:t>и</w:t>
      </w:r>
      <w:r w:rsidRPr="00F7027B">
        <w:t>рованию электронных средств массовой информации осуществлял свои полн</w:t>
      </w:r>
      <w:r w:rsidRPr="00F7027B">
        <w:t>о</w:t>
      </w:r>
      <w:r w:rsidRPr="00F7027B">
        <w:t>мочия в соответствии с принципом свободы выражения мнений. Кроме того, Комитет выражает обеспокоенность в связи с тем, что, несмотря на меры, пр</w:t>
      </w:r>
      <w:r w:rsidRPr="00F7027B">
        <w:t>и</w:t>
      </w:r>
      <w:r w:rsidRPr="00F7027B">
        <w:t>нятые государством-участником, продолжают поступать сообщения о практике исчезновений, убийств и запугивания журналистов, правозащитников и адвок</w:t>
      </w:r>
      <w:r w:rsidRPr="00F7027B">
        <w:t>а</w:t>
      </w:r>
      <w:r w:rsidRPr="00F7027B">
        <w:t>тов, осуществляемой государственными и негосударственными субъектами, а также в связи с низкими показателями судебного преследования и осуждения виновных (статьи 6, 7 и 19).</w:t>
      </w:r>
    </w:p>
    <w:p w:rsidR="00F7027B" w:rsidRPr="00F7027B" w:rsidRDefault="00F7027B" w:rsidP="00F7027B">
      <w:pPr>
        <w:pStyle w:val="SingleTxtGR"/>
        <w:rPr>
          <w:b/>
        </w:rPr>
      </w:pPr>
      <w:r w:rsidRPr="00F7027B">
        <w:t>38.</w:t>
      </w:r>
      <w:r w:rsidRPr="00F7027B">
        <w:tab/>
      </w:r>
      <w:r w:rsidRPr="00F7027B">
        <w:rPr>
          <w:b/>
        </w:rPr>
        <w:t>Государству-участнику следует отменить уголовную ответственность за клевету и принять меры к тому, чтобы лишение свободы никогда не и</w:t>
      </w:r>
      <w:r w:rsidRPr="00F7027B">
        <w:rPr>
          <w:b/>
        </w:rPr>
        <w:t>с</w:t>
      </w:r>
      <w:r w:rsidRPr="00F7027B">
        <w:rPr>
          <w:b/>
        </w:rPr>
        <w:t>пользовалось в качестве наказания за клевету, и не допускать ненадлеж</w:t>
      </w:r>
      <w:r w:rsidRPr="00F7027B">
        <w:rPr>
          <w:b/>
        </w:rPr>
        <w:t>а</w:t>
      </w:r>
      <w:r w:rsidRPr="00F7027B">
        <w:rPr>
          <w:b/>
        </w:rPr>
        <w:t>щего применения уголовных законов в отношении журналистов и нес</w:t>
      </w:r>
      <w:r w:rsidRPr="00F7027B">
        <w:rPr>
          <w:b/>
        </w:rPr>
        <w:t>о</w:t>
      </w:r>
      <w:r w:rsidRPr="00F7027B">
        <w:rPr>
          <w:b/>
        </w:rPr>
        <w:t xml:space="preserve">гласных. </w:t>
      </w:r>
      <w:proofErr w:type="gramStart"/>
      <w:r w:rsidRPr="00F7027B">
        <w:rPr>
          <w:b/>
        </w:rPr>
        <w:t>Ему следует также пересмотреть правовые положения, касающ</w:t>
      </w:r>
      <w:r w:rsidRPr="00F7027B">
        <w:rPr>
          <w:b/>
        </w:rPr>
        <w:t>и</w:t>
      </w:r>
      <w:r w:rsidRPr="00F7027B">
        <w:rPr>
          <w:b/>
        </w:rPr>
        <w:t>еся свободы выражения</w:t>
      </w:r>
      <w:r w:rsidRPr="00F7027B">
        <w:t xml:space="preserve"> </w:t>
      </w:r>
      <w:r w:rsidRPr="00F7027B">
        <w:rPr>
          <w:b/>
        </w:rPr>
        <w:t>мнений, включая статью 19 Конституции, прав</w:t>
      </w:r>
      <w:r w:rsidRPr="00F7027B">
        <w:rPr>
          <w:b/>
        </w:rPr>
        <w:t>и</w:t>
      </w:r>
      <w:r w:rsidRPr="00F7027B">
        <w:rPr>
          <w:b/>
        </w:rPr>
        <w:t>ла, предусмотренные Законом 2007 года об Органе по регулированию эле</w:t>
      </w:r>
      <w:r w:rsidRPr="00F7027B">
        <w:rPr>
          <w:b/>
        </w:rPr>
        <w:t>к</w:t>
      </w:r>
      <w:r w:rsidRPr="00F7027B">
        <w:rPr>
          <w:b/>
        </w:rPr>
        <w:t>тронных средств массовой информации Пакистана (поправка), и кодекс поведения в отношении программ и рекламных материалов для вещател</w:t>
      </w:r>
      <w:r w:rsidRPr="00F7027B">
        <w:rPr>
          <w:b/>
        </w:rPr>
        <w:t>ь</w:t>
      </w:r>
      <w:r w:rsidRPr="00F7027B">
        <w:rPr>
          <w:b/>
        </w:rPr>
        <w:t>ных СМИ и служб, занимающихся распространением информации, в целях создания эффективных механизмов надзора и процессуальных гарантий, а также приведения этих положений</w:t>
      </w:r>
      <w:proofErr w:type="gramEnd"/>
      <w:r w:rsidRPr="00F7027B">
        <w:rPr>
          <w:b/>
        </w:rPr>
        <w:t xml:space="preserve"> в соответствие со статьей 19 Пакта. Кроме того, государству-участнику следует оперативно и тщательно ра</w:t>
      </w:r>
      <w:r w:rsidRPr="00F7027B">
        <w:rPr>
          <w:b/>
        </w:rPr>
        <w:t>с</w:t>
      </w:r>
      <w:r w:rsidRPr="00F7027B">
        <w:rPr>
          <w:b/>
        </w:rPr>
        <w:t>следовать все сообщения о случаях преследований, исчезновений и убий</w:t>
      </w:r>
      <w:proofErr w:type="gramStart"/>
      <w:r w:rsidRPr="00F7027B">
        <w:rPr>
          <w:b/>
        </w:rPr>
        <w:t>ств пр</w:t>
      </w:r>
      <w:proofErr w:type="gramEnd"/>
      <w:r w:rsidRPr="00F7027B">
        <w:rPr>
          <w:b/>
        </w:rPr>
        <w:t>авозащитников, привлекать виновных к ответственности и активизир</w:t>
      </w:r>
      <w:r w:rsidRPr="00F7027B">
        <w:rPr>
          <w:b/>
        </w:rPr>
        <w:t>о</w:t>
      </w:r>
      <w:r w:rsidRPr="00F7027B">
        <w:rPr>
          <w:b/>
        </w:rPr>
        <w:t>вать усилия по обеспечению безопасных и благоприятных условий для р</w:t>
      </w:r>
      <w:r w:rsidRPr="00F7027B">
        <w:rPr>
          <w:b/>
        </w:rPr>
        <w:t>а</w:t>
      </w:r>
      <w:r w:rsidRPr="00F7027B">
        <w:rPr>
          <w:b/>
        </w:rPr>
        <w:t>боты журналистов, адвокатов и правозащитников.</w:t>
      </w:r>
    </w:p>
    <w:p w:rsidR="00F7027B" w:rsidRPr="00F7027B" w:rsidRDefault="00F7027B" w:rsidP="00586A25">
      <w:pPr>
        <w:pStyle w:val="H23GR"/>
      </w:pPr>
      <w:r w:rsidRPr="00F7027B">
        <w:tab/>
      </w:r>
      <w:r w:rsidRPr="00F7027B">
        <w:tab/>
        <w:t>Свобода собраний и ассоциаций</w:t>
      </w:r>
    </w:p>
    <w:p w:rsidR="00F7027B" w:rsidRPr="00F7027B" w:rsidRDefault="00F7027B" w:rsidP="00F7027B">
      <w:pPr>
        <w:pStyle w:val="SingleTxtGR"/>
      </w:pPr>
      <w:r w:rsidRPr="00F7027B">
        <w:t>39.</w:t>
      </w:r>
      <w:r w:rsidRPr="00F7027B">
        <w:tab/>
        <w:t>Комитет обеспокоен тем, что Стратегия регулирования деятельности международных неправительственных организаций в Пакистане может, вопр</w:t>
      </w:r>
      <w:r w:rsidRPr="00F7027B">
        <w:t>е</w:t>
      </w:r>
      <w:r w:rsidRPr="00F7027B">
        <w:t>ки своему изначальному предназначению, ограничивать регистрацию междун</w:t>
      </w:r>
      <w:r w:rsidRPr="00F7027B">
        <w:t>а</w:t>
      </w:r>
      <w:r w:rsidRPr="00F7027B">
        <w:t>родных неправительственных организаций (НПО) и их деятельность. Комитет выражает особую обеспокоенность в связи с широкими и размытыми критер</w:t>
      </w:r>
      <w:r w:rsidRPr="00F7027B">
        <w:t>и</w:t>
      </w:r>
      <w:r w:rsidRPr="00F7027B">
        <w:t xml:space="preserve">ями, на основе которых принимаются решения об аннулировании регистрации этих организаций (статьи 18, 19 и 22). </w:t>
      </w:r>
    </w:p>
    <w:p w:rsidR="00F7027B" w:rsidRPr="00F7027B" w:rsidRDefault="00F7027B" w:rsidP="00F7027B">
      <w:pPr>
        <w:pStyle w:val="SingleTxtGR"/>
        <w:rPr>
          <w:b/>
        </w:rPr>
      </w:pPr>
      <w:r w:rsidRPr="00F7027B">
        <w:t>40.</w:t>
      </w:r>
      <w:r w:rsidRPr="00F7027B">
        <w:tab/>
      </w:r>
      <w:r w:rsidRPr="00F7027B">
        <w:rPr>
          <w:b/>
        </w:rPr>
        <w:t xml:space="preserve">Государству-участнику следует пересмотреть свое законодательство, касающееся регистрации международных НПО, с </w:t>
      </w:r>
      <w:proofErr w:type="gramStart"/>
      <w:r w:rsidRPr="00F7027B">
        <w:rPr>
          <w:b/>
        </w:rPr>
        <w:t>тем</w:t>
      </w:r>
      <w:proofErr w:type="gramEnd"/>
      <w:r w:rsidRPr="00F7027B">
        <w:rPr>
          <w:b/>
        </w:rPr>
        <w:t xml:space="preserve"> чтобы привести его в соответствие со статьей 22 Пакта.</w:t>
      </w:r>
    </w:p>
    <w:p w:rsidR="00F7027B" w:rsidRPr="00F7027B" w:rsidRDefault="00F7027B" w:rsidP="00586A25">
      <w:pPr>
        <w:pStyle w:val="H23GR"/>
      </w:pPr>
      <w:r w:rsidRPr="00F7027B">
        <w:tab/>
      </w:r>
      <w:r w:rsidRPr="00F7027B">
        <w:tab/>
        <w:t xml:space="preserve">Ранние и принудительные браки </w:t>
      </w:r>
    </w:p>
    <w:p w:rsidR="00F7027B" w:rsidRPr="00F7027B" w:rsidRDefault="00F7027B" w:rsidP="00F7027B">
      <w:pPr>
        <w:pStyle w:val="SingleTxtGR"/>
      </w:pPr>
      <w:r w:rsidRPr="00F7027B">
        <w:t>41.</w:t>
      </w:r>
      <w:r w:rsidRPr="00F7027B">
        <w:tab/>
      </w:r>
      <w:proofErr w:type="gramStart"/>
      <w:r w:rsidRPr="00F7027B">
        <w:t xml:space="preserve">Комитет обеспокоен тем, что в законах некоторых провинций установлен разный минимальный возраст вступления в брак для девочек (16 лет) и юношей (18 лет); по-прежнему действует обычай </w:t>
      </w:r>
      <w:r w:rsidR="009A0F3C">
        <w:t>«</w:t>
      </w:r>
      <w:proofErr w:type="spellStart"/>
      <w:r w:rsidRPr="00F7027B">
        <w:t>гхаг</w:t>
      </w:r>
      <w:proofErr w:type="spellEnd"/>
      <w:r w:rsidR="009A0F3C">
        <w:t>»</w:t>
      </w:r>
      <w:r w:rsidRPr="00F7027B">
        <w:t xml:space="preserve"> и продолжается практика пр</w:t>
      </w:r>
      <w:r w:rsidRPr="00F7027B">
        <w:t>и</w:t>
      </w:r>
      <w:r w:rsidRPr="00F7027B">
        <w:t>нудительных и детских браков; и среди жертв такой практики широко распр</w:t>
      </w:r>
      <w:r w:rsidRPr="00F7027B">
        <w:t>о</w:t>
      </w:r>
      <w:r w:rsidRPr="00F7027B">
        <w:t>странены случаи самоубийств и попыток самоубийства (статьи 2 (2), 3, 6, 23 и</w:t>
      </w:r>
      <w:r w:rsidR="009A0F3C">
        <w:t> </w:t>
      </w:r>
      <w:r w:rsidRPr="00F7027B">
        <w:t xml:space="preserve">26). </w:t>
      </w:r>
      <w:proofErr w:type="gramEnd"/>
    </w:p>
    <w:p w:rsidR="00F7027B" w:rsidRPr="00F7027B" w:rsidRDefault="00F7027B" w:rsidP="00F7027B">
      <w:pPr>
        <w:pStyle w:val="SingleTxtGR"/>
        <w:rPr>
          <w:b/>
        </w:rPr>
      </w:pPr>
      <w:r w:rsidRPr="00F7027B">
        <w:t>42.</w:t>
      </w:r>
      <w:r w:rsidRPr="00F7027B">
        <w:tab/>
      </w:r>
      <w:r w:rsidRPr="00F7027B">
        <w:rPr>
          <w:b/>
        </w:rPr>
        <w:t>Государству-участнику следует обеспечить установление 18 лет в к</w:t>
      </w:r>
      <w:r w:rsidRPr="00F7027B">
        <w:rPr>
          <w:b/>
        </w:rPr>
        <w:t>а</w:t>
      </w:r>
      <w:r w:rsidRPr="00F7027B">
        <w:rPr>
          <w:b/>
        </w:rPr>
        <w:t xml:space="preserve">честве минимального возраста вступления в </w:t>
      </w:r>
      <w:proofErr w:type="gramStart"/>
      <w:r w:rsidRPr="00F7027B">
        <w:rPr>
          <w:b/>
        </w:rPr>
        <w:t>брак</w:t>
      </w:r>
      <w:proofErr w:type="gramEnd"/>
      <w:r w:rsidRPr="00F7027B">
        <w:rPr>
          <w:b/>
        </w:rPr>
        <w:t xml:space="preserve"> как для мальчиков, так и для девочек; активизировать усилия по искоренению принудительных браков и связанных с ними пагубных видов практики, в том числе пров</w:t>
      </w:r>
      <w:r w:rsidRPr="00F7027B">
        <w:rPr>
          <w:b/>
        </w:rPr>
        <w:t>о</w:t>
      </w:r>
      <w:r w:rsidRPr="00F7027B">
        <w:rPr>
          <w:b/>
        </w:rPr>
        <w:t>дить оперативные и эффективные расследования по всем сообщениям о таких случаях и при необходимости привлекать к ответственности вино</w:t>
      </w:r>
      <w:r w:rsidRPr="00F7027B">
        <w:rPr>
          <w:b/>
        </w:rPr>
        <w:t>в</w:t>
      </w:r>
      <w:r w:rsidRPr="00F7027B">
        <w:rPr>
          <w:b/>
        </w:rPr>
        <w:t>ных; и обеспечить предоставление жертвам соответствующих сре</w:t>
      </w:r>
      <w:proofErr w:type="gramStart"/>
      <w:r w:rsidRPr="00F7027B">
        <w:rPr>
          <w:b/>
        </w:rPr>
        <w:t>дств пр</w:t>
      </w:r>
      <w:proofErr w:type="gramEnd"/>
      <w:r w:rsidRPr="00F7027B">
        <w:rPr>
          <w:b/>
        </w:rPr>
        <w:t>а</w:t>
      </w:r>
      <w:r w:rsidRPr="00F7027B">
        <w:rPr>
          <w:b/>
        </w:rPr>
        <w:t>вовой защиты и реабилитационных услуг.</w:t>
      </w:r>
    </w:p>
    <w:p w:rsidR="00F7027B" w:rsidRPr="00F7027B" w:rsidRDefault="00F7027B" w:rsidP="00586A25">
      <w:pPr>
        <w:pStyle w:val="H23GR"/>
      </w:pPr>
      <w:r w:rsidRPr="00F7027B">
        <w:tab/>
      </w:r>
      <w:r w:rsidRPr="00F7027B">
        <w:tab/>
        <w:t>Защита детей</w:t>
      </w:r>
    </w:p>
    <w:p w:rsidR="00F7027B" w:rsidRPr="00F7027B" w:rsidRDefault="00F7027B" w:rsidP="00F7027B">
      <w:pPr>
        <w:pStyle w:val="SingleTxtGR"/>
      </w:pPr>
      <w:r w:rsidRPr="00F7027B">
        <w:t>43.</w:t>
      </w:r>
      <w:r w:rsidRPr="00F7027B">
        <w:tab/>
        <w:t>Комитет обеспокоен тем, что, несмотря на приложенные государством-участником усилия, отмечается низкий уровень регистрации рождений, что имеет негативные последствия для детей. Он обеспокоен также большим кол</w:t>
      </w:r>
      <w:r w:rsidRPr="00F7027B">
        <w:t>и</w:t>
      </w:r>
      <w:r w:rsidRPr="00F7027B">
        <w:t>чеством детей, привлекаемых к труду в опасных и близких к рабству условиях, особенно в областях, связанных с кирпичным производством и надомным тр</w:t>
      </w:r>
      <w:r w:rsidRPr="00F7027B">
        <w:t>у</w:t>
      </w:r>
      <w:r w:rsidRPr="00F7027B">
        <w:t>дом, а также недостаточностью инспекционных проверок для выявления случ</w:t>
      </w:r>
      <w:r w:rsidRPr="00F7027B">
        <w:t>а</w:t>
      </w:r>
      <w:r w:rsidRPr="00F7027B">
        <w:t>ев детского труда. Он обеспокоен также тем, что виновные редко привлекаются к ответственности, а жертвы не получают надлежащую помощь и реабилитац</w:t>
      </w:r>
      <w:r w:rsidRPr="00F7027B">
        <w:t>и</w:t>
      </w:r>
      <w:r w:rsidRPr="00F7027B">
        <w:t xml:space="preserve">онные услуги (статьи 2, 6, 7, 8, 24 и 26). </w:t>
      </w:r>
    </w:p>
    <w:p w:rsidR="00F7027B" w:rsidRPr="00F7027B" w:rsidRDefault="00F7027B" w:rsidP="00F7027B">
      <w:pPr>
        <w:pStyle w:val="SingleTxtGR"/>
        <w:rPr>
          <w:b/>
        </w:rPr>
      </w:pPr>
      <w:r w:rsidRPr="00F7027B">
        <w:t>44.</w:t>
      </w:r>
      <w:r w:rsidRPr="00F7027B">
        <w:tab/>
      </w:r>
      <w:r w:rsidRPr="00F7027B">
        <w:rPr>
          <w:b/>
        </w:rPr>
        <w:t xml:space="preserve">Государству-участнику следует активизировать усилия, с </w:t>
      </w:r>
      <w:proofErr w:type="gramStart"/>
      <w:r w:rsidRPr="00F7027B">
        <w:rPr>
          <w:b/>
        </w:rPr>
        <w:t>тем</w:t>
      </w:r>
      <w:proofErr w:type="gramEnd"/>
      <w:r w:rsidRPr="00F7027B">
        <w:rPr>
          <w:b/>
        </w:rPr>
        <w:t xml:space="preserve"> чтобы обеспечить регистрацию всех новорожденных; выявлять и регистрировать детей, которые не были зарегистрированы при рождении, а также детей, не имеющих документов, удостоверяющих личность; и разъяснять важное значение регистрации рождений. Ему следует также принять все необход</w:t>
      </w:r>
      <w:r w:rsidRPr="00F7027B">
        <w:rPr>
          <w:b/>
        </w:rPr>
        <w:t>и</w:t>
      </w:r>
      <w:r w:rsidRPr="00F7027B">
        <w:rPr>
          <w:b/>
        </w:rPr>
        <w:t>мые меры для того, чтобы положить конец использованию детского труда, в частности обеспечивать неукоснительное соблюдение законов о детском труде и укреплять механизмы инспекции труда.</w:t>
      </w:r>
    </w:p>
    <w:p w:rsidR="00F7027B" w:rsidRPr="00F7027B" w:rsidRDefault="00F7027B" w:rsidP="00586A25">
      <w:pPr>
        <w:pStyle w:val="H23GR"/>
      </w:pPr>
      <w:r w:rsidRPr="00F7027B">
        <w:tab/>
      </w:r>
      <w:r w:rsidRPr="00F7027B">
        <w:tab/>
        <w:t>Афганские беженцы</w:t>
      </w:r>
    </w:p>
    <w:p w:rsidR="00F7027B" w:rsidRPr="00F7027B" w:rsidRDefault="00F7027B" w:rsidP="00F7027B">
      <w:pPr>
        <w:pStyle w:val="SingleTxtGR"/>
      </w:pPr>
      <w:r w:rsidRPr="00F7027B">
        <w:t>45.</w:t>
      </w:r>
      <w:r w:rsidRPr="00F7027B">
        <w:tab/>
        <w:t>Комитет выражает признательность государству-участнику за то, что оно на протяжении многих лет принимает миллионы афганских беженцев, и пр</w:t>
      </w:r>
      <w:r w:rsidRPr="00F7027B">
        <w:t>и</w:t>
      </w:r>
      <w:r w:rsidRPr="00F7027B">
        <w:t>ветствует принятие всеобъемлющей Стратегии урегулирования проблем афга</w:t>
      </w:r>
      <w:r w:rsidRPr="00F7027B">
        <w:t>н</w:t>
      </w:r>
      <w:r w:rsidRPr="00F7027B">
        <w:t xml:space="preserve">ских беженцев и их добровольной репатриации, а также плана государства-участника по осуществлению регистрации не имеющих документов афганцев в августе 2017 года. Вместе с тем Комитет по-прежнему обеспокоен задержкой с принятием национального закона о беженцах и </w:t>
      </w:r>
      <w:proofErr w:type="gramStart"/>
      <w:r w:rsidRPr="00F7027B">
        <w:t>сообщениями</w:t>
      </w:r>
      <w:proofErr w:type="gramEnd"/>
      <w:r w:rsidRPr="00F7027B">
        <w:t xml:space="preserve"> о том, что афга</w:t>
      </w:r>
      <w:r w:rsidRPr="00F7027B">
        <w:t>н</w:t>
      </w:r>
      <w:r w:rsidRPr="00F7027B">
        <w:t>цы в Пакистане, особенно те, у кого нет документов, могут подвергаться прои</w:t>
      </w:r>
      <w:r w:rsidRPr="00F7027B">
        <w:t>з</w:t>
      </w:r>
      <w:r w:rsidRPr="00F7027B">
        <w:t>вольным арестам, преследованию и угрозам депортации со стороны полиции и сил безопасности (</w:t>
      </w:r>
      <w:r w:rsidR="009E528C">
        <w:t xml:space="preserve">статьи </w:t>
      </w:r>
      <w:r w:rsidRPr="00F7027B">
        <w:t xml:space="preserve">2, 7, 9 и 26). </w:t>
      </w:r>
    </w:p>
    <w:p w:rsidR="00F7027B" w:rsidRPr="00F7027B" w:rsidRDefault="00F7027B" w:rsidP="00F7027B">
      <w:pPr>
        <w:pStyle w:val="SingleTxtGR"/>
        <w:rPr>
          <w:b/>
        </w:rPr>
      </w:pPr>
      <w:r w:rsidRPr="00F7027B">
        <w:t>46.</w:t>
      </w:r>
      <w:r w:rsidRPr="00F7027B">
        <w:tab/>
      </w:r>
      <w:r w:rsidRPr="00F7027B">
        <w:rPr>
          <w:b/>
        </w:rPr>
        <w:t>Государству-участнику следует осуществить регистрацию афганских беженцев, не имеющих документов, как это было запланировано. Госуда</w:t>
      </w:r>
      <w:r w:rsidRPr="00F7027B">
        <w:rPr>
          <w:b/>
        </w:rPr>
        <w:t>р</w:t>
      </w:r>
      <w:r w:rsidRPr="00F7027B">
        <w:rPr>
          <w:b/>
        </w:rPr>
        <w:t>ству-участнику необходимо ускорить принятие национального закона о беженцах в соответствии с международными нормами в области прав ч</w:t>
      </w:r>
      <w:r w:rsidRPr="00F7027B">
        <w:rPr>
          <w:b/>
        </w:rPr>
        <w:t>е</w:t>
      </w:r>
      <w:r w:rsidRPr="00F7027B">
        <w:rPr>
          <w:b/>
        </w:rPr>
        <w:t>ловека и гуманитарными стандартами. Оно должно также расследовать все сообщения о злоупотреблениях в отношении беженцев со стороны п</w:t>
      </w:r>
      <w:r w:rsidRPr="00F7027B">
        <w:rPr>
          <w:b/>
        </w:rPr>
        <w:t>о</w:t>
      </w:r>
      <w:r w:rsidRPr="00F7027B">
        <w:rPr>
          <w:b/>
        </w:rPr>
        <w:t>лиции и сил безопасности и принимать все необходимые меры для предо</w:t>
      </w:r>
      <w:r w:rsidRPr="00F7027B">
        <w:rPr>
          <w:b/>
        </w:rPr>
        <w:t>т</w:t>
      </w:r>
      <w:r w:rsidRPr="00F7027B">
        <w:rPr>
          <w:b/>
        </w:rPr>
        <w:t>вращения таких злоупотреблений.</w:t>
      </w:r>
    </w:p>
    <w:p w:rsidR="00F7027B" w:rsidRPr="00F7027B" w:rsidRDefault="00F7027B" w:rsidP="00586A25">
      <w:pPr>
        <w:pStyle w:val="H23GR"/>
      </w:pPr>
      <w:r w:rsidRPr="00F7027B">
        <w:tab/>
      </w:r>
      <w:r w:rsidRPr="00F7027B">
        <w:tab/>
        <w:t xml:space="preserve">Право на участие в ведении государственных дел </w:t>
      </w:r>
    </w:p>
    <w:p w:rsidR="00F7027B" w:rsidRPr="00F7027B" w:rsidRDefault="00F7027B" w:rsidP="00F7027B">
      <w:pPr>
        <w:pStyle w:val="SingleTxtGR"/>
      </w:pPr>
      <w:r w:rsidRPr="00F7027B">
        <w:t>47.</w:t>
      </w:r>
      <w:r w:rsidRPr="00F7027B">
        <w:tab/>
      </w:r>
      <w:proofErr w:type="gramStart"/>
      <w:r w:rsidRPr="00F7027B">
        <w:t>Отмечая введение квот для женщин и представителей меньшинств в национальном и провинциальных парламентах и на государственной службе, а также квот для инвалидов в государственных органах, Комитет, тем не менее, выражает обеспокоенность в связи с тем, что квота предусмотрена только для религиозных меньшинств, и сожалеет по поводу отсутствия достаточной и</w:t>
      </w:r>
      <w:r w:rsidRPr="00F7027B">
        <w:t>н</w:t>
      </w:r>
      <w:r w:rsidRPr="00F7027B">
        <w:t>формации о соблюдении этих квот.</w:t>
      </w:r>
      <w:proofErr w:type="gramEnd"/>
      <w:r w:rsidRPr="00F7027B">
        <w:t xml:space="preserve"> </w:t>
      </w:r>
      <w:proofErr w:type="gramStart"/>
      <w:r w:rsidRPr="00F7027B">
        <w:t xml:space="preserve">Он обеспокоен также исключением </w:t>
      </w:r>
      <w:proofErr w:type="spellStart"/>
      <w:r w:rsidRPr="00F7027B">
        <w:t>ахмад</w:t>
      </w:r>
      <w:r w:rsidRPr="00F7027B">
        <w:t>и</w:t>
      </w:r>
      <w:r w:rsidRPr="00F7027B">
        <w:t>тов</w:t>
      </w:r>
      <w:proofErr w:type="spellEnd"/>
      <w:r w:rsidRPr="00F7027B">
        <w:t xml:space="preserve"> из общего избирательного списка и их регистрацией в отдельном списке и</w:t>
      </w:r>
      <w:r w:rsidRPr="00F7027B">
        <w:t>з</w:t>
      </w:r>
      <w:r w:rsidRPr="00F7027B">
        <w:t>бирателей, низким уровнем осуществления женщинами права на участие в г</w:t>
      </w:r>
      <w:r w:rsidRPr="00F7027B">
        <w:t>о</w:t>
      </w:r>
      <w:r w:rsidRPr="00F7027B">
        <w:t xml:space="preserve">лосовании и сохраняющимися препятствиями, которые затрудняют обеспечение эффективного доступа к голосованию для инвалидов и лиц, принадлежащих к меньшинствам, в том числе цыган (статьи 2, 25, 26 и 27). </w:t>
      </w:r>
      <w:proofErr w:type="gramEnd"/>
    </w:p>
    <w:p w:rsidR="00F7027B" w:rsidRPr="00F7027B" w:rsidRDefault="00F7027B" w:rsidP="00F7027B">
      <w:pPr>
        <w:pStyle w:val="SingleTxtGR"/>
        <w:rPr>
          <w:b/>
        </w:rPr>
      </w:pPr>
      <w:r w:rsidRPr="00F7027B">
        <w:t>48.</w:t>
      </w:r>
      <w:r w:rsidRPr="00F7027B">
        <w:tab/>
      </w:r>
      <w:r w:rsidRPr="00F7027B">
        <w:rPr>
          <w:b/>
        </w:rPr>
        <w:t xml:space="preserve">Государству-участнику следует пересмотреть свой режим временных специальных мер, включая квоты для меньшинств, с </w:t>
      </w:r>
      <w:proofErr w:type="gramStart"/>
      <w:r w:rsidRPr="00F7027B">
        <w:rPr>
          <w:b/>
        </w:rPr>
        <w:t>тем</w:t>
      </w:r>
      <w:proofErr w:type="gramEnd"/>
      <w:r w:rsidRPr="00F7027B">
        <w:rPr>
          <w:b/>
        </w:rPr>
        <w:t xml:space="preserve"> чтобы они пр</w:t>
      </w:r>
      <w:r w:rsidRPr="00F7027B">
        <w:rPr>
          <w:b/>
        </w:rPr>
        <w:t>и</w:t>
      </w:r>
      <w:r w:rsidRPr="00F7027B">
        <w:rPr>
          <w:b/>
        </w:rPr>
        <w:t>менялись в отношении всех лиц, принадлежащих к религиозным, культу</w:t>
      </w:r>
      <w:r w:rsidRPr="00F7027B">
        <w:rPr>
          <w:b/>
        </w:rPr>
        <w:t>р</w:t>
      </w:r>
      <w:r w:rsidRPr="00F7027B">
        <w:rPr>
          <w:b/>
        </w:rPr>
        <w:t>ным и этническим меньшинствам, и способствовать тому, чтобы каждый гражданин на общих условиях равенства мог принимать эффективное уч</w:t>
      </w:r>
      <w:r w:rsidRPr="00F7027B">
        <w:rPr>
          <w:b/>
        </w:rPr>
        <w:t>а</w:t>
      </w:r>
      <w:r w:rsidRPr="00F7027B">
        <w:rPr>
          <w:b/>
        </w:rPr>
        <w:t xml:space="preserve">стие в ведении государственных дел и имел доступ к государственной службе. Государству-участнику следует усовершенствовать избирательную систему и процедуры, с </w:t>
      </w:r>
      <w:proofErr w:type="gramStart"/>
      <w:r w:rsidRPr="00F7027B">
        <w:rPr>
          <w:b/>
        </w:rPr>
        <w:t>те</w:t>
      </w:r>
      <w:r w:rsidR="00DB21AA">
        <w:rPr>
          <w:b/>
        </w:rPr>
        <w:t>м</w:t>
      </w:r>
      <w:proofErr w:type="gramEnd"/>
      <w:r w:rsidR="00DB21AA">
        <w:rPr>
          <w:b/>
        </w:rPr>
        <w:t xml:space="preserve"> чтобы в избирательные списки </w:t>
      </w:r>
      <w:r w:rsidRPr="00F7027B">
        <w:rPr>
          <w:b/>
        </w:rPr>
        <w:t>были включ</w:t>
      </w:r>
      <w:r w:rsidRPr="00F7027B">
        <w:rPr>
          <w:b/>
        </w:rPr>
        <w:t>е</w:t>
      </w:r>
      <w:r w:rsidRPr="00F7027B">
        <w:rPr>
          <w:b/>
        </w:rPr>
        <w:t xml:space="preserve">ны все избиратели и все граждане могли беспрепятственно осуществлять свое право на участие в голосовании. </w:t>
      </w:r>
    </w:p>
    <w:p w:rsidR="00F7027B" w:rsidRPr="00F7027B" w:rsidRDefault="00F7027B" w:rsidP="00586A25">
      <w:pPr>
        <w:pStyle w:val="H1GR"/>
      </w:pPr>
      <w:r w:rsidRPr="00F7027B">
        <w:tab/>
        <w:t>D.</w:t>
      </w:r>
      <w:r w:rsidRPr="00F7027B">
        <w:tab/>
        <w:t>Распространение информации и последующие меры</w:t>
      </w:r>
    </w:p>
    <w:p w:rsidR="00F7027B" w:rsidRPr="00F7027B" w:rsidRDefault="00F7027B" w:rsidP="00F7027B">
      <w:pPr>
        <w:pStyle w:val="SingleTxtGR"/>
      </w:pPr>
      <w:r w:rsidRPr="00F7027B">
        <w:t>49.</w:t>
      </w:r>
      <w:r w:rsidRPr="00F7027B">
        <w:tab/>
        <w:t>Государству-участнику следует обеспечить широкое распространение Пакта, своего первоначального доклада, письменных ответов на перечень в</w:t>
      </w:r>
      <w:r w:rsidRPr="00F7027B">
        <w:t>о</w:t>
      </w:r>
      <w:r w:rsidRPr="00F7027B">
        <w:t>просов Комитета</w:t>
      </w:r>
      <w:r w:rsidR="00DB21AA">
        <w:t xml:space="preserve"> </w:t>
      </w:r>
      <w:r w:rsidRPr="00F7027B">
        <w:t xml:space="preserve">и настоящих заключительных замечаний, с </w:t>
      </w:r>
      <w:proofErr w:type="gramStart"/>
      <w:r w:rsidRPr="00F7027B">
        <w:t>тем</w:t>
      </w:r>
      <w:proofErr w:type="gramEnd"/>
      <w:r w:rsidRPr="00F7027B">
        <w:t xml:space="preserve"> чтобы пов</w:t>
      </w:r>
      <w:r w:rsidRPr="00F7027B">
        <w:t>ы</w:t>
      </w:r>
      <w:r w:rsidRPr="00F7027B">
        <w:t>сить уровень осведомленности о закрепленных в Пакте правах среди предст</w:t>
      </w:r>
      <w:r w:rsidRPr="00F7027B">
        <w:t>а</w:t>
      </w:r>
      <w:r w:rsidRPr="00F7027B">
        <w:t>вителей судебных, законодательных и административных органов, гражданск</w:t>
      </w:r>
      <w:r w:rsidRPr="00F7027B">
        <w:t>о</w:t>
      </w:r>
      <w:r w:rsidRPr="00F7027B">
        <w:t>го общества и действующих в стране неправительственных организаций, а та</w:t>
      </w:r>
      <w:r w:rsidRPr="00F7027B">
        <w:t>к</w:t>
      </w:r>
      <w:r w:rsidRPr="00F7027B">
        <w:t>же широкой общественности. Государству-участнику следует обеспечить пер</w:t>
      </w:r>
      <w:r w:rsidRPr="00F7027B">
        <w:t>е</w:t>
      </w:r>
      <w:r w:rsidRPr="00F7027B">
        <w:t xml:space="preserve">вод текста доклада и настоящих заключительных замечаний на официальный язык государства-участника. </w:t>
      </w:r>
    </w:p>
    <w:p w:rsidR="00F7027B" w:rsidRPr="00F7027B" w:rsidRDefault="00F7027B" w:rsidP="00F7027B">
      <w:pPr>
        <w:pStyle w:val="SingleTxtGR"/>
      </w:pPr>
      <w:r w:rsidRPr="00F7027B">
        <w:t>50.</w:t>
      </w:r>
      <w:r w:rsidRPr="00F7027B">
        <w:tab/>
        <w:t xml:space="preserve">В соответствии с пунктом 5 правила 71 правил процедуры Комитета </w:t>
      </w:r>
      <w:proofErr w:type="spellStart"/>
      <w:r w:rsidRPr="00F7027B">
        <w:t>го</w:t>
      </w:r>
      <w:proofErr w:type="spellEnd"/>
      <w:r w:rsidR="00A2305D">
        <w:t>-</w:t>
      </w:r>
      <w:proofErr w:type="spellStart"/>
      <w:r w:rsidRPr="00F7027B">
        <w:t>сударству</w:t>
      </w:r>
      <w:proofErr w:type="spellEnd"/>
      <w:r w:rsidRPr="00F7027B">
        <w:t>-участнику предлагается представить в течение одного года с момента принятия настоящих заключительных замечаний информацию о выполнении им рекомендаций Комитета, изложенных в пунктах 18 (смертная казнь), 20</w:t>
      </w:r>
      <w:r w:rsidR="00A2305D">
        <w:t> </w:t>
      </w:r>
      <w:r w:rsidRPr="00F7027B">
        <w:t>(насильственные исчезновения и внесудебные казни) и 34 (свобода религии, совести и убеждений) выше.</w:t>
      </w:r>
    </w:p>
    <w:p w:rsidR="00F7027B" w:rsidRPr="00F7027B" w:rsidRDefault="00F7027B" w:rsidP="00F7027B">
      <w:pPr>
        <w:pStyle w:val="SingleTxtGR"/>
      </w:pPr>
      <w:r w:rsidRPr="00F7027B">
        <w:t>51.</w:t>
      </w:r>
      <w:r w:rsidRPr="00F7027B">
        <w:tab/>
        <w:t>Комитет просит государство-участник представить свой следующий п</w:t>
      </w:r>
      <w:r w:rsidRPr="00F7027B">
        <w:t>е</w:t>
      </w:r>
      <w:r w:rsidRPr="00F7027B">
        <w:t>риодический доклад к 28 июля 2020 года и включить в этот доклад информ</w:t>
      </w:r>
      <w:r w:rsidRPr="00F7027B">
        <w:t>а</w:t>
      </w:r>
      <w:r w:rsidRPr="00F7027B">
        <w:t>цию о выполнении рекомендаций, вынесенных в настоящих заключительных замечаниях. Комитет просит также государство-участник при подготовке своего доклада провести широкие консультации с представителями гражданского о</w:t>
      </w:r>
      <w:r w:rsidRPr="00F7027B">
        <w:t>б</w:t>
      </w:r>
      <w:r w:rsidRPr="00F7027B">
        <w:t>щества и действующих в стране неправительственных организаций, а также меньшинств и социально отчужденных групп. В соответствии с резолюц</w:t>
      </w:r>
      <w:r w:rsidRPr="00F7027B">
        <w:t>и</w:t>
      </w:r>
      <w:r w:rsidRPr="00F7027B">
        <w:t>ей</w:t>
      </w:r>
      <w:r w:rsidR="00637A37">
        <w:t> </w:t>
      </w:r>
      <w:r w:rsidRPr="00F7027B">
        <w:t>68/268 Генеральной Ассамблеи объем доклада не должен превышать 21</w:t>
      </w:r>
      <w:r w:rsidR="00637A37">
        <w:t> </w:t>
      </w:r>
      <w:r w:rsidRPr="00F7027B">
        <w:t>200</w:t>
      </w:r>
      <w:r w:rsidR="00637A37">
        <w:t> </w:t>
      </w:r>
      <w:r w:rsidRPr="00F7027B">
        <w:t>слов. В качестве альтернативного варианта Комитет предлагает госуда</w:t>
      </w:r>
      <w:r w:rsidRPr="00F7027B">
        <w:t>р</w:t>
      </w:r>
      <w:r w:rsidRPr="00F7027B">
        <w:t>ству-участнику согласиться в течение одного года с момента принятия насто</w:t>
      </w:r>
      <w:r w:rsidRPr="00F7027B">
        <w:t>я</w:t>
      </w:r>
      <w:r w:rsidRPr="00F7027B">
        <w:t>щих заключительных замечаний использовать упрощенную процедуру пре</w:t>
      </w:r>
      <w:r w:rsidRPr="00F7027B">
        <w:t>д</w:t>
      </w:r>
      <w:r w:rsidRPr="00F7027B">
        <w:t>ставления докладов, в соответствии с которой Комитет направляет государству-участнику перечень вопросов до представления им периодического доклада. Ответы государства-участника на этот перечень вопросов будут являться его следующим периодическим докладом, представляемым в соответствии со ст</w:t>
      </w:r>
      <w:r w:rsidRPr="00F7027B">
        <w:t>а</w:t>
      </w:r>
      <w:r w:rsidRPr="00F7027B">
        <w:t>тьей 40 Пакта.</w:t>
      </w:r>
    </w:p>
    <w:p w:rsidR="00381C24" w:rsidRPr="001F5A4B" w:rsidRDefault="00586A25" w:rsidP="00586A25">
      <w:pPr>
        <w:pStyle w:val="SingleTxtGR"/>
        <w:spacing w:before="240" w:after="0"/>
        <w:jc w:val="center"/>
        <w:rPr>
          <w:u w:val="single"/>
        </w:rPr>
      </w:pPr>
      <w:r w:rsidRPr="001F5A4B">
        <w:rPr>
          <w:u w:val="single"/>
        </w:rPr>
        <w:tab/>
      </w:r>
      <w:r w:rsidRPr="001F5A4B">
        <w:rPr>
          <w:u w:val="single"/>
        </w:rPr>
        <w:tab/>
      </w:r>
      <w:r w:rsidRPr="001F5A4B">
        <w:rPr>
          <w:u w:val="single"/>
        </w:rPr>
        <w:tab/>
      </w:r>
    </w:p>
    <w:sectPr w:rsidR="00381C24" w:rsidRPr="001F5A4B" w:rsidSect="00F7027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5D" w:rsidRPr="00A312BC" w:rsidRDefault="00A2305D" w:rsidP="00A312BC"/>
  </w:endnote>
  <w:endnote w:type="continuationSeparator" w:id="0">
    <w:p w:rsidR="00A2305D" w:rsidRPr="00A312BC" w:rsidRDefault="00A2305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05D" w:rsidRPr="00F7027B" w:rsidRDefault="00A2305D">
    <w:pPr>
      <w:pStyle w:val="a8"/>
    </w:pPr>
    <w:r w:rsidRPr="00F7027B">
      <w:rPr>
        <w:b/>
        <w:sz w:val="18"/>
      </w:rPr>
      <w:fldChar w:fldCharType="begin"/>
    </w:r>
    <w:r w:rsidRPr="00F7027B">
      <w:rPr>
        <w:b/>
        <w:sz w:val="18"/>
      </w:rPr>
      <w:instrText xml:space="preserve"> PAGE  \* MERGEFORMAT </w:instrText>
    </w:r>
    <w:r w:rsidRPr="00F7027B">
      <w:rPr>
        <w:b/>
        <w:sz w:val="18"/>
      </w:rPr>
      <w:fldChar w:fldCharType="separate"/>
    </w:r>
    <w:r w:rsidR="001F5A4B">
      <w:rPr>
        <w:b/>
        <w:noProof/>
        <w:sz w:val="18"/>
      </w:rPr>
      <w:t>10</w:t>
    </w:r>
    <w:r w:rsidRPr="00F7027B">
      <w:rPr>
        <w:b/>
        <w:sz w:val="18"/>
      </w:rPr>
      <w:fldChar w:fldCharType="end"/>
    </w:r>
    <w:r>
      <w:rPr>
        <w:b/>
        <w:sz w:val="18"/>
      </w:rPr>
      <w:tab/>
    </w:r>
    <w:r>
      <w:t>GE.17-14586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05D" w:rsidRPr="00F7027B" w:rsidRDefault="00A2305D" w:rsidP="00F7027B">
    <w:pPr>
      <w:pStyle w:val="a8"/>
      <w:tabs>
        <w:tab w:val="clear" w:pos="9639"/>
        <w:tab w:val="right" w:pos="9638"/>
      </w:tabs>
      <w:rPr>
        <w:b/>
        <w:sz w:val="18"/>
      </w:rPr>
    </w:pPr>
    <w:r>
      <w:t>GE.17-14586</w:t>
    </w:r>
    <w:r>
      <w:tab/>
    </w:r>
    <w:r w:rsidRPr="00F7027B">
      <w:rPr>
        <w:b/>
        <w:sz w:val="18"/>
      </w:rPr>
      <w:fldChar w:fldCharType="begin"/>
    </w:r>
    <w:r w:rsidRPr="00F7027B">
      <w:rPr>
        <w:b/>
        <w:sz w:val="18"/>
      </w:rPr>
      <w:instrText xml:space="preserve"> PAGE  \* MERGEFORMAT </w:instrText>
    </w:r>
    <w:r w:rsidRPr="00F7027B">
      <w:rPr>
        <w:b/>
        <w:sz w:val="18"/>
      </w:rPr>
      <w:fldChar w:fldCharType="separate"/>
    </w:r>
    <w:r w:rsidR="001F5A4B">
      <w:rPr>
        <w:b/>
        <w:noProof/>
        <w:sz w:val="18"/>
      </w:rPr>
      <w:t>9</w:t>
    </w:r>
    <w:r w:rsidRPr="00F7027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05D" w:rsidRPr="00F7027B" w:rsidRDefault="00A2305D" w:rsidP="00F7027B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4B21746" wp14:editId="7F33A98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17-14586  (R)</w:t>
    </w:r>
    <w:r>
      <w:rPr>
        <w:lang w:val="en-US"/>
      </w:rPr>
      <w:t xml:space="preserve">  250917  280917</w:t>
    </w:r>
    <w:r>
      <w:br/>
    </w:r>
    <w:r w:rsidRPr="00F7027B">
      <w:rPr>
        <w:rFonts w:ascii="C39T30Lfz" w:hAnsi="C39T30Lfz"/>
        <w:spacing w:val="0"/>
        <w:w w:val="100"/>
        <w:sz w:val="56"/>
      </w:rPr>
      <w:t></w:t>
    </w:r>
    <w:r w:rsidRPr="00F7027B">
      <w:rPr>
        <w:rFonts w:ascii="C39T30Lfz" w:hAnsi="C39T30Lfz"/>
        <w:spacing w:val="0"/>
        <w:w w:val="100"/>
        <w:sz w:val="56"/>
      </w:rPr>
      <w:t></w:t>
    </w:r>
    <w:r w:rsidRPr="00F7027B">
      <w:rPr>
        <w:rFonts w:ascii="C39T30Lfz" w:hAnsi="C39T30Lfz"/>
        <w:spacing w:val="0"/>
        <w:w w:val="100"/>
        <w:sz w:val="56"/>
      </w:rPr>
      <w:t></w:t>
    </w:r>
    <w:r w:rsidRPr="00F7027B">
      <w:rPr>
        <w:rFonts w:ascii="C39T30Lfz" w:hAnsi="C39T30Lfz"/>
        <w:spacing w:val="0"/>
        <w:w w:val="100"/>
        <w:sz w:val="56"/>
      </w:rPr>
      <w:t></w:t>
    </w:r>
    <w:r w:rsidRPr="00F7027B">
      <w:rPr>
        <w:rFonts w:ascii="C39T30Lfz" w:hAnsi="C39T30Lfz"/>
        <w:spacing w:val="0"/>
        <w:w w:val="100"/>
        <w:sz w:val="56"/>
      </w:rPr>
      <w:t></w:t>
    </w:r>
    <w:r w:rsidRPr="00F7027B">
      <w:rPr>
        <w:rFonts w:ascii="C39T30Lfz" w:hAnsi="C39T30Lfz"/>
        <w:spacing w:val="0"/>
        <w:w w:val="100"/>
        <w:sz w:val="56"/>
      </w:rPr>
      <w:t></w:t>
    </w:r>
    <w:r w:rsidRPr="00F7027B">
      <w:rPr>
        <w:rFonts w:ascii="C39T30Lfz" w:hAnsi="C39T30Lfz"/>
        <w:spacing w:val="0"/>
        <w:w w:val="100"/>
        <w:sz w:val="56"/>
      </w:rPr>
      <w:t></w:t>
    </w:r>
    <w:r w:rsidRPr="00F7027B">
      <w:rPr>
        <w:rFonts w:ascii="C39T30Lfz" w:hAnsi="C39T30Lfz"/>
        <w:spacing w:val="0"/>
        <w:w w:val="100"/>
        <w:sz w:val="56"/>
      </w:rPr>
      <w:t></w:t>
    </w:r>
    <w:r w:rsidRPr="00F7027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CPR/C/PAK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PAK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5D" w:rsidRPr="001075E9" w:rsidRDefault="00A2305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2305D" w:rsidRDefault="00A2305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2305D" w:rsidRPr="001777E2" w:rsidRDefault="00A2305D" w:rsidP="00F7027B">
      <w:pPr>
        <w:pStyle w:val="ad"/>
        <w:rPr>
          <w:color w:val="000000"/>
          <w:lang w:val="ru-RU"/>
        </w:rPr>
      </w:pPr>
      <w:r>
        <w:rPr>
          <w:lang w:val="ru-RU"/>
        </w:rPr>
        <w:tab/>
      </w:r>
      <w:proofErr w:type="gramStart"/>
      <w:r w:rsidRPr="00F7027B">
        <w:rPr>
          <w:sz w:val="20"/>
          <w:lang w:val="ru-RU"/>
        </w:rPr>
        <w:t>*</w:t>
      </w:r>
      <w:r>
        <w:rPr>
          <w:lang w:val="ru-RU"/>
        </w:rPr>
        <w:tab/>
        <w:t>Приняты Комитетом на его 120-й сессии (3</w:t>
      </w:r>
      <w:r w:rsidRPr="00B67DC0">
        <w:rPr>
          <w:lang w:val="ru-RU"/>
        </w:rPr>
        <w:t>–</w:t>
      </w:r>
      <w:r>
        <w:rPr>
          <w:lang w:val="ru-RU"/>
        </w:rPr>
        <w:t>28 июля 2017 года).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05D" w:rsidRPr="00F7027B" w:rsidRDefault="001F5A4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CCPR/C/PAK/CO/1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05D" w:rsidRPr="00F7027B" w:rsidRDefault="001F5A4B" w:rsidP="00F7027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CCPR/C/PAK/CO/1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A0"/>
    <w:rsid w:val="00033EE1"/>
    <w:rsid w:val="00042B72"/>
    <w:rsid w:val="000558BD"/>
    <w:rsid w:val="00055C5C"/>
    <w:rsid w:val="000B57E7"/>
    <w:rsid w:val="000B6373"/>
    <w:rsid w:val="000F09DF"/>
    <w:rsid w:val="000F61B2"/>
    <w:rsid w:val="001075E9"/>
    <w:rsid w:val="001347B0"/>
    <w:rsid w:val="00180183"/>
    <w:rsid w:val="0018024D"/>
    <w:rsid w:val="0018649F"/>
    <w:rsid w:val="00196389"/>
    <w:rsid w:val="001B3EF6"/>
    <w:rsid w:val="001C7A89"/>
    <w:rsid w:val="001F5A4B"/>
    <w:rsid w:val="002316F9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10B3"/>
    <w:rsid w:val="00375F01"/>
    <w:rsid w:val="00381C24"/>
    <w:rsid w:val="003958D0"/>
    <w:rsid w:val="003B00E5"/>
    <w:rsid w:val="00407B78"/>
    <w:rsid w:val="00424203"/>
    <w:rsid w:val="00452493"/>
    <w:rsid w:val="00454E07"/>
    <w:rsid w:val="004600A5"/>
    <w:rsid w:val="00472C5C"/>
    <w:rsid w:val="004969B2"/>
    <w:rsid w:val="0050108D"/>
    <w:rsid w:val="00513081"/>
    <w:rsid w:val="00517901"/>
    <w:rsid w:val="00526683"/>
    <w:rsid w:val="005709E0"/>
    <w:rsid w:val="00572E19"/>
    <w:rsid w:val="00586A25"/>
    <w:rsid w:val="005961C8"/>
    <w:rsid w:val="005D7914"/>
    <w:rsid w:val="005E2B41"/>
    <w:rsid w:val="005F0B42"/>
    <w:rsid w:val="00637A37"/>
    <w:rsid w:val="00666B97"/>
    <w:rsid w:val="00681A10"/>
    <w:rsid w:val="006A1ED8"/>
    <w:rsid w:val="006C2031"/>
    <w:rsid w:val="006D461A"/>
    <w:rsid w:val="006F35EE"/>
    <w:rsid w:val="007021FF"/>
    <w:rsid w:val="00712895"/>
    <w:rsid w:val="00757357"/>
    <w:rsid w:val="00791B9D"/>
    <w:rsid w:val="00825F8D"/>
    <w:rsid w:val="00834B71"/>
    <w:rsid w:val="0086445C"/>
    <w:rsid w:val="00894693"/>
    <w:rsid w:val="008A08D7"/>
    <w:rsid w:val="008B3E6A"/>
    <w:rsid w:val="008B6909"/>
    <w:rsid w:val="008C393F"/>
    <w:rsid w:val="00906890"/>
    <w:rsid w:val="00911BE4"/>
    <w:rsid w:val="00951972"/>
    <w:rsid w:val="009608F3"/>
    <w:rsid w:val="00971C02"/>
    <w:rsid w:val="009918E2"/>
    <w:rsid w:val="009A0F3C"/>
    <w:rsid w:val="009A24AC"/>
    <w:rsid w:val="009E528C"/>
    <w:rsid w:val="00A1160C"/>
    <w:rsid w:val="00A14DA8"/>
    <w:rsid w:val="00A2305D"/>
    <w:rsid w:val="00A312BC"/>
    <w:rsid w:val="00A34D07"/>
    <w:rsid w:val="00A84021"/>
    <w:rsid w:val="00A84D35"/>
    <w:rsid w:val="00A917B3"/>
    <w:rsid w:val="00AB4B51"/>
    <w:rsid w:val="00B10CC7"/>
    <w:rsid w:val="00B136DB"/>
    <w:rsid w:val="00B539E7"/>
    <w:rsid w:val="00B62458"/>
    <w:rsid w:val="00B67DC0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57D93"/>
    <w:rsid w:val="00D90028"/>
    <w:rsid w:val="00D90138"/>
    <w:rsid w:val="00D919A0"/>
    <w:rsid w:val="00DA6129"/>
    <w:rsid w:val="00DB21AA"/>
    <w:rsid w:val="00DD78D1"/>
    <w:rsid w:val="00DE0128"/>
    <w:rsid w:val="00DE32CD"/>
    <w:rsid w:val="00DF71B9"/>
    <w:rsid w:val="00E06BEE"/>
    <w:rsid w:val="00E46656"/>
    <w:rsid w:val="00E73F76"/>
    <w:rsid w:val="00EA2C9F"/>
    <w:rsid w:val="00EA420E"/>
    <w:rsid w:val="00EB5FCC"/>
    <w:rsid w:val="00ED0BDA"/>
    <w:rsid w:val="00EF1360"/>
    <w:rsid w:val="00EF3220"/>
    <w:rsid w:val="00F43903"/>
    <w:rsid w:val="00F7027B"/>
    <w:rsid w:val="00F94155"/>
    <w:rsid w:val="00F9783F"/>
    <w:rsid w:val="00FC636C"/>
    <w:rsid w:val="00FD2EF7"/>
    <w:rsid w:val="00FE3D00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04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BF1A0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A04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BF1A0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F1A0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F1A0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F1A04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F1A04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F1A04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F1A0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F1A0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BF1A04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BF1A04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BF1A04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BF1A04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BF1A04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BF1A0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BF1A0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91B9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BF1A04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BF1A04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BF1A04"/>
  </w:style>
  <w:style w:type="character" w:customStyle="1" w:styleId="af0">
    <w:name w:val="Текст концевой сноски Знак"/>
    <w:aliases w:val="2_GR Знак"/>
    <w:basedOn w:val="a0"/>
    <w:link w:val="af"/>
    <w:rsid w:val="00BF1A04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F1A04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BF1A04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BF1A04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04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BF1A0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A04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BF1A0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F1A0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F1A0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F1A04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F1A04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F1A04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F1A0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F1A0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BF1A04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BF1A04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BF1A04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BF1A04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BF1A04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BF1A0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BF1A0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91B9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BF1A04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BF1A04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BF1A04"/>
  </w:style>
  <w:style w:type="character" w:customStyle="1" w:styleId="af0">
    <w:name w:val="Текст концевой сноски Знак"/>
    <w:aliases w:val="2_GR Знак"/>
    <w:basedOn w:val="a0"/>
    <w:link w:val="af"/>
    <w:rsid w:val="00BF1A04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F1A04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BF1A04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BF1A0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2</TotalTime>
  <Pages>13</Pages>
  <Words>5096</Words>
  <Characters>34766</Characters>
  <Application>Microsoft Office Word</Application>
  <DocSecurity>0</DocSecurity>
  <Lines>642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CCPR/C/PAK/CO/1</vt:lpstr>
      <vt:lpstr>A/</vt:lpstr>
    </vt:vector>
  </TitlesOfParts>
  <Company>DCM</Company>
  <LinksUpToDate>false</LinksUpToDate>
  <CharactersWithSpaces>39878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CCPR/C/PAK/CO/1</dc:title>
  <dc:subject/>
  <dc:creator>Sharkina</dc:creator>
  <cp:keywords/>
  <cp:lastModifiedBy>Sharkina</cp:lastModifiedBy>
  <cp:revision>4</cp:revision>
  <cp:lastPrinted>2017-09-28T14:13:00Z</cp:lastPrinted>
  <dcterms:created xsi:type="dcterms:W3CDTF">2017-09-28T14:12:00Z</dcterms:created>
  <dcterms:modified xsi:type="dcterms:W3CDTF">2017-09-28T14:14:00Z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