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33D7B78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DA7429" w14:textId="77777777" w:rsidR="002D5AAC" w:rsidRDefault="002D5AAC" w:rsidP="00A344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A742F3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C0605D" w14:textId="77777777" w:rsidR="002D5AAC" w:rsidRDefault="00A34494" w:rsidP="00A34494">
            <w:pPr>
              <w:jc w:val="right"/>
            </w:pPr>
            <w:r w:rsidRPr="00A34494">
              <w:rPr>
                <w:sz w:val="40"/>
              </w:rPr>
              <w:t>CRC</w:t>
            </w:r>
            <w:r>
              <w:t>/C/PRT/CO/5-6</w:t>
            </w:r>
          </w:p>
        </w:tc>
      </w:tr>
      <w:tr w:rsidR="002D5AAC" w:rsidRPr="00A34494" w14:paraId="679F5EE6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B68076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802B7A" wp14:editId="5A109B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6B0ED9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258ED2" w14:textId="77777777" w:rsidR="002D5AAC" w:rsidRDefault="00A34494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E4EF05" w14:textId="77777777" w:rsidR="00A34494" w:rsidRDefault="00A34494" w:rsidP="00A344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2019</w:t>
            </w:r>
          </w:p>
          <w:p w14:paraId="4AB27FC3" w14:textId="77777777" w:rsidR="00A34494" w:rsidRDefault="00A34494" w:rsidP="00A344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DC39BA" w14:textId="77777777" w:rsidR="00A34494" w:rsidRPr="00B937DF" w:rsidRDefault="00A34494" w:rsidP="00A344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087E96" w14:textId="77777777" w:rsidR="00A34494" w:rsidRPr="00A34494" w:rsidRDefault="00A34494" w:rsidP="00A34494">
      <w:pPr>
        <w:spacing w:before="120"/>
        <w:rPr>
          <w:lang w:val="en-US"/>
        </w:rPr>
      </w:pPr>
      <w:r w:rsidRPr="00D9136F">
        <w:rPr>
          <w:b/>
          <w:bCs/>
          <w:sz w:val="24"/>
          <w:szCs w:val="24"/>
        </w:rPr>
        <w:t>Комитет по правам ребенка</w:t>
      </w:r>
    </w:p>
    <w:p w14:paraId="28ED22F3" w14:textId="77777777" w:rsidR="00A34494" w:rsidRPr="00A34494" w:rsidRDefault="00A34494" w:rsidP="00A34494">
      <w:pPr>
        <w:pStyle w:val="HChG"/>
      </w:pPr>
      <w:r w:rsidRPr="00A34494">
        <w:tab/>
      </w:r>
      <w:r w:rsidRPr="00A34494">
        <w:tab/>
        <w:t>Заключительные замечания по объединенным пятому и</w:t>
      </w:r>
      <w:r>
        <w:rPr>
          <w:lang w:val="en-US"/>
        </w:rPr>
        <w:t> </w:t>
      </w:r>
      <w:r w:rsidRPr="00A34494">
        <w:t>шестому периодическим докладам Португалии</w:t>
      </w:r>
      <w:r w:rsidRPr="00A34494">
        <w:rPr>
          <w:b w:val="0"/>
          <w:sz w:val="20"/>
        </w:rPr>
        <w:footnoteReference w:customMarkFollows="1" w:id="1"/>
        <w:t>*</w:t>
      </w:r>
    </w:p>
    <w:p w14:paraId="2C6291AE" w14:textId="77777777" w:rsidR="00A34494" w:rsidRPr="00A34494" w:rsidRDefault="00A34494" w:rsidP="00A34494">
      <w:pPr>
        <w:pStyle w:val="SingleTxtG"/>
      </w:pPr>
      <w:r w:rsidRPr="00A34494">
        <w:t>1.</w:t>
      </w:r>
      <w:r w:rsidRPr="00A34494">
        <w:tab/>
        <w:t>Комитет рассмотрел объединенные пятый и шестой периодические доклады Португалии (CRC/C/PRT/5-6) на своих 2418-м и 2419-м заседаниях (см.</w:t>
      </w:r>
      <w:r>
        <w:rPr>
          <w:lang w:val="en-US"/>
        </w:rPr>
        <w:t> </w:t>
      </w:r>
      <w:r w:rsidRPr="00A34494">
        <w:t>CRC/C/SR.2418 и 2419), состоявшихся 19 и 20 сентября 2019 года, и на своем 2430-м заседании (см. CRC/C/SR.2430), состоявшемся 27 сентября 2019 года, принял настоящие заключительные замечания.</w:t>
      </w:r>
    </w:p>
    <w:p w14:paraId="5C7B8C09" w14:textId="77777777" w:rsidR="00A34494" w:rsidRPr="00A34494" w:rsidRDefault="00A34494" w:rsidP="00A34494">
      <w:pPr>
        <w:pStyle w:val="HChG"/>
      </w:pPr>
      <w:r>
        <w:tab/>
      </w:r>
      <w:r w:rsidRPr="00A34494">
        <w:t>I.</w:t>
      </w:r>
      <w:r w:rsidRPr="00A34494">
        <w:tab/>
        <w:t>Введение</w:t>
      </w:r>
    </w:p>
    <w:p w14:paraId="0AB82E95" w14:textId="77777777" w:rsidR="00A34494" w:rsidRPr="00A34494" w:rsidRDefault="00A34494" w:rsidP="00A34494">
      <w:pPr>
        <w:pStyle w:val="SingleTxtG"/>
      </w:pPr>
      <w:r w:rsidRPr="00A34494">
        <w:t>2.</w:t>
      </w:r>
      <w:r w:rsidRPr="00A34494"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(CRC/C/PRT/Q/5-6/Add.1), которые позволили лучше понять положение детей в государстве-участнике. Комитет выражает свою признательность за состоявшийся конструктивный диалог с многопрофильной делегацией.</w:t>
      </w:r>
    </w:p>
    <w:p w14:paraId="56DFC087" w14:textId="77777777" w:rsidR="00A34494" w:rsidRPr="00A34494" w:rsidRDefault="00A34494" w:rsidP="00A34494">
      <w:pPr>
        <w:pStyle w:val="HChG"/>
      </w:pPr>
      <w:r>
        <w:tab/>
      </w:r>
      <w:r w:rsidRPr="00A34494">
        <w:t>II.</w:t>
      </w:r>
      <w:r w:rsidRPr="00A34494">
        <w:tab/>
        <w:t>Последующие меры, принятые государством-участником, и достигнутый им прогресс</w:t>
      </w:r>
    </w:p>
    <w:p w14:paraId="60E9CFEF" w14:textId="77777777" w:rsidR="00A34494" w:rsidRPr="00A34494" w:rsidRDefault="00A34494" w:rsidP="00A34494">
      <w:pPr>
        <w:pStyle w:val="SingleTxtG"/>
      </w:pPr>
      <w:r w:rsidRPr="00A34494">
        <w:t>3.</w:t>
      </w:r>
      <w:r w:rsidRPr="00A34494">
        <w:tab/>
        <w:t>Комитет приветствует прогресс, достигнутый государством-участником в различных областях. Комитет с удовлетворением отмечает также законодательные, институциональные и политические меры, принятые для осуществления Конвенции, в</w:t>
      </w:r>
      <w:r>
        <w:rPr>
          <w:lang w:val="en-US"/>
        </w:rPr>
        <w:t> </w:t>
      </w:r>
      <w:r w:rsidRPr="00A34494">
        <w:t>частности пересмотр законодательства о поощрении и защите детей и молодежи, входящих в группу риска, и реструктуризацию национального механизма, уполномоченного осуществлять планирование, координацию, мониторинг и оценку действий по поощрению прав и защите детей и молодежи.</w:t>
      </w:r>
    </w:p>
    <w:p w14:paraId="04DAFC50" w14:textId="77777777" w:rsidR="00A34494" w:rsidRPr="00A34494" w:rsidRDefault="00A34494" w:rsidP="00A34494">
      <w:pPr>
        <w:pStyle w:val="HChG"/>
      </w:pPr>
      <w:r>
        <w:tab/>
      </w:r>
      <w:r w:rsidRPr="00A34494">
        <w:t>III.</w:t>
      </w:r>
      <w:r w:rsidRPr="00A34494">
        <w:tab/>
        <w:t>Основные области, вызывающие обеспокоенность, и</w:t>
      </w:r>
      <w:r>
        <w:rPr>
          <w:lang w:val="en-US"/>
        </w:rPr>
        <w:t> </w:t>
      </w:r>
      <w:r w:rsidRPr="00A34494">
        <w:t>рекомендации</w:t>
      </w:r>
    </w:p>
    <w:p w14:paraId="600E3F89" w14:textId="77777777" w:rsidR="00A34494" w:rsidRPr="00A34494" w:rsidRDefault="00A34494" w:rsidP="00A34494">
      <w:pPr>
        <w:pStyle w:val="SingleTxtG"/>
      </w:pPr>
      <w:r w:rsidRPr="00A34494">
        <w:t>4.</w:t>
      </w:r>
      <w:r w:rsidRPr="00A34494">
        <w:tab/>
        <w:t>Комитет напоминает государству-участнику о неделимости и взаимозависимости всех прав, закрепленных в Конвенции, и подчеркивает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надлежит принять срочные меры: всеобъемлющая политика и стратегия (пункт 8), наилучшие интересы ребенка (пункт</w:t>
      </w:r>
      <w:r>
        <w:rPr>
          <w:lang w:val="en-US"/>
        </w:rPr>
        <w:t> </w:t>
      </w:r>
      <w:r w:rsidRPr="00A34494">
        <w:t xml:space="preserve">18), сексуальная эксплуатация и надругательства (пункт 26), дети, лишенные </w:t>
      </w:r>
      <w:r w:rsidRPr="00A34494">
        <w:lastRenderedPageBreak/>
        <w:t xml:space="preserve">семейного окружения (пункт 31), уровень жизни (пункт 39) и дети – просители убежища, дети-беженцы и дети-мигранты (пункт 42). </w:t>
      </w:r>
    </w:p>
    <w:p w14:paraId="1DA846A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5.</w:t>
      </w:r>
      <w:r w:rsidRPr="00A34494">
        <w:tab/>
      </w:r>
      <w:r w:rsidRPr="00A34494"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 и Факультативным протоколом к ней, касающимся участия детей в вооруженных конфликтах, и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</w:t>
      </w:r>
      <w:r>
        <w:rPr>
          <w:b/>
          <w:bCs/>
          <w:lang w:val="en-US"/>
        </w:rPr>
        <w:t> </w:t>
      </w:r>
      <w:r w:rsidRPr="00A34494">
        <w:rPr>
          <w:b/>
          <w:bCs/>
        </w:rPr>
        <w:t>года.</w:t>
      </w:r>
      <w:r w:rsidRPr="00A34494">
        <w:t xml:space="preserve"> </w:t>
      </w:r>
      <w:r w:rsidRPr="00A34494"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 в той мере, в какой они касаются детей.</w:t>
      </w:r>
    </w:p>
    <w:p w14:paraId="5BAA82DA" w14:textId="77777777" w:rsidR="00A34494" w:rsidRPr="00A34494" w:rsidRDefault="00A34494" w:rsidP="00A34494">
      <w:pPr>
        <w:pStyle w:val="H1G"/>
      </w:pPr>
      <w:r>
        <w:tab/>
      </w:r>
      <w:r w:rsidRPr="00A34494">
        <w:t>A.</w:t>
      </w:r>
      <w:r w:rsidRPr="00A34494">
        <w:tab/>
        <w:t>Общие меры по осуществлению (статьи 4, 42 и 44 (6))</w:t>
      </w:r>
    </w:p>
    <w:p w14:paraId="376AC268" w14:textId="77777777" w:rsidR="00A34494" w:rsidRPr="00A34494" w:rsidRDefault="00A34494" w:rsidP="00A34494">
      <w:pPr>
        <w:pStyle w:val="H23G"/>
      </w:pPr>
      <w:r w:rsidRPr="00A34494">
        <w:tab/>
      </w:r>
      <w:r w:rsidRPr="00A34494">
        <w:tab/>
      </w:r>
      <w:r>
        <w:tab/>
      </w:r>
      <w:r w:rsidRPr="00A34494">
        <w:t>Законодательство</w:t>
      </w:r>
    </w:p>
    <w:p w14:paraId="15B0E82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6.</w:t>
      </w:r>
      <w:r w:rsidRPr="00A34494">
        <w:tab/>
      </w:r>
      <w:r w:rsidRPr="00A34494">
        <w:rPr>
          <w:b/>
          <w:bCs/>
        </w:rPr>
        <w:t>Комитет напоминает о своей предыдущей рекомендации (CRC/C/PRT/</w:t>
      </w:r>
      <w:r>
        <w:rPr>
          <w:b/>
          <w:bCs/>
        </w:rPr>
        <w:br/>
      </w:r>
      <w:r w:rsidRPr="00A34494">
        <w:rPr>
          <w:b/>
          <w:bCs/>
        </w:rPr>
        <w:t>CO/3-4, пункт 10) и рекомендует государству-участнику принять все необходимые меры для осуществления своего законодательства в соответствии с Конвенцией на национальном, провинциальном и муниципальном уровнях, включая выделение надлежащих людских, технических и финансовых ресурсов.</w:t>
      </w:r>
    </w:p>
    <w:p w14:paraId="3EC5CD05" w14:textId="77777777" w:rsidR="00A34494" w:rsidRPr="00A34494" w:rsidRDefault="00A34494" w:rsidP="00A34494">
      <w:pPr>
        <w:pStyle w:val="H23G"/>
      </w:pPr>
      <w:r w:rsidRPr="00A34494">
        <w:tab/>
      </w:r>
      <w:r w:rsidRPr="00A34494">
        <w:tab/>
      </w:r>
      <w:r>
        <w:tab/>
      </w:r>
      <w:r w:rsidRPr="00A34494">
        <w:t>Всеобъемлющая политика и стратегия</w:t>
      </w:r>
    </w:p>
    <w:p w14:paraId="455717E7" w14:textId="77777777" w:rsidR="00A34494" w:rsidRPr="00A34494" w:rsidRDefault="00A34494" w:rsidP="00A34494">
      <w:pPr>
        <w:pStyle w:val="SingleTxtG"/>
      </w:pPr>
      <w:r w:rsidRPr="00A34494">
        <w:t>7.</w:t>
      </w:r>
      <w:r w:rsidRPr="00A34494">
        <w:tab/>
        <w:t xml:space="preserve">Комитет отмечает разработку национальной стратегии в области прав ребенка на 2019–2022 годы. Вместе с тем он выражает озабоченность по поводу неоправданных задержек с утверждением стратегии. Он обеспокоен тем, что такое положение препятствует эффективному мониторингу прогресса, достигнутого в осуществлении Конвенции, и что оно приводит к недостаточному руководству при разработке планов действий на местном уровне в интересах детей и молодежи. </w:t>
      </w:r>
    </w:p>
    <w:p w14:paraId="393CBFA7" w14:textId="74F24218" w:rsidR="00A34494" w:rsidRPr="00A34494" w:rsidRDefault="00A34494" w:rsidP="00A34494">
      <w:pPr>
        <w:pStyle w:val="SingleTxtG"/>
        <w:rPr>
          <w:b/>
          <w:bCs/>
        </w:rPr>
      </w:pPr>
      <w:r w:rsidRPr="00A34494">
        <w:t>8.</w:t>
      </w:r>
      <w:r w:rsidRPr="00A34494">
        <w:tab/>
      </w:r>
      <w:r w:rsidRPr="00A34494">
        <w:rPr>
          <w:b/>
          <w:bCs/>
        </w:rPr>
        <w:t>Комитет ссылается на свою предыдущую рекомендацию (CRC/C/PRT/</w:t>
      </w:r>
      <w:r w:rsidR="008828ED">
        <w:rPr>
          <w:b/>
          <w:bCs/>
        </w:rPr>
        <w:br/>
      </w:r>
      <w:bookmarkStart w:id="0" w:name="_GoBack"/>
      <w:bookmarkEnd w:id="0"/>
      <w:r w:rsidRPr="00A34494">
        <w:rPr>
          <w:b/>
          <w:bCs/>
        </w:rPr>
        <w:t>CO/3-4, пункт 12) и рекомендует государству-участнику:</w:t>
      </w:r>
    </w:p>
    <w:p w14:paraId="6A912F2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ускорить принятие стратегии и соответствующих планов действий;</w:t>
      </w:r>
    </w:p>
    <w:p w14:paraId="5EC9C71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выделить надлежащие людские, технические и финансовые ресурсы Национальной комиссии по поощрению прав и защите детей и молодежи в целях мониторинга и координации осуществления стратегии;</w:t>
      </w:r>
    </w:p>
    <w:p w14:paraId="7DE705AE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ускорить принятие на местном уровне планов действий, обеспечивая гарантию их соответствия Конвенции и защиту и поощрение в их рамках прав всех детей.</w:t>
      </w:r>
    </w:p>
    <w:p w14:paraId="22D1E5FD" w14:textId="77777777" w:rsidR="00A34494" w:rsidRPr="00A34494" w:rsidRDefault="00A34494" w:rsidP="00A34494">
      <w:pPr>
        <w:pStyle w:val="H23G"/>
      </w:pPr>
      <w:r w:rsidRPr="00A34494">
        <w:tab/>
      </w:r>
      <w:r w:rsidRPr="00A34494">
        <w:tab/>
      </w:r>
      <w:r>
        <w:tab/>
      </w:r>
      <w:r w:rsidRPr="00A34494">
        <w:t>Координация</w:t>
      </w:r>
    </w:p>
    <w:p w14:paraId="6970E57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9.</w:t>
      </w:r>
      <w:r w:rsidRPr="00A34494">
        <w:tab/>
      </w:r>
      <w:r w:rsidRPr="00A34494">
        <w:rPr>
          <w:b/>
          <w:bCs/>
        </w:rPr>
        <w:t>Приветствуя создание Национальной комиссии по поощрению прав и защите детей и молодежи, Комитет в то же время рекомендует государству-участнику увеличить объем выделяемых Комиссии людских, технических и финансовых ресурсов и расширить ее мандат и полномочия на межведомственном уровне, с тем чтобы она координировала всю деятельность, связанную с осуществлением Конвенции на межсекторальном, национальном, региональном и местном уровнях.</w:t>
      </w:r>
    </w:p>
    <w:p w14:paraId="2B1FD5CE" w14:textId="77777777" w:rsidR="00A34494" w:rsidRPr="00A34494" w:rsidRDefault="00A34494" w:rsidP="00A34494">
      <w:pPr>
        <w:pStyle w:val="H23G"/>
      </w:pPr>
      <w:r w:rsidRPr="00A34494">
        <w:tab/>
      </w:r>
      <w:r w:rsidRPr="00A34494">
        <w:tab/>
      </w:r>
      <w:r>
        <w:tab/>
      </w:r>
      <w:r w:rsidRPr="00A34494">
        <w:t>Выделение ресурсов</w:t>
      </w:r>
    </w:p>
    <w:p w14:paraId="7F5A15E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10.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напоминает о своих предыдущих рекомендациях (пункт 16) и рекомендует государству-участнику:</w:t>
      </w:r>
    </w:p>
    <w:p w14:paraId="3E0819F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lastRenderedPageBreak/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оценить воздействие политики жесткой экономии, проводимой в рамках ее программы экономической перестройки (2011–2014 годы), на права детей и определить бюджетные потребности для устранения дисбаланса в показателях, касающихся прав детей, с учетом руководящих принципов оценки воздействия экономических реформ на права человека (A/HRC/40/57);</w:t>
      </w:r>
    </w:p>
    <w:p w14:paraId="57D9C02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использовать в процессе разработки государственного бюджета подход, ориентированный на права ребенка, внедряя систему контроля за распределением и использованием ресурсов, выделяемых на нужды детей, по всем статьям бюджета;</w:t>
      </w:r>
    </w:p>
    <w:p w14:paraId="57AE39D7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выделять достаточные бюджетные ассигнования для всех детей, уделяя особое внимание детям, находящимся в неблагоприятном или уязвимом положении, для которых могут потребоваться позитивные социальные меры, и обеспечить защиту этих бюджетных ассигнований даже в условиях экономического кризиса, стихийных бедствий или других чрезвычайных ситуаций;</w:t>
      </w:r>
    </w:p>
    <w:p w14:paraId="51EDCF7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представить дезагрегированные данные о доле средств национального бюджета, выделяемых на реализацию прав ребенка на национальном и местном уровнях, в своем следующем периодическом докладе.</w:t>
      </w:r>
    </w:p>
    <w:p w14:paraId="2B3DB4D8" w14:textId="77777777" w:rsidR="00A34494" w:rsidRPr="00A34494" w:rsidRDefault="00A34494" w:rsidP="00A34494">
      <w:pPr>
        <w:pStyle w:val="H23G"/>
      </w:pPr>
      <w:r w:rsidRPr="00A34494">
        <w:tab/>
      </w:r>
      <w:r w:rsidRPr="00A34494">
        <w:tab/>
      </w:r>
      <w:r>
        <w:tab/>
      </w:r>
      <w:r w:rsidRPr="00A34494">
        <w:t>Сбор данных</w:t>
      </w:r>
    </w:p>
    <w:p w14:paraId="794F926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11.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5 (2003) об общих мерах по осуществлению Конвенции, Комитет напоминает о своей предыдущей рекомендации (CRC/C/PRT/</w:t>
      </w:r>
      <w:r w:rsidRPr="00A34494">
        <w:rPr>
          <w:b/>
          <w:bCs/>
          <w:lang w:val="en-US"/>
        </w:rPr>
        <w:t>CO</w:t>
      </w:r>
      <w:r w:rsidRPr="00A34494">
        <w:rPr>
          <w:b/>
          <w:bCs/>
        </w:rPr>
        <w:t>/3-4, пункт 18) и рекомендует государству-участнику:</w:t>
      </w:r>
      <w:r w:rsidRPr="00A34494">
        <w:t xml:space="preserve"> </w:t>
      </w:r>
    </w:p>
    <w:p w14:paraId="7CB0E57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 xml:space="preserve">ускорить реформу своей системы сбора данных, с тем чтобы обеспечить скоординированный сбор данных в разбивке по возрасту, </w:t>
      </w:r>
      <w:r>
        <w:rPr>
          <w:b/>
          <w:bCs/>
        </w:rPr>
        <w:br/>
      </w:r>
      <w:r w:rsidRPr="00A34494">
        <w:rPr>
          <w:b/>
          <w:bCs/>
        </w:rPr>
        <w:t>полу, инвалидности, географическому местонахождению, этническому происхождению, миграционному статусу и социально-экономическому положению, и охват ею всего периода детства до достижения 18 лет, а также всех областей Конвенции;</w:t>
      </w:r>
    </w:p>
    <w:p w14:paraId="295F007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обеспечить обмен данными и показателями между соответствующими министерствами и их использование в целях выработки, мониторинга и оценки стратегий, программ и проектов, направленных на эффективное осуществление Конвенции;</w:t>
      </w:r>
      <w:r w:rsidRPr="00A34494">
        <w:t xml:space="preserve"> </w:t>
      </w:r>
    </w:p>
    <w:p w14:paraId="3CA2663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реализовать концептуальные и методологические рамки, установленные в докладе Управления Верховного комиссара Организации Объединенных Наций по правам человека под названием «Показатели соблюдения прав человека: руководство по количественной оценке и осуществлению», в процессе определения, сбора и распространения статистической информации.</w:t>
      </w:r>
    </w:p>
    <w:p w14:paraId="3D375B24" w14:textId="77777777" w:rsidR="00A34494" w:rsidRPr="00A34494" w:rsidRDefault="00A34494" w:rsidP="00A34494">
      <w:pPr>
        <w:pStyle w:val="H23G"/>
      </w:pPr>
      <w:r w:rsidRPr="00A34494">
        <w:tab/>
      </w:r>
      <w:r>
        <w:tab/>
      </w:r>
      <w:r w:rsidRPr="00A34494">
        <w:tab/>
        <w:t>Независимый мониторинг</w:t>
      </w:r>
    </w:p>
    <w:p w14:paraId="0FB038C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12.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2 (2002) о роли независимых национальных правозащитных учреждений в деле поощрения и защиты прав ребенка, Комитет рекомендует государству-участнику:</w:t>
      </w:r>
    </w:p>
    <w:p w14:paraId="767F668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назначить конкретный механизм в рамках Управления Омбудсмена по контролю за соблюдением прав детей;</w:t>
      </w:r>
      <w:r w:rsidRPr="00A34494">
        <w:t xml:space="preserve"> </w:t>
      </w:r>
    </w:p>
    <w:p w14:paraId="108C9439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предоставить Управлению Омбудсмена достаточные людские, технические и финансовые ресурсы для эффективного выполнения возложенных на него функций;</w:t>
      </w:r>
    </w:p>
    <w:p w14:paraId="7C1F001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повышать информированность населения в целом и детей в частности, а также содействовать усилиям по повышению уровня осведомленности, предпринимаемым Управлением Омбудсмена в отношении права на подачу жалобы непосредственно Омбудсмену.</w:t>
      </w:r>
      <w:r w:rsidRPr="00A34494">
        <w:t xml:space="preserve"> </w:t>
      </w:r>
    </w:p>
    <w:p w14:paraId="4C531A5E" w14:textId="77777777" w:rsidR="00A34494" w:rsidRPr="00A34494" w:rsidRDefault="00A34494" w:rsidP="0064671C">
      <w:pPr>
        <w:pStyle w:val="H23G"/>
      </w:pPr>
      <w:r w:rsidRPr="00A34494">
        <w:lastRenderedPageBreak/>
        <w:tab/>
      </w:r>
      <w:r w:rsidRPr="00A34494">
        <w:tab/>
        <w:t>Распространение информации, повышение осведомленности и подготовка</w:t>
      </w:r>
    </w:p>
    <w:p w14:paraId="2B2761F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13.</w:t>
      </w:r>
      <w:r w:rsidRPr="00A34494">
        <w:tab/>
      </w:r>
      <w:r w:rsidRPr="00A34494">
        <w:rPr>
          <w:b/>
          <w:bCs/>
        </w:rPr>
        <w:t>Признавая соответствующие изменения в национальной учебной программе, касающиеся воспитания гражданственности, Комитет рекомендует государству-участнику:</w:t>
      </w:r>
    </w:p>
    <w:p w14:paraId="20E6F89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разработать обязательные и структурированные содержание и цели учебной программы по предмету «Гражданственность и развитие», включая права ребенка в соответствии с Конвенцией, обеспечить, чтобы все преподаватели проходили обязательную подготовку по содержанию и целям предмета, и распространить его преподавание на все государственные и частные школы в государстве-участнике;</w:t>
      </w:r>
    </w:p>
    <w:p w14:paraId="57DB458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активизировать информационно-просветительские программы, в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том числе кампании, по распространению информации о Конвенции, замечаниях общего порядка Комитета и его соображениях среди детей, семей и специалистов, работающих с детьми и в их интересах;</w:t>
      </w:r>
    </w:p>
    <w:p w14:paraId="1206CD8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обеспечить, чтобы все специалисты, работающие с детьми и в их интересах, в частности социальные работники, сотрудники правоохранительных органов, медицинский персонал, сотрудники, занимающиеся вопросами иммиграции и предоставления убежища, специалисты и сотрудники, работающие во всех сферах альтернативного ухода, а также представители средств массовой информации, проходили обязательную подготовку по вопросам прав ребенка в соответствии с Конвенцией и национальным законодательством;</w:t>
      </w:r>
    </w:p>
    <w:p w14:paraId="2A08194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ввести обязательную подготовку для судей, которым предстоит работать в судах по семейным делам и делам несовершеннолетних, и включить модули, касающиеся прав ребенка, методов общения с детьми и этапов развития детей, в обязательную профессиональную подготовку, предоставляемую для судей, магистратов и прокуроров, обеспечив охват всех судов государства-участника.</w:t>
      </w:r>
    </w:p>
    <w:p w14:paraId="13BD783B" w14:textId="77777777" w:rsidR="00A34494" w:rsidRPr="00A34494" w:rsidRDefault="00A34494" w:rsidP="0064671C">
      <w:pPr>
        <w:pStyle w:val="H23G"/>
      </w:pPr>
      <w:r w:rsidRPr="00A34494">
        <w:tab/>
      </w:r>
      <w:r w:rsidRPr="00A34494">
        <w:tab/>
      </w:r>
      <w:r w:rsidR="0064671C">
        <w:tab/>
      </w:r>
      <w:r w:rsidRPr="00A34494">
        <w:t>Права детей и предпринимательская деятельность</w:t>
      </w:r>
    </w:p>
    <w:p w14:paraId="66BA29F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14.</w:t>
      </w:r>
      <w:r w:rsidRPr="00A34494">
        <w:tab/>
      </w:r>
      <w:r w:rsidRPr="00A34494">
        <w:rPr>
          <w:b/>
          <w:bCs/>
        </w:rPr>
        <w:t>В свете своего замечания общего порядка № 16 (2013) об обязательствах государств, касающихся воздействия предпринимательской деятельности на права детей, Комитет рекомендует государству-участнику:</w:t>
      </w:r>
    </w:p>
    <w:p w14:paraId="0EE84A2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проанализировать и скорректировать свою законодательную базу (гражданскую, уголовную и административную) для обеспечения юридической ответственности коммерческих предприятий и их филиалов, которые действуют на территории государства-участника или управляются с нее, особенно предприятий, работающих в сфере туризма;</w:t>
      </w:r>
    </w:p>
    <w:p w14:paraId="0071DC8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создать механизмы мониторинга для проведения расследований в связи с нарушениями прав детей и предоставления соответствующего возмещения в целях повышения ответственности и транспарентности;</w:t>
      </w:r>
    </w:p>
    <w:p w14:paraId="2B26653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проводить кампании по повышению осведомленности для туристической отрасли и населения в целом по вопросам предотвращения сексуальной эксплуатации детей в контексте путешествий и туризма и широко распространять Глобальный этический кодекс туризма среди туристических агентов и в индустрии туризма;</w:t>
      </w:r>
      <w:r w:rsidRPr="00A34494">
        <w:t xml:space="preserve"> </w:t>
      </w:r>
    </w:p>
    <w:p w14:paraId="7B05A29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укреплять международное сотрудничество в борьбе с сексуальной эксплуатацией детей в контексте путешествий и туризма на основе многосторонних, региональных и двусторонних соглашений о ее предупреждении и ликвидации.</w:t>
      </w:r>
    </w:p>
    <w:p w14:paraId="223BFF6C" w14:textId="77777777" w:rsidR="00A34494" w:rsidRPr="00A34494" w:rsidRDefault="0064671C" w:rsidP="0064671C">
      <w:pPr>
        <w:pStyle w:val="H1G"/>
      </w:pPr>
      <w:r>
        <w:lastRenderedPageBreak/>
        <w:tab/>
      </w:r>
      <w:r w:rsidR="00A34494" w:rsidRPr="00A34494">
        <w:t>B.</w:t>
      </w:r>
      <w:r w:rsidR="00A34494" w:rsidRPr="00A34494">
        <w:tab/>
        <w:t xml:space="preserve">Определение ребенка (статья 1) </w:t>
      </w:r>
    </w:p>
    <w:p w14:paraId="72C28BB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15.</w:t>
      </w:r>
      <w:r w:rsidRPr="00A34494">
        <w:tab/>
      </w:r>
      <w:r w:rsidRPr="00A34494">
        <w:rPr>
          <w:b/>
          <w:bCs/>
        </w:rPr>
        <w:t>Ссылаясь на совместную общую рекомендацию № 31 Комитета по ликвидации дискриминации в отношении женщин/замечание общего порядка</w:t>
      </w:r>
      <w:r w:rsidR="0064671C">
        <w:rPr>
          <w:b/>
          <w:bCs/>
          <w:lang w:val="en-US"/>
        </w:rPr>
        <w:t> </w:t>
      </w:r>
      <w:r w:rsidRPr="00A34494">
        <w:rPr>
          <w:b/>
          <w:bCs/>
        </w:rPr>
        <w:t>№</w:t>
      </w:r>
      <w:r w:rsidR="0064671C">
        <w:rPr>
          <w:b/>
          <w:bCs/>
          <w:lang w:val="en-US"/>
        </w:rPr>
        <w:t> </w:t>
      </w:r>
      <w:r w:rsidRPr="00A34494">
        <w:rPr>
          <w:b/>
          <w:bCs/>
        </w:rPr>
        <w:t>18 (2014) Комитета по правам ребенка о вредной практике, Комитет настоятельно призывает государство-участник внести поправки в свое законодательство, с тем чтобы отменить все исключения, допускающие вступление в брак в возрасте до 18 лет.</w:t>
      </w:r>
    </w:p>
    <w:p w14:paraId="2C765E72" w14:textId="77777777" w:rsidR="00A34494" w:rsidRPr="00A34494" w:rsidRDefault="0064671C" w:rsidP="0064671C">
      <w:pPr>
        <w:pStyle w:val="H1G"/>
      </w:pPr>
      <w:r>
        <w:tab/>
      </w:r>
      <w:r w:rsidR="00A34494" w:rsidRPr="00A34494">
        <w:t>C.</w:t>
      </w:r>
      <w:r w:rsidR="00A34494" w:rsidRPr="00A34494">
        <w:tab/>
        <w:t>Общие принципы (статьи 2, 3, 6 и 12)</w:t>
      </w:r>
    </w:p>
    <w:p w14:paraId="5411FE2D" w14:textId="77777777" w:rsidR="00A34494" w:rsidRPr="00A34494" w:rsidRDefault="00A34494" w:rsidP="0064671C">
      <w:pPr>
        <w:pStyle w:val="H23G"/>
      </w:pPr>
      <w:r w:rsidRPr="00A34494">
        <w:tab/>
      </w:r>
      <w:r w:rsidRPr="00A34494">
        <w:tab/>
      </w:r>
      <w:r w:rsidR="0064671C">
        <w:tab/>
      </w:r>
      <w:r w:rsidRPr="00A34494">
        <w:t>Недискриминация</w:t>
      </w:r>
    </w:p>
    <w:p w14:paraId="5150D81E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16.</w:t>
      </w:r>
      <w:r w:rsidRPr="00A34494">
        <w:tab/>
      </w:r>
      <w:r w:rsidRPr="00A34494">
        <w:rPr>
          <w:b/>
          <w:bCs/>
        </w:rPr>
        <w:t xml:space="preserve">Приветствуя принятие Закона № 93/2017 о предупреждении и пресечении дискриминации по признакам расового и этнического происхождения, цвета кожи, национальности, происхождения и страны происхождения, а также национальной стратегии по обеспечению равенства и недискриминации </w:t>
      </w:r>
      <w:r w:rsidR="0064671C">
        <w:rPr>
          <w:b/>
          <w:bCs/>
        </w:rPr>
        <w:br/>
      </w:r>
      <w:r w:rsidRPr="00A34494">
        <w:rPr>
          <w:b/>
          <w:bCs/>
        </w:rPr>
        <w:t>(2018–2030 годы), Комитет напоминает о своих предыдущих заключительных замечаниях (пункт 26) и рекомендует государству-участнику активизировать усилия по повышению осведомленности общественности и гражданских служащих, а также сотрудников правоохранительных органов о важности культурного разнообразия и межэтнического взаимопонимания в целях борьбы со стереотипами, предрассудками и дискриминацией в отношении девочек, детей-инвалидов, детей в ситуациях миграции и детей, принадлежащих к этническим, религиозным и расовым меньшинствам, включая рома, лиц африканского происхождения и детей-мусульман, а также подростков из числа лесбиянок, геев, бисексуалов и трансгендеров и детей-интерсексуалов.</w:t>
      </w:r>
    </w:p>
    <w:p w14:paraId="257FD396" w14:textId="77777777" w:rsidR="00A34494" w:rsidRPr="00A34494" w:rsidRDefault="00A34494" w:rsidP="00BB15BA">
      <w:pPr>
        <w:pStyle w:val="H23G"/>
      </w:pPr>
      <w:r w:rsidRPr="00A34494">
        <w:tab/>
      </w:r>
      <w:r w:rsidRPr="00A34494">
        <w:tab/>
      </w:r>
      <w:r w:rsidR="0064671C">
        <w:tab/>
      </w:r>
      <w:r w:rsidRPr="00A34494">
        <w:t>Наилучшее обеспечение интересов ребенка</w:t>
      </w:r>
    </w:p>
    <w:p w14:paraId="33E4EF6B" w14:textId="77777777" w:rsidR="00A34494" w:rsidRPr="00A34494" w:rsidRDefault="00A34494" w:rsidP="00A34494">
      <w:pPr>
        <w:pStyle w:val="SingleTxtG"/>
      </w:pPr>
      <w:r w:rsidRPr="00A34494">
        <w:t>17.</w:t>
      </w:r>
      <w:r w:rsidRPr="00A34494">
        <w:tab/>
        <w:t xml:space="preserve">Комитет приветствует перевод на португальский язык и распространение его замечания общего порядка № 14 (2013) о праве ребенка на уделение первоочередного внимания наилучшему обеспечению его интересов, а также учет наилучших интересов ребенка в законодательстве об усыновлении/удочерении, самоопределении гендерной идентичности и об опеке в случае развода. Вместе с тем он обеспокоен тем, что по-прежнему отсутствуют законодательство и руководящие принципы относительно определения и применения наилучших интересов ребенка в области правосудия, здравоохранения, защиты детей, помещения в детские учреждения, иммиграции, процедур предоставления убежища и образования. Кроме того, Комитет обеспокоен тем, что такое отсутствие руководящих принципов может привести к противоречивому толкованию законов и решений в различных инстанциях. </w:t>
      </w:r>
    </w:p>
    <w:p w14:paraId="70C1B21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18.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14:paraId="51DADEFF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обеспечить внедрение принципа наилучшего обеспечения интересов ребенка в законодательство и во все стратегии, программы и проекты, которые имеют отношение к детям и оказывают прямое или косвенное воздействие на них;</w:t>
      </w:r>
    </w:p>
    <w:p w14:paraId="54A9BC2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разработать процедуры и критерии, которыми бы руководствовались все соответствующие лица в целях определения наилучших интересов ребенка в любой сфере и уделения должного внимания их наилучшему обеспечению;</w:t>
      </w:r>
    </w:p>
    <w:p w14:paraId="0EA4AE2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установить обязательные процедуры ex ante и ex post оценки влияния законов и стратегий, касающихся детей, на осуществление права ребенка на уделение первоочередного внимания наилучшему обеспечению его интересов.</w:t>
      </w:r>
      <w:r w:rsidRPr="00A34494">
        <w:t xml:space="preserve"> </w:t>
      </w:r>
    </w:p>
    <w:p w14:paraId="5EBA545A" w14:textId="77777777" w:rsidR="00A34494" w:rsidRPr="00A34494" w:rsidRDefault="00A34494" w:rsidP="0064671C">
      <w:pPr>
        <w:pStyle w:val="H23G"/>
      </w:pPr>
      <w:r w:rsidRPr="00A34494">
        <w:lastRenderedPageBreak/>
        <w:tab/>
      </w:r>
      <w:r w:rsidRPr="00A34494">
        <w:tab/>
      </w:r>
      <w:r w:rsidR="0064671C">
        <w:tab/>
      </w:r>
      <w:r w:rsidRPr="00A34494">
        <w:t>Право на жизнь, выживание и развитие</w:t>
      </w:r>
    </w:p>
    <w:p w14:paraId="2D42EB6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19.</w:t>
      </w:r>
      <w:r w:rsidRPr="00A34494">
        <w:tab/>
      </w:r>
      <w:r w:rsidRPr="00A34494">
        <w:rPr>
          <w:b/>
          <w:bCs/>
        </w:rPr>
        <w:t>Комитет ссылается на свои предыдущие заключительные замечания (пункт 30) и рекомендует государству-участнику:</w:t>
      </w:r>
    </w:p>
    <w:p w14:paraId="7B4D4E57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ускорить принятие плана действий в отношении безопасности детей и выделить достаточные людские, технические и финансовые ресурсы на его осуществление;</w:t>
      </w:r>
    </w:p>
    <w:p w14:paraId="5FC358D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искоренить определяющие факторы младенческой и детской смертности, в том числе жестокое обращение, социальные и экономические лишения и неравенство;</w:t>
      </w:r>
    </w:p>
    <w:p w14:paraId="6434060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распространить законодательную базу по обеспечению безопасности детей в плавательных бассейнах, включая обязательное наличие защитного ограждения, на частные плавательные бассейны в многоквартирных комплексах, в гостиницах и на курортах, повысить осведомленность об этих стандартах и сделать их внедрение обязательным;</w:t>
      </w:r>
    </w:p>
    <w:p w14:paraId="3AD8E15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обеспечить соблюдение правил, касающихся использования ремней безопасности, для надлежащей защиты детей в общественном и частном транспорте.</w:t>
      </w:r>
    </w:p>
    <w:p w14:paraId="2D488392" w14:textId="77777777" w:rsidR="00A34494" w:rsidRPr="00A34494" w:rsidRDefault="00A34494" w:rsidP="0064671C">
      <w:pPr>
        <w:pStyle w:val="H23G"/>
      </w:pPr>
      <w:r w:rsidRPr="00A34494">
        <w:tab/>
      </w:r>
      <w:r w:rsidRPr="00A34494">
        <w:tab/>
      </w:r>
      <w:r w:rsidR="0064671C">
        <w:tab/>
      </w:r>
      <w:r w:rsidRPr="00A34494">
        <w:t>Уважение мнения ребенка</w:t>
      </w:r>
    </w:p>
    <w:p w14:paraId="51EC32C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20.</w:t>
      </w:r>
      <w:r w:rsidRPr="00A34494">
        <w:tab/>
      </w:r>
      <w:r w:rsidRPr="00A34494">
        <w:rPr>
          <w:b/>
          <w:bCs/>
        </w:rPr>
        <w:t>Приветствуя включение права ребенка быть заслушанным в законодательство о процессе гражданской защиты, в том числе посредством Закона № 141/2015, и в нормы, касающиеся процедур здравоохранения, Комитет, ссылаясь на свое замечание общего порядка № 12 (2009) о праве ребенка быть заслушанным, рекомендует государству-участнику:</w:t>
      </w:r>
      <w:r w:rsidRPr="00A34494">
        <w:t xml:space="preserve"> </w:t>
      </w:r>
    </w:p>
    <w:p w14:paraId="6D650C1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а)</w:t>
      </w:r>
      <w:r w:rsidRPr="00A34494">
        <w:rPr>
          <w:b/>
        </w:rPr>
        <w:tab/>
      </w:r>
      <w:r w:rsidRPr="00A34494">
        <w:rPr>
          <w:b/>
          <w:bCs/>
        </w:rPr>
        <w:t>расширить право ребенка быть заслушанным во всех гражданских, административных и уголовных судебных и административных разбирательствах, затрагивающих интересы ребенка;</w:t>
      </w:r>
      <w:r w:rsidRPr="00A34494">
        <w:t xml:space="preserve"> </w:t>
      </w:r>
    </w:p>
    <w:p w14:paraId="588D4AE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обеспечить эффективное и последовательное осуществление законодательства и нормативных актов, в которых признается право ребенка быть заслушанным в ходе всех судебных разбирательств, прямо или косвенно затрагивающих его интересы, в том числе путем создания систем и/или процедур, позволяющих социальным работникам, сотрудникам органов здравоохранения, специалистам в области образования и судам соблюдать этот принцип;</w:t>
      </w:r>
      <w:r w:rsidRPr="00A34494">
        <w:t xml:space="preserve"> </w:t>
      </w:r>
    </w:p>
    <w:p w14:paraId="3F7F98FF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усилить меры по обеспечению систематического прохождения работающими с детьми специалистами в секторах правосудия, образования, социального обеспечения и здравоохранения надлежащей подготовки по вопросам заслушивания и учета мнений детей при принятии всех затрагивающих их решений (CRC/C/PRT/CO/3-4, пункт 32 c));</w:t>
      </w:r>
    </w:p>
    <w:p w14:paraId="1D1D4C0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разработать методики проведения консультаций с детьми по затрагивающим их вопросам выработки национальной политики, с тем чтобы стандартизировать такие консультации на высоком уровне инклюзивности и участия.</w:t>
      </w:r>
      <w:r w:rsidRPr="00A34494">
        <w:t xml:space="preserve"> </w:t>
      </w:r>
    </w:p>
    <w:p w14:paraId="07F95BEB" w14:textId="77777777" w:rsidR="00A34494" w:rsidRPr="00A34494" w:rsidRDefault="0064671C" w:rsidP="0064671C">
      <w:pPr>
        <w:pStyle w:val="H1G"/>
      </w:pPr>
      <w:r>
        <w:tab/>
      </w:r>
      <w:r w:rsidR="00A34494" w:rsidRPr="00A34494">
        <w:t>D.</w:t>
      </w:r>
      <w:r w:rsidR="00A34494" w:rsidRPr="00A34494">
        <w:tab/>
        <w:t>Гражданские права и свободы (статьи 7, 8 и 13–17)</w:t>
      </w:r>
    </w:p>
    <w:p w14:paraId="0447F787" w14:textId="77777777" w:rsidR="00A34494" w:rsidRPr="00A34494" w:rsidRDefault="00A34494" w:rsidP="0064671C">
      <w:pPr>
        <w:pStyle w:val="H23G"/>
      </w:pPr>
      <w:r w:rsidRPr="00A34494">
        <w:tab/>
      </w:r>
      <w:r w:rsidRPr="00A34494">
        <w:tab/>
      </w:r>
      <w:r w:rsidR="0064671C">
        <w:tab/>
      </w:r>
      <w:r w:rsidRPr="00A34494">
        <w:t>Гражданство</w:t>
      </w:r>
    </w:p>
    <w:p w14:paraId="57EFAF8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21.</w:t>
      </w:r>
      <w:r w:rsidRPr="00A34494">
        <w:tab/>
      </w:r>
      <w:r w:rsidRPr="00A34494">
        <w:rPr>
          <w:b/>
          <w:bCs/>
        </w:rPr>
        <w:t>Приветствуя принятие закона № 2/2018, устанавливающего, что дети, рожденные на территории Португалии, считаются португальцами по происхождению, и закона № 26/2018, предусматривающего предоставление статуса резидентов детям из числа иностранцев, проживающим в государственных учреждениях, Комитет рекомендует государству-участнику принять все необходимые меры для обеспечения осуществления этих правовых положений.</w:t>
      </w:r>
    </w:p>
    <w:p w14:paraId="212D1AA5" w14:textId="77777777" w:rsidR="00A34494" w:rsidRPr="00A34494" w:rsidRDefault="00A34494" w:rsidP="0064671C">
      <w:pPr>
        <w:pStyle w:val="H23G"/>
      </w:pPr>
      <w:r w:rsidRPr="00A34494">
        <w:lastRenderedPageBreak/>
        <w:tab/>
      </w:r>
      <w:r w:rsidRPr="00A34494">
        <w:tab/>
      </w:r>
      <w:r w:rsidR="0064671C">
        <w:tab/>
      </w:r>
      <w:r w:rsidRPr="00A34494">
        <w:t>Право на частную жизнь и доступ к соответствующей информации</w:t>
      </w:r>
    </w:p>
    <w:p w14:paraId="5A63EE8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22.</w:t>
      </w:r>
      <w:r w:rsidRPr="00A34494">
        <w:tab/>
      </w:r>
      <w:r w:rsidRPr="00A34494">
        <w:rPr>
          <w:b/>
          <w:bCs/>
        </w:rPr>
        <w:t>С учетом выводов, сделанных по итогам проведения в 2014 году дня общей дискуссии по вопросу о цифровых средствах массовой информации и правах детей, а также в соответствии с правом ребенка на доступ к надлежащей информации, Комитет рекомендует государству-участнику:</w:t>
      </w:r>
    </w:p>
    <w:p w14:paraId="46C3836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разработать правила защиты частной жизни детей в цифровой среде и средствах массовой информации;</w:t>
      </w:r>
    </w:p>
    <w:p w14:paraId="559584C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 xml:space="preserve">наращивать потенциал детей, родителей, законных опекунов </w:t>
      </w:r>
      <w:r w:rsidR="0064671C">
        <w:rPr>
          <w:b/>
          <w:bCs/>
        </w:rPr>
        <w:br/>
      </w:r>
      <w:r w:rsidRPr="00A34494">
        <w:rPr>
          <w:b/>
          <w:bCs/>
        </w:rPr>
        <w:t>и учителей в области безопасного использования информационно-коммуникационных технологий, в частности в том, что касается возможностей самозащиты детей от воздействия информации и материалов, наносящих вред их благосостоянию;</w:t>
      </w:r>
    </w:p>
    <w:p w14:paraId="641479A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с)</w:t>
      </w:r>
      <w:r w:rsidRPr="00A34494">
        <w:rPr>
          <w:b/>
        </w:rPr>
        <w:tab/>
      </w:r>
      <w:r w:rsidRPr="00A34494">
        <w:rPr>
          <w:b/>
          <w:bCs/>
        </w:rPr>
        <w:t>разработать механизмы мониторинга и судебного преследования за нарушения прав ребенка в цифровой среде.</w:t>
      </w:r>
    </w:p>
    <w:p w14:paraId="008BB298" w14:textId="77777777" w:rsidR="00A34494" w:rsidRPr="00A34494" w:rsidRDefault="0064671C" w:rsidP="0064671C">
      <w:pPr>
        <w:pStyle w:val="H1G"/>
      </w:pPr>
      <w:r>
        <w:rPr>
          <w:bCs/>
        </w:rPr>
        <w:tab/>
      </w:r>
      <w:r w:rsidR="00A34494" w:rsidRPr="00A34494">
        <w:rPr>
          <w:bCs/>
        </w:rPr>
        <w:t>E.</w:t>
      </w:r>
      <w:r w:rsidR="00A34494" w:rsidRPr="00A34494">
        <w:tab/>
      </w:r>
      <w:r w:rsidR="00A34494" w:rsidRPr="00A34494">
        <w:rPr>
          <w:bCs/>
        </w:rPr>
        <w:t xml:space="preserve">Насилие в отношении детей </w:t>
      </w:r>
      <w:r w:rsidR="00A34494" w:rsidRPr="00A34494">
        <w:t>(статьи 19, 24 (3), 28 (2), 34, 37</w:t>
      </w:r>
      <w:r w:rsidR="00A34494" w:rsidRPr="00A34494">
        <w:rPr>
          <w:lang w:val="en-GB"/>
        </w:rPr>
        <w:t> a</w:t>
      </w:r>
      <w:r w:rsidR="00A34494" w:rsidRPr="00A34494">
        <w:t>) и</w:t>
      </w:r>
      <w:r w:rsidR="00A34494" w:rsidRPr="00A34494">
        <w:rPr>
          <w:lang w:val="en-GB"/>
        </w:rPr>
        <w:t> </w:t>
      </w:r>
      <w:r w:rsidR="00A34494" w:rsidRPr="00A34494">
        <w:t>39)</w:t>
      </w:r>
    </w:p>
    <w:p w14:paraId="0A4F2A2B" w14:textId="77777777" w:rsidR="00A34494" w:rsidRPr="00A34494" w:rsidRDefault="00A34494" w:rsidP="0064671C">
      <w:pPr>
        <w:pStyle w:val="H23G"/>
      </w:pPr>
      <w:r w:rsidRPr="00A34494">
        <w:tab/>
      </w:r>
      <w:r w:rsidRPr="00A34494">
        <w:tab/>
      </w:r>
      <w:r w:rsidR="0064671C">
        <w:tab/>
      </w:r>
      <w:r w:rsidRPr="00A34494">
        <w:t>Телесные наказания</w:t>
      </w:r>
    </w:p>
    <w:p w14:paraId="1A1168E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23.</w:t>
      </w:r>
      <w:r w:rsidRPr="00A34494">
        <w:tab/>
      </w:r>
      <w:r w:rsidRPr="00A34494">
        <w:rPr>
          <w:b/>
          <w:bCs/>
        </w:rPr>
        <w:t>Приветствуя начало осуществления проекта «Аделия» в поддержку позитивного подхода к воспитанию детей и предотвращения телесных наказаний и 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14:paraId="28F20427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обеспечить полное запрещение телесных наказаний, какими бы легкими они ни были, во всех местах, в том числе в семье, де-юре и де-факто;</w:t>
      </w:r>
    </w:p>
    <w:p w14:paraId="67961E0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активизировать просветительскую работу среди детей, родителей, законных опекунов и учителей по вопросам незаконности всех форм телесных наказаний без какого-либо различия в степени тяжести применяемого насилия и по вопросам процедур подачи заявлений;</w:t>
      </w:r>
    </w:p>
    <w:p w14:paraId="050ACA2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с)</w:t>
      </w:r>
      <w:r w:rsidRPr="00A34494">
        <w:rPr>
          <w:b/>
        </w:rPr>
        <w:tab/>
      </w:r>
      <w:r w:rsidRPr="00A34494">
        <w:rPr>
          <w:b/>
          <w:bCs/>
        </w:rPr>
        <w:t>укреплять потенциал специалистов, работающих с детьми и в их интересах, в области позитивных, ненасильственных и основанных на широком участии форм воспитания детей и активизировать деятельность по поощрению этих форм воспитания детей в обществе.</w:t>
      </w:r>
    </w:p>
    <w:p w14:paraId="09FAD10E" w14:textId="77777777" w:rsidR="00A34494" w:rsidRPr="00A34494" w:rsidRDefault="00A34494" w:rsidP="00073880">
      <w:pPr>
        <w:pStyle w:val="H23G"/>
      </w:pPr>
      <w:r w:rsidRPr="00A34494">
        <w:tab/>
      </w:r>
      <w:r w:rsidRPr="00A34494">
        <w:tab/>
      </w:r>
      <w:r w:rsidR="00073880">
        <w:tab/>
      </w:r>
      <w:r w:rsidRPr="00A34494">
        <w:t>Жестокое обращение и отсутствие заботы</w:t>
      </w:r>
    </w:p>
    <w:p w14:paraId="7632BC1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24.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к сведению задачу 16.2 Целей в области устойчивого развития, Комитет рекомендует государству-участнику:</w:t>
      </w:r>
    </w:p>
    <w:p w14:paraId="13675697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собирать данные в разбивке по возрасту, полу, инвалидности, географическому положению, этническому происхождению, миграционному статусу и социально-экономическому положению о детях, ставших жертвами насилия в семье, жестокого обращения и отсутствия заботы в государстве-участнике, а также о мерах, принимаемых в рамках системы защиты детей, в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целях мониторинга и оценки ее функционирования;</w:t>
      </w:r>
      <w:r w:rsidRPr="00A34494">
        <w:t xml:space="preserve"> </w:t>
      </w:r>
    </w:p>
    <w:p w14:paraId="7E719F37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принять план действий по раннему выявлению детей, входящих в группу риска, и их защите, в том числе детей, живущих в условиях бытового насилия, от безнадзорности, жестокого обращения, насилия и дискриминации, а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также выделить надлежащие людские, технические и финансовые ресурсы для его осуществления;</w:t>
      </w:r>
    </w:p>
    <w:p w14:paraId="67F6024E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 xml:space="preserve">включить подготовку по руководящим принципам Национальной комиссии по поощрению прав и защите детей в программы начальной и профессиональной подготовки всех сотрудников, работающих с такими </w:t>
      </w:r>
      <w:r w:rsidRPr="00A34494">
        <w:rPr>
          <w:b/>
          <w:bCs/>
        </w:rPr>
        <w:lastRenderedPageBreak/>
        <w:t>комиссиями на национальном и местном уровнях, и укрепить потенциал Национальной комиссии в целях обеспечения надлежащего мониторинга практической работы местных комиссий;</w:t>
      </w:r>
    </w:p>
    <w:p w14:paraId="63C357F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увеличить число приютов для детей, ставших жертвами насилия в семье, жестокого обращения и отсутствия заботы.</w:t>
      </w:r>
    </w:p>
    <w:p w14:paraId="581221E0" w14:textId="77777777" w:rsidR="00A34494" w:rsidRPr="00A34494" w:rsidRDefault="00A34494" w:rsidP="00073880">
      <w:pPr>
        <w:pStyle w:val="H23G"/>
      </w:pPr>
      <w:r w:rsidRPr="00A34494">
        <w:tab/>
      </w:r>
      <w:r w:rsidRPr="00A34494">
        <w:tab/>
      </w:r>
      <w:r w:rsidR="00073880">
        <w:tab/>
      </w:r>
      <w:r w:rsidRPr="00A34494">
        <w:t>Сексуальная эксплуатация и надругательства</w:t>
      </w:r>
    </w:p>
    <w:p w14:paraId="4AAA8057" w14:textId="77777777" w:rsidR="00A34494" w:rsidRPr="00A34494" w:rsidRDefault="00A34494" w:rsidP="00A34494">
      <w:pPr>
        <w:pStyle w:val="SingleTxtG"/>
      </w:pPr>
      <w:r w:rsidRPr="00A34494">
        <w:t>25.</w:t>
      </w:r>
      <w:r w:rsidRPr="00A34494">
        <w:tab/>
        <w:t>Комитет выражает свою обеспокоенность по поводу:</w:t>
      </w:r>
    </w:p>
    <w:p w14:paraId="0A0A6E03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a)</w:t>
      </w:r>
      <w:r w:rsidRPr="00A34494">
        <w:tab/>
        <w:t>низкого уровня осведомленности о сексуальных надругательствах над детьми и отсутствия определенных процедур профессионального реагирования на них;</w:t>
      </w:r>
    </w:p>
    <w:p w14:paraId="4D2B2BDA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b)</w:t>
      </w:r>
      <w:r w:rsidRPr="00A34494">
        <w:tab/>
        <w:t>малочисленности зарегистрированных сообщений о случаях онлайнового груминга;</w:t>
      </w:r>
    </w:p>
    <w:p w14:paraId="0C3E1DF8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с)</w:t>
      </w:r>
      <w:r w:rsidRPr="00A34494">
        <w:tab/>
        <w:t>недостаточных ресурсов, выделяемых на своевременное и эффективное выявление и расследование случаев сексуального надругательства над детьми, в том числе в религиозных учреждениях и в Интернете;</w:t>
      </w:r>
    </w:p>
    <w:p w14:paraId="4610696B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d)</w:t>
      </w:r>
      <w:r w:rsidRPr="00A34494">
        <w:tab/>
        <w:t>недостаточных данных о сексуальных надругательствах над детьми и об эксплуатации детей в проституции.</w:t>
      </w:r>
    </w:p>
    <w:p w14:paraId="7EA8FBC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26.</w:t>
      </w:r>
      <w:r w:rsidRPr="00A34494">
        <w:tab/>
      </w:r>
      <w:r w:rsidRPr="00A34494">
        <w:rPr>
          <w:b/>
          <w:bCs/>
        </w:rPr>
        <w:t>Комитет рекомендует государству-участнику:</w:t>
      </w:r>
    </w:p>
    <w:p w14:paraId="33D0975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принять стратегию борьбы с сексуальными надругательствами над детьми, включая создание независимого механизма расследования по данному вопросу и ориентированной на детей межведомственной системы реагирования во избежание повторной виктимизации, а также меры по оказанию надлежащей поддержки жертвам;</w:t>
      </w:r>
    </w:p>
    <w:p w14:paraId="644B343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повышать осведомленность родителей, детей, учителей и других специалистов, работающих с детьми и для детей, о процедурах переадресации и способах минимизации рисков для детей, связанных с их поведением в Интернете;</w:t>
      </w:r>
      <w:r w:rsidRPr="00A34494">
        <w:t xml:space="preserve"> </w:t>
      </w:r>
    </w:p>
    <w:p w14:paraId="341FA1C9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увеличить количество людских, технических и финансовых ресурсов, выделяемых на эффективное предотвращение, выявление, расследование и судебное преследование случаев сексуального надругательства над детьми, в том числе в религиозных учреждениях и в Интернете;</w:t>
      </w:r>
    </w:p>
    <w:p w14:paraId="3C8E7A81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собирать и публиковать данные в разбивке по возрасту, полу, инвалидности, географическому положению, этническому происхождению, миграционному статусу и социально-экономическому положению о торговле детьми в целях сексуальной эксплуатации и об эксплуатации детей в проституции в государстве-участнике.</w:t>
      </w:r>
    </w:p>
    <w:p w14:paraId="40FE8293" w14:textId="77777777" w:rsidR="00A34494" w:rsidRPr="00A34494" w:rsidRDefault="00A34494" w:rsidP="00073880">
      <w:pPr>
        <w:pStyle w:val="H23G"/>
      </w:pPr>
      <w:r w:rsidRPr="00A34494">
        <w:tab/>
      </w:r>
      <w:r w:rsidRPr="00A34494">
        <w:tab/>
      </w:r>
      <w:r w:rsidR="00073880">
        <w:tab/>
      </w:r>
      <w:r w:rsidRPr="00A34494">
        <w:t>Бои быков</w:t>
      </w:r>
    </w:p>
    <w:p w14:paraId="7EE427D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27.</w:t>
      </w:r>
      <w:r w:rsidRPr="00A34494">
        <w:tab/>
      </w:r>
      <w:r w:rsidRPr="00A34494">
        <w:rPr>
          <w:b/>
          <w:bCs/>
        </w:rPr>
        <w:t>Комитет рекомендует государству-участнику установить минимальный возраст для участия и выполнения вспомогательной работы в ходе боев быков и забегов быков, в том числе в отношении школ боя быков, на уровне 18 лет без каких-либо исключений, а также повышать осведомленность государственных должностных лиц, средств массовой информации и населения в целом о негативных последствиях насилия, связанного с боями быков и забегами быков, для детей, в том числе присутствующих в качестве зрителей.</w:t>
      </w:r>
    </w:p>
    <w:p w14:paraId="11D8D579" w14:textId="77777777" w:rsidR="00A34494" w:rsidRPr="00A34494" w:rsidRDefault="00A34494" w:rsidP="00890B58">
      <w:pPr>
        <w:pStyle w:val="H23G"/>
      </w:pPr>
      <w:r w:rsidRPr="00A34494">
        <w:tab/>
      </w:r>
      <w:r w:rsidRPr="00A34494">
        <w:tab/>
      </w:r>
      <w:r w:rsidRPr="00A34494">
        <w:tab/>
        <w:t>Вредные виды практики</w:t>
      </w:r>
    </w:p>
    <w:p w14:paraId="46823456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28.</w:t>
      </w:r>
      <w:r w:rsidRPr="00A34494">
        <w:tab/>
      </w:r>
      <w:r w:rsidRPr="00A34494">
        <w:rPr>
          <w:b/>
          <w:bCs/>
        </w:rPr>
        <w:t>Ссылаясь на совместную общую рекомендацию № 31 Комитета по ликвидации дискриминации в отношении женщин/замечание общего порядка</w:t>
      </w:r>
      <w:r w:rsidR="00A079EE">
        <w:rPr>
          <w:b/>
          <w:bCs/>
          <w:lang w:val="en-US"/>
        </w:rPr>
        <w:t> </w:t>
      </w:r>
      <w:r w:rsidRPr="00A34494">
        <w:rPr>
          <w:b/>
          <w:bCs/>
        </w:rPr>
        <w:t>№</w:t>
      </w:r>
      <w:r w:rsidR="00A079EE">
        <w:rPr>
          <w:b/>
          <w:bCs/>
          <w:lang w:val="en-US"/>
        </w:rPr>
        <w:t> </w:t>
      </w:r>
      <w:r w:rsidRPr="00A34494">
        <w:rPr>
          <w:b/>
          <w:bCs/>
        </w:rPr>
        <w:t>18 (2014) Комитета по правам ребенка о вредной практике и принимая во внимание задачу 5.3 Целей в области устойчивого развития, Комитет настоятельно призывает государство-участник:</w:t>
      </w:r>
    </w:p>
    <w:p w14:paraId="0C1E959F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lastRenderedPageBreak/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продолжать принимать профилактические и защитные меры, включая предоставление необходимых социальных, психологических, медицинских и реабилитационных услуг, а также подготовку соответствующих специалистов и осуществление информационно-просветительских программ в целях решения проблемы калечащих операций на женских половых органах;</w:t>
      </w:r>
    </w:p>
    <w:p w14:paraId="0C5EA817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продолжать осуществлять меры, в том числе правовые и административные, с целью гарантировать, чтобы ни один ребенок, включая детей-интерсексуалов, не подвергался ненужному медицинскому или хирургическому лечению в младенческом или детском возрасте в соответствии с правами детей на физическую неприкосновенность, самостоятельность и самоопределение, и предоставлять социальные, медицинские и психологические услуги, когда это необходимо, а также надлежащие консультации, поддержку и возмещение ущерба семьям с детьми-интерсексуалами.</w:t>
      </w:r>
    </w:p>
    <w:p w14:paraId="26633E18" w14:textId="77777777" w:rsidR="00A34494" w:rsidRPr="00A34494" w:rsidRDefault="00890B58" w:rsidP="000847D0">
      <w:pPr>
        <w:pStyle w:val="H1G"/>
      </w:pPr>
      <w:r>
        <w:tab/>
      </w:r>
      <w:r w:rsidR="00A34494" w:rsidRPr="00A34494">
        <w:t>F.</w:t>
      </w:r>
      <w:r w:rsidR="00A34494" w:rsidRPr="00A34494">
        <w:tab/>
        <w:t xml:space="preserve">Семейное окружение и альтернативный уход </w:t>
      </w:r>
      <w:r w:rsidR="000847D0">
        <w:br/>
      </w:r>
      <w:r w:rsidR="00A34494" w:rsidRPr="00A34494">
        <w:t>(статьи 5, 9–11, 18 (1) и (2), 20, 21, 25 и 27 (4))</w:t>
      </w:r>
    </w:p>
    <w:p w14:paraId="4851D9FD" w14:textId="77777777" w:rsidR="00A34494" w:rsidRPr="00A34494" w:rsidRDefault="00A34494" w:rsidP="000847D0">
      <w:pPr>
        <w:pStyle w:val="H23G"/>
      </w:pPr>
      <w:r w:rsidRPr="00A34494">
        <w:tab/>
      </w:r>
      <w:r w:rsidRPr="00A34494">
        <w:tab/>
      </w:r>
      <w:r w:rsidR="000847D0">
        <w:tab/>
      </w:r>
      <w:r w:rsidRPr="00A34494">
        <w:t>Семейное окружение</w:t>
      </w:r>
    </w:p>
    <w:p w14:paraId="07248C6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29.</w:t>
      </w:r>
      <w:r w:rsidRPr="00A34494">
        <w:tab/>
      </w:r>
      <w:r w:rsidRPr="00A34494">
        <w:rPr>
          <w:b/>
          <w:bCs/>
        </w:rPr>
        <w:t>Отмечая принятие Закона № 24/2017, который отменяет совместное выполнение родительских обязанностей в случаях, считающихся противоречащими наилучшим интересам ребенка, Комитет рекомендует государству-участнику:</w:t>
      </w:r>
    </w:p>
    <w:p w14:paraId="202A84C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а)</w:t>
      </w:r>
      <w:r w:rsidRPr="00A34494">
        <w:tab/>
      </w:r>
      <w:r w:rsidRPr="00A34494">
        <w:rPr>
          <w:b/>
          <w:bCs/>
        </w:rPr>
        <w:t>гарантировать постоянную защиту ребенка в ходе осуществления Закона № 24/2017, обеспечивать оперативное судебное разбирательство и способствовать контактам между ребенком и обоими родителями, в том числе в ходе уголовного и гражданского судопроизводства и после развода, за исключением случаев, когда это не отвечает наилучшим интересам ребенка;</w:t>
      </w:r>
    </w:p>
    <w:p w14:paraId="1A33FBA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осуществлять мониторинг и обеспечивать соблюдение решений об опеке и условий, касающихся распределения родительских обязанностей;</w:t>
      </w:r>
    </w:p>
    <w:p w14:paraId="574A85E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активизировать усилия по оказанию надлежащей помощи работающим родителям и законным опекунам в выполнении их обязанностей по воспитанию детей, в том числе посредством поощрения гибкого графика работы, обеспечения доступного и надлежащего ухода за детьми, дальнейшего увеличения продолжительности отпуска по уходу за ребенком, наказания за дискриминацию родителей в отношении их доступа к работе и карьерному росту, а также обеспечения того, чтобы обязательный отпуск по уходу за ребенком оплачивался независимо от продолжительности периода уплаты взносов соответствующим родителем в систему социального обеспечения.</w:t>
      </w:r>
    </w:p>
    <w:p w14:paraId="60FF7390" w14:textId="77777777" w:rsidR="00A34494" w:rsidRPr="00A34494" w:rsidRDefault="00A34494" w:rsidP="000847D0">
      <w:pPr>
        <w:pStyle w:val="H23G"/>
      </w:pPr>
      <w:r w:rsidRPr="00A34494">
        <w:tab/>
      </w:r>
      <w:r w:rsidRPr="00A34494">
        <w:tab/>
      </w:r>
      <w:r w:rsidR="000847D0">
        <w:tab/>
      </w:r>
      <w:r w:rsidRPr="00A34494">
        <w:t>Дети, лишенные семейного окружения</w:t>
      </w:r>
    </w:p>
    <w:p w14:paraId="43013F31" w14:textId="77777777" w:rsidR="00A34494" w:rsidRPr="00A34494" w:rsidRDefault="00A34494" w:rsidP="00A34494">
      <w:pPr>
        <w:pStyle w:val="SingleTxtG"/>
      </w:pPr>
      <w:r w:rsidRPr="00A34494">
        <w:t>30.</w:t>
      </w:r>
      <w:r w:rsidRPr="00A34494">
        <w:tab/>
        <w:t>Комитет отмечает принятие Закона № 142/2015, в котором воспитание в приемных семьях определяется в качестве предпочтительной меры для детей в возрасте до 6 лет. При этом он выражает озабоченность по поводу следующего:</w:t>
      </w:r>
    </w:p>
    <w:p w14:paraId="21E21983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a)</w:t>
      </w:r>
      <w:r w:rsidRPr="00A34494">
        <w:tab/>
        <w:t>по-прежнему широкое распространение практики помещения в специализированные учреждения, в том числе детей в возрасте до 3 лет, а также по причинам, связанным с бедностью и инвалидностью;</w:t>
      </w:r>
    </w:p>
    <w:p w14:paraId="79F980D7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b)</w:t>
      </w:r>
      <w:r w:rsidRPr="00A34494">
        <w:tab/>
        <w:t xml:space="preserve">по-прежнему незначительная численность и географическая концентрация приемных семей; </w:t>
      </w:r>
    </w:p>
    <w:p w14:paraId="73D0B888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с)</w:t>
      </w:r>
      <w:r w:rsidRPr="00A34494">
        <w:tab/>
        <w:t>продолжающееся отсутствие стратегий и планов действий, гарантирующих скоординированный и качественный альтернативный уход как в учреждениях интернатного типа, так и в приемных семьях.</w:t>
      </w:r>
    </w:p>
    <w:p w14:paraId="29442022" w14:textId="77777777" w:rsidR="00A34494" w:rsidRPr="00A34494" w:rsidRDefault="00A34494" w:rsidP="000847D0">
      <w:pPr>
        <w:pStyle w:val="SingleTxtG"/>
        <w:keepNext/>
        <w:rPr>
          <w:b/>
          <w:bCs/>
        </w:rPr>
      </w:pPr>
      <w:r w:rsidRPr="00A34494">
        <w:lastRenderedPageBreak/>
        <w:t>31.</w:t>
      </w:r>
      <w:r w:rsidRPr="00A34494">
        <w:tab/>
      </w:r>
      <w:r w:rsidRPr="00A34494">
        <w:rPr>
          <w:b/>
          <w:bCs/>
        </w:rPr>
        <w:t>Комитет обращает внимание государства-участника на Руководящие принципы по альтернативному уходу за детьми и рекомендует ему:</w:t>
      </w:r>
    </w:p>
    <w:p w14:paraId="3591936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а)</w:t>
      </w:r>
      <w:r w:rsidRPr="00A34494">
        <w:rPr>
          <w:b/>
        </w:rPr>
        <w:tab/>
      </w:r>
      <w:r w:rsidRPr="00A34494">
        <w:rPr>
          <w:b/>
          <w:bCs/>
        </w:rPr>
        <w:t>обеспечить, чтобы в основе стратегий и практик лежал принцип о том, что финансовая и материальная бедность или условия, которые являются прямым и единственным результатом такой бедности, никогда не должны использоваться в качестве единственного основания для изъятия ребенка из-под родительской опеки, для помещения ребенка в учреждение по альтернативному уходу или для воспрепятствования социальной реинтеграции ребенка;</w:t>
      </w:r>
    </w:p>
    <w:p w14:paraId="2CD0316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принять все необходимые меры по недопущению помещения всех детей, в том числе детей-инвалидов, на воспитание вне дома, в частности путем оказания надлежащей поддержки родителям и уязвимым семьям и полного осуществления Закона № 142/2015, с тем чтобы гарантировать передачу детей в возрасте до 6 лет на воспитание в приемную семью, а не в детские учреждения;</w:t>
      </w:r>
      <w:r w:rsidRPr="00A34494">
        <w:t xml:space="preserve"> </w:t>
      </w:r>
    </w:p>
    <w:p w14:paraId="4A042099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принять общую стратегию деинстуционализации с четкими целями и задачами и гарантировать наличие надлежащего количества приемных семей на всей своей территории;</w:t>
      </w:r>
      <w:r w:rsidRPr="00A34494">
        <w:t xml:space="preserve"> </w:t>
      </w:r>
    </w:p>
    <w:p w14:paraId="1B6361CE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разрабатывать и осуществлять стратегии и планы действий, гарантирующие скоординированный и качественный альтернативный уход как в учреждениях интернатного типа, так и в приемных семьях, а также контролировать качество ухода, в том числе путем обеспечения доступных каналов для отчетности, мониторинга и корректировки ненадлежащего обращения с детьми.</w:t>
      </w:r>
    </w:p>
    <w:p w14:paraId="4EABD59B" w14:textId="77777777" w:rsidR="00A34494" w:rsidRPr="00A34494" w:rsidRDefault="00A34494" w:rsidP="000847D0">
      <w:pPr>
        <w:pStyle w:val="H23G"/>
      </w:pPr>
      <w:r w:rsidRPr="00A34494">
        <w:tab/>
      </w:r>
      <w:r w:rsidRPr="00A34494">
        <w:tab/>
      </w:r>
      <w:r w:rsidR="000847D0">
        <w:tab/>
      </w:r>
      <w:r w:rsidRPr="00A34494">
        <w:t>Усыновление/удочерение</w:t>
      </w:r>
    </w:p>
    <w:p w14:paraId="312E76DF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32.</w:t>
      </w:r>
      <w:r w:rsidRPr="00A34494">
        <w:tab/>
      </w:r>
      <w:r w:rsidRPr="00A34494">
        <w:rPr>
          <w:b/>
          <w:bCs/>
        </w:rPr>
        <w:t>Приветствуя принятие Закона № 143/2015 о пересмотре процедуры усыновления/удочерения, Комитет рекомендует государству-участнику:</w:t>
      </w:r>
    </w:p>
    <w:p w14:paraId="5E93218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а)</w:t>
      </w:r>
      <w:r w:rsidRPr="00A34494">
        <w:rPr>
          <w:b/>
        </w:rPr>
        <w:tab/>
      </w:r>
      <w:r w:rsidRPr="00A34494">
        <w:rPr>
          <w:b/>
          <w:bCs/>
        </w:rPr>
        <w:t>повысить осведомленность о практике усыновления/удочерения в качестве альтернативы государственной опеки над детьми, лишенными семейного окружения;</w:t>
      </w:r>
    </w:p>
    <w:p w14:paraId="4D79193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укрепить поддержку и предоставление консультирования приемным родителям при подготовке к усыновлению/удочерению и содействовать интеграции приемного ребенка в приемную семью;</w:t>
      </w:r>
    </w:p>
    <w:p w14:paraId="39C86A0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 xml:space="preserve">осуществлять подготовку специалистов, участвующих в процедурах усыновления/удочерения, </w:t>
      </w:r>
      <w:bookmarkStart w:id="1" w:name="_Hlk35015385"/>
      <w:r w:rsidRPr="00A34494">
        <w:rPr>
          <w:b/>
          <w:bCs/>
        </w:rPr>
        <w:t>по</w:t>
      </w:r>
      <w:bookmarkEnd w:id="1"/>
      <w:r w:rsidRPr="00A34494">
        <w:rPr>
          <w:b/>
          <w:bCs/>
        </w:rPr>
        <w:t xml:space="preserve"> руководству в отношении процедур усыновления/</w:t>
      </w:r>
      <w:r w:rsidR="00CD645F">
        <w:rPr>
          <w:b/>
          <w:bCs/>
        </w:rPr>
        <w:br/>
      </w:r>
      <w:r w:rsidRPr="00A34494">
        <w:rPr>
          <w:b/>
          <w:bCs/>
        </w:rPr>
        <w:t>удочерения, с тем чтобы обеспечить своевременное принятие решений и прозрачность оценки и обзора процесса усыновления/удочерения.</w:t>
      </w:r>
    </w:p>
    <w:p w14:paraId="58979635" w14:textId="77777777" w:rsidR="00A34494" w:rsidRPr="00A34494" w:rsidRDefault="000847D0" w:rsidP="000847D0">
      <w:pPr>
        <w:pStyle w:val="H1G"/>
      </w:pPr>
      <w:r>
        <w:tab/>
      </w:r>
      <w:r w:rsidR="00A34494" w:rsidRPr="00A34494">
        <w:t>G.</w:t>
      </w:r>
      <w:r w:rsidR="00A34494" w:rsidRPr="00A34494">
        <w:tab/>
        <w:t>Инвалидность, базовое медицинское обслуживание и социальное обеспечение (статьи 6, 18 (3), 23, 24, 26, 27 (1)–(3) и 33)</w:t>
      </w:r>
    </w:p>
    <w:p w14:paraId="4A6A5408" w14:textId="77777777" w:rsidR="00A34494" w:rsidRPr="00A34494" w:rsidRDefault="00A34494" w:rsidP="000847D0">
      <w:pPr>
        <w:pStyle w:val="H23G"/>
      </w:pPr>
      <w:r w:rsidRPr="00A34494">
        <w:tab/>
      </w:r>
      <w:r w:rsidRPr="00A34494">
        <w:tab/>
      </w:r>
      <w:r w:rsidR="000847D0">
        <w:tab/>
      </w:r>
      <w:r w:rsidRPr="00A34494">
        <w:t>Дети-инвалиды</w:t>
      </w:r>
    </w:p>
    <w:p w14:paraId="6C269C8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33.</w:t>
      </w:r>
      <w:r w:rsidRPr="00A34494">
        <w:tab/>
      </w:r>
      <w:r w:rsidRPr="00A34494">
        <w:rPr>
          <w:b/>
          <w:bCs/>
        </w:rPr>
        <w:t>Приветствуя законодательные меры, принятые с целью улучшения положения инвалидов в государстве-участнике, включая принятие Законодательного декрета № 54/2018, который предусматривает переход к инклюзивному образованию, Комитет, ссылаясь на свое замечание общего порядка № 9 (2006) о правах детей-инвалидов, рекомендует государству-участнику:</w:t>
      </w:r>
    </w:p>
    <w:p w14:paraId="204F0CC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>организовать сбор данных о детях-инвалидах, в том числе о дискриминации в их отношении, и разработать эффективную систему диагностирования инвалидности, необходимую для реализации надлежащих стратегий и программ в интересах детей-инвалидов;</w:t>
      </w:r>
    </w:p>
    <w:p w14:paraId="13A926C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 xml:space="preserve">принять, на основе консультаций с детьми-инвалидами и их семьями, новую всеобъемлющую стратегию вовлечения детей-инвалидов во все </w:t>
      </w:r>
      <w:r w:rsidRPr="00A34494">
        <w:rPr>
          <w:b/>
          <w:bCs/>
        </w:rPr>
        <w:lastRenderedPageBreak/>
        <w:t>сферы жизни и выделить надлежащие людские, финансовые и технические ресурсы для ее мониторинга и осуществления;</w:t>
      </w:r>
    </w:p>
    <w:p w14:paraId="5B405709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t xml:space="preserve"> </w:t>
      </w:r>
      <w:r w:rsidRPr="00A34494">
        <w:tab/>
      </w:r>
      <w:r w:rsidRPr="00A34494">
        <w:rPr>
          <w:b/>
          <w:bCs/>
        </w:rPr>
        <w:t>усилить подготовку учителей и специалистов в интеграционных классах, в том числе на низших ступенях начального образования, и назначить специализированный персонал, оказывающий индивидуальную поддержку в целях эффективного осуществления индивидуальных планов обучения;</w:t>
      </w:r>
    </w:p>
    <w:p w14:paraId="4E57D27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tab/>
      </w:r>
      <w:r w:rsidRPr="00A34494">
        <w:rPr>
          <w:b/>
          <w:bCs/>
        </w:rPr>
        <w:t>укрепить координацию между органами социального обеспечения, образования и здравоохранения для эффективного предоставления льгот в целях социальной интеграции.</w:t>
      </w:r>
      <w:r w:rsidRPr="00A34494">
        <w:t xml:space="preserve"> </w:t>
      </w:r>
    </w:p>
    <w:p w14:paraId="1A319258" w14:textId="77777777" w:rsidR="00A34494" w:rsidRPr="00A34494" w:rsidRDefault="00A34494" w:rsidP="00F16084">
      <w:pPr>
        <w:pStyle w:val="H23G"/>
      </w:pPr>
      <w:r w:rsidRPr="00A34494">
        <w:tab/>
      </w:r>
      <w:r w:rsidRPr="00A34494">
        <w:tab/>
      </w:r>
      <w:r w:rsidR="00F16084">
        <w:tab/>
      </w:r>
      <w:r w:rsidRPr="00A34494">
        <w:t>Здравоохранение и медицинское обслуживание</w:t>
      </w:r>
    </w:p>
    <w:p w14:paraId="7AC80A8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34.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 и принимая к сведению задачу 3.8 Целей в области устойчивого развития по обеспечению всеобщего охвата услугами здравоохранения, Комитет напоминает о своей предыдущей рекомендации (CRC/C/PRT/CO/3-4, пункт 48) и рекомендует государству-участнику активизировать усилия по эффективному осуществлению законодательства, гарантирующего бесплатный доступ к услугам здравоохранения каждому ребенку, в том числе посредством:</w:t>
      </w:r>
    </w:p>
    <w:p w14:paraId="67484DE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>увеличения финансовых ресурсов, выделяемых сектору здравоохранения, и обеспечения доступности качественных медицинских учреждений, а также квалифицированного и специализированного медицинского персонала на всей его территории, особенно в сельской местности;</w:t>
      </w:r>
    </w:p>
    <w:p w14:paraId="5BE1A31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принятия мер, гарантирующих назначение семейного врача каждому ребенку, включая рожденных до 2016 года;</w:t>
      </w:r>
    </w:p>
    <w:p w14:paraId="7A3B3D3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tab/>
      </w:r>
      <w:r w:rsidRPr="00A34494">
        <w:rPr>
          <w:b/>
          <w:bCs/>
        </w:rPr>
        <w:t>усиления мер по борьбе с избыточным весом среди детей и активизации деятельности по пропаганде здорового образа жизни, включая физическую активность;</w:t>
      </w:r>
    </w:p>
    <w:p w14:paraId="4DA945B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tab/>
      </w:r>
      <w:r w:rsidRPr="00A34494">
        <w:rPr>
          <w:b/>
          <w:bCs/>
        </w:rPr>
        <w:t>регулярного осуществления мониторинга и оценки эффективности стратегий и программ по вопросам продовольственной безопасности и питания детей, в том числе программ школьного питания и программ, ориентированных на младенцев и детей младшего возраста;</w:t>
      </w:r>
    </w:p>
    <w:p w14:paraId="71E487B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e)</w:t>
      </w:r>
      <w:r w:rsidRPr="00A34494">
        <w:tab/>
      </w:r>
      <w:r w:rsidRPr="00A34494">
        <w:rPr>
          <w:b/>
          <w:bCs/>
        </w:rPr>
        <w:t>укрепления мер по борьбе с поддающимися профилактике заболеваниями, включая ВИЧ/СПИД.</w:t>
      </w:r>
    </w:p>
    <w:p w14:paraId="6737A2EA" w14:textId="77777777" w:rsidR="00A34494" w:rsidRPr="00A34494" w:rsidRDefault="00A34494" w:rsidP="00F16084">
      <w:pPr>
        <w:pStyle w:val="H23G"/>
      </w:pPr>
      <w:r w:rsidRPr="00A34494">
        <w:tab/>
      </w:r>
      <w:r w:rsidRPr="00A34494">
        <w:tab/>
      </w:r>
      <w:r w:rsidR="00F16084">
        <w:tab/>
      </w:r>
      <w:r w:rsidRPr="00A34494">
        <w:t>Психическое здоровье</w:t>
      </w:r>
    </w:p>
    <w:p w14:paraId="5C71DBA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35.</w:t>
      </w:r>
      <w:r w:rsidRPr="00A34494">
        <w:tab/>
      </w:r>
      <w:r w:rsidRPr="00A34494">
        <w:rPr>
          <w:b/>
          <w:bCs/>
        </w:rPr>
        <w:t>Принимая к сведению задачу 3.4 Целей в области устойчивого развития, Комитет приветствует планы по увеличению числа специалистов в области психического здоровья в школах и создание обсерватории психического здоровья в Сори.</w:t>
      </w:r>
      <w:r w:rsidRPr="00A34494">
        <w:t xml:space="preserve"> </w:t>
      </w:r>
      <w:r w:rsidRPr="00A34494">
        <w:rPr>
          <w:b/>
          <w:bCs/>
        </w:rPr>
        <w:t>Комитет рекомендует государству-участнику:</w:t>
      </w:r>
    </w:p>
    <w:p w14:paraId="17036331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выделять надлежащие ресурсы службам охраны психического здоровья, с тем чтобы обеспечить наличие достаточного количества специалистов и учреждений для оказания услуг по охране психического здоровья детей и подростков, включая амбулаторные услуги по психосоциальной реабилитации, а также своевременность и соответствие потребностям детей этих услуг, с тем чтобы преодолеть распространенность случаев самоубийств и депрессий среди детей и подростков;</w:t>
      </w:r>
    </w:p>
    <w:p w14:paraId="78010F0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собирать данные в разбивке по возрасту, полу, инвалидности, географическому положению, этническому происхождению, миграционному статусу и социально-экономическому положению о детях и подростках с психическими расстройствами, симптомами или трудностями, а также об имеющихся учреждениях;</w:t>
      </w:r>
    </w:p>
    <w:p w14:paraId="5BA9D97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lastRenderedPageBreak/>
        <w:tab/>
      </w:r>
      <w:r w:rsidRPr="00A34494">
        <w:tab/>
      </w:r>
      <w:r w:rsidRPr="00A34494">
        <w:rPr>
          <w:b/>
        </w:rPr>
        <w:t>с)</w:t>
      </w:r>
      <w:r w:rsidRPr="00A34494">
        <w:rPr>
          <w:b/>
        </w:rPr>
        <w:tab/>
      </w:r>
      <w:r w:rsidRPr="00A34494">
        <w:rPr>
          <w:b/>
          <w:bCs/>
        </w:rPr>
        <w:t>противодействовать увеличению числа детей с поведенческими проблемами, у которых диагностирован синдром дефицита внимания и гиперактивности и которым назначены психостимулирующие препараты, обеспечив осведомленность родителей о негативных последствиях применения таких препаратов и проведение с ними консультаций относительно психосоциальных и поведенческих альтернатив, а также рассмотреть вопрос о проведении содержательных общественных дебатов с различными заинтересованными сторонами, включая медицинских работников, социологов, лиц, ответственных за выработку политики, учителей, родителей и детей.</w:t>
      </w:r>
    </w:p>
    <w:p w14:paraId="1E091309" w14:textId="77777777" w:rsidR="00A34494" w:rsidRPr="00A34494" w:rsidRDefault="00A34494" w:rsidP="00F16084">
      <w:pPr>
        <w:pStyle w:val="H23G"/>
      </w:pPr>
      <w:r w:rsidRPr="00A34494">
        <w:tab/>
      </w:r>
      <w:r w:rsidRPr="00A34494">
        <w:tab/>
      </w:r>
      <w:r w:rsidR="00F16084">
        <w:tab/>
      </w:r>
      <w:r w:rsidRPr="00A34494">
        <w:t>Здоровье подростков</w:t>
      </w:r>
    </w:p>
    <w:p w14:paraId="5D2C017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36.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4 (2003) о здоровье и развитии подростков в контексте Конвенции и принимая во внимание задачу 3.5 Целей в области устойчивого развития, Комитет рекомендует государству-участнику:</w:t>
      </w:r>
    </w:p>
    <w:p w14:paraId="7C40C06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>провести исследования для оценки причин ранней беременности и разработать комплексный план действий на основе этих исследований в целях сокращения распространенности подростковой беременности;</w:t>
      </w:r>
    </w:p>
    <w:p w14:paraId="5B21A2D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обеспечить девочкам-подросткам доступ к безопасным услугам по прерыванию беременности и последующему уходу, а также внимательное отношение к их мнениям и их должный учет в процессе принятия решений;</w:t>
      </w:r>
    </w:p>
    <w:p w14:paraId="34708B7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tab/>
      </w:r>
      <w:r w:rsidRPr="00A34494">
        <w:rPr>
          <w:b/>
          <w:bCs/>
        </w:rPr>
        <w:t>проводить работу по борьбе с распространением наркомании среди детей и подростков, в частности путем предоставления детям и подросткам точной и объективной информации в отношении профилактики злоупотребления психоактивными веществами, включая табак и алкоголь, а также создать учитывающие молодежную специфику доступные службы по лечению наркозависимости и уменьшению ее вредоносных последствий для детей и подростков.</w:t>
      </w:r>
    </w:p>
    <w:p w14:paraId="5CA21B28" w14:textId="77777777" w:rsidR="00A34494" w:rsidRPr="00A34494" w:rsidRDefault="00A34494" w:rsidP="00F16084">
      <w:pPr>
        <w:pStyle w:val="H23G"/>
      </w:pPr>
      <w:r w:rsidRPr="00A34494">
        <w:tab/>
      </w:r>
      <w:r w:rsidRPr="00A34494">
        <w:tab/>
      </w:r>
      <w:r w:rsidR="00F16084">
        <w:tab/>
      </w:r>
      <w:r w:rsidRPr="00A34494">
        <w:t>Грудное вскармливание</w:t>
      </w:r>
    </w:p>
    <w:p w14:paraId="51F8B4B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37.</w:t>
      </w:r>
      <w:r w:rsidRPr="00A34494">
        <w:tab/>
      </w:r>
      <w:r w:rsidRPr="00A34494">
        <w:rPr>
          <w:b/>
          <w:bCs/>
        </w:rPr>
        <w:t>Комитет рекомендует государству-участнику активизировать действия по поощрению оптимальной практики грудного вскармливания в течение первых шести месяцев жизни и поощрять, защищать и поддерживать грудное вскармливание во всех секторах занятости, включая преподавание.</w:t>
      </w:r>
      <w:r w:rsidRPr="00A34494">
        <w:t xml:space="preserve"> </w:t>
      </w:r>
    </w:p>
    <w:p w14:paraId="4D39622A" w14:textId="77777777" w:rsidR="00A34494" w:rsidRPr="00A34494" w:rsidRDefault="00A34494" w:rsidP="00F16084">
      <w:pPr>
        <w:pStyle w:val="H23G"/>
      </w:pPr>
      <w:r w:rsidRPr="00A34494">
        <w:tab/>
      </w:r>
      <w:r w:rsidRPr="00A34494">
        <w:tab/>
      </w:r>
      <w:r w:rsidR="00F16084">
        <w:tab/>
      </w:r>
      <w:r w:rsidRPr="00A34494">
        <w:t>Уровень жизни</w:t>
      </w:r>
    </w:p>
    <w:p w14:paraId="2D77BA01" w14:textId="77777777" w:rsidR="00A34494" w:rsidRPr="00A34494" w:rsidRDefault="00A34494" w:rsidP="00A34494">
      <w:pPr>
        <w:pStyle w:val="SingleTxtG"/>
      </w:pPr>
      <w:r w:rsidRPr="00A34494">
        <w:t>38.</w:t>
      </w:r>
      <w:r w:rsidRPr="00A34494">
        <w:tab/>
        <w:t>Комитет приветствует увеличение пособий для многодетных и неполных семей. Вместе с тем он выражает озабоченность:</w:t>
      </w:r>
    </w:p>
    <w:p w14:paraId="65277C8C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a)</w:t>
      </w:r>
      <w:r w:rsidRPr="00A34494">
        <w:tab/>
        <w:t>сохраняющимся неравенством в доходах и высокой долей детей, которым угрожает нищета и которые живут в нищете;</w:t>
      </w:r>
    </w:p>
    <w:p w14:paraId="36E1EBF0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b)</w:t>
      </w:r>
      <w:r w:rsidRPr="00A34494">
        <w:tab/>
        <w:t>снижением в последнее время уровня жизни детей, уже живущих в нищете, в том числе после финансового кризиса 2010–2014 годов, а также недостаточной действенностью нынешних мер социальной защиты детей, живущих в нищете;</w:t>
      </w:r>
    </w:p>
    <w:p w14:paraId="1425314E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c)</w:t>
      </w:r>
      <w:r w:rsidRPr="00A34494">
        <w:tab/>
        <w:t>положением детей, живущих в «нетрадиционных жилищах», в</w:t>
      </w:r>
      <w:r w:rsidR="00CD645F">
        <w:rPr>
          <w:lang w:val="en-US"/>
        </w:rPr>
        <w:t> </w:t>
      </w:r>
      <w:r w:rsidRPr="00A34494">
        <w:t>неформальных поселениях и на «островах» (</w:t>
      </w:r>
      <w:r w:rsidRPr="00A34494">
        <w:rPr>
          <w:iCs/>
          <w:lang w:val="en-GB"/>
        </w:rPr>
        <w:t>ilhas</w:t>
      </w:r>
      <w:r w:rsidRPr="00A34494">
        <w:t>), особенно детей общины рома, детей африканского происхождения, детей, живущих с одинокими родителями, и детей-инвалидов, сталкивающихся с ненадлежащими условиями жизни.</w:t>
      </w:r>
    </w:p>
    <w:p w14:paraId="71E12C0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39.</w:t>
      </w:r>
      <w:r w:rsidRPr="00A34494">
        <w:tab/>
      </w:r>
      <w:r w:rsidRPr="00A34494">
        <w:rPr>
          <w:b/>
          <w:bCs/>
        </w:rPr>
        <w:t>Комитет обращает внимание на задачу 1.3 Целей в области устойчивого развития и рекомендует государству-участнику:</w:t>
      </w:r>
    </w:p>
    <w:p w14:paraId="6662758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 xml:space="preserve">рассмотреть возможность проведения целевых консультаций по вопросу о детской нищете с семьями, детьми и организациями гражданского общества, занимающимися правами детей, в целях определения приоритетных </w:t>
      </w:r>
      <w:r w:rsidRPr="00A34494">
        <w:rPr>
          <w:b/>
          <w:bCs/>
        </w:rPr>
        <w:lastRenderedPageBreak/>
        <w:t>действий и разработки основанного на правах стратегического подхода к искоренению детской нищеты;</w:t>
      </w:r>
    </w:p>
    <w:p w14:paraId="6A42F75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ускорить осуществление запланированных инклюзивных мер по защите наиболее уязвимых групп (Законодательный декрет № 90/2017 и Указ</w:t>
      </w:r>
      <w:r w:rsidR="0063024A">
        <w:rPr>
          <w:b/>
          <w:bCs/>
          <w:lang w:val="en-US"/>
        </w:rPr>
        <w:t> </w:t>
      </w:r>
      <w:r w:rsidRPr="00A34494">
        <w:rPr>
          <w:b/>
          <w:bCs/>
        </w:rPr>
        <w:t>№</w:t>
      </w:r>
      <w:r w:rsidR="0063024A">
        <w:rPr>
          <w:b/>
          <w:bCs/>
          <w:lang w:val="en-US"/>
        </w:rPr>
        <w:t> </w:t>
      </w:r>
      <w:r w:rsidRPr="00A34494">
        <w:rPr>
          <w:b/>
          <w:bCs/>
        </w:rPr>
        <w:t>253/2017), уделяя особое внимание детям общины рома и детям африканского происхождения, одиноким родителям, многодетным семьям и семьям с детьми-инвалидами;</w:t>
      </w:r>
    </w:p>
    <w:p w14:paraId="2617626E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rPr>
          <w:b/>
        </w:rPr>
        <w:tab/>
      </w:r>
      <w:r w:rsidRPr="00A34494">
        <w:rPr>
          <w:b/>
          <w:bCs/>
        </w:rPr>
        <w:t>усилить меры по обеспечению того, чтобы семьи с детьми, включая семьи общины рома и африканского происхождения, имели доступ к надлежащему и приемлемому по цене жилью, в том числе социальному жилью, в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котором обеспечиваются физическая безопасность, достаточное пространство, защита от угроз здоровью и структурных опасностей, включая холод, сырость, жару и загрязнение, и доступность для детей-инвалидов, а также доступ к безопасной питьевой воде, санитарным услугам и электроснабжению.</w:t>
      </w:r>
    </w:p>
    <w:p w14:paraId="6A27D4AC" w14:textId="77777777" w:rsidR="00A34494" w:rsidRPr="00A34494" w:rsidRDefault="0063024A" w:rsidP="0063024A">
      <w:pPr>
        <w:pStyle w:val="H1G"/>
      </w:pPr>
      <w:r>
        <w:rPr>
          <w:bCs/>
        </w:rPr>
        <w:tab/>
      </w:r>
      <w:r w:rsidR="00A34494" w:rsidRPr="00A34494">
        <w:rPr>
          <w:bCs/>
        </w:rPr>
        <w:t>H.</w:t>
      </w:r>
      <w:r w:rsidR="00A34494" w:rsidRPr="00A34494">
        <w:tab/>
      </w:r>
      <w:r w:rsidR="00A34494" w:rsidRPr="00A34494">
        <w:rPr>
          <w:bCs/>
        </w:rPr>
        <w:t xml:space="preserve">Образование, досуг и </w:t>
      </w:r>
      <w:r w:rsidR="00A34494" w:rsidRPr="00A34494">
        <w:t>культурные мероприятия (статьи 28–31)</w:t>
      </w:r>
    </w:p>
    <w:p w14:paraId="1516CBF7" w14:textId="77777777" w:rsidR="00A34494" w:rsidRPr="00A34494" w:rsidRDefault="00A34494" w:rsidP="00A3117F">
      <w:pPr>
        <w:pStyle w:val="H23G"/>
      </w:pPr>
      <w:r w:rsidRPr="00A34494">
        <w:tab/>
      </w:r>
      <w:r w:rsidRPr="00A34494">
        <w:tab/>
      </w:r>
      <w:r w:rsidR="0063024A">
        <w:tab/>
      </w:r>
      <w:r w:rsidRPr="00A34494">
        <w:t>Образование, включая профессиональную подготовку и ориентацию</w:t>
      </w:r>
    </w:p>
    <w:p w14:paraId="269B716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40.</w:t>
      </w:r>
      <w:r w:rsidRPr="00A34494">
        <w:tab/>
      </w:r>
      <w:r w:rsidRPr="00A34494">
        <w:rPr>
          <w:b/>
          <w:bCs/>
        </w:rPr>
        <w:t>Приветствуя продолжающуюся децентрализацию системы образования в соответствии с Законом № 55/2018 и принимая к сведению задачу 4.С Целей в области устойчивого развития по предоставлению квалифицированных преподавателей, Комитет рекомендует государству-участнику активизировать свои усилия по решению проблемы воздействия мер жесткой экономии на сектор образования, а именно:</w:t>
      </w:r>
    </w:p>
    <w:p w14:paraId="345AA93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>расширить доступ детей из уязвимых групп, включая детей рома, детей африканского происхождения, детей-инвалидов, детей, живущих в нищете, и детей, проживающих в сельских районах, к образованию, особенно к среднему и высшему образованию, и содействовать найму преподавателей из этих общин;</w:t>
      </w:r>
    </w:p>
    <w:p w14:paraId="151A047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обеспечить, чтобы права ребенка были включены в школьные программы на всех уровнях образования;</w:t>
      </w:r>
    </w:p>
    <w:p w14:paraId="222AE5A9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tab/>
      </w:r>
      <w:r w:rsidRPr="00A34494">
        <w:rPr>
          <w:b/>
          <w:bCs/>
        </w:rPr>
        <w:t>ввести в обязательную школьную программу для девочек и мальчиков подросткового возраста просвещение по вопросам сексуального и репродуктивного здоровья, которое включает правозащитный подход и сосредоточено на сексуальных и репродуктивных правах, здоровой половой жизни, предотвращении рискованного сексуального поведения и заболеваний, передаваемых половым путем, а также на недопущении дискриминации, предотвращении насилия в интимных отношениях и вредных последствиях порнографии;</w:t>
      </w:r>
    </w:p>
    <w:p w14:paraId="62B94B5A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tab/>
      </w:r>
      <w:r w:rsidRPr="00A34494">
        <w:rPr>
          <w:b/>
          <w:bCs/>
        </w:rPr>
        <w:t>продолжать увеличивать объем людских, технических и финансовых ресурсов для развития и расширения качественного и доступного дошкольного образования на основе всеобъемлющей и целостной стратегии в области ухода за детьми и их развития в раннем возрасте.</w:t>
      </w:r>
    </w:p>
    <w:p w14:paraId="798C960E" w14:textId="77777777" w:rsidR="00A34494" w:rsidRPr="00A34494" w:rsidRDefault="0063024A" w:rsidP="0063024A">
      <w:pPr>
        <w:pStyle w:val="H1G"/>
        <w:rPr>
          <w:bCs/>
        </w:rPr>
      </w:pPr>
      <w:r>
        <w:rPr>
          <w:bCs/>
        </w:rPr>
        <w:tab/>
      </w:r>
      <w:r w:rsidR="00A34494" w:rsidRPr="00A34494">
        <w:rPr>
          <w:bCs/>
        </w:rPr>
        <w:t>I.</w:t>
      </w:r>
      <w:r w:rsidR="00A34494" w:rsidRPr="00A34494">
        <w:tab/>
        <w:t>Особые меры защиты (статьи 22, 30, 32, 33, 35, 36, 37</w:t>
      </w:r>
      <w:r w:rsidR="00A34494" w:rsidRPr="00A34494">
        <w:rPr>
          <w:lang w:val="en-GB"/>
        </w:rPr>
        <w:t> b</w:t>
      </w:r>
      <w:r w:rsidR="00A34494" w:rsidRPr="00A34494">
        <w:t>)–</w:t>
      </w:r>
      <w:r w:rsidR="00A34494" w:rsidRPr="00A34494">
        <w:rPr>
          <w:lang w:val="en-GB"/>
        </w:rPr>
        <w:t>d</w:t>
      </w:r>
      <w:r w:rsidR="00A34494" w:rsidRPr="00A34494">
        <w:t>) и</w:t>
      </w:r>
      <w:r w:rsidR="00A34494" w:rsidRPr="00A34494">
        <w:rPr>
          <w:lang w:val="en-GB"/>
        </w:rPr>
        <w:t> </w:t>
      </w:r>
      <w:r w:rsidR="00A34494" w:rsidRPr="00A34494">
        <w:t>38–40)</w:t>
      </w:r>
    </w:p>
    <w:p w14:paraId="2165998A" w14:textId="77777777" w:rsidR="00A34494" w:rsidRPr="00A34494" w:rsidRDefault="00A34494" w:rsidP="0063024A">
      <w:pPr>
        <w:pStyle w:val="H23G"/>
      </w:pPr>
      <w:r w:rsidRPr="00A34494">
        <w:tab/>
      </w:r>
      <w:r w:rsidRPr="00A34494">
        <w:tab/>
      </w:r>
      <w:r w:rsidR="0063024A">
        <w:tab/>
      </w:r>
      <w:r w:rsidRPr="00A34494">
        <w:t>Дети из числа просителей убежища, беженцев и мигрантов</w:t>
      </w:r>
    </w:p>
    <w:p w14:paraId="51BFFFC0" w14:textId="77777777" w:rsidR="00A34494" w:rsidRPr="00A34494" w:rsidRDefault="00A34494" w:rsidP="00A34494">
      <w:pPr>
        <w:pStyle w:val="SingleTxtG"/>
      </w:pPr>
      <w:r w:rsidRPr="00A34494">
        <w:t>41.</w:t>
      </w:r>
      <w:r w:rsidRPr="00A34494">
        <w:tab/>
        <w:t>Комитет приветствует принятие двусторонних соглашений, направленных на прием пяти несопровождаемых детей из Афганистана, а также представленную государством-участником информацию о его готовности принимать дополнительные группы несопровождаемых детей в будущем. Вместе с тем, несмотря на официальное решение Министра внутренних дел от 24 июля 2018 года о том, что ни одно несовершеннолетнее лицо в возрасте до 16 лет не может содержаться в месте временного размещения более семи дней, Комитет выражает озабоченность в связи со следующим:</w:t>
      </w:r>
    </w:p>
    <w:p w14:paraId="4DC34091" w14:textId="77777777" w:rsidR="00A34494" w:rsidRPr="00A34494" w:rsidRDefault="00A34494" w:rsidP="00A34494">
      <w:pPr>
        <w:pStyle w:val="SingleTxtG"/>
      </w:pPr>
      <w:r w:rsidRPr="00A34494">
        <w:lastRenderedPageBreak/>
        <w:tab/>
      </w:r>
      <w:r w:rsidRPr="00A34494">
        <w:tab/>
        <w:t>a)</w:t>
      </w:r>
      <w:r w:rsidRPr="00A34494">
        <w:tab/>
        <w:t xml:space="preserve">практика временного содержания под стражей несопровождаемых детей и семей с детьми, обращающихся с просьбой о предоставлении убежища или незаконно прибывающих на границы государства-участника, а также незаконно находящихся на его территории; </w:t>
      </w:r>
    </w:p>
    <w:p w14:paraId="5690D005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b)</w:t>
      </w:r>
      <w:r w:rsidRPr="00A34494">
        <w:tab/>
        <w:t>непоследовательная оценка наилучших интересов ребенка в ходе процедур определения статуса беженца, а также процедур депортации семей мигрантов с детьми;</w:t>
      </w:r>
    </w:p>
    <w:p w14:paraId="0C892563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c)</w:t>
      </w:r>
      <w:r w:rsidRPr="00A34494">
        <w:tab/>
        <w:t>слабые стороны политики и практики в отношении несопровождаемых и разлученных детей, особенно в том, что касается юридического представительства и опекунства в процессе определения статуса беженца;</w:t>
      </w:r>
    </w:p>
    <w:p w14:paraId="046C0B14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d)</w:t>
      </w:r>
      <w:r w:rsidRPr="00A34494">
        <w:tab/>
        <w:t>ненадлежащие условия содержания несопровождаемых детей и детей – просителей убежища, а также семей в центрах временного содержания, приема и ухода;</w:t>
      </w:r>
    </w:p>
    <w:p w14:paraId="3FF1B603" w14:textId="77777777" w:rsidR="00A34494" w:rsidRPr="00A34494" w:rsidRDefault="00A34494" w:rsidP="00A34494">
      <w:pPr>
        <w:pStyle w:val="SingleTxtG"/>
      </w:pPr>
      <w:r w:rsidRPr="00A34494">
        <w:tab/>
      </w:r>
      <w:r w:rsidRPr="00A34494">
        <w:tab/>
        <w:t>e)</w:t>
      </w:r>
      <w:r w:rsidRPr="00A34494">
        <w:tab/>
        <w:t>процедуры проведения оценки возраста.</w:t>
      </w:r>
    </w:p>
    <w:p w14:paraId="36E0705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42.</w:t>
      </w:r>
      <w:r w:rsidRPr="00A34494">
        <w:tab/>
      </w:r>
      <w:r w:rsidRPr="00A34494">
        <w:rPr>
          <w:b/>
          <w:bCs/>
        </w:rPr>
        <w:t>Ссылаясь на совместные замечания общего порядка № 3 и</w:t>
      </w:r>
      <w:r w:rsidR="007D11CB" w:rsidRPr="007D11CB">
        <w:rPr>
          <w:b/>
          <w:bCs/>
        </w:rPr>
        <w:t xml:space="preserve"> </w:t>
      </w:r>
      <w:r w:rsidRPr="00A34494">
        <w:rPr>
          <w:b/>
          <w:bCs/>
        </w:rPr>
        <w:t>4 (2017) Комитета по защите прав всех трудящихся-мигрантов и членов их семей/№ 22 и</w:t>
      </w:r>
      <w:r w:rsidR="0063024A">
        <w:rPr>
          <w:b/>
          <w:bCs/>
          <w:lang w:val="en-US"/>
        </w:rPr>
        <w:t> </w:t>
      </w:r>
      <w:r w:rsidRPr="00A34494">
        <w:rPr>
          <w:b/>
          <w:bCs/>
        </w:rPr>
        <w:t>23 (2017) Комитета по правам ребенка о правах человека детей в контексте международной миграции, Комитет рекомендует государству-участнику:</w:t>
      </w:r>
    </w:p>
    <w:p w14:paraId="5B41F4D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>пересмотреть Закон № 23/2007, с тем чтобы обеспечить недопущение любых форм содержания под стражей мигрантов и просителей убежища в возрасте до 18 лет или несопровождаемых детей и семей с детьми и гарантировать предоставление альтернатив содержанию под стражей;</w:t>
      </w:r>
    </w:p>
    <w:p w14:paraId="0C59FFDF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оценивать и определять наилучшие интересы ребенка на различных этапах процедур, связанных с миграцией и предоставлением убежища, которые могут привести к лишению свободы или депортации в силу миграционного статуса;</w:t>
      </w:r>
    </w:p>
    <w:p w14:paraId="73B9D0D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c)</w:t>
      </w:r>
      <w:r w:rsidRPr="00A34494">
        <w:tab/>
      </w:r>
      <w:r w:rsidRPr="00A34494">
        <w:rPr>
          <w:b/>
          <w:bCs/>
        </w:rPr>
        <w:t>укреплять политику и практику в целях улучшения идентификации и регистрации несопровождаемых и разлученных детей, в том числе путем обеспечения того, чтобы им предоставлялись эффективное юридическое представительство и независимый опекун сразу же после того, как они были идентифицированы;</w:t>
      </w:r>
    </w:p>
    <w:p w14:paraId="3A8DEF92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tab/>
      </w:r>
      <w:r w:rsidRPr="00A34494">
        <w:rPr>
          <w:b/>
          <w:bCs/>
        </w:rPr>
        <w:t>уделять первоочередное внимание немедленному переводу детей – просителей убежища и их семей из центров временного содержания под стражей и центров по приему и уходу, а также создать постоянные и устойчивые варианты расселения беженцев, особенно детей и их семей, чтобы обеспечить законность их пребывания и предоставление им разумного доступа к трудоустройству и другим возможностям;</w:t>
      </w:r>
    </w:p>
    <w:p w14:paraId="722C8CA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e)</w:t>
      </w:r>
      <w:r w:rsidRPr="00A34494">
        <w:tab/>
      </w:r>
      <w:r w:rsidRPr="00A34494">
        <w:rPr>
          <w:b/>
          <w:bCs/>
        </w:rPr>
        <w:t>продолжать применять многодисциплинарные и транспарентные процедуры оценки возраста, соответствующие международным стандартам, и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обеспечивать надлежащую подготовку персонала, с тем чтобы принимались во внимание психологические аспекты и личные обстоятельства оцениваемого лица.</w:t>
      </w:r>
    </w:p>
    <w:p w14:paraId="321DC47B" w14:textId="77777777" w:rsidR="00A34494" w:rsidRPr="00A34494" w:rsidRDefault="00A34494" w:rsidP="0063024A">
      <w:pPr>
        <w:pStyle w:val="H23G"/>
      </w:pPr>
      <w:r w:rsidRPr="00A34494">
        <w:tab/>
      </w:r>
      <w:r w:rsidRPr="00A34494">
        <w:tab/>
      </w:r>
      <w:r w:rsidR="0063024A">
        <w:tab/>
      </w:r>
      <w:r w:rsidRPr="00A34494">
        <w:t>Торговля детьми, контрабандный провоз и похищение детей</w:t>
      </w:r>
    </w:p>
    <w:p w14:paraId="3B07716F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43.</w:t>
      </w:r>
      <w:r w:rsidRPr="00A34494">
        <w:tab/>
      </w:r>
      <w:r w:rsidRPr="00A34494">
        <w:rPr>
          <w:b/>
          <w:bCs/>
        </w:rPr>
        <w:t>Принимая к сведению задачу 8.7 Целей в области устойчивого развития, Комитет рекомендует государству-участнику усовершенствовать свой механизм и процедуры выявления детей, ставших жертвами торговли людьми, торговли людьми в целях сексуальной эксплуатации и принудительного труда, и ухода за ними, а также обеспечить надлежащую подготовку специалистов по этим процедурам, с тем чтобы жертвы получали поддержку, на которую они имеют право в соответствии с законом.</w:t>
      </w:r>
    </w:p>
    <w:p w14:paraId="2797857E" w14:textId="77777777" w:rsidR="00A34494" w:rsidRPr="00A34494" w:rsidRDefault="00A34494" w:rsidP="0063024A">
      <w:pPr>
        <w:pStyle w:val="H23G"/>
      </w:pPr>
      <w:r w:rsidRPr="00A34494">
        <w:lastRenderedPageBreak/>
        <w:tab/>
      </w:r>
      <w:r w:rsidRPr="00A34494">
        <w:tab/>
      </w:r>
      <w:r w:rsidR="0063024A">
        <w:tab/>
      </w:r>
      <w:r w:rsidRPr="00A34494">
        <w:t>Отправление правосудия в отношении детей</w:t>
      </w:r>
    </w:p>
    <w:p w14:paraId="7AE9084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44.</w:t>
      </w:r>
      <w:r w:rsidRPr="00A34494">
        <w:tab/>
      </w:r>
      <w:r w:rsidRPr="00A34494">
        <w:rPr>
          <w:b/>
          <w:bCs/>
        </w:rPr>
        <w:t>Ссылаясь на свое замечание общего порядка № 24 (2019) о правах ребенка в системе правосудия в отношении детей, Комитет настоятельно призывает государство-участник привести свою систему отправления правосудия в отношении детей в полное соответствие с Конвенцией и другими соответствующими стандартами.</w:t>
      </w:r>
      <w:r w:rsidRPr="00A34494">
        <w:t xml:space="preserve"> </w:t>
      </w:r>
      <w:r w:rsidRPr="00A34494">
        <w:rPr>
          <w:b/>
          <w:bCs/>
        </w:rPr>
        <w:t>Комитет настоятельно призывает государство-участник, в частности:</w:t>
      </w:r>
    </w:p>
    <w:p w14:paraId="58EEFC35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tab/>
      </w:r>
      <w:r w:rsidRPr="00A34494">
        <w:rPr>
          <w:b/>
          <w:bCs/>
        </w:rPr>
        <w:t>пересмотреть существующие меры пресечения, связанные с содержанием под стражей, для обеспечения того, чтобы содержание детей под стражей использовалось только в исключительных обстоятельствах;</w:t>
      </w:r>
    </w:p>
    <w:p w14:paraId="634E5F7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ввести обязательную подготовку по соответствующим международным стандартам для всех специалистов, работающих в системе правосудия в отношении детей, таких как судьи, сотрудники полиции, адвокаты защиты и прокуроры;</w:t>
      </w:r>
    </w:p>
    <w:p w14:paraId="50B1F6E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с)</w:t>
      </w:r>
      <w:r w:rsidRPr="00A34494">
        <w:tab/>
      </w:r>
      <w:r w:rsidRPr="00A34494">
        <w:rPr>
          <w:b/>
          <w:bCs/>
        </w:rPr>
        <w:t>запретить и отменить использование одиночного заключения для наказания детей и незамедлительно выпустить из одиночных камер всех содержащихся в них детей (CRC/C/PRT/CO/3-4, пункт 66 c));</w:t>
      </w:r>
    </w:p>
    <w:p w14:paraId="5659FA79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d)</w:t>
      </w:r>
      <w:r w:rsidRPr="00A34494">
        <w:rPr>
          <w:b/>
        </w:rPr>
        <w:tab/>
      </w:r>
      <w:r w:rsidRPr="00A34494">
        <w:rPr>
          <w:b/>
          <w:bCs/>
        </w:rPr>
        <w:t>усилить координацию между всеми участниками системы правосудия в отношении детей, включая суды, местные комиссии, социальные, образовательные и медицинские службы и службы реинтеграции.</w:t>
      </w:r>
    </w:p>
    <w:p w14:paraId="54EAC5C7" w14:textId="77777777" w:rsidR="00A34494" w:rsidRPr="00A34494" w:rsidRDefault="00A34494" w:rsidP="0063024A">
      <w:pPr>
        <w:pStyle w:val="H23G"/>
      </w:pPr>
      <w:r w:rsidRPr="00A34494">
        <w:tab/>
      </w:r>
      <w:r w:rsidR="0063024A">
        <w:tab/>
      </w:r>
      <w:r w:rsidRPr="00A34494">
        <w:tab/>
        <w:t>Дети, ставшие жертвами и свидетелями преступлений</w:t>
      </w:r>
    </w:p>
    <w:p w14:paraId="4DB24A9E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45.</w:t>
      </w:r>
      <w:r w:rsidRPr="00A34494">
        <w:tab/>
      </w:r>
      <w:r w:rsidRPr="00A34494">
        <w:rPr>
          <w:b/>
          <w:bCs/>
        </w:rPr>
        <w:t>Комитет рекомендует государству-участнику обеспечить, чтобы в законах и практике в полной мере учитывались Руководящие принципы, касающиеся правосудия в вопросах, связанных с участием детей – жертв и свидетелей преступлений.</w:t>
      </w:r>
    </w:p>
    <w:p w14:paraId="4BE57BBF" w14:textId="77777777" w:rsidR="00A34494" w:rsidRPr="00A34494" w:rsidRDefault="00A34494" w:rsidP="0063024A">
      <w:pPr>
        <w:pStyle w:val="H23G"/>
      </w:pPr>
      <w:r w:rsidRPr="00A34494">
        <w:tab/>
      </w:r>
      <w:r w:rsidRPr="00A34494">
        <w:tab/>
      </w:r>
      <w:r w:rsidR="0063024A">
        <w:tab/>
      </w:r>
      <w:r w:rsidRPr="00A34494">
        <w:t>Последующая деятельность в связи с предыдущими заключительными замечаниями Комитета в отношении Факультативного протокола, касающегося торговли детьми, детской проституции и детской порнографии</w:t>
      </w:r>
    </w:p>
    <w:p w14:paraId="3DC91AE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46.</w:t>
      </w:r>
      <w:r w:rsidRPr="00A34494">
        <w:tab/>
      </w:r>
      <w:r w:rsidRPr="00A34494">
        <w:rPr>
          <w:b/>
          <w:bCs/>
        </w:rPr>
        <w:t>Напоминая о своих предыдущих рекомендациях (CRC/C/OPSC/PRT/CO/1, пункты 8 и 32), Комитет рекомендует государству-участнику:</w:t>
      </w:r>
    </w:p>
    <w:p w14:paraId="671961C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создать комплексный и системный механизм для сбора должным образом дезагрегированных данных по всем областям Факультативного протокола и их анализа в целях мониторинга и оценки воздействия принятых мер;</w:t>
      </w:r>
    </w:p>
    <w:p w14:paraId="53C853E0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b)</w:t>
      </w:r>
      <w:r w:rsidRPr="00A34494">
        <w:rPr>
          <w:b/>
        </w:rPr>
        <w:tab/>
      </w:r>
      <w:r w:rsidRPr="00A34494">
        <w:rPr>
          <w:b/>
          <w:bCs/>
        </w:rPr>
        <w:t>пересмотреть свое законодательство, с тем чтобы предоставить возможность осуществлять экстерриториальную юрисдикцию в отношении всех преступлений, охватываемых Факультативным протоколом, отменив соответствующие условия и добавив ссылку на статьи 5–1 с) (экстерриториальная юрисдикция) и 160 (торговля людьми) Уголовного кодекса.</w:t>
      </w:r>
      <w:r w:rsidRPr="00A34494">
        <w:t xml:space="preserve"> </w:t>
      </w:r>
    </w:p>
    <w:p w14:paraId="474690A4" w14:textId="77777777" w:rsidR="00A34494" w:rsidRPr="00A34494" w:rsidRDefault="00A34494" w:rsidP="0063024A">
      <w:pPr>
        <w:pStyle w:val="H23G"/>
      </w:pPr>
      <w:r w:rsidRPr="00A34494">
        <w:tab/>
      </w:r>
      <w:r w:rsidRPr="00A34494">
        <w:tab/>
      </w:r>
      <w:r w:rsidR="0063024A">
        <w:tab/>
      </w:r>
      <w:r w:rsidRPr="00A34494">
        <w:t>Последующая деятельность в связи с предыдущими заключительными замечаниями Комитета по Факультативному протоколу, касающемуся участия детей в вооруженных конфликтах</w:t>
      </w:r>
    </w:p>
    <w:p w14:paraId="7927BC5D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47.</w:t>
      </w:r>
      <w:r w:rsidRPr="00A34494">
        <w:tab/>
      </w:r>
      <w:r w:rsidRPr="00A34494">
        <w:rPr>
          <w:b/>
          <w:bCs/>
        </w:rPr>
        <w:t>Напоминая о своих предыдущих рекомендациях (CRC/C/OPAC/PRT/CO/1, пункты 6 и 21), Комитет рекомендует государству-участнику:</w:t>
      </w:r>
    </w:p>
    <w:p w14:paraId="0472455C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ab/>
      </w:r>
      <w:r w:rsidRPr="00A34494">
        <w:tab/>
      </w:r>
      <w:r w:rsidRPr="00A34494">
        <w:rPr>
          <w:b/>
        </w:rPr>
        <w:t>a)</w:t>
      </w:r>
      <w:r w:rsidRPr="00A34494">
        <w:rPr>
          <w:b/>
        </w:rPr>
        <w:tab/>
      </w:r>
      <w:r w:rsidRPr="00A34494">
        <w:rPr>
          <w:b/>
          <w:bCs/>
        </w:rPr>
        <w:t>принять все необходимые меры для обеспечения эффективной координации осуществления Факультативного протокола на национальном, провинциальном и окружном уровнях, а также выделить такому координационному механизму достаточные людские, технические и финансовые ресурсы;</w:t>
      </w:r>
    </w:p>
    <w:p w14:paraId="2EDB7A6B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lastRenderedPageBreak/>
        <w:tab/>
      </w:r>
      <w:r w:rsidRPr="00A34494">
        <w:tab/>
      </w:r>
      <w:r w:rsidRPr="00A34494">
        <w:rPr>
          <w:b/>
        </w:rPr>
        <w:t>b)</w:t>
      </w:r>
      <w:r w:rsidRPr="00A34494">
        <w:tab/>
      </w:r>
      <w:r w:rsidRPr="00A34494">
        <w:rPr>
          <w:b/>
          <w:bCs/>
        </w:rPr>
        <w:t>пересмотреть положения внутреннего законодательства для обеспечения криминализации вербовки детей вооруженными силами и вооруженными группами как в мирное, так и в военное время, а также криминализации вербовки и использования детей частными охранными компаниями.</w:t>
      </w:r>
    </w:p>
    <w:p w14:paraId="34F423DA" w14:textId="77777777" w:rsidR="00A34494" w:rsidRPr="00A34494" w:rsidRDefault="0063024A" w:rsidP="0063024A">
      <w:pPr>
        <w:pStyle w:val="H1G"/>
      </w:pPr>
      <w:r>
        <w:tab/>
      </w:r>
      <w:r w:rsidR="00A34494" w:rsidRPr="00A34494">
        <w:t>J.</w:t>
      </w:r>
      <w:r w:rsidR="00A34494" w:rsidRPr="00A34494">
        <w:tab/>
        <w:t>Ратификация международных договоров по правам человека</w:t>
      </w:r>
    </w:p>
    <w:p w14:paraId="151038E4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48.</w:t>
      </w:r>
      <w:r w:rsidRPr="00A34494">
        <w:tab/>
      </w:r>
      <w:r w:rsidRPr="00A34494"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возможность ратификации Международной конвенции о защите прав всех трудящихся-мигрантов и членов их семей, участником которой оно пока еще не является.</w:t>
      </w:r>
    </w:p>
    <w:p w14:paraId="2A633C60" w14:textId="77777777" w:rsidR="00A34494" w:rsidRPr="00A34494" w:rsidRDefault="0063024A" w:rsidP="0063024A">
      <w:pPr>
        <w:pStyle w:val="H1G"/>
      </w:pPr>
      <w:r>
        <w:tab/>
      </w:r>
      <w:r w:rsidR="00A34494" w:rsidRPr="00A34494">
        <w:t>K.</w:t>
      </w:r>
      <w:r w:rsidR="00A34494" w:rsidRPr="00A34494">
        <w:tab/>
        <w:t>Сотрудничество с региональными органами</w:t>
      </w:r>
    </w:p>
    <w:p w14:paraId="3C0FF588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49.</w:t>
      </w:r>
      <w:r w:rsidRPr="00A34494">
        <w:tab/>
      </w:r>
      <w:r w:rsidRPr="00A34494">
        <w:rPr>
          <w:b/>
          <w:bCs/>
        </w:rPr>
        <w:t>Комитет рекомендует государству-участнику сотрудничать с Советом Европы в деле осуществления Конвенции и других договоров по правам человека как в самом государстве-участнике, так и в других государствах – членах Совета Европы.</w:t>
      </w:r>
      <w:r w:rsidRPr="00A34494">
        <w:t xml:space="preserve"> </w:t>
      </w:r>
    </w:p>
    <w:p w14:paraId="4B4B4742" w14:textId="77777777" w:rsidR="00A34494" w:rsidRPr="00A34494" w:rsidRDefault="0063024A" w:rsidP="0063024A">
      <w:pPr>
        <w:pStyle w:val="HChG"/>
      </w:pPr>
      <w:r>
        <w:tab/>
      </w:r>
      <w:r w:rsidR="00A34494" w:rsidRPr="00A34494">
        <w:t>IV.</w:t>
      </w:r>
      <w:r w:rsidR="00A34494" w:rsidRPr="00A34494">
        <w:tab/>
        <w:t>Меры по осуществлению и представление докладов</w:t>
      </w:r>
    </w:p>
    <w:p w14:paraId="21F99B8D" w14:textId="77777777" w:rsidR="00A34494" w:rsidRPr="00A34494" w:rsidRDefault="0063024A" w:rsidP="0063024A">
      <w:pPr>
        <w:pStyle w:val="H1G"/>
      </w:pPr>
      <w:r>
        <w:tab/>
      </w:r>
      <w:r w:rsidR="00A34494" w:rsidRPr="00A34494">
        <w:t>A.</w:t>
      </w:r>
      <w:r w:rsidR="00A34494" w:rsidRPr="00A34494">
        <w:tab/>
        <w:t>Последующая деятельность и распространение информации</w:t>
      </w:r>
    </w:p>
    <w:p w14:paraId="7FD12B4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50.</w:t>
      </w:r>
      <w:r w:rsidRPr="00A34494">
        <w:tab/>
      </w:r>
      <w:r w:rsidRPr="00A34494"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 w:rsidRPr="00A34494">
        <w:t xml:space="preserve"> </w:t>
      </w:r>
      <w:r w:rsidRPr="00A34494">
        <w:rPr>
          <w:b/>
          <w:bCs/>
        </w:rPr>
        <w:t>Комитет также рекомендует обеспечить широкое распространение на языках страны объединенных пятого и шестого периодических докладов, письменных ответов на перечень вопросов и настоящих заключительных замечаний.</w:t>
      </w:r>
      <w:r w:rsidRPr="00A34494">
        <w:t xml:space="preserve"> </w:t>
      </w:r>
    </w:p>
    <w:p w14:paraId="1675AEA4" w14:textId="77777777" w:rsidR="00A34494" w:rsidRPr="00A34494" w:rsidRDefault="0063024A" w:rsidP="0063024A">
      <w:pPr>
        <w:pStyle w:val="H1G"/>
      </w:pPr>
      <w:r>
        <w:tab/>
      </w:r>
      <w:r w:rsidR="00A34494" w:rsidRPr="00A34494">
        <w:t>B.</w:t>
      </w:r>
      <w:r w:rsidR="00A34494" w:rsidRPr="00A34494">
        <w:tab/>
        <w:t xml:space="preserve">Следующий доклад </w:t>
      </w:r>
    </w:p>
    <w:p w14:paraId="3BB98273" w14:textId="77777777" w:rsidR="00A34494" w:rsidRPr="00A34494" w:rsidRDefault="00A34494" w:rsidP="00A34494">
      <w:pPr>
        <w:pStyle w:val="SingleTxtG"/>
        <w:rPr>
          <w:b/>
          <w:bCs/>
        </w:rPr>
      </w:pPr>
      <w:r w:rsidRPr="00A34494">
        <w:t>51.</w:t>
      </w:r>
      <w:r w:rsidRPr="00A34494">
        <w:tab/>
      </w:r>
      <w:r w:rsidRPr="00A34494">
        <w:rPr>
          <w:b/>
          <w:bCs/>
        </w:rPr>
        <w:t>Комитет предлагает государству-участнику представить свои объединенные седьмой и восьмой периодические доклады к 20 марта 2025 года и включить в них информацию о последующей деятельности по осуществлению настоящих заключительных замечаний.</w:t>
      </w:r>
      <w:r w:rsidRPr="00A34494">
        <w:t xml:space="preserve"> </w:t>
      </w:r>
      <w:r w:rsidRPr="00A34494">
        <w:rPr>
          <w:b/>
          <w:bCs/>
        </w:rPr>
        <w:t>Доклад должен соответствовать согласованным Комитетом руководящим принципам подготовки докладов по конкретным договорам, принятым 31 января 2014 года (CRC/C/58/Rev.3), и по объему не должен превышать 21</w:t>
      </w:r>
      <w:r w:rsidR="00CD645F">
        <w:rPr>
          <w:b/>
          <w:bCs/>
          <w:lang w:val="en-US"/>
        </w:rPr>
        <w:t> </w:t>
      </w:r>
      <w:r w:rsidRPr="00A34494">
        <w:rPr>
          <w:b/>
          <w:bCs/>
        </w:rPr>
        <w:t>200 слов (пункт 16 резолюции 68/268 Генеральной Ассамблеи).</w:t>
      </w:r>
      <w:r w:rsidRPr="00A34494">
        <w:t xml:space="preserve"> </w:t>
      </w:r>
      <w:r w:rsidRPr="00A34494"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 w:rsidRPr="00A34494">
        <w:t xml:space="preserve"> </w:t>
      </w:r>
      <w:r w:rsidRPr="00A34494">
        <w:rPr>
          <w:b/>
          <w:bCs/>
        </w:rPr>
        <w:t>Если государство-участник не будет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 w:rsidRPr="00A34494">
        <w:t xml:space="preserve"> </w:t>
      </w:r>
    </w:p>
    <w:p w14:paraId="56CE4A72" w14:textId="77777777" w:rsidR="00A34494" w:rsidRDefault="00A34494" w:rsidP="00A34494">
      <w:pPr>
        <w:pStyle w:val="SingleTxtG"/>
        <w:rPr>
          <w:b/>
          <w:bCs/>
        </w:rPr>
      </w:pPr>
      <w:r w:rsidRPr="00A34494">
        <w:t>52.</w:t>
      </w:r>
      <w:r w:rsidRPr="00A34494">
        <w:tab/>
      </w:r>
      <w:r w:rsidRPr="00A34494">
        <w:rPr>
          <w:b/>
          <w:bCs/>
        </w:rPr>
        <w:t>Комитет также предлагает государству-участнику представить обновленный базовый документ объемом не более 42 400 слов в соответствии с требованиями в отношении общего базового документа, которые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(HRI/GEN/2/Rev.6, глава I) и пункт 16 резолюции 68/268 Генеральной Ассамблеи.</w:t>
      </w:r>
    </w:p>
    <w:p w14:paraId="430ADAFE" w14:textId="77777777" w:rsidR="00A34494" w:rsidRPr="00A34494" w:rsidRDefault="00A34494" w:rsidP="00A344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4494" w:rsidRPr="00A34494" w:rsidSect="00A344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9073" w14:textId="77777777" w:rsidR="00BD1AAD" w:rsidRPr="00A312BC" w:rsidRDefault="00BD1AAD" w:rsidP="00A312BC"/>
  </w:endnote>
  <w:endnote w:type="continuationSeparator" w:id="0">
    <w:p w14:paraId="69ED45F7" w14:textId="77777777" w:rsidR="00BD1AAD" w:rsidRPr="00A312BC" w:rsidRDefault="00BD1A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524E" w14:textId="77777777" w:rsidR="00BD1AAD" w:rsidRPr="00A34494" w:rsidRDefault="00BD1AAD">
    <w:pPr>
      <w:pStyle w:val="a8"/>
    </w:pPr>
    <w:r w:rsidRPr="00A34494">
      <w:rPr>
        <w:b/>
        <w:sz w:val="18"/>
      </w:rPr>
      <w:fldChar w:fldCharType="begin"/>
    </w:r>
    <w:r w:rsidRPr="00A34494">
      <w:rPr>
        <w:b/>
        <w:sz w:val="18"/>
      </w:rPr>
      <w:instrText xml:space="preserve"> PAGE  \* MERGEFORMAT </w:instrText>
    </w:r>
    <w:r w:rsidRPr="00A34494">
      <w:rPr>
        <w:b/>
        <w:sz w:val="18"/>
      </w:rPr>
      <w:fldChar w:fldCharType="separate"/>
    </w:r>
    <w:r w:rsidRPr="00A34494">
      <w:rPr>
        <w:b/>
        <w:noProof/>
        <w:sz w:val="18"/>
      </w:rPr>
      <w:t>2</w:t>
    </w:r>
    <w:r w:rsidRPr="00A34494">
      <w:rPr>
        <w:b/>
        <w:sz w:val="18"/>
      </w:rPr>
      <w:fldChar w:fldCharType="end"/>
    </w:r>
    <w:r>
      <w:rPr>
        <w:b/>
        <w:sz w:val="18"/>
      </w:rPr>
      <w:tab/>
    </w:r>
    <w:r>
      <w:t>GE.19-21128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6F3C" w14:textId="77777777" w:rsidR="00BD1AAD" w:rsidRPr="00A34494" w:rsidRDefault="00BD1AAD" w:rsidP="00A34494">
    <w:pPr>
      <w:pStyle w:val="a8"/>
      <w:tabs>
        <w:tab w:val="clear" w:pos="9639"/>
        <w:tab w:val="right" w:pos="9638"/>
      </w:tabs>
      <w:rPr>
        <w:b/>
        <w:sz w:val="18"/>
      </w:rPr>
    </w:pPr>
    <w:r>
      <w:t>GE.19-21128</w:t>
    </w:r>
    <w:r>
      <w:tab/>
    </w:r>
    <w:r w:rsidRPr="00A34494">
      <w:rPr>
        <w:b/>
        <w:sz w:val="18"/>
      </w:rPr>
      <w:fldChar w:fldCharType="begin"/>
    </w:r>
    <w:r w:rsidRPr="00A34494">
      <w:rPr>
        <w:b/>
        <w:sz w:val="18"/>
      </w:rPr>
      <w:instrText xml:space="preserve"> PAGE  \* MERGEFORMAT </w:instrText>
    </w:r>
    <w:r w:rsidRPr="00A34494">
      <w:rPr>
        <w:b/>
        <w:sz w:val="18"/>
      </w:rPr>
      <w:fldChar w:fldCharType="separate"/>
    </w:r>
    <w:r w:rsidRPr="00A34494">
      <w:rPr>
        <w:b/>
        <w:noProof/>
        <w:sz w:val="18"/>
      </w:rPr>
      <w:t>3</w:t>
    </w:r>
    <w:r w:rsidRPr="00A344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7FDB" w14:textId="77777777" w:rsidR="00BD1AAD" w:rsidRPr="00A34494" w:rsidRDefault="00BD1AAD" w:rsidP="00A34494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0DDC29" wp14:editId="57C3D6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19-21128  (R)</w:t>
    </w:r>
    <w:r>
      <w:rPr>
        <w:lang w:val="en-US"/>
      </w:rPr>
      <w:t xml:space="preserve">  </w:t>
    </w:r>
    <w:r w:rsidR="0017347A">
      <w:rPr>
        <w:lang w:val="en-US"/>
      </w:rPr>
      <w:t>160320  160320</w:t>
    </w:r>
    <w:r>
      <w:br/>
    </w:r>
    <w:r w:rsidRPr="00A34494">
      <w:rPr>
        <w:rFonts w:ascii="C39T30Lfz" w:hAnsi="C39T30Lfz"/>
        <w:kern w:val="14"/>
        <w:sz w:val="56"/>
      </w:rPr>
      <w:t></w:t>
    </w:r>
    <w:r w:rsidRPr="00A34494">
      <w:rPr>
        <w:rFonts w:ascii="C39T30Lfz" w:hAnsi="C39T30Lfz"/>
        <w:kern w:val="14"/>
        <w:sz w:val="56"/>
      </w:rPr>
      <w:t></w:t>
    </w:r>
    <w:r w:rsidRPr="00A34494">
      <w:rPr>
        <w:rFonts w:ascii="C39T30Lfz" w:hAnsi="C39T30Lfz"/>
        <w:kern w:val="14"/>
        <w:sz w:val="56"/>
      </w:rPr>
      <w:t></w:t>
    </w:r>
    <w:r w:rsidRPr="00A34494">
      <w:rPr>
        <w:rFonts w:ascii="C39T30Lfz" w:hAnsi="C39T30Lfz"/>
        <w:kern w:val="14"/>
        <w:sz w:val="56"/>
      </w:rPr>
      <w:t></w:t>
    </w:r>
    <w:r w:rsidRPr="00A34494">
      <w:rPr>
        <w:rFonts w:ascii="C39T30Lfz" w:hAnsi="C39T30Lfz"/>
        <w:kern w:val="14"/>
        <w:sz w:val="56"/>
      </w:rPr>
      <w:t></w:t>
    </w:r>
    <w:r w:rsidRPr="00A34494">
      <w:rPr>
        <w:rFonts w:ascii="C39T30Lfz" w:hAnsi="C39T30Lfz"/>
        <w:kern w:val="14"/>
        <w:sz w:val="56"/>
      </w:rPr>
      <w:t></w:t>
    </w:r>
    <w:r w:rsidRPr="00A34494">
      <w:rPr>
        <w:rFonts w:ascii="C39T30Lfz" w:hAnsi="C39T30Lfz"/>
        <w:kern w:val="14"/>
        <w:sz w:val="56"/>
      </w:rPr>
      <w:t></w:t>
    </w:r>
    <w:r w:rsidRPr="00A34494">
      <w:rPr>
        <w:rFonts w:ascii="C39T30Lfz" w:hAnsi="C39T30Lfz"/>
        <w:kern w:val="14"/>
        <w:sz w:val="56"/>
      </w:rPr>
      <w:t></w:t>
    </w:r>
    <w:r w:rsidRPr="00A3449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33A367" wp14:editId="351061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PRT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PRT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909B" w14:textId="77777777" w:rsidR="00BD1AAD" w:rsidRPr="001075E9" w:rsidRDefault="00BD1A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F48BC7" w14:textId="77777777" w:rsidR="00BD1AAD" w:rsidRDefault="00BD1A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6C4B52" w14:textId="77777777" w:rsidR="00BD1AAD" w:rsidRPr="00AC5679" w:rsidRDefault="00BD1AAD" w:rsidP="00A34494">
      <w:pPr>
        <w:pStyle w:val="ad"/>
      </w:pPr>
      <w:r w:rsidRPr="00AE3A6D">
        <w:tab/>
      </w:r>
      <w:r w:rsidRPr="00A34494">
        <w:rPr>
          <w:sz w:val="20"/>
        </w:rPr>
        <w:t>*</w:t>
      </w:r>
      <w:r>
        <w:tab/>
        <w:t>Приняты Комитетом на его восемьдесят второй сессии (9–27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2BDF" w14:textId="345C701C" w:rsidR="00BD1AAD" w:rsidRPr="00A34494" w:rsidRDefault="00BD1AAD">
    <w:pPr>
      <w:pStyle w:val="a5"/>
    </w:pPr>
    <w:fldSimple w:instr=" TITLE  \* MERGEFORMAT ">
      <w:r w:rsidR="000B07F8">
        <w:t>CRC/C/PRT/CO/5-6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D1AB" w14:textId="629858C7" w:rsidR="00BD1AAD" w:rsidRPr="00A34494" w:rsidRDefault="00BD1AAD" w:rsidP="00A34494">
    <w:pPr>
      <w:pStyle w:val="a5"/>
      <w:jc w:val="right"/>
    </w:pPr>
    <w:fldSimple w:instr=" TITLE  \* MERGEFORMAT ">
      <w:r w:rsidR="000B07F8">
        <w:t>CRC/C/PRT/CO/5-6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27"/>
    <w:rsid w:val="00033EE1"/>
    <w:rsid w:val="00042B72"/>
    <w:rsid w:val="000558BD"/>
    <w:rsid w:val="00073880"/>
    <w:rsid w:val="000847D0"/>
    <w:rsid w:val="000B07F8"/>
    <w:rsid w:val="000B57E7"/>
    <w:rsid w:val="000B6373"/>
    <w:rsid w:val="000E6527"/>
    <w:rsid w:val="000F09DF"/>
    <w:rsid w:val="000F61B2"/>
    <w:rsid w:val="001075E9"/>
    <w:rsid w:val="0011585E"/>
    <w:rsid w:val="0017347A"/>
    <w:rsid w:val="00180183"/>
    <w:rsid w:val="0018024D"/>
    <w:rsid w:val="0018649F"/>
    <w:rsid w:val="00196389"/>
    <w:rsid w:val="001B3EF6"/>
    <w:rsid w:val="001C7A89"/>
    <w:rsid w:val="00267473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024A"/>
    <w:rsid w:val="0064671C"/>
    <w:rsid w:val="00654AB1"/>
    <w:rsid w:val="00681A10"/>
    <w:rsid w:val="006A1ED8"/>
    <w:rsid w:val="006C2031"/>
    <w:rsid w:val="006D461A"/>
    <w:rsid w:val="006F35EE"/>
    <w:rsid w:val="007021FF"/>
    <w:rsid w:val="00712895"/>
    <w:rsid w:val="00740441"/>
    <w:rsid w:val="00757357"/>
    <w:rsid w:val="007B4656"/>
    <w:rsid w:val="007D11CB"/>
    <w:rsid w:val="007D7861"/>
    <w:rsid w:val="00806737"/>
    <w:rsid w:val="00825F8D"/>
    <w:rsid w:val="00834B71"/>
    <w:rsid w:val="0086445C"/>
    <w:rsid w:val="008828ED"/>
    <w:rsid w:val="00890B58"/>
    <w:rsid w:val="00894693"/>
    <w:rsid w:val="008A08D7"/>
    <w:rsid w:val="008B6909"/>
    <w:rsid w:val="00906890"/>
    <w:rsid w:val="00911BE4"/>
    <w:rsid w:val="00951972"/>
    <w:rsid w:val="009608F3"/>
    <w:rsid w:val="009A24AC"/>
    <w:rsid w:val="009E0DB9"/>
    <w:rsid w:val="00A079EE"/>
    <w:rsid w:val="00A10705"/>
    <w:rsid w:val="00A14DA8"/>
    <w:rsid w:val="00A3117F"/>
    <w:rsid w:val="00A312BC"/>
    <w:rsid w:val="00A34494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B15BA"/>
    <w:rsid w:val="00BC18B2"/>
    <w:rsid w:val="00BD1AAD"/>
    <w:rsid w:val="00BD33EE"/>
    <w:rsid w:val="00C106D6"/>
    <w:rsid w:val="00C45D65"/>
    <w:rsid w:val="00C46EC3"/>
    <w:rsid w:val="00C60F0C"/>
    <w:rsid w:val="00C805C9"/>
    <w:rsid w:val="00C92939"/>
    <w:rsid w:val="00CA1679"/>
    <w:rsid w:val="00CB151C"/>
    <w:rsid w:val="00CD645F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16084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918ADF"/>
  <w15:docId w15:val="{712FF03C-5C45-4358-B70E-86D7DB4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16</Pages>
  <Words>5866</Words>
  <Characters>41609</Characters>
  <Application>Microsoft Office Word</Application>
  <DocSecurity>0</DocSecurity>
  <Lines>5944</Lines>
  <Paragraphs>1825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CRC/C/PRT/CO/5-6</vt:lpstr>
      <vt:lpstr>A/</vt:lpstr>
      <vt:lpstr>A/</vt:lpstr>
    </vt:vector>
  </TitlesOfParts>
  <Company>DCM</Company>
  <LinksUpToDate>false</LinksUpToDate>
  <CharactersWithSpaces>45650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CRC/C/PRT/CO/5-6</dc:title>
  <dc:subject/>
  <dc:creator>Anna PETELINA</dc:creator>
  <cp:keywords/>
  <cp:lastModifiedBy>Anna Petelina</cp:lastModifiedBy>
  <cp:revision>3</cp:revision>
  <cp:lastPrinted>2020-03-16T13:36:00Z</cp:lastPrinted>
  <dcterms:created xsi:type="dcterms:W3CDTF">2020-03-16T13:36:00Z</dcterms:created>
  <dcterms:modified xsi:type="dcterms:W3CDTF">2020-03-16T13:39:00Z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