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54764" w:rsidP="00F54764">
            <w:pPr>
              <w:bidi w:val="0"/>
              <w:spacing w:after="20"/>
              <w:jc w:val="left"/>
              <w:rPr>
                <w:szCs w:val="20"/>
              </w:rPr>
            </w:pPr>
            <w:r w:rsidRPr="00F54764">
              <w:rPr>
                <w:sz w:val="40"/>
                <w:szCs w:val="20"/>
              </w:rPr>
              <w:t>CERD</w:t>
            </w:r>
            <w:r>
              <w:rPr>
                <w:szCs w:val="20"/>
              </w:rPr>
              <w:t>/C/MCO/CO/6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F54764" w:rsidRDefault="00F54764" w:rsidP="00F54764">
            <w:pPr>
              <w:bidi w:val="0"/>
              <w:spacing w:before="240"/>
              <w:jc w:val="left"/>
            </w:pPr>
            <w:r>
              <w:t>Distr.: General</w:t>
            </w:r>
          </w:p>
          <w:p w:rsidR="00F54764" w:rsidRDefault="00F54764" w:rsidP="00F54764">
            <w:pPr>
              <w:bidi w:val="0"/>
              <w:jc w:val="left"/>
            </w:pPr>
            <w:r>
              <w:t>26 March 2010</w:t>
            </w:r>
          </w:p>
          <w:p w:rsidR="00F54764" w:rsidRDefault="00F54764" w:rsidP="00F54764">
            <w:pPr>
              <w:bidi w:val="0"/>
              <w:jc w:val="left"/>
            </w:pPr>
            <w:r>
              <w:t>Arabic</w:t>
            </w:r>
          </w:p>
          <w:p w:rsidR="00257225" w:rsidRPr="008B4BC6" w:rsidRDefault="00F54764" w:rsidP="00F54764">
            <w:pPr>
              <w:bidi w:val="0"/>
              <w:jc w:val="left"/>
            </w:pPr>
            <w:r>
              <w:t>Original: French</w:t>
            </w:r>
          </w:p>
        </w:tc>
      </w:tr>
    </w:tbl>
    <w:p w:rsidR="008B4BC6" w:rsidRPr="00563655" w:rsidRDefault="00563655" w:rsidP="00563655">
      <w:pPr>
        <w:spacing w:before="120" w:line="380" w:lineRule="exact"/>
        <w:rPr>
          <w:rFonts w:hint="cs"/>
          <w:b/>
          <w:bCs/>
          <w:sz w:val="26"/>
          <w:szCs w:val="36"/>
          <w:rtl/>
        </w:rPr>
      </w:pPr>
      <w:r>
        <w:rPr>
          <w:rFonts w:hint="cs"/>
          <w:b/>
          <w:bCs/>
          <w:sz w:val="26"/>
          <w:szCs w:val="36"/>
          <w:rtl/>
        </w:rPr>
        <w:t>لجنة القضاء على التمييز العنصري</w:t>
      </w:r>
    </w:p>
    <w:p w:rsidR="00F54764" w:rsidRPr="00563655" w:rsidRDefault="00563655" w:rsidP="007E197F">
      <w:pPr>
        <w:spacing w:line="380" w:lineRule="exact"/>
        <w:rPr>
          <w:rFonts w:hint="cs"/>
          <w:b/>
          <w:bCs/>
          <w:rtl/>
        </w:rPr>
      </w:pPr>
      <w:r>
        <w:rPr>
          <w:rFonts w:hint="cs"/>
          <w:b/>
          <w:bCs/>
          <w:rtl/>
        </w:rPr>
        <w:t>الدورة السادسة والسبعون</w:t>
      </w:r>
    </w:p>
    <w:p w:rsidR="00C03C3F" w:rsidRPr="004C30FB" w:rsidRDefault="00C03C3F" w:rsidP="004A2922">
      <w:pPr>
        <w:spacing w:line="380" w:lineRule="exact"/>
        <w:rPr>
          <w:rFonts w:hint="cs"/>
          <w:rtl/>
        </w:rPr>
      </w:pPr>
      <w:r>
        <w:rPr>
          <w:rFonts w:hint="cs"/>
          <w:rtl/>
        </w:rPr>
        <w:t>15 شباط/فبراير - 12 آذار/مارس 2010</w:t>
      </w:r>
    </w:p>
    <w:p w:rsidR="00C03C3F" w:rsidRPr="004C30FB" w:rsidRDefault="00CF0445" w:rsidP="00CF0445">
      <w:pPr>
        <w:pStyle w:val="HChGA"/>
        <w:rPr>
          <w:rFonts w:hint="cs"/>
          <w:rtl/>
        </w:rPr>
      </w:pPr>
      <w:r>
        <w:rPr>
          <w:rFonts w:hint="cs"/>
          <w:rtl/>
        </w:rPr>
        <w:tab/>
      </w:r>
      <w:r>
        <w:rPr>
          <w:rFonts w:hint="cs"/>
          <w:rtl/>
        </w:rPr>
        <w:tab/>
      </w:r>
      <w:r w:rsidR="00C03C3F">
        <w:rPr>
          <w:rFonts w:hint="cs"/>
          <w:rtl/>
        </w:rPr>
        <w:t xml:space="preserve">النظر في التقارير المقدمة من الدول الأطراف بموجب المادة 9 </w:t>
      </w:r>
      <w:r w:rsidR="00355D18">
        <w:rPr>
          <w:rFonts w:hint="cs"/>
          <w:rtl/>
        </w:rPr>
        <w:t xml:space="preserve">            </w:t>
      </w:r>
      <w:r w:rsidR="00C03C3F">
        <w:rPr>
          <w:rFonts w:hint="cs"/>
          <w:rtl/>
        </w:rPr>
        <w:t>من الاتفاقية</w:t>
      </w:r>
    </w:p>
    <w:p w:rsidR="00C03C3F" w:rsidRDefault="00A95767" w:rsidP="008F3A18">
      <w:pPr>
        <w:pStyle w:val="HChGA"/>
        <w:rPr>
          <w:rFonts w:hint="cs"/>
          <w:rtl/>
        </w:rPr>
      </w:pPr>
      <w:r>
        <w:rPr>
          <w:rFonts w:hint="cs"/>
          <w:rtl/>
        </w:rPr>
        <w:tab/>
      </w:r>
      <w:r>
        <w:rPr>
          <w:rFonts w:hint="cs"/>
          <w:rtl/>
        </w:rPr>
        <w:tab/>
      </w:r>
      <w:r w:rsidR="00C03C3F" w:rsidRPr="004C30FB">
        <w:rPr>
          <w:rFonts w:hint="cs"/>
          <w:rtl/>
        </w:rPr>
        <w:t>الملاحظات الختامية</w:t>
      </w:r>
      <w:r w:rsidR="00C03C3F">
        <w:rPr>
          <w:rFonts w:hint="cs"/>
          <w:rtl/>
        </w:rPr>
        <w:t xml:space="preserve"> للجنة القضاء على التمييز العنصري</w:t>
      </w:r>
    </w:p>
    <w:p w:rsidR="00C03C3F" w:rsidRPr="004C30FB" w:rsidRDefault="00802C9E" w:rsidP="008F3A18">
      <w:pPr>
        <w:pStyle w:val="H1GA"/>
        <w:rPr>
          <w:rFonts w:hint="cs"/>
          <w:rtl/>
        </w:rPr>
      </w:pPr>
      <w:r>
        <w:rPr>
          <w:rFonts w:hint="cs"/>
          <w:rtl/>
        </w:rPr>
        <w:tab/>
      </w:r>
      <w:r>
        <w:rPr>
          <w:rFonts w:hint="cs"/>
          <w:rtl/>
        </w:rPr>
        <w:tab/>
      </w:r>
      <w:r w:rsidR="00C03C3F">
        <w:rPr>
          <w:rFonts w:hint="cs"/>
          <w:rtl/>
        </w:rPr>
        <w:t>موناكو</w:t>
      </w:r>
    </w:p>
    <w:p w:rsidR="00C03C3F" w:rsidRDefault="00C03C3F" w:rsidP="00991B98">
      <w:pPr>
        <w:pStyle w:val="SingleTxtGA"/>
        <w:rPr>
          <w:rFonts w:hint="cs"/>
          <w:rtl/>
        </w:rPr>
      </w:pPr>
      <w:r>
        <w:rPr>
          <w:rFonts w:hint="cs"/>
          <w:rtl/>
        </w:rPr>
        <w:t>1-</w:t>
      </w:r>
      <w:r>
        <w:rPr>
          <w:rFonts w:hint="cs"/>
          <w:rtl/>
        </w:rPr>
        <w:tab/>
        <w:t xml:space="preserve">نظرت لجنة القضاء على التمييز العنصري في التقارير الدورية من الأول إلى السادس لموناكو </w:t>
      </w:r>
      <w:r>
        <w:t>(CERD/C/MCO/6)</w:t>
      </w:r>
      <w:r>
        <w:rPr>
          <w:rFonts w:hint="cs"/>
          <w:rtl/>
        </w:rPr>
        <w:t xml:space="preserve">، المقدمة في وثيقة واحدة، في جلستيها 1973 و1974 </w:t>
      </w:r>
      <w:r>
        <w:t>CERD/C/SR.1973)</w:t>
      </w:r>
      <w:r>
        <w:rPr>
          <w:rFonts w:hint="cs"/>
          <w:rtl/>
        </w:rPr>
        <w:t xml:space="preserve"> و</w:t>
      </w:r>
      <w:r>
        <w:t>SR.1974</w:t>
      </w:r>
      <w:r>
        <w:rPr>
          <w:rFonts w:hint="cs"/>
          <w:rtl/>
        </w:rPr>
        <w:t>)، المعقودتين في 15 و16 شباط/فبراير 2010. واعتمدت اللجنة في جلستيها 1997 و1998</w:t>
      </w:r>
      <w:r>
        <w:t>CERD/C/SR.1997)</w:t>
      </w:r>
      <w:r>
        <w:rPr>
          <w:rFonts w:hint="cs"/>
          <w:rtl/>
        </w:rPr>
        <w:t xml:space="preserve"> و</w:t>
      </w:r>
      <w:r>
        <w:t>SR.1998</w:t>
      </w:r>
      <w:r>
        <w:rPr>
          <w:rFonts w:hint="cs"/>
          <w:rtl/>
        </w:rPr>
        <w:t>)، المعقودتين في 3 و4 آذار/مارس 2010 الملاحظات الختامية التالية.</w:t>
      </w:r>
    </w:p>
    <w:p w:rsidR="00C03C3F" w:rsidRDefault="00991B98" w:rsidP="00991B98">
      <w:pPr>
        <w:pStyle w:val="H1GA"/>
        <w:rPr>
          <w:lang w:val="fr-CH"/>
        </w:rPr>
      </w:pPr>
      <w:r>
        <w:rPr>
          <w:rFonts w:hint="cs"/>
          <w:rtl/>
          <w:lang w:val="fr-CH"/>
        </w:rPr>
        <w:tab/>
      </w:r>
      <w:r w:rsidR="00C03C3F">
        <w:rPr>
          <w:rFonts w:hint="cs"/>
          <w:rtl/>
          <w:lang w:val="fr-CH"/>
        </w:rPr>
        <w:t>ألف -</w:t>
      </w:r>
      <w:r w:rsidR="00C03C3F">
        <w:rPr>
          <w:rFonts w:hint="cs"/>
          <w:rtl/>
          <w:lang w:val="fr-CH"/>
        </w:rPr>
        <w:tab/>
        <w:t xml:space="preserve">مقدمة </w:t>
      </w:r>
    </w:p>
    <w:p w:rsidR="00C03C3F" w:rsidRDefault="00C03C3F" w:rsidP="00D52968">
      <w:pPr>
        <w:pStyle w:val="SingleTxtGA"/>
        <w:rPr>
          <w:rFonts w:hint="cs"/>
          <w:rtl/>
        </w:rPr>
      </w:pPr>
      <w:r>
        <w:rPr>
          <w:rFonts w:hint="cs"/>
          <w:rtl/>
          <w:lang w:val="fr-CH"/>
        </w:rPr>
        <w:t>2-</w:t>
      </w:r>
      <w:r>
        <w:rPr>
          <w:rFonts w:hint="cs"/>
          <w:rtl/>
          <w:lang w:val="fr-CH"/>
        </w:rPr>
        <w:tab/>
        <w:t>ترحب اللجنة بتقديم الدولة الطرف تقريرها وفقاً للمبادئ التوجيهية لإعداد التقارير، كما ترحب بالردود الكتابية على قائمة المسائل (</w:t>
      </w:r>
      <w:r>
        <w:t>CERD/C/MCO/Q/6</w:t>
      </w:r>
      <w:r>
        <w:rPr>
          <w:rFonts w:hint="cs"/>
          <w:rtl/>
        </w:rPr>
        <w:t xml:space="preserve"> و</w:t>
      </w:r>
      <w:r>
        <w:t>Add.1</w:t>
      </w:r>
      <w:r>
        <w:rPr>
          <w:rFonts w:hint="cs"/>
          <w:rtl/>
        </w:rPr>
        <w:t>). وبالإضافة إلى ذلك، تعرب اللجنة عن ارتياحها للتوضيحات التي قدمها الوفد شفويا</w:t>
      </w:r>
      <w:r w:rsidR="007E6F6F">
        <w:rPr>
          <w:rFonts w:hint="cs"/>
          <w:rtl/>
        </w:rPr>
        <w:t>ً رداً</w:t>
      </w:r>
      <w:r>
        <w:rPr>
          <w:rFonts w:hint="cs"/>
          <w:rtl/>
        </w:rPr>
        <w:t xml:space="preserve"> على الأسئلة التي طرحتها اللجنة </w:t>
      </w:r>
      <w:r w:rsidR="00A2405A">
        <w:rPr>
          <w:rFonts w:hint="cs"/>
          <w:rtl/>
        </w:rPr>
        <w:t>ول</w:t>
      </w:r>
      <w:r>
        <w:rPr>
          <w:rFonts w:hint="cs"/>
          <w:rtl/>
        </w:rPr>
        <w:t xml:space="preserve">لحوار المفتوح والبناء الذي تمكنت من إجرائه مع الوفد. بيد أن اللجنة تشير إلى تأخّر الدولة الطرف في تقديم تقريرها لفترة اثنتي عشرة سنة وتدعوها مستقبلاً إلى </w:t>
      </w:r>
      <w:r w:rsidR="00D52968">
        <w:rPr>
          <w:rFonts w:hint="cs"/>
          <w:rtl/>
        </w:rPr>
        <w:t>التقيد</w:t>
      </w:r>
      <w:r>
        <w:rPr>
          <w:rFonts w:hint="cs"/>
          <w:rtl/>
        </w:rPr>
        <w:t xml:space="preserve"> </w:t>
      </w:r>
      <w:r w:rsidR="00D52968">
        <w:rPr>
          <w:rFonts w:hint="cs"/>
          <w:rtl/>
        </w:rPr>
        <w:t>ب</w:t>
      </w:r>
      <w:r>
        <w:rPr>
          <w:rFonts w:hint="cs"/>
          <w:rtl/>
        </w:rPr>
        <w:t>دورية تقديم التقارير التي وضعتها اللجنة وفقاً لاتفاقية القضاء على جميع أشكال التمييز العنصري ("الاتفاقية").</w:t>
      </w:r>
    </w:p>
    <w:p w:rsidR="00C03C3F" w:rsidRDefault="0022601A" w:rsidP="0022601A">
      <w:pPr>
        <w:pStyle w:val="H1GA"/>
        <w:rPr>
          <w:rFonts w:hint="cs"/>
          <w:rtl/>
        </w:rPr>
      </w:pPr>
      <w:r>
        <w:rPr>
          <w:rFonts w:hint="cs"/>
          <w:rtl/>
        </w:rPr>
        <w:tab/>
      </w:r>
      <w:r w:rsidR="00715D53">
        <w:rPr>
          <w:rFonts w:hint="cs"/>
          <w:rtl/>
        </w:rPr>
        <w:t>ب</w:t>
      </w:r>
      <w:r w:rsidR="00C03C3F">
        <w:rPr>
          <w:rFonts w:hint="cs"/>
          <w:rtl/>
        </w:rPr>
        <w:t>اء -</w:t>
      </w:r>
      <w:r w:rsidR="00C03C3F">
        <w:rPr>
          <w:rFonts w:hint="cs"/>
          <w:rtl/>
        </w:rPr>
        <w:tab/>
        <w:t>الجوانب الإيجابية</w:t>
      </w:r>
    </w:p>
    <w:p w:rsidR="00C03C3F" w:rsidRDefault="00C03C3F" w:rsidP="006A21EB">
      <w:pPr>
        <w:pStyle w:val="SingleTxtGA"/>
        <w:rPr>
          <w:rFonts w:hint="cs"/>
          <w:rtl/>
        </w:rPr>
      </w:pPr>
      <w:r>
        <w:rPr>
          <w:rFonts w:hint="cs"/>
          <w:rtl/>
        </w:rPr>
        <w:t>3-</w:t>
      </w:r>
      <w:r>
        <w:rPr>
          <w:rFonts w:hint="cs"/>
          <w:rtl/>
        </w:rPr>
        <w:tab/>
        <w:t xml:space="preserve">ترحب اللجنة بمبادرة الدولة الطرف إلى إجراء حوار مع اللجنة، </w:t>
      </w:r>
      <w:r w:rsidR="006A21EB">
        <w:rPr>
          <w:rFonts w:hint="cs"/>
          <w:rtl/>
        </w:rPr>
        <w:t>وبتمسكها</w:t>
      </w:r>
      <w:r>
        <w:rPr>
          <w:rFonts w:hint="cs"/>
          <w:rtl/>
        </w:rPr>
        <w:t xml:space="preserve"> بالمنظمات الدولية و</w:t>
      </w:r>
      <w:r w:rsidR="006A21EB">
        <w:rPr>
          <w:rFonts w:hint="cs"/>
          <w:rtl/>
        </w:rPr>
        <w:t xml:space="preserve">تجديد </w:t>
      </w:r>
      <w:r>
        <w:rPr>
          <w:rFonts w:hint="cs"/>
          <w:rtl/>
        </w:rPr>
        <w:t>دعمها لها.</w:t>
      </w:r>
    </w:p>
    <w:p w:rsidR="00C03C3F" w:rsidRDefault="00C03C3F" w:rsidP="00836F26">
      <w:pPr>
        <w:pStyle w:val="SingleTxtGA"/>
        <w:rPr>
          <w:rFonts w:hint="cs"/>
          <w:rtl/>
        </w:rPr>
      </w:pPr>
      <w:r>
        <w:rPr>
          <w:rFonts w:hint="cs"/>
          <w:rtl/>
        </w:rPr>
        <w:t>4-</w:t>
      </w:r>
      <w:r>
        <w:rPr>
          <w:rFonts w:hint="cs"/>
          <w:rtl/>
        </w:rPr>
        <w:tab/>
        <w:t xml:space="preserve">وتلاحظ اللجنة كذلك مع الارتياح أن الدولة الطرف قد أصدرت في 6 </w:t>
      </w:r>
      <w:r>
        <w:rPr>
          <w:rFonts w:hint="cs"/>
          <w:sz w:val="30"/>
          <w:rtl/>
        </w:rPr>
        <w:t xml:space="preserve">تشرين الثاني/نوفمبر </w:t>
      </w:r>
      <w:r>
        <w:rPr>
          <w:rFonts w:hint="cs"/>
          <w:rtl/>
        </w:rPr>
        <w:t xml:space="preserve">2001 الإعلان الذي تنص عليه المادة 14 من الاتفاقية. </w:t>
      </w:r>
    </w:p>
    <w:p w:rsidR="00C03C3F" w:rsidRDefault="00C03C3F" w:rsidP="00836F26">
      <w:pPr>
        <w:pStyle w:val="SingleTxtGA"/>
        <w:rPr>
          <w:rFonts w:hint="cs"/>
          <w:rtl/>
        </w:rPr>
      </w:pPr>
      <w:r>
        <w:rPr>
          <w:rFonts w:hint="cs"/>
          <w:rtl/>
        </w:rPr>
        <w:t>5-</w:t>
      </w:r>
      <w:r>
        <w:rPr>
          <w:rFonts w:hint="cs"/>
          <w:rtl/>
        </w:rPr>
        <w:tab/>
        <w:t>وترحب اللجنة باعتماد الدولة الطرف</w:t>
      </w:r>
      <w:r w:rsidR="00836F26">
        <w:rPr>
          <w:rFonts w:hint="cs"/>
          <w:rtl/>
        </w:rPr>
        <w:t xml:space="preserve"> القانونين التاليين</w:t>
      </w:r>
      <w:r>
        <w:rPr>
          <w:rFonts w:hint="cs"/>
          <w:rtl/>
        </w:rPr>
        <w:t>:</w:t>
      </w:r>
    </w:p>
    <w:p w:rsidR="00C03C3F" w:rsidRDefault="00C03C3F" w:rsidP="008471B8">
      <w:pPr>
        <w:pStyle w:val="SingleTxtGA"/>
        <w:rPr>
          <w:rFonts w:hint="cs"/>
          <w:rtl/>
        </w:rPr>
      </w:pPr>
      <w:r>
        <w:rPr>
          <w:rFonts w:hint="cs"/>
          <w:rtl/>
        </w:rPr>
        <w:tab/>
        <w:t>(أ)</w:t>
      </w:r>
      <w:r>
        <w:rPr>
          <w:rFonts w:hint="cs"/>
          <w:rtl/>
        </w:rPr>
        <w:tab/>
        <w:t xml:space="preserve">القانون رقم </w:t>
      </w:r>
      <w:r w:rsidR="008471B8">
        <w:rPr>
          <w:rFonts w:hint="cs"/>
          <w:rtl/>
        </w:rPr>
        <w:t xml:space="preserve">1299 </w:t>
      </w:r>
      <w:r>
        <w:rPr>
          <w:rFonts w:hint="cs"/>
          <w:rtl/>
        </w:rPr>
        <w:t xml:space="preserve">المؤرخ 15 </w:t>
      </w:r>
      <w:r>
        <w:rPr>
          <w:rFonts w:hint="cs"/>
          <w:sz w:val="30"/>
          <w:rtl/>
        </w:rPr>
        <w:t xml:space="preserve">تموز/يوليه </w:t>
      </w:r>
      <w:r>
        <w:rPr>
          <w:rFonts w:hint="cs"/>
          <w:rtl/>
        </w:rPr>
        <w:t>2005 المتعلق بحرية التعبير العام الذي يعاقب على التحريض على الكراهية وكذلك على العنف ذي الطابع العنصري؛</w:t>
      </w:r>
    </w:p>
    <w:p w:rsidR="00C03C3F" w:rsidRDefault="00C03C3F" w:rsidP="008471B8">
      <w:pPr>
        <w:pStyle w:val="SingleTxtGA"/>
        <w:rPr>
          <w:rFonts w:hint="cs"/>
          <w:rtl/>
        </w:rPr>
      </w:pPr>
      <w:r>
        <w:rPr>
          <w:rFonts w:hint="cs"/>
          <w:rtl/>
        </w:rPr>
        <w:tab/>
        <w:t>(ب)</w:t>
      </w:r>
      <w:r>
        <w:rPr>
          <w:rFonts w:hint="cs"/>
          <w:rtl/>
        </w:rPr>
        <w:tab/>
        <w:t xml:space="preserve">القانون رقم </w:t>
      </w:r>
      <w:r w:rsidR="008471B8">
        <w:rPr>
          <w:rFonts w:hint="cs"/>
          <w:rtl/>
        </w:rPr>
        <w:t>1</w:t>
      </w:r>
      <w:r>
        <w:rPr>
          <w:rFonts w:hint="cs"/>
          <w:rtl/>
        </w:rPr>
        <w:t xml:space="preserve">353 المؤرخ 4 </w:t>
      </w:r>
      <w:r>
        <w:rPr>
          <w:rFonts w:hint="cs"/>
          <w:sz w:val="30"/>
          <w:rtl/>
        </w:rPr>
        <w:t xml:space="preserve">كانون الأول/ديسمبر </w:t>
      </w:r>
      <w:r>
        <w:rPr>
          <w:rFonts w:hint="cs"/>
          <w:rtl/>
        </w:rPr>
        <w:t xml:space="preserve">2008 الذي يعدل القانون </w:t>
      </w:r>
      <w:r w:rsidR="008471B8">
        <w:rPr>
          <w:rFonts w:hint="cs"/>
          <w:rtl/>
        </w:rPr>
        <w:t>11</w:t>
      </w:r>
      <w:r>
        <w:rPr>
          <w:rFonts w:hint="cs"/>
          <w:rtl/>
        </w:rPr>
        <w:t xml:space="preserve">65 المؤرخ 23 </w:t>
      </w:r>
      <w:r>
        <w:rPr>
          <w:rFonts w:hint="cs"/>
          <w:sz w:val="30"/>
          <w:rtl/>
        </w:rPr>
        <w:t xml:space="preserve">كانون الأول/ديسمبر </w:t>
      </w:r>
      <w:r>
        <w:rPr>
          <w:rFonts w:hint="cs"/>
          <w:rtl/>
        </w:rPr>
        <w:t xml:space="preserve">1993 </w:t>
      </w:r>
      <w:r w:rsidR="00BF7687">
        <w:rPr>
          <w:rFonts w:hint="cs"/>
          <w:rtl/>
        </w:rPr>
        <w:t xml:space="preserve">بشأن تنظيم </w:t>
      </w:r>
      <w:r>
        <w:rPr>
          <w:rFonts w:hint="cs"/>
          <w:rtl/>
        </w:rPr>
        <w:t xml:space="preserve">معالجة المعلومات الإسمية، </w:t>
      </w:r>
      <w:r w:rsidR="00A14C69">
        <w:rPr>
          <w:rFonts w:hint="cs"/>
          <w:rtl/>
        </w:rPr>
        <w:t>و</w:t>
      </w:r>
      <w:r>
        <w:rPr>
          <w:rFonts w:hint="cs"/>
          <w:rtl/>
        </w:rPr>
        <w:t>الذي يحظر معالجة أي معلومات تتضمن بيانات ذات طابع عرقي أو إثني ويعاقب عليها، باستثناء موافقة الشخص المعني على ذلك موافقة كتابية صريحة.</w:t>
      </w:r>
    </w:p>
    <w:p w:rsidR="00C03C3F" w:rsidRDefault="00BF09D4" w:rsidP="00BF09D4">
      <w:pPr>
        <w:pStyle w:val="H1GA"/>
        <w:rPr>
          <w:rFonts w:hint="cs"/>
          <w:rtl/>
        </w:rPr>
      </w:pPr>
      <w:r>
        <w:rPr>
          <w:rFonts w:hint="cs"/>
          <w:rtl/>
        </w:rPr>
        <w:tab/>
      </w:r>
      <w:r w:rsidR="00C03C3F">
        <w:rPr>
          <w:rFonts w:hint="cs"/>
          <w:rtl/>
        </w:rPr>
        <w:t>جيم -</w:t>
      </w:r>
      <w:r w:rsidR="00C03C3F">
        <w:rPr>
          <w:rFonts w:hint="cs"/>
          <w:rtl/>
        </w:rPr>
        <w:tab/>
        <w:t>دواعي القلق والتوصيات</w:t>
      </w:r>
    </w:p>
    <w:p w:rsidR="00C03C3F" w:rsidRDefault="00C03C3F" w:rsidP="008C5B15">
      <w:pPr>
        <w:pStyle w:val="SingleTxtGA"/>
        <w:rPr>
          <w:rFonts w:hint="cs"/>
          <w:rtl/>
        </w:rPr>
      </w:pPr>
      <w:r>
        <w:rPr>
          <w:rFonts w:hint="cs"/>
          <w:rtl/>
        </w:rPr>
        <w:t>6-</w:t>
      </w:r>
      <w:r>
        <w:rPr>
          <w:rFonts w:hint="cs"/>
          <w:rtl/>
        </w:rPr>
        <w:tab/>
        <w:t xml:space="preserve">تحيط اللجنة علماً بالمعلومات التي قدمتها الدولة الطرف بشأن تبويب السكان الذين يقيمون في أراضيها وإجمالي عدد المواطنين وغير المواطنين حسب الجنسية </w:t>
      </w:r>
      <w:r w:rsidR="008C5B15">
        <w:rPr>
          <w:rFonts w:hint="cs"/>
          <w:rtl/>
        </w:rPr>
        <w:t>و</w:t>
      </w:r>
      <w:r>
        <w:rPr>
          <w:rFonts w:hint="cs"/>
          <w:rtl/>
        </w:rPr>
        <w:t xml:space="preserve">الجنس، بيد أنها تلاحظ أن تقرير الدولة الطرف لا يتضمن أي بيانات إحصائية بشأن التركيب الإثني لسكانها أو </w:t>
      </w:r>
      <w:r w:rsidR="008C5B15">
        <w:rPr>
          <w:rFonts w:hint="cs"/>
          <w:rtl/>
        </w:rPr>
        <w:t xml:space="preserve">بشأن </w:t>
      </w:r>
      <w:r>
        <w:rPr>
          <w:rFonts w:hint="cs"/>
          <w:rtl/>
        </w:rPr>
        <w:t>الوضع الاقتصادي والاجتماعي لمختلف الشرائح التي يتألف منها السكان.</w:t>
      </w:r>
    </w:p>
    <w:p w:rsidR="00C03C3F" w:rsidRPr="00191AB2" w:rsidRDefault="00BD5AAC" w:rsidP="00BD5AAC">
      <w:pPr>
        <w:pStyle w:val="SingleTxtGA"/>
        <w:ind w:left="1928" w:hanging="1928"/>
        <w:rPr>
          <w:rFonts w:hint="cs"/>
          <w:b/>
          <w:bCs/>
          <w:spacing w:val="-2"/>
          <w:rtl/>
        </w:rPr>
      </w:pPr>
      <w:r>
        <w:rPr>
          <w:rFonts w:hint="cs"/>
          <w:b/>
          <w:bCs/>
          <w:rtl/>
        </w:rPr>
        <w:tab/>
      </w:r>
      <w:r w:rsidR="00C03C3F" w:rsidRPr="00191AB2">
        <w:rPr>
          <w:rFonts w:hint="cs"/>
          <w:b/>
          <w:bCs/>
          <w:spacing w:val="-2"/>
          <w:rtl/>
        </w:rPr>
        <w:t>وفقاً للفقرات من 10 إلى 12 من توجيهات اللجنة المعدلة لإعداد التقارير الدورية (</w:t>
      </w:r>
      <w:r w:rsidR="00C03C3F" w:rsidRPr="00191AB2">
        <w:rPr>
          <w:b/>
          <w:bCs/>
          <w:spacing w:val="-2"/>
        </w:rPr>
        <w:t>CERD/D/2007/1</w:t>
      </w:r>
      <w:r w:rsidR="00C03C3F" w:rsidRPr="00191AB2">
        <w:rPr>
          <w:rFonts w:hint="cs"/>
          <w:b/>
          <w:bCs/>
          <w:spacing w:val="-2"/>
          <w:rtl/>
        </w:rPr>
        <w:t xml:space="preserve">)، توصي اللجنة الدولة الطرف بمدها بمعلومات </w:t>
      </w:r>
      <w:r w:rsidR="00F90D6E" w:rsidRPr="00191AB2">
        <w:rPr>
          <w:rFonts w:hint="cs"/>
          <w:b/>
          <w:bCs/>
          <w:spacing w:val="-2"/>
          <w:rtl/>
        </w:rPr>
        <w:t xml:space="preserve">عن </w:t>
      </w:r>
      <w:r w:rsidR="00C03C3F" w:rsidRPr="00191AB2">
        <w:rPr>
          <w:rFonts w:hint="cs"/>
          <w:b/>
          <w:bCs/>
          <w:spacing w:val="-2"/>
          <w:rtl/>
        </w:rPr>
        <w:t xml:space="preserve">تركيب سكانها، مبوّبة حسب الأصل القومي والعرقي، </w:t>
      </w:r>
      <w:r w:rsidR="00F90D6E" w:rsidRPr="00191AB2">
        <w:rPr>
          <w:rFonts w:hint="cs"/>
          <w:b/>
          <w:bCs/>
          <w:spacing w:val="-2"/>
          <w:rtl/>
        </w:rPr>
        <w:t>و</w:t>
      </w:r>
      <w:r w:rsidR="00C03C3F" w:rsidRPr="00191AB2">
        <w:rPr>
          <w:rFonts w:hint="cs"/>
          <w:b/>
          <w:bCs/>
          <w:spacing w:val="-2"/>
          <w:rtl/>
        </w:rPr>
        <w:t xml:space="preserve">بيانات إحصائية </w:t>
      </w:r>
      <w:r w:rsidR="00F90D6E" w:rsidRPr="00191AB2">
        <w:rPr>
          <w:rFonts w:hint="cs"/>
          <w:b/>
          <w:bCs/>
          <w:spacing w:val="-2"/>
          <w:rtl/>
        </w:rPr>
        <w:t xml:space="preserve">عن </w:t>
      </w:r>
      <w:r w:rsidR="00C03C3F" w:rsidRPr="00191AB2">
        <w:rPr>
          <w:rFonts w:hint="cs"/>
          <w:b/>
          <w:bCs/>
          <w:spacing w:val="-2"/>
          <w:rtl/>
        </w:rPr>
        <w:t>الحالة الاقتصادية والاجتماعية لمختلف الشرائح، بغية التمكن من تقييم وضعها على المستويات الاقتصادية والاجتماعية والثقافية وكذلك تقييم مستوى حماية حقوقها.</w:t>
      </w:r>
    </w:p>
    <w:p w:rsidR="00C03C3F" w:rsidRDefault="00C03C3F" w:rsidP="00C13D2C">
      <w:pPr>
        <w:pStyle w:val="SingleTxtGA"/>
        <w:rPr>
          <w:rFonts w:hint="cs"/>
          <w:rtl/>
        </w:rPr>
      </w:pPr>
      <w:r>
        <w:rPr>
          <w:rFonts w:hint="cs"/>
          <w:rtl/>
        </w:rPr>
        <w:t>7-</w:t>
      </w:r>
      <w:r>
        <w:rPr>
          <w:rFonts w:hint="cs"/>
          <w:rtl/>
        </w:rPr>
        <w:tab/>
        <w:t>ويساور اللجنة القلق إزاء تمسّك الدولة الطرف بتحفظاتها على الفقرة 1 من المادة 2 وعلى المادة 4 من الاتفاقية.</w:t>
      </w:r>
    </w:p>
    <w:p w:rsidR="00C03C3F" w:rsidRPr="00C13D2C" w:rsidRDefault="0034594A" w:rsidP="0034594A">
      <w:pPr>
        <w:pStyle w:val="SingleTxtGA"/>
        <w:ind w:left="1928" w:hanging="1928"/>
        <w:rPr>
          <w:rFonts w:hint="cs"/>
          <w:b/>
          <w:bCs/>
          <w:rtl/>
        </w:rPr>
      </w:pPr>
      <w:r>
        <w:rPr>
          <w:rFonts w:hint="cs"/>
          <w:b/>
          <w:bCs/>
          <w:rtl/>
        </w:rPr>
        <w:tab/>
      </w:r>
      <w:r w:rsidR="00C03C3F" w:rsidRPr="00C13D2C">
        <w:rPr>
          <w:rFonts w:hint="cs"/>
          <w:b/>
          <w:bCs/>
          <w:rtl/>
        </w:rPr>
        <w:t xml:space="preserve">توصي اللجنة الدولة الطرف بالنظر في سحب تحفظاتها على الفقرة 1 من </w:t>
      </w:r>
      <w:r w:rsidR="002C7341">
        <w:rPr>
          <w:rFonts w:hint="cs"/>
          <w:b/>
          <w:bCs/>
          <w:rtl/>
        </w:rPr>
        <w:t xml:space="preserve">    </w:t>
      </w:r>
      <w:r w:rsidR="00C03C3F" w:rsidRPr="00C13D2C">
        <w:rPr>
          <w:rFonts w:hint="cs"/>
          <w:b/>
          <w:bCs/>
          <w:rtl/>
        </w:rPr>
        <w:t>المادة 2 وعلى المادة 4 من الاتفاقية، بالنظر إلى تطور تشريعها منذ التصديق على الاتفاقية (المادة 1).</w:t>
      </w:r>
    </w:p>
    <w:p w:rsidR="00C03C3F" w:rsidRDefault="00C03C3F" w:rsidP="005B1F5E">
      <w:pPr>
        <w:pStyle w:val="SingleTxtGA"/>
        <w:rPr>
          <w:rFonts w:hint="cs"/>
          <w:rtl/>
        </w:rPr>
      </w:pPr>
      <w:r>
        <w:rPr>
          <w:rFonts w:hint="cs"/>
          <w:rtl/>
        </w:rPr>
        <w:t>8-</w:t>
      </w:r>
      <w:r>
        <w:rPr>
          <w:rFonts w:hint="cs"/>
          <w:rtl/>
        </w:rPr>
        <w:tab/>
        <w:t xml:space="preserve">وتلاحظ اللجنة </w:t>
      </w:r>
      <w:r w:rsidR="005B1F5E">
        <w:rPr>
          <w:rFonts w:hint="cs"/>
          <w:rtl/>
        </w:rPr>
        <w:t>أن ال</w:t>
      </w:r>
      <w:r>
        <w:rPr>
          <w:rFonts w:hint="cs"/>
          <w:rtl/>
        </w:rPr>
        <w:t>كثير من مشاريع القوانين التي ترمي بعض أحكامها إلى منع التمييز العنصري ومكافحته، لا تزال قيد الدراسة أو النظر.</w:t>
      </w:r>
    </w:p>
    <w:p w:rsidR="00C03C3F" w:rsidRPr="00191AB2" w:rsidRDefault="0034594A" w:rsidP="0034594A">
      <w:pPr>
        <w:pStyle w:val="SingleTxtGA"/>
        <w:ind w:left="1928" w:hanging="1928"/>
        <w:rPr>
          <w:rFonts w:hint="cs"/>
          <w:b/>
          <w:bCs/>
          <w:spacing w:val="-2"/>
          <w:rtl/>
        </w:rPr>
      </w:pPr>
      <w:r>
        <w:rPr>
          <w:rFonts w:hint="cs"/>
          <w:b/>
          <w:bCs/>
          <w:rtl/>
        </w:rPr>
        <w:tab/>
      </w:r>
      <w:r w:rsidR="00C03C3F" w:rsidRPr="00191AB2">
        <w:rPr>
          <w:rFonts w:hint="cs"/>
          <w:b/>
          <w:bCs/>
          <w:spacing w:val="-2"/>
          <w:rtl/>
        </w:rPr>
        <w:t xml:space="preserve">توصي اللجنة الدولة الطرف بالإسراع في النظر في مشاريع القوانين هذه واعتمادها من أجل تنفيذ أحكام الاتفاقية تنفيذاً كاملاً، ولا سيما المشروع رقم 818 المتعلق </w:t>
      </w:r>
      <w:r w:rsidR="00896A1D" w:rsidRPr="00191AB2">
        <w:rPr>
          <w:rFonts w:hint="cs"/>
          <w:b/>
          <w:bCs/>
          <w:spacing w:val="-2"/>
          <w:rtl/>
        </w:rPr>
        <w:t>بالجرائم</w:t>
      </w:r>
      <w:r w:rsidR="00C03C3F" w:rsidRPr="00191AB2">
        <w:rPr>
          <w:rFonts w:hint="cs"/>
          <w:b/>
          <w:bCs/>
          <w:spacing w:val="-2"/>
          <w:rtl/>
        </w:rPr>
        <w:t xml:space="preserve"> الخاصة بنظم المعلومات، الذي ينص على </w:t>
      </w:r>
      <w:r w:rsidR="00896A1D" w:rsidRPr="00191AB2">
        <w:rPr>
          <w:rFonts w:hint="cs"/>
          <w:b/>
          <w:bCs/>
          <w:spacing w:val="-2"/>
          <w:rtl/>
        </w:rPr>
        <w:t xml:space="preserve">ظرف مشدد لجرم </w:t>
      </w:r>
      <w:r w:rsidR="00C03C3F" w:rsidRPr="00191AB2">
        <w:rPr>
          <w:rFonts w:hint="cs"/>
          <w:b/>
          <w:bCs/>
          <w:spacing w:val="-2"/>
          <w:rtl/>
        </w:rPr>
        <w:t xml:space="preserve">التهديد عن طريق شبكة اتصالات سلكية ولاسلكية عندما </w:t>
      </w:r>
      <w:r w:rsidR="005A7DA5" w:rsidRPr="00191AB2">
        <w:rPr>
          <w:rFonts w:hint="cs"/>
          <w:b/>
          <w:bCs/>
          <w:spacing w:val="-2"/>
          <w:rtl/>
        </w:rPr>
        <w:t>ي</w:t>
      </w:r>
      <w:r w:rsidR="00C03C3F" w:rsidRPr="00191AB2">
        <w:rPr>
          <w:rFonts w:hint="cs"/>
          <w:b/>
          <w:bCs/>
          <w:spacing w:val="-2"/>
          <w:rtl/>
        </w:rPr>
        <w:t xml:space="preserve">كون </w:t>
      </w:r>
      <w:r w:rsidR="005A7DA5" w:rsidRPr="00191AB2">
        <w:rPr>
          <w:rFonts w:hint="cs"/>
          <w:b/>
          <w:bCs/>
          <w:spacing w:val="-2"/>
          <w:rtl/>
        </w:rPr>
        <w:t xml:space="preserve">هذا الجرم مرتكباً بدافع </w:t>
      </w:r>
      <w:r w:rsidR="00C03C3F" w:rsidRPr="00191AB2">
        <w:rPr>
          <w:rFonts w:hint="cs"/>
          <w:b/>
          <w:bCs/>
          <w:spacing w:val="-2"/>
          <w:rtl/>
        </w:rPr>
        <w:t>العرق أو الدين</w:t>
      </w:r>
      <w:r w:rsidR="005A7DA5" w:rsidRPr="00191AB2">
        <w:rPr>
          <w:rFonts w:hint="cs"/>
          <w:b/>
          <w:bCs/>
          <w:spacing w:val="-2"/>
          <w:rtl/>
        </w:rPr>
        <w:t>،</w:t>
      </w:r>
      <w:r w:rsidR="00C03C3F" w:rsidRPr="00191AB2">
        <w:rPr>
          <w:rFonts w:hint="cs"/>
          <w:b/>
          <w:bCs/>
          <w:spacing w:val="-2"/>
          <w:rtl/>
        </w:rPr>
        <w:t xml:space="preserve"> ومشروع القانون المتعلق </w:t>
      </w:r>
      <w:r w:rsidR="00D60FFB" w:rsidRPr="00191AB2">
        <w:rPr>
          <w:rFonts w:hint="cs"/>
          <w:b/>
          <w:bCs/>
          <w:spacing w:val="-2"/>
          <w:rtl/>
        </w:rPr>
        <w:t xml:space="preserve">بالرياضة </w:t>
      </w:r>
      <w:r w:rsidR="00C03C3F" w:rsidRPr="00191AB2">
        <w:rPr>
          <w:rFonts w:hint="cs"/>
          <w:b/>
          <w:bCs/>
          <w:spacing w:val="-2"/>
          <w:rtl/>
        </w:rPr>
        <w:t>الذي يهدف إلى مكافحة التعصب أثناء التظاهرات الرياضية. وتوصي اللجنة الدولة الطرف كذلك بإبلاغها في تقريرها القادم بأحكام مشاريع القوانين هذه المتعلقة بالتمييز العنصري.</w:t>
      </w:r>
    </w:p>
    <w:p w:rsidR="00C03C3F" w:rsidRDefault="00C03C3F" w:rsidP="008112AC">
      <w:pPr>
        <w:pStyle w:val="SingleTxtGA"/>
        <w:rPr>
          <w:rFonts w:hint="cs"/>
          <w:rtl/>
        </w:rPr>
      </w:pPr>
      <w:r>
        <w:rPr>
          <w:rFonts w:hint="cs"/>
          <w:rtl/>
        </w:rPr>
        <w:t>9-</w:t>
      </w:r>
      <w:r>
        <w:rPr>
          <w:rFonts w:hint="cs"/>
          <w:rtl/>
        </w:rPr>
        <w:tab/>
        <w:t xml:space="preserve">وتحيط اللجنة علماً بالمعلومات التي قدمتها الدولة الطرف بشأن الأنشطة التي </w:t>
      </w:r>
      <w:r w:rsidR="00481EEB">
        <w:rPr>
          <w:rFonts w:hint="cs"/>
          <w:rtl/>
        </w:rPr>
        <w:t>ي</w:t>
      </w:r>
      <w:r>
        <w:rPr>
          <w:rFonts w:hint="cs"/>
          <w:rtl/>
        </w:rPr>
        <w:t xml:space="preserve">ضطلع بها </w:t>
      </w:r>
      <w:r w:rsidR="00481EEB">
        <w:rPr>
          <w:rFonts w:hint="cs"/>
          <w:rtl/>
        </w:rPr>
        <w:t xml:space="preserve">كل من </w:t>
      </w:r>
      <w:r>
        <w:rPr>
          <w:rFonts w:hint="cs"/>
          <w:rtl/>
        </w:rPr>
        <w:t xml:space="preserve">خلية حقوق الإنسان داخل وزارة الخارجية </w:t>
      </w:r>
      <w:r w:rsidR="00A34E2F">
        <w:rPr>
          <w:rFonts w:hint="cs"/>
          <w:rtl/>
        </w:rPr>
        <w:t>و</w:t>
      </w:r>
      <w:r>
        <w:rPr>
          <w:rFonts w:hint="cs"/>
          <w:rtl/>
        </w:rPr>
        <w:t>"الوسيط" في مجال تعزيز وحماية حقوق الإنسان. بيد أن اللجنة تشعر بالقلق إزاء عدم وجود مؤسسة وطنية مستقلة لحقوق الإنسان وفقاً لمبادئ باريس.</w:t>
      </w:r>
    </w:p>
    <w:p w:rsidR="00C03C3F" w:rsidRPr="006351AF" w:rsidRDefault="0034594A" w:rsidP="0034594A">
      <w:pPr>
        <w:pStyle w:val="SingleTxtGA"/>
        <w:ind w:left="1928" w:hanging="1928"/>
        <w:rPr>
          <w:rFonts w:hint="cs"/>
          <w:b/>
          <w:bCs/>
          <w:rtl/>
        </w:rPr>
      </w:pPr>
      <w:r>
        <w:rPr>
          <w:rFonts w:hint="cs"/>
          <w:b/>
          <w:bCs/>
          <w:rtl/>
        </w:rPr>
        <w:tab/>
      </w:r>
      <w:r w:rsidR="00C03C3F" w:rsidRPr="006351AF">
        <w:rPr>
          <w:rFonts w:hint="cs"/>
          <w:b/>
          <w:bCs/>
          <w:rtl/>
        </w:rPr>
        <w:t xml:space="preserve">تدعو اللجنة الدولة الطرف إلى النظر في إنشاء مؤسسة وطنية مستقلة لحقوق الإنسان وفقاً للمبادئ المتعلقة بمركز المؤسسات الوطنية لتعزيز وحماية حقوق الإنسان (قرار الجمعية العامة 48/134)، </w:t>
      </w:r>
      <w:r w:rsidR="006351AF" w:rsidRPr="006351AF">
        <w:rPr>
          <w:rFonts w:hint="cs"/>
          <w:b/>
          <w:bCs/>
          <w:rtl/>
        </w:rPr>
        <w:t>وتزويد</w:t>
      </w:r>
      <w:r w:rsidR="00C03C3F" w:rsidRPr="006351AF">
        <w:rPr>
          <w:rFonts w:hint="cs"/>
          <w:b/>
          <w:bCs/>
          <w:rtl/>
        </w:rPr>
        <w:t xml:space="preserve"> هذه المؤسسة </w:t>
      </w:r>
      <w:r w:rsidR="006351AF" w:rsidRPr="006351AF">
        <w:rPr>
          <w:rFonts w:hint="cs"/>
          <w:b/>
          <w:bCs/>
          <w:rtl/>
        </w:rPr>
        <w:t>ب</w:t>
      </w:r>
      <w:r w:rsidR="00C03C3F" w:rsidRPr="006351AF">
        <w:rPr>
          <w:rFonts w:hint="cs"/>
          <w:b/>
          <w:bCs/>
          <w:rtl/>
        </w:rPr>
        <w:t xml:space="preserve">الموارد المالية والبشرية اللازمة </w:t>
      </w:r>
      <w:r w:rsidR="006351AF" w:rsidRPr="006351AF">
        <w:rPr>
          <w:rFonts w:hint="cs"/>
          <w:b/>
          <w:bCs/>
          <w:rtl/>
        </w:rPr>
        <w:t xml:space="preserve">لعملها </w:t>
      </w:r>
      <w:r w:rsidR="00C03C3F" w:rsidRPr="006351AF">
        <w:rPr>
          <w:rFonts w:hint="cs"/>
          <w:b/>
          <w:bCs/>
          <w:rtl/>
        </w:rPr>
        <w:t>ومنحها الصلاحية والولاية في مجال التمييز العنصري (المادة 2).</w:t>
      </w:r>
    </w:p>
    <w:p w:rsidR="00C03C3F" w:rsidRDefault="00C03C3F" w:rsidP="00FB5F5C">
      <w:pPr>
        <w:pStyle w:val="SingleTxtGA"/>
        <w:rPr>
          <w:rFonts w:hint="cs"/>
          <w:rtl/>
        </w:rPr>
      </w:pPr>
      <w:r>
        <w:rPr>
          <w:rFonts w:hint="cs"/>
          <w:rtl/>
        </w:rPr>
        <w:t>10-</w:t>
      </w:r>
      <w:r>
        <w:rPr>
          <w:rFonts w:hint="cs"/>
          <w:rtl/>
        </w:rPr>
        <w:tab/>
        <w:t>تحيط اللجنة علماً بكون القانون</w:t>
      </w:r>
      <w:r w:rsidR="00604143">
        <w:rPr>
          <w:rFonts w:hint="cs"/>
          <w:rtl/>
        </w:rPr>
        <w:t xml:space="preserve"> رقم</w:t>
      </w:r>
      <w:r>
        <w:rPr>
          <w:rFonts w:hint="cs"/>
          <w:rtl/>
        </w:rPr>
        <w:t xml:space="preserve"> </w:t>
      </w:r>
      <w:r w:rsidR="00604143">
        <w:rPr>
          <w:rFonts w:hint="cs"/>
          <w:rtl/>
        </w:rPr>
        <w:t>1299</w:t>
      </w:r>
      <w:r>
        <w:rPr>
          <w:rFonts w:hint="cs"/>
          <w:rtl/>
        </w:rPr>
        <w:t xml:space="preserve"> المؤرخ 15 </w:t>
      </w:r>
      <w:r>
        <w:rPr>
          <w:rFonts w:hint="cs"/>
          <w:sz w:val="30"/>
          <w:rtl/>
        </w:rPr>
        <w:t xml:space="preserve">تموز/يوليه </w:t>
      </w:r>
      <w:r>
        <w:rPr>
          <w:rFonts w:hint="cs"/>
          <w:rtl/>
        </w:rPr>
        <w:t xml:space="preserve">2005 المتعلق بحرية التعبير العام يعاقب على التحريض على الكراهية وعلى العنف ذي الطابع العنصري. بيد أن اللجنة تشعر بالقلق إزاء استمرار </w:t>
      </w:r>
      <w:r w:rsidR="00FB5F5C">
        <w:rPr>
          <w:rFonts w:hint="cs"/>
          <w:rtl/>
        </w:rPr>
        <w:t xml:space="preserve">خلو </w:t>
      </w:r>
      <w:r>
        <w:rPr>
          <w:rFonts w:hint="cs"/>
          <w:rtl/>
        </w:rPr>
        <w:t xml:space="preserve">التشريع الوطني </w:t>
      </w:r>
      <w:r w:rsidR="00FB5F5C">
        <w:rPr>
          <w:rFonts w:hint="cs"/>
          <w:rtl/>
        </w:rPr>
        <w:t>من أحكام تفي ب</w:t>
      </w:r>
      <w:r>
        <w:rPr>
          <w:rFonts w:hint="cs"/>
          <w:rtl/>
        </w:rPr>
        <w:t>المقتضيات الواردة في المادة 4 من الاتفاقية.</w:t>
      </w:r>
    </w:p>
    <w:p w:rsidR="00C03C3F" w:rsidRPr="009E2CF0" w:rsidRDefault="0034594A" w:rsidP="0034594A">
      <w:pPr>
        <w:pStyle w:val="SingleTxtGA"/>
        <w:ind w:left="1928" w:hanging="1928"/>
        <w:rPr>
          <w:rFonts w:hint="cs"/>
          <w:b/>
          <w:bCs/>
          <w:rtl/>
        </w:rPr>
      </w:pPr>
      <w:r>
        <w:rPr>
          <w:rStyle w:val="SingleTxtGAChar"/>
          <w:rFonts w:hint="cs"/>
          <w:b/>
          <w:bCs/>
          <w:rtl/>
        </w:rPr>
        <w:tab/>
      </w:r>
      <w:r w:rsidR="00C03C3F" w:rsidRPr="009E2CF0">
        <w:rPr>
          <w:rStyle w:val="SingleTxtGAChar"/>
          <w:rFonts w:hint="cs"/>
          <w:b/>
          <w:bCs/>
          <w:rtl/>
        </w:rPr>
        <w:t xml:space="preserve">توجه اللجنة انتباه الدولة الطرف إلى </w:t>
      </w:r>
      <w:r w:rsidR="000C06B5">
        <w:rPr>
          <w:rStyle w:val="SingleTxtGAChar"/>
          <w:rFonts w:hint="cs"/>
          <w:b/>
          <w:bCs/>
          <w:rtl/>
        </w:rPr>
        <w:t>توصياتها</w:t>
      </w:r>
      <w:r w:rsidR="00C03C3F" w:rsidRPr="009E2CF0">
        <w:rPr>
          <w:rStyle w:val="SingleTxtGAChar"/>
          <w:rFonts w:hint="cs"/>
          <w:b/>
          <w:bCs/>
          <w:rtl/>
        </w:rPr>
        <w:t xml:space="preserve"> العامة رقم 1(1972)، ورقم 7(1985)، ورقم 15(1993)، التي تنص على أن جميع أحكام المادة 4 هي أحكام ملزمة، وتشدّد على الطابع </w:t>
      </w:r>
      <w:r w:rsidR="00C03C3F" w:rsidRPr="0034594A">
        <w:rPr>
          <w:rFonts w:hint="cs"/>
          <w:rtl/>
        </w:rPr>
        <w:t>الوقائي</w:t>
      </w:r>
      <w:r w:rsidR="00C03C3F" w:rsidRPr="009E2CF0">
        <w:rPr>
          <w:rStyle w:val="SingleTxtGAChar"/>
          <w:rFonts w:hint="cs"/>
          <w:b/>
          <w:bCs/>
          <w:rtl/>
        </w:rPr>
        <w:t xml:space="preserve"> لتشريع يحظر صراحة التحريض على التمييز العنصري والدعاية العنصرية. وتوصي اللجنة الدولة الطرف باعتماد مشروع </w:t>
      </w:r>
      <w:r w:rsidR="00F26CC5">
        <w:rPr>
          <w:rStyle w:val="SingleTxtGAChar"/>
          <w:rFonts w:hint="cs"/>
          <w:b/>
          <w:bCs/>
          <w:rtl/>
        </w:rPr>
        <w:t>ال</w:t>
      </w:r>
      <w:r w:rsidR="00C03C3F" w:rsidRPr="009E2CF0">
        <w:rPr>
          <w:rStyle w:val="SingleTxtGAChar"/>
          <w:rFonts w:hint="cs"/>
          <w:b/>
          <w:bCs/>
          <w:rtl/>
        </w:rPr>
        <w:t>قانون</w:t>
      </w:r>
      <w:r w:rsidR="00C03C3F" w:rsidRPr="009E2CF0">
        <w:rPr>
          <w:rFonts w:hint="cs"/>
          <w:b/>
          <w:bCs/>
          <w:rtl/>
        </w:rPr>
        <w:t xml:space="preserve"> </w:t>
      </w:r>
      <w:r w:rsidR="00F26CC5">
        <w:rPr>
          <w:rFonts w:hint="cs"/>
          <w:b/>
          <w:bCs/>
          <w:rtl/>
        </w:rPr>
        <w:t>الذي ي</w:t>
      </w:r>
      <w:r w:rsidR="00C03C3F" w:rsidRPr="009E2CF0">
        <w:rPr>
          <w:rFonts w:hint="cs"/>
          <w:b/>
          <w:bCs/>
          <w:rtl/>
        </w:rPr>
        <w:t xml:space="preserve">هدف إلى استكمال قانون العقوبات </w:t>
      </w:r>
      <w:r w:rsidR="003D1C17">
        <w:rPr>
          <w:rFonts w:hint="cs"/>
          <w:b/>
          <w:bCs/>
          <w:rtl/>
        </w:rPr>
        <w:t xml:space="preserve">وبأن تدرج فيه </w:t>
      </w:r>
      <w:r w:rsidR="00C03C3F" w:rsidRPr="009E2CF0">
        <w:rPr>
          <w:rFonts w:hint="cs"/>
          <w:b/>
          <w:bCs/>
          <w:rtl/>
        </w:rPr>
        <w:t xml:space="preserve">جريمة محددة </w:t>
      </w:r>
      <w:r w:rsidR="003D1C17">
        <w:rPr>
          <w:rFonts w:hint="cs"/>
          <w:b/>
          <w:bCs/>
          <w:rtl/>
        </w:rPr>
        <w:t>قائمة على ا</w:t>
      </w:r>
      <w:r w:rsidR="00C03C3F" w:rsidRPr="009E2CF0">
        <w:rPr>
          <w:rFonts w:hint="cs"/>
          <w:b/>
          <w:bCs/>
          <w:rtl/>
        </w:rPr>
        <w:t xml:space="preserve">لمادة الأولى من الاتفاقية، وكذلك </w:t>
      </w:r>
      <w:r w:rsidR="003D1C17">
        <w:rPr>
          <w:rFonts w:hint="cs"/>
          <w:b/>
          <w:bCs/>
          <w:rtl/>
        </w:rPr>
        <w:t xml:space="preserve">ظرفاً مشدداً </w:t>
      </w:r>
      <w:r w:rsidR="00C03C3F" w:rsidRPr="009E2CF0">
        <w:rPr>
          <w:rFonts w:hint="cs"/>
          <w:b/>
          <w:bCs/>
          <w:rtl/>
        </w:rPr>
        <w:t>يرتبط بطابع الجرائم العنصري والمعادي للسامية والذي يتسم بكره الأجانب، بغية تنفيذ الأحكام الواردة في المادة 4 تنفيذاً كاملاً (المادة 4).</w:t>
      </w:r>
    </w:p>
    <w:p w:rsidR="00C03C3F" w:rsidRDefault="00C03C3F" w:rsidP="00C136E6">
      <w:pPr>
        <w:pStyle w:val="SingleTxtGA"/>
        <w:rPr>
          <w:rFonts w:hint="cs"/>
          <w:rtl/>
        </w:rPr>
      </w:pPr>
      <w:r>
        <w:rPr>
          <w:rFonts w:hint="cs"/>
          <w:rtl/>
        </w:rPr>
        <w:t>11-</w:t>
      </w:r>
      <w:r>
        <w:rPr>
          <w:rFonts w:hint="cs"/>
          <w:rtl/>
        </w:rPr>
        <w:tab/>
        <w:t xml:space="preserve">وبينما تحيط اللجنة علماً بالمعلومات التي قدمتها الدولة الطرف في تقريرها وفي ردودها الخطية وفي التوضيحات الشفوية بشأن عدم تطبيق عقوبة </w:t>
      </w:r>
      <w:r w:rsidR="00C136E6">
        <w:rPr>
          <w:rFonts w:hint="cs"/>
          <w:rtl/>
        </w:rPr>
        <w:t>الإبعاد</w:t>
      </w:r>
      <w:r>
        <w:rPr>
          <w:rFonts w:hint="cs"/>
          <w:rtl/>
        </w:rPr>
        <w:t xml:space="preserve">، يساور اللجنة القلق من كون قانون العقوبات لا يزال ينص على هذه العقوبة واحتمال تطبيق الدولة الطرف لها على غير المواطنين. </w:t>
      </w:r>
    </w:p>
    <w:p w:rsidR="00C03C3F" w:rsidRPr="00B25AEC" w:rsidRDefault="0034594A" w:rsidP="0034594A">
      <w:pPr>
        <w:pStyle w:val="SingleTxtGA"/>
        <w:ind w:left="1928" w:hanging="1928"/>
        <w:rPr>
          <w:rFonts w:hint="cs"/>
          <w:b/>
          <w:bCs/>
          <w:rtl/>
        </w:rPr>
      </w:pPr>
      <w:r>
        <w:rPr>
          <w:rFonts w:hint="cs"/>
          <w:b/>
          <w:bCs/>
          <w:rtl/>
        </w:rPr>
        <w:tab/>
      </w:r>
      <w:r w:rsidR="00C03C3F" w:rsidRPr="00B25AEC">
        <w:rPr>
          <w:rFonts w:hint="cs"/>
          <w:b/>
          <w:bCs/>
          <w:rtl/>
        </w:rPr>
        <w:t xml:space="preserve">توصي اللجنة الدولة الطرف، في إطار الإصلاحات الجارية على قانون العقوبات، باعتماد المشروع الرامي إلى إلغاء هذه العقوبة (المادة 5). </w:t>
      </w:r>
    </w:p>
    <w:p w:rsidR="00C03C3F" w:rsidRDefault="00C03C3F" w:rsidP="0041770F">
      <w:pPr>
        <w:pStyle w:val="SingleTxtGA"/>
        <w:rPr>
          <w:rFonts w:hint="cs"/>
          <w:rtl/>
        </w:rPr>
      </w:pPr>
      <w:r>
        <w:rPr>
          <w:rFonts w:hint="cs"/>
          <w:rtl/>
        </w:rPr>
        <w:t>12-</w:t>
      </w:r>
      <w:r>
        <w:rPr>
          <w:rFonts w:hint="cs"/>
          <w:rtl/>
        </w:rPr>
        <w:tab/>
        <w:t>وبينما تحيط اللجنة علماً بالمعلومات الواردة في الردود الخطية ومفادها أن الصفات المتعلقة بالجنسية وبالإقامة هي وحدها التي تطبق في مجال العمالة، تشعر اللجنة بالقلق إزاء عدم وجود تشريع يحمي العمال من غير المواطنين من التمييز العنصري، ولا سيما فيما يتعلق بالتشغيل وبظروف العمل.</w:t>
      </w:r>
    </w:p>
    <w:p w:rsidR="00C03C3F" w:rsidRPr="0041770F" w:rsidRDefault="0034594A" w:rsidP="0034594A">
      <w:pPr>
        <w:pStyle w:val="SingleTxtGA"/>
        <w:ind w:left="1928" w:hanging="1928"/>
        <w:rPr>
          <w:rFonts w:hint="cs"/>
          <w:b/>
          <w:bCs/>
          <w:rtl/>
        </w:rPr>
      </w:pPr>
      <w:r>
        <w:rPr>
          <w:rFonts w:hint="cs"/>
          <w:b/>
          <w:bCs/>
          <w:rtl/>
        </w:rPr>
        <w:tab/>
      </w:r>
      <w:r w:rsidR="00C03C3F" w:rsidRPr="0041770F">
        <w:rPr>
          <w:rFonts w:hint="cs"/>
          <w:b/>
          <w:bCs/>
          <w:rtl/>
        </w:rPr>
        <w:t>توصي اللجنة الدولة الطرف بما يلي</w:t>
      </w:r>
      <w:r w:rsidR="00174B22">
        <w:rPr>
          <w:rFonts w:hint="cs"/>
          <w:b/>
          <w:bCs/>
          <w:rtl/>
        </w:rPr>
        <w:t xml:space="preserve">، </w:t>
      </w:r>
      <w:r w:rsidR="00174B22" w:rsidRPr="0041770F">
        <w:rPr>
          <w:rFonts w:hint="cs"/>
          <w:b/>
          <w:bCs/>
          <w:rtl/>
        </w:rPr>
        <w:t xml:space="preserve">مع مراعاة </w:t>
      </w:r>
      <w:r w:rsidR="00174B22">
        <w:rPr>
          <w:rFonts w:hint="cs"/>
          <w:b/>
          <w:bCs/>
          <w:rtl/>
        </w:rPr>
        <w:t>توصيتها</w:t>
      </w:r>
      <w:r w:rsidR="00174B22" w:rsidRPr="0041770F">
        <w:rPr>
          <w:rFonts w:hint="cs"/>
          <w:b/>
          <w:bCs/>
          <w:rtl/>
        </w:rPr>
        <w:t xml:space="preserve"> العامة رقم 30(2005</w:t>
      </w:r>
      <w:r w:rsidR="00174B22">
        <w:rPr>
          <w:rFonts w:hint="cs"/>
          <w:b/>
          <w:bCs/>
          <w:rtl/>
        </w:rPr>
        <w:t>) بشأن التمييز ضد غير المواطنين:</w:t>
      </w:r>
    </w:p>
    <w:p w:rsidR="00C03C3F" w:rsidRPr="009E5516" w:rsidRDefault="0034594A" w:rsidP="0034594A">
      <w:pPr>
        <w:pStyle w:val="SingleTxtGA"/>
        <w:ind w:left="1928" w:hanging="1928"/>
        <w:rPr>
          <w:rFonts w:hint="cs"/>
          <w:b/>
          <w:bCs/>
          <w:rtl/>
        </w:rPr>
      </w:pPr>
      <w:r>
        <w:rPr>
          <w:rFonts w:hint="cs"/>
          <w:b/>
          <w:bCs/>
          <w:rtl/>
        </w:rPr>
        <w:tab/>
      </w:r>
      <w:r w:rsidR="00C03C3F" w:rsidRPr="009E5516">
        <w:rPr>
          <w:rFonts w:hint="cs"/>
          <w:b/>
          <w:bCs/>
          <w:rtl/>
        </w:rPr>
        <w:tab/>
        <w:t>(أ)</w:t>
      </w:r>
      <w:r w:rsidR="00C03C3F" w:rsidRPr="009E5516">
        <w:rPr>
          <w:rFonts w:hint="cs"/>
          <w:b/>
          <w:bCs/>
          <w:rtl/>
        </w:rPr>
        <w:tab/>
        <w:t xml:space="preserve">أن تعزّز حماية العمال غير المواطنين باعتماد تشريع يرمي إلى حمايتهم من التمييز العنصري، </w:t>
      </w:r>
      <w:r w:rsidR="001C4E27" w:rsidRPr="009E5516">
        <w:rPr>
          <w:rFonts w:hint="cs"/>
          <w:b/>
          <w:bCs/>
          <w:rtl/>
        </w:rPr>
        <w:t>وخاصة</w:t>
      </w:r>
      <w:r w:rsidR="00C03C3F" w:rsidRPr="009E5516">
        <w:rPr>
          <w:rFonts w:hint="cs"/>
          <w:b/>
          <w:bCs/>
          <w:rtl/>
        </w:rPr>
        <w:t xml:space="preserve"> عند التشغيل؛</w:t>
      </w:r>
    </w:p>
    <w:p w:rsidR="00C03C3F" w:rsidRPr="009E5516" w:rsidRDefault="0034594A" w:rsidP="0034594A">
      <w:pPr>
        <w:pStyle w:val="SingleTxtGA"/>
        <w:ind w:left="1928" w:hanging="1928"/>
        <w:rPr>
          <w:rFonts w:hint="cs"/>
          <w:b/>
          <w:bCs/>
          <w:rtl/>
        </w:rPr>
      </w:pPr>
      <w:r>
        <w:rPr>
          <w:rFonts w:hint="cs"/>
          <w:b/>
          <w:bCs/>
          <w:rtl/>
        </w:rPr>
        <w:tab/>
      </w:r>
      <w:r w:rsidR="00C03C3F" w:rsidRPr="009E5516">
        <w:rPr>
          <w:rFonts w:hint="cs"/>
          <w:b/>
          <w:bCs/>
          <w:rtl/>
        </w:rPr>
        <w:tab/>
        <w:t>(ب)</w:t>
      </w:r>
      <w:r w:rsidR="00C03C3F" w:rsidRPr="009E5516">
        <w:rPr>
          <w:rFonts w:hint="cs"/>
          <w:b/>
          <w:bCs/>
          <w:rtl/>
        </w:rPr>
        <w:tab/>
        <w:t>أن تكفل تطبيق الآليات القائمة، ولا سيما تفتيش العمل، فيما يتعلق بظروف عمل العمال من غير المواطنين؛</w:t>
      </w:r>
    </w:p>
    <w:p w:rsidR="00C03C3F" w:rsidRPr="009E5516" w:rsidRDefault="0034594A" w:rsidP="00C224C0">
      <w:pPr>
        <w:pStyle w:val="SingleTxtGA"/>
        <w:ind w:left="1928" w:hanging="1928"/>
        <w:rPr>
          <w:rFonts w:hint="cs"/>
          <w:b/>
          <w:bCs/>
          <w:rtl/>
        </w:rPr>
      </w:pPr>
      <w:r>
        <w:rPr>
          <w:rFonts w:hint="cs"/>
          <w:b/>
          <w:bCs/>
          <w:rtl/>
        </w:rPr>
        <w:tab/>
      </w:r>
      <w:r w:rsidR="00C03C3F" w:rsidRPr="009E5516">
        <w:rPr>
          <w:rFonts w:hint="cs"/>
          <w:b/>
          <w:bCs/>
          <w:rtl/>
        </w:rPr>
        <w:tab/>
        <w:t>(ج)</w:t>
      </w:r>
      <w:r w:rsidR="00C03C3F" w:rsidRPr="009E5516">
        <w:rPr>
          <w:rFonts w:hint="cs"/>
          <w:b/>
          <w:bCs/>
          <w:rtl/>
        </w:rPr>
        <w:tab/>
        <w:t>أن تعرّف العمال غير المواطنين بحقوقهم</w:t>
      </w:r>
      <w:r w:rsidR="00A14C69">
        <w:rPr>
          <w:rFonts w:hint="cs"/>
          <w:b/>
          <w:bCs/>
          <w:rtl/>
        </w:rPr>
        <w:t>،</w:t>
      </w:r>
      <w:r w:rsidR="00C03C3F" w:rsidRPr="009E5516">
        <w:rPr>
          <w:rFonts w:hint="cs"/>
          <w:b/>
          <w:bCs/>
          <w:rtl/>
        </w:rPr>
        <w:t xml:space="preserve"> ولا سيما بآليات </w:t>
      </w:r>
      <w:r w:rsidR="009E5516" w:rsidRPr="009E5516">
        <w:rPr>
          <w:rFonts w:hint="cs"/>
          <w:b/>
          <w:bCs/>
          <w:rtl/>
        </w:rPr>
        <w:t xml:space="preserve">الشكوى، وأن تيسر </w:t>
      </w:r>
      <w:r w:rsidR="00C03C3F" w:rsidRPr="009E5516">
        <w:rPr>
          <w:rFonts w:hint="cs"/>
          <w:b/>
          <w:bCs/>
          <w:rtl/>
        </w:rPr>
        <w:t>وصولهم إليها؛</w:t>
      </w:r>
    </w:p>
    <w:p w:rsidR="00C03C3F" w:rsidRPr="009E5516" w:rsidRDefault="0034594A" w:rsidP="0034594A">
      <w:pPr>
        <w:pStyle w:val="SingleTxtGA"/>
        <w:ind w:left="1928" w:hanging="1928"/>
        <w:rPr>
          <w:rFonts w:hint="cs"/>
          <w:b/>
          <w:bCs/>
          <w:rtl/>
        </w:rPr>
      </w:pPr>
      <w:r>
        <w:rPr>
          <w:rFonts w:hint="cs"/>
          <w:b/>
          <w:bCs/>
          <w:rtl/>
        </w:rPr>
        <w:tab/>
      </w:r>
      <w:r w:rsidR="00C03C3F" w:rsidRPr="009E5516">
        <w:rPr>
          <w:rFonts w:hint="cs"/>
          <w:b/>
          <w:bCs/>
          <w:rtl/>
        </w:rPr>
        <w:tab/>
        <w:t>(د)</w:t>
      </w:r>
      <w:r w:rsidR="00C03C3F" w:rsidRPr="009E5516">
        <w:rPr>
          <w:rFonts w:hint="cs"/>
          <w:b/>
          <w:bCs/>
          <w:rtl/>
        </w:rPr>
        <w:tab/>
        <w:t xml:space="preserve">أن تنظر في الانضمام إلى اتفاقية منظمة العمل الدولية </w:t>
      </w:r>
      <w:r w:rsidR="009E5516">
        <w:rPr>
          <w:rFonts w:hint="cs"/>
          <w:b/>
          <w:bCs/>
          <w:rtl/>
        </w:rPr>
        <w:t xml:space="preserve">                       </w:t>
      </w:r>
      <w:r w:rsidR="00C03C3F" w:rsidRPr="009E5516">
        <w:rPr>
          <w:rFonts w:hint="cs"/>
          <w:b/>
          <w:bCs/>
          <w:rtl/>
        </w:rPr>
        <w:t>رقم 111</w:t>
      </w:r>
      <w:r w:rsidR="009E5516" w:rsidRPr="009E5516">
        <w:rPr>
          <w:rFonts w:hint="cs"/>
          <w:b/>
          <w:bCs/>
          <w:rtl/>
        </w:rPr>
        <w:t xml:space="preserve">(1958) </w:t>
      </w:r>
      <w:r w:rsidR="00C03C3F" w:rsidRPr="009E5516">
        <w:rPr>
          <w:rFonts w:hint="cs"/>
          <w:b/>
          <w:bCs/>
          <w:rtl/>
        </w:rPr>
        <w:t>بشأن التمييز في الاستخدام والمهنة ؛</w:t>
      </w:r>
    </w:p>
    <w:p w:rsidR="00C03C3F" w:rsidRPr="009E5516" w:rsidRDefault="0034594A" w:rsidP="0034594A">
      <w:pPr>
        <w:pStyle w:val="SingleTxtGA"/>
        <w:ind w:left="1928" w:hanging="1928"/>
        <w:rPr>
          <w:rFonts w:hint="cs"/>
          <w:b/>
          <w:bCs/>
          <w:rtl/>
        </w:rPr>
      </w:pPr>
      <w:r>
        <w:rPr>
          <w:rFonts w:hint="cs"/>
          <w:b/>
          <w:bCs/>
          <w:rtl/>
        </w:rPr>
        <w:tab/>
      </w:r>
      <w:r w:rsidR="00C03C3F" w:rsidRPr="009E5516">
        <w:rPr>
          <w:rFonts w:hint="cs"/>
          <w:b/>
          <w:bCs/>
          <w:rtl/>
        </w:rPr>
        <w:tab/>
        <w:t>(</w:t>
      </w:r>
      <w:r w:rsidR="00C03C3F" w:rsidRPr="009E5516">
        <w:rPr>
          <w:rFonts w:hint="cs"/>
          <w:b/>
          <w:bCs/>
          <w:sz w:val="30"/>
          <w:rtl/>
        </w:rPr>
        <w:t>ﻫ</w:t>
      </w:r>
      <w:r w:rsidR="00C03C3F" w:rsidRPr="009E5516">
        <w:rPr>
          <w:rFonts w:hint="cs"/>
          <w:b/>
          <w:bCs/>
          <w:rtl/>
        </w:rPr>
        <w:t>)</w:t>
      </w:r>
      <w:r w:rsidR="00C03C3F" w:rsidRPr="009E5516">
        <w:rPr>
          <w:rFonts w:hint="cs"/>
          <w:b/>
          <w:bCs/>
          <w:rtl/>
        </w:rPr>
        <w:tab/>
        <w:t>أن تنظر في الانضمام إلى الميثاق الاجتماعي الأوروبي؛</w:t>
      </w:r>
    </w:p>
    <w:p w:rsidR="00C03C3F" w:rsidRPr="009E5516" w:rsidRDefault="0034594A" w:rsidP="0034594A">
      <w:pPr>
        <w:pStyle w:val="SingleTxtGA"/>
        <w:ind w:left="1928" w:hanging="1928"/>
        <w:rPr>
          <w:rFonts w:hint="cs"/>
          <w:b/>
          <w:bCs/>
          <w:rtl/>
        </w:rPr>
      </w:pPr>
      <w:r>
        <w:rPr>
          <w:rFonts w:hint="cs"/>
          <w:b/>
          <w:bCs/>
          <w:rtl/>
        </w:rPr>
        <w:tab/>
      </w:r>
      <w:r w:rsidR="00C03C3F" w:rsidRPr="009E5516">
        <w:rPr>
          <w:rFonts w:hint="cs"/>
          <w:b/>
          <w:bCs/>
          <w:rtl/>
        </w:rPr>
        <w:tab/>
        <w:t>(و)</w:t>
      </w:r>
      <w:r w:rsidR="00C03C3F" w:rsidRPr="009E5516">
        <w:rPr>
          <w:rFonts w:hint="cs"/>
          <w:b/>
          <w:bCs/>
          <w:rtl/>
        </w:rPr>
        <w:tab/>
        <w:t xml:space="preserve">أن تضمّن تقريرها القادم بيانات إحصائية عن عدد عمليات التفتيش المنجزة، إن وُجدت، والشكاوى المقدمة، والأحكام الصادرة، وعند الاقتضاء، التعويضات الممنوحة (الفقرتان </w:t>
      </w:r>
      <w:r w:rsidR="00A14C69">
        <w:rPr>
          <w:rFonts w:hint="cs"/>
          <w:b/>
          <w:bCs/>
          <w:rtl/>
        </w:rPr>
        <w:t>(</w:t>
      </w:r>
      <w:r w:rsidR="009E5516" w:rsidRPr="009E5516">
        <w:rPr>
          <w:rFonts w:hint="cs"/>
          <w:b/>
          <w:bCs/>
          <w:i/>
          <w:iCs/>
          <w:sz w:val="30"/>
          <w:rtl/>
        </w:rPr>
        <w:t>ﻫ</w:t>
      </w:r>
      <w:r w:rsidR="00A14C69">
        <w:rPr>
          <w:rFonts w:hint="cs"/>
          <w:b/>
          <w:bCs/>
          <w:i/>
          <w:iCs/>
          <w:sz w:val="30"/>
          <w:rtl/>
        </w:rPr>
        <w:t>)</w:t>
      </w:r>
      <w:r w:rsidR="005750A7" w:rsidRPr="009E5516">
        <w:rPr>
          <w:rFonts w:hint="cs"/>
          <w:b/>
          <w:bCs/>
          <w:i/>
          <w:iCs/>
          <w:rtl/>
        </w:rPr>
        <w:t xml:space="preserve"> </w:t>
      </w:r>
      <w:r w:rsidR="00C03C3F" w:rsidRPr="009E5516">
        <w:rPr>
          <w:rFonts w:hint="cs"/>
          <w:b/>
          <w:bCs/>
          <w:i/>
          <w:iCs/>
          <w:rtl/>
        </w:rPr>
        <w:t>و</w:t>
      </w:r>
      <w:r w:rsidR="00A14C69">
        <w:rPr>
          <w:rFonts w:hint="cs"/>
          <w:b/>
          <w:bCs/>
          <w:i/>
          <w:iCs/>
          <w:rtl/>
        </w:rPr>
        <w:t>(</w:t>
      </w:r>
      <w:r w:rsidR="00C03C3F" w:rsidRPr="009E5516">
        <w:rPr>
          <w:rFonts w:hint="cs"/>
          <w:b/>
          <w:bCs/>
          <w:i/>
          <w:iCs/>
          <w:rtl/>
        </w:rPr>
        <w:t>ط</w:t>
      </w:r>
      <w:r w:rsidR="00A14C69">
        <w:rPr>
          <w:rFonts w:hint="cs"/>
          <w:b/>
          <w:bCs/>
          <w:i/>
          <w:iCs/>
          <w:rtl/>
        </w:rPr>
        <w:t>)</w:t>
      </w:r>
      <w:r w:rsidR="00C03C3F" w:rsidRPr="009E5516">
        <w:rPr>
          <w:rFonts w:hint="cs"/>
          <w:b/>
          <w:bCs/>
          <w:rtl/>
        </w:rPr>
        <w:t xml:space="preserve"> من المادة 5، والمادة 6)</w:t>
      </w:r>
      <w:r w:rsidR="009E5516">
        <w:rPr>
          <w:rFonts w:hint="cs"/>
          <w:b/>
          <w:bCs/>
          <w:i/>
          <w:iCs/>
          <w:rtl/>
        </w:rPr>
        <w:t>.</w:t>
      </w:r>
    </w:p>
    <w:p w:rsidR="00C03C3F" w:rsidRDefault="00C03C3F" w:rsidP="003A133F">
      <w:pPr>
        <w:pStyle w:val="SingleTxtGA"/>
        <w:rPr>
          <w:lang w:val="fr-CH"/>
        </w:rPr>
      </w:pPr>
      <w:r>
        <w:rPr>
          <w:rFonts w:hint="cs"/>
          <w:rtl/>
          <w:lang w:val="fr-CH"/>
        </w:rPr>
        <w:t>13-</w:t>
      </w:r>
      <w:r>
        <w:rPr>
          <w:rFonts w:hint="cs"/>
          <w:rtl/>
          <w:lang w:val="fr-CH"/>
        </w:rPr>
        <w:tab/>
        <w:t xml:space="preserve">وتحيط اللجنة علماً بالمعلومات التي قدمتها الدولة الطرف بشأن وجود أديان مختلفة في الدولة الطرف بسبب تواجد أشخاص من أصل عرقي آخر وتواجد غير المواطنين، </w:t>
      </w:r>
      <w:r w:rsidR="004C5168">
        <w:rPr>
          <w:rFonts w:hint="cs"/>
          <w:rtl/>
          <w:lang w:val="fr-CH"/>
        </w:rPr>
        <w:t xml:space="preserve">وبكون </w:t>
      </w:r>
      <w:r>
        <w:rPr>
          <w:rFonts w:hint="cs"/>
          <w:rtl/>
          <w:lang w:val="fr-CH"/>
        </w:rPr>
        <w:t xml:space="preserve">المادة 23 من الدستور </w:t>
      </w:r>
      <w:r w:rsidR="004C5168">
        <w:rPr>
          <w:rFonts w:hint="cs"/>
          <w:rtl/>
          <w:lang w:val="fr-CH"/>
        </w:rPr>
        <w:t xml:space="preserve">تحمي </w:t>
      </w:r>
      <w:r>
        <w:rPr>
          <w:rFonts w:hint="cs"/>
          <w:rtl/>
          <w:lang w:val="fr-CH"/>
        </w:rPr>
        <w:t>حرية الدين.</w:t>
      </w:r>
    </w:p>
    <w:p w:rsidR="00C03C3F" w:rsidRPr="003A133F" w:rsidRDefault="0034594A" w:rsidP="0034594A">
      <w:pPr>
        <w:pStyle w:val="SingleTxtGA"/>
        <w:ind w:left="1928" w:hanging="1928"/>
        <w:rPr>
          <w:rFonts w:hint="cs"/>
          <w:b/>
          <w:bCs/>
          <w:rtl/>
          <w:lang w:val="fr-CH"/>
        </w:rPr>
      </w:pPr>
      <w:r>
        <w:rPr>
          <w:rFonts w:hint="cs"/>
          <w:b/>
          <w:bCs/>
          <w:rtl/>
          <w:lang w:val="fr-CH"/>
        </w:rPr>
        <w:tab/>
      </w:r>
      <w:r w:rsidR="00C03C3F" w:rsidRPr="003A133F">
        <w:rPr>
          <w:rFonts w:hint="cs"/>
          <w:b/>
          <w:bCs/>
          <w:rtl/>
          <w:lang w:val="fr-CH"/>
        </w:rPr>
        <w:t xml:space="preserve">توصي اللجنة الدولة الطرف بالنظر في هذا الصدد في الاعتراف رسمياً بجميع الأديان، بما في ذلك الدين </w:t>
      </w:r>
      <w:r w:rsidR="00C03C3F" w:rsidRPr="0034594A">
        <w:rPr>
          <w:rFonts w:hint="cs"/>
          <w:b/>
          <w:bCs/>
          <w:rtl/>
        </w:rPr>
        <w:t>الإسلامي</w:t>
      </w:r>
      <w:r w:rsidR="00C03C3F" w:rsidRPr="003A133F">
        <w:rPr>
          <w:rFonts w:hint="cs"/>
          <w:b/>
          <w:bCs/>
          <w:rtl/>
          <w:lang w:val="fr-CH"/>
        </w:rPr>
        <w:t xml:space="preserve">، استجابة لاحتياجات جميع الأشخاص الذين ينتمون إلى أصل </w:t>
      </w:r>
      <w:r w:rsidR="00550AE5">
        <w:rPr>
          <w:rFonts w:hint="cs"/>
          <w:b/>
          <w:bCs/>
          <w:rtl/>
          <w:lang w:val="fr-CH"/>
        </w:rPr>
        <w:t xml:space="preserve">إثني </w:t>
      </w:r>
      <w:r w:rsidR="00C03C3F" w:rsidRPr="003A133F">
        <w:rPr>
          <w:rFonts w:hint="cs"/>
          <w:b/>
          <w:bCs/>
          <w:rtl/>
          <w:lang w:val="fr-CH"/>
        </w:rPr>
        <w:t xml:space="preserve">آخر أو إلى غير المواطنين في إمارة موناكو، بغية تشجيع وتعزيز التفاهم والتسامح والصداقة بين </w:t>
      </w:r>
      <w:r w:rsidR="00FD581D">
        <w:rPr>
          <w:rFonts w:hint="cs"/>
          <w:b/>
          <w:bCs/>
          <w:rtl/>
          <w:lang w:val="fr-CH"/>
        </w:rPr>
        <w:t xml:space="preserve">هذه </w:t>
      </w:r>
      <w:r w:rsidR="00C03C3F" w:rsidRPr="003A133F">
        <w:rPr>
          <w:rFonts w:hint="cs"/>
          <w:b/>
          <w:bCs/>
          <w:rtl/>
          <w:lang w:val="fr-CH"/>
        </w:rPr>
        <w:t>الجماعات الدينية المختلف</w:t>
      </w:r>
      <w:r w:rsidR="00FD581D">
        <w:rPr>
          <w:rFonts w:hint="cs"/>
          <w:b/>
          <w:bCs/>
          <w:rtl/>
          <w:lang w:val="fr-CH"/>
        </w:rPr>
        <w:t>ة</w:t>
      </w:r>
      <w:r w:rsidR="00C03C3F" w:rsidRPr="003A133F">
        <w:rPr>
          <w:rFonts w:hint="cs"/>
          <w:b/>
          <w:bCs/>
          <w:rtl/>
          <w:lang w:val="fr-CH"/>
        </w:rPr>
        <w:t xml:space="preserve"> </w:t>
      </w:r>
      <w:r w:rsidR="00B9697D">
        <w:rPr>
          <w:rFonts w:hint="cs"/>
          <w:b/>
          <w:bCs/>
          <w:rtl/>
          <w:lang w:val="fr-CH"/>
        </w:rPr>
        <w:t xml:space="preserve">      </w:t>
      </w:r>
      <w:r w:rsidR="00C03C3F" w:rsidRPr="003A133F">
        <w:rPr>
          <w:rFonts w:hint="cs"/>
          <w:b/>
          <w:bCs/>
          <w:rtl/>
          <w:lang w:val="fr-CH"/>
        </w:rPr>
        <w:t>(المادة 5).</w:t>
      </w:r>
    </w:p>
    <w:p w:rsidR="00C03C3F" w:rsidRDefault="00C03C3F" w:rsidP="00675C75">
      <w:pPr>
        <w:pStyle w:val="SingleTxtGA"/>
        <w:rPr>
          <w:rFonts w:hint="cs"/>
          <w:rtl/>
          <w:lang w:val="fr-CH"/>
        </w:rPr>
      </w:pPr>
      <w:r>
        <w:rPr>
          <w:rFonts w:hint="cs"/>
          <w:rtl/>
          <w:lang w:val="fr-CH"/>
        </w:rPr>
        <w:t>14-</w:t>
      </w:r>
      <w:r>
        <w:rPr>
          <w:rFonts w:hint="cs"/>
          <w:rtl/>
          <w:lang w:val="fr-CH"/>
        </w:rPr>
        <w:tab/>
        <w:t xml:space="preserve">تلاحظ اللجنة أن مديرية الأمن </w:t>
      </w:r>
      <w:r w:rsidR="00675C75">
        <w:rPr>
          <w:rFonts w:hint="cs"/>
          <w:rtl/>
          <w:lang w:val="fr-CH"/>
        </w:rPr>
        <w:t>العام</w:t>
      </w:r>
      <w:r>
        <w:rPr>
          <w:rFonts w:hint="cs"/>
          <w:rtl/>
          <w:lang w:val="fr-CH"/>
        </w:rPr>
        <w:t xml:space="preserve"> في الدولة الطرف تفكر في </w:t>
      </w:r>
      <w:r w:rsidR="00675C75">
        <w:rPr>
          <w:rFonts w:hint="cs"/>
          <w:rtl/>
          <w:lang w:val="fr-CH"/>
        </w:rPr>
        <w:t xml:space="preserve">أن تدرج </w:t>
      </w:r>
      <w:r>
        <w:rPr>
          <w:rFonts w:hint="cs"/>
          <w:rtl/>
          <w:lang w:val="fr-CH"/>
        </w:rPr>
        <w:t xml:space="preserve">في سجل شكاوى مراكز الشرطة إشارة خاصة تمكن صاحب الشكوى من تحديد ما إذا كانت الجريمة التي وقع ضحيتها تكتسي طابعاً عنصرياً. بيد أن القلق يساور اللجنة إزاء عدم وجود معلومات عن الشكاوى والتحقيقات والأحكام الصادرة </w:t>
      </w:r>
      <w:r w:rsidR="00675C75">
        <w:rPr>
          <w:rFonts w:hint="cs"/>
          <w:rtl/>
          <w:lang w:val="fr-CH"/>
        </w:rPr>
        <w:t>بشأن</w:t>
      </w:r>
      <w:r>
        <w:rPr>
          <w:rFonts w:hint="cs"/>
          <w:rtl/>
          <w:lang w:val="fr-CH"/>
        </w:rPr>
        <w:t xml:space="preserve"> أفعال التمييز العنصري.</w:t>
      </w:r>
    </w:p>
    <w:p w:rsidR="00C03C3F" w:rsidRPr="00E90355" w:rsidRDefault="0034594A" w:rsidP="0034594A">
      <w:pPr>
        <w:pStyle w:val="SingleTxtGA"/>
        <w:ind w:left="1928" w:hanging="1928"/>
        <w:rPr>
          <w:rFonts w:hint="cs"/>
          <w:b/>
          <w:bCs/>
          <w:rtl/>
          <w:lang w:val="fr-CH"/>
        </w:rPr>
      </w:pPr>
      <w:r>
        <w:rPr>
          <w:rFonts w:hint="cs"/>
          <w:b/>
          <w:bCs/>
          <w:rtl/>
          <w:lang w:val="fr-CH"/>
        </w:rPr>
        <w:tab/>
      </w:r>
      <w:r w:rsidR="00C03C3F" w:rsidRPr="00E90355">
        <w:rPr>
          <w:rFonts w:hint="cs"/>
          <w:b/>
          <w:bCs/>
          <w:rtl/>
          <w:lang w:val="fr-CH"/>
        </w:rPr>
        <w:t xml:space="preserve">تذكّر اللجنة بالفقرة 1 </w:t>
      </w:r>
      <w:r w:rsidR="00F93A5F">
        <w:rPr>
          <w:rFonts w:hint="cs"/>
          <w:b/>
          <w:bCs/>
          <w:i/>
          <w:iCs/>
          <w:rtl/>
          <w:lang w:val="fr-CH"/>
        </w:rPr>
        <w:t>(</w:t>
      </w:r>
      <w:r w:rsidR="00C03C3F" w:rsidRPr="00E90355">
        <w:rPr>
          <w:rFonts w:hint="cs"/>
          <w:b/>
          <w:bCs/>
          <w:i/>
          <w:iCs/>
          <w:rtl/>
          <w:lang w:val="fr-CH"/>
        </w:rPr>
        <w:t>ب</w:t>
      </w:r>
      <w:r w:rsidR="00F93A5F">
        <w:rPr>
          <w:rFonts w:hint="cs"/>
          <w:b/>
          <w:bCs/>
          <w:i/>
          <w:iCs/>
          <w:rtl/>
          <w:lang w:val="fr-CH"/>
        </w:rPr>
        <w:t>)</w:t>
      </w:r>
      <w:r w:rsidR="00C03C3F" w:rsidRPr="00E90355">
        <w:rPr>
          <w:rFonts w:hint="cs"/>
          <w:b/>
          <w:bCs/>
          <w:rtl/>
          <w:lang w:val="fr-CH"/>
        </w:rPr>
        <w:t xml:space="preserve"> من توصيتها العامة رقم 31(2005) بشأن التمييز العنصري في الإدارة وفي </w:t>
      </w:r>
      <w:r w:rsidR="00D3507D">
        <w:rPr>
          <w:rFonts w:hint="cs"/>
          <w:b/>
          <w:bCs/>
          <w:rtl/>
          <w:lang w:val="fr-CH"/>
        </w:rPr>
        <w:t>عمل</w:t>
      </w:r>
      <w:r w:rsidR="00C03C3F" w:rsidRPr="00E90355">
        <w:rPr>
          <w:rFonts w:hint="cs"/>
          <w:b/>
          <w:bCs/>
          <w:rtl/>
          <w:lang w:val="fr-CH"/>
        </w:rPr>
        <w:t xml:space="preserve"> نظام العدالة الجنائية، والتي تنص على أن عدم وجود شكاوى وملاحقات وأحكام بشأن أفعال </w:t>
      </w:r>
      <w:r w:rsidR="00D3507D">
        <w:rPr>
          <w:rFonts w:hint="cs"/>
          <w:b/>
          <w:bCs/>
          <w:rtl/>
          <w:lang w:val="fr-CH"/>
        </w:rPr>
        <w:t>ال</w:t>
      </w:r>
      <w:r w:rsidR="00C03C3F" w:rsidRPr="00E90355">
        <w:rPr>
          <w:rFonts w:hint="cs"/>
          <w:b/>
          <w:bCs/>
          <w:rtl/>
          <w:lang w:val="fr-CH"/>
        </w:rPr>
        <w:t xml:space="preserve">تمييز </w:t>
      </w:r>
      <w:r w:rsidR="00D3507D">
        <w:rPr>
          <w:rFonts w:hint="cs"/>
          <w:b/>
          <w:bCs/>
          <w:rtl/>
          <w:lang w:val="fr-CH"/>
        </w:rPr>
        <w:t>ال</w:t>
      </w:r>
      <w:r w:rsidR="00C03C3F" w:rsidRPr="00E90355">
        <w:rPr>
          <w:rFonts w:hint="cs"/>
          <w:b/>
          <w:bCs/>
          <w:rtl/>
          <w:lang w:val="fr-CH"/>
        </w:rPr>
        <w:t xml:space="preserve">عنصري أو ندرتها يمكن أن </w:t>
      </w:r>
      <w:r w:rsidR="00D3507D">
        <w:rPr>
          <w:rFonts w:hint="cs"/>
          <w:b/>
          <w:bCs/>
          <w:rtl/>
          <w:lang w:val="fr-CH"/>
        </w:rPr>
        <w:t xml:space="preserve">يدلا، إما على توفير معلومات </w:t>
      </w:r>
      <w:r w:rsidR="00C03C3F" w:rsidRPr="00E90355">
        <w:rPr>
          <w:rFonts w:hint="cs"/>
          <w:b/>
          <w:bCs/>
          <w:rtl/>
          <w:lang w:val="fr-CH"/>
        </w:rPr>
        <w:t xml:space="preserve">غير كافية للضحايا بشأن حقوقهم، أو </w:t>
      </w:r>
      <w:r w:rsidR="00D3507D">
        <w:rPr>
          <w:rFonts w:hint="cs"/>
          <w:b/>
          <w:bCs/>
          <w:rtl/>
          <w:lang w:val="fr-CH"/>
        </w:rPr>
        <w:t xml:space="preserve">على خشية الضحايا </w:t>
      </w:r>
      <w:r w:rsidR="00C03C3F" w:rsidRPr="00E90355">
        <w:rPr>
          <w:rFonts w:hint="cs"/>
          <w:b/>
          <w:bCs/>
          <w:rtl/>
          <w:lang w:val="fr-CH"/>
        </w:rPr>
        <w:t xml:space="preserve">من التعرض للتأنيب الاجتماعي أو للانتقام، أو خشيتهم من تكبد تكاليف </w:t>
      </w:r>
      <w:r w:rsidR="00F6389B">
        <w:rPr>
          <w:rFonts w:hint="cs"/>
          <w:b/>
          <w:bCs/>
          <w:rtl/>
          <w:lang w:val="fr-CH"/>
        </w:rPr>
        <w:t>الإجراءات</w:t>
      </w:r>
      <w:r w:rsidR="00C03C3F" w:rsidRPr="00E90355">
        <w:rPr>
          <w:rFonts w:hint="cs"/>
          <w:b/>
          <w:bCs/>
          <w:rtl/>
          <w:lang w:val="fr-CH"/>
        </w:rPr>
        <w:t xml:space="preserve"> القضائية وتعقدها، أو عدم الثقة بالشرطة والسلطات القضائية، </w:t>
      </w:r>
      <w:r w:rsidR="00F6389B">
        <w:rPr>
          <w:rFonts w:hint="cs"/>
          <w:b/>
          <w:bCs/>
          <w:rtl/>
          <w:lang w:val="fr-CH"/>
        </w:rPr>
        <w:t>أو عدم انتباه هذه</w:t>
      </w:r>
      <w:r w:rsidR="00C03C3F" w:rsidRPr="00E90355">
        <w:rPr>
          <w:rFonts w:hint="cs"/>
          <w:b/>
          <w:bCs/>
          <w:rtl/>
          <w:lang w:val="fr-CH"/>
        </w:rPr>
        <w:t xml:space="preserve"> السلطات </w:t>
      </w:r>
      <w:r w:rsidR="00F6389B">
        <w:rPr>
          <w:rFonts w:hint="cs"/>
          <w:b/>
          <w:bCs/>
          <w:rtl/>
          <w:lang w:val="fr-CH"/>
        </w:rPr>
        <w:t xml:space="preserve">إلى الجرائم </w:t>
      </w:r>
      <w:r w:rsidR="00C03C3F" w:rsidRPr="00E90355">
        <w:rPr>
          <w:rFonts w:hint="cs"/>
          <w:b/>
          <w:bCs/>
          <w:rtl/>
          <w:lang w:val="fr-CH"/>
        </w:rPr>
        <w:t>التي تنطوي على عنصرية</w:t>
      </w:r>
      <w:r w:rsidR="003C605C">
        <w:rPr>
          <w:rFonts w:hint="cs"/>
          <w:b/>
          <w:bCs/>
          <w:rtl/>
          <w:lang w:val="fr-CH"/>
        </w:rPr>
        <w:t xml:space="preserve"> أو علمها بشكل كاف بها</w:t>
      </w:r>
      <w:r w:rsidR="00C03C3F" w:rsidRPr="00E90355">
        <w:rPr>
          <w:rFonts w:hint="cs"/>
          <w:b/>
          <w:bCs/>
          <w:rtl/>
          <w:lang w:val="fr-CH"/>
        </w:rPr>
        <w:t>. وتوصي اللجنة الدولة الطرف بمدها في تقريرها المقبل ببيانات إحصائية تتناول ما يلي:</w:t>
      </w:r>
    </w:p>
    <w:p w:rsidR="00C03C3F" w:rsidRPr="00E90355" w:rsidRDefault="0034594A" w:rsidP="0034594A">
      <w:pPr>
        <w:pStyle w:val="SingleTxtGA"/>
        <w:ind w:left="1928" w:hanging="1928"/>
        <w:rPr>
          <w:rFonts w:hint="cs"/>
          <w:b/>
          <w:bCs/>
          <w:rtl/>
          <w:lang w:val="fr-CH"/>
        </w:rPr>
      </w:pPr>
      <w:r>
        <w:rPr>
          <w:rFonts w:hint="cs"/>
          <w:b/>
          <w:bCs/>
          <w:rtl/>
          <w:lang w:val="fr-CH"/>
        </w:rPr>
        <w:tab/>
      </w:r>
      <w:r w:rsidR="00C03C3F" w:rsidRPr="00E90355">
        <w:rPr>
          <w:rFonts w:hint="cs"/>
          <w:b/>
          <w:bCs/>
          <w:rtl/>
          <w:lang w:val="fr-CH"/>
        </w:rPr>
        <w:tab/>
        <w:t>(أ)</w:t>
      </w:r>
      <w:r w:rsidR="00C03C3F" w:rsidRPr="00E90355">
        <w:rPr>
          <w:rFonts w:hint="cs"/>
          <w:b/>
          <w:bCs/>
          <w:rtl/>
          <w:lang w:val="fr-CH"/>
        </w:rPr>
        <w:tab/>
        <w:t>عدد الشكاوى والملاحقات والإدانات المتعلقة بالتمييز العنصري؛</w:t>
      </w:r>
    </w:p>
    <w:p w:rsidR="00C03C3F" w:rsidRPr="00E90355" w:rsidRDefault="0034594A" w:rsidP="0034594A">
      <w:pPr>
        <w:pStyle w:val="SingleTxtGA"/>
        <w:ind w:left="1928" w:hanging="1928"/>
        <w:rPr>
          <w:rFonts w:hint="cs"/>
          <w:b/>
          <w:bCs/>
          <w:rtl/>
          <w:lang w:val="fr-CH"/>
        </w:rPr>
      </w:pPr>
      <w:r>
        <w:rPr>
          <w:rFonts w:hint="cs"/>
          <w:b/>
          <w:bCs/>
          <w:rtl/>
          <w:lang w:val="fr-CH"/>
        </w:rPr>
        <w:tab/>
      </w:r>
      <w:r w:rsidR="00C03C3F" w:rsidRPr="00E90355">
        <w:rPr>
          <w:rFonts w:hint="cs"/>
          <w:b/>
          <w:bCs/>
          <w:rtl/>
          <w:lang w:val="fr-CH"/>
        </w:rPr>
        <w:tab/>
        <w:t>(ب)</w:t>
      </w:r>
      <w:r w:rsidR="00C03C3F" w:rsidRPr="00E90355">
        <w:rPr>
          <w:rFonts w:hint="cs"/>
          <w:b/>
          <w:bCs/>
          <w:rtl/>
          <w:lang w:val="fr-CH"/>
        </w:rPr>
        <w:tab/>
      </w:r>
      <w:r w:rsidR="00C03C3F" w:rsidRPr="0034594A">
        <w:rPr>
          <w:rFonts w:hint="cs"/>
          <w:b/>
          <w:bCs/>
          <w:rtl/>
        </w:rPr>
        <w:t>تدابير</w:t>
      </w:r>
      <w:r w:rsidR="00C03C3F" w:rsidRPr="00E90355">
        <w:rPr>
          <w:rFonts w:hint="cs"/>
          <w:b/>
          <w:bCs/>
          <w:rtl/>
          <w:lang w:val="fr-CH"/>
        </w:rPr>
        <w:t xml:space="preserve"> التعويض الصادرة عن محاكم الدولة الطرف عقب هذه الإدانات؛</w:t>
      </w:r>
    </w:p>
    <w:p w:rsidR="00C03C3F" w:rsidRPr="00E90355" w:rsidRDefault="0034594A" w:rsidP="0034594A">
      <w:pPr>
        <w:pStyle w:val="SingleTxtGA"/>
        <w:ind w:left="1928" w:hanging="1928"/>
        <w:rPr>
          <w:rFonts w:hint="cs"/>
          <w:b/>
          <w:bCs/>
          <w:rtl/>
          <w:lang w:val="fr-CH"/>
        </w:rPr>
      </w:pPr>
      <w:r>
        <w:rPr>
          <w:rFonts w:hint="cs"/>
          <w:b/>
          <w:bCs/>
          <w:rtl/>
          <w:lang w:val="fr-CH"/>
        </w:rPr>
        <w:tab/>
      </w:r>
      <w:r w:rsidR="00C03C3F" w:rsidRPr="00E90355">
        <w:rPr>
          <w:rFonts w:hint="cs"/>
          <w:b/>
          <w:bCs/>
          <w:rtl/>
          <w:lang w:val="fr-CH"/>
        </w:rPr>
        <w:tab/>
        <w:t>(ج)</w:t>
      </w:r>
      <w:r w:rsidR="00C03C3F" w:rsidRPr="00E90355">
        <w:rPr>
          <w:rFonts w:hint="cs"/>
          <w:b/>
          <w:bCs/>
          <w:rtl/>
          <w:lang w:val="fr-CH"/>
        </w:rPr>
        <w:tab/>
        <w:t>إعلام الجمهور بجميع سبل التظلم المتاحة في مجال التمييز العنصري.</w:t>
      </w:r>
    </w:p>
    <w:p w:rsidR="00C03C3F" w:rsidRPr="00E90355" w:rsidRDefault="0034594A" w:rsidP="0034594A">
      <w:pPr>
        <w:pStyle w:val="SingleTxtGA"/>
        <w:ind w:left="1928" w:hanging="1928"/>
        <w:rPr>
          <w:rFonts w:hint="cs"/>
          <w:b/>
          <w:bCs/>
          <w:rtl/>
          <w:lang w:val="fr-CH"/>
        </w:rPr>
      </w:pPr>
      <w:r>
        <w:rPr>
          <w:rFonts w:hint="cs"/>
          <w:b/>
          <w:bCs/>
          <w:rtl/>
          <w:lang w:val="fr-CH"/>
        </w:rPr>
        <w:tab/>
      </w:r>
      <w:r w:rsidR="00C03C3F" w:rsidRPr="00E90355">
        <w:rPr>
          <w:rFonts w:hint="cs"/>
          <w:b/>
          <w:bCs/>
          <w:rtl/>
          <w:lang w:val="fr-CH"/>
        </w:rPr>
        <w:t>وتوصي اللجنة الدولة الطرف كذلك بمدها بمعلومات عن الأساليب التي تمكن من إبلاغ الأشخاص، وبخاصة الأجانب، بحقوقهم فيما يتعلق بالأعمال العنصرية أو ذات الصلة بالتمييز العنصري وبآليات تقديم الشكاوى (المادة 6).</w:t>
      </w:r>
    </w:p>
    <w:p w:rsidR="00C03C3F" w:rsidRDefault="00C03C3F" w:rsidP="0069161E">
      <w:pPr>
        <w:pStyle w:val="SingleTxtGA"/>
        <w:rPr>
          <w:rFonts w:hint="cs"/>
          <w:rtl/>
          <w:lang w:val="fr-CH"/>
        </w:rPr>
      </w:pPr>
      <w:r>
        <w:rPr>
          <w:rFonts w:hint="cs"/>
          <w:rtl/>
          <w:lang w:val="fr-CH"/>
        </w:rPr>
        <w:t>15-</w:t>
      </w:r>
      <w:r>
        <w:rPr>
          <w:rFonts w:hint="cs"/>
          <w:rtl/>
          <w:lang w:val="fr-CH"/>
        </w:rPr>
        <w:tab/>
        <w:t xml:space="preserve">وإذ لا يغيب عن بال اللجنة عدم </w:t>
      </w:r>
      <w:r w:rsidR="0069161E">
        <w:rPr>
          <w:rFonts w:hint="cs"/>
          <w:rtl/>
          <w:lang w:val="fr-CH"/>
        </w:rPr>
        <w:t xml:space="preserve">قابلية </w:t>
      </w:r>
      <w:r>
        <w:rPr>
          <w:rFonts w:hint="cs"/>
          <w:rtl/>
          <w:lang w:val="fr-CH"/>
        </w:rPr>
        <w:t>حقوق الإنسان كافة</w:t>
      </w:r>
      <w:r w:rsidR="0069161E">
        <w:rPr>
          <w:rFonts w:hint="cs"/>
          <w:rtl/>
          <w:lang w:val="fr-CH"/>
        </w:rPr>
        <w:t xml:space="preserve"> للتجزئة</w:t>
      </w:r>
      <w:r>
        <w:rPr>
          <w:rFonts w:hint="cs"/>
          <w:rtl/>
          <w:lang w:val="fr-CH"/>
        </w:rPr>
        <w:t xml:space="preserve">، فإنها تشجع الدولة الطرف على النظر في الانضمام إلى الصكوك الدولية المتعلقة بحقوق الإنسان التي لم تنضم إليها بعد، ولا سيما الصكوك التي تتضمن أحكاماً </w:t>
      </w:r>
      <w:r w:rsidR="0069161E">
        <w:rPr>
          <w:rFonts w:hint="cs"/>
          <w:rtl/>
          <w:lang w:val="fr-CH"/>
        </w:rPr>
        <w:t xml:space="preserve">ذات أثر مباشر على </w:t>
      </w:r>
      <w:r>
        <w:rPr>
          <w:rFonts w:hint="cs"/>
          <w:rtl/>
          <w:lang w:val="fr-CH"/>
        </w:rPr>
        <w:t xml:space="preserve">مسألة التمييز العنصري، مثل الاتفاقية الدولية لحماية حقوق جميع العمال المهاجرين وأفراد </w:t>
      </w:r>
      <w:r w:rsidR="0069161E">
        <w:rPr>
          <w:rFonts w:hint="cs"/>
          <w:rtl/>
          <w:lang w:val="fr-CH"/>
        </w:rPr>
        <w:t xml:space="preserve">                </w:t>
      </w:r>
      <w:r>
        <w:rPr>
          <w:rFonts w:hint="cs"/>
          <w:rtl/>
          <w:lang w:val="fr-CH"/>
        </w:rPr>
        <w:t>أسرهم (1990).</w:t>
      </w:r>
    </w:p>
    <w:p w:rsidR="00C03C3F" w:rsidRDefault="00C03C3F" w:rsidP="00923584">
      <w:pPr>
        <w:pStyle w:val="SingleTxtGA"/>
        <w:rPr>
          <w:rFonts w:hint="cs"/>
          <w:rtl/>
        </w:rPr>
      </w:pPr>
      <w:r>
        <w:rPr>
          <w:rFonts w:hint="cs"/>
          <w:rtl/>
          <w:lang w:val="fr-CH"/>
        </w:rPr>
        <w:t>16-</w:t>
      </w:r>
      <w:r>
        <w:rPr>
          <w:rFonts w:hint="cs"/>
          <w:rtl/>
          <w:lang w:val="fr-CH"/>
        </w:rPr>
        <w:tab/>
      </w:r>
      <w:r>
        <w:rPr>
          <w:rFonts w:hint="cs"/>
          <w:rtl/>
        </w:rPr>
        <w:t>و</w:t>
      </w:r>
      <w:r w:rsidR="008B4D0D">
        <w:rPr>
          <w:rFonts w:hint="cs"/>
          <w:rtl/>
        </w:rPr>
        <w:t>توصي اللجنة الدولة الطرف، في ضوء توصيتها العامة رقم 33</w:t>
      </w:r>
      <w:r>
        <w:rPr>
          <w:rFonts w:hint="cs"/>
          <w:rtl/>
        </w:rPr>
        <w:t>(2009) الخاصة بمتابعة مؤتمر استعراض نتائج ديربان، بأن تضع في اعتبارها إعلان وبرنامج عمل ديربان اللذين اعتمدهما المؤتمر العالمي لمكافحة العنصرية والتمييز العنصري وكره الأجانب وما يتصل بذلك من تعصب في أيلول/سبتمبر 2001، وكذلك الوثيقة الختامية لمؤتمر استعراض نتائج ديربان المعقود في جنيف في نيسان/أبريل 2009، وذلك عند تطبيق الاتفاقية في نظامها القانوني الداخلي. وتطلب اللجنة إلى الدولة الطرف أن تدرج في تقريرها الدوري القادم معلومات محددة عن خطط العمل والتدابير الأخرى التي تتخذها لتنفيذ إعلان وبرنامج عمل ديربان على المستوى الوطني.</w:t>
      </w:r>
    </w:p>
    <w:p w:rsidR="00C03C3F" w:rsidRDefault="00C03C3F" w:rsidP="00CF247F">
      <w:pPr>
        <w:pStyle w:val="SingleTxtGA"/>
        <w:rPr>
          <w:rFonts w:hint="cs"/>
          <w:rtl/>
        </w:rPr>
      </w:pPr>
      <w:r>
        <w:rPr>
          <w:rFonts w:hint="cs"/>
          <w:rtl/>
        </w:rPr>
        <w:t>17-</w:t>
      </w:r>
      <w:r>
        <w:rPr>
          <w:rFonts w:hint="cs"/>
          <w:rtl/>
        </w:rPr>
        <w:tab/>
        <w:t xml:space="preserve">وتوصي اللجنة الدولة الطرف بأن تواصل التشاور وتوسيع نطاق الحوار الذي تجريه في إطار خلية حقوق الإنسان </w:t>
      </w:r>
      <w:r w:rsidR="00CF247F">
        <w:rPr>
          <w:rFonts w:hint="cs"/>
          <w:rtl/>
        </w:rPr>
        <w:t xml:space="preserve">بشأن </w:t>
      </w:r>
      <w:r>
        <w:rPr>
          <w:rFonts w:hint="cs"/>
          <w:rtl/>
        </w:rPr>
        <w:t xml:space="preserve">إعداد </w:t>
      </w:r>
      <w:r w:rsidR="00CF247F">
        <w:rPr>
          <w:rFonts w:hint="cs"/>
          <w:rtl/>
        </w:rPr>
        <w:t xml:space="preserve">تقريرها </w:t>
      </w:r>
      <w:r>
        <w:rPr>
          <w:rFonts w:hint="cs"/>
          <w:rtl/>
        </w:rPr>
        <w:t xml:space="preserve">الدوري المقبل. وتشجع اللجنة الدولة الطرف، إضافة إلى ذلك، على </w:t>
      </w:r>
      <w:r w:rsidR="00CF247F">
        <w:rPr>
          <w:rFonts w:hint="cs"/>
          <w:rtl/>
        </w:rPr>
        <w:t>تشجيع</w:t>
      </w:r>
      <w:r>
        <w:rPr>
          <w:rFonts w:hint="cs"/>
          <w:rtl/>
        </w:rPr>
        <w:t xml:space="preserve"> إنشاء منظمات غير حكومية </w:t>
      </w:r>
      <w:r w:rsidR="00CF247F">
        <w:rPr>
          <w:rFonts w:hint="cs"/>
          <w:rtl/>
        </w:rPr>
        <w:t>تعنى ب</w:t>
      </w:r>
      <w:r>
        <w:rPr>
          <w:rFonts w:hint="cs"/>
          <w:rtl/>
        </w:rPr>
        <w:t>حقوق الإنسان في إمارة موناكو.</w:t>
      </w:r>
    </w:p>
    <w:p w:rsidR="00C03C3F" w:rsidRDefault="00C03C3F" w:rsidP="00A03546">
      <w:pPr>
        <w:pStyle w:val="SingleTxtGA"/>
        <w:rPr>
          <w:rFonts w:hint="cs"/>
          <w:rtl/>
        </w:rPr>
      </w:pPr>
      <w:r>
        <w:rPr>
          <w:rFonts w:hint="cs"/>
          <w:rtl/>
        </w:rPr>
        <w:t>18-</w:t>
      </w:r>
      <w:r>
        <w:rPr>
          <w:rFonts w:hint="cs"/>
          <w:rtl/>
        </w:rPr>
        <w:tab/>
        <w:t xml:space="preserve">وتوصي اللجنة بأن تصدق الدولة الطرف على تعديلات الفقرة 6 من المادة 8 من الاتفاقية، المعتمدة في 15 كانون الثاني/يناير 1992 في الاجتماع الرابع عشر للدول الأطراف في الاتفاقية (انظر </w:t>
      </w:r>
      <w:r>
        <w:t>CERD/SP/45</w:t>
      </w:r>
      <w:r>
        <w:rPr>
          <w:rFonts w:hint="cs"/>
          <w:rtl/>
        </w:rPr>
        <w:t>، المرفق) والتي أقرتها الجمعية العامة في</w:t>
      </w:r>
      <w:r w:rsidR="00867849">
        <w:rPr>
          <w:rFonts w:hint="cs"/>
          <w:rtl/>
        </w:rPr>
        <w:t xml:space="preserve">                </w:t>
      </w:r>
      <w:r>
        <w:rPr>
          <w:rFonts w:hint="cs"/>
          <w:rtl/>
        </w:rPr>
        <w:t xml:space="preserve"> قرارها 47/111. وفي هذا الصدد، تشير اللجنة إلى </w:t>
      </w:r>
      <w:r w:rsidR="00970A62">
        <w:rPr>
          <w:rFonts w:hint="cs"/>
          <w:rtl/>
        </w:rPr>
        <w:t xml:space="preserve">الفقرة 14 من </w:t>
      </w:r>
      <w:r>
        <w:rPr>
          <w:rFonts w:hint="cs"/>
          <w:rtl/>
        </w:rPr>
        <w:t xml:space="preserve">قرار الجمعية </w:t>
      </w:r>
      <w:r w:rsidR="00867849">
        <w:rPr>
          <w:rFonts w:hint="cs"/>
          <w:rtl/>
        </w:rPr>
        <w:t xml:space="preserve">             </w:t>
      </w:r>
      <w:r>
        <w:rPr>
          <w:rFonts w:hint="cs"/>
          <w:rtl/>
        </w:rPr>
        <w:t xml:space="preserve">العامة 61/148 </w:t>
      </w:r>
      <w:r w:rsidR="00970A62">
        <w:rPr>
          <w:rFonts w:hint="cs"/>
          <w:rtl/>
        </w:rPr>
        <w:t xml:space="preserve">التي </w:t>
      </w:r>
      <w:r>
        <w:rPr>
          <w:rFonts w:hint="cs"/>
          <w:rtl/>
        </w:rPr>
        <w:t>حثت فيه</w:t>
      </w:r>
      <w:r w:rsidR="00970A62">
        <w:rPr>
          <w:rFonts w:hint="cs"/>
          <w:rtl/>
        </w:rPr>
        <w:t>ا الجمعية العامة</w:t>
      </w:r>
      <w:r>
        <w:rPr>
          <w:rFonts w:hint="cs"/>
          <w:rtl/>
        </w:rPr>
        <w:t xml:space="preserve"> بشدة</w:t>
      </w:r>
      <w:r w:rsidRPr="00EB6C62">
        <w:rPr>
          <w:rtl/>
        </w:rPr>
        <w:t xml:space="preserve"> الدول الأطراف </w:t>
      </w:r>
      <w:r w:rsidR="00970A62">
        <w:rPr>
          <w:rFonts w:hint="cs"/>
          <w:rtl/>
        </w:rPr>
        <w:t xml:space="preserve">في الاتفاقية </w:t>
      </w:r>
      <w:r w:rsidRPr="00EB6C62">
        <w:rPr>
          <w:rtl/>
        </w:rPr>
        <w:t>على التعجيل باتخاذ إجراءات</w:t>
      </w:r>
      <w:r>
        <w:rPr>
          <w:rFonts w:hint="cs"/>
          <w:rtl/>
        </w:rPr>
        <w:t>ها</w:t>
      </w:r>
      <w:r w:rsidRPr="00EB6C62">
        <w:rPr>
          <w:rtl/>
        </w:rPr>
        <w:t xml:space="preserve"> </w:t>
      </w:r>
      <w:r>
        <w:rPr>
          <w:rFonts w:hint="cs"/>
          <w:rtl/>
        </w:rPr>
        <w:t>ال</w:t>
      </w:r>
      <w:r w:rsidRPr="00EB6C62">
        <w:rPr>
          <w:rtl/>
        </w:rPr>
        <w:t>داخ</w:t>
      </w:r>
      <w:r>
        <w:rPr>
          <w:rtl/>
        </w:rPr>
        <w:t xml:space="preserve">لية للتصديق على </w:t>
      </w:r>
      <w:r>
        <w:rPr>
          <w:rFonts w:hint="cs"/>
          <w:rtl/>
        </w:rPr>
        <w:t>ال</w:t>
      </w:r>
      <w:r w:rsidR="00970A62">
        <w:rPr>
          <w:rtl/>
        </w:rPr>
        <w:t>تعدي</w:t>
      </w:r>
      <w:r w:rsidR="00970A62">
        <w:rPr>
          <w:rFonts w:hint="cs"/>
          <w:rtl/>
        </w:rPr>
        <w:t>لات</w:t>
      </w:r>
      <w:r w:rsidRPr="00EB6C62">
        <w:rPr>
          <w:rtl/>
        </w:rPr>
        <w:t xml:space="preserve"> وعلى إخطار الأمين العام </w:t>
      </w:r>
      <w:r>
        <w:rPr>
          <w:rFonts w:hint="cs"/>
          <w:rtl/>
        </w:rPr>
        <w:t xml:space="preserve">خطياً </w:t>
      </w:r>
      <w:r w:rsidR="00A03546">
        <w:rPr>
          <w:rFonts w:hint="cs"/>
          <w:rtl/>
        </w:rPr>
        <w:t xml:space="preserve">في أقرب وقت، </w:t>
      </w:r>
      <w:r w:rsidRPr="00EB6C62">
        <w:rPr>
          <w:rtl/>
        </w:rPr>
        <w:t>بموافقتها على</w:t>
      </w:r>
      <w:r w:rsidR="00A03546">
        <w:rPr>
          <w:rFonts w:hint="cs"/>
          <w:rtl/>
        </w:rPr>
        <w:t xml:space="preserve"> هذه التعديلات</w:t>
      </w:r>
      <w:r>
        <w:rPr>
          <w:rFonts w:hint="cs"/>
          <w:rtl/>
        </w:rPr>
        <w:t>.</w:t>
      </w:r>
    </w:p>
    <w:p w:rsidR="00C03C3F" w:rsidRDefault="00C03C3F" w:rsidP="004D3523">
      <w:pPr>
        <w:pStyle w:val="SingleTxtGA"/>
        <w:rPr>
          <w:rFonts w:hint="cs"/>
          <w:rtl/>
        </w:rPr>
      </w:pPr>
      <w:r>
        <w:rPr>
          <w:rFonts w:hint="cs"/>
          <w:rtl/>
        </w:rPr>
        <w:t>19-</w:t>
      </w:r>
      <w:r>
        <w:rPr>
          <w:rFonts w:hint="cs"/>
          <w:rtl/>
        </w:rPr>
        <w:tab/>
        <w:t>وتوصي اللجنة الدولة الطرف بأن تيسّر حصول الجمهور على تقارير الدولة الطرف فور تقديمها، وبأن تصدر ملاحظات اللجنة عقب النظر في هذه التقارير</w:t>
      </w:r>
      <w:r w:rsidR="004D3523">
        <w:rPr>
          <w:rFonts w:hint="cs"/>
          <w:rtl/>
        </w:rPr>
        <w:t>،</w:t>
      </w:r>
      <w:r>
        <w:rPr>
          <w:rFonts w:hint="cs"/>
          <w:rtl/>
        </w:rPr>
        <w:t xml:space="preserve"> بلغاتها الرسمية وباللغات الأخرى المستعملة عامة، حسب الاقتضاء. </w:t>
      </w:r>
    </w:p>
    <w:p w:rsidR="00C03C3F" w:rsidRDefault="00C03C3F" w:rsidP="004D3523">
      <w:pPr>
        <w:pStyle w:val="SingleTxtGA"/>
        <w:rPr>
          <w:rFonts w:hint="cs"/>
          <w:rtl/>
        </w:rPr>
      </w:pPr>
      <w:r>
        <w:rPr>
          <w:rFonts w:hint="cs"/>
          <w:rtl/>
        </w:rPr>
        <w:t>20-</w:t>
      </w:r>
      <w:r>
        <w:rPr>
          <w:rFonts w:hint="cs"/>
          <w:rtl/>
        </w:rPr>
        <w:tab/>
        <w:t xml:space="preserve">ووفقاً لأحكام الفقرة 1 من المادة 9 من الاتفاقية والمادة 65 من نظامها </w:t>
      </w:r>
      <w:r w:rsidR="004D3523">
        <w:rPr>
          <w:rFonts w:hint="cs"/>
          <w:rtl/>
        </w:rPr>
        <w:t xml:space="preserve">                 </w:t>
      </w:r>
      <w:r>
        <w:rPr>
          <w:rFonts w:hint="cs"/>
          <w:rtl/>
        </w:rPr>
        <w:t xml:space="preserve">الداخلي المعدل، تطلب </w:t>
      </w:r>
      <w:r w:rsidR="004D3523">
        <w:rPr>
          <w:rFonts w:hint="cs"/>
          <w:rtl/>
        </w:rPr>
        <w:t>اللجنة إلى الدولة الطرف تزويدها</w:t>
      </w:r>
      <w:r>
        <w:rPr>
          <w:rFonts w:hint="cs"/>
          <w:rtl/>
        </w:rPr>
        <w:t xml:space="preserve"> في غضون سنة واحدة من</w:t>
      </w:r>
      <w:r w:rsidR="004D3523">
        <w:rPr>
          <w:rFonts w:hint="cs"/>
          <w:rtl/>
        </w:rPr>
        <w:t xml:space="preserve">            </w:t>
      </w:r>
      <w:r>
        <w:rPr>
          <w:rFonts w:hint="cs"/>
          <w:rtl/>
        </w:rPr>
        <w:t xml:space="preserve"> اعتماد</w:t>
      </w:r>
      <w:r w:rsidR="004D3523">
        <w:rPr>
          <w:rFonts w:hint="cs"/>
          <w:rtl/>
        </w:rPr>
        <w:t xml:space="preserve"> </w:t>
      </w:r>
      <w:r>
        <w:rPr>
          <w:rFonts w:hint="cs"/>
          <w:rtl/>
        </w:rPr>
        <w:t xml:space="preserve">هذه </w:t>
      </w:r>
      <w:r w:rsidR="004D3523">
        <w:rPr>
          <w:rFonts w:hint="cs"/>
          <w:rtl/>
        </w:rPr>
        <w:t>الملاحظات الختامية</w:t>
      </w:r>
      <w:r>
        <w:rPr>
          <w:rFonts w:hint="cs"/>
          <w:rtl/>
        </w:rPr>
        <w:t xml:space="preserve">، </w:t>
      </w:r>
      <w:r w:rsidR="004D3523">
        <w:rPr>
          <w:rFonts w:hint="cs"/>
          <w:rtl/>
        </w:rPr>
        <w:t xml:space="preserve">بمعلومات </w:t>
      </w:r>
      <w:r>
        <w:rPr>
          <w:rFonts w:hint="cs"/>
          <w:rtl/>
        </w:rPr>
        <w:t>بشأن متابعتها للتوصيات الواردة في</w:t>
      </w:r>
      <w:r w:rsidR="004D3523">
        <w:rPr>
          <w:rFonts w:hint="cs"/>
          <w:rtl/>
        </w:rPr>
        <w:t xml:space="preserve">            </w:t>
      </w:r>
      <w:r>
        <w:rPr>
          <w:rFonts w:hint="cs"/>
          <w:rtl/>
        </w:rPr>
        <w:t xml:space="preserve"> الفقرات 7 و10 و11 أعلاه. </w:t>
      </w:r>
    </w:p>
    <w:p w:rsidR="00C03C3F" w:rsidRDefault="00C03C3F" w:rsidP="000524B4">
      <w:pPr>
        <w:pStyle w:val="SingleTxtGA"/>
        <w:rPr>
          <w:rFonts w:hint="cs"/>
          <w:rtl/>
        </w:rPr>
      </w:pPr>
      <w:r>
        <w:rPr>
          <w:rFonts w:hint="cs"/>
          <w:rtl/>
        </w:rPr>
        <w:t>21-</w:t>
      </w:r>
      <w:r>
        <w:rPr>
          <w:rFonts w:hint="cs"/>
          <w:rtl/>
        </w:rPr>
        <w:tab/>
        <w:t>كما ترغب اللجنة في لفت انتباه الدولة الطرف إلى الأهمية الخاصة للتوصيات الواردة في الفقرات</w:t>
      </w:r>
      <w:r w:rsidR="005750A7">
        <w:rPr>
          <w:rFonts w:hint="cs"/>
          <w:rtl/>
        </w:rPr>
        <w:t xml:space="preserve"> </w:t>
      </w:r>
      <w:r>
        <w:rPr>
          <w:rFonts w:hint="cs"/>
          <w:rtl/>
        </w:rPr>
        <w:t>6</w:t>
      </w:r>
      <w:r w:rsidR="005750A7">
        <w:rPr>
          <w:rFonts w:hint="cs"/>
          <w:rtl/>
        </w:rPr>
        <w:t xml:space="preserve"> </w:t>
      </w:r>
      <w:r>
        <w:rPr>
          <w:rFonts w:hint="cs"/>
          <w:rtl/>
        </w:rPr>
        <w:t xml:space="preserve">و8 و14، وتطلب </w:t>
      </w:r>
      <w:r w:rsidR="000524B4">
        <w:rPr>
          <w:rFonts w:hint="cs"/>
          <w:rtl/>
        </w:rPr>
        <w:t xml:space="preserve">إليها أن تقدم </w:t>
      </w:r>
      <w:r>
        <w:rPr>
          <w:rFonts w:hint="cs"/>
          <w:rtl/>
        </w:rPr>
        <w:t xml:space="preserve">في تقريرها الدوري المقبل </w:t>
      </w:r>
      <w:r w:rsidR="000524B4">
        <w:rPr>
          <w:rFonts w:hint="cs"/>
          <w:rtl/>
        </w:rPr>
        <w:t xml:space="preserve">معلومات تفصيلية عن </w:t>
      </w:r>
      <w:r>
        <w:rPr>
          <w:rFonts w:hint="cs"/>
          <w:rtl/>
        </w:rPr>
        <w:t xml:space="preserve">التدابير الملموسة </w:t>
      </w:r>
      <w:r w:rsidR="000524B4">
        <w:rPr>
          <w:rFonts w:hint="cs"/>
          <w:rtl/>
        </w:rPr>
        <w:t xml:space="preserve">والمناسبة التي اتخذتها </w:t>
      </w:r>
      <w:r>
        <w:rPr>
          <w:rFonts w:hint="cs"/>
          <w:rtl/>
        </w:rPr>
        <w:t xml:space="preserve">لتنفيذ هذه التوصيات بصورة فعالة. </w:t>
      </w:r>
    </w:p>
    <w:p w:rsidR="00C03C3F" w:rsidRDefault="00C03C3F" w:rsidP="00234817">
      <w:pPr>
        <w:pStyle w:val="SingleTxtGA"/>
        <w:rPr>
          <w:rFonts w:hint="cs"/>
          <w:rtl/>
        </w:rPr>
      </w:pPr>
      <w:r>
        <w:rPr>
          <w:rFonts w:hint="cs"/>
          <w:rtl/>
        </w:rPr>
        <w:t>22-</w:t>
      </w:r>
      <w:r>
        <w:rPr>
          <w:rFonts w:hint="cs"/>
          <w:rtl/>
        </w:rPr>
        <w:tab/>
        <w:t xml:space="preserve">وتوصي اللجنة بأن تقدم الدولة الطرف تقاريرها الدورية السابع والثامن والتاسع في وثيقة واحدة، في موعد أقصاه 7 تشرين الأول/أكتوبر 2012، مع مراعاة المبادئ التوجيهية </w:t>
      </w:r>
      <w:r w:rsidR="00234817">
        <w:rPr>
          <w:rFonts w:hint="cs"/>
          <w:rtl/>
        </w:rPr>
        <w:t xml:space="preserve">لإعداد الوثيقة المتعلقة على وجه التحديد بالاتفاقية، التي اعتمدتها </w:t>
      </w:r>
      <w:r>
        <w:rPr>
          <w:rFonts w:hint="cs"/>
          <w:rtl/>
        </w:rPr>
        <w:t xml:space="preserve">اللجنة </w:t>
      </w:r>
      <w:r w:rsidR="00234817">
        <w:rPr>
          <w:rFonts w:hint="cs"/>
          <w:rtl/>
        </w:rPr>
        <w:t xml:space="preserve">في </w:t>
      </w:r>
      <w:r>
        <w:rPr>
          <w:rFonts w:hint="cs"/>
          <w:rtl/>
        </w:rPr>
        <w:t xml:space="preserve">دورتها الحادية والسبعين </w:t>
      </w:r>
      <w:r>
        <w:t>(CERD/C/2007/1)</w:t>
      </w:r>
      <w:r>
        <w:rPr>
          <w:rFonts w:hint="cs"/>
          <w:rtl/>
        </w:rPr>
        <w:t xml:space="preserve">، وبأن تعالج </w:t>
      </w:r>
      <w:r w:rsidR="00234817">
        <w:rPr>
          <w:rFonts w:hint="cs"/>
          <w:rtl/>
        </w:rPr>
        <w:t xml:space="preserve">تلك الوثيقة </w:t>
      </w:r>
      <w:r>
        <w:rPr>
          <w:rFonts w:hint="cs"/>
          <w:rtl/>
        </w:rPr>
        <w:t>جميع النقاط المطروحة في هذه الملاحظات الختامية.</w:t>
      </w:r>
    </w:p>
    <w:p w:rsidR="00563655" w:rsidRPr="00234817" w:rsidRDefault="00234817" w:rsidP="00234817">
      <w:pPr>
        <w:spacing w:before="120"/>
        <w:jc w:val="center"/>
        <w:rPr>
          <w:rFonts w:hint="cs"/>
          <w:u w:val="single"/>
          <w:rtl/>
        </w:rPr>
      </w:pPr>
      <w:r>
        <w:rPr>
          <w:u w:val="single"/>
          <w:rtl/>
        </w:rPr>
        <w:tab/>
      </w:r>
      <w:r>
        <w:rPr>
          <w:u w:val="single"/>
          <w:rtl/>
        </w:rPr>
        <w:tab/>
      </w:r>
      <w:r>
        <w:rPr>
          <w:u w:val="single"/>
          <w:rtl/>
        </w:rPr>
        <w:tab/>
      </w:r>
    </w:p>
    <w:sectPr w:rsidR="00563655" w:rsidRPr="0023481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9D" w:rsidRPr="00FE6865" w:rsidRDefault="00641D9D" w:rsidP="00FE6865">
      <w:pPr>
        <w:pStyle w:val="Footer"/>
      </w:pPr>
    </w:p>
  </w:endnote>
  <w:endnote w:type="continuationSeparator" w:id="0">
    <w:p w:rsidR="00641D9D" w:rsidRDefault="0064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64" w:rsidRPr="00F54764" w:rsidRDefault="00F54764" w:rsidP="00F54764">
    <w:pPr>
      <w:pStyle w:val="Footer"/>
      <w:tabs>
        <w:tab w:val="right" w:pos="9598"/>
      </w:tabs>
    </w:pPr>
    <w:r>
      <w:t>GE.10-41357</w:t>
    </w:r>
    <w:r>
      <w:tab/>
    </w:r>
    <w:r w:rsidRPr="00F54764">
      <w:rPr>
        <w:b/>
        <w:sz w:val="18"/>
      </w:rPr>
      <w:fldChar w:fldCharType="begin"/>
    </w:r>
    <w:r w:rsidRPr="00F54764">
      <w:rPr>
        <w:b/>
        <w:sz w:val="18"/>
      </w:rPr>
      <w:instrText xml:space="preserve"> PAGE  \* MERGEFORMAT </w:instrText>
    </w:r>
    <w:r w:rsidRPr="00F54764">
      <w:rPr>
        <w:b/>
        <w:sz w:val="18"/>
      </w:rPr>
      <w:fldChar w:fldCharType="separate"/>
    </w:r>
    <w:r w:rsidR="00CC1D9A">
      <w:rPr>
        <w:b/>
        <w:noProof/>
        <w:sz w:val="18"/>
      </w:rPr>
      <w:t>6</w:t>
    </w:r>
    <w:r w:rsidRPr="00F5476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64" w:rsidRPr="00F54764" w:rsidRDefault="00F54764" w:rsidP="00F54764">
    <w:pPr>
      <w:pStyle w:val="Footer"/>
      <w:tabs>
        <w:tab w:val="right" w:pos="9598"/>
      </w:tabs>
      <w:rPr>
        <w:b/>
        <w:sz w:val="18"/>
      </w:rPr>
    </w:pPr>
    <w:r w:rsidRPr="00F54764">
      <w:rPr>
        <w:b/>
        <w:sz w:val="18"/>
      </w:rPr>
      <w:fldChar w:fldCharType="begin"/>
    </w:r>
    <w:r w:rsidRPr="00F54764">
      <w:rPr>
        <w:b/>
        <w:sz w:val="18"/>
      </w:rPr>
      <w:instrText xml:space="preserve"> PAGE  \* MERGEFORMAT </w:instrText>
    </w:r>
    <w:r w:rsidRPr="00F54764">
      <w:rPr>
        <w:b/>
        <w:sz w:val="18"/>
      </w:rPr>
      <w:fldChar w:fldCharType="separate"/>
    </w:r>
    <w:r w:rsidR="00CC1D9A">
      <w:rPr>
        <w:b/>
        <w:noProof/>
        <w:sz w:val="18"/>
      </w:rPr>
      <w:t>5</w:t>
    </w:r>
    <w:r w:rsidRPr="00F54764">
      <w:rPr>
        <w:b/>
        <w:sz w:val="18"/>
      </w:rPr>
      <w:fldChar w:fldCharType="end"/>
    </w:r>
    <w:r>
      <w:rPr>
        <w:b/>
        <w:sz w:val="18"/>
      </w:rPr>
      <w:tab/>
    </w:r>
    <w:r>
      <w:t>GE.10-41357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72" w:rsidRDefault="00F54764" w:rsidP="00C027C2">
    <w:pPr>
      <w:pStyle w:val="Footer"/>
      <w:jc w:val="right"/>
    </w:pPr>
    <w:r>
      <w:rPr>
        <w:sz w:val="20"/>
      </w:rPr>
      <w:t>(A)</w:t>
    </w:r>
    <w:r w:rsidR="005750A7">
      <w:rPr>
        <w:sz w:val="20"/>
      </w:rPr>
      <w:t xml:space="preserve">   </w:t>
    </w:r>
    <w:r>
      <w:rPr>
        <w:sz w:val="20"/>
      </w:rPr>
      <w:t xml:space="preserve"> GE.10-4135</w:t>
    </w:r>
    <w:r w:rsidR="00C027C2">
      <w:rPr>
        <w:sz w:val="20"/>
      </w:rPr>
      <w:t>7</w:t>
    </w:r>
    <w:r w:rsidR="005750A7">
      <w:rPr>
        <w:sz w:val="20"/>
      </w:rPr>
      <w:t xml:space="preserve">   </w:t>
    </w:r>
    <w:r w:rsidR="00C027C2">
      <w:rPr>
        <w:sz w:val="20"/>
      </w:rPr>
      <w:t xml:space="preserve"> 290410</w:t>
    </w:r>
    <w:r w:rsidR="005750A7">
      <w:rPr>
        <w:sz w:val="20"/>
      </w:rPr>
      <w:t xml:space="preserve">    </w:t>
    </w:r>
    <w:r w:rsidR="00C027C2">
      <w:rPr>
        <w:sz w:val="20"/>
      </w:rPr>
      <w:t>290410</w:t>
    </w:r>
    <w:r w:rsidR="00E5257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9D" w:rsidRDefault="00641D9D" w:rsidP="00300142">
      <w:pPr>
        <w:pStyle w:val="Footer"/>
        <w:bidi/>
        <w:spacing w:after="80" w:line="200" w:lineRule="exact"/>
        <w:ind w:left="680"/>
      </w:pPr>
      <w:r>
        <w:rPr>
          <w:rFonts w:hint="cs"/>
          <w:rtl/>
        </w:rPr>
        <w:t>__________</w:t>
      </w:r>
    </w:p>
  </w:footnote>
  <w:footnote w:type="continuationSeparator" w:id="0">
    <w:p w:rsidR="00641D9D" w:rsidRDefault="00641D9D" w:rsidP="00300142">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64" w:rsidRPr="00F54764" w:rsidRDefault="00F54764" w:rsidP="00F54764">
    <w:pPr>
      <w:pStyle w:val="Header"/>
      <w:jc w:val="right"/>
    </w:pPr>
    <w:r w:rsidRPr="00F54764">
      <w:t>CERD/C/MCO/CO/6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72" w:rsidRPr="00F54764" w:rsidRDefault="00F54764" w:rsidP="00F54764">
    <w:pPr>
      <w:pStyle w:val="Header"/>
      <w:jc w:val="left"/>
    </w:pPr>
    <w:r w:rsidRPr="00F54764">
      <w:t>CERD/C/MCO/CO/6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72" w:rsidRDefault="00E5257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E52572" w:rsidRPr="00A85A54" w:rsidRDefault="00E52572"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572"/>
    <w:rsid w:val="00040E25"/>
    <w:rsid w:val="00042149"/>
    <w:rsid w:val="000524B4"/>
    <w:rsid w:val="000648EA"/>
    <w:rsid w:val="00076443"/>
    <w:rsid w:val="000957C8"/>
    <w:rsid w:val="00097049"/>
    <w:rsid w:val="000A04D5"/>
    <w:rsid w:val="000B52F2"/>
    <w:rsid w:val="000C06B5"/>
    <w:rsid w:val="000D0EAE"/>
    <w:rsid w:val="000D5380"/>
    <w:rsid w:val="000D6654"/>
    <w:rsid w:val="000E103D"/>
    <w:rsid w:val="000F0264"/>
    <w:rsid w:val="000F2EBF"/>
    <w:rsid w:val="000F3A9F"/>
    <w:rsid w:val="000F5FF6"/>
    <w:rsid w:val="001022B5"/>
    <w:rsid w:val="00113FA5"/>
    <w:rsid w:val="001277AB"/>
    <w:rsid w:val="001455A0"/>
    <w:rsid w:val="001602A3"/>
    <w:rsid w:val="00174B22"/>
    <w:rsid w:val="00191AB2"/>
    <w:rsid w:val="001A5161"/>
    <w:rsid w:val="001A60BD"/>
    <w:rsid w:val="001C4E27"/>
    <w:rsid w:val="0022601A"/>
    <w:rsid w:val="00232277"/>
    <w:rsid w:val="00234817"/>
    <w:rsid w:val="0023736D"/>
    <w:rsid w:val="00257225"/>
    <w:rsid w:val="002C582D"/>
    <w:rsid w:val="002C7341"/>
    <w:rsid w:val="00300142"/>
    <w:rsid w:val="00310160"/>
    <w:rsid w:val="00341A8C"/>
    <w:rsid w:val="0034594A"/>
    <w:rsid w:val="003519E6"/>
    <w:rsid w:val="00355D18"/>
    <w:rsid w:val="00355F81"/>
    <w:rsid w:val="00394E24"/>
    <w:rsid w:val="003A133F"/>
    <w:rsid w:val="003B4356"/>
    <w:rsid w:val="003C605C"/>
    <w:rsid w:val="003D150D"/>
    <w:rsid w:val="003D1C17"/>
    <w:rsid w:val="003F08A8"/>
    <w:rsid w:val="0041770F"/>
    <w:rsid w:val="004250E3"/>
    <w:rsid w:val="00450332"/>
    <w:rsid w:val="00472A81"/>
    <w:rsid w:val="00481EEB"/>
    <w:rsid w:val="00497D89"/>
    <w:rsid w:val="004A20A6"/>
    <w:rsid w:val="004A2922"/>
    <w:rsid w:val="004B2C92"/>
    <w:rsid w:val="004C5168"/>
    <w:rsid w:val="004D3523"/>
    <w:rsid w:val="004D6A3A"/>
    <w:rsid w:val="004F4AD7"/>
    <w:rsid w:val="00543BB8"/>
    <w:rsid w:val="0054755A"/>
    <w:rsid w:val="00550AE5"/>
    <w:rsid w:val="00557CD3"/>
    <w:rsid w:val="00563655"/>
    <w:rsid w:val="00571432"/>
    <w:rsid w:val="005732A2"/>
    <w:rsid w:val="005750A7"/>
    <w:rsid w:val="005762A5"/>
    <w:rsid w:val="00590BA3"/>
    <w:rsid w:val="005A7DA5"/>
    <w:rsid w:val="005B1F5E"/>
    <w:rsid w:val="005B46D9"/>
    <w:rsid w:val="005B7AE0"/>
    <w:rsid w:val="005E23F5"/>
    <w:rsid w:val="005F146F"/>
    <w:rsid w:val="005F71B6"/>
    <w:rsid w:val="00604143"/>
    <w:rsid w:val="006351AF"/>
    <w:rsid w:val="00641D9D"/>
    <w:rsid w:val="00654786"/>
    <w:rsid w:val="00660FD4"/>
    <w:rsid w:val="00665BE4"/>
    <w:rsid w:val="00675C75"/>
    <w:rsid w:val="0069161E"/>
    <w:rsid w:val="006A21EB"/>
    <w:rsid w:val="006A4425"/>
    <w:rsid w:val="006B00A4"/>
    <w:rsid w:val="006B4669"/>
    <w:rsid w:val="006D3CFA"/>
    <w:rsid w:val="006F6BF8"/>
    <w:rsid w:val="00707BDF"/>
    <w:rsid w:val="00710727"/>
    <w:rsid w:val="00715D53"/>
    <w:rsid w:val="00715F45"/>
    <w:rsid w:val="00731815"/>
    <w:rsid w:val="00731B84"/>
    <w:rsid w:val="00734AE7"/>
    <w:rsid w:val="0079344E"/>
    <w:rsid w:val="007E197F"/>
    <w:rsid w:val="007E6F6F"/>
    <w:rsid w:val="007F68C4"/>
    <w:rsid w:val="00802C9E"/>
    <w:rsid w:val="008112AC"/>
    <w:rsid w:val="008153DE"/>
    <w:rsid w:val="00836F26"/>
    <w:rsid w:val="008471B8"/>
    <w:rsid w:val="00852A10"/>
    <w:rsid w:val="00862634"/>
    <w:rsid w:val="00866C59"/>
    <w:rsid w:val="00867849"/>
    <w:rsid w:val="00877306"/>
    <w:rsid w:val="00885524"/>
    <w:rsid w:val="00896A1D"/>
    <w:rsid w:val="008A6242"/>
    <w:rsid w:val="008B4BC6"/>
    <w:rsid w:val="008B4D0D"/>
    <w:rsid w:val="008C2897"/>
    <w:rsid w:val="008C5B15"/>
    <w:rsid w:val="008F3A18"/>
    <w:rsid w:val="008F6743"/>
    <w:rsid w:val="00901E57"/>
    <w:rsid w:val="009070DF"/>
    <w:rsid w:val="00923584"/>
    <w:rsid w:val="00935F0E"/>
    <w:rsid w:val="00945899"/>
    <w:rsid w:val="0095208F"/>
    <w:rsid w:val="00970A62"/>
    <w:rsid w:val="00977B3F"/>
    <w:rsid w:val="009814AE"/>
    <w:rsid w:val="009901D3"/>
    <w:rsid w:val="00991B98"/>
    <w:rsid w:val="00996BBE"/>
    <w:rsid w:val="009B2C03"/>
    <w:rsid w:val="009D17B9"/>
    <w:rsid w:val="009D1DD5"/>
    <w:rsid w:val="009E2CF0"/>
    <w:rsid w:val="009E5516"/>
    <w:rsid w:val="009F722C"/>
    <w:rsid w:val="00A03546"/>
    <w:rsid w:val="00A14C69"/>
    <w:rsid w:val="00A2405A"/>
    <w:rsid w:val="00A26157"/>
    <w:rsid w:val="00A265C3"/>
    <w:rsid w:val="00A34E2F"/>
    <w:rsid w:val="00A43F9A"/>
    <w:rsid w:val="00A53F38"/>
    <w:rsid w:val="00A543D4"/>
    <w:rsid w:val="00A85A54"/>
    <w:rsid w:val="00A95767"/>
    <w:rsid w:val="00AD0014"/>
    <w:rsid w:val="00AD4CF2"/>
    <w:rsid w:val="00AF0BBA"/>
    <w:rsid w:val="00B25159"/>
    <w:rsid w:val="00B25AEC"/>
    <w:rsid w:val="00B30468"/>
    <w:rsid w:val="00B44E31"/>
    <w:rsid w:val="00B52494"/>
    <w:rsid w:val="00B9697D"/>
    <w:rsid w:val="00BA4F7E"/>
    <w:rsid w:val="00BB2C41"/>
    <w:rsid w:val="00BC55C8"/>
    <w:rsid w:val="00BC5C10"/>
    <w:rsid w:val="00BD5AAC"/>
    <w:rsid w:val="00BE2964"/>
    <w:rsid w:val="00BF09D4"/>
    <w:rsid w:val="00BF7687"/>
    <w:rsid w:val="00C027C2"/>
    <w:rsid w:val="00C03C3F"/>
    <w:rsid w:val="00C136E6"/>
    <w:rsid w:val="00C13D2C"/>
    <w:rsid w:val="00C21623"/>
    <w:rsid w:val="00C224C0"/>
    <w:rsid w:val="00C24FBD"/>
    <w:rsid w:val="00C473BA"/>
    <w:rsid w:val="00C611ED"/>
    <w:rsid w:val="00C6490A"/>
    <w:rsid w:val="00C64FE1"/>
    <w:rsid w:val="00C726D2"/>
    <w:rsid w:val="00C74296"/>
    <w:rsid w:val="00C8345E"/>
    <w:rsid w:val="00CA5F7C"/>
    <w:rsid w:val="00CB3F90"/>
    <w:rsid w:val="00CC1D9A"/>
    <w:rsid w:val="00CF0445"/>
    <w:rsid w:val="00CF247F"/>
    <w:rsid w:val="00D3507D"/>
    <w:rsid w:val="00D51067"/>
    <w:rsid w:val="00D52968"/>
    <w:rsid w:val="00D54863"/>
    <w:rsid w:val="00D60FFB"/>
    <w:rsid w:val="00D75657"/>
    <w:rsid w:val="00D960AD"/>
    <w:rsid w:val="00DA00C0"/>
    <w:rsid w:val="00DA0E0E"/>
    <w:rsid w:val="00DB0885"/>
    <w:rsid w:val="00DB0C39"/>
    <w:rsid w:val="00DB7679"/>
    <w:rsid w:val="00DC5058"/>
    <w:rsid w:val="00DF1702"/>
    <w:rsid w:val="00DF4DD8"/>
    <w:rsid w:val="00DF668E"/>
    <w:rsid w:val="00E04826"/>
    <w:rsid w:val="00E14D2B"/>
    <w:rsid w:val="00E20DBA"/>
    <w:rsid w:val="00E52572"/>
    <w:rsid w:val="00E6524A"/>
    <w:rsid w:val="00E660D6"/>
    <w:rsid w:val="00E771AB"/>
    <w:rsid w:val="00E90355"/>
    <w:rsid w:val="00EA796F"/>
    <w:rsid w:val="00EB077B"/>
    <w:rsid w:val="00EC50B9"/>
    <w:rsid w:val="00ED26A0"/>
    <w:rsid w:val="00F031EB"/>
    <w:rsid w:val="00F1727A"/>
    <w:rsid w:val="00F26CC5"/>
    <w:rsid w:val="00F34764"/>
    <w:rsid w:val="00F352E4"/>
    <w:rsid w:val="00F54764"/>
    <w:rsid w:val="00F54E3C"/>
    <w:rsid w:val="00F6389B"/>
    <w:rsid w:val="00F73227"/>
    <w:rsid w:val="00F874BD"/>
    <w:rsid w:val="00F90D6E"/>
    <w:rsid w:val="00F93A5F"/>
    <w:rsid w:val="00FA3D21"/>
    <w:rsid w:val="00FB1D0B"/>
    <w:rsid w:val="00FB5F5C"/>
    <w:rsid w:val="00FD581D"/>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9E2CF0"/>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1655</Words>
  <Characters>9439</Characters>
  <Application>Microsoft Office Word</Application>
  <DocSecurity>4</DocSecurity>
  <Lines>78</Lines>
  <Paragraphs>22</Paragraphs>
  <ScaleCrop>false</ScaleCrop>
  <HeadingPairs>
    <vt:vector size="2" baseType="variant">
      <vt:variant>
        <vt:lpstr>العنوان</vt:lpstr>
      </vt:variant>
      <vt:variant>
        <vt:i4>1</vt:i4>
      </vt:variant>
    </vt:vector>
  </HeadingPairs>
  <TitlesOfParts>
    <vt:vector size="1" baseType="lpstr">
      <vt:lpstr>CERD/C/MCO/CO/6</vt:lpstr>
    </vt:vector>
  </TitlesOfParts>
  <Company>CSD</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CERD/C/MCO/CO/6</dc:title>
  <dc:subject>Ferjani-Zedane</dc:subject>
  <dc:creator>Morcos</dc:creator>
  <cp:keywords/>
  <dc:description/>
  <cp:lastModifiedBy>Admieng</cp:lastModifiedBy>
  <cp:revision>2</cp:revision>
  <cp:lastPrinted>2010-05-03T09:54:00Z</cp:lastPrinted>
  <dcterms:created xsi:type="dcterms:W3CDTF">2010-05-03T09:58:00Z</dcterms:created>
  <dcterms:modified xsi:type="dcterms:W3CDTF">2010-05-03T09:58:00Z</dcterms:modified>
</cp:coreProperties>
</file>