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Комитет по ликвидации дискриминации</w:t>
      </w:r>
      <w:r>
        <w:br/>
        <w:t>в отношении женщин</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Предсессионная рабочая группа</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Тридцать четвертая сессия</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16 января — 3 февраля 2006 года</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Ответы на перечень тем и вопросов в связи с рассмотрением объединенных первоначального, второго и третьего периодических докладов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Эритрея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Статьи 1 и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2. </w:t>
      </w:r>
      <w:r>
        <w:br/>
        <w:t>Ход работы над новыми кодексами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Проекты гражданского и уголовного кодексов находятся на стадии реда</w:t>
      </w:r>
      <w:r>
        <w:t>к</w:t>
      </w:r>
      <w:r>
        <w:t>тирования экспертами. По завершении этого процесса проекты будут пре</w:t>
      </w:r>
      <w:r>
        <w:t>д</w:t>
      </w:r>
      <w:r>
        <w:t>ставлены Национальной ассамблее на рассмотрение. Поскольку в них включ</w:t>
      </w:r>
      <w:r>
        <w:t>е</w:t>
      </w:r>
      <w:r>
        <w:t>ны положения, исключающие дискриминацию по признаку пола, это будет н</w:t>
      </w:r>
      <w:r>
        <w:t>а</w:t>
      </w:r>
      <w:r>
        <w:t>прямую способствовать выполнению правительством своих обязательств по Конвенции о ликвидации всех форм дискриминации в отношении женщин. Р</w:t>
      </w:r>
      <w:r>
        <w:t>а</w:t>
      </w:r>
      <w:r>
        <w:t>зумеется, для этого предлагаемые положения должны быть утверждены и вв</w:t>
      </w:r>
      <w:r>
        <w:t>е</w:t>
      </w:r>
      <w:r>
        <w:t>дены в действие Национальной ассамблеей.</w:t>
      </w:r>
    </w:p>
    <w:p w:rsidR="00000000" w:rsidRDefault="00000000">
      <w:pPr>
        <w:pStyle w:val="SingleTxt"/>
      </w:pPr>
      <w:r>
        <w:tab/>
        <w:t>В стране по</w:t>
      </w:r>
      <w:r>
        <w:noBreakHyphen/>
        <w:t>прежнему действуют переходные кодексы. В настоящее вр</w:t>
      </w:r>
      <w:r>
        <w:t>е</w:t>
      </w:r>
      <w:r>
        <w:t>мя идет процесс пересмотра законодательных положений (подготовка шести новых кодексов, включая гражданский и уголовный). По оценкам министерства юстиции, для того чтобы завершить этот процесс, включая перевод кодексов на тыгре и арабский, потребуется еще один-два года.</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3. </w:t>
      </w:r>
      <w:r>
        <w:br/>
        <w:t>Статус Конвенции в национальной правовой системе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Эритрея ратифицировала Конвенцию о ликвидации всех форм дискрим</w:t>
      </w:r>
      <w:r>
        <w:t>и</w:t>
      </w:r>
      <w:r>
        <w:t>нации в отношении женщин в 1995 году. Позднее Конвенция была переведена на местный язык и широко распространена, в первую очередь среди женщин.</w:t>
      </w:r>
    </w:p>
    <w:p w:rsidR="00000000" w:rsidRDefault="00000000">
      <w:pPr>
        <w:pStyle w:val="SingleTxt"/>
      </w:pPr>
      <w:r>
        <w:tab/>
        <w:t>Однако в отличие от многих других международных конвенций, подп</w:t>
      </w:r>
      <w:r>
        <w:t>и</w:t>
      </w:r>
      <w:r>
        <w:t>санных Эритреей, эта Конвенция пока не является частью национальной пр</w:t>
      </w:r>
      <w:r>
        <w:t>а</w:t>
      </w:r>
      <w:r>
        <w:t>вовой системы в строгом смысле этого слова. Это будет достигнуто только по завершении нынешнего проекта министерства юстиции, предусматривающего согласование и систематизацию эритрейских законов и приведение в единую систему международных документов, договоров и соглашений, участником к</w:t>
      </w:r>
      <w:r>
        <w:t>о</w:t>
      </w:r>
      <w:r>
        <w:t>торых стала Эритрея. Министерство юстиции в сотрудничестве с соответс</w:t>
      </w:r>
      <w:r>
        <w:t>т</w:t>
      </w:r>
      <w:r>
        <w:t>вующими государственными министерствами и другими ведомствами заним</w:t>
      </w:r>
      <w:r>
        <w:t>а</w:t>
      </w:r>
      <w:r>
        <w:t>ется каталогизацией таких документов и разработкой процедур и систем для систематического осуществления предусмотренных в них обязательств и ко</w:t>
      </w:r>
      <w:r>
        <w:t>н</w:t>
      </w:r>
      <w:r>
        <w:t>троля за этой деятельностью. Этот процесс систематизации предполагается з</w:t>
      </w:r>
      <w:r>
        <w:t>а</w:t>
      </w:r>
      <w:r>
        <w:t>ве</w:t>
      </w:r>
      <w:r>
        <w:t>р</w:t>
      </w:r>
      <w:r>
        <w:t>шить в 2007 году.</w:t>
      </w:r>
    </w:p>
    <w:p w:rsidR="00000000" w:rsidRDefault="00000000">
      <w:pPr>
        <w:pStyle w:val="SingleTxt"/>
      </w:pPr>
      <w:r>
        <w:tab/>
        <w:t>Эритрея применяет не монистский, а дуалистский подход к междунаро</w:t>
      </w:r>
      <w:r>
        <w:t>д</w:t>
      </w:r>
      <w:r>
        <w:t>ным документам, ратифицированным Национальной ассамблеей. Таким обр</w:t>
      </w:r>
      <w:r>
        <w:t>а</w:t>
      </w:r>
      <w:r>
        <w:t>зом, при возникновении коллизии между положениями международных док</w:t>
      </w:r>
      <w:r>
        <w:t>у</w:t>
      </w:r>
      <w:r>
        <w:t>ментов, участником которых является Эритрея, и положениями национальных законов первые имеют преимущественную силу над после</w:t>
      </w:r>
      <w:r>
        <w:t>д</w:t>
      </w:r>
      <w:r>
        <w:t>ними.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4. </w:t>
      </w:r>
      <w:r>
        <w:br/>
        <w:t>Механизмы/средства для рассмотрения жалоб</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Что касается доступных женщинам механизмов и средств для рассмотр</w:t>
      </w:r>
      <w:r>
        <w:t>е</w:t>
      </w:r>
      <w:r>
        <w:t>ния жалоб на дискриминацию по признаку пола, то достаточно упомянуть о том, что по эритрейским законам женщины могут обращаться в суд, который будет рассматривать все случаи дискриминационной практики, в том числе по признаку пола, и пресекать подобную практику. Однако независимые механи</w:t>
      </w:r>
      <w:r>
        <w:t>з</w:t>
      </w:r>
      <w:r>
        <w:t>мы, такие, как институт омбудсмена, пока не созданы.</w:t>
      </w:r>
    </w:p>
    <w:p w:rsidR="00000000" w:rsidRDefault="00000000">
      <w:pPr>
        <w:pStyle w:val="SingleTxt"/>
      </w:pPr>
      <w:r>
        <w:tab/>
        <w:t>В настоящее время определенную роль в этой связи играет Национальный союз эритрейских женщин. Юридическая группа головного отделения Союза рассматривает жалобы (особенно связанные с такими вопросами, как распр</w:t>
      </w:r>
      <w:r>
        <w:t>е</w:t>
      </w:r>
      <w:r>
        <w:t>деление земли, права собственности на землю, семья) и принимает по ним н</w:t>
      </w:r>
      <w:r>
        <w:t>е</w:t>
      </w:r>
      <w:r>
        <w:t>обходимые меры совместно с соответствующими органами. Такие дела обычно передаются ему местными отделениями Союза по всей стране. В центральных отделениях Союза во всех шести регионах страны работают сотрудники, имеющие параюридическую подготовку. Для повышения эффективности этой работы Союз продолжает проводить со своими членами занятия по основам юридической грамотности. В настоящее время подготавливается учебное п</w:t>
      </w:r>
      <w:r>
        <w:t>о</w:t>
      </w:r>
      <w:r>
        <w:t>собие на эту тему.</w:t>
      </w:r>
    </w:p>
    <w:p w:rsidR="00000000" w:rsidRDefault="00000000">
      <w:pPr>
        <w:pStyle w:val="SingleTxt"/>
      </w:pPr>
      <w:r>
        <w:tab/>
        <w:t>Кроме того, различные министерства, как правило, рассматривают жал</w:t>
      </w:r>
      <w:r>
        <w:t>о</w:t>
      </w:r>
      <w:r>
        <w:t>бы на дискриминацию по признаку пола, которые доводятся до их сведения, и принимают в связи с ними административные меры.</w:t>
      </w:r>
    </w:p>
    <w:p w:rsidR="00000000" w:rsidRDefault="00000000">
      <w:pPr>
        <w:pStyle w:val="SingleTxt"/>
      </w:pPr>
      <w:r>
        <w:tab/>
        <w:t>В рамках проекта министерства юстиции, специально рассчитанного на женщин, 72 молодые женщины, представляющие все этнические группы, пр</w:t>
      </w:r>
      <w:r>
        <w:t>о</w:t>
      </w:r>
      <w:r>
        <w:t>шли трехлетнюю юридическую подготовку. Впоследствии, в 2003 году, они были направлены в свои общины для работы в качестве должностных лиц ра</w:t>
      </w:r>
      <w:r>
        <w:t>й</w:t>
      </w:r>
      <w:r>
        <w:t>онных судов, переводчиков, консультантов и пропагандистов, чья деятельность связана с гендерной проблематикой. Их присутствие играет важную роль с точки зрения повышения значимости гендерных вопросов в судебной системе. См. также ответ на пункт 28 ниже.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5. </w:t>
      </w:r>
      <w:r>
        <w:br/>
        <w:t>Данные, дезагрегированные по признаку пола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Как это было предусмотрено в </w:t>
      </w:r>
      <w:r>
        <w:rPr>
          <w:i/>
        </w:rPr>
        <w:t>докладе о достижении целей в области развития, сформулированных в Декларации тысячелетия, за 2005 год</w:t>
      </w:r>
      <w:r>
        <w:t>, в стране обеспечена относительно широкая доступность данных с разбивкой по призн</w:t>
      </w:r>
      <w:r>
        <w:t>а</w:t>
      </w:r>
      <w:r>
        <w:t>ку пола по таким вопросам, как нищета (исследование критериев оценки уро</w:t>
      </w:r>
      <w:r>
        <w:t>в</w:t>
      </w:r>
      <w:r>
        <w:t>ня жизни и оценка масштабов нищеты, 2003 год), образование, питание и др. В других областях такая информация менее доступна или не доступна в</w:t>
      </w:r>
      <w:r>
        <w:t>о</w:t>
      </w:r>
      <w:r>
        <w:t>все.</w:t>
      </w:r>
    </w:p>
    <w:p w:rsidR="00000000" w:rsidRDefault="00000000">
      <w:pPr>
        <w:pStyle w:val="SingleTxt"/>
      </w:pPr>
      <w:r>
        <w:tab/>
        <w:t>В вышеупомянутом докладе рекомендовалось, чтобы при мониторинге и оценке своих программ отраслевые министерства уделяли особое внимание д</w:t>
      </w:r>
      <w:r>
        <w:t>е</w:t>
      </w:r>
      <w:r>
        <w:t>загрегированию и анализу данных с разбивкой по статьям поступлений или расходов, полу, региону и городу/деревне.</w:t>
      </w:r>
    </w:p>
    <w:p w:rsidR="00000000" w:rsidRDefault="00000000">
      <w:pPr>
        <w:pStyle w:val="SingleTxt"/>
      </w:pPr>
      <w:r>
        <w:tab/>
        <w:t>В ходе проведенного в марте 2004 года гендерного аналитического обзора эритрейской временной стратегии борьбы с нищетой и проекта стратегии обеспечения продовольственной безопасности среди основных причин, з</w:t>
      </w:r>
      <w:r>
        <w:t>а</w:t>
      </w:r>
      <w:r>
        <w:t>трудняющих учет гендерных аспектов в этих двух документах, были названы отсутствие данных с разбивкой по признаку пола и минимальное число показ</w:t>
      </w:r>
      <w:r>
        <w:t>а</w:t>
      </w:r>
      <w:r>
        <w:t>телей, дезагрегированных по этому признаку. Это произошло несмотря на то, что в обоих документах гендерным вопросам посвящены большие, хотя и не связанные друг с другом разделы.</w:t>
      </w:r>
    </w:p>
    <w:p w:rsidR="00000000" w:rsidRDefault="00000000">
      <w:pPr>
        <w:pStyle w:val="SingleTxt"/>
      </w:pPr>
      <w:r>
        <w:tab/>
        <w:t>В настоящее время ведется работа над нормативным актом о создании н</w:t>
      </w:r>
      <w:r>
        <w:t>а</w:t>
      </w:r>
      <w:r>
        <w:t>ционального статистического управления. Национальный союз эритрейских женщин сформулировал конкретную рекомендацию о включении в этот док</w:t>
      </w:r>
      <w:r>
        <w:t>у</w:t>
      </w:r>
      <w:r>
        <w:t>мент положений, предусматривающих подготовку статистических данных, д</w:t>
      </w:r>
      <w:r>
        <w:t>е</w:t>
      </w:r>
      <w:r>
        <w:t>загрегированных по пр</w:t>
      </w:r>
      <w:r>
        <w:t>и</w:t>
      </w:r>
      <w:r>
        <w:t>знаку пола.</w:t>
      </w:r>
    </w:p>
    <w:p w:rsidR="00000000" w:rsidRDefault="00000000">
      <w:pPr>
        <w:pStyle w:val="SingleTxt"/>
      </w:pPr>
      <w:r>
        <w:tab/>
        <w:t>В недавно проведенной общей страновой оценке, 2005 год, система Орг</w:t>
      </w:r>
      <w:r>
        <w:t>а</w:t>
      </w:r>
      <w:r>
        <w:t>низации Объединенных Наций заявила о своем намерении помочь Эритрее в деле сбора, анализа, распространения и использования данных, дезагрегир</w:t>
      </w:r>
      <w:r>
        <w:t>о</w:t>
      </w:r>
      <w:r>
        <w:t>ванных по признаку пола, включая проведение переписей населения и жили</w:t>
      </w:r>
      <w:r>
        <w:t>щ</w:t>
      </w:r>
      <w:r>
        <w:t>ного фонда и других секторальных обследований.</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6. </w:t>
      </w:r>
      <w:r>
        <w:br/>
        <w:t>Национальный механизм: Национальный союз эритрейских женщин, его мандат и возможности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На протяжении длительного времени функции национального механизма по улучшению положения женщин в Эритрее выполнял Национальный союз эритрейских женщин (НСЭЖ).</w:t>
      </w:r>
    </w:p>
    <w:p w:rsidR="00000000" w:rsidRDefault="00000000">
      <w:pPr>
        <w:pStyle w:val="SingleTxt"/>
      </w:pPr>
      <w:r>
        <w:tab/>
        <w:t>В 2005 году в Эритрее был подготовлен проект документа об основах гендерной политики, который в ближайшее время предполагается опублик</w:t>
      </w:r>
      <w:r>
        <w:t>о</w:t>
      </w:r>
      <w:r>
        <w:t>вать в качестве предварительного документа. В соответствии с ним «перед НСЭЖ ставится задача координировать деятельность по учету гендерных а</w:t>
      </w:r>
      <w:r>
        <w:t>с</w:t>
      </w:r>
      <w:r>
        <w:t>пектов и отстаивать интересы эритрейских женщин». В документе также гов</w:t>
      </w:r>
      <w:r>
        <w:t>о</w:t>
      </w:r>
      <w:r>
        <w:t>рится о том, что «НСЭЖ является наиболее подходящим органом для выполн</w:t>
      </w:r>
      <w:r>
        <w:t>е</w:t>
      </w:r>
      <w:r>
        <w:t>ния этих обязанностей по следующим причинам: а) историческая роль Союза как борца за свободу и прогресс эритрейских женщин; b) значительный опыт борьбы за права эритрейских женщин и координации и осуществления пр</w:t>
      </w:r>
      <w:r>
        <w:t>о</w:t>
      </w:r>
      <w:r>
        <w:t>грамм улучшения их положения; с) широкое присутствие на низовом уровне по всей территории Эритреи и мощный потенциал для пропагандистской работы и, в силу всего вышесказанного, d) тот факт, что НСЭЖ — это единственная организация в стране, располагающая достаточными возможностями для н</w:t>
      </w:r>
      <w:r>
        <w:t>а</w:t>
      </w:r>
      <w:r>
        <w:t>блюдения за с</w:t>
      </w:r>
      <w:r>
        <w:t>и</w:t>
      </w:r>
      <w:r>
        <w:t>туацией в гендерной области».</w:t>
      </w:r>
    </w:p>
    <w:p w:rsidR="00000000" w:rsidRDefault="00000000">
      <w:pPr>
        <w:pStyle w:val="SingleTxt"/>
      </w:pPr>
      <w:r>
        <w:tab/>
        <w:t>Согласно этому стратегическому документу, Союз должен располагать достаточными возможностями для выполнения своего мандата — с точки зр</w:t>
      </w:r>
      <w:r>
        <w:t>е</w:t>
      </w:r>
      <w:r>
        <w:t>ния как объема ресурсов, так и технического потенциала в области гендерного анализа, пропагандистской работы и координации. Таким образом, несмотря на то, что Союз как независимая организация способен изыскать собственные и</w:t>
      </w:r>
      <w:r>
        <w:t>с</w:t>
      </w:r>
      <w:r>
        <w:t>точники поступлений, его работа должна поддерживаться по линии государс</w:t>
      </w:r>
      <w:r>
        <w:t>т</w:t>
      </w:r>
      <w:r>
        <w:t>венных фо</w:t>
      </w:r>
      <w:r>
        <w:t>н</w:t>
      </w:r>
      <w:r>
        <w:t>дов.</w:t>
      </w:r>
    </w:p>
    <w:p w:rsidR="00000000" w:rsidRDefault="00000000">
      <w:pPr>
        <w:pStyle w:val="SingleTxt"/>
      </w:pPr>
      <w:r>
        <w:tab/>
        <w:t>В проекте политики также указывается, что министерство национального развития призвано сыграть свою роль в оказании поддержки Союзу в деле вс</w:t>
      </w:r>
      <w:r>
        <w:t>е</w:t>
      </w:r>
      <w:r>
        <w:t>стороннего учета гендерной проблематики во всех министерствах и секторах.</w:t>
      </w:r>
    </w:p>
    <w:p w:rsidR="00000000" w:rsidRDefault="00000000">
      <w:pPr>
        <w:pStyle w:val="SingleTxt"/>
      </w:pPr>
      <w:r>
        <w:tab/>
        <w:t>Президент Эритреи в интервью, данному им в ноябре 2004 года по сл</w:t>
      </w:r>
      <w:r>
        <w:t>у</w:t>
      </w:r>
      <w:r>
        <w:t>чаю двадцать пятой годовщины Национального союза эритрейских женщин, подтвердил, что правительство высоко оценивает ключевую роль Союза в деле защиты интересов женщин в Эритрее и его функцию координатора при реш</w:t>
      </w:r>
      <w:r>
        <w:t>е</w:t>
      </w:r>
      <w:r>
        <w:t>нии всех гендерных вопросов. Он заявил:</w:t>
      </w:r>
    </w:p>
    <w:p w:rsidR="00000000" w:rsidRDefault="00000000">
      <w:pPr>
        <w:pStyle w:val="SingleTxt"/>
        <w:ind w:left="1742" w:hanging="475"/>
      </w:pPr>
      <w:r>
        <w:tab/>
        <w:t>«Хотя в целом ответственность за обеспечение прав и равноправия же</w:t>
      </w:r>
      <w:r>
        <w:t>н</w:t>
      </w:r>
      <w:r>
        <w:t>щин лежит на народе и правительстве, НСЭЖ играет ведущую роль в обеспечении того, чтобы женщины заняли подобающее им место в общ</w:t>
      </w:r>
      <w:r>
        <w:t>е</w:t>
      </w:r>
      <w:r>
        <w:t>стве. Для активизации и ускорения программ, о которых я упомянул р</w:t>
      </w:r>
      <w:r>
        <w:t>а</w:t>
      </w:r>
      <w:r>
        <w:t>нее, Союз должен творчески и инициативно подходить к составлению конкретных планов. Однако то, что я говорю, не следует понимать так, что эта задача целиком и полностью лежит на Союзе и не касается других государственных ведомств и общественности. Другие государственные структуры и общество должны также нести свою долю ответственности и работать на благо общего дела. На НСЭЖ лежит главная ответственность за информационно-пропагандистскую работу, разработку и координацию пл</w:t>
      </w:r>
      <w:r>
        <w:t>а</w:t>
      </w:r>
      <w:r>
        <w:t>нов».</w:t>
      </w:r>
    </w:p>
    <w:p w:rsidR="00000000" w:rsidRDefault="00000000">
      <w:pPr>
        <w:pStyle w:val="SingleTxt"/>
      </w:pPr>
      <w:r>
        <w:tab/>
        <w:t>Он также добавил:</w:t>
      </w:r>
    </w:p>
    <w:p w:rsidR="00000000" w:rsidRDefault="00000000">
      <w:pPr>
        <w:pStyle w:val="SingleTxt"/>
        <w:ind w:left="1742" w:hanging="475"/>
      </w:pPr>
      <w:r>
        <w:tab/>
        <w:t>«Для того чтобы те вечные идеалы (ценности и достижения в сфере бор</w:t>
      </w:r>
      <w:r>
        <w:t>ь</w:t>
      </w:r>
      <w:r>
        <w:t>бы за права женщин), за которые НСЭЖ уплатил дорогой ценой — ценой мученичества, — не исчезли и сохранили свою значимость, Союз должен на постоянной основе проводить учебно-разъяснительные программы. Однако он не должен ограничиваться ими в своей деятельности: ему сл</w:t>
      </w:r>
      <w:r>
        <w:t>е</w:t>
      </w:r>
      <w:r>
        <w:t>дует также проводить в жизнь конкретные проекты. Он должен оценивать и проверять положение дел в каждом секторе и выяснять, насколько изм</w:t>
      </w:r>
      <w:r>
        <w:t>е</w:t>
      </w:r>
      <w:r>
        <w:t>нились место и роль женщин в разных секторах. Затем он может начинать работу в целях постоянного стимулирования и ускорения прогресса. В этой связи я хотел бы отметить, что все общество, и особенно женщины во всех уголках страны, должны бороться за права женщин».</w:t>
      </w:r>
    </w:p>
    <w:p w:rsidR="00000000" w:rsidRDefault="00000000">
      <w:pPr>
        <w:pStyle w:val="SingleTxt"/>
      </w:pPr>
      <w:r>
        <w:tab/>
        <w:t>За последние годы возможности Союза для содействия учету гендерной проблематики и контроля за этим процессом значительно расширились. Этому способствовали усилия по созданию потенциала, в том числе новый проект, который реализовывался при поддержке Программы развития Организации Объединенных Наций. В настоящее время Программа оказывает Союзу п</w:t>
      </w:r>
      <w:r>
        <w:t>о</w:t>
      </w:r>
      <w:r>
        <w:t>мощь в укреплении потенциала, уделяя особое внимание следующим вопр</w:t>
      </w:r>
      <w:r>
        <w:t>о</w:t>
      </w:r>
      <w:r>
        <w:t>сам: a) осуществление Национального плана действий по обеспечению равн</w:t>
      </w:r>
      <w:r>
        <w:t>о</w:t>
      </w:r>
      <w:r>
        <w:t>правия мужчин и женщин; b) укрепление институциональных механизмов на национальном, региональном и местном уровнях для решения гендерных в</w:t>
      </w:r>
      <w:r>
        <w:t>о</w:t>
      </w:r>
      <w:r>
        <w:t>просов в государственной политике, при распределении ресурсов и контроле за реализацией гендерных инициатив в политике, программах и законодательстве; с) укрепление потенциала организаций, которые представляют интересы же</w:t>
      </w:r>
      <w:r>
        <w:t>н</w:t>
      </w:r>
      <w:r>
        <w:t>щин, ведут пропагандистскую работу и устанавливают деловые и партнерские связи в интересах улучшения положения женщин; d) совершенствование пре</w:t>
      </w:r>
      <w:r>
        <w:t>д</w:t>
      </w:r>
      <w:r>
        <w:t>принимательских навыков, знаний и возможностей женщин; и e) оказание по</w:t>
      </w:r>
      <w:r>
        <w:t>д</w:t>
      </w:r>
      <w:r>
        <w:t>держки учреждениям в деле сбора, анализа и распространения данных, деза</w:t>
      </w:r>
      <w:r>
        <w:t>г</w:t>
      </w:r>
      <w:r>
        <w:t>регированных по признаку пола, в их соответствующих секторах и обла</w:t>
      </w:r>
      <w:r>
        <w:t>с</w:t>
      </w:r>
      <w:r>
        <w:t>тях.</w:t>
      </w:r>
    </w:p>
    <w:p w:rsidR="00000000" w:rsidRDefault="00000000">
      <w:pPr>
        <w:pStyle w:val="SingleTxt"/>
      </w:pPr>
      <w:r>
        <w:tab/>
        <w:t>Организация «Действия в интересах женщин» также оказала Союзу с</w:t>
      </w:r>
      <w:r>
        <w:t>о</w:t>
      </w:r>
      <w:r>
        <w:t>действие в укреплении потенциала и помощь методического характера для с</w:t>
      </w:r>
      <w:r>
        <w:t>о</w:t>
      </w:r>
      <w:r>
        <w:t>вершенствования его навыков учета гендерной проблематики. Кроме того, она оказала Союзу содействие в проведении всестороннего гендерного анализа эритрейской временной стратегии борьбы с нищетой и проекта стратегии обеспечения продовольственной безопасности. Был организован ряд практ</w:t>
      </w:r>
      <w:r>
        <w:t>и</w:t>
      </w:r>
      <w:r>
        <w:t>кумов в форме интервью с основными заинтересованными сторонами с целью расширить понимание важности учета гендерной проблематики и его ключевой роли в обеих стратегиях. В их числе был практикум, участники которого пр</w:t>
      </w:r>
      <w:r>
        <w:t>и</w:t>
      </w:r>
      <w:r>
        <w:t>обрели навыки учета гендерной проблематики. Основные заинтересованные стороны подготовили важные рекомендации в отношении учета гендерных а</w:t>
      </w:r>
      <w:r>
        <w:t>с</w:t>
      </w:r>
      <w:r>
        <w:t>пектов в готовящемся к публикации полном документе о стратегии сокращения масштабов нищеты в Эритрее и окончательном варианте стратегии обеспеч</w:t>
      </w:r>
      <w:r>
        <w:t>е</w:t>
      </w:r>
      <w:r>
        <w:t>ния прод</w:t>
      </w:r>
      <w:r>
        <w:t>о</w:t>
      </w:r>
      <w:r>
        <w:t>вольственной безопасности.</w:t>
      </w: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7. </w:t>
      </w:r>
      <w:r>
        <w:br/>
        <w:t>Национальный план действий</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Пятилетний Национальный план действий по обеспечению равноправия между мужчинами и женщинами в Эритрее, 2004–2008 годы, был подготовлен с учетом основных проблемных областей, и в нем излагаются стратегические цели и намеченные мероприятия. Наиболее важными для Эритреи областями, указанными в этом плане действий, являются следующие:</w:t>
      </w:r>
    </w:p>
    <w:p w:rsidR="00000000" w:rsidRDefault="00000000">
      <w:pPr>
        <w:pStyle w:val="SingleTxt"/>
        <w:tabs>
          <w:tab w:val="right" w:pos="1685"/>
        </w:tabs>
        <w:ind w:left="1742" w:hanging="475"/>
      </w:pPr>
      <w:r>
        <w:tab/>
        <w:t>•</w:t>
      </w:r>
      <w:r>
        <w:tab/>
        <w:t>положение женщин во властных и руководящих структурах;</w:t>
      </w:r>
    </w:p>
    <w:p w:rsidR="00000000" w:rsidRDefault="00000000">
      <w:pPr>
        <w:pStyle w:val="SingleTxt"/>
        <w:tabs>
          <w:tab w:val="right" w:pos="1685"/>
        </w:tabs>
        <w:ind w:left="1742" w:hanging="475"/>
      </w:pPr>
      <w:r>
        <w:tab/>
        <w:t>•</w:t>
      </w:r>
      <w:r>
        <w:tab/>
        <w:t>образование и профессиональная подготовка женщин и девушек;</w:t>
      </w:r>
    </w:p>
    <w:p w:rsidR="00000000" w:rsidRDefault="00000000">
      <w:pPr>
        <w:pStyle w:val="SingleTxt"/>
        <w:tabs>
          <w:tab w:val="right" w:pos="1685"/>
        </w:tabs>
        <w:ind w:left="1742" w:hanging="475"/>
      </w:pPr>
      <w:r>
        <w:tab/>
        <w:t>•</w:t>
      </w:r>
      <w:r>
        <w:tab/>
        <w:t>женщины и здравоохранение;</w:t>
      </w:r>
    </w:p>
    <w:p w:rsidR="00000000" w:rsidRDefault="00000000">
      <w:pPr>
        <w:pStyle w:val="SingleTxt"/>
        <w:tabs>
          <w:tab w:val="right" w:pos="1685"/>
        </w:tabs>
        <w:ind w:left="1742" w:hanging="475"/>
      </w:pPr>
      <w:r>
        <w:tab/>
        <w:t>•</w:t>
      </w:r>
      <w:r>
        <w:tab/>
        <w:t>экономика, нищета и окружающая среда;</w:t>
      </w:r>
    </w:p>
    <w:p w:rsidR="00000000" w:rsidRDefault="00000000">
      <w:pPr>
        <w:pStyle w:val="SingleTxt"/>
        <w:tabs>
          <w:tab w:val="right" w:pos="1685"/>
        </w:tabs>
        <w:ind w:left="1742" w:hanging="475"/>
      </w:pPr>
      <w:r>
        <w:tab/>
        <w:t>•</w:t>
      </w:r>
      <w:r>
        <w:tab/>
        <w:t>права человека, насилие и положение женщин в условиях вооруженного конфликта.</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План действий был подготовлен в соответствии с нормами и положени</w:t>
      </w:r>
      <w:r>
        <w:t>я</w:t>
      </w:r>
      <w:r>
        <w:t>ми Конвенции. С этими положениями сообразуются все стратегические цели Плана и намеченные в нем мероприятия. Наглядное представление об этом д</w:t>
      </w:r>
      <w:r>
        <w:t>а</w:t>
      </w:r>
      <w:r>
        <w:t>ют ниж</w:t>
      </w:r>
      <w:r>
        <w:t>е</w:t>
      </w:r>
      <w:r>
        <w:t>следующие примеры:</w:t>
      </w:r>
    </w:p>
    <w:p w:rsidR="00000000" w:rsidRDefault="00000000">
      <w:pPr>
        <w:pStyle w:val="SingleTxt"/>
      </w:pPr>
      <w:r>
        <w:t>Стратегическая цель 5.1.1: Устранение недостатков в законах о правах челов</w:t>
      </w:r>
      <w:r>
        <w:t>е</w:t>
      </w:r>
      <w:r>
        <w:t>ка в интересах женщин.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Намеченные мероприятия:</w:t>
      </w:r>
    </w:p>
    <w:p w:rsidR="00000000" w:rsidRDefault="00000000">
      <w:pPr>
        <w:pStyle w:val="SingleTxt"/>
        <w:spacing w:after="0" w:line="120" w:lineRule="exact"/>
        <w:rPr>
          <w:sz w:val="10"/>
        </w:rPr>
      </w:pPr>
    </w:p>
    <w:p w:rsidR="00000000" w:rsidRDefault="00000000">
      <w:pPr>
        <w:pStyle w:val="SingleTxt"/>
      </w:pPr>
      <w:r>
        <w:tab/>
        <w:t>a)</w:t>
      </w:r>
      <w:r>
        <w:tab/>
        <w:t>поиск, изучение и пропагандирование законодательных актов, сп</w:t>
      </w:r>
      <w:r>
        <w:t>о</w:t>
      </w:r>
      <w:r>
        <w:t>собствующих расширению прав женщин в Эритрее, в особенности согласов</w:t>
      </w:r>
      <w:r>
        <w:t>а</w:t>
      </w:r>
      <w:r>
        <w:t>ние национальных законов с положениями Конвенции;</w:t>
      </w:r>
    </w:p>
    <w:p w:rsidR="00000000" w:rsidRDefault="00000000">
      <w:pPr>
        <w:pStyle w:val="SingleTxt"/>
      </w:pPr>
      <w:r>
        <w:tab/>
        <w:t>b)</w:t>
      </w:r>
      <w:r>
        <w:tab/>
        <w:t>проведение мероприятий, способствующих принятию нейтральных с гендерной точки зрения законов и ознакомлению с ними широкой обществе</w:t>
      </w:r>
      <w:r>
        <w:t>н</w:t>
      </w:r>
      <w:r>
        <w:t>ности.</w:t>
      </w:r>
    </w:p>
    <w:p w:rsidR="00000000" w:rsidRDefault="00000000">
      <w:pPr>
        <w:pStyle w:val="SingleTxt"/>
      </w:pPr>
      <w:r>
        <w:t>Стратегическая цель 5.2.2: Повышение эффективности осуществления и мон</w:t>
      </w:r>
      <w:r>
        <w:t>и</w:t>
      </w:r>
      <w:r>
        <w:t>торинга международных и региональных нормативных актов по правам чел</w:t>
      </w:r>
      <w:r>
        <w:t>о</w:t>
      </w:r>
      <w:r>
        <w:t>века и ознакомление женщин и мужчин с тем, как ими пользоваться.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Намеченные мероприятия:</w:t>
      </w:r>
    </w:p>
    <w:p w:rsidR="00000000" w:rsidRDefault="00000000">
      <w:pPr>
        <w:pStyle w:val="SingleTxt"/>
        <w:spacing w:after="0" w:line="120" w:lineRule="exact"/>
        <w:rPr>
          <w:sz w:val="10"/>
        </w:rPr>
      </w:pPr>
    </w:p>
    <w:p w:rsidR="00000000" w:rsidRDefault="00000000">
      <w:pPr>
        <w:pStyle w:val="SingleTxt"/>
      </w:pPr>
      <w:r>
        <w:tab/>
        <w:t>a)</w:t>
      </w:r>
      <w:r>
        <w:tab/>
        <w:t>планирование информационно-пропагандистских мероприятий и распространение информации среди всех заинтересованных сторон о Конве</w:t>
      </w:r>
      <w:r>
        <w:t>н</w:t>
      </w:r>
      <w:r>
        <w:t>ции о ликвидации всех форм дискриминации в отношении женщин и Конве</w:t>
      </w:r>
      <w:r>
        <w:t>н</w:t>
      </w:r>
      <w:r>
        <w:t>ции о правах р</w:t>
      </w:r>
      <w:r>
        <w:t>е</w:t>
      </w:r>
      <w:r>
        <w:t>бенка;</w:t>
      </w:r>
    </w:p>
    <w:p w:rsidR="00000000" w:rsidRDefault="00000000">
      <w:pPr>
        <w:pStyle w:val="SingleTxt"/>
      </w:pPr>
      <w:r>
        <w:tab/>
        <w:t>b)</w:t>
      </w:r>
      <w:r>
        <w:tab/>
        <w:t>упрощение и перевод вышеуказанных нормативных актов по правам человека на ясный и понятный язык;</w:t>
      </w:r>
    </w:p>
    <w:p w:rsidR="00000000" w:rsidRDefault="00000000">
      <w:pPr>
        <w:pStyle w:val="SingleTxt"/>
      </w:pPr>
      <w:r>
        <w:tab/>
        <w:t>c)</w:t>
      </w:r>
      <w:r>
        <w:tab/>
        <w:t>обучение юристов и лиц c параюридической подготовкой методам более эффективного использования нормативных актов по правам ч</w:t>
      </w:r>
      <w:r>
        <w:t>е</w:t>
      </w:r>
      <w:r>
        <w:t>ловека.</w:t>
      </w:r>
    </w:p>
    <w:p w:rsidR="00000000" w:rsidRDefault="00000000">
      <w:pPr>
        <w:pStyle w:val="SingleTxt"/>
      </w:pPr>
      <w:r>
        <w:tab/>
        <w:t>До конца 2005 года в План действий будут внесены изменения с тем, чт</w:t>
      </w:r>
      <w:r>
        <w:t>о</w:t>
      </w:r>
      <w:r>
        <w:t>бы еще больше конкретизировать предлагаемые мероприятия и сделать их б</w:t>
      </w:r>
      <w:r>
        <w:t>о</w:t>
      </w:r>
      <w:r>
        <w:t>лее реалистичными.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8. </w:t>
      </w:r>
      <w:r>
        <w:br/>
        <w:t>Антидискриминационные меры в Национальном плане действий, включая гендерную политику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разделе 2 «Руководящие принципы» проекта гендерной политики гов</w:t>
      </w:r>
      <w:r>
        <w:t>о</w:t>
      </w:r>
      <w:r>
        <w:t>рится следующее: «Принимаются особые (антидискриминационные) меры для ликвидации издавна существовавших диспропорций и неравенства между мужчинами и женщинами. Эти меры носят временный характер и направлены на создание более благоприятных условий для того, чтобы женщины вышли на такой уровень, на котором они могли бы конкурировать с мужчинами на ра</w:t>
      </w:r>
      <w:r>
        <w:t>в</w:t>
      </w:r>
      <w:r>
        <w:t>ной основе».</w:t>
      </w:r>
    </w:p>
    <w:p w:rsidR="00000000" w:rsidRDefault="00000000">
      <w:pPr>
        <w:pStyle w:val="SingleTxt"/>
      </w:pPr>
      <w:r>
        <w:tab/>
        <w:t>В разделе 4.2 «Расширение политических прав» проекта этого документа говорится также следующее:</w:t>
      </w:r>
    </w:p>
    <w:p w:rsidR="00000000" w:rsidRDefault="00000000">
      <w:pPr>
        <w:pStyle w:val="SingleTxt"/>
        <w:tabs>
          <w:tab w:val="right" w:pos="1685"/>
        </w:tabs>
        <w:ind w:left="1742" w:hanging="475"/>
      </w:pPr>
      <w:r>
        <w:tab/>
        <w:t>•</w:t>
      </w:r>
      <w:r>
        <w:tab/>
        <w:t>для улучшения неблагоприятных социально-политических условий, в к</w:t>
      </w:r>
      <w:r>
        <w:t>о</w:t>
      </w:r>
      <w:r>
        <w:t>торых изначально оказались эритрейские женщины, будет необходимо принять антидискриминационные меры, призванные стимулировать их участие в политической жизни;</w:t>
      </w:r>
    </w:p>
    <w:p w:rsidR="00000000" w:rsidRDefault="00000000">
      <w:pPr>
        <w:pStyle w:val="SingleTxt"/>
        <w:tabs>
          <w:tab w:val="right" w:pos="1685"/>
        </w:tabs>
        <w:ind w:left="1742" w:hanging="475"/>
      </w:pPr>
      <w:r>
        <w:tab/>
        <w:t>•</w:t>
      </w:r>
      <w:r>
        <w:tab/>
        <w:t>антидискриминационные меры предусматривают отведение женщинам мест в выборных законодательных органах на всех уровнях, что должно быть г</w:t>
      </w:r>
      <w:r>
        <w:t>а</w:t>
      </w:r>
      <w:r>
        <w:t>рантировано соответствующим законодательством.</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В разделе 5 «Стратегии» предусмотрено следующее:</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«Как указывается в разделе «Руководящие принципы», по мере необход</w:t>
      </w:r>
      <w:r>
        <w:t>и</w:t>
      </w:r>
      <w:r>
        <w:t>мости проводится политика антидискриминационных мер, направленная на расширение доступа женщин к образованию, профессиональной по</w:t>
      </w:r>
      <w:r>
        <w:t>д</w:t>
      </w:r>
      <w:r>
        <w:t>готовке, рабочим местам, кредитам и другим ресурсам, что позволяет им улучшить свое положение. Однако такая политика, будучи временной по характеру, будет прекращена в каждом конкретном секторе или области в тот момент, когда она достигнет своей цели, т.е. на том этапе, когда же</w:t>
      </w:r>
      <w:r>
        <w:t>н</w:t>
      </w:r>
      <w:r>
        <w:t>щины смогут на равной основе конкурировать с мужчинами в этом сект</w:t>
      </w:r>
      <w:r>
        <w:t>о</w:t>
      </w:r>
      <w:r>
        <w:t>ре или области».</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В том же разделе определяются предварительные условия для учета ге</w:t>
      </w:r>
      <w:r>
        <w:t>н</w:t>
      </w:r>
      <w:r>
        <w:t>дерных соображений в законодательстве, стратегиях и программах, включая принятие антидискр</w:t>
      </w:r>
      <w:r>
        <w:t>и</w:t>
      </w:r>
      <w:r>
        <w:t>минационных мер.</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Как указывалось в нашем докладе об осуществлении Пекинской пла</w:t>
      </w:r>
      <w:r>
        <w:t>т</w:t>
      </w:r>
      <w:r>
        <w:t>формы действий (2004 год), стратегия Эритреи предполагает всесторонний учет гендерной проблематики параллельно с осуществлением программ, сп</w:t>
      </w:r>
      <w:r>
        <w:t>е</w:t>
      </w:r>
      <w:r>
        <w:t>циально рассчитанных на женщин. Помимо широкого круга программ и прое</w:t>
      </w:r>
      <w:r>
        <w:t>к</w:t>
      </w:r>
      <w:r>
        <w:t>тов, призванных расширить доступ женщин к средствам производства, профе</w:t>
      </w:r>
      <w:r>
        <w:t>с</w:t>
      </w:r>
      <w:r>
        <w:t>сиональной подготовке и т.д., частью этой стратегии являются некоторые ант</w:t>
      </w:r>
      <w:r>
        <w:t>и</w:t>
      </w:r>
      <w:r>
        <w:t>дискриминационные меры ограниченного характера, связанные с установлен</w:t>
      </w:r>
      <w:r>
        <w:t>и</w:t>
      </w:r>
      <w:r>
        <w:t>ем квот в законодательных органах и процентных показателей приема мужчин и женщин в некот</w:t>
      </w:r>
      <w:r>
        <w:t>о</w:t>
      </w:r>
      <w:r>
        <w:t>рые учебные заведения.</w:t>
      </w:r>
    </w:p>
    <w:p w:rsidR="00000000" w:rsidRDefault="00000000">
      <w:pPr>
        <w:pStyle w:val="SingleTxt"/>
      </w:pPr>
      <w:r>
        <w:tab/>
        <w:t>Другим официальным документом, в котором говорится о необходимости принятия антидискриминационных мер в интересах женщин, является выш</w:t>
      </w:r>
      <w:r>
        <w:t>е</w:t>
      </w:r>
      <w:r>
        <w:t>упомянутый промежуточный документ о стратегии сокращения масштабов нищеты. В нем говорится следующее:</w:t>
      </w:r>
    </w:p>
    <w:p w:rsidR="00000000" w:rsidRDefault="00000000">
      <w:pPr>
        <w:pStyle w:val="SingleTxt"/>
        <w:ind w:left="1742" w:hanging="475"/>
      </w:pPr>
      <w:r>
        <w:tab/>
        <w:t>«При помощи прямых антидискриминационных и других мер в ДССН ставится задача расширения участия женщин в политической, экономич</w:t>
      </w:r>
      <w:r>
        <w:t>е</w:t>
      </w:r>
      <w:r>
        <w:t>ской и общественной жизни и принимается обязательство сделать же</w:t>
      </w:r>
      <w:r>
        <w:t>н</w:t>
      </w:r>
      <w:r>
        <w:t>щин активными участниками деятельности по борьбе с нищетой, описа</w:t>
      </w:r>
      <w:r>
        <w:t>н</w:t>
      </w:r>
      <w:r>
        <w:t>ной в стратегии, и одновременно ее бенефициарами».</w:t>
      </w:r>
    </w:p>
    <w:p w:rsidR="00000000" w:rsidRDefault="00000000">
      <w:pPr>
        <w:pStyle w:val="SingleTxt"/>
      </w:pPr>
      <w:r>
        <w:tab/>
        <w:t>В ДССН также предусмотрены меры по облегчению доступа женщин к вакантным должностям в государственном и частном секторах, а также расш</w:t>
      </w:r>
      <w:r>
        <w:t>и</w:t>
      </w:r>
      <w:r>
        <w:t>рению их возможностей для доступа к земле, кредитам и услугам по профе</w:t>
      </w:r>
      <w:r>
        <w:t>с</w:t>
      </w:r>
      <w:r>
        <w:t>сиональной подготовке.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9. </w:t>
      </w:r>
      <w:r>
        <w:br/>
        <w:t>Стереотипы, укоренившиеся в культуре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рамках стратегической цели 4.1.3 в Национальном плане действий по обеспечению равноправия мужчин и женщин говорится следующее:</w:t>
      </w:r>
    </w:p>
    <w:p w:rsidR="00000000" w:rsidRDefault="00000000">
      <w:pPr>
        <w:pStyle w:val="SingleTxt"/>
      </w:pPr>
      <w:r>
        <w:t>Стратегическая цель 4.1.3: Разработка программы по изучению и искоренению культурных и традиционных установок, негативно влияющих на благополучие женщин и равноправие между мужчинами и женщинами.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Намеченные мероприятия:</w:t>
      </w:r>
    </w:p>
    <w:p w:rsidR="00000000" w:rsidRDefault="00000000">
      <w:pPr>
        <w:pStyle w:val="SingleTxt"/>
        <w:spacing w:after="0" w:line="120" w:lineRule="exact"/>
        <w:rPr>
          <w:sz w:val="10"/>
        </w:rPr>
      </w:pPr>
    </w:p>
    <w:p w:rsidR="00000000" w:rsidRDefault="00000000">
      <w:pPr>
        <w:pStyle w:val="SingleTxt"/>
      </w:pPr>
      <w:r>
        <w:tab/>
        <w:t>a)</w:t>
      </w:r>
      <w:r>
        <w:tab/>
        <w:t>проведение исследования для выявления устоявшихся культурных обычаев, которые негативно отражаются на экономических возможностях женщин;</w:t>
      </w:r>
    </w:p>
    <w:p w:rsidR="00000000" w:rsidRDefault="00000000">
      <w:pPr>
        <w:pStyle w:val="SingleTxt"/>
      </w:pPr>
      <w:r>
        <w:tab/>
        <w:t>b)</w:t>
      </w:r>
      <w:r>
        <w:tab/>
        <w:t>создание пропагандистского механизма для широкого распростран</w:t>
      </w:r>
      <w:r>
        <w:t>е</w:t>
      </w:r>
      <w:r>
        <w:t>ния информации о негативных культурных и традиционных обычаях;</w:t>
      </w:r>
    </w:p>
    <w:p w:rsidR="00000000" w:rsidRDefault="00000000">
      <w:pPr>
        <w:pStyle w:val="SingleTxt"/>
      </w:pPr>
      <w:r>
        <w:tab/>
        <w:t>c)</w:t>
      </w:r>
      <w:r>
        <w:tab/>
        <w:t>разработка просветительской программы в целях ликвидации нег</w:t>
      </w:r>
      <w:r>
        <w:t>а</w:t>
      </w:r>
      <w:r>
        <w:t>тивных традиц</w:t>
      </w:r>
      <w:r>
        <w:t>и</w:t>
      </w:r>
      <w:r>
        <w:t>онных стереотипов.</w:t>
      </w:r>
    </w:p>
    <w:p w:rsidR="00000000" w:rsidRDefault="00000000">
      <w:pPr>
        <w:pStyle w:val="SingleTxt"/>
      </w:pPr>
      <w:r>
        <w:tab/>
        <w:t>Активная работа в этой связи ведется, в частности, в сфере образования. Министерство образования организует курсы по гендерной проблематике для всех преподавателей-стажеров. Новая отраслевая политика министерства пре</w:t>
      </w:r>
      <w:r>
        <w:t>д</w:t>
      </w:r>
      <w:r>
        <w:t>полагает также пересмотр учебной программы и материалов таким образом, чтобы в них нашли более полное отражение гендерные аспекты (см. также о</w:t>
      </w:r>
      <w:r>
        <w:t>т</w:t>
      </w:r>
      <w:r>
        <w:t>вет Эритреи на пункт 16 ниже).</w:t>
      </w: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10. </w:t>
      </w:r>
      <w:r>
        <w:br/>
        <w:t>Насилие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Из</w:t>
      </w:r>
      <w:r>
        <w:noBreakHyphen/>
        <w:t>за отсутствия отлаженного механизма сбора данных подробной и</w:t>
      </w:r>
      <w:r>
        <w:t>н</w:t>
      </w:r>
      <w:r>
        <w:t>формации о формах и масштабах насилия в отношении женщин не имеется. Что касается заявления, сделанного в нашем докладе, то в нем говорится в первую очередь о практике калечащих операций на женских гениталиях, кот</w:t>
      </w:r>
      <w:r>
        <w:t>о</w:t>
      </w:r>
      <w:r>
        <w:t>рая распространена по всей стране, что мы и пытались подчер</w:t>
      </w:r>
      <w:r>
        <w:t>к</w:t>
      </w:r>
      <w:r>
        <w:t>нуть.</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Пункт 11. </w:t>
      </w:r>
      <w:r>
        <w:br/>
        <w:t>Изнасилования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стране пока не принято нормативных актов, призванных решить пр</w:t>
      </w:r>
      <w:r>
        <w:t>о</w:t>
      </w:r>
      <w:r>
        <w:t>блему уклонения от судебной ответственности насильников путем заключения брака с потерпевшей.</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w:t>
      </w:r>
      <w:r>
        <w:rPr>
          <w:lang w:val="en-US"/>
        </w:rPr>
        <w:t>т</w:t>
      </w:r>
      <w:r>
        <w:t xml:space="preserve"> 12.</w:t>
      </w:r>
      <w:r>
        <w:br/>
        <w:t>Незаконная торговля женщинами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Эритрея не сталкивается с проблемой незаконной торговли женщинами, и потому в анналах ее судов и других правоприменительных органов не зафи</w:t>
      </w:r>
      <w:r>
        <w:t>к</w:t>
      </w:r>
      <w:r>
        <w:t>сировано ни одного случая подобного рода. Существует, правда, некоторая обеспокоенность в отношении эритрейских женщин, выезжающих для работы в другие страны, в особенности в страны Ближнего Востока. Сотрудники д</w:t>
      </w:r>
      <w:r>
        <w:t>и</w:t>
      </w:r>
      <w:r>
        <w:t>пломатических миссий в таких странах получают соответствующие инстру</w:t>
      </w:r>
      <w:r>
        <w:t>к</w:t>
      </w:r>
      <w:r>
        <w:t>ции, касающиеся в</w:t>
      </w:r>
      <w:r>
        <w:t>о</w:t>
      </w:r>
      <w:r>
        <w:t>просов права и защиты граждан.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13.</w:t>
      </w:r>
      <w:r>
        <w:br/>
        <w:t>Участие женщин в политической и общественной жизни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результате недавнего осуществления крупной инициативы в этой обла</w:t>
      </w:r>
      <w:r>
        <w:t>с</w:t>
      </w:r>
      <w:r>
        <w:t>ти удалось добиться беспрецедентного представительства женщин в местных судебных структурах. В проходивших в 2003 году выборах в общинные суды 20 процентов мест общинных судей были отданы женщинам. Это явилось крупным шагом для страны, где до сих пор 100 процентов традиционных/ сельских судей были мужчинами. Существенно также и то, что женщины с</w:t>
      </w:r>
      <w:r>
        <w:t>о</w:t>
      </w:r>
      <w:r>
        <w:t>ставляют 15 процентов от общего числа избранных центральных с</w:t>
      </w:r>
      <w:r>
        <w:t>у</w:t>
      </w:r>
      <w:r>
        <w:t>дей.</w:t>
      </w:r>
    </w:p>
    <w:p w:rsidR="00000000" w:rsidRDefault="00000000">
      <w:pPr>
        <w:pStyle w:val="SingleTxt"/>
      </w:pPr>
      <w:r>
        <w:tab/>
        <w:t>В 2003 году Национальный союз эритрейских женщин организовал сем</w:t>
      </w:r>
      <w:r>
        <w:t>и</w:t>
      </w:r>
      <w:r>
        <w:t>нар «Женщины и право», в котором приняли участие эксперты из стран во</w:t>
      </w:r>
      <w:r>
        <w:t>с</w:t>
      </w:r>
      <w:r>
        <w:t>точноафриканского субрегиона. В центре внимания участников был эритре</w:t>
      </w:r>
      <w:r>
        <w:t>й</w:t>
      </w:r>
      <w:r>
        <w:t>ский контекст этой проблемы и ее общие уроки для остальных стран субреги</w:t>
      </w:r>
      <w:r>
        <w:t>о</w:t>
      </w:r>
      <w:r>
        <w:t>на. Рекомендации семинара были переданы для рассмотрения, в том числе в комитет по правовой реформе. Одним из участников семинара было министе</w:t>
      </w:r>
      <w:r>
        <w:t>р</w:t>
      </w:r>
      <w:r>
        <w:t>ство юстиции, которое уже приступило к осуществлению ряда его ключевых рекомендаций. В их число входят такие, как: a) сформулировать требование о резервировании для женщин одного места (из трех) в «общинных судах» по всей стране; b) расширить программу «правовой грамотности»; и c) создать выездные суды для улучшения доступа в наиболее отдаленных ра</w:t>
      </w:r>
      <w:r>
        <w:t>й</w:t>
      </w:r>
      <w:r>
        <w:t>онах.</w:t>
      </w:r>
    </w:p>
    <w:p w:rsidR="00000000" w:rsidRDefault="00000000">
      <w:pPr>
        <w:pStyle w:val="SingleTxt"/>
      </w:pPr>
      <w:r>
        <w:tab/>
        <w:t>На последних выборах в региональные законодательные органы страны, которые прошли в 2004 году, женщины составили 28 процентов всех избра</w:t>
      </w:r>
      <w:r>
        <w:t>н</w:t>
      </w:r>
      <w:r>
        <w:t>ных законодателей. В Центральном регионе их доля составила 34,3 процента. Один из шести председателей/спикеров региональных ассамблей является женщиной, в еще в одной региональной ассамблее женщина занимает пост секрет</w:t>
      </w:r>
      <w:r>
        <w:t>а</w:t>
      </w:r>
      <w:r>
        <w:t>ря.</w:t>
      </w:r>
    </w:p>
    <w:p w:rsidR="00000000" w:rsidRDefault="00000000">
      <w:pPr>
        <w:pStyle w:val="SingleTxt"/>
      </w:pPr>
      <w:r>
        <w:tab/>
        <w:t>Выдвижение женщин и обеспечение гендерного равенства в сфере упра</w:t>
      </w:r>
      <w:r>
        <w:t>в</w:t>
      </w:r>
      <w:r>
        <w:t>ления входят в число тех нескольких областей, которые были выделены (пр</w:t>
      </w:r>
      <w:r>
        <w:t>а</w:t>
      </w:r>
      <w:r>
        <w:t>вительством и партнерами Организации Объединенных Наций) в Общем ан</w:t>
      </w:r>
      <w:r>
        <w:t>а</w:t>
      </w:r>
      <w:r>
        <w:t>лизе по стране 2005 года, и теперь получат поддержку системы учреждений Организации Объединенных Наций в новой Рамочной программе Организации Объединенных Наций по оказанию помощи в целях развития. Эта поддержка предусматривает, среди прочего, придание приоритетного значения подходу к составлению бюджета с учетом гендерной специфики, а также интересов н</w:t>
      </w:r>
      <w:r>
        <w:t>е</w:t>
      </w:r>
      <w:r>
        <w:t>имущих слоев населения (дополнительную информацию см. в приложении II)</w:t>
      </w:r>
      <w:r>
        <w:rPr>
          <w:rStyle w:val="FootnoteReference"/>
        </w:rPr>
        <w:footnoteReference w:id="1"/>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14.</w:t>
      </w:r>
      <w:r>
        <w:br/>
        <w:t>Представительство в международных делах</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Помимо всеобщего движения за улучшение условий, способствующих повышению конкурентоспособности женщины, а также общей политической линии, направленной на открытие женщинам доступа к более высоким дол</w:t>
      </w:r>
      <w:r>
        <w:t>ж</w:t>
      </w:r>
      <w:r>
        <w:t>ностям, в стране в настоящее время нет конкретных инициатив, касающихся представ</w:t>
      </w:r>
      <w:r>
        <w:t>и</w:t>
      </w:r>
      <w:r>
        <w:t>тельства женщин в международных делах.</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15.</w:t>
      </w:r>
      <w:r>
        <w:br/>
        <w:t>Образование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До начала пограничной войны 1998 года Эритрея добилась весьма сущ</w:t>
      </w:r>
      <w:r>
        <w:t>е</w:t>
      </w:r>
      <w:r>
        <w:t>ственного прогресса в обеспечении гендерного равенства в сфере образования. По данным доклада об осуществлении целей, сформулированных в Деклар</w:t>
      </w:r>
      <w:r>
        <w:t>а</w:t>
      </w:r>
      <w:r>
        <w:t>ции тысячелетия (2005 год), отношение числа девочек к числу мальчиков в н</w:t>
      </w:r>
      <w:r>
        <w:t>а</w:t>
      </w:r>
      <w:r>
        <w:t>чальных, средних и старших классах школы в период 1993–1995 годов соста</w:t>
      </w:r>
      <w:r>
        <w:t>в</w:t>
      </w:r>
      <w:r>
        <w:t>ляло соответственно 80, 84 и 65 процентов. Тот же показатель в период 2001–2003 годов составлял соответственно 81, 80 и 57  процентов (подробнее см. прилож</w:t>
      </w:r>
      <w:r>
        <w:t>е</w:t>
      </w:r>
      <w:r>
        <w:t>ние I)</w:t>
      </w:r>
      <w:r>
        <w:rPr>
          <w:vertAlign w:val="superscript"/>
        </w:rPr>
        <w:t>1</w:t>
      </w:r>
      <w:r>
        <w:t>.</w:t>
      </w:r>
    </w:p>
    <w:p w:rsidR="00000000" w:rsidRDefault="00000000">
      <w:pPr>
        <w:pStyle w:val="SingleTxt"/>
      </w:pPr>
      <w:r>
        <w:tab/>
        <w:t>При поддержке партнеров по развитию правительством была подготовл</w:t>
      </w:r>
      <w:r>
        <w:t>е</w:t>
      </w:r>
      <w:r>
        <w:t>на Программа развития сферы образования, цель которой — направить, ра</w:t>
      </w:r>
      <w:r>
        <w:t>с</w:t>
      </w:r>
      <w:r>
        <w:t xml:space="preserve">ширить масштабы и ускорить темпы преобразований в этой сфере. В контексте этой Программы правительство активизирует усилия по внедрению всеобщего начального образования и достижению гендерного равенства на всех ступенях образования, как это предусмотрено целями развития, провозглашенными в Декларации тысячелетия. </w:t>
      </w:r>
    </w:p>
    <w:p w:rsidR="00000000" w:rsidRDefault="00000000">
      <w:pPr>
        <w:pStyle w:val="SingleTxt"/>
      </w:pPr>
      <w:r>
        <w:tab/>
        <w:t>В Программе развития сферы образования, подготовленной в апреле 2005 года, главные элементы стратегии повышения уровня образования дев</w:t>
      </w:r>
      <w:r>
        <w:t>о</w:t>
      </w:r>
      <w:r>
        <w:t>чек и женщин определяются следующим образом:</w:t>
      </w:r>
    </w:p>
    <w:p w:rsidR="00000000" w:rsidRDefault="00000000">
      <w:pPr>
        <w:pStyle w:val="SingleTxt"/>
        <w:tabs>
          <w:tab w:val="right" w:pos="1685"/>
        </w:tabs>
        <w:ind w:left="1742" w:hanging="475"/>
      </w:pPr>
      <w:r>
        <w:tab/>
        <w:t>▪</w:t>
      </w:r>
      <w:r>
        <w:tab/>
        <w:t>повышение гендерного сознания общины является ключом к успеху в д</w:t>
      </w:r>
      <w:r>
        <w:t>е</w:t>
      </w:r>
      <w:r>
        <w:t>ле повсемес</w:t>
      </w:r>
      <w:r>
        <w:t>т</w:t>
      </w:r>
      <w:r>
        <w:t>ного распространения гендерного образования:</w:t>
      </w:r>
    </w:p>
    <w:p w:rsidR="00000000" w:rsidRDefault="00000000">
      <w:pPr>
        <w:pStyle w:val="SingleTxt"/>
        <w:tabs>
          <w:tab w:val="right" w:pos="2160"/>
        </w:tabs>
        <w:ind w:left="2218" w:hanging="475"/>
      </w:pPr>
      <w:r>
        <w:tab/>
        <w:t>◦</w:t>
      </w:r>
      <w:r>
        <w:tab/>
        <w:t>осуществление учебных и мобилизационных программ для общин;</w:t>
      </w:r>
    </w:p>
    <w:p w:rsidR="00000000" w:rsidRDefault="00000000">
      <w:pPr>
        <w:pStyle w:val="SingleTxt"/>
        <w:tabs>
          <w:tab w:val="right" w:pos="2160"/>
        </w:tabs>
        <w:ind w:left="2218" w:hanging="475"/>
      </w:pPr>
      <w:r>
        <w:tab/>
        <w:t>◦</w:t>
      </w:r>
      <w:r>
        <w:tab/>
        <w:t>подготовка гендерно ориентированных просветительских матери</w:t>
      </w:r>
      <w:r>
        <w:t>а</w:t>
      </w:r>
      <w:r>
        <w:t>лов по проблемам бытовых и социально-культурных традиций, пр</w:t>
      </w:r>
      <w:r>
        <w:t>е</w:t>
      </w:r>
      <w:r>
        <w:t>пятствующих приобщению девочек и женщин к образованию, пре</w:t>
      </w:r>
      <w:r>
        <w:t>д</w:t>
      </w:r>
      <w:r>
        <w:t>назначенных для наиболее неблагополучных общин и пропаганд</w:t>
      </w:r>
      <w:r>
        <w:t>и</w:t>
      </w:r>
      <w:r>
        <w:t>стов;</w:t>
      </w:r>
    </w:p>
    <w:p w:rsidR="00000000" w:rsidRDefault="00000000">
      <w:pPr>
        <w:pStyle w:val="SingleTxt"/>
        <w:tabs>
          <w:tab w:val="right" w:pos="2160"/>
        </w:tabs>
        <w:ind w:left="2218" w:hanging="475"/>
      </w:pPr>
      <w:r>
        <w:tab/>
        <w:t>◦</w:t>
      </w:r>
      <w:r>
        <w:tab/>
        <w:t>укрепление связей между школой и общиной посредством передачи управл</w:t>
      </w:r>
      <w:r>
        <w:t>е</w:t>
      </w:r>
      <w:r>
        <w:t>ния школьным образованием на уровень школы и общины;</w:t>
      </w:r>
    </w:p>
    <w:p w:rsidR="00000000" w:rsidRDefault="00000000">
      <w:pPr>
        <w:pStyle w:val="SingleTxt"/>
        <w:tabs>
          <w:tab w:val="right" w:pos="1685"/>
        </w:tabs>
        <w:ind w:left="1742" w:hanging="475"/>
      </w:pPr>
      <w:r>
        <w:tab/>
        <w:t>▪</w:t>
      </w:r>
      <w:r>
        <w:tab/>
        <w:t>пересмотр национальных учебных программ и материалов, как для общ</w:t>
      </w:r>
      <w:r>
        <w:t>е</w:t>
      </w:r>
      <w:r>
        <w:t>образовательных учреждений, так и для педагогических учебных завед</w:t>
      </w:r>
      <w:r>
        <w:t>е</w:t>
      </w:r>
      <w:r>
        <w:t>ний, с целью усилить в них элемент учета гендерной специфики и уск</w:t>
      </w:r>
      <w:r>
        <w:t>о</w:t>
      </w:r>
      <w:r>
        <w:t>рить включение в учебные программы обучение вопросам репродукти</w:t>
      </w:r>
      <w:r>
        <w:t>в</w:t>
      </w:r>
      <w:r>
        <w:t>ного здоровья;</w:t>
      </w:r>
    </w:p>
    <w:p w:rsidR="00000000" w:rsidRDefault="00000000">
      <w:pPr>
        <w:pStyle w:val="SingleTxt"/>
        <w:tabs>
          <w:tab w:val="right" w:pos="1685"/>
        </w:tabs>
        <w:ind w:left="1742" w:hanging="475"/>
      </w:pPr>
      <w:r>
        <w:tab/>
        <w:t>▪</w:t>
      </w:r>
      <w:r>
        <w:tab/>
        <w:t>увеличение в школах числа женщин-учителей путем расширения приема женщин в педагогические учебные заведения;</w:t>
      </w:r>
    </w:p>
    <w:p w:rsidR="00000000" w:rsidRDefault="00000000">
      <w:pPr>
        <w:pStyle w:val="SingleTxt"/>
        <w:tabs>
          <w:tab w:val="right" w:pos="1685"/>
        </w:tabs>
        <w:ind w:left="1742" w:hanging="475"/>
      </w:pPr>
      <w:r>
        <w:tab/>
        <w:t>▪</w:t>
      </w:r>
      <w:r>
        <w:tab/>
        <w:t>открытие школ-интернатов и общежитий для девочек из отдаленных ра</w:t>
      </w:r>
      <w:r>
        <w:t>й</w:t>
      </w:r>
      <w:r>
        <w:t>онов, а также из кочевых и полукочевых общин;</w:t>
      </w:r>
    </w:p>
    <w:p w:rsidR="00000000" w:rsidRDefault="00000000">
      <w:pPr>
        <w:pStyle w:val="SingleTxt"/>
        <w:tabs>
          <w:tab w:val="right" w:pos="1685"/>
        </w:tabs>
        <w:ind w:left="1742" w:hanging="475"/>
      </w:pPr>
      <w:r>
        <w:tab/>
        <w:t>▪</w:t>
      </w:r>
      <w:r>
        <w:tab/>
        <w:t>особое внимание обеспечению прихода девочек в первый класс школы по достижении ими установленного возраста (7 лет) и последующему но</w:t>
      </w:r>
      <w:r>
        <w:t>р</w:t>
      </w:r>
      <w:r>
        <w:t>мальн</w:t>
      </w:r>
      <w:r>
        <w:t>о</w:t>
      </w:r>
      <w:r>
        <w:t>му переходу из класса в класс на всех ступенях обучения;</w:t>
      </w:r>
    </w:p>
    <w:p w:rsidR="00000000" w:rsidRDefault="00000000">
      <w:pPr>
        <w:pStyle w:val="SingleTxt"/>
        <w:tabs>
          <w:tab w:val="right" w:pos="1685"/>
        </w:tabs>
        <w:ind w:left="1742" w:hanging="475"/>
      </w:pPr>
      <w:r>
        <w:tab/>
        <w:t>▪</w:t>
      </w:r>
      <w:r>
        <w:tab/>
        <w:t>расширение возможностей для получения женщинами неформального о</w:t>
      </w:r>
      <w:r>
        <w:t>б</w:t>
      </w:r>
      <w:r>
        <w:t>р</w:t>
      </w:r>
      <w:r>
        <w:t>а</w:t>
      </w:r>
      <w:r>
        <w:t>зования, включая образование для взрослых и ремесленное обучение;</w:t>
      </w:r>
    </w:p>
    <w:p w:rsidR="00000000" w:rsidRDefault="00000000">
      <w:pPr>
        <w:pStyle w:val="SingleTxt"/>
        <w:tabs>
          <w:tab w:val="right" w:pos="1685"/>
        </w:tabs>
        <w:ind w:left="1742" w:hanging="475"/>
      </w:pPr>
      <w:r>
        <w:tab/>
        <w:t>▪</w:t>
      </w:r>
      <w:r>
        <w:tab/>
        <w:t>улучшение сбора и выпуска данных о сфере образования с разбивкой по полу, совершенствование исследований, основанных на гендерной спец</w:t>
      </w:r>
      <w:r>
        <w:t>и</w:t>
      </w:r>
      <w:r>
        <w:t>фике, и контроль за достижением целей развития, провозглашенных в Декларации тыс</w:t>
      </w:r>
      <w:r>
        <w:t>я</w:t>
      </w:r>
      <w:r>
        <w:t>челетия.</w:t>
      </w:r>
    </w:p>
    <w:p w:rsidR="00000000" w:rsidRDefault="00000000">
      <w:pPr>
        <w:pStyle w:val="SingleTxt"/>
      </w:pPr>
      <w:r>
        <w:tab/>
        <w:t>Кроме того, в той степени, в какой это позволят наличные ресурсы, пр</w:t>
      </w:r>
      <w:r>
        <w:t>а</w:t>
      </w:r>
      <w:r>
        <w:t>вительство б</w:t>
      </w:r>
      <w:r>
        <w:t>у</w:t>
      </w:r>
      <w:r>
        <w:t>дет:</w:t>
      </w:r>
    </w:p>
    <w:p w:rsidR="00000000" w:rsidRDefault="00000000">
      <w:pPr>
        <w:pStyle w:val="SingleTxt"/>
        <w:tabs>
          <w:tab w:val="right" w:pos="1685"/>
        </w:tabs>
        <w:ind w:left="1742" w:hanging="475"/>
      </w:pPr>
      <w:r>
        <w:tab/>
        <w:t>▪</w:t>
      </w:r>
      <w:r>
        <w:tab/>
        <w:t>предоставлять организационные и консультативные услуги с тем, чтобы помочь девочкам преодолеть проблемы, препятствующие их образов</w:t>
      </w:r>
      <w:r>
        <w:t>а</w:t>
      </w:r>
      <w:r>
        <w:t>нию;</w:t>
      </w:r>
    </w:p>
    <w:p w:rsidR="00000000" w:rsidRDefault="00000000">
      <w:pPr>
        <w:pStyle w:val="SingleTxt"/>
        <w:tabs>
          <w:tab w:val="right" w:pos="1685"/>
        </w:tabs>
        <w:ind w:left="1742" w:hanging="475"/>
      </w:pPr>
      <w:r>
        <w:tab/>
        <w:t>▪</w:t>
      </w:r>
      <w:r>
        <w:tab/>
        <w:t>оказывать финансовую помощь девочкам из малоимущих семей в качес</w:t>
      </w:r>
      <w:r>
        <w:t>т</w:t>
      </w:r>
      <w:r>
        <w:t>ве поощрения и компенсации альтернативных издержек, возникающих в результате посещения ими школ</w:t>
      </w:r>
      <w:r>
        <w:t>ь</w:t>
      </w:r>
      <w:r>
        <w:t>ных занятий;</w:t>
      </w:r>
    </w:p>
    <w:p w:rsidR="00000000" w:rsidRDefault="00000000">
      <w:pPr>
        <w:pStyle w:val="SingleTxt"/>
        <w:tabs>
          <w:tab w:val="right" w:pos="1685"/>
        </w:tabs>
        <w:ind w:left="1742" w:hanging="475"/>
      </w:pPr>
      <w:r>
        <w:tab/>
        <w:t>▪</w:t>
      </w:r>
      <w:r>
        <w:tab/>
        <w:t>проводить дополнительные занятия по основным предметам для девочек, нужда</w:t>
      </w:r>
      <w:r>
        <w:t>ю</w:t>
      </w:r>
      <w:r>
        <w:t>щихся в помощи.</w:t>
      </w:r>
    </w:p>
    <w:p w:rsidR="00000000" w:rsidRDefault="00000000">
      <w:pPr>
        <w:pStyle w:val="SingleTxt"/>
      </w:pPr>
      <w:r>
        <w:tab/>
        <w:t>Правительство принимает активные меры для устранения существующего неравенства, в число которых входят выплата девочкам стипендий, приближ</w:t>
      </w:r>
      <w:r>
        <w:t>е</w:t>
      </w:r>
      <w:r>
        <w:t>ние школы к месту жител</w:t>
      </w:r>
      <w:r>
        <w:t>ь</w:t>
      </w:r>
      <w:r>
        <w:t xml:space="preserve">ства и строительство общежитий для девочек. </w:t>
      </w:r>
    </w:p>
    <w:p w:rsidR="00000000" w:rsidRDefault="00000000">
      <w:pPr>
        <w:pStyle w:val="SingleTxt"/>
      </w:pPr>
      <w:r>
        <w:tab/>
        <w:t>Существенное влияние призван оказать Проект инвестирования в сферу образования — крупная программа, финансируемая Всемирным банком. Этот Проект послужит вкладом в создание равных образовательных возможностей для девочек и других ущемленных групп населения путем расширения для них доступа к базовому и начальному образованию, в особенности в сельской м</w:t>
      </w:r>
      <w:r>
        <w:t>е</w:t>
      </w:r>
      <w:r>
        <w:t>стности и в неблагополучных районах страны, сокращения дороги до школы, найма квалифицированных женщин-учителей, внедрения педагогических м</w:t>
      </w:r>
      <w:r>
        <w:t>е</w:t>
      </w:r>
      <w:r>
        <w:t>тодик, учитывающих гендерную и культурную специфику, экспериментального поиска стимулов для девочек и детей из неблагополучных групп населения, укрепления Технологического института Май-Нефхи. Программа подготовки учителей в этом Институте предназначена исключительно для будущих педаг</w:t>
      </w:r>
      <w:r>
        <w:t>о</w:t>
      </w:r>
      <w:r>
        <w:t>гов из числа представителей маргинализированных групп, этнических мен</w:t>
      </w:r>
      <w:r>
        <w:t>ь</w:t>
      </w:r>
      <w:r>
        <w:t>шинств и кочевого населения.</w:t>
      </w:r>
    </w:p>
    <w:p w:rsidR="00000000" w:rsidRDefault="00000000">
      <w:pPr>
        <w:pStyle w:val="SingleTxt"/>
      </w:pPr>
      <w:r>
        <w:tab/>
        <w:t>Одной из ключевых областей тесного сотрудничества между Национал</w:t>
      </w:r>
      <w:r>
        <w:t>ь</w:t>
      </w:r>
      <w:r>
        <w:t>ным союзом эритрейских женщин и министерством образования (а также орг</w:t>
      </w:r>
      <w:r>
        <w:t>а</w:t>
      </w:r>
      <w:r>
        <w:t>нами власти на местах) является национальная кампания по ликвидации н</w:t>
      </w:r>
      <w:r>
        <w:t>е</w:t>
      </w:r>
      <w:r>
        <w:t>грамотности. С 1997 по 2003 год в ней приняло участие 249 000 взрослых, из которых 143 000 полностью прошли весь курс обучения. За упомянутый пер</w:t>
      </w:r>
      <w:r>
        <w:t>и</w:t>
      </w:r>
      <w:r>
        <w:t>од грамоте обучилось 132 000 взрослых женщин (министерство образования, 2003 год). Процент женщин, полностью завершивших обучение по программе (71,3 процента), был заметно выше, чем мужчин (около 48,4 процента). Другим позитивным аспектом программы был постоянный рост числа ее участников: от 11 500 человек в 1997/98 году, до 56 780 человек в 2002/03 году. Программа, более 90 процентов участников которой являются женщины, получила в 2002 году премию Международной ассоциации чтения, учрежденную Организацией Объединенных Наций по вопросам образования, науки и культуры (ЮНЕСКО) (дополнительную информацию по этой теме см. в приложении III)</w:t>
      </w:r>
      <w:r>
        <w:rPr>
          <w:vertAlign w:val="superscript"/>
        </w:rPr>
        <w:t>1</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16.</w:t>
      </w:r>
      <w:r>
        <w:br/>
        <w:t>Стереотипы в области образования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Министерство образования в лице отдела по надзору, экзаменам и оценке положения в стране в сотрудничестве с другими партнерами проводит в н</w:t>
      </w:r>
      <w:r>
        <w:t>а</w:t>
      </w:r>
      <w:r>
        <w:t>стоящее время в общинах агитационно-мобилизационную работу в целях с</w:t>
      </w:r>
      <w:r>
        <w:t>о</w:t>
      </w:r>
      <w:r>
        <w:t>действия образованию девочек и детей из неблагополучных групп населения. Средства, выделенные на этот дополнительный компонент, будут способств</w:t>
      </w:r>
      <w:r>
        <w:t>о</w:t>
      </w:r>
      <w:r>
        <w:t>вать дальнейшему осуществлению программы министерства образования, к</w:t>
      </w:r>
      <w:r>
        <w:t>о</w:t>
      </w:r>
      <w:r>
        <w:t>торая предусматривает: агитацию и мобилизацию общественности на местах во всех 57 субрегионах страны, с особым упором на низинные районы, где о</w:t>
      </w:r>
      <w:r>
        <w:t>т</w:t>
      </w:r>
      <w:r>
        <w:t>мечается слабая посещаемость школ девочками и детьми этнических мен</w:t>
      </w:r>
      <w:r>
        <w:t>ь</w:t>
      </w:r>
      <w:r>
        <w:t>шинств и кочевников; подготовку информационных мероприятий с учетом ге</w:t>
      </w:r>
      <w:r>
        <w:t>н</w:t>
      </w:r>
      <w:r>
        <w:t>дерной специфики и проблем неравенства (интересов неимущих слоев насел</w:t>
      </w:r>
      <w:r>
        <w:t>е</w:t>
      </w:r>
      <w:r>
        <w:t>ния); мобилизацию общин, в том числе с привлечением видных деятелей, м</w:t>
      </w:r>
      <w:r>
        <w:t>е</w:t>
      </w:r>
      <w:r>
        <w:t>стных и р</w:t>
      </w:r>
      <w:r>
        <w:t>е</w:t>
      </w:r>
      <w:r>
        <w:t>лигиозных лидеров; и наращивание потенциала на местах.</w:t>
      </w:r>
    </w:p>
    <w:p w:rsidR="00000000" w:rsidRDefault="00000000">
      <w:pPr>
        <w:pStyle w:val="SingleTxt"/>
      </w:pPr>
      <w:r>
        <w:tab/>
        <w:t>Асмэрский педагогический институт также стремится уделять особое внимание гендерной проблематике в ходе всей учебной работы со студе</w:t>
      </w:r>
      <w:r>
        <w:t>н</w:t>
      </w:r>
      <w:r>
        <w:t>тами.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17.</w:t>
      </w:r>
      <w:r>
        <w:br/>
        <w:t>Участие в экономической жизни и возможности трудоустройства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силу того, что в последние годы многие мужчины были мобилизованы в ряды сил национальной обороны, многие из женщин занимают сегодня раб</w:t>
      </w:r>
      <w:r>
        <w:t>о</w:t>
      </w:r>
      <w:r>
        <w:t>чие места, прежде принадлежавшие мужчинам, в особенности в строительной отрасли. Это означает также, что большое количество женщин выполняет сег</w:t>
      </w:r>
      <w:r>
        <w:t>о</w:t>
      </w:r>
      <w:r>
        <w:t>дня роль главы семейства.</w:t>
      </w:r>
    </w:p>
    <w:p w:rsidR="00000000" w:rsidRDefault="00000000">
      <w:pPr>
        <w:pStyle w:val="SingleTxt"/>
      </w:pPr>
      <w:r>
        <w:tab/>
        <w:t>Активное приобщение женщин к программам профессионального обуч</w:t>
      </w:r>
      <w:r>
        <w:t>е</w:t>
      </w:r>
      <w:r>
        <w:t>ния является одной из приоритетных задач сразу нескольких министерств, включая министерства сельского хозяйства, туризма, образования, здравоохр</w:t>
      </w:r>
      <w:r>
        <w:t>а</w:t>
      </w:r>
      <w:r>
        <w:t>нения, торговли и промышленн</w:t>
      </w:r>
      <w:r>
        <w:t>о</w:t>
      </w:r>
      <w:r>
        <w:t>сти и обороны.</w:t>
      </w:r>
    </w:p>
    <w:p w:rsidR="00000000" w:rsidRDefault="00000000">
      <w:pPr>
        <w:pStyle w:val="SingleTxt"/>
      </w:pPr>
      <w:r>
        <w:tab/>
        <w:t>Заинтересованные министерства в сотрудничестве с Национальным со</w:t>
      </w:r>
      <w:r>
        <w:t>ю</w:t>
      </w:r>
      <w:r>
        <w:t>зом эритрейских женщин активно содействовали участию женщин в этих пр</w:t>
      </w:r>
      <w:r>
        <w:t>о</w:t>
      </w:r>
      <w:r>
        <w:t>граммах, в том числе путем выделения для них крупных квот. Большинством участников некоторых из этих программ были женщины (примером могут сл</w:t>
      </w:r>
      <w:r>
        <w:t>у</w:t>
      </w:r>
      <w:r>
        <w:t>жить программы подготовки работников индустрии туризма, где за последние 5 лет из 780 слушателей 87 процентов составили женщины). Из общего кол</w:t>
      </w:r>
      <w:r>
        <w:t>и</w:t>
      </w:r>
      <w:r>
        <w:t>чества 2600 выпускников, обучившихся профессиям, связанным со сферой здравоохранения, в период с 1991 по 2003 год женщины составили 44 проце</w:t>
      </w:r>
      <w:r>
        <w:t>н</w:t>
      </w:r>
      <w:r>
        <w:t>та. В других секторах их участие было не столь весомым, но все же заме</w:t>
      </w:r>
      <w:r>
        <w:t>т</w:t>
      </w:r>
      <w:r>
        <w:t>ным.</w:t>
      </w:r>
    </w:p>
    <w:p w:rsidR="00000000" w:rsidRDefault="00000000">
      <w:pPr>
        <w:pStyle w:val="SingleTxt"/>
      </w:pPr>
      <w:r>
        <w:tab/>
        <w:t>Другим ключевым ведомством, занимавшимся обеспечением професси</w:t>
      </w:r>
      <w:r>
        <w:t>о</w:t>
      </w:r>
      <w:r>
        <w:t>нальной подготовки для женщин, было министерство промышленности и то</w:t>
      </w:r>
      <w:r>
        <w:t>р</w:t>
      </w:r>
      <w:r>
        <w:t>говли, которое уделяло центральное внимание традиционным ремеслам. В 2005 году более 500 женщин прошли обучение традиционным методам тк</w:t>
      </w:r>
      <w:r>
        <w:t>а</w:t>
      </w:r>
      <w:r>
        <w:t>чества. На пути к осуществлению находится еще один проект, связанный с обучением женщин гончарному ремеслу.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18.</w:t>
      </w:r>
      <w:r>
        <w:br/>
        <w:t>Участие в неформальном секторе экономики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Проблема неформального сектора экономики в Эритрее несколько отл</w:t>
      </w:r>
      <w:r>
        <w:t>и</w:t>
      </w:r>
      <w:r>
        <w:t>чается от других развивающихся стран. Большинство частных предприятий, даже самых маленьких и отдаленных, зарегистрировано и лицензировано. П</w:t>
      </w:r>
      <w:r>
        <w:t>о</w:t>
      </w:r>
      <w:r>
        <w:t>этому они не являются «неформальными» в прямом смысле этого слова. В св</w:t>
      </w:r>
      <w:r>
        <w:t>е</w:t>
      </w:r>
      <w:r>
        <w:t>те этого было бы уместнее вести здесь разговор, исходя из размеров/стоимости этих предприятий.</w:t>
      </w:r>
    </w:p>
    <w:p w:rsidR="00000000" w:rsidRDefault="00000000">
      <w:pPr>
        <w:pStyle w:val="SingleTxt"/>
      </w:pPr>
      <w:r>
        <w:tab/>
        <w:t>Около 30–40 процентов всех микро-, малых и средних предприятий в Эритрее находится в собственности женщин. На их долю приходится около 66 процентов частных производственных предприятий (это, в частности, пр</w:t>
      </w:r>
      <w:r>
        <w:t>о</w:t>
      </w:r>
      <w:r>
        <w:t>изводство местных напитков, корзин, циновок, метелок и соков). Сорок пр</w:t>
      </w:r>
      <w:r>
        <w:t>о</w:t>
      </w:r>
      <w:r>
        <w:t>центов частных коммерческих предприятий (маленькие отели и гостевые дома, мелкие лавочки, чайные, розничная торговля) принадлежит женщинам. Им же принадлежит 25 процентов предприятий сферы услуг (парикмахерские, салоны по заплетанию косичек, пункты проката). Кроме того, 40 процентов всех лиц, занятых в микро-, малых и средних предприятиях, работают на предприятиях, принадлежащих женщинам, которые, как правило, меньше тех, что принадл</w:t>
      </w:r>
      <w:r>
        <w:t>е</w:t>
      </w:r>
      <w:r>
        <w:t>жат мужчинам</w:t>
      </w:r>
      <w:r>
        <w:rPr>
          <w:rStyle w:val="FootnoteReference"/>
        </w:rPr>
        <w:footnoteReference w:id="2"/>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19.</w:t>
      </w:r>
      <w:r>
        <w:br/>
        <w:t>Занятость, женщина на рабочем месте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Постановление о труде вступило сегодня в полную силу. Национальная конфедерация эритрейских трудящихся завершила серию семинаров и просв</w:t>
      </w:r>
      <w:r>
        <w:t>е</w:t>
      </w:r>
      <w:r>
        <w:t>тительских программ по ознакомлению трудящихся с положениями Постано</w:t>
      </w:r>
      <w:r>
        <w:t>в</w:t>
      </w:r>
      <w:r>
        <w:t>ления. Одним из органов этой Конфедерации является Комитет по вопросам работающих женщин, который принимает активное участие в этих кампаниях. Присутствие женщины в советах и исполнительных органах всех пяти федер</w:t>
      </w:r>
      <w:r>
        <w:t>а</w:t>
      </w:r>
      <w:r>
        <w:t>ций, входящих в состав Конфедерации, также оказывает свое позитивное вли</w:t>
      </w:r>
      <w:r>
        <w:t>я</w:t>
      </w:r>
      <w:r>
        <w:t>ние в этой о</w:t>
      </w:r>
      <w:r>
        <w:t>б</w:t>
      </w:r>
      <w:r>
        <w:t>ласти.</w:t>
      </w:r>
    </w:p>
    <w:p w:rsidR="00000000" w:rsidRDefault="00000000">
      <w:pPr>
        <w:pStyle w:val="SingleTxt"/>
      </w:pPr>
      <w:r>
        <w:tab/>
        <w:t>Комитет по вопросам работающих женщин упомянутой Конфедерации занимается также организацией учебных курсов по темам руководства и прав трудящихся, а также курсов профессиональной подготовки.</w:t>
      </w:r>
    </w:p>
    <w:p w:rsidR="00000000" w:rsidRDefault="00000000">
      <w:pPr>
        <w:pStyle w:val="SingleTxt"/>
      </w:pPr>
      <w:r>
        <w:tab/>
        <w:t>И тем не менее для решения специфических проблем работающих же</w:t>
      </w:r>
      <w:r>
        <w:t>н</w:t>
      </w:r>
      <w:r>
        <w:t>щин необходима бόльшая координация усилий Национального союза и Наци</w:t>
      </w:r>
      <w:r>
        <w:t>о</w:t>
      </w:r>
      <w:r>
        <w:t>нальной конфедерации.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20.</w:t>
      </w:r>
      <w:r>
        <w:br/>
        <w:t>Материнская смертность</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Общий коэффициент материнской смертности в родильных домах имеет тенденцию к снижению (см. таблицу ниже), хотя и с колебаниями по годам. Из общего числа (2402) пациенток, поступивших в родильные дома и отделения в связи с родами, умерло 2,4 процента, что не выходит за рамки приемлемого показателя (5 процентов). Если бы мы могли учесть всех женщин с осложне</w:t>
      </w:r>
      <w:r>
        <w:t>н</w:t>
      </w:r>
      <w:r>
        <w:t>ными беременностями, то коэффициент смертности был бы выше. Поэтому так важно прилагать больше усилий для увеличения числа рожениц, обеспечива</w:t>
      </w:r>
      <w:r>
        <w:t>е</w:t>
      </w:r>
      <w:r>
        <w:t>мых акушерскими усл</w:t>
      </w:r>
      <w:r>
        <w:t>у</w:t>
      </w:r>
      <w:r>
        <w:t>гами.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Изменения коэффициента материнской смертности (КМС) в родильных домах из расчета на 100 000 живорождений по годам</w:t>
      </w:r>
    </w:p>
    <w:p w:rsidR="00000000" w:rsidRDefault="00000000">
      <w:pPr>
        <w:pStyle w:val="SingleTxt"/>
      </w:pPr>
    </w:p>
    <w:p w:rsidR="00000000" w:rsidRDefault="00000000">
      <w:pPr>
        <w:pStyle w:val="SingleTxt"/>
        <w:spacing w:line="240" w:lineRule="auto"/>
      </w:pPr>
      <w:r>
        <w:rPr>
          <w:w w:val="100"/>
        </w:rPr>
        <w:pict>
          <v:shapetype id="_x0000_t202" coordsize="21600,21600" o:spt="202" path="m,l,21600r21600,l21600,xe">
            <v:stroke joinstyle="miter"/>
            <v:path gradientshapeok="t" o:connecttype="rect"/>
          </v:shapetype>
          <v:shape id="_x0000_s2051" type="#_x0000_t202" style="position:absolute;left:0;text-align:left;margin-left:286.35pt;margin-top:85pt;width:69.8pt;height:35.9pt;z-index:2;mso-position-horizontal:absolute;mso-position-horizontal-relative:text;mso-position-vertical:absolute;mso-position-vertical-relative:text" o:allowincell="f" filled="f" strokecolor="#333" strokeweight=".25pt">
            <v:textbox inset="0,0,0,0">
              <w:txbxContent>
                <w:p w:rsidR="00000000" w:rsidRDefault="00000000">
                  <w:pPr>
                    <w:spacing w:line="200" w:lineRule="exact"/>
                    <w:rPr>
                      <w:sz w:val="14"/>
                      <w:lang/>
                    </w:rPr>
                  </w:pPr>
                </w:p>
              </w:txbxContent>
            </v:textbox>
          </v:shape>
        </w:pict>
      </w:r>
      <w:r>
        <w:rPr>
          <w:w w:val="100"/>
        </w:rPr>
        <w:pict>
          <v:shape id="_x0000_s2050" type="#_x0000_t202" style="position:absolute;left:0;text-align:left;margin-left:310.75pt;margin-top:100.9pt;width:45.2pt;height:18.7pt;z-index:1;mso-position-horizontal:absolute;mso-position-horizontal-relative:text;mso-position-vertical:absolute;mso-position-vertical-relative:text" o:allowincell="f" stroked="f">
            <v:textbox inset=".72pt,.72pt,.72pt,.72pt">
              <w:txbxContent>
                <w:p w:rsidR="00000000" w:rsidRDefault="00000000">
                  <w:pPr>
                    <w:spacing w:line="160" w:lineRule="exact"/>
                    <w:rPr>
                      <w:sz w:val="14"/>
                      <w:lang/>
                    </w:rPr>
                  </w:pPr>
                  <w:r>
                    <w:rPr>
                      <w:sz w:val="14"/>
                      <w:lang/>
                    </w:rPr>
                    <w:t xml:space="preserve">Линейный </w:t>
                  </w:r>
                  <w:r>
                    <w:rPr>
                      <w:sz w:val="14"/>
                      <w:lang/>
                    </w:rPr>
                    <w:br/>
                    <w:t>КМС</w:t>
                  </w:r>
                </w:p>
              </w:txbxContent>
            </v:textbox>
          </v:shape>
        </w:pict>
      </w:r>
      <w:r>
        <w:rPr>
          <w:sz w:val="24"/>
        </w:rPr>
        <w:object w:dxaOrig="6096" w:dyaOrig="4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229.5pt" o:ole="" fillcolor="window">
            <v:imagedata r:id="rId14" o:title=""/>
            <w10:bordertop type="single" width="4"/>
            <w10:borderleft type="single" width="4"/>
            <w10:borderbottom type="single" width="4"/>
            <w10:borderright type="single" width="4"/>
          </v:shape>
          <o:OLEObject Type="Embed" ProgID="MSGraph.Chart.8" ShapeID="_x0000_i1025" DrawAspect="Content" ObjectID="_1393310445" r:id="rId15">
            <o:FieldCodes>\s</o:FieldCodes>
          </o:OLEObject>
        </w:objec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Министерство здравоохранения стремилось повысить доступность услуг по родовспоможению для членов общин путем увеличения числа медицинских учреждений, подготовки и направления акушерок и других медицинских р</w:t>
      </w:r>
      <w:r>
        <w:t>а</w:t>
      </w:r>
      <w:r>
        <w:t>ботников. Традиционных повитух также обучали оказанию помощи при родах на дому и передаче осложненных случаев, выходящих за рамки их квалифик</w:t>
      </w:r>
      <w:r>
        <w:t>а</w:t>
      </w:r>
      <w:r>
        <w:t>ции, в профессиональные руки.</w:t>
      </w:r>
    </w:p>
    <w:p w:rsidR="00000000" w:rsidRDefault="00000000">
      <w:pPr>
        <w:pStyle w:val="SingleTxt"/>
      </w:pPr>
      <w:r>
        <w:tab/>
        <w:t>Несмотря на всю совокупность усилий по улучшению материнского зд</w:t>
      </w:r>
      <w:r>
        <w:t>о</w:t>
      </w:r>
      <w:r>
        <w:t>ровья, процент родоразрешений с помощью медицинского персонала в Эритрее остается одним из самых низких в мире. Однако неуклонный рост их доли вс</w:t>
      </w:r>
      <w:r>
        <w:t>е</w:t>
      </w:r>
      <w:r>
        <w:t>ляет оптимизм. Согласно данным обследования в области демографии и здр</w:t>
      </w:r>
      <w:r>
        <w:t>а</w:t>
      </w:r>
      <w:r>
        <w:t>воохранения за 2002 год доля родоразрешений с помощью медицинского пе</w:t>
      </w:r>
      <w:r>
        <w:t>р</w:t>
      </w:r>
      <w:r>
        <w:t>сонала составила 28 процентов, что на 33 процента выше цифры, полученной в результате проведения аналогичного обследования за 1995 год (21 процент). Доклад информационной системы министерства здравоохранения также свид</w:t>
      </w:r>
      <w:r>
        <w:t>е</w:t>
      </w:r>
      <w:r>
        <w:t>тельствует о том, что за период с 1998 года (19 процентов) по 2002 год (23 процента) эта доля выросла на 21 процент. В 2003 году доля родовспом</w:t>
      </w:r>
      <w:r>
        <w:t>о</w:t>
      </w:r>
      <w:r>
        <w:t>жений с помощью медицинского персонала составила 25 процентов, что на 19 процентов выше, чем в 2002 году (см. приложение I, раздел, посвященный коэффициенту материнской смертности)</w:t>
      </w:r>
      <w:r>
        <w:rPr>
          <w:vertAlign w:val="superscript"/>
        </w:rPr>
        <w:t>1</w:t>
      </w:r>
      <w:r>
        <w:t>.</w:t>
      </w:r>
    </w:p>
    <w:p w:rsidR="00000000" w:rsidRDefault="00000000">
      <w:pPr>
        <w:pStyle w:val="SingleTxt"/>
      </w:pPr>
      <w:r>
        <w:tab/>
        <w:t>Приведенная ниже информация взята из доклада министерства здрав</w:t>
      </w:r>
      <w:r>
        <w:t>о</w:t>
      </w:r>
      <w:r>
        <w:t>охран</w:t>
      </w:r>
      <w:r>
        <w:t>е</w:t>
      </w:r>
      <w:r>
        <w:t>ния за 2004 год:</w:t>
      </w:r>
    </w:p>
    <w:p w:rsidR="00000000" w:rsidRDefault="00000000">
      <w:pPr>
        <w:pStyle w:val="SingleTxt"/>
        <w:ind w:left="1742" w:hanging="475"/>
      </w:pPr>
      <w:r>
        <w:tab/>
        <w:t>Охрана материнства и детства является одной из приоритетных задач, стоящих перед министерством здравоохранения.</w:t>
      </w:r>
    </w:p>
    <w:p w:rsidR="00000000" w:rsidRDefault="00000000">
      <w:pPr>
        <w:pStyle w:val="SingleTxt"/>
        <w:ind w:left="1742" w:hanging="475"/>
      </w:pPr>
      <w:r>
        <w:tab/>
        <w:t>В результате совместных усилий министерства и его партнеров, напра</w:t>
      </w:r>
      <w:r>
        <w:t>в</w:t>
      </w:r>
      <w:r>
        <w:t>ленных на улучшение здоровья матери и ребенка, был достигнут сущес</w:t>
      </w:r>
      <w:r>
        <w:t>т</w:t>
      </w:r>
      <w:r>
        <w:t>венный прогресс в том, что касается увеличения персонала, обеспеч</w:t>
      </w:r>
      <w:r>
        <w:t>и</w:t>
      </w:r>
      <w:r>
        <w:t>вающего дородовой уход, и числа родов в присутствии медицинских р</w:t>
      </w:r>
      <w:r>
        <w:t>а</w:t>
      </w:r>
      <w:r>
        <w:t>ботников, вакцинации матерей и детей и сокращения младенческой и де</w:t>
      </w:r>
      <w:r>
        <w:t>т</w:t>
      </w:r>
      <w:r>
        <w:t>ской смертности (Обследование в области демографии и здравоохран</w:t>
      </w:r>
      <w:r>
        <w:t>е</w:t>
      </w:r>
      <w:r>
        <w:t>ния, 2002 год). Система сбора текущей информации также отражает ан</w:t>
      </w:r>
      <w:r>
        <w:t>а</w:t>
      </w:r>
      <w:r>
        <w:t>логичное улучшение.</w:t>
      </w:r>
    </w:p>
    <w:p w:rsidR="00000000" w:rsidRDefault="00000000">
      <w:pPr>
        <w:pStyle w:val="SingleTxt"/>
        <w:ind w:left="1742" w:hanging="475"/>
      </w:pPr>
      <w:r>
        <w:tab/>
        <w:t>Дородовой уход, услуги по родовспоможению, вакцинация, планирование семьи, обеспечение питанием — таковы лишь некоторые из мероприятий, направленных на охрану здоровья матери и ребенка. Кроме того, мин</w:t>
      </w:r>
      <w:r>
        <w:t>и</w:t>
      </w:r>
      <w:r>
        <w:t>стерство выступает с разного рода инициативами, такими, как безопасное материнство и комплексная программа лечения детских болезней, в кач</w:t>
      </w:r>
      <w:r>
        <w:t>е</w:t>
      </w:r>
      <w:r>
        <w:t>стве стратегических направлений дальнейшего улучшения состояния зд</w:t>
      </w:r>
      <w:r>
        <w:t>о</w:t>
      </w:r>
      <w:r>
        <w:t>ровья матери и ребенка.</w:t>
      </w:r>
    </w:p>
    <w:p w:rsidR="00000000" w:rsidRDefault="00000000">
      <w:pPr>
        <w:pStyle w:val="SingleTxt"/>
        <w:ind w:left="1742" w:hanging="475"/>
      </w:pPr>
      <w:r>
        <w:tab/>
        <w:t>Охват населения услугами по дородовому уходу, родовспоможению и вакцинации имеет тенденцию к росту. Одновременно с этим показатели материнской и детской смертности в родильных домах имеют тенденцию к снижению, что может служить свидетельством улучшения качества и</w:t>
      </w:r>
      <w:r>
        <w:t>н</w:t>
      </w:r>
      <w:r>
        <w:t>дивидуального обсл</w:t>
      </w:r>
      <w:r>
        <w:t>у</w:t>
      </w:r>
      <w:r>
        <w:t>живания.</w:t>
      </w:r>
    </w:p>
    <w:p w:rsidR="00000000" w:rsidRDefault="00000000">
      <w:pPr>
        <w:pStyle w:val="SingleTxt"/>
        <w:spacing w:after="0" w:line="120" w:lineRule="exact"/>
        <w:ind w:left="1742" w:hanging="475"/>
        <w:rPr>
          <w:sz w:val="10"/>
        </w:rPr>
      </w:pPr>
    </w:p>
    <w:p w:rsidR="00000000" w:rsidRDefault="00000000">
      <w:pPr>
        <w:pStyle w:val="SingleTxt"/>
        <w:spacing w:after="0" w:line="120" w:lineRule="exact"/>
        <w:ind w:left="1742" w:hanging="475"/>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21.</w:t>
      </w:r>
      <w:r>
        <w:br/>
        <w:t>Калечащие операции на женских половых органах</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Закон не запрещает проведения операций на женских половых органах, поскольку есть опасения, что эти операции будут проводиться нелегально, что грозит еще более опасными последствиями. Поэтому национальная стратегия здесь состоит в том, чтобы сосредоточить усилия на просвещении и повыш</w:t>
      </w:r>
      <w:r>
        <w:t>е</w:t>
      </w:r>
      <w:r>
        <w:t>нии уровня со</w:t>
      </w:r>
      <w:r>
        <w:t>з</w:t>
      </w:r>
      <w:r>
        <w:t>нания.</w:t>
      </w:r>
    </w:p>
    <w:p w:rsidR="00000000" w:rsidRDefault="00000000">
      <w:pPr>
        <w:pStyle w:val="SingleTxt"/>
      </w:pPr>
      <w:r>
        <w:tab/>
        <w:t>Национальный союз эритрейских женщин вместе со своими партнерами твердо намерен бороться с такими операциями, используя методы терпеливого разъяснения в рамках долговременного стратегического подхода. Более того, в соответствии со своим общим подходом к пропагандистской работе, закл</w:t>
      </w:r>
      <w:r>
        <w:t>ю</w:t>
      </w:r>
      <w:r>
        <w:t>чающимся в том, чтобы каждый год или каждый определенный отрезок врем</w:t>
      </w:r>
      <w:r>
        <w:t>е</w:t>
      </w:r>
      <w:r>
        <w:t>ни посвящать какой-либо конкретной стороне жизни, Национальный союз сд</w:t>
      </w:r>
      <w:r>
        <w:t>е</w:t>
      </w:r>
      <w:r>
        <w:t>лал калечащие операции главным объектом своего внимания в 2004 году. Ва</w:t>
      </w:r>
      <w:r>
        <w:t>ж</w:t>
      </w:r>
      <w:r>
        <w:t>ным партнером Союза в этой кампании является Национальный союз эритре</w:t>
      </w:r>
      <w:r>
        <w:t>й</w:t>
      </w:r>
      <w:r>
        <w:t>ской молодежи и студентов, для которого борьба с такими операциями также является одной из главных пр</w:t>
      </w:r>
      <w:r>
        <w:t>о</w:t>
      </w:r>
      <w:r>
        <w:t>граммных задач.</w:t>
      </w:r>
    </w:p>
    <w:p w:rsidR="00000000" w:rsidRDefault="00000000">
      <w:pPr>
        <w:pStyle w:val="SingleTxt"/>
      </w:pPr>
      <w:r>
        <w:tab/>
        <w:t>В настоящее время в стране осуществляется соответствующий стратег</w:t>
      </w:r>
      <w:r>
        <w:t>и</w:t>
      </w:r>
      <w:r>
        <w:t>ческий план. В 2005 году была создана целевая группа по пересмо</w:t>
      </w:r>
      <w:r>
        <w:t>т</w:t>
      </w:r>
      <w:r>
        <w:t>ру/обнов</w:t>
      </w:r>
      <w:r>
        <w:softHyphen/>
        <w:t>лению стратегического плана борьбы с калечащими операциями в Эритрее. Эта целевая группа, которую возглавляет министр здравоохранения, и Наци</w:t>
      </w:r>
      <w:r>
        <w:t>о</w:t>
      </w:r>
      <w:r>
        <w:t>нальный союз эритрейских женщин в качестве ее секретариата имеет в своем составе представителей министерства образования, министерства труда и с</w:t>
      </w:r>
      <w:r>
        <w:t>о</w:t>
      </w:r>
      <w:r>
        <w:t>циального обеспечения, а также ряда НПО, включая Национальный союз эри</w:t>
      </w:r>
      <w:r>
        <w:t>т</w:t>
      </w:r>
      <w:r>
        <w:t>рейской молодежи и студентов. Учитывая, что те, кто прибегает к калечащим операциям на женских половых органах/женскому обрезанию, рассматривают их как религиозную обязанность, лидеры мусульманских и христианских о</w:t>
      </w:r>
      <w:r>
        <w:t>б</w:t>
      </w:r>
      <w:r>
        <w:t>щин разъясняют, что ни та, ни другая религия не содержит такого предпис</w:t>
      </w:r>
      <w:r>
        <w:t>а</w:t>
      </w:r>
      <w:r>
        <w:t>ния.</w:t>
      </w:r>
    </w:p>
    <w:p w:rsidR="00000000" w:rsidRDefault="00000000">
      <w:pPr>
        <w:pStyle w:val="SingleTxt"/>
      </w:pPr>
      <w:r>
        <w:tab/>
        <w:t>Национальный союз эритрейских женщин разъясняет повитухам вредные п</w:t>
      </w:r>
      <w:r>
        <w:t>о</w:t>
      </w:r>
      <w:r>
        <w:t>следствия этого обычая для здоровья женщины.</w:t>
      </w:r>
    </w:p>
    <w:p w:rsidR="00000000" w:rsidRDefault="00000000">
      <w:pPr>
        <w:pStyle w:val="SingleTxt"/>
      </w:pPr>
      <w:r>
        <w:tab/>
        <w:t>Главной организацией, ответственной за ликвидацию этой практики, я</w:t>
      </w:r>
      <w:r>
        <w:t>в</w:t>
      </w:r>
      <w:r>
        <w:t>ляется министерство здравоохранения. Оно обеспечивает в каждой зоне обуч</w:t>
      </w:r>
      <w:r>
        <w:t>е</w:t>
      </w:r>
      <w:r>
        <w:t>ние без отрыва от производства всех первичных координаторов медицинских услуг вопросам, связанным с калечащими операциями, и снабжает каждую з</w:t>
      </w:r>
      <w:r>
        <w:t>о</w:t>
      </w:r>
      <w:r>
        <w:t>ну учебными материалами такими, как наглядные пособия и документы, к</w:t>
      </w:r>
      <w:r>
        <w:t>а</w:t>
      </w:r>
      <w:r>
        <w:t>сающиеся этого обычая.</w:t>
      </w:r>
    </w:p>
    <w:p w:rsidR="00000000" w:rsidRDefault="00000000">
      <w:pPr>
        <w:pStyle w:val="SingleTxt"/>
      </w:pPr>
      <w:r>
        <w:tab/>
        <w:t>Есть свидетельства того, что среди населения растет понимание вредных последствий калечащих операций на женских гениталиях. Согласно обслед</w:t>
      </w:r>
      <w:r>
        <w:t>о</w:t>
      </w:r>
      <w:r>
        <w:t>ванию в области демографии и здравоохранения за 2002 год идею прекращения таких операций поддержало 48,7 процента женщин против всего лишь 38,4 процента по данным обследования в области демографии и здравоохран</w:t>
      </w:r>
      <w:r>
        <w:t>е</w:t>
      </w:r>
      <w:r>
        <w:t>ния за 1995 год. Особенно высок уровень оппозиции среди женщин, имеющих среднее или более высокое образование (81 процент). За период между этими двумя обзорами доля женщин, перенесших обрезание (всех видов), также с</w:t>
      </w:r>
      <w:r>
        <w:t>о</w:t>
      </w:r>
      <w:r>
        <w:t>кратилась с 94,5 процента до 88,7 процента.</w:t>
      </w:r>
    </w:p>
    <w:p w:rsidR="00000000" w:rsidRDefault="00000000">
      <w:pPr>
        <w:pStyle w:val="SingleTxt"/>
      </w:pPr>
      <w:r>
        <w:tab/>
        <w:t>Согласно данным обследования за 2002 год 63 процента эритрейских женщин сообщили о том, что как минимум одна из их дочерей подверглась операции обрезания. Эта цифра справедлива для всех районов страны с учетом небольшого различия между городской и сельской местностью. Вероятность того, что девочка подвергнется обрезанию, в большой степени зависит, судя по всему, от уровня образования ее матери: обрезанию подвергается 68 процентов дочерей необразованных женщин и только 40 процентов дочерей женщин, имеющих за плечами хотя бы несколько классов средней школы. Отрадно о</w:t>
      </w:r>
      <w:r>
        <w:t>т</w:t>
      </w:r>
      <w:r>
        <w:t>метить, что в целом по всем возрастным группам процент обрезаний среди д</w:t>
      </w:r>
      <w:r>
        <w:t>о</w:t>
      </w:r>
      <w:r>
        <w:t>черей ниже, чем среди матерей, однако при этом 17 процентов матерей, изб</w:t>
      </w:r>
      <w:r>
        <w:t>е</w:t>
      </w:r>
      <w:r>
        <w:t>жавших обрезания, сообщают о том, что как минимум одна из их дочерей по</w:t>
      </w:r>
      <w:r>
        <w:t>д</w:t>
      </w:r>
      <w:r>
        <w:t>верглась этой процедуре.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22.</w:t>
      </w:r>
      <w:r>
        <w:br/>
        <w:t>Планирование семьи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Уровень информированности в вопросах планирования семьи возрос с 36 процентов в 1995 году до 50 процентов в 2002 году, что сопровождается с</w:t>
      </w:r>
      <w:r>
        <w:t>о</w:t>
      </w:r>
      <w:r>
        <w:t>ответствующим небольшим увеличением использования методов контраце</w:t>
      </w:r>
      <w:r>
        <w:t>п</w:t>
      </w:r>
      <w:r>
        <w:t>ции.</w:t>
      </w:r>
    </w:p>
    <w:p w:rsidR="00000000" w:rsidRDefault="00000000">
      <w:pPr>
        <w:pStyle w:val="SingleTxt"/>
      </w:pPr>
      <w:r>
        <w:tab/>
        <w:t>Стремясь активизировать свою деятельность в этой области, министерс</w:t>
      </w:r>
      <w:r>
        <w:t>т</w:t>
      </w:r>
      <w:r>
        <w:t>во здравоохранения подготовило сегодня проект документа под названием «Политика в области сексуальн</w:t>
      </w:r>
      <w:r>
        <w:t>о</w:t>
      </w:r>
      <w:r>
        <w:t>го и репродуктивного здоровья».</w:t>
      </w:r>
    </w:p>
    <w:p w:rsidR="00000000" w:rsidRDefault="00000000">
      <w:pPr>
        <w:pStyle w:val="SingleTxt"/>
      </w:pPr>
      <w:r>
        <w:tab/>
        <w:t>Национальный план действий в области гендерных проблем предусма</w:t>
      </w:r>
      <w:r>
        <w:t>т</w:t>
      </w:r>
      <w:r>
        <w:t>ривает, в частности, расширение проектов по обеспечению безопасного мат</w:t>
      </w:r>
      <w:r>
        <w:t>е</w:t>
      </w:r>
      <w:r>
        <w:t>ринства (увеличение объема услуг по дородовому уходу/планированию семьи и расширение охвата ими населения страны, чистые безопасные роды, устано</w:t>
      </w:r>
      <w:r>
        <w:t>в</w:t>
      </w:r>
      <w:r>
        <w:t>ление потребности в чрезвычайной акушерской помощи), а также увеличение для подростков возможностей выбора в пользу услуг и знаний, касающихся без</w:t>
      </w:r>
      <w:r>
        <w:t>о</w:t>
      </w:r>
      <w:r>
        <w:t>пасных и допустимых методов планирования семьи.</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23.</w:t>
      </w:r>
      <w:r>
        <w:br/>
        <w:t>Программы борьбы с ВИЧ/СПИДом</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Национальный союз эритрейских женщин принял активное участие в подготовке национального стратегического плана борьбы с ВИЧ/СПИДом, а также Объединенной национальной программы борьбы с ВИЧ/СПИДом, мал</w:t>
      </w:r>
      <w:r>
        <w:t>я</w:t>
      </w:r>
      <w:r>
        <w:t>рией, заболеваниями, передаваемыми половым путем, и туберкулезом, подде</w:t>
      </w:r>
      <w:r>
        <w:t>р</w:t>
      </w:r>
      <w:r>
        <w:t>живаемой Всемирным банком и Глобальным фондом по борьбе со СПИДом, туберкулезом и малярией. Национальный союз является также ключевым пар</w:t>
      </w:r>
      <w:r>
        <w:t>т</w:t>
      </w:r>
      <w:r>
        <w:t>нером в осуществлении многих мероприятий, предусмотренных в стратегич</w:t>
      </w:r>
      <w:r>
        <w:t>е</w:t>
      </w:r>
      <w:r>
        <w:t>ском пл</w:t>
      </w:r>
      <w:r>
        <w:t>а</w:t>
      </w:r>
      <w:r>
        <w:t>не.</w:t>
      </w:r>
    </w:p>
    <w:p w:rsidR="00000000" w:rsidRDefault="00000000">
      <w:pPr>
        <w:pStyle w:val="SingleTxt"/>
      </w:pPr>
      <w:r>
        <w:tab/>
        <w:t>Одна из целей Объединенной национальной программы в области репр</w:t>
      </w:r>
      <w:r>
        <w:t>о</w:t>
      </w:r>
      <w:r>
        <w:t>дуктивного здоровья состоит в том, чтобы «поддержать комплекс научно обо</w:t>
      </w:r>
      <w:r>
        <w:t>с</w:t>
      </w:r>
      <w:r>
        <w:t>нованных мероприятий, направленных на сокращение материнской и младе</w:t>
      </w:r>
      <w:r>
        <w:t>н</w:t>
      </w:r>
      <w:r>
        <w:t>ческой смертности и на борьбу с опасными обычаями, определяемыми половой принадлежностью».</w:t>
      </w:r>
    </w:p>
    <w:p w:rsidR="00000000" w:rsidRDefault="00000000">
      <w:pPr>
        <w:pStyle w:val="SingleTxt"/>
      </w:pPr>
      <w:r>
        <w:tab/>
        <w:t>Программа составлена таким образом, чтобы «уделять пристальное вн</w:t>
      </w:r>
      <w:r>
        <w:t>и</w:t>
      </w:r>
      <w:r>
        <w:t>мание социальным вопросам и заново сосредоточить усилия на: a) гендерных факторах (с особым упором на калечащие операции и риск заболеваний, пер</w:t>
      </w:r>
      <w:r>
        <w:t>е</w:t>
      </w:r>
      <w:r>
        <w:t>дающихся половым путем); b) рисках, связанных с находящимися на службе и демобилизованными солдатами; и c) мобильных (в силу сезонных и культу</w:t>
      </w:r>
      <w:r>
        <w:t>р</w:t>
      </w:r>
      <w:r>
        <w:t>ных факторов) группах насел</w:t>
      </w:r>
      <w:r>
        <w:t>е</w:t>
      </w:r>
      <w:r>
        <w:t>ния».</w:t>
      </w:r>
    </w:p>
    <w:p w:rsidR="00000000" w:rsidRDefault="00000000">
      <w:pPr>
        <w:pStyle w:val="SingleTxt"/>
      </w:pPr>
      <w:r>
        <w:tab/>
        <w:t>Кроме того, упомянутая программа будет помогать анализировать риски, уровни заболеваемости и последствия ВИЧ/СПИДа, с тем чтобы выявить пр</w:t>
      </w:r>
      <w:r>
        <w:t>о</w:t>
      </w:r>
      <w:r>
        <w:t>явления гендерного неравенства, способствующие сохранению риска зараж</w:t>
      </w:r>
      <w:r>
        <w:t>е</w:t>
      </w:r>
      <w:r>
        <w:t>ния ВИЧ-инфекцией и подверженности воздействию негативных социально-экономических последствий СПИДа. Она должна содействовать справедлив</w:t>
      </w:r>
      <w:r>
        <w:t>о</w:t>
      </w:r>
      <w:r>
        <w:t>му и равноправному распределению ресурсов, усилий и мероприятий в инт</w:t>
      </w:r>
      <w:r>
        <w:t>е</w:t>
      </w:r>
      <w:r>
        <w:t>ресах защиты женщин, мужчин, молодежи и детей и обеспечения социально-экономических прав каждого отдельного человека.</w:t>
      </w:r>
    </w:p>
    <w:p w:rsidR="00000000" w:rsidRDefault="00000000">
      <w:pPr>
        <w:pStyle w:val="SingleTxt"/>
      </w:pPr>
      <w:r>
        <w:tab/>
        <w:t>Предстоит спланировать и организовать осуществление общинных су</w:t>
      </w:r>
      <w:r>
        <w:t>б</w:t>
      </w:r>
      <w:r>
        <w:t>проектов в русле общих принципов, один из которых гласит: «Добиваться большей социальной и гендерной активности населения с использованием з</w:t>
      </w:r>
      <w:r>
        <w:t>а</w:t>
      </w:r>
      <w:r>
        <w:t>ложенных в самих условиях социальной мобилизации подходов, которые н</w:t>
      </w:r>
      <w:r>
        <w:t>а</w:t>
      </w:r>
      <w:r>
        <w:t>прямую учитывали бы гендерный фактор и обеспечивали вовлечение людей в общественную деятельность».</w:t>
      </w:r>
    </w:p>
    <w:p w:rsidR="00000000" w:rsidRDefault="00000000">
      <w:pPr>
        <w:pStyle w:val="SingleTxt"/>
      </w:pPr>
      <w:r>
        <w:tab/>
        <w:t>Кроме того, программа предусматривает создание базы данных об о</w:t>
      </w:r>
      <w:r>
        <w:t>б</w:t>
      </w:r>
      <w:r>
        <w:t>щинных субпроектах, которые будут классифицироваться по ряду переменных факторов, в том числе и по ге</w:t>
      </w:r>
      <w:r>
        <w:t>н</w:t>
      </w:r>
      <w:r>
        <w:t>дерному признаку.</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40.</w:t>
      </w:r>
      <w:r>
        <w:br/>
        <w:t>Микрокредитование, предпринимательская деятельность</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Основные программы микрофинансирования в Эритрее осуществляются Эритрейской программой накоплений и кредита (ЭПНК), которая ранее явл</w:t>
      </w:r>
      <w:r>
        <w:t>я</w:t>
      </w:r>
      <w:r>
        <w:t>лась компонентом Эритрейского фонда общинного развития (ЭФОР), а также в рамках программ, осуществляемых неправительственной организацией «Агентство по сотрудничеству и исследованиям в области развития». Сущес</w:t>
      </w:r>
      <w:r>
        <w:t>т</w:t>
      </w:r>
      <w:r>
        <w:t>вуют также более мелкие программы, осуществляемые другими неправител</w:t>
      </w:r>
      <w:r>
        <w:t>ь</w:t>
      </w:r>
      <w:r>
        <w:t>ственными организациями и некоторыми мин</w:t>
      </w:r>
      <w:r>
        <w:t>и</w:t>
      </w:r>
      <w:r>
        <w:t>стерствами.</w:t>
      </w:r>
    </w:p>
    <w:p w:rsidR="00000000" w:rsidRDefault="00000000">
      <w:pPr>
        <w:pStyle w:val="SingleTxt"/>
      </w:pPr>
      <w:r>
        <w:tab/>
        <w:t>Ряд программ микрокредитования и накоплений, в том числе две в це</w:t>
      </w:r>
      <w:r>
        <w:t>н</w:t>
      </w:r>
      <w:r>
        <w:t>тральном и южном (Дебуб) районах, осуществляет и Национальный союз эритрейских женщин. Одна из его программ направлена на охват наиболее удаленных районов и на оказание поддержки женщинам, находящимся в уя</w:t>
      </w:r>
      <w:r>
        <w:t>з</w:t>
      </w:r>
      <w:r>
        <w:t>вимом положении.</w:t>
      </w:r>
    </w:p>
    <w:p w:rsidR="00000000" w:rsidRDefault="00000000">
      <w:pPr>
        <w:pStyle w:val="SingleTxt"/>
      </w:pPr>
      <w:r>
        <w:tab/>
        <w:t>Он также осуществляет проекты повышения качества и конкурентосп</w:t>
      </w:r>
      <w:r>
        <w:t>о</w:t>
      </w:r>
      <w:r>
        <w:t>собности традиционных изделий женского кустарного промысла. В рамках о</w:t>
      </w:r>
      <w:r>
        <w:t>д</w:t>
      </w:r>
      <w:r>
        <w:t>ного из таких проектов женщины из различных районов прошли подготовку в качестве специалистов по обучению методам изготовления качественных р</w:t>
      </w:r>
      <w:r>
        <w:t>е</w:t>
      </w:r>
      <w:r>
        <w:t>месленных т</w:t>
      </w:r>
      <w:r>
        <w:t>о</w:t>
      </w:r>
      <w:r>
        <w:t>варов.</w:t>
      </w:r>
    </w:p>
    <w:p w:rsidR="00000000" w:rsidRDefault="00000000">
      <w:pPr>
        <w:pStyle w:val="SingleTxt"/>
      </w:pPr>
      <w:r>
        <w:tab/>
        <w:t>Одним из компонентов Программы комплексного промышленного разв</w:t>
      </w:r>
      <w:r>
        <w:t>и</w:t>
      </w:r>
      <w:r>
        <w:t>тия Эритреи, подготовленной при поддержке Организации Объединенных Н</w:t>
      </w:r>
      <w:r>
        <w:t>а</w:t>
      </w:r>
      <w:r>
        <w:t>ций по промышленному развитию, является развитие микро-, мелких и сре</w:t>
      </w:r>
      <w:r>
        <w:t>д</w:t>
      </w:r>
      <w:r>
        <w:t>них предприятий с уделением особого внимания женской проблематике и и</w:t>
      </w:r>
      <w:r>
        <w:t>н</w:t>
      </w:r>
      <w:r>
        <w:t>дустриализации сельских районов. Осуществление ограниченного числа мер</w:t>
      </w:r>
      <w:r>
        <w:t>о</w:t>
      </w:r>
      <w:r>
        <w:t>приятий в рамках этого компонента уже начато, однако для его всесторонней реализации требуются финансовые средства.</w:t>
      </w:r>
    </w:p>
    <w:p w:rsidR="00000000" w:rsidRDefault="00000000">
      <w:pPr>
        <w:pStyle w:val="SingleTxt"/>
      </w:pPr>
      <w:r>
        <w:tab/>
        <w:t>Благодаря уделению особого внимания вопросам интеграции женской проблематики и индустриализации сельских районов этот компонент пред</w:t>
      </w:r>
      <w:r>
        <w:t>у</w:t>
      </w:r>
      <w:r>
        <w:t>сматривает создание таких механизмов, как программа индустриализации на уровне поселков, развитие и укрепление технических навыков и предприним</w:t>
      </w:r>
      <w:r>
        <w:t>а</w:t>
      </w:r>
      <w:r>
        <w:t>тельских знаний женщин, программы микрокредитования для женщин-предпринимателей в удаленных районах и услуги по развитию промышленных предприятий в целях укрепления структуры частного сектора.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25.</w:t>
      </w:r>
      <w:r>
        <w:br/>
        <w:t>Последствия деятельности ЭФОР для сельских женщин — была ли проведена ее оценка? Каковы ее результаты?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Эритрейский фонд общинного развития</w:t>
      </w:r>
    </w:p>
    <w:p w:rsidR="00000000" w:rsidRDefault="00000000">
      <w:pPr>
        <w:pStyle w:val="SingleTxt"/>
        <w:spacing w:after="0" w:line="120" w:lineRule="exact"/>
        <w:rPr>
          <w:sz w:val="10"/>
        </w:rPr>
      </w:pPr>
    </w:p>
    <w:p w:rsidR="00000000" w:rsidRDefault="00000000">
      <w:pPr>
        <w:pStyle w:val="SingleTxt"/>
      </w:pPr>
      <w:r>
        <w:tab/>
        <w:t>В 2001 году была проведена оценка результатов деятельности и подгото</w:t>
      </w:r>
      <w:r>
        <w:t>в</w:t>
      </w:r>
      <w:r>
        <w:t>лен доклад о завершении проекта. Ниже приводятся некоторые из выводов.</w:t>
      </w:r>
    </w:p>
    <w:p w:rsidR="00000000" w:rsidRDefault="00000000">
      <w:pPr>
        <w:pStyle w:val="SingleTxt"/>
      </w:pPr>
      <w:r>
        <w:tab/>
        <w:t>Было установлено, что, несмотря на традиционные препятствия культу</w:t>
      </w:r>
      <w:r>
        <w:t>р</w:t>
      </w:r>
      <w:r>
        <w:t>ного характера, женщины имеют такой же доступ к проектам, как и мужчины, независимо от их экономического и социально-культурного статуса. Фактич</w:t>
      </w:r>
      <w:r>
        <w:t>е</w:t>
      </w:r>
      <w:r>
        <w:t>ски проекты Эритрейского фонда общинного развития позволили создать бл</w:t>
      </w:r>
      <w:r>
        <w:t>а</w:t>
      </w:r>
      <w:r>
        <w:t>гоприятные условия для улучшения их социального и экономического статуса путем обеспечения занятости и создания источников доходов, экономии врем</w:t>
      </w:r>
      <w:r>
        <w:t>е</w:t>
      </w:r>
      <w:r>
        <w:t>ни, снижения нагрузки, создания позитивного отношения и восприятия баз</w:t>
      </w:r>
      <w:r>
        <w:t>о</w:t>
      </w:r>
      <w:r>
        <w:t>вых услуг, таких, как образование, здравоохранение и т.д.</w:t>
      </w:r>
    </w:p>
    <w:p w:rsidR="00000000" w:rsidRDefault="00000000">
      <w:pPr>
        <w:pStyle w:val="SingleTxt"/>
      </w:pPr>
      <w:r>
        <w:tab/>
        <w:t>Хотя женщины по</w:t>
      </w:r>
      <w:r>
        <w:noBreakHyphen/>
        <w:t>прежнему недостаточно активно участвуют в програ</w:t>
      </w:r>
      <w:r>
        <w:t>м</w:t>
      </w:r>
      <w:r>
        <w:t>мах кредитования и накоплений, те из них, которые правильно использовали полученные кредиты, смогли добиться повышения своего уровня жизни. Нек</w:t>
      </w:r>
      <w:r>
        <w:t>о</w:t>
      </w:r>
      <w:r>
        <w:t>торые из опрошенных женщин указали на то, что благодаря их успешному опыту с полученными ранее кредитами они приобрели большую уверенность в собственных силах и чувство независимости. Та ключевая роль, которую нек</w:t>
      </w:r>
      <w:r>
        <w:t>о</w:t>
      </w:r>
      <w:r>
        <w:t>торые женщины — члены комитетов поселковых банков сыграли в управлении кредитно-сберегательными операциями, способствовала формированию более уважительного отношения к ним со стороны коллег и клиентов, что, как пре</w:t>
      </w:r>
      <w:r>
        <w:t>д</w:t>
      </w:r>
      <w:r>
        <w:t>полагается, в долгосрочном плане будет способствовать повышению статуса женщин в о</w:t>
      </w:r>
      <w:r>
        <w:t>б</w:t>
      </w:r>
      <w:r>
        <w:t>щинах.</w:t>
      </w:r>
    </w:p>
    <w:p w:rsidR="00000000" w:rsidRDefault="00000000">
      <w:pPr>
        <w:pStyle w:val="SingleTxt"/>
      </w:pPr>
      <w:r>
        <w:tab/>
        <w:t>За пятилетний период (1996–2000 годы) благами мероприятий по пр</w:t>
      </w:r>
      <w:r>
        <w:t>о</w:t>
      </w:r>
      <w:r>
        <w:t>грамме Эфиопского фонда общинного развития воспользовались свыше 1,15 миллиона человек при среднем объеме инвестиций в размере около 23 долл. США на человека (данные Всемирного банка за 2002 год). В числе итогов осуществления этой программы можно н</w:t>
      </w:r>
      <w:r>
        <w:t>а</w:t>
      </w:r>
      <w:r>
        <w:t>звать следующие:</w:t>
      </w:r>
    </w:p>
    <w:p w:rsidR="00000000" w:rsidRDefault="00000000">
      <w:pPr>
        <w:pStyle w:val="SingleTxt"/>
        <w:ind w:left="1742" w:hanging="475"/>
      </w:pPr>
      <w:r>
        <w:tab/>
      </w:r>
      <w:r>
        <w:rPr>
          <w:b/>
        </w:rPr>
        <w:t xml:space="preserve">Образование: </w:t>
      </w:r>
      <w:r>
        <w:t>доступ к школам на уровне начальных, средних и старших классов для приблизительно 375 000 детей, из которых 48 процентов с</w:t>
      </w:r>
      <w:r>
        <w:t>о</w:t>
      </w:r>
      <w:r>
        <w:t>ставляли девочки;</w:t>
      </w:r>
    </w:p>
    <w:p w:rsidR="00000000" w:rsidRDefault="00000000">
      <w:pPr>
        <w:pStyle w:val="SingleTxt"/>
        <w:ind w:left="1742" w:hanging="475"/>
      </w:pPr>
      <w:r>
        <w:tab/>
      </w:r>
      <w:r>
        <w:rPr>
          <w:b/>
        </w:rPr>
        <w:t xml:space="preserve">Здравоохранение: </w:t>
      </w:r>
      <w:r>
        <w:t>расширение доступа к медицинским учреждениям и услугам по крайней мере для 180 000 человек, из которых свыше 50 процентов составляли женщины;</w:t>
      </w:r>
    </w:p>
    <w:p w:rsidR="00000000" w:rsidRDefault="00000000">
      <w:pPr>
        <w:pStyle w:val="SingleTxt"/>
        <w:ind w:left="1742" w:hanging="475"/>
      </w:pPr>
      <w:r>
        <w:tab/>
      </w:r>
      <w:r>
        <w:rPr>
          <w:b/>
        </w:rPr>
        <w:t xml:space="preserve">Водоснабжение в сельских районах: </w:t>
      </w:r>
      <w:r>
        <w:t>расширение доступа к безопасной питьевой воде по крайней мере для 210 000 человек, что повлекло за с</w:t>
      </w:r>
      <w:r>
        <w:t>о</w:t>
      </w:r>
      <w:r>
        <w:t>бой значительное снижение объема работ, выполняемых женщинами;</w:t>
      </w:r>
    </w:p>
    <w:p w:rsidR="00000000" w:rsidRDefault="00000000">
      <w:pPr>
        <w:pStyle w:val="SingleTxt"/>
        <w:ind w:left="1742" w:hanging="475"/>
      </w:pPr>
      <w:r>
        <w:tab/>
      </w:r>
      <w:r>
        <w:rPr>
          <w:b/>
        </w:rPr>
        <w:t xml:space="preserve">Накопления и микрокредиты: </w:t>
      </w:r>
      <w:r>
        <w:t>услугами в рамках этой программы во</w:t>
      </w:r>
      <w:r>
        <w:t>с</w:t>
      </w:r>
      <w:r>
        <w:t>пользовались 11 800 человек, из которых 37 процентов составляют же</w:t>
      </w:r>
      <w:r>
        <w:t>н</w:t>
      </w:r>
      <w:r>
        <w:t>щины. Средний доход домашнего хозяйства увеличился на 20 процентов.</w:t>
      </w:r>
    </w:p>
    <w:p w:rsidR="00000000" w:rsidRDefault="00000000">
      <w:pPr>
        <w:pStyle w:val="SingleTxt"/>
        <w:ind w:left="1742" w:hanging="475"/>
      </w:pPr>
      <w:r>
        <w:tab/>
        <w:t>Женщины также воспользовались благами новых сельских рыночных и</w:t>
      </w:r>
      <w:r>
        <w:t>н</w:t>
      </w:r>
      <w:r>
        <w:t>фраструктур и составляют 80 процентов из более 1000 бенефициаров в рамках мероприятий, связанных с мелкомасштабной торговлей.</w:t>
      </w:r>
    </w:p>
    <w:p w:rsidR="00000000" w:rsidRDefault="00000000">
      <w:pPr>
        <w:pStyle w:val="SingleTxt"/>
        <w:rPr>
          <w:vertAlign w:val="superscript"/>
        </w:rPr>
      </w:pPr>
      <w:r>
        <w:tab/>
        <w:t>Тридцать семь процентов бенефициаров проектов, касающихся накопл</w:t>
      </w:r>
      <w:r>
        <w:t>е</w:t>
      </w:r>
      <w:r>
        <w:t>ний и микрокредитования, составляют женщины, в число которых входят гл</w:t>
      </w:r>
      <w:r>
        <w:t>а</w:t>
      </w:r>
      <w:r>
        <w:t>вы домашних хозяйств, бывшие (демобилизованные) комбатанты, репатрианты и внутренне перемещенные лица. Оценка программы показала, что их жизнь заметно улучшилась, поскольку они получили возможность самостоятельно обеспечивать себя в экономическом отношении и изменить жизнь своих семей. Эта деятельность также позволила женщинам вступить в неформальный сектор путем участия в различной экономической деятельности, т.е. в птицеводстве, производстве молока, мелкой торговле и т.д. (Дополнительную информацию см. в приложении VI).</w:t>
      </w:r>
      <w:r>
        <w:rPr>
          <w:vertAlign w:val="superscript"/>
        </w:rPr>
        <w:t>1</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26.</w:t>
      </w:r>
      <w:r>
        <w:br/>
        <w:t>Доступ к земле</w:t>
      </w:r>
    </w:p>
    <w:p w:rsidR="00000000" w:rsidRDefault="00000000">
      <w:pPr>
        <w:pStyle w:val="SingleTxt"/>
        <w:spacing w:after="0" w:line="120" w:lineRule="exact"/>
        <w:rPr>
          <w:sz w:val="10"/>
        </w:rPr>
      </w:pPr>
    </w:p>
    <w:p w:rsidR="00000000" w:rsidRDefault="00000000">
      <w:pPr>
        <w:pStyle w:val="SingleTxt"/>
      </w:pPr>
      <w:r>
        <w:tab/>
        <w:t>Эритрейская декларация о земле 1994 года является важнейшим законом в плане обеспечения прав женщин на владение землей. Однако укоренившиеся традиционные подходы замедляют процесс получения женщинами доступа к земельным участкам. В целях противодействия этому явлению Национальный союз эритрейских женщин уделяет особое внимание этому вопросу в рамках его программ информационно-разъяснительной работы. Например, в 2002 году 50 юристов из различных районов страны прошли подготовку по вопросам пропаганды прав женщин на владение землей.</w:t>
      </w:r>
    </w:p>
    <w:p w:rsidR="00000000" w:rsidRDefault="00000000">
      <w:pPr>
        <w:pStyle w:val="SingleTxt"/>
      </w:pPr>
      <w:r>
        <w:tab/>
        <w:t>В настоящее время разрабатываются подробные положения, определя</w:t>
      </w:r>
      <w:r>
        <w:t>ю</w:t>
      </w:r>
      <w:r>
        <w:t>щие порядок осуществления земельной декларации. В 2005 году Национал</w:t>
      </w:r>
      <w:r>
        <w:t>ь</w:t>
      </w:r>
      <w:r>
        <w:t>ный союз имел возможность проанализировать проект положений, направле</w:t>
      </w:r>
      <w:r>
        <w:t>н</w:t>
      </w:r>
      <w:r>
        <w:t>ных на обеспечение соблюдения прав женщин и устранение любых практич</w:t>
      </w:r>
      <w:r>
        <w:t>е</w:t>
      </w:r>
      <w:r>
        <w:t>ских/процедурных препятствий на пути доступа женщин к земельным учас</w:t>
      </w:r>
      <w:r>
        <w:t>т</w:t>
      </w:r>
      <w:r>
        <w:t>кам.</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27.</w:t>
      </w:r>
      <w:r>
        <w:br/>
        <w:t>Женщины-фермеры</w:t>
      </w:r>
    </w:p>
    <w:p w:rsidR="00000000" w:rsidRDefault="00000000">
      <w:pPr>
        <w:pStyle w:val="SingleTxt"/>
        <w:spacing w:after="0" w:line="120" w:lineRule="exact"/>
        <w:rPr>
          <w:sz w:val="10"/>
        </w:rPr>
      </w:pPr>
    </w:p>
    <w:p w:rsidR="00000000" w:rsidRDefault="00000000">
      <w:pPr>
        <w:pStyle w:val="SingleTxt"/>
      </w:pPr>
      <w:r>
        <w:tab/>
        <w:t>Хотя в настоящее время женщины-фермеры составляют около 50 проце</w:t>
      </w:r>
      <w:r>
        <w:t>н</w:t>
      </w:r>
      <w:r>
        <w:t>тов лиц, работающих в сельских районах (данные министерства сельского х</w:t>
      </w:r>
      <w:r>
        <w:t>о</w:t>
      </w:r>
      <w:r>
        <w:t>зяйства за 1997 год), они представляют собой лишь 15 процентов общего числа пользователей консультационных служб. Вместе с тем министерство сельского хозяйства предпринимает целенаправленные усилия, с тем чтобы побудить женщин принять участие в его учебных пр</w:t>
      </w:r>
      <w:r>
        <w:t>о</w:t>
      </w:r>
      <w:r>
        <w:t>граммах (см. таблицу ниже).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Подготовка фермеров министерством сельского хозяйства</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Год</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Мужчины</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Женщины</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Всего</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Доля женщин</w:t>
            </w:r>
            <w:r>
              <w:rPr>
                <w:i/>
                <w:sz w:val="14"/>
              </w:rPr>
              <w:br/>
              <w:t>в пр</w:t>
            </w:r>
            <w:r>
              <w:rPr>
                <w:i/>
                <w:sz w:val="14"/>
              </w:rPr>
              <w:t>о</w:t>
            </w:r>
            <w:r>
              <w:rPr>
                <w:i/>
                <w:sz w:val="14"/>
              </w:rPr>
              <w:t>центах</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1 973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1 812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3 785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47,9</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2 006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2 919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rPr>
              <w:t>31,</w:t>
            </w:r>
            <w:r>
              <w:rPr>
                <w:sz w:val="17"/>
                <w:lang w:val="en-US"/>
              </w:rPr>
              <w:t>2</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3 608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1 946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5 554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35,0</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1 741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2 703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64,4</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2 264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1 515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3 779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40,1</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2 923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1 342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4 265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5 393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1 807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7 200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25,1</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4 562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1 365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5 927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4 630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1 504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6 134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2003</w:t>
            </w:r>
          </w:p>
        </w:tc>
        <w:tc>
          <w:tcPr>
            <w:tcW w:w="146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4 428</w:t>
            </w:r>
          </w:p>
        </w:tc>
        <w:tc>
          <w:tcPr>
            <w:tcW w:w="146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1 670</w:t>
            </w:r>
          </w:p>
        </w:tc>
        <w:tc>
          <w:tcPr>
            <w:tcW w:w="146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6 098</w:t>
            </w:r>
          </w:p>
        </w:tc>
        <w:tc>
          <w:tcPr>
            <w:tcW w:w="146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27,4</w:t>
            </w:r>
          </w:p>
        </w:tc>
      </w:tr>
      <w:tr w:rsidR="00000000">
        <w:tblPrEx>
          <w:tblCellMar>
            <w:top w:w="0" w:type="dxa"/>
            <w:left w:w="0" w:type="dxa"/>
            <w:bottom w:w="0" w:type="dxa"/>
            <w:right w:w="0" w:type="dxa"/>
          </w:tblCellMar>
        </w:tblPrEx>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Всего</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32 749</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15 615</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48 364</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32,3</w:t>
            </w:r>
          </w:p>
        </w:tc>
      </w:tr>
    </w:tbl>
    <w:p w:rsidR="00000000" w:rsidRDefault="00000000">
      <w:pPr>
        <w:pStyle w:val="SingleTxt"/>
        <w:spacing w:after="0" w:line="120" w:lineRule="exact"/>
        <w:rPr>
          <w:sz w:val="10"/>
        </w:rPr>
      </w:pPr>
    </w:p>
    <w:p w:rsidR="00000000" w:rsidRDefault="00000000">
      <w:pPr>
        <w:pStyle w:val="SingleTxt"/>
      </w:pPr>
      <w:r>
        <w:tab/>
        <w:t>Национальный союз эритрейских женщин тщательно координирует свою деятельность с министерством сельского хозяйства и местными управлениями в целях содействия участию женщин в работе сельскохозяйственных комитетов в поселках/районах. В руководящих принципах министерства сельского хозя</w:t>
      </w:r>
      <w:r>
        <w:t>й</w:t>
      </w:r>
      <w:r>
        <w:t>ства предусмотрено, что в составе комитетов из 3–5 членов должна быть по крайней мере одна женщина.</w:t>
      </w:r>
    </w:p>
    <w:p w:rsidR="00000000" w:rsidRDefault="00000000">
      <w:pPr>
        <w:pStyle w:val="SingleTxt"/>
      </w:pPr>
      <w:r>
        <w:tab/>
        <w:t>Существует практика назначения членов Национального союза эритре</w:t>
      </w:r>
      <w:r>
        <w:t>й</w:t>
      </w:r>
      <w:r>
        <w:t>ских женщин в состав таких комитетов в целях обеспечения более эффекти</w:t>
      </w:r>
      <w:r>
        <w:t>в</w:t>
      </w:r>
      <w:r>
        <w:t>ного представительства. Согласно имеющимся сведениям, в тех случаях, когда в этих комитетах эффективно представлены женщины, у женщин-фермеров существует больше возможностей получить информацию и воспользоваться услугами имеющихся служб (получение консультаций, аренда тракторов, до</w:t>
      </w:r>
      <w:r>
        <w:t>с</w:t>
      </w:r>
      <w:r>
        <w:t>туп к фа</w:t>
      </w:r>
      <w:r>
        <w:t>к</w:t>
      </w:r>
      <w:r>
        <w:t>торам фермерского производства и микрокредиты).</w:t>
      </w:r>
    </w:p>
    <w:p w:rsidR="00000000" w:rsidRDefault="00000000">
      <w:pPr>
        <w:pStyle w:val="SingleTxt"/>
      </w:pPr>
      <w:r>
        <w:tab/>
        <w:t>Одним из успешных мероприятий, которое следует отметить, является внедрение Эритрейским исследовательским центром по вопросам энергетики в сотрудничестве с Национальным союзом и министерством сельского хозяйства кухонных плит улучшенной конструкции. Такие плиты позволяют экономить до 50 процентов топлива (главным образом дрова) и отличаются улучшенной вентиляцией, что в значительной мере способствует замедлению тревожных темпов сокращения площади лесов в Эритрее, позволяет сократить время, к</w:t>
      </w:r>
      <w:r>
        <w:t>о</w:t>
      </w:r>
      <w:r>
        <w:t>торое женщины тратят на сбор дров, и улучшить условия труда женщин в сельских районах. Такие плиты улучшенной конструкции получили Зарубе</w:t>
      </w:r>
      <w:r>
        <w:t>ж</w:t>
      </w:r>
      <w:r>
        <w:t>ную ашденскую премию в области продовольственной безопасности за 2003 год (Ашденские премии в области энергетики, отвечающей требованиям устойчивого развития). Национальный союз эритрейских женщин является о</w:t>
      </w:r>
      <w:r>
        <w:t>д</w:t>
      </w:r>
      <w:r>
        <w:t>ним из важнейших партнеров в деле пропаганды плит улучшенной констру</w:t>
      </w:r>
      <w:r>
        <w:t>к</w:t>
      </w:r>
      <w:r>
        <w:t>ции в сельских районах Эритреи.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28.</w:t>
      </w:r>
      <w:r>
        <w:br/>
        <w:t>Группа юридической консультации, обеспечение информированности и государственное финансирование?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Как и Национальный союз в целом, Группа юридической консультации на регулярной основе получает финансовые средства от правительства в дополн</w:t>
      </w:r>
      <w:r>
        <w:t>е</w:t>
      </w:r>
      <w:r>
        <w:t>ние к поддержке, предоставляемой по линии программ технич</w:t>
      </w:r>
      <w:r>
        <w:t>е</w:t>
      </w:r>
      <w:r>
        <w:t>ской помощи.</w:t>
      </w:r>
    </w:p>
    <w:p w:rsidR="00000000" w:rsidRDefault="00000000">
      <w:pPr>
        <w:pStyle w:val="SingleTxt"/>
      </w:pPr>
      <w:r>
        <w:tab/>
        <w:t>Принимаются последовательные меры для обеспечения доступа сельских женщин к услугам этой Группы. Это делается главным образом в рамках баз</w:t>
      </w:r>
      <w:r>
        <w:t>о</w:t>
      </w:r>
      <w:r>
        <w:t>вой программы ликвидации юридической неграмотности среди членов Наци</w:t>
      </w:r>
      <w:r>
        <w:t>о</w:t>
      </w:r>
      <w:r>
        <w:t>нального союза в местных отделениях. Члены, прошедшие такую подготовку, впоследствии выполняют роль местных представителей Группы юридической консультации. Вместе с тем программа ликвидации юридической неграмотн</w:t>
      </w:r>
      <w:r>
        <w:t>о</w:t>
      </w:r>
      <w:r>
        <w:t>сти не ограничивается членами Национального союза. На более поздних эт</w:t>
      </w:r>
      <w:r>
        <w:t>а</w:t>
      </w:r>
      <w:r>
        <w:t>пах она также охватывала местных руководителей, общинных лидеров и н</w:t>
      </w:r>
      <w:r>
        <w:t>е</w:t>
      </w:r>
      <w:r>
        <w:t>давно избранных членов общинных судов. Как выяснилось, такой подход явл</w:t>
      </w:r>
      <w:r>
        <w:t>я</w:t>
      </w:r>
      <w:r>
        <w:t>ется более эффекти</w:t>
      </w:r>
      <w:r>
        <w:t>в</w:t>
      </w:r>
      <w:r>
        <w:t xml:space="preserve">ным. </w:t>
      </w:r>
    </w:p>
    <w:p w:rsidR="00000000" w:rsidRDefault="00000000">
      <w:pPr>
        <w:pStyle w:val="SingleTxt"/>
      </w:pPr>
      <w:r>
        <w:tab/>
        <w:t>Указанная программа носит постоянный характер. Как отмечалось выше, в настоящее время в рамках усилий по расширению и совершенствованию пр</w:t>
      </w:r>
      <w:r>
        <w:t>о</w:t>
      </w:r>
      <w:r>
        <w:t>граммной деятельности готовится руководство по вопросам ликвидации юр</w:t>
      </w:r>
      <w:r>
        <w:t>и</w:t>
      </w:r>
      <w:r>
        <w:t>дической неграмотности. (См. также ответ на пункт 4 выше.)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29.</w:t>
      </w:r>
      <w:r>
        <w:br/>
        <w:t xml:space="preserve">Установленный законом возраст для вступления в брак </w:t>
      </w:r>
      <w:r>
        <w:br/>
        <w:t>и практика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По вопросам, касающимся возраста для вступления в брак, принудител</w:t>
      </w:r>
      <w:r>
        <w:t>ь</w:t>
      </w:r>
      <w:r>
        <w:t>ного всту</w:t>
      </w:r>
      <w:r>
        <w:t>п</w:t>
      </w:r>
      <w:r>
        <w:t>ления в брак и помолвок, информации не имеется.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Пункт 30.</w:t>
      </w:r>
      <w:r>
        <w:br/>
        <w:t>Традиционные браки, разводы и защита со стороны закона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Браки, заключенные в соответствии с религиозными верованиями сторон или местными обычаями, считаются действительными в соответствии со статьей 577(2) Переходного гражданского кодекса. Вместе с тем, статьей 652(1) предусматривается, что брак имеет одинаковые юридические последствия н</w:t>
      </w:r>
      <w:r>
        <w:t>е</w:t>
      </w:r>
      <w:r>
        <w:t>зависимо от формы его заключения. Пунктом 2 этой статьи подкрепляется ук</w:t>
      </w:r>
      <w:r>
        <w:t>а</w:t>
      </w:r>
      <w:r>
        <w:t>занное выше положение и предусматривается, что «в случае заключения брака сотрудником службы регистрации актов гражданского состояния или в соо</w:t>
      </w:r>
      <w:r>
        <w:t>т</w:t>
      </w:r>
      <w:r>
        <w:t>ветствии с традициями, предписываемыми религией или обычаями, никакие различия не проводятся». Таким образом, действительность всех форм брака не затрагивается, последствия вступления в брак остаются неизменными нез</w:t>
      </w:r>
      <w:r>
        <w:t>а</w:t>
      </w:r>
      <w:r>
        <w:t>висимо от того, заключался ли брак в соответствии с религиозными обычаями и местными традициями. Браки или помолвки, заключенные в соответствии с обычаями мусульманской религии, являются единственными исключениями, поскольку они регулируются з</w:t>
      </w:r>
      <w:r>
        <w:t>а</w:t>
      </w:r>
      <w:r>
        <w:t>конами шариата.</w:t>
      </w:r>
    </w:p>
    <w:p w:rsidR="00000000" w:rsidRDefault="00000000">
      <w:pPr>
        <w:pStyle w:val="SingleTxt"/>
        <w:spacing w:after="0" w:line="240" w:lineRule="auto"/>
        <w:ind w:left="1742" w:hanging="475"/>
      </w:pPr>
      <w:r>
        <w:rPr>
          <w:w w:val="100"/>
        </w:rPr>
        <w:pict>
          <v:line id="_x0000_s2052" style="position:absolute;left:0;text-align:left;z-index:3;mso-position-horizontal:absolute;mso-position-horizontal-relative:text;mso-position-vertical:absolute;mso-position-vertical-relative:text" from="210.25pt,30pt" to="282.25pt,30pt" o:allowincell="f" strokeweight=".25pt"/>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NO&gt;&gt;N0556730R&lt;&lt;ODS JOB NO&gt;&gt;</w:t>
      </w:r>
    </w:p>
    <w:p w:rsidR="00000000" w:rsidRDefault="00000000">
      <w:pPr>
        <w:pStyle w:val="CommentText"/>
      </w:pPr>
      <w:r>
        <w:t>&lt;&lt;ODS DOC SYMBOL1&gt;&gt;CEDAW/C/ERI/Q/1-3/Add.1&lt;&lt;ODS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05-56730 (R)    231105    231105</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*0556730*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Упомянутые приложения будут представлены Комитету по ликвидации дискриминации в отношении женщин.</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Gerde Heyde, </w:t>
      </w:r>
      <w:r>
        <w:rPr>
          <w:i/>
        </w:rPr>
        <w:t>Women</w:t>
      </w:r>
      <w:r>
        <w:rPr>
          <w:i/>
          <w:lang w:val="en-US"/>
        </w:rPr>
        <w:t>’s</w:t>
      </w:r>
      <w:r>
        <w:rPr>
          <w:i/>
        </w:rPr>
        <w:t xml:space="preserve"> Employment and Microenterprise in Eritrea</w:t>
      </w:r>
      <w:r>
        <w:t xml:space="preserve"> </w:t>
      </w:r>
      <w:r>
        <w:rPr>
          <w:lang w:val="en-US"/>
        </w:rPr>
        <w:t>(</w:t>
      </w:r>
      <w:r>
        <w:t>2001</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CEDAW/C/ERI/Q/1-3/Add.1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CEDAW/C/ERI/Q/1-3/Add.1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/C/ERI/Q/1-3/Add.1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24 October 2005</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2BB16AA8"/>
    <w:multiLevelType w:val="multilevel"/>
    <w:tmpl w:val="19820D8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6">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7">
    <w:nsid w:val="5FF27F2B"/>
    <w:multiLevelType w:val="multilevel"/>
    <w:tmpl w:val="68AAAA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32406"/>
        </w:tabs>
        <w:ind w:left="-32766" w:firstLine="0"/>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3/11/2005 12:57:23"/>
    <w:docVar w:name="DocCategory" w:val="Doc"/>
    <w:docVar w:name="DocType" w:val="Final"/>
    <w:docVar w:name="JobNo" w:val="0556730R"/>
    <w:docVar w:name="OandT" w:val=" "/>
    <w:docVar w:name="Symbol1" w:val="CEDAW/C/ERI/Q/1-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SingleTxt"/>
    <w:pPr>
      <w:suppressAutoHyphens/>
      <w:spacing w:line="270" w:lineRule="exact"/>
      <w:outlineLvl w:val="0"/>
    </w:pPr>
    <w:rPr>
      <w:b/>
      <w:sz w:val="24"/>
    </w:rPr>
  </w:style>
  <w:style w:type="paragraph" w:customStyle="1" w:styleId="HCh">
    <w:name w:val="_ H _Ch"/>
    <w:basedOn w:val="H1"/>
    <w:next w:val="SingleTxt"/>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7990</Words>
  <Characters>45548</Characters>
  <Application>Microsoft Office Word</Application>
  <DocSecurity>4</DocSecurity>
  <Lines>379</Lines>
  <Paragraphs>91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55936</CharactersWithSpaces>
  <SharedDoc>false</SharedDoc>
  <HLinks>
    <vt:vector size="6" baseType="variant">
      <vt:variant>
        <vt:i4>4522087</vt:i4>
      </vt:variant>
      <vt:variant>
        <vt:i4>112190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4</cp:revision>
  <cp:lastPrinted>2005-11-23T18:28:00Z</cp:lastPrinted>
  <dcterms:created xsi:type="dcterms:W3CDTF">2005-11-23T18:25:00Z</dcterms:created>
  <dcterms:modified xsi:type="dcterms:W3CDTF">2005-11-23T18:38:00Z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0556730</vt:lpwstr>
  </property>
  <property fmtid="{D5CDD505-2E9C-101B-9397-08002B2CF9AE}" pid="3" name="Symbol1">
    <vt:lpwstr>CEDAW/C/ERI/Q/1-3/Add.1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23</vt:lpwstr>
  </property>
  <property fmtid="{D5CDD505-2E9C-101B-9397-08002B2CF9AE}" pid="8" name="Operator">
    <vt:lpwstr>Petroukhina</vt:lpwstr>
  </property>
</Properties>
</file>