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84277F" w:rsidRPr="00163792" w:rsidTr="00EB4195">
        <w:tblPrEx>
          <w:tblCellMar>
            <w:top w:w="0" w:type="dxa"/>
            <w:bottom w:w="0" w:type="dxa"/>
          </w:tblCellMar>
        </w:tblPrEx>
        <w:tc>
          <w:tcPr>
            <w:tcW w:w="1560" w:type="dxa"/>
            <w:tcBorders>
              <w:top w:val="nil"/>
              <w:left w:val="nil"/>
              <w:bottom w:val="single" w:sz="4" w:space="0" w:color="auto"/>
              <w:right w:val="nil"/>
            </w:tcBorders>
          </w:tcPr>
          <w:p w:rsidR="0084277F" w:rsidRPr="00163792" w:rsidRDefault="0084277F" w:rsidP="00EB4195">
            <w:pPr>
              <w:spacing w:after="0"/>
              <w:rPr>
                <w:rFonts w:ascii="Arial" w:hAnsi="Arial" w:cs="Arial"/>
                <w:b/>
                <w:sz w:val="16"/>
              </w:rPr>
            </w:pPr>
            <w:r w:rsidRPr="00163792">
              <w:rPr>
                <w:rFonts w:ascii="Arial" w:hAnsi="Arial" w:cs="Arial"/>
                <w:b/>
                <w:sz w:val="28"/>
              </w:rPr>
              <w:t>UNITED</w:t>
            </w:r>
            <w:r w:rsidRPr="00163792">
              <w:rPr>
                <w:rFonts w:ascii="Arial" w:hAnsi="Arial" w:cs="Arial"/>
                <w:b/>
                <w:sz w:val="28"/>
              </w:rPr>
              <w:br/>
              <w:t>NATIONS</w:t>
            </w:r>
          </w:p>
        </w:tc>
        <w:tc>
          <w:tcPr>
            <w:tcW w:w="4536" w:type="dxa"/>
            <w:tcBorders>
              <w:top w:val="nil"/>
              <w:left w:val="nil"/>
              <w:bottom w:val="single" w:sz="4" w:space="0" w:color="auto"/>
              <w:right w:val="nil"/>
            </w:tcBorders>
          </w:tcPr>
          <w:p w:rsidR="0084277F" w:rsidRPr="00163792" w:rsidRDefault="0084277F" w:rsidP="00EB4195"/>
        </w:tc>
        <w:tc>
          <w:tcPr>
            <w:tcW w:w="3366" w:type="dxa"/>
            <w:tcBorders>
              <w:top w:val="nil"/>
              <w:left w:val="nil"/>
              <w:bottom w:val="single" w:sz="4" w:space="0" w:color="auto"/>
              <w:right w:val="nil"/>
            </w:tcBorders>
            <w:vAlign w:val="bottom"/>
          </w:tcPr>
          <w:p w:rsidR="0084277F" w:rsidRPr="00163792" w:rsidRDefault="0084277F" w:rsidP="00EB4195">
            <w:pPr>
              <w:spacing w:after="0"/>
              <w:jc w:val="right"/>
              <w:rPr>
                <w:rFonts w:ascii="Arial" w:hAnsi="Arial" w:cs="Arial"/>
                <w:b/>
                <w:sz w:val="72"/>
              </w:rPr>
            </w:pPr>
            <w:r w:rsidRPr="00163792">
              <w:rPr>
                <w:rFonts w:ascii="Arial" w:hAnsi="Arial" w:cs="Arial"/>
                <w:b/>
                <w:sz w:val="72"/>
              </w:rPr>
              <w:t>CRC</w:t>
            </w:r>
          </w:p>
        </w:tc>
      </w:tr>
      <w:tr w:rsidR="0084277F" w:rsidRPr="00163792" w:rsidTr="00EB4195">
        <w:tblPrEx>
          <w:tblCellMar>
            <w:top w:w="0" w:type="dxa"/>
            <w:bottom w:w="0" w:type="dxa"/>
          </w:tblCellMar>
        </w:tblPrEx>
        <w:tc>
          <w:tcPr>
            <w:tcW w:w="1560" w:type="dxa"/>
            <w:tcBorders>
              <w:top w:val="single" w:sz="4" w:space="0" w:color="auto"/>
              <w:left w:val="nil"/>
              <w:bottom w:val="single" w:sz="36" w:space="0" w:color="auto"/>
              <w:right w:val="nil"/>
            </w:tcBorders>
          </w:tcPr>
          <w:p w:rsidR="0084277F" w:rsidRPr="00163792" w:rsidRDefault="0084277F" w:rsidP="00EB4195">
            <w:r w:rsidRPr="0016379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87623212" r:id="rId8"/>
              </w:pict>
            </w:r>
          </w:p>
        </w:tc>
        <w:tc>
          <w:tcPr>
            <w:tcW w:w="4536" w:type="dxa"/>
            <w:tcBorders>
              <w:top w:val="single" w:sz="4" w:space="0" w:color="auto"/>
              <w:left w:val="nil"/>
              <w:bottom w:val="single" w:sz="36" w:space="0" w:color="auto"/>
              <w:right w:val="nil"/>
            </w:tcBorders>
          </w:tcPr>
          <w:p w:rsidR="0084277F" w:rsidRPr="00163792" w:rsidRDefault="0084277F" w:rsidP="00EB4195">
            <w:pPr>
              <w:spacing w:before="360" w:after="0"/>
              <w:rPr>
                <w:rFonts w:ascii="Arial" w:hAnsi="Arial" w:cs="Arial"/>
                <w:b/>
                <w:sz w:val="34"/>
              </w:rPr>
            </w:pPr>
            <w:r w:rsidRPr="00163792">
              <w:rPr>
                <w:rFonts w:ascii="Arial" w:hAnsi="Arial" w:cs="Arial"/>
                <w:b/>
                <w:sz w:val="34"/>
              </w:rPr>
              <w:t>Convention on the</w:t>
            </w:r>
            <w:r w:rsidRPr="00163792">
              <w:rPr>
                <w:rFonts w:ascii="Arial" w:hAnsi="Arial" w:cs="Arial"/>
                <w:b/>
                <w:sz w:val="34"/>
              </w:rPr>
              <w:br/>
              <w:t>Rights of the Child</w:t>
            </w:r>
          </w:p>
          <w:p w:rsidR="0084277F" w:rsidRPr="00163792" w:rsidRDefault="0084277F" w:rsidP="00EB4195">
            <w:pPr>
              <w:rPr>
                <w:rFonts w:ascii="Arial" w:hAnsi="Arial" w:cs="Arial"/>
                <w:sz w:val="32"/>
              </w:rPr>
            </w:pPr>
          </w:p>
        </w:tc>
        <w:tc>
          <w:tcPr>
            <w:tcW w:w="3366" w:type="dxa"/>
            <w:tcBorders>
              <w:top w:val="single" w:sz="4" w:space="0" w:color="auto"/>
              <w:left w:val="nil"/>
              <w:bottom w:val="single" w:sz="36" w:space="0" w:color="auto"/>
              <w:right w:val="nil"/>
            </w:tcBorders>
          </w:tcPr>
          <w:p w:rsidR="0084277F" w:rsidRPr="00163792" w:rsidRDefault="0084277F" w:rsidP="00EB4195">
            <w:pPr>
              <w:spacing w:before="480" w:after="0"/>
            </w:pPr>
            <w:r w:rsidRPr="00163792">
              <w:t>Distr.</w:t>
            </w:r>
          </w:p>
          <w:p w:rsidR="0084277F" w:rsidRPr="00163792" w:rsidRDefault="0084277F" w:rsidP="00EB4195">
            <w:fldSimple w:instr=" FILLIN &quot;Distr.&quot; \* MERGEFORMAT ">
              <w:r w:rsidRPr="00163792">
                <w:t>GENERAL</w:t>
              </w:r>
            </w:fldSimple>
          </w:p>
          <w:p w:rsidR="0084277F" w:rsidRPr="00163792" w:rsidRDefault="0084277F" w:rsidP="00EB4195">
            <w:pPr>
              <w:spacing w:after="0"/>
            </w:pPr>
            <w:fldSimple w:instr=" FILLIN &quot;Symbol&quot; \* MERGEFORMAT ">
              <w:r w:rsidRPr="00163792">
                <w:t>CRC/C/COD/Q/2/Add.1</w:t>
              </w:r>
            </w:fldSimple>
          </w:p>
          <w:p w:rsidR="0084277F" w:rsidRPr="00163792" w:rsidRDefault="0084277F" w:rsidP="00EB4195">
            <w:fldSimple w:instr=" FILLIN &quot;Date&quot; \* MERGEFORMAT ">
              <w:r w:rsidRPr="00163792">
                <w:t>30 December 2008</w:t>
              </w:r>
            </w:fldSimple>
          </w:p>
          <w:p w:rsidR="0084277F" w:rsidRPr="00163792" w:rsidRDefault="0084277F" w:rsidP="00EB4195">
            <w:r w:rsidRPr="00163792">
              <w:t>ENGLISH</w:t>
            </w:r>
            <w:r w:rsidRPr="00163792">
              <w:br/>
              <w:t xml:space="preserve">Original:  </w:t>
            </w:r>
            <w:fldSimple w:instr=" FILLIN &quot;Orig. Lang.&quot; \* MERGEFORMAT ">
              <w:r w:rsidRPr="00163792">
                <w:t>FRENCH</w:t>
              </w:r>
            </w:fldSimple>
          </w:p>
        </w:tc>
      </w:tr>
    </w:tbl>
    <w:p w:rsidR="0084277F" w:rsidRPr="00163792" w:rsidRDefault="0084277F" w:rsidP="0084277F">
      <w:pPr>
        <w:spacing w:after="960"/>
      </w:pPr>
      <w:r w:rsidRPr="00163792">
        <w:br/>
        <w:t>COMMITTEE ON THE RIGHTS OF THE CHILD</w:t>
      </w:r>
      <w:r w:rsidRPr="00163792">
        <w:br/>
        <w:t>Fiftieth session</w:t>
      </w:r>
      <w:r w:rsidRPr="00163792">
        <w:br/>
        <w:t>12-30 January 2009</w:t>
      </w:r>
    </w:p>
    <w:p w:rsidR="0084277F" w:rsidRPr="00163792" w:rsidRDefault="0084277F" w:rsidP="0084277F">
      <w:pPr>
        <w:pStyle w:val="Heading1"/>
        <w:tabs>
          <w:tab w:val="left" w:pos="1843"/>
        </w:tabs>
        <w:spacing w:after="720"/>
        <w:ind w:left="624"/>
        <w:jc w:val="left"/>
      </w:pPr>
      <w:r w:rsidRPr="00163792">
        <w:t xml:space="preserve">WRITTEN REPLIES BY THE GOVERNMENT OF THE DEMOCRATIC </w:t>
      </w:r>
      <w:r w:rsidRPr="00163792">
        <w:br/>
        <w:t xml:space="preserve">REPUBLIC OF THE CONGO CONCERNING THE LIST OF ISSUES TO </w:t>
      </w:r>
      <w:r w:rsidRPr="00163792">
        <w:br/>
        <w:t>BE TAKEN UP IN CONNECTION WITH THE CONSIDERATION</w:t>
      </w:r>
      <w:r w:rsidR="0045681B">
        <w:br/>
      </w:r>
      <w:r w:rsidRPr="00163792">
        <w:t xml:space="preserve">OF THE SECOND PERIODIC REPORT OF THE DEMOCRATIC </w:t>
      </w:r>
      <w:r w:rsidRPr="00163792">
        <w:br/>
      </w:r>
      <w:r w:rsidRPr="00163792">
        <w:tab/>
        <w:t>REPUBLIC OF THE CONGO (CRC/C/COD/2)</w:t>
      </w:r>
    </w:p>
    <w:p w:rsidR="0084277F" w:rsidRPr="00163792" w:rsidRDefault="0084277F" w:rsidP="0084277F">
      <w:pPr>
        <w:jc w:val="right"/>
      </w:pPr>
      <w:r w:rsidRPr="00163792">
        <w:t>[Received on 24 December 2008]</w:t>
      </w:r>
    </w:p>
    <w:p w:rsidR="0084277F" w:rsidRPr="00163792" w:rsidRDefault="0084277F" w:rsidP="0084277F">
      <w:pPr>
        <w:pStyle w:val="Heading1"/>
      </w:pPr>
      <w:r w:rsidRPr="00163792">
        <w:br w:type="page"/>
        <w:t>Part I</w:t>
      </w:r>
    </w:p>
    <w:p w:rsidR="0084277F" w:rsidRPr="00163792" w:rsidRDefault="0084277F" w:rsidP="0084277F">
      <w:pPr>
        <w:rPr>
          <w:b/>
        </w:rPr>
      </w:pPr>
      <w:r w:rsidRPr="00163792">
        <w:rPr>
          <w:b/>
        </w:rPr>
        <w:t xml:space="preserve">Under this section the State party is requested to submit in written form additional and updated information, if possible </w:t>
      </w:r>
      <w:r w:rsidRPr="00163792">
        <w:rPr>
          <w:b/>
          <w:u w:val="single"/>
        </w:rPr>
        <w:t>before 24 November 2008</w:t>
      </w:r>
      <w:r w:rsidRPr="00163792">
        <w:rPr>
          <w:b/>
        </w:rPr>
        <w:t>.</w:t>
      </w:r>
    </w:p>
    <w:p w:rsidR="0084277F" w:rsidRPr="00163792" w:rsidRDefault="0084277F" w:rsidP="0084277F">
      <w:pPr>
        <w:pStyle w:val="Heading5"/>
      </w:pPr>
      <w:r w:rsidRPr="00163792">
        <w:t>1.</w:t>
      </w:r>
      <w:r w:rsidRPr="00163792">
        <w:tab/>
        <w:t>Please provide details on the current status of the draft Child Protection Code</w:t>
      </w:r>
    </w:p>
    <w:p w:rsidR="0084277F" w:rsidRPr="00163792" w:rsidRDefault="0084277F" w:rsidP="0084277F">
      <w:r w:rsidRPr="00163792">
        <w:tab/>
        <w:t xml:space="preserve">The draft Child Protection Code was approved by the two chambers of parliament (National Assembly and Senate) in the course of the ordinary session of April 2008 and the special session of August 2008 respectively, under the title: </w:t>
      </w:r>
      <w:r w:rsidR="00F651A6">
        <w:t>“</w:t>
      </w:r>
      <w:r w:rsidRPr="00163792">
        <w:t>Child Protection Act</w:t>
      </w:r>
      <w:r w:rsidR="00F651A6">
        <w:t>”</w:t>
      </w:r>
      <w:r w:rsidRPr="00163792">
        <w:t>. A joint National Assembly/Senate commission worked on the harmonization of the two versions of the text at the ordinary session of October 2008. Once the commission has finished its work, the law will be submitted to the President of the Republic for promulgation and publication in the Official Journal.</w:t>
      </w:r>
    </w:p>
    <w:p w:rsidR="0084277F" w:rsidRPr="00163792" w:rsidRDefault="0084277F" w:rsidP="0084277F">
      <w:pPr>
        <w:pStyle w:val="Heading5"/>
        <w:ind w:left="567" w:hanging="567"/>
      </w:pPr>
      <w:r w:rsidRPr="00163792">
        <w:t>2.</w:t>
      </w:r>
      <w:r w:rsidRPr="00163792">
        <w:tab/>
        <w:t xml:space="preserve">Please provide the Committee with a brief account of the status, mandate, and human and financial resources of the National Council for Children (CNEN), and, in particular, measures taken to improve its ability to perform its tasks and ensure that it plays a coordinating role and carries out its mandate vis-à-vis the </w:t>
      </w:r>
      <w:r w:rsidR="004502A2" w:rsidRPr="00163792">
        <w:t>provincial councils for children</w:t>
      </w:r>
    </w:p>
    <w:p w:rsidR="0084277F" w:rsidRPr="00163792" w:rsidRDefault="0084277F" w:rsidP="0084277F">
      <w:r w:rsidRPr="00163792">
        <w:tab/>
        <w:t>The details concerning the organization and function</w:t>
      </w:r>
      <w:r w:rsidR="00C4589E">
        <w:t xml:space="preserve">ing of CNEN, initially outlined in </w:t>
      </w:r>
      <w:r w:rsidRPr="00163792">
        <w:t>decrees Nos. 11, 12 and 13 of 13 May 1998, are now contained in decision</w:t>
      </w:r>
      <w:r w:rsidR="00C4589E">
        <w:t xml:space="preserve"> </w:t>
      </w:r>
      <w:r w:rsidRPr="00163792">
        <w:t>No. MIN.AFF.SOC/CABMIN/004/2003 of 8 April 2003. They may be summed up as follows:</w:t>
      </w:r>
    </w:p>
    <w:p w:rsidR="0084277F" w:rsidRPr="00163792" w:rsidRDefault="0084277F" w:rsidP="0084277F">
      <w:r w:rsidRPr="00163792">
        <w:tab/>
        <w:t>(a)</w:t>
      </w:r>
      <w:r w:rsidRPr="00163792">
        <w:tab/>
        <w:t>CNEN is an inter-ministerial body attached to the Ministry of Gender, Family and Children;</w:t>
      </w:r>
    </w:p>
    <w:p w:rsidR="0084277F" w:rsidRPr="00163792" w:rsidRDefault="0084277F" w:rsidP="0084277F">
      <w:r w:rsidRPr="00163792">
        <w:tab/>
        <w:t>(b)</w:t>
      </w:r>
      <w:r w:rsidRPr="00163792">
        <w:tab/>
        <w:t>It advises the Government on the promotion and protection of children</w:t>
      </w:r>
      <w:r w:rsidR="00F651A6">
        <w:t>’</w:t>
      </w:r>
      <w:r w:rsidRPr="00163792">
        <w:t>s rights and ensures the implementation of national policy regarding the protection, survival, development and participation of children (article 2 of the decree);</w:t>
      </w:r>
    </w:p>
    <w:p w:rsidR="0084277F" w:rsidRPr="00163792" w:rsidRDefault="0084277F" w:rsidP="0084277F">
      <w:r w:rsidRPr="00163792">
        <w:tab/>
        <w:t>(c)</w:t>
      </w:r>
      <w:r w:rsidRPr="00163792">
        <w:tab/>
        <w:t>It derives its human resources within the office of the Ministry of Gender from other ministries dealing with children and from civil society organizations;</w:t>
      </w:r>
    </w:p>
    <w:p w:rsidR="0084277F" w:rsidRPr="00163792" w:rsidRDefault="0084277F" w:rsidP="0084277F">
      <w:r w:rsidRPr="00163792">
        <w:tab/>
        <w:t>(d)</w:t>
      </w:r>
      <w:r w:rsidRPr="00163792">
        <w:tab/>
        <w:t>It derives its financial resources from the State budget for its functioning and from the support of international organizations and bilateral partners for the implementation of specific projects.</w:t>
      </w:r>
    </w:p>
    <w:p w:rsidR="0084277F" w:rsidRPr="00163792" w:rsidRDefault="0084277F" w:rsidP="0084277F">
      <w:r w:rsidRPr="00163792">
        <w:tab/>
        <w:t>As a result of CNEN</w:t>
      </w:r>
      <w:r w:rsidR="00F651A6">
        <w:t>’</w:t>
      </w:r>
      <w:r w:rsidRPr="00163792">
        <w:t>s operating difficulties, the ministry in charge, with the technical support of the non-governmental organization (NGO) Save the Children UK, has looked into ways of reforming the body, with respect to both its status and its mode of operation. The possibility is being considered of allowing CNEN greater administrative and financial autonomy. A national workshop is to be convened in the near future to adopt the necessary redynamization strategies.</w:t>
      </w:r>
    </w:p>
    <w:p w:rsidR="0084277F" w:rsidRPr="00163792" w:rsidRDefault="0084277F" w:rsidP="0084277F">
      <w:pPr>
        <w:pStyle w:val="Heading5"/>
        <w:ind w:left="567" w:hanging="567"/>
      </w:pPr>
      <w:r w:rsidRPr="00163792">
        <w:t>3.</w:t>
      </w:r>
      <w:r w:rsidRPr="00163792">
        <w:tab/>
        <w:t xml:space="preserve">Please indicate whether any measures have been taken to harmonize the legislation relating to children and bring it into line with the Convention on the Rights </w:t>
      </w:r>
      <w:r w:rsidR="004502A2" w:rsidRPr="00163792">
        <w:t>of the Child (</w:t>
      </w:r>
      <w:r w:rsidR="00F651A6">
        <w:t>“</w:t>
      </w:r>
      <w:r w:rsidR="004502A2" w:rsidRPr="00163792">
        <w:t>the Convention</w:t>
      </w:r>
      <w:r w:rsidR="00F651A6">
        <w:t>”</w:t>
      </w:r>
      <w:r w:rsidR="004502A2" w:rsidRPr="00163792">
        <w:t>)</w:t>
      </w:r>
    </w:p>
    <w:p w:rsidR="0084277F" w:rsidRPr="00163792" w:rsidRDefault="0084277F" w:rsidP="0084277F">
      <w:r w:rsidRPr="00163792">
        <w:tab/>
        <w:t>The harmonization of domestic legislation with the Convention began with the texts referred to in paragraph 32 of the report, namely:</w:t>
      </w:r>
    </w:p>
    <w:p w:rsidR="0084277F" w:rsidRPr="00163792" w:rsidRDefault="0084277F" w:rsidP="0084277F">
      <w:r w:rsidRPr="00163792">
        <w:tab/>
        <w:t>(a)</w:t>
      </w:r>
      <w:r w:rsidRPr="00163792">
        <w:tab/>
        <w:t>Act No. 023/2002 of 18 November 2002 enacting the Military Judicial Code, which removes all offences committed by children under the age of 18 from the jurisdiction of military courts;</w:t>
      </w:r>
    </w:p>
    <w:p w:rsidR="0084277F" w:rsidRPr="00163792" w:rsidRDefault="0084277F" w:rsidP="0084277F">
      <w:r w:rsidRPr="00163792">
        <w:tab/>
        <w:t>(b)</w:t>
      </w:r>
      <w:r w:rsidRPr="00163792">
        <w:tab/>
        <w:t>Act No. 015/2002 of 16 October 2002 enacting the Labour Code, which inter alia raised the minimum employment age from 14 to 16 and prohibited the enrolment of children in armed forces or groups;</w:t>
      </w:r>
    </w:p>
    <w:p w:rsidR="0084277F" w:rsidRPr="00163792" w:rsidRDefault="0084277F" w:rsidP="0084277F">
      <w:r w:rsidRPr="00163792">
        <w:tab/>
        <w:t>(c)</w:t>
      </w:r>
      <w:r w:rsidRPr="00163792">
        <w:tab/>
        <w:t>Act No. 04/023 of 12 December 2004 concerning the general organization of defence and the armed forces, which forbids the enrolment of children under the age of 18;</w:t>
      </w:r>
    </w:p>
    <w:p w:rsidR="0084277F" w:rsidRPr="00163792" w:rsidRDefault="0084277F" w:rsidP="0084277F">
      <w:r w:rsidRPr="00163792">
        <w:tab/>
        <w:t>(d)</w:t>
      </w:r>
      <w:r w:rsidRPr="00163792">
        <w:tab/>
        <w:t>Acts Nos. 06/018 and 06/019 of 20 July 2006 respectively amending and supplementing the Decree-Law of 30 January 1940 enacting the Criminal Code and the Decree</w:t>
      </w:r>
      <w:r w:rsidRPr="00163792">
        <w:noBreakHyphen/>
        <w:t>Law of 6 August 1959 enacting the Code of Criminal Procedure.</w:t>
      </w:r>
    </w:p>
    <w:p w:rsidR="0084277F" w:rsidRPr="00163792" w:rsidRDefault="0084277F" w:rsidP="0084277F">
      <w:r w:rsidRPr="00163792">
        <w:tab/>
        <w:t>The key stage of harmonization will be achieved with the passing of the Child Protection Act, which is to be promulgated by the President in the very near future.</w:t>
      </w:r>
    </w:p>
    <w:p w:rsidR="0084277F" w:rsidRPr="00163792" w:rsidRDefault="0084277F" w:rsidP="0084277F">
      <w:pPr>
        <w:pStyle w:val="Heading5"/>
        <w:ind w:left="567" w:hanging="567"/>
      </w:pPr>
      <w:r w:rsidRPr="00163792">
        <w:t>4.</w:t>
      </w:r>
      <w:r w:rsidRPr="00163792">
        <w:tab/>
        <w:t>Please indicate whether the Convention has been invoked directly in domestic courts and, if so, please provide examp</w:t>
      </w:r>
      <w:r w:rsidR="004502A2" w:rsidRPr="00163792">
        <w:t>les of such cases</w:t>
      </w:r>
    </w:p>
    <w:p w:rsidR="0084277F" w:rsidRPr="00163792" w:rsidRDefault="0084277F" w:rsidP="0084277F">
      <w:r w:rsidRPr="00163792">
        <w:tab/>
        <w:t>The Congolese courts have begun invoking the Convention and other international human rights conventions directly in their judgements. This is thanks to the new training introduced for judges and lawyers in 2003.</w:t>
      </w:r>
    </w:p>
    <w:p w:rsidR="0084277F" w:rsidRPr="00163792" w:rsidRDefault="0084277F" w:rsidP="0084277F">
      <w:r w:rsidRPr="00163792">
        <w:tab/>
        <w:t>Thus the Magistrate</w:t>
      </w:r>
      <w:r w:rsidR="00F651A6">
        <w:t>’</w:t>
      </w:r>
      <w:r w:rsidRPr="00163792">
        <w:t xml:space="preserve">s Court of Assossa in Kinshasa refused to conduct criminal proceedings against a child aged 17 by invoking articles 2 and 17 of the </w:t>
      </w:r>
      <w:r w:rsidRPr="00163792">
        <w:rPr>
          <w:bCs/>
        </w:rPr>
        <w:t>African Charter</w:t>
      </w:r>
      <w:r w:rsidRPr="00163792">
        <w:t xml:space="preserve"> on the </w:t>
      </w:r>
      <w:r w:rsidRPr="00163792">
        <w:rPr>
          <w:bCs/>
        </w:rPr>
        <w:t>Rights</w:t>
      </w:r>
      <w:r w:rsidRPr="00163792">
        <w:t xml:space="preserve"> and </w:t>
      </w:r>
      <w:r w:rsidRPr="00163792">
        <w:rPr>
          <w:bCs/>
        </w:rPr>
        <w:t>Welfare</w:t>
      </w:r>
      <w:r w:rsidRPr="00163792">
        <w:t xml:space="preserve"> of the Child, which establishes 18 years as the minimum age of criminal liability. The minor in question was then returned to the Prosecutor</w:t>
      </w:r>
      <w:r w:rsidR="00F651A6">
        <w:t>’</w:t>
      </w:r>
      <w:r w:rsidRPr="00163792">
        <w:t>s Office for referral to the juvenile court.</w:t>
      </w:r>
    </w:p>
    <w:p w:rsidR="00763304" w:rsidRDefault="0084277F" w:rsidP="0084277F">
      <w:r w:rsidRPr="00163792">
        <w:tab/>
        <w:t xml:space="preserve">One of the grounds given by the judge was as follows: </w:t>
      </w:r>
      <w:r w:rsidR="00F651A6">
        <w:t>“</w:t>
      </w:r>
      <w:r w:rsidRPr="00163792">
        <w:t xml:space="preserve">that the </w:t>
      </w:r>
      <w:r w:rsidRPr="00163792">
        <w:rPr>
          <w:bCs/>
        </w:rPr>
        <w:t>African Charter</w:t>
      </w:r>
      <w:r w:rsidRPr="00163792">
        <w:t xml:space="preserve"> on the </w:t>
      </w:r>
      <w:r w:rsidRPr="00163792">
        <w:rPr>
          <w:bCs/>
        </w:rPr>
        <w:t>Rights</w:t>
      </w:r>
      <w:r w:rsidRPr="00163792">
        <w:t xml:space="preserve"> and </w:t>
      </w:r>
      <w:r w:rsidRPr="00163792">
        <w:rPr>
          <w:bCs/>
        </w:rPr>
        <w:t>Welfare</w:t>
      </w:r>
      <w:r w:rsidRPr="00163792">
        <w:t xml:space="preserve"> of the Child was published in the Official Journal of the Democratic Republic of the Congo … following ratification under Decree-Law No. 007/01 of 28 March 2001; that it therefore takes precedence over the Decree of 6 December 1950 …</w:t>
      </w:r>
      <w:r w:rsidR="00F651A6">
        <w:t>”</w:t>
      </w:r>
      <w:r w:rsidRPr="00163792">
        <w:t>, according to which the minimum age for criminal liability is 16 (Magistrate</w:t>
      </w:r>
      <w:r w:rsidR="00F651A6">
        <w:t>’</w:t>
      </w:r>
      <w:r w:rsidRPr="00163792">
        <w:t>s Court of Kinshasa/Assossa, R.P. 4215/IV of 3 April 2006).</w:t>
      </w:r>
    </w:p>
    <w:p w:rsidR="0084277F" w:rsidRPr="00163792" w:rsidRDefault="00763304" w:rsidP="0084277F">
      <w:r>
        <w:br w:type="page"/>
      </w:r>
      <w:r w:rsidR="0084277F" w:rsidRPr="00163792">
        <w:tab/>
        <w:t>Thanks to the Charter, the minor was granted social welfare assistance instead of receiving a prison sentence or a fine.</w:t>
      </w:r>
    </w:p>
    <w:p w:rsidR="0084277F" w:rsidRPr="00163792" w:rsidRDefault="0084277F" w:rsidP="0084277F">
      <w:pPr>
        <w:pStyle w:val="Heading5"/>
        <w:ind w:left="567" w:hanging="567"/>
      </w:pPr>
      <w:r w:rsidRPr="00163792">
        <w:t>5.</w:t>
      </w:r>
      <w:r w:rsidRPr="00163792">
        <w:tab/>
        <w:t>Please briefly inform the Committee whether the State party intends to establish an independent monitoring mechanism in line with the Paris Principles relating to the status of national institutions (General Assembly resolution 48/134 of 20 December 1993, annex) that</w:t>
      </w:r>
      <w:r w:rsidR="004502A2" w:rsidRPr="00163792">
        <w:t xml:space="preserve"> will address children</w:t>
      </w:r>
      <w:r w:rsidR="00F651A6">
        <w:t>’</w:t>
      </w:r>
      <w:r w:rsidR="004502A2" w:rsidRPr="00163792">
        <w:t>s rights</w:t>
      </w:r>
    </w:p>
    <w:p w:rsidR="0084277F" w:rsidRPr="00163792" w:rsidRDefault="0084277F" w:rsidP="0084277F">
      <w:r w:rsidRPr="00163792">
        <w:tab/>
        <w:t>Further to the information given in paragraph 39 of the second periodic report, it may be mentioned that, at its July 2008 session, the National Assembly passed the Act on the organization and functioning of the new National Human Rights Monitoring Centre (ONDH), which has been submitted to the Senate. Once approved by the latter, the Act will be promulgated by the President of the Republic.</w:t>
      </w:r>
    </w:p>
    <w:p w:rsidR="0084277F" w:rsidRPr="00163792" w:rsidRDefault="0084277F" w:rsidP="0084277F">
      <w:pPr>
        <w:pStyle w:val="Heading5"/>
        <w:ind w:left="567" w:hanging="567"/>
      </w:pPr>
      <w:r w:rsidRPr="00163792">
        <w:t>6.</w:t>
      </w:r>
      <w:r w:rsidRPr="00163792">
        <w:tab/>
        <w:t>Please briefly inform the Committee about the role of the Ministry of the Family and its participation in implementation of the Con</w:t>
      </w:r>
      <w:r w:rsidR="004502A2" w:rsidRPr="00163792">
        <w:t>vention</w:t>
      </w:r>
    </w:p>
    <w:p w:rsidR="0084277F" w:rsidRPr="00163792" w:rsidRDefault="0084277F" w:rsidP="0084277F">
      <w:r w:rsidRPr="00163792">
        <w:tab/>
        <w:t xml:space="preserve">The role of the Ministry of the Status of Women and the Family, now known as the </w:t>
      </w:r>
      <w:r w:rsidR="00F651A6">
        <w:t>“</w:t>
      </w:r>
      <w:r w:rsidRPr="00163792">
        <w:t>Ministry of Gender, Family and Children</w:t>
      </w:r>
      <w:r w:rsidR="00F651A6">
        <w:t>”</w:t>
      </w:r>
      <w:r w:rsidRPr="00163792">
        <w:t>, includes:</w:t>
      </w:r>
    </w:p>
    <w:p w:rsidR="0084277F" w:rsidRPr="00163792" w:rsidRDefault="0084277F" w:rsidP="0084277F">
      <w:r w:rsidRPr="00163792">
        <w:tab/>
        <w:t>(a)</w:t>
      </w:r>
      <w:r w:rsidRPr="00163792">
        <w:tab/>
        <w:t>Protecting and promoting the status of women, children and the family;</w:t>
      </w:r>
    </w:p>
    <w:p w:rsidR="0084277F" w:rsidRPr="00163792" w:rsidRDefault="0084277F" w:rsidP="0084277F">
      <w:r w:rsidRPr="00163792">
        <w:tab/>
        <w:t>(b)</w:t>
      </w:r>
      <w:r w:rsidRPr="00163792">
        <w:tab/>
        <w:t>Cooperating with the ministries of Human Rights, Primary, Secondary and Professional Education, Justice, Health, Social Affairs and Humanitarian Action to improve the status of women and children;</w:t>
      </w:r>
    </w:p>
    <w:p w:rsidR="0084277F" w:rsidRPr="00163792" w:rsidRDefault="0084277F" w:rsidP="0084277F">
      <w:r w:rsidRPr="00163792">
        <w:tab/>
        <w:t>(c)</w:t>
      </w:r>
      <w:r w:rsidRPr="00163792">
        <w:tab/>
        <w:t>Promoting and disseminating all international conventions, laws, studies and research concerning the condition of women and children.</w:t>
      </w:r>
    </w:p>
    <w:p w:rsidR="0084277F" w:rsidRPr="00163792" w:rsidRDefault="0084277F" w:rsidP="0084277F">
      <w:r w:rsidRPr="00163792">
        <w:tab/>
        <w:t>As far as the implementation of the Convention is concerned, the Ministry</w:t>
      </w:r>
      <w:r w:rsidR="00F651A6">
        <w:t>’</w:t>
      </w:r>
      <w:r w:rsidRPr="00163792">
        <w:t>s main contribution has consisted in:</w:t>
      </w:r>
    </w:p>
    <w:p w:rsidR="0084277F" w:rsidRPr="00163792" w:rsidRDefault="0084277F" w:rsidP="0084277F">
      <w:r w:rsidRPr="00163792">
        <w:tab/>
        <w:t>(a)</w:t>
      </w:r>
      <w:r w:rsidRPr="00163792">
        <w:tab/>
        <w:t>In 2008 preparing the national policy paper on gender integration, promotion of the family and protection of children, currently submitted to the Council of Ministers for validation;</w:t>
      </w:r>
    </w:p>
    <w:p w:rsidR="0084277F" w:rsidRPr="00163792" w:rsidRDefault="0084277F" w:rsidP="0084277F">
      <w:r w:rsidRPr="00163792">
        <w:tab/>
        <w:t>(b)</w:t>
      </w:r>
      <w:r w:rsidRPr="00163792">
        <w:tab/>
        <w:t>In accordance with the recommendations of the 1990 World Summit for Children, setting up the Child Protection Directorate and the National Council for Children with the responsibility of monitoring and assessing human rights applications. A progress report in this respect was prepared in 2007, five years after the World Summit for Children;</w:t>
      </w:r>
    </w:p>
    <w:p w:rsidR="0084277F" w:rsidRPr="00163792" w:rsidRDefault="0084277F" w:rsidP="0084277F">
      <w:r w:rsidRPr="00163792">
        <w:tab/>
        <w:t>(c)</w:t>
      </w:r>
      <w:r w:rsidRPr="00163792">
        <w:tab/>
        <w:t>Preparing sectoral plans, in particular for the registration of births in the Civil Registry (2004), and for the prevention and elimination of violence against children (2007);</w:t>
      </w:r>
    </w:p>
    <w:p w:rsidR="0084277F" w:rsidRPr="00163792" w:rsidRDefault="0084277F" w:rsidP="0084277F">
      <w:r w:rsidRPr="00163792">
        <w:tab/>
        <w:t>(d)</w:t>
      </w:r>
      <w:r w:rsidRPr="00163792">
        <w:tab/>
        <w:t>Drafting the guide of indicators for the preparation of reports on the monitoring and implementation of the Convention (2007);</w:t>
      </w:r>
    </w:p>
    <w:p w:rsidR="0084277F" w:rsidRPr="00163792" w:rsidRDefault="0084277F" w:rsidP="0084277F">
      <w:r w:rsidRPr="00163792">
        <w:tab/>
        <w:t>(e)</w:t>
      </w:r>
      <w:r w:rsidRPr="00163792">
        <w:tab/>
        <w:t>Supervising the harmonization of domestic legislation with the Convention;</w:t>
      </w:r>
    </w:p>
    <w:p w:rsidR="0084277F" w:rsidRPr="00163792" w:rsidRDefault="0084277F" w:rsidP="0084277F">
      <w:r w:rsidRPr="00163792">
        <w:tab/>
        <w:t>(f)</w:t>
      </w:r>
      <w:r w:rsidRPr="00163792">
        <w:tab/>
        <w:t>Promoting the participation of children in activities connected with the implementation of the Convention, by setting up children</w:t>
      </w:r>
      <w:r w:rsidR="00F651A6">
        <w:t>’</w:t>
      </w:r>
      <w:r w:rsidRPr="00163792">
        <w:t>s committees at national, provincial and local level;</w:t>
      </w:r>
    </w:p>
    <w:p w:rsidR="0084277F" w:rsidRPr="00163792" w:rsidRDefault="0084277F" w:rsidP="0084277F">
      <w:r w:rsidRPr="00163792">
        <w:tab/>
        <w:t>(g)</w:t>
      </w:r>
      <w:r w:rsidRPr="00163792">
        <w:tab/>
        <w:t>Strengthening the capacities of public and private social actors who are members of the National Council for Children;</w:t>
      </w:r>
    </w:p>
    <w:p w:rsidR="0084277F" w:rsidRPr="00163792" w:rsidRDefault="0084277F" w:rsidP="0084277F">
      <w:r w:rsidRPr="00163792">
        <w:tab/>
        <w:t>(h)</w:t>
      </w:r>
      <w:r w:rsidRPr="00163792">
        <w:tab/>
        <w:t>Conducting awareness campaigns inter alia on family stability, the registration of births in the Civil Registry, promoting the education of girls and protecting children away from home, especially those associated with witchcraft (</w:t>
      </w:r>
      <w:r w:rsidRPr="00163792">
        <w:rPr>
          <w:i/>
        </w:rPr>
        <w:t>sorciers</w:t>
      </w:r>
      <w:r w:rsidRPr="00163792">
        <w:t>);</w:t>
      </w:r>
    </w:p>
    <w:p w:rsidR="0084277F" w:rsidRPr="00163792" w:rsidRDefault="0084277F" w:rsidP="0084277F">
      <w:r w:rsidRPr="00163792">
        <w:tab/>
        <w:t>(i)</w:t>
      </w:r>
      <w:r w:rsidRPr="00163792">
        <w:tab/>
        <w:t>Preparing the initial report on the implementation of the Convention and helping to prepare the second periodic report.</w:t>
      </w:r>
    </w:p>
    <w:p w:rsidR="0084277F" w:rsidRPr="00163792" w:rsidRDefault="0084277F" w:rsidP="0084277F">
      <w:pPr>
        <w:pStyle w:val="Heading5"/>
        <w:ind w:left="567" w:hanging="567"/>
      </w:pPr>
      <w:r w:rsidRPr="00163792">
        <w:t>7.</w:t>
      </w:r>
      <w:r w:rsidRPr="00163792">
        <w:tab/>
        <w:t>Please briefly describe dissemination and publicity activities, in particular those relating to the Convention and the Committee</w:t>
      </w:r>
      <w:r w:rsidR="00F651A6">
        <w:t>’</w:t>
      </w:r>
      <w:r w:rsidRPr="00163792">
        <w:t>s concluding observations on the State party</w:t>
      </w:r>
      <w:r w:rsidR="00F651A6">
        <w:t>’</w:t>
      </w:r>
      <w:r w:rsidRPr="00163792">
        <w:t xml:space="preserve">s initial report on the implementation of the Convention on the Rights of the Child (CRC/C/15/Add.153). Specifically, please provide brief information on the implementation of the </w:t>
      </w:r>
      <w:r w:rsidR="00F651A6">
        <w:t>“</w:t>
      </w:r>
      <w:r w:rsidRPr="00163792">
        <w:t>National Programme for Civic and Moral Educ</w:t>
      </w:r>
      <w:r w:rsidR="004502A2" w:rsidRPr="00163792">
        <w:t>ation Integrating Human Rights</w:t>
      </w:r>
      <w:r w:rsidR="00F651A6">
        <w:t>”</w:t>
      </w:r>
    </w:p>
    <w:p w:rsidR="0084277F" w:rsidRPr="00163792" w:rsidRDefault="0084277F" w:rsidP="0084277F">
      <w:r w:rsidRPr="00163792">
        <w:tab/>
        <w:t>As referred to in paragraphs 60 to 65 of the second report, various methods have been used to disseminate the Convention and raise awareness of children</w:t>
      </w:r>
      <w:r w:rsidR="00F651A6">
        <w:t>’</w:t>
      </w:r>
      <w:r w:rsidRPr="00163792">
        <w:t>s rights, including:</w:t>
      </w:r>
    </w:p>
    <w:p w:rsidR="0084277F" w:rsidRPr="00163792" w:rsidRDefault="0084277F" w:rsidP="0084277F">
      <w:r w:rsidRPr="00163792">
        <w:tab/>
        <w:t>(a)</w:t>
      </w:r>
      <w:r w:rsidRPr="00163792">
        <w:tab/>
        <w:t>The translation of the Convention into the four national languages;</w:t>
      </w:r>
    </w:p>
    <w:p w:rsidR="0084277F" w:rsidRPr="00163792" w:rsidRDefault="0084277F" w:rsidP="0084277F">
      <w:r w:rsidRPr="00163792">
        <w:tab/>
        <w:t>(b)</w:t>
      </w:r>
      <w:r w:rsidRPr="00163792">
        <w:tab/>
        <w:t>The distribution of leaflets, posters and cartoons strips on the Convention;</w:t>
      </w:r>
    </w:p>
    <w:p w:rsidR="0084277F" w:rsidRPr="00163792" w:rsidRDefault="0084277F" w:rsidP="0084277F">
      <w:r w:rsidRPr="00163792">
        <w:tab/>
        <w:t>(c)</w:t>
      </w:r>
      <w:r w:rsidRPr="00163792">
        <w:tab/>
        <w:t xml:space="preserve">The training of public and private actors (judges, civil servants, police officers, </w:t>
      </w:r>
      <w:r w:rsidRPr="00163792">
        <w:tab/>
        <w:t>members of NGOs, children);</w:t>
      </w:r>
    </w:p>
    <w:p w:rsidR="0084277F" w:rsidRPr="00163792" w:rsidRDefault="0084277F" w:rsidP="0084277F">
      <w:r w:rsidRPr="00163792">
        <w:tab/>
        <w:t>(d)</w:t>
      </w:r>
      <w:r w:rsidRPr="00163792">
        <w:tab/>
        <w:t>The integration of the Convention into the school programme;</w:t>
      </w:r>
    </w:p>
    <w:p w:rsidR="0084277F" w:rsidRPr="00163792" w:rsidRDefault="0084277F" w:rsidP="0084277F">
      <w:r w:rsidRPr="00163792">
        <w:tab/>
        <w:t>(e)</w:t>
      </w:r>
      <w:r w:rsidRPr="00163792">
        <w:tab/>
        <w:t xml:space="preserve">Radio and television programmes, through the </w:t>
      </w:r>
      <w:r w:rsidR="00F651A6">
        <w:t>“</w:t>
      </w:r>
      <w:r w:rsidRPr="00163792">
        <w:t>Friends of Children</w:t>
      </w:r>
      <w:r w:rsidR="00F651A6">
        <w:t>”</w:t>
      </w:r>
      <w:r w:rsidRPr="00163792">
        <w:t xml:space="preserve"> journalists</w:t>
      </w:r>
      <w:r w:rsidR="00F651A6">
        <w:t>’</w:t>
      </w:r>
      <w:r w:rsidRPr="00163792">
        <w:t xml:space="preserve"> </w:t>
      </w:r>
      <w:r w:rsidRPr="00163792">
        <w:tab/>
        <w:t>network.</w:t>
      </w:r>
    </w:p>
    <w:p w:rsidR="0084277F" w:rsidRPr="00163792" w:rsidRDefault="0084277F" w:rsidP="0084277F">
      <w:r w:rsidRPr="00163792">
        <w:tab/>
        <w:t>It must be admitted, however, that the dissemination of the Committee</w:t>
      </w:r>
      <w:r w:rsidR="00F651A6">
        <w:t>’</w:t>
      </w:r>
      <w:r w:rsidRPr="00163792">
        <w:t>s concluding observations following the presentation of the initial report was sporadic and coincided with the drafting of the second periodic report.</w:t>
      </w:r>
    </w:p>
    <w:p w:rsidR="0084277F" w:rsidRPr="00163792" w:rsidRDefault="0084277F" w:rsidP="0084277F">
      <w:r w:rsidRPr="00163792">
        <w:tab/>
        <w:t xml:space="preserve">The </w:t>
      </w:r>
      <w:r w:rsidR="00F651A6">
        <w:t>“</w:t>
      </w:r>
      <w:r w:rsidRPr="00163792">
        <w:t>National Programme for Civic and Moral Education Integrating Human Rights</w:t>
      </w:r>
      <w:r w:rsidR="00F651A6">
        <w:t>”</w:t>
      </w:r>
      <w:r w:rsidRPr="00163792">
        <w:t>, referred to in paragraph 61 of the report, was first implemented during the 2007/08 school year, with the support of the Human Rights Office of the United Nations Organization Mission in the Democratic Republic of the Congo (MONUC). Six out of 11 provinces were targeted for the training of a core group of 210 educators, consisting mostly of teachers, and the programme manual was distributed on that occasion. It is clear that efforts should be made to cover the whole country in terms of both training and tools.</w:t>
      </w:r>
    </w:p>
    <w:p w:rsidR="0084277F" w:rsidRPr="00163792" w:rsidRDefault="0084277F" w:rsidP="0084277F">
      <w:pPr>
        <w:pStyle w:val="Heading5"/>
        <w:ind w:left="567" w:hanging="567"/>
      </w:pPr>
      <w:r w:rsidRPr="00163792">
        <w:t>8.</w:t>
      </w:r>
      <w:r w:rsidRPr="00163792">
        <w:tab/>
        <w:t>Please briefly inform the Committee about any direct support, including financial support, from the Government for civil-society organization</w:t>
      </w:r>
      <w:r w:rsidR="004502A2" w:rsidRPr="00163792">
        <w:t>s involved in children</w:t>
      </w:r>
      <w:r w:rsidR="00F651A6">
        <w:t>’</w:t>
      </w:r>
      <w:r w:rsidR="004502A2" w:rsidRPr="00163792">
        <w:t>s rights</w:t>
      </w:r>
    </w:p>
    <w:p w:rsidR="0084277F" w:rsidRPr="00163792" w:rsidRDefault="0084277F" w:rsidP="0084277F">
      <w:r w:rsidRPr="00163792">
        <w:tab/>
        <w:t>The Government</w:t>
      </w:r>
      <w:r w:rsidR="00F651A6">
        <w:t>’</w:t>
      </w:r>
      <w:r w:rsidRPr="00163792">
        <w:t>s direct support for civil-society organizations involved in children</w:t>
      </w:r>
      <w:r w:rsidR="00F651A6">
        <w:t>’</w:t>
      </w:r>
      <w:r w:rsidRPr="00163792">
        <w:t>s issues has resulted in:</w:t>
      </w:r>
    </w:p>
    <w:p w:rsidR="0084277F" w:rsidRPr="00163792" w:rsidRDefault="0084277F" w:rsidP="0084277F">
      <w:r w:rsidRPr="00163792">
        <w:tab/>
        <w:t>(a)</w:t>
      </w:r>
      <w:r w:rsidRPr="00163792">
        <w:tab/>
        <w:t>The strengthening of technical capacities, through the training of members;</w:t>
      </w:r>
    </w:p>
    <w:p w:rsidR="0084277F" w:rsidRPr="00163792" w:rsidRDefault="0084277F" w:rsidP="0084277F">
      <w:r w:rsidRPr="00163792">
        <w:tab/>
        <w:t>(b)</w:t>
      </w:r>
      <w:r w:rsidRPr="00163792">
        <w:tab/>
        <w:t>Financial support, through the subsidiary budget, for about 10 national NGOs. During the financial year 2008, allocations totalled 98,000,000 Congolese francs, or US$ 176,576.</w:t>
      </w:r>
      <w:r w:rsidRPr="00163792">
        <w:rPr>
          <w:rStyle w:val="FootnoteReference"/>
        </w:rPr>
        <w:footnoteReference w:id="2"/>
      </w:r>
      <w:r w:rsidRPr="00163792">
        <w:t xml:space="preserve"> The beneficiaries include:</w:t>
      </w:r>
    </w:p>
    <w:p w:rsidR="0084277F" w:rsidRPr="00163792" w:rsidRDefault="0084277F" w:rsidP="0084277F">
      <w:pPr>
        <w:pStyle w:val="Bullet"/>
        <w:tabs>
          <w:tab w:val="clear" w:pos="-32767"/>
          <w:tab w:val="num" w:pos="-32200"/>
        </w:tabs>
      </w:pPr>
      <w:r w:rsidRPr="00163792">
        <w:t>Aid for disadvantaged children (AED)</w:t>
      </w:r>
    </w:p>
    <w:p w:rsidR="0084277F" w:rsidRPr="00163792" w:rsidRDefault="0084277F" w:rsidP="0084277F">
      <w:pPr>
        <w:pStyle w:val="Bullet"/>
        <w:tabs>
          <w:tab w:val="clear" w:pos="-32767"/>
          <w:tab w:val="num" w:pos="-32200"/>
        </w:tabs>
      </w:pPr>
      <w:r w:rsidRPr="00163792">
        <w:t>Orphans and children suffering from AIDS</w:t>
      </w:r>
    </w:p>
    <w:p w:rsidR="0084277F" w:rsidRPr="00163792" w:rsidRDefault="0084277F" w:rsidP="0084277F">
      <w:pPr>
        <w:pStyle w:val="Bullet"/>
        <w:tabs>
          <w:tab w:val="clear" w:pos="-32767"/>
          <w:tab w:val="num" w:pos="-32200"/>
        </w:tabs>
      </w:pPr>
      <w:r w:rsidRPr="00163792">
        <w:t>Community of Social Assistance for the Needy in the Congo (CASNECO)</w:t>
      </w:r>
    </w:p>
    <w:p w:rsidR="0084277F" w:rsidRPr="00163792" w:rsidRDefault="0084277F" w:rsidP="0084277F">
      <w:pPr>
        <w:pStyle w:val="Bullet"/>
        <w:tabs>
          <w:tab w:val="clear" w:pos="-32767"/>
          <w:tab w:val="num" w:pos="-32200"/>
        </w:tabs>
      </w:pPr>
      <w:r w:rsidRPr="00163792">
        <w:t>Congolese Cooperative of the Blind</w:t>
      </w:r>
    </w:p>
    <w:p w:rsidR="0084277F" w:rsidRPr="00163792" w:rsidRDefault="0084277F" w:rsidP="0084277F">
      <w:pPr>
        <w:pStyle w:val="Bullet"/>
        <w:tabs>
          <w:tab w:val="clear" w:pos="-32767"/>
          <w:tab w:val="num" w:pos="-32200"/>
        </w:tabs>
      </w:pPr>
      <w:r w:rsidRPr="00163792">
        <w:t>Congolese Federation of Persons with Disabilities</w:t>
      </w:r>
    </w:p>
    <w:p w:rsidR="0084277F" w:rsidRPr="00163792" w:rsidRDefault="0084277F" w:rsidP="0084277F">
      <w:pPr>
        <w:pStyle w:val="Bullet"/>
        <w:tabs>
          <w:tab w:val="clear" w:pos="-32767"/>
          <w:tab w:val="num" w:pos="-32200"/>
        </w:tabs>
      </w:pPr>
      <w:r w:rsidRPr="00163792">
        <w:t>Chari Secours Orphanage</w:t>
      </w:r>
    </w:p>
    <w:p w:rsidR="0084277F" w:rsidRPr="00163792" w:rsidRDefault="0084277F" w:rsidP="0084277F">
      <w:pPr>
        <w:pStyle w:val="Bullet"/>
        <w:tabs>
          <w:tab w:val="clear" w:pos="-32767"/>
          <w:tab w:val="num" w:pos="-32200"/>
        </w:tabs>
      </w:pPr>
      <w:r w:rsidRPr="00163792">
        <w:t>National Association of Social Educators</w:t>
      </w:r>
    </w:p>
    <w:p w:rsidR="0084277F" w:rsidRPr="00163792" w:rsidRDefault="0084277F" w:rsidP="0084277F">
      <w:pPr>
        <w:pStyle w:val="Bullet"/>
        <w:tabs>
          <w:tab w:val="clear" w:pos="-32767"/>
          <w:tab w:val="num" w:pos="-32200"/>
        </w:tabs>
      </w:pPr>
      <w:r w:rsidRPr="00163792">
        <w:t>Jeunesse avenir (JA)</w:t>
      </w:r>
    </w:p>
    <w:p w:rsidR="0084277F" w:rsidRPr="00163792" w:rsidRDefault="0084277F" w:rsidP="0084277F">
      <w:pPr>
        <w:pStyle w:val="Bullet"/>
        <w:tabs>
          <w:tab w:val="clear" w:pos="-32767"/>
          <w:tab w:val="num" w:pos="-32200"/>
        </w:tabs>
      </w:pPr>
      <w:r w:rsidRPr="00163792">
        <w:t>Development Action for the Most Deprived (ADD)</w:t>
      </w:r>
    </w:p>
    <w:p w:rsidR="0084277F" w:rsidRPr="00163792" w:rsidRDefault="0084277F" w:rsidP="0084277F">
      <w:pPr>
        <w:pStyle w:val="Bullet"/>
        <w:tabs>
          <w:tab w:val="clear" w:pos="-32767"/>
          <w:tab w:val="num" w:pos="-32200"/>
        </w:tabs>
      </w:pPr>
      <w:r w:rsidRPr="00163792">
        <w:t>Association of Assistance for Persons in Difficulty</w:t>
      </w:r>
    </w:p>
    <w:p w:rsidR="0084277F" w:rsidRPr="00163792" w:rsidRDefault="0084277F" w:rsidP="0084277F">
      <w:pPr>
        <w:pStyle w:val="Bullet"/>
        <w:tabs>
          <w:tab w:val="clear" w:pos="-32767"/>
          <w:tab w:val="num" w:pos="-32200"/>
        </w:tabs>
      </w:pPr>
      <w:r w:rsidRPr="00163792">
        <w:t>National Committee for the Socio-Economic Integration of the Countryside</w:t>
      </w:r>
    </w:p>
    <w:p w:rsidR="0084277F" w:rsidRPr="00163792" w:rsidRDefault="00F651A6" w:rsidP="0084277F">
      <w:pPr>
        <w:pStyle w:val="Bullet"/>
        <w:tabs>
          <w:tab w:val="clear" w:pos="-32767"/>
          <w:tab w:val="num" w:pos="-32200"/>
        </w:tabs>
      </w:pPr>
      <w:r>
        <w:t>“</w:t>
      </w:r>
      <w:r w:rsidR="0084277F" w:rsidRPr="00163792">
        <w:t>Sanctification</w:t>
      </w:r>
      <w:r>
        <w:t>”</w:t>
      </w:r>
      <w:r w:rsidR="0084277F" w:rsidRPr="00163792">
        <w:t xml:space="preserve"> Orphanage</w:t>
      </w:r>
    </w:p>
    <w:p w:rsidR="0084277F" w:rsidRPr="00163792" w:rsidRDefault="0084277F" w:rsidP="0084277F">
      <w:pPr>
        <w:pStyle w:val="Bullet"/>
        <w:tabs>
          <w:tab w:val="clear" w:pos="-32767"/>
          <w:tab w:val="num" w:pos="-32200"/>
        </w:tabs>
      </w:pPr>
      <w:r w:rsidRPr="00163792">
        <w:t>Professional Centre for the Assistance and Promotion of Persons with Disabilities</w:t>
      </w:r>
    </w:p>
    <w:p w:rsidR="000A5D14" w:rsidRDefault="0084277F" w:rsidP="0084277F">
      <w:pPr>
        <w:pStyle w:val="Bullet"/>
        <w:tabs>
          <w:tab w:val="clear" w:pos="-32767"/>
          <w:tab w:val="num" w:pos="-32200"/>
        </w:tabs>
      </w:pPr>
      <w:r w:rsidRPr="00163792">
        <w:t>KIANZ Foundation</w:t>
      </w:r>
    </w:p>
    <w:p w:rsidR="0084277F" w:rsidRPr="00163792" w:rsidRDefault="000A5D14" w:rsidP="000A5D14">
      <w:pPr>
        <w:pStyle w:val="Bullet"/>
        <w:tabs>
          <w:tab w:val="clear" w:pos="-32767"/>
          <w:tab w:val="num" w:pos="-32200"/>
        </w:tabs>
      </w:pPr>
      <w:r>
        <w:t xml:space="preserve"> </w:t>
      </w:r>
      <w:r w:rsidR="00F651A6">
        <w:t>“</w:t>
      </w:r>
      <w:r w:rsidR="0084277F" w:rsidRPr="00163792">
        <w:t>Twibakayi mwetu</w:t>
      </w:r>
      <w:r w:rsidR="00F651A6">
        <w:t>”</w:t>
      </w:r>
      <w:r w:rsidR="0084277F" w:rsidRPr="00163792">
        <w:t xml:space="preserve"> Group</w:t>
      </w:r>
    </w:p>
    <w:p w:rsidR="0084277F" w:rsidRPr="00163792" w:rsidRDefault="0084277F" w:rsidP="0084277F">
      <w:pPr>
        <w:pStyle w:val="Bullet"/>
        <w:tabs>
          <w:tab w:val="clear" w:pos="-32767"/>
          <w:tab w:val="num" w:pos="-32200"/>
        </w:tabs>
      </w:pPr>
      <w:r w:rsidRPr="00163792">
        <w:t>Association of widowed mothers and orphans (AMVO)</w:t>
      </w:r>
    </w:p>
    <w:p w:rsidR="0084277F" w:rsidRPr="00163792" w:rsidRDefault="0084277F" w:rsidP="0084277F">
      <w:pPr>
        <w:pStyle w:val="Heading5"/>
        <w:ind w:left="567" w:hanging="567"/>
      </w:pPr>
      <w:r w:rsidRPr="00163792">
        <w:t>9.</w:t>
      </w:r>
      <w:r w:rsidRPr="00163792">
        <w:tab/>
        <w:t>Please briefly describe, with examples if possible, cooperation between the State party and civil society in the field of children</w:t>
      </w:r>
      <w:r w:rsidR="00F651A6">
        <w:t>’</w:t>
      </w:r>
      <w:r w:rsidRPr="00163792">
        <w:t>s rights</w:t>
      </w:r>
    </w:p>
    <w:p w:rsidR="0084277F" w:rsidRPr="00163792" w:rsidRDefault="0084277F" w:rsidP="0084277F">
      <w:r w:rsidRPr="00163792">
        <w:tab/>
        <w:t>As explained in paragraphs 56 and 59 of the second report, cooperation between the Government and civil society with regard to children</w:t>
      </w:r>
      <w:r w:rsidR="00F651A6">
        <w:t>’</w:t>
      </w:r>
      <w:r w:rsidRPr="00163792">
        <w:t>s rights can be seen in:</w:t>
      </w:r>
    </w:p>
    <w:p w:rsidR="0084277F" w:rsidRPr="00163792" w:rsidRDefault="0084277F" w:rsidP="0084277F">
      <w:r w:rsidRPr="00163792">
        <w:tab/>
        <w:t>(a)</w:t>
      </w:r>
      <w:r w:rsidRPr="00163792">
        <w:tab/>
        <w:t>The involvement of civil society in defining general policies and drafting plans of action, in particular, the participation of the National Coordinating Forum for Health Sector NGOs (CNOS), the Network of Educators of Street Children and Youth (REEJER), and the Action Centre for the Training of Social Educators (CAFES);</w:t>
      </w:r>
    </w:p>
    <w:p w:rsidR="0084277F" w:rsidRPr="00163792" w:rsidRDefault="0084277F" w:rsidP="0084277F">
      <w:r w:rsidRPr="00163792">
        <w:tab/>
        <w:t>(b)</w:t>
      </w:r>
      <w:r w:rsidRPr="00163792">
        <w:tab/>
        <w:t>The implementation of programmes regarding, in particular:</w:t>
      </w:r>
    </w:p>
    <w:p w:rsidR="0084277F" w:rsidRPr="00163792" w:rsidRDefault="0084277F" w:rsidP="0084277F">
      <w:pPr>
        <w:pStyle w:val="Bullet"/>
        <w:tabs>
          <w:tab w:val="clear" w:pos="-32767"/>
          <w:tab w:val="num" w:pos="-32200"/>
        </w:tabs>
      </w:pPr>
      <w:r w:rsidRPr="00163792">
        <w:t>The education of the public regarding the Convention</w:t>
      </w:r>
    </w:p>
    <w:p w:rsidR="0084277F" w:rsidRPr="00163792" w:rsidRDefault="0084277F" w:rsidP="0084277F">
      <w:pPr>
        <w:pStyle w:val="Bullet"/>
        <w:tabs>
          <w:tab w:val="clear" w:pos="-32767"/>
          <w:tab w:val="num" w:pos="-32200"/>
        </w:tabs>
      </w:pPr>
      <w:r w:rsidRPr="00163792">
        <w:t>The removal of children from armed forces and groups (civil-society organizations are participating exclusively in the supervision and transit management aspects, raising awareness about leaving armed groups and family reintegration, and socio-professional reintegration; the NGOs involved include the Belgian Red Cross, the International Catholic Child Bureau (ICCB), Caritas, Solidarity Action for Children in Distress (SACD), Health Aid Action for the Most Deprived (AASD), and the Action Group for the Demobilization and Reintegration of Child Soldiers (GADERES))</w:t>
      </w:r>
    </w:p>
    <w:p w:rsidR="0084277F" w:rsidRPr="00163792" w:rsidRDefault="0084277F" w:rsidP="0084277F">
      <w:pPr>
        <w:pStyle w:val="Bullet"/>
        <w:tabs>
          <w:tab w:val="clear" w:pos="-32767"/>
          <w:tab w:val="num" w:pos="-32200"/>
        </w:tabs>
      </w:pPr>
      <w:r w:rsidRPr="00163792">
        <w:t>The legal defence of children who are victims of violence or in conflict with the law (the NGOs involved include the International Catholic Child Bureau (ICCB), the Justice Now Association (AJM), the Congolese Observatory of Human Rights (OCDH), the NGO Coalition for Children</w:t>
      </w:r>
      <w:r w:rsidR="00F651A6">
        <w:t>’</w:t>
      </w:r>
      <w:r w:rsidRPr="00163792">
        <w:t>s Rights (CODE), and the African Zone League for the Defence of the Rights of Schoolchildren and Students (LIZADEEL))</w:t>
      </w:r>
    </w:p>
    <w:p w:rsidR="0084277F" w:rsidRPr="00163792" w:rsidRDefault="0084277F" w:rsidP="0084277F">
      <w:pPr>
        <w:pStyle w:val="Heading5"/>
        <w:ind w:left="567" w:hanging="567"/>
      </w:pPr>
      <w:r w:rsidRPr="00163792">
        <w:t>10.</w:t>
      </w:r>
      <w:r w:rsidRPr="00163792">
        <w:tab/>
        <w:t xml:space="preserve">Please briefly inform the Committee about any initiatives undertaken, including new legislation, to combat harmful practices such as female genital mutilation and forced marriage </w:t>
      </w:r>
      <w:r w:rsidR="004502A2" w:rsidRPr="00163792">
        <w:t>which violate children</w:t>
      </w:r>
      <w:r w:rsidR="00F651A6">
        <w:t>’</w:t>
      </w:r>
      <w:r w:rsidR="004502A2" w:rsidRPr="00163792">
        <w:t>s rights</w:t>
      </w:r>
    </w:p>
    <w:p w:rsidR="0084277F" w:rsidRPr="00163792" w:rsidRDefault="0084277F" w:rsidP="0084277F">
      <w:r w:rsidRPr="00163792">
        <w:tab/>
        <w:t>The fight against harmful practices is multifaceted, which includes:</w:t>
      </w:r>
    </w:p>
    <w:p w:rsidR="00B072E4" w:rsidRDefault="0084277F" w:rsidP="0084277F">
      <w:r w:rsidRPr="00163792">
        <w:tab/>
        <w:t>(a)</w:t>
      </w:r>
      <w:r w:rsidRPr="00163792">
        <w:tab/>
        <w:t>Legislation, such as the Sexual Violence Act, which provides for the following penalties:</w:t>
      </w:r>
    </w:p>
    <w:p w:rsidR="0084277F" w:rsidRPr="00163792" w:rsidRDefault="0084277F" w:rsidP="00B072E4">
      <w:pPr>
        <w:pStyle w:val="Bullet"/>
        <w:tabs>
          <w:tab w:val="clear" w:pos="-32767"/>
          <w:tab w:val="num" w:pos="-32200"/>
        </w:tabs>
      </w:pPr>
      <w:r w:rsidRPr="00163792">
        <w:t>Forced marriage, 1 to 12 years</w:t>
      </w:r>
      <w:r w:rsidR="00F651A6">
        <w:t>’</w:t>
      </w:r>
      <w:r w:rsidRPr="00163792">
        <w:t xml:space="preserve"> imprisonmen</w:t>
      </w:r>
      <w:r w:rsidR="004502A2" w:rsidRPr="00163792">
        <w:t>t and a minimum fine of 100,000 </w:t>
      </w:r>
      <w:r w:rsidRPr="00163792">
        <w:t>Congolese francs (art. 174</w:t>
      </w:r>
      <w:r w:rsidRPr="00163792">
        <w:rPr>
          <w:i/>
        </w:rPr>
        <w:t>f</w:t>
      </w:r>
      <w:r w:rsidRPr="00163792">
        <w:t>)</w:t>
      </w:r>
    </w:p>
    <w:p w:rsidR="0084277F" w:rsidRPr="00163792" w:rsidRDefault="0084277F" w:rsidP="0084277F">
      <w:pPr>
        <w:pStyle w:val="Bullet"/>
        <w:tabs>
          <w:tab w:val="clear" w:pos="-32767"/>
          <w:tab w:val="num" w:pos="-32200"/>
        </w:tabs>
      </w:pPr>
      <w:r w:rsidRPr="00163792">
        <w:t>Genital mutilation, 2 to 5 years</w:t>
      </w:r>
      <w:r w:rsidR="00F651A6">
        <w:t>’</w:t>
      </w:r>
      <w:r w:rsidRPr="00163792">
        <w:t xml:space="preserve"> imprisonment and a fine of 200,000 Congolese francs (art. 174</w:t>
      </w:r>
      <w:r w:rsidRPr="00163792">
        <w:rPr>
          <w:i/>
        </w:rPr>
        <w:t>g</w:t>
      </w:r>
      <w:r w:rsidRPr="00163792">
        <w:t>)</w:t>
      </w:r>
    </w:p>
    <w:p w:rsidR="0084277F" w:rsidRPr="00163792" w:rsidRDefault="0084277F" w:rsidP="0084277F">
      <w:pPr>
        <w:pStyle w:val="Bullet"/>
        <w:tabs>
          <w:tab w:val="clear" w:pos="-32767"/>
          <w:tab w:val="num" w:pos="-32200"/>
        </w:tabs>
      </w:pPr>
      <w:r w:rsidRPr="00163792">
        <w:t>Trafficking and exploitation of children for sexual purposes, 10 to 20 years</w:t>
      </w:r>
      <w:r w:rsidR="00F651A6">
        <w:t>’</w:t>
      </w:r>
      <w:r w:rsidRPr="00163792">
        <w:t xml:space="preserve"> imprisonment (art. 174</w:t>
      </w:r>
      <w:r w:rsidRPr="00163792">
        <w:rPr>
          <w:i/>
        </w:rPr>
        <w:t>j</w:t>
      </w:r>
      <w:r w:rsidRPr="00163792">
        <w:t>)</w:t>
      </w:r>
    </w:p>
    <w:p w:rsidR="0084277F" w:rsidRPr="00163792" w:rsidRDefault="0084277F" w:rsidP="00791185">
      <w:pPr>
        <w:pStyle w:val="Bullet"/>
        <w:tabs>
          <w:tab w:val="clear" w:pos="-32767"/>
          <w:tab w:val="num" w:pos="-32200"/>
        </w:tabs>
        <w:spacing w:after="180"/>
      </w:pPr>
      <w:r w:rsidRPr="00163792">
        <w:t>Child pornography, 5 to 15 years</w:t>
      </w:r>
      <w:r w:rsidR="00F651A6">
        <w:t>’</w:t>
      </w:r>
      <w:r w:rsidRPr="00163792">
        <w:t xml:space="preserve"> imprisonment and a fine of 50,000 Congolese francs (art. 174</w:t>
      </w:r>
      <w:r w:rsidRPr="00163792">
        <w:rPr>
          <w:i/>
        </w:rPr>
        <w:t>m</w:t>
      </w:r>
      <w:r w:rsidRPr="00163792">
        <w:t>)</w:t>
      </w:r>
    </w:p>
    <w:p w:rsidR="0084277F" w:rsidRPr="00163792" w:rsidRDefault="0084277F" w:rsidP="00791185">
      <w:pPr>
        <w:pStyle w:val="Bullet"/>
        <w:spacing w:after="180"/>
      </w:pPr>
      <w:r w:rsidRPr="00163792">
        <w:t>Child prostitution, 5 to 20 years</w:t>
      </w:r>
      <w:r w:rsidR="00F651A6">
        <w:t>’</w:t>
      </w:r>
      <w:r w:rsidRPr="00163792">
        <w:t xml:space="preserve"> imprisonment and a fine of 200,000 Congolese francs (art. 174</w:t>
      </w:r>
      <w:r w:rsidRPr="00163792">
        <w:rPr>
          <w:i/>
        </w:rPr>
        <w:t>n</w:t>
      </w:r>
      <w:r w:rsidRPr="00163792">
        <w:t>)</w:t>
      </w:r>
    </w:p>
    <w:p w:rsidR="0084277F" w:rsidRPr="00163792" w:rsidRDefault="0084277F" w:rsidP="00791185">
      <w:pPr>
        <w:spacing w:after="180"/>
      </w:pPr>
      <w:r w:rsidRPr="00163792">
        <w:tab/>
        <w:t>(b)</w:t>
      </w:r>
      <w:r w:rsidRPr="00163792">
        <w:tab/>
        <w:t>The National Committee to combat female genital mutilation, attached to the Ministry of Health.</w:t>
      </w:r>
    </w:p>
    <w:p w:rsidR="0084277F" w:rsidRPr="00163792" w:rsidRDefault="0084277F" w:rsidP="00791185">
      <w:pPr>
        <w:pStyle w:val="Heading5"/>
        <w:spacing w:after="180"/>
        <w:ind w:left="567" w:hanging="567"/>
      </w:pPr>
      <w:r w:rsidRPr="00163792">
        <w:t>11.</w:t>
      </w:r>
      <w:r w:rsidRPr="00163792">
        <w:tab/>
        <w:t>Please indicate the issues affecting children that the State party considers to be priorities requiring the most urgent attention in the light of implementation of the Convention</w:t>
      </w:r>
    </w:p>
    <w:p w:rsidR="0084277F" w:rsidRPr="00163792" w:rsidRDefault="0084277F" w:rsidP="00791185">
      <w:pPr>
        <w:spacing w:after="180"/>
      </w:pPr>
      <w:r w:rsidRPr="00163792">
        <w:tab/>
        <w:t>The priorities with regard to protecting children</w:t>
      </w:r>
      <w:r w:rsidR="00F651A6">
        <w:t>’</w:t>
      </w:r>
      <w:r w:rsidRPr="00163792">
        <w:t>s rights are:</w:t>
      </w:r>
    </w:p>
    <w:p w:rsidR="0084277F" w:rsidRPr="00163792" w:rsidRDefault="0084277F" w:rsidP="00791185">
      <w:pPr>
        <w:pStyle w:val="Bullet"/>
        <w:spacing w:after="180"/>
      </w:pPr>
      <w:r w:rsidRPr="00163792">
        <w:t>Ending the conscription of children into armed groups in the east of the Democratic Republic of the Congo</w:t>
      </w:r>
    </w:p>
    <w:p w:rsidR="0084277F" w:rsidRPr="00163792" w:rsidRDefault="0084277F" w:rsidP="00791185">
      <w:pPr>
        <w:pStyle w:val="Bullet"/>
        <w:spacing w:after="180"/>
      </w:pPr>
      <w:r w:rsidRPr="00163792">
        <w:t>Ensuring that all children have access to basic education by providing free primary education, as called for by the Constitution</w:t>
      </w:r>
    </w:p>
    <w:p w:rsidR="0084277F" w:rsidRPr="00163792" w:rsidRDefault="0084277F" w:rsidP="00791185">
      <w:pPr>
        <w:pStyle w:val="Bullet"/>
        <w:spacing w:after="180"/>
      </w:pPr>
      <w:r w:rsidRPr="00163792">
        <w:t>Ensuring access to primary health care</w:t>
      </w:r>
    </w:p>
    <w:p w:rsidR="0084277F" w:rsidRPr="00163792" w:rsidRDefault="0084277F" w:rsidP="00791185">
      <w:pPr>
        <w:pStyle w:val="Bullet"/>
        <w:spacing w:after="180"/>
      </w:pPr>
      <w:r w:rsidRPr="00163792">
        <w:t>Implementing reforms to the juvenile justice system</w:t>
      </w:r>
    </w:p>
    <w:p w:rsidR="0084277F" w:rsidRPr="00163792" w:rsidRDefault="0084277F" w:rsidP="00791185">
      <w:pPr>
        <w:pStyle w:val="Heading1"/>
        <w:spacing w:after="180"/>
      </w:pPr>
      <w:r w:rsidRPr="00163792">
        <w:t>PART II</w:t>
      </w:r>
    </w:p>
    <w:p w:rsidR="0084277F" w:rsidRPr="00163792" w:rsidRDefault="0084277F" w:rsidP="00791185">
      <w:pPr>
        <w:spacing w:after="180"/>
        <w:rPr>
          <w:b/>
        </w:rPr>
      </w:pPr>
      <w:r w:rsidRPr="00163792">
        <w:rPr>
          <w:b/>
        </w:rPr>
        <w:t>Under this section, the State party is requested to briefly (three pages maximum) update the information provided in its report concerning:</w:t>
      </w:r>
    </w:p>
    <w:p w:rsidR="0084277F" w:rsidRPr="00163792" w:rsidRDefault="0084277F" w:rsidP="00791185">
      <w:pPr>
        <w:pStyle w:val="Heading5"/>
        <w:spacing w:after="180"/>
      </w:pPr>
      <w:r w:rsidRPr="00163792">
        <w:t>1.</w:t>
      </w:r>
      <w:r w:rsidRPr="00163792">
        <w:tab/>
        <w:t>New bills or legislation</w:t>
      </w:r>
    </w:p>
    <w:p w:rsidR="002A719C" w:rsidRDefault="0084277F" w:rsidP="00791185">
      <w:pPr>
        <w:spacing w:after="180"/>
      </w:pPr>
      <w:r w:rsidRPr="00163792">
        <w:tab/>
        <w:t>The general legal framework for the protection of the rights of the child in the Democrati</w:t>
      </w:r>
      <w:r w:rsidR="00163792" w:rsidRPr="00163792">
        <w:t>c </w:t>
      </w:r>
      <w:r w:rsidRPr="00163792">
        <w:t>Republic of the Congo has not evolved much since the submission in 2007 of the second periodical report to the Committee. Votes were taken regarding the law on the protection of children in the National Assembly during its regular session of April 2008, and in the Senate during the special session of August 2008. However, since the two chambers adopted it</w:t>
      </w:r>
      <w:r w:rsidR="00A7654A">
        <w:t>,</w:t>
      </w:r>
      <w:r w:rsidRPr="00163792">
        <w:t xml:space="preserve"> with different phrasing, a joint commission was established to harmonize the text. It will be enacted as law by the President as soon as the commission</w:t>
      </w:r>
      <w:r w:rsidR="00F651A6">
        <w:t>’</w:t>
      </w:r>
      <w:r w:rsidRPr="00163792">
        <w:t>s work is complete.</w:t>
      </w:r>
    </w:p>
    <w:p w:rsidR="0084277F" w:rsidRPr="00163792" w:rsidRDefault="0084277F" w:rsidP="002A719C">
      <w:pPr>
        <w:pStyle w:val="Heading5"/>
      </w:pPr>
      <w:r w:rsidRPr="00163792">
        <w:t>2.</w:t>
      </w:r>
      <w:r w:rsidRPr="00163792">
        <w:tab/>
        <w:t>New institutions</w:t>
      </w:r>
    </w:p>
    <w:p w:rsidR="0084277F" w:rsidRPr="00163792" w:rsidRDefault="0084277F" w:rsidP="00791185">
      <w:pPr>
        <w:spacing w:after="180"/>
      </w:pPr>
      <w:r w:rsidRPr="00163792">
        <w:tab/>
        <w:t>Regarding new institutions for the protection of human rights, these developments should be noted:</w:t>
      </w:r>
    </w:p>
    <w:p w:rsidR="0084277F" w:rsidRPr="00163792" w:rsidRDefault="0084277F" w:rsidP="00791185">
      <w:pPr>
        <w:spacing w:after="180"/>
      </w:pPr>
      <w:r w:rsidRPr="00163792">
        <w:tab/>
        <w:t>(a)</w:t>
      </w:r>
      <w:r w:rsidRPr="00163792">
        <w:tab/>
        <w:t>The creation, under the Constitution of 2006, of the Audiovisual and Communications Council, whose regulatory role is sure to have a positive impact on the protection of children against programmes that may corrupt their values;</w:t>
      </w:r>
    </w:p>
    <w:p w:rsidR="0084277F" w:rsidRPr="00163792" w:rsidRDefault="0084277F" w:rsidP="00791185">
      <w:pPr>
        <w:spacing w:after="180"/>
      </w:pPr>
      <w:r w:rsidRPr="00163792">
        <w:tab/>
        <w:t>(b)</w:t>
      </w:r>
      <w:r w:rsidRPr="00163792">
        <w:tab/>
        <w:t>The adoption, by the National Assembly, of the law regarding the establishment, structure and operations of the National Human Rights Monitoring Centre, an</w:t>
      </w:r>
      <w:r w:rsidR="00163792">
        <w:t xml:space="preserve"> independent body for the defenc</w:t>
      </w:r>
      <w:r w:rsidRPr="00163792">
        <w:t>e of human rights. This law must also be approved by the Senate before its promulgation by the President of the Republic;</w:t>
      </w:r>
    </w:p>
    <w:p w:rsidR="0084277F" w:rsidRPr="00163792" w:rsidRDefault="0084277F" w:rsidP="00791185">
      <w:pPr>
        <w:spacing w:after="200"/>
      </w:pPr>
      <w:r w:rsidRPr="00163792">
        <w:tab/>
        <w:t>(c)</w:t>
      </w:r>
      <w:r w:rsidRPr="00163792">
        <w:tab/>
        <w:t>In addition, decision No. 12/CAB/MIN/ETPS/048/2008 names the members of the</w:t>
      </w:r>
      <w:r w:rsidR="00163792">
        <w:t> </w:t>
      </w:r>
      <w:r w:rsidRPr="00163792">
        <w:t>National Committee to combat the worst forms of child labo</w:t>
      </w:r>
      <w:r w:rsidR="00163792">
        <w:t>ur, in accordance with decision </w:t>
      </w:r>
      <w:r w:rsidRPr="00163792">
        <w:t>No. 12/MIN/TPS/AR/34/2006 of 10 June 2006, mentioned in paragraph 188 of the second periodic report.</w:t>
      </w:r>
    </w:p>
    <w:p w:rsidR="0084277F" w:rsidRPr="00163792" w:rsidRDefault="0084277F" w:rsidP="00791185">
      <w:pPr>
        <w:pStyle w:val="Heading5"/>
        <w:spacing w:after="200"/>
        <w:ind w:left="567" w:hanging="567"/>
      </w:pPr>
      <w:r w:rsidRPr="00163792">
        <w:t>3.</w:t>
      </w:r>
      <w:r w:rsidRPr="00163792">
        <w:tab/>
        <w:t>Newly implemented policies, and newly implemented plans of action, programmes and projects, and their scope</w:t>
      </w:r>
    </w:p>
    <w:p w:rsidR="0084277F" w:rsidRPr="00163792" w:rsidRDefault="0084277F" w:rsidP="00791185">
      <w:pPr>
        <w:spacing w:after="200"/>
      </w:pPr>
      <w:r w:rsidRPr="00163792">
        <w:rPr>
          <w:i/>
        </w:rPr>
        <w:tab/>
      </w:r>
      <w:r w:rsidRPr="00163792">
        <w:t>With respect to policies, in 2008 the Democratic Republic of the Congo formulated the national policy paper on gender integration, promotion of the family and protection of children, which is currently being evaluated by the Council of Ministers.</w:t>
      </w:r>
    </w:p>
    <w:p w:rsidR="002220A5" w:rsidRPr="00F8118F" w:rsidRDefault="002220A5" w:rsidP="00791185">
      <w:pPr>
        <w:adjustRightInd w:val="0"/>
        <w:snapToGrid w:val="0"/>
        <w:spacing w:after="200"/>
        <w:rPr>
          <w:snapToGrid w:val="0"/>
        </w:rPr>
      </w:pPr>
      <w:r w:rsidRPr="00F8118F">
        <w:rPr>
          <w:snapToGrid w:val="0"/>
        </w:rPr>
        <w:tab/>
        <w:t>Regarding plans of action, program</w:t>
      </w:r>
      <w:r>
        <w:rPr>
          <w:snapToGrid w:val="0"/>
        </w:rPr>
        <w:t>me</w:t>
      </w:r>
      <w:r w:rsidRPr="00F8118F">
        <w:rPr>
          <w:snapToGrid w:val="0"/>
        </w:rPr>
        <w:t xml:space="preserve">s and projects, these developments should be noted: </w:t>
      </w:r>
    </w:p>
    <w:p w:rsidR="002220A5" w:rsidRPr="00F8118F" w:rsidRDefault="002220A5" w:rsidP="00791185">
      <w:pPr>
        <w:adjustRightInd w:val="0"/>
        <w:snapToGrid w:val="0"/>
        <w:spacing w:after="200"/>
        <w:rPr>
          <w:snapToGrid w:val="0"/>
        </w:rPr>
      </w:pPr>
      <w:r w:rsidRPr="00F8118F">
        <w:rPr>
          <w:snapToGrid w:val="0"/>
        </w:rPr>
        <w:tab/>
      </w:r>
      <w:r>
        <w:rPr>
          <w:snapToGrid w:val="0"/>
        </w:rPr>
        <w:t>(</w:t>
      </w:r>
      <w:r w:rsidRPr="00F8118F">
        <w:rPr>
          <w:snapToGrid w:val="0"/>
        </w:rPr>
        <w:t>a)</w:t>
      </w:r>
      <w:r w:rsidRPr="00F8118F">
        <w:rPr>
          <w:snapToGrid w:val="0"/>
        </w:rPr>
        <w:tab/>
        <w:t>The programme to ensure that all children of school age attend school, discussed in paragraphs 170</w:t>
      </w:r>
      <w:r>
        <w:rPr>
          <w:snapToGrid w:val="0"/>
        </w:rPr>
        <w:t xml:space="preserve"> to 181 of the second periodic</w:t>
      </w:r>
      <w:r w:rsidRPr="00F8118F">
        <w:rPr>
          <w:snapToGrid w:val="0"/>
        </w:rPr>
        <w:t xml:space="preserve"> report. The campaign for mass enrolment of first graders for the school year 2007</w:t>
      </w:r>
      <w:r>
        <w:rPr>
          <w:snapToGrid w:val="0"/>
        </w:rPr>
        <w:t>/</w:t>
      </w:r>
      <w:r w:rsidRPr="00F8118F">
        <w:rPr>
          <w:snapToGrid w:val="0"/>
        </w:rPr>
        <w:t xml:space="preserve">08 </w:t>
      </w:r>
      <w:r>
        <w:rPr>
          <w:snapToGrid w:val="0"/>
        </w:rPr>
        <w:t>yielded positive</w:t>
      </w:r>
      <w:r w:rsidRPr="00F8118F">
        <w:rPr>
          <w:snapToGrid w:val="0"/>
        </w:rPr>
        <w:t xml:space="preserve"> results, as </w:t>
      </w:r>
      <w:r>
        <w:rPr>
          <w:snapToGrid w:val="0"/>
        </w:rPr>
        <w:t>in</w:t>
      </w:r>
      <w:r w:rsidRPr="00F8118F">
        <w:rPr>
          <w:snapToGrid w:val="0"/>
        </w:rPr>
        <w:t xml:space="preserve"> the three previous years. The</w:t>
      </w:r>
      <w:r w:rsidR="00791185">
        <w:rPr>
          <w:snapToGrid w:val="0"/>
        </w:rPr>
        <w:t xml:space="preserve"> </w:t>
      </w:r>
      <w:r w:rsidRPr="00F8118F">
        <w:rPr>
          <w:snapToGrid w:val="0"/>
        </w:rPr>
        <w:t xml:space="preserve">slogan has been changed from </w:t>
      </w:r>
      <w:r w:rsidR="00F651A6">
        <w:rPr>
          <w:snapToGrid w:val="0"/>
        </w:rPr>
        <w:t>“</w:t>
      </w:r>
      <w:r w:rsidRPr="00F8118F">
        <w:rPr>
          <w:snapToGrid w:val="0"/>
        </w:rPr>
        <w:t>All girls in school</w:t>
      </w:r>
      <w:r w:rsidR="00F651A6">
        <w:rPr>
          <w:snapToGrid w:val="0"/>
        </w:rPr>
        <w:t>”</w:t>
      </w:r>
      <w:r w:rsidRPr="00F8118F">
        <w:rPr>
          <w:snapToGrid w:val="0"/>
        </w:rPr>
        <w:t xml:space="preserve"> to </w:t>
      </w:r>
      <w:r w:rsidR="00F651A6">
        <w:rPr>
          <w:snapToGrid w:val="0"/>
        </w:rPr>
        <w:t>“</w:t>
      </w:r>
      <w:r w:rsidRPr="00F8118F">
        <w:rPr>
          <w:snapToGrid w:val="0"/>
        </w:rPr>
        <w:t>All girls and boys in school</w:t>
      </w:r>
      <w:r w:rsidR="00F651A6">
        <w:rPr>
          <w:snapToGrid w:val="0"/>
        </w:rPr>
        <w:t>”</w:t>
      </w:r>
      <w:r>
        <w:rPr>
          <w:snapToGrid w:val="0"/>
        </w:rPr>
        <w:t>.</w:t>
      </w:r>
      <w:r w:rsidRPr="00F8118F">
        <w:rPr>
          <w:snapToGrid w:val="0"/>
        </w:rPr>
        <w:t xml:space="preserve"> The</w:t>
      </w:r>
      <w:r w:rsidR="00543EE3">
        <w:rPr>
          <w:snapToGrid w:val="0"/>
        </w:rPr>
        <w:t xml:space="preserve"> </w:t>
      </w:r>
      <w:r w:rsidRPr="00F8118F">
        <w:rPr>
          <w:snapToGrid w:val="0"/>
        </w:rPr>
        <w:t>evaluation of this campaign is based on a sample of 9</w:t>
      </w:r>
      <w:r>
        <w:rPr>
          <w:snapToGrid w:val="0"/>
        </w:rPr>
        <w:t>,</w:t>
      </w:r>
      <w:r w:rsidRPr="00F8118F">
        <w:rPr>
          <w:snapToGrid w:val="0"/>
        </w:rPr>
        <w:t>289 prim</w:t>
      </w:r>
      <w:r>
        <w:rPr>
          <w:snapToGrid w:val="0"/>
        </w:rPr>
        <w:t>ary schools, which represent 37 per cent</w:t>
      </w:r>
      <w:r w:rsidRPr="00F8118F">
        <w:rPr>
          <w:snapToGrid w:val="0"/>
        </w:rPr>
        <w:t xml:space="preserve"> of the national network of public schools, according to the school census of 2007:</w:t>
      </w:r>
    </w:p>
    <w:p w:rsidR="002220A5" w:rsidRPr="00F8118F" w:rsidRDefault="002220A5" w:rsidP="00791185">
      <w:pPr>
        <w:numPr>
          <w:ilvl w:val="0"/>
          <w:numId w:val="5"/>
        </w:numPr>
        <w:adjustRightInd w:val="0"/>
        <w:snapToGrid w:val="0"/>
        <w:spacing w:after="200"/>
        <w:rPr>
          <w:snapToGrid w:val="0"/>
        </w:rPr>
      </w:pPr>
      <w:r w:rsidRPr="00F8118F">
        <w:rPr>
          <w:snapToGrid w:val="0"/>
        </w:rPr>
        <w:t xml:space="preserve">An additional 24.6 </w:t>
      </w:r>
      <w:r>
        <w:rPr>
          <w:snapToGrid w:val="0"/>
        </w:rPr>
        <w:t>per cent</w:t>
      </w:r>
      <w:r w:rsidRPr="00F8118F">
        <w:rPr>
          <w:snapToGrid w:val="0"/>
        </w:rPr>
        <w:t xml:space="preserve"> enrolment in the first grade, 24.5 </w:t>
      </w:r>
      <w:r>
        <w:rPr>
          <w:snapToGrid w:val="0"/>
        </w:rPr>
        <w:t>per cent</w:t>
      </w:r>
      <w:r w:rsidRPr="00F8118F">
        <w:rPr>
          <w:snapToGrid w:val="0"/>
        </w:rPr>
        <w:t xml:space="preserve"> among gi</w:t>
      </w:r>
      <w:r>
        <w:rPr>
          <w:snapToGrid w:val="0"/>
        </w:rPr>
        <w:t>rls and 24.7 per cent among boys</w:t>
      </w:r>
    </w:p>
    <w:p w:rsidR="002A719C" w:rsidRDefault="002220A5" w:rsidP="00791185">
      <w:pPr>
        <w:numPr>
          <w:ilvl w:val="0"/>
          <w:numId w:val="5"/>
        </w:numPr>
        <w:adjustRightInd w:val="0"/>
        <w:snapToGrid w:val="0"/>
        <w:spacing w:after="200"/>
        <w:rPr>
          <w:snapToGrid w:val="0"/>
        </w:rPr>
      </w:pPr>
      <w:r w:rsidRPr="00F8118F">
        <w:rPr>
          <w:snapToGrid w:val="0"/>
        </w:rPr>
        <w:t xml:space="preserve">An additional 20.3 </w:t>
      </w:r>
      <w:r>
        <w:rPr>
          <w:snapToGrid w:val="0"/>
        </w:rPr>
        <w:t>per cent</w:t>
      </w:r>
      <w:r w:rsidRPr="00F8118F">
        <w:rPr>
          <w:snapToGrid w:val="0"/>
        </w:rPr>
        <w:t xml:space="preserve"> enrolment in the second grade, 20 </w:t>
      </w:r>
      <w:r>
        <w:rPr>
          <w:snapToGrid w:val="0"/>
        </w:rPr>
        <w:t>per cent</w:t>
      </w:r>
      <w:r w:rsidRPr="00F8118F">
        <w:rPr>
          <w:snapToGrid w:val="0"/>
        </w:rPr>
        <w:t xml:space="preserve"> among gi</w:t>
      </w:r>
      <w:r>
        <w:rPr>
          <w:snapToGrid w:val="0"/>
        </w:rPr>
        <w:t>rls and 20.5 per cent among boys</w:t>
      </w:r>
    </w:p>
    <w:p w:rsidR="002220A5" w:rsidRPr="004506C1" w:rsidRDefault="002220A5" w:rsidP="00763304">
      <w:pPr>
        <w:pStyle w:val="Heading2"/>
        <w:rPr>
          <w:snapToGrid w:val="0"/>
        </w:rPr>
      </w:pPr>
      <w:r w:rsidRPr="00F8118F">
        <w:rPr>
          <w:snapToGrid w:val="0"/>
        </w:rPr>
        <w:t>Rate of increase in school enrolment</w:t>
      </w:r>
      <w:r>
        <w:rPr>
          <w:snapToGrid w:val="0"/>
        </w:rPr>
        <w:t xml:space="preserve"> from 2006-2007 to 2007-2008</w:t>
      </w:r>
    </w:p>
    <w:tbl>
      <w:tblPr>
        <w:tblStyle w:val="TableGrid"/>
        <w:tblW w:w="0" w:type="auto"/>
        <w:jc w:val="center"/>
        <w:tblInd w:w="250" w:type="dxa"/>
        <w:tblBorders>
          <w:insideH w:val="none" w:sz="0" w:space="0" w:color="auto"/>
          <w:insideV w:val="none" w:sz="0" w:space="0" w:color="auto"/>
        </w:tblBorders>
        <w:tblLook w:val="01E0"/>
      </w:tblPr>
      <w:tblGrid>
        <w:gridCol w:w="2518"/>
        <w:gridCol w:w="1269"/>
        <w:gridCol w:w="922"/>
        <w:gridCol w:w="922"/>
        <w:gridCol w:w="923"/>
        <w:gridCol w:w="922"/>
        <w:gridCol w:w="922"/>
        <w:gridCol w:w="923"/>
      </w:tblGrid>
      <w:tr w:rsidR="002220A5" w:rsidRPr="000373AC" w:rsidTr="00EB4195">
        <w:trPr>
          <w:jc w:val="center"/>
        </w:trPr>
        <w:tc>
          <w:tcPr>
            <w:tcW w:w="2518" w:type="dxa"/>
            <w:vMerge w:val="restart"/>
            <w:tcBorders>
              <w:top w:val="single" w:sz="4" w:space="0" w:color="auto"/>
              <w:right w:val="single" w:sz="4" w:space="0" w:color="auto"/>
            </w:tcBorders>
          </w:tcPr>
          <w:p w:rsidR="002220A5" w:rsidRPr="000373AC" w:rsidRDefault="002220A5" w:rsidP="00D32967">
            <w:pPr>
              <w:adjustRightInd w:val="0"/>
              <w:snapToGrid w:val="0"/>
              <w:spacing w:before="120" w:after="0"/>
              <w:rPr>
                <w:snapToGrid w:val="0"/>
              </w:rPr>
            </w:pPr>
            <w:r w:rsidRPr="001D1502">
              <w:rPr>
                <w:snapToGrid w:val="0"/>
              </w:rPr>
              <w:t>Provinces</w:t>
            </w:r>
          </w:p>
        </w:tc>
        <w:tc>
          <w:tcPr>
            <w:tcW w:w="1269" w:type="dxa"/>
            <w:vMerge w:val="restart"/>
            <w:tcBorders>
              <w:top w:val="single" w:sz="4" w:space="0" w:color="auto"/>
              <w:left w:val="single" w:sz="4" w:space="0" w:color="auto"/>
              <w:right w:val="single" w:sz="4" w:space="0" w:color="auto"/>
            </w:tcBorders>
          </w:tcPr>
          <w:p w:rsidR="002220A5" w:rsidRPr="000373AC" w:rsidRDefault="002220A5" w:rsidP="00D32967">
            <w:pPr>
              <w:adjustRightInd w:val="0"/>
              <w:snapToGrid w:val="0"/>
              <w:spacing w:after="0"/>
              <w:rPr>
                <w:snapToGrid w:val="0"/>
              </w:rPr>
            </w:pPr>
            <w:r w:rsidRPr="001D1502">
              <w:rPr>
                <w:snapToGrid w:val="0"/>
              </w:rPr>
              <w:t>Number of schools</w:t>
            </w:r>
          </w:p>
        </w:tc>
        <w:tc>
          <w:tcPr>
            <w:tcW w:w="2767" w:type="dxa"/>
            <w:gridSpan w:val="3"/>
            <w:tcBorders>
              <w:top w:val="single" w:sz="4" w:space="0" w:color="auto"/>
              <w:left w:val="single" w:sz="4" w:space="0" w:color="auto"/>
              <w:bottom w:val="single" w:sz="4" w:space="0" w:color="auto"/>
              <w:right w:val="single" w:sz="4" w:space="0" w:color="auto"/>
            </w:tcBorders>
          </w:tcPr>
          <w:p w:rsidR="002220A5" w:rsidRPr="000373AC" w:rsidRDefault="002220A5" w:rsidP="00EB4195">
            <w:pPr>
              <w:adjustRightInd w:val="0"/>
              <w:snapToGrid w:val="0"/>
              <w:spacing w:after="0"/>
              <w:jc w:val="center"/>
              <w:rPr>
                <w:snapToGrid w:val="0"/>
              </w:rPr>
            </w:pPr>
            <w:r w:rsidRPr="000373AC">
              <w:rPr>
                <w:snapToGrid w:val="0"/>
              </w:rPr>
              <w:t>First grade</w:t>
            </w:r>
          </w:p>
        </w:tc>
        <w:tc>
          <w:tcPr>
            <w:tcW w:w="2767" w:type="dxa"/>
            <w:gridSpan w:val="3"/>
            <w:tcBorders>
              <w:top w:val="single" w:sz="4" w:space="0" w:color="auto"/>
              <w:left w:val="single" w:sz="4" w:space="0" w:color="auto"/>
              <w:bottom w:val="single" w:sz="4" w:space="0" w:color="auto"/>
            </w:tcBorders>
          </w:tcPr>
          <w:p w:rsidR="002220A5" w:rsidRPr="000373AC" w:rsidRDefault="002220A5" w:rsidP="00EB4195">
            <w:pPr>
              <w:adjustRightInd w:val="0"/>
              <w:snapToGrid w:val="0"/>
              <w:spacing w:after="0"/>
              <w:jc w:val="center"/>
              <w:rPr>
                <w:snapToGrid w:val="0"/>
              </w:rPr>
            </w:pPr>
            <w:r w:rsidRPr="000373AC">
              <w:rPr>
                <w:snapToGrid w:val="0"/>
              </w:rPr>
              <w:t>Second grade</w:t>
            </w:r>
          </w:p>
        </w:tc>
      </w:tr>
      <w:tr w:rsidR="002220A5" w:rsidRPr="001D1502" w:rsidTr="00EB4195">
        <w:trPr>
          <w:trHeight w:val="278"/>
          <w:jc w:val="center"/>
        </w:trPr>
        <w:tc>
          <w:tcPr>
            <w:tcW w:w="2518" w:type="dxa"/>
            <w:vMerge/>
            <w:tcBorders>
              <w:bottom w:val="single" w:sz="4" w:space="0" w:color="auto"/>
              <w:right w:val="single" w:sz="4" w:space="0" w:color="auto"/>
            </w:tcBorders>
          </w:tcPr>
          <w:p w:rsidR="002220A5" w:rsidRPr="001D1502" w:rsidRDefault="002220A5" w:rsidP="00EB4195">
            <w:pPr>
              <w:adjustRightInd w:val="0"/>
              <w:snapToGrid w:val="0"/>
              <w:spacing w:before="120" w:after="0"/>
              <w:jc w:val="center"/>
              <w:rPr>
                <w:snapToGrid w:val="0"/>
              </w:rPr>
            </w:pPr>
          </w:p>
        </w:tc>
        <w:tc>
          <w:tcPr>
            <w:tcW w:w="1269" w:type="dxa"/>
            <w:vMerge/>
            <w:tcBorders>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p>
        </w:tc>
        <w:tc>
          <w:tcPr>
            <w:tcW w:w="922" w:type="dxa"/>
            <w:tcBorders>
              <w:top w:val="single" w:sz="4" w:space="0" w:color="auto"/>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G</w:t>
            </w:r>
          </w:p>
        </w:tc>
        <w:tc>
          <w:tcPr>
            <w:tcW w:w="922" w:type="dxa"/>
            <w:tcBorders>
              <w:top w:val="single" w:sz="4" w:space="0" w:color="auto"/>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B</w:t>
            </w:r>
          </w:p>
        </w:tc>
        <w:tc>
          <w:tcPr>
            <w:tcW w:w="923" w:type="dxa"/>
            <w:tcBorders>
              <w:top w:val="single" w:sz="4" w:space="0" w:color="auto"/>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T</w:t>
            </w:r>
          </w:p>
        </w:tc>
        <w:tc>
          <w:tcPr>
            <w:tcW w:w="922" w:type="dxa"/>
            <w:tcBorders>
              <w:top w:val="single" w:sz="4" w:space="0" w:color="auto"/>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G</w:t>
            </w:r>
          </w:p>
        </w:tc>
        <w:tc>
          <w:tcPr>
            <w:tcW w:w="922" w:type="dxa"/>
            <w:tcBorders>
              <w:top w:val="single" w:sz="4" w:space="0" w:color="auto"/>
              <w:left w:val="single" w:sz="4" w:space="0" w:color="auto"/>
              <w:bottom w:val="single" w:sz="4" w:space="0" w:color="auto"/>
              <w:right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B</w:t>
            </w:r>
          </w:p>
        </w:tc>
        <w:tc>
          <w:tcPr>
            <w:tcW w:w="923" w:type="dxa"/>
            <w:tcBorders>
              <w:top w:val="single" w:sz="4" w:space="0" w:color="auto"/>
              <w:left w:val="single" w:sz="4" w:space="0" w:color="auto"/>
              <w:bottom w:val="single" w:sz="4" w:space="0" w:color="auto"/>
            </w:tcBorders>
          </w:tcPr>
          <w:p w:rsidR="002220A5" w:rsidRPr="001D1502" w:rsidRDefault="002220A5" w:rsidP="00EB4195">
            <w:pPr>
              <w:adjustRightInd w:val="0"/>
              <w:snapToGrid w:val="0"/>
              <w:spacing w:after="0"/>
              <w:jc w:val="center"/>
              <w:rPr>
                <w:snapToGrid w:val="0"/>
              </w:rPr>
            </w:pPr>
            <w:r w:rsidRPr="001D1502">
              <w:rPr>
                <w:snapToGrid w:val="0"/>
              </w:rPr>
              <w:t>T</w:t>
            </w:r>
          </w:p>
        </w:tc>
      </w:tr>
      <w:tr w:rsidR="002220A5" w:rsidRPr="001D1502" w:rsidTr="00EB4195">
        <w:trPr>
          <w:jc w:val="center"/>
        </w:trPr>
        <w:tc>
          <w:tcPr>
            <w:tcW w:w="2518" w:type="dxa"/>
            <w:tcBorders>
              <w:top w:val="single" w:sz="4" w:space="0" w:color="auto"/>
              <w:bottom w:val="nil"/>
              <w:right w:val="single" w:sz="4" w:space="0" w:color="auto"/>
            </w:tcBorders>
          </w:tcPr>
          <w:p w:rsidR="002220A5" w:rsidRPr="001D1502" w:rsidRDefault="002220A5" w:rsidP="00EB4195">
            <w:pPr>
              <w:adjustRightInd w:val="0"/>
              <w:snapToGrid w:val="0"/>
              <w:spacing w:after="0"/>
              <w:rPr>
                <w:snapToGrid w:val="0"/>
              </w:rPr>
            </w:pPr>
            <w:r w:rsidRPr="00F8118F">
              <w:rPr>
                <w:snapToGrid w:val="0"/>
              </w:rPr>
              <w:t>Bandundu</w:t>
            </w:r>
          </w:p>
        </w:tc>
        <w:tc>
          <w:tcPr>
            <w:tcW w:w="1269" w:type="dxa"/>
            <w:tcBorders>
              <w:top w:val="single" w:sz="4" w:space="0" w:color="auto"/>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394</w:t>
            </w:r>
          </w:p>
        </w:tc>
        <w:tc>
          <w:tcPr>
            <w:tcW w:w="922" w:type="dxa"/>
            <w:tcBorders>
              <w:top w:val="single" w:sz="4" w:space="0" w:color="auto"/>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23.5%</w:t>
            </w:r>
          </w:p>
        </w:tc>
        <w:tc>
          <w:tcPr>
            <w:tcW w:w="922" w:type="dxa"/>
            <w:tcBorders>
              <w:top w:val="single" w:sz="4" w:space="0" w:color="auto"/>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19.7%</w:t>
            </w:r>
          </w:p>
        </w:tc>
        <w:tc>
          <w:tcPr>
            <w:tcW w:w="923" w:type="dxa"/>
            <w:tcBorders>
              <w:top w:val="single" w:sz="4" w:space="0" w:color="auto"/>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21.6%</w:t>
            </w:r>
          </w:p>
        </w:tc>
        <w:tc>
          <w:tcPr>
            <w:tcW w:w="922" w:type="dxa"/>
            <w:tcBorders>
              <w:top w:val="single" w:sz="4" w:space="0" w:color="auto"/>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23.0%</w:t>
            </w:r>
          </w:p>
        </w:tc>
        <w:tc>
          <w:tcPr>
            <w:tcW w:w="922" w:type="dxa"/>
            <w:tcBorders>
              <w:top w:val="single" w:sz="4" w:space="0" w:color="auto"/>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19.1%</w:t>
            </w:r>
          </w:p>
        </w:tc>
        <w:tc>
          <w:tcPr>
            <w:tcW w:w="923" w:type="dxa"/>
            <w:tcBorders>
              <w:top w:val="single" w:sz="4" w:space="0" w:color="auto"/>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21.0%</w:t>
            </w:r>
          </w:p>
        </w:tc>
      </w:tr>
      <w:tr w:rsidR="002220A5" w:rsidRPr="001D1502" w:rsidTr="00EB4195">
        <w:trPr>
          <w:jc w:val="center"/>
        </w:trPr>
        <w:tc>
          <w:tcPr>
            <w:tcW w:w="2518" w:type="dxa"/>
            <w:tcBorders>
              <w:top w:val="nil"/>
              <w:bottom w:val="nil"/>
              <w:right w:val="single" w:sz="4" w:space="0" w:color="auto"/>
            </w:tcBorders>
          </w:tcPr>
          <w:p w:rsidR="002220A5" w:rsidRPr="001D1502" w:rsidRDefault="002220A5" w:rsidP="00EB4195">
            <w:pPr>
              <w:adjustRightInd w:val="0"/>
              <w:snapToGrid w:val="0"/>
              <w:spacing w:after="0"/>
              <w:rPr>
                <w:snapToGrid w:val="0"/>
              </w:rPr>
            </w:pPr>
            <w:r w:rsidRPr="00F8118F">
              <w:rPr>
                <w:snapToGrid w:val="0"/>
              </w:rPr>
              <w:t>Bas-Congo</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495</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20.2%</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18.6%</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19.4%</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24.6%</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21.4%</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23.0%</w:t>
            </w:r>
          </w:p>
        </w:tc>
      </w:tr>
      <w:tr w:rsidR="002220A5" w:rsidRPr="001D1502" w:rsidTr="00EB4195">
        <w:trPr>
          <w:jc w:val="center"/>
        </w:trPr>
        <w:tc>
          <w:tcPr>
            <w:tcW w:w="2518" w:type="dxa"/>
            <w:tcBorders>
              <w:top w:val="nil"/>
              <w:bottom w:val="nil"/>
              <w:right w:val="single" w:sz="4" w:space="0" w:color="auto"/>
            </w:tcBorders>
          </w:tcPr>
          <w:p w:rsidR="002220A5" w:rsidRPr="001D1502" w:rsidRDefault="002220A5" w:rsidP="00EB4195">
            <w:pPr>
              <w:adjustRightInd w:val="0"/>
              <w:snapToGrid w:val="0"/>
              <w:spacing w:after="0"/>
              <w:rPr>
                <w:snapToGrid w:val="0"/>
              </w:rPr>
            </w:pPr>
            <w:r w:rsidRPr="00F8118F">
              <w:rPr>
                <w:snapToGrid w:val="0"/>
              </w:rPr>
              <w:t>Equateur</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214</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21.6%</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17.9%</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19.8%</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27.4%</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24.3%</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25.9%</w:t>
            </w:r>
          </w:p>
        </w:tc>
      </w:tr>
      <w:tr w:rsidR="002220A5" w:rsidRPr="001D1502" w:rsidTr="00EB4195">
        <w:trPr>
          <w:jc w:val="center"/>
        </w:trPr>
        <w:tc>
          <w:tcPr>
            <w:tcW w:w="2518" w:type="dxa"/>
            <w:tcBorders>
              <w:top w:val="nil"/>
              <w:bottom w:val="nil"/>
              <w:right w:val="single" w:sz="4" w:space="0" w:color="auto"/>
            </w:tcBorders>
          </w:tcPr>
          <w:p w:rsidR="002220A5" w:rsidRPr="001D1502" w:rsidRDefault="002220A5" w:rsidP="00EB4195">
            <w:pPr>
              <w:adjustRightInd w:val="0"/>
              <w:snapToGrid w:val="0"/>
              <w:spacing w:after="0"/>
              <w:rPr>
                <w:snapToGrid w:val="0"/>
              </w:rPr>
            </w:pPr>
            <w:r w:rsidRPr="00F8118F">
              <w:rPr>
                <w:snapToGrid w:val="0"/>
              </w:rPr>
              <w:t>Kinshasa</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721</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20.0%</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18.4%</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19.2%</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16.0%</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15.4%</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15.7%</w:t>
            </w:r>
          </w:p>
        </w:tc>
      </w:tr>
      <w:tr w:rsidR="002220A5" w:rsidRPr="001D1502" w:rsidTr="00EB4195">
        <w:trPr>
          <w:jc w:val="center"/>
        </w:trPr>
        <w:tc>
          <w:tcPr>
            <w:tcW w:w="2518" w:type="dxa"/>
            <w:tcBorders>
              <w:top w:val="nil"/>
              <w:bottom w:val="nil"/>
              <w:right w:val="single" w:sz="4" w:space="0" w:color="auto"/>
            </w:tcBorders>
          </w:tcPr>
          <w:p w:rsidR="002220A5" w:rsidRPr="001D1502" w:rsidRDefault="002220A5" w:rsidP="00EB4195">
            <w:pPr>
              <w:adjustRightInd w:val="0"/>
              <w:snapToGrid w:val="0"/>
              <w:spacing w:after="0"/>
              <w:rPr>
                <w:snapToGrid w:val="0"/>
              </w:rPr>
            </w:pPr>
            <w:r w:rsidRPr="00F8118F">
              <w:rPr>
                <w:snapToGrid w:val="0"/>
              </w:rPr>
              <w:t>Katanga</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2 387</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63.6%</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69.4%</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66.8%</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50.8%</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51.5%</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51.2%</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sidRPr="00F8118F">
              <w:rPr>
                <w:color w:val="000000"/>
                <w:szCs w:val="24"/>
              </w:rPr>
              <w:t xml:space="preserve">Kasaï </w:t>
            </w:r>
            <w:r w:rsidRPr="00F8118F">
              <w:rPr>
                <w:snapToGrid w:val="0"/>
              </w:rPr>
              <w:t>Occidental</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102</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23.7%</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23.4%</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23.6%</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15.0%</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13.0%</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14.0%</w:t>
            </w:r>
          </w:p>
        </w:tc>
      </w:tr>
      <w:tr w:rsidR="002220A5" w:rsidRPr="001D1502" w:rsidTr="00EB4195">
        <w:trPr>
          <w:trHeight w:val="134"/>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sidRPr="00F8118F">
              <w:rPr>
                <w:color w:val="000000"/>
                <w:szCs w:val="24"/>
              </w:rPr>
              <w:t xml:space="preserve">Kasaï </w:t>
            </w:r>
            <w:r w:rsidRPr="00F8118F">
              <w:rPr>
                <w:snapToGrid w:val="0"/>
              </w:rPr>
              <w:t>Oriental</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366</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16.7%</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17.2%</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17.0%</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17.3%</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10.2%</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13.5%</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sidRPr="00F8118F">
              <w:rPr>
                <w:snapToGrid w:val="0"/>
              </w:rPr>
              <w:t>Maniema</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322</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10.1%</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8.6%</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9.3%</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7.9%</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6.8%</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7.3%</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sidRPr="00F8118F">
              <w:rPr>
                <w:snapToGrid w:val="0"/>
              </w:rPr>
              <w:t>Nord Kivu</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1 068</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10.2%</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7.5%</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8.8%</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7.5%</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6.8%</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7.2%</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Pr>
                <w:snapToGrid w:val="0"/>
              </w:rPr>
              <w:t>Ituri</w:t>
            </w:r>
            <w:r w:rsidRPr="00F8118F">
              <w:rPr>
                <w:snapToGrid w:val="0"/>
              </w:rPr>
              <w:t>*</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961</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19.2%</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8.4%</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13.2%</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12.1%</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10.8%</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11.4%</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Pr>
                <w:snapToGrid w:val="0"/>
              </w:rPr>
              <w:t>P</w:t>
            </w:r>
            <w:r w:rsidRPr="00F8118F">
              <w:rPr>
                <w:snapToGrid w:val="0"/>
              </w:rPr>
              <w:t>rovince</w:t>
            </w:r>
            <w:r>
              <w:rPr>
                <w:snapToGrid w:val="0"/>
              </w:rPr>
              <w:t xml:space="preserve"> Orientale</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869</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3.1%</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5.2%</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4.1%</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4.1%</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7.3%</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5.8%</w:t>
            </w:r>
          </w:p>
        </w:tc>
      </w:tr>
      <w:tr w:rsidR="002220A5" w:rsidRPr="001D1502" w:rsidTr="00EB4195">
        <w:trPr>
          <w:trHeight w:val="87"/>
          <w:jc w:val="center"/>
        </w:trPr>
        <w:tc>
          <w:tcPr>
            <w:tcW w:w="2518" w:type="dxa"/>
            <w:tcBorders>
              <w:top w:val="nil"/>
              <w:bottom w:val="nil"/>
              <w:right w:val="single" w:sz="4" w:space="0" w:color="auto"/>
            </w:tcBorders>
          </w:tcPr>
          <w:p w:rsidR="002220A5" w:rsidRPr="00F8118F" w:rsidRDefault="002220A5" w:rsidP="00EB4195">
            <w:pPr>
              <w:adjustRightInd w:val="0"/>
              <w:snapToGrid w:val="0"/>
              <w:spacing w:after="0"/>
              <w:rPr>
                <w:snapToGrid w:val="0"/>
              </w:rPr>
            </w:pPr>
            <w:r w:rsidRPr="00F8118F">
              <w:rPr>
                <w:snapToGrid w:val="0"/>
              </w:rPr>
              <w:t>Sud Kivu</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1 390</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10.0%</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7.7%</w:t>
            </w:r>
          </w:p>
        </w:tc>
        <w:tc>
          <w:tcPr>
            <w:tcW w:w="923"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8.8%</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10.3%</w:t>
            </w:r>
          </w:p>
        </w:tc>
        <w:tc>
          <w:tcPr>
            <w:tcW w:w="922" w:type="dxa"/>
            <w:tcBorders>
              <w:top w:val="nil"/>
              <w:left w:val="single" w:sz="4" w:space="0" w:color="auto"/>
              <w:bottom w:val="nil"/>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8.9%</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9.6%</w:t>
            </w:r>
          </w:p>
        </w:tc>
      </w:tr>
      <w:tr w:rsidR="002220A5" w:rsidRPr="001D1502" w:rsidTr="00EB4195">
        <w:trPr>
          <w:trHeight w:val="87"/>
          <w:jc w:val="center"/>
        </w:trPr>
        <w:tc>
          <w:tcPr>
            <w:tcW w:w="2518" w:type="dxa"/>
            <w:tcBorders>
              <w:top w:val="nil"/>
              <w:bottom w:val="single" w:sz="4" w:space="0" w:color="auto"/>
              <w:right w:val="single" w:sz="4" w:space="0" w:color="auto"/>
            </w:tcBorders>
          </w:tcPr>
          <w:p w:rsidR="002220A5" w:rsidRPr="001D1502" w:rsidRDefault="002220A5" w:rsidP="00EB4195">
            <w:pPr>
              <w:adjustRightInd w:val="0"/>
              <w:snapToGrid w:val="0"/>
              <w:spacing w:after="0"/>
              <w:rPr>
                <w:snapToGrid w:val="0"/>
              </w:rPr>
            </w:pPr>
            <w:r w:rsidRPr="001D1502">
              <w:rPr>
                <w:snapToGrid w:val="0"/>
              </w:rPr>
              <w:t>National D</w:t>
            </w:r>
            <w:r>
              <w:rPr>
                <w:snapToGrid w:val="0"/>
              </w:rPr>
              <w:t>RC</w:t>
            </w:r>
            <w:r w:rsidRPr="001D1502">
              <w:rPr>
                <w:snapToGrid w:val="0"/>
              </w:rPr>
              <w:t xml:space="preserve"> average</w:t>
            </w:r>
          </w:p>
        </w:tc>
        <w:tc>
          <w:tcPr>
            <w:tcW w:w="1269" w:type="dxa"/>
            <w:tcBorders>
              <w:left w:val="single" w:sz="4" w:space="0" w:color="auto"/>
              <w:right w:val="single" w:sz="4" w:space="0" w:color="auto"/>
            </w:tcBorders>
          </w:tcPr>
          <w:p w:rsidR="002220A5" w:rsidRPr="001D1502" w:rsidRDefault="002220A5" w:rsidP="00D32967">
            <w:pPr>
              <w:adjustRightInd w:val="0"/>
              <w:snapToGrid w:val="0"/>
              <w:spacing w:after="0"/>
              <w:ind w:right="340"/>
              <w:jc w:val="right"/>
              <w:rPr>
                <w:snapToGrid w:val="0"/>
              </w:rPr>
            </w:pPr>
            <w:r>
              <w:rPr>
                <w:snapToGrid w:val="0"/>
              </w:rPr>
              <w:t>9 289</w:t>
            </w:r>
          </w:p>
        </w:tc>
        <w:tc>
          <w:tcPr>
            <w:tcW w:w="922" w:type="dxa"/>
            <w:tcBorders>
              <w:top w:val="nil"/>
              <w:left w:val="single" w:sz="4" w:space="0" w:color="auto"/>
              <w:bottom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24.5%</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24.7%</w:t>
            </w:r>
          </w:p>
        </w:tc>
        <w:tc>
          <w:tcPr>
            <w:tcW w:w="923" w:type="dxa"/>
            <w:tcBorders>
              <w:top w:val="nil"/>
              <w:left w:val="single" w:sz="4" w:space="0" w:color="auto"/>
              <w:bottom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24.6%</w:t>
            </w:r>
          </w:p>
        </w:tc>
        <w:tc>
          <w:tcPr>
            <w:tcW w:w="922" w:type="dxa"/>
            <w:tcBorders>
              <w:left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20.0%</w:t>
            </w:r>
          </w:p>
        </w:tc>
        <w:tc>
          <w:tcPr>
            <w:tcW w:w="922" w:type="dxa"/>
            <w:tcBorders>
              <w:top w:val="nil"/>
              <w:left w:val="single" w:sz="4" w:space="0" w:color="auto"/>
              <w:bottom w:val="single" w:sz="4" w:space="0" w:color="auto"/>
              <w:righ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20.5%</w:t>
            </w:r>
          </w:p>
        </w:tc>
        <w:tc>
          <w:tcPr>
            <w:tcW w:w="923" w:type="dxa"/>
            <w:tcBorders>
              <w:left w:val="single" w:sz="4" w:space="0" w:color="auto"/>
            </w:tcBorders>
          </w:tcPr>
          <w:p w:rsidR="002220A5" w:rsidRPr="001D1502" w:rsidRDefault="002220A5" w:rsidP="00EB4195">
            <w:pPr>
              <w:adjustRightInd w:val="0"/>
              <w:snapToGrid w:val="0"/>
              <w:spacing w:after="0"/>
              <w:ind w:right="57"/>
              <w:jc w:val="right"/>
              <w:rPr>
                <w:snapToGrid w:val="0"/>
              </w:rPr>
            </w:pPr>
            <w:r>
              <w:rPr>
                <w:snapToGrid w:val="0"/>
              </w:rPr>
              <w:t>20.3%</w:t>
            </w:r>
          </w:p>
        </w:tc>
      </w:tr>
    </w:tbl>
    <w:p w:rsidR="002220A5" w:rsidRDefault="002220A5" w:rsidP="002220A5">
      <w:pPr>
        <w:adjustRightInd w:val="0"/>
        <w:snapToGrid w:val="0"/>
        <w:spacing w:before="240"/>
        <w:rPr>
          <w:snapToGrid w:val="0"/>
        </w:rPr>
      </w:pPr>
      <w:r>
        <w:rPr>
          <w:i/>
          <w:snapToGrid w:val="0"/>
        </w:rPr>
        <w:tab/>
      </w:r>
      <w:r w:rsidRPr="00F8118F">
        <w:rPr>
          <w:i/>
          <w:snapToGrid w:val="0"/>
        </w:rPr>
        <w:t>Source</w:t>
      </w:r>
      <w:r w:rsidRPr="00F8118F">
        <w:rPr>
          <w:snapToGrid w:val="0"/>
        </w:rPr>
        <w:t>:</w:t>
      </w:r>
      <w:r>
        <w:rPr>
          <w:snapToGrid w:val="0"/>
        </w:rPr>
        <w:t xml:space="preserve"> </w:t>
      </w:r>
      <w:r w:rsidRPr="00F8118F">
        <w:rPr>
          <w:snapToGrid w:val="0"/>
        </w:rPr>
        <w:t>Ministry of Primary, Secondary and Professiona</w:t>
      </w:r>
      <w:r>
        <w:rPr>
          <w:snapToGrid w:val="0"/>
        </w:rPr>
        <w:t xml:space="preserve">l Education, information note </w:t>
      </w:r>
      <w:r w:rsidRPr="00F8118F">
        <w:rPr>
          <w:snapToGrid w:val="0"/>
        </w:rPr>
        <w:t>on the campaign for mass enrolment of children for the school year 2008</w:t>
      </w:r>
      <w:r>
        <w:rPr>
          <w:snapToGrid w:val="0"/>
        </w:rPr>
        <w:t>/</w:t>
      </w:r>
      <w:r w:rsidRPr="00F8118F">
        <w:rPr>
          <w:snapToGrid w:val="0"/>
        </w:rPr>
        <w:t>09, August 2008, p.</w:t>
      </w:r>
      <w:r w:rsidR="00D32967">
        <w:rPr>
          <w:snapToGrid w:val="0"/>
        </w:rPr>
        <w:t xml:space="preserve"> </w:t>
      </w:r>
      <w:r w:rsidRPr="00F8118F">
        <w:rPr>
          <w:snapToGrid w:val="0"/>
        </w:rPr>
        <w:t>2.</w:t>
      </w:r>
    </w:p>
    <w:p w:rsidR="002220A5" w:rsidRPr="00F8118F" w:rsidRDefault="002220A5" w:rsidP="002220A5">
      <w:pPr>
        <w:adjustRightInd w:val="0"/>
        <w:snapToGrid w:val="0"/>
        <w:rPr>
          <w:snapToGrid w:val="0"/>
        </w:rPr>
      </w:pPr>
      <w:r>
        <w:rPr>
          <w:snapToGrid w:val="0"/>
        </w:rPr>
        <w:tab/>
      </w:r>
      <w:r w:rsidRPr="00F8118F">
        <w:rPr>
          <w:snapToGrid w:val="0"/>
        </w:rPr>
        <w:t>*</w:t>
      </w:r>
      <w:r>
        <w:rPr>
          <w:snapToGrid w:val="0"/>
        </w:rPr>
        <w:t xml:space="preserve">  </w:t>
      </w:r>
      <w:r w:rsidRPr="00F8118F">
        <w:rPr>
          <w:snapToGrid w:val="0"/>
        </w:rPr>
        <w:t xml:space="preserve">Ituri is a district </w:t>
      </w:r>
      <w:r>
        <w:rPr>
          <w:snapToGrid w:val="0"/>
        </w:rPr>
        <w:t>of P</w:t>
      </w:r>
      <w:r w:rsidRPr="00F8118F">
        <w:rPr>
          <w:snapToGrid w:val="0"/>
        </w:rPr>
        <w:t>rovince</w:t>
      </w:r>
      <w:r>
        <w:rPr>
          <w:snapToGrid w:val="0"/>
        </w:rPr>
        <w:t xml:space="preserve"> Orientale.</w:t>
      </w:r>
    </w:p>
    <w:p w:rsidR="002220A5" w:rsidRPr="00F8118F" w:rsidRDefault="002220A5" w:rsidP="00B667B2">
      <w:pPr>
        <w:adjustRightInd w:val="0"/>
        <w:snapToGrid w:val="0"/>
        <w:spacing w:after="200"/>
        <w:rPr>
          <w:snapToGrid w:val="0"/>
        </w:rPr>
      </w:pPr>
      <w:r w:rsidRPr="00F8118F">
        <w:rPr>
          <w:snapToGrid w:val="0"/>
        </w:rPr>
        <w:tab/>
      </w:r>
      <w:r>
        <w:rPr>
          <w:snapToGrid w:val="0"/>
        </w:rPr>
        <w:t>(</w:t>
      </w:r>
      <w:r w:rsidRPr="00F8118F">
        <w:rPr>
          <w:snapToGrid w:val="0"/>
        </w:rPr>
        <w:t>b)</w:t>
      </w:r>
      <w:r>
        <w:rPr>
          <w:snapToGrid w:val="0"/>
        </w:rPr>
        <w:tab/>
      </w:r>
      <w:r w:rsidRPr="00F8118F">
        <w:rPr>
          <w:snapToGrid w:val="0"/>
        </w:rPr>
        <w:t xml:space="preserve">The campaign to promote the use of insecticide-impregnated mosquito nets, discussed in paragraph 103 of the report, is being carried out using </w:t>
      </w:r>
      <w:r>
        <w:rPr>
          <w:snapToGrid w:val="0"/>
        </w:rPr>
        <w:t xml:space="preserve">different strategies </w:t>
      </w:r>
      <w:r w:rsidRPr="00F8118F">
        <w:rPr>
          <w:snapToGrid w:val="0"/>
        </w:rPr>
        <w:t>accord</w:t>
      </w:r>
      <w:r>
        <w:rPr>
          <w:snapToGrid w:val="0"/>
        </w:rPr>
        <w:t>ing to the areas concerned;</w:t>
      </w:r>
    </w:p>
    <w:p w:rsidR="002220A5" w:rsidRPr="00F8118F" w:rsidRDefault="002220A5" w:rsidP="00B667B2">
      <w:pPr>
        <w:adjustRightInd w:val="0"/>
        <w:snapToGrid w:val="0"/>
        <w:spacing w:after="200"/>
        <w:rPr>
          <w:snapToGrid w:val="0"/>
        </w:rPr>
      </w:pPr>
      <w:r w:rsidRPr="00F8118F">
        <w:rPr>
          <w:snapToGrid w:val="0"/>
        </w:rPr>
        <w:tab/>
      </w:r>
      <w:r>
        <w:rPr>
          <w:snapToGrid w:val="0"/>
        </w:rPr>
        <w:t>(</w:t>
      </w:r>
      <w:r w:rsidRPr="00F8118F">
        <w:rPr>
          <w:snapToGrid w:val="0"/>
        </w:rPr>
        <w:t>c)</w:t>
      </w:r>
      <w:r>
        <w:rPr>
          <w:snapToGrid w:val="0"/>
        </w:rPr>
        <w:tab/>
      </w:r>
      <w:r w:rsidRPr="00F8118F">
        <w:rPr>
          <w:snapToGrid w:val="0"/>
        </w:rPr>
        <w:t>Activities within the framework of the Global Malaria Action Plan</w:t>
      </w:r>
      <w:r>
        <w:rPr>
          <w:snapToGrid w:val="0"/>
        </w:rPr>
        <w:t xml:space="preserve"> (2005-2015)</w:t>
      </w:r>
      <w:r w:rsidRPr="00F8118F">
        <w:rPr>
          <w:snapToGrid w:val="0"/>
        </w:rPr>
        <w:t xml:space="preserve">, which calls for reducing by half mortalities related to malaria and increasing by 80 </w:t>
      </w:r>
      <w:r>
        <w:rPr>
          <w:snapToGrid w:val="0"/>
        </w:rPr>
        <w:t>per cent</w:t>
      </w:r>
      <w:r w:rsidRPr="00F8118F">
        <w:rPr>
          <w:snapToGrid w:val="0"/>
        </w:rPr>
        <w:t xml:space="preserve"> the use of insecticide-impregnated mosquito</w:t>
      </w:r>
      <w:r>
        <w:rPr>
          <w:snapToGrid w:val="0"/>
        </w:rPr>
        <w:t xml:space="preserve"> </w:t>
      </w:r>
      <w:r w:rsidRPr="00F8118F">
        <w:rPr>
          <w:snapToGrid w:val="0"/>
        </w:rPr>
        <w:t xml:space="preserve">nets nationwide before 2010. Three provinces have been targeted, Kinshasa, Equateur and </w:t>
      </w:r>
      <w:r>
        <w:rPr>
          <w:snapToGrid w:val="0"/>
        </w:rPr>
        <w:t>P</w:t>
      </w:r>
      <w:r w:rsidRPr="00F8118F">
        <w:rPr>
          <w:snapToGrid w:val="0"/>
        </w:rPr>
        <w:t>rovince</w:t>
      </w:r>
      <w:r>
        <w:rPr>
          <w:snapToGrid w:val="0"/>
        </w:rPr>
        <w:t xml:space="preserve"> Orientale</w:t>
      </w:r>
      <w:r w:rsidRPr="00F8118F">
        <w:rPr>
          <w:snapToGrid w:val="0"/>
        </w:rPr>
        <w:t xml:space="preserve">, with integrated vaccination programmes in </w:t>
      </w:r>
      <w:r>
        <w:rPr>
          <w:snapToGrid w:val="0"/>
        </w:rPr>
        <w:t>Equateur and P</w:t>
      </w:r>
      <w:r w:rsidRPr="00F8118F">
        <w:rPr>
          <w:snapToGrid w:val="0"/>
        </w:rPr>
        <w:t>rovince</w:t>
      </w:r>
      <w:r>
        <w:rPr>
          <w:snapToGrid w:val="0"/>
        </w:rPr>
        <w:t xml:space="preserve"> Orientale:</w:t>
      </w:r>
    </w:p>
    <w:p w:rsidR="0024633F" w:rsidRDefault="002220A5" w:rsidP="00B667B2">
      <w:pPr>
        <w:numPr>
          <w:ilvl w:val="0"/>
          <w:numId w:val="6"/>
        </w:numPr>
        <w:adjustRightInd w:val="0"/>
        <w:snapToGrid w:val="0"/>
        <w:spacing w:after="200"/>
        <w:rPr>
          <w:snapToGrid w:val="0"/>
        </w:rPr>
      </w:pPr>
      <w:r w:rsidRPr="00F8118F">
        <w:rPr>
          <w:snapToGrid w:val="0"/>
        </w:rPr>
        <w:t xml:space="preserve">For the city and province of Kinshasa, the goal is the distribution of 2 million mosquito nets, </w:t>
      </w:r>
      <w:r>
        <w:rPr>
          <w:snapToGrid w:val="0"/>
        </w:rPr>
        <w:t>2</w:t>
      </w:r>
      <w:r w:rsidRPr="00F8118F">
        <w:rPr>
          <w:snapToGrid w:val="0"/>
        </w:rPr>
        <w:t xml:space="preserve"> per household.</w:t>
      </w:r>
    </w:p>
    <w:p w:rsidR="002220A5" w:rsidRPr="00F8118F" w:rsidRDefault="002220A5" w:rsidP="00B667B2">
      <w:pPr>
        <w:numPr>
          <w:ilvl w:val="0"/>
          <w:numId w:val="14"/>
        </w:numPr>
        <w:adjustRightInd w:val="0"/>
        <w:snapToGrid w:val="0"/>
        <w:spacing w:after="200"/>
        <w:rPr>
          <w:snapToGrid w:val="0"/>
        </w:rPr>
      </w:pPr>
      <w:r w:rsidRPr="00F8118F">
        <w:rPr>
          <w:snapToGrid w:val="0"/>
        </w:rPr>
        <w:t xml:space="preserve">For Equateur, the </w:t>
      </w:r>
      <w:r>
        <w:rPr>
          <w:snapToGrid w:val="0"/>
        </w:rPr>
        <w:t xml:space="preserve">plan is to undertake the </w:t>
      </w:r>
      <w:r w:rsidRPr="00F8118F">
        <w:rPr>
          <w:snapToGrid w:val="0"/>
        </w:rPr>
        <w:t xml:space="preserve">distribution of mosquito nets to 1,470,279 children, and the concurrent administration of anti-measles vaccines (VAR) and anti-polio vaccines (VPO), as well as vitamin A and mebendazole. These integrated programmes are also being carried out in </w:t>
      </w:r>
      <w:r>
        <w:rPr>
          <w:snapToGrid w:val="0"/>
        </w:rPr>
        <w:t>P</w:t>
      </w:r>
      <w:r w:rsidRPr="00F8118F">
        <w:rPr>
          <w:snapToGrid w:val="0"/>
        </w:rPr>
        <w:t>rovince</w:t>
      </w:r>
      <w:r>
        <w:rPr>
          <w:snapToGrid w:val="0"/>
        </w:rPr>
        <w:t xml:space="preserve"> Orientale</w:t>
      </w:r>
      <w:r w:rsidRPr="00F8118F">
        <w:rPr>
          <w:snapToGrid w:val="0"/>
        </w:rPr>
        <w:t xml:space="preserve"> </w:t>
      </w:r>
      <w:r>
        <w:rPr>
          <w:snapToGrid w:val="0"/>
        </w:rPr>
        <w:t>and </w:t>
      </w:r>
      <w:r w:rsidRPr="00F8118F">
        <w:rPr>
          <w:snapToGrid w:val="0"/>
        </w:rPr>
        <w:t>the provinces of Nord Kivu and Sud Kivu, t</w:t>
      </w:r>
      <w:r>
        <w:rPr>
          <w:snapToGrid w:val="0"/>
        </w:rPr>
        <w:t>argeting 2,776,321 children for </w:t>
      </w:r>
      <w:r w:rsidRPr="00F8118F">
        <w:rPr>
          <w:snapToGrid w:val="0"/>
        </w:rPr>
        <w:t>treatment with VAR, 5,001,801 children fo</w:t>
      </w:r>
      <w:r>
        <w:rPr>
          <w:snapToGrid w:val="0"/>
        </w:rPr>
        <w:t>r treatment with VPO, 4,498,975 </w:t>
      </w:r>
      <w:r w:rsidRPr="00F8118F">
        <w:rPr>
          <w:snapToGrid w:val="0"/>
        </w:rPr>
        <w:t>children for treatment with vitamin A and 3,969,684 children for treatment with mebendazole.</w:t>
      </w:r>
    </w:p>
    <w:p w:rsidR="002220A5" w:rsidRPr="00F8118F" w:rsidRDefault="002220A5" w:rsidP="00B667B2">
      <w:pPr>
        <w:numPr>
          <w:ilvl w:val="0"/>
          <w:numId w:val="8"/>
        </w:numPr>
        <w:adjustRightInd w:val="0"/>
        <w:snapToGrid w:val="0"/>
        <w:spacing w:after="200"/>
        <w:rPr>
          <w:snapToGrid w:val="0"/>
        </w:rPr>
      </w:pPr>
      <w:r w:rsidRPr="00F8118F">
        <w:rPr>
          <w:snapToGrid w:val="0"/>
        </w:rPr>
        <w:t xml:space="preserve">In </w:t>
      </w:r>
      <w:r>
        <w:rPr>
          <w:snapToGrid w:val="0"/>
        </w:rPr>
        <w:t>P</w:t>
      </w:r>
      <w:r w:rsidRPr="00F8118F">
        <w:rPr>
          <w:snapToGrid w:val="0"/>
        </w:rPr>
        <w:t>rovince</w:t>
      </w:r>
      <w:r>
        <w:rPr>
          <w:snapToGrid w:val="0"/>
        </w:rPr>
        <w:t xml:space="preserve"> Orientale</w:t>
      </w:r>
      <w:r w:rsidRPr="00F8118F">
        <w:rPr>
          <w:snapToGrid w:val="0"/>
        </w:rPr>
        <w:t>, 140,000 mosquito nets are being distributed to children and pregnant women in six health zones.</w:t>
      </w:r>
    </w:p>
    <w:p w:rsidR="002220A5" w:rsidRPr="00F8118F" w:rsidRDefault="002220A5" w:rsidP="00B667B2">
      <w:pPr>
        <w:pStyle w:val="Heading5"/>
        <w:spacing w:after="200"/>
        <w:rPr>
          <w:snapToGrid w:val="0"/>
        </w:rPr>
      </w:pPr>
      <w:r>
        <w:rPr>
          <w:snapToGrid w:val="0"/>
        </w:rPr>
        <w:t>4.</w:t>
      </w:r>
      <w:r>
        <w:rPr>
          <w:snapToGrid w:val="0"/>
        </w:rPr>
        <w:tab/>
      </w:r>
      <w:r w:rsidRPr="00F8118F">
        <w:rPr>
          <w:snapToGrid w:val="0"/>
        </w:rPr>
        <w:t>New ratifications of human rights instruments</w:t>
      </w:r>
    </w:p>
    <w:p w:rsidR="002220A5" w:rsidRPr="00F8118F" w:rsidRDefault="002220A5" w:rsidP="00B667B2">
      <w:pPr>
        <w:adjustRightInd w:val="0"/>
        <w:snapToGrid w:val="0"/>
        <w:spacing w:after="200"/>
        <w:rPr>
          <w:snapToGrid w:val="0"/>
        </w:rPr>
      </w:pPr>
      <w:r w:rsidRPr="00F8118F">
        <w:rPr>
          <w:snapToGrid w:val="0"/>
        </w:rPr>
        <w:tab/>
        <w:t xml:space="preserve">There have been no new ratifications of human rights instruments. </w:t>
      </w:r>
      <w:r>
        <w:rPr>
          <w:snapToGrid w:val="0"/>
        </w:rPr>
        <w:t>However:</w:t>
      </w:r>
    </w:p>
    <w:p w:rsidR="002220A5" w:rsidRPr="00F8118F" w:rsidRDefault="002220A5" w:rsidP="00B667B2">
      <w:pPr>
        <w:numPr>
          <w:ilvl w:val="0"/>
          <w:numId w:val="8"/>
        </w:numPr>
        <w:adjustRightInd w:val="0"/>
        <w:snapToGrid w:val="0"/>
        <w:spacing w:after="200"/>
        <w:rPr>
          <w:snapToGrid w:val="0"/>
        </w:rPr>
      </w:pPr>
      <w:r>
        <w:rPr>
          <w:snapToGrid w:val="0"/>
        </w:rPr>
        <w:t>T</w:t>
      </w:r>
      <w:r w:rsidRPr="00F8118F">
        <w:rPr>
          <w:snapToGrid w:val="0"/>
        </w:rPr>
        <w:t xml:space="preserve">he initial report on the implementation of the Optional Protocol </w:t>
      </w:r>
      <w:r>
        <w:rPr>
          <w:snapToGrid w:val="0"/>
        </w:rPr>
        <w:t>on</w:t>
      </w:r>
      <w:r w:rsidRPr="00F8118F">
        <w:rPr>
          <w:snapToGrid w:val="0"/>
        </w:rPr>
        <w:t xml:space="preserve"> the </w:t>
      </w:r>
      <w:r>
        <w:rPr>
          <w:snapToGrid w:val="0"/>
        </w:rPr>
        <w:t>i</w:t>
      </w:r>
      <w:r w:rsidRPr="00F8118F">
        <w:rPr>
          <w:snapToGrid w:val="0"/>
        </w:rPr>
        <w:t xml:space="preserve">nvolvement of </w:t>
      </w:r>
      <w:r>
        <w:rPr>
          <w:snapToGrid w:val="0"/>
        </w:rPr>
        <w:t>c</w:t>
      </w:r>
      <w:r w:rsidRPr="00F8118F">
        <w:rPr>
          <w:snapToGrid w:val="0"/>
        </w:rPr>
        <w:t xml:space="preserve">hildren in </w:t>
      </w:r>
      <w:r>
        <w:rPr>
          <w:snapToGrid w:val="0"/>
        </w:rPr>
        <w:t>a</w:t>
      </w:r>
      <w:r w:rsidRPr="00F8118F">
        <w:rPr>
          <w:snapToGrid w:val="0"/>
        </w:rPr>
        <w:t xml:space="preserve">rmed </w:t>
      </w:r>
      <w:r>
        <w:rPr>
          <w:snapToGrid w:val="0"/>
        </w:rPr>
        <w:t>c</w:t>
      </w:r>
      <w:r w:rsidRPr="00F8118F">
        <w:rPr>
          <w:snapToGrid w:val="0"/>
        </w:rPr>
        <w:t>onflict will be prepared soon, and</w:t>
      </w:r>
    </w:p>
    <w:p w:rsidR="002220A5" w:rsidRPr="00F8118F" w:rsidRDefault="002220A5" w:rsidP="00B667B2">
      <w:pPr>
        <w:numPr>
          <w:ilvl w:val="0"/>
          <w:numId w:val="8"/>
        </w:numPr>
        <w:adjustRightInd w:val="0"/>
        <w:snapToGrid w:val="0"/>
        <w:spacing w:after="200"/>
        <w:rPr>
          <w:snapToGrid w:val="0"/>
        </w:rPr>
      </w:pPr>
      <w:r>
        <w:rPr>
          <w:snapToGrid w:val="0"/>
        </w:rPr>
        <w:t>T</w:t>
      </w:r>
      <w:r w:rsidRPr="00F8118F">
        <w:rPr>
          <w:snapToGrid w:val="0"/>
        </w:rPr>
        <w:t>he Ministry of Gender, Family and the Child</w:t>
      </w:r>
      <w:r>
        <w:rPr>
          <w:snapToGrid w:val="0"/>
        </w:rPr>
        <w:t>ren</w:t>
      </w:r>
      <w:r w:rsidRPr="00F8118F">
        <w:rPr>
          <w:snapToGrid w:val="0"/>
        </w:rPr>
        <w:t xml:space="preserve"> has undertaken an assessment of the conventions related to the rights of children, with a view to </w:t>
      </w:r>
      <w:r>
        <w:rPr>
          <w:snapToGrid w:val="0"/>
        </w:rPr>
        <w:t>selecting the</w:t>
      </w:r>
      <w:r w:rsidRPr="00F8118F">
        <w:rPr>
          <w:snapToGrid w:val="0"/>
        </w:rPr>
        <w:t xml:space="preserve"> most </w:t>
      </w:r>
      <w:r>
        <w:rPr>
          <w:snapToGrid w:val="0"/>
        </w:rPr>
        <w:t xml:space="preserve">suitable for </w:t>
      </w:r>
      <w:r w:rsidRPr="00F8118F">
        <w:rPr>
          <w:snapToGrid w:val="0"/>
        </w:rPr>
        <w:t>ratifi</w:t>
      </w:r>
      <w:r>
        <w:rPr>
          <w:snapToGrid w:val="0"/>
        </w:rPr>
        <w:t>cation</w:t>
      </w:r>
      <w:r w:rsidRPr="00F8118F">
        <w:rPr>
          <w:snapToGrid w:val="0"/>
        </w:rPr>
        <w:t>, including in particular the Convention on Protection of Children and Co-operation in R</w:t>
      </w:r>
      <w:r>
        <w:rPr>
          <w:snapToGrid w:val="0"/>
        </w:rPr>
        <w:t>espect of Intercountry Adoption</w:t>
      </w:r>
    </w:p>
    <w:p w:rsidR="002220A5" w:rsidRPr="00F8118F" w:rsidRDefault="002220A5" w:rsidP="00B667B2">
      <w:pPr>
        <w:pStyle w:val="Heading1"/>
        <w:spacing w:after="200"/>
      </w:pPr>
      <w:r w:rsidRPr="00F8118F">
        <w:t>PART III</w:t>
      </w:r>
    </w:p>
    <w:p w:rsidR="002220A5" w:rsidRPr="00F8118F" w:rsidRDefault="002220A5" w:rsidP="00B667B2">
      <w:pPr>
        <w:pStyle w:val="Heading3"/>
        <w:spacing w:after="200"/>
      </w:pPr>
      <w:r w:rsidRPr="00F8118F">
        <w:t>Data and statistics, if available</w:t>
      </w:r>
    </w:p>
    <w:p w:rsidR="00B667B2" w:rsidRDefault="002220A5" w:rsidP="00B667B2">
      <w:pPr>
        <w:pStyle w:val="Heading5"/>
        <w:spacing w:after="200"/>
        <w:ind w:left="567" w:hanging="567"/>
      </w:pPr>
      <w:r w:rsidRPr="00F8118F">
        <w:t>1.</w:t>
      </w:r>
      <w:r w:rsidRPr="00F8118F">
        <w:tab/>
        <w:t xml:space="preserve">In the light of article 4 of the Convention, please provide data for the years 2006, 2007 and 2008 on budget appropriations (in absolute figures and as percentages of the national budget or GDP) allocated to implementation of the Convention nationwide in the fields of education and health, and also the reintegration of children </w:t>
      </w:r>
      <w:r w:rsidR="00DE23C2">
        <w:t>affected by the armed conflict</w:t>
      </w:r>
    </w:p>
    <w:p w:rsidR="002220A5" w:rsidRPr="00F8118F" w:rsidRDefault="00B667B2" w:rsidP="00B667B2">
      <w:pPr>
        <w:pStyle w:val="Heading2"/>
      </w:pPr>
      <w:r>
        <w:br w:type="page"/>
      </w:r>
      <w:r w:rsidR="002220A5" w:rsidRPr="00F8118F">
        <w:t>Budget appropriations allocated to implementation of the Convention nationwide</w:t>
      </w:r>
    </w:p>
    <w:tbl>
      <w:tblPr>
        <w:tblStyle w:val="TableGrid"/>
        <w:tblW w:w="9334" w:type="dxa"/>
        <w:jc w:val="center"/>
        <w:tblBorders>
          <w:insideH w:val="none" w:sz="0" w:space="0" w:color="auto"/>
          <w:insideV w:val="none" w:sz="0" w:space="0" w:color="auto"/>
        </w:tblBorders>
        <w:tblLook w:val="01E0"/>
      </w:tblPr>
      <w:tblGrid>
        <w:gridCol w:w="1550"/>
        <w:gridCol w:w="1984"/>
        <w:gridCol w:w="709"/>
        <w:gridCol w:w="1983"/>
        <w:gridCol w:w="546"/>
        <w:gridCol w:w="1926"/>
        <w:gridCol w:w="636"/>
      </w:tblGrid>
      <w:tr w:rsidR="002220A5" w:rsidRPr="00DC3F97" w:rsidTr="00DE23C2">
        <w:trPr>
          <w:jc w:val="center"/>
        </w:trPr>
        <w:tc>
          <w:tcPr>
            <w:tcW w:w="1550" w:type="dxa"/>
            <w:vMerge w:val="restart"/>
            <w:tcBorders>
              <w:top w:val="single" w:sz="4" w:space="0" w:color="auto"/>
              <w:right w:val="single" w:sz="4" w:space="0" w:color="auto"/>
            </w:tcBorders>
          </w:tcPr>
          <w:p w:rsidR="002220A5" w:rsidRPr="00DC3F97" w:rsidRDefault="002220A5" w:rsidP="00EB4195">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2006</w:t>
            </w:r>
          </w:p>
        </w:tc>
        <w:tc>
          <w:tcPr>
            <w:tcW w:w="709"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2007</w:t>
            </w:r>
          </w:p>
        </w:tc>
        <w:tc>
          <w:tcPr>
            <w:tcW w:w="546"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2008</w:t>
            </w:r>
          </w:p>
        </w:tc>
        <w:tc>
          <w:tcPr>
            <w:tcW w:w="636" w:type="dxa"/>
            <w:tcBorders>
              <w:top w:val="single" w:sz="4" w:space="0" w:color="auto"/>
              <w:left w:val="single" w:sz="4" w:space="0" w:color="auto"/>
              <w:bottom w:val="single" w:sz="4" w:space="0" w:color="auto"/>
            </w:tcBorders>
          </w:tcPr>
          <w:p w:rsidR="002220A5" w:rsidRPr="00DC3F97" w:rsidRDefault="002220A5" w:rsidP="00EB4195">
            <w:pPr>
              <w:spacing w:after="0"/>
              <w:jc w:val="center"/>
              <w:rPr>
                <w:sz w:val="22"/>
                <w:szCs w:val="22"/>
              </w:rPr>
            </w:pPr>
          </w:p>
        </w:tc>
      </w:tr>
      <w:tr w:rsidR="002220A5" w:rsidRPr="00DC3F97" w:rsidTr="00DE23C2">
        <w:trPr>
          <w:jc w:val="center"/>
        </w:trPr>
        <w:tc>
          <w:tcPr>
            <w:tcW w:w="1550" w:type="dxa"/>
            <w:vMerge/>
            <w:tcBorders>
              <w:bottom w:val="single" w:sz="4" w:space="0" w:color="auto"/>
              <w:right w:val="single" w:sz="4" w:space="0" w:color="auto"/>
            </w:tcBorders>
          </w:tcPr>
          <w:p w:rsidR="002220A5" w:rsidRPr="00DC3F97" w:rsidRDefault="002220A5" w:rsidP="00EB4195">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CF</w:t>
            </w:r>
          </w:p>
        </w:tc>
        <w:tc>
          <w:tcPr>
            <w:tcW w:w="709"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CF</w:t>
            </w:r>
          </w:p>
        </w:tc>
        <w:tc>
          <w:tcPr>
            <w:tcW w:w="546"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w:t>
            </w:r>
          </w:p>
        </w:tc>
        <w:tc>
          <w:tcPr>
            <w:tcW w:w="1926" w:type="dxa"/>
            <w:tcBorders>
              <w:top w:val="single" w:sz="4" w:space="0" w:color="auto"/>
              <w:left w:val="single" w:sz="4" w:space="0" w:color="auto"/>
              <w:bottom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CF</w:t>
            </w:r>
          </w:p>
        </w:tc>
        <w:tc>
          <w:tcPr>
            <w:tcW w:w="636" w:type="dxa"/>
            <w:tcBorders>
              <w:top w:val="single" w:sz="4" w:space="0" w:color="auto"/>
              <w:left w:val="single" w:sz="4" w:space="0" w:color="auto"/>
              <w:bottom w:val="single" w:sz="4" w:space="0" w:color="auto"/>
            </w:tcBorders>
          </w:tcPr>
          <w:p w:rsidR="002220A5" w:rsidRPr="00DC3F97" w:rsidRDefault="002220A5" w:rsidP="00EB4195">
            <w:pPr>
              <w:spacing w:after="0"/>
              <w:jc w:val="center"/>
              <w:rPr>
                <w:sz w:val="22"/>
                <w:szCs w:val="22"/>
              </w:rPr>
            </w:pPr>
            <w:r w:rsidRPr="00DC3F97">
              <w:rPr>
                <w:sz w:val="22"/>
                <w:szCs w:val="22"/>
              </w:rPr>
              <w:t>%</w:t>
            </w:r>
          </w:p>
        </w:tc>
      </w:tr>
      <w:tr w:rsidR="002220A5" w:rsidRPr="00DC3F97" w:rsidTr="00DE23C2">
        <w:trPr>
          <w:jc w:val="center"/>
        </w:trPr>
        <w:tc>
          <w:tcPr>
            <w:tcW w:w="1550" w:type="dxa"/>
            <w:tcBorders>
              <w:top w:val="single" w:sz="4" w:space="0" w:color="auto"/>
              <w:right w:val="single" w:sz="4" w:space="0" w:color="auto"/>
            </w:tcBorders>
          </w:tcPr>
          <w:p w:rsidR="002220A5" w:rsidRPr="00DC3F97" w:rsidRDefault="002220A5" w:rsidP="00EB4195">
            <w:pPr>
              <w:spacing w:after="0"/>
              <w:rPr>
                <w:sz w:val="22"/>
                <w:szCs w:val="22"/>
              </w:rPr>
            </w:pPr>
            <w:r w:rsidRPr="00DC3F97">
              <w:rPr>
                <w:snapToGrid w:val="0"/>
                <w:sz w:val="22"/>
                <w:szCs w:val="22"/>
              </w:rPr>
              <w:t>Overall budget</w:t>
            </w:r>
          </w:p>
        </w:tc>
        <w:tc>
          <w:tcPr>
            <w:tcW w:w="1984" w:type="dxa"/>
            <w:tcBorders>
              <w:top w:val="single" w:sz="4" w:space="0" w:color="auto"/>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1 089 365 970 124</w:t>
            </w:r>
          </w:p>
        </w:tc>
        <w:tc>
          <w:tcPr>
            <w:tcW w:w="709" w:type="dxa"/>
            <w:tcBorders>
              <w:top w:val="single" w:sz="4" w:space="0" w:color="auto"/>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100</w:t>
            </w:r>
          </w:p>
        </w:tc>
        <w:tc>
          <w:tcPr>
            <w:tcW w:w="1983" w:type="dxa"/>
            <w:tcBorders>
              <w:top w:val="single" w:sz="4" w:space="0" w:color="auto"/>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1 370 309 606 010</w:t>
            </w:r>
          </w:p>
        </w:tc>
        <w:tc>
          <w:tcPr>
            <w:tcW w:w="546" w:type="dxa"/>
            <w:tcBorders>
              <w:top w:val="single" w:sz="4" w:space="0" w:color="auto"/>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100</w:t>
            </w:r>
          </w:p>
        </w:tc>
        <w:tc>
          <w:tcPr>
            <w:tcW w:w="1926" w:type="dxa"/>
            <w:tcBorders>
              <w:top w:val="single" w:sz="4" w:space="0" w:color="auto"/>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1 781 415 163 097</w:t>
            </w:r>
          </w:p>
        </w:tc>
        <w:tc>
          <w:tcPr>
            <w:tcW w:w="636" w:type="dxa"/>
            <w:tcBorders>
              <w:top w:val="single" w:sz="4" w:space="0" w:color="auto"/>
              <w:left w:val="single" w:sz="4" w:space="0" w:color="auto"/>
            </w:tcBorders>
          </w:tcPr>
          <w:p w:rsidR="002220A5" w:rsidRPr="00DC3F97" w:rsidRDefault="002220A5" w:rsidP="00EB4195">
            <w:pPr>
              <w:spacing w:after="0"/>
              <w:jc w:val="center"/>
              <w:rPr>
                <w:sz w:val="22"/>
                <w:szCs w:val="22"/>
              </w:rPr>
            </w:pPr>
            <w:r w:rsidRPr="00DC3F97">
              <w:rPr>
                <w:sz w:val="22"/>
                <w:szCs w:val="22"/>
              </w:rPr>
              <w:t>100</w:t>
            </w:r>
          </w:p>
        </w:tc>
      </w:tr>
      <w:tr w:rsidR="002220A5" w:rsidRPr="00DC3F97" w:rsidTr="00DE23C2">
        <w:trPr>
          <w:jc w:val="center"/>
        </w:trPr>
        <w:tc>
          <w:tcPr>
            <w:tcW w:w="1550" w:type="dxa"/>
            <w:tcBorders>
              <w:right w:val="single" w:sz="4" w:space="0" w:color="auto"/>
            </w:tcBorders>
          </w:tcPr>
          <w:p w:rsidR="002220A5" w:rsidRPr="00DC3F97" w:rsidRDefault="002220A5" w:rsidP="00EB4195">
            <w:pPr>
              <w:spacing w:after="0"/>
              <w:rPr>
                <w:sz w:val="22"/>
                <w:szCs w:val="22"/>
              </w:rPr>
            </w:pPr>
            <w:r w:rsidRPr="00DC3F97">
              <w:rPr>
                <w:snapToGrid w:val="0"/>
                <w:sz w:val="22"/>
                <w:szCs w:val="22"/>
              </w:rPr>
              <w:t xml:space="preserve">Health </w:t>
            </w:r>
          </w:p>
        </w:tc>
        <w:tc>
          <w:tcPr>
            <w:tcW w:w="1984" w:type="dxa"/>
            <w:tcBorders>
              <w:top w:val="nil"/>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48 009 724 549</w:t>
            </w:r>
          </w:p>
        </w:tc>
        <w:tc>
          <w:tcPr>
            <w:tcW w:w="709" w:type="dxa"/>
            <w:tcBorders>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4.4</w:t>
            </w:r>
          </w:p>
        </w:tc>
        <w:tc>
          <w:tcPr>
            <w:tcW w:w="1983" w:type="dxa"/>
            <w:tcBorders>
              <w:top w:val="nil"/>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49 609 895 796</w:t>
            </w:r>
          </w:p>
        </w:tc>
        <w:tc>
          <w:tcPr>
            <w:tcW w:w="546" w:type="dxa"/>
            <w:tcBorders>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3.6</w:t>
            </w:r>
          </w:p>
        </w:tc>
        <w:tc>
          <w:tcPr>
            <w:tcW w:w="1926" w:type="dxa"/>
            <w:tcBorders>
              <w:top w:val="nil"/>
              <w:left w:val="single" w:sz="4" w:space="0" w:color="auto"/>
              <w:bottom w:val="nil"/>
              <w:right w:val="single" w:sz="4" w:space="0" w:color="auto"/>
            </w:tcBorders>
          </w:tcPr>
          <w:p w:rsidR="002220A5" w:rsidRPr="00DC3F97" w:rsidRDefault="002220A5" w:rsidP="00EB4195">
            <w:pPr>
              <w:spacing w:after="0"/>
              <w:ind w:right="43"/>
              <w:jc w:val="right"/>
              <w:rPr>
                <w:sz w:val="22"/>
                <w:szCs w:val="22"/>
              </w:rPr>
            </w:pPr>
            <w:r w:rsidRPr="00DC3F97">
              <w:rPr>
                <w:sz w:val="22"/>
                <w:szCs w:val="22"/>
              </w:rPr>
              <w:t>53 790 965 188</w:t>
            </w:r>
          </w:p>
        </w:tc>
        <w:tc>
          <w:tcPr>
            <w:tcW w:w="636" w:type="dxa"/>
            <w:tcBorders>
              <w:left w:val="single" w:sz="4" w:space="0" w:color="auto"/>
            </w:tcBorders>
          </w:tcPr>
          <w:p w:rsidR="002220A5" w:rsidRPr="00DC3F97" w:rsidRDefault="002220A5" w:rsidP="00EB4195">
            <w:pPr>
              <w:spacing w:after="0"/>
              <w:jc w:val="center"/>
              <w:rPr>
                <w:sz w:val="22"/>
                <w:szCs w:val="22"/>
              </w:rPr>
            </w:pPr>
            <w:r w:rsidRPr="00DC3F97">
              <w:rPr>
                <w:sz w:val="22"/>
                <w:szCs w:val="22"/>
              </w:rPr>
              <w:t>3.01</w:t>
            </w:r>
          </w:p>
        </w:tc>
      </w:tr>
      <w:tr w:rsidR="002220A5" w:rsidRPr="00DC3F97" w:rsidTr="00DE23C2">
        <w:trPr>
          <w:jc w:val="center"/>
        </w:trPr>
        <w:tc>
          <w:tcPr>
            <w:tcW w:w="1550" w:type="dxa"/>
            <w:tcBorders>
              <w:right w:val="single" w:sz="4" w:space="0" w:color="auto"/>
            </w:tcBorders>
          </w:tcPr>
          <w:p w:rsidR="002220A5" w:rsidRPr="00DC3F97" w:rsidRDefault="002220A5" w:rsidP="00EB4195">
            <w:pPr>
              <w:spacing w:after="0"/>
              <w:rPr>
                <w:sz w:val="22"/>
                <w:szCs w:val="22"/>
              </w:rPr>
            </w:pPr>
            <w:r w:rsidRPr="00DC3F97">
              <w:rPr>
                <w:snapToGrid w:val="0"/>
                <w:sz w:val="22"/>
                <w:szCs w:val="22"/>
              </w:rPr>
              <w:t>Education</w:t>
            </w:r>
          </w:p>
        </w:tc>
        <w:tc>
          <w:tcPr>
            <w:tcW w:w="1984" w:type="dxa"/>
            <w:tcBorders>
              <w:top w:val="nil"/>
              <w:left w:val="single" w:sz="4" w:space="0" w:color="auto"/>
              <w:bottom w:val="single" w:sz="4" w:space="0" w:color="auto"/>
              <w:right w:val="single" w:sz="4" w:space="0" w:color="auto"/>
            </w:tcBorders>
          </w:tcPr>
          <w:p w:rsidR="002220A5" w:rsidRPr="00DC3F97" w:rsidRDefault="002220A5" w:rsidP="00EB4195">
            <w:pPr>
              <w:spacing w:after="0"/>
              <w:ind w:right="43"/>
              <w:jc w:val="right"/>
              <w:rPr>
                <w:sz w:val="22"/>
                <w:szCs w:val="22"/>
              </w:rPr>
            </w:pPr>
            <w:r w:rsidRPr="00DC3F97">
              <w:rPr>
                <w:sz w:val="22"/>
                <w:szCs w:val="22"/>
              </w:rPr>
              <w:t>77 392 284 321</w:t>
            </w:r>
          </w:p>
        </w:tc>
        <w:tc>
          <w:tcPr>
            <w:tcW w:w="709" w:type="dxa"/>
            <w:tcBorders>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7.1</w:t>
            </w:r>
          </w:p>
        </w:tc>
        <w:tc>
          <w:tcPr>
            <w:tcW w:w="1983" w:type="dxa"/>
            <w:tcBorders>
              <w:top w:val="nil"/>
              <w:left w:val="single" w:sz="4" w:space="0" w:color="auto"/>
              <w:bottom w:val="single" w:sz="4" w:space="0" w:color="auto"/>
              <w:right w:val="single" w:sz="4" w:space="0" w:color="auto"/>
            </w:tcBorders>
          </w:tcPr>
          <w:p w:rsidR="002220A5" w:rsidRPr="00DC3F97" w:rsidRDefault="002220A5" w:rsidP="00EB4195">
            <w:pPr>
              <w:spacing w:after="0"/>
              <w:ind w:right="43"/>
              <w:jc w:val="right"/>
              <w:rPr>
                <w:sz w:val="22"/>
                <w:szCs w:val="22"/>
              </w:rPr>
            </w:pPr>
            <w:r w:rsidRPr="00DC3F97">
              <w:rPr>
                <w:sz w:val="22"/>
                <w:szCs w:val="22"/>
              </w:rPr>
              <w:t>107 732 322 606</w:t>
            </w:r>
          </w:p>
        </w:tc>
        <w:tc>
          <w:tcPr>
            <w:tcW w:w="546" w:type="dxa"/>
            <w:tcBorders>
              <w:left w:val="single" w:sz="4" w:space="0" w:color="auto"/>
              <w:right w:val="single" w:sz="4" w:space="0" w:color="auto"/>
            </w:tcBorders>
          </w:tcPr>
          <w:p w:rsidR="002220A5" w:rsidRPr="00DC3F97" w:rsidRDefault="002220A5" w:rsidP="00EB4195">
            <w:pPr>
              <w:spacing w:after="0"/>
              <w:jc w:val="center"/>
              <w:rPr>
                <w:sz w:val="22"/>
                <w:szCs w:val="22"/>
              </w:rPr>
            </w:pPr>
            <w:r w:rsidRPr="00DC3F97">
              <w:rPr>
                <w:sz w:val="22"/>
                <w:szCs w:val="22"/>
              </w:rPr>
              <w:t>7.8</w:t>
            </w:r>
          </w:p>
        </w:tc>
        <w:tc>
          <w:tcPr>
            <w:tcW w:w="1926" w:type="dxa"/>
            <w:tcBorders>
              <w:top w:val="nil"/>
              <w:left w:val="single" w:sz="4" w:space="0" w:color="auto"/>
              <w:bottom w:val="single" w:sz="4" w:space="0" w:color="auto"/>
              <w:right w:val="single" w:sz="4" w:space="0" w:color="auto"/>
            </w:tcBorders>
          </w:tcPr>
          <w:p w:rsidR="002220A5" w:rsidRPr="00DC3F97" w:rsidRDefault="002220A5" w:rsidP="00EB4195">
            <w:pPr>
              <w:spacing w:after="0"/>
              <w:ind w:right="43"/>
              <w:jc w:val="right"/>
              <w:rPr>
                <w:sz w:val="22"/>
                <w:szCs w:val="22"/>
              </w:rPr>
            </w:pPr>
            <w:r w:rsidRPr="00DC3F97">
              <w:rPr>
                <w:sz w:val="22"/>
                <w:szCs w:val="22"/>
              </w:rPr>
              <w:t>146 458 334 625</w:t>
            </w:r>
          </w:p>
        </w:tc>
        <w:tc>
          <w:tcPr>
            <w:tcW w:w="636" w:type="dxa"/>
            <w:tcBorders>
              <w:left w:val="single" w:sz="4" w:space="0" w:color="auto"/>
            </w:tcBorders>
          </w:tcPr>
          <w:p w:rsidR="002220A5" w:rsidRPr="00DC3F97" w:rsidRDefault="002220A5" w:rsidP="00EB4195">
            <w:pPr>
              <w:spacing w:after="0"/>
              <w:jc w:val="center"/>
              <w:rPr>
                <w:sz w:val="22"/>
                <w:szCs w:val="22"/>
              </w:rPr>
            </w:pPr>
            <w:r w:rsidRPr="00DC3F97">
              <w:rPr>
                <w:sz w:val="22"/>
                <w:szCs w:val="22"/>
              </w:rPr>
              <w:t>8.2</w:t>
            </w:r>
          </w:p>
        </w:tc>
      </w:tr>
    </w:tbl>
    <w:p w:rsidR="002220A5" w:rsidRPr="00F8118F" w:rsidRDefault="002220A5" w:rsidP="002220A5">
      <w:pPr>
        <w:adjustRightInd w:val="0"/>
        <w:snapToGrid w:val="0"/>
        <w:spacing w:before="240"/>
        <w:rPr>
          <w:snapToGrid w:val="0"/>
          <w:szCs w:val="24"/>
        </w:rPr>
      </w:pPr>
      <w:r>
        <w:rPr>
          <w:i/>
          <w:snapToGrid w:val="0"/>
          <w:szCs w:val="24"/>
        </w:rPr>
        <w:tab/>
      </w:r>
      <w:r w:rsidRPr="00DC3F97">
        <w:rPr>
          <w:i/>
          <w:snapToGrid w:val="0"/>
          <w:szCs w:val="24"/>
        </w:rPr>
        <w:t>Source</w:t>
      </w:r>
      <w:r>
        <w:rPr>
          <w:snapToGrid w:val="0"/>
          <w:szCs w:val="24"/>
        </w:rPr>
        <w:t xml:space="preserve">: </w:t>
      </w:r>
      <w:r w:rsidRPr="00F8118F">
        <w:rPr>
          <w:snapToGrid w:val="0"/>
          <w:szCs w:val="24"/>
        </w:rPr>
        <w:t>Ministry of the Budg</w:t>
      </w:r>
      <w:r>
        <w:rPr>
          <w:snapToGrid w:val="0"/>
          <w:szCs w:val="24"/>
        </w:rPr>
        <w:t>et, Budget Act 2006, 2007, 2008.</w:t>
      </w:r>
    </w:p>
    <w:p w:rsidR="002220A5" w:rsidRPr="00F8118F" w:rsidRDefault="002220A5" w:rsidP="00B12167">
      <w:pPr>
        <w:adjustRightInd w:val="0"/>
        <w:snapToGrid w:val="0"/>
        <w:spacing w:after="280"/>
        <w:rPr>
          <w:rFonts w:eastAsia="SimSun"/>
          <w:color w:val="000000"/>
          <w:szCs w:val="24"/>
          <w:lang w:eastAsia="zh-CN"/>
        </w:rPr>
      </w:pPr>
      <w:r>
        <w:rPr>
          <w:snapToGrid w:val="0"/>
          <w:szCs w:val="24"/>
        </w:rPr>
        <w:tab/>
      </w:r>
      <w:r w:rsidRPr="00F8118F">
        <w:rPr>
          <w:snapToGrid w:val="0"/>
          <w:szCs w:val="24"/>
        </w:rPr>
        <w:t>With regard to the budget for disarmament, demobilization and reintegration programmes (DDR), it should be pointed out that in their phases I and II (under BUNADER (</w:t>
      </w:r>
      <w:r w:rsidRPr="002220A5">
        <w:rPr>
          <w:color w:val="000000"/>
          <w:szCs w:val="24"/>
          <w:lang w:val="en-US"/>
        </w:rPr>
        <w:t>Bureau national de démobilisation et de réinsertion</w:t>
      </w:r>
      <w:r w:rsidRPr="00F8118F">
        <w:rPr>
          <w:snapToGrid w:val="0"/>
          <w:szCs w:val="24"/>
        </w:rPr>
        <w:t xml:space="preserve"> - </w:t>
      </w:r>
      <w:r w:rsidRPr="00F8118F">
        <w:rPr>
          <w:color w:val="000000"/>
          <w:szCs w:val="24"/>
        </w:rPr>
        <w:t>National Demobilization and Reinsertion Office</w:t>
      </w:r>
      <w:r w:rsidRPr="00F8118F">
        <w:rPr>
          <w:snapToGrid w:val="0"/>
          <w:szCs w:val="24"/>
        </w:rPr>
        <w:t>) and CONADER (</w:t>
      </w:r>
      <w:r w:rsidRPr="00F8118F">
        <w:rPr>
          <w:szCs w:val="24"/>
        </w:rPr>
        <w:t xml:space="preserve">Commission </w:t>
      </w:r>
      <w:r w:rsidRPr="002220A5">
        <w:rPr>
          <w:szCs w:val="24"/>
          <w:lang w:val="en-US"/>
        </w:rPr>
        <w:t>Nationale</w:t>
      </w:r>
      <w:r w:rsidRPr="00F8118F">
        <w:rPr>
          <w:szCs w:val="24"/>
        </w:rPr>
        <w:t xml:space="preserve"> de la Demobilization et Reinsertion - National Commission for Demobilization and Reintegration)</w:t>
      </w:r>
      <w:r w:rsidRPr="00F8118F">
        <w:rPr>
          <w:snapToGrid w:val="0"/>
          <w:szCs w:val="24"/>
        </w:rPr>
        <w:t>), which are now completed, budget appropriations for the DDR programme amounted to about US$ 208 million, including a US$ 108 million donation</w:t>
      </w:r>
      <w:r w:rsidR="0024633F">
        <w:rPr>
          <w:snapToGrid w:val="0"/>
          <w:szCs w:val="24"/>
        </w:rPr>
        <w:t xml:space="preserve"> </w:t>
      </w:r>
      <w:r w:rsidRPr="00F8118F">
        <w:rPr>
          <w:snapToGrid w:val="0"/>
          <w:szCs w:val="24"/>
        </w:rPr>
        <w:t xml:space="preserve">from the IDA/World Bank and US$ 100 million from the </w:t>
      </w:r>
      <w:r w:rsidRPr="00F8118F">
        <w:rPr>
          <w:rFonts w:eastAsia="SimSun"/>
          <w:color w:val="000000"/>
          <w:szCs w:val="24"/>
          <w:lang w:eastAsia="zh-CN"/>
        </w:rPr>
        <w:t>Mul</w:t>
      </w:r>
      <w:r>
        <w:rPr>
          <w:rFonts w:eastAsia="SimSun"/>
          <w:color w:val="000000"/>
          <w:szCs w:val="24"/>
          <w:lang w:eastAsia="zh-CN"/>
        </w:rPr>
        <w:t xml:space="preserve">ti-Donor Trust Fund (MDTF). </w:t>
      </w:r>
      <w:r w:rsidR="00543EE3">
        <w:rPr>
          <w:rFonts w:eastAsia="SimSun"/>
          <w:color w:val="000000"/>
          <w:szCs w:val="24"/>
          <w:lang w:eastAsia="zh-CN"/>
        </w:rPr>
        <w:t xml:space="preserve">The </w:t>
      </w:r>
      <w:r w:rsidRPr="00F8118F">
        <w:rPr>
          <w:rFonts w:eastAsia="SimSun"/>
          <w:color w:val="000000"/>
          <w:szCs w:val="24"/>
          <w:lang w:eastAsia="zh-CN"/>
        </w:rPr>
        <w:t>f</w:t>
      </w:r>
      <w:r>
        <w:rPr>
          <w:rFonts w:eastAsia="SimSun"/>
          <w:color w:val="000000"/>
          <w:szCs w:val="24"/>
          <w:lang w:eastAsia="zh-CN"/>
        </w:rPr>
        <w:t>unding was administered by the C</w:t>
      </w:r>
      <w:r w:rsidRPr="00F8118F">
        <w:rPr>
          <w:rFonts w:eastAsia="SimSun"/>
          <w:color w:val="000000"/>
          <w:szCs w:val="24"/>
          <w:lang w:eastAsia="zh-CN"/>
        </w:rPr>
        <w:t>ommittee for the administration of disarmament,</w:t>
      </w:r>
      <w:r w:rsidR="00543EE3">
        <w:rPr>
          <w:rFonts w:eastAsia="SimSun"/>
          <w:color w:val="000000"/>
          <w:szCs w:val="24"/>
          <w:lang w:eastAsia="zh-CN"/>
        </w:rPr>
        <w:t xml:space="preserve"> </w:t>
      </w:r>
      <w:r w:rsidRPr="00F8118F">
        <w:rPr>
          <w:rFonts w:eastAsia="SimSun"/>
          <w:color w:val="000000"/>
          <w:szCs w:val="24"/>
          <w:lang w:eastAsia="zh-CN"/>
        </w:rPr>
        <w:t>demobilization and reintegration resources (CGFDR), establishe</w:t>
      </w:r>
      <w:r>
        <w:rPr>
          <w:rFonts w:eastAsia="SimSun"/>
          <w:color w:val="000000"/>
          <w:szCs w:val="24"/>
          <w:lang w:eastAsia="zh-CN"/>
        </w:rPr>
        <w:t>d pursuant to Decree No. 03/043 </w:t>
      </w:r>
      <w:r w:rsidRPr="00F8118F">
        <w:rPr>
          <w:rFonts w:eastAsia="SimSun"/>
          <w:color w:val="000000"/>
          <w:szCs w:val="24"/>
          <w:lang w:eastAsia="zh-CN"/>
        </w:rPr>
        <w:t xml:space="preserve">of 18 December 2003. In its </w:t>
      </w:r>
      <w:r>
        <w:rPr>
          <w:rFonts w:eastAsia="SimSun"/>
          <w:color w:val="000000"/>
          <w:szCs w:val="24"/>
          <w:lang w:eastAsia="zh-CN"/>
        </w:rPr>
        <w:t>work</w:t>
      </w:r>
      <w:r w:rsidRPr="00F8118F">
        <w:rPr>
          <w:rFonts w:eastAsia="SimSun"/>
          <w:color w:val="000000"/>
          <w:szCs w:val="24"/>
          <w:lang w:eastAsia="zh-CN"/>
        </w:rPr>
        <w:t xml:space="preserve"> on</w:t>
      </w:r>
      <w:r>
        <w:rPr>
          <w:rFonts w:eastAsia="SimSun"/>
          <w:color w:val="000000"/>
          <w:szCs w:val="24"/>
          <w:lang w:eastAsia="zh-CN"/>
        </w:rPr>
        <w:t xml:space="preserve"> behalf of </w:t>
      </w:r>
      <w:r w:rsidRPr="00F8118F">
        <w:rPr>
          <w:rFonts w:eastAsia="SimSun"/>
          <w:color w:val="000000"/>
          <w:szCs w:val="24"/>
          <w:lang w:eastAsia="zh-CN"/>
        </w:rPr>
        <w:t>children, the DDR programme assisted 30,594 children released by the armed forces and armed groups through phases devoted to the search for families, family reunifica</w:t>
      </w:r>
      <w:r w:rsidR="00DE23C2">
        <w:rPr>
          <w:rFonts w:eastAsia="SimSun"/>
          <w:color w:val="000000"/>
          <w:szCs w:val="24"/>
          <w:lang w:eastAsia="zh-CN"/>
        </w:rPr>
        <w:t>tion and reintegration support.</w:t>
      </w:r>
    </w:p>
    <w:p w:rsidR="002220A5" w:rsidRPr="00F8118F" w:rsidRDefault="002220A5" w:rsidP="00B12167">
      <w:pPr>
        <w:adjustRightInd w:val="0"/>
        <w:snapToGrid w:val="0"/>
        <w:spacing w:after="280"/>
        <w:rPr>
          <w:rFonts w:eastAsia="SimSun"/>
          <w:color w:val="000000"/>
          <w:szCs w:val="24"/>
          <w:lang w:eastAsia="zh-CN"/>
        </w:rPr>
      </w:pPr>
      <w:r>
        <w:rPr>
          <w:rFonts w:eastAsia="SimSun"/>
          <w:color w:val="000000"/>
          <w:szCs w:val="24"/>
          <w:lang w:eastAsia="zh-CN"/>
        </w:rPr>
        <w:tab/>
        <w:t>P</w:t>
      </w:r>
      <w:r w:rsidRPr="00F8118F">
        <w:rPr>
          <w:rFonts w:eastAsia="SimSun"/>
          <w:color w:val="000000"/>
          <w:szCs w:val="24"/>
          <w:lang w:eastAsia="zh-CN"/>
        </w:rPr>
        <w:t>hase III, which is being carried out by the DDR impl</w:t>
      </w:r>
      <w:r>
        <w:rPr>
          <w:rFonts w:eastAsia="SimSun"/>
          <w:color w:val="000000"/>
          <w:szCs w:val="24"/>
          <w:lang w:eastAsia="zh-CN"/>
        </w:rPr>
        <w:t>ementation unit (UEPN-DDR), has </w:t>
      </w:r>
      <w:r w:rsidRPr="00F8118F">
        <w:rPr>
          <w:rFonts w:eastAsia="SimSun"/>
          <w:color w:val="000000"/>
          <w:szCs w:val="24"/>
          <w:lang w:eastAsia="zh-CN"/>
        </w:rPr>
        <w:t xml:space="preserve">received US$ 72 million in funding, including US$ 50 million from the World Bank and US$ 22 million from the </w:t>
      </w:r>
      <w:r w:rsidR="00DE23C2">
        <w:rPr>
          <w:rFonts w:eastAsia="SimSun"/>
          <w:color w:val="000000"/>
          <w:szCs w:val="24"/>
          <w:lang w:eastAsia="zh-CN"/>
        </w:rPr>
        <w:t>African Development Bank (ADB).</w:t>
      </w:r>
    </w:p>
    <w:p w:rsidR="002220A5" w:rsidRPr="00F8118F" w:rsidRDefault="002220A5" w:rsidP="00AF4039">
      <w:pPr>
        <w:pStyle w:val="Heading5"/>
        <w:ind w:left="567" w:hanging="567"/>
      </w:pPr>
      <w:r w:rsidRPr="00F8118F">
        <w:t>2.</w:t>
      </w:r>
      <w:r w:rsidRPr="00F8118F">
        <w:tab/>
        <w:t>With reference to children deprived of a family environment and separated from their parents, please provide disaggregated data (by sex, age group, and urban or rural area) for the years 2005, 2006 and</w:t>
      </w:r>
      <w:r w:rsidR="001276BC">
        <w:t xml:space="preserve"> 2007 on the number of children:</w:t>
      </w:r>
    </w:p>
    <w:p w:rsidR="002220A5" w:rsidRPr="00F8118F" w:rsidRDefault="002220A5" w:rsidP="002220A5">
      <w:pPr>
        <w:pStyle w:val="Heading5"/>
      </w:pPr>
      <w:r w:rsidRPr="00F8118F">
        <w:tab/>
        <w:t>(a)</w:t>
      </w:r>
      <w:r w:rsidRPr="00F8118F">
        <w:tab/>
        <w:t>Separated from their parents;</w:t>
      </w:r>
    </w:p>
    <w:p w:rsidR="002220A5" w:rsidRPr="00F8118F" w:rsidRDefault="002220A5" w:rsidP="002220A5">
      <w:pPr>
        <w:pStyle w:val="Heading5"/>
      </w:pPr>
      <w:r w:rsidRPr="00F8118F">
        <w:tab/>
        <w:t>(b)</w:t>
      </w:r>
      <w:r w:rsidRPr="00F8118F">
        <w:tab/>
        <w:t>Placed in institutions (give the number of institutions in the country);</w:t>
      </w:r>
    </w:p>
    <w:p w:rsidR="002220A5" w:rsidRPr="00F8118F" w:rsidRDefault="002220A5" w:rsidP="002220A5">
      <w:pPr>
        <w:pStyle w:val="Heading5"/>
      </w:pPr>
      <w:r w:rsidRPr="00F8118F">
        <w:tab/>
        <w:t>(c)</w:t>
      </w:r>
      <w:r w:rsidRPr="00F8118F">
        <w:tab/>
        <w:t>Placed with foster families;</w:t>
      </w:r>
    </w:p>
    <w:p w:rsidR="002220A5" w:rsidRPr="00F8118F" w:rsidRDefault="002220A5" w:rsidP="002220A5">
      <w:pPr>
        <w:pStyle w:val="Heading5"/>
      </w:pPr>
      <w:r w:rsidRPr="00F8118F">
        <w:tab/>
        <w:t>(d)</w:t>
      </w:r>
      <w:r w:rsidRPr="00F8118F">
        <w:tab/>
        <w:t>Adopted domestically or abroad.</w:t>
      </w:r>
    </w:p>
    <w:p w:rsidR="002220A5" w:rsidRPr="00F8118F" w:rsidRDefault="002220A5" w:rsidP="002220A5">
      <w:pPr>
        <w:rPr>
          <w:color w:val="000000"/>
          <w:szCs w:val="24"/>
        </w:rPr>
      </w:pPr>
      <w:r>
        <w:rPr>
          <w:szCs w:val="24"/>
        </w:rPr>
        <w:tab/>
      </w:r>
      <w:r w:rsidRPr="00F8118F">
        <w:rPr>
          <w:szCs w:val="24"/>
        </w:rPr>
        <w:t xml:space="preserve">As indicated in paragraph 134 of the second report, </w:t>
      </w:r>
      <w:r w:rsidRPr="00F8118F">
        <w:rPr>
          <w:color w:val="000000"/>
          <w:szCs w:val="24"/>
        </w:rPr>
        <w:t xml:space="preserve">children </w:t>
      </w:r>
      <w:r>
        <w:rPr>
          <w:color w:val="000000"/>
          <w:szCs w:val="24"/>
        </w:rPr>
        <w:t>away from their</w:t>
      </w:r>
      <w:r w:rsidRPr="00F8118F">
        <w:rPr>
          <w:color w:val="000000"/>
          <w:szCs w:val="24"/>
        </w:rPr>
        <w:t xml:space="preserve"> families who live and work in the street have been estimated to number over 40,000 in the country</w:t>
      </w:r>
      <w:r w:rsidR="00F651A6">
        <w:rPr>
          <w:color w:val="000000"/>
          <w:szCs w:val="24"/>
        </w:rPr>
        <w:t>’</w:t>
      </w:r>
      <w:r w:rsidRPr="00F8118F">
        <w:rPr>
          <w:color w:val="000000"/>
          <w:szCs w:val="24"/>
        </w:rPr>
        <w:t>s large urban areas,</w:t>
      </w:r>
      <w:r>
        <w:rPr>
          <w:color w:val="000000"/>
          <w:szCs w:val="24"/>
        </w:rPr>
        <w:t xml:space="preserve"> including 13,643 in Kinshasa (</w:t>
      </w:r>
      <w:r w:rsidRPr="00FC3E28">
        <w:rPr>
          <w:i/>
          <w:color w:val="000000"/>
          <w:szCs w:val="24"/>
        </w:rPr>
        <w:t>Source</w:t>
      </w:r>
      <w:r w:rsidRPr="00F8118F">
        <w:rPr>
          <w:color w:val="000000"/>
          <w:szCs w:val="24"/>
        </w:rPr>
        <w:t>: REEJER, Summary of results of survey of street children in the city and province of Kinshasa, October 2006 and March 2007).</w:t>
      </w:r>
    </w:p>
    <w:p w:rsidR="002220A5" w:rsidRPr="00F8118F" w:rsidRDefault="002220A5" w:rsidP="002220A5">
      <w:pPr>
        <w:pStyle w:val="Heading5"/>
        <w:ind w:left="567" w:hanging="567"/>
      </w:pPr>
      <w:r w:rsidRPr="00F8118F">
        <w:t>3.</w:t>
      </w:r>
      <w:r w:rsidRPr="00F8118F">
        <w:tab/>
        <w:t>Please provide disaggregated data (by sex, age group and urban or rural area) on the number of children:</w:t>
      </w:r>
    </w:p>
    <w:p w:rsidR="002220A5" w:rsidRPr="00F8118F" w:rsidRDefault="002220A5" w:rsidP="002220A5">
      <w:pPr>
        <w:pStyle w:val="Heading5"/>
      </w:pPr>
      <w:r>
        <w:tab/>
        <w:t>(a) and (b)</w:t>
      </w:r>
      <w:r>
        <w:tab/>
      </w:r>
      <w:r w:rsidRPr="00F8118F">
        <w:t>Demobilized from the army and from armed groups</w:t>
      </w:r>
      <w:r>
        <w:t>;</w:t>
      </w:r>
    </w:p>
    <w:p w:rsidR="002220A5" w:rsidRPr="00F8118F" w:rsidRDefault="002220A5" w:rsidP="002220A5">
      <w:pPr>
        <w:rPr>
          <w:color w:val="000000"/>
          <w:szCs w:val="24"/>
        </w:rPr>
      </w:pPr>
      <w:r>
        <w:rPr>
          <w:szCs w:val="24"/>
        </w:rPr>
        <w:tab/>
        <w:t xml:space="preserve">By </w:t>
      </w:r>
      <w:r w:rsidRPr="00F8118F">
        <w:rPr>
          <w:szCs w:val="24"/>
        </w:rPr>
        <w:t xml:space="preserve">31 December 2007, of the 39,594 </w:t>
      </w:r>
      <w:r w:rsidRPr="00F8118F">
        <w:rPr>
          <w:color w:val="000000"/>
          <w:szCs w:val="24"/>
        </w:rPr>
        <w:t>children involved with armed forces and armed groups (EAFGA), 30,594, of whom approximately 12 per cent were girls, had been removed from the fighting forces of both the armed forces of the Democratic Republic of the Congo and armed groups (</w:t>
      </w:r>
      <w:r w:rsidRPr="00FC3E28">
        <w:rPr>
          <w:i/>
          <w:color w:val="000000"/>
          <w:szCs w:val="24"/>
        </w:rPr>
        <w:t>Source</w:t>
      </w:r>
      <w:r w:rsidRPr="00F8118F">
        <w:rPr>
          <w:color w:val="000000"/>
          <w:szCs w:val="24"/>
        </w:rPr>
        <w:t xml:space="preserve">: UEPN-DDR, </w:t>
      </w:r>
      <w:r w:rsidR="00F651A6">
        <w:rPr>
          <w:color w:val="000000"/>
          <w:szCs w:val="24"/>
        </w:rPr>
        <w:t>“</w:t>
      </w:r>
      <w:r w:rsidRPr="00F8118F">
        <w:rPr>
          <w:color w:val="000000"/>
          <w:szCs w:val="24"/>
        </w:rPr>
        <w:t>Zero EAFGA</w:t>
      </w:r>
      <w:r w:rsidR="00F651A6">
        <w:rPr>
          <w:color w:val="000000"/>
          <w:szCs w:val="24"/>
        </w:rPr>
        <w:t>”</w:t>
      </w:r>
      <w:r w:rsidRPr="00F8118F">
        <w:rPr>
          <w:color w:val="000000"/>
          <w:szCs w:val="24"/>
        </w:rPr>
        <w:t xml:space="preserve"> campaign in the DRC, May 2008).</w:t>
      </w:r>
    </w:p>
    <w:p w:rsidR="002220A5" w:rsidRPr="00F8118F" w:rsidRDefault="002220A5" w:rsidP="002220A5">
      <w:pPr>
        <w:rPr>
          <w:color w:val="000000"/>
          <w:szCs w:val="24"/>
        </w:rPr>
      </w:pPr>
      <w:r>
        <w:rPr>
          <w:color w:val="000000"/>
          <w:szCs w:val="24"/>
        </w:rPr>
        <w:tab/>
      </w:r>
      <w:r w:rsidRPr="00F8118F">
        <w:rPr>
          <w:color w:val="000000"/>
          <w:szCs w:val="24"/>
        </w:rPr>
        <w:t>As to the age of children involved in armed conflicts, the data from the field survey conducted by the Ministry of Justice and Human Rights in December 2007 and May 2008 in Bukavu, Bunia, Gbadolite, Kalemie and Kindu with public institutions, international organizations, national and international NGOs and children removed from the armed forces and armed groups indicated an average age of 12.5 year</w:t>
      </w:r>
      <w:r>
        <w:rPr>
          <w:color w:val="000000"/>
          <w:szCs w:val="24"/>
        </w:rPr>
        <w:t xml:space="preserve">s. The youngest child was 8 </w:t>
      </w:r>
      <w:r w:rsidRPr="00F8118F">
        <w:rPr>
          <w:color w:val="000000"/>
          <w:szCs w:val="24"/>
        </w:rPr>
        <w:t>years old at the time of enlistment and the oldest 17 (unpublished report).</w:t>
      </w:r>
    </w:p>
    <w:p w:rsidR="002220A5" w:rsidRPr="00F8118F" w:rsidRDefault="002220A5" w:rsidP="002220A5">
      <w:pPr>
        <w:pStyle w:val="Heading5"/>
      </w:pPr>
      <w:r>
        <w:tab/>
      </w:r>
      <w:r w:rsidRPr="00F8118F">
        <w:t>(c)</w:t>
      </w:r>
      <w:r w:rsidRPr="00F8118F">
        <w:tab/>
        <w:t>Who have received counselling or support services</w:t>
      </w:r>
      <w:r>
        <w:t>;</w:t>
      </w:r>
    </w:p>
    <w:p w:rsidR="002220A5" w:rsidRPr="00F8118F" w:rsidRDefault="002220A5" w:rsidP="002220A5">
      <w:pPr>
        <w:pStyle w:val="Heading5"/>
      </w:pPr>
      <w:r>
        <w:tab/>
      </w:r>
      <w:r w:rsidRPr="00F8118F">
        <w:t>(d)</w:t>
      </w:r>
      <w:r w:rsidRPr="00F8118F">
        <w:tab/>
        <w:t>Reunited with their families or reintegrated into their communities.</w:t>
      </w:r>
    </w:p>
    <w:p w:rsidR="002220A5" w:rsidRPr="00F8118F" w:rsidRDefault="002220A5" w:rsidP="002220A5">
      <w:pPr>
        <w:rPr>
          <w:szCs w:val="24"/>
        </w:rPr>
      </w:pPr>
      <w:r>
        <w:rPr>
          <w:szCs w:val="24"/>
        </w:rPr>
        <w:tab/>
      </w:r>
      <w:r w:rsidRPr="00F8118F">
        <w:rPr>
          <w:szCs w:val="24"/>
        </w:rPr>
        <w:t xml:space="preserve">Providing the necessary assistance for the physical and psychological rehabilitation as well as social reintegration of children who have left the armed forces or armed groups has been part of the DDR programme since its inception in 2001. </w:t>
      </w:r>
      <w:r>
        <w:rPr>
          <w:szCs w:val="24"/>
        </w:rPr>
        <w:t>Generally</w:t>
      </w:r>
      <w:r w:rsidRPr="00F8118F">
        <w:rPr>
          <w:szCs w:val="24"/>
        </w:rPr>
        <w:t xml:space="preserve"> speaking, the process </w:t>
      </w:r>
      <w:r>
        <w:rPr>
          <w:szCs w:val="24"/>
        </w:rPr>
        <w:t>of</w:t>
      </w:r>
      <w:r w:rsidRPr="00F8118F">
        <w:rPr>
          <w:szCs w:val="24"/>
        </w:rPr>
        <w:t xml:space="preserve"> psychological counselling and assistance in family and community reintegration </w:t>
      </w:r>
      <w:r>
        <w:rPr>
          <w:szCs w:val="24"/>
        </w:rPr>
        <w:t>is as follows:</w:t>
      </w:r>
    </w:p>
    <w:p w:rsidR="00AF4039" w:rsidRDefault="002220A5" w:rsidP="002220A5">
      <w:pPr>
        <w:rPr>
          <w:color w:val="000000"/>
          <w:szCs w:val="24"/>
        </w:rPr>
      </w:pPr>
      <w:r>
        <w:rPr>
          <w:szCs w:val="24"/>
        </w:rPr>
        <w:tab/>
      </w:r>
      <w:r w:rsidRPr="00F8118F">
        <w:rPr>
          <w:szCs w:val="24"/>
        </w:rPr>
        <w:t>(a)</w:t>
      </w:r>
      <w:r w:rsidRPr="00F8118F">
        <w:rPr>
          <w:szCs w:val="24"/>
        </w:rPr>
        <w:tab/>
        <w:t>Children removed from the armed forces and armed groups whose families can be easil</w:t>
      </w:r>
      <w:r>
        <w:rPr>
          <w:szCs w:val="24"/>
        </w:rPr>
        <w:t>y contacted are directly reunit</w:t>
      </w:r>
      <w:r w:rsidRPr="00F8118F">
        <w:rPr>
          <w:szCs w:val="24"/>
        </w:rPr>
        <w:t xml:space="preserve">ed with them as soon as they arrive at the </w:t>
      </w:r>
      <w:r w:rsidR="00F651A6">
        <w:rPr>
          <w:color w:val="000000"/>
          <w:szCs w:val="24"/>
        </w:rPr>
        <w:t>“</w:t>
      </w:r>
      <w:r w:rsidRPr="00F8118F">
        <w:rPr>
          <w:color w:val="000000"/>
          <w:szCs w:val="24"/>
        </w:rPr>
        <w:t>peace villages</w:t>
      </w:r>
      <w:r w:rsidR="00F651A6">
        <w:rPr>
          <w:color w:val="000000"/>
          <w:szCs w:val="24"/>
        </w:rPr>
        <w:t>”</w:t>
      </w:r>
      <w:r w:rsidRPr="00F8118F">
        <w:rPr>
          <w:color w:val="000000"/>
          <w:szCs w:val="24"/>
        </w:rPr>
        <w:t xml:space="preserve"> (</w:t>
      </w:r>
      <w:r w:rsidRPr="002220A5">
        <w:rPr>
          <w:color w:val="000000"/>
          <w:szCs w:val="24"/>
          <w:lang w:val="en-US"/>
        </w:rPr>
        <w:t>structures d</w:t>
      </w:r>
      <w:r w:rsidR="00F651A6">
        <w:rPr>
          <w:color w:val="000000"/>
          <w:szCs w:val="24"/>
          <w:lang w:val="en-US"/>
        </w:rPr>
        <w:t>’</w:t>
      </w:r>
      <w:r w:rsidRPr="002220A5">
        <w:rPr>
          <w:color w:val="000000"/>
          <w:szCs w:val="24"/>
          <w:lang w:val="en-US"/>
        </w:rPr>
        <w:t>encadrement transitoire</w:t>
      </w:r>
      <w:r w:rsidRPr="00F8118F">
        <w:rPr>
          <w:color w:val="000000"/>
          <w:szCs w:val="24"/>
        </w:rPr>
        <w:t xml:space="preserve"> (SET));</w:t>
      </w:r>
    </w:p>
    <w:p w:rsidR="002220A5" w:rsidRPr="00F8118F" w:rsidRDefault="002220A5" w:rsidP="002220A5">
      <w:pPr>
        <w:rPr>
          <w:color w:val="000000"/>
          <w:szCs w:val="24"/>
        </w:rPr>
      </w:pPr>
      <w:r>
        <w:rPr>
          <w:color w:val="000000"/>
          <w:szCs w:val="24"/>
        </w:rPr>
        <w:tab/>
      </w:r>
      <w:r w:rsidR="00B667B2">
        <w:rPr>
          <w:color w:val="000000"/>
          <w:szCs w:val="24"/>
        </w:rPr>
        <w:t>(b)</w:t>
      </w:r>
      <w:r w:rsidRPr="00F8118F">
        <w:rPr>
          <w:color w:val="000000"/>
          <w:szCs w:val="24"/>
        </w:rPr>
        <w:tab/>
        <w:t xml:space="preserve">Children who must stay a </w:t>
      </w:r>
      <w:r>
        <w:rPr>
          <w:color w:val="000000"/>
          <w:szCs w:val="24"/>
        </w:rPr>
        <w:t>little</w:t>
      </w:r>
      <w:r w:rsidRPr="00F8118F">
        <w:rPr>
          <w:color w:val="000000"/>
          <w:szCs w:val="24"/>
        </w:rPr>
        <w:t xml:space="preserve"> longer in the SETs receive a </w:t>
      </w:r>
      <w:r>
        <w:rPr>
          <w:color w:val="000000"/>
          <w:szCs w:val="24"/>
        </w:rPr>
        <w:t>token</w:t>
      </w:r>
      <w:r w:rsidRPr="00F8118F">
        <w:rPr>
          <w:color w:val="000000"/>
          <w:szCs w:val="24"/>
        </w:rPr>
        <w:t xml:space="preserve"> </w:t>
      </w:r>
      <w:r w:rsidR="00F651A6">
        <w:rPr>
          <w:color w:val="000000"/>
          <w:szCs w:val="24"/>
        </w:rPr>
        <w:t>“</w:t>
      </w:r>
      <w:r w:rsidRPr="00F8118F">
        <w:rPr>
          <w:color w:val="000000"/>
          <w:szCs w:val="24"/>
        </w:rPr>
        <w:t>civilian life</w:t>
      </w:r>
      <w:r w:rsidR="00F651A6">
        <w:rPr>
          <w:color w:val="000000"/>
          <w:szCs w:val="24"/>
        </w:rPr>
        <w:t>”</w:t>
      </w:r>
      <w:r w:rsidRPr="00F8118F">
        <w:rPr>
          <w:color w:val="000000"/>
          <w:szCs w:val="24"/>
        </w:rPr>
        <w:t xml:space="preserve"> kit containing clothing, shoes,</w:t>
      </w:r>
      <w:r>
        <w:rPr>
          <w:color w:val="000000"/>
          <w:szCs w:val="24"/>
        </w:rPr>
        <w:t xml:space="preserve"> bed</w:t>
      </w:r>
      <w:r w:rsidRPr="00F8118F">
        <w:rPr>
          <w:color w:val="000000"/>
          <w:szCs w:val="24"/>
        </w:rPr>
        <w:t xml:space="preserve"> linen and kitchen utensils. They are also given a medical examination. Counselling sessions are held with them throughout their stay at the centre. Their educational level is assessed, and children found to have very weak skills take remedial classes in reading and writing and in basic education (rules of good behaviour and manners). Other socio-cultural and sports</w:t>
      </w:r>
      <w:r w:rsidR="001276BC">
        <w:rPr>
          <w:color w:val="000000"/>
          <w:szCs w:val="24"/>
        </w:rPr>
        <w:t xml:space="preserve"> activities are also organized.</w:t>
      </w:r>
    </w:p>
    <w:p w:rsidR="002220A5" w:rsidRPr="00F8118F" w:rsidRDefault="002220A5" w:rsidP="002220A5">
      <w:pPr>
        <w:rPr>
          <w:color w:val="000000"/>
          <w:szCs w:val="24"/>
        </w:rPr>
      </w:pPr>
      <w:r>
        <w:rPr>
          <w:color w:val="000000"/>
          <w:szCs w:val="24"/>
        </w:rPr>
        <w:tab/>
      </w:r>
      <w:r w:rsidRPr="00F8118F">
        <w:rPr>
          <w:color w:val="000000"/>
          <w:szCs w:val="24"/>
        </w:rPr>
        <w:t xml:space="preserve">At the same time, the search for families is started, followed, as appropriate, by mediation aimed at achieving reunification. If mediation fails or if </w:t>
      </w:r>
      <w:r>
        <w:rPr>
          <w:color w:val="000000"/>
          <w:szCs w:val="24"/>
        </w:rPr>
        <w:t xml:space="preserve">the </w:t>
      </w:r>
      <w:r w:rsidRPr="00F8118F">
        <w:rPr>
          <w:color w:val="000000"/>
          <w:szCs w:val="24"/>
        </w:rPr>
        <w:t xml:space="preserve">children are unable to find their biological family, they are placed with a </w:t>
      </w:r>
      <w:r w:rsidR="00F651A6">
        <w:rPr>
          <w:color w:val="000000"/>
          <w:szCs w:val="24"/>
        </w:rPr>
        <w:t>“</w:t>
      </w:r>
      <w:r w:rsidRPr="00F8118F">
        <w:rPr>
          <w:color w:val="000000"/>
          <w:szCs w:val="24"/>
        </w:rPr>
        <w:t>temporary foster family</w:t>
      </w:r>
      <w:r w:rsidR="00F651A6">
        <w:rPr>
          <w:color w:val="000000"/>
          <w:szCs w:val="24"/>
        </w:rPr>
        <w:t>”</w:t>
      </w:r>
      <w:r w:rsidRPr="00F8118F">
        <w:rPr>
          <w:color w:val="000000"/>
          <w:szCs w:val="24"/>
        </w:rPr>
        <w:t>, which is pre-selected by the DDR implementation unit in accordance with criteria set by the operating handbook on the prevention, withdrawal and care of children involved with armed forces and armed groups.</w:t>
      </w:r>
    </w:p>
    <w:p w:rsidR="00B667B2" w:rsidRDefault="002220A5" w:rsidP="002220A5">
      <w:pPr>
        <w:rPr>
          <w:color w:val="000000"/>
          <w:szCs w:val="24"/>
        </w:rPr>
      </w:pPr>
      <w:r>
        <w:rPr>
          <w:color w:val="000000"/>
          <w:szCs w:val="24"/>
        </w:rPr>
        <w:tab/>
      </w:r>
      <w:r w:rsidRPr="00F8118F">
        <w:rPr>
          <w:color w:val="000000"/>
          <w:szCs w:val="24"/>
        </w:rPr>
        <w:t>Reintegration</w:t>
      </w:r>
      <w:r>
        <w:rPr>
          <w:color w:val="000000"/>
          <w:szCs w:val="24"/>
        </w:rPr>
        <w:t xml:space="preserve"> is undertaken</w:t>
      </w:r>
      <w:r w:rsidRPr="00F8118F">
        <w:rPr>
          <w:color w:val="000000"/>
          <w:szCs w:val="24"/>
        </w:rPr>
        <w:t xml:space="preserve"> on the b</w:t>
      </w:r>
      <w:r>
        <w:rPr>
          <w:color w:val="000000"/>
          <w:szCs w:val="24"/>
        </w:rPr>
        <w:t xml:space="preserve">asis of the educational projects of </w:t>
      </w:r>
      <w:r w:rsidRPr="00F8118F">
        <w:rPr>
          <w:color w:val="000000"/>
          <w:szCs w:val="24"/>
        </w:rPr>
        <w:t xml:space="preserve">the </w:t>
      </w:r>
      <w:r w:rsidR="00F651A6">
        <w:rPr>
          <w:color w:val="000000"/>
          <w:szCs w:val="24"/>
        </w:rPr>
        <w:t>“</w:t>
      </w:r>
      <w:r w:rsidRPr="00F8118F">
        <w:rPr>
          <w:color w:val="000000"/>
          <w:szCs w:val="24"/>
        </w:rPr>
        <w:t>peace villages</w:t>
      </w:r>
      <w:r w:rsidR="00F651A6">
        <w:rPr>
          <w:color w:val="000000"/>
          <w:szCs w:val="24"/>
        </w:rPr>
        <w:t>”</w:t>
      </w:r>
      <w:r w:rsidRPr="00F8118F">
        <w:rPr>
          <w:color w:val="000000"/>
          <w:szCs w:val="24"/>
        </w:rPr>
        <w:t xml:space="preserve"> in </w:t>
      </w:r>
      <w:r>
        <w:rPr>
          <w:color w:val="000000"/>
          <w:szCs w:val="24"/>
        </w:rPr>
        <w:t>the form</w:t>
      </w:r>
      <w:r w:rsidRPr="00F8118F">
        <w:rPr>
          <w:color w:val="000000"/>
          <w:szCs w:val="24"/>
        </w:rPr>
        <w:t xml:space="preserve"> of occupational </w:t>
      </w:r>
      <w:r>
        <w:rPr>
          <w:color w:val="000000"/>
          <w:szCs w:val="24"/>
        </w:rPr>
        <w:t>or</w:t>
      </w:r>
      <w:r w:rsidRPr="00F8118F">
        <w:rPr>
          <w:color w:val="000000"/>
          <w:szCs w:val="24"/>
        </w:rPr>
        <w:t xml:space="preserve"> educational </w:t>
      </w:r>
      <w:r>
        <w:rPr>
          <w:color w:val="000000"/>
          <w:szCs w:val="24"/>
        </w:rPr>
        <w:t>guidance. The following occupations are the most common:</w:t>
      </w:r>
    </w:p>
    <w:p w:rsidR="002220A5" w:rsidRPr="00F8118F" w:rsidRDefault="00B667B2" w:rsidP="00B667B2">
      <w:pPr>
        <w:numPr>
          <w:ilvl w:val="0"/>
          <w:numId w:val="9"/>
        </w:numPr>
        <w:rPr>
          <w:color w:val="000000"/>
          <w:szCs w:val="24"/>
        </w:rPr>
      </w:pPr>
      <w:r>
        <w:rPr>
          <w:color w:val="000000"/>
          <w:szCs w:val="24"/>
        </w:rPr>
        <w:br w:type="page"/>
      </w:r>
      <w:r w:rsidR="002220A5" w:rsidRPr="00F8118F">
        <w:rPr>
          <w:color w:val="000000"/>
          <w:szCs w:val="24"/>
        </w:rPr>
        <w:t>Bakery and confectionery trade</w:t>
      </w:r>
    </w:p>
    <w:p w:rsidR="002220A5" w:rsidRPr="00F8118F" w:rsidRDefault="002220A5" w:rsidP="002220A5">
      <w:pPr>
        <w:numPr>
          <w:ilvl w:val="0"/>
          <w:numId w:val="9"/>
        </w:numPr>
        <w:rPr>
          <w:color w:val="000000"/>
          <w:szCs w:val="24"/>
        </w:rPr>
      </w:pPr>
      <w:r w:rsidRPr="00F8118F">
        <w:rPr>
          <w:color w:val="000000"/>
          <w:szCs w:val="24"/>
        </w:rPr>
        <w:t>Sewing and dressmaking</w:t>
      </w:r>
    </w:p>
    <w:p w:rsidR="002220A5" w:rsidRPr="00F8118F" w:rsidRDefault="002220A5" w:rsidP="002220A5">
      <w:pPr>
        <w:numPr>
          <w:ilvl w:val="0"/>
          <w:numId w:val="9"/>
        </w:numPr>
        <w:rPr>
          <w:color w:val="000000"/>
          <w:szCs w:val="24"/>
        </w:rPr>
      </w:pPr>
      <w:r w:rsidRPr="00F8118F">
        <w:rPr>
          <w:color w:val="000000"/>
          <w:szCs w:val="24"/>
        </w:rPr>
        <w:t>Bicycle and motorcycle repairs</w:t>
      </w:r>
    </w:p>
    <w:p w:rsidR="002220A5" w:rsidRPr="00F8118F" w:rsidRDefault="002220A5" w:rsidP="002220A5">
      <w:pPr>
        <w:numPr>
          <w:ilvl w:val="0"/>
          <w:numId w:val="9"/>
        </w:numPr>
        <w:rPr>
          <w:color w:val="000000"/>
          <w:szCs w:val="24"/>
        </w:rPr>
      </w:pPr>
      <w:r w:rsidRPr="00F8118F">
        <w:rPr>
          <w:color w:val="000000"/>
          <w:szCs w:val="24"/>
        </w:rPr>
        <w:t>Automobile mechanics</w:t>
      </w:r>
    </w:p>
    <w:p w:rsidR="002220A5" w:rsidRPr="00F8118F" w:rsidRDefault="002220A5" w:rsidP="002220A5">
      <w:pPr>
        <w:numPr>
          <w:ilvl w:val="0"/>
          <w:numId w:val="9"/>
        </w:numPr>
        <w:rPr>
          <w:color w:val="000000"/>
          <w:szCs w:val="24"/>
        </w:rPr>
      </w:pPr>
      <w:r w:rsidRPr="00F8118F">
        <w:rPr>
          <w:color w:val="000000"/>
          <w:szCs w:val="24"/>
        </w:rPr>
        <w:t>Carpentry</w:t>
      </w:r>
    </w:p>
    <w:p w:rsidR="002220A5" w:rsidRPr="00F8118F" w:rsidRDefault="002220A5" w:rsidP="002220A5">
      <w:pPr>
        <w:numPr>
          <w:ilvl w:val="0"/>
          <w:numId w:val="9"/>
        </w:numPr>
        <w:rPr>
          <w:color w:val="000000"/>
          <w:szCs w:val="24"/>
        </w:rPr>
      </w:pPr>
      <w:r w:rsidRPr="00F8118F">
        <w:rPr>
          <w:color w:val="000000"/>
          <w:szCs w:val="24"/>
        </w:rPr>
        <w:t>Metalworking</w:t>
      </w:r>
    </w:p>
    <w:p w:rsidR="002220A5" w:rsidRPr="00F8118F" w:rsidRDefault="002220A5" w:rsidP="002220A5">
      <w:pPr>
        <w:numPr>
          <w:ilvl w:val="0"/>
          <w:numId w:val="9"/>
        </w:numPr>
        <w:rPr>
          <w:color w:val="000000"/>
          <w:szCs w:val="24"/>
        </w:rPr>
      </w:pPr>
      <w:r w:rsidRPr="00F8118F">
        <w:rPr>
          <w:color w:val="000000"/>
          <w:szCs w:val="24"/>
        </w:rPr>
        <w:t>Fishing, agriculture and animal husbandry</w:t>
      </w:r>
    </w:p>
    <w:p w:rsidR="002220A5" w:rsidRPr="00F8118F" w:rsidRDefault="002220A5" w:rsidP="001276BC">
      <w:pPr>
        <w:numPr>
          <w:ilvl w:val="0"/>
          <w:numId w:val="10"/>
        </w:numPr>
        <w:rPr>
          <w:color w:val="000000"/>
          <w:szCs w:val="24"/>
        </w:rPr>
      </w:pPr>
      <w:r w:rsidRPr="00F8118F">
        <w:rPr>
          <w:color w:val="000000"/>
          <w:szCs w:val="24"/>
        </w:rPr>
        <w:t>Masonry and bricklaying</w:t>
      </w:r>
    </w:p>
    <w:p w:rsidR="002220A5" w:rsidRPr="00F8118F" w:rsidRDefault="002220A5" w:rsidP="002220A5">
      <w:pPr>
        <w:rPr>
          <w:color w:val="000000"/>
          <w:szCs w:val="24"/>
        </w:rPr>
      </w:pPr>
      <w:r>
        <w:rPr>
          <w:color w:val="000000"/>
          <w:szCs w:val="24"/>
        </w:rPr>
        <w:tab/>
      </w:r>
      <w:r w:rsidRPr="00F8118F">
        <w:rPr>
          <w:color w:val="000000"/>
          <w:szCs w:val="24"/>
        </w:rPr>
        <w:t xml:space="preserve">Follow-up and assessment activities are conducted at </w:t>
      </w:r>
      <w:r>
        <w:rPr>
          <w:color w:val="000000"/>
          <w:szCs w:val="24"/>
        </w:rPr>
        <w:t>every stage.</w:t>
      </w:r>
    </w:p>
    <w:p w:rsidR="00AF4039" w:rsidRDefault="002220A5" w:rsidP="002220A5">
      <w:pPr>
        <w:rPr>
          <w:color w:val="000000"/>
          <w:szCs w:val="24"/>
        </w:rPr>
      </w:pPr>
      <w:r>
        <w:rPr>
          <w:color w:val="000000"/>
          <w:szCs w:val="24"/>
        </w:rPr>
        <w:tab/>
      </w:r>
      <w:r w:rsidRPr="00F8118F">
        <w:rPr>
          <w:color w:val="000000"/>
          <w:szCs w:val="24"/>
        </w:rPr>
        <w:t>The following table provides disaggregated figures for each of the country</w:t>
      </w:r>
      <w:r w:rsidR="00F651A6">
        <w:rPr>
          <w:color w:val="000000"/>
          <w:szCs w:val="24"/>
        </w:rPr>
        <w:t>’</w:t>
      </w:r>
      <w:r w:rsidRPr="00F8118F">
        <w:rPr>
          <w:color w:val="000000"/>
          <w:szCs w:val="24"/>
        </w:rPr>
        <w:t xml:space="preserve">s </w:t>
      </w:r>
      <w:r w:rsidR="001276BC">
        <w:rPr>
          <w:color w:val="000000"/>
          <w:szCs w:val="24"/>
        </w:rPr>
        <w:t xml:space="preserve">11 </w:t>
      </w:r>
      <w:r w:rsidRPr="00F8118F">
        <w:rPr>
          <w:color w:val="000000"/>
          <w:szCs w:val="24"/>
        </w:rPr>
        <w:t>provinces (Bandundu, Bas-Congo, Equateur, Kasaï Oriental, Kasaï Occ</w:t>
      </w:r>
      <w:r w:rsidR="001276BC">
        <w:rPr>
          <w:color w:val="000000"/>
          <w:szCs w:val="24"/>
        </w:rPr>
        <w:t>idental, Katanga, Kinshasa, Sud </w:t>
      </w:r>
      <w:r>
        <w:rPr>
          <w:color w:val="000000"/>
          <w:szCs w:val="24"/>
        </w:rPr>
        <w:t xml:space="preserve">Kivu, Nord </w:t>
      </w:r>
      <w:r w:rsidRPr="00F8118F">
        <w:rPr>
          <w:color w:val="000000"/>
          <w:szCs w:val="24"/>
        </w:rPr>
        <w:t xml:space="preserve">Kivu, Province Orientale and Maniema) </w:t>
      </w:r>
      <w:r>
        <w:rPr>
          <w:color w:val="000000"/>
          <w:szCs w:val="24"/>
        </w:rPr>
        <w:t>regarding</w:t>
      </w:r>
      <w:r w:rsidRPr="00F8118F">
        <w:rPr>
          <w:color w:val="000000"/>
          <w:szCs w:val="24"/>
        </w:rPr>
        <w:t xml:space="preserve"> the type of reintegration assistance made available to the 30,594 children removed from the armed forces and armed groups (EAFGAs)</w:t>
      </w:r>
      <w:r>
        <w:rPr>
          <w:color w:val="000000"/>
          <w:szCs w:val="24"/>
        </w:rPr>
        <w:t>.</w:t>
      </w:r>
    </w:p>
    <w:p w:rsidR="002220A5" w:rsidRDefault="002220A5" w:rsidP="00AF4039">
      <w:pPr>
        <w:pStyle w:val="Heading2"/>
      </w:pPr>
      <w:r w:rsidRPr="00F8118F">
        <w:t>Disaggregated statistics on assistance to EAFGAs by category and province</w:t>
      </w:r>
    </w:p>
    <w:tbl>
      <w:tblPr>
        <w:tblStyle w:val="TableGrid"/>
        <w:tblW w:w="0" w:type="auto"/>
        <w:jc w:val="center"/>
        <w:tblBorders>
          <w:insideH w:val="none" w:sz="0" w:space="0" w:color="auto"/>
        </w:tblBorders>
        <w:tblLayout w:type="fixed"/>
        <w:tblLook w:val="01E0"/>
      </w:tblPr>
      <w:tblGrid>
        <w:gridCol w:w="1303"/>
        <w:gridCol w:w="720"/>
        <w:gridCol w:w="550"/>
        <w:gridCol w:w="657"/>
        <w:gridCol w:w="657"/>
        <w:gridCol w:w="657"/>
        <w:gridCol w:w="658"/>
        <w:gridCol w:w="657"/>
        <w:gridCol w:w="657"/>
        <w:gridCol w:w="657"/>
        <w:gridCol w:w="657"/>
        <w:gridCol w:w="658"/>
        <w:gridCol w:w="833"/>
      </w:tblGrid>
      <w:tr w:rsidR="002220A5" w:rsidRPr="009662BE" w:rsidTr="0061056B">
        <w:trPr>
          <w:jc w:val="center"/>
        </w:trPr>
        <w:tc>
          <w:tcPr>
            <w:tcW w:w="1303" w:type="dxa"/>
            <w:tcBorders>
              <w:top w:val="single" w:sz="4" w:space="0" w:color="auto"/>
              <w:bottom w:val="single" w:sz="4" w:space="0" w:color="auto"/>
            </w:tcBorders>
          </w:tcPr>
          <w:p w:rsidR="002220A5" w:rsidRPr="009662BE" w:rsidRDefault="002220A5" w:rsidP="00B667B2">
            <w:pPr>
              <w:spacing w:after="0"/>
              <w:rPr>
                <w:sz w:val="19"/>
                <w:szCs w:val="19"/>
              </w:rPr>
            </w:pPr>
          </w:p>
        </w:tc>
        <w:tc>
          <w:tcPr>
            <w:tcW w:w="720"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BBD</w:t>
            </w:r>
          </w:p>
        </w:tc>
        <w:tc>
          <w:tcPr>
            <w:tcW w:w="550"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BC</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EQ</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K Or</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K Oc</w:t>
            </w:r>
          </w:p>
        </w:tc>
        <w:tc>
          <w:tcPr>
            <w:tcW w:w="658"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KT</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KN</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SK</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NK</w:t>
            </w:r>
          </w:p>
        </w:tc>
        <w:tc>
          <w:tcPr>
            <w:tcW w:w="657"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PO</w:t>
            </w:r>
          </w:p>
        </w:tc>
        <w:tc>
          <w:tcPr>
            <w:tcW w:w="658"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MA</w:t>
            </w:r>
          </w:p>
        </w:tc>
        <w:tc>
          <w:tcPr>
            <w:tcW w:w="833" w:type="dxa"/>
            <w:tcBorders>
              <w:top w:val="single" w:sz="4" w:space="0" w:color="auto"/>
              <w:bottom w:val="single" w:sz="4" w:space="0" w:color="auto"/>
            </w:tcBorders>
          </w:tcPr>
          <w:p w:rsidR="002220A5" w:rsidRPr="009662BE" w:rsidRDefault="002220A5" w:rsidP="00B667B2">
            <w:pPr>
              <w:spacing w:after="0"/>
              <w:jc w:val="center"/>
              <w:rPr>
                <w:sz w:val="19"/>
                <w:szCs w:val="19"/>
              </w:rPr>
            </w:pPr>
            <w:r w:rsidRPr="009662BE">
              <w:rPr>
                <w:sz w:val="19"/>
                <w:szCs w:val="19"/>
              </w:rPr>
              <w:t>Total</w:t>
            </w:r>
          </w:p>
        </w:tc>
      </w:tr>
      <w:tr w:rsidR="002220A5" w:rsidRPr="009662BE" w:rsidTr="0061056B">
        <w:trPr>
          <w:jc w:val="center"/>
        </w:trPr>
        <w:tc>
          <w:tcPr>
            <w:tcW w:w="1303" w:type="dxa"/>
            <w:tcBorders>
              <w:top w:val="single" w:sz="4" w:space="0" w:color="auto"/>
            </w:tcBorders>
          </w:tcPr>
          <w:p w:rsidR="002220A5" w:rsidRPr="009662BE" w:rsidRDefault="002220A5" w:rsidP="00B667B2">
            <w:pPr>
              <w:spacing w:after="0"/>
              <w:rPr>
                <w:sz w:val="19"/>
                <w:szCs w:val="19"/>
              </w:rPr>
            </w:pPr>
            <w:r w:rsidRPr="009662BE">
              <w:rPr>
                <w:color w:val="000000"/>
                <w:sz w:val="19"/>
                <w:szCs w:val="19"/>
              </w:rPr>
              <w:t>EAFGAs</w:t>
            </w:r>
            <w:r w:rsidR="0061056B">
              <w:rPr>
                <w:color w:val="000000"/>
                <w:sz w:val="19"/>
                <w:szCs w:val="19"/>
              </w:rPr>
              <w:br/>
              <w:t xml:space="preserve"> </w:t>
            </w:r>
            <w:r>
              <w:rPr>
                <w:color w:val="000000"/>
                <w:sz w:val="19"/>
                <w:szCs w:val="19"/>
              </w:rPr>
              <w:t xml:space="preserve"> r</w:t>
            </w:r>
            <w:r w:rsidRPr="009662BE">
              <w:rPr>
                <w:color w:val="000000"/>
                <w:sz w:val="19"/>
                <w:szCs w:val="19"/>
              </w:rPr>
              <w:t>emoved</w:t>
            </w:r>
          </w:p>
        </w:tc>
        <w:tc>
          <w:tcPr>
            <w:tcW w:w="720" w:type="dxa"/>
            <w:tcBorders>
              <w:top w:val="single" w:sz="4" w:space="0" w:color="auto"/>
            </w:tcBorders>
          </w:tcPr>
          <w:p w:rsidR="002220A5" w:rsidRPr="009662BE" w:rsidRDefault="002220A5" w:rsidP="00B667B2">
            <w:pPr>
              <w:spacing w:after="0"/>
              <w:ind w:right="79"/>
              <w:jc w:val="right"/>
              <w:rPr>
                <w:sz w:val="19"/>
                <w:szCs w:val="19"/>
              </w:rPr>
            </w:pPr>
            <w:r w:rsidRPr="009662BE">
              <w:rPr>
                <w:sz w:val="19"/>
                <w:szCs w:val="19"/>
              </w:rPr>
              <w:t>150</w:t>
            </w:r>
          </w:p>
        </w:tc>
        <w:tc>
          <w:tcPr>
            <w:tcW w:w="550" w:type="dxa"/>
            <w:tcBorders>
              <w:top w:val="single" w:sz="4" w:space="0" w:color="auto"/>
            </w:tcBorders>
          </w:tcPr>
          <w:p w:rsidR="002220A5" w:rsidRPr="009662BE" w:rsidRDefault="002220A5" w:rsidP="00B667B2">
            <w:pPr>
              <w:spacing w:after="0"/>
              <w:ind w:right="79"/>
              <w:jc w:val="right"/>
              <w:rPr>
                <w:sz w:val="19"/>
                <w:szCs w:val="19"/>
              </w:rPr>
            </w:pPr>
            <w:r w:rsidRPr="009662BE">
              <w:rPr>
                <w:sz w:val="19"/>
                <w:szCs w:val="19"/>
              </w:rPr>
              <w:t>537</w:t>
            </w:r>
          </w:p>
        </w:tc>
        <w:tc>
          <w:tcPr>
            <w:tcW w:w="657"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3 247</w:t>
            </w:r>
          </w:p>
        </w:tc>
        <w:tc>
          <w:tcPr>
            <w:tcW w:w="657" w:type="dxa"/>
            <w:tcBorders>
              <w:top w:val="single" w:sz="4" w:space="0" w:color="auto"/>
            </w:tcBorders>
          </w:tcPr>
          <w:p w:rsidR="002220A5" w:rsidRPr="009662BE" w:rsidRDefault="002220A5" w:rsidP="00B667B2">
            <w:pPr>
              <w:spacing w:after="0"/>
              <w:ind w:right="79"/>
              <w:jc w:val="right"/>
              <w:rPr>
                <w:sz w:val="19"/>
                <w:szCs w:val="19"/>
              </w:rPr>
            </w:pPr>
            <w:r w:rsidRPr="009662BE">
              <w:rPr>
                <w:sz w:val="19"/>
                <w:szCs w:val="19"/>
              </w:rPr>
              <w:t>488</w:t>
            </w:r>
          </w:p>
        </w:tc>
        <w:tc>
          <w:tcPr>
            <w:tcW w:w="657" w:type="dxa"/>
            <w:tcBorders>
              <w:top w:val="single" w:sz="4" w:space="0" w:color="auto"/>
            </w:tcBorders>
          </w:tcPr>
          <w:p w:rsidR="002220A5" w:rsidRPr="009662BE" w:rsidRDefault="002220A5" w:rsidP="00B667B2">
            <w:pPr>
              <w:spacing w:after="0"/>
              <w:ind w:right="79"/>
              <w:jc w:val="right"/>
              <w:rPr>
                <w:sz w:val="19"/>
                <w:szCs w:val="19"/>
              </w:rPr>
            </w:pPr>
            <w:r w:rsidRPr="009662BE">
              <w:rPr>
                <w:sz w:val="19"/>
                <w:szCs w:val="19"/>
              </w:rPr>
              <w:t>262</w:t>
            </w:r>
          </w:p>
        </w:tc>
        <w:tc>
          <w:tcPr>
            <w:tcW w:w="658"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2 355</w:t>
            </w:r>
          </w:p>
        </w:tc>
        <w:tc>
          <w:tcPr>
            <w:tcW w:w="657" w:type="dxa"/>
            <w:tcBorders>
              <w:top w:val="single" w:sz="4" w:space="0" w:color="auto"/>
            </w:tcBorders>
          </w:tcPr>
          <w:p w:rsidR="002220A5" w:rsidRPr="009662BE" w:rsidRDefault="002220A5" w:rsidP="00B667B2">
            <w:pPr>
              <w:spacing w:after="0"/>
              <w:ind w:right="79"/>
              <w:jc w:val="right"/>
              <w:rPr>
                <w:sz w:val="19"/>
                <w:szCs w:val="19"/>
              </w:rPr>
            </w:pPr>
            <w:r w:rsidRPr="009662BE">
              <w:rPr>
                <w:sz w:val="19"/>
                <w:szCs w:val="19"/>
              </w:rPr>
              <w:t>170</w:t>
            </w:r>
          </w:p>
        </w:tc>
        <w:tc>
          <w:tcPr>
            <w:tcW w:w="657"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4 980</w:t>
            </w:r>
          </w:p>
        </w:tc>
        <w:tc>
          <w:tcPr>
            <w:tcW w:w="657"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6 736</w:t>
            </w:r>
          </w:p>
        </w:tc>
        <w:tc>
          <w:tcPr>
            <w:tcW w:w="657"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9 448</w:t>
            </w:r>
          </w:p>
        </w:tc>
        <w:tc>
          <w:tcPr>
            <w:tcW w:w="658" w:type="dxa"/>
            <w:tcBorders>
              <w:top w:val="single" w:sz="4" w:space="0" w:color="auto"/>
            </w:tcBorders>
          </w:tcPr>
          <w:p w:rsidR="002220A5" w:rsidRPr="009662BE" w:rsidRDefault="002220A5" w:rsidP="00B667B2">
            <w:pPr>
              <w:spacing w:after="0"/>
              <w:ind w:right="11"/>
              <w:jc w:val="right"/>
              <w:rPr>
                <w:sz w:val="19"/>
                <w:szCs w:val="19"/>
              </w:rPr>
            </w:pPr>
            <w:r w:rsidRPr="009662BE">
              <w:rPr>
                <w:sz w:val="19"/>
                <w:szCs w:val="19"/>
              </w:rPr>
              <w:t>2 221</w:t>
            </w:r>
          </w:p>
        </w:tc>
        <w:tc>
          <w:tcPr>
            <w:tcW w:w="833" w:type="dxa"/>
            <w:tcBorders>
              <w:top w:val="single" w:sz="4" w:space="0" w:color="auto"/>
            </w:tcBorders>
          </w:tcPr>
          <w:p w:rsidR="002220A5" w:rsidRPr="009662BE" w:rsidRDefault="002220A5" w:rsidP="00B667B2">
            <w:pPr>
              <w:spacing w:after="0"/>
              <w:ind w:right="45"/>
              <w:jc w:val="right"/>
              <w:rPr>
                <w:sz w:val="19"/>
                <w:szCs w:val="19"/>
              </w:rPr>
            </w:pPr>
            <w:r w:rsidRPr="009662BE">
              <w:rPr>
                <w:sz w:val="19"/>
                <w:szCs w:val="19"/>
              </w:rPr>
              <w:t>30 594</w:t>
            </w:r>
          </w:p>
        </w:tc>
      </w:tr>
      <w:tr w:rsidR="002220A5" w:rsidRPr="009662BE" w:rsidTr="0061056B">
        <w:trPr>
          <w:jc w:val="center"/>
        </w:trPr>
        <w:tc>
          <w:tcPr>
            <w:tcW w:w="1303" w:type="dxa"/>
          </w:tcPr>
          <w:p w:rsidR="002220A5" w:rsidRPr="009662BE" w:rsidRDefault="002220A5" w:rsidP="00B667B2">
            <w:pPr>
              <w:spacing w:after="0"/>
              <w:rPr>
                <w:sz w:val="19"/>
                <w:szCs w:val="19"/>
              </w:rPr>
            </w:pPr>
            <w:r w:rsidRPr="009662BE">
              <w:rPr>
                <w:color w:val="000000"/>
                <w:sz w:val="19"/>
                <w:szCs w:val="19"/>
              </w:rPr>
              <w:t>EAFGAs</w:t>
            </w:r>
            <w:r w:rsidR="0061056B">
              <w:rPr>
                <w:color w:val="000000"/>
                <w:sz w:val="19"/>
                <w:szCs w:val="19"/>
              </w:rPr>
              <w:br/>
              <w:t xml:space="preserve"> </w:t>
            </w:r>
            <w:r>
              <w:rPr>
                <w:color w:val="000000"/>
                <w:sz w:val="19"/>
                <w:szCs w:val="19"/>
              </w:rPr>
              <w:t xml:space="preserve"> r</w:t>
            </w:r>
            <w:r w:rsidRPr="009662BE">
              <w:rPr>
                <w:color w:val="000000"/>
                <w:sz w:val="19"/>
                <w:szCs w:val="19"/>
              </w:rPr>
              <w:t>eunited</w:t>
            </w:r>
            <w:r w:rsidR="0061056B">
              <w:rPr>
                <w:color w:val="000000"/>
                <w:sz w:val="19"/>
                <w:szCs w:val="19"/>
              </w:rPr>
              <w:br/>
              <w:t xml:space="preserve"> </w:t>
            </w:r>
            <w:r w:rsidRPr="009662BE">
              <w:rPr>
                <w:color w:val="000000"/>
                <w:sz w:val="19"/>
                <w:szCs w:val="19"/>
              </w:rPr>
              <w:t xml:space="preserve"> with </w:t>
            </w:r>
            <w:r w:rsidR="0061056B">
              <w:rPr>
                <w:color w:val="000000"/>
                <w:sz w:val="19"/>
                <w:szCs w:val="19"/>
              </w:rPr>
              <w:br/>
              <w:t xml:space="preserve">  </w:t>
            </w:r>
            <w:r w:rsidRPr="009662BE">
              <w:rPr>
                <w:color w:val="000000"/>
                <w:sz w:val="19"/>
                <w:szCs w:val="19"/>
              </w:rPr>
              <w:t>families</w:t>
            </w:r>
          </w:p>
        </w:tc>
        <w:tc>
          <w:tcPr>
            <w:tcW w:w="720" w:type="dxa"/>
          </w:tcPr>
          <w:p w:rsidR="002220A5" w:rsidRPr="009662BE" w:rsidRDefault="002220A5" w:rsidP="00B667B2">
            <w:pPr>
              <w:spacing w:after="0"/>
              <w:ind w:right="79"/>
              <w:jc w:val="right"/>
              <w:rPr>
                <w:sz w:val="19"/>
                <w:szCs w:val="19"/>
              </w:rPr>
            </w:pPr>
            <w:r w:rsidRPr="009662BE">
              <w:rPr>
                <w:sz w:val="19"/>
                <w:szCs w:val="19"/>
              </w:rPr>
              <w:t>135</w:t>
            </w:r>
          </w:p>
        </w:tc>
        <w:tc>
          <w:tcPr>
            <w:tcW w:w="550" w:type="dxa"/>
          </w:tcPr>
          <w:p w:rsidR="002220A5" w:rsidRPr="009662BE" w:rsidRDefault="002220A5" w:rsidP="00B667B2">
            <w:pPr>
              <w:spacing w:after="0"/>
              <w:ind w:right="79"/>
              <w:jc w:val="right"/>
              <w:rPr>
                <w:sz w:val="19"/>
                <w:szCs w:val="19"/>
              </w:rPr>
            </w:pPr>
            <w:r w:rsidRPr="009662BE">
              <w:rPr>
                <w:sz w:val="19"/>
                <w:szCs w:val="19"/>
              </w:rPr>
              <w:t>16</w:t>
            </w:r>
          </w:p>
        </w:tc>
        <w:tc>
          <w:tcPr>
            <w:tcW w:w="657" w:type="dxa"/>
          </w:tcPr>
          <w:p w:rsidR="002220A5" w:rsidRPr="009662BE" w:rsidRDefault="002220A5" w:rsidP="00B667B2">
            <w:pPr>
              <w:spacing w:after="0"/>
              <w:ind w:right="11"/>
              <w:jc w:val="right"/>
              <w:rPr>
                <w:sz w:val="19"/>
                <w:szCs w:val="19"/>
              </w:rPr>
            </w:pPr>
            <w:r w:rsidRPr="009662BE">
              <w:rPr>
                <w:sz w:val="19"/>
                <w:szCs w:val="19"/>
              </w:rPr>
              <w:t>2 451</w:t>
            </w:r>
          </w:p>
        </w:tc>
        <w:tc>
          <w:tcPr>
            <w:tcW w:w="657" w:type="dxa"/>
          </w:tcPr>
          <w:p w:rsidR="002220A5" w:rsidRPr="009662BE" w:rsidRDefault="002220A5" w:rsidP="00B667B2">
            <w:pPr>
              <w:spacing w:after="0"/>
              <w:ind w:right="79"/>
              <w:jc w:val="right"/>
              <w:rPr>
                <w:sz w:val="19"/>
                <w:szCs w:val="19"/>
              </w:rPr>
            </w:pPr>
            <w:r w:rsidRPr="009662BE">
              <w:rPr>
                <w:sz w:val="19"/>
                <w:szCs w:val="19"/>
              </w:rPr>
              <w:t>488</w:t>
            </w:r>
          </w:p>
        </w:tc>
        <w:tc>
          <w:tcPr>
            <w:tcW w:w="657" w:type="dxa"/>
          </w:tcPr>
          <w:p w:rsidR="002220A5" w:rsidRPr="009662BE" w:rsidRDefault="002220A5" w:rsidP="00B667B2">
            <w:pPr>
              <w:spacing w:after="0"/>
              <w:ind w:right="79"/>
              <w:jc w:val="right"/>
              <w:rPr>
                <w:sz w:val="19"/>
                <w:szCs w:val="19"/>
              </w:rPr>
            </w:pPr>
            <w:r w:rsidRPr="009662BE">
              <w:rPr>
                <w:sz w:val="19"/>
                <w:szCs w:val="19"/>
              </w:rPr>
              <w:t>114</w:t>
            </w:r>
          </w:p>
        </w:tc>
        <w:tc>
          <w:tcPr>
            <w:tcW w:w="658" w:type="dxa"/>
          </w:tcPr>
          <w:p w:rsidR="002220A5" w:rsidRPr="009662BE" w:rsidRDefault="002220A5" w:rsidP="00B667B2">
            <w:pPr>
              <w:spacing w:after="0"/>
              <w:ind w:right="11"/>
              <w:jc w:val="right"/>
              <w:rPr>
                <w:sz w:val="19"/>
                <w:szCs w:val="19"/>
              </w:rPr>
            </w:pPr>
            <w:r w:rsidRPr="009662BE">
              <w:rPr>
                <w:sz w:val="19"/>
                <w:szCs w:val="19"/>
              </w:rPr>
              <w:t>1 652</w:t>
            </w:r>
          </w:p>
        </w:tc>
        <w:tc>
          <w:tcPr>
            <w:tcW w:w="657" w:type="dxa"/>
          </w:tcPr>
          <w:p w:rsidR="002220A5" w:rsidRPr="009662BE" w:rsidRDefault="002220A5" w:rsidP="00B667B2">
            <w:pPr>
              <w:spacing w:after="0"/>
              <w:ind w:right="79"/>
              <w:jc w:val="right"/>
              <w:rPr>
                <w:sz w:val="19"/>
                <w:szCs w:val="19"/>
              </w:rPr>
            </w:pPr>
            <w:r w:rsidRPr="009662BE">
              <w:rPr>
                <w:sz w:val="19"/>
                <w:szCs w:val="19"/>
              </w:rPr>
              <w:t>175</w:t>
            </w:r>
          </w:p>
        </w:tc>
        <w:tc>
          <w:tcPr>
            <w:tcW w:w="657" w:type="dxa"/>
          </w:tcPr>
          <w:p w:rsidR="002220A5" w:rsidRPr="009662BE" w:rsidRDefault="002220A5" w:rsidP="00B667B2">
            <w:pPr>
              <w:spacing w:after="0"/>
              <w:ind w:right="11"/>
              <w:jc w:val="right"/>
              <w:rPr>
                <w:sz w:val="19"/>
                <w:szCs w:val="19"/>
              </w:rPr>
            </w:pPr>
            <w:r w:rsidRPr="009662BE">
              <w:rPr>
                <w:sz w:val="19"/>
                <w:szCs w:val="19"/>
              </w:rPr>
              <w:t>3 058</w:t>
            </w:r>
          </w:p>
        </w:tc>
        <w:tc>
          <w:tcPr>
            <w:tcW w:w="657" w:type="dxa"/>
          </w:tcPr>
          <w:p w:rsidR="002220A5" w:rsidRPr="009662BE" w:rsidRDefault="002220A5" w:rsidP="00B667B2">
            <w:pPr>
              <w:spacing w:after="0"/>
              <w:ind w:right="11"/>
              <w:jc w:val="right"/>
              <w:rPr>
                <w:sz w:val="19"/>
                <w:szCs w:val="19"/>
              </w:rPr>
            </w:pPr>
            <w:r w:rsidRPr="009662BE">
              <w:rPr>
                <w:sz w:val="19"/>
                <w:szCs w:val="19"/>
              </w:rPr>
              <w:t>4 489</w:t>
            </w:r>
          </w:p>
        </w:tc>
        <w:tc>
          <w:tcPr>
            <w:tcW w:w="657" w:type="dxa"/>
          </w:tcPr>
          <w:p w:rsidR="002220A5" w:rsidRPr="009662BE" w:rsidRDefault="002220A5" w:rsidP="00B667B2">
            <w:pPr>
              <w:spacing w:after="0"/>
              <w:ind w:right="11"/>
              <w:jc w:val="right"/>
              <w:rPr>
                <w:sz w:val="19"/>
                <w:szCs w:val="19"/>
              </w:rPr>
            </w:pPr>
            <w:r w:rsidRPr="009662BE">
              <w:rPr>
                <w:sz w:val="19"/>
                <w:szCs w:val="19"/>
              </w:rPr>
              <w:t>8 203</w:t>
            </w:r>
          </w:p>
        </w:tc>
        <w:tc>
          <w:tcPr>
            <w:tcW w:w="658" w:type="dxa"/>
          </w:tcPr>
          <w:p w:rsidR="002220A5" w:rsidRPr="009662BE" w:rsidRDefault="002220A5" w:rsidP="00B667B2">
            <w:pPr>
              <w:spacing w:after="0"/>
              <w:ind w:right="11"/>
              <w:jc w:val="right"/>
              <w:rPr>
                <w:sz w:val="19"/>
                <w:szCs w:val="19"/>
              </w:rPr>
            </w:pPr>
            <w:r w:rsidRPr="009662BE">
              <w:rPr>
                <w:sz w:val="19"/>
                <w:szCs w:val="19"/>
              </w:rPr>
              <w:t>2 279</w:t>
            </w:r>
          </w:p>
        </w:tc>
        <w:tc>
          <w:tcPr>
            <w:tcW w:w="833" w:type="dxa"/>
          </w:tcPr>
          <w:p w:rsidR="002220A5" w:rsidRPr="009662BE" w:rsidRDefault="002220A5" w:rsidP="00B667B2">
            <w:pPr>
              <w:spacing w:after="0"/>
              <w:ind w:right="45"/>
              <w:jc w:val="right"/>
              <w:rPr>
                <w:sz w:val="19"/>
                <w:szCs w:val="19"/>
              </w:rPr>
            </w:pPr>
            <w:r w:rsidRPr="009662BE">
              <w:rPr>
                <w:sz w:val="19"/>
                <w:szCs w:val="19"/>
              </w:rPr>
              <w:t>23 060</w:t>
            </w:r>
          </w:p>
        </w:tc>
      </w:tr>
      <w:tr w:rsidR="002220A5" w:rsidRPr="009662BE" w:rsidTr="0061056B">
        <w:trPr>
          <w:jc w:val="center"/>
        </w:trPr>
        <w:tc>
          <w:tcPr>
            <w:tcW w:w="1303" w:type="dxa"/>
          </w:tcPr>
          <w:p w:rsidR="002220A5" w:rsidRPr="009662BE" w:rsidRDefault="002220A5" w:rsidP="00B667B2">
            <w:pPr>
              <w:spacing w:after="0"/>
              <w:rPr>
                <w:sz w:val="19"/>
                <w:szCs w:val="19"/>
              </w:rPr>
            </w:pPr>
            <w:r w:rsidRPr="009662BE">
              <w:rPr>
                <w:color w:val="000000"/>
                <w:sz w:val="19"/>
                <w:szCs w:val="19"/>
              </w:rPr>
              <w:t>EAFGAs</w:t>
            </w:r>
            <w:r w:rsidR="0061056B">
              <w:rPr>
                <w:color w:val="000000"/>
                <w:sz w:val="19"/>
                <w:szCs w:val="19"/>
              </w:rPr>
              <w:br/>
              <w:t xml:space="preserve"> </w:t>
            </w:r>
            <w:r>
              <w:rPr>
                <w:color w:val="000000"/>
                <w:sz w:val="19"/>
                <w:szCs w:val="19"/>
              </w:rPr>
              <w:t xml:space="preserve"> e</w:t>
            </w:r>
            <w:r w:rsidRPr="009662BE">
              <w:rPr>
                <w:color w:val="000000"/>
                <w:sz w:val="19"/>
                <w:szCs w:val="19"/>
              </w:rPr>
              <w:t>nrolled in</w:t>
            </w:r>
            <w:r w:rsidR="0061056B">
              <w:rPr>
                <w:color w:val="000000"/>
                <w:sz w:val="19"/>
                <w:szCs w:val="19"/>
              </w:rPr>
              <w:br/>
              <w:t xml:space="preserve"> </w:t>
            </w:r>
            <w:r w:rsidRPr="009662BE">
              <w:rPr>
                <w:color w:val="000000"/>
                <w:sz w:val="19"/>
                <w:szCs w:val="19"/>
              </w:rPr>
              <w:t xml:space="preserve"> school</w:t>
            </w:r>
          </w:p>
        </w:tc>
        <w:tc>
          <w:tcPr>
            <w:tcW w:w="720" w:type="dxa"/>
          </w:tcPr>
          <w:p w:rsidR="002220A5" w:rsidRPr="009662BE" w:rsidRDefault="002220A5" w:rsidP="00B667B2">
            <w:pPr>
              <w:spacing w:after="0"/>
              <w:ind w:right="79"/>
              <w:jc w:val="right"/>
              <w:rPr>
                <w:sz w:val="19"/>
                <w:szCs w:val="19"/>
              </w:rPr>
            </w:pPr>
            <w:r w:rsidRPr="009662BE">
              <w:rPr>
                <w:sz w:val="19"/>
                <w:szCs w:val="19"/>
              </w:rPr>
              <w:t>1</w:t>
            </w:r>
          </w:p>
        </w:tc>
        <w:tc>
          <w:tcPr>
            <w:tcW w:w="550" w:type="dxa"/>
          </w:tcPr>
          <w:p w:rsidR="002220A5" w:rsidRPr="009662BE" w:rsidRDefault="002220A5" w:rsidP="00B667B2">
            <w:pPr>
              <w:spacing w:after="0"/>
              <w:ind w:right="79"/>
              <w:jc w:val="right"/>
              <w:rPr>
                <w:sz w:val="19"/>
                <w:szCs w:val="19"/>
              </w:rPr>
            </w:pPr>
            <w:r w:rsidRPr="009662BE">
              <w:rPr>
                <w:sz w:val="19"/>
                <w:szCs w:val="19"/>
              </w:rPr>
              <w:t>5</w:t>
            </w:r>
          </w:p>
        </w:tc>
        <w:tc>
          <w:tcPr>
            <w:tcW w:w="657" w:type="dxa"/>
          </w:tcPr>
          <w:p w:rsidR="002220A5" w:rsidRPr="009662BE" w:rsidRDefault="002220A5" w:rsidP="00B667B2">
            <w:pPr>
              <w:spacing w:after="0"/>
              <w:ind w:right="11"/>
              <w:jc w:val="right"/>
              <w:rPr>
                <w:sz w:val="19"/>
                <w:szCs w:val="19"/>
              </w:rPr>
            </w:pPr>
            <w:r w:rsidRPr="009662BE">
              <w:rPr>
                <w:sz w:val="19"/>
                <w:szCs w:val="19"/>
              </w:rPr>
              <w:t>210</w:t>
            </w:r>
          </w:p>
        </w:tc>
        <w:tc>
          <w:tcPr>
            <w:tcW w:w="657" w:type="dxa"/>
          </w:tcPr>
          <w:p w:rsidR="002220A5" w:rsidRPr="009662BE" w:rsidRDefault="002220A5" w:rsidP="00B667B2">
            <w:pPr>
              <w:spacing w:after="0"/>
              <w:ind w:right="79"/>
              <w:jc w:val="right"/>
              <w:rPr>
                <w:sz w:val="19"/>
                <w:szCs w:val="19"/>
              </w:rPr>
            </w:pPr>
            <w:r w:rsidRPr="009662BE">
              <w:rPr>
                <w:sz w:val="19"/>
                <w:szCs w:val="19"/>
              </w:rPr>
              <w:t>86</w:t>
            </w:r>
          </w:p>
        </w:tc>
        <w:tc>
          <w:tcPr>
            <w:tcW w:w="657" w:type="dxa"/>
          </w:tcPr>
          <w:p w:rsidR="002220A5" w:rsidRPr="009662BE" w:rsidRDefault="002220A5" w:rsidP="00B667B2">
            <w:pPr>
              <w:spacing w:after="0"/>
              <w:ind w:right="79"/>
              <w:jc w:val="right"/>
              <w:rPr>
                <w:sz w:val="19"/>
                <w:szCs w:val="19"/>
              </w:rPr>
            </w:pPr>
            <w:r w:rsidRPr="009662BE">
              <w:rPr>
                <w:sz w:val="19"/>
                <w:szCs w:val="19"/>
              </w:rPr>
              <w:t>4</w:t>
            </w:r>
          </w:p>
        </w:tc>
        <w:tc>
          <w:tcPr>
            <w:tcW w:w="658" w:type="dxa"/>
          </w:tcPr>
          <w:p w:rsidR="002220A5" w:rsidRPr="009662BE" w:rsidRDefault="002220A5" w:rsidP="00B667B2">
            <w:pPr>
              <w:spacing w:after="0"/>
              <w:ind w:right="11"/>
              <w:jc w:val="right"/>
              <w:rPr>
                <w:sz w:val="19"/>
                <w:szCs w:val="19"/>
              </w:rPr>
            </w:pPr>
            <w:r w:rsidRPr="009662BE">
              <w:rPr>
                <w:sz w:val="19"/>
                <w:szCs w:val="19"/>
              </w:rPr>
              <w:t>628</w:t>
            </w:r>
          </w:p>
        </w:tc>
        <w:tc>
          <w:tcPr>
            <w:tcW w:w="657" w:type="dxa"/>
          </w:tcPr>
          <w:p w:rsidR="002220A5" w:rsidRPr="009662BE" w:rsidRDefault="002220A5" w:rsidP="00B667B2">
            <w:pPr>
              <w:spacing w:after="0"/>
              <w:ind w:right="79"/>
              <w:jc w:val="right"/>
              <w:rPr>
                <w:sz w:val="19"/>
                <w:szCs w:val="19"/>
              </w:rPr>
            </w:pPr>
            <w:r w:rsidRPr="009662BE">
              <w:rPr>
                <w:sz w:val="19"/>
                <w:szCs w:val="19"/>
              </w:rPr>
              <w:t>0</w:t>
            </w:r>
          </w:p>
        </w:tc>
        <w:tc>
          <w:tcPr>
            <w:tcW w:w="657" w:type="dxa"/>
          </w:tcPr>
          <w:p w:rsidR="002220A5" w:rsidRPr="009662BE" w:rsidRDefault="002220A5" w:rsidP="00B667B2">
            <w:pPr>
              <w:spacing w:after="0"/>
              <w:ind w:right="11"/>
              <w:jc w:val="right"/>
              <w:rPr>
                <w:sz w:val="19"/>
                <w:szCs w:val="19"/>
              </w:rPr>
            </w:pPr>
            <w:r w:rsidRPr="009662BE">
              <w:rPr>
                <w:sz w:val="19"/>
                <w:szCs w:val="19"/>
              </w:rPr>
              <w:t>312</w:t>
            </w:r>
          </w:p>
        </w:tc>
        <w:tc>
          <w:tcPr>
            <w:tcW w:w="657" w:type="dxa"/>
          </w:tcPr>
          <w:p w:rsidR="002220A5" w:rsidRPr="009662BE" w:rsidRDefault="002220A5" w:rsidP="00B667B2">
            <w:pPr>
              <w:spacing w:after="0"/>
              <w:ind w:right="11"/>
              <w:jc w:val="right"/>
              <w:rPr>
                <w:sz w:val="19"/>
                <w:szCs w:val="19"/>
              </w:rPr>
            </w:pPr>
            <w:r w:rsidRPr="009662BE">
              <w:rPr>
                <w:sz w:val="19"/>
                <w:szCs w:val="19"/>
              </w:rPr>
              <w:t>2 078</w:t>
            </w:r>
          </w:p>
        </w:tc>
        <w:tc>
          <w:tcPr>
            <w:tcW w:w="657" w:type="dxa"/>
          </w:tcPr>
          <w:p w:rsidR="002220A5" w:rsidRPr="009662BE" w:rsidRDefault="002220A5" w:rsidP="00B667B2">
            <w:pPr>
              <w:spacing w:after="0"/>
              <w:ind w:right="11"/>
              <w:jc w:val="right"/>
              <w:rPr>
                <w:sz w:val="19"/>
                <w:szCs w:val="19"/>
              </w:rPr>
            </w:pPr>
            <w:r w:rsidRPr="009662BE">
              <w:rPr>
                <w:sz w:val="19"/>
                <w:szCs w:val="19"/>
              </w:rPr>
              <w:t>2 335</w:t>
            </w:r>
          </w:p>
        </w:tc>
        <w:tc>
          <w:tcPr>
            <w:tcW w:w="658" w:type="dxa"/>
          </w:tcPr>
          <w:p w:rsidR="002220A5" w:rsidRPr="009662BE" w:rsidRDefault="002220A5" w:rsidP="00B667B2">
            <w:pPr>
              <w:spacing w:after="0"/>
              <w:ind w:right="11"/>
              <w:jc w:val="right"/>
              <w:rPr>
                <w:sz w:val="19"/>
                <w:szCs w:val="19"/>
              </w:rPr>
            </w:pPr>
            <w:r w:rsidRPr="009662BE">
              <w:rPr>
                <w:sz w:val="19"/>
                <w:szCs w:val="19"/>
              </w:rPr>
              <w:t>872</w:t>
            </w:r>
          </w:p>
        </w:tc>
        <w:tc>
          <w:tcPr>
            <w:tcW w:w="833" w:type="dxa"/>
          </w:tcPr>
          <w:p w:rsidR="002220A5" w:rsidRPr="009662BE" w:rsidRDefault="002220A5" w:rsidP="00B667B2">
            <w:pPr>
              <w:spacing w:after="0"/>
              <w:ind w:right="45"/>
              <w:jc w:val="right"/>
              <w:rPr>
                <w:sz w:val="19"/>
                <w:szCs w:val="19"/>
              </w:rPr>
            </w:pPr>
            <w:r w:rsidRPr="009662BE">
              <w:rPr>
                <w:sz w:val="19"/>
                <w:szCs w:val="19"/>
              </w:rPr>
              <w:t>6 531</w:t>
            </w:r>
          </w:p>
        </w:tc>
      </w:tr>
      <w:tr w:rsidR="002220A5" w:rsidRPr="009662BE" w:rsidTr="0061056B">
        <w:trPr>
          <w:jc w:val="center"/>
        </w:trPr>
        <w:tc>
          <w:tcPr>
            <w:tcW w:w="1303" w:type="dxa"/>
          </w:tcPr>
          <w:p w:rsidR="002220A5" w:rsidRPr="009662BE" w:rsidRDefault="002220A5" w:rsidP="00B667B2">
            <w:pPr>
              <w:spacing w:after="0"/>
              <w:rPr>
                <w:sz w:val="19"/>
                <w:szCs w:val="19"/>
              </w:rPr>
            </w:pPr>
            <w:r w:rsidRPr="009662BE">
              <w:rPr>
                <w:color w:val="000000"/>
                <w:sz w:val="19"/>
                <w:szCs w:val="19"/>
              </w:rPr>
              <w:t>EAFGAs</w:t>
            </w:r>
            <w:r w:rsidR="0061056B">
              <w:rPr>
                <w:color w:val="000000"/>
                <w:sz w:val="19"/>
                <w:szCs w:val="19"/>
              </w:rPr>
              <w:br/>
              <w:t xml:space="preserve"> </w:t>
            </w:r>
            <w:r w:rsidRPr="009662BE">
              <w:rPr>
                <w:color w:val="000000"/>
                <w:sz w:val="19"/>
                <w:szCs w:val="19"/>
              </w:rPr>
              <w:t xml:space="preserve"> trained</w:t>
            </w:r>
          </w:p>
        </w:tc>
        <w:tc>
          <w:tcPr>
            <w:tcW w:w="720" w:type="dxa"/>
          </w:tcPr>
          <w:p w:rsidR="002220A5" w:rsidRPr="009662BE" w:rsidRDefault="002220A5" w:rsidP="00B667B2">
            <w:pPr>
              <w:spacing w:after="0"/>
              <w:ind w:right="79"/>
              <w:jc w:val="right"/>
              <w:rPr>
                <w:sz w:val="19"/>
                <w:szCs w:val="19"/>
              </w:rPr>
            </w:pPr>
            <w:r w:rsidRPr="009662BE">
              <w:rPr>
                <w:sz w:val="19"/>
                <w:szCs w:val="19"/>
              </w:rPr>
              <w:t>6</w:t>
            </w:r>
          </w:p>
        </w:tc>
        <w:tc>
          <w:tcPr>
            <w:tcW w:w="550" w:type="dxa"/>
          </w:tcPr>
          <w:p w:rsidR="002220A5" w:rsidRPr="009662BE" w:rsidRDefault="002220A5" w:rsidP="00B667B2">
            <w:pPr>
              <w:spacing w:after="0"/>
              <w:ind w:right="79"/>
              <w:jc w:val="right"/>
              <w:rPr>
                <w:sz w:val="19"/>
                <w:szCs w:val="19"/>
              </w:rPr>
            </w:pPr>
            <w:r w:rsidRPr="009662BE">
              <w:rPr>
                <w:sz w:val="19"/>
                <w:szCs w:val="19"/>
              </w:rPr>
              <w:t>2</w:t>
            </w:r>
          </w:p>
        </w:tc>
        <w:tc>
          <w:tcPr>
            <w:tcW w:w="657" w:type="dxa"/>
          </w:tcPr>
          <w:p w:rsidR="002220A5" w:rsidRPr="009662BE" w:rsidRDefault="002220A5" w:rsidP="00B667B2">
            <w:pPr>
              <w:spacing w:after="0"/>
              <w:ind w:right="11"/>
              <w:jc w:val="right"/>
              <w:rPr>
                <w:sz w:val="19"/>
                <w:szCs w:val="19"/>
              </w:rPr>
            </w:pPr>
            <w:r w:rsidRPr="009662BE">
              <w:rPr>
                <w:sz w:val="19"/>
                <w:szCs w:val="19"/>
              </w:rPr>
              <w:t>1 642</w:t>
            </w:r>
          </w:p>
        </w:tc>
        <w:tc>
          <w:tcPr>
            <w:tcW w:w="657" w:type="dxa"/>
          </w:tcPr>
          <w:p w:rsidR="002220A5" w:rsidRPr="009662BE" w:rsidRDefault="002220A5" w:rsidP="00B667B2">
            <w:pPr>
              <w:spacing w:after="0"/>
              <w:ind w:right="79"/>
              <w:jc w:val="right"/>
              <w:rPr>
                <w:sz w:val="19"/>
                <w:szCs w:val="19"/>
              </w:rPr>
            </w:pPr>
            <w:r w:rsidRPr="009662BE">
              <w:rPr>
                <w:sz w:val="19"/>
                <w:szCs w:val="19"/>
              </w:rPr>
              <w:t>208</w:t>
            </w:r>
          </w:p>
        </w:tc>
        <w:tc>
          <w:tcPr>
            <w:tcW w:w="657" w:type="dxa"/>
          </w:tcPr>
          <w:p w:rsidR="002220A5" w:rsidRPr="009662BE" w:rsidRDefault="002220A5" w:rsidP="00B667B2">
            <w:pPr>
              <w:spacing w:after="0"/>
              <w:ind w:right="79"/>
              <w:jc w:val="right"/>
              <w:rPr>
                <w:sz w:val="19"/>
                <w:szCs w:val="19"/>
              </w:rPr>
            </w:pPr>
            <w:r w:rsidRPr="009662BE">
              <w:rPr>
                <w:sz w:val="19"/>
                <w:szCs w:val="19"/>
              </w:rPr>
              <w:t>22</w:t>
            </w:r>
          </w:p>
        </w:tc>
        <w:tc>
          <w:tcPr>
            <w:tcW w:w="658" w:type="dxa"/>
          </w:tcPr>
          <w:p w:rsidR="002220A5" w:rsidRPr="009662BE" w:rsidRDefault="002220A5" w:rsidP="00B667B2">
            <w:pPr>
              <w:spacing w:after="0"/>
              <w:ind w:right="11"/>
              <w:jc w:val="right"/>
              <w:rPr>
                <w:sz w:val="19"/>
                <w:szCs w:val="19"/>
              </w:rPr>
            </w:pPr>
            <w:r w:rsidRPr="009662BE">
              <w:rPr>
                <w:sz w:val="19"/>
                <w:szCs w:val="19"/>
              </w:rPr>
              <w:t>163</w:t>
            </w:r>
          </w:p>
        </w:tc>
        <w:tc>
          <w:tcPr>
            <w:tcW w:w="657" w:type="dxa"/>
          </w:tcPr>
          <w:p w:rsidR="002220A5" w:rsidRPr="009662BE" w:rsidRDefault="002220A5" w:rsidP="00B667B2">
            <w:pPr>
              <w:spacing w:after="0"/>
              <w:ind w:right="79"/>
              <w:jc w:val="right"/>
              <w:rPr>
                <w:sz w:val="19"/>
                <w:szCs w:val="19"/>
              </w:rPr>
            </w:pPr>
            <w:r w:rsidRPr="009662BE">
              <w:rPr>
                <w:sz w:val="19"/>
                <w:szCs w:val="19"/>
              </w:rPr>
              <w:t>148</w:t>
            </w:r>
          </w:p>
        </w:tc>
        <w:tc>
          <w:tcPr>
            <w:tcW w:w="657" w:type="dxa"/>
          </w:tcPr>
          <w:p w:rsidR="002220A5" w:rsidRPr="009662BE" w:rsidRDefault="002220A5" w:rsidP="00B667B2">
            <w:pPr>
              <w:spacing w:after="0"/>
              <w:ind w:right="11"/>
              <w:jc w:val="right"/>
              <w:rPr>
                <w:sz w:val="19"/>
                <w:szCs w:val="19"/>
              </w:rPr>
            </w:pPr>
            <w:r w:rsidRPr="009662BE">
              <w:rPr>
                <w:sz w:val="19"/>
                <w:szCs w:val="19"/>
              </w:rPr>
              <w:t>1 133</w:t>
            </w:r>
          </w:p>
        </w:tc>
        <w:tc>
          <w:tcPr>
            <w:tcW w:w="657" w:type="dxa"/>
          </w:tcPr>
          <w:p w:rsidR="002220A5" w:rsidRPr="009662BE" w:rsidRDefault="002220A5" w:rsidP="00B667B2">
            <w:pPr>
              <w:spacing w:after="0"/>
              <w:ind w:right="11"/>
              <w:jc w:val="right"/>
              <w:rPr>
                <w:sz w:val="19"/>
                <w:szCs w:val="19"/>
              </w:rPr>
            </w:pPr>
            <w:r w:rsidRPr="009662BE">
              <w:rPr>
                <w:sz w:val="19"/>
                <w:szCs w:val="19"/>
              </w:rPr>
              <w:t>2 329</w:t>
            </w:r>
          </w:p>
        </w:tc>
        <w:tc>
          <w:tcPr>
            <w:tcW w:w="657" w:type="dxa"/>
          </w:tcPr>
          <w:p w:rsidR="002220A5" w:rsidRPr="009662BE" w:rsidRDefault="002220A5" w:rsidP="00B667B2">
            <w:pPr>
              <w:spacing w:after="0"/>
              <w:ind w:right="11"/>
              <w:jc w:val="right"/>
              <w:rPr>
                <w:sz w:val="19"/>
                <w:szCs w:val="19"/>
              </w:rPr>
            </w:pPr>
            <w:r w:rsidRPr="009662BE">
              <w:rPr>
                <w:sz w:val="19"/>
                <w:szCs w:val="19"/>
              </w:rPr>
              <w:t>3 009</w:t>
            </w:r>
          </w:p>
        </w:tc>
        <w:tc>
          <w:tcPr>
            <w:tcW w:w="658" w:type="dxa"/>
          </w:tcPr>
          <w:p w:rsidR="002220A5" w:rsidRPr="009662BE" w:rsidRDefault="002220A5" w:rsidP="00B667B2">
            <w:pPr>
              <w:spacing w:after="0"/>
              <w:ind w:right="11"/>
              <w:jc w:val="right"/>
              <w:rPr>
                <w:sz w:val="19"/>
                <w:szCs w:val="19"/>
              </w:rPr>
            </w:pPr>
            <w:r w:rsidRPr="009662BE">
              <w:rPr>
                <w:sz w:val="19"/>
                <w:szCs w:val="19"/>
              </w:rPr>
              <w:t>1 529</w:t>
            </w:r>
          </w:p>
        </w:tc>
        <w:tc>
          <w:tcPr>
            <w:tcW w:w="833" w:type="dxa"/>
          </w:tcPr>
          <w:p w:rsidR="002220A5" w:rsidRPr="009662BE" w:rsidRDefault="002220A5" w:rsidP="00B667B2">
            <w:pPr>
              <w:spacing w:after="0"/>
              <w:ind w:right="45"/>
              <w:jc w:val="right"/>
              <w:rPr>
                <w:sz w:val="19"/>
                <w:szCs w:val="19"/>
              </w:rPr>
            </w:pPr>
            <w:r w:rsidRPr="009662BE">
              <w:rPr>
                <w:sz w:val="19"/>
                <w:szCs w:val="19"/>
              </w:rPr>
              <w:t>10 191</w:t>
            </w:r>
          </w:p>
        </w:tc>
      </w:tr>
      <w:tr w:rsidR="002220A5" w:rsidRPr="009662BE" w:rsidTr="00496854">
        <w:trPr>
          <w:jc w:val="center"/>
        </w:trPr>
        <w:tc>
          <w:tcPr>
            <w:tcW w:w="1303" w:type="dxa"/>
            <w:tcBorders>
              <w:bottom w:val="single" w:sz="4" w:space="0" w:color="auto"/>
            </w:tcBorders>
          </w:tcPr>
          <w:p w:rsidR="002220A5" w:rsidRDefault="002220A5" w:rsidP="00496854">
            <w:pPr>
              <w:spacing w:after="0"/>
              <w:rPr>
                <w:color w:val="000000"/>
                <w:sz w:val="19"/>
                <w:szCs w:val="19"/>
              </w:rPr>
            </w:pPr>
            <w:r w:rsidRPr="009662BE">
              <w:rPr>
                <w:color w:val="000000"/>
                <w:sz w:val="19"/>
                <w:szCs w:val="19"/>
              </w:rPr>
              <w:t>Total</w:t>
            </w:r>
            <w:r w:rsidR="0061056B">
              <w:rPr>
                <w:color w:val="000000"/>
                <w:sz w:val="19"/>
                <w:szCs w:val="19"/>
              </w:rPr>
              <w:br/>
              <w:t xml:space="preserve"> </w:t>
            </w:r>
            <w:r w:rsidRPr="009662BE">
              <w:rPr>
                <w:color w:val="000000"/>
                <w:sz w:val="19"/>
                <w:szCs w:val="19"/>
              </w:rPr>
              <w:t xml:space="preserve"> EAFGAs</w:t>
            </w:r>
            <w:r w:rsidR="00052A17">
              <w:rPr>
                <w:color w:val="000000"/>
                <w:sz w:val="19"/>
                <w:szCs w:val="19"/>
              </w:rPr>
              <w:br/>
              <w:t xml:space="preserve">  </w:t>
            </w:r>
            <w:r>
              <w:rPr>
                <w:color w:val="000000"/>
                <w:sz w:val="19"/>
                <w:szCs w:val="19"/>
              </w:rPr>
              <w:t>i</w:t>
            </w:r>
            <w:r w:rsidRPr="009662BE">
              <w:rPr>
                <w:color w:val="000000"/>
                <w:sz w:val="19"/>
                <w:szCs w:val="19"/>
              </w:rPr>
              <w:t>n economic</w:t>
            </w:r>
            <w:r w:rsidR="0061056B">
              <w:rPr>
                <w:color w:val="000000"/>
                <w:sz w:val="19"/>
                <w:szCs w:val="19"/>
              </w:rPr>
              <w:br/>
              <w:t xml:space="preserve"> </w:t>
            </w:r>
            <w:r w:rsidRPr="009662BE">
              <w:rPr>
                <w:color w:val="000000"/>
                <w:sz w:val="19"/>
                <w:szCs w:val="19"/>
              </w:rPr>
              <w:t xml:space="preserve"> reintegration</w:t>
            </w:r>
          </w:p>
          <w:p w:rsidR="00496854" w:rsidRPr="009662BE" w:rsidRDefault="00496854" w:rsidP="00B667B2">
            <w:pPr>
              <w:spacing w:after="0"/>
              <w:rPr>
                <w:sz w:val="19"/>
                <w:szCs w:val="19"/>
              </w:rPr>
            </w:pPr>
          </w:p>
        </w:tc>
        <w:tc>
          <w:tcPr>
            <w:tcW w:w="720" w:type="dxa"/>
            <w:tcBorders>
              <w:bottom w:val="single" w:sz="4" w:space="0" w:color="auto"/>
            </w:tcBorders>
          </w:tcPr>
          <w:p w:rsidR="002220A5" w:rsidRPr="009662BE" w:rsidRDefault="002220A5" w:rsidP="00B667B2">
            <w:pPr>
              <w:spacing w:after="0"/>
              <w:ind w:right="79"/>
              <w:jc w:val="right"/>
              <w:rPr>
                <w:sz w:val="19"/>
                <w:szCs w:val="19"/>
              </w:rPr>
            </w:pPr>
            <w:r w:rsidRPr="009662BE">
              <w:rPr>
                <w:sz w:val="19"/>
                <w:szCs w:val="19"/>
              </w:rPr>
              <w:t>7</w:t>
            </w:r>
          </w:p>
        </w:tc>
        <w:tc>
          <w:tcPr>
            <w:tcW w:w="550" w:type="dxa"/>
            <w:tcBorders>
              <w:bottom w:val="single" w:sz="4" w:space="0" w:color="auto"/>
            </w:tcBorders>
          </w:tcPr>
          <w:p w:rsidR="002220A5" w:rsidRPr="009662BE" w:rsidRDefault="002220A5" w:rsidP="00B667B2">
            <w:pPr>
              <w:spacing w:after="0"/>
              <w:ind w:right="79"/>
              <w:jc w:val="right"/>
              <w:rPr>
                <w:sz w:val="19"/>
                <w:szCs w:val="19"/>
              </w:rPr>
            </w:pPr>
            <w:r w:rsidRPr="009662BE">
              <w:rPr>
                <w:sz w:val="19"/>
                <w:szCs w:val="19"/>
              </w:rPr>
              <w:t>7</w:t>
            </w:r>
          </w:p>
        </w:tc>
        <w:tc>
          <w:tcPr>
            <w:tcW w:w="657"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1 852</w:t>
            </w:r>
          </w:p>
        </w:tc>
        <w:tc>
          <w:tcPr>
            <w:tcW w:w="657" w:type="dxa"/>
            <w:tcBorders>
              <w:bottom w:val="single" w:sz="4" w:space="0" w:color="auto"/>
            </w:tcBorders>
          </w:tcPr>
          <w:p w:rsidR="002220A5" w:rsidRPr="009662BE" w:rsidRDefault="002220A5" w:rsidP="00B667B2">
            <w:pPr>
              <w:spacing w:after="0"/>
              <w:ind w:right="79"/>
              <w:jc w:val="right"/>
              <w:rPr>
                <w:sz w:val="19"/>
                <w:szCs w:val="19"/>
              </w:rPr>
            </w:pPr>
            <w:r w:rsidRPr="009662BE">
              <w:rPr>
                <w:sz w:val="19"/>
                <w:szCs w:val="19"/>
              </w:rPr>
              <w:t>294</w:t>
            </w:r>
          </w:p>
        </w:tc>
        <w:tc>
          <w:tcPr>
            <w:tcW w:w="657" w:type="dxa"/>
            <w:tcBorders>
              <w:bottom w:val="single" w:sz="4" w:space="0" w:color="auto"/>
            </w:tcBorders>
          </w:tcPr>
          <w:p w:rsidR="002220A5" w:rsidRPr="009662BE" w:rsidRDefault="002220A5" w:rsidP="00B667B2">
            <w:pPr>
              <w:spacing w:after="0"/>
              <w:ind w:right="79"/>
              <w:jc w:val="right"/>
              <w:rPr>
                <w:sz w:val="19"/>
                <w:szCs w:val="19"/>
              </w:rPr>
            </w:pPr>
            <w:r w:rsidRPr="009662BE">
              <w:rPr>
                <w:sz w:val="19"/>
                <w:szCs w:val="19"/>
              </w:rPr>
              <w:t>26</w:t>
            </w:r>
          </w:p>
        </w:tc>
        <w:tc>
          <w:tcPr>
            <w:tcW w:w="658"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791</w:t>
            </w:r>
          </w:p>
        </w:tc>
        <w:tc>
          <w:tcPr>
            <w:tcW w:w="657" w:type="dxa"/>
            <w:tcBorders>
              <w:bottom w:val="single" w:sz="4" w:space="0" w:color="auto"/>
            </w:tcBorders>
          </w:tcPr>
          <w:p w:rsidR="002220A5" w:rsidRPr="009662BE" w:rsidRDefault="002220A5" w:rsidP="00B667B2">
            <w:pPr>
              <w:spacing w:after="0"/>
              <w:ind w:right="79"/>
              <w:jc w:val="right"/>
              <w:rPr>
                <w:sz w:val="19"/>
                <w:szCs w:val="19"/>
              </w:rPr>
            </w:pPr>
            <w:r w:rsidRPr="009662BE">
              <w:rPr>
                <w:sz w:val="19"/>
                <w:szCs w:val="19"/>
              </w:rPr>
              <w:t>148</w:t>
            </w:r>
          </w:p>
        </w:tc>
        <w:tc>
          <w:tcPr>
            <w:tcW w:w="657"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1 445</w:t>
            </w:r>
          </w:p>
        </w:tc>
        <w:tc>
          <w:tcPr>
            <w:tcW w:w="657"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4 407</w:t>
            </w:r>
          </w:p>
        </w:tc>
        <w:tc>
          <w:tcPr>
            <w:tcW w:w="657"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5 344</w:t>
            </w:r>
          </w:p>
        </w:tc>
        <w:tc>
          <w:tcPr>
            <w:tcW w:w="658" w:type="dxa"/>
            <w:tcBorders>
              <w:bottom w:val="single" w:sz="4" w:space="0" w:color="auto"/>
            </w:tcBorders>
          </w:tcPr>
          <w:p w:rsidR="002220A5" w:rsidRPr="009662BE" w:rsidRDefault="002220A5" w:rsidP="00B667B2">
            <w:pPr>
              <w:spacing w:after="0"/>
              <w:ind w:right="11"/>
              <w:jc w:val="right"/>
              <w:rPr>
                <w:sz w:val="19"/>
                <w:szCs w:val="19"/>
              </w:rPr>
            </w:pPr>
            <w:r w:rsidRPr="009662BE">
              <w:rPr>
                <w:sz w:val="19"/>
                <w:szCs w:val="19"/>
              </w:rPr>
              <w:t>2 401</w:t>
            </w:r>
          </w:p>
        </w:tc>
        <w:tc>
          <w:tcPr>
            <w:tcW w:w="833" w:type="dxa"/>
            <w:tcBorders>
              <w:bottom w:val="single" w:sz="4" w:space="0" w:color="auto"/>
            </w:tcBorders>
          </w:tcPr>
          <w:p w:rsidR="002220A5" w:rsidRPr="009662BE" w:rsidRDefault="002220A5" w:rsidP="00B667B2">
            <w:pPr>
              <w:spacing w:after="0"/>
              <w:ind w:right="45"/>
              <w:jc w:val="right"/>
              <w:rPr>
                <w:sz w:val="19"/>
                <w:szCs w:val="19"/>
              </w:rPr>
            </w:pPr>
            <w:r w:rsidRPr="009662BE">
              <w:rPr>
                <w:sz w:val="19"/>
                <w:szCs w:val="19"/>
              </w:rPr>
              <w:t>16 722</w:t>
            </w:r>
          </w:p>
        </w:tc>
      </w:tr>
      <w:tr w:rsidR="00467556" w:rsidRPr="009662BE" w:rsidTr="00496854">
        <w:trPr>
          <w:jc w:val="center"/>
        </w:trPr>
        <w:tc>
          <w:tcPr>
            <w:tcW w:w="9321" w:type="dxa"/>
            <w:gridSpan w:val="13"/>
            <w:tcBorders>
              <w:top w:val="single" w:sz="4" w:space="0" w:color="auto"/>
              <w:bottom w:val="single" w:sz="4" w:space="0" w:color="auto"/>
            </w:tcBorders>
          </w:tcPr>
          <w:p w:rsidR="00467556" w:rsidRPr="009662BE" w:rsidRDefault="00467556" w:rsidP="00467556">
            <w:pPr>
              <w:spacing w:after="0"/>
              <w:ind w:right="45"/>
              <w:rPr>
                <w:sz w:val="19"/>
                <w:szCs w:val="19"/>
              </w:rPr>
            </w:pPr>
            <w:r>
              <w:rPr>
                <w:sz w:val="19"/>
                <w:szCs w:val="19"/>
              </w:rPr>
              <w:t>Estimated number of children awaiting reintegration: about 6,000.</w:t>
            </w:r>
          </w:p>
        </w:tc>
      </w:tr>
    </w:tbl>
    <w:p w:rsidR="002220A5" w:rsidRDefault="002220A5" w:rsidP="002220A5">
      <w:pPr>
        <w:spacing w:before="240"/>
        <w:rPr>
          <w:color w:val="000000"/>
          <w:szCs w:val="24"/>
        </w:rPr>
      </w:pPr>
      <w:r>
        <w:rPr>
          <w:i/>
          <w:color w:val="000000"/>
          <w:szCs w:val="24"/>
        </w:rPr>
        <w:tab/>
        <w:t>S</w:t>
      </w:r>
      <w:r w:rsidRPr="00FC56DC">
        <w:rPr>
          <w:i/>
          <w:color w:val="000000"/>
          <w:szCs w:val="24"/>
        </w:rPr>
        <w:t>ource</w:t>
      </w:r>
      <w:r w:rsidRPr="00F8118F">
        <w:rPr>
          <w:color w:val="000000"/>
          <w:szCs w:val="24"/>
        </w:rPr>
        <w:t>: Minister for Social Affaires, Report on follow-up and assessment of activities for the PNDDR (</w:t>
      </w:r>
      <w:r w:rsidRPr="002220A5">
        <w:rPr>
          <w:color w:val="111111"/>
          <w:szCs w:val="24"/>
        </w:rPr>
        <w:t>Programme National de désarmement, de démobilisation et de réinsertion</w:t>
      </w:r>
      <w:r w:rsidRPr="00F8118F">
        <w:rPr>
          <w:color w:val="111111"/>
          <w:szCs w:val="24"/>
        </w:rPr>
        <w:t xml:space="preserve"> - National Programme </w:t>
      </w:r>
      <w:r w:rsidRPr="00F8118F">
        <w:rPr>
          <w:snapToGrid w:val="0"/>
          <w:szCs w:val="24"/>
        </w:rPr>
        <w:t>for disarmament, demobilization and reintegration)</w:t>
      </w:r>
      <w:r>
        <w:rPr>
          <w:color w:val="000000"/>
          <w:szCs w:val="24"/>
        </w:rPr>
        <w:t>/children, December 2007.</w:t>
      </w:r>
    </w:p>
    <w:p w:rsidR="0061056B" w:rsidRPr="0061056B" w:rsidRDefault="0061056B" w:rsidP="0061056B">
      <w:pPr>
        <w:jc w:val="center"/>
      </w:pPr>
      <w:r>
        <w:t>-----</w:t>
      </w:r>
    </w:p>
    <w:sectPr w:rsidR="0061056B" w:rsidRPr="0061056B" w:rsidSect="0084277F">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23" w:rsidRDefault="00B83823">
      <w:pPr>
        <w:spacing w:after="0"/>
      </w:pPr>
    </w:p>
  </w:endnote>
  <w:endnote w:type="continuationSeparator" w:id="0">
    <w:p w:rsidR="00B83823" w:rsidRDefault="00B83823">
      <w:pPr>
        <w:pStyle w:val="Footer"/>
      </w:pPr>
    </w:p>
  </w:endnote>
  <w:endnote w:type="continuationNotice" w:id="1">
    <w:p w:rsidR="00B83823" w:rsidRDefault="00B83823">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7F" w:rsidRDefault="0084277F" w:rsidP="0084277F">
    <w:pPr>
      <w:pStyle w:val="Footer"/>
      <w:spacing w:before="240"/>
    </w:pPr>
    <w:r>
      <w:t>GE.09-40022  (E)</w:t>
    </w:r>
    <w:r w:rsidR="002B5972">
      <w:t xml:space="preserve">    160109    160109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23" w:rsidRDefault="00B83823">
      <w:pPr>
        <w:spacing w:after="0"/>
      </w:pPr>
      <w:r>
        <w:separator/>
      </w:r>
    </w:p>
  </w:footnote>
  <w:footnote w:type="continuationSeparator" w:id="0">
    <w:p w:rsidR="00B83823" w:rsidRDefault="00B83823">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B83823" w:rsidRDefault="00B83823">
      <w:pPr>
        <w:spacing w:after="0"/>
      </w:pPr>
    </w:p>
  </w:footnote>
  <w:footnote w:id="2">
    <w:p w:rsidR="0084277F" w:rsidRDefault="0084277F" w:rsidP="0084277F">
      <w:pPr>
        <w:pStyle w:val="FootnoteText"/>
      </w:pPr>
      <w:r>
        <w:rPr>
          <w:rStyle w:val="FootnoteReference"/>
        </w:rPr>
        <w:footnoteRef/>
      </w:r>
      <w:r>
        <w:t xml:space="preserve">  </w:t>
      </w:r>
      <w:r>
        <w:rPr>
          <w:i/>
          <w:lang w:val="en-US"/>
        </w:rPr>
        <w:t>Source</w:t>
      </w:r>
      <w:r>
        <w:rPr>
          <w:lang w:val="en-US"/>
        </w:rPr>
        <w:t>: Ministry of the Budget, Budget Act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7F" w:rsidRPr="0084277F" w:rsidRDefault="0084277F" w:rsidP="0084277F">
    <w:pPr>
      <w:spacing w:after="0"/>
      <w:rPr>
        <w:lang w:val="fr-FR"/>
      </w:rPr>
    </w:pPr>
    <w:r w:rsidRPr="0084277F">
      <w:rPr>
        <w:lang w:val="fr-FR"/>
      </w:rPr>
      <w:t>CRC/C/COD/Q/2/Add.1</w:t>
    </w:r>
  </w:p>
  <w:p w:rsidR="0084277F" w:rsidRPr="0084277F" w:rsidRDefault="0084277F" w:rsidP="0084277F">
    <w:pPr>
      <w:spacing w:after="0"/>
      <w:rPr>
        <w:lang w:val="fr-FR"/>
      </w:rPr>
    </w:pPr>
    <w:r w:rsidRPr="0084277F">
      <w:rPr>
        <w:lang w:val="fr-FR"/>
      </w:rPr>
      <w:t xml:space="preserve">page </w:t>
    </w:r>
    <w:r>
      <w:fldChar w:fldCharType="begin"/>
    </w:r>
    <w:r w:rsidRPr="0084277F">
      <w:rPr>
        <w:lang w:val="fr-FR"/>
      </w:rPr>
      <w:instrText xml:space="preserve"> PAGE  \* MERGEFORMAT </w:instrText>
    </w:r>
    <w:r>
      <w:fldChar w:fldCharType="separate"/>
    </w:r>
    <w:r w:rsidR="00541A75">
      <w:rPr>
        <w:noProof/>
        <w:lang w:val="fr-FR"/>
      </w:rPr>
      <w:t>12</w:t>
    </w:r>
    <w:r>
      <w:fldChar w:fldCharType="end"/>
    </w:r>
  </w:p>
  <w:p w:rsidR="0084277F" w:rsidRPr="0084277F" w:rsidRDefault="0084277F" w:rsidP="0084277F">
    <w:pPr>
      <w:spacing w:after="0"/>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7F" w:rsidRPr="0084277F" w:rsidRDefault="0084277F" w:rsidP="0084277F">
    <w:pPr>
      <w:pStyle w:val="Header"/>
      <w:tabs>
        <w:tab w:val="clear" w:pos="4320"/>
        <w:tab w:val="clear" w:pos="8640"/>
        <w:tab w:val="left" w:pos="-1680"/>
        <w:tab w:val="left" w:pos="6803"/>
      </w:tabs>
      <w:spacing w:after="0"/>
      <w:rPr>
        <w:lang w:val="fr-FR"/>
      </w:rPr>
    </w:pPr>
    <w:r>
      <w:tab/>
    </w:r>
    <w:r w:rsidRPr="0084277F">
      <w:rPr>
        <w:lang w:val="fr-FR"/>
      </w:rPr>
      <w:t>CRC/C/COD/Q/2/Add.1</w:t>
    </w:r>
  </w:p>
  <w:p w:rsidR="0084277F" w:rsidRPr="0084277F" w:rsidRDefault="0084277F" w:rsidP="0084277F">
    <w:pPr>
      <w:tabs>
        <w:tab w:val="left" w:pos="6803"/>
      </w:tabs>
      <w:spacing w:after="0"/>
      <w:rPr>
        <w:lang w:val="fr-FR"/>
      </w:rPr>
    </w:pPr>
    <w:r w:rsidRPr="0084277F">
      <w:rPr>
        <w:lang w:val="fr-FR"/>
      </w:rPr>
      <w:tab/>
      <w:t xml:space="preserve">page </w:t>
    </w:r>
    <w:r>
      <w:fldChar w:fldCharType="begin"/>
    </w:r>
    <w:r w:rsidRPr="0084277F">
      <w:rPr>
        <w:lang w:val="fr-FR"/>
      </w:rPr>
      <w:instrText xml:space="preserve"> PAGE  \* MERGEFORMAT </w:instrText>
    </w:r>
    <w:r>
      <w:fldChar w:fldCharType="separate"/>
    </w:r>
    <w:r w:rsidR="00541A75">
      <w:rPr>
        <w:noProof/>
        <w:lang w:val="fr-FR"/>
      </w:rPr>
      <w:t>13</w:t>
    </w:r>
    <w:r>
      <w:fldChar w:fldCharType="end"/>
    </w:r>
  </w:p>
  <w:p w:rsidR="0084277F" w:rsidRPr="0084277F" w:rsidRDefault="0084277F" w:rsidP="0084277F">
    <w:pPr>
      <w:tabs>
        <w:tab w:val="left" w:pos="5953"/>
        <w:tab w:val="left" w:pos="6803"/>
      </w:tabs>
      <w:spacing w:after="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D58"/>
    <w:multiLevelType w:val="hybridMultilevel"/>
    <w:tmpl w:val="E496E6C4"/>
    <w:lvl w:ilvl="0" w:tplc="40962C0A">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C4269"/>
    <w:multiLevelType w:val="hybridMultilevel"/>
    <w:tmpl w:val="007837F6"/>
    <w:lvl w:ilvl="0" w:tplc="7F8818EC">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50C2B32"/>
    <w:multiLevelType w:val="hybridMultilevel"/>
    <w:tmpl w:val="C2EA3B40"/>
    <w:lvl w:ilvl="0" w:tplc="8D7EA30A">
      <w:start w:val="1"/>
      <w:numFmt w:val="bullet"/>
      <w:pStyle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6C54C5"/>
    <w:multiLevelType w:val="multilevel"/>
    <w:tmpl w:val="68829E8C"/>
    <w:lvl w:ilvl="0">
      <w:start w:val="1"/>
      <w:numFmt w:val="bullet"/>
      <w:lvlText w:val=""/>
      <w:lvlJc w:val="left"/>
      <w:pPr>
        <w:tabs>
          <w:tab w:val="num" w:pos="-32767"/>
        </w:tabs>
        <w:ind w:left="1418"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DBA6316"/>
    <w:multiLevelType w:val="hybridMultilevel"/>
    <w:tmpl w:val="0A62D148"/>
    <w:lvl w:ilvl="0" w:tplc="D578DF3C">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58B5314"/>
    <w:multiLevelType w:val="hybridMultilevel"/>
    <w:tmpl w:val="BEA6A0B6"/>
    <w:lvl w:ilvl="0" w:tplc="CD140068">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1D073F"/>
    <w:multiLevelType w:val="hybridMultilevel"/>
    <w:tmpl w:val="537642EA"/>
    <w:lvl w:ilvl="0" w:tplc="F946B8C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6E3C5584"/>
    <w:multiLevelType w:val="multilevel"/>
    <w:tmpl w:val="68829E8C"/>
    <w:lvl w:ilvl="0">
      <w:start w:val="1"/>
      <w:numFmt w:val="bullet"/>
      <w:lvlText w:val=""/>
      <w:lvlJc w:val="left"/>
      <w:pPr>
        <w:tabs>
          <w:tab w:val="num" w:pos="-32767"/>
        </w:tabs>
        <w:ind w:left="1418"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74A356F6"/>
    <w:multiLevelType w:val="hybridMultilevel"/>
    <w:tmpl w:val="E1FAF7C6"/>
    <w:lvl w:ilvl="0" w:tplc="C67E4A18">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979627D"/>
    <w:multiLevelType w:val="hybridMultilevel"/>
    <w:tmpl w:val="68829E8C"/>
    <w:lvl w:ilvl="0" w:tplc="92CAEAF6">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4"/>
  </w:num>
  <w:num w:numId="2">
    <w:abstractNumId w:val="13"/>
  </w:num>
  <w:num w:numId="3">
    <w:abstractNumId w:val="1"/>
  </w:num>
  <w:num w:numId="4">
    <w:abstractNumId w:val="2"/>
  </w:num>
  <w:num w:numId="5">
    <w:abstractNumId w:val="3"/>
  </w:num>
  <w:num w:numId="6">
    <w:abstractNumId w:val="12"/>
  </w:num>
  <w:num w:numId="7">
    <w:abstractNumId w:val="11"/>
  </w:num>
  <w:num w:numId="8">
    <w:abstractNumId w:val="8"/>
  </w:num>
  <w:num w:numId="9">
    <w:abstractNumId w:val="9"/>
  </w:num>
  <w:num w:numId="10">
    <w:abstractNumId w:val="0"/>
  </w:num>
  <w:num w:numId="11">
    <w:abstractNumId w:val="5"/>
  </w:num>
  <w:num w:numId="12">
    <w:abstractNumId w:val="10"/>
  </w:num>
  <w:num w:numId="13">
    <w:abstractNumId w:val="6"/>
  </w:num>
  <w:num w:numId="14">
    <w:abstractNumId w:val="7"/>
  </w:num>
  <w:num w:numId="15">
    <w:abstractNumId w:val="5"/>
  </w:num>
  <w:num w:numId="1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B95"/>
    <w:rsid w:val="00042D43"/>
    <w:rsid w:val="00052A17"/>
    <w:rsid w:val="000A5A92"/>
    <w:rsid w:val="000A5D14"/>
    <w:rsid w:val="001236FF"/>
    <w:rsid w:val="001276BC"/>
    <w:rsid w:val="00163792"/>
    <w:rsid w:val="00164703"/>
    <w:rsid w:val="001D0DFC"/>
    <w:rsid w:val="002220A5"/>
    <w:rsid w:val="00242795"/>
    <w:rsid w:val="0024633F"/>
    <w:rsid w:val="002A719C"/>
    <w:rsid w:val="002B5972"/>
    <w:rsid w:val="00313C78"/>
    <w:rsid w:val="00364B80"/>
    <w:rsid w:val="00366D73"/>
    <w:rsid w:val="00377843"/>
    <w:rsid w:val="00381FA7"/>
    <w:rsid w:val="00397674"/>
    <w:rsid w:val="003D6A1D"/>
    <w:rsid w:val="00416FD4"/>
    <w:rsid w:val="004502A2"/>
    <w:rsid w:val="0045681B"/>
    <w:rsid w:val="00467556"/>
    <w:rsid w:val="00496854"/>
    <w:rsid w:val="004D40B3"/>
    <w:rsid w:val="00541A75"/>
    <w:rsid w:val="00543EE3"/>
    <w:rsid w:val="00545527"/>
    <w:rsid w:val="00564D08"/>
    <w:rsid w:val="0061056B"/>
    <w:rsid w:val="00643801"/>
    <w:rsid w:val="00655253"/>
    <w:rsid w:val="0068062A"/>
    <w:rsid w:val="006B771E"/>
    <w:rsid w:val="006C6D7D"/>
    <w:rsid w:val="007077B6"/>
    <w:rsid w:val="00763304"/>
    <w:rsid w:val="007774E4"/>
    <w:rsid w:val="00791185"/>
    <w:rsid w:val="0084277F"/>
    <w:rsid w:val="00870AEE"/>
    <w:rsid w:val="00905BFC"/>
    <w:rsid w:val="00910D8C"/>
    <w:rsid w:val="00911ACE"/>
    <w:rsid w:val="009840FA"/>
    <w:rsid w:val="009A7D0C"/>
    <w:rsid w:val="009D7DAA"/>
    <w:rsid w:val="00A718FC"/>
    <w:rsid w:val="00A7654A"/>
    <w:rsid w:val="00A8072D"/>
    <w:rsid w:val="00AF4039"/>
    <w:rsid w:val="00B072E4"/>
    <w:rsid w:val="00B12167"/>
    <w:rsid w:val="00B667B2"/>
    <w:rsid w:val="00B83823"/>
    <w:rsid w:val="00B91C18"/>
    <w:rsid w:val="00C4589E"/>
    <w:rsid w:val="00C81B95"/>
    <w:rsid w:val="00C8444D"/>
    <w:rsid w:val="00C8475F"/>
    <w:rsid w:val="00D32967"/>
    <w:rsid w:val="00D5582B"/>
    <w:rsid w:val="00D919C0"/>
    <w:rsid w:val="00DB5010"/>
    <w:rsid w:val="00DE23C2"/>
    <w:rsid w:val="00E27876"/>
    <w:rsid w:val="00EB4195"/>
    <w:rsid w:val="00EF1C01"/>
    <w:rsid w:val="00F26496"/>
    <w:rsid w:val="00F651A6"/>
    <w:rsid w:val="00FB4DA3"/>
    <w:rsid w:val="00FC4D1E"/>
    <w:rsid w:val="00FE3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77F"/>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s>
      <w:ind w:left="0" w:firstLine="0"/>
    </w:pPr>
  </w:style>
  <w:style w:type="character" w:styleId="FootnoteReference">
    <w:name w:val="footnote reference"/>
    <w:basedOn w:val="DefaultParagraphFont"/>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basedOn w:val="DefaultParagraphFont"/>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4"/>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11"/>
      </w:numPr>
    </w:pPr>
  </w:style>
  <w:style w:type="table" w:styleId="TableGrid">
    <w:name w:val="Table Grid"/>
    <w:basedOn w:val="TableNormal"/>
    <w:rsid w:val="002220A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4522</Words>
  <Characters>24104</Characters>
  <Application>Microsoft Office Outlook</Application>
  <DocSecurity>4</DocSecurity>
  <Lines>669</Lines>
  <Paragraphs>461</Paragraphs>
  <ScaleCrop>false</ScaleCrop>
  <HeadingPairs>
    <vt:vector size="2" baseType="variant">
      <vt:variant>
        <vt:lpstr>Title</vt:lpstr>
      </vt:variant>
      <vt:variant>
        <vt:i4>1</vt:i4>
      </vt:variant>
    </vt:vector>
  </HeadingPairs>
  <TitlesOfParts>
    <vt:vector size="1" baseType="lpstr">
      <vt:lpstr>0940022</vt:lpstr>
    </vt:vector>
  </TitlesOfParts>
  <Company>CSD</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0940022</dc:title>
  <dc:subject/>
  <dc:creator>Giltsoff</dc:creator>
  <cp:keywords>CRC/C/MLI/Q/2/Add.1</cp:keywords>
  <dc:description>Final</dc:description>
  <cp:lastModifiedBy>HM</cp:lastModifiedBy>
  <cp:revision>2</cp:revision>
  <cp:lastPrinted>2009-01-15T09:53:00Z</cp:lastPrinted>
  <dcterms:created xsi:type="dcterms:W3CDTF">2009-01-16T10:05:00Z</dcterms:created>
  <dcterms:modified xsi:type="dcterms:W3CDTF">2009-01-16T10:05:00Z</dcterms:modified>
</cp:coreProperties>
</file>