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420"/>
        <w:gridCol w:w="2120"/>
        <w:gridCol w:w="2819"/>
      </w:tblGrid>
      <w:tr w:rsidR="007511D7" w:rsidRPr="00D65A62" w:rsidTr="002B43B0">
        <w:trPr>
          <w:cnfStyle w:val="10000000000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2B43B0">
            <w:pPr>
              <w:jc w:val="right"/>
              <w:rPr>
                <w:sz w:val="20"/>
                <w:lang w:val="en-US"/>
              </w:rPr>
            </w:pPr>
            <w:r w:rsidRPr="002F7307">
              <w:rPr>
                <w:sz w:val="40"/>
                <w:szCs w:val="40"/>
                <w:lang w:val="en-US"/>
              </w:rPr>
              <w:t>CERD</w:t>
            </w:r>
            <w:r w:rsidRPr="00D65A62">
              <w:rPr>
                <w:sz w:val="20"/>
                <w:lang w:val="en-US"/>
              </w:rPr>
              <w:t>/</w:t>
            </w:r>
            <w:fldSimple w:instr=" FILLIN  &quot;Введите часть символа после CERD/&quot;  \* MERGEFORMAT ">
              <w:r w:rsidR="00D90CCB">
                <w:t>C/CZE/10-11</w:t>
              </w:r>
            </w:fldSimple>
          </w:p>
        </w:tc>
      </w:tr>
      <w:tr w:rsidR="007511D7" w:rsidRPr="00635870" w:rsidTr="002B43B0">
        <w:trPr>
          <w:trHeight w:hRule="exact" w:val="2835"/>
        </w:trPr>
        <w:tc>
          <w:tcPr>
            <w:tcW w:w="1280" w:type="dxa"/>
            <w:tcBorders>
              <w:top w:val="single" w:sz="4" w:space="0" w:color="auto"/>
              <w:bottom w:val="single" w:sz="12" w:space="0" w:color="auto"/>
            </w:tcBorders>
          </w:tcPr>
          <w:p w:rsidR="007511D7" w:rsidRPr="00635870" w:rsidRDefault="007511D7" w:rsidP="002B43B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7511D7" w:rsidRDefault="007511D7" w:rsidP="007511D7">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r w:rsidRPr="00D65A62">
              <w:rPr>
                <w:sz w:val="20"/>
                <w:lang w:val="en-US"/>
              </w:rPr>
              <w:t>Distr</w:t>
            </w:r>
            <w:r w:rsidRPr="00D65A62">
              <w:rPr>
                <w:sz w:val="20"/>
              </w:rPr>
              <w:t>.:</w:t>
            </w:r>
            <w:r w:rsidRPr="00D65A62">
              <w:rPr>
                <w:sz w:val="20"/>
                <w:lang w:val="en-US"/>
              </w:rPr>
              <w:t xml:space="preserve"> </w:t>
            </w:r>
            <w:bookmarkStart w:id="0" w:name="ПолеСоСписком1"/>
            <w:r w:rsidRPr="00D65A62">
              <w:rPr>
                <w:sz w:val="20"/>
              </w:rPr>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Pr="00D65A62">
              <w:rPr>
                <w:sz w:val="20"/>
              </w:rPr>
            </w:r>
            <w:r w:rsidRPr="00D65A62">
              <w:rPr>
                <w:sz w:val="20"/>
              </w:rPr>
              <w:fldChar w:fldCharType="end"/>
            </w:r>
            <w:bookmarkEnd w:id="0"/>
          </w:p>
          <w:p w:rsidR="007511D7" w:rsidRPr="00D65A62" w:rsidRDefault="002A23B5" w:rsidP="002B43B0">
            <w:pPr>
              <w:spacing w:before="0" w:after="0"/>
              <w:rPr>
                <w:sz w:val="20"/>
                <w:lang w:val="en-US"/>
              </w:rPr>
            </w:pPr>
            <w:r>
              <w:rPr>
                <w:sz w:val="20"/>
                <w:lang w:val="en-US"/>
              </w:rPr>
              <w:t>31 March 2014</w:t>
            </w:r>
            <w:fldSimple w:instr=" FILLIN  &quot;Введите дату документа&quot; \* MERGEFORMAT "/>
          </w:p>
          <w:p w:rsidR="007511D7" w:rsidRPr="00D65A62" w:rsidRDefault="007511D7" w:rsidP="002B43B0">
            <w:pPr>
              <w:spacing w:before="0" w:after="0"/>
              <w:rPr>
                <w:sz w:val="20"/>
              </w:rPr>
            </w:pPr>
            <w:r w:rsidRPr="00D65A62">
              <w:rPr>
                <w:sz w:val="20"/>
                <w:lang w:val="en-US"/>
              </w:rPr>
              <w:t>Russian</w:t>
            </w:r>
          </w:p>
          <w:p w:rsidR="007511D7" w:rsidRPr="00D65A62" w:rsidRDefault="007511D7" w:rsidP="002B43B0">
            <w:pPr>
              <w:spacing w:before="0" w:after="0"/>
              <w:rPr>
                <w:sz w:val="20"/>
              </w:rPr>
            </w:pPr>
            <w:r w:rsidRPr="00D65A62">
              <w:rPr>
                <w:sz w:val="20"/>
                <w:lang w:val="en-US"/>
              </w:rPr>
              <w:t>Original</w:t>
            </w:r>
            <w:r w:rsidRPr="00D65A62">
              <w:rPr>
                <w:sz w:val="20"/>
              </w:rPr>
              <w:t xml:space="preserve">: </w:t>
            </w:r>
            <w:bookmarkStart w:id="1" w:name="ПолеСоСписком2"/>
            <w:r w:rsidRPr="00D65A62">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D65A62">
              <w:rPr>
                <w:sz w:val="20"/>
                <w:lang w:val="en-US"/>
              </w:rPr>
              <w:instrText xml:space="preserve"> FORMDROPDOWN </w:instrText>
            </w:r>
            <w:r w:rsidRPr="00D65A62">
              <w:rPr>
                <w:sz w:val="20"/>
              </w:rPr>
            </w:r>
            <w:r w:rsidRPr="00D65A62">
              <w:rPr>
                <w:sz w:val="20"/>
              </w:rPr>
              <w:fldChar w:fldCharType="end"/>
            </w:r>
            <w:bookmarkEnd w:id="1"/>
          </w:p>
          <w:p w:rsidR="007511D7" w:rsidRPr="00635870" w:rsidRDefault="007511D7" w:rsidP="002B43B0"/>
        </w:tc>
      </w:tr>
    </w:tbl>
    <w:p w:rsidR="0086169A" w:rsidRPr="00D577AF" w:rsidRDefault="0086169A" w:rsidP="00D577AF">
      <w:pPr>
        <w:spacing w:before="120"/>
        <w:rPr>
          <w:b/>
          <w:sz w:val="24"/>
          <w:szCs w:val="24"/>
        </w:rPr>
      </w:pPr>
      <w:r w:rsidRPr="00D577AF">
        <w:rPr>
          <w:b/>
          <w:sz w:val="24"/>
          <w:szCs w:val="24"/>
        </w:rPr>
        <w:t xml:space="preserve">Комитет по ликвидации расовой </w:t>
      </w:r>
      <w:r w:rsidR="00D577AF" w:rsidRPr="00D577AF">
        <w:rPr>
          <w:b/>
          <w:sz w:val="24"/>
          <w:szCs w:val="24"/>
        </w:rPr>
        <w:br/>
      </w:r>
      <w:r w:rsidRPr="00D577AF">
        <w:rPr>
          <w:b/>
          <w:sz w:val="24"/>
          <w:szCs w:val="24"/>
        </w:rPr>
        <w:t>дискриминации</w:t>
      </w:r>
    </w:p>
    <w:p w:rsidR="0086169A" w:rsidRPr="00125BA5" w:rsidRDefault="0086169A" w:rsidP="00D577AF">
      <w:pPr>
        <w:pStyle w:val="HMGR"/>
      </w:pPr>
      <w:r w:rsidRPr="00125BA5">
        <w:tab/>
      </w:r>
      <w:r w:rsidRPr="00125BA5">
        <w:tab/>
        <w:t>Рассмотрение докладов, представляемых государствами-участниками в соответствии со статьей 9 Конвенции</w:t>
      </w:r>
    </w:p>
    <w:p w:rsidR="0086169A" w:rsidRPr="00125BA5" w:rsidRDefault="0086169A" w:rsidP="00D577AF">
      <w:pPr>
        <w:pStyle w:val="H1GR"/>
      </w:pPr>
      <w:r w:rsidRPr="00125BA5">
        <w:tab/>
      </w:r>
      <w:r w:rsidRPr="00125BA5">
        <w:tab/>
        <w:t>Десятый и одиннадцатый периодические доклады, подлежащие представлению в 2014 году</w:t>
      </w:r>
    </w:p>
    <w:p w:rsidR="0086169A" w:rsidRPr="00CB796C" w:rsidRDefault="0086169A" w:rsidP="00D577AF">
      <w:pPr>
        <w:pStyle w:val="HMGR"/>
        <w:rPr>
          <w:lang w:val="en-US"/>
        </w:rPr>
      </w:pPr>
      <w:r w:rsidRPr="004030B6">
        <w:tab/>
      </w:r>
      <w:r w:rsidRPr="004030B6">
        <w:tab/>
        <w:t>Чешская Республика</w:t>
      </w:r>
      <w:r w:rsidR="00D577AF" w:rsidRPr="00D577AF">
        <w:rPr>
          <w:rStyle w:val="FootnoteReference"/>
          <w:sz w:val="20"/>
          <w:vertAlign w:val="baseline"/>
        </w:rPr>
        <w:footnoteReference w:customMarkFollows="1" w:id="1"/>
        <w:t>*</w:t>
      </w:r>
    </w:p>
    <w:p w:rsidR="0086169A" w:rsidRPr="004030B6" w:rsidRDefault="0086169A" w:rsidP="00D577AF">
      <w:pPr>
        <w:pStyle w:val="SingleTxtGR"/>
        <w:jc w:val="right"/>
      </w:pPr>
      <w:r w:rsidRPr="004030B6">
        <w:t>[Дата получения: 7 января 2014 года]</w:t>
      </w:r>
    </w:p>
    <w:p w:rsidR="00CB796C" w:rsidRDefault="00D577AF" w:rsidP="00CB796C">
      <w:pPr>
        <w:pStyle w:val="SingleTxtGR"/>
        <w:suppressAutoHyphens/>
        <w:ind w:left="0" w:right="0"/>
        <w:jc w:val="left"/>
        <w:rPr>
          <w:sz w:val="28"/>
        </w:rPr>
      </w:pPr>
      <w:r>
        <w:br w:type="page"/>
      </w:r>
      <w:r w:rsidR="00CB796C">
        <w:rPr>
          <w:sz w:val="28"/>
        </w:rPr>
        <w:t>Содержание</w:t>
      </w:r>
    </w:p>
    <w:p w:rsidR="00CB796C" w:rsidRDefault="00CB796C" w:rsidP="00CB796C">
      <w:pPr>
        <w:pStyle w:val="SingleTxtGR"/>
        <w:tabs>
          <w:tab w:val="clear" w:pos="1701"/>
          <w:tab w:val="clear" w:pos="2268"/>
          <w:tab w:val="clear" w:pos="2835"/>
          <w:tab w:val="clear" w:pos="3402"/>
          <w:tab w:val="clear" w:pos="3969"/>
          <w:tab w:val="right" w:pos="8929"/>
          <w:tab w:val="right" w:pos="9638"/>
        </w:tabs>
        <w:suppressAutoHyphens/>
        <w:ind w:left="283" w:right="0"/>
        <w:jc w:val="left"/>
      </w:pPr>
      <w:r>
        <w:rPr>
          <w:i/>
          <w:sz w:val="18"/>
        </w:rPr>
        <w:tab/>
        <w:t>Пункты</w:t>
      </w:r>
      <w:r>
        <w:rPr>
          <w:i/>
          <w:sz w:val="18"/>
        </w:rPr>
        <w:tab/>
        <w:t>Стр.</w:t>
      </w:r>
    </w:p>
    <w:p w:rsidR="00CB796C" w:rsidRDefault="0086169A" w:rsidP="00CB7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4030B6">
        <w:tab/>
      </w:r>
      <w:r w:rsidRPr="004030B6">
        <w:rPr>
          <w:lang w:val="en-US"/>
        </w:rPr>
        <w:t>I</w:t>
      </w:r>
      <w:r w:rsidRPr="004030B6">
        <w:t>.</w:t>
      </w:r>
      <w:r w:rsidRPr="004030B6">
        <w:tab/>
        <w:t>Общий раздел</w:t>
      </w:r>
      <w:r w:rsidRPr="004030B6">
        <w:tab/>
      </w:r>
      <w:r w:rsidRPr="004030B6">
        <w:tab/>
        <w:t>1–4</w:t>
      </w:r>
      <w:r w:rsidRPr="004030B6">
        <w:tab/>
      </w:r>
      <w:r w:rsidR="00905871">
        <w:t>3</w:t>
      </w:r>
    </w:p>
    <w:p w:rsidR="00084738" w:rsidRPr="00905871" w:rsidRDefault="0086169A" w:rsidP="00CB796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4030B6">
        <w:tab/>
      </w:r>
      <w:r w:rsidRPr="00CB796C">
        <w:t>II</w:t>
      </w:r>
      <w:r w:rsidRPr="004030B6">
        <w:t>.</w:t>
      </w:r>
      <w:r w:rsidRPr="004030B6">
        <w:tab/>
        <w:t>Раздел, содержащий конкретную информацию</w:t>
      </w:r>
      <w:r w:rsidRPr="004030B6">
        <w:tab/>
      </w:r>
      <w:r w:rsidRPr="004030B6">
        <w:tab/>
        <w:t>5–145</w:t>
      </w:r>
      <w:r w:rsidRPr="004030B6">
        <w:tab/>
      </w:r>
      <w:r w:rsidR="00905871">
        <w:t>3</w:t>
      </w:r>
    </w:p>
    <w:p w:rsidR="0086169A" w:rsidRPr="004030B6" w:rsidRDefault="00084738" w:rsidP="00084738">
      <w:pPr>
        <w:pStyle w:val="SingleTxtGR"/>
        <w:tabs>
          <w:tab w:val="clear" w:pos="1701"/>
          <w:tab w:val="clear" w:pos="2268"/>
          <w:tab w:val="clear" w:pos="2835"/>
          <w:tab w:val="clear" w:pos="3402"/>
          <w:tab w:val="clear" w:pos="3969"/>
          <w:tab w:val="right" w:pos="850"/>
          <w:tab w:val="left" w:pos="1134"/>
          <w:tab w:val="left" w:pos="1559"/>
          <w:tab w:val="left" w:leader="dot" w:pos="7654"/>
          <w:tab w:val="right" w:pos="8929"/>
          <w:tab w:val="right" w:pos="9638"/>
        </w:tabs>
        <w:suppressAutoHyphens/>
        <w:ind w:left="0" w:right="0"/>
        <w:jc w:val="left"/>
      </w:pPr>
      <w:r w:rsidRPr="00905871">
        <w:tab/>
      </w:r>
      <w:r>
        <w:tab/>
        <w:t>Статья 1</w:t>
      </w:r>
      <w:r>
        <w:tab/>
      </w:r>
      <w:r>
        <w:tab/>
      </w:r>
      <w:r w:rsidR="0086169A" w:rsidRPr="004030B6">
        <w:t>5–8</w:t>
      </w:r>
      <w:r w:rsidR="0086169A" w:rsidRPr="004030B6">
        <w:tab/>
      </w:r>
      <w:r w:rsidR="00905871">
        <w:t>3</w:t>
      </w:r>
    </w:p>
    <w:p w:rsidR="00084738" w:rsidRPr="00905871" w:rsidRDefault="00084738" w:rsidP="0008473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84738">
        <w:tab/>
      </w:r>
      <w:r w:rsidRPr="00084738">
        <w:tab/>
      </w:r>
      <w:r w:rsidR="0086169A" w:rsidRPr="004030B6">
        <w:t>Статья 2: Законодательные и административные меры, направленные</w:t>
      </w:r>
      <w:r w:rsidRPr="00084738">
        <w:br/>
      </w:r>
      <w:r w:rsidRPr="00084738">
        <w:tab/>
      </w:r>
      <w:r w:rsidRPr="00084738">
        <w:tab/>
      </w:r>
      <w:r w:rsidR="0086169A" w:rsidRPr="004030B6">
        <w:t>на борьбу с дискриминацией</w:t>
      </w:r>
      <w:r w:rsidR="0086169A" w:rsidRPr="004030B6">
        <w:tab/>
      </w:r>
      <w:r w:rsidR="0086169A" w:rsidRPr="004030B6">
        <w:tab/>
        <w:t>9–24</w:t>
      </w:r>
      <w:r w:rsidRPr="00905871">
        <w:tab/>
      </w:r>
      <w:r w:rsidR="00905871">
        <w:t>5</w:t>
      </w:r>
    </w:p>
    <w:p w:rsidR="0086169A" w:rsidRPr="00905871" w:rsidRDefault="0086169A" w:rsidP="0008473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4030B6">
        <w:tab/>
      </w:r>
      <w:r w:rsidRPr="004030B6">
        <w:tab/>
        <w:t>Статья 3: Запрещение расовой сегрегации и апартеида</w:t>
      </w:r>
      <w:r w:rsidRPr="004030B6">
        <w:tab/>
      </w:r>
      <w:r w:rsidRPr="004030B6">
        <w:tab/>
        <w:t>25–31</w:t>
      </w:r>
      <w:r w:rsidRPr="004030B6">
        <w:tab/>
      </w:r>
      <w:r w:rsidR="00905871">
        <w:t>12</w:t>
      </w:r>
    </w:p>
    <w:p w:rsidR="0086169A" w:rsidRPr="004030B6" w:rsidRDefault="00084738" w:rsidP="0008473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905871">
        <w:tab/>
      </w:r>
      <w:r w:rsidRPr="00905871">
        <w:tab/>
      </w:r>
      <w:r w:rsidR="0086169A" w:rsidRPr="004030B6">
        <w:t xml:space="preserve">Статья 4: Законодательные, административные и иные меры по борьбе </w:t>
      </w:r>
      <w:r w:rsidRPr="00084738">
        <w:br/>
      </w:r>
      <w:r w:rsidRPr="00084738">
        <w:tab/>
      </w:r>
      <w:r w:rsidRPr="00084738">
        <w:tab/>
      </w:r>
      <w:r w:rsidR="0086169A" w:rsidRPr="004030B6">
        <w:t xml:space="preserve">с поощрением расовой ненависти и насилия в отношении расовых и </w:t>
      </w:r>
      <w:r w:rsidRPr="00084738">
        <w:br/>
      </w:r>
      <w:r w:rsidRPr="00084738">
        <w:tab/>
      </w:r>
      <w:r w:rsidRPr="00084738">
        <w:tab/>
      </w:r>
      <w:r w:rsidR="0086169A" w:rsidRPr="004030B6">
        <w:t>этнических групп</w:t>
      </w:r>
      <w:r w:rsidR="0086169A" w:rsidRPr="004030B6">
        <w:tab/>
      </w:r>
      <w:r w:rsidRPr="00084738">
        <w:tab/>
      </w:r>
      <w:r w:rsidR="0086169A" w:rsidRPr="004030B6">
        <w:t>32–49</w:t>
      </w:r>
      <w:r w:rsidR="0086169A" w:rsidRPr="004030B6">
        <w:tab/>
      </w:r>
      <w:r w:rsidR="00905871">
        <w:t>16</w:t>
      </w:r>
    </w:p>
    <w:p w:rsidR="0086169A" w:rsidRPr="00084738" w:rsidRDefault="0086169A" w:rsidP="0008473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4030B6">
        <w:tab/>
      </w:r>
      <w:r w:rsidRPr="004030B6">
        <w:tab/>
        <w:t>Статья 5: Права, конкретно гарантированные Конвенцией</w:t>
      </w:r>
      <w:r w:rsidRPr="004030B6">
        <w:tab/>
      </w:r>
      <w:r w:rsidRPr="004030B6">
        <w:tab/>
        <w:t>50–118</w:t>
      </w:r>
      <w:r w:rsidR="00084738" w:rsidRPr="00084738">
        <w:tab/>
      </w:r>
      <w:r w:rsidR="00905871">
        <w:t>24</w:t>
      </w:r>
    </w:p>
    <w:p w:rsidR="00084738" w:rsidRPr="00905871" w:rsidRDefault="0086169A" w:rsidP="0008473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4030B6">
        <w:tab/>
      </w:r>
      <w:r w:rsidRPr="004030B6">
        <w:tab/>
        <w:t>Статья 6: Защита от всех проявлений расовой дискриминации</w:t>
      </w:r>
      <w:r w:rsidRPr="004030B6">
        <w:tab/>
      </w:r>
      <w:r w:rsidRPr="004030B6">
        <w:tab/>
        <w:t>119–128</w:t>
      </w:r>
      <w:r w:rsidRPr="004030B6">
        <w:tab/>
      </w:r>
      <w:r w:rsidR="00905871">
        <w:t>53</w:t>
      </w:r>
    </w:p>
    <w:p w:rsidR="00782828" w:rsidRDefault="00084738" w:rsidP="0078282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905871">
        <w:tab/>
      </w:r>
      <w:r w:rsidRPr="00905871">
        <w:tab/>
      </w:r>
      <w:r w:rsidR="0086169A" w:rsidRPr="004030B6">
        <w:t>Статья 7: Роль государства в сфере образования и профессиональной</w:t>
      </w:r>
      <w:r w:rsidRPr="00084738">
        <w:br/>
      </w:r>
      <w:r w:rsidRPr="00084738">
        <w:tab/>
      </w:r>
      <w:r w:rsidRPr="00084738">
        <w:tab/>
      </w:r>
      <w:r w:rsidR="0086169A" w:rsidRPr="004030B6">
        <w:t>подготовки применительно к борьбе с расовой дискриминацией</w:t>
      </w:r>
      <w:r w:rsidR="0086169A" w:rsidRPr="004030B6">
        <w:tab/>
      </w:r>
      <w:r w:rsidRPr="00084738">
        <w:tab/>
      </w:r>
      <w:r w:rsidR="0086169A" w:rsidRPr="004030B6">
        <w:t>129–145</w:t>
      </w:r>
      <w:r w:rsidR="00782828">
        <w:tab/>
      </w:r>
      <w:r w:rsidR="00905871">
        <w:t>59</w:t>
      </w:r>
    </w:p>
    <w:p w:rsidR="0086169A" w:rsidRDefault="00782828" w:rsidP="00782828">
      <w:pPr>
        <w:pStyle w:val="SingleTxtGR"/>
        <w:spacing w:before="240"/>
        <w:ind w:left="0"/>
      </w:pPr>
      <w:r>
        <w:t>Пр</w:t>
      </w:r>
      <w:r w:rsidR="0086169A" w:rsidRPr="004030B6">
        <w:t>иложения</w:t>
      </w:r>
      <w:r w:rsidRPr="00782828">
        <w:rPr>
          <w:rStyle w:val="FootnoteReference"/>
          <w:sz w:val="20"/>
          <w:vertAlign w:val="baseline"/>
        </w:rPr>
        <w:footnoteReference w:customMarkFollows="1" w:id="2"/>
        <w:t>**</w:t>
      </w:r>
    </w:p>
    <w:p w:rsidR="00782828" w:rsidRDefault="00782828" w:rsidP="0086169A">
      <w:pPr>
        <w:pStyle w:val="SingleTxtGR"/>
      </w:pPr>
    </w:p>
    <w:p w:rsidR="0058530E" w:rsidRDefault="00782828" w:rsidP="0058530E">
      <w:pPr>
        <w:pStyle w:val="HChGR"/>
      </w:pPr>
      <w:r>
        <w:br w:type="page"/>
      </w:r>
      <w:r w:rsidR="0058530E">
        <w:tab/>
      </w:r>
      <w:r w:rsidR="0086169A" w:rsidRPr="004030B6">
        <w:rPr>
          <w:lang w:val="en-US"/>
        </w:rPr>
        <w:t>I</w:t>
      </w:r>
      <w:r w:rsidR="0086169A" w:rsidRPr="004030B6">
        <w:t>.</w:t>
      </w:r>
      <w:r w:rsidR="0086169A" w:rsidRPr="004030B6">
        <w:tab/>
        <w:t>Общий раздел</w:t>
      </w:r>
    </w:p>
    <w:p w:rsidR="0086169A" w:rsidRPr="004030B6" w:rsidRDefault="0086169A" w:rsidP="0058530E">
      <w:pPr>
        <w:pStyle w:val="SingleTxtGR"/>
      </w:pPr>
      <w:r w:rsidRPr="004030B6">
        <w:t>1.</w:t>
      </w:r>
      <w:r w:rsidRPr="004030B6">
        <w:tab/>
        <w:t>Чеш</w:t>
      </w:r>
      <w:r w:rsidR="009C6F8B">
        <w:t>ская Республика (здесь и далее −</w:t>
      </w:r>
      <w:r w:rsidRPr="004030B6">
        <w:t xml:space="preserve"> </w:t>
      </w:r>
      <w:r w:rsidR="009C6F8B">
        <w:t>"</w:t>
      </w:r>
      <w:r w:rsidRPr="004030B6">
        <w:t>ЧР</w:t>
      </w:r>
      <w:r w:rsidR="009C6F8B">
        <w:t>"</w:t>
      </w:r>
      <w:r w:rsidRPr="004030B6">
        <w:t>) является государством − уч</w:t>
      </w:r>
      <w:r w:rsidRPr="004030B6">
        <w:t>а</w:t>
      </w:r>
      <w:r w:rsidRPr="004030B6">
        <w:t>стником Международной конвенции о ликвидации всех форм расовой дискр</w:t>
      </w:r>
      <w:r w:rsidRPr="004030B6">
        <w:t>и</w:t>
      </w:r>
      <w:r w:rsidRPr="004030B6">
        <w:t xml:space="preserve">минации (здесь и далее – </w:t>
      </w:r>
      <w:r w:rsidR="009C6F8B">
        <w:t>"</w:t>
      </w:r>
      <w:r w:rsidRPr="004030B6">
        <w:t>Конвенция</w:t>
      </w:r>
      <w:r w:rsidR="009C6F8B">
        <w:t>"</w:t>
      </w:r>
      <w:r w:rsidRPr="004030B6">
        <w:t>), которая была подписана бывшей Чех</w:t>
      </w:r>
      <w:r w:rsidRPr="004030B6">
        <w:t>о</w:t>
      </w:r>
      <w:r w:rsidRPr="004030B6">
        <w:t>словацкой Социалистической Республикой 7 марта 1996 года. Таким образом, ЧР периодически представляет Комитету по ликвидации расовой дискримин</w:t>
      </w:r>
      <w:r w:rsidRPr="004030B6">
        <w:t>а</w:t>
      </w:r>
      <w:r w:rsidRPr="004030B6">
        <w:t>ции доклады о выполнении обязательств, вытекающих из этой Конвенции. ЧР представила объединенные восьмой и девятый периодические доклады в 2010 году.</w:t>
      </w:r>
    </w:p>
    <w:p w:rsidR="0086169A" w:rsidRPr="004030B6" w:rsidRDefault="0086169A" w:rsidP="0086169A">
      <w:pPr>
        <w:pStyle w:val="SingleTxtGR"/>
      </w:pPr>
      <w:r w:rsidRPr="004030B6">
        <w:t>2.</w:t>
      </w:r>
      <w:r w:rsidRPr="004030B6">
        <w:tab/>
        <w:t>В соответствии с пунктом 30 заключительных замечаний, принятых по итогам рассмотрения восьмого и девятого периодических докладов, ЧР пре</w:t>
      </w:r>
      <w:r w:rsidRPr="004030B6">
        <w:t>д</w:t>
      </w:r>
      <w:r w:rsidRPr="004030B6">
        <w:t>ставляет объединенные десятый и одиннадцатый периодические доклады о в</w:t>
      </w:r>
      <w:r w:rsidRPr="004030B6">
        <w:t>ы</w:t>
      </w:r>
      <w:r w:rsidRPr="004030B6">
        <w:t>полнении обязательств, вытекающих из Конвенции, за период с 1 августа 2009 года по 28 февраля 2013 года.</w:t>
      </w:r>
    </w:p>
    <w:p w:rsidR="0086169A" w:rsidRPr="004030B6" w:rsidRDefault="0086169A" w:rsidP="0086169A">
      <w:pPr>
        <w:pStyle w:val="SingleTxtGR"/>
      </w:pPr>
      <w:r w:rsidRPr="004030B6">
        <w:t>3.</w:t>
      </w:r>
      <w:r w:rsidRPr="004030B6">
        <w:tab/>
        <w:t>При подготовке доклада было принято во внимание следующее:</w:t>
      </w:r>
    </w:p>
    <w:p w:rsidR="0086169A" w:rsidRPr="004030B6" w:rsidRDefault="0086169A" w:rsidP="009C6F8B">
      <w:pPr>
        <w:pStyle w:val="Bullet1GR"/>
      </w:pPr>
      <w:r w:rsidRPr="004030B6">
        <w:t>руководящие принципы подготовки документа по КЛРД, подлежащего представлению государствами-участниками в соответствии с пунктом 1 статьи 9 Конвенции (</w:t>
      </w:r>
      <w:r w:rsidRPr="004030B6">
        <w:rPr>
          <w:lang w:val="en-US"/>
        </w:rPr>
        <w:t>CERD</w:t>
      </w:r>
      <w:r w:rsidRPr="004030B6">
        <w:t>/</w:t>
      </w:r>
      <w:r w:rsidRPr="004030B6">
        <w:rPr>
          <w:lang w:val="en-US"/>
        </w:rPr>
        <w:t>C</w:t>
      </w:r>
      <w:r w:rsidRPr="004030B6">
        <w:t>/2007/1);</w:t>
      </w:r>
    </w:p>
    <w:p w:rsidR="0086169A" w:rsidRPr="004030B6" w:rsidRDefault="0086169A" w:rsidP="009C6F8B">
      <w:pPr>
        <w:pStyle w:val="Bullet1GR"/>
      </w:pPr>
      <w:r w:rsidRPr="004030B6">
        <w:t>заключительные замечания Комитета по ликвидации расовой дискрим</w:t>
      </w:r>
      <w:r w:rsidRPr="004030B6">
        <w:t>и</w:t>
      </w:r>
      <w:r w:rsidRPr="004030B6">
        <w:t>нации по восьмому и девятому периодическим докладам ЧР (</w:t>
      </w:r>
      <w:r w:rsidRPr="004030B6">
        <w:rPr>
          <w:lang w:val="en-US"/>
        </w:rPr>
        <w:t>CERD</w:t>
      </w:r>
      <w:r w:rsidRPr="004030B6">
        <w:t>/</w:t>
      </w:r>
      <w:r w:rsidRPr="004030B6">
        <w:rPr>
          <w:lang w:val="en-US"/>
        </w:rPr>
        <w:t>C</w:t>
      </w:r>
      <w:r w:rsidRPr="004030B6">
        <w:t>/</w:t>
      </w:r>
      <w:r w:rsidRPr="004030B6">
        <w:rPr>
          <w:lang w:val="en-US"/>
        </w:rPr>
        <w:t>CZE</w:t>
      </w:r>
      <w:r w:rsidRPr="004030B6">
        <w:t>/</w:t>
      </w:r>
      <w:r w:rsidRPr="004030B6">
        <w:rPr>
          <w:lang w:val="en-US"/>
        </w:rPr>
        <w:t>CO</w:t>
      </w:r>
      <w:r w:rsidRPr="004030B6">
        <w:t xml:space="preserve">/8-9) и предыдущим докладам; настоящий доклад, как и другие периодические доклады ЧР по правам человека, представляемые в соответствии с договорной основой Организации Объединенных Наций, после его утверждения правительством будет опубликован на </w:t>
      </w:r>
      <w:r w:rsidR="009C6F8B">
        <w:t>веб-сайте</w:t>
      </w:r>
      <w:r w:rsidRPr="004030B6">
        <w:t xml:space="preserve"> Государственного совета по правам человека, где публикуются и прочие документы, касающиеся соблюдения международных обязательств ЧР в области прав человека. </w:t>
      </w:r>
    </w:p>
    <w:p w:rsidR="0086169A" w:rsidRPr="004030B6" w:rsidRDefault="0086169A" w:rsidP="0086169A">
      <w:pPr>
        <w:pStyle w:val="SingleTxtGR"/>
      </w:pPr>
      <w:r w:rsidRPr="004030B6">
        <w:t>4.</w:t>
      </w:r>
      <w:r w:rsidRPr="004030B6">
        <w:tab/>
        <w:t>Доклад был подготовлен правительственными ведомствами, а также представителями гражданского общества и научных кругов</w:t>
      </w:r>
      <w:r w:rsidRPr="004030B6">
        <w:tab/>
        <w:t>, которые работ</w:t>
      </w:r>
      <w:r w:rsidRPr="004030B6">
        <w:t>а</w:t>
      </w:r>
      <w:r w:rsidRPr="004030B6">
        <w:t>ли во взаимодействии с Государственным уполномоченным по правам человека.</w:t>
      </w:r>
    </w:p>
    <w:p w:rsidR="0086169A" w:rsidRPr="004030B6" w:rsidRDefault="00193EDF" w:rsidP="00193EDF">
      <w:pPr>
        <w:pStyle w:val="HChGR"/>
      </w:pPr>
      <w:r>
        <w:tab/>
      </w:r>
      <w:r w:rsidR="0086169A" w:rsidRPr="004030B6">
        <w:rPr>
          <w:lang w:val="en-US"/>
        </w:rPr>
        <w:t>II</w:t>
      </w:r>
      <w:r w:rsidR="0086169A" w:rsidRPr="004030B6">
        <w:t>.</w:t>
      </w:r>
      <w:r w:rsidR="0086169A" w:rsidRPr="004030B6">
        <w:tab/>
        <w:t>Раздел, содержащий конкретную информацию</w:t>
      </w:r>
    </w:p>
    <w:p w:rsidR="0086169A" w:rsidRPr="004030B6" w:rsidRDefault="0086169A" w:rsidP="00EF5F5D">
      <w:pPr>
        <w:pStyle w:val="H1GR"/>
      </w:pPr>
      <w:r w:rsidRPr="004030B6">
        <w:tab/>
      </w:r>
      <w:r w:rsidR="00EF5F5D">
        <w:tab/>
      </w:r>
      <w:r w:rsidRPr="004030B6">
        <w:t>Статья 1</w:t>
      </w:r>
    </w:p>
    <w:p w:rsidR="0086169A" w:rsidRPr="004030B6" w:rsidRDefault="0086169A" w:rsidP="0086169A">
      <w:pPr>
        <w:pStyle w:val="SingleTxtGR"/>
      </w:pPr>
      <w:r w:rsidRPr="004030B6">
        <w:t>5.</w:t>
      </w:r>
      <w:r w:rsidRPr="004030B6">
        <w:tab/>
        <w:t>В основу законодательства о борьбе с дискриминацией положены конст</w:t>
      </w:r>
      <w:r w:rsidRPr="004030B6">
        <w:t>и</w:t>
      </w:r>
      <w:r w:rsidRPr="004030B6">
        <w:t>туционные принципы равенства достоинства и прав, а также запрещения ди</w:t>
      </w:r>
      <w:r w:rsidRPr="004030B6">
        <w:t>с</w:t>
      </w:r>
      <w:r w:rsidRPr="004030B6">
        <w:t>криминации на незаконных основаниях</w:t>
      </w:r>
      <w:r w:rsidR="00E46DE5">
        <w:rPr>
          <w:rStyle w:val="FootnoteReference"/>
        </w:rPr>
        <w:footnoteReference w:id="3"/>
      </w:r>
      <w:r w:rsidRPr="004030B6">
        <w:t>. В 2009 году вступил в силу Закон о борьбе с дискриминацией</w:t>
      </w:r>
      <w:r w:rsidR="00E46DE5">
        <w:rPr>
          <w:rStyle w:val="FootnoteReference"/>
        </w:rPr>
        <w:footnoteReference w:id="4"/>
      </w:r>
      <w:r w:rsidR="00E46DE5">
        <w:t>,</w:t>
      </w:r>
      <w:r w:rsidRPr="004030B6">
        <w:t xml:space="preserve"> который регламентирует вопросы, связанные с пр</w:t>
      </w:r>
      <w:r w:rsidRPr="004030B6">
        <w:t>а</w:t>
      </w:r>
      <w:r w:rsidRPr="004030B6">
        <w:t>вами лиц на равное обращение и защиту от дискриминации. Закон запрещает прямую и косвенную дискриминацию по признакам расы, этнического прои</w:t>
      </w:r>
      <w:r w:rsidRPr="004030B6">
        <w:t>с</w:t>
      </w:r>
      <w:r w:rsidRPr="004030B6">
        <w:t>хождения, национальности, пола, сексуальной ориентации, возраста, наличия инвалидности, ве</w:t>
      </w:r>
      <w:r w:rsidR="00E46DE5">
        <w:t xml:space="preserve">роисповедания или убеждений. </w:t>
      </w:r>
      <w:r w:rsidRPr="004030B6">
        <w:t>Под прямой дискриминацией в Законе подразумевается такое действие или бездействие, при котором одно л</w:t>
      </w:r>
      <w:r w:rsidRPr="004030B6">
        <w:t>и</w:t>
      </w:r>
      <w:r w:rsidRPr="004030B6">
        <w:t>цо подвергается менее благоприятному обращению, чем другое лицо, в сопо</w:t>
      </w:r>
      <w:r w:rsidRPr="004030B6">
        <w:t>с</w:t>
      </w:r>
      <w:r w:rsidRPr="004030B6">
        <w:t>тавимой ситуации. Под косвенной дискриминацией подразумевается такое де</w:t>
      </w:r>
      <w:r w:rsidRPr="004030B6">
        <w:t>й</w:t>
      </w:r>
      <w:r w:rsidRPr="004030B6">
        <w:t>ствие или бездействие, при которых в результате применения на первый взгляд нейтральных положений, критериев или практики то или иное лицо фа</w:t>
      </w:r>
      <w:r w:rsidRPr="004030B6">
        <w:t>к</w:t>
      </w:r>
      <w:r w:rsidRPr="004030B6">
        <w:t>тически оказывается в неблагоприятном положении по сравнению с другими лицами по одному из противоречащих закону признаков. Положения Закона распростр</w:t>
      </w:r>
      <w:r w:rsidRPr="004030B6">
        <w:t>а</w:t>
      </w:r>
      <w:r w:rsidRPr="004030B6">
        <w:t>няются не только на случаи прямой и косвенной дискриминации, но и на сл</w:t>
      </w:r>
      <w:r w:rsidRPr="004030B6">
        <w:t>у</w:t>
      </w:r>
      <w:r w:rsidRPr="004030B6">
        <w:t>чаи притеснений, преследований, а также указаний о применении дискримин</w:t>
      </w:r>
      <w:r w:rsidRPr="004030B6">
        <w:t>а</w:t>
      </w:r>
      <w:r w:rsidRPr="004030B6">
        <w:t xml:space="preserve">ции и подстрекательства к ней. </w:t>
      </w:r>
    </w:p>
    <w:p w:rsidR="0086169A" w:rsidRPr="004030B6" w:rsidRDefault="0086169A" w:rsidP="0086169A">
      <w:pPr>
        <w:pStyle w:val="SingleTxtGR"/>
      </w:pPr>
      <w:r w:rsidRPr="004030B6">
        <w:t>6.</w:t>
      </w:r>
      <w:r w:rsidRPr="004030B6">
        <w:tab/>
        <w:t>Закон запрещает дискриминацию в следующих сферах: право на труд и доступ к рабочим местам; доступ к тем или иным профессиям, видам предпр</w:t>
      </w:r>
      <w:r w:rsidRPr="004030B6">
        <w:t>и</w:t>
      </w:r>
      <w:r w:rsidRPr="004030B6">
        <w:t>нимательской деятельности или другой деятельности, предусматривающей с</w:t>
      </w:r>
      <w:r w:rsidRPr="004030B6">
        <w:t>а</w:t>
      </w:r>
      <w:r w:rsidRPr="004030B6">
        <w:t>мостоятельную занятость; трудовые и служебные отношения, а также другие аспекты трудовой деятельности, включая вопросы оплаты труда; принадле</w:t>
      </w:r>
      <w:r w:rsidRPr="004030B6">
        <w:t>ж</w:t>
      </w:r>
      <w:r w:rsidRPr="004030B6">
        <w:t>ность к членам профсоюзов, советов трудящихся или организаций работодат</w:t>
      </w:r>
      <w:r w:rsidRPr="004030B6">
        <w:t>е</w:t>
      </w:r>
      <w:r w:rsidRPr="004030B6">
        <w:t>лей и участие в их деятельности, включая такие льготы, которые эти организ</w:t>
      </w:r>
      <w:r w:rsidRPr="004030B6">
        <w:t>а</w:t>
      </w:r>
      <w:r w:rsidRPr="004030B6">
        <w:t>ции предоставляют своим членам; принадлежность к членам профессионал</w:t>
      </w:r>
      <w:r w:rsidRPr="004030B6">
        <w:t>ь</w:t>
      </w:r>
      <w:r w:rsidRPr="004030B6">
        <w:t>ных объединений и участие в их деятельности, включая такие льготы, которые эти общественные организации предоставляют своим членам; соц</w:t>
      </w:r>
      <w:r w:rsidRPr="004030B6">
        <w:t>и</w:t>
      </w:r>
      <w:r w:rsidRPr="004030B6">
        <w:t>альное обеспечение и социальные пособия; здравоохранение; образование; предоста</w:t>
      </w:r>
      <w:r w:rsidRPr="004030B6">
        <w:t>в</w:t>
      </w:r>
      <w:r w:rsidRPr="004030B6">
        <w:t>ление товаров и услуг, включая жилье, есл</w:t>
      </w:r>
      <w:r w:rsidR="005D5877">
        <w:t>и они предлагаются населению. С </w:t>
      </w:r>
      <w:r w:rsidRPr="004030B6">
        <w:t>другой стороны, Закон предусматривает, что меры, направленные на недоп</w:t>
      </w:r>
      <w:r w:rsidRPr="004030B6">
        <w:t>у</w:t>
      </w:r>
      <w:r w:rsidRPr="004030B6">
        <w:t>щение или компенсацию ущерба, который может быть связан с принадлежн</w:t>
      </w:r>
      <w:r w:rsidRPr="004030B6">
        <w:t>о</w:t>
      </w:r>
      <w:r w:rsidRPr="004030B6">
        <w:t>стью того или иного лица к группе населения, определяемой посредством одн</w:t>
      </w:r>
      <w:r w:rsidRPr="004030B6">
        <w:t>о</w:t>
      </w:r>
      <w:r w:rsidRPr="004030B6">
        <w:t>го из вышеперечисленных признаков, а также обеспечение такой группе равн</w:t>
      </w:r>
      <w:r w:rsidRPr="004030B6">
        <w:t>о</w:t>
      </w:r>
      <w:r w:rsidRPr="004030B6">
        <w:t>го обращения и равных возможностей не должны рассматриваться как проявл</w:t>
      </w:r>
      <w:r w:rsidRPr="004030B6">
        <w:t>е</w:t>
      </w:r>
      <w:r w:rsidRPr="004030B6">
        <w:t>ния дискриминации</w:t>
      </w:r>
      <w:r w:rsidRPr="004030B6">
        <w:rPr>
          <w:vertAlign w:val="superscript"/>
        </w:rPr>
        <w:footnoteReference w:id="5"/>
      </w:r>
      <w:r w:rsidRPr="004030B6">
        <w:t>. Закон, равно как и Хартия основных прав и свобод</w:t>
      </w:r>
      <w:r w:rsidRPr="004030B6">
        <w:rPr>
          <w:vertAlign w:val="superscript"/>
        </w:rPr>
        <w:footnoteReference w:id="6"/>
      </w:r>
      <w:r w:rsidRPr="004030B6">
        <w:t xml:space="preserve"> (здесь и далее - </w:t>
      </w:r>
      <w:r w:rsidR="009C6F8B">
        <w:t>"</w:t>
      </w:r>
      <w:r w:rsidRPr="004030B6">
        <w:t>Хартия</w:t>
      </w:r>
      <w:r w:rsidR="009C6F8B">
        <w:t>"</w:t>
      </w:r>
      <w:r w:rsidRPr="004030B6">
        <w:t>), допускает применение специальных мер поддержки, н</w:t>
      </w:r>
      <w:r w:rsidRPr="004030B6">
        <w:t>а</w:t>
      </w:r>
      <w:r w:rsidRPr="004030B6">
        <w:t>правленных на поощрение и защиту прав групп, которые находятся в неблаг</w:t>
      </w:r>
      <w:r w:rsidRPr="004030B6">
        <w:t>о</w:t>
      </w:r>
      <w:r w:rsidRPr="004030B6">
        <w:t xml:space="preserve">приятном положении (позитивная дискриминация). </w:t>
      </w:r>
    </w:p>
    <w:p w:rsidR="0086169A" w:rsidRPr="004030B6" w:rsidRDefault="0086169A" w:rsidP="0086169A">
      <w:pPr>
        <w:pStyle w:val="SingleTxtGR"/>
      </w:pPr>
      <w:r w:rsidRPr="004030B6">
        <w:t>7.</w:t>
      </w:r>
      <w:r w:rsidRPr="004030B6">
        <w:tab/>
        <w:t>Равный доступ к правам также гарантируется действующими в ЧР но</w:t>
      </w:r>
      <w:r w:rsidRPr="004030B6">
        <w:t>р</w:t>
      </w:r>
      <w:r w:rsidRPr="004030B6">
        <w:t>мами материального и процессуального права, о чем более подробно гов</w:t>
      </w:r>
      <w:r w:rsidRPr="004030B6">
        <w:t>о</w:t>
      </w:r>
      <w:r w:rsidRPr="004030B6">
        <w:t>рится в той части текста, которая относится к статье 5. Во всех случаях гара</w:t>
      </w:r>
      <w:r w:rsidRPr="004030B6">
        <w:t>н</w:t>
      </w:r>
      <w:r w:rsidRPr="004030B6">
        <w:t>тируется и равный доступ к государственным должностям; этот принцип закреплен в Хартии</w:t>
      </w:r>
      <w:r w:rsidRPr="004030B6">
        <w:rPr>
          <w:vertAlign w:val="superscript"/>
        </w:rPr>
        <w:footnoteReference w:id="7"/>
      </w:r>
      <w:r w:rsidRPr="004030B6">
        <w:t>, а также более подробно раскрыт в других специальных законах (зак</w:t>
      </w:r>
      <w:r w:rsidRPr="004030B6">
        <w:t>о</w:t>
      </w:r>
      <w:r w:rsidRPr="004030B6">
        <w:t>нах о выборах</w:t>
      </w:r>
      <w:r w:rsidRPr="004030B6">
        <w:rPr>
          <w:vertAlign w:val="superscript"/>
        </w:rPr>
        <w:footnoteReference w:id="8"/>
      </w:r>
      <w:r w:rsidRPr="004030B6">
        <w:t>, Законе о государственной службе</w:t>
      </w:r>
      <w:r w:rsidRPr="004030B6">
        <w:rPr>
          <w:vertAlign w:val="superscript"/>
        </w:rPr>
        <w:footnoteReference w:id="9"/>
      </w:r>
      <w:r w:rsidRPr="004030B6">
        <w:t xml:space="preserve"> и Законе о службе сотрудн</w:t>
      </w:r>
      <w:r w:rsidRPr="004030B6">
        <w:t>и</w:t>
      </w:r>
      <w:r w:rsidRPr="004030B6">
        <w:t>ков сил безопасности</w:t>
      </w:r>
      <w:r w:rsidRPr="004030B6">
        <w:rPr>
          <w:vertAlign w:val="superscript"/>
        </w:rPr>
        <w:footnoteReference w:id="10"/>
      </w:r>
      <w:r w:rsidRPr="004030B6">
        <w:t>). Дополнительная информация об этих и других вопр</w:t>
      </w:r>
      <w:r w:rsidRPr="004030B6">
        <w:t>о</w:t>
      </w:r>
      <w:r w:rsidRPr="004030B6">
        <w:t>сах, относящихся к сфере жизнедеятельности государства, приводится в той части текста, которая относится к статье 5.</w:t>
      </w:r>
    </w:p>
    <w:p w:rsidR="0086169A" w:rsidRPr="004030B6" w:rsidRDefault="0086169A" w:rsidP="0086169A">
      <w:pPr>
        <w:pStyle w:val="SingleTxtGR"/>
      </w:pPr>
      <w:r w:rsidRPr="004030B6">
        <w:t>8.</w:t>
      </w:r>
      <w:r w:rsidRPr="004030B6">
        <w:tab/>
        <w:t xml:space="preserve"> Закон о борьбе с дискриминацией не распространяется на правоотнош</w:t>
      </w:r>
      <w:r w:rsidRPr="004030B6">
        <w:t>е</w:t>
      </w:r>
      <w:r w:rsidRPr="004030B6">
        <w:t>ния, связанные с изменениями условий въезда граждан третьих стран и лиц без гражданства на территорию ЧР и проживания на ней. Иностранцы н</w:t>
      </w:r>
      <w:r w:rsidRPr="004030B6">
        <w:t>а</w:t>
      </w:r>
      <w:r w:rsidRPr="004030B6">
        <w:t>деляются основными правами и свободами, закрепленными в Хартии</w:t>
      </w:r>
      <w:r w:rsidRPr="004030B6">
        <w:rPr>
          <w:vertAlign w:val="superscript"/>
        </w:rPr>
        <w:footnoteReference w:id="11"/>
      </w:r>
      <w:r w:rsidRPr="004030B6">
        <w:t>, вне зависимости от срока их пребывания в ЧР или их иммиграционного статуса. Исключение с</w:t>
      </w:r>
      <w:r w:rsidRPr="004030B6">
        <w:t>о</w:t>
      </w:r>
      <w:r w:rsidRPr="004030B6">
        <w:t>ставляют некоторые политические права, связанные с формированием полит</w:t>
      </w:r>
      <w:r w:rsidRPr="004030B6">
        <w:t>и</w:t>
      </w:r>
      <w:r w:rsidRPr="004030B6">
        <w:t>ческой воли государства, носителями которых могут быть лишь граждане стр</w:t>
      </w:r>
      <w:r w:rsidRPr="004030B6">
        <w:t>а</w:t>
      </w:r>
      <w:r w:rsidRPr="004030B6">
        <w:t>ны</w:t>
      </w:r>
      <w:r w:rsidRPr="004030B6">
        <w:rPr>
          <w:vertAlign w:val="superscript"/>
        </w:rPr>
        <w:footnoteReference w:id="12"/>
      </w:r>
      <w:r w:rsidRPr="004030B6">
        <w:t>. Закон о борьбе с дискриминацией гарантирует иностранцам такую же степень защиты от прямой и косвенной дискриминации, включая расовую ди</w:t>
      </w:r>
      <w:r w:rsidRPr="004030B6">
        <w:t>с</w:t>
      </w:r>
      <w:r w:rsidRPr="004030B6">
        <w:t>криминацию, что и та, которой пользуются граждане страны. Все з</w:t>
      </w:r>
      <w:r w:rsidRPr="004030B6">
        <w:t>а</w:t>
      </w:r>
      <w:r w:rsidRPr="004030B6">
        <w:t>явления иностранцев по вопросам, касающимся въезда на территорию страны или пр</w:t>
      </w:r>
      <w:r w:rsidRPr="004030B6">
        <w:t>о</w:t>
      </w:r>
      <w:r w:rsidRPr="004030B6">
        <w:t>живания на ней, экстрадиции и депортации, предоставления международной защиты или приобретения гражданства, рассматриваются с учетом ко</w:t>
      </w:r>
      <w:r w:rsidRPr="004030B6">
        <w:t>н</w:t>
      </w:r>
      <w:r w:rsidRPr="004030B6">
        <w:t>кретных обстоятельств каждого дела вне зависимости от национальности подателей з</w:t>
      </w:r>
      <w:r w:rsidRPr="004030B6">
        <w:t>а</w:t>
      </w:r>
      <w:r w:rsidRPr="004030B6">
        <w:t>явлений или их принадлежности к национальным или этническим меньшинс</w:t>
      </w:r>
      <w:r w:rsidRPr="004030B6">
        <w:t>т</w:t>
      </w:r>
      <w:r w:rsidRPr="004030B6">
        <w:t>вам, если только эти обстоятельства не являются основаниями для предоста</w:t>
      </w:r>
      <w:r w:rsidRPr="004030B6">
        <w:t>в</w:t>
      </w:r>
      <w:r w:rsidRPr="004030B6">
        <w:t xml:space="preserve">ления им международной защиты. Законодательство учитывает тот факт, что ЧР является членом Европейского Союза (здесь и далее - </w:t>
      </w:r>
      <w:r w:rsidR="009C6F8B">
        <w:t>"</w:t>
      </w:r>
      <w:r w:rsidRPr="004030B6">
        <w:t>ЕС</w:t>
      </w:r>
      <w:r w:rsidR="009C6F8B">
        <w:t>"</w:t>
      </w:r>
      <w:r w:rsidRPr="004030B6">
        <w:t>). Л</w:t>
      </w:r>
      <w:r w:rsidRPr="004030B6">
        <w:t>и</w:t>
      </w:r>
      <w:r w:rsidRPr="004030B6">
        <w:t>цам, имеющим разрешение на постоянное проживание в стране, с учетом высокой степени их интеграции в общество, предоставляется такая совокупность прав, которая д</w:t>
      </w:r>
      <w:r w:rsidRPr="004030B6">
        <w:t>е</w:t>
      </w:r>
      <w:r w:rsidRPr="004030B6">
        <w:t>лает их положение сопоставимым с положением граждан ЧР (исключением в данном случае является право голосования: см. текст, каса</w:t>
      </w:r>
      <w:r w:rsidRPr="004030B6">
        <w:t>ю</w:t>
      </w:r>
      <w:r w:rsidRPr="004030B6">
        <w:t xml:space="preserve">щийся статьи 5). </w:t>
      </w:r>
    </w:p>
    <w:p w:rsidR="0086169A" w:rsidRPr="004030B6" w:rsidRDefault="0086169A" w:rsidP="00AD677D">
      <w:pPr>
        <w:pStyle w:val="H1GR"/>
      </w:pPr>
      <w:r w:rsidRPr="004030B6">
        <w:tab/>
      </w:r>
      <w:r w:rsidR="00AD677D">
        <w:tab/>
      </w:r>
      <w:r w:rsidR="00B73D47">
        <w:t>Статья 2</w:t>
      </w:r>
      <w:r w:rsidR="00B73D47">
        <w:br/>
      </w:r>
      <w:r w:rsidRPr="004030B6">
        <w:t>Законодательные и административные меры, направленные на борьбу с дискриминацией</w:t>
      </w:r>
    </w:p>
    <w:p w:rsidR="0086169A" w:rsidRPr="004030B6" w:rsidRDefault="0086169A" w:rsidP="00AD677D">
      <w:pPr>
        <w:pStyle w:val="H23GR"/>
      </w:pPr>
      <w:r w:rsidRPr="004030B6">
        <w:tab/>
      </w:r>
      <w:r w:rsidR="00AD677D">
        <w:tab/>
      </w:r>
      <w:r w:rsidRPr="004030B6">
        <w:t>Международное право и ответ на пункт 24 заключительных замеч</w:t>
      </w:r>
      <w:r w:rsidRPr="004030B6">
        <w:t>а</w:t>
      </w:r>
      <w:r w:rsidRPr="004030B6">
        <w:t xml:space="preserve">ний </w:t>
      </w:r>
    </w:p>
    <w:p w:rsidR="0086169A" w:rsidRPr="004030B6" w:rsidRDefault="0086169A" w:rsidP="0086169A">
      <w:pPr>
        <w:pStyle w:val="SingleTxtGR"/>
      </w:pPr>
      <w:r w:rsidRPr="004030B6">
        <w:t>9.</w:t>
      </w:r>
      <w:r w:rsidRPr="004030B6">
        <w:tab/>
        <w:t>За отчетный период ЧР предприняла ряд шагов по ратификации следу</w:t>
      </w:r>
      <w:r w:rsidRPr="004030B6">
        <w:t>ю</w:t>
      </w:r>
      <w:r w:rsidRPr="004030B6">
        <w:t>щих международных конвенций. Парламент ЧР утвердил решения о ратифик</w:t>
      </w:r>
      <w:r w:rsidRPr="004030B6">
        <w:t>а</w:t>
      </w:r>
      <w:r w:rsidRPr="004030B6">
        <w:t>ции Факультативного протокола к Конвенции о правах ребенка, касающегося торговли детьми, детской проституции и детской порнографии, и Конвенции Организации Объединенных Наций против транснациональной орган</w:t>
      </w:r>
      <w:r w:rsidRPr="004030B6">
        <w:t>и</w:t>
      </w:r>
      <w:r w:rsidRPr="004030B6">
        <w:t>зованной преступности и дополняющих ее протоколов, а также Конвенции Совета Евр</w:t>
      </w:r>
      <w:r w:rsidRPr="004030B6">
        <w:t>о</w:t>
      </w:r>
      <w:r w:rsidRPr="004030B6">
        <w:t>пы о преступности в сфере компьютерной информации; в настоящее время о</w:t>
      </w:r>
      <w:r w:rsidRPr="004030B6">
        <w:t>б</w:t>
      </w:r>
      <w:r w:rsidRPr="004030B6">
        <w:t>суждается вопрос о ратификации Дополнительного протокола к Конвенции о преступности в сфере компьютерной информации. Ведется подготовка к пре</w:t>
      </w:r>
      <w:r w:rsidRPr="004030B6">
        <w:t>д</w:t>
      </w:r>
      <w:r w:rsidRPr="004030B6">
        <w:t>ставлению в правительство следующих конвенций: Конвенции Совета Европы о защите детей от эксплуатации и надругательств сексуального характера, Ко</w:t>
      </w:r>
      <w:r w:rsidRPr="004030B6">
        <w:t>н</w:t>
      </w:r>
      <w:r w:rsidRPr="004030B6">
        <w:t>венции Совета Европы о противодействии торговле людьми, Конве</w:t>
      </w:r>
      <w:r w:rsidRPr="004030B6">
        <w:t>н</w:t>
      </w:r>
      <w:r w:rsidRPr="004030B6">
        <w:t>ции Совета Европы об отмывании, выявлении, изъятии, конфискации доходов от престу</w:t>
      </w:r>
      <w:r w:rsidRPr="004030B6">
        <w:t>п</w:t>
      </w:r>
      <w:r w:rsidRPr="004030B6">
        <w:t>ной деятельности и финансировании терроризма, а также Конвенции Совета Европы по предотвращению и борьбе с насилием в отношении женщин и нас</w:t>
      </w:r>
      <w:r w:rsidRPr="004030B6">
        <w:t>и</w:t>
      </w:r>
      <w:r w:rsidRPr="004030B6">
        <w:t>лием в семье. ЧР рассматривает вопрос о ратификации Международной ко</w:t>
      </w:r>
      <w:r w:rsidRPr="004030B6">
        <w:t>н</w:t>
      </w:r>
      <w:r w:rsidRPr="004030B6">
        <w:t>венции для защиты всех лиц от насильственных исчезновений. ЧР в н</w:t>
      </w:r>
      <w:r w:rsidRPr="004030B6">
        <w:t>а</w:t>
      </w:r>
      <w:r w:rsidRPr="004030B6">
        <w:t>стоящее время не рассматривает возможность присоединения к Международной ко</w:t>
      </w:r>
      <w:r w:rsidRPr="004030B6">
        <w:t>н</w:t>
      </w:r>
      <w:r w:rsidRPr="004030B6">
        <w:t>венции о защите прав всех трудящихся-мигрантов и членов их семей. По ее мнению, права трудящихся-мигрантов всесторонним и при этом достаточным образом защищены ныне действующим законодательством на национальном уровне, которое находится в соответствии с международными обяз</w:t>
      </w:r>
      <w:r w:rsidRPr="004030B6">
        <w:t>а</w:t>
      </w:r>
      <w:r w:rsidRPr="004030B6">
        <w:t>тельствами ЧР, в частности в сфере охвата законодательства ЕС.</w:t>
      </w:r>
    </w:p>
    <w:p w:rsidR="0086169A" w:rsidRPr="004030B6" w:rsidRDefault="0086169A" w:rsidP="0086169A">
      <w:pPr>
        <w:pStyle w:val="SingleTxtGR"/>
      </w:pPr>
      <w:r w:rsidRPr="004030B6">
        <w:t>10.</w:t>
      </w:r>
      <w:r w:rsidRPr="004030B6">
        <w:tab/>
        <w:t>В качестве государства-члена Совета Европы ЧР представлена в Комит</w:t>
      </w:r>
      <w:r w:rsidRPr="004030B6">
        <w:t>е</w:t>
      </w:r>
      <w:r w:rsidRPr="004030B6">
        <w:t>те экспертов Совета Европы по вопросам народности рома (КЭСЕР). Основн</w:t>
      </w:r>
      <w:r w:rsidRPr="004030B6">
        <w:t>ы</w:t>
      </w:r>
      <w:r w:rsidRPr="004030B6">
        <w:t>ми направлениями деятельности Комитета является обмен полезным опытом в области интеграции меньшинства рома, а также оказание содействия во вн</w:t>
      </w:r>
      <w:r w:rsidRPr="004030B6">
        <w:t>е</w:t>
      </w:r>
      <w:r w:rsidRPr="004030B6">
        <w:t>дрении новых программ и политики в сфере интеграции. В 2011 году в резул</w:t>
      </w:r>
      <w:r w:rsidRPr="004030B6">
        <w:t>ь</w:t>
      </w:r>
      <w:r w:rsidRPr="004030B6">
        <w:t>тате переговоров в рамках КЭСЕР был принят проект Декларации о растущих антицыганских настроениях и расистских нападениях на рома в Европе. В его рамках была создана Программа подготовки посредников по взаимоде</w:t>
      </w:r>
      <w:r w:rsidRPr="004030B6">
        <w:t>й</w:t>
      </w:r>
      <w:r w:rsidRPr="004030B6">
        <w:t>ствию с рома (РОМЕД)</w:t>
      </w:r>
      <w:r w:rsidRPr="004030B6">
        <w:rPr>
          <w:vertAlign w:val="superscript"/>
        </w:rPr>
        <w:footnoteReference w:id="13"/>
      </w:r>
      <w:r w:rsidRPr="004030B6">
        <w:t>. ЧР была включена в состав первой группы стран, к</w:t>
      </w:r>
      <w:r w:rsidRPr="004030B6">
        <w:t>о</w:t>
      </w:r>
      <w:r w:rsidRPr="004030B6">
        <w:t>торые участвовали в реализации этой образовательной программы. Особое внимание в рамках этого проекта уделяется деликатным аспектам взаимоотношений ме</w:t>
      </w:r>
      <w:r w:rsidRPr="004030B6">
        <w:t>ж</w:t>
      </w:r>
      <w:r w:rsidRPr="004030B6">
        <w:t>ду рома и государственными учреждениями. ЧР также приняла участие в раб</w:t>
      </w:r>
      <w:r w:rsidRPr="004030B6">
        <w:t>о</w:t>
      </w:r>
      <w:r w:rsidRPr="004030B6">
        <w:t>те Сети ЕС по вопросам рома – международного механизма, объеди</w:t>
      </w:r>
      <w:r w:rsidR="00414984">
        <w:t>няющего 13 </w:t>
      </w:r>
      <w:r w:rsidRPr="004030B6">
        <w:t>государств-членов ЕС и преследующего цель использования структурных фондов в интересах социальной интеграции рома. В рамках этой инициативы государства уделяют внимание индивидуальным приоритетным направлениям интеграции рома, таким, как проблемы занятости, жилья, охраны здоровья и образования рома.</w:t>
      </w:r>
    </w:p>
    <w:p w:rsidR="0086169A" w:rsidRPr="004030B6" w:rsidRDefault="0086169A" w:rsidP="0086169A">
      <w:pPr>
        <w:pStyle w:val="SingleTxtGR"/>
      </w:pPr>
      <w:r w:rsidRPr="004030B6">
        <w:t>11.</w:t>
      </w:r>
      <w:r w:rsidRPr="004030B6">
        <w:tab/>
        <w:t>Кроме того, ЧР принимает активное участие в мероприятиях, осущест</w:t>
      </w:r>
      <w:r w:rsidRPr="004030B6">
        <w:t>в</w:t>
      </w:r>
      <w:r w:rsidRPr="004030B6">
        <w:t>ляемых в рамках Десятилетия интеграции рома на период 2005−2015 годов. Д</w:t>
      </w:r>
      <w:r w:rsidRPr="004030B6">
        <w:t>е</w:t>
      </w:r>
      <w:r w:rsidRPr="004030B6">
        <w:t>сятилетие интеграции рома представляет собой международную ини</w:t>
      </w:r>
      <w:r w:rsidR="00BB7F25">
        <w:t xml:space="preserve">циативу 12 </w:t>
      </w:r>
      <w:r w:rsidRPr="004030B6">
        <w:t>стран Европы</w:t>
      </w:r>
      <w:r w:rsidRPr="004030B6">
        <w:rPr>
          <w:vertAlign w:val="superscript"/>
        </w:rPr>
        <w:footnoteReference w:id="14"/>
      </w:r>
      <w:r w:rsidRPr="004030B6">
        <w:t>, объединяющую усилия правительств государств-участников, международных учреждений и гражданского общества рома. В деятельности, связанной с проведением Десятилетия, участвуют неправительственные и ме</w:t>
      </w:r>
      <w:r w:rsidRPr="004030B6">
        <w:t>ж</w:t>
      </w:r>
      <w:r w:rsidRPr="004030B6">
        <w:t>правительственные организации, в том числе Европейское объ</w:t>
      </w:r>
      <w:r w:rsidRPr="004030B6">
        <w:t>е</w:t>
      </w:r>
      <w:r w:rsidRPr="004030B6">
        <w:t>динение против расизма (ЕОПР) и Всемирная организация здравоохранения (ВОЗ). По линии Десятилетия ведется поддержка мероприятий, направленных на углубление с</w:t>
      </w:r>
      <w:r w:rsidRPr="004030B6">
        <w:t>о</w:t>
      </w:r>
      <w:r w:rsidRPr="004030B6">
        <w:t>циальной интеграции рома. ЧР выполняла председательские функции в рамках Десятилетия с июля 2010 года по июнь 2011 года. В контексте выполнения св</w:t>
      </w:r>
      <w:r w:rsidRPr="004030B6">
        <w:t>о</w:t>
      </w:r>
      <w:r w:rsidRPr="004030B6">
        <w:t>их функций по руководству реализацией Десятилетия ЧР уделяла первоочере</w:t>
      </w:r>
      <w:r w:rsidRPr="004030B6">
        <w:t>д</w:t>
      </w:r>
      <w:r w:rsidRPr="004030B6">
        <w:t>ное внимание поощрению инклюзивного образования в целях оценки тех усл</w:t>
      </w:r>
      <w:r w:rsidRPr="004030B6">
        <w:t>о</w:t>
      </w:r>
      <w:r w:rsidRPr="004030B6">
        <w:t>вий, в которых осуществляются меры по обеспечению интеграции, включая н</w:t>
      </w:r>
      <w:r w:rsidRPr="004030B6">
        <w:t>а</w:t>
      </w:r>
      <w:r w:rsidRPr="004030B6">
        <w:t>блюдение за последствиями реализуемых мер для целевой группы. Вторым приоритетным направлением деятельности являлось проведение многопланов</w:t>
      </w:r>
      <w:r w:rsidRPr="004030B6">
        <w:t>о</w:t>
      </w:r>
      <w:r w:rsidRPr="004030B6">
        <w:t>го анализа условий жизни и соблюдения прав детей-рома. Третий приоритет был связан с ролью женщин-рома применительно к интеграционной политике государства и мерам в области социальной интеграции. Еще один приорите</w:t>
      </w:r>
      <w:r w:rsidRPr="004030B6">
        <w:t>т</w:t>
      </w:r>
      <w:r w:rsidRPr="004030B6">
        <w:t>ный аспект работы касался поддержки интеграционных мер на местном уровне, в частности в сферах образования и обеспечения жильем. Наконец, не менее пристальное внимание уделялось образу рома в средствах массовой информ</w:t>
      </w:r>
      <w:r w:rsidRPr="004030B6">
        <w:t>а</w:t>
      </w:r>
      <w:r w:rsidRPr="004030B6">
        <w:t>ции. Наиболее важное значение в контексте председательства ЧР имели меры по наблюдению за положением рома в Европе. ЧР положила начало регулярной деятельности по наблюдению за положением рома в государствах-участниках Десятилетия через механизм так называемых периодических докладов. Подг</w:t>
      </w:r>
      <w:r w:rsidRPr="004030B6">
        <w:t>о</w:t>
      </w:r>
      <w:r w:rsidRPr="004030B6">
        <w:t>товка таких докладов дает возможность для оценки и сопоставления положения рома в государствах-участниках</w:t>
      </w:r>
      <w:r w:rsidRPr="004030B6">
        <w:rPr>
          <w:vertAlign w:val="superscript"/>
        </w:rPr>
        <w:footnoteReference w:id="15"/>
      </w:r>
      <w:r w:rsidRPr="004030B6">
        <w:t>. В рамках выполнения своих председател</w:t>
      </w:r>
      <w:r w:rsidRPr="004030B6">
        <w:t>ь</w:t>
      </w:r>
      <w:r w:rsidRPr="004030B6">
        <w:t>ских функций ЧР также привлекла внимание международного сообщества к т</w:t>
      </w:r>
      <w:r w:rsidRPr="004030B6">
        <w:t>о</w:t>
      </w:r>
      <w:r w:rsidRPr="004030B6">
        <w:t>му факту, что положение рома в странах Европы не улучшается, и открыла путь не только для научных дискуссий, но и для обсуждения проблемы интеграции рома в масштабах всего общества. Проведение Десятилетия сп</w:t>
      </w:r>
      <w:r w:rsidRPr="004030B6">
        <w:t>о</w:t>
      </w:r>
      <w:r w:rsidRPr="004030B6">
        <w:t>собствовало созданию благоприятных условий для формирования Рамочного механизма ЕС по координации национальных стратегий в области интеграции рома на период до 2020 года. Кроме того, в период председательства ЧР продолжалось пров</w:t>
      </w:r>
      <w:r w:rsidRPr="004030B6">
        <w:t>е</w:t>
      </w:r>
      <w:r w:rsidRPr="004030B6">
        <w:t>дение дискуссий, международных конференций и семинаров, организуемых правительствами и НПО. ЧР также возглавляла усилия государств-участников Десятилетия по решению проблемы условий жизни женщин и детей из числа рома и подчеркивала важное значение дошкольного образов</w:t>
      </w:r>
      <w:r w:rsidRPr="004030B6">
        <w:t>а</w:t>
      </w:r>
      <w:r w:rsidRPr="004030B6">
        <w:t>ния.</w:t>
      </w:r>
    </w:p>
    <w:p w:rsidR="0086169A" w:rsidRPr="004030B6" w:rsidRDefault="0086169A" w:rsidP="005965BB">
      <w:pPr>
        <w:pStyle w:val="H23GR"/>
      </w:pPr>
      <w:r w:rsidRPr="004030B6">
        <w:tab/>
      </w:r>
      <w:r w:rsidR="005965BB">
        <w:tab/>
      </w:r>
      <w:r w:rsidRPr="004030B6">
        <w:t>Ответ на пункт 23 заключительных замечаний</w:t>
      </w:r>
    </w:p>
    <w:p w:rsidR="0086169A" w:rsidRPr="004030B6" w:rsidRDefault="0086169A" w:rsidP="0086169A">
      <w:pPr>
        <w:pStyle w:val="SingleTxtGR"/>
      </w:pPr>
      <w:r w:rsidRPr="004030B6">
        <w:t>12.</w:t>
      </w:r>
      <w:r w:rsidRPr="004030B6">
        <w:tab/>
        <w:t>После принятия Дурбанской декларации и Программы действий ЧР ра</w:t>
      </w:r>
      <w:r w:rsidRPr="004030B6">
        <w:t>с</w:t>
      </w:r>
      <w:r w:rsidRPr="004030B6">
        <w:t>смотрела вопрос о принятии национального плана действий по борьбе с раси</w:t>
      </w:r>
      <w:r w:rsidRPr="004030B6">
        <w:t>з</w:t>
      </w:r>
      <w:r w:rsidRPr="004030B6">
        <w:t>мом. После тщательного анализа мер законодательного и иного характера, о</w:t>
      </w:r>
      <w:r w:rsidRPr="004030B6">
        <w:t>р</w:t>
      </w:r>
      <w:r w:rsidRPr="004030B6">
        <w:t>ганизационных механизмов, а также существующих программ и политики, к</w:t>
      </w:r>
      <w:r w:rsidRPr="004030B6">
        <w:t>о</w:t>
      </w:r>
      <w:r w:rsidRPr="004030B6">
        <w:t>торые были разработаны и реализованы различными правительственными в</w:t>
      </w:r>
      <w:r w:rsidRPr="004030B6">
        <w:t>е</w:t>
      </w:r>
      <w:r w:rsidRPr="004030B6">
        <w:t>домствами, было решено не принимать национальный план действий по борьбе с расизмом. ЧР постепенно выполняет отдельные положения Программы дейс</w:t>
      </w:r>
      <w:r w:rsidRPr="004030B6">
        <w:t>т</w:t>
      </w:r>
      <w:r w:rsidRPr="004030B6">
        <w:t>вий и Дурбанской декларации путем реализации существующих стр</w:t>
      </w:r>
      <w:r w:rsidRPr="004030B6">
        <w:t>а</w:t>
      </w:r>
      <w:r w:rsidRPr="004030B6">
        <w:t xml:space="preserve">тегических мер, более подробное описание которых приводится ниже. </w:t>
      </w:r>
    </w:p>
    <w:p w:rsidR="0086169A" w:rsidRPr="004030B6" w:rsidRDefault="0086169A" w:rsidP="005965BB">
      <w:pPr>
        <w:pStyle w:val="H23GR"/>
      </w:pPr>
      <w:r w:rsidRPr="004030B6">
        <w:tab/>
      </w:r>
      <w:r w:rsidR="005965BB">
        <w:tab/>
      </w:r>
      <w:r w:rsidRPr="004030B6">
        <w:t>Национальное законодательство</w:t>
      </w:r>
    </w:p>
    <w:p w:rsidR="0086169A" w:rsidRPr="004030B6" w:rsidRDefault="0086169A" w:rsidP="0086169A">
      <w:pPr>
        <w:pStyle w:val="SingleTxtGR"/>
      </w:pPr>
      <w:r w:rsidRPr="004030B6">
        <w:t>13.</w:t>
      </w:r>
      <w:r w:rsidRPr="004030B6">
        <w:tab/>
        <w:t>Подробная информация о национальном законодательстве в области з</w:t>
      </w:r>
      <w:r w:rsidRPr="004030B6">
        <w:t>а</w:t>
      </w:r>
      <w:r w:rsidRPr="004030B6">
        <w:t>щиты от расовой дискриминации приводилась в предыдущих докладах. Вопр</w:t>
      </w:r>
      <w:r w:rsidRPr="004030B6">
        <w:t>о</w:t>
      </w:r>
      <w:r w:rsidRPr="004030B6">
        <w:t>сы защиты от дискриминации также подпадают под действие международных конвенций, имеющих для ЧР обязательную силу, включая Конвенцию и другие документы</w:t>
      </w:r>
      <w:r w:rsidRPr="004030B6">
        <w:rPr>
          <w:vertAlign w:val="superscript"/>
        </w:rPr>
        <w:footnoteReference w:id="16"/>
      </w:r>
      <w:r w:rsidRPr="004030B6">
        <w:t>. Первого сентября 2009 года вступил в силу Закон о борьбе с ди</w:t>
      </w:r>
      <w:r w:rsidRPr="004030B6">
        <w:t>с</w:t>
      </w:r>
      <w:r w:rsidRPr="004030B6">
        <w:t>криминацией</w:t>
      </w:r>
      <w:r w:rsidRPr="004030B6">
        <w:rPr>
          <w:vertAlign w:val="superscript"/>
        </w:rPr>
        <w:footnoteReference w:id="17"/>
      </w:r>
      <w:r w:rsidRPr="004030B6">
        <w:t>, о котором более подробно говорится в тексте, касающемся ст</w:t>
      </w:r>
      <w:r w:rsidRPr="004030B6">
        <w:t>а</w:t>
      </w:r>
      <w:r w:rsidRPr="004030B6">
        <w:t>тьи 1. Можно также упомянуть о следующих изменениях, внесенных в закон</w:t>
      </w:r>
      <w:r w:rsidRPr="004030B6">
        <w:t>о</w:t>
      </w:r>
      <w:r w:rsidRPr="004030B6">
        <w:t>дательство. В 2009 году были ужесточены наказания за дискриминационные действия в рамках законодательства, касающегося мелких правонарушений. Соответствующие штрафы, предусмотренные Законом о мелких правонаруш</w:t>
      </w:r>
      <w:r w:rsidRPr="004030B6">
        <w:t>е</w:t>
      </w:r>
      <w:r w:rsidRPr="004030B6">
        <w:t>ниях, были увеличены с 5</w:t>
      </w:r>
      <w:r w:rsidR="005965BB">
        <w:t> 000 до 20 </w:t>
      </w:r>
      <w:r w:rsidRPr="004030B6">
        <w:t>000 чешских крон</w:t>
      </w:r>
      <w:r w:rsidRPr="004030B6">
        <w:rPr>
          <w:vertAlign w:val="superscript"/>
        </w:rPr>
        <w:footnoteReference w:id="18"/>
      </w:r>
      <w:r w:rsidRPr="004030B6">
        <w:t>. В январе 2010 года вступил в силу новый Уголовный кодекс, который включал в себя новые виды преступлений, совершенных на почве ненависти; о последних более подробно говорится в тексте, касающемся статьи 4. В конце 2011 года ЧР приняла зак</w:t>
      </w:r>
      <w:r w:rsidRPr="004030B6">
        <w:t>о</w:t>
      </w:r>
      <w:r w:rsidRPr="004030B6">
        <w:t>нодательство об уголовной ответственности и наказании юридических лиц за определенные преступления</w:t>
      </w:r>
      <w:r w:rsidRPr="004030B6">
        <w:rPr>
          <w:vertAlign w:val="superscript"/>
        </w:rPr>
        <w:footnoteReference w:id="19"/>
      </w:r>
      <w:r w:rsidRPr="004030B6">
        <w:t>. Это позволяет ЧР также преследовать в суде</w:t>
      </w:r>
      <w:r w:rsidRPr="004030B6">
        <w:t>б</w:t>
      </w:r>
      <w:r w:rsidRPr="004030B6">
        <w:t>ном порядке юридических лиц за совершение преступлений на расовой почве. В 2011 году были расширены права жертв преступлений. В соответствии с п</w:t>
      </w:r>
      <w:r w:rsidRPr="004030B6">
        <w:t>о</w:t>
      </w:r>
      <w:r w:rsidRPr="004030B6">
        <w:t>правкой, внесенной в Уголовно-процессуальный кодекс, жертвы преступлений в дополнение к компенсации ущерба, нанесенного их имуществу, также пол</w:t>
      </w:r>
      <w:r w:rsidRPr="004030B6">
        <w:t>у</w:t>
      </w:r>
      <w:r w:rsidRPr="004030B6">
        <w:t>чили право требовать компенсации нематериального ущерба, который зачастую бывает связан с преступлениями, имеющими расовую подоплеку. В феврале 2013 года вступил в силу Закон о жертвах преступлений</w:t>
      </w:r>
      <w:r w:rsidRPr="004030B6">
        <w:rPr>
          <w:vertAlign w:val="superscript"/>
        </w:rPr>
        <w:footnoteReference w:id="20"/>
      </w:r>
      <w:r w:rsidRPr="004030B6">
        <w:t>, более подробная и</w:t>
      </w:r>
      <w:r w:rsidRPr="004030B6">
        <w:t>н</w:t>
      </w:r>
      <w:r w:rsidRPr="004030B6">
        <w:t>формация о котором будет приведена в тексте, касающемся статьи 6.</w:t>
      </w:r>
    </w:p>
    <w:p w:rsidR="0086169A" w:rsidRPr="004030B6" w:rsidRDefault="0086169A" w:rsidP="0086169A">
      <w:pPr>
        <w:pStyle w:val="SingleTxtGR"/>
      </w:pPr>
      <w:r w:rsidRPr="004030B6">
        <w:t>14.</w:t>
      </w:r>
      <w:r w:rsidRPr="004030B6">
        <w:tab/>
        <w:t>Основные аспекты жизни рома являются предметом первоочере</w:t>
      </w:r>
      <w:r w:rsidRPr="004030B6">
        <w:t>д</w:t>
      </w:r>
      <w:r w:rsidRPr="004030B6">
        <w:t>ного внимания в рамках Концептуальной программы интеграции рома на пер</w:t>
      </w:r>
      <w:r w:rsidRPr="004030B6">
        <w:t>и</w:t>
      </w:r>
      <w:r w:rsidRPr="004030B6">
        <w:t>од 2010-2013 годов, которая предлагает меры, направленные на то, чтобы улу</w:t>
      </w:r>
      <w:r w:rsidRPr="004030B6">
        <w:t>ч</w:t>
      </w:r>
      <w:r w:rsidRPr="004030B6">
        <w:t>шить их положение, а также сбалансировать их возможности и те неблагопр</w:t>
      </w:r>
      <w:r w:rsidRPr="004030B6">
        <w:t>и</w:t>
      </w:r>
      <w:r w:rsidRPr="004030B6">
        <w:t>ятные факторы, с которыми они изначально сталкиваются. Более подробная информация об этих мерах будет приведена в той части текста, которая касается статей 3 и 5. В 2011 году правительство утвердило Стратегию борьбы с соц</w:t>
      </w:r>
      <w:r w:rsidRPr="004030B6">
        <w:t>и</w:t>
      </w:r>
      <w:r w:rsidRPr="004030B6">
        <w:t>альной изоляцией на 2012-2015 годы. Основной целью Стратегии является и</w:t>
      </w:r>
      <w:r w:rsidRPr="004030B6">
        <w:t>с</w:t>
      </w:r>
      <w:r w:rsidRPr="004030B6">
        <w:t>коренение проявлений социальной изоляции и нищеты в социально изолир</w:t>
      </w:r>
      <w:r w:rsidRPr="004030B6">
        <w:t>о</w:t>
      </w:r>
      <w:r w:rsidRPr="004030B6">
        <w:t>ванных районах. Стратегия включает в себя меры по улучшению положения с</w:t>
      </w:r>
      <w:r w:rsidRPr="004030B6">
        <w:t>о</w:t>
      </w:r>
      <w:r w:rsidRPr="004030B6">
        <w:t>циально изолированных районов и их жителей в контексте их взаимодействия с окружающим миром, а также по недопущению возникновения подобных ситу</w:t>
      </w:r>
      <w:r w:rsidRPr="004030B6">
        <w:t>а</w:t>
      </w:r>
      <w:r w:rsidRPr="004030B6">
        <w:t>ций. Более подробное описание этих мер будет включено в текст, относящийся к статьям 3 и 5. Кроме того, ЧР приняла Стратегию действий полиции ЧР в о</w:t>
      </w:r>
      <w:r w:rsidRPr="004030B6">
        <w:t>т</w:t>
      </w:r>
      <w:r w:rsidRPr="004030B6">
        <w:t>ношении меньшинств на 2008-2012 годы, и, обновив ее, продлила на 2013-2014 годы. Более подробное описание этой Стратегии будет приведено в тексте, к</w:t>
      </w:r>
      <w:r w:rsidRPr="004030B6">
        <w:t>а</w:t>
      </w:r>
      <w:r w:rsidRPr="004030B6">
        <w:t xml:space="preserve">сающемся статей 5 и 6. Помимо этого, описание стратегических документов, связанных с борьбой против расизма и экстремизма, а также с профилактикой преступности, будет содержаться в тех частях текста, которые относятся к статьям 4 и 6. Что касается образования, то после вынесенного Европейским судом по правам человека в 2011 году решения по делу </w:t>
      </w:r>
      <w:r w:rsidRPr="004030B6">
        <w:rPr>
          <w:i/>
        </w:rPr>
        <w:t>Д.Х. и другие против ЧР</w:t>
      </w:r>
      <w:r w:rsidRPr="004030B6">
        <w:t xml:space="preserve"> были приняты поправки к соответствующим правилам, предусматривающие ужесточение условий помещения детей, не страдающих от легких форм отст</w:t>
      </w:r>
      <w:r w:rsidRPr="004030B6">
        <w:t>а</w:t>
      </w:r>
      <w:r w:rsidRPr="004030B6">
        <w:t>вания в умственном развитии, в школы для детей, испытывающих сложности с обучением, а также прямо запрещающие получение ими образования в рамках учебных программ, предназначенных для детей с ограниченными возможн</w:t>
      </w:r>
      <w:r w:rsidRPr="004030B6">
        <w:t>о</w:t>
      </w:r>
      <w:r w:rsidRPr="004030B6">
        <w:t xml:space="preserve">стями. Затем в 2012 году был принят План действий по исполнению решения по делу </w:t>
      </w:r>
      <w:r w:rsidRPr="004030B6">
        <w:rPr>
          <w:i/>
        </w:rPr>
        <w:t>Д.Х. и другие против ЧР</w:t>
      </w:r>
      <w:r w:rsidRPr="004030B6">
        <w:t>, который осуществляется в настоящее время. Эти меры будут более подробно описаны в тексте, относящемся к статье 5. Мин</w:t>
      </w:r>
      <w:r w:rsidRPr="004030B6">
        <w:t>и</w:t>
      </w:r>
      <w:r w:rsidRPr="004030B6">
        <w:t>стерство обороны приняло Концептуальную программу предотвращения соц</w:t>
      </w:r>
      <w:r w:rsidRPr="004030B6">
        <w:t>и</w:t>
      </w:r>
      <w:r w:rsidRPr="004030B6">
        <w:t>ально нежелательных явлений на период 2010-2014 годов, в которой пред</w:t>
      </w:r>
      <w:r w:rsidRPr="004030B6">
        <w:t>у</w:t>
      </w:r>
      <w:r w:rsidRPr="004030B6">
        <w:t>сматриваются приоритеты и задачи в области предотвращения социально неж</w:t>
      </w:r>
      <w:r w:rsidRPr="004030B6">
        <w:t>е</w:t>
      </w:r>
      <w:r w:rsidRPr="004030B6">
        <w:t>лательных явлений по всему спектру имеющихся проблем, включая расовую дискриминацию, ксенофобию и экстремизм. Кроме того, уделялось внимание вопросу о Холокосте рома и уважительном отношении к памяти жертв бывших лагерей для рома, расположенных в Лети близ Писека и Ходонине близ Ку</w:t>
      </w:r>
      <w:r w:rsidRPr="004030B6">
        <w:t>н</w:t>
      </w:r>
      <w:r w:rsidRPr="004030B6">
        <w:t>штата, а также к другим аспектам культуры рома. Эти меры будут более по</w:t>
      </w:r>
      <w:r w:rsidRPr="004030B6">
        <w:t>д</w:t>
      </w:r>
      <w:r w:rsidRPr="004030B6">
        <w:t>робно разъяснены в тексте, посвященном статьям 5 и 7. В июле 2013 года пр</w:t>
      </w:r>
      <w:r w:rsidRPr="004030B6">
        <w:t>а</w:t>
      </w:r>
      <w:r w:rsidRPr="004030B6">
        <w:t>вительство приняло решение расширить состав Государственного совета по д</w:t>
      </w:r>
      <w:r w:rsidRPr="004030B6">
        <w:t>е</w:t>
      </w:r>
      <w:r w:rsidRPr="004030B6">
        <w:t>лам национальных меньшинств, включив в него представителей вьетнамского и белорусского меньшинств</w:t>
      </w:r>
      <w:r w:rsidRPr="004030B6">
        <w:rPr>
          <w:vertAlign w:val="superscript"/>
        </w:rPr>
        <w:footnoteReference w:id="21"/>
      </w:r>
      <w:r w:rsidRPr="004030B6">
        <w:t>.</w:t>
      </w:r>
    </w:p>
    <w:p w:rsidR="0086169A" w:rsidRPr="004030B6" w:rsidRDefault="0086169A" w:rsidP="0086169A">
      <w:pPr>
        <w:pStyle w:val="SingleTxtGR"/>
      </w:pPr>
      <w:r w:rsidRPr="004030B6">
        <w:t>15.</w:t>
      </w:r>
      <w:r w:rsidRPr="004030B6">
        <w:tab/>
        <w:t>В настоящее время ЧР не принимает каких-либо мер в соответствии со статьей 2 (2) Конвенции, однако такая возможность предусмотрена в наци</w:t>
      </w:r>
      <w:r w:rsidRPr="004030B6">
        <w:t>о</w:t>
      </w:r>
      <w:r w:rsidRPr="004030B6">
        <w:t>нальном законодательстве, что очевидно из вышеприведенного текста, каса</w:t>
      </w:r>
      <w:r w:rsidRPr="004030B6">
        <w:t>ю</w:t>
      </w:r>
      <w:r w:rsidRPr="004030B6">
        <w:t>щегося статьи 1.</w:t>
      </w:r>
    </w:p>
    <w:p w:rsidR="0086169A" w:rsidRPr="004030B6" w:rsidRDefault="003530B9" w:rsidP="003530B9">
      <w:pPr>
        <w:pStyle w:val="H23GR"/>
      </w:pPr>
      <w:r>
        <w:tab/>
      </w:r>
      <w:r>
        <w:tab/>
      </w:r>
      <w:r w:rsidR="0086169A" w:rsidRPr="004030B6">
        <w:t>Ответ на пункт 6 заключительных замечаний</w:t>
      </w:r>
    </w:p>
    <w:p w:rsidR="0086169A" w:rsidRPr="004030B6" w:rsidRDefault="0086169A" w:rsidP="0086169A">
      <w:pPr>
        <w:pStyle w:val="SingleTxtGR"/>
      </w:pPr>
      <w:r w:rsidRPr="004030B6">
        <w:t>16.</w:t>
      </w:r>
      <w:r w:rsidRPr="004030B6">
        <w:tab/>
        <w:t>ЧР признает важное значение сбора дезагрегированных статистических данных для функционирования системы государственного управления, особе</w:t>
      </w:r>
      <w:r w:rsidRPr="004030B6">
        <w:t>н</w:t>
      </w:r>
      <w:r w:rsidRPr="004030B6">
        <w:t>но в том, что касается борьбы за равенство и противодействия дискр</w:t>
      </w:r>
      <w:r w:rsidRPr="004030B6">
        <w:t>и</w:t>
      </w:r>
      <w:r w:rsidRPr="004030B6">
        <w:t>минации. Сбор данных об этническом составе населения в ЧР затруднен тем, что в соо</w:t>
      </w:r>
      <w:r w:rsidRPr="004030B6">
        <w:t>т</w:t>
      </w:r>
      <w:r w:rsidRPr="004030B6">
        <w:t>ветствии с международными договорами и законодательством ЕС сведения об этнической или расовой принадлежности являются конфиденциальной инфо</w:t>
      </w:r>
      <w:r w:rsidRPr="004030B6">
        <w:t>р</w:t>
      </w:r>
      <w:r w:rsidRPr="004030B6">
        <w:t>мацией, которая может обрабатываться только с согласия соответствующего л</w:t>
      </w:r>
      <w:r w:rsidRPr="004030B6">
        <w:t>и</w:t>
      </w:r>
      <w:r w:rsidRPr="004030B6">
        <w:t>ца или же на легитимных основаниях, предусмотренных действующим закон</w:t>
      </w:r>
      <w:r w:rsidRPr="004030B6">
        <w:t>о</w:t>
      </w:r>
      <w:r w:rsidRPr="004030B6">
        <w:t>дательством. Вместе с тем в число этих оснований не входит сбор статистич</w:t>
      </w:r>
      <w:r w:rsidRPr="004030B6">
        <w:t>е</w:t>
      </w:r>
      <w:r w:rsidRPr="004030B6">
        <w:t>ских данных для целей государственного управления. Еще одной причиной я</w:t>
      </w:r>
      <w:r w:rsidRPr="004030B6">
        <w:t>в</w:t>
      </w:r>
      <w:r w:rsidRPr="004030B6">
        <w:t>ляется право каждого человека свободно выбирать национал</w:t>
      </w:r>
      <w:r w:rsidRPr="004030B6">
        <w:t>ь</w:t>
      </w:r>
      <w:r w:rsidRPr="004030B6">
        <w:t>ность без какого-либо воздействия или принуждения</w:t>
      </w:r>
      <w:r w:rsidRPr="004030B6">
        <w:rPr>
          <w:vertAlign w:val="superscript"/>
        </w:rPr>
        <w:footnoteReference w:id="22"/>
      </w:r>
      <w:r w:rsidRPr="004030B6">
        <w:t>. Таким образом, получить данные о чи</w:t>
      </w:r>
      <w:r w:rsidRPr="004030B6">
        <w:t>с</w:t>
      </w:r>
      <w:r w:rsidRPr="004030B6">
        <w:t>ленности рома или других этнических меньшинств возможно лишь на основ</w:t>
      </w:r>
      <w:r w:rsidRPr="004030B6">
        <w:t>а</w:t>
      </w:r>
      <w:r w:rsidRPr="004030B6">
        <w:t>нии конкретного указания ими своей этнической принадлежности или же п</w:t>
      </w:r>
      <w:r w:rsidRPr="004030B6">
        <w:t>о</w:t>
      </w:r>
      <w:r w:rsidRPr="004030B6">
        <w:t>средством проведения анонимных обследований, когда принадлежность к той или иной этнической группе определяется без установления личности конкре</w:t>
      </w:r>
      <w:r w:rsidRPr="004030B6">
        <w:t>т</w:t>
      </w:r>
      <w:r w:rsidRPr="004030B6">
        <w:t>ных индивидуумов. Поэтому вопрос об этническом происхождении решается другими людьми на основании внешних признаков и без учета мнения самих идентифицируемых лиц. В результате этого могут возникать различия между субъективным и объективным восприятием этнического происхождения. Два этих метода могут также комбинироваться.</w:t>
      </w:r>
    </w:p>
    <w:p w:rsidR="0086169A" w:rsidRPr="004030B6" w:rsidRDefault="0086169A" w:rsidP="0086169A">
      <w:pPr>
        <w:pStyle w:val="SingleTxtGR"/>
      </w:pPr>
      <w:r w:rsidRPr="004030B6">
        <w:t>17.</w:t>
      </w:r>
      <w:r w:rsidRPr="004030B6">
        <w:tab/>
        <w:t>Первый метод применяется преимущественно при проведении п</w:t>
      </w:r>
      <w:r w:rsidRPr="004030B6">
        <w:t>е</w:t>
      </w:r>
      <w:r w:rsidRPr="004030B6">
        <w:t>реписей населения, в рамках которых жителям ЧР предоставляется возможность добр</w:t>
      </w:r>
      <w:r w:rsidRPr="004030B6">
        <w:t>о</w:t>
      </w:r>
      <w:r w:rsidRPr="004030B6">
        <w:t>вольно указать свою национальность. В рамках переписи 2011 года также была предусмотрена возможность указать две национальности. Предоставление да</w:t>
      </w:r>
      <w:r w:rsidRPr="004030B6">
        <w:t>н</w:t>
      </w:r>
      <w:r w:rsidRPr="004030B6">
        <w:t>ных об этнической принадлежности не является обязательным, и некоторые участники переписи предпочли не указывать свою национальность. В соотве</w:t>
      </w:r>
      <w:r w:rsidRPr="004030B6">
        <w:t>т</w:t>
      </w:r>
      <w:r w:rsidRPr="004030B6">
        <w:t xml:space="preserve">ствии с результатами переписи 2011 года в качестве рома идентифицировали себя 12 953 человека, из которых 5135 указали </w:t>
      </w:r>
      <w:r w:rsidR="009C6F8B">
        <w:t>"</w:t>
      </w:r>
      <w:r w:rsidRPr="004030B6">
        <w:t>рома</w:t>
      </w:r>
      <w:r w:rsidR="009C6F8B">
        <w:t>"</w:t>
      </w:r>
      <w:r w:rsidRPr="004030B6">
        <w:t xml:space="preserve"> как свою единственную национальность, а 7818 человек – как одну из двух национальностей. Подро</w:t>
      </w:r>
      <w:r w:rsidRPr="004030B6">
        <w:t>б</w:t>
      </w:r>
      <w:r w:rsidRPr="004030B6">
        <w:t>ная информация об этом приводится в приложении № 1.</w:t>
      </w:r>
    </w:p>
    <w:p w:rsidR="0086169A" w:rsidRPr="004030B6" w:rsidRDefault="0086169A" w:rsidP="0086169A">
      <w:pPr>
        <w:pStyle w:val="SingleTxtGR"/>
      </w:pPr>
      <w:r w:rsidRPr="004030B6">
        <w:t>18.</w:t>
      </w:r>
      <w:r w:rsidRPr="004030B6">
        <w:tab/>
        <w:t>Еще один метод используется при проведении научных исследований, в рамках которых эксперты высказывают квалифицированные мнения относ</w:t>
      </w:r>
      <w:r w:rsidRPr="004030B6">
        <w:t>и</w:t>
      </w:r>
      <w:r w:rsidRPr="004030B6">
        <w:t>тельно национальности тех или иных лиц. Этот метод был использован при проведении в 2008-2010 годах нескольких обследований с целью выяснения возможностей детей рома в области образования. В 2010 году этот метод был использован Управлением школьных инспекций ЧР в ходе обследования, п</w:t>
      </w:r>
      <w:r w:rsidRPr="004030B6">
        <w:t>о</w:t>
      </w:r>
      <w:r w:rsidRPr="004030B6">
        <w:t>священного оценке прогресса в деле реформирования бывших специальных школ. В 2012 году Омбудсмен провел исследование вопроса о численности д</w:t>
      </w:r>
      <w:r w:rsidRPr="004030B6">
        <w:t>е</w:t>
      </w:r>
      <w:r w:rsidRPr="004030B6">
        <w:t xml:space="preserve">тей рома среди учеников ряда бывших специальных школ. ЧР будет и впредь заниматься сбором данных об этнической принадлежности, проводимых без идентификации личностей их участников, в том числе в области образования и в других сферах. </w:t>
      </w:r>
    </w:p>
    <w:p w:rsidR="0086169A" w:rsidRPr="004030B6" w:rsidRDefault="0086169A" w:rsidP="003530B9">
      <w:pPr>
        <w:pStyle w:val="H23GR"/>
      </w:pPr>
      <w:r w:rsidRPr="004030B6">
        <w:tab/>
      </w:r>
      <w:r w:rsidR="003530B9">
        <w:tab/>
      </w:r>
      <w:r w:rsidRPr="004030B6">
        <w:t>Ответ на пункт 7 заключительных замечаний</w:t>
      </w:r>
    </w:p>
    <w:p w:rsidR="0086169A" w:rsidRPr="004030B6" w:rsidRDefault="0086169A" w:rsidP="0086169A">
      <w:pPr>
        <w:pStyle w:val="SingleTxtGR"/>
      </w:pPr>
      <w:r w:rsidRPr="004030B6">
        <w:t>19.</w:t>
      </w:r>
      <w:r w:rsidRPr="004030B6">
        <w:tab/>
        <w:t>В отношении фрагментарности антидискриминационного законодател</w:t>
      </w:r>
      <w:r w:rsidRPr="004030B6">
        <w:t>ь</w:t>
      </w:r>
      <w:r w:rsidRPr="004030B6">
        <w:t>ства ЧР заявляет, что Закон о борьбе с дискриминацией по своей природе явл</w:t>
      </w:r>
      <w:r w:rsidRPr="004030B6">
        <w:t>я</w:t>
      </w:r>
      <w:r w:rsidRPr="004030B6">
        <w:t>ется нормативно-правовым актом общего характера, который регламентирует запрещение дискриминации во всех установленных сферах, о которых говори</w:t>
      </w:r>
      <w:r w:rsidRPr="004030B6">
        <w:t>т</w:t>
      </w:r>
      <w:r w:rsidRPr="004030B6">
        <w:t>ся в тексте, касающемся статьи 1. После принятия Закона происходит неукло</w:t>
      </w:r>
      <w:r w:rsidRPr="004030B6">
        <w:t>н</w:t>
      </w:r>
      <w:r w:rsidRPr="004030B6">
        <w:t>ная консолидация антидискриминационного. Первого января 2012 года вступ</w:t>
      </w:r>
      <w:r w:rsidRPr="004030B6">
        <w:t>и</w:t>
      </w:r>
      <w:r w:rsidRPr="004030B6">
        <w:t>ли в силу поправки к Закону о занятости</w:t>
      </w:r>
      <w:r w:rsidRPr="004030B6">
        <w:rPr>
          <w:vertAlign w:val="superscript"/>
        </w:rPr>
        <w:footnoteReference w:id="23"/>
      </w:r>
      <w:r w:rsidRPr="004030B6">
        <w:t>, в соответствии с которыми он с</w:t>
      </w:r>
      <w:r w:rsidRPr="004030B6">
        <w:t>о</w:t>
      </w:r>
      <w:r w:rsidRPr="004030B6">
        <w:t>держит лишь общее обязательство обеспечивать равное обращение и запр</w:t>
      </w:r>
      <w:r w:rsidRPr="004030B6">
        <w:t>е</w:t>
      </w:r>
      <w:r w:rsidRPr="004030B6">
        <w:t>щает любые проявления дискриминации при осуществлении права на труд, т</w:t>
      </w:r>
      <w:r w:rsidRPr="004030B6">
        <w:t>о</w:t>
      </w:r>
      <w:r w:rsidRPr="004030B6">
        <w:t>гда как положения, регламентирующие само понятие дискриминации, ее формы и др</w:t>
      </w:r>
      <w:r w:rsidRPr="004030B6">
        <w:t>у</w:t>
      </w:r>
      <w:r w:rsidRPr="004030B6">
        <w:t>гие соответствующие вопросы, содержатся исключительно в Законе о борьбе с дискриминацией. Аналогичные поправки были внесены и в Трудовой кодекс</w:t>
      </w:r>
      <w:r w:rsidRPr="004030B6">
        <w:rPr>
          <w:vertAlign w:val="superscript"/>
        </w:rPr>
        <w:footnoteReference w:id="24"/>
      </w:r>
      <w:r w:rsidRPr="004030B6">
        <w:t>. Защита от дискриминации по другим признакам, конкретно не предусмотре</w:t>
      </w:r>
      <w:r w:rsidRPr="004030B6">
        <w:t>н</w:t>
      </w:r>
      <w:r w:rsidRPr="004030B6">
        <w:t>ным в Законе о борьбе с дискриминацией, может быть обеспечена путем пр</w:t>
      </w:r>
      <w:r w:rsidRPr="004030B6">
        <w:t>и</w:t>
      </w:r>
      <w:r w:rsidRPr="004030B6">
        <w:t>менения других норм внутреннего права, включая Хартию, а также ратифиц</w:t>
      </w:r>
      <w:r w:rsidRPr="004030B6">
        <w:t>и</w:t>
      </w:r>
      <w:r w:rsidRPr="004030B6">
        <w:t>рованные международные договоры, в том числе Конвенцию, которые в соо</w:t>
      </w:r>
      <w:r w:rsidRPr="004030B6">
        <w:t>т</w:t>
      </w:r>
      <w:r w:rsidRPr="004030B6">
        <w:t>ветствии с Конституцией имеют прямое действие и пользуются приматом отн</w:t>
      </w:r>
      <w:r w:rsidRPr="004030B6">
        <w:t>о</w:t>
      </w:r>
      <w:r w:rsidRPr="004030B6">
        <w:t>сительно национальных законов. Более подробное описание системы защиты приводится в той части текста, которая касается статьи 6.</w:t>
      </w:r>
    </w:p>
    <w:p w:rsidR="0086169A" w:rsidRPr="004030B6" w:rsidRDefault="0086169A" w:rsidP="0086169A">
      <w:pPr>
        <w:pStyle w:val="SingleTxtGR"/>
      </w:pPr>
      <w:r w:rsidRPr="004030B6">
        <w:t>20.</w:t>
      </w:r>
      <w:r w:rsidRPr="004030B6">
        <w:tab/>
        <w:t>Тот факт, что положения, касающиеся борьбы с дискриминацией, соде</w:t>
      </w:r>
      <w:r w:rsidRPr="004030B6">
        <w:t>р</w:t>
      </w:r>
      <w:r w:rsidRPr="004030B6">
        <w:t>жатся в нормативных актах частного права (Закон о борьбе с дискримин</w:t>
      </w:r>
      <w:r w:rsidRPr="004030B6">
        <w:t>а</w:t>
      </w:r>
      <w:r w:rsidRPr="004030B6">
        <w:t>цией) и публичного права (Уголовный кодекс</w:t>
      </w:r>
      <w:r w:rsidRPr="004030B6">
        <w:rPr>
          <w:vertAlign w:val="superscript"/>
        </w:rPr>
        <w:footnoteReference w:id="25"/>
      </w:r>
      <w:r w:rsidRPr="004030B6">
        <w:t>, Закон о мелких правонарушен</w:t>
      </w:r>
      <w:r w:rsidRPr="004030B6">
        <w:t>и</w:t>
      </w:r>
      <w:r w:rsidRPr="004030B6">
        <w:t>ях</w:t>
      </w:r>
      <w:r w:rsidRPr="004030B6">
        <w:rPr>
          <w:vertAlign w:val="superscript"/>
        </w:rPr>
        <w:footnoteReference w:id="26"/>
      </w:r>
      <w:r w:rsidRPr="004030B6">
        <w:t xml:space="preserve"> и другие законы), представляет собой логическое отражение стремления госуда</w:t>
      </w:r>
      <w:r w:rsidRPr="004030B6">
        <w:t>р</w:t>
      </w:r>
      <w:r w:rsidRPr="004030B6">
        <w:t>ства создать условия для соблюдения как общественных (в форме администр</w:t>
      </w:r>
      <w:r w:rsidRPr="004030B6">
        <w:t>а</w:t>
      </w:r>
      <w:r w:rsidRPr="004030B6">
        <w:t>тивного или уголовного наказания), так и частных интересов (гражданское с</w:t>
      </w:r>
      <w:r w:rsidRPr="004030B6">
        <w:t>у</w:t>
      </w:r>
      <w:r w:rsidRPr="004030B6">
        <w:t>допроизводство) в зависимости от характера той или иной ситуации. Таким о</w:t>
      </w:r>
      <w:r w:rsidRPr="004030B6">
        <w:t>б</w:t>
      </w:r>
      <w:r w:rsidRPr="004030B6">
        <w:t>разом, очевидно, что речь в данном случае идет об укреплении защиты от ди</w:t>
      </w:r>
      <w:r w:rsidRPr="004030B6">
        <w:t>с</w:t>
      </w:r>
      <w:r w:rsidRPr="004030B6">
        <w:t>криминации, а не о ее ослаблении. Так, жертвы дискриминации могут и</w:t>
      </w:r>
      <w:r w:rsidRPr="004030B6">
        <w:t>з</w:t>
      </w:r>
      <w:r w:rsidRPr="004030B6">
        <w:t>брать в качестве основного такой метод защиты своих интересов, который о</w:t>
      </w:r>
      <w:r w:rsidRPr="004030B6">
        <w:t>т</w:t>
      </w:r>
      <w:r w:rsidRPr="004030B6">
        <w:t>носится к сфере частного права, а государство, со своей стороны, может оказать им д</w:t>
      </w:r>
      <w:r w:rsidRPr="004030B6">
        <w:t>о</w:t>
      </w:r>
      <w:r w:rsidRPr="004030B6">
        <w:t>полнительную помощь, задействовав механизм публичного права. Эти два м</w:t>
      </w:r>
      <w:r w:rsidRPr="004030B6">
        <w:t>е</w:t>
      </w:r>
      <w:r w:rsidRPr="004030B6">
        <w:t>тода регулирования дополняют друг друга и преследуют цель создания такой общественной атмосферы, в которой дискриминация становится из ряда вон выходящим явлением. По вышеизложенным причинам ЧР не считает сложи</w:t>
      </w:r>
      <w:r w:rsidRPr="004030B6">
        <w:t>в</w:t>
      </w:r>
      <w:r w:rsidRPr="004030B6">
        <w:t>шуюся в ней систему защиты от дискриминации, которая на уровне констит</w:t>
      </w:r>
      <w:r w:rsidRPr="004030B6">
        <w:t>у</w:t>
      </w:r>
      <w:r w:rsidRPr="004030B6">
        <w:t>ционного права включает в себя Хартию, а на</w:t>
      </w:r>
      <w:r w:rsidR="004F0C2D">
        <w:t xml:space="preserve"> уровне общего законодательс</w:t>
      </w:r>
      <w:r w:rsidR="004F0C2D">
        <w:t>т</w:t>
      </w:r>
      <w:r w:rsidR="004F0C2D">
        <w:t>ва </w:t>
      </w:r>
      <w:r w:rsidRPr="004030B6">
        <w:t>– Закон о борьбе с дискриминацией и другие специальные законы, недост</w:t>
      </w:r>
      <w:r w:rsidRPr="004030B6">
        <w:t>а</w:t>
      </w:r>
      <w:r w:rsidRPr="004030B6">
        <w:t>точной или фрагментированной, поскольку вместо принятия одного общего правила, имеющего универсальный охват, правовая система ЧР целенаправле</w:t>
      </w:r>
      <w:r w:rsidRPr="004030B6">
        <w:t>н</w:t>
      </w:r>
      <w:r w:rsidRPr="004030B6">
        <w:t>но сосредоточивает внимание на конкретных ситуациях, которые могут поро</w:t>
      </w:r>
      <w:r w:rsidRPr="004030B6">
        <w:t>ж</w:t>
      </w:r>
      <w:r w:rsidRPr="004030B6">
        <w:t>дать дискриминацию, и пытается предусмотреть в их отношении адекватные меры пр</w:t>
      </w:r>
      <w:r w:rsidRPr="004030B6">
        <w:t>а</w:t>
      </w:r>
      <w:r w:rsidRPr="004030B6">
        <w:t xml:space="preserve">вового характера. </w:t>
      </w:r>
    </w:p>
    <w:p w:rsidR="0086169A" w:rsidRPr="004030B6" w:rsidRDefault="0086169A" w:rsidP="003530B9">
      <w:pPr>
        <w:pStyle w:val="H23GR"/>
      </w:pPr>
      <w:r w:rsidRPr="004030B6">
        <w:tab/>
      </w:r>
      <w:r w:rsidR="003530B9">
        <w:tab/>
      </w:r>
      <w:r w:rsidRPr="004030B6">
        <w:t>Ответ на пункт 9 заключительных замечаний</w:t>
      </w:r>
    </w:p>
    <w:p w:rsidR="0086169A" w:rsidRPr="004030B6" w:rsidRDefault="0086169A" w:rsidP="0086169A">
      <w:pPr>
        <w:pStyle w:val="SingleTxtGR"/>
      </w:pPr>
      <w:r w:rsidRPr="004030B6">
        <w:t>21.</w:t>
      </w:r>
      <w:r w:rsidRPr="004030B6">
        <w:tab/>
        <w:t>Основным независимым институтом в области защиты и поощр</w:t>
      </w:r>
      <w:r w:rsidRPr="004030B6">
        <w:t>е</w:t>
      </w:r>
      <w:r w:rsidRPr="004030B6">
        <w:t>ния прав человека является Омбудсмен, главной задачей которого является наблюдение за выполнением государственным аппаратом своих функций в соответствии с законодательством и принципами эффективного управления. Сфера деятельн</w:t>
      </w:r>
      <w:r w:rsidRPr="004030B6">
        <w:t>о</w:t>
      </w:r>
      <w:r w:rsidRPr="004030B6">
        <w:t>сти и полномочия Омбудсмена регулируются специальным законом. Омбудсмен не имеет возможности непосредственно вмешиваться в деятел</w:t>
      </w:r>
      <w:r w:rsidRPr="004030B6">
        <w:t>ь</w:t>
      </w:r>
      <w:r w:rsidRPr="004030B6">
        <w:t>ность законных органов власти или же аннулировать или менять их решения. Однако он над</w:t>
      </w:r>
      <w:r w:rsidRPr="004030B6">
        <w:t>е</w:t>
      </w:r>
      <w:r w:rsidRPr="004030B6">
        <w:t>лен правом проводить независимые расследования и на основании их итогов выносить рекомендации в целях исправления допущенных ош</w:t>
      </w:r>
      <w:r w:rsidRPr="004030B6">
        <w:t>и</w:t>
      </w:r>
      <w:r w:rsidRPr="004030B6">
        <w:t>бок и недочетов, а также требовать от властей их выполнения. Органы власти обязаны сотрудн</w:t>
      </w:r>
      <w:r w:rsidRPr="004030B6">
        <w:t>и</w:t>
      </w:r>
      <w:r w:rsidRPr="004030B6">
        <w:t>чать с Омбудсменом и информировать его о принятых ими мерах по исправл</w:t>
      </w:r>
      <w:r w:rsidRPr="004030B6">
        <w:t>е</w:t>
      </w:r>
      <w:r w:rsidRPr="004030B6">
        <w:t>нию ситуации. В противном случае Омбудсмен информирует вышестоящий о</w:t>
      </w:r>
      <w:r w:rsidRPr="004030B6">
        <w:t>р</w:t>
      </w:r>
      <w:r w:rsidRPr="004030B6">
        <w:t>ган власти, правительство или общественность при помощи пресс-релизов или обнародования своих выводов. Кроме того, в соответствии с Факультативным протоколом к Конвенции против пыток и других жестоких, бесчеловечных или унижающих достоинство видов обращения и наказания он осуществляет н</w:t>
      </w:r>
      <w:r w:rsidRPr="004030B6">
        <w:t>а</w:t>
      </w:r>
      <w:r w:rsidRPr="004030B6">
        <w:t>блюдательные функции в отношении мест лишения свободы. Омбудсмен также выполняет функции, связанные с обеспечением равенства, и наблюдает за сл</w:t>
      </w:r>
      <w:r w:rsidRPr="004030B6">
        <w:t>у</w:t>
      </w:r>
      <w:r w:rsidRPr="004030B6">
        <w:t>чаями принудительной высылки иностранцев на предмет защиты их прав. О</w:t>
      </w:r>
      <w:r w:rsidRPr="004030B6">
        <w:t>м</w:t>
      </w:r>
      <w:r w:rsidRPr="004030B6">
        <w:t>будсмен избирается Палатой депутатов сроком на 5 лет, располагает собстве</w:t>
      </w:r>
      <w:r w:rsidRPr="004030B6">
        <w:t>н</w:t>
      </w:r>
      <w:r w:rsidRPr="004030B6">
        <w:t>ным управлением, которое является финансово независимым, и выполняет свои задачи, предусмотренные законодательством. Он также рег</w:t>
      </w:r>
      <w:r w:rsidRPr="004030B6">
        <w:t>у</w:t>
      </w:r>
      <w:r w:rsidRPr="004030B6">
        <w:t>лярно информирует о своей деятельности Палату депутатов Парламента ЧР и выносит на рассмо</w:t>
      </w:r>
      <w:r w:rsidRPr="004030B6">
        <w:t>т</w:t>
      </w:r>
      <w:r w:rsidRPr="004030B6">
        <w:t>рение Палаты рекомендации в отношении внесения поправок в законодательс</w:t>
      </w:r>
      <w:r w:rsidRPr="004030B6">
        <w:t>т</w:t>
      </w:r>
      <w:r w:rsidRPr="004030B6">
        <w:t>во. Более детальная информация о деятельности Омбу</w:t>
      </w:r>
      <w:r w:rsidRPr="004030B6">
        <w:t>д</w:t>
      </w:r>
      <w:r w:rsidRPr="004030B6">
        <w:t>смена применительно к конкретным проявлениям дискриминации приводится в тексте, относящемся к статье 6.</w:t>
      </w:r>
    </w:p>
    <w:p w:rsidR="0086169A" w:rsidRPr="004030B6" w:rsidRDefault="0086169A" w:rsidP="0086169A">
      <w:pPr>
        <w:pStyle w:val="SingleTxtGR"/>
      </w:pPr>
      <w:r w:rsidRPr="004030B6">
        <w:t>22.</w:t>
      </w:r>
      <w:r w:rsidRPr="004030B6">
        <w:tab/>
        <w:t>Вопросами прав человека также занимаются консультативные о</w:t>
      </w:r>
      <w:r w:rsidRPr="004030B6">
        <w:t>р</w:t>
      </w:r>
      <w:r w:rsidRPr="004030B6">
        <w:t>ганы при правительстве. К их числу относятся Государственный совет по правам челов</w:t>
      </w:r>
      <w:r w:rsidRPr="004030B6">
        <w:t>е</w:t>
      </w:r>
      <w:r w:rsidRPr="004030B6">
        <w:t>ка, Государственный совет по делам национальных меньшинств, Государстве</w:t>
      </w:r>
      <w:r w:rsidRPr="004030B6">
        <w:t>н</w:t>
      </w:r>
      <w:r w:rsidRPr="004030B6">
        <w:t>ный совет по делам меньшинства рома, Государственный совет по равным во</w:t>
      </w:r>
      <w:r w:rsidRPr="004030B6">
        <w:t>з</w:t>
      </w:r>
      <w:r w:rsidRPr="004030B6">
        <w:t>можностям для мужчин и женщин, Государственный совет по неправительс</w:t>
      </w:r>
      <w:r w:rsidRPr="004030B6">
        <w:t>т</w:t>
      </w:r>
      <w:r w:rsidRPr="004030B6">
        <w:t>венным некоммерческим организациям, Государственный совет по делам лиц старшего возраста и проблеме старения населения и Государстве</w:t>
      </w:r>
      <w:r w:rsidRPr="004030B6">
        <w:t>н</w:t>
      </w:r>
      <w:r w:rsidRPr="004030B6">
        <w:t>ный комитет по делам лиц с инвалидностью. В рамках этих органов обсуждаются вопросы, касающиеся прав человека и защиты меньшинств, проводится анализ ситуации в ЧР и предлагаются системные меры по совершенствованию механизмов з</w:t>
      </w:r>
      <w:r w:rsidRPr="004030B6">
        <w:t>а</w:t>
      </w:r>
      <w:r w:rsidRPr="004030B6">
        <w:t>щиты прав человека. В состав всех этих органов входят представители госуда</w:t>
      </w:r>
      <w:r w:rsidRPr="004030B6">
        <w:t>р</w:t>
      </w:r>
      <w:r w:rsidRPr="004030B6">
        <w:t>ственного аппарата и гражданского общества, которым предоставляется во</w:t>
      </w:r>
      <w:r w:rsidRPr="004030B6">
        <w:t>з</w:t>
      </w:r>
      <w:r w:rsidR="003530B9">
        <w:t>можность вести диалог с</w:t>
      </w:r>
      <w:r w:rsidRPr="004030B6">
        <w:t xml:space="preserve"> правительством по проблемам прав ч</w:t>
      </w:r>
      <w:r w:rsidRPr="004030B6">
        <w:t>е</w:t>
      </w:r>
      <w:r w:rsidRPr="004030B6">
        <w:t>ловека.</w:t>
      </w:r>
    </w:p>
    <w:p w:rsidR="0086169A" w:rsidRPr="004030B6" w:rsidRDefault="0086169A" w:rsidP="0086169A">
      <w:pPr>
        <w:pStyle w:val="SingleTxtGR"/>
      </w:pPr>
      <w:r w:rsidRPr="004030B6">
        <w:t>23.</w:t>
      </w:r>
      <w:r w:rsidRPr="004030B6">
        <w:tab/>
        <w:t>В системе исполнительной власти основную роль в деле защиты прав ч</w:t>
      </w:r>
      <w:r w:rsidRPr="004030B6">
        <w:t>е</w:t>
      </w:r>
      <w:r w:rsidRPr="004030B6">
        <w:t>ловека выполняет Государственный уполномоченный по правам человека, кот</w:t>
      </w:r>
      <w:r w:rsidRPr="004030B6">
        <w:t>о</w:t>
      </w:r>
      <w:r w:rsidRPr="004030B6">
        <w:t>рый является членом вышеперечисленных консультативных органов, отслеж</w:t>
      </w:r>
      <w:r w:rsidRPr="004030B6">
        <w:t>и</w:t>
      </w:r>
      <w:r w:rsidRPr="004030B6">
        <w:t>вает прогресс в деле обеспечения защиты прав человека и соблюдения межд</w:t>
      </w:r>
      <w:r w:rsidRPr="004030B6">
        <w:t>у</w:t>
      </w:r>
      <w:r w:rsidRPr="004030B6">
        <w:t>народных конвенций о защите прав человека в сфере деятельности правител</w:t>
      </w:r>
      <w:r w:rsidRPr="004030B6">
        <w:t>ь</w:t>
      </w:r>
      <w:r w:rsidRPr="004030B6">
        <w:t>ства, предлагает меры, направленные на их более доскональное соблюдение, а также обеспечивает сотрудничество правительства с организациями гражда</w:t>
      </w:r>
      <w:r w:rsidRPr="004030B6">
        <w:t>н</w:t>
      </w:r>
      <w:r w:rsidRPr="004030B6">
        <w:t>ского общества в области прав человека.</w:t>
      </w:r>
    </w:p>
    <w:p w:rsidR="0086169A" w:rsidRPr="004030B6" w:rsidRDefault="0086169A" w:rsidP="0086169A">
      <w:pPr>
        <w:pStyle w:val="SingleTxtGR"/>
      </w:pPr>
      <w:r w:rsidRPr="004030B6">
        <w:t>24.</w:t>
      </w:r>
      <w:r w:rsidRPr="004030B6">
        <w:tab/>
        <w:t>В соответствии с Конституцией функции по защите прав человека возл</w:t>
      </w:r>
      <w:r w:rsidRPr="004030B6">
        <w:t>а</w:t>
      </w:r>
      <w:r w:rsidRPr="004030B6">
        <w:t>гаются также и на судебные органы, поскольку они выносят решения по инд</w:t>
      </w:r>
      <w:r w:rsidRPr="004030B6">
        <w:t>и</w:t>
      </w:r>
      <w:r w:rsidRPr="004030B6">
        <w:t>видуальным спорам между частными лицами или же между этими лицами, с одной стороны, и государством, с другой, и всегда должны принимать во вн</w:t>
      </w:r>
      <w:r w:rsidRPr="004030B6">
        <w:t>и</w:t>
      </w:r>
      <w:r w:rsidRPr="004030B6">
        <w:t>мание соответствующие права человека при вынесении своих решений. Более подробная информация об их деятельности содержится в той части текста, о</w:t>
      </w:r>
      <w:r w:rsidRPr="004030B6">
        <w:t>т</w:t>
      </w:r>
      <w:r w:rsidRPr="004030B6">
        <w:t>носящегося к вопросам дискриминации, которая касается статьи 6.</w:t>
      </w:r>
    </w:p>
    <w:p w:rsidR="0086169A" w:rsidRPr="004030B6" w:rsidRDefault="0086169A" w:rsidP="003530B9">
      <w:pPr>
        <w:pStyle w:val="H1GR"/>
      </w:pPr>
      <w:r w:rsidRPr="004030B6">
        <w:tab/>
      </w:r>
      <w:r w:rsidR="003530B9">
        <w:tab/>
      </w:r>
      <w:r w:rsidR="001F6E56">
        <w:t>Статья 3</w:t>
      </w:r>
      <w:r w:rsidR="001F6E56">
        <w:br/>
      </w:r>
      <w:r w:rsidRPr="004030B6">
        <w:t>Запрещение расовой сегрегации и апартеида</w:t>
      </w:r>
    </w:p>
    <w:p w:rsidR="0086169A" w:rsidRPr="004030B6" w:rsidRDefault="0086169A" w:rsidP="0086169A">
      <w:pPr>
        <w:pStyle w:val="SingleTxtGR"/>
      </w:pPr>
      <w:r w:rsidRPr="004030B6">
        <w:t>25.</w:t>
      </w:r>
      <w:r w:rsidRPr="004030B6">
        <w:tab/>
        <w:t>Действуя в рамках своих независимых полномочий в соответствующих территориальных округах, муниципальные органы также стремятся к созданию условий, благоприятствующих удовлетворению нужд их жителей с учетом м</w:t>
      </w:r>
      <w:r w:rsidRPr="004030B6">
        <w:t>е</w:t>
      </w:r>
      <w:r w:rsidRPr="004030B6">
        <w:t>стных потребностей, в том числе в таких сферах, как обеспечение жильем, с</w:t>
      </w:r>
      <w:r w:rsidRPr="004030B6">
        <w:t>о</w:t>
      </w:r>
      <w:r w:rsidRPr="004030B6">
        <w:t>циальная помощь, охрана здоровья и развитие, образование и профессионал</w:t>
      </w:r>
      <w:r w:rsidRPr="004030B6">
        <w:t>ь</w:t>
      </w:r>
      <w:r w:rsidRPr="004030B6">
        <w:t>ная подготовка, общее развитие культуры и охрана общественного порядка. В рамках этой деятельности муниципальным органам также надлежит вносить свой вклад в дело социальной интеграции жителей своих районов. Муниц</w:t>
      </w:r>
      <w:r w:rsidRPr="004030B6">
        <w:t>и</w:t>
      </w:r>
      <w:r w:rsidRPr="004030B6">
        <w:t>пальные органы, равно как и все другие владельцы недвижимости, не должны допускать проявлений дискриминации в вопросах доступа к жилью по призн</w:t>
      </w:r>
      <w:r w:rsidRPr="004030B6">
        <w:t>а</w:t>
      </w:r>
      <w:r w:rsidRPr="004030B6">
        <w:t>ку расы и должны открыто публиковать предложения о сдаче жилья в аренду, с тем чтобы они были доступны для всех желающих без каких-либо и</w:t>
      </w:r>
      <w:r w:rsidRPr="004030B6">
        <w:t>с</w:t>
      </w:r>
      <w:r w:rsidRPr="004030B6">
        <w:t xml:space="preserve">ключений. </w:t>
      </w:r>
    </w:p>
    <w:p w:rsidR="0086169A" w:rsidRPr="004030B6" w:rsidRDefault="0086169A" w:rsidP="003530B9">
      <w:pPr>
        <w:pStyle w:val="H23GR"/>
      </w:pPr>
      <w:r w:rsidRPr="004030B6">
        <w:tab/>
      </w:r>
      <w:r w:rsidR="003530B9">
        <w:tab/>
      </w:r>
      <w:r w:rsidRPr="004030B6">
        <w:t>Ответ на пункт 11 заключительных замечаний</w:t>
      </w:r>
    </w:p>
    <w:p w:rsidR="0086169A" w:rsidRPr="004030B6" w:rsidRDefault="0086169A" w:rsidP="0086169A">
      <w:pPr>
        <w:pStyle w:val="SingleTxtGR"/>
      </w:pPr>
      <w:r w:rsidRPr="004030B6">
        <w:t>26.</w:t>
      </w:r>
      <w:r w:rsidRPr="004030B6">
        <w:tab/>
        <w:t>Более подробное описание функций и обязанностей муниципальных о</w:t>
      </w:r>
      <w:r w:rsidRPr="004030B6">
        <w:t>р</w:t>
      </w:r>
      <w:r w:rsidRPr="004030B6">
        <w:t>ганов и государства в сферах обеспечения жильем и социальной интеграции с</w:t>
      </w:r>
      <w:r w:rsidRPr="004030B6">
        <w:t>о</w:t>
      </w:r>
      <w:r w:rsidRPr="004030B6">
        <w:t>держалось в ответе ЧР на некоторые заключительные замечания Комитета по ликвидации расовой дискриминации</w:t>
      </w:r>
      <w:r w:rsidRPr="004030B6">
        <w:rPr>
          <w:vertAlign w:val="superscript"/>
        </w:rPr>
        <w:footnoteReference w:id="27"/>
      </w:r>
      <w:r w:rsidRPr="004030B6">
        <w:t>.</w:t>
      </w:r>
    </w:p>
    <w:p w:rsidR="0086169A" w:rsidRPr="004030B6" w:rsidRDefault="0086169A" w:rsidP="0086169A">
      <w:pPr>
        <w:pStyle w:val="SingleTxtGR"/>
      </w:pPr>
      <w:r w:rsidRPr="004030B6">
        <w:tab/>
        <w:t>27.</w:t>
      </w:r>
      <w:r w:rsidRPr="004030B6">
        <w:tab/>
        <w:t>По итогам изучения социально изолированных районов прожив</w:t>
      </w:r>
      <w:r w:rsidRPr="004030B6">
        <w:t>а</w:t>
      </w:r>
      <w:r w:rsidRPr="004030B6">
        <w:t>ния рома и возможностей соответствующих организаций в плане удовлетвор</w:t>
      </w:r>
      <w:r w:rsidRPr="004030B6">
        <w:t>е</w:t>
      </w:r>
      <w:r w:rsidRPr="004030B6">
        <w:t>ния их потребностей (</w:t>
      </w:r>
      <w:r w:rsidRPr="004030B6">
        <w:rPr>
          <w:lang w:val="en-US"/>
        </w:rPr>
        <w:t>GAC</w:t>
      </w:r>
      <w:r w:rsidRPr="004030B6">
        <w:t>, 2006 год)</w:t>
      </w:r>
      <w:r w:rsidRPr="004030B6">
        <w:rPr>
          <w:vertAlign w:val="superscript"/>
        </w:rPr>
        <w:footnoteReference w:id="28"/>
      </w:r>
      <w:r w:rsidRPr="004030B6">
        <w:t xml:space="preserve"> по состоянию на 2006 год в 167 мун</w:t>
      </w:r>
      <w:r w:rsidRPr="004030B6">
        <w:t>и</w:t>
      </w:r>
      <w:r w:rsidRPr="004030B6">
        <w:t>ципальных округах было выявлено 330 изолированных районов с населением в 60-80 тыс. человек. В 80% этих районов предполагаемая доля рома в общей численности населения составляла более половины; более чем в 40% этих ра</w:t>
      </w:r>
      <w:r w:rsidRPr="004030B6">
        <w:t>й</w:t>
      </w:r>
      <w:r w:rsidRPr="004030B6">
        <w:t>онов доля рома превышала 90%. Более свежие данные по этому вопросу отсу</w:t>
      </w:r>
      <w:r w:rsidRPr="004030B6">
        <w:t>т</w:t>
      </w:r>
      <w:r w:rsidRPr="004030B6">
        <w:t>ствуют, но Министерство по делам труда и социальным вопросам в настоящее время готовится провести новый анализ ситуации в социально изолированных районах, который намечен на 2014 год. Согласно квалифицированным оценкам, число социально изолированных районов увеличилось. В настоящее время пр</w:t>
      </w:r>
      <w:r w:rsidRPr="004030B6">
        <w:t>и</w:t>
      </w:r>
      <w:r w:rsidRPr="004030B6">
        <w:t>близительное общее количество изолированных районов возросло до 400. В 2012 году Министерство по делам труда и социальным вопросам приняло До</w:t>
      </w:r>
      <w:r w:rsidRPr="004030B6">
        <w:t>л</w:t>
      </w:r>
      <w:r w:rsidRPr="004030B6">
        <w:t>госрочную стратегию</w:t>
      </w:r>
      <w:r w:rsidRPr="004030B6">
        <w:rPr>
          <w:vertAlign w:val="superscript"/>
        </w:rPr>
        <w:footnoteReference w:id="29"/>
      </w:r>
      <w:r w:rsidRPr="004030B6">
        <w:t xml:space="preserve"> Министерства по делам труда и социальным вопросам в области социальной интеграции, которая основывается на всеобъемлющем и систематическом подходе к решению проблем социальной интеграции на пер</w:t>
      </w:r>
      <w:r w:rsidRPr="004030B6">
        <w:t>и</w:t>
      </w:r>
      <w:r w:rsidRPr="004030B6">
        <w:t>од до 2020 года. Стратегия тематически привязана к национальным планам де</w:t>
      </w:r>
      <w:r w:rsidRPr="004030B6">
        <w:t>й</w:t>
      </w:r>
      <w:r w:rsidRPr="004030B6">
        <w:t>ствий в области социальной интеграции. Целью данного документа является уменьшение нищеты и степени социальной изоляции. ЧР стремится к тому, чтобы к 2020 году численность лиц, сталкивающихся с опасностью нищеты, материальных лишений или безработицы всех членов домохозяйства, не пр</w:t>
      </w:r>
      <w:r w:rsidRPr="004030B6">
        <w:t>е</w:t>
      </w:r>
      <w:r w:rsidRPr="004030B6">
        <w:t>вышала аналогичных показателей за 2008 год. Кроме того, она будет сосредот</w:t>
      </w:r>
      <w:r w:rsidRPr="004030B6">
        <w:t>о</w:t>
      </w:r>
      <w:r w:rsidRPr="004030B6">
        <w:t>чивать свои усилия на том, чтобы добиться уменьшения численности лиц, ж</w:t>
      </w:r>
      <w:r w:rsidRPr="004030B6">
        <w:t>и</w:t>
      </w:r>
      <w:r w:rsidRPr="004030B6">
        <w:t>вущих в условиях нищеты, на 30 000 человек. В рамках вышеуказанного док</w:t>
      </w:r>
      <w:r w:rsidRPr="004030B6">
        <w:t>у</w:t>
      </w:r>
      <w:r w:rsidRPr="004030B6">
        <w:t>мента принимается во внимание этнический аспект проблемы социальной из</w:t>
      </w:r>
      <w:r w:rsidRPr="004030B6">
        <w:t>о</w:t>
      </w:r>
      <w:r w:rsidRPr="004030B6">
        <w:t>ляции, и принадлежность к этнической группе рома рассматривается как один из факторов социальной изоляции рома. Кроме того, в 2011 году была утве</w:t>
      </w:r>
      <w:r w:rsidRPr="004030B6">
        <w:t>р</w:t>
      </w:r>
      <w:r w:rsidRPr="004030B6">
        <w:t>ждена Стратегия борьбы против социальной изоляции на 2011-2015 годы. Этот документ включает в себя в общей сложности 71 мероприятие в таких сферах, как безопасность, обеспечение жильем</w:t>
      </w:r>
      <w:r w:rsidRPr="004030B6">
        <w:rPr>
          <w:vertAlign w:val="superscript"/>
        </w:rPr>
        <w:footnoteReference w:id="30"/>
      </w:r>
      <w:r w:rsidRPr="004030B6">
        <w:t>, образование</w:t>
      </w:r>
      <w:r w:rsidRPr="004030B6">
        <w:rPr>
          <w:vertAlign w:val="superscript"/>
        </w:rPr>
        <w:footnoteReference w:id="31"/>
      </w:r>
      <w:r w:rsidRPr="004030B6">
        <w:t>, социальные услуги</w:t>
      </w:r>
      <w:r w:rsidRPr="004030B6">
        <w:rPr>
          <w:vertAlign w:val="superscript"/>
        </w:rPr>
        <w:footnoteReference w:id="32"/>
      </w:r>
      <w:r w:rsidRPr="004030B6">
        <w:t>, поддержка семей с детьми</w:t>
      </w:r>
      <w:r w:rsidRPr="004030B6">
        <w:rPr>
          <w:vertAlign w:val="superscript"/>
        </w:rPr>
        <w:footnoteReference w:id="33"/>
      </w:r>
      <w:r w:rsidRPr="004030B6">
        <w:t>, здравоохранение, занятость и региональное разв</w:t>
      </w:r>
      <w:r w:rsidRPr="004030B6">
        <w:t>и</w:t>
      </w:r>
      <w:r w:rsidRPr="004030B6">
        <w:t>тие. Задача по координации и контролю за реализацией Стратегии была возл</w:t>
      </w:r>
      <w:r w:rsidRPr="004030B6">
        <w:t>о</w:t>
      </w:r>
      <w:r w:rsidRPr="004030B6">
        <w:t>жена на Государственного уполномоченного по правам человека в сотруднич</w:t>
      </w:r>
      <w:r w:rsidRPr="004030B6">
        <w:t>е</w:t>
      </w:r>
      <w:r w:rsidRPr="004030B6">
        <w:t>стве с Агентством по вопросам социальной интеграции.</w:t>
      </w:r>
    </w:p>
    <w:p w:rsidR="0086169A" w:rsidRPr="004030B6" w:rsidRDefault="0086169A" w:rsidP="0086169A">
      <w:pPr>
        <w:pStyle w:val="SingleTxtGR"/>
      </w:pPr>
      <w:r w:rsidRPr="004030B6">
        <w:t>28.</w:t>
      </w:r>
      <w:r w:rsidRPr="004030B6">
        <w:tab/>
        <w:t>Агентство по вопросам социальной интеграции</w:t>
      </w:r>
      <w:r w:rsidRPr="004030B6">
        <w:rPr>
          <w:vertAlign w:val="superscript"/>
        </w:rPr>
        <w:footnoteReference w:id="34"/>
      </w:r>
      <w:r w:rsidRPr="004030B6">
        <w:t xml:space="preserve"> сосредоточивает свои усилия на улучшении положения социально изолированных районов прожив</w:t>
      </w:r>
      <w:r w:rsidRPr="004030B6">
        <w:t>а</w:t>
      </w:r>
      <w:r w:rsidRPr="004030B6">
        <w:t>ния рома с привлечением к этой работе конкретных муниципалитетов и соо</w:t>
      </w:r>
      <w:r w:rsidRPr="004030B6">
        <w:t>т</w:t>
      </w:r>
      <w:r w:rsidRPr="004030B6">
        <w:t>ветствующих государственных учреждений; при участии партнеров на местах оно проводит ситуационный анализ положения в этих районах и на основе п</w:t>
      </w:r>
      <w:r w:rsidRPr="004030B6">
        <w:t>о</w:t>
      </w:r>
      <w:r w:rsidRPr="004030B6">
        <w:t>лученных результатов инициирует разработку местных стратегий социальной интеграции. В течение периода 2010-2012 годов Агентство осуществило инд</w:t>
      </w:r>
      <w:r w:rsidRPr="004030B6">
        <w:t>и</w:t>
      </w:r>
      <w:r w:rsidRPr="004030B6">
        <w:t xml:space="preserve">видуальный проект под названием </w:t>
      </w:r>
      <w:r w:rsidR="009C6F8B">
        <w:t>"</w:t>
      </w:r>
      <w:r w:rsidRPr="004030B6">
        <w:t>Поощрение социальной интеграции в о</w:t>
      </w:r>
      <w:r w:rsidRPr="004030B6">
        <w:t>т</w:t>
      </w:r>
      <w:r w:rsidRPr="004030B6">
        <w:t>дельных районах проживания рома через Агентство по вопросам социальной интеграции в местах проживания рома</w:t>
      </w:r>
      <w:r w:rsidR="009C6F8B">
        <w:t>"</w:t>
      </w:r>
      <w:r w:rsidRPr="004030B6">
        <w:t>. В основу реализации данного проекта легло сотрудничество с муниципалитетами в целях формирования на местах механизмов сотрудничества с участием руководителей муниципалит</w:t>
      </w:r>
      <w:r w:rsidRPr="004030B6">
        <w:t>е</w:t>
      </w:r>
      <w:r w:rsidRPr="004030B6">
        <w:t>тов/городов, представителей НПО, учреждений, школ, Полиции ЧР и других организаций. На протяжении трехлетнего цикла реализации проекта Агентство действовало в 33 районах, подготовило 20 новых меморандумов о сотруднич</w:t>
      </w:r>
      <w:r w:rsidRPr="004030B6">
        <w:t>е</w:t>
      </w:r>
      <w:r w:rsidRPr="004030B6">
        <w:t>стве, распорядилось провести 20 мероприятий по ситуационному анализу и подготовило 25 местных стратегий социальной интеграции. В качестве ко</w:t>
      </w:r>
      <w:r w:rsidRPr="004030B6">
        <w:t>н</w:t>
      </w:r>
      <w:r w:rsidRPr="004030B6">
        <w:t>сультативного органа Агентство участвовало в подготовке 260 проектных пл</w:t>
      </w:r>
      <w:r w:rsidRPr="004030B6">
        <w:t>а</w:t>
      </w:r>
      <w:r w:rsidRPr="004030B6">
        <w:t>нов. В 2012 году Агентство работало в 24 городах, муниципальных округах и микрорегионах. В июле 2012 года правительство приняло решение продлить срок деятельности Агентства до конца 2015 года. На 2013 год Агентство подг</w:t>
      </w:r>
      <w:r w:rsidRPr="004030B6">
        <w:t>о</w:t>
      </w:r>
      <w:r w:rsidRPr="004030B6">
        <w:t>товило индивидуальный национальный проект, который является продолжен</w:t>
      </w:r>
      <w:r w:rsidRPr="004030B6">
        <w:t>и</w:t>
      </w:r>
      <w:r w:rsidRPr="004030B6">
        <w:t>ем ранее осуществленного проекта. К сотрудничеству в деле реализации прое</w:t>
      </w:r>
      <w:r w:rsidRPr="004030B6">
        <w:t>к</w:t>
      </w:r>
      <w:r w:rsidRPr="004030B6">
        <w:t>та были приглашены и другие города и муниципалитеты</w:t>
      </w:r>
      <w:r w:rsidRPr="004030B6">
        <w:rPr>
          <w:vertAlign w:val="superscript"/>
        </w:rPr>
        <w:footnoteReference w:id="35"/>
      </w:r>
      <w:r w:rsidRPr="004030B6">
        <w:t>. Ежегодно Агентство публикует доклад о проделанной работе, в котором содержится краткая инфо</w:t>
      </w:r>
      <w:r w:rsidRPr="004030B6">
        <w:t>р</w:t>
      </w:r>
      <w:r w:rsidRPr="004030B6">
        <w:t>мация о его деятельности за соответствующий год. В дополнение к Стратегии борьбы против социальной изоляции Агентство подготовило краткие методол</w:t>
      </w:r>
      <w:r w:rsidRPr="004030B6">
        <w:t>о</w:t>
      </w:r>
      <w:r w:rsidRPr="004030B6">
        <w:t>гические инструкции и примеры эффективной практики, включив их в Руков</w:t>
      </w:r>
      <w:r w:rsidRPr="004030B6">
        <w:t>о</w:t>
      </w:r>
      <w:r w:rsidRPr="004030B6">
        <w:t>дство для муниципалитетов. Помимо текущей деятельности на локальном уровне, осуществляемой в сотрудничестве с местными партнерами, в 2012 году Агентство инициировало реализацию ряда научно-исследовательских проектов. Большая часть исследований касалась сферы обеспечения жильем. Агентство приняло участие в подготовке Национальной программы реформ, а также в ра</w:t>
      </w:r>
      <w:r w:rsidRPr="004030B6">
        <w:t>з</w:t>
      </w:r>
      <w:r w:rsidRPr="004030B6">
        <w:t>работке документации для европейских структурных и инвестиционных фондов на 2014-2020 годы.</w:t>
      </w:r>
    </w:p>
    <w:p w:rsidR="0086169A" w:rsidRPr="004030B6" w:rsidRDefault="0086169A" w:rsidP="0086169A">
      <w:pPr>
        <w:pStyle w:val="SingleTxtGR"/>
      </w:pPr>
      <w:r w:rsidRPr="004030B6">
        <w:t>29.</w:t>
      </w:r>
      <w:r w:rsidRPr="004030B6">
        <w:tab/>
        <w:t>Интеграция рома на региональном уровне обеспечивается при помощи региональных координаторов по делам рома</w:t>
      </w:r>
      <w:r w:rsidRPr="004030B6">
        <w:rPr>
          <w:vertAlign w:val="superscript"/>
        </w:rPr>
        <w:footnoteReference w:id="36"/>
      </w:r>
      <w:r w:rsidRPr="004030B6">
        <w:t>. Их деятельность дополняется консультантами по делам рома на уровне органов местного самоуправления муниципалитетов с расширенными полномочиями. В каждом регионе также действует среднесрочный план развития сферы социальных услуг, а в некот</w:t>
      </w:r>
      <w:r w:rsidRPr="004030B6">
        <w:t>о</w:t>
      </w:r>
      <w:r w:rsidRPr="004030B6">
        <w:t>рых регионах, помимо этого, имеются более широкомасштабные стратегии с</w:t>
      </w:r>
      <w:r w:rsidRPr="004030B6">
        <w:t>о</w:t>
      </w:r>
      <w:r w:rsidRPr="004030B6">
        <w:t>циальной интеграции изолированных групп рома, которые не ограничиваются социальными услугами и включают в себя меры в таких областях, как зан</w:t>
      </w:r>
      <w:r w:rsidRPr="004030B6">
        <w:t>я</w:t>
      </w:r>
      <w:r w:rsidRPr="004030B6">
        <w:t>тость, обеспечение жильем и образование. Некоторые муниципалитеты прим</w:t>
      </w:r>
      <w:r w:rsidRPr="004030B6">
        <w:t>е</w:t>
      </w:r>
      <w:r w:rsidRPr="004030B6">
        <w:t>няют инициативный подход к процессу планирования на уровне общин. Одним из примеров эффективных методов работы является создание мобильной гру</w:t>
      </w:r>
      <w:r w:rsidRPr="004030B6">
        <w:t>п</w:t>
      </w:r>
      <w:r w:rsidRPr="004030B6">
        <w:t>пы специалистов по работе на местах</w:t>
      </w:r>
      <w:r w:rsidRPr="004030B6">
        <w:rPr>
          <w:vertAlign w:val="superscript"/>
        </w:rPr>
        <w:footnoteReference w:id="37"/>
      </w:r>
      <w:r w:rsidRPr="004030B6">
        <w:t xml:space="preserve"> в районе Оломоуца, которой надлежит обеспечивать гибкое реагирование на миграционные тенденции в регионе и действовать во всех районах, где из-за своих перемещений семьи рома остаю</w:t>
      </w:r>
      <w:r w:rsidRPr="004030B6">
        <w:t>т</w:t>
      </w:r>
      <w:r w:rsidRPr="004030B6">
        <w:t>ся без необходимой им помощи. В рамках этой гибкой программы предлагается социальная помощь в тех районах, где в настоящее время наблюдается более активная миграция семей рома и где муниципалитеты не имеют достаточных возможностей и опыта для того, чтобы адекватно реагировать на трудные жи</w:t>
      </w:r>
      <w:r w:rsidRPr="004030B6">
        <w:t>з</w:t>
      </w:r>
      <w:r w:rsidRPr="004030B6">
        <w:t xml:space="preserve">ненные ситуации, в которых оказываются эти семьи. </w:t>
      </w:r>
    </w:p>
    <w:p w:rsidR="0086169A" w:rsidRPr="004030B6" w:rsidRDefault="0086169A" w:rsidP="0086169A">
      <w:pPr>
        <w:pStyle w:val="SingleTxtGR"/>
      </w:pPr>
      <w:r w:rsidRPr="004030B6">
        <w:t>30.</w:t>
      </w:r>
      <w:r w:rsidRPr="004030B6">
        <w:tab/>
        <w:t>В рамках своей деятельности по борьбе с дискриминацией Омбудсмен вынес ряд рекомендаций, касающихся социальной интеграции. В их число вх</w:t>
      </w:r>
      <w:r w:rsidRPr="004030B6">
        <w:t>о</w:t>
      </w:r>
      <w:r w:rsidRPr="004030B6">
        <w:t>дят: Рекомендация относительно осуществления права на равное обращение в вопросах доступа к муниципальному жилищному фонду (2010 год), Рекоменд</w:t>
      </w:r>
      <w:r w:rsidRPr="004030B6">
        <w:t>а</w:t>
      </w:r>
      <w:r w:rsidRPr="004030B6">
        <w:t>ции муниципалитетам относительно недопущения формирования и расшир</w:t>
      </w:r>
      <w:r w:rsidRPr="004030B6">
        <w:t>е</w:t>
      </w:r>
      <w:r w:rsidRPr="004030B6">
        <w:t>ния социально изолированных районов (2009 год), а также Рекомендация относ</w:t>
      </w:r>
      <w:r w:rsidRPr="004030B6">
        <w:t>и</w:t>
      </w:r>
      <w:r w:rsidRPr="004030B6">
        <w:t>тельно осуществления права иностранцев на равное обращение (2010 год). П</w:t>
      </w:r>
      <w:r w:rsidRPr="004030B6">
        <w:t>о</w:t>
      </w:r>
      <w:r w:rsidRPr="004030B6">
        <w:t>средством этих рекомендаций Омбудсмен привлекает внимание к эффекти</w:t>
      </w:r>
      <w:r w:rsidRPr="004030B6">
        <w:t>в</w:t>
      </w:r>
      <w:r w:rsidRPr="004030B6">
        <w:t>ным методам работы в области социальной интеграции, а также способствует ра</w:t>
      </w:r>
      <w:r w:rsidRPr="004030B6">
        <w:t>с</w:t>
      </w:r>
      <w:r w:rsidRPr="004030B6">
        <w:t>пространению этих методов. Так, например, в сотрудничестве с Министе</w:t>
      </w:r>
      <w:r w:rsidRPr="004030B6">
        <w:t>р</w:t>
      </w:r>
      <w:r w:rsidRPr="004030B6">
        <w:t>ством внутренних дел были изданы Рекомендации муниципалитетам относительно недопущения формирования и расширения социально изолированных районов, которые в настоящее время распространяются среди муниципалит</w:t>
      </w:r>
      <w:r w:rsidRPr="004030B6">
        <w:t>е</w:t>
      </w:r>
      <w:r w:rsidRPr="004030B6">
        <w:t>тов.</w:t>
      </w:r>
    </w:p>
    <w:p w:rsidR="0086169A" w:rsidRPr="004030B6" w:rsidRDefault="0086169A" w:rsidP="0086169A">
      <w:pPr>
        <w:pStyle w:val="SingleTxtGR"/>
      </w:pPr>
      <w:r w:rsidRPr="004030B6">
        <w:t>31.</w:t>
      </w:r>
      <w:r w:rsidRPr="004030B6">
        <w:tab/>
        <w:t>Важную роль в деле интеграции рома играет гражданская инициатива с</w:t>
      </w:r>
      <w:r w:rsidRPr="004030B6">
        <w:t>а</w:t>
      </w:r>
      <w:r w:rsidRPr="004030B6">
        <w:t>мих рома. С течением времени в ЧР сформировалась сеть гражданских объед</w:t>
      </w:r>
      <w:r w:rsidRPr="004030B6">
        <w:t>и</w:t>
      </w:r>
      <w:r w:rsidRPr="004030B6">
        <w:t>нений, которые занимаются оказанием социальных услуг, проводят образов</w:t>
      </w:r>
      <w:r w:rsidRPr="004030B6">
        <w:t>а</w:t>
      </w:r>
      <w:r w:rsidRPr="004030B6">
        <w:t>тельные и культурные мероприятия, способствуют популяризации культуры и языка рома, а также проявляют активность в СМИ или участвуют в политич</w:t>
      </w:r>
      <w:r w:rsidRPr="004030B6">
        <w:t>е</w:t>
      </w:r>
      <w:r w:rsidRPr="004030B6">
        <w:t>ской жизни. Кроме того, ведется разработка комплекса социальных программ, направленных на социальную интеграцию рома. В конкретных социально из</w:t>
      </w:r>
      <w:r w:rsidRPr="004030B6">
        <w:t>о</w:t>
      </w:r>
      <w:r w:rsidRPr="004030B6">
        <w:t>лированных районах на местном уровне НПО реализуют программы оказания помощи в трудоустройстве, в том числе программы создания стимулов, пер</w:t>
      </w:r>
      <w:r w:rsidRPr="004030B6">
        <w:t>е</w:t>
      </w:r>
      <w:r w:rsidRPr="004030B6">
        <w:t>подготовки и социального предпринимательства; кроме того, действуя в с</w:t>
      </w:r>
      <w:r w:rsidRPr="004030B6">
        <w:t>о</w:t>
      </w:r>
      <w:r w:rsidRPr="004030B6">
        <w:t xml:space="preserve">трудничестве с Агентством по вопросам социальной интеграции и местными органами власти, они реализуют программы так называемых </w:t>
      </w:r>
      <w:r w:rsidR="009C6F8B">
        <w:t>"</w:t>
      </w:r>
      <w:r w:rsidRPr="004030B6">
        <w:t>услуг на общес</w:t>
      </w:r>
      <w:r w:rsidRPr="004030B6">
        <w:t>т</w:t>
      </w:r>
      <w:r w:rsidRPr="004030B6">
        <w:t>венных началах</w:t>
      </w:r>
      <w:r w:rsidR="009C6F8B">
        <w:t>"</w:t>
      </w:r>
      <w:r w:rsidRPr="004030B6">
        <w:t>. Финансирование программ интеграции рома осуществляется из бюджетов соответствующих ведомств</w:t>
      </w:r>
      <w:r w:rsidRPr="004030B6">
        <w:rPr>
          <w:vertAlign w:val="superscript"/>
        </w:rPr>
        <w:footnoteReference w:id="38"/>
      </w:r>
      <w:r w:rsidRPr="004030B6">
        <w:t>, а также из европейских фондов.</w:t>
      </w:r>
    </w:p>
    <w:p w:rsidR="0086169A" w:rsidRPr="004030B6" w:rsidRDefault="0086169A" w:rsidP="00525E45">
      <w:pPr>
        <w:pStyle w:val="H1GR"/>
      </w:pPr>
      <w:r w:rsidRPr="004030B6">
        <w:tab/>
      </w:r>
      <w:r w:rsidR="00525E45">
        <w:tab/>
      </w:r>
      <w:r w:rsidR="001F6E56">
        <w:t>Статья 4</w:t>
      </w:r>
      <w:r w:rsidR="001F6E56">
        <w:br/>
      </w:r>
      <w:r w:rsidRPr="004030B6">
        <w:t>Законодательные, административные и иные меры по борьбе с поощрением расовой ненависти и насилия в отношении расовых и этнических групп</w:t>
      </w:r>
    </w:p>
    <w:p w:rsidR="0086169A" w:rsidRPr="004030B6" w:rsidRDefault="0086169A" w:rsidP="0086169A">
      <w:pPr>
        <w:pStyle w:val="SingleTxtGR"/>
      </w:pPr>
      <w:r w:rsidRPr="004030B6">
        <w:t>32.</w:t>
      </w:r>
      <w:r w:rsidRPr="004030B6">
        <w:tab/>
        <w:t>Чешское законодательство квалифицирует расистскую пропаганду и н</w:t>
      </w:r>
      <w:r w:rsidRPr="004030B6">
        <w:t>а</w:t>
      </w:r>
      <w:r w:rsidRPr="004030B6">
        <w:t>падения на расовой почве как преступления. Новый Уголовный кодекс 2009 г</w:t>
      </w:r>
      <w:r w:rsidRPr="004030B6">
        <w:t>о</w:t>
      </w:r>
      <w:r w:rsidRPr="004030B6">
        <w:t>да предусматривает наказание за такие преступления, как насилие против гру</w:t>
      </w:r>
      <w:r w:rsidRPr="004030B6">
        <w:t>п</w:t>
      </w:r>
      <w:r w:rsidRPr="004030B6">
        <w:t>пы лиц или отдельного лица</w:t>
      </w:r>
      <w:r w:rsidRPr="004030B6">
        <w:rPr>
          <w:vertAlign w:val="superscript"/>
        </w:rPr>
        <w:footnoteReference w:id="39"/>
      </w:r>
      <w:r w:rsidRPr="004030B6">
        <w:t>, опасные угрозы</w:t>
      </w:r>
      <w:r w:rsidRPr="004030B6">
        <w:rPr>
          <w:vertAlign w:val="superscript"/>
        </w:rPr>
        <w:footnoteReference w:id="40"/>
      </w:r>
      <w:r w:rsidRPr="004030B6">
        <w:t>, преследование</w:t>
      </w:r>
      <w:r w:rsidRPr="004030B6">
        <w:rPr>
          <w:vertAlign w:val="superscript"/>
        </w:rPr>
        <w:footnoteReference w:id="41"/>
      </w:r>
      <w:r w:rsidRPr="004030B6">
        <w:t>, дифф</w:t>
      </w:r>
      <w:r w:rsidRPr="004030B6">
        <w:t>а</w:t>
      </w:r>
      <w:r w:rsidRPr="004030B6">
        <w:t>мация нации, расы, этнической или иной группы людей</w:t>
      </w:r>
      <w:r w:rsidRPr="004030B6">
        <w:rPr>
          <w:vertAlign w:val="superscript"/>
        </w:rPr>
        <w:footnoteReference w:id="42"/>
      </w:r>
      <w:r w:rsidRPr="004030B6">
        <w:t>, разжигание ненависти пр</w:t>
      </w:r>
      <w:r w:rsidRPr="004030B6">
        <w:t>о</w:t>
      </w:r>
      <w:r w:rsidRPr="004030B6">
        <w:t>тив группы людей или ограничение их прав и свобод</w:t>
      </w:r>
      <w:r w:rsidRPr="004030B6">
        <w:rPr>
          <w:vertAlign w:val="superscript"/>
        </w:rPr>
        <w:footnoteReference w:id="43"/>
      </w:r>
      <w:r w:rsidRPr="004030B6">
        <w:t>. Наиболее серье</w:t>
      </w:r>
      <w:r w:rsidRPr="004030B6">
        <w:t>з</w:t>
      </w:r>
      <w:r w:rsidRPr="004030B6">
        <w:t>ные преступления против национальных, этнических, религиозных или иных групп людей подлежат наказанию как преступления против человечества, в том числе: геноцид</w:t>
      </w:r>
      <w:r w:rsidRPr="004030B6">
        <w:rPr>
          <w:vertAlign w:val="superscript"/>
        </w:rPr>
        <w:footnoteReference w:id="44"/>
      </w:r>
      <w:r w:rsidRPr="004030B6">
        <w:t>, массовое насилие</w:t>
      </w:r>
      <w:r w:rsidRPr="004030B6">
        <w:rPr>
          <w:vertAlign w:val="superscript"/>
        </w:rPr>
        <w:footnoteReference w:id="45"/>
      </w:r>
      <w:r w:rsidRPr="004030B6">
        <w:t>, апартеид и дискриминация групп людей</w:t>
      </w:r>
      <w:r w:rsidRPr="004030B6">
        <w:rPr>
          <w:vertAlign w:val="superscript"/>
        </w:rPr>
        <w:footnoteReference w:id="46"/>
      </w:r>
      <w:r w:rsidRPr="004030B6">
        <w:t>, пр</w:t>
      </w:r>
      <w:r w:rsidRPr="004030B6">
        <w:t>е</w:t>
      </w:r>
      <w:r w:rsidRPr="004030B6">
        <w:t>следования в отношении граждан</w:t>
      </w:r>
      <w:r w:rsidRPr="004030B6">
        <w:rPr>
          <w:vertAlign w:val="superscript"/>
        </w:rPr>
        <w:footnoteReference w:id="47"/>
      </w:r>
      <w:r w:rsidRPr="004030B6">
        <w:t>, создание, поддержка и поощрение движ</w:t>
      </w:r>
      <w:r w:rsidRPr="004030B6">
        <w:t>е</w:t>
      </w:r>
      <w:r w:rsidRPr="004030B6">
        <w:t>ний, направленных на подавление прав и свобод человека</w:t>
      </w:r>
      <w:r w:rsidRPr="004030B6">
        <w:rPr>
          <w:vertAlign w:val="superscript"/>
        </w:rPr>
        <w:footnoteReference w:id="48"/>
      </w:r>
      <w:r w:rsidRPr="004030B6">
        <w:t>, а также выраж</w:t>
      </w:r>
      <w:r w:rsidRPr="004030B6">
        <w:t>е</w:t>
      </w:r>
      <w:r w:rsidRPr="004030B6">
        <w:t>ние сочувствия движениям, имеющим своей целью подавление прав и свобод чел</w:t>
      </w:r>
      <w:r w:rsidRPr="004030B6">
        <w:t>о</w:t>
      </w:r>
      <w:r w:rsidRPr="004030B6">
        <w:t>века</w:t>
      </w:r>
      <w:r w:rsidRPr="004030B6">
        <w:rPr>
          <w:vertAlign w:val="superscript"/>
        </w:rPr>
        <w:footnoteReference w:id="49"/>
      </w:r>
      <w:r w:rsidRPr="004030B6">
        <w:t>. Кроме того, расовая мотивация непосредственно упоминается в З</w:t>
      </w:r>
      <w:r w:rsidRPr="004030B6">
        <w:t>а</w:t>
      </w:r>
      <w:r w:rsidRPr="004030B6">
        <w:t>коне в качестве отягчающего обстоятельства, ужесточающего наказание за мн</w:t>
      </w:r>
      <w:r w:rsidRPr="004030B6">
        <w:t>о</w:t>
      </w:r>
      <w:r w:rsidRPr="004030B6">
        <w:t>гие преступления. В число этих преступлений входят: убийство</w:t>
      </w:r>
      <w:r w:rsidRPr="004030B6">
        <w:rPr>
          <w:vertAlign w:val="superscript"/>
        </w:rPr>
        <w:footnoteReference w:id="50"/>
      </w:r>
      <w:r w:rsidRPr="004030B6">
        <w:t>, нанесение тя</w:t>
      </w:r>
      <w:r w:rsidRPr="004030B6">
        <w:t>ж</w:t>
      </w:r>
      <w:r w:rsidRPr="004030B6">
        <w:t>ких телесных повреждений</w:t>
      </w:r>
      <w:r w:rsidRPr="004030B6">
        <w:rPr>
          <w:vertAlign w:val="superscript"/>
        </w:rPr>
        <w:footnoteReference w:id="51"/>
      </w:r>
      <w:r w:rsidRPr="004030B6">
        <w:t>, пытки и другие виды бесчеловечного и жест</w:t>
      </w:r>
      <w:r w:rsidRPr="004030B6">
        <w:t>о</w:t>
      </w:r>
      <w:r w:rsidRPr="004030B6">
        <w:t>кого обращения</w:t>
      </w:r>
      <w:r w:rsidRPr="004030B6">
        <w:rPr>
          <w:vertAlign w:val="superscript"/>
        </w:rPr>
        <w:footnoteReference w:id="52"/>
      </w:r>
      <w:r w:rsidRPr="004030B6">
        <w:t>, лишение или ограничение личной свободы</w:t>
      </w:r>
      <w:r w:rsidRPr="004030B6">
        <w:rPr>
          <w:vertAlign w:val="superscript"/>
        </w:rPr>
        <w:footnoteReference w:id="53"/>
      </w:r>
      <w:r w:rsidRPr="004030B6">
        <w:t>, похищение л</w:t>
      </w:r>
      <w:r w:rsidRPr="004030B6">
        <w:t>ю</w:t>
      </w:r>
      <w:r w:rsidRPr="004030B6">
        <w:t>дей</w:t>
      </w:r>
      <w:r w:rsidRPr="004030B6">
        <w:rPr>
          <w:vertAlign w:val="superscript"/>
        </w:rPr>
        <w:footnoteReference w:id="54"/>
      </w:r>
      <w:r w:rsidRPr="004030B6">
        <w:t>, вымогательство</w:t>
      </w:r>
      <w:r w:rsidRPr="004030B6">
        <w:rPr>
          <w:vertAlign w:val="superscript"/>
        </w:rPr>
        <w:footnoteReference w:id="55"/>
      </w:r>
      <w:r w:rsidRPr="004030B6">
        <w:t>, нанесение ущерба имуществу</w:t>
      </w:r>
      <w:r w:rsidRPr="004030B6">
        <w:rPr>
          <w:vertAlign w:val="superscript"/>
        </w:rPr>
        <w:footnoteReference w:id="56"/>
      </w:r>
      <w:r w:rsidRPr="004030B6">
        <w:t xml:space="preserve"> и злоупотребление должн</w:t>
      </w:r>
      <w:r w:rsidRPr="004030B6">
        <w:t>о</w:t>
      </w:r>
      <w:r w:rsidRPr="004030B6">
        <w:t>стным лицом своими служебными полномочиями</w:t>
      </w:r>
      <w:r w:rsidRPr="004030B6">
        <w:rPr>
          <w:vertAlign w:val="superscript"/>
        </w:rPr>
        <w:footnoteReference w:id="57"/>
      </w:r>
      <w:r w:rsidRPr="004030B6">
        <w:t>. В дополнение к тому, что расистская мотивация является отягчающим обстоятельством при совершении вышеперечисленных преступлений (непосредственной целью этого является наказание тех, кто совершает нападения на почве расизма), она также рассма</w:t>
      </w:r>
      <w:r w:rsidRPr="004030B6">
        <w:t>т</w:t>
      </w:r>
      <w:r w:rsidRPr="004030B6">
        <w:t>ривается в качестве таковой и при совершении любых других преступлений, с тем чтобы обеспечить вынесение их виновникам более суровых приговоров</w:t>
      </w:r>
      <w:r w:rsidRPr="004030B6">
        <w:rPr>
          <w:vertAlign w:val="superscript"/>
        </w:rPr>
        <w:footnoteReference w:id="58"/>
      </w:r>
      <w:r w:rsidRPr="004030B6">
        <w:t xml:space="preserve">. Это означает, что любое преступление, совершенное на почве расизма или по каким-либо иным подобным мотивам, будет наказываться судами более жестко, с тем чтобы подчеркнуть его крайнюю гнусность. </w:t>
      </w:r>
    </w:p>
    <w:p w:rsidR="0086169A" w:rsidRPr="004030B6" w:rsidRDefault="0086169A" w:rsidP="0086169A">
      <w:pPr>
        <w:pStyle w:val="SingleTxtGR"/>
      </w:pPr>
      <w:r w:rsidRPr="004030B6">
        <w:t>33.</w:t>
      </w:r>
      <w:r w:rsidRPr="004030B6">
        <w:tab/>
        <w:t>Уголовный кодекс предусматривает жесткое и эффективное наказание лиц, виновных в совершении преступлений на расовой почве против предст</w:t>
      </w:r>
      <w:r w:rsidRPr="004030B6">
        <w:t>а</w:t>
      </w:r>
      <w:r w:rsidRPr="004030B6">
        <w:t>вителей национальных и этнических меньшинств. При этом жертва преступл</w:t>
      </w:r>
      <w:r w:rsidRPr="004030B6">
        <w:t>е</w:t>
      </w:r>
      <w:r w:rsidRPr="004030B6">
        <w:t>ния не обязательно должна фактически принадлежать к какой-либо ко</w:t>
      </w:r>
      <w:r w:rsidRPr="004030B6">
        <w:t>н</w:t>
      </w:r>
      <w:r w:rsidRPr="004030B6">
        <w:t>кретной этнической или иной группе; достаточно того, что преступник считает жертву принадлежащей к такой группе, и это побуждает его к совершению уг</w:t>
      </w:r>
      <w:r w:rsidRPr="004030B6">
        <w:t>о</w:t>
      </w:r>
      <w:r w:rsidRPr="004030B6">
        <w:t>ловного преступления. На практике довольно часто имеют место случаи нападений на почве предполагаемой принадлежности жертвы к той или иной расовой, этн</w:t>
      </w:r>
      <w:r w:rsidRPr="004030B6">
        <w:t>и</w:t>
      </w:r>
      <w:r w:rsidRPr="004030B6">
        <w:t>ческой, национальной или иной аналогичной группе людей; при этом престу</w:t>
      </w:r>
      <w:r w:rsidRPr="004030B6">
        <w:t>п</w:t>
      </w:r>
      <w:r w:rsidRPr="004030B6">
        <w:t>ники не имеют никакой информации о реальной расовой, этнической, наци</w:t>
      </w:r>
      <w:r w:rsidRPr="004030B6">
        <w:t>о</w:t>
      </w:r>
      <w:r w:rsidRPr="004030B6">
        <w:t>нальной или иной принадлежности жертв, а делают вывод о такой принадле</w:t>
      </w:r>
      <w:r w:rsidRPr="004030B6">
        <w:t>ж</w:t>
      </w:r>
      <w:r w:rsidRPr="004030B6">
        <w:t>ности на основании цвета кожи или иных внешних признаков жертвы. Таким образом, важно также обеспечить наказание за нападения, совершаемые на о</w:t>
      </w:r>
      <w:r w:rsidRPr="004030B6">
        <w:t>с</w:t>
      </w:r>
      <w:r w:rsidRPr="004030B6">
        <w:t xml:space="preserve">новании субъективных предположений преступника. </w:t>
      </w:r>
    </w:p>
    <w:p w:rsidR="0086169A" w:rsidRPr="004030B6" w:rsidRDefault="0086169A" w:rsidP="0086169A">
      <w:pPr>
        <w:pStyle w:val="SingleTxtGR"/>
      </w:pPr>
      <w:r w:rsidRPr="004030B6">
        <w:t>34.</w:t>
      </w:r>
      <w:r w:rsidRPr="004030B6">
        <w:tab/>
        <w:t>Расследованию преступлений на почве расизма на практике часто мешает то, что бывает сложно доказать расистскую мотивацию преступника. Те мот</w:t>
      </w:r>
      <w:r w:rsidRPr="004030B6">
        <w:t>и</w:t>
      </w:r>
      <w:r w:rsidRPr="004030B6">
        <w:t>вы, которыми руководствуется преступник, относятся прежде всего к его вну</w:t>
      </w:r>
      <w:r w:rsidRPr="004030B6">
        <w:t>т</w:t>
      </w:r>
      <w:r w:rsidRPr="004030B6">
        <w:t>реннему состоянию, внешним проявлением которого становятся его действия, но для того, чтобы добиться вынесения приговора за расово мотивированное преступление, необходимо доказать наличие подобных внутренних мотивов. Вместе с тем в большинстве случаев преступник не признает их наличия. Т</w:t>
      </w:r>
      <w:r w:rsidRPr="004030B6">
        <w:t>а</w:t>
      </w:r>
      <w:r w:rsidRPr="004030B6">
        <w:t>ким образом, мотивы приходится доказывать при помощи косвенных улик при том, что их качество и количество в некоторых случаях оказываются недост</w:t>
      </w:r>
      <w:r w:rsidRPr="004030B6">
        <w:t>а</w:t>
      </w:r>
      <w:r w:rsidRPr="004030B6">
        <w:t>точными для того, чтобы вынести обвинительный приговор. Даже в случаях с</w:t>
      </w:r>
      <w:r w:rsidRPr="004030B6">
        <w:t>о</w:t>
      </w:r>
      <w:r w:rsidRPr="004030B6">
        <w:t>вершения преступлений на почве расизма – вне зависимости о того, насколько отвратительными они могут являться, - необходимо обеспечивать соблюдение права на справедливое судебное разбирательство</w:t>
      </w:r>
      <w:r w:rsidRPr="004030B6">
        <w:rPr>
          <w:vertAlign w:val="superscript"/>
        </w:rPr>
        <w:footnoteReference w:id="59"/>
      </w:r>
      <w:r w:rsidRPr="004030B6">
        <w:t>, презумпции невиновн</w:t>
      </w:r>
      <w:r w:rsidRPr="004030B6">
        <w:t>о</w:t>
      </w:r>
      <w:r w:rsidRPr="004030B6">
        <w:t>сти</w:t>
      </w:r>
      <w:r w:rsidRPr="004030B6">
        <w:rPr>
          <w:vertAlign w:val="superscript"/>
        </w:rPr>
        <w:footnoteReference w:id="60"/>
      </w:r>
      <w:r w:rsidRPr="004030B6">
        <w:t xml:space="preserve">, а также принципа </w:t>
      </w:r>
      <w:r w:rsidRPr="004030B6">
        <w:rPr>
          <w:i/>
          <w:lang w:val="en-US"/>
        </w:rPr>
        <w:t>in</w:t>
      </w:r>
      <w:r w:rsidRPr="004030B6">
        <w:rPr>
          <w:i/>
        </w:rPr>
        <w:t xml:space="preserve"> </w:t>
      </w:r>
      <w:r w:rsidRPr="004030B6">
        <w:rPr>
          <w:i/>
          <w:lang w:val="en-US"/>
        </w:rPr>
        <w:t>dubio</w:t>
      </w:r>
      <w:r w:rsidRPr="004030B6">
        <w:rPr>
          <w:i/>
        </w:rPr>
        <w:t xml:space="preserve"> </w:t>
      </w:r>
      <w:r w:rsidRPr="004030B6">
        <w:rPr>
          <w:i/>
          <w:lang w:val="en-US"/>
        </w:rPr>
        <w:t>pro</w:t>
      </w:r>
      <w:r w:rsidRPr="004030B6">
        <w:rPr>
          <w:i/>
        </w:rPr>
        <w:t xml:space="preserve"> </w:t>
      </w:r>
      <w:r w:rsidRPr="004030B6">
        <w:rPr>
          <w:i/>
          <w:lang w:val="en-US"/>
        </w:rPr>
        <w:t>reo</w:t>
      </w:r>
      <w:r w:rsidRPr="004030B6">
        <w:rPr>
          <w:i/>
        </w:rPr>
        <w:t xml:space="preserve"> </w:t>
      </w:r>
      <w:r w:rsidRPr="004030B6">
        <w:t>(сомнения трактуются в пользу обвиняем</w:t>
      </w:r>
      <w:r w:rsidRPr="004030B6">
        <w:t>о</w:t>
      </w:r>
      <w:r w:rsidRPr="004030B6">
        <w:t>го)</w:t>
      </w:r>
      <w:r w:rsidRPr="004030B6">
        <w:rPr>
          <w:vertAlign w:val="superscript"/>
        </w:rPr>
        <w:footnoteReference w:id="61"/>
      </w:r>
      <w:r w:rsidRPr="004030B6">
        <w:t>. При осуществлении надзора за делами, которые связаны с преступлени</w:t>
      </w:r>
      <w:r w:rsidRPr="004030B6">
        <w:t>я</w:t>
      </w:r>
      <w:r w:rsidRPr="004030B6">
        <w:t>ми, совершенными на почве расовой, этнической, религиозной или иной нен</w:t>
      </w:r>
      <w:r w:rsidRPr="004030B6">
        <w:t>а</w:t>
      </w:r>
      <w:r w:rsidRPr="004030B6">
        <w:t>висти, прокуроры должны уделять повышенное внимание обеспечению доск</w:t>
      </w:r>
      <w:r w:rsidRPr="004030B6">
        <w:t>о</w:t>
      </w:r>
      <w:r w:rsidRPr="004030B6">
        <w:t>нального осуществления всех действий, необходимых для того, чтобы устан</w:t>
      </w:r>
      <w:r w:rsidRPr="004030B6">
        <w:t>о</w:t>
      </w:r>
      <w:r w:rsidRPr="004030B6">
        <w:t>вить мотивы обвиняемого, даже если эти мотивы не являются элементом юр</w:t>
      </w:r>
      <w:r w:rsidRPr="004030B6">
        <w:t>и</w:t>
      </w:r>
      <w:r w:rsidRPr="004030B6">
        <w:t>дической основы квалификации того или иного преступления</w:t>
      </w:r>
      <w:r w:rsidRPr="004030B6">
        <w:rPr>
          <w:vertAlign w:val="superscript"/>
        </w:rPr>
        <w:footnoteReference w:id="62"/>
      </w:r>
      <w:r w:rsidRPr="004030B6">
        <w:t>. В октябре 2009 года Генеральная прокуратура подготовила Методологическое руководство по вопросу о преступлениях, связанных с экстремизмом, которое было разослано всем органам прокуратуры и стало одним из компонентов программы профе</w:t>
      </w:r>
      <w:r w:rsidRPr="004030B6">
        <w:t>с</w:t>
      </w:r>
      <w:r w:rsidRPr="004030B6">
        <w:t>сиональной подготовки прокурорских работников.</w:t>
      </w:r>
    </w:p>
    <w:p w:rsidR="0086169A" w:rsidRPr="004030B6" w:rsidRDefault="0086169A" w:rsidP="0086169A">
      <w:pPr>
        <w:pStyle w:val="SingleTxtGR"/>
      </w:pPr>
      <w:r w:rsidRPr="004030B6">
        <w:t>35.</w:t>
      </w:r>
      <w:r w:rsidRPr="004030B6">
        <w:tab/>
        <w:t>В дополнение к уголовному преследованию лиц, совершивших конкре</w:t>
      </w:r>
      <w:r w:rsidRPr="004030B6">
        <w:t>т</w:t>
      </w:r>
      <w:r w:rsidRPr="004030B6">
        <w:t>ные преступления, правительство каждый год разрабатывает Стратегию по борьбе с экстремизмом и представляет Парламенту ежегодный доклад об ос</w:t>
      </w:r>
      <w:r w:rsidRPr="004030B6">
        <w:t>у</w:t>
      </w:r>
      <w:r w:rsidRPr="004030B6">
        <w:t>ществлении этой Стратегии. В таких докладах содержатся сведения о соб</w:t>
      </w:r>
      <w:r w:rsidRPr="004030B6">
        <w:t>ы</w:t>
      </w:r>
      <w:r w:rsidRPr="004030B6">
        <w:t>тиях, связанных с деятельностью экстремистских движений, за соответству</w:t>
      </w:r>
      <w:r w:rsidRPr="004030B6">
        <w:t>ю</w:t>
      </w:r>
      <w:r w:rsidRPr="004030B6">
        <w:t>щий год, а в Стратегию включаются мероприятия, которые планируется провести в сл</w:t>
      </w:r>
      <w:r w:rsidRPr="004030B6">
        <w:t>е</w:t>
      </w:r>
      <w:r w:rsidRPr="004030B6">
        <w:t>дующем году. Стратегия предусматривает не только меры репрессивного хара</w:t>
      </w:r>
      <w:r w:rsidRPr="004030B6">
        <w:t>к</w:t>
      </w:r>
      <w:r w:rsidRPr="004030B6">
        <w:t>тера, но и, в частности, профилактические меры, направленные на то, чтобы не допустить возникновения и распространения проявлений экстремизма, в том числе ориентированные на детей и молодежь. Так, например, в контексте ре</w:t>
      </w:r>
      <w:r w:rsidRPr="004030B6">
        <w:t>а</w:t>
      </w:r>
      <w:r w:rsidRPr="004030B6">
        <w:t>лизации Стратегии удалось предотвратить проникновение экстрем</w:t>
      </w:r>
      <w:r w:rsidRPr="004030B6">
        <w:t>и</w:t>
      </w:r>
      <w:r w:rsidRPr="004030B6">
        <w:t>стов в ряды сил безопасности, а также существенно уменьшить число концертов и демонс</w:t>
      </w:r>
      <w:r w:rsidRPr="004030B6">
        <w:t>т</w:t>
      </w:r>
      <w:r w:rsidRPr="004030B6">
        <w:t>раций экстремистского характера в последние годы. Стратегия по предотвр</w:t>
      </w:r>
      <w:r w:rsidRPr="004030B6">
        <w:t>а</w:t>
      </w:r>
      <w:r w:rsidRPr="004030B6">
        <w:t>щению преступности на 2012-2015 годы также направлена на искоренение пр</w:t>
      </w:r>
      <w:r w:rsidRPr="004030B6">
        <w:t>е</w:t>
      </w:r>
      <w:r w:rsidRPr="004030B6">
        <w:t>ступлений, совершаемых на расовой, национальной или религиозной почве. Помимо предотвращения расизма и ксенофобии, целью данной Стратегии явл</w:t>
      </w:r>
      <w:r w:rsidRPr="004030B6">
        <w:t>я</w:t>
      </w:r>
      <w:r w:rsidRPr="004030B6">
        <w:t>ется поощрение сосуществования основной части общества с предст</w:t>
      </w:r>
      <w:r w:rsidRPr="004030B6">
        <w:t>а</w:t>
      </w:r>
      <w:r w:rsidRPr="004030B6">
        <w:t>вителями этнических меньшинств, а также устранение альтернативных мот</w:t>
      </w:r>
      <w:r w:rsidRPr="004030B6">
        <w:t>и</w:t>
      </w:r>
      <w:r w:rsidRPr="004030B6">
        <w:t xml:space="preserve">вов, которые могут лечь в основу экстремистских подходов и проявлений. Так, например, проект </w:t>
      </w:r>
      <w:r w:rsidR="009C6F8B">
        <w:t>"</w:t>
      </w:r>
      <w:r w:rsidRPr="004030B6">
        <w:t>Рассвет</w:t>
      </w:r>
      <w:r w:rsidR="009C6F8B">
        <w:t>"</w:t>
      </w:r>
      <w:r w:rsidRPr="004030B6">
        <w:t xml:space="preserve">, о котором говорится ниже, также является частью Стратегии. Первого августа 2012 года Полиция ЧР запустила </w:t>
      </w:r>
      <w:r w:rsidR="009C6F8B">
        <w:t>"</w:t>
      </w:r>
      <w:r w:rsidRPr="004030B6">
        <w:t>горячую линию</w:t>
      </w:r>
      <w:r w:rsidR="009C6F8B">
        <w:t>"</w:t>
      </w:r>
      <w:r w:rsidRPr="004030B6">
        <w:t>. Она пре</w:t>
      </w:r>
      <w:r w:rsidRPr="004030B6">
        <w:t>д</w:t>
      </w:r>
      <w:r w:rsidRPr="004030B6">
        <w:t xml:space="preserve">ставляет собой онлайновую форму под названием </w:t>
      </w:r>
      <w:r w:rsidR="009C6F8B">
        <w:t>"</w:t>
      </w:r>
      <w:r w:rsidRPr="004030B6">
        <w:t>Сообщить о киберпресту</w:t>
      </w:r>
      <w:r w:rsidRPr="004030B6">
        <w:t>п</w:t>
      </w:r>
      <w:r w:rsidRPr="004030B6">
        <w:t>лении</w:t>
      </w:r>
      <w:r w:rsidR="009C6F8B">
        <w:t>"</w:t>
      </w:r>
      <w:r w:rsidRPr="004030B6">
        <w:t xml:space="preserve">, которая доступна пользователям на </w:t>
      </w:r>
      <w:r w:rsidR="009C6F8B">
        <w:t>веб-сайте</w:t>
      </w:r>
      <w:r w:rsidRPr="004030B6">
        <w:t xml:space="preserve"> </w:t>
      </w:r>
      <w:r w:rsidRPr="004030B6">
        <w:rPr>
          <w:lang w:val="en-US"/>
        </w:rPr>
        <w:t>www</w:t>
      </w:r>
      <w:r w:rsidRPr="004030B6">
        <w:t>.</w:t>
      </w:r>
      <w:r w:rsidRPr="004030B6">
        <w:rPr>
          <w:lang w:val="en-US"/>
        </w:rPr>
        <w:t>policije</w:t>
      </w:r>
      <w:r w:rsidRPr="004030B6">
        <w:t>.</w:t>
      </w:r>
      <w:r w:rsidRPr="004030B6">
        <w:rPr>
          <w:lang w:val="en-US"/>
        </w:rPr>
        <w:t>cz</w:t>
      </w:r>
      <w:r w:rsidRPr="004030B6">
        <w:t>. При п</w:t>
      </w:r>
      <w:r w:rsidRPr="004030B6">
        <w:t>о</w:t>
      </w:r>
      <w:r w:rsidRPr="004030B6">
        <w:t>мощи этой формы любой пользователь может сообщить о нежелательном ко</w:t>
      </w:r>
      <w:r w:rsidRPr="004030B6">
        <w:t>н</w:t>
      </w:r>
      <w:r w:rsidRPr="004030B6">
        <w:t>тенте или нежелательной активности в Интернете, включая информацию о во</w:t>
      </w:r>
      <w:r w:rsidRPr="004030B6">
        <w:t>з</w:t>
      </w:r>
      <w:r w:rsidRPr="004030B6">
        <w:t>можных расистских преступлениях или пропаган</w:t>
      </w:r>
      <w:r w:rsidR="00125951">
        <w:t>де</w:t>
      </w:r>
      <w:r w:rsidRPr="004030B6">
        <w:t xml:space="preserve"> расизма. За период с 1 а</w:t>
      </w:r>
      <w:r w:rsidRPr="004030B6">
        <w:t>в</w:t>
      </w:r>
      <w:r w:rsidRPr="004030B6">
        <w:t>густа 2012 года по 31 декабря 2012 года было зарегистрировано 1609 жалоб, 242 из которых позволили выявить состав преступления. В 39 случаях речь шла о действиях, имевших экстремистскую подоплеку; в 27 случаях возникли п</w:t>
      </w:r>
      <w:r w:rsidRPr="004030B6">
        <w:t>о</w:t>
      </w:r>
      <w:r w:rsidRPr="004030B6">
        <w:t>дозрения в совершении преступлений, связанных с разжиганием ненависти против группы лиц или попытками ограничить их права и свободы. Расслед</w:t>
      </w:r>
      <w:r w:rsidRPr="004030B6">
        <w:t>о</w:t>
      </w:r>
      <w:r w:rsidRPr="004030B6">
        <w:t>вание по всем этим эпизодам все еще продолжается.</w:t>
      </w:r>
    </w:p>
    <w:p w:rsidR="0086169A" w:rsidRPr="004030B6" w:rsidRDefault="0086169A" w:rsidP="0086169A">
      <w:pPr>
        <w:pStyle w:val="SingleTxtGR"/>
      </w:pPr>
      <w:r w:rsidRPr="004030B6">
        <w:t>36.</w:t>
      </w:r>
      <w:r w:rsidRPr="004030B6">
        <w:tab/>
        <w:t>Соответствующие организационные меры были также приняты в рамках деятельности Полиции ЧР, которая объявила о реализации специальной пр</w:t>
      </w:r>
      <w:r w:rsidRPr="004030B6">
        <w:t>о</w:t>
      </w:r>
      <w:r w:rsidRPr="004030B6">
        <w:t xml:space="preserve">граммы начальника Полиции под названием </w:t>
      </w:r>
      <w:r w:rsidR="009C6F8B">
        <w:t>"</w:t>
      </w:r>
      <w:r w:rsidRPr="004030B6">
        <w:t>ЭКСТРЕМИЗМ-2012</w:t>
      </w:r>
      <w:r w:rsidR="009C6F8B">
        <w:t>"</w:t>
      </w:r>
      <w:r w:rsidRPr="004030B6">
        <w:t>. Методол</w:t>
      </w:r>
      <w:r w:rsidRPr="004030B6">
        <w:t>о</w:t>
      </w:r>
      <w:r w:rsidRPr="004030B6">
        <w:t>гическая работа проводилась также силами Отдела по вопросам экстремизма, сект и насилия на спортивно-зрелищных мероприятиях. Для рабочих групп п</w:t>
      </w:r>
      <w:r w:rsidRPr="004030B6">
        <w:t>о</w:t>
      </w:r>
      <w:r w:rsidRPr="004030B6">
        <w:t>лиции был обеспечен сбор информации, касающейся мнений экспертов, пр</w:t>
      </w:r>
      <w:r w:rsidRPr="004030B6">
        <w:t>о</w:t>
      </w:r>
      <w:r w:rsidRPr="004030B6">
        <w:t>фессиональных комментариев, постановлений и решений, касающихся экстр</w:t>
      </w:r>
      <w:r w:rsidRPr="004030B6">
        <w:t>е</w:t>
      </w:r>
      <w:r w:rsidRPr="004030B6">
        <w:t>мизма. Для того, чтобы не допустить проникновения экстремистов в р</w:t>
      </w:r>
      <w:r w:rsidRPr="004030B6">
        <w:t>я</w:t>
      </w:r>
      <w:r w:rsidRPr="004030B6">
        <w:t>ды служб безопасности, региональные управления Полиции ЧР проводят пр</w:t>
      </w:r>
      <w:r w:rsidRPr="004030B6">
        <w:t>о</w:t>
      </w:r>
      <w:r w:rsidRPr="004030B6">
        <w:t>верки лиц, желающих поступить на работу в Службу пожарной охраны, Воор</w:t>
      </w:r>
      <w:r w:rsidRPr="004030B6">
        <w:t>у</w:t>
      </w:r>
      <w:r w:rsidRPr="004030B6">
        <w:t>женные силы и Полицию ЧР. Служба исполнения наказаний и Таможенное управление принимают собственные меры с целью не допустить появления эк</w:t>
      </w:r>
      <w:r w:rsidRPr="004030B6">
        <w:t>с</w:t>
      </w:r>
      <w:r w:rsidRPr="004030B6">
        <w:t>тремистов в своих рядах.</w:t>
      </w:r>
    </w:p>
    <w:p w:rsidR="0086169A" w:rsidRPr="004030B6" w:rsidRDefault="0086169A" w:rsidP="0086169A">
      <w:pPr>
        <w:pStyle w:val="SingleTxtGR"/>
      </w:pPr>
      <w:r w:rsidRPr="004030B6">
        <w:t>37.</w:t>
      </w:r>
      <w:r w:rsidRPr="004030B6">
        <w:tab/>
        <w:t>Министерство внутренних дел подготовило два документа, касающихся лиц, ответственных за совершение актов экстремизма. Первый из них был оз</w:t>
      </w:r>
      <w:r w:rsidRPr="004030B6">
        <w:t>а</w:t>
      </w:r>
      <w:r w:rsidRPr="004030B6">
        <w:t xml:space="preserve">главлен </w:t>
      </w:r>
      <w:r w:rsidR="009C6F8B">
        <w:t>"</w:t>
      </w:r>
      <w:r w:rsidRPr="004030B6">
        <w:t>Анализ имеющихся судебных решений относительно насил</w:t>
      </w:r>
      <w:r w:rsidRPr="004030B6">
        <w:t>ь</w:t>
      </w:r>
      <w:r w:rsidRPr="004030B6">
        <w:t>ственных преступлений, совершенных на почве экстремизма, расизма и ксен</w:t>
      </w:r>
      <w:r w:rsidRPr="004030B6">
        <w:t>о</w:t>
      </w:r>
      <w:r w:rsidRPr="004030B6">
        <w:t>фобии</w:t>
      </w:r>
      <w:r w:rsidR="009C6F8B">
        <w:t>"</w:t>
      </w:r>
      <w:r w:rsidRPr="004030B6">
        <w:t xml:space="preserve">. За ним последовал анализ, озаглавленный </w:t>
      </w:r>
      <w:r w:rsidR="009C6F8B">
        <w:t>"</w:t>
      </w:r>
      <w:r w:rsidRPr="004030B6">
        <w:t>Качественно-психологическое опис</w:t>
      </w:r>
      <w:r w:rsidRPr="004030B6">
        <w:t>а</w:t>
      </w:r>
      <w:r w:rsidRPr="004030B6">
        <w:t>ние личностей людей, совершающих преступления на почве экстремизма, р</w:t>
      </w:r>
      <w:r w:rsidRPr="004030B6">
        <w:t>а</w:t>
      </w:r>
      <w:r w:rsidRPr="004030B6">
        <w:t>сизма и ксенофобии</w:t>
      </w:r>
      <w:r w:rsidR="009C6F8B">
        <w:t>"</w:t>
      </w:r>
      <w:r w:rsidRPr="004030B6">
        <w:t>, целью которого было расширение статистической и</w:t>
      </w:r>
      <w:r w:rsidRPr="004030B6">
        <w:t>н</w:t>
      </w:r>
      <w:r w:rsidRPr="004030B6">
        <w:t>формации, связанной с качественным описанием личностей преступников, к</w:t>
      </w:r>
      <w:r w:rsidRPr="004030B6">
        <w:t>о</w:t>
      </w:r>
      <w:r w:rsidRPr="004030B6">
        <w:t>торые совершают правонарушения на почве экстремизма, расизма и ксеноф</w:t>
      </w:r>
      <w:r w:rsidRPr="004030B6">
        <w:t>о</w:t>
      </w:r>
      <w:r w:rsidRPr="004030B6">
        <w:t>бии. В заключительной части обоих документов содержались рекомендации о</w:t>
      </w:r>
      <w:r w:rsidRPr="004030B6">
        <w:t>т</w:t>
      </w:r>
      <w:r w:rsidRPr="004030B6">
        <w:t>носительно более глубокого понимания насильственных преступлений, сове</w:t>
      </w:r>
      <w:r w:rsidRPr="004030B6">
        <w:t>р</w:t>
      </w:r>
      <w:r w:rsidRPr="004030B6">
        <w:t xml:space="preserve">шаемых на почве экстремизма, расизма и ксенофобии. </w:t>
      </w:r>
    </w:p>
    <w:p w:rsidR="0086169A" w:rsidRPr="004030B6" w:rsidRDefault="0086169A" w:rsidP="0086169A">
      <w:pPr>
        <w:pStyle w:val="SingleTxtGR"/>
      </w:pPr>
      <w:r w:rsidRPr="004030B6">
        <w:t>38.</w:t>
      </w:r>
      <w:r w:rsidRPr="004030B6">
        <w:tab/>
        <w:t>Частью профилактических мер также является выражение осуждения любого насилия на почве расизма или других разновидностей экстремизма, а также подстрекательства к т</w:t>
      </w:r>
      <w:r w:rsidR="00125951">
        <w:t>акому насилию, от кого бы оно ни</w:t>
      </w:r>
      <w:r w:rsidRPr="004030B6">
        <w:t xml:space="preserve"> исходило. Что касается правительства, то Уполномоченный по правам человека является гла</w:t>
      </w:r>
      <w:r w:rsidRPr="004030B6">
        <w:t>в</w:t>
      </w:r>
      <w:r w:rsidRPr="004030B6">
        <w:t>ным должностным лицом, несущим ответственность за формирование прав</w:t>
      </w:r>
      <w:r w:rsidRPr="004030B6">
        <w:t>и</w:t>
      </w:r>
      <w:r w:rsidRPr="004030B6">
        <w:t>тельственной повестки дня в области прав человека, включая права рома др</w:t>
      </w:r>
      <w:r w:rsidRPr="004030B6">
        <w:t>у</w:t>
      </w:r>
      <w:r w:rsidRPr="004030B6">
        <w:t>гих этнических меньшинств. В заявлениях для прессы и выступлениях в СМИ Уполномоченного по правам человека неизменно подвергаются осуждению л</w:t>
      </w:r>
      <w:r w:rsidRPr="004030B6">
        <w:t>ю</w:t>
      </w:r>
      <w:r w:rsidRPr="004030B6">
        <w:t>бые словесные и физические проявления расизма и нетерпимости, а также с</w:t>
      </w:r>
      <w:r w:rsidRPr="004030B6">
        <w:t>о</w:t>
      </w:r>
      <w:r w:rsidRPr="004030B6">
        <w:t>держатся призывы к органам государственной власти принимать жесткие меры против тех, кто их допускает. Уполномоченный также постоянно заявляет о том, что насилие и ненависть никогда не приводят к решению каких-либо проблем, а, напротив, усугубляют их. Вместе со своими коллегами Уполномоченный принимает участие в разработке механизмов предотвращения экстремистских действий на местах, а также координирует работу соответствующих сторон. На правительственном уровне Уполномоченный возглавляет специальную Рабочую группу по разрешению кризисных ситуаций, в том числе связанных с беспоря</w:t>
      </w:r>
      <w:r w:rsidRPr="004030B6">
        <w:t>д</w:t>
      </w:r>
      <w:r w:rsidRPr="004030B6">
        <w:t>ками на почве расизма и экстремизма; кроме того, им, в частности, была обе</w:t>
      </w:r>
      <w:r w:rsidRPr="004030B6">
        <w:t>с</w:t>
      </w:r>
      <w:r w:rsidRPr="004030B6">
        <w:t>печена подготовка совместного плана безотлагательных действий органов гос</w:t>
      </w:r>
      <w:r w:rsidRPr="004030B6">
        <w:t>у</w:t>
      </w:r>
      <w:r w:rsidRPr="004030B6">
        <w:t>дарственной власти в области предотвращения преступности и экстремистских действий. Так, например, этот план предусматривает, что Министерство вну</w:t>
      </w:r>
      <w:r w:rsidRPr="004030B6">
        <w:t>т</w:t>
      </w:r>
      <w:r w:rsidRPr="004030B6">
        <w:t xml:space="preserve">ренних дел должно оказывать пострадавшим общинам консультативную и иную помощь в области предотвращения преступлений и разрешения конфликтов, а также предлагать им содействие со стороны сотрудников Полиции ЧР по связям с меньшинствами. </w:t>
      </w:r>
    </w:p>
    <w:p w:rsidR="0086169A" w:rsidRPr="004030B6" w:rsidRDefault="0086169A" w:rsidP="00525E45">
      <w:pPr>
        <w:pStyle w:val="H23GR"/>
      </w:pPr>
      <w:r w:rsidRPr="004030B6">
        <w:tab/>
      </w:r>
      <w:r w:rsidR="00525E45">
        <w:tab/>
      </w:r>
      <w:r w:rsidRPr="004030B6">
        <w:t>Ответ на пункт 10 заключительных замечаний</w:t>
      </w:r>
    </w:p>
    <w:p w:rsidR="0086169A" w:rsidRPr="004030B6" w:rsidRDefault="0086169A" w:rsidP="0086169A">
      <w:pPr>
        <w:pStyle w:val="SingleTxtGR"/>
      </w:pPr>
      <w:r w:rsidRPr="004030B6">
        <w:t>39.</w:t>
      </w:r>
      <w:r w:rsidRPr="004030B6">
        <w:tab/>
        <w:t>Одним их факторов, рассматриваемых в ЧР в качестве дополнительных обстоятельств при сов</w:t>
      </w:r>
      <w:r w:rsidR="00FB5360">
        <w:t>ершении преступлений, является −</w:t>
      </w:r>
      <w:r w:rsidRPr="004030B6">
        <w:t xml:space="preserve"> в дополнение к рас</w:t>
      </w:r>
      <w:r w:rsidRPr="004030B6">
        <w:t>о</w:t>
      </w:r>
      <w:r w:rsidRPr="004030B6">
        <w:t>вой и этнической принадлежности - принадлежность к тому или иному общес</w:t>
      </w:r>
      <w:r w:rsidRPr="004030B6">
        <w:t>т</w:t>
      </w:r>
      <w:r w:rsidRPr="004030B6">
        <w:t>венному классу. Эта практика, которая, возможно, является характерной именно для ЧР, представляет собой порождение ее недавней истории, относящейся к коммунистическому периоду, когда классовое происхождение того или иного лица зачастую использовалось в качестве основания для ограничения его прав или же предлога для его дискриминации или преследования. Несмотря на то, что в рамках ныне действующей демократической системы предусматрив</w:t>
      </w:r>
      <w:r w:rsidRPr="004030B6">
        <w:t>а</w:t>
      </w:r>
      <w:r w:rsidRPr="004030B6">
        <w:t>ется равенство достоинства и прав всех людей</w:t>
      </w:r>
      <w:r w:rsidRPr="004030B6">
        <w:rPr>
          <w:vertAlign w:val="superscript"/>
        </w:rPr>
        <w:footnoteReference w:id="63"/>
      </w:r>
      <w:r w:rsidRPr="004030B6">
        <w:t>, живучесть подобных идей, а также факт существования групп и движений, пропагандирующих классовую нен</w:t>
      </w:r>
      <w:r w:rsidRPr="004030B6">
        <w:t>а</w:t>
      </w:r>
      <w:r w:rsidRPr="004030B6">
        <w:t>висть и призывающих к подавлению прав и свобод тех или иных лиц в завис</w:t>
      </w:r>
      <w:r w:rsidRPr="004030B6">
        <w:t>и</w:t>
      </w:r>
      <w:r w:rsidRPr="004030B6">
        <w:t>мости от их классового происхождения, нельзя исключать. Именно с уч</w:t>
      </w:r>
      <w:r w:rsidRPr="004030B6">
        <w:t>е</w:t>
      </w:r>
      <w:r w:rsidRPr="004030B6">
        <w:t>том этого исторического опыта ЧР предусматривает конкретное наказание за пр</w:t>
      </w:r>
      <w:r w:rsidRPr="004030B6">
        <w:t>е</w:t>
      </w:r>
      <w:r w:rsidRPr="004030B6">
        <w:t>ступления на почве классовой ненависти, стремясь при этом к полной реализ</w:t>
      </w:r>
      <w:r w:rsidRPr="004030B6">
        <w:t>а</w:t>
      </w:r>
      <w:r w:rsidRPr="004030B6">
        <w:t>ции своих основополагающих демократических принципов. Следует также о</w:t>
      </w:r>
      <w:r w:rsidRPr="004030B6">
        <w:t>т</w:t>
      </w:r>
      <w:r w:rsidRPr="004030B6">
        <w:t>метить, что классовое происхождение представляет собой не более чем теор</w:t>
      </w:r>
      <w:r w:rsidRPr="004030B6">
        <w:t>е</w:t>
      </w:r>
      <w:r w:rsidRPr="004030B6">
        <w:t>тическую концепцию, и в странах, не знавших коммунистического тоталит</w:t>
      </w:r>
      <w:r w:rsidRPr="004030B6">
        <w:t>а</w:t>
      </w:r>
      <w:r w:rsidRPr="004030B6">
        <w:t>ризма, а также в рамках понятийного аппарата международных конвенций под ним может пониматься социальное происхождение или политические взгляды</w:t>
      </w:r>
      <w:r w:rsidRPr="004030B6">
        <w:rPr>
          <w:vertAlign w:val="superscript"/>
        </w:rPr>
        <w:footnoteReference w:id="64"/>
      </w:r>
      <w:r w:rsidRPr="004030B6">
        <w:t>.</w:t>
      </w:r>
    </w:p>
    <w:p w:rsidR="0086169A" w:rsidRPr="004030B6" w:rsidRDefault="0086169A" w:rsidP="0086169A">
      <w:pPr>
        <w:pStyle w:val="SingleTxtGR"/>
      </w:pPr>
      <w:r w:rsidRPr="004030B6">
        <w:t>40.</w:t>
      </w:r>
      <w:r w:rsidRPr="004030B6">
        <w:tab/>
        <w:t xml:space="preserve">С этим также связано понятие </w:t>
      </w:r>
      <w:r w:rsidR="009C6F8B">
        <w:t>"</w:t>
      </w:r>
      <w:r w:rsidRPr="004030B6">
        <w:t>коммунистического геноцида</w:t>
      </w:r>
      <w:r w:rsidR="009C6F8B">
        <w:t>"</w:t>
      </w:r>
      <w:r w:rsidRPr="004030B6">
        <w:t>, отриц</w:t>
      </w:r>
      <w:r w:rsidRPr="004030B6">
        <w:t>а</w:t>
      </w:r>
      <w:r w:rsidRPr="004030B6">
        <w:t>ние, постановка под вопрос, санкционирование или оправдание которого явл</w:t>
      </w:r>
      <w:r w:rsidRPr="004030B6">
        <w:t>я</w:t>
      </w:r>
      <w:r w:rsidRPr="004030B6">
        <w:t xml:space="preserve">ются преступлениями по чешскому законодательству. Содержание понятия </w:t>
      </w:r>
      <w:r w:rsidR="009C6F8B">
        <w:t>"</w:t>
      </w:r>
      <w:r w:rsidRPr="004030B6">
        <w:t>г</w:t>
      </w:r>
      <w:r w:rsidRPr="004030B6">
        <w:t>е</w:t>
      </w:r>
      <w:r w:rsidRPr="004030B6">
        <w:t>ноцид</w:t>
      </w:r>
      <w:r w:rsidR="009C6F8B">
        <w:t>"</w:t>
      </w:r>
      <w:r w:rsidRPr="004030B6">
        <w:t xml:space="preserve"> в чешском законодательстве основывается на Конвенции о предупре</w:t>
      </w:r>
      <w:r w:rsidRPr="004030B6">
        <w:t>ж</w:t>
      </w:r>
      <w:r w:rsidRPr="004030B6">
        <w:t>дении преступления геноцида и наказании за него</w:t>
      </w:r>
      <w:r w:rsidRPr="004030B6">
        <w:rPr>
          <w:vertAlign w:val="superscript"/>
        </w:rPr>
        <w:footnoteReference w:id="65"/>
      </w:r>
      <w:r w:rsidRPr="004030B6">
        <w:t>, участницей которого явл</w:t>
      </w:r>
      <w:r w:rsidRPr="004030B6">
        <w:t>я</w:t>
      </w:r>
      <w:r w:rsidRPr="004030B6">
        <w:t>ется ЧР; как было указано выше, геноцид квалифицируется как уголовное пр</w:t>
      </w:r>
      <w:r w:rsidRPr="004030B6">
        <w:t>е</w:t>
      </w:r>
      <w:r w:rsidRPr="004030B6">
        <w:t>ступление согласно чешскому законодательству и будет наказываться в соотве</w:t>
      </w:r>
      <w:r w:rsidRPr="004030B6">
        <w:t>т</w:t>
      </w:r>
      <w:r w:rsidRPr="004030B6">
        <w:t>ствии с международным правом. Кроме того, с учетом своей национальной и</w:t>
      </w:r>
      <w:r w:rsidRPr="004030B6">
        <w:t>с</w:t>
      </w:r>
      <w:r w:rsidRPr="004030B6">
        <w:t>тории ЧР считает некоторые деяния настолько тяжкими, что стремится увеков</w:t>
      </w:r>
      <w:r w:rsidRPr="004030B6">
        <w:t>е</w:t>
      </w:r>
      <w:r w:rsidRPr="004030B6">
        <w:t>чить их в народной памяти как серьезные и достойные всяческого сожаления явления, которые не должны повториться в будущем. Поэтому она считает ну</w:t>
      </w:r>
      <w:r w:rsidRPr="004030B6">
        <w:t>ж</w:t>
      </w:r>
      <w:r w:rsidRPr="004030B6">
        <w:t>ным квалифицировать их отрицание, постановку под вопрос, санкцион</w:t>
      </w:r>
      <w:r w:rsidRPr="004030B6">
        <w:t>и</w:t>
      </w:r>
      <w:r w:rsidRPr="004030B6">
        <w:t xml:space="preserve">рование или оправдание как преступления. Само собой разумеется, что использование термина </w:t>
      </w:r>
      <w:r w:rsidR="009C6F8B">
        <w:t>"</w:t>
      </w:r>
      <w:r w:rsidRPr="004030B6">
        <w:t>коммунистический геноцид</w:t>
      </w:r>
      <w:r w:rsidR="009C6F8B">
        <w:t>"</w:t>
      </w:r>
      <w:r w:rsidRPr="004030B6">
        <w:t xml:space="preserve"> ни в коей мере не снижает степень защ</w:t>
      </w:r>
      <w:r w:rsidRPr="004030B6">
        <w:t>и</w:t>
      </w:r>
      <w:r w:rsidRPr="004030B6">
        <w:t>ты предусмотренных Конвенцией прав индивидуумов от расовой дискримин</w:t>
      </w:r>
      <w:r w:rsidRPr="004030B6">
        <w:t>а</w:t>
      </w:r>
      <w:r w:rsidRPr="004030B6">
        <w:t>ции. Деяния, имеющие расовую подоплеку, всегда будут рассматриваться в ко</w:t>
      </w:r>
      <w:r w:rsidRPr="004030B6">
        <w:t>н</w:t>
      </w:r>
      <w:r w:rsidRPr="004030B6">
        <w:t>тексте соответствующих положений Уголовного кодекса, касающихся именно этих деяний, а не в качестве случаев коммунистического геноц</w:t>
      </w:r>
      <w:r w:rsidRPr="004030B6">
        <w:t>и</w:t>
      </w:r>
      <w:r w:rsidRPr="004030B6">
        <w:t xml:space="preserve">да. </w:t>
      </w:r>
    </w:p>
    <w:p w:rsidR="0086169A" w:rsidRPr="004030B6" w:rsidRDefault="0086169A" w:rsidP="002719DE">
      <w:pPr>
        <w:pStyle w:val="H23GR"/>
      </w:pPr>
      <w:r w:rsidRPr="004030B6">
        <w:tab/>
      </w:r>
      <w:r w:rsidR="002719DE">
        <w:tab/>
      </w:r>
      <w:r w:rsidRPr="004030B6">
        <w:t>Ответ на пункт 15 заключительных замечаний</w:t>
      </w:r>
    </w:p>
    <w:p w:rsidR="0086169A" w:rsidRPr="004030B6" w:rsidRDefault="0086169A" w:rsidP="0086169A">
      <w:pPr>
        <w:pStyle w:val="SingleTxtGR"/>
      </w:pPr>
      <w:r w:rsidRPr="004030B6">
        <w:t>41.</w:t>
      </w:r>
      <w:r w:rsidRPr="004030B6">
        <w:tab/>
        <w:t>ЧР заявляет, что ее обязательства в соответствии со статьей 4 Ко</w:t>
      </w:r>
      <w:r w:rsidRPr="004030B6">
        <w:t>н</w:t>
      </w:r>
      <w:r w:rsidRPr="004030B6">
        <w:t>венции выполняются, в частности, посредством включения преступлений, соверша</w:t>
      </w:r>
      <w:r w:rsidRPr="004030B6">
        <w:t>е</w:t>
      </w:r>
      <w:r w:rsidRPr="004030B6">
        <w:t>мых на расовой почве, в Уголовный кодекс, о чем говорилось выше. Р</w:t>
      </w:r>
      <w:r w:rsidRPr="004030B6">
        <w:t>а</w:t>
      </w:r>
      <w:r w:rsidRPr="004030B6">
        <w:t>систская пропаганда в ЧР является преступлением, наказуемым, в зависимости от о</w:t>
      </w:r>
      <w:r w:rsidRPr="004030B6">
        <w:t>б</w:t>
      </w:r>
      <w:r w:rsidRPr="004030B6">
        <w:t>стоятельств, на основании различных положений Уголовного кодекса. Запрет как расовой, так и других форм дискриминации касается как физических, так и юридических лиц. Если юридическое лицо – такое, как политическая партия или гражданское объединение, - учреждено в соответствии с законом, оно по</w:t>
      </w:r>
      <w:r w:rsidRPr="004030B6">
        <w:t>д</w:t>
      </w:r>
      <w:r w:rsidRPr="004030B6">
        <w:t>лежит официальной регистрации и обладает правосубъектностью. В соответс</w:t>
      </w:r>
      <w:r w:rsidRPr="004030B6">
        <w:t>т</w:t>
      </w:r>
      <w:r w:rsidRPr="004030B6">
        <w:t>вующих нормативно-правовых актах предусматриваются конкретные условия, которые должны быть выполнены юридическими лицами для того, чтобы они были зарегистрированы. В соответствии с этими актами отказывается в регис</w:t>
      </w:r>
      <w:r w:rsidRPr="004030B6">
        <w:t>т</w:t>
      </w:r>
      <w:r w:rsidRPr="004030B6">
        <w:t>рации таким политическим партиям или движениям, которые намереваются п</w:t>
      </w:r>
      <w:r w:rsidRPr="004030B6">
        <w:t>о</w:t>
      </w:r>
      <w:r w:rsidRPr="004030B6">
        <w:t>сягать на равенство и создают угрозу правам и свободам граждан</w:t>
      </w:r>
      <w:r w:rsidRPr="004030B6">
        <w:rPr>
          <w:vertAlign w:val="superscript"/>
        </w:rPr>
        <w:footnoteReference w:id="66"/>
      </w:r>
      <w:r w:rsidRPr="004030B6">
        <w:t>, а также т</w:t>
      </w:r>
      <w:r w:rsidRPr="004030B6">
        <w:t>а</w:t>
      </w:r>
      <w:r w:rsidRPr="004030B6">
        <w:t>ким организациям гражданского общества, которые стремятся лишить граждан их личных, политических или иных прав или ограничить эти права, в том числе на дискриминационных основаниях</w:t>
      </w:r>
      <w:r w:rsidRPr="004030B6">
        <w:rPr>
          <w:vertAlign w:val="superscript"/>
        </w:rPr>
        <w:footnoteReference w:id="67"/>
      </w:r>
      <w:r w:rsidRPr="004030B6">
        <w:t>. В том случае, если расистская напра</w:t>
      </w:r>
      <w:r w:rsidRPr="004030B6">
        <w:t>в</w:t>
      </w:r>
      <w:r w:rsidRPr="004030B6">
        <w:t>ленность деятельности того или иного юридического лица становится очеви</w:t>
      </w:r>
      <w:r w:rsidRPr="004030B6">
        <w:t>д</w:t>
      </w:r>
      <w:r w:rsidRPr="004030B6">
        <w:t>ной уже в ходе ее деятельности, законы предусматривают средства во</w:t>
      </w:r>
      <w:r w:rsidRPr="004030B6">
        <w:t>з</w:t>
      </w:r>
      <w:r w:rsidRPr="004030B6">
        <w:t>действия на них, которые могут использоваться государством. Сначала гра</w:t>
      </w:r>
      <w:r w:rsidRPr="004030B6">
        <w:t>ж</w:t>
      </w:r>
      <w:r w:rsidRPr="004030B6">
        <w:t>данскому объединению предлагается воздерживаться от противоправных де</w:t>
      </w:r>
      <w:r w:rsidRPr="004030B6">
        <w:t>й</w:t>
      </w:r>
      <w:r w:rsidRPr="004030B6">
        <w:t>ствий. Если оно отказывается это сделать, оно может быть расформировано. Аналогичные нормы применяются и к политическим партиям и движением, о чем свидетел</w:t>
      </w:r>
      <w:r w:rsidRPr="004030B6">
        <w:t>ь</w:t>
      </w:r>
      <w:r w:rsidRPr="004030B6">
        <w:t xml:space="preserve">ствует роспуск Рабочей партии (чешское название – </w:t>
      </w:r>
      <w:r w:rsidR="009C6F8B">
        <w:t>"</w:t>
      </w:r>
      <w:r w:rsidRPr="004030B6">
        <w:rPr>
          <w:lang w:val="en-GB"/>
        </w:rPr>
        <w:t>D</w:t>
      </w:r>
      <w:r w:rsidRPr="004030B6">
        <w:t>ě</w:t>
      </w:r>
      <w:r w:rsidRPr="004030B6">
        <w:rPr>
          <w:lang w:val="en-GB"/>
        </w:rPr>
        <w:t>lnick</w:t>
      </w:r>
      <w:r w:rsidRPr="004030B6">
        <w:t xml:space="preserve">á </w:t>
      </w:r>
      <w:r w:rsidRPr="004030B6">
        <w:rPr>
          <w:lang w:val="en-GB"/>
        </w:rPr>
        <w:t>strana</w:t>
      </w:r>
      <w:r w:rsidR="009C6F8B">
        <w:t>"</w:t>
      </w:r>
      <w:r w:rsidRPr="004030B6">
        <w:t>) Высшим административным судом в 2010 году</w:t>
      </w:r>
      <w:r w:rsidRPr="004030B6">
        <w:rPr>
          <w:vertAlign w:val="superscript"/>
        </w:rPr>
        <w:footnoteReference w:id="68"/>
      </w:r>
      <w:r w:rsidRPr="004030B6">
        <w:t>. При рассмотрении этого дела Высший административный суд руководствовался четырьмя условиями, совокупное в</w:t>
      </w:r>
      <w:r w:rsidRPr="004030B6">
        <w:t>ы</w:t>
      </w:r>
      <w:r w:rsidRPr="004030B6">
        <w:t>полнение которых имеет ключевое значение для принятия решения о роспуске политической партии, а именно: незаконность действий, ответственность пол</w:t>
      </w:r>
      <w:r w:rsidRPr="004030B6">
        <w:t>и</w:t>
      </w:r>
      <w:r w:rsidRPr="004030B6">
        <w:t>тической партии за незаконные действия, непосредстве</w:t>
      </w:r>
      <w:r w:rsidRPr="004030B6">
        <w:t>н</w:t>
      </w:r>
      <w:r w:rsidRPr="004030B6">
        <w:t>ные риски, а также пропорциональность мер пресечения требованиям, связанным с обеспечением свободы объединения граждан в политические партии. Если все эти четыре у</w:t>
      </w:r>
      <w:r w:rsidRPr="004030B6">
        <w:t>с</w:t>
      </w:r>
      <w:r w:rsidRPr="004030B6">
        <w:t>ловия выполняются, то партия может быть распущена.</w:t>
      </w:r>
    </w:p>
    <w:p w:rsidR="0086169A" w:rsidRPr="004030B6" w:rsidRDefault="0086169A" w:rsidP="0086169A">
      <w:pPr>
        <w:pStyle w:val="SingleTxtGR"/>
      </w:pPr>
      <w:r w:rsidRPr="004030B6">
        <w:t>42.</w:t>
      </w:r>
      <w:r w:rsidRPr="004030B6">
        <w:tab/>
        <w:t>Кроме того, действие нового Закона об уголовной ответственности юр</w:t>
      </w:r>
      <w:r w:rsidRPr="004030B6">
        <w:t>и</w:t>
      </w:r>
      <w:r w:rsidRPr="004030B6">
        <w:t>дических лиц</w:t>
      </w:r>
      <w:r w:rsidRPr="004030B6">
        <w:rPr>
          <w:vertAlign w:val="superscript"/>
        </w:rPr>
        <w:footnoteReference w:id="69"/>
      </w:r>
      <w:r w:rsidRPr="004030B6">
        <w:t xml:space="preserve"> распространяется на все юридические лица, за исключен</w:t>
      </w:r>
      <w:r w:rsidRPr="004030B6">
        <w:t>и</w:t>
      </w:r>
      <w:r w:rsidRPr="004030B6">
        <w:t>ем ЧР и местных органов власти при исполнении ими функций государственной вл</w:t>
      </w:r>
      <w:r w:rsidRPr="004030B6">
        <w:t>а</w:t>
      </w:r>
      <w:r w:rsidRPr="004030B6">
        <w:t>сти. Таким образом, юридические лица несут прямую ответственность за д</w:t>
      </w:r>
      <w:r w:rsidRPr="004030B6">
        <w:t>о</w:t>
      </w:r>
      <w:r w:rsidRPr="004030B6">
        <w:t>пущенные ими расистские действия. Суд может либо расформировать юрид</w:t>
      </w:r>
      <w:r w:rsidRPr="004030B6">
        <w:t>и</w:t>
      </w:r>
      <w:r w:rsidRPr="004030B6">
        <w:t>ческое лицо, либо применить другие виды наказания (включая штрафы, конф</w:t>
      </w:r>
      <w:r w:rsidRPr="004030B6">
        <w:t>и</w:t>
      </w:r>
      <w:r w:rsidRPr="004030B6">
        <w:t>скацию имущества, запрещение деятельности и т.д.). Этот Закон был принят относительно недавно и поэтому еще не применялся в связи с расистской де</w:t>
      </w:r>
      <w:r w:rsidRPr="004030B6">
        <w:t>я</w:t>
      </w:r>
      <w:r w:rsidRPr="004030B6">
        <w:t>тельностью. Бывают также случаи, когда та или иная группа людей фактически занимается какой-то деятельностью, но при этом нигде не зарег</w:t>
      </w:r>
      <w:r w:rsidRPr="004030B6">
        <w:t>и</w:t>
      </w:r>
      <w:r w:rsidRPr="004030B6">
        <w:t>стрирована, и поэтому не является юридическим лицом. В подобных случаях невозможно на законных основаниях расформировать эту группу. Вместе с тем существует возможность преследования отдельных лиц, нарушающих закон, на основании соответствующих положений Уголовного кодекса. Такие лица подвергаются н</w:t>
      </w:r>
      <w:r w:rsidRPr="004030B6">
        <w:t>а</w:t>
      </w:r>
      <w:r w:rsidRPr="004030B6">
        <w:t>казанию даже в том случае, если то движение, в котором они участвуют, нигде официально не зарегистрировано. Аналогичным образом, неонацистские и р</w:t>
      </w:r>
      <w:r w:rsidRPr="004030B6">
        <w:t>а</w:t>
      </w:r>
      <w:r w:rsidRPr="004030B6">
        <w:t xml:space="preserve">систские группировки подпадают под юридическое определение </w:t>
      </w:r>
      <w:r w:rsidR="009C6F8B">
        <w:t>"</w:t>
      </w:r>
      <w:r w:rsidRPr="004030B6">
        <w:t>группы, орг</w:t>
      </w:r>
      <w:r w:rsidRPr="004030B6">
        <w:t>а</w:t>
      </w:r>
      <w:r w:rsidRPr="004030B6">
        <w:t>низации или объединения, которые занимаются пропагандой дискриминации, насилия или же расовой, этнической, классовой, религиозной или иной нен</w:t>
      </w:r>
      <w:r w:rsidRPr="004030B6">
        <w:t>а</w:t>
      </w:r>
      <w:r w:rsidRPr="004030B6">
        <w:t>висти</w:t>
      </w:r>
      <w:r w:rsidR="009C6F8B">
        <w:t>"</w:t>
      </w:r>
      <w:r w:rsidRPr="004030B6">
        <w:rPr>
          <w:vertAlign w:val="superscript"/>
        </w:rPr>
        <w:footnoteReference w:id="70"/>
      </w:r>
      <w:r w:rsidRPr="004030B6">
        <w:t>. Уголовный кодекс также предусматривает наказание за создание, по</w:t>
      </w:r>
      <w:r w:rsidRPr="004030B6">
        <w:t>д</w:t>
      </w:r>
      <w:r w:rsidRPr="004030B6">
        <w:t>держку и поощрение движений, целью которых является подавление прав и свобод человека, выражение поддержки расистским движениям и участие в т</w:t>
      </w:r>
      <w:r w:rsidRPr="004030B6">
        <w:t>а</w:t>
      </w:r>
      <w:r w:rsidRPr="004030B6">
        <w:t>ких движениях</w:t>
      </w:r>
      <w:r w:rsidRPr="004030B6">
        <w:rPr>
          <w:vertAlign w:val="superscript"/>
        </w:rPr>
        <w:footnoteReference w:id="71"/>
      </w:r>
      <w:r w:rsidRPr="004030B6">
        <w:t>.</w:t>
      </w:r>
    </w:p>
    <w:p w:rsidR="0086169A" w:rsidRPr="004030B6" w:rsidRDefault="0086169A" w:rsidP="004D0536">
      <w:pPr>
        <w:pStyle w:val="H23GR"/>
      </w:pPr>
      <w:r w:rsidRPr="004030B6">
        <w:tab/>
      </w:r>
      <w:r w:rsidR="004D0536">
        <w:tab/>
      </w:r>
      <w:r w:rsidRPr="004030B6">
        <w:t>Ответ на пункт 16 заключительных замечаний</w:t>
      </w:r>
    </w:p>
    <w:p w:rsidR="0086169A" w:rsidRPr="004030B6" w:rsidRDefault="0086169A" w:rsidP="0086169A">
      <w:pPr>
        <w:pStyle w:val="SingleTxtGR"/>
      </w:pPr>
      <w:r w:rsidRPr="004030B6">
        <w:t>43.</w:t>
      </w:r>
      <w:r w:rsidRPr="004030B6">
        <w:tab/>
        <w:t>Политики национального уровня не были замечены в заявлениях, напра</w:t>
      </w:r>
      <w:r w:rsidRPr="004030B6">
        <w:t>в</w:t>
      </w:r>
      <w:r w:rsidRPr="004030B6">
        <w:t>ленных против рома. В Палате депутатов и Сенате Парламента ЧР не предста</w:t>
      </w:r>
      <w:r w:rsidRPr="004030B6">
        <w:t>в</w:t>
      </w:r>
      <w:r w:rsidRPr="004030B6">
        <w:t>лена ни одна крайне правая партия. На выборах в Палату депутатов 2013 года Рабочая партия за социальную справедливость (</w:t>
      </w:r>
      <w:r w:rsidRPr="004030B6">
        <w:rPr>
          <w:i/>
          <w:lang w:val="en-GB"/>
        </w:rPr>
        <w:t>D</w:t>
      </w:r>
      <w:r w:rsidRPr="004030B6">
        <w:rPr>
          <w:i/>
        </w:rPr>
        <w:t>ě</w:t>
      </w:r>
      <w:r w:rsidRPr="004030B6">
        <w:rPr>
          <w:i/>
          <w:lang w:val="en-GB"/>
        </w:rPr>
        <w:t>lnick</w:t>
      </w:r>
      <w:r w:rsidRPr="004030B6">
        <w:rPr>
          <w:i/>
        </w:rPr>
        <w:t xml:space="preserve">á </w:t>
      </w:r>
      <w:r w:rsidRPr="004030B6">
        <w:rPr>
          <w:i/>
          <w:lang w:val="en-GB"/>
        </w:rPr>
        <w:t>strana</w:t>
      </w:r>
      <w:r w:rsidRPr="004030B6">
        <w:rPr>
          <w:i/>
        </w:rPr>
        <w:t xml:space="preserve"> </w:t>
      </w:r>
      <w:r w:rsidRPr="004030B6">
        <w:rPr>
          <w:i/>
          <w:lang w:val="en-GB"/>
        </w:rPr>
        <w:t>s</w:t>
      </w:r>
      <w:r w:rsidRPr="004030B6">
        <w:rPr>
          <w:i/>
          <w:lang w:val="en-GB"/>
        </w:rPr>
        <w:t>o</w:t>
      </w:r>
      <w:r w:rsidRPr="004030B6">
        <w:rPr>
          <w:i/>
          <w:lang w:val="en-GB"/>
        </w:rPr>
        <w:t>ci</w:t>
      </w:r>
      <w:r w:rsidRPr="004030B6">
        <w:rPr>
          <w:i/>
        </w:rPr>
        <w:t>á</w:t>
      </w:r>
      <w:r w:rsidRPr="004030B6">
        <w:rPr>
          <w:i/>
          <w:lang w:val="en-GB"/>
        </w:rPr>
        <w:t>ln</w:t>
      </w:r>
      <w:r w:rsidRPr="004030B6">
        <w:rPr>
          <w:i/>
        </w:rPr>
        <w:t xml:space="preserve">í </w:t>
      </w:r>
      <w:r w:rsidRPr="004030B6">
        <w:rPr>
          <w:i/>
          <w:lang w:val="en-GB"/>
        </w:rPr>
        <w:t>spravedlnosti</w:t>
      </w:r>
      <w:r w:rsidRPr="004030B6">
        <w:t>) получила 0,86% голосов.</w:t>
      </w:r>
    </w:p>
    <w:p w:rsidR="0086169A" w:rsidRPr="004030B6" w:rsidRDefault="0086169A" w:rsidP="0086169A">
      <w:pPr>
        <w:pStyle w:val="SingleTxtGR"/>
      </w:pPr>
      <w:r w:rsidRPr="004030B6">
        <w:t>44.</w:t>
      </w:r>
      <w:r w:rsidRPr="004030B6">
        <w:tab/>
        <w:t>Полиция ЧР сотрудничает с Министерством внутренних дел и разведыв</w:t>
      </w:r>
      <w:r w:rsidRPr="004030B6">
        <w:t>а</w:t>
      </w:r>
      <w:r w:rsidRPr="004030B6">
        <w:t>тельными службами в борьбе против расистских преступлений. Специалисты из Отдела по борьбе с организованной преступностью провели ряд операций против наиболее заметных фигур в экстремистской среде, что в значительной мере парализовало экстремистскую деятельность. Среди известных случаев н</w:t>
      </w:r>
      <w:r w:rsidRPr="004030B6">
        <w:t>а</w:t>
      </w:r>
      <w:r w:rsidRPr="004030B6">
        <w:t>падений на расовой почве можно, в частности, упомянуть следу</w:t>
      </w:r>
      <w:r w:rsidRPr="004030B6">
        <w:t>ю</w:t>
      </w:r>
      <w:r w:rsidRPr="004030B6">
        <w:t>щие:</w:t>
      </w:r>
    </w:p>
    <w:p w:rsidR="0086169A" w:rsidRPr="004030B6" w:rsidRDefault="0086169A" w:rsidP="004D0536">
      <w:pPr>
        <w:pStyle w:val="Bullet1GR"/>
      </w:pPr>
      <w:r w:rsidRPr="004030B6">
        <w:t>случай, связанный с поджогом, в Виткове (Северная Моравия), имевший место в 2009 году, в результате которого четверо обвиняемых были в ит</w:t>
      </w:r>
      <w:r w:rsidRPr="004030B6">
        <w:t>о</w:t>
      </w:r>
      <w:r w:rsidRPr="004030B6">
        <w:t>ге призн</w:t>
      </w:r>
      <w:r w:rsidRPr="004030B6">
        <w:t>а</w:t>
      </w:r>
      <w:r w:rsidRPr="004030B6">
        <w:t>ны виновными в покушении на убийство на расовой почве и приговорены к беспр</w:t>
      </w:r>
      <w:r w:rsidRPr="004030B6">
        <w:t>е</w:t>
      </w:r>
      <w:r w:rsidRPr="004030B6">
        <w:t>цедентно длительным срокам лишения свободы продолжительностью от 20 до 22 лет; им также было предписано выпл</w:t>
      </w:r>
      <w:r w:rsidRPr="004030B6">
        <w:t>а</w:t>
      </w:r>
      <w:r w:rsidRPr="004030B6">
        <w:t>тить жертвам компенсацию в размере 9,5 млн. чешских крон, а также возместить им расходы на лечение в размере 7,5 млн. че</w:t>
      </w:r>
      <w:r w:rsidRPr="004030B6">
        <w:t>ш</w:t>
      </w:r>
      <w:r w:rsidRPr="004030B6">
        <w:t>ских крон;</w:t>
      </w:r>
    </w:p>
    <w:p w:rsidR="0086169A" w:rsidRPr="004030B6" w:rsidRDefault="0086169A" w:rsidP="004D0536">
      <w:pPr>
        <w:pStyle w:val="Bullet1GR"/>
      </w:pPr>
      <w:r w:rsidRPr="004030B6">
        <w:t>случай, связанный с поджогом дома, где проживали рома, в Быхорах (Центральная Богемия) в июле 2011 года, в результате которого один о</w:t>
      </w:r>
      <w:r w:rsidRPr="004030B6">
        <w:t>б</w:t>
      </w:r>
      <w:r w:rsidRPr="004030B6">
        <w:t>виняемый был признан виновным в насилии против группы лиц и о</w:t>
      </w:r>
      <w:r w:rsidRPr="004030B6">
        <w:t>т</w:t>
      </w:r>
      <w:r w:rsidRPr="004030B6">
        <w:t>дельного лица, а трое др</w:t>
      </w:r>
      <w:r w:rsidRPr="004030B6">
        <w:t>у</w:t>
      </w:r>
      <w:r w:rsidRPr="004030B6">
        <w:t>гих обвиняемых – в диффамации национальной, расовой, этнической или иной группы людей, и приговорены к условным срокам лишения свободы, а также к выплате жертвам компенсации нем</w:t>
      </w:r>
      <w:r w:rsidRPr="004030B6">
        <w:t>а</w:t>
      </w:r>
      <w:r w:rsidRPr="004030B6">
        <w:t>териального ущерба в размере 100 000 чешских крон;</w:t>
      </w:r>
    </w:p>
    <w:p w:rsidR="0086169A" w:rsidRPr="004030B6" w:rsidRDefault="0086169A" w:rsidP="004D0536">
      <w:pPr>
        <w:pStyle w:val="Bullet1GR"/>
      </w:pPr>
      <w:r w:rsidRPr="004030B6">
        <w:t>случай, происшедший 26 февраля 2012 года в Аше и связанный с тем, что в здание общежития была брошена бутылка с зажигательной смесью; в настоящее время продолжается разбирательство уголовного дела 9 лиц, обвиняемых в покушении на нанесение тяжких телесных повреждений, которое имело расовую подопл</w:t>
      </w:r>
      <w:r w:rsidRPr="004030B6">
        <w:t>е</w:t>
      </w:r>
      <w:r w:rsidRPr="004030B6">
        <w:t>ку.</w:t>
      </w:r>
    </w:p>
    <w:p w:rsidR="0086169A" w:rsidRPr="004030B6" w:rsidRDefault="0086169A" w:rsidP="0086169A">
      <w:pPr>
        <w:pStyle w:val="SingleTxtGR"/>
      </w:pPr>
      <w:r w:rsidRPr="004030B6">
        <w:t>45.</w:t>
      </w:r>
      <w:r w:rsidRPr="004030B6">
        <w:tab/>
        <w:t xml:space="preserve">Расследования многих других нападений все еще продолжаются, равно как и судебные разбирательства по различным уголовным делам, относящимся к вышеуказанным категориям. Вместе с тем применительно к некоторым из них расовую мотивацию доказать не удалось. </w:t>
      </w:r>
    </w:p>
    <w:p w:rsidR="0086169A" w:rsidRPr="004030B6" w:rsidRDefault="0086169A" w:rsidP="0086169A">
      <w:pPr>
        <w:pStyle w:val="SingleTxtGR"/>
      </w:pPr>
      <w:r w:rsidRPr="004030B6">
        <w:t>46.</w:t>
      </w:r>
      <w:r w:rsidRPr="004030B6">
        <w:tab/>
        <w:t>В 2012 году было зарегистрировано в общей сложности 52 уголовных преступления на почве ненависти к рома. Их число снизилось по сравнению с 2011 годом, когда было зарегистрировано 69 таких преступлений. На них пр</w:t>
      </w:r>
      <w:r w:rsidRPr="004030B6">
        <w:t>и</w:t>
      </w:r>
      <w:r w:rsidRPr="004030B6">
        <w:t>ходится 30,1% от общего числа уголовных преступлений с экстремистской п</w:t>
      </w:r>
      <w:r w:rsidRPr="004030B6">
        <w:t>о</w:t>
      </w:r>
      <w:r w:rsidRPr="004030B6">
        <w:t>доплекой. Что касается состава этих уголовных преступлений, то чаще всего они бывают связаны с выражением сочувствия к движениям, направленным на подавление прав и свобод человека, диффамацией национальной, расовой, э</w:t>
      </w:r>
      <w:r w:rsidRPr="004030B6">
        <w:t>т</w:t>
      </w:r>
      <w:r w:rsidRPr="004030B6">
        <w:t>нической или иной группы лиц, а также насилием в отношении групп лиц и и</w:t>
      </w:r>
      <w:r w:rsidRPr="004030B6">
        <w:t>н</w:t>
      </w:r>
      <w:r w:rsidRPr="004030B6">
        <w:t>дивидуумов. Ситуация с составом подобных преступлений аналогична ситу</w:t>
      </w:r>
      <w:r w:rsidRPr="004030B6">
        <w:t>а</w:t>
      </w:r>
      <w:r w:rsidRPr="004030B6">
        <w:t>ции, имевшей место в предшествующем году, без каких-либо существенных изменений. Более подробные статистические данные приводятся в приложении № 2.</w:t>
      </w:r>
    </w:p>
    <w:p w:rsidR="0086169A" w:rsidRPr="004030B6" w:rsidRDefault="004D0536" w:rsidP="004D0536">
      <w:pPr>
        <w:pStyle w:val="H23GR"/>
      </w:pPr>
      <w:r>
        <w:tab/>
      </w:r>
      <w:r>
        <w:tab/>
      </w:r>
      <w:r w:rsidR="0086169A" w:rsidRPr="004030B6">
        <w:t>Ответ на пункт 17 заключительных замечаний</w:t>
      </w:r>
    </w:p>
    <w:p w:rsidR="0086169A" w:rsidRPr="004030B6" w:rsidRDefault="0086169A" w:rsidP="0086169A">
      <w:pPr>
        <w:pStyle w:val="SingleTxtGR"/>
      </w:pPr>
      <w:r w:rsidRPr="004030B6">
        <w:t>47.</w:t>
      </w:r>
      <w:r w:rsidRPr="004030B6">
        <w:tab/>
        <w:t>В 2012 году была создана Генеральная инспекция служб безопасности - независимый орган, занимающийся уголовными правонарушениями, которому поручено расследовать преступления, совершенные сотрудниками Полиции ЧР, Службы исполнения наказаний и Таможенного управления. Любое лицо имеет право подать жалобу относительно подозрений в совершении преступления с</w:t>
      </w:r>
      <w:r w:rsidRPr="004030B6">
        <w:t>о</w:t>
      </w:r>
      <w:r w:rsidRPr="004030B6">
        <w:t>трудником служб безопасности. Ведется регулярное наблюдение за случаями совершения сотрудниками полиции преступлений с экстремистской подопл</w:t>
      </w:r>
      <w:r w:rsidRPr="004030B6">
        <w:t>е</w:t>
      </w:r>
      <w:r w:rsidRPr="004030B6">
        <w:t>кой. В 2010 году Инспекция Полиции ЧР рассмотрела восемь случаев</w:t>
      </w:r>
      <w:r w:rsidRPr="004030B6">
        <w:rPr>
          <w:vertAlign w:val="superscript"/>
        </w:rPr>
        <w:footnoteReference w:id="72"/>
      </w:r>
      <w:r w:rsidRPr="004030B6">
        <w:t xml:space="preserve"> предп</w:t>
      </w:r>
      <w:r w:rsidRPr="004030B6">
        <w:t>о</w:t>
      </w:r>
      <w:r w:rsidRPr="004030B6">
        <w:t>лагаемых правонарушений; два дела были закрыты, а одно передано для пров</w:t>
      </w:r>
      <w:r w:rsidRPr="004030B6">
        <w:t>е</w:t>
      </w:r>
      <w:r w:rsidRPr="004030B6">
        <w:t>дения дисциплинарного расследования. Кроме того, по двум случаям было предложено возбудить уголовные дела, а в отношении одного из них был подан судебный иск. В 2011 году Инспекция Полиции ЧР провела проверку по одному делу. В ходе проверки не удалось подтвердить подозрения в совершении уг</w:t>
      </w:r>
      <w:r w:rsidRPr="004030B6">
        <w:t>о</w:t>
      </w:r>
      <w:r w:rsidRPr="004030B6">
        <w:t>ловного преступления, а также каких-либо иных противоправных деяний. В 2012 году Генеральная инспекция служб безопасности провела проверки по двум делам. Проверка по первому из них была прекращена без принятия каких-либо дальнейших мер. В отношении второго случая проводится расследование на предмет возможного правонарушения, связанного с выражением сочувствия движению, имеющему целью подавление прав и свобод человека. В 2010 году Военная полиция проводила расследования по 19 делам, а в 2011 году – по восьми делам, связанным с подозрениями в совершении противоправных де</w:t>
      </w:r>
      <w:r w:rsidRPr="004030B6">
        <w:t>й</w:t>
      </w:r>
      <w:r w:rsidRPr="004030B6">
        <w:t>ствий с экстремистской подоплекой. В 2012 году она рассмотрела два дела. В целом имело место уменьшение числа нарушений закона, связанных с экстр</w:t>
      </w:r>
      <w:r w:rsidRPr="004030B6">
        <w:t>е</w:t>
      </w:r>
      <w:r w:rsidRPr="004030B6">
        <w:t xml:space="preserve">мистскими действиями сотрудников служб безопасности.  </w:t>
      </w:r>
    </w:p>
    <w:p w:rsidR="0086169A" w:rsidRPr="004030B6" w:rsidRDefault="0086169A" w:rsidP="0086169A">
      <w:pPr>
        <w:pStyle w:val="SingleTxtGR"/>
      </w:pPr>
      <w:r w:rsidRPr="004030B6">
        <w:t>48.</w:t>
      </w:r>
      <w:r w:rsidRPr="004030B6">
        <w:tab/>
        <w:t>В 2010 году вступила в силу Поправка к Закону о Вооруженных с</w:t>
      </w:r>
      <w:r w:rsidRPr="004030B6">
        <w:t>и</w:t>
      </w:r>
      <w:r w:rsidRPr="004030B6">
        <w:t>лах ЧР и военнослужащих по контракту</w:t>
      </w:r>
      <w:r w:rsidRPr="004030B6">
        <w:rPr>
          <w:vertAlign w:val="superscript"/>
        </w:rPr>
        <w:footnoteReference w:id="73"/>
      </w:r>
      <w:r w:rsidRPr="004030B6">
        <w:t>, в соответствии с которой в качестве отдел</w:t>
      </w:r>
      <w:r w:rsidRPr="004030B6">
        <w:t>ь</w:t>
      </w:r>
      <w:r w:rsidRPr="004030B6">
        <w:t>ных оснований для увольнения со службы квалифицируются поддержка, поо</w:t>
      </w:r>
      <w:r w:rsidRPr="004030B6">
        <w:t>щ</w:t>
      </w:r>
      <w:r w:rsidRPr="004030B6">
        <w:t>рение или выражение сочувствия движениям, которые открыто преслед</w:t>
      </w:r>
      <w:r w:rsidRPr="004030B6">
        <w:t>у</w:t>
      </w:r>
      <w:r w:rsidRPr="004030B6">
        <w:t>ют цель подавления прав и свобод человека и поощряют проявления национал</w:t>
      </w:r>
      <w:r w:rsidRPr="004030B6">
        <w:t>ь</w:t>
      </w:r>
      <w:r w:rsidRPr="004030B6">
        <w:t>ной, религиозной или расовой ненависти в отношении других групп людей. В</w:t>
      </w:r>
      <w:r w:rsidRPr="004030B6">
        <w:t>о</w:t>
      </w:r>
      <w:r w:rsidRPr="004030B6">
        <w:t>еннослужащий, уволенный по этой причине, лишается прав на пенсионные в</w:t>
      </w:r>
      <w:r w:rsidRPr="004030B6">
        <w:t>ы</w:t>
      </w:r>
      <w:r w:rsidRPr="004030B6">
        <w:t>платы. Военнослужащие, которых планируется откомандировать для участия в зарубежных операциях, проходят предотъездную проверку на предмет выявл</w:t>
      </w:r>
      <w:r w:rsidRPr="004030B6">
        <w:t>е</w:t>
      </w:r>
      <w:r w:rsidRPr="004030B6">
        <w:t>ния лиц, вызывающих подозрения в сочувствии экстремистским движениям. В случаях возникновения подозрений в неподобающих действиях, обусловле</w:t>
      </w:r>
      <w:r w:rsidRPr="004030B6">
        <w:t>н</w:t>
      </w:r>
      <w:r w:rsidRPr="004030B6">
        <w:t>ных причинами подобного рода, во время зарубежной командировки такой военн</w:t>
      </w:r>
      <w:r w:rsidRPr="004030B6">
        <w:t>о</w:t>
      </w:r>
      <w:r w:rsidRPr="004030B6">
        <w:t xml:space="preserve">служащий подлежит немедленной отправке на родину. </w:t>
      </w:r>
    </w:p>
    <w:p w:rsidR="0086169A" w:rsidRPr="004030B6" w:rsidRDefault="0086169A" w:rsidP="0086169A">
      <w:pPr>
        <w:pStyle w:val="SingleTxtGR"/>
      </w:pPr>
      <w:r w:rsidRPr="004030B6">
        <w:t>49.</w:t>
      </w:r>
      <w:r w:rsidRPr="004030B6">
        <w:tab/>
        <w:t xml:space="preserve">Прием членов общин рома на работу в полицию осуществляется главным образом в рамках </w:t>
      </w:r>
      <w:r w:rsidR="009C6F8B">
        <w:t>"</w:t>
      </w:r>
      <w:r w:rsidRPr="004030B6">
        <w:t>Программы по предотвращению преступности и экстреми</w:t>
      </w:r>
      <w:r w:rsidRPr="004030B6">
        <w:t>з</w:t>
      </w:r>
      <w:r w:rsidRPr="004030B6">
        <w:t xml:space="preserve">ма </w:t>
      </w:r>
      <w:r w:rsidR="009C6F8B">
        <w:t>"</w:t>
      </w:r>
      <w:r w:rsidRPr="004030B6">
        <w:t>Рассвет</w:t>
      </w:r>
      <w:r w:rsidR="009C6F8B">
        <w:t>"</w:t>
      </w:r>
      <w:r w:rsidRPr="004030B6">
        <w:t xml:space="preserve"> посредством создания и финансирования должностей помощников по вопросам профилактики преступлений в муниципальной полиции, а также сотрудников по связям с меньшинствами Полиции ЧР, которые б</w:t>
      </w:r>
      <w:r w:rsidRPr="004030B6">
        <w:t>ы</w:t>
      </w:r>
      <w:r w:rsidRPr="004030B6">
        <w:t>ли учреждены в 2005 году. В 2012 году Программа помощников по вопросам профилактики преступлений была реализована в 26 городах на всей территории ЧР, где в о</w:t>
      </w:r>
      <w:r w:rsidRPr="004030B6">
        <w:t>р</w:t>
      </w:r>
      <w:r w:rsidRPr="004030B6">
        <w:t>ганах муниципальной полиции работало 87 помощников по вопросам проф</w:t>
      </w:r>
      <w:r w:rsidRPr="004030B6">
        <w:t>и</w:t>
      </w:r>
      <w:r w:rsidRPr="004030B6">
        <w:t>лактики преступлений. Данные за предшествующие годы приводятся в прил</w:t>
      </w:r>
      <w:r w:rsidRPr="004030B6">
        <w:t>о</w:t>
      </w:r>
      <w:r w:rsidRPr="004030B6">
        <w:t>жении № 3. Кандидатуры помощников подбираются из числа жителей социал</w:t>
      </w:r>
      <w:r w:rsidRPr="004030B6">
        <w:t>ь</w:t>
      </w:r>
      <w:r w:rsidRPr="004030B6">
        <w:t>но изолированных районов (во многих случаях это рома), и после соответс</w:t>
      </w:r>
      <w:r w:rsidRPr="004030B6">
        <w:t>т</w:t>
      </w:r>
      <w:r w:rsidRPr="004030B6">
        <w:t>вующей подготовки они вносят свой вклад в повышение уровня безопа</w:t>
      </w:r>
      <w:r w:rsidRPr="004030B6">
        <w:t>с</w:t>
      </w:r>
      <w:r w:rsidRPr="004030B6">
        <w:t>ности и поддержание общественного порядка. Второй проект, который осущ</w:t>
      </w:r>
      <w:r w:rsidRPr="004030B6">
        <w:t>е</w:t>
      </w:r>
      <w:r w:rsidRPr="004030B6">
        <w:t xml:space="preserve">ствляется начиная с 2004 года Центром </w:t>
      </w:r>
      <w:r w:rsidR="009C6F8B">
        <w:t>"</w:t>
      </w:r>
      <w:r w:rsidRPr="004030B6">
        <w:t>Рубикон</w:t>
      </w:r>
      <w:r w:rsidR="009C6F8B">
        <w:t>"</w:t>
      </w:r>
      <w:r w:rsidRPr="004030B6">
        <w:t xml:space="preserve"> в сотрудничестве со Слу</w:t>
      </w:r>
      <w:r w:rsidRPr="004030B6">
        <w:t>ж</w:t>
      </w:r>
      <w:r w:rsidRPr="004030B6">
        <w:t xml:space="preserve">бой пробации и медиации ЧР, имеет название </w:t>
      </w:r>
      <w:r w:rsidR="009C6F8B">
        <w:t>"</w:t>
      </w:r>
      <w:r w:rsidRPr="004030B6">
        <w:t>Программа наставнической помощи рома</w:t>
      </w:r>
      <w:r w:rsidR="009C6F8B">
        <w:t>"</w:t>
      </w:r>
      <w:r w:rsidRPr="004030B6">
        <w:t xml:space="preserve"> и преследует цель побудить представителей меньшинства рома, вст</w:t>
      </w:r>
      <w:r w:rsidRPr="004030B6">
        <w:t>у</w:t>
      </w:r>
      <w:r w:rsidRPr="004030B6">
        <w:t>пивших в конфликт с законом, успешно выполнять условия наложенного на них альтерн</w:t>
      </w:r>
      <w:r w:rsidRPr="004030B6">
        <w:t>а</w:t>
      </w:r>
      <w:r w:rsidRPr="004030B6">
        <w:t>тивного наказания, тем самым уменьшая риск рецидивизма и углубления соц</w:t>
      </w:r>
      <w:r w:rsidRPr="004030B6">
        <w:t>и</w:t>
      </w:r>
      <w:r w:rsidRPr="004030B6">
        <w:t>альной изоляции. Эта работа выполняется квалифицированными н</w:t>
      </w:r>
      <w:r w:rsidRPr="004030B6">
        <w:t>а</w:t>
      </w:r>
      <w:r w:rsidRPr="004030B6">
        <w:t>ставниками, прошедшими 100-часовой курс соответствующей подготовки. В 2012 году в этой программе участвовали 132 рома, 70 из которых впоследствии вели акти</w:t>
      </w:r>
      <w:r w:rsidRPr="004030B6">
        <w:t>в</w:t>
      </w:r>
      <w:r w:rsidRPr="004030B6">
        <w:t>ную работу на местах с подопечными из числа рома. В общей сложности н</w:t>
      </w:r>
      <w:r w:rsidRPr="004030B6">
        <w:t>а</w:t>
      </w:r>
      <w:r w:rsidRPr="004030B6">
        <w:t>ставники сотрудничали с 29 центрами пробации и медиации в 9 регионах ЧР, предоставив услуги более чем 1600 клиентам.</w:t>
      </w:r>
    </w:p>
    <w:p w:rsidR="0086169A" w:rsidRPr="004030B6" w:rsidRDefault="0086169A" w:rsidP="002708AD">
      <w:pPr>
        <w:pStyle w:val="H1GR"/>
      </w:pPr>
      <w:r w:rsidRPr="004030B6">
        <w:tab/>
      </w:r>
      <w:r w:rsidR="002708AD">
        <w:tab/>
      </w:r>
      <w:r w:rsidR="001F6E56">
        <w:t>Статья 5</w:t>
      </w:r>
      <w:r w:rsidR="001F6E56">
        <w:br/>
      </w:r>
      <w:r w:rsidRPr="004030B6">
        <w:t>Права, конкретно гарантированные Конвенцией</w:t>
      </w:r>
    </w:p>
    <w:p w:rsidR="0086169A" w:rsidRPr="004030B6" w:rsidRDefault="0086169A" w:rsidP="002708AD">
      <w:pPr>
        <w:pStyle w:val="H23GR"/>
      </w:pPr>
      <w:r w:rsidRPr="004030B6">
        <w:tab/>
      </w:r>
      <w:r w:rsidR="002708AD">
        <w:tab/>
      </w:r>
      <w:r w:rsidRPr="004030B6">
        <w:t>Индивидуальные права и их осуществление в жизни общества</w:t>
      </w:r>
    </w:p>
    <w:p w:rsidR="0086169A" w:rsidRPr="004030B6" w:rsidRDefault="002708AD" w:rsidP="002708AD">
      <w:pPr>
        <w:pStyle w:val="H23GR"/>
      </w:pPr>
      <w:r>
        <w:tab/>
        <w:t>а)</w:t>
      </w:r>
      <w:r>
        <w:tab/>
      </w:r>
      <w:r w:rsidR="0086169A" w:rsidRPr="004030B6">
        <w:t>Право на равное обращение со стороны судов и всех других государственных органов</w:t>
      </w:r>
    </w:p>
    <w:p w:rsidR="0086169A" w:rsidRPr="004030B6" w:rsidRDefault="0086169A" w:rsidP="0086169A">
      <w:pPr>
        <w:pStyle w:val="SingleTxtGR"/>
      </w:pPr>
      <w:r w:rsidRPr="004030B6">
        <w:t>50.</w:t>
      </w:r>
      <w:r w:rsidRPr="004030B6">
        <w:tab/>
        <w:t>За отчетный период никаких изменений в этой области не произошло. Суды и административные органы по-прежнему несут обязательство обеспеч</w:t>
      </w:r>
      <w:r w:rsidRPr="004030B6">
        <w:t>и</w:t>
      </w:r>
      <w:r w:rsidRPr="004030B6">
        <w:t>вать равное обращение со всеми лицами, которые обращаются с заявлениями в рамках уголовного</w:t>
      </w:r>
      <w:r w:rsidRPr="004030B6">
        <w:rPr>
          <w:vertAlign w:val="superscript"/>
        </w:rPr>
        <w:footnoteReference w:id="74"/>
      </w:r>
      <w:r w:rsidRPr="004030B6">
        <w:t>, гражданского</w:t>
      </w:r>
      <w:r w:rsidRPr="004030B6">
        <w:rPr>
          <w:vertAlign w:val="superscript"/>
        </w:rPr>
        <w:footnoteReference w:id="75"/>
      </w:r>
      <w:r w:rsidRPr="004030B6">
        <w:t xml:space="preserve"> и административного</w:t>
      </w:r>
      <w:r w:rsidRPr="004030B6">
        <w:rPr>
          <w:vertAlign w:val="superscript"/>
        </w:rPr>
        <w:footnoteReference w:id="76"/>
      </w:r>
      <w:r w:rsidRPr="004030B6">
        <w:t xml:space="preserve"> производства в с</w:t>
      </w:r>
      <w:r w:rsidRPr="004030B6">
        <w:t>у</w:t>
      </w:r>
      <w:r w:rsidRPr="004030B6">
        <w:t>ды и прочие органы</w:t>
      </w:r>
      <w:r w:rsidRPr="004030B6">
        <w:rPr>
          <w:vertAlign w:val="superscript"/>
        </w:rPr>
        <w:footnoteReference w:id="77"/>
      </w:r>
      <w:r w:rsidRPr="004030B6">
        <w:t>. В ЧР не предусмотрены меры по борьбе с терроризмом. В рамках уголовного судопроизводства ЧР соблюдает принцип равенства в о</w:t>
      </w:r>
      <w:r w:rsidRPr="004030B6">
        <w:t>т</w:t>
      </w:r>
      <w:r w:rsidRPr="004030B6">
        <w:t>ношении применения норм материального и процессуального права, включая презумпцию невиновности. Сообщения о расистских преступлениях расслед</w:t>
      </w:r>
      <w:r w:rsidRPr="004030B6">
        <w:t>у</w:t>
      </w:r>
      <w:r w:rsidRPr="004030B6">
        <w:t>ются так же, как и сообщения о других преступлениях. Более подробная и</w:t>
      </w:r>
      <w:r w:rsidRPr="004030B6">
        <w:t>н</w:t>
      </w:r>
      <w:r w:rsidRPr="004030B6">
        <w:t>формация об этом приводится в тексте, касающемся статьи 4. Генеральная и</w:t>
      </w:r>
      <w:r w:rsidRPr="004030B6">
        <w:t>н</w:t>
      </w:r>
      <w:r w:rsidRPr="004030B6">
        <w:t>спекция служб безопасности также играет ключевую роль в расследовании р</w:t>
      </w:r>
      <w:r w:rsidRPr="004030B6">
        <w:t>а</w:t>
      </w:r>
      <w:r w:rsidRPr="004030B6">
        <w:t>систских и других преступлений, совершаемых сотрудниками служб безопа</w:t>
      </w:r>
      <w:r w:rsidRPr="004030B6">
        <w:t>с</w:t>
      </w:r>
      <w:r w:rsidRPr="004030B6">
        <w:t>ности; информация о ее деятельности содержится в тексте, касающемся статьи 4. Практическая помощь жертвам расистских преступлений в ходе проведения расследований также может предоставляться организациями, оказывающими содействие жертвам преступлений, в рамках Закона о жертвах преступлений, о котором говорится в тексте, относящемся к статье 6, или же, например, помо</w:t>
      </w:r>
      <w:r w:rsidRPr="004030B6">
        <w:t>щ</w:t>
      </w:r>
      <w:r w:rsidRPr="004030B6">
        <w:t>никами по вопросам профилактики преступлений, о которых говорится в те</w:t>
      </w:r>
      <w:r w:rsidRPr="004030B6">
        <w:t>к</w:t>
      </w:r>
      <w:r w:rsidRPr="004030B6">
        <w:t>сте, касающемся статьи 4.</w:t>
      </w:r>
    </w:p>
    <w:p w:rsidR="0086169A" w:rsidRPr="004030B6" w:rsidRDefault="002708AD" w:rsidP="002708AD">
      <w:pPr>
        <w:pStyle w:val="H23GR"/>
      </w:pPr>
      <w:r>
        <w:tab/>
      </w:r>
      <w:r w:rsidR="0086169A" w:rsidRPr="004030B6">
        <w:rPr>
          <w:lang w:val="en-US"/>
        </w:rPr>
        <w:t>b</w:t>
      </w:r>
      <w:r w:rsidR="0086169A" w:rsidRPr="004030B6">
        <w:t>)</w:t>
      </w:r>
      <w:r w:rsidR="0086169A" w:rsidRPr="004030B6">
        <w:tab/>
        <w:t>Право на личную свободу и безопасность и защиту со стороны государства от насилия или телесных повреждений</w:t>
      </w:r>
    </w:p>
    <w:p w:rsidR="0086169A" w:rsidRPr="004030B6" w:rsidRDefault="0086169A" w:rsidP="0086169A">
      <w:pPr>
        <w:pStyle w:val="SingleTxtGR"/>
      </w:pPr>
      <w:r w:rsidRPr="004030B6">
        <w:t>51.</w:t>
      </w:r>
      <w:r w:rsidRPr="004030B6">
        <w:tab/>
        <w:t>Условия ограничения личной свободы по-прежнему применяются на о</w:t>
      </w:r>
      <w:r w:rsidRPr="004030B6">
        <w:t>с</w:t>
      </w:r>
      <w:r w:rsidRPr="004030B6">
        <w:t>нове принципа равенства вне зависимости от расы, этнической принадлежности или национальности. Пенитенциарные учреждения должны принимать во вн</w:t>
      </w:r>
      <w:r w:rsidRPr="004030B6">
        <w:t>и</w:t>
      </w:r>
      <w:r w:rsidRPr="004030B6">
        <w:t>мание культурные и религиозные убеждения лиц, отбывающих сроки лишения свободы, при удовлетворении их материальных и духовных потребностей, включая питание, духовные и социальные услуги и т.п. Возможные случаи р</w:t>
      </w:r>
      <w:r w:rsidRPr="004030B6">
        <w:t>а</w:t>
      </w:r>
      <w:r w:rsidRPr="004030B6">
        <w:t>систских нападений в местах лишения свободы в настоящее время также ра</w:t>
      </w:r>
      <w:r w:rsidRPr="004030B6">
        <w:t>с</w:t>
      </w:r>
      <w:r w:rsidRPr="004030B6">
        <w:t>следуются Генеральной инспекцией служб безопасности. Безопасность за пр</w:t>
      </w:r>
      <w:r w:rsidRPr="004030B6">
        <w:t>е</w:t>
      </w:r>
      <w:r w:rsidRPr="004030B6">
        <w:t>делами пенитенциарных учреждений, как и прежде, обеспечивается главным образом при помощи уголовных наказаний, которые упоминаются в тексте, о</w:t>
      </w:r>
      <w:r w:rsidRPr="004030B6">
        <w:t>т</w:t>
      </w:r>
      <w:r w:rsidRPr="004030B6">
        <w:t>носящемся к статье 4, а также некоторых других мер, о которых говорится н</w:t>
      </w:r>
      <w:r w:rsidRPr="004030B6">
        <w:t>и</w:t>
      </w:r>
      <w:r w:rsidRPr="004030B6">
        <w:t>же.</w:t>
      </w:r>
    </w:p>
    <w:p w:rsidR="0086169A" w:rsidRPr="004030B6" w:rsidRDefault="0086169A" w:rsidP="0086169A">
      <w:pPr>
        <w:pStyle w:val="SingleTxtGR"/>
      </w:pPr>
      <w:r w:rsidRPr="004030B6">
        <w:t>52.</w:t>
      </w:r>
      <w:r w:rsidRPr="004030B6">
        <w:tab/>
        <w:t>ЧР приняла Стратегию политики Полиции ЧР в отношении меньшинств на 2008-2013 годы, а затем в обновленном виде продлила ее на период 2013-2014 годов.  В Стратегии излагаются принципы деятельности полицейских в отношении меньшинств, а также обеспечивается равный подход к меньшинс</w:t>
      </w:r>
      <w:r w:rsidRPr="004030B6">
        <w:t>т</w:t>
      </w:r>
      <w:r w:rsidRPr="004030B6">
        <w:t>вам и уважение различий между ними. Основополагающим направлением де</w:t>
      </w:r>
      <w:r w:rsidRPr="004030B6">
        <w:t>я</w:t>
      </w:r>
      <w:r w:rsidRPr="004030B6">
        <w:t>тельности является создание должностей сотрудников по связям с меньшинс</w:t>
      </w:r>
      <w:r w:rsidRPr="004030B6">
        <w:t>т</w:t>
      </w:r>
      <w:r w:rsidRPr="004030B6">
        <w:t>вами и их рабочих групп во всех региональных управлениях Полиции ЧР. С</w:t>
      </w:r>
      <w:r w:rsidRPr="004030B6">
        <w:t>о</w:t>
      </w:r>
      <w:r w:rsidRPr="004030B6">
        <w:t>трудники по связям с меньшинствами являются специалистами по вопросам действий полиции в отношении меньшинств, которые вместе со своими раб</w:t>
      </w:r>
      <w:r w:rsidRPr="004030B6">
        <w:t>о</w:t>
      </w:r>
      <w:r w:rsidRPr="004030B6">
        <w:t>чими группами ведут постоянное наблюдение за жизнью меньшинств во вв</w:t>
      </w:r>
      <w:r w:rsidRPr="004030B6">
        <w:t>е</w:t>
      </w:r>
      <w:r w:rsidRPr="004030B6">
        <w:t>ренных им районах, а также способствуют профилактике преступности и бор</w:t>
      </w:r>
      <w:r w:rsidRPr="004030B6">
        <w:t>ь</w:t>
      </w:r>
      <w:r w:rsidRPr="004030B6">
        <w:t>бе с ней. Результатом систематической работы полиции с меньшинствами явл</w:t>
      </w:r>
      <w:r w:rsidRPr="004030B6">
        <w:t>я</w:t>
      </w:r>
      <w:r w:rsidRPr="004030B6">
        <w:t>ется установление отношений взаимного доверия между полицией и меньши</w:t>
      </w:r>
      <w:r w:rsidRPr="004030B6">
        <w:t>н</w:t>
      </w:r>
      <w:r w:rsidRPr="004030B6">
        <w:t>ствами, расширение информированности полицейских об отличительных ос</w:t>
      </w:r>
      <w:r w:rsidRPr="004030B6">
        <w:t>о</w:t>
      </w:r>
      <w:r w:rsidRPr="004030B6">
        <w:t>бенностях меньшинств, успешное укоренение принципов законности и прав</w:t>
      </w:r>
      <w:r w:rsidRPr="004030B6">
        <w:t>о</w:t>
      </w:r>
      <w:r w:rsidRPr="004030B6">
        <w:t>судия в среде проживания меньшинств, а также привлечение последних к ус</w:t>
      </w:r>
      <w:r w:rsidRPr="004030B6">
        <w:t>и</w:t>
      </w:r>
      <w:r w:rsidRPr="004030B6">
        <w:t>лиям по обеспечению их собственной безопасности. Что касается подготовки кадров, то была реализована программа специальной профессиональной подг</w:t>
      </w:r>
      <w:r w:rsidRPr="004030B6">
        <w:t>о</w:t>
      </w:r>
      <w:r w:rsidRPr="004030B6">
        <w:t>товки для сотрудников Полиции ЧР, основное внимание в рамках которой уд</w:t>
      </w:r>
      <w:r w:rsidRPr="004030B6">
        <w:t>е</w:t>
      </w:r>
      <w:r w:rsidRPr="004030B6">
        <w:t xml:space="preserve">лялось проблемам меньшинств. В целях повышения квалификации сотрудников было подготовлено проектное предложение, направленное на формирование профессиональных навыков работы в мультикультурном контексте, а также проект под названием </w:t>
      </w:r>
      <w:r w:rsidR="009C6F8B">
        <w:t>"</w:t>
      </w:r>
      <w:r w:rsidRPr="004030B6">
        <w:t>Привлечение полицейских специалистов к работе с меньшинством рома в социально изолированных районах</w:t>
      </w:r>
      <w:r w:rsidR="009C6F8B">
        <w:t>"</w:t>
      </w:r>
      <w:r w:rsidRPr="004030B6">
        <w:t>, задачей которого является повышение качества и эффективности работы полиции в социально изолированных районах. При этом преследуется цель повысить професси</w:t>
      </w:r>
      <w:r w:rsidRPr="004030B6">
        <w:t>о</w:t>
      </w:r>
      <w:r w:rsidRPr="004030B6">
        <w:t>нальный уровень сотрудников полиции при работе с меньшинствами, создать более благоприятные условия для предупреждения конкретных преступлений, связанных с обстановкой социальной изоляции, и борьбы с ними, а также укр</w:t>
      </w:r>
      <w:r w:rsidRPr="004030B6">
        <w:t>е</w:t>
      </w:r>
      <w:r w:rsidRPr="004030B6">
        <w:t>пить сотрудничество, взаимодействие и взаимное доверие между жителями с</w:t>
      </w:r>
      <w:r w:rsidRPr="004030B6">
        <w:t>о</w:t>
      </w:r>
      <w:r w:rsidRPr="004030B6">
        <w:t>циально изолированных районов, с одной стороны, и правоохранительными о</w:t>
      </w:r>
      <w:r w:rsidRPr="004030B6">
        <w:t>р</w:t>
      </w:r>
      <w:r w:rsidRPr="004030B6">
        <w:t>ганами, с другой. Ожидается, что реализация проекта будет продолжаться в общ</w:t>
      </w:r>
      <w:r w:rsidR="009E4302">
        <w:t>ей сложности с 2013 по 2016 год</w:t>
      </w:r>
      <w:r w:rsidRPr="004030B6">
        <w:t>.</w:t>
      </w:r>
    </w:p>
    <w:p w:rsidR="0086169A" w:rsidRPr="004030B6" w:rsidRDefault="0086169A" w:rsidP="0086169A">
      <w:pPr>
        <w:pStyle w:val="SingleTxtGR"/>
      </w:pPr>
      <w:r w:rsidRPr="004030B6">
        <w:t>53.</w:t>
      </w:r>
      <w:r w:rsidRPr="004030B6">
        <w:tab/>
        <w:t>ЧР также обеспечивает соблюдение принципа невысылки. Экстрадиция того или иного лица из страны является недопустимой в случае существования в отношении этого лица угрозы пыток или других серьезных нарушений прав человека, а также в случае, если в ЧР такому лицу была предоставлена межд</w:t>
      </w:r>
      <w:r w:rsidRPr="004030B6">
        <w:t>у</w:t>
      </w:r>
      <w:r w:rsidRPr="004030B6">
        <w:t>народная защита</w:t>
      </w:r>
      <w:r w:rsidRPr="004030B6">
        <w:rPr>
          <w:vertAlign w:val="superscript"/>
        </w:rPr>
        <w:footnoteReference w:id="78"/>
      </w:r>
      <w:r w:rsidRPr="004030B6">
        <w:t>. Опасность неправомерной высылки всегда учитывается в ходе судопроизводства по вопросу о допустимости экстрадиции того или иного лица, в ходе которого у него всегда есть возможность обратиться с жалобой в суд более высокой инстанции или подать конституционную жалобу. Если суд делает вывод о том, что экстрадиция является допустимой, окончательное р</w:t>
      </w:r>
      <w:r w:rsidRPr="004030B6">
        <w:t>е</w:t>
      </w:r>
      <w:r w:rsidRPr="004030B6">
        <w:t>шение об экстрадиции принимает Министр юстиции. Даже в тех случаях, к</w:t>
      </w:r>
      <w:r w:rsidRPr="004030B6">
        <w:t>о</w:t>
      </w:r>
      <w:r w:rsidRPr="004030B6">
        <w:t>гда Министр принимает такое решение, лицо, к которому оно относится, имеет возможность подать конституционную жалобу с приостановкой исполнения решения об экстрадиции на время ее рассмотрения. В контексте процедур пр</w:t>
      </w:r>
      <w:r w:rsidRPr="004030B6">
        <w:t>и</w:t>
      </w:r>
      <w:r w:rsidRPr="004030B6">
        <w:t>нудительной высылки в административном порядке риск неправомерной в</w:t>
      </w:r>
      <w:r w:rsidRPr="004030B6">
        <w:t>ы</w:t>
      </w:r>
      <w:r w:rsidRPr="004030B6">
        <w:t>сылки учитывается при вынесении имеющего обязательную силу заключения о допустимости принудительной репатриации иностранного гражданина</w:t>
      </w:r>
      <w:r w:rsidRPr="004030B6">
        <w:rPr>
          <w:vertAlign w:val="superscript"/>
        </w:rPr>
        <w:footnoteReference w:id="79"/>
      </w:r>
      <w:r w:rsidRPr="004030B6">
        <w:t>, кот</w:t>
      </w:r>
      <w:r w:rsidRPr="004030B6">
        <w:t>о</w:t>
      </w:r>
      <w:r w:rsidRPr="004030B6">
        <w:t>рое полиция всегда обязана запрашивать у Министерства внутренних дел. В х</w:t>
      </w:r>
      <w:r w:rsidRPr="004030B6">
        <w:t>о</w:t>
      </w:r>
      <w:r w:rsidRPr="004030B6">
        <w:t>де рассмотрения дел о международной защите административные решения о принудительной репатриации не могут приводиться в исполнение, в том числе и непосредственно во время разбирательства; лицо, которое просит обеспечить ему международную защиту, не может быть депортировано</w:t>
      </w:r>
      <w:r w:rsidRPr="004030B6">
        <w:rPr>
          <w:vertAlign w:val="superscript"/>
        </w:rPr>
        <w:footnoteReference w:id="80"/>
      </w:r>
      <w:r w:rsidRPr="004030B6">
        <w:t>. Администрати</w:t>
      </w:r>
      <w:r w:rsidRPr="004030B6">
        <w:t>в</w:t>
      </w:r>
      <w:r w:rsidRPr="004030B6">
        <w:t>ное постановление о принудительной высылке не выносится в тех случаях, е</w:t>
      </w:r>
      <w:r w:rsidRPr="004030B6">
        <w:t>с</w:t>
      </w:r>
      <w:r w:rsidRPr="004030B6">
        <w:t>ли иностранец, пытающийся получить международную защиту на территории страны, прибывает в нее непосредственно из государства, где существует опа</w:t>
      </w:r>
      <w:r w:rsidRPr="004030B6">
        <w:t>с</w:t>
      </w:r>
      <w:r w:rsidRPr="004030B6">
        <w:t>ность его преследования или нанесения ему серьезного вреда, прибывает на территорию страны или находится на ней без разрешения, безотлагательно с</w:t>
      </w:r>
      <w:r w:rsidRPr="004030B6">
        <w:t>о</w:t>
      </w:r>
      <w:r w:rsidRPr="004030B6">
        <w:t>общает о себе в Полицию или Министерство внутренних дел, а также может доказать наличие у него убедительных оснований для несанкционированного въезда на территорию страны или нахождения на ней. Административное п</w:t>
      </w:r>
      <w:r w:rsidRPr="004030B6">
        <w:t>о</w:t>
      </w:r>
      <w:r w:rsidRPr="004030B6">
        <w:t>становление о принудительной высылке не может выноситься и в том случае, если его результатом может стать непропорционально серьезное вмешательство в личную или семейную жизнь иностранца. Начиная с 1 января 2011 года реш</w:t>
      </w:r>
      <w:r w:rsidRPr="004030B6">
        <w:t>е</w:t>
      </w:r>
      <w:r w:rsidRPr="004030B6">
        <w:t>ния, связанные с принудительной высылкой в административном порядке, ра</w:t>
      </w:r>
      <w:r w:rsidRPr="004030B6">
        <w:t>в</w:t>
      </w:r>
      <w:r w:rsidRPr="004030B6">
        <w:t>но как и сам процесс принудительной высылки, находятся под наблюдением Омбудсмена, на которого возложены функции по контролю за соблюдением так называемой Директивы о репатриации</w:t>
      </w:r>
      <w:r w:rsidRPr="004030B6">
        <w:rPr>
          <w:vertAlign w:val="superscript"/>
        </w:rPr>
        <w:footnoteReference w:id="81"/>
      </w:r>
      <w:r w:rsidRPr="004030B6">
        <w:t>; тем самым обеспечивается дальне</w:t>
      </w:r>
      <w:r w:rsidRPr="004030B6">
        <w:t>й</w:t>
      </w:r>
      <w:r w:rsidRPr="004030B6">
        <w:t xml:space="preserve">шее укрепление механизма защиты прав иностранцев. </w:t>
      </w:r>
    </w:p>
    <w:p w:rsidR="0086169A" w:rsidRPr="004030B6" w:rsidRDefault="009E4302" w:rsidP="009E4302">
      <w:pPr>
        <w:pStyle w:val="H23GR"/>
      </w:pPr>
      <w:r>
        <w:tab/>
      </w:r>
      <w:r w:rsidR="0086169A" w:rsidRPr="004030B6">
        <w:rPr>
          <w:lang w:val="en-US"/>
        </w:rPr>
        <w:t>c</w:t>
      </w:r>
      <w:r w:rsidR="0086169A" w:rsidRPr="004030B6">
        <w:t>)</w:t>
      </w:r>
      <w:r w:rsidR="0086169A" w:rsidRPr="004030B6">
        <w:tab/>
        <w:t>Политические права, в том числе право участвовать в выборах, голосовать и баллотироваться на выборах</w:t>
      </w:r>
    </w:p>
    <w:p w:rsidR="0086169A" w:rsidRPr="004030B6" w:rsidRDefault="0086169A" w:rsidP="0086169A">
      <w:pPr>
        <w:pStyle w:val="SingleTxtGR"/>
      </w:pPr>
      <w:r w:rsidRPr="004030B6">
        <w:t>54.</w:t>
      </w:r>
      <w:r w:rsidRPr="004030B6">
        <w:tab/>
        <w:t>Представители этнических и других меньшинств, являющиеся чешскими гражданами, могут пользоваться своим правом голосовать в той же мере, что и другие чешские граждане. В муниципалитетах, на территории которых (по да</w:t>
      </w:r>
      <w:r w:rsidRPr="004030B6">
        <w:t>н</w:t>
      </w:r>
      <w:r w:rsidRPr="004030B6">
        <w:t>ным последней переписи населения) по меньшей мере 10% населения относит себя к другим национальностям, помимо чешской, на местном уровне учре</w:t>
      </w:r>
      <w:r w:rsidRPr="004030B6">
        <w:t>ж</w:t>
      </w:r>
      <w:r w:rsidRPr="004030B6">
        <w:t>даются комитеты по делам национальных меньшинств. Аналогичным образом, в тех краях, на территории которых по данным последней переписи населения по меньшей мере 5% населения относит себя к другим национальностям, п</w:t>
      </w:r>
      <w:r w:rsidRPr="004030B6">
        <w:t>о</w:t>
      </w:r>
      <w:r w:rsidRPr="004030B6">
        <w:t>мимо чешской, создаются краевые комитеты по делам национальных мен</w:t>
      </w:r>
      <w:r w:rsidRPr="004030B6">
        <w:t>ь</w:t>
      </w:r>
      <w:r w:rsidRPr="004030B6">
        <w:t>шинств. Как минимум половину членов такого комитета должны составлять представители национального меньшинства</w:t>
      </w:r>
      <w:r w:rsidRPr="004030B6">
        <w:rPr>
          <w:vertAlign w:val="superscript"/>
        </w:rPr>
        <w:footnoteReference w:id="82"/>
      </w:r>
      <w:r w:rsidRPr="004030B6">
        <w:t>. По итогам последней переписи населения 43 муниципалитета обязаны учредить такой комитет. Кроме того, 33 комитета были учреждены в муниципалитетах, не несущих юридического об</w:t>
      </w:r>
      <w:r w:rsidRPr="004030B6">
        <w:t>я</w:t>
      </w:r>
      <w:r w:rsidRPr="004030B6">
        <w:t>зательства по их созданию. Еще в пяти муниципалитетах проблемы национал</w:t>
      </w:r>
      <w:r w:rsidRPr="004030B6">
        <w:t>ь</w:t>
      </w:r>
      <w:r w:rsidRPr="004030B6">
        <w:t>ных меньшинств решаются в рамках комиссий по национальным меньшинс</w:t>
      </w:r>
      <w:r w:rsidRPr="004030B6">
        <w:t>т</w:t>
      </w:r>
      <w:r w:rsidRPr="004030B6">
        <w:t>вам. Еще одним методом включения вопросов, касающихся меньшинств, в п</w:t>
      </w:r>
      <w:r w:rsidRPr="004030B6">
        <w:t>о</w:t>
      </w:r>
      <w:r w:rsidRPr="004030B6">
        <w:t>вестку дня местных органов управления является учреждение должностей с</w:t>
      </w:r>
      <w:r w:rsidRPr="004030B6">
        <w:t>о</w:t>
      </w:r>
      <w:r w:rsidRPr="004030B6">
        <w:t>ветников или координаторов, что было сделано в 11 городах. Еще в трех гор</w:t>
      </w:r>
      <w:r w:rsidRPr="004030B6">
        <w:t>о</w:t>
      </w:r>
      <w:r w:rsidRPr="004030B6">
        <w:t>дах проблемы этнических и других меньшинств решаются в рамках деятельн</w:t>
      </w:r>
      <w:r w:rsidRPr="004030B6">
        <w:t>о</w:t>
      </w:r>
      <w:r w:rsidRPr="004030B6">
        <w:t>сти рабочих групп по общинному планированию. В соответствии с результат</w:t>
      </w:r>
      <w:r w:rsidRPr="004030B6">
        <w:t>а</w:t>
      </w:r>
      <w:r w:rsidRPr="004030B6">
        <w:t>ми последней переписи населения юридическое обязательство учредить ком</w:t>
      </w:r>
      <w:r w:rsidRPr="004030B6">
        <w:t>и</w:t>
      </w:r>
      <w:r w:rsidRPr="004030B6">
        <w:t>тет по делам национальных меньшинств несет один край. В других краях пр</w:t>
      </w:r>
      <w:r w:rsidRPr="004030B6">
        <w:t>о</w:t>
      </w:r>
      <w:r w:rsidRPr="004030B6">
        <w:t>блемы национальных меньшинств решаются путем создания советов по делам меньшинств или же в рамках деятельности других краевых органов управл</w:t>
      </w:r>
      <w:r w:rsidRPr="004030B6">
        <w:t>е</w:t>
      </w:r>
      <w:r w:rsidRPr="004030B6">
        <w:t xml:space="preserve">ния. </w:t>
      </w:r>
    </w:p>
    <w:p w:rsidR="0086169A" w:rsidRPr="004030B6" w:rsidRDefault="0086169A" w:rsidP="0086169A">
      <w:pPr>
        <w:pStyle w:val="SingleTxtGR"/>
      </w:pPr>
      <w:r w:rsidRPr="004030B6">
        <w:t>55.</w:t>
      </w:r>
      <w:r w:rsidRPr="004030B6">
        <w:tab/>
        <w:t>Этнические меньшинства, традиционно и на длительной основе прож</w:t>
      </w:r>
      <w:r w:rsidRPr="004030B6">
        <w:t>и</w:t>
      </w:r>
      <w:r w:rsidRPr="004030B6">
        <w:t>вающие в ЧР, имеют право на публикацию объявлений о времени и месте пр</w:t>
      </w:r>
      <w:r w:rsidRPr="004030B6">
        <w:t>о</w:t>
      </w:r>
      <w:r w:rsidRPr="004030B6">
        <w:t>ведения выборов, а также другой информации для избирателей на языке этих меньшинств</w:t>
      </w:r>
      <w:r w:rsidRPr="004030B6">
        <w:rPr>
          <w:vertAlign w:val="superscript"/>
        </w:rPr>
        <w:footnoteReference w:id="83"/>
      </w:r>
      <w:r w:rsidRPr="004030B6">
        <w:t>. Исходя из этого, перед проведением любых выборов Министе</w:t>
      </w:r>
      <w:r w:rsidRPr="004030B6">
        <w:t>р</w:t>
      </w:r>
      <w:r w:rsidRPr="004030B6">
        <w:t>ство внутренних дел направляет во все муниципалитеты, где были созданы к</w:t>
      </w:r>
      <w:r w:rsidRPr="004030B6">
        <w:t>о</w:t>
      </w:r>
      <w:r w:rsidRPr="004030B6">
        <w:t>митеты по делам национальных меньшинств, информацию о порядке провед</w:t>
      </w:r>
      <w:r w:rsidRPr="004030B6">
        <w:t>е</w:t>
      </w:r>
      <w:r w:rsidRPr="004030B6">
        <w:t>ния голосования на языках соответствующих национальных меньшинств. В с</w:t>
      </w:r>
      <w:r w:rsidRPr="004030B6">
        <w:t>о</w:t>
      </w:r>
      <w:r w:rsidRPr="004030B6">
        <w:t>ответствующих муниципалитетах эта информация помещается в обычно отв</w:t>
      </w:r>
      <w:r w:rsidRPr="004030B6">
        <w:t>о</w:t>
      </w:r>
      <w:r w:rsidRPr="004030B6">
        <w:t>димых для таких целей местах, то есть, в частности, на доске объявлений м</w:t>
      </w:r>
      <w:r w:rsidRPr="004030B6">
        <w:t>у</w:t>
      </w:r>
      <w:r w:rsidRPr="004030B6">
        <w:t>ниципального управления, а также на каждом участке для голосования, расп</w:t>
      </w:r>
      <w:r w:rsidRPr="004030B6">
        <w:t>о</w:t>
      </w:r>
      <w:r w:rsidRPr="004030B6">
        <w:t>ложенном на территории соответствующего муниципалитета. Аналогичный принцип информирования представителей национальных меньшинств прим</w:t>
      </w:r>
      <w:r w:rsidRPr="004030B6">
        <w:t>е</w:t>
      </w:r>
      <w:r w:rsidRPr="004030B6">
        <w:t>няется также к местным и региональным референдумам.</w:t>
      </w:r>
    </w:p>
    <w:p w:rsidR="0086169A" w:rsidRPr="004030B6" w:rsidRDefault="0086169A" w:rsidP="0086169A">
      <w:pPr>
        <w:pStyle w:val="SingleTxtGR"/>
      </w:pPr>
      <w:r w:rsidRPr="004030B6">
        <w:t>56.</w:t>
      </w:r>
      <w:r w:rsidRPr="004030B6">
        <w:tab/>
        <w:t>Обеспечение участия иностранцев в общественной и политической жи</w:t>
      </w:r>
      <w:r w:rsidRPr="004030B6">
        <w:t>з</w:t>
      </w:r>
      <w:r w:rsidRPr="004030B6">
        <w:t>ни по-прежнему является частью государственной политики по интеграции иностранцев. Иностранцы, постоянно проживающие в ЧР, имеют право голос</w:t>
      </w:r>
      <w:r w:rsidRPr="004030B6">
        <w:t>о</w:t>
      </w:r>
      <w:r w:rsidRPr="004030B6">
        <w:t>вать на муниципальных выборах в тех случаях, когда это право гарантируется им международными договорами, имеющими обязательную силу для ЧР</w:t>
      </w:r>
      <w:r w:rsidRPr="004030B6">
        <w:rPr>
          <w:vertAlign w:val="superscript"/>
        </w:rPr>
        <w:footnoteReference w:id="84"/>
      </w:r>
      <w:r w:rsidRPr="004030B6">
        <w:t>. О</w:t>
      </w:r>
      <w:r w:rsidRPr="004030B6">
        <w:t>д</w:t>
      </w:r>
      <w:r w:rsidRPr="004030B6">
        <w:t>нако на практике это касается лишь граждан ЕС</w:t>
      </w:r>
      <w:r w:rsidRPr="004030B6">
        <w:rPr>
          <w:vertAlign w:val="superscript"/>
        </w:rPr>
        <w:footnoteReference w:id="85"/>
      </w:r>
      <w:r w:rsidRPr="004030B6">
        <w:t>. Для того, чтобы выполнять функции мэра, заместителя мэра</w:t>
      </w:r>
      <w:r w:rsidRPr="004030B6">
        <w:rPr>
          <w:vertAlign w:val="superscript"/>
        </w:rPr>
        <w:footnoteReference w:id="86"/>
      </w:r>
      <w:r w:rsidRPr="004030B6">
        <w:t xml:space="preserve"> и члена Городского совета Праги</w:t>
      </w:r>
      <w:r w:rsidRPr="004030B6">
        <w:rPr>
          <w:vertAlign w:val="superscript"/>
        </w:rPr>
        <w:footnoteReference w:id="87"/>
      </w:r>
      <w:r w:rsidRPr="004030B6">
        <w:t>, также н</w:t>
      </w:r>
      <w:r w:rsidRPr="004030B6">
        <w:t>е</w:t>
      </w:r>
      <w:r w:rsidRPr="004030B6">
        <w:t>обходимо являться чешским гражданином. Вместе с тем принятие так называ</w:t>
      </w:r>
      <w:r w:rsidRPr="004030B6">
        <w:t>е</w:t>
      </w:r>
      <w:r w:rsidRPr="004030B6">
        <w:t>мой технической поправки к Закону о выборах</w:t>
      </w:r>
      <w:r w:rsidRPr="004030B6">
        <w:rPr>
          <w:vertAlign w:val="superscript"/>
        </w:rPr>
        <w:footnoteReference w:id="88"/>
      </w:r>
      <w:r w:rsidRPr="004030B6">
        <w:t xml:space="preserve"> позволило упростить офор</w:t>
      </w:r>
      <w:r w:rsidRPr="004030B6">
        <w:t>м</w:t>
      </w:r>
      <w:r w:rsidRPr="004030B6">
        <w:t>ление соответствующих документов в тех случаях, когда граждане ЕС перее</w:t>
      </w:r>
      <w:r w:rsidRPr="004030B6">
        <w:t>з</w:t>
      </w:r>
      <w:r w:rsidRPr="004030B6">
        <w:t>жают на новое место жительства в пределах ЧР; теперь им не нужно вновь п</w:t>
      </w:r>
      <w:r w:rsidRPr="004030B6">
        <w:t>о</w:t>
      </w:r>
      <w:r w:rsidRPr="004030B6">
        <w:t>давать документы на внесение в списки избирателей по новому месту их пост</w:t>
      </w:r>
      <w:r w:rsidRPr="004030B6">
        <w:t>о</w:t>
      </w:r>
      <w:r w:rsidRPr="004030B6">
        <w:t xml:space="preserve">янного жительства. </w:t>
      </w:r>
    </w:p>
    <w:p w:rsidR="0086169A" w:rsidRPr="004030B6" w:rsidRDefault="009E4302" w:rsidP="009E4302">
      <w:pPr>
        <w:pStyle w:val="H23GR"/>
      </w:pPr>
      <w:r>
        <w:tab/>
      </w:r>
      <w:r w:rsidR="0086169A" w:rsidRPr="004030B6">
        <w:rPr>
          <w:lang w:val="en-US"/>
        </w:rPr>
        <w:t>d</w:t>
      </w:r>
      <w:r w:rsidR="0086169A" w:rsidRPr="004030B6">
        <w:t>)</w:t>
      </w:r>
      <w:r w:rsidR="0086169A" w:rsidRPr="004030B6">
        <w:tab/>
        <w:t>Прочие гражданские права</w:t>
      </w:r>
    </w:p>
    <w:p w:rsidR="0086169A" w:rsidRPr="004030B6" w:rsidRDefault="009E4302" w:rsidP="009E4302">
      <w:pPr>
        <w:pStyle w:val="H4GR"/>
        <w:spacing w:before="240"/>
      </w:pPr>
      <w:r>
        <w:tab/>
      </w:r>
      <w:r>
        <w:tab/>
      </w:r>
      <w:r w:rsidR="0086169A" w:rsidRPr="004030B6">
        <w:t xml:space="preserve">Право на свободу передвижения и выбор местожительства в пределах </w:t>
      </w:r>
      <w:r>
        <w:br/>
      </w:r>
      <w:r>
        <w:tab/>
      </w:r>
      <w:r>
        <w:tab/>
      </w:r>
      <w:r w:rsidR="0086169A" w:rsidRPr="004030B6">
        <w:t>территории государства</w:t>
      </w:r>
    </w:p>
    <w:p w:rsidR="0086169A" w:rsidRPr="004030B6" w:rsidRDefault="0086169A" w:rsidP="0086169A">
      <w:pPr>
        <w:pStyle w:val="SingleTxtGR"/>
      </w:pPr>
      <w:r w:rsidRPr="004030B6">
        <w:t>57.</w:t>
      </w:r>
      <w:r w:rsidRPr="004030B6">
        <w:tab/>
        <w:t>Свобода передвижения и выбора местожительства по-прежнему обесп</w:t>
      </w:r>
      <w:r w:rsidRPr="004030B6">
        <w:t>е</w:t>
      </w:r>
      <w:r w:rsidRPr="004030B6">
        <w:t>чивается на основе равенства. В соответствии с поправкой, внесенной в Закон о мелких правонарушениях</w:t>
      </w:r>
      <w:r w:rsidRPr="004030B6">
        <w:rPr>
          <w:vertAlign w:val="superscript"/>
        </w:rPr>
        <w:footnoteReference w:id="89"/>
      </w:r>
      <w:r w:rsidRPr="004030B6">
        <w:t>, в нем было предусмотрено наказание в виде запр</w:t>
      </w:r>
      <w:r w:rsidRPr="004030B6">
        <w:t>е</w:t>
      </w:r>
      <w:r w:rsidRPr="004030B6">
        <w:t>та на проживание на срок, не превышающий трех месяцев. Наказание в виде запрета на проживание может применяться лишь за некоторые правонарушения, связанные с преднамеренными действиями, которые повлекли за собой серье</w:t>
      </w:r>
      <w:r w:rsidRPr="004030B6">
        <w:t>з</w:t>
      </w:r>
      <w:r w:rsidRPr="004030B6">
        <w:t>ное нарушение общественного порядка, и лишь в тех случаях, когда это необх</w:t>
      </w:r>
      <w:r w:rsidRPr="004030B6">
        <w:t>о</w:t>
      </w:r>
      <w:r w:rsidRPr="004030B6">
        <w:t>димо для защиты общественного порядка, семьи, здоровья, нравственности или имущества, с учетом нынешнего образа жизни лица, ответственного за сове</w:t>
      </w:r>
      <w:r w:rsidRPr="004030B6">
        <w:t>р</w:t>
      </w:r>
      <w:r w:rsidRPr="004030B6">
        <w:t>шение мелкого правонарушения, а также того, где именно оно было совершено. Речь должна идти о повторном совершении одних и тех же действий, мелкое правонарушение должно быть совершено в том же самом административном районе и рассмотрено тем же самым административным органом. Наказание, связанное с запретом на проживание, не должно применяться в отношении ме</w:t>
      </w:r>
      <w:r w:rsidRPr="004030B6">
        <w:t>с</w:t>
      </w:r>
      <w:r w:rsidRPr="004030B6">
        <w:t>та постоянного жительства нарушителя.</w:t>
      </w:r>
    </w:p>
    <w:p w:rsidR="0086169A" w:rsidRPr="009E4302" w:rsidRDefault="009E4302" w:rsidP="009E4302">
      <w:pPr>
        <w:pStyle w:val="H4GR"/>
        <w:spacing w:before="240"/>
      </w:pPr>
      <w:r>
        <w:tab/>
      </w:r>
      <w:r>
        <w:tab/>
      </w:r>
      <w:r w:rsidR="0086169A" w:rsidRPr="009E4302">
        <w:t>Право покидать любую страну, включая свою собственную, и возвращаться</w:t>
      </w:r>
      <w:r>
        <w:br/>
      </w:r>
      <w:r>
        <w:tab/>
      </w:r>
      <w:r>
        <w:tab/>
      </w:r>
      <w:r w:rsidR="0086169A" w:rsidRPr="009E4302">
        <w:t>в свою страну</w:t>
      </w:r>
    </w:p>
    <w:p w:rsidR="0086169A" w:rsidRPr="004030B6" w:rsidRDefault="0086169A" w:rsidP="0086169A">
      <w:pPr>
        <w:pStyle w:val="SingleTxtGR"/>
      </w:pPr>
      <w:r w:rsidRPr="004030B6">
        <w:t>58.</w:t>
      </w:r>
      <w:r w:rsidRPr="004030B6">
        <w:tab/>
        <w:t>В соответствии с Хартией все граждане по-прежнему имеют право св</w:t>
      </w:r>
      <w:r w:rsidRPr="004030B6">
        <w:t>о</w:t>
      </w:r>
      <w:r w:rsidRPr="004030B6">
        <w:t>бодно передвигаться по территории ЧР и беспрепятственно покидать ее. Это право осуществляется на основе равенства вне зависимости от национальности или расы. Аналогичным образом, любые ограничения на проживание ин</w:t>
      </w:r>
      <w:r w:rsidRPr="004030B6">
        <w:t>о</w:t>
      </w:r>
      <w:r w:rsidRPr="004030B6">
        <w:t>странцев на территории ЧР применяются на основе равенства вне зависимости от национальности ли расы.</w:t>
      </w:r>
    </w:p>
    <w:p w:rsidR="0086169A" w:rsidRPr="00172FD9" w:rsidRDefault="00172FD9" w:rsidP="00172FD9">
      <w:pPr>
        <w:pStyle w:val="H4GR"/>
        <w:spacing w:before="240"/>
        <w:ind w:left="1134" w:hanging="1134"/>
        <w:rPr>
          <w:iCs/>
        </w:rPr>
      </w:pPr>
      <w:r w:rsidRPr="00172FD9">
        <w:rPr>
          <w:iCs/>
        </w:rPr>
        <w:tab/>
      </w:r>
      <w:r w:rsidRPr="00172FD9">
        <w:rPr>
          <w:iCs/>
        </w:rPr>
        <w:tab/>
      </w:r>
      <w:r w:rsidR="0086169A" w:rsidRPr="00172FD9">
        <w:rPr>
          <w:iCs/>
        </w:rPr>
        <w:t xml:space="preserve">Право на гражданство и ответ на пункт 20 заключительных замечаний </w:t>
      </w:r>
      <w:r w:rsidRPr="00172FD9">
        <w:rPr>
          <w:iCs/>
        </w:rPr>
        <w:br/>
      </w:r>
      <w:r w:rsidR="0086169A" w:rsidRPr="00172FD9">
        <w:rPr>
          <w:iCs/>
        </w:rPr>
        <w:t>касательно гражданства</w:t>
      </w:r>
    </w:p>
    <w:p w:rsidR="0086169A" w:rsidRPr="004030B6" w:rsidRDefault="0086169A" w:rsidP="0086169A">
      <w:pPr>
        <w:pStyle w:val="SingleTxtGR"/>
      </w:pPr>
      <w:r w:rsidRPr="004030B6">
        <w:t>59.</w:t>
      </w:r>
      <w:r w:rsidRPr="004030B6">
        <w:tab/>
        <w:t>Условия приобретения и утраты гражданства излагаются в законодател</w:t>
      </w:r>
      <w:r w:rsidRPr="004030B6">
        <w:t>ь</w:t>
      </w:r>
      <w:r w:rsidRPr="004030B6">
        <w:t>стве, соответствуют международно-правовым обязательствам ЧР и имеют ц</w:t>
      </w:r>
      <w:r w:rsidRPr="004030B6">
        <w:t>е</w:t>
      </w:r>
      <w:r w:rsidRPr="004030B6">
        <w:t>лью сокращение числа случаев безгражданства с особым упором на детей. Гр</w:t>
      </w:r>
      <w:r w:rsidRPr="004030B6">
        <w:t>а</w:t>
      </w:r>
      <w:r w:rsidRPr="004030B6">
        <w:t>жданство ЧР может быть приобретено по рождению, в результате подтвержд</w:t>
      </w:r>
      <w:r w:rsidRPr="004030B6">
        <w:t>е</w:t>
      </w:r>
      <w:r w:rsidRPr="004030B6">
        <w:t>ния отцовства, усыновления, обнаружения на территории ЧР или натурализ</w:t>
      </w:r>
      <w:r w:rsidRPr="004030B6">
        <w:t>а</w:t>
      </w:r>
      <w:r w:rsidRPr="004030B6">
        <w:t>ции. Некоторые бывшие граждане Чехословакии и некоторые граждане Слов</w:t>
      </w:r>
      <w:r w:rsidRPr="004030B6">
        <w:t>а</w:t>
      </w:r>
      <w:r w:rsidRPr="004030B6">
        <w:t>кии могут приобрести гражданство ЧР просто по заявлению. В соответствии с Законом о проживании иностранцев любой иностранец (и даже лицо без гра</w:t>
      </w:r>
      <w:r w:rsidRPr="004030B6">
        <w:t>ж</w:t>
      </w:r>
      <w:r w:rsidRPr="004030B6">
        <w:t>данства), имеющий разрешение на постоянное проживание в ЧР, имеет право подать заявление на приобретение гражданства. Гражданство предоставляется вне зависимости от первичного гражданства заявителя или же его принадле</w:t>
      </w:r>
      <w:r w:rsidRPr="004030B6">
        <w:t>ж</w:t>
      </w:r>
      <w:r w:rsidRPr="004030B6">
        <w:t>ности к тому или иному национальному или этническому меньшинству при в</w:t>
      </w:r>
      <w:r w:rsidRPr="004030B6">
        <w:t>ы</w:t>
      </w:r>
      <w:r w:rsidRPr="004030B6">
        <w:t>полнении ряда юридических условий, включая срок постоянного проживания в стране, отсутствие судимостей, владение чешским языком, отказ от предыдущ</w:t>
      </w:r>
      <w:r w:rsidRPr="004030B6">
        <w:t>е</w:t>
      </w:r>
      <w:r w:rsidRPr="004030B6">
        <w:t>го гражданства, выполнение обязательств, связанных с въездом на территорию ЧР и проживанием на ней, и уплату обязательных взносов в государственный бюджет. По причинам, изложенным в законодательстве, выполнение этих усл</w:t>
      </w:r>
      <w:r w:rsidRPr="004030B6">
        <w:t>о</w:t>
      </w:r>
      <w:r w:rsidRPr="004030B6">
        <w:t>вий носит обязательный характер. Первого января 2014 года вступит в силу н</w:t>
      </w:r>
      <w:r w:rsidRPr="004030B6">
        <w:t>о</w:t>
      </w:r>
      <w:r w:rsidRPr="004030B6">
        <w:t>вый Закон о гражданстве, который позволит приобретать чешское гражданство в дополнение к первичному гражданству заявителя, а также даст возможность чешским гражданам приобретать гражданство других стран. В дополнение к существующим способам приобретения гражданства предусматривается такая возможность для детей, над которыми устанавливается опека на территории ЧР. Мигранты второго поколения, живущие в ЧР начиная с возраста в 10 лет, теперь смогут воспользоваться упрощенной заявительной процедурой. В соответствии с Законом к условиям для получения гражданства добавляется наличие базовых знаний об истории и обществе ЧР. В рамках Поправки принимается во вним</w:t>
      </w:r>
      <w:r w:rsidRPr="004030B6">
        <w:t>а</w:t>
      </w:r>
      <w:r w:rsidRPr="004030B6">
        <w:t>ние факт членства ЧР в ЕС и смягчаются условия получения гражданства ЧР гражданами других государств-членов ЕС путем натурализации.</w:t>
      </w:r>
    </w:p>
    <w:p w:rsidR="0086169A" w:rsidRPr="007412CE" w:rsidRDefault="00172FD9" w:rsidP="007412CE">
      <w:pPr>
        <w:pStyle w:val="H4GR"/>
      </w:pPr>
      <w:r w:rsidRPr="007412CE">
        <w:tab/>
      </w:r>
      <w:r w:rsidRPr="007412CE">
        <w:tab/>
      </w:r>
      <w:r w:rsidR="0086169A" w:rsidRPr="007412CE">
        <w:t>Право на вступление в брак и на выбор супруга</w:t>
      </w:r>
    </w:p>
    <w:p w:rsidR="0086169A" w:rsidRPr="004030B6" w:rsidRDefault="0086169A" w:rsidP="0086169A">
      <w:pPr>
        <w:pStyle w:val="SingleTxtGR"/>
      </w:pPr>
      <w:r w:rsidRPr="004030B6">
        <w:t>60.</w:t>
      </w:r>
      <w:r w:rsidRPr="004030B6">
        <w:tab/>
        <w:t>В этой области за отчетный период изменений не произошло, и ЧР пр</w:t>
      </w:r>
      <w:r w:rsidRPr="004030B6">
        <w:t>о</w:t>
      </w:r>
      <w:r w:rsidRPr="004030B6">
        <w:t>должает обеспечивать равноправие всех людей в данном вопросе. Аналогичным образом обстоят дела и в контексте вступления в силу нового Гражданского к</w:t>
      </w:r>
      <w:r w:rsidRPr="004030B6">
        <w:t>о</w:t>
      </w:r>
      <w:r w:rsidRPr="004030B6">
        <w:t>декса 1 января 2014 года.</w:t>
      </w:r>
    </w:p>
    <w:p w:rsidR="0086169A" w:rsidRPr="007412CE" w:rsidRDefault="007412CE" w:rsidP="007412CE">
      <w:pPr>
        <w:pStyle w:val="H4GR"/>
        <w:spacing w:before="240"/>
      </w:pPr>
      <w:r>
        <w:tab/>
      </w:r>
      <w:r>
        <w:tab/>
      </w:r>
      <w:r w:rsidR="0086169A" w:rsidRPr="007412CE">
        <w:t>Права на владение имуществом, право наследования</w:t>
      </w:r>
    </w:p>
    <w:p w:rsidR="0086169A" w:rsidRPr="004030B6" w:rsidRDefault="0086169A" w:rsidP="0086169A">
      <w:pPr>
        <w:pStyle w:val="SingleTxtGR"/>
      </w:pPr>
      <w:r w:rsidRPr="004030B6">
        <w:t>61.</w:t>
      </w:r>
      <w:r w:rsidRPr="004030B6">
        <w:tab/>
        <w:t>В этой области за отчетный период изменений не произошло, и ЧР пр</w:t>
      </w:r>
      <w:r w:rsidRPr="004030B6">
        <w:t>о</w:t>
      </w:r>
      <w:r w:rsidRPr="004030B6">
        <w:t>должает обеспечивать равноправие всех людей в данном вопросе. Аналогичным образом обстоят дела и в контексте вступления в силу нового Гражданского к</w:t>
      </w:r>
      <w:r w:rsidRPr="004030B6">
        <w:t>о</w:t>
      </w:r>
      <w:r w:rsidRPr="004030B6">
        <w:t>декса 1 января 2014 года.</w:t>
      </w:r>
    </w:p>
    <w:p w:rsidR="0086169A" w:rsidRPr="007412CE" w:rsidRDefault="007412CE" w:rsidP="007412CE">
      <w:pPr>
        <w:pStyle w:val="H4GR"/>
        <w:spacing w:before="240"/>
      </w:pPr>
      <w:r>
        <w:tab/>
      </w:r>
      <w:r>
        <w:tab/>
      </w:r>
      <w:r w:rsidR="0086169A" w:rsidRPr="007412CE">
        <w:t>Право на свободу мысли, совести и религии</w:t>
      </w:r>
    </w:p>
    <w:p w:rsidR="0086169A" w:rsidRPr="004030B6" w:rsidRDefault="0086169A" w:rsidP="0086169A">
      <w:pPr>
        <w:pStyle w:val="SingleTxtGR"/>
      </w:pPr>
      <w:r w:rsidRPr="004030B6">
        <w:t>62.</w:t>
      </w:r>
      <w:r w:rsidRPr="004030B6">
        <w:tab/>
        <w:t>В этой области за отчетный период изменений не произошло, и ЧР пр</w:t>
      </w:r>
      <w:r w:rsidRPr="004030B6">
        <w:t>о</w:t>
      </w:r>
      <w:r w:rsidRPr="004030B6">
        <w:t>должает обеспечивать равноправие всех людей в данном вопросе.</w:t>
      </w:r>
    </w:p>
    <w:p w:rsidR="0086169A" w:rsidRPr="007412CE" w:rsidRDefault="007412CE" w:rsidP="007412CE">
      <w:pPr>
        <w:pStyle w:val="H4GR"/>
        <w:spacing w:before="240"/>
      </w:pPr>
      <w:r>
        <w:tab/>
      </w:r>
      <w:r>
        <w:tab/>
      </w:r>
      <w:r w:rsidR="0086169A" w:rsidRPr="007412CE">
        <w:t>Право на свободу убеждений и свободу слова</w:t>
      </w:r>
    </w:p>
    <w:p w:rsidR="0086169A" w:rsidRPr="004030B6" w:rsidRDefault="0086169A" w:rsidP="0086169A">
      <w:pPr>
        <w:pStyle w:val="SingleTxtGR"/>
      </w:pPr>
      <w:r w:rsidRPr="004030B6">
        <w:t>63.</w:t>
      </w:r>
      <w:r w:rsidRPr="004030B6">
        <w:tab/>
        <w:t>В этой области за отчетный период изменений не произошло, и ЧР пр</w:t>
      </w:r>
      <w:r w:rsidRPr="004030B6">
        <w:t>о</w:t>
      </w:r>
      <w:r w:rsidRPr="004030B6">
        <w:t>должает обеспечивать равноправие всех людей в данном вопросе.</w:t>
      </w:r>
    </w:p>
    <w:p w:rsidR="0086169A" w:rsidRPr="004030B6" w:rsidRDefault="007412CE" w:rsidP="007412CE">
      <w:pPr>
        <w:pStyle w:val="H4GR"/>
        <w:spacing w:before="240"/>
      </w:pPr>
      <w:r>
        <w:tab/>
      </w:r>
      <w:r>
        <w:tab/>
      </w:r>
      <w:r w:rsidR="0086169A" w:rsidRPr="004030B6">
        <w:t>Право на свободу собраний и ассоциаций</w:t>
      </w:r>
    </w:p>
    <w:p w:rsidR="0086169A" w:rsidRPr="004030B6" w:rsidRDefault="0086169A" w:rsidP="0086169A">
      <w:pPr>
        <w:pStyle w:val="SingleTxtGR"/>
      </w:pPr>
      <w:r w:rsidRPr="004030B6">
        <w:t>64.</w:t>
      </w:r>
      <w:r w:rsidRPr="004030B6">
        <w:tab/>
        <w:t>В этой области за отчетный период изменений не произошло. Основоп</w:t>
      </w:r>
      <w:r w:rsidRPr="004030B6">
        <w:t>о</w:t>
      </w:r>
      <w:r w:rsidRPr="004030B6">
        <w:t>лагающее право на мирные собрания гарантируется всем вне зависимости от расы, национальности или цвета кожи. Таким образом, в соответствии с Харт</w:t>
      </w:r>
      <w:r w:rsidRPr="004030B6">
        <w:t>и</w:t>
      </w:r>
      <w:r w:rsidRPr="004030B6">
        <w:t>ей каждый может организовать мирное собрание, которое отвечает соответс</w:t>
      </w:r>
      <w:r w:rsidRPr="004030B6">
        <w:t>т</w:t>
      </w:r>
      <w:r w:rsidRPr="004030B6">
        <w:t>вующим юридическим требованиям, касающимся прежде всего своевременного уведомления о проведении собрания, а также того, чтобы оно не было связано с посягательством на права других и интересы общества или с их нарушением. Любое мирное собрание обеспечивается защитой, включая защиту от других собраний, которые могут помешать его проведению или привести к тем или иным попыткам нападения на его участников.</w:t>
      </w:r>
    </w:p>
    <w:p w:rsidR="0086169A" w:rsidRPr="004030B6" w:rsidRDefault="0086169A" w:rsidP="0086169A">
      <w:pPr>
        <w:pStyle w:val="SingleTxtGR"/>
      </w:pPr>
      <w:r w:rsidRPr="004030B6">
        <w:t>65.</w:t>
      </w:r>
      <w:r w:rsidRPr="004030B6">
        <w:tab/>
        <w:t>Правовая защита собраний обеспечивается следующим образом: муниц</w:t>
      </w:r>
      <w:r w:rsidRPr="004030B6">
        <w:t>и</w:t>
      </w:r>
      <w:r w:rsidRPr="004030B6">
        <w:t>пальное управление, в зоне ответственности которого находится место пров</w:t>
      </w:r>
      <w:r w:rsidRPr="004030B6">
        <w:t>е</w:t>
      </w:r>
      <w:r w:rsidRPr="004030B6">
        <w:t>дения предстоящего собрания, должно быть поставлено в известность о планах его проведения, после чего управление имеет право в течение рабочих трех дней наложить запрет на проведение собрания по причинам возможного нар</w:t>
      </w:r>
      <w:r w:rsidRPr="004030B6">
        <w:t>у</w:t>
      </w:r>
      <w:r w:rsidRPr="004030B6">
        <w:t>шения или ограничения личных, политических или иных прав граждан на о</w:t>
      </w:r>
      <w:r w:rsidRPr="004030B6">
        <w:t>с</w:t>
      </w:r>
      <w:r w:rsidRPr="004030B6">
        <w:t>новании их национальности, пола, расы, происхождения, политических или иных убеждений, вероисповедания, социального положения или же разжигания ненависти и нетерпимости по вышеизложенным мотивам, опасности крайне непристойного поведения или актов насилия, а также других нарушений Ко</w:t>
      </w:r>
      <w:r w:rsidRPr="004030B6">
        <w:t>н</w:t>
      </w:r>
      <w:r w:rsidRPr="004030B6">
        <w:t>ституции и законов. Еще одной причиной наложения запрета на проведение с</w:t>
      </w:r>
      <w:r w:rsidRPr="004030B6">
        <w:t>о</w:t>
      </w:r>
      <w:r w:rsidRPr="004030B6">
        <w:t>брания может быть проведение в том же месте и в то же самое время другого собрания, о котором было объявлено ранее, если организаторам этих собраний не удалось достичь согласия в отношении корректировки времени и места пр</w:t>
      </w:r>
      <w:r w:rsidRPr="004030B6">
        <w:t>о</w:t>
      </w:r>
      <w:r w:rsidRPr="004030B6">
        <w:t>ведения своих мероприятий после того, как местные органы власти сообщат им о сложившейся ситуации. Они также сами принимают участие в переговорах относительно возможных изменений места или времени проведения собрания с учетом местных условий и необходимости поддержания общественного поря</w:t>
      </w:r>
      <w:r w:rsidRPr="004030B6">
        <w:t>д</w:t>
      </w:r>
      <w:r w:rsidRPr="004030B6">
        <w:t>ка. При этом преследуется цель обеспечить возможность для проведения люб</w:t>
      </w:r>
      <w:r w:rsidRPr="004030B6">
        <w:t>о</w:t>
      </w:r>
      <w:r w:rsidRPr="004030B6">
        <w:t>го мирного собрания. По вышеизложенным причинам может быть прекращено уже проводимое собрание, причем вне зависимости от того, было ли оно з</w:t>
      </w:r>
      <w:r w:rsidRPr="004030B6">
        <w:t>а</w:t>
      </w:r>
      <w:r w:rsidRPr="004030B6">
        <w:t>прещено ранее или нет, и даже в тех случаях, когда уведомление о его провед</w:t>
      </w:r>
      <w:r w:rsidRPr="004030B6">
        <w:t>е</w:t>
      </w:r>
      <w:r w:rsidRPr="004030B6">
        <w:t>нии вообще не направлялось. Если участники собрания отказываются подч</w:t>
      </w:r>
      <w:r w:rsidRPr="004030B6">
        <w:t>и</w:t>
      </w:r>
      <w:r w:rsidRPr="004030B6">
        <w:t>ниться официальному требованию разойтись, Полиция ЧР может принять меры против них. Отказ подчиниться требованиям, а также создание помех при пр</w:t>
      </w:r>
      <w:r w:rsidRPr="004030B6">
        <w:t>о</w:t>
      </w:r>
      <w:r w:rsidRPr="004030B6">
        <w:t>ведении мирного собрания квалифицируются как мелкие правонарушения и н</w:t>
      </w:r>
      <w:r w:rsidRPr="004030B6">
        <w:t>а</w:t>
      </w:r>
      <w:r w:rsidRPr="004030B6">
        <w:t>казываются штрафом. Более тяжкие деяния, включая нападение на участников других собраний, сотрудников полиции или других лиц, могут квалифицир</w:t>
      </w:r>
      <w:r w:rsidRPr="004030B6">
        <w:t>о</w:t>
      </w:r>
      <w:r w:rsidRPr="004030B6">
        <w:t>ваться как уголовные преступления.</w:t>
      </w:r>
    </w:p>
    <w:p w:rsidR="0086169A" w:rsidRPr="004030B6" w:rsidRDefault="0086169A" w:rsidP="0086169A">
      <w:pPr>
        <w:pStyle w:val="SingleTxtGR"/>
      </w:pPr>
      <w:r w:rsidRPr="004030B6">
        <w:t>66.</w:t>
      </w:r>
      <w:r w:rsidRPr="004030B6">
        <w:tab/>
        <w:t xml:space="preserve">Кроме того, Министерство внутренних дел подготовило </w:t>
      </w:r>
      <w:r w:rsidR="009C6F8B">
        <w:t>"</w:t>
      </w:r>
      <w:r w:rsidRPr="004030B6">
        <w:t>Руководство для муниципалитетов по вопросам, связанным с Законом о собраниях</w:t>
      </w:r>
      <w:r w:rsidR="009C6F8B">
        <w:t>"</w:t>
      </w:r>
      <w:r w:rsidRPr="004030B6">
        <w:t>, в котором приводится обзор законодательства, касающегося права на проведение собр</w:t>
      </w:r>
      <w:r w:rsidRPr="004030B6">
        <w:t>а</w:t>
      </w:r>
      <w:r w:rsidRPr="004030B6">
        <w:t xml:space="preserve">ний, а также рекомендации в отношении разрешения проблемных ситуаций при проведении собраний. В 2009 году государство и НПО подготовили совместную брошюру под названием </w:t>
      </w:r>
      <w:r w:rsidR="009C6F8B">
        <w:t>"</w:t>
      </w:r>
      <w:r w:rsidRPr="004030B6">
        <w:t>Непрошеные гости</w:t>
      </w:r>
      <w:r w:rsidR="009C6F8B">
        <w:t>"</w:t>
      </w:r>
      <w:r w:rsidRPr="004030B6">
        <w:t>, посвященную описанию экстр</w:t>
      </w:r>
      <w:r w:rsidRPr="004030B6">
        <w:t>е</w:t>
      </w:r>
      <w:r w:rsidRPr="004030B6">
        <w:t>мистских и неонацистских движений, опыта, связанного с проведением ими с</w:t>
      </w:r>
      <w:r w:rsidRPr="004030B6">
        <w:t>о</w:t>
      </w:r>
      <w:r w:rsidRPr="004030B6">
        <w:t>браний и других мероприятий, а также способов противодействия деятельности экстремистских движений. Обе брошюры были разосланы региональным и м</w:t>
      </w:r>
      <w:r w:rsidRPr="004030B6">
        <w:t>е</w:t>
      </w:r>
      <w:r w:rsidRPr="004030B6">
        <w:t xml:space="preserve">стным органам власти, а также размещены в Интернете. </w:t>
      </w:r>
    </w:p>
    <w:p w:rsidR="0086169A" w:rsidRPr="004030B6" w:rsidRDefault="0086169A" w:rsidP="0086169A">
      <w:pPr>
        <w:pStyle w:val="SingleTxtGR"/>
      </w:pPr>
      <w:r w:rsidRPr="004030B6">
        <w:t>67.</w:t>
      </w:r>
      <w:r w:rsidRPr="004030B6">
        <w:tab/>
        <w:t xml:space="preserve">Институт государственного управления подготовил два учебных курса для сотрудников муниципальных органов, занимающихся вопросами, которые связаны с законодательством о собраниях. Один из них назывался </w:t>
      </w:r>
      <w:r w:rsidR="009C6F8B">
        <w:t>"</w:t>
      </w:r>
      <w:r w:rsidRPr="004030B6">
        <w:t>Муницип</w:t>
      </w:r>
      <w:r w:rsidRPr="004030B6">
        <w:t>а</w:t>
      </w:r>
      <w:r w:rsidRPr="004030B6">
        <w:t>литеты и экстремизм</w:t>
      </w:r>
      <w:r w:rsidR="009C6F8B">
        <w:t>"</w:t>
      </w:r>
      <w:r w:rsidRPr="004030B6">
        <w:t xml:space="preserve"> и был направлен на изучение текущих тенденций и обзор деятельности экстремистских групп, а также вопросов, связанных с правом на проведение собраний. За ним последует курс </w:t>
      </w:r>
      <w:r w:rsidR="009C6F8B">
        <w:t>"</w:t>
      </w:r>
      <w:r w:rsidRPr="004030B6">
        <w:t xml:space="preserve">Муниципалитеты и экстремизм </w:t>
      </w:r>
      <w:r w:rsidRPr="004030B6">
        <w:rPr>
          <w:lang w:val="en-US"/>
        </w:rPr>
        <w:t>II</w:t>
      </w:r>
      <w:r w:rsidR="009C6F8B">
        <w:t>"</w:t>
      </w:r>
      <w:r w:rsidRPr="004030B6">
        <w:t>, в рамках которого должностным лицам будет предоставлена информация о возможностях сотрудничества с Полицией ЧР (по таким вопросам, как коорд</w:t>
      </w:r>
      <w:r w:rsidRPr="004030B6">
        <w:t>и</w:t>
      </w:r>
      <w:r w:rsidRPr="004030B6">
        <w:t>национные механизмы, внутренняя безопасность и общественный порядок, роль групп по урегулированию конфликтов). Мероприятия по профессионал</w:t>
      </w:r>
      <w:r w:rsidRPr="004030B6">
        <w:t>ь</w:t>
      </w:r>
      <w:r w:rsidRPr="004030B6">
        <w:t>ной подготовке в связи со свободой собраний также были реализованы в пол</w:t>
      </w:r>
      <w:r w:rsidRPr="004030B6">
        <w:t>и</w:t>
      </w:r>
      <w:r w:rsidRPr="004030B6">
        <w:t>цейских структурах. Кроме того, Министерство внутренних дел организует дни консультаций по вопросам, связанным этим правом.</w:t>
      </w:r>
    </w:p>
    <w:p w:rsidR="0086169A" w:rsidRPr="004030B6" w:rsidRDefault="0086169A" w:rsidP="0086169A">
      <w:pPr>
        <w:pStyle w:val="SingleTxtGR"/>
      </w:pPr>
      <w:r w:rsidRPr="004030B6">
        <w:t>68.</w:t>
      </w:r>
      <w:r w:rsidRPr="004030B6">
        <w:tab/>
        <w:t>Право на свободу объединений также обеспечивается на основе принципа равенства. Ныне действующее законодательство уже сейчас предусматривает, что решение об отказе в создании того или иного объединения может прин</w:t>
      </w:r>
      <w:r w:rsidRPr="004030B6">
        <w:t>и</w:t>
      </w:r>
      <w:r w:rsidRPr="004030B6">
        <w:t>маться в тех случаях, когда это объединение имеет целью лишение граждан их личных, политических или иных прав или ограничение таких прав на основ</w:t>
      </w:r>
      <w:r w:rsidRPr="004030B6">
        <w:t>а</w:t>
      </w:r>
      <w:r w:rsidRPr="004030B6">
        <w:t>нии их национальности, пола, расы, происхождения, политических или иных убеждений, вероисповедания или социального положения, а также разжигание ненависти и нетерпимости по вышеперечисленным причинам, поддержка нас</w:t>
      </w:r>
      <w:r w:rsidRPr="004030B6">
        <w:t>и</w:t>
      </w:r>
      <w:r w:rsidRPr="004030B6">
        <w:t>лия или же действия, способствующие нарушению принципа равноправия гр</w:t>
      </w:r>
      <w:r w:rsidRPr="004030B6">
        <w:t>а</w:t>
      </w:r>
      <w:r w:rsidRPr="004030B6">
        <w:t>ждан</w:t>
      </w:r>
      <w:r w:rsidRPr="004030B6">
        <w:rPr>
          <w:vertAlign w:val="superscript"/>
        </w:rPr>
        <w:footnoteReference w:id="90"/>
      </w:r>
      <w:r w:rsidRPr="004030B6">
        <w:t>. Новый Гражданский кодекс также запрещает создание любых юридич</w:t>
      </w:r>
      <w:r w:rsidRPr="004030B6">
        <w:t>е</w:t>
      </w:r>
      <w:r w:rsidRPr="004030B6">
        <w:t>ских лиц для вышеуказанных целей</w:t>
      </w:r>
      <w:r w:rsidRPr="004030B6">
        <w:rPr>
          <w:vertAlign w:val="superscript"/>
        </w:rPr>
        <w:footnoteReference w:id="91"/>
      </w:r>
      <w:r w:rsidRPr="004030B6">
        <w:t>. Более полное описание мер, направле</w:t>
      </w:r>
      <w:r w:rsidRPr="004030B6">
        <w:t>н</w:t>
      </w:r>
      <w:r w:rsidRPr="004030B6">
        <w:t>ных против этих организаций, содержится в тексте, относящемся к статье 4. Новый Гражданский кодекс также разрешает создание объединений в составе любой группы людей в количестве от трех и более, которые объединены общ</w:t>
      </w:r>
      <w:r w:rsidRPr="004030B6">
        <w:t>и</w:t>
      </w:r>
      <w:r w:rsidRPr="004030B6">
        <w:t>ми интересами, а не только граждан ЧР</w:t>
      </w:r>
      <w:r w:rsidRPr="004030B6">
        <w:rPr>
          <w:vertAlign w:val="superscript"/>
        </w:rPr>
        <w:footnoteReference w:id="92"/>
      </w:r>
      <w:r w:rsidRPr="004030B6">
        <w:t xml:space="preserve">. </w:t>
      </w:r>
    </w:p>
    <w:p w:rsidR="0086169A" w:rsidRPr="004030B6" w:rsidRDefault="00007A7F" w:rsidP="00007A7F">
      <w:pPr>
        <w:pStyle w:val="H23GR"/>
      </w:pPr>
      <w:r>
        <w:tab/>
      </w:r>
      <w:r w:rsidR="0086169A" w:rsidRPr="004030B6">
        <w:rPr>
          <w:lang w:val="en-US"/>
        </w:rPr>
        <w:t>e</w:t>
      </w:r>
      <w:r w:rsidR="0086169A" w:rsidRPr="004030B6">
        <w:t>)</w:t>
      </w:r>
      <w:r w:rsidR="0086169A" w:rsidRPr="004030B6">
        <w:tab/>
        <w:t>Экономические, социальные и культурные права</w:t>
      </w:r>
    </w:p>
    <w:p w:rsidR="0086169A" w:rsidRPr="004030B6" w:rsidRDefault="00007A7F" w:rsidP="00007A7F">
      <w:pPr>
        <w:pStyle w:val="H4GR"/>
        <w:spacing w:before="240"/>
      </w:pPr>
      <w:r>
        <w:tab/>
      </w:r>
      <w:r>
        <w:tab/>
      </w:r>
      <w:r w:rsidR="0086169A" w:rsidRPr="004030B6">
        <w:t>Право на труд</w:t>
      </w:r>
    </w:p>
    <w:p w:rsidR="0086169A" w:rsidRPr="004030B6" w:rsidRDefault="0086169A" w:rsidP="0086169A">
      <w:pPr>
        <w:pStyle w:val="SingleTxtGR"/>
      </w:pPr>
      <w:r w:rsidRPr="004030B6">
        <w:t>69.</w:t>
      </w:r>
      <w:r w:rsidRPr="004030B6">
        <w:tab/>
        <w:t>Подробная информация о законодательных мерах в области занятости с</w:t>
      </w:r>
      <w:r w:rsidRPr="004030B6">
        <w:t>о</w:t>
      </w:r>
      <w:r w:rsidRPr="004030B6">
        <w:t>держится в предыдущем докладе</w:t>
      </w:r>
      <w:r w:rsidRPr="004030B6">
        <w:rPr>
          <w:vertAlign w:val="superscript"/>
        </w:rPr>
        <w:footnoteReference w:id="93"/>
      </w:r>
      <w:r w:rsidRPr="004030B6">
        <w:t>. В соответствии с Законом о борьбе с ди</w:t>
      </w:r>
      <w:r w:rsidRPr="004030B6">
        <w:t>с</w:t>
      </w:r>
      <w:r w:rsidRPr="004030B6">
        <w:t>криминацией по-прежнему действуют принципы равноправия и запрета на ди</w:t>
      </w:r>
      <w:r w:rsidRPr="004030B6">
        <w:t>с</w:t>
      </w:r>
      <w:r w:rsidRPr="004030B6">
        <w:t>криминацию в области трудового законодательства и занятости.</w:t>
      </w:r>
    </w:p>
    <w:p w:rsidR="0086169A" w:rsidRPr="004030B6" w:rsidRDefault="0086169A" w:rsidP="0086169A">
      <w:pPr>
        <w:pStyle w:val="SingleTxtGR"/>
      </w:pPr>
      <w:r w:rsidRPr="004030B6">
        <w:t>70.</w:t>
      </w:r>
      <w:r w:rsidRPr="004030B6">
        <w:tab/>
        <w:t>Согласно данным регионального обследования, проведенного в рамках совместного исследования Всемирного банка, Программы развития Организ</w:t>
      </w:r>
      <w:r w:rsidRPr="004030B6">
        <w:t>а</w:t>
      </w:r>
      <w:r w:rsidRPr="004030B6">
        <w:t>ции Объединенных Наций и Агентства ЕС по основным правам (АОП) под н</w:t>
      </w:r>
      <w:r w:rsidRPr="004030B6">
        <w:t>а</w:t>
      </w:r>
      <w:r w:rsidRPr="004030B6">
        <w:t xml:space="preserve">званием </w:t>
      </w:r>
      <w:r w:rsidR="009C6F8B">
        <w:t>"</w:t>
      </w:r>
      <w:r w:rsidRPr="004030B6">
        <w:t>Положение рома в 11 государствах-членах ЕС</w:t>
      </w:r>
      <w:r w:rsidR="009C6F8B">
        <w:t>"</w:t>
      </w:r>
      <w:r w:rsidRPr="004030B6">
        <w:rPr>
          <w:vertAlign w:val="superscript"/>
        </w:rPr>
        <w:footnoteReference w:id="94"/>
      </w:r>
      <w:r w:rsidRPr="004030B6">
        <w:t>, уровень безработ</w:t>
      </w:r>
      <w:r w:rsidRPr="004030B6">
        <w:t>и</w:t>
      </w:r>
      <w:r w:rsidRPr="004030B6">
        <w:t>цы среди рома в возрастной группе от 15 до 64 лет составлял 39%, а среди других групп населения – 6%. Среди представителей данной возрастной категории р</w:t>
      </w:r>
      <w:r w:rsidRPr="004030B6">
        <w:t>а</w:t>
      </w:r>
      <w:r w:rsidRPr="004030B6">
        <w:t>ботают 43% мужчин-рома, но при этом всего лишь 19% женщин-рома. Ур</w:t>
      </w:r>
      <w:r w:rsidRPr="004030B6">
        <w:t>о</w:t>
      </w:r>
      <w:r w:rsidRPr="004030B6">
        <w:t>вень безработицы среди молодежи рома в возрасте от 15 до 24 лет составляет 61%. В общей сложности 77% опрошенной молодежи рома не имеет предыд</w:t>
      </w:r>
      <w:r w:rsidRPr="004030B6">
        <w:t>у</w:t>
      </w:r>
      <w:r w:rsidRPr="004030B6">
        <w:t>щего опыта работы. Самостоятельно занятыми являются лишь 2% рома. Министе</w:t>
      </w:r>
      <w:r w:rsidRPr="004030B6">
        <w:t>р</w:t>
      </w:r>
      <w:r w:rsidRPr="004030B6">
        <w:t>ство по делам труда и социальным вопросам разрабатывает механизмы и меры, направленные на поощрение трудоустройства рома и представителей других меньшинств, включая переподготовку, создание общественно полезных рабочих мест, стимулирование капиталовложений, программу выплаты частичных ко</w:t>
      </w:r>
      <w:r w:rsidRPr="004030B6">
        <w:t>м</w:t>
      </w:r>
      <w:r w:rsidRPr="004030B6">
        <w:t>пенсаций за обучение новых сотрудников и участие в новых бизнес-программах, специальную консультативную службу и целевые программы, н</w:t>
      </w:r>
      <w:r w:rsidRPr="004030B6">
        <w:t>а</w:t>
      </w:r>
      <w:r w:rsidRPr="004030B6">
        <w:t>правленные на решение проблемы занятости. Управление по вопросам труд</w:t>
      </w:r>
      <w:r w:rsidRPr="004030B6">
        <w:t>о</w:t>
      </w:r>
      <w:r w:rsidRPr="004030B6">
        <w:t>устройства в сотрудничестве с лицами, ведущими поиск работы, составляют индивидуальные планы действий, включающие в себя процедуру, график и оценку шагов, направленных на повышение шансов соискателей на рынке тр</w:t>
      </w:r>
      <w:r w:rsidRPr="004030B6">
        <w:t>у</w:t>
      </w:r>
      <w:r w:rsidRPr="004030B6">
        <w:t>да. Такой план может включать в себя консультативные услуги, связанные с р</w:t>
      </w:r>
      <w:r w:rsidRPr="004030B6">
        <w:t>а</w:t>
      </w:r>
      <w:r w:rsidRPr="004030B6">
        <w:t>ботой и другими вопросами, переподготовку или иные возможности для пов</w:t>
      </w:r>
      <w:r w:rsidRPr="004030B6">
        <w:t>ы</w:t>
      </w:r>
      <w:r w:rsidRPr="004030B6">
        <w:t>шения квалификации, а также применение инструментов активной политики в области занятости, включая создание общественно полезных рабочих мест и общественные работы. При определении параметров плана учитываются оф</w:t>
      </w:r>
      <w:r w:rsidRPr="004030B6">
        <w:t>и</w:t>
      </w:r>
      <w:r w:rsidRPr="004030B6">
        <w:t>циальная квалификация, состояние здоровья, а также возможности и навыки соискателя. Такой план разрабатывается Центром занятости в тех случаях, к</w:t>
      </w:r>
      <w:r w:rsidRPr="004030B6">
        <w:t>о</w:t>
      </w:r>
      <w:r w:rsidRPr="004030B6">
        <w:t>гда соискатель был там непрерывно зарегистрирован в течение 5 месяцев или более. Индивидуальный подход к подготовке и доработке плана позволяет обеспечить учет различных социокультурных условий и адаптацию к ним в процессе интеграции меньшинства рома в жизнь общества в целом. В случае их заинтересованности в этом соискатели охватываются поддерживающими пр</w:t>
      </w:r>
      <w:r w:rsidRPr="004030B6">
        <w:t>о</w:t>
      </w:r>
      <w:r w:rsidRPr="004030B6">
        <w:t>граммами социальной интеграции и социальных услуг (социальная экономика). Статистические данные Управления по вопросам трудоустройства о количестве рома, ведущих поиск работы, приводятся в приложении 4. В нем показано, что соискатели из числа рома наиболее часто пользуются консультативными пр</w:t>
      </w:r>
      <w:r w:rsidRPr="004030B6">
        <w:t>о</w:t>
      </w:r>
      <w:r w:rsidRPr="004030B6">
        <w:t xml:space="preserve">граммами, программами общественных работ, а также другими программами в рамках активной политики в области занятости. В программах переподготовки они участвуют не столь активно. </w:t>
      </w:r>
    </w:p>
    <w:p w:rsidR="0086169A" w:rsidRPr="004030B6" w:rsidRDefault="0086169A" w:rsidP="0086169A">
      <w:pPr>
        <w:pStyle w:val="SingleTxtGR"/>
      </w:pPr>
      <w:r w:rsidRPr="004030B6">
        <w:t>71.</w:t>
      </w:r>
      <w:r w:rsidRPr="004030B6">
        <w:tab/>
        <w:t>Концептуальная программа интеграции рома на 2010-2013 годы напра</w:t>
      </w:r>
      <w:r w:rsidRPr="004030B6">
        <w:t>в</w:t>
      </w:r>
      <w:r w:rsidRPr="004030B6">
        <w:t>лена на расширение занятости рома. Предусмотренные в ней основные мех</w:t>
      </w:r>
      <w:r w:rsidRPr="004030B6">
        <w:t>а</w:t>
      </w:r>
      <w:r w:rsidRPr="004030B6">
        <w:t>низмы действий касаются прежде всего изменений в работе государственных служб занятости, поощрения социального предпринимательства в социально изолированных районах проживания рома, включения темы предпринимател</w:t>
      </w:r>
      <w:r w:rsidRPr="004030B6">
        <w:t>ь</w:t>
      </w:r>
      <w:r w:rsidRPr="004030B6">
        <w:t>ства в контекст школьной учебной программы и борьбы с нелегальной занят</w:t>
      </w:r>
      <w:r w:rsidRPr="004030B6">
        <w:t>о</w:t>
      </w:r>
      <w:r w:rsidRPr="004030B6">
        <w:t>стью. В рамках Концептуальной программы поощряется постоянное наблюд</w:t>
      </w:r>
      <w:r w:rsidRPr="004030B6">
        <w:t>е</w:t>
      </w:r>
      <w:r w:rsidRPr="004030B6">
        <w:t>ние за случаями дискриминации и других видов незаконной практики, прим</w:t>
      </w:r>
      <w:r w:rsidRPr="004030B6">
        <w:t>е</w:t>
      </w:r>
      <w:r w:rsidRPr="004030B6">
        <w:t>няемой в отношении рома на рынке труда, а также за наказаниями в отношении тех, кто допускает подобные случаи. Одной из ключевых задач в области зан</w:t>
      </w:r>
      <w:r w:rsidRPr="004030B6">
        <w:t>я</w:t>
      </w:r>
      <w:r w:rsidRPr="004030B6">
        <w:t>тости является изменение подходов работодателей и поощрение принципа мн</w:t>
      </w:r>
      <w:r w:rsidRPr="004030B6">
        <w:t>о</w:t>
      </w:r>
      <w:r w:rsidRPr="004030B6">
        <w:t>гообразия применительно к трудовым коллективам как в частном секторе, так и в области государственного управления. Распространение принципа многообр</w:t>
      </w:r>
      <w:r w:rsidRPr="004030B6">
        <w:t>а</w:t>
      </w:r>
      <w:r w:rsidRPr="004030B6">
        <w:t>зия должно способствовать достижению большей открытости как работодат</w:t>
      </w:r>
      <w:r w:rsidRPr="004030B6">
        <w:t>е</w:t>
      </w:r>
      <w:r w:rsidRPr="004030B6">
        <w:t>лей, так членов трудовых коллективов в отношении представителей общин р</w:t>
      </w:r>
      <w:r w:rsidRPr="004030B6">
        <w:t>о</w:t>
      </w:r>
      <w:r w:rsidRPr="004030B6">
        <w:t xml:space="preserve">ма в контексте процессов трудоустройства и работы. </w:t>
      </w:r>
    </w:p>
    <w:p w:rsidR="0086169A" w:rsidRPr="004030B6" w:rsidRDefault="00007A7F" w:rsidP="0086169A">
      <w:pPr>
        <w:pStyle w:val="SingleTxtGR"/>
      </w:pPr>
      <w:r>
        <w:t>72.</w:t>
      </w:r>
      <w:r>
        <w:tab/>
      </w:r>
      <w:r w:rsidR="0086169A" w:rsidRPr="004030B6">
        <w:t>Еще одним правительственным документом в данной области является Стратегия борьбы с социальной изоляцией на 2011-2015 годы. В целях расш</w:t>
      </w:r>
      <w:r w:rsidR="0086169A" w:rsidRPr="004030B6">
        <w:t>и</w:t>
      </w:r>
      <w:r w:rsidR="0086169A" w:rsidRPr="004030B6">
        <w:t>рения занятости населения социально изолированных районов в Стратегии предлагается создать систему поэтапного трудоустройства или же более акти</w:t>
      </w:r>
      <w:r w:rsidR="0086169A" w:rsidRPr="004030B6">
        <w:t>в</w:t>
      </w:r>
      <w:r w:rsidR="0086169A" w:rsidRPr="004030B6">
        <w:t>но задействовать услуги лиц, длительное время находящихся без работы, в сф</w:t>
      </w:r>
      <w:r w:rsidR="0086169A" w:rsidRPr="004030B6">
        <w:t>е</w:t>
      </w:r>
      <w:r w:rsidR="0086169A" w:rsidRPr="004030B6">
        <w:t>ре, связанной с городскими государственными закупками. Система поэтапного трудоустройства позволит комбинировать различные инструменты политики в области занятости, обеспечивать их логическую последовательность и оказ</w:t>
      </w:r>
      <w:r w:rsidR="0086169A" w:rsidRPr="004030B6">
        <w:t>ы</w:t>
      </w:r>
      <w:r w:rsidR="0086169A" w:rsidRPr="004030B6">
        <w:t>вать кандидатам помощь уже после того, как они приступят к работе. На первом этапе речь пойдет о работе в сфере коммунальных услуг, в рамках которой с</w:t>
      </w:r>
      <w:r w:rsidR="0086169A" w:rsidRPr="004030B6">
        <w:t>о</w:t>
      </w:r>
      <w:r w:rsidR="0086169A" w:rsidRPr="004030B6">
        <w:t>искатель работы будет оказывать муниципалитетам и другим органам в деле поддержания общественных мест в надлежащем состоянии, в работе в культу</w:t>
      </w:r>
      <w:r w:rsidR="0086169A" w:rsidRPr="004030B6">
        <w:t>р</w:t>
      </w:r>
      <w:r w:rsidR="0086169A" w:rsidRPr="004030B6">
        <w:t>ной и социальной сферах или же в выполнении других муниципальных фун</w:t>
      </w:r>
      <w:r w:rsidR="0086169A" w:rsidRPr="004030B6">
        <w:t>к</w:t>
      </w:r>
      <w:r w:rsidR="0086169A" w:rsidRPr="004030B6">
        <w:t>ций, с тем чтобы обеспечить поддержание и укрепление практических навыков работы, а также ответственности. Тем, кто хорошо зарекомендует себя на раб</w:t>
      </w:r>
      <w:r w:rsidR="0086169A" w:rsidRPr="004030B6">
        <w:t>о</w:t>
      </w:r>
      <w:r w:rsidR="0086169A" w:rsidRPr="004030B6">
        <w:t>те в сфере коммунальных услуг, будет предоставлена возможность перейти ко второму этапу – общественным работам, которые лучше оплачиваются и хара</w:t>
      </w:r>
      <w:r w:rsidR="0086169A" w:rsidRPr="004030B6">
        <w:t>к</w:t>
      </w:r>
      <w:r w:rsidR="0086169A" w:rsidRPr="004030B6">
        <w:t>теризуются более благоприятными условиями труда. Третий этап – работа на переходном социальном предприятии с субсидированной заработной платой, а четвертый – выход на свободный рынок труда или собственная предприним</w:t>
      </w:r>
      <w:r w:rsidR="0086169A" w:rsidRPr="004030B6">
        <w:t>а</w:t>
      </w:r>
      <w:r w:rsidR="0086169A" w:rsidRPr="004030B6">
        <w:t>тельская деятельность. Государство и муниципалитеты также создают рабочие места в сфере государственных услуг и общественных работ. Кроме того, они предоставляют государственным и частным структурам субсидии на цели со</w:t>
      </w:r>
      <w:r w:rsidR="0086169A" w:rsidRPr="004030B6">
        <w:t>з</w:t>
      </w:r>
      <w:r w:rsidR="0086169A" w:rsidRPr="004030B6">
        <w:t>дания рабочих мест в сфере коммунальных услуг, создание социальных усл</w:t>
      </w:r>
      <w:r w:rsidR="0086169A" w:rsidRPr="004030B6">
        <w:t>о</w:t>
      </w:r>
      <w:r w:rsidR="0086169A" w:rsidRPr="004030B6">
        <w:t>вий и предоставление социальных услуг, направленных на оказание лицам, в</w:t>
      </w:r>
      <w:r w:rsidR="0086169A" w:rsidRPr="004030B6">
        <w:t>е</w:t>
      </w:r>
      <w:r w:rsidR="0086169A" w:rsidRPr="004030B6">
        <w:t>дущим поиск работы, помощи на рынке труда.</w:t>
      </w:r>
    </w:p>
    <w:p w:rsidR="0086169A" w:rsidRPr="004030B6" w:rsidRDefault="0086169A" w:rsidP="0086169A">
      <w:pPr>
        <w:pStyle w:val="SingleTxtGR"/>
      </w:pPr>
      <w:r w:rsidRPr="004030B6">
        <w:t>73.</w:t>
      </w:r>
      <w:r w:rsidRPr="004030B6">
        <w:tab/>
        <w:t>Проекты, способствующие улучшению положения рома на рынке труда, разрабатываются при финансовой поддержке Европейского социального фонда. В рамках этих проектов обеспечивается оказание консультативной помощи по вопросам трудоустройства и юридическим вопросам, налаживаются контакты с работодателями, а также реализуются другие мероприятия, направленные на повышение квалификации и трудоустройство рома, находящихся в неблагопр</w:t>
      </w:r>
      <w:r w:rsidRPr="004030B6">
        <w:t>и</w:t>
      </w:r>
      <w:r w:rsidRPr="004030B6">
        <w:t>ятном положении. Среди проектов, направленных на расширение занятости р</w:t>
      </w:r>
      <w:r w:rsidRPr="004030B6">
        <w:t>о</w:t>
      </w:r>
      <w:r w:rsidRPr="004030B6">
        <w:t xml:space="preserve">ма, представляет интерес проект </w:t>
      </w:r>
      <w:r w:rsidR="009C6F8B">
        <w:t>"</w:t>
      </w:r>
      <w:r w:rsidRPr="004030B6">
        <w:t>Этнически дружелюбный работодатель</w:t>
      </w:r>
      <w:r w:rsidR="009C6F8B">
        <w:t>"</w:t>
      </w:r>
      <w:r w:rsidRPr="004030B6">
        <w:t>. Это звание присваивается работодателям, которые открыто популяризируют при</w:t>
      </w:r>
      <w:r w:rsidRPr="004030B6">
        <w:t>н</w:t>
      </w:r>
      <w:r w:rsidRPr="004030B6">
        <w:t>цип равного обращения и не дискриминируют соискателей работы и сотрудн</w:t>
      </w:r>
      <w:r w:rsidRPr="004030B6">
        <w:t>и</w:t>
      </w:r>
      <w:r w:rsidRPr="004030B6">
        <w:t>ков по признакам их этнической или национальной принадлежности, а также по другим признакам. Это звание, присваиваемое работодателям, служит не только для соискателей работы, имеющих другое этническое происхождение, но и для общественности сигналом того, что данный работодатель предоставляет равные возможности лицам различной этнической принадлежности. Поддержка этих положительных примеров должна способствовать дальнейшему распростран</w:t>
      </w:r>
      <w:r w:rsidRPr="004030B6">
        <w:t>е</w:t>
      </w:r>
      <w:r w:rsidRPr="004030B6">
        <w:t>нию принципа недискриминации в качестве всеобщей нормы поведения не только в области трудовых отношений, но и в других сферах общественной жизни. Это, в свою очередь, должно обеспечивать выполнение юридических обязательств, связанных с отказом от дискриминации и созданием равных во</w:t>
      </w:r>
      <w:r w:rsidRPr="004030B6">
        <w:t>з</w:t>
      </w:r>
      <w:r w:rsidRPr="004030B6">
        <w:t xml:space="preserve">можностей, а также искоренение предрассудков и стереотипов. Начиная с 2007 года это звание было присвоено более чем 59 организациям. </w:t>
      </w:r>
    </w:p>
    <w:p w:rsidR="0086169A" w:rsidRPr="004030B6" w:rsidRDefault="00007A7F" w:rsidP="00C0446B">
      <w:pPr>
        <w:pStyle w:val="H4GR"/>
        <w:spacing w:before="240"/>
      </w:pPr>
      <w:r>
        <w:tab/>
      </w:r>
      <w:r>
        <w:tab/>
      </w:r>
      <w:r w:rsidR="0086169A" w:rsidRPr="004030B6">
        <w:t xml:space="preserve">Ответ, касающийся пункта 14 заключительных замечаний, относительно </w:t>
      </w:r>
      <w:r>
        <w:br/>
      </w:r>
      <w:r w:rsidR="00C0446B">
        <w:tab/>
      </w:r>
      <w:r w:rsidR="00C0446B">
        <w:tab/>
      </w:r>
      <w:r w:rsidR="0086169A" w:rsidRPr="004030B6">
        <w:t>приема рома на работу в сфере государственного управления</w:t>
      </w:r>
    </w:p>
    <w:p w:rsidR="0086169A" w:rsidRPr="004030B6" w:rsidRDefault="0086169A" w:rsidP="0086169A">
      <w:pPr>
        <w:pStyle w:val="SingleTxtGR"/>
      </w:pPr>
      <w:r w:rsidRPr="004030B6">
        <w:t>74.</w:t>
      </w:r>
      <w:r w:rsidRPr="004030B6">
        <w:tab/>
        <w:t>Процентная доля рома, работающих в сфере государственного управл</w:t>
      </w:r>
      <w:r w:rsidRPr="004030B6">
        <w:t>е</w:t>
      </w:r>
      <w:r w:rsidRPr="004030B6">
        <w:t>ния, неизвестна, поскольку сбор данных об этническом происхождении гос</w:t>
      </w:r>
      <w:r w:rsidRPr="004030B6">
        <w:t>у</w:t>
      </w:r>
      <w:r w:rsidRPr="004030B6">
        <w:t>дарственных служащих не ведется по соображениям, связанным с защитой личных данных. Меры, направленные на более активный прием рома на работу в органы государственного управления, отсутствуют. Вместе с тем ЧР отдает себе отчет в необходимости и важности трудоустройства представителей мен</w:t>
      </w:r>
      <w:r w:rsidRPr="004030B6">
        <w:t>ь</w:t>
      </w:r>
      <w:r w:rsidRPr="004030B6">
        <w:t xml:space="preserve">шинств, включая рома, в органы государственного управления. </w:t>
      </w:r>
    </w:p>
    <w:p w:rsidR="0086169A" w:rsidRPr="004030B6" w:rsidRDefault="0086169A" w:rsidP="0086169A">
      <w:pPr>
        <w:pStyle w:val="SingleTxtGR"/>
      </w:pPr>
      <w:r w:rsidRPr="004030B6">
        <w:t>75.</w:t>
      </w:r>
      <w:r w:rsidRPr="004030B6">
        <w:tab/>
        <w:t>Представители меньшинства рома трудятся на государственной службе на тех должностях, которые связаны с проблемами рома и их интеграции. Во всех 14 краях имеется 14 краевых координаторов, четверо из которых предста</w:t>
      </w:r>
      <w:r w:rsidRPr="004030B6">
        <w:t>в</w:t>
      </w:r>
      <w:r w:rsidRPr="004030B6">
        <w:t>ляют народность рома. В более крупных муниципалитетах работает 164 ко</w:t>
      </w:r>
      <w:r w:rsidRPr="004030B6">
        <w:t>н</w:t>
      </w:r>
      <w:r w:rsidRPr="004030B6">
        <w:t>сультанта по делам рома; некоторые из них сами являются рома. Рома также трудятся в качестве социальных работников на местах в штате муниципалит</w:t>
      </w:r>
      <w:r w:rsidRPr="004030B6">
        <w:t>е</w:t>
      </w:r>
      <w:r w:rsidRPr="004030B6">
        <w:t>тов и НПО, занимающихся проблемами рома, где они могут найти применение своим способностям поддерживать эффективные контакты с другими рома и содействовать созданию атмосферы доверия. Кроме того, сотрудники из числа рома - по тем же самым причинам, связанным с их важным преимуществом в плане способности поддерживать контакты с другими представителями мен</w:t>
      </w:r>
      <w:r w:rsidRPr="004030B6">
        <w:t>ь</w:t>
      </w:r>
      <w:r w:rsidRPr="004030B6">
        <w:t>шинства рома, - привлекаются к работе в качестве социальных работников м</w:t>
      </w:r>
      <w:r w:rsidRPr="004030B6">
        <w:t>е</w:t>
      </w:r>
      <w:r w:rsidRPr="004030B6">
        <w:t>дицинского профиля в сфере здравоохранения. В сотрудничестве с местной п</w:t>
      </w:r>
      <w:r w:rsidRPr="004030B6">
        <w:t>о</w:t>
      </w:r>
      <w:r w:rsidRPr="004030B6">
        <w:t>лицией рома также работают в качестве помощников по вопросам профилакт</w:t>
      </w:r>
      <w:r w:rsidRPr="004030B6">
        <w:t>и</w:t>
      </w:r>
      <w:r w:rsidRPr="004030B6">
        <w:t>ки преступности</w:t>
      </w:r>
      <w:r w:rsidRPr="004030B6">
        <w:rPr>
          <w:vertAlign w:val="superscript"/>
        </w:rPr>
        <w:footnoteReference w:id="95"/>
      </w:r>
      <w:r w:rsidRPr="004030B6">
        <w:t xml:space="preserve"> в социально изолированных районах. Помощники выполн</w:t>
      </w:r>
      <w:r w:rsidRPr="004030B6">
        <w:t>я</w:t>
      </w:r>
      <w:r w:rsidRPr="004030B6">
        <w:t>ют функции сотрудников по связям между полицией и территориальными орг</w:t>
      </w:r>
      <w:r w:rsidRPr="004030B6">
        <w:t>а</w:t>
      </w:r>
      <w:r w:rsidRPr="004030B6">
        <w:t>нами государственного управления, с одной стороны, и населением соответс</w:t>
      </w:r>
      <w:r w:rsidRPr="004030B6">
        <w:t>т</w:t>
      </w:r>
      <w:r w:rsidRPr="004030B6">
        <w:t>вующих территорий, с другой; их целью является обеспечение законности, взаимодействия и взаимопонимания, а также предотвращение конфликтных с</w:t>
      </w:r>
      <w:r w:rsidRPr="004030B6">
        <w:t>и</w:t>
      </w:r>
      <w:r w:rsidRPr="004030B6">
        <w:t>туаций. Данные о количестве помощников приводятся в Приложении № 3. В том случае, если помощникам удается хорошо зарекомендовать себя на своих должностях, они могут стать полноправными сотрудниками муниципальной полиции. Важную роль в решении проблем социально неблагополучных школьников-рома играют работающие в школах помощники педагогов. Пр</w:t>
      </w:r>
      <w:r w:rsidRPr="004030B6">
        <w:t>и</w:t>
      </w:r>
      <w:r w:rsidRPr="004030B6">
        <w:t>мерно четверть таких помощников сами являются рома. Более подробная и</w:t>
      </w:r>
      <w:r w:rsidRPr="004030B6">
        <w:t>н</w:t>
      </w:r>
      <w:r w:rsidRPr="004030B6">
        <w:t>формация по данному вопросу приводится ниже в тексте, посвященном вопр</w:t>
      </w:r>
      <w:r w:rsidRPr="004030B6">
        <w:t>о</w:t>
      </w:r>
      <w:r w:rsidRPr="004030B6">
        <w:t>сам образования.</w:t>
      </w:r>
    </w:p>
    <w:p w:rsidR="0086169A" w:rsidRPr="004030B6" w:rsidRDefault="0086169A" w:rsidP="0086169A">
      <w:pPr>
        <w:pStyle w:val="SingleTxtGR"/>
      </w:pPr>
      <w:r w:rsidRPr="004030B6">
        <w:t>76.</w:t>
      </w:r>
      <w:r w:rsidRPr="004030B6">
        <w:tab/>
        <w:t>В настоящее время реализуется кампания, касающаяся условий работы в полиции. Соискатели должностей из числа рома и других меньшинств польз</w:t>
      </w:r>
      <w:r w:rsidRPr="004030B6">
        <w:t>у</w:t>
      </w:r>
      <w:r w:rsidRPr="004030B6">
        <w:t>ются в органах полиции теми же возможностями, что и другие кандидаты. О</w:t>
      </w:r>
      <w:r w:rsidRPr="004030B6">
        <w:t>д</w:t>
      </w:r>
      <w:r w:rsidRPr="004030B6">
        <w:t>нако у большинства из них отсутствует необходимое образование. Начиная с 2010 года Полицейский колледж и Полицейская средняя школа Министерства внутренних дел в Голешове реализуют два проекта в области обучения предст</w:t>
      </w:r>
      <w:r w:rsidRPr="004030B6">
        <w:t>а</w:t>
      </w:r>
      <w:r w:rsidRPr="004030B6">
        <w:t>вителей национальных меньшинств. Оба этих проекта направлены на создание равных возможностей для тех учеников из числа этнических меньшинств ЧР, которые заканчивают начальную школу, в процессе приема в полицейские учебные заведения и обучения в них, с тем чтобы не допустить их выпадения из основной системы образования и обеспечить их конкурентоспособность на рынке труда. Этот проект направлен в основном на представителей этнических меньшинств, но открыт и для иностранцев. Особое внимание уделяется вопр</w:t>
      </w:r>
      <w:r w:rsidRPr="004030B6">
        <w:t>о</w:t>
      </w:r>
      <w:r w:rsidRPr="004030B6">
        <w:t>сам предотвращения расизма и ксенофобии, а также поощрения мультикульту</w:t>
      </w:r>
      <w:r w:rsidRPr="004030B6">
        <w:t>р</w:t>
      </w:r>
      <w:r w:rsidRPr="004030B6">
        <w:t>ного образования. Серьезное значение придается также и языковой подготовке. Проекты также включают в себя профессиональную подготовку тех преподав</w:t>
      </w:r>
      <w:r w:rsidRPr="004030B6">
        <w:t>а</w:t>
      </w:r>
      <w:r w:rsidRPr="004030B6">
        <w:t>телей, которые работают с этими учениками.</w:t>
      </w:r>
    </w:p>
    <w:p w:rsidR="0086169A" w:rsidRPr="004030B6" w:rsidRDefault="0086169A" w:rsidP="00007A7F">
      <w:pPr>
        <w:pStyle w:val="SingleTxtGR"/>
        <w:spacing w:before="240"/>
        <w:rPr>
          <w:i/>
        </w:rPr>
      </w:pPr>
      <w:r w:rsidRPr="004030B6">
        <w:rPr>
          <w:i/>
        </w:rPr>
        <w:t>Право создавать профессиональные союзы и вступать в них</w:t>
      </w:r>
    </w:p>
    <w:p w:rsidR="0086169A" w:rsidRPr="004030B6" w:rsidRDefault="0086169A" w:rsidP="0086169A">
      <w:pPr>
        <w:pStyle w:val="SingleTxtGR"/>
      </w:pPr>
      <w:r w:rsidRPr="004030B6">
        <w:t>77.</w:t>
      </w:r>
      <w:r w:rsidRPr="004030B6">
        <w:tab/>
        <w:t>За отчетный период изменений, касающихся права на защиту от расовой дискриминации, в данном вопросе не произошло. По-прежнему применяются принципы равноправия и запрета дискриминации в вопросах объединения в профсоюзы, предусмотренные Законом о борьбе с дискриминацией.</w:t>
      </w:r>
    </w:p>
    <w:p w:rsidR="0086169A" w:rsidRPr="004030B6" w:rsidRDefault="0086169A" w:rsidP="00044A73">
      <w:pPr>
        <w:pStyle w:val="SingleTxtGR"/>
        <w:spacing w:before="240"/>
        <w:rPr>
          <w:i/>
        </w:rPr>
      </w:pPr>
      <w:r w:rsidRPr="004030B6">
        <w:rPr>
          <w:i/>
        </w:rPr>
        <w:t>Право на жилище и ответ, касающийся пункта 14 заключительных замечаний</w:t>
      </w:r>
    </w:p>
    <w:p w:rsidR="0086169A" w:rsidRPr="004030B6" w:rsidRDefault="0086169A" w:rsidP="0086169A">
      <w:pPr>
        <w:pStyle w:val="SingleTxtGR"/>
      </w:pPr>
      <w:r w:rsidRPr="004030B6">
        <w:t>78.</w:t>
      </w:r>
      <w:r w:rsidRPr="004030B6">
        <w:tab/>
        <w:t>В Стратегии борьбы с социальной изоляцией на 2011-2015 годы опред</w:t>
      </w:r>
      <w:r w:rsidRPr="004030B6">
        <w:t>е</w:t>
      </w:r>
      <w:r w:rsidRPr="004030B6">
        <w:t>ляются шаги, которые необходимо предпринять в области обеспечения жильем, а именно: повышение качества и доступности жилищного фонда для малообе</w:t>
      </w:r>
      <w:r w:rsidRPr="004030B6">
        <w:t>с</w:t>
      </w:r>
      <w:r w:rsidRPr="004030B6">
        <w:t>печенных групп населения, создание системы поэтапного обеспечения жильем, усиление контроля за выполнением правил, связанных с размерами арендной платы, укрепление механизмов защиты арендаторов и содействия им в их вза</w:t>
      </w:r>
      <w:r w:rsidRPr="004030B6">
        <w:t>и</w:t>
      </w:r>
      <w:r w:rsidRPr="004030B6">
        <w:t>моотношениях с арендодателями, а также улучшение условий жизни в районах сосредоточения лиц, подверженных действию процессов социальной изоляции. В 2011 году Правительство утвердило Жилищную концепцию ЧР на период до 2020 года, целью которой является улучшение доступа к жилью групп, сталк</w:t>
      </w:r>
      <w:r w:rsidRPr="004030B6">
        <w:t>и</w:t>
      </w:r>
      <w:r w:rsidRPr="004030B6">
        <w:t>вающихся с опасностью социальной изоляции. Одной из задач работы на да</w:t>
      </w:r>
      <w:r w:rsidRPr="004030B6">
        <w:t>н</w:t>
      </w:r>
      <w:r w:rsidRPr="004030B6">
        <w:t>ном направлении является подготовка всесторонней программы в области с</w:t>
      </w:r>
      <w:r w:rsidRPr="004030B6">
        <w:t>о</w:t>
      </w:r>
      <w:r w:rsidRPr="004030B6">
        <w:t>циального жилья, в которой будут уточнены условия доступа к социальному жилью, а также обязанности различных сторон (государства, местных органов управления и лиц, подавших заявления на получение такого жилья) и вопросы финансирования этой системы. Конкретные меры будут сформулированы в т</w:t>
      </w:r>
      <w:r w:rsidRPr="004030B6">
        <w:t>е</w:t>
      </w:r>
      <w:r w:rsidRPr="004030B6">
        <w:t>чение 2013 года.</w:t>
      </w:r>
    </w:p>
    <w:p w:rsidR="0086169A" w:rsidRPr="004030B6" w:rsidRDefault="0086169A" w:rsidP="0086169A">
      <w:pPr>
        <w:pStyle w:val="SingleTxtGR"/>
      </w:pPr>
      <w:r w:rsidRPr="004030B6">
        <w:t>79.</w:t>
      </w:r>
      <w:r w:rsidRPr="004030B6">
        <w:tab/>
        <w:t>В 2013 году правительство также утвердило Стратегию предотвращения и решения проблемы бездомности в ЧР на период до 2020 года. Стратегия и</w:t>
      </w:r>
      <w:r w:rsidRPr="004030B6">
        <w:t>с</w:t>
      </w:r>
      <w:r w:rsidRPr="004030B6">
        <w:t>ходит из того факта, что бездомность представляет собой процесс, с которым необходимо иметь дело с момента появления опасности его возникновения п</w:t>
      </w:r>
      <w:r w:rsidRPr="004030B6">
        <w:t>о</w:t>
      </w:r>
      <w:r w:rsidRPr="004030B6">
        <w:t>средством принятия профилактических мер, а также мер поддержки, опира</w:t>
      </w:r>
      <w:r w:rsidRPr="004030B6">
        <w:t>ю</w:t>
      </w:r>
      <w:r w:rsidRPr="004030B6">
        <w:t>щихся на ныне действующую систему услуг в данной сфере. В ее рамках пр</w:t>
      </w:r>
      <w:r w:rsidRPr="004030B6">
        <w:t>и</w:t>
      </w:r>
      <w:r w:rsidRPr="004030B6">
        <w:t>меняются различные подходы к решению проблем бездомных с учетом масшт</w:t>
      </w:r>
      <w:r w:rsidRPr="004030B6">
        <w:t>а</w:t>
      </w:r>
      <w:r w:rsidRPr="004030B6">
        <w:t>бов и дифференцированного характера тех проблем, с которыми им приходится сталкиваться; она включает в себя темы, варьирующиеся от поддержки доступа к жилью и медицинскому обслуживанию до содействия расширению информ</w:t>
      </w:r>
      <w:r w:rsidRPr="004030B6">
        <w:t>и</w:t>
      </w:r>
      <w:r w:rsidRPr="004030B6">
        <w:t>рованности и сотрудничеству заинтересованных сторон.</w:t>
      </w:r>
    </w:p>
    <w:p w:rsidR="0086169A" w:rsidRPr="004030B6" w:rsidRDefault="0086169A" w:rsidP="0086169A">
      <w:pPr>
        <w:pStyle w:val="SingleTxtGR"/>
      </w:pPr>
      <w:r w:rsidRPr="004030B6">
        <w:t>80.</w:t>
      </w:r>
      <w:r w:rsidRPr="004030B6">
        <w:tab/>
        <w:t>В настоящее время государство не занимается предоставлением социал</w:t>
      </w:r>
      <w:r w:rsidRPr="004030B6">
        <w:t>ь</w:t>
      </w:r>
      <w:r w:rsidRPr="004030B6">
        <w:t>ного жилья; этим занимаются исключительно муниципалитеты, действуя в ра</w:t>
      </w:r>
      <w:r w:rsidRPr="004030B6">
        <w:t>м</w:t>
      </w:r>
      <w:r w:rsidRPr="004030B6">
        <w:t>ках своих муниципальных программ и часто – при прямой поддержке со стор</w:t>
      </w:r>
      <w:r w:rsidRPr="004030B6">
        <w:t>о</w:t>
      </w:r>
      <w:r w:rsidRPr="004030B6">
        <w:t>ны правительства, а также НПО и другие частные организации. Некоторые м</w:t>
      </w:r>
      <w:r w:rsidRPr="004030B6">
        <w:t>у</w:t>
      </w:r>
      <w:r w:rsidRPr="004030B6">
        <w:t>ниципалитеты и НПО уже внедрили так называемую Систему поэтапного обе</w:t>
      </w:r>
      <w:r w:rsidRPr="004030B6">
        <w:t>с</w:t>
      </w:r>
      <w:r w:rsidRPr="004030B6">
        <w:t>печения жильем. В основу этой концепции положены доказавшие свою эффе</w:t>
      </w:r>
      <w:r w:rsidRPr="004030B6">
        <w:t>к</w:t>
      </w:r>
      <w:r w:rsidRPr="004030B6">
        <w:t>тивность методы поэтапного решения жилищного вопроса, предусматривающ</w:t>
      </w:r>
      <w:r w:rsidRPr="004030B6">
        <w:t>е</w:t>
      </w:r>
      <w:r w:rsidRPr="004030B6">
        <w:t>го три стадии</w:t>
      </w:r>
      <w:r w:rsidRPr="004030B6">
        <w:rPr>
          <w:vertAlign w:val="superscript"/>
        </w:rPr>
        <w:footnoteReference w:id="96"/>
      </w:r>
      <w:r w:rsidRPr="004030B6">
        <w:t>. На первой стадии предлагается кратковременное решение в в</w:t>
      </w:r>
      <w:r w:rsidRPr="004030B6">
        <w:t>и</w:t>
      </w:r>
      <w:r w:rsidRPr="004030B6">
        <w:t>де места в приюте, на второй – временное жилье, предоставляемое в рамках системы социального обслуживания на местах (так называемое подготовител</w:t>
      </w:r>
      <w:r w:rsidRPr="004030B6">
        <w:t>ь</w:t>
      </w:r>
      <w:r w:rsidRPr="004030B6">
        <w:t>ное жилье). Наконец, третья стадия предусматривает переезд в арендуемое ж</w:t>
      </w:r>
      <w:r w:rsidRPr="004030B6">
        <w:t>и</w:t>
      </w:r>
      <w:r w:rsidRPr="004030B6">
        <w:t>лье на долговременной основе. Участники системы могут переходить на сл</w:t>
      </w:r>
      <w:r w:rsidRPr="004030B6">
        <w:t>е</w:t>
      </w:r>
      <w:r w:rsidRPr="004030B6">
        <w:t>дующую стадию после выполнения соответствующих критериев. Конечной ц</w:t>
      </w:r>
      <w:r w:rsidRPr="004030B6">
        <w:t>е</w:t>
      </w:r>
      <w:r w:rsidRPr="004030B6">
        <w:t>лью является их переход на третью стадию, то есть заселение в арендуемое ж</w:t>
      </w:r>
      <w:r w:rsidRPr="004030B6">
        <w:t>и</w:t>
      </w:r>
      <w:r w:rsidRPr="004030B6">
        <w:t>лье на долговременной основе. Такое жилье может предоставляться на неко</w:t>
      </w:r>
      <w:r w:rsidRPr="004030B6">
        <w:t>м</w:t>
      </w:r>
      <w:r w:rsidRPr="004030B6">
        <w:t>мерческой основе или в рамках муниципальных программ в области социальн</w:t>
      </w:r>
      <w:r w:rsidRPr="004030B6">
        <w:t>о</w:t>
      </w:r>
      <w:r w:rsidRPr="004030B6">
        <w:t>го жилья. Система основывается на принципе обеспечения готовности кандид</w:t>
      </w:r>
      <w:r w:rsidRPr="004030B6">
        <w:t>а</w:t>
      </w:r>
      <w:r w:rsidRPr="004030B6">
        <w:t>тов к проживанию в арендуемом жилище. Каждый кандидат будет оцениваться с точки зрения его способности поддерживать предоставленное ему жилье, о</w:t>
      </w:r>
      <w:r w:rsidRPr="004030B6">
        <w:t>т</w:t>
      </w:r>
      <w:r w:rsidRPr="004030B6">
        <w:t>носящееся к той или иной категории списка, в нормальном состоянии, после чего ему предлагается соответствующая квартира. Если кандидат успешно справляется со своими обязанностями, ему предлагается квартира более выс</w:t>
      </w:r>
      <w:r w:rsidRPr="004030B6">
        <w:t>о</w:t>
      </w:r>
      <w:r w:rsidRPr="004030B6">
        <w:t>кой категории с улучшенными условиями. Те, кто с ними не справляется, ост</w:t>
      </w:r>
      <w:r w:rsidRPr="004030B6">
        <w:t>а</w:t>
      </w:r>
      <w:r w:rsidRPr="004030B6">
        <w:t>ются в тех же самых квартирах или даже переводятся в квартиры более низкой категории. Были также подготовлены программы гарантированного жилья, п</w:t>
      </w:r>
      <w:r w:rsidRPr="004030B6">
        <w:t>о</w:t>
      </w:r>
      <w:r w:rsidRPr="004030B6">
        <w:t>зволяющие снизить риски, с которыми сталкиваются владельцы недвижимости при сдаче жилья в аренду лицам с низкими доходами; такие программы пред</w:t>
      </w:r>
      <w:r w:rsidRPr="004030B6">
        <w:t>у</w:t>
      </w:r>
      <w:r w:rsidRPr="004030B6">
        <w:t>сматривают возложение ответственности за внесение арендной платы на НПО или муниципалитет, который ведет социальную работу с жильцами. В рамках Программы гарантированного жилья обеспечивается страхование НПО или м</w:t>
      </w:r>
      <w:r w:rsidRPr="004030B6">
        <w:t>у</w:t>
      </w:r>
      <w:r w:rsidRPr="004030B6">
        <w:t>ниципалитета на случай невыполнения жильцами их обязательств по арендной плате. Эти гарантии предоставляются Агентством по вопросам социальной и</w:t>
      </w:r>
      <w:r w:rsidRPr="004030B6">
        <w:t>н</w:t>
      </w:r>
      <w:r w:rsidRPr="004030B6">
        <w:t>теграции с использованием специального фонда, финансируемого по линии проекта ЕСФ. Предусматриваются также и дополнительные меры по оказанию помощи малоимущим группам населения в покрытии расходов на жилье в фо</w:t>
      </w:r>
      <w:r w:rsidRPr="004030B6">
        <w:t>р</w:t>
      </w:r>
      <w:r w:rsidRPr="004030B6">
        <w:t>ме социальных пособий, предоставляемых государством в жилищной сфере (жилищное пособие</w:t>
      </w:r>
      <w:r w:rsidRPr="004030B6">
        <w:rPr>
          <w:vertAlign w:val="superscript"/>
        </w:rPr>
        <w:footnoteReference w:id="97"/>
      </w:r>
      <w:r w:rsidRPr="004030B6">
        <w:t xml:space="preserve"> и надбавка на жилье</w:t>
      </w:r>
      <w:r w:rsidRPr="004030B6">
        <w:rPr>
          <w:vertAlign w:val="superscript"/>
        </w:rPr>
        <w:footnoteReference w:id="98"/>
      </w:r>
      <w:r w:rsidRPr="004030B6">
        <w:t xml:space="preserve">). Средняя величина этих пособий неуклонно растет. </w:t>
      </w:r>
    </w:p>
    <w:p w:rsidR="0086169A" w:rsidRPr="004030B6" w:rsidRDefault="0086169A" w:rsidP="0086169A">
      <w:pPr>
        <w:pStyle w:val="SingleTxtGR"/>
      </w:pPr>
      <w:r w:rsidRPr="004030B6">
        <w:t>81.</w:t>
      </w:r>
      <w:r w:rsidRPr="004030B6">
        <w:tab/>
        <w:t>Министерство регионального развития ежегодно выделяет субсидии на строительство социального арендного жилья в рамках Программы поддержки строительства льготного жилья. Целью такой поддержки является формиров</w:t>
      </w:r>
      <w:r w:rsidRPr="004030B6">
        <w:t>а</w:t>
      </w:r>
      <w:r w:rsidRPr="004030B6">
        <w:t>ние фонда арендных квартир, предназначенных для обеспечения социальным жильем лиц с ограниченным доступом к жилью по причине их особых потре</w:t>
      </w:r>
      <w:r w:rsidRPr="004030B6">
        <w:t>б</w:t>
      </w:r>
      <w:r w:rsidRPr="004030B6">
        <w:t>ностей, связанных с их неблагополучным социальным положением, включая такие факторы, как возраст, состояние здоровья или социальные обстоятельства их жизни. Одной из важных мер в области обеспечения доступа к жилью явл</w:t>
      </w:r>
      <w:r w:rsidRPr="004030B6">
        <w:t>я</w:t>
      </w:r>
      <w:r w:rsidRPr="004030B6">
        <w:t xml:space="preserve">ется, в частности, субсидия на </w:t>
      </w:r>
      <w:r w:rsidR="009C6F8B">
        <w:t>"</w:t>
      </w:r>
      <w:r w:rsidRPr="004030B6">
        <w:t>первое жилье</w:t>
      </w:r>
      <w:r w:rsidR="009C6F8B">
        <w:t>"</w:t>
      </w:r>
      <w:r w:rsidRPr="004030B6">
        <w:t>. Речь идет о социальном арен</w:t>
      </w:r>
      <w:r w:rsidRPr="004030B6">
        <w:t>д</w:t>
      </w:r>
      <w:r w:rsidRPr="004030B6">
        <w:t>ном жилье для нужд лиц, которые находятся в трудной жизненной ситуации, вызванной социальными обстоятельствами их жизни, включая, например, пр</w:t>
      </w:r>
      <w:r w:rsidRPr="004030B6">
        <w:t>и</w:t>
      </w:r>
      <w:r w:rsidRPr="004030B6">
        <w:t>надлежность к этническому меньшинству. Теперь обратиться за этой субсидией могут любые юридические или физические лица, включая муниципалитеты. Основной целью этого нововведения является включение НПО в деятельность по предоставлению социального жилья нуждающимся домохозяйствам, а также привлечение частных фирм к строительству социального жилья. Еще одним важным новшеством является акцент на сдачу в аренду таких социальных ква</w:t>
      </w:r>
      <w:r w:rsidRPr="004030B6">
        <w:t>р</w:t>
      </w:r>
      <w:r w:rsidRPr="004030B6">
        <w:t>тир в первую очередь жителям социально изолированных районов, населенных рома, а также семьям с неблагополучными детьми, находящимся в неадеква</w:t>
      </w:r>
      <w:r w:rsidRPr="004030B6">
        <w:t>т</w:t>
      </w:r>
      <w:r w:rsidRPr="004030B6">
        <w:t>ных жилищных условиях. В 2009 и 2010 годах инвестиционная поддержка сф</w:t>
      </w:r>
      <w:r w:rsidRPr="004030B6">
        <w:t>е</w:t>
      </w:r>
      <w:r w:rsidRPr="004030B6">
        <w:t>ры социального жилья также оказывалась в форме субсидий, предоставляемых юридическим и физическим лицам</w:t>
      </w:r>
      <w:r w:rsidRPr="004030B6">
        <w:rPr>
          <w:vertAlign w:val="superscript"/>
        </w:rPr>
        <w:footnoteReference w:id="99"/>
      </w:r>
      <w:r w:rsidRPr="004030B6">
        <w:t xml:space="preserve"> на цели строительства социального жилья; благодаря этой инвестиционной поддержке была построена 241 социальная квартира. Целью такого субсидирования являлось расширение предложения арендных квартир малоимущим и лицам, испытывающим другие социальные затруднения. Эта поддержка была прекращена в 2010 году из-за нехватки средств в государственном бюджете. Начиная с 2011 года юридические и физ</w:t>
      </w:r>
      <w:r w:rsidRPr="004030B6">
        <w:t>и</w:t>
      </w:r>
      <w:r w:rsidRPr="004030B6">
        <w:t>ческие лица (в том числе муниципалитеты и города) имеют возможность пол</w:t>
      </w:r>
      <w:r w:rsidRPr="004030B6">
        <w:t>у</w:t>
      </w:r>
      <w:r w:rsidRPr="004030B6">
        <w:t>чить кредит на льготных условиях по линии Государственного фонда жилищн</w:t>
      </w:r>
      <w:r w:rsidRPr="004030B6">
        <w:t>о</w:t>
      </w:r>
      <w:r w:rsidRPr="004030B6">
        <w:t>го строительства на цели сооружения новых жилых зданий с квартирами, пре</w:t>
      </w:r>
      <w:r w:rsidRPr="004030B6">
        <w:t>д</w:t>
      </w:r>
      <w:r w:rsidRPr="004030B6">
        <w:t>назначенными для сдачи в аренду, или же проведения ремонта имеющихся зд</w:t>
      </w:r>
      <w:r w:rsidRPr="004030B6">
        <w:t>а</w:t>
      </w:r>
      <w:r w:rsidRPr="004030B6">
        <w:t>ний, в результате которого они превращаются в многоквартирные дома с арен</w:t>
      </w:r>
      <w:r w:rsidRPr="004030B6">
        <w:t>д</w:t>
      </w:r>
      <w:r w:rsidRPr="004030B6">
        <w:t>ными квартирами</w:t>
      </w:r>
      <w:r w:rsidRPr="004030B6">
        <w:rPr>
          <w:vertAlign w:val="superscript"/>
        </w:rPr>
        <w:footnoteReference w:id="100"/>
      </w:r>
      <w:r w:rsidRPr="004030B6">
        <w:t>. Что касается долгосрочной перспективы, то Министерство регионального развития поддерживает деятельность НПО, занимающихся пр</w:t>
      </w:r>
      <w:r w:rsidRPr="004030B6">
        <w:t>е</w:t>
      </w:r>
      <w:r w:rsidRPr="004030B6">
        <w:t>доставлением консультативной помощи по жилищным проблемам</w:t>
      </w:r>
      <w:r w:rsidRPr="004030B6">
        <w:rPr>
          <w:vertAlign w:val="superscript"/>
        </w:rPr>
        <w:footnoteReference w:id="101"/>
      </w:r>
      <w:r w:rsidRPr="004030B6">
        <w:t>. Более по</w:t>
      </w:r>
      <w:r w:rsidRPr="004030B6">
        <w:t>д</w:t>
      </w:r>
      <w:r w:rsidRPr="004030B6">
        <w:t>робная информация по данному вопросу приводится в Приложении № 5.</w:t>
      </w:r>
    </w:p>
    <w:p w:rsidR="0086169A" w:rsidRPr="004030B6" w:rsidRDefault="0086169A" w:rsidP="0086169A">
      <w:pPr>
        <w:pStyle w:val="SingleTxtGR"/>
      </w:pPr>
      <w:r w:rsidRPr="004030B6">
        <w:t>82.</w:t>
      </w:r>
      <w:r w:rsidRPr="004030B6">
        <w:tab/>
        <w:t>Что касается улучшения условий жизни в проблемных жилых районах, то в рамках Комплексной программы действий на период 2007-2013 годов было предусмотрено направление деятельности, предусматривающее поддержку к</w:t>
      </w:r>
      <w:r w:rsidRPr="004030B6">
        <w:t>а</w:t>
      </w:r>
      <w:r w:rsidRPr="004030B6">
        <w:t>питаловложений в улучшение социальной среды обитания и ориентированное на общины рома, которые подвержены риску социальной изоляции. В его осн</w:t>
      </w:r>
      <w:r w:rsidRPr="004030B6">
        <w:t>о</w:t>
      </w:r>
      <w:r w:rsidRPr="004030B6">
        <w:t xml:space="preserve">ву был положен отбор объектов, проведенный Министерством по делам труда и социальным вопросам и Государственным советом по делам меньшинства рома по итогам исследования под названием </w:t>
      </w:r>
      <w:r w:rsidR="009C6F8B">
        <w:t>"</w:t>
      </w:r>
      <w:r w:rsidRPr="004030B6">
        <w:t>Анализ социально изолированных ра</w:t>
      </w:r>
      <w:r w:rsidRPr="004030B6">
        <w:t>й</w:t>
      </w:r>
      <w:r w:rsidRPr="004030B6">
        <w:t>онов проживания рома</w:t>
      </w:r>
      <w:r w:rsidR="009C6F8B">
        <w:t>"</w:t>
      </w:r>
      <w:r w:rsidRPr="004030B6">
        <w:t>. Этот отбор позволил определить семь объектов, и в семи районах, где были разработаны планы комплексного развития, реализую</w:t>
      </w:r>
      <w:r w:rsidRPr="004030B6">
        <w:t>т</w:t>
      </w:r>
      <w:r w:rsidRPr="004030B6">
        <w:t>ся соответствующие проекты. Основное внимание в рамках этих проектов уд</w:t>
      </w:r>
      <w:r w:rsidRPr="004030B6">
        <w:t>е</w:t>
      </w:r>
      <w:r w:rsidRPr="004030B6">
        <w:t>ляется восстановлению жилищного фонда и благоустройству мест общего пол</w:t>
      </w:r>
      <w:r w:rsidRPr="004030B6">
        <w:t>ь</w:t>
      </w:r>
      <w:r w:rsidRPr="004030B6">
        <w:t>зования. Последующие мероприятия проводятся также в таких сферах, как с</w:t>
      </w:r>
      <w:r w:rsidRPr="004030B6">
        <w:t>о</w:t>
      </w:r>
      <w:r w:rsidRPr="004030B6">
        <w:t>циальная помощь и помощь общинам, содействие развитию людских ресурсов и занятость.</w:t>
      </w:r>
    </w:p>
    <w:p w:rsidR="0086169A" w:rsidRPr="004030B6" w:rsidRDefault="00D81239" w:rsidP="00D81239">
      <w:pPr>
        <w:pStyle w:val="H4GR"/>
        <w:spacing w:before="240"/>
      </w:pPr>
      <w:r>
        <w:tab/>
      </w:r>
      <w:r>
        <w:tab/>
      </w:r>
      <w:r w:rsidR="0086169A" w:rsidRPr="004030B6">
        <w:t>Право на здравоохранение, медицинскую помощь, социальное обеспечение</w:t>
      </w:r>
      <w:r>
        <w:br/>
      </w:r>
      <w:r>
        <w:tab/>
      </w:r>
      <w:r>
        <w:tab/>
      </w:r>
      <w:r w:rsidR="0086169A" w:rsidRPr="004030B6">
        <w:t>и социальное обслуживание</w:t>
      </w:r>
    </w:p>
    <w:p w:rsidR="0086169A" w:rsidRPr="004030B6" w:rsidRDefault="0086169A" w:rsidP="0086169A">
      <w:pPr>
        <w:pStyle w:val="SingleTxtGR"/>
      </w:pPr>
      <w:r w:rsidRPr="004030B6">
        <w:t>83.</w:t>
      </w:r>
      <w:r w:rsidRPr="004030B6">
        <w:tab/>
        <w:t xml:space="preserve">Начиная с 2006 года в рамках локальных программ, осуществляемых Центром рома </w:t>
      </w:r>
      <w:r w:rsidR="009C6F8B">
        <w:t>"</w:t>
      </w:r>
      <w:r w:rsidRPr="004030B6">
        <w:t>ДРОМ</w:t>
      </w:r>
      <w:r w:rsidR="009C6F8B">
        <w:t>"</w:t>
      </w:r>
      <w:r w:rsidRPr="004030B6">
        <w:t xml:space="preserve">, на местах реализуется проект </w:t>
      </w:r>
      <w:r w:rsidR="009C6F8B">
        <w:t>"</w:t>
      </w:r>
      <w:r w:rsidRPr="004030B6">
        <w:t>Медицинская и соц</w:t>
      </w:r>
      <w:r w:rsidRPr="004030B6">
        <w:t>и</w:t>
      </w:r>
      <w:r w:rsidRPr="004030B6">
        <w:t>альная помощь</w:t>
      </w:r>
      <w:r w:rsidR="009C6F8B">
        <w:t>"</w:t>
      </w:r>
      <w:r w:rsidRPr="004030B6">
        <w:t>, организационно оформленный в виде зарегистрированной с</w:t>
      </w:r>
      <w:r w:rsidRPr="004030B6">
        <w:t>о</w:t>
      </w:r>
      <w:r w:rsidRPr="004030B6">
        <w:t>циальной службы общенационального уровня. Одной из основных целей этой программы является уменьшение диспропорций в сфере охраны здоровья, в</w:t>
      </w:r>
      <w:r w:rsidRPr="004030B6">
        <w:t>ы</w:t>
      </w:r>
      <w:r w:rsidRPr="004030B6">
        <w:t>званных условиями жизни социально изолированных общин рома. В 2012 году в ЧР работало в общей сложности восемь помощников по вопросам медици</w:t>
      </w:r>
      <w:r w:rsidRPr="004030B6">
        <w:t>н</w:t>
      </w:r>
      <w:r w:rsidRPr="004030B6">
        <w:t xml:space="preserve">ской и социальной помощи. Более подробная информация об этой Программе приводится в Приложении № 6. В 2010 году Министерство здравоохранения опубликовало брошюру </w:t>
      </w:r>
      <w:r w:rsidR="009C6F8B">
        <w:rPr>
          <w:i/>
        </w:rPr>
        <w:t>"</w:t>
      </w:r>
      <w:r w:rsidRPr="004030B6">
        <w:rPr>
          <w:i/>
        </w:rPr>
        <w:t>Руководство для пациентов</w:t>
      </w:r>
      <w:r w:rsidR="009C6F8B">
        <w:rPr>
          <w:i/>
        </w:rPr>
        <w:t>"</w:t>
      </w:r>
      <w:r w:rsidRPr="004030B6">
        <w:t>, которая помогает пац</w:t>
      </w:r>
      <w:r w:rsidRPr="004030B6">
        <w:t>и</w:t>
      </w:r>
      <w:r w:rsidRPr="004030B6">
        <w:t>ентам лучше ориентироваться при взаимодействии со службами охраны здор</w:t>
      </w:r>
      <w:r w:rsidRPr="004030B6">
        <w:t>о</w:t>
      </w:r>
      <w:r w:rsidRPr="004030B6">
        <w:t>вья</w:t>
      </w:r>
      <w:r w:rsidRPr="004030B6">
        <w:rPr>
          <w:vertAlign w:val="superscript"/>
        </w:rPr>
        <w:footnoteReference w:id="102"/>
      </w:r>
      <w:r w:rsidRPr="004030B6">
        <w:t xml:space="preserve">. Министр здравоохранения также проинформировал соответствующие медицинские учреждения, врачей и студентов, изучающих медицину, о важном значении соблюдения надлежащих законов, правил и этических принципов в сфере охраны здоровья, а также о возможностях их дальнейшего образования. </w:t>
      </w:r>
    </w:p>
    <w:p w:rsidR="0086169A" w:rsidRPr="004030B6" w:rsidRDefault="008B61D7" w:rsidP="00C0446B">
      <w:pPr>
        <w:pStyle w:val="H56GR"/>
      </w:pPr>
      <w:r>
        <w:tab/>
      </w:r>
      <w:r>
        <w:tab/>
      </w:r>
      <w:r w:rsidR="0086169A" w:rsidRPr="004030B6">
        <w:t>Ответ, касающийся пункта 19 заключительных замечаний</w:t>
      </w:r>
    </w:p>
    <w:p w:rsidR="0086169A" w:rsidRPr="004030B6" w:rsidRDefault="0086169A" w:rsidP="0086169A">
      <w:pPr>
        <w:pStyle w:val="SingleTxtGR"/>
      </w:pPr>
      <w:r w:rsidRPr="004030B6">
        <w:t>84.</w:t>
      </w:r>
      <w:r w:rsidRPr="004030B6">
        <w:tab/>
        <w:t>ЧР уделила дополнительное внимание данному вопросу в своем ответе на заключительные замечания Комитета по ликвидации расовой дискримин</w:t>
      </w:r>
      <w:r w:rsidRPr="004030B6">
        <w:t>а</w:t>
      </w:r>
      <w:r w:rsidRPr="004030B6">
        <w:t>ции</w:t>
      </w:r>
      <w:r w:rsidRPr="004030B6">
        <w:rPr>
          <w:vertAlign w:val="superscript"/>
        </w:rPr>
        <w:footnoteReference w:id="103"/>
      </w:r>
      <w:r w:rsidRPr="004030B6">
        <w:t>. Инициатива Государственного совета по правам человека, который р</w:t>
      </w:r>
      <w:r w:rsidRPr="004030B6">
        <w:t>е</w:t>
      </w:r>
      <w:r w:rsidRPr="004030B6">
        <w:t>комендовал правительству выплатить компенсации женщинам, подвер</w:t>
      </w:r>
      <w:r w:rsidR="007A1829">
        <w:t>г</w:t>
      </w:r>
      <w:r w:rsidRPr="004030B6">
        <w:t>шимся незаконной стерилизации, в настоящее время находится на обсуждении в инд</w:t>
      </w:r>
      <w:r w:rsidRPr="004030B6">
        <w:t>и</w:t>
      </w:r>
      <w:r w:rsidRPr="004030B6">
        <w:t>видуальных министерствах. Правительство еще не утвердило данную иници</w:t>
      </w:r>
      <w:r w:rsidRPr="004030B6">
        <w:t>а</w:t>
      </w:r>
      <w:r w:rsidRPr="004030B6">
        <w:t>тиву, вследствие чего она еще не имеет обязательной силы для правительства ЧР, и последнему еще предстоит принять решение о своих дальнейших дейс</w:t>
      </w:r>
      <w:r w:rsidRPr="004030B6">
        <w:t>т</w:t>
      </w:r>
      <w:r w:rsidRPr="004030B6">
        <w:t>виях в данной связи. В дополнение к выплате добровольных компенсаций С</w:t>
      </w:r>
      <w:r w:rsidRPr="004030B6">
        <w:t>о</w:t>
      </w:r>
      <w:r w:rsidRPr="004030B6">
        <w:t>вет также предложил правительству оказать пострадавшим женщинам помощь в удовлетворении их требований относительно возмещения ущерба, которые еще могут быть предъявлены ими в суды, а Министерству юстиции – опублик</w:t>
      </w:r>
      <w:r w:rsidRPr="004030B6">
        <w:t>о</w:t>
      </w:r>
      <w:r w:rsidRPr="004030B6">
        <w:t>вать рекомендации и информацию о наличии возможности получить доступ к бесплатной правовой помощи, о чем говорится в тексте, относящемся к статье 6. ЧР не рассматривает возможность принятия законодательных мер по оконч</w:t>
      </w:r>
      <w:r w:rsidRPr="004030B6">
        <w:t>а</w:t>
      </w:r>
      <w:r w:rsidRPr="004030B6">
        <w:t>тельной отмене срока давности в отношении случаев компенсации за незако</w:t>
      </w:r>
      <w:r w:rsidRPr="004030B6">
        <w:t>н</w:t>
      </w:r>
      <w:r w:rsidRPr="004030B6">
        <w:t xml:space="preserve">ную стерилизацию. </w:t>
      </w:r>
    </w:p>
    <w:p w:rsidR="0086169A" w:rsidRPr="004030B6" w:rsidRDefault="008B61D7" w:rsidP="00C0446B">
      <w:pPr>
        <w:pStyle w:val="H56GR"/>
      </w:pPr>
      <w:r>
        <w:tab/>
      </w:r>
      <w:r>
        <w:tab/>
      </w:r>
      <w:r w:rsidR="0086169A" w:rsidRPr="004030B6">
        <w:t>Ответ на пункт 13 заключительных замечаний</w:t>
      </w:r>
    </w:p>
    <w:p w:rsidR="0086169A" w:rsidRPr="004030B6" w:rsidRDefault="0086169A" w:rsidP="0086169A">
      <w:pPr>
        <w:pStyle w:val="SingleTxtGR"/>
      </w:pPr>
      <w:r w:rsidRPr="004030B6">
        <w:t>85.</w:t>
      </w:r>
      <w:r w:rsidRPr="004030B6">
        <w:tab/>
        <w:t xml:space="preserve">В 2012 году правительство утвердило Национальную стратегию защиты прав ребенка </w:t>
      </w:r>
      <w:r w:rsidR="009C6F8B">
        <w:t>"</w:t>
      </w:r>
      <w:r w:rsidRPr="004030B6">
        <w:t>Право на детство</w:t>
      </w:r>
      <w:r w:rsidR="009C6F8B">
        <w:t>"</w:t>
      </w:r>
      <w:r w:rsidRPr="004030B6">
        <w:t>, в которой предусматривается ряд законод</w:t>
      </w:r>
      <w:r w:rsidRPr="004030B6">
        <w:t>а</w:t>
      </w:r>
      <w:r w:rsidRPr="004030B6">
        <w:t>тельных и иных мер. Одной из целей Стратегии, в частности, является разр</w:t>
      </w:r>
      <w:r w:rsidRPr="004030B6">
        <w:t>а</w:t>
      </w:r>
      <w:r w:rsidRPr="004030B6">
        <w:t>ботка четко сформулированного метода идентификации представителей мен</w:t>
      </w:r>
      <w:r w:rsidRPr="004030B6">
        <w:t>ь</w:t>
      </w:r>
      <w:r w:rsidRPr="004030B6">
        <w:t>шинства рома в ходе сбора данных, с тем чтобы повысить прозрачность и э</w:t>
      </w:r>
      <w:r w:rsidRPr="004030B6">
        <w:t>ф</w:t>
      </w:r>
      <w:r w:rsidRPr="004030B6">
        <w:t>фективность процесса разработки соответствующей политики, предусмотрев в данной связи гарантии того, чтобы при такой идентификации были задейств</w:t>
      </w:r>
      <w:r w:rsidRPr="004030B6">
        <w:t>о</w:t>
      </w:r>
      <w:r w:rsidRPr="004030B6">
        <w:t>ваны адекватные механизмы поддержки и защиты данных с целью не допустить их ненадлежащего использования в дискриминационных целях. В январе 2013 года вступила в силу поправка к Закону о социальной и правовой защите д</w:t>
      </w:r>
      <w:r w:rsidRPr="004030B6">
        <w:t>е</w:t>
      </w:r>
      <w:r w:rsidRPr="004030B6">
        <w:t>тей</w:t>
      </w:r>
      <w:r w:rsidRPr="004030B6">
        <w:rPr>
          <w:vertAlign w:val="superscript"/>
        </w:rPr>
        <w:footnoteReference w:id="104"/>
      </w:r>
      <w:r w:rsidRPr="004030B6">
        <w:t>, в соответствии с которой судам были также предоставлены полномочия в отношении вмешательства в ход осуществления родителями своих обязанн</w:t>
      </w:r>
      <w:r w:rsidRPr="004030B6">
        <w:t>о</w:t>
      </w:r>
      <w:r w:rsidRPr="004030B6">
        <w:t>стей перед детьми, в частности в том, что касается решений о переводе ребенка в альтернативное учебное заведение; это обстоятельство стало дополнительным базовым аспектом деятельности органов, которые занимаются социальной и правовой защитой детей, ведут социальную работу в неблагополучных семьях, а также, как правило, отстаивают интересы детей в судах и представляют на рассмотрение судов меры по защите детей. Целью работы этих органов являе</w:t>
      </w:r>
      <w:r w:rsidRPr="004030B6">
        <w:t>т</w:t>
      </w:r>
      <w:r w:rsidRPr="004030B6">
        <w:t>ся не только наиболее эффективная защита интересов детей в узком понимании этого термина, но также и защита родительства и семьи, а также взаимных прав родителей и детей применительно к родительскому воспитанию и уходу. При внесении предложений о принятии мер, носящих характер вмешательства в осуществление родительских обязанностей в отношении ребенка (установление опеки над ребенком или его помещение в государственное учреждение по опеке над детьми, ограничение, аннулирование или приостановка действия родител</w:t>
      </w:r>
      <w:r w:rsidRPr="004030B6">
        <w:t>ь</w:t>
      </w:r>
      <w:r w:rsidRPr="004030B6">
        <w:t>ских прав и т.п.), орган социальной и правовой защиты детей должен проводить тщательный анализ ситуации, с тем чтобы убедиться в том, что причины таких мер не связаны с материальными или жилищными потребностями семьи. В З</w:t>
      </w:r>
      <w:r w:rsidRPr="004030B6">
        <w:t>а</w:t>
      </w:r>
      <w:r w:rsidRPr="004030B6">
        <w:t>кон о семье также были внесены поправки, прямо запрещающие помещение р</w:t>
      </w:r>
      <w:r w:rsidRPr="004030B6">
        <w:t>е</w:t>
      </w:r>
      <w:r w:rsidRPr="004030B6">
        <w:t>бенка в государственное учреждение по уходу за детьми по причинам, связа</w:t>
      </w:r>
      <w:r w:rsidRPr="004030B6">
        <w:t>н</w:t>
      </w:r>
      <w:r w:rsidRPr="004030B6">
        <w:t>ным с жилищными проблемами и нищетой. Начиная с 1 января 2014 года ан</w:t>
      </w:r>
      <w:r w:rsidRPr="004030B6">
        <w:t>а</w:t>
      </w:r>
      <w:r w:rsidRPr="004030B6">
        <w:t>логичное положение будет также закреплено в правилах нового Гражданского кодекса, касающихся ухода за детьми в государственных учреждениях.</w:t>
      </w:r>
    </w:p>
    <w:p w:rsidR="0086169A" w:rsidRPr="004030B6" w:rsidRDefault="0086169A" w:rsidP="0086169A">
      <w:pPr>
        <w:pStyle w:val="SingleTxtGR"/>
      </w:pPr>
      <w:r w:rsidRPr="004030B6">
        <w:t>86.</w:t>
      </w:r>
      <w:r w:rsidRPr="004030B6">
        <w:tab/>
        <w:t>В контексте этой поправки рассматривается вопрос о специализирова</w:t>
      </w:r>
      <w:r w:rsidRPr="004030B6">
        <w:t>н</w:t>
      </w:r>
      <w:r w:rsidRPr="004030B6">
        <w:t>ном механизме социальной опеки детей и молодежи</w:t>
      </w:r>
      <w:r w:rsidRPr="004030B6">
        <w:rPr>
          <w:vertAlign w:val="superscript"/>
        </w:rPr>
        <w:footnoteReference w:id="105"/>
      </w:r>
      <w:r w:rsidRPr="004030B6">
        <w:t>. Основное внимание в рамках этого механизма уделяется уходу за детьми с проблемами в поведении, которые отказываются ходить в школу, совершили уголовное преступление, другое противоправное деяние, мелкое правонарушение, каким-либо иным о</w:t>
      </w:r>
      <w:r w:rsidRPr="004030B6">
        <w:t>б</w:t>
      </w:r>
      <w:r w:rsidRPr="004030B6">
        <w:t>разом нарушили общественное спокойствие или же неоднократно совершали побег от родителей или других физических или юридических лиц, несущих о</w:t>
      </w:r>
      <w:r w:rsidRPr="004030B6">
        <w:t>т</w:t>
      </w:r>
      <w:r w:rsidRPr="004030B6">
        <w:t>ветственность за их воспитание. Кроме того, в рамках социальной опеки удел</w:t>
      </w:r>
      <w:r w:rsidRPr="004030B6">
        <w:t>я</w:t>
      </w:r>
      <w:r w:rsidRPr="004030B6">
        <w:t>ется внимание детям, которые стали жертвами коммерческой сексуальной эк</w:t>
      </w:r>
      <w:r w:rsidRPr="004030B6">
        <w:t>с</w:t>
      </w:r>
      <w:r w:rsidRPr="004030B6">
        <w:t>плуатации, или же сталкиваются с повышенным риском эксплуатации в этих целях. Механизм социальной опеки включает в себя комплекс специальных мер, направленных на устранение, смягчение и недопущение повторного во</w:t>
      </w:r>
      <w:r w:rsidRPr="004030B6">
        <w:t>з</w:t>
      </w:r>
      <w:r w:rsidRPr="004030B6">
        <w:t>никновения нарушений умственного, физического и социального развития д</w:t>
      </w:r>
      <w:r w:rsidRPr="004030B6">
        <w:t>е</w:t>
      </w:r>
      <w:r w:rsidRPr="004030B6">
        <w:t>тей. В соответствии с поправкой лицо, осуществляющее опеку над детьми и молодежью, обязано, в частности, сотрудничать с муниципальными органами управления, школами, медицинскими и образовательными учреждениями, о</w:t>
      </w:r>
      <w:r w:rsidRPr="004030B6">
        <w:t>р</w:t>
      </w:r>
      <w:r w:rsidRPr="004030B6">
        <w:t>ганами социального обеспечения, судами, Службой пробации и медиации и другими учреждениями. Опекун несет обязанность уделять повышенное вн</w:t>
      </w:r>
      <w:r w:rsidRPr="004030B6">
        <w:t>и</w:t>
      </w:r>
      <w:r w:rsidRPr="004030B6">
        <w:t>мание оказанию помощи малолетним и несовершеннолетним лицам, которые находятся в государственных учреждениях, занимающихся уходом за ними и их защитой, а также в тюрьмах для несовершеннолетних преступников; кроме т</w:t>
      </w:r>
      <w:r w:rsidRPr="004030B6">
        <w:t>о</w:t>
      </w:r>
      <w:r w:rsidRPr="004030B6">
        <w:t>го, он должен оказывать этим детям им содействие и после того, как они пок</w:t>
      </w:r>
      <w:r w:rsidRPr="004030B6">
        <w:t>и</w:t>
      </w:r>
      <w:r w:rsidRPr="004030B6">
        <w:t>дают вышеуказанные учреждения. В соответствии со стандартами качества в области социальной и правовой защиты детей, обязательный характер которых предусматривается имплементирующим постановлением</w:t>
      </w:r>
      <w:r w:rsidRPr="004030B6">
        <w:rPr>
          <w:vertAlign w:val="superscript"/>
        </w:rPr>
        <w:footnoteReference w:id="106"/>
      </w:r>
      <w:r w:rsidRPr="004030B6">
        <w:t>, органы управления муниципалитетами с расширенными полномочиями должны обеспечивать, чт</w:t>
      </w:r>
      <w:r w:rsidRPr="004030B6">
        <w:t>о</w:t>
      </w:r>
      <w:r w:rsidRPr="004030B6">
        <w:t>бы лица, выполняющие опекунские функции в отношении детей и молодежи, занимались исключительно вопросами опекунства, а круг их обязанностей не перегружался за счет включения в него других вопросов. Еще один кадровый стандарт работы опекунов предусматривает, что в местных органах управления должно работать такое количество опекунов детей и молодежи, чтобы на ка</w:t>
      </w:r>
      <w:r w:rsidRPr="004030B6">
        <w:t>ж</w:t>
      </w:r>
      <w:r w:rsidRPr="004030B6">
        <w:t>дого из них приходилось не более 40 подопечных. Органы социальной и прав</w:t>
      </w:r>
      <w:r w:rsidRPr="004030B6">
        <w:t>о</w:t>
      </w:r>
      <w:r w:rsidRPr="004030B6">
        <w:t>вой защиты детей должны полностью соответствовать стандартам качества, предусмотренным постановлением, не позднее 31 декабря 2014 года.</w:t>
      </w:r>
    </w:p>
    <w:p w:rsidR="0086169A" w:rsidRPr="004030B6" w:rsidRDefault="00D81239" w:rsidP="00D81239">
      <w:pPr>
        <w:pStyle w:val="H4GR"/>
        <w:spacing w:before="240"/>
      </w:pPr>
      <w:r>
        <w:tab/>
      </w:r>
      <w:r>
        <w:tab/>
      </w:r>
      <w:r w:rsidR="0086169A" w:rsidRPr="004030B6">
        <w:t>Право на образование и профессиональную подготовку</w:t>
      </w:r>
    </w:p>
    <w:p w:rsidR="0086169A" w:rsidRPr="004030B6" w:rsidRDefault="00D81239" w:rsidP="00C0446B">
      <w:pPr>
        <w:pStyle w:val="H56GR"/>
      </w:pPr>
      <w:r>
        <w:tab/>
      </w:r>
      <w:r>
        <w:tab/>
      </w:r>
      <w:r w:rsidR="0086169A" w:rsidRPr="004030B6">
        <w:t>Ответ на пункт 12 заключительных замечаний</w:t>
      </w:r>
    </w:p>
    <w:p w:rsidR="0086169A" w:rsidRPr="004030B6" w:rsidRDefault="0086169A" w:rsidP="0086169A">
      <w:pPr>
        <w:pStyle w:val="SingleTxtGR"/>
      </w:pPr>
      <w:r w:rsidRPr="004030B6">
        <w:t>87.</w:t>
      </w:r>
      <w:r w:rsidRPr="004030B6">
        <w:tab/>
        <w:t>ЧР уделила дополнительное внимание данному вопросу в своем ответе на заключительные замечания Комитета по ликвидации расовой дискримин</w:t>
      </w:r>
      <w:r w:rsidRPr="004030B6">
        <w:t>а</w:t>
      </w:r>
      <w:r w:rsidRPr="004030B6">
        <w:t>ции</w:t>
      </w:r>
      <w:r w:rsidRPr="004030B6">
        <w:rPr>
          <w:vertAlign w:val="superscript"/>
        </w:rPr>
        <w:footnoteReference w:id="107"/>
      </w:r>
      <w:r w:rsidRPr="004030B6">
        <w:t>, в котором была приведена дополнительная информация о принятых в данной связи мерах законодательного и иного характера. Целью этих мер явл</w:t>
      </w:r>
      <w:r w:rsidRPr="004030B6">
        <w:t>я</w:t>
      </w:r>
      <w:r w:rsidRPr="004030B6">
        <w:t>ется дальнейшее расширение доступа рома к образованию. В 2012 году было завершено проводившееся Омбудсменом обследование, направленное на опр</w:t>
      </w:r>
      <w:r w:rsidRPr="004030B6">
        <w:t>е</w:t>
      </w:r>
      <w:r w:rsidRPr="004030B6">
        <w:t>деление этнического состава контингента учеников некоторых бывших спец</w:t>
      </w:r>
      <w:r w:rsidRPr="004030B6">
        <w:t>и</w:t>
      </w:r>
      <w:r w:rsidRPr="004030B6">
        <w:t>альных школ</w:t>
      </w:r>
      <w:r w:rsidRPr="004030B6">
        <w:rPr>
          <w:vertAlign w:val="superscript"/>
        </w:rPr>
        <w:footnoteReference w:id="108"/>
      </w:r>
      <w:r w:rsidRPr="004030B6">
        <w:t>. Этническая принадлежность учеников определялась при п</w:t>
      </w:r>
      <w:r w:rsidRPr="004030B6">
        <w:t>о</w:t>
      </w:r>
      <w:r w:rsidRPr="004030B6">
        <w:t>мощи двух методов сбора этнической информации: метода наблюдения и мет</w:t>
      </w:r>
      <w:r w:rsidRPr="004030B6">
        <w:t>о</w:t>
      </w:r>
      <w:r w:rsidRPr="004030B6">
        <w:t>да идентификации по косвенным признакам. Обследование показало, что доля рома в числе учеников бывших специальных школ, которые сейчас стали наз</w:t>
      </w:r>
      <w:r w:rsidRPr="004030B6">
        <w:t>ы</w:t>
      </w:r>
      <w:r w:rsidRPr="004030B6">
        <w:t>ваться начальными школами практического обучения, является непропорци</w:t>
      </w:r>
      <w:r w:rsidRPr="004030B6">
        <w:t>о</w:t>
      </w:r>
      <w:r w:rsidRPr="004030B6">
        <w:t>нально большой. Используя методы наблюдения, сотрудники канцелярии О</w:t>
      </w:r>
      <w:r w:rsidRPr="004030B6">
        <w:t>м</w:t>
      </w:r>
      <w:r w:rsidRPr="004030B6">
        <w:t>будсмена установили, что доля рома среди учеников обследованных школ с</w:t>
      </w:r>
      <w:r w:rsidRPr="004030B6">
        <w:t>о</w:t>
      </w:r>
      <w:r w:rsidRPr="004030B6">
        <w:t>ставила в общей сложности 32%. Квалифицированная оценка преподавателей была выше: 35% учеников-рома. Более подробная информация о доле учеников-рома в школах приводится в Приложении № 7. Определение числа детей-рома в учебных заведениях, где преподавание ведется по программам для школьников с незначительными отставаниями в умственном развитии, также стало предм</w:t>
      </w:r>
      <w:r w:rsidRPr="004030B6">
        <w:t>е</w:t>
      </w:r>
      <w:r w:rsidRPr="004030B6">
        <w:t>том внимания в рамках подготовленного Школьной инспекцией ЧР тематич</w:t>
      </w:r>
      <w:r w:rsidRPr="004030B6">
        <w:t>е</w:t>
      </w:r>
      <w:r w:rsidRPr="004030B6">
        <w:t xml:space="preserve">ского доклада, озаглавленного </w:t>
      </w:r>
      <w:r w:rsidR="009C6F8B">
        <w:t>"</w:t>
      </w:r>
      <w:r w:rsidRPr="004030B6">
        <w:t>Процесс трансформации бывших специальных школ в 2011-2012 учебном году</w:t>
      </w:r>
      <w:r w:rsidR="009C6F8B">
        <w:t>"</w:t>
      </w:r>
      <w:r w:rsidRPr="004030B6">
        <w:t>, который был опубликован в июле 2012 года. Согласно оценкам, процентная доля детей-рома в учебных заведениях, где пр</w:t>
      </w:r>
      <w:r w:rsidRPr="004030B6">
        <w:t>е</w:t>
      </w:r>
      <w:r w:rsidRPr="004030B6">
        <w:t>подавание ведется по программам для школьников с незначительными отстав</w:t>
      </w:r>
      <w:r w:rsidRPr="004030B6">
        <w:t>а</w:t>
      </w:r>
      <w:r w:rsidRPr="004030B6">
        <w:t>ниями в умственном развитии, составила 26,4%, что на 8,6% ниже аналогичн</w:t>
      </w:r>
      <w:r w:rsidRPr="004030B6">
        <w:t>о</w:t>
      </w:r>
      <w:r w:rsidRPr="004030B6">
        <w:t xml:space="preserve">го показателя, зафиксированного в 2009-2010 учебном году. </w:t>
      </w:r>
    </w:p>
    <w:p w:rsidR="0086169A" w:rsidRPr="004030B6" w:rsidRDefault="0086169A" w:rsidP="0086169A">
      <w:pPr>
        <w:pStyle w:val="SingleTxtGR"/>
      </w:pPr>
      <w:r w:rsidRPr="004030B6">
        <w:t>88.</w:t>
      </w:r>
      <w:r w:rsidRPr="004030B6">
        <w:tab/>
        <w:t>Для того, чтобы снизить долю детей-рома в так называемых школах пра</w:t>
      </w:r>
      <w:r w:rsidRPr="004030B6">
        <w:t>к</w:t>
      </w:r>
      <w:r w:rsidRPr="004030B6">
        <w:t>тического обучения, ЧР использует ряд мер. Данные первого доклада Школьной инспекции ЧР за июнь 2012 года о количестве детей-рома в школах практич</w:t>
      </w:r>
      <w:r w:rsidRPr="004030B6">
        <w:t>е</w:t>
      </w:r>
      <w:r w:rsidRPr="004030B6">
        <w:t xml:space="preserve">ского обучения свидетельствуют о наличии небольших улучшений. В конце 2012 года Министерство по делам образования, молодежи и спорта подготовило План действий в связи с решением по делу </w:t>
      </w:r>
      <w:r w:rsidRPr="004030B6">
        <w:rPr>
          <w:i/>
        </w:rPr>
        <w:t>Д.Х. и другие против ЧР</w:t>
      </w:r>
      <w:r w:rsidRPr="004030B6">
        <w:rPr>
          <w:i/>
          <w:vertAlign w:val="superscript"/>
        </w:rPr>
        <w:footnoteReference w:id="109"/>
      </w:r>
      <w:r w:rsidRPr="004030B6">
        <w:t>. Целью Плана действий является принятие мер, направленных на отмену ряда проц</w:t>
      </w:r>
      <w:r w:rsidRPr="004030B6">
        <w:t>е</w:t>
      </w:r>
      <w:r w:rsidRPr="004030B6">
        <w:t>дур, которые могут способствовать сегрегации школьников-рома в сфере обр</w:t>
      </w:r>
      <w:r w:rsidRPr="004030B6">
        <w:t>а</w:t>
      </w:r>
      <w:r w:rsidRPr="004030B6">
        <w:t>зования. Авторы плана предлагают создать реестр школьников, обучающихся по Рамочной учебной программе для начальных школ с Приложением, регл</w:t>
      </w:r>
      <w:r w:rsidRPr="004030B6">
        <w:t>а</w:t>
      </w:r>
      <w:r w:rsidRPr="004030B6">
        <w:t>ментирующим обучение детей с незначительными отставаниями в умственном развитии, с тем чтобы определить количество учеников-рома в рамках этой программы. Следует провести пересмотр Приложения, а также критериев п</w:t>
      </w:r>
      <w:r w:rsidRPr="004030B6">
        <w:t>о</w:t>
      </w:r>
      <w:r w:rsidRPr="004030B6">
        <w:t xml:space="preserve">становки диагноза </w:t>
      </w:r>
      <w:r w:rsidR="009C6F8B">
        <w:t>"</w:t>
      </w:r>
      <w:r w:rsidRPr="004030B6">
        <w:t>незначительные отклонения в умственном развитии</w:t>
      </w:r>
      <w:r w:rsidR="009C6F8B">
        <w:t>"</w:t>
      </w:r>
      <w:r w:rsidRPr="004030B6">
        <w:t>, с тем чтобы обеспечить учет социальных и культурных различий. С этим же связано внедрение механизмов наблюдения за случаями постановки данного диагноза, а также мониторинга консультативных служб. Обучение детей, не страдающих никакими отклонениями, в школах для детей с отклонениями необходимо по</w:t>
      </w:r>
      <w:r w:rsidRPr="004030B6">
        <w:t>л</w:t>
      </w:r>
      <w:r w:rsidRPr="004030B6">
        <w:t>ностью запретить, причем речь должна идти и о временном пребывании детей в таких школах в диагностических целях, которое следует заменить диагностич</w:t>
      </w:r>
      <w:r w:rsidRPr="004030B6">
        <w:t>е</w:t>
      </w:r>
      <w:r w:rsidRPr="004030B6">
        <w:t>ским наблюдением в обычной среде. Цель подготовительных классов также н</w:t>
      </w:r>
      <w:r w:rsidRPr="004030B6">
        <w:t>е</w:t>
      </w:r>
      <w:r w:rsidRPr="004030B6">
        <w:t>обходимо пересмотреть. К реализации плана будут привлечены эксперты и представители гражданского общества. Национальный институт непрерывного образования организовал ряд учебно-подготовительных программ для препод</w:t>
      </w:r>
      <w:r w:rsidRPr="004030B6">
        <w:t>а</w:t>
      </w:r>
      <w:r w:rsidRPr="004030B6">
        <w:t>вателей в целях повышения их квалификации в области инклюзивного образ</w:t>
      </w:r>
      <w:r w:rsidRPr="004030B6">
        <w:t>о</w:t>
      </w:r>
      <w:r w:rsidRPr="004030B6">
        <w:t>вания. В рамках этих программ преподавателей знакомят с наиболее эффекти</w:t>
      </w:r>
      <w:r w:rsidRPr="004030B6">
        <w:t>в</w:t>
      </w:r>
      <w:r w:rsidRPr="004030B6">
        <w:t>ными способами и методами работы, а также разъясняют практические проц</w:t>
      </w:r>
      <w:r w:rsidRPr="004030B6">
        <w:t>е</w:t>
      </w:r>
      <w:r w:rsidRPr="004030B6">
        <w:t>дуры. Кроме того, проводятся многочисленные конференции, посвященные о</w:t>
      </w:r>
      <w:r w:rsidRPr="004030B6">
        <w:t>б</w:t>
      </w:r>
      <w:r w:rsidRPr="004030B6">
        <w:t>мену международным опытом в области инклюзивного образования.</w:t>
      </w:r>
    </w:p>
    <w:p w:rsidR="0086169A" w:rsidRPr="004030B6" w:rsidRDefault="0086169A" w:rsidP="0086169A">
      <w:pPr>
        <w:pStyle w:val="SingleTxtGR"/>
      </w:pPr>
      <w:r w:rsidRPr="004030B6">
        <w:t>89.</w:t>
      </w:r>
      <w:r w:rsidRPr="004030B6">
        <w:tab/>
        <w:t>Важное место в системе интеграции занимают также консультативные услуги, предоставляемые школьными консультативными службами и помощн</w:t>
      </w:r>
      <w:r w:rsidRPr="004030B6">
        <w:t>и</w:t>
      </w:r>
      <w:r w:rsidRPr="004030B6">
        <w:t>ками педагогов ученикам-рома в начальных школах. В 2012 году в школах р</w:t>
      </w:r>
      <w:r w:rsidRPr="004030B6">
        <w:t>а</w:t>
      </w:r>
      <w:r w:rsidRPr="004030B6">
        <w:t>ботало 554 таких помощника. Их задачи включают в себя оказание помощи в адаптации школьников к дошкольной и школьной среде, содействие ученикам и преподавателям в решении повседневных проблем детей с особыми образов</w:t>
      </w:r>
      <w:r w:rsidRPr="004030B6">
        <w:t>а</w:t>
      </w:r>
      <w:r w:rsidRPr="004030B6">
        <w:t>тельными потребностями, создание дополнительных классов, сотрудничество с семьями и оказание помощи в переводе детей в основную систему образования. Как и прежде, предусматривается финансовая поддержка в деле создания дол</w:t>
      </w:r>
      <w:r w:rsidRPr="004030B6">
        <w:t>ж</w:t>
      </w:r>
      <w:r w:rsidRPr="004030B6">
        <w:t>ностей помощников педагогов, а также специальной аттестации преподавател</w:t>
      </w:r>
      <w:r w:rsidRPr="004030B6">
        <w:t>ь</w:t>
      </w:r>
      <w:r w:rsidRPr="004030B6">
        <w:t>ского состава, занимающегося обучением социально неблагополучных школ</w:t>
      </w:r>
      <w:r w:rsidRPr="004030B6">
        <w:t>ь</w:t>
      </w:r>
      <w:r w:rsidRPr="004030B6">
        <w:t>ников. В будущем в рамках финансирования начальных школ основное вним</w:t>
      </w:r>
      <w:r w:rsidRPr="004030B6">
        <w:t>а</w:t>
      </w:r>
      <w:r w:rsidRPr="004030B6">
        <w:t>ние должно уделяться не переводу социально неблагополучных детей в систему специального образования, а их обучению в обычных классах. В целях содейс</w:t>
      </w:r>
      <w:r w:rsidRPr="004030B6">
        <w:t>т</w:t>
      </w:r>
      <w:r w:rsidRPr="004030B6">
        <w:t>вия интеграции социально неблагополучных детей создаются подготовител</w:t>
      </w:r>
      <w:r w:rsidRPr="004030B6">
        <w:t>ь</w:t>
      </w:r>
      <w:r w:rsidRPr="004030B6">
        <w:t>ные классы, количество которых, равно как и наполняемость учениками, в п</w:t>
      </w:r>
      <w:r w:rsidRPr="004030B6">
        <w:t>о</w:t>
      </w:r>
      <w:r w:rsidRPr="004030B6">
        <w:t>следние годы имеют тенденцию к росту. Создать подготовительные классы имеет возможность любая школа, если она сочтет, что социально неблагоп</w:t>
      </w:r>
      <w:r w:rsidRPr="004030B6">
        <w:t>о</w:t>
      </w:r>
      <w:r w:rsidRPr="004030B6">
        <w:t>лучные дети нуждаются в подготовительном образовании. Обучение в этих классах является бесплатным, а их учебная программа предусматривает прин</w:t>
      </w:r>
      <w:r w:rsidRPr="004030B6">
        <w:t>я</w:t>
      </w:r>
      <w:r w:rsidRPr="004030B6">
        <w:t>тие компенсаторных мер с целью обеспечить социально неблагополучным д</w:t>
      </w:r>
      <w:r w:rsidRPr="004030B6">
        <w:t>е</w:t>
      </w:r>
      <w:r w:rsidRPr="004030B6">
        <w:t>тям равенство возможностей. В 2012 году в 209 школах было создано 244 по</w:t>
      </w:r>
      <w:r w:rsidRPr="004030B6">
        <w:t>д</w:t>
      </w:r>
      <w:r w:rsidRPr="004030B6">
        <w:t>готовительных класса, в которых насчитывалось 2884 ученика. Кроме того, Министерство по делам образования, молодежи и спорта создало форум с уч</w:t>
      </w:r>
      <w:r w:rsidRPr="004030B6">
        <w:t>а</w:t>
      </w:r>
      <w:r w:rsidRPr="004030B6">
        <w:t>стием специалистов, которые будут заниматься проблематикой обеспечения равных возможностей в сфере образования.</w:t>
      </w:r>
    </w:p>
    <w:p w:rsidR="0086169A" w:rsidRPr="004030B6" w:rsidRDefault="0086169A" w:rsidP="0086169A">
      <w:pPr>
        <w:pStyle w:val="SingleTxtGR"/>
      </w:pPr>
      <w:r w:rsidRPr="004030B6">
        <w:t>90.</w:t>
      </w:r>
      <w:r w:rsidRPr="004030B6">
        <w:tab/>
        <w:t>Министерство по делам образования, молодежи и спорта содействует преподаванию цыганского языка посредством реализации программы субсидий, в рамках которой поддерживается обучение на языках национальных мен</w:t>
      </w:r>
      <w:r w:rsidRPr="004030B6">
        <w:t>ь</w:t>
      </w:r>
      <w:r w:rsidRPr="004030B6">
        <w:t xml:space="preserve">шинств, а также мультикультурное образование. Предмет </w:t>
      </w:r>
      <w:r w:rsidR="009C6F8B">
        <w:t>"</w:t>
      </w:r>
      <w:r w:rsidRPr="004030B6">
        <w:t>исследования рома</w:t>
      </w:r>
      <w:r w:rsidR="009C6F8B">
        <w:t>"</w:t>
      </w:r>
      <w:r w:rsidRPr="004030B6">
        <w:t xml:space="preserve"> входит в программу философского факультета Карлова университета в Праге, а отдельные его аспекты преподаются в рамках изучения других дисциплин в университетах ЧР. ЧР также предоставила дополнительную информацию по данному вопросу в своем ответе на заключительные замечания Комитета по л</w:t>
      </w:r>
      <w:r w:rsidRPr="004030B6">
        <w:t>и</w:t>
      </w:r>
      <w:r w:rsidRPr="004030B6">
        <w:t>квидации расовой дискриминации</w:t>
      </w:r>
      <w:r w:rsidRPr="004030B6">
        <w:rPr>
          <w:vertAlign w:val="superscript"/>
        </w:rPr>
        <w:footnoteReference w:id="110"/>
      </w:r>
      <w:r w:rsidRPr="004030B6">
        <w:t>.</w:t>
      </w:r>
    </w:p>
    <w:p w:rsidR="0086169A" w:rsidRPr="004030B6" w:rsidRDefault="00D81239" w:rsidP="00D81239">
      <w:pPr>
        <w:pStyle w:val="H4GR"/>
        <w:spacing w:before="240"/>
      </w:pPr>
      <w:r>
        <w:tab/>
      </w:r>
      <w:r>
        <w:tab/>
      </w:r>
      <w:r w:rsidR="0086169A" w:rsidRPr="004030B6">
        <w:t>Право на равноправное участие в культурных мероприятиях</w:t>
      </w:r>
    </w:p>
    <w:p w:rsidR="0086169A" w:rsidRPr="004030B6" w:rsidRDefault="0086169A" w:rsidP="0086169A">
      <w:pPr>
        <w:pStyle w:val="SingleTxtGR"/>
      </w:pPr>
      <w:r w:rsidRPr="004030B6">
        <w:t>91.</w:t>
      </w:r>
      <w:r w:rsidRPr="004030B6">
        <w:tab/>
        <w:t>ЧР оказывает поддержку различным культурным мероприятиям рома п</w:t>
      </w:r>
      <w:r w:rsidRPr="004030B6">
        <w:t>у</w:t>
      </w:r>
      <w:r w:rsidRPr="004030B6">
        <w:t xml:space="preserve">тем предоставления субсидий. В число таких мероприятий входит, например, Всемирный фестиваль рома </w:t>
      </w:r>
      <w:r w:rsidR="009C6F8B">
        <w:t>"</w:t>
      </w:r>
      <w:r w:rsidRPr="004030B6">
        <w:t>Хаморо</w:t>
      </w:r>
      <w:r w:rsidR="009C6F8B">
        <w:t>"</w:t>
      </w:r>
      <w:r w:rsidRPr="004030B6">
        <w:t>, который способствует интеграции рома, борьбе против расизма и ксенофобии, а также укреплению толерантности по отношению к меньшинствам. Этот музыкальный фестиваль включает в себя культурные мероприятия, а также семинары и лекции, посвященные жизни р</w:t>
      </w:r>
      <w:r w:rsidRPr="004030B6">
        <w:t>о</w:t>
      </w:r>
      <w:r w:rsidRPr="004030B6">
        <w:t>ма и их положению в чешском обществе. Кроме того, оказывается поддержка в проведении других мероприятий, включая местные и региональные фестивали, культурные мероприятия и проведение Международного дня рома; это делается в рамках специальной программы субсидий, направленной на интеграцию с</w:t>
      </w:r>
      <w:r w:rsidRPr="004030B6">
        <w:t>о</w:t>
      </w:r>
      <w:r w:rsidRPr="004030B6">
        <w:t>общества рома.</w:t>
      </w:r>
    </w:p>
    <w:p w:rsidR="0086169A" w:rsidRPr="004030B6" w:rsidRDefault="0086169A" w:rsidP="0086169A">
      <w:pPr>
        <w:pStyle w:val="SingleTxtGR"/>
      </w:pPr>
      <w:r w:rsidRPr="004030B6">
        <w:t>92.</w:t>
      </w:r>
      <w:r w:rsidRPr="004030B6">
        <w:tab/>
        <w:t>В 1991 году в Брно был открыт Музей культуры рома, который посвящен культуре и истории рома. В музее сохраняются экспонаты и предметы, име</w:t>
      </w:r>
      <w:r w:rsidRPr="004030B6">
        <w:t>ю</w:t>
      </w:r>
      <w:r w:rsidRPr="004030B6">
        <w:t>щие отношение к истории и культуре, жизни, литературе, искусству, ремеслам, одежде и жилищам рома; в него входят библиотека, а также коллекция аудио- и видеоматериалов. Музей также выполняет роль образовательного центра для детей и молодежи, который способствует формированию мультикультурного мышления, а также поиску идентичности рома. Он также содействует распр</w:t>
      </w:r>
      <w:r w:rsidRPr="004030B6">
        <w:t>о</w:t>
      </w:r>
      <w:r w:rsidRPr="004030B6">
        <w:t>странению культуры рома - причем не только в других регионах страны, но и на международном уровне, - путем организации передвижных выставок и перед</w:t>
      </w:r>
      <w:r w:rsidRPr="004030B6">
        <w:t>а</w:t>
      </w:r>
      <w:r w:rsidRPr="004030B6">
        <w:t>чи своих экспозиций на временной основе зарубежным учреждениям</w:t>
      </w:r>
      <w:r w:rsidRPr="004030B6">
        <w:rPr>
          <w:vertAlign w:val="superscript"/>
        </w:rPr>
        <w:footnoteReference w:id="111"/>
      </w:r>
      <w:r w:rsidRPr="004030B6">
        <w:t>. Пом</w:t>
      </w:r>
      <w:r w:rsidRPr="004030B6">
        <w:t>и</w:t>
      </w:r>
      <w:r w:rsidRPr="004030B6">
        <w:t>мо выставок, музей также организует образовательные программы для взро</w:t>
      </w:r>
      <w:r w:rsidRPr="004030B6">
        <w:t>с</w:t>
      </w:r>
      <w:r w:rsidRPr="004030B6">
        <w:t>лых, студентов университетов и преподавательского состава</w:t>
      </w:r>
      <w:r w:rsidRPr="004030B6">
        <w:rPr>
          <w:vertAlign w:val="superscript"/>
        </w:rPr>
        <w:footnoteReference w:id="112"/>
      </w:r>
      <w:r w:rsidRPr="004030B6">
        <w:t xml:space="preserve">. Он также уделял внимание обучению студентов университетов, предлагая им лекцию на тему </w:t>
      </w:r>
      <w:r w:rsidR="009C6F8B">
        <w:t>"</w:t>
      </w:r>
      <w:r w:rsidRPr="004030B6">
        <w:t>Методология и конкретные аспекты проведения исследований среди рома и источники исторических сведений о рома</w:t>
      </w:r>
      <w:r w:rsidR="009C6F8B">
        <w:t>"</w:t>
      </w:r>
      <w:r w:rsidRPr="004030B6">
        <w:t>. В 2012 году лекционный отдел м</w:t>
      </w:r>
      <w:r w:rsidRPr="004030B6">
        <w:t>у</w:t>
      </w:r>
      <w:r w:rsidRPr="004030B6">
        <w:t>зея в сотрудничестве с педагогическим факультетом Масарикова университета способствовал расширению знаний студентов в целях повышения их квалиф</w:t>
      </w:r>
      <w:r w:rsidRPr="004030B6">
        <w:t>и</w:t>
      </w:r>
      <w:r w:rsidRPr="004030B6">
        <w:t>кации в плане работы с группами, находящимися в неблагоприятном полож</w:t>
      </w:r>
      <w:r w:rsidRPr="004030B6">
        <w:t>е</w:t>
      </w:r>
      <w:r w:rsidRPr="004030B6">
        <w:t>нии. При этом музей способствует повышению квалификации и других специ</w:t>
      </w:r>
      <w:r w:rsidRPr="004030B6">
        <w:t>а</w:t>
      </w:r>
      <w:r w:rsidRPr="004030B6">
        <w:t xml:space="preserve">листов. Так, например, он провел лекцию для медсестер на тему </w:t>
      </w:r>
      <w:r w:rsidR="009C6F8B">
        <w:t>"</w:t>
      </w:r>
      <w:r w:rsidRPr="004030B6">
        <w:t>Подход к меньшинствам в медицинской практике</w:t>
      </w:r>
      <w:r w:rsidR="009C6F8B">
        <w:t>"</w:t>
      </w:r>
      <w:r w:rsidRPr="004030B6">
        <w:t>, целью которой было улучшение их взаимодействия с пациентами-рома. Музей также организует курсы языка рома в сотрудничестве с Институтом Южной и Центральной Азии при философском факультете Карлова университета в Праге</w:t>
      </w:r>
      <w:r w:rsidRPr="004030B6">
        <w:rPr>
          <w:vertAlign w:val="superscript"/>
        </w:rPr>
        <w:footnoteReference w:id="113"/>
      </w:r>
      <w:r w:rsidRPr="004030B6">
        <w:t xml:space="preserve">. В связи с большим интересом со стороны общественности во время осеннего семестра были организованы два курса для </w:t>
      </w:r>
      <w:r w:rsidR="00040B64" w:rsidRPr="004030B6">
        <w:t>начинающих</w:t>
      </w:r>
      <w:r w:rsidRPr="004030B6">
        <w:t xml:space="preserve">, которые посещали 15 человек. Во второй половине года Школа языковой подготовки </w:t>
      </w:r>
      <w:r w:rsidR="009C6F8B">
        <w:t>"</w:t>
      </w:r>
      <w:r w:rsidRPr="004030B6">
        <w:t>ЭДУА</w:t>
      </w:r>
      <w:r w:rsidR="009C6F8B">
        <w:t>"</w:t>
      </w:r>
      <w:r w:rsidRPr="004030B6">
        <w:t xml:space="preserve"> обратилась к Музею с просьбой о сотру</w:t>
      </w:r>
      <w:r w:rsidRPr="004030B6">
        <w:t>д</w:t>
      </w:r>
      <w:r w:rsidRPr="004030B6">
        <w:t>ничестве в организации уроков цыганского языка в отделениях Школы в Праге и Брно. Кроме того, продолжалось обучение школьников-рома и деятельность по поддержке дошкольного образования</w:t>
      </w:r>
      <w:r w:rsidRPr="004030B6">
        <w:rPr>
          <w:vertAlign w:val="superscript"/>
        </w:rPr>
        <w:footnoteReference w:id="114"/>
      </w:r>
      <w:r w:rsidRPr="004030B6">
        <w:t>. Был также реализован проект оказ</w:t>
      </w:r>
      <w:r w:rsidRPr="004030B6">
        <w:t>а</w:t>
      </w:r>
      <w:r w:rsidRPr="004030B6">
        <w:t>ния дополнительной профессиональной помощи родителям социально неблаг</w:t>
      </w:r>
      <w:r w:rsidRPr="004030B6">
        <w:t>о</w:t>
      </w:r>
      <w:r w:rsidRPr="004030B6">
        <w:t>получных детей-рома в сферах дошкольного и начального образования. Дважды в неделю Музей организует занятия клуба подготовки к школе, в котором обе</w:t>
      </w:r>
      <w:r w:rsidRPr="004030B6">
        <w:t>с</w:t>
      </w:r>
      <w:r w:rsidRPr="004030B6">
        <w:t>печивается дошкольное образование детей, не способных идти вровень со своими сверстниками в детских садах. Продолжает свою деятельность Детский клуб при Музее, где пять раз в неделю проводятся занятия в различных кружках для детей, в том числе и детей-рома. В дополнение к этим регулярным мер</w:t>
      </w:r>
      <w:r w:rsidRPr="004030B6">
        <w:t>о</w:t>
      </w:r>
      <w:r w:rsidRPr="004030B6">
        <w:t>приятиям Клуб также организует ежемесячные поездки, посещения учрежд</w:t>
      </w:r>
      <w:r w:rsidRPr="004030B6">
        <w:t>е</w:t>
      </w:r>
      <w:r w:rsidRPr="004030B6">
        <w:t xml:space="preserve">ний культуры и летнюю экскурсию. </w:t>
      </w:r>
    </w:p>
    <w:p w:rsidR="0086169A" w:rsidRPr="004030B6" w:rsidRDefault="00D81239" w:rsidP="0086169A">
      <w:pPr>
        <w:pStyle w:val="SingleTxtGR"/>
      </w:pPr>
      <w:r>
        <w:t>93.</w:t>
      </w:r>
      <w:r>
        <w:tab/>
      </w:r>
      <w:r w:rsidR="0086169A" w:rsidRPr="004030B6">
        <w:t>В рамках программы содействия проведению культурных мероприятий этнических меньшинств, проживающих в ЧР, также оказывается поддержка в реализации других проектов, и в частности проектов гражданских объедин</w:t>
      </w:r>
      <w:r w:rsidR="0086169A" w:rsidRPr="004030B6">
        <w:t>е</w:t>
      </w:r>
      <w:r w:rsidR="0086169A" w:rsidRPr="004030B6">
        <w:t>ний</w:t>
      </w:r>
      <w:r w:rsidR="0086169A" w:rsidRPr="004030B6">
        <w:rPr>
          <w:vertAlign w:val="superscript"/>
        </w:rPr>
        <w:footnoteReference w:id="115"/>
      </w:r>
      <w:r w:rsidR="0086169A" w:rsidRPr="004030B6">
        <w:t>, в которые входят чешские граждане болгарской, хорватской, венгерской, немецкой, польской, цыганской, русинской, русской, греческой, словацкой, сербской и украинской национальностей, а также проектов в области еврейской культуры. В рамках этой программы финансирования субсидии также предо</w:t>
      </w:r>
      <w:r w:rsidR="0086169A" w:rsidRPr="004030B6">
        <w:t>с</w:t>
      </w:r>
      <w:r w:rsidR="0086169A" w:rsidRPr="004030B6">
        <w:t>тавляются на проведение культурных мероприятий с участием представителей сразу нескольких этнических групп</w:t>
      </w:r>
      <w:r w:rsidR="0086169A" w:rsidRPr="004030B6">
        <w:rPr>
          <w:vertAlign w:val="superscript"/>
        </w:rPr>
        <w:footnoteReference w:id="116"/>
      </w:r>
      <w:r w:rsidR="0086169A" w:rsidRPr="004030B6">
        <w:t>, что способствует признанию различных национальных культур и является попыткой предотвратить проявления ксен</w:t>
      </w:r>
      <w:r w:rsidR="0086169A" w:rsidRPr="004030B6">
        <w:t>о</w:t>
      </w:r>
      <w:r w:rsidR="0086169A" w:rsidRPr="004030B6">
        <w:t>фобии. Канцелярия Правительства реализует специальную программу по</w:t>
      </w:r>
      <w:r w:rsidR="0086169A" w:rsidRPr="004030B6">
        <w:t>д</w:t>
      </w:r>
      <w:r w:rsidR="0086169A" w:rsidRPr="004030B6">
        <w:t>держки региональных языков и языков меньшинств, находящихся под защитой Европейской хартии региональных языков и языков меньшинств. В ЧР такими языками являются польский, словацкий, немецкий языки, а также язык рома.</w:t>
      </w:r>
    </w:p>
    <w:p w:rsidR="0086169A" w:rsidRPr="004030B6" w:rsidRDefault="0086169A" w:rsidP="0086169A">
      <w:pPr>
        <w:pStyle w:val="SingleTxtGR"/>
      </w:pPr>
      <w:r w:rsidRPr="004030B6">
        <w:t>94.</w:t>
      </w:r>
      <w:r w:rsidRPr="004030B6">
        <w:tab/>
        <w:t>На языках некоторых национальных меньшинств публикуются период</w:t>
      </w:r>
      <w:r w:rsidRPr="004030B6">
        <w:t>и</w:t>
      </w:r>
      <w:r w:rsidRPr="004030B6">
        <w:t>ческие издания, а также транслируются радио- и телепрограммы; при помощи периодических изданий, а также радио- и телепрограмм ведется также распр</w:t>
      </w:r>
      <w:r w:rsidRPr="004030B6">
        <w:t>о</w:t>
      </w:r>
      <w:r w:rsidRPr="004030B6">
        <w:t>странение информации о национальных меньшинствах. Поддержка проектов, связанных с проблемой расовой дискриминации, также осуществляется по л</w:t>
      </w:r>
      <w:r w:rsidRPr="004030B6">
        <w:t>и</w:t>
      </w:r>
      <w:r w:rsidRPr="004030B6">
        <w:t>нии программы субсидий, связанных с кинематографом и СМИ. Примерами мероприятий подобного рода являются Международный фестиваль докуме</w:t>
      </w:r>
      <w:r w:rsidRPr="004030B6">
        <w:t>н</w:t>
      </w:r>
      <w:r w:rsidRPr="004030B6">
        <w:t xml:space="preserve">тальных фильмов по правам человека </w:t>
      </w:r>
      <w:r w:rsidR="009C6F8B">
        <w:t>"</w:t>
      </w:r>
      <w:r w:rsidRPr="004030B6">
        <w:t>Единый мир</w:t>
      </w:r>
      <w:r w:rsidR="009C6F8B">
        <w:t>"</w:t>
      </w:r>
      <w:r w:rsidRPr="004030B6">
        <w:t xml:space="preserve">, </w:t>
      </w:r>
      <w:r w:rsidR="009C6F8B">
        <w:t>"</w:t>
      </w:r>
      <w:r w:rsidRPr="004030B6">
        <w:t>ФАМУфест</w:t>
      </w:r>
      <w:r w:rsidR="009C6F8B">
        <w:t>"</w:t>
      </w:r>
      <w:r w:rsidRPr="004030B6">
        <w:t xml:space="preserve">, а также Международный фестиваль документальных фильмов в Йиглаве. </w:t>
      </w:r>
    </w:p>
    <w:p w:rsidR="0086169A" w:rsidRPr="004030B6" w:rsidRDefault="0086169A" w:rsidP="0086169A">
      <w:pPr>
        <w:pStyle w:val="SingleTxtGR"/>
      </w:pPr>
      <w:r w:rsidRPr="004030B6">
        <w:t>95.</w:t>
      </w:r>
      <w:r w:rsidRPr="004030B6">
        <w:tab/>
        <w:t>Холокост рома является важной частью чешской истории. Память об этом трагическом событии увековечена при помощи двух специальных мемориал</w:t>
      </w:r>
      <w:r w:rsidRPr="004030B6">
        <w:t>ь</w:t>
      </w:r>
      <w:r w:rsidRPr="004030B6">
        <w:t>ных комплексов, расположенных в Лети близ Писека и Ходонине близ Куншт</w:t>
      </w:r>
      <w:r w:rsidRPr="004030B6">
        <w:t>а</w:t>
      </w:r>
      <w:r w:rsidRPr="004030B6">
        <w:t>та неподалеку от мест, где во время Второй мировой войны находились бывшие лагеря для рома. Эти комплексы включают в себя остатки бывших лагерных с</w:t>
      </w:r>
      <w:r w:rsidRPr="004030B6">
        <w:t>о</w:t>
      </w:r>
      <w:r w:rsidRPr="004030B6">
        <w:t>оружений, экспозиции, дающие представление о жизни обитателей лагерей, места, где можно воздать дань памяти жертвам, а также памятники; кроме того, предусмотрены места для проведения образовательных мероприятий, выставок и презентаций, посвященных Холокосту рома, включая программы и лекции для школ и преподавателей. Более подробная информация о деятельности м</w:t>
      </w:r>
      <w:r w:rsidRPr="004030B6">
        <w:t>е</w:t>
      </w:r>
      <w:r w:rsidRPr="004030B6">
        <w:t>мориальных комплексов приводится в тексте, посвященном статье 7.</w:t>
      </w:r>
    </w:p>
    <w:p w:rsidR="0086169A" w:rsidRPr="004030B6" w:rsidRDefault="00D81239" w:rsidP="00D81239">
      <w:pPr>
        <w:pStyle w:val="H4GR"/>
        <w:spacing w:before="240"/>
      </w:pPr>
      <w:r>
        <w:tab/>
      </w:r>
      <w:r>
        <w:tab/>
      </w:r>
      <w:r w:rsidR="0086169A" w:rsidRPr="004030B6">
        <w:t xml:space="preserve">Право доступа к любому месту или любому виду обслуживания, </w:t>
      </w:r>
      <w:r>
        <w:br/>
      </w:r>
      <w:r>
        <w:tab/>
      </w:r>
      <w:r>
        <w:tab/>
      </w:r>
      <w:r w:rsidR="0086169A" w:rsidRPr="004030B6">
        <w:t xml:space="preserve">предназначенному для общественного пользования </w:t>
      </w:r>
    </w:p>
    <w:p w:rsidR="0086169A" w:rsidRPr="004030B6" w:rsidRDefault="0086169A" w:rsidP="0086169A">
      <w:pPr>
        <w:pStyle w:val="SingleTxtGR"/>
      </w:pPr>
      <w:r w:rsidRPr="004030B6">
        <w:t>96.</w:t>
      </w:r>
      <w:r w:rsidRPr="004030B6">
        <w:tab/>
        <w:t>Хартия гарантирует свободу передвижения и проживания во всех местах, доступных населению, вне зависимости от расы или национальности</w:t>
      </w:r>
      <w:r w:rsidRPr="004030B6">
        <w:rPr>
          <w:vertAlign w:val="superscript"/>
        </w:rPr>
        <w:footnoteReference w:id="117"/>
      </w:r>
      <w:r w:rsidRPr="004030B6">
        <w:t>. Закон о борьбе с дискриминацией запрещает дискриминацию по причине расы, наци</w:t>
      </w:r>
      <w:r w:rsidRPr="004030B6">
        <w:t>о</w:t>
      </w:r>
      <w:r w:rsidRPr="004030B6">
        <w:t>нальности или этнического происхождения, в том числе в отношении доступа к любым товарам и услугам, предназначенным для населения, о чем говорится в тексте, касающемся статьи 2. Закон о защите прав потребителей также запр</w:t>
      </w:r>
      <w:r w:rsidRPr="004030B6">
        <w:t>е</w:t>
      </w:r>
      <w:r w:rsidRPr="004030B6">
        <w:t>щает такую дискриминацию.</w:t>
      </w:r>
    </w:p>
    <w:p w:rsidR="0086169A" w:rsidRPr="004030B6" w:rsidRDefault="00D81239" w:rsidP="00D81239">
      <w:pPr>
        <w:pStyle w:val="H23GR"/>
      </w:pPr>
      <w:r>
        <w:tab/>
      </w:r>
      <w:r>
        <w:tab/>
      </w:r>
      <w:r w:rsidR="0086169A" w:rsidRPr="004030B6">
        <w:t>Отдельные группы и их положение</w:t>
      </w:r>
    </w:p>
    <w:p w:rsidR="0086169A" w:rsidRPr="004030B6" w:rsidRDefault="00D81239" w:rsidP="00A167F4">
      <w:pPr>
        <w:pStyle w:val="H4GR"/>
        <w:spacing w:before="240"/>
      </w:pPr>
      <w:r>
        <w:tab/>
      </w:r>
      <w:r>
        <w:tab/>
      </w:r>
      <w:r w:rsidR="0086169A" w:rsidRPr="004030B6">
        <w:t>Ответ на пункт 20 заключительных замечаний</w:t>
      </w:r>
    </w:p>
    <w:p w:rsidR="0086169A" w:rsidRPr="004030B6" w:rsidRDefault="0086169A" w:rsidP="0086169A">
      <w:pPr>
        <w:pStyle w:val="SingleTxtGR"/>
      </w:pPr>
      <w:r w:rsidRPr="004030B6">
        <w:t>97.</w:t>
      </w:r>
      <w:r w:rsidRPr="004030B6">
        <w:tab/>
        <w:t>Правительство ежегодно обновляет Концепцию интеграции иностранцев в ЧР. Приоритетными направлениями деятельности по реализации Концепции являются: знание чешского языка, экономическая независимость иностранцев и улучшение их конкурентоспособности на рынке труда, ориентация в обществе и взаимоотношения между иностранцами и чешским социумом. Претворение этих приоритетов в жизнь обеспечивается путем реализации различных мер, включая поддержку преподавания основ чешского языка, разработку методол</w:t>
      </w:r>
      <w:r w:rsidRPr="004030B6">
        <w:t>о</w:t>
      </w:r>
      <w:r w:rsidRPr="004030B6">
        <w:t>гии социальной работы на местах в среде, состоящей из иностранцев, орган</w:t>
      </w:r>
      <w:r w:rsidRPr="004030B6">
        <w:t>и</w:t>
      </w:r>
      <w:r w:rsidRPr="004030B6">
        <w:t>зацию курсов адаптации и интеграции для вновь прибывших иностранцев и поддержку в проведении официальных и неофициальных культурных, спорти</w:t>
      </w:r>
      <w:r w:rsidRPr="004030B6">
        <w:t>в</w:t>
      </w:r>
      <w:r w:rsidRPr="004030B6">
        <w:t xml:space="preserve">ных и социальных мероприятий с участием иностранцев и представителей большинства. Наконец, Концепция также предусматривает меры, направленные на повышение информированности и квалификации иностранцев, а также улучшение доступа к медицинскому обслуживанию. </w:t>
      </w:r>
    </w:p>
    <w:p w:rsidR="0086169A" w:rsidRPr="004030B6" w:rsidRDefault="0086169A" w:rsidP="0086169A">
      <w:pPr>
        <w:pStyle w:val="SingleTxtGR"/>
      </w:pPr>
      <w:r w:rsidRPr="004030B6">
        <w:t>98.</w:t>
      </w:r>
      <w:r w:rsidRPr="004030B6">
        <w:tab/>
        <w:t>В вопросах занятости лица, имеющие разрешение на постоянное прож</w:t>
      </w:r>
      <w:r w:rsidRPr="004030B6">
        <w:t>и</w:t>
      </w:r>
      <w:r w:rsidRPr="004030B6">
        <w:t>вание в ЧР, пользуются теми же правами, что и граждане ЧР. То же самое отн</w:t>
      </w:r>
      <w:r w:rsidRPr="004030B6">
        <w:t>о</w:t>
      </w:r>
      <w:r w:rsidRPr="004030B6">
        <w:t>сится к иностранцам, которым была предоставлена международная защита (б</w:t>
      </w:r>
      <w:r w:rsidRPr="004030B6">
        <w:t>е</w:t>
      </w:r>
      <w:r w:rsidRPr="004030B6">
        <w:t xml:space="preserve">женцам и тем, кто пользуется дополнительной защитой) или временная защита. Иностранцы из так называемых </w:t>
      </w:r>
      <w:r w:rsidR="009C6F8B">
        <w:t>"</w:t>
      </w:r>
      <w:r w:rsidRPr="004030B6">
        <w:t>третьих стран</w:t>
      </w:r>
      <w:r w:rsidR="009C6F8B">
        <w:t>"</w:t>
      </w:r>
      <w:r w:rsidRPr="004030B6">
        <w:t xml:space="preserve"> могут работать в ЧР, получив необходимое разрешение на работу и вид на жительство. </w:t>
      </w:r>
      <w:r w:rsidR="009C6F8B">
        <w:t>"</w:t>
      </w:r>
      <w:r w:rsidRPr="004030B6">
        <w:t>Зеленые карты</w:t>
      </w:r>
      <w:r w:rsidR="009C6F8B">
        <w:t>"</w:t>
      </w:r>
      <w:r w:rsidRPr="004030B6">
        <w:t xml:space="preserve"> в</w:t>
      </w:r>
      <w:r w:rsidRPr="004030B6">
        <w:t>ы</w:t>
      </w:r>
      <w:r w:rsidRPr="004030B6">
        <w:t xml:space="preserve">даются иностранцам, имеющим востребованную в ЧР трудовую специальность, а </w:t>
      </w:r>
      <w:r w:rsidR="009C6F8B">
        <w:t>"</w:t>
      </w:r>
      <w:r w:rsidRPr="004030B6">
        <w:t>синие карты</w:t>
      </w:r>
      <w:r w:rsidR="009C6F8B">
        <w:t>"</w:t>
      </w:r>
      <w:r w:rsidRPr="004030B6">
        <w:t xml:space="preserve"> - иностранцам с высоким уровнем квалификации. Иностра</w:t>
      </w:r>
      <w:r w:rsidRPr="004030B6">
        <w:t>н</w:t>
      </w:r>
      <w:r w:rsidRPr="004030B6">
        <w:t>ные граждане имеют право на такие же условия труда и заработную плату, что и з</w:t>
      </w:r>
      <w:r w:rsidRPr="004030B6">
        <w:t>а</w:t>
      </w:r>
      <w:r w:rsidRPr="004030B6">
        <w:t>нимающие аналогичные должности чешские граждане</w:t>
      </w:r>
      <w:r w:rsidRPr="004030B6">
        <w:rPr>
          <w:vertAlign w:val="superscript"/>
        </w:rPr>
        <w:footnoteReference w:id="118"/>
      </w:r>
      <w:r w:rsidRPr="004030B6">
        <w:t>. Информация о кол</w:t>
      </w:r>
      <w:r w:rsidRPr="004030B6">
        <w:t>и</w:t>
      </w:r>
      <w:r w:rsidRPr="004030B6">
        <w:t>честве иностранцев в ЧР и их занятости приводится в Приложении № 8. Биржи труда обеспечивают предоставление услуг по переподготовке в соответствии с требованиями рынка труда, а также с учетом заинтересованности соискателей работы в переподготовке по конкретным специальностям и последующем тр</w:t>
      </w:r>
      <w:r w:rsidRPr="004030B6">
        <w:t>у</w:t>
      </w:r>
      <w:r w:rsidRPr="004030B6">
        <w:t>доустройстве. Кроме того, биржи труда организуют курсы чешского языка для иностранцев, зарегистрированных на одной из таких бирж и заинт</w:t>
      </w:r>
      <w:r w:rsidRPr="004030B6">
        <w:t>е</w:t>
      </w:r>
      <w:r w:rsidRPr="004030B6">
        <w:t>ресованных в изучении чешского языка. В период с января по август 2012 года курсы че</w:t>
      </w:r>
      <w:r w:rsidRPr="004030B6">
        <w:t>ш</w:t>
      </w:r>
      <w:r w:rsidRPr="004030B6">
        <w:t>ского языка посещали 17 иностранцев, стремившихся найти работу. В течение трех месяцев после окончания курса переподготовки четыре ин</w:t>
      </w:r>
      <w:r w:rsidRPr="004030B6">
        <w:t>о</w:t>
      </w:r>
      <w:r w:rsidRPr="004030B6">
        <w:t>странца нашли работу. Как и в прошлые годы, иностранцы в основном проявляют интерес к конкретным курсам переподготовки, т.е. курсам, которые кас</w:t>
      </w:r>
      <w:r w:rsidRPr="004030B6">
        <w:t>а</w:t>
      </w:r>
      <w:r w:rsidRPr="004030B6">
        <w:t>ются конкретных видов работы с учетом требований работодателей. В рамках таких курсов ин</w:t>
      </w:r>
      <w:r w:rsidRPr="004030B6">
        <w:t>о</w:t>
      </w:r>
      <w:r w:rsidRPr="004030B6">
        <w:t>странцы получают конкретные знания и навыки, необходимые для выполнения определенных видов работы, а также овладевают некоторыми навыками че</w:t>
      </w:r>
      <w:r w:rsidRPr="004030B6">
        <w:t>ш</w:t>
      </w:r>
      <w:r w:rsidRPr="004030B6">
        <w:t>ского языка в процессе общения с преподавателями и другими слушателями курсов.</w:t>
      </w:r>
    </w:p>
    <w:p w:rsidR="0086169A" w:rsidRPr="004030B6" w:rsidRDefault="0086169A" w:rsidP="0086169A">
      <w:pPr>
        <w:pStyle w:val="SingleTxtGR"/>
      </w:pPr>
      <w:r w:rsidRPr="004030B6">
        <w:t>99.</w:t>
      </w:r>
      <w:r w:rsidRPr="004030B6">
        <w:tab/>
        <w:t>На основе ежегодно обновляемой Концепции интеграции иностранцев правительство поддерживает деятельность в области интеграции иностранцев в ЧР. В 2012 году был реализован в общей сложности 61 проект. В число осно</w:t>
      </w:r>
      <w:r w:rsidRPr="004030B6">
        <w:t>в</w:t>
      </w:r>
      <w:r w:rsidRPr="004030B6">
        <w:t>ных направлений деятельности в рамках поддержанных проектов входят мул</w:t>
      </w:r>
      <w:r w:rsidRPr="004030B6">
        <w:t>ь</w:t>
      </w:r>
      <w:r w:rsidRPr="004030B6">
        <w:t>тикультурное образование детей и молодежи, содействие преподаванию че</w:t>
      </w:r>
      <w:r w:rsidRPr="004030B6">
        <w:t>ш</w:t>
      </w:r>
      <w:r w:rsidRPr="004030B6">
        <w:t>ского языка как иностранного, предоставление иностранцам консультаций и помощи, поддержка деятельности организаций мигрантов и диалога между ра</w:t>
      </w:r>
      <w:r w:rsidRPr="004030B6">
        <w:t>з</w:t>
      </w:r>
      <w:r w:rsidRPr="004030B6">
        <w:t xml:space="preserve">личными культурами, дальнейшие исследования вопроса о сосуществовании иностранцев и большинства населения, а также проведение семинаров, выпуск публикаций и создание </w:t>
      </w:r>
      <w:r w:rsidR="009C6F8B">
        <w:t>веб-сайт</w:t>
      </w:r>
      <w:r w:rsidRPr="004030B6">
        <w:t>ов, направленных на расширение информации об иностранцах и повышение квалификации сотрудников, занимающихся в</w:t>
      </w:r>
      <w:r w:rsidRPr="004030B6">
        <w:t>о</w:t>
      </w:r>
      <w:r w:rsidRPr="004030B6">
        <w:t>просами интеграции.</w:t>
      </w:r>
    </w:p>
    <w:p w:rsidR="0086169A" w:rsidRPr="004030B6" w:rsidRDefault="0086169A" w:rsidP="0086169A">
      <w:pPr>
        <w:pStyle w:val="SingleTxtGR"/>
      </w:pPr>
      <w:r w:rsidRPr="004030B6">
        <w:t>100.</w:t>
      </w:r>
      <w:r w:rsidRPr="004030B6">
        <w:tab/>
        <w:t>Министерство по делам образования, молодежи и спорта обеспечивает базовые условия для получения образования беженцами, лицами, пользующ</w:t>
      </w:r>
      <w:r w:rsidRPr="004030B6">
        <w:t>и</w:t>
      </w:r>
      <w:r w:rsidRPr="004030B6">
        <w:t>мися дополнительной защитой, и лицами, подавшими заявления о предоставл</w:t>
      </w:r>
      <w:r w:rsidRPr="004030B6">
        <w:t>е</w:t>
      </w:r>
      <w:r w:rsidRPr="004030B6">
        <w:t>нии международной защиты в ЧР, а также детьми иностранцев. В соответствии с поправкой к Закону об образовании</w:t>
      </w:r>
      <w:r w:rsidRPr="004030B6">
        <w:rPr>
          <w:vertAlign w:val="superscript"/>
        </w:rPr>
        <w:footnoteReference w:id="119"/>
      </w:r>
      <w:r w:rsidRPr="004030B6">
        <w:t xml:space="preserve"> право на бесплатные уроки чешского языка было предоставлено всем иностранным школьникам, выполняющим тр</w:t>
      </w:r>
      <w:r w:rsidRPr="004030B6">
        <w:t>е</w:t>
      </w:r>
      <w:r w:rsidRPr="004030B6">
        <w:t>бование об обязательном посещении школы. В сотрудничестве с организацией-учредителем школы соответствующие региональные органы должны обеспеч</w:t>
      </w:r>
      <w:r w:rsidRPr="004030B6">
        <w:t>и</w:t>
      </w:r>
      <w:r w:rsidRPr="004030B6">
        <w:t>вать бесплатную подготовку этих учеников к интеграции в систему базового образования, включая обучение чешскому языку с учетом потребностей этих учеников. Начиная с мая 2011 года обучение школьников, находящихся в небл</w:t>
      </w:r>
      <w:r w:rsidRPr="004030B6">
        <w:t>а</w:t>
      </w:r>
      <w:r w:rsidRPr="004030B6">
        <w:t>гоприятном положении из-за недостаточного владения чешским языком, осущ</w:t>
      </w:r>
      <w:r w:rsidRPr="004030B6">
        <w:t>е</w:t>
      </w:r>
      <w:r w:rsidRPr="004030B6">
        <w:t>ствляется при помощи компенсаторных методов</w:t>
      </w:r>
      <w:r w:rsidRPr="004030B6">
        <w:rPr>
          <w:vertAlign w:val="superscript"/>
        </w:rPr>
        <w:footnoteReference w:id="120"/>
      </w:r>
      <w:r w:rsidRPr="004030B6">
        <w:t>. Сюда входят, в частности, предоставление индивидуальной поддержки, использование индивидуальных учебных планов и привлечение помощников педагогов. Начальные школы м</w:t>
      </w:r>
      <w:r w:rsidRPr="004030B6">
        <w:t>о</w:t>
      </w:r>
      <w:r w:rsidRPr="004030B6">
        <w:t>гут подавать заявки на предоставление финансирования должностей помощн</w:t>
      </w:r>
      <w:r w:rsidRPr="004030B6">
        <w:t>и</w:t>
      </w:r>
      <w:r w:rsidRPr="004030B6">
        <w:t>ков педагогов по линии программы развития Министерства по делам образов</w:t>
      </w:r>
      <w:r w:rsidRPr="004030B6">
        <w:t>а</w:t>
      </w:r>
      <w:r w:rsidRPr="004030B6">
        <w:t>ния, молодежи и спорта. Министерство по делам труда и социальным вопросам также поддерживает курсы, направленные на предоставление услуг переводч</w:t>
      </w:r>
      <w:r w:rsidRPr="004030B6">
        <w:t>и</w:t>
      </w:r>
      <w:r w:rsidRPr="004030B6">
        <w:t xml:space="preserve">ков на льготных условиях в общинах иностранцев. </w:t>
      </w:r>
    </w:p>
    <w:p w:rsidR="0086169A" w:rsidRPr="004030B6" w:rsidRDefault="0086169A" w:rsidP="0086169A">
      <w:pPr>
        <w:pStyle w:val="SingleTxtGR"/>
      </w:pPr>
      <w:r w:rsidRPr="004030B6">
        <w:t>101.</w:t>
      </w:r>
      <w:r w:rsidRPr="004030B6">
        <w:tab/>
        <w:t xml:space="preserve">Наличие адекватного источника информации представляет собой один из факторов, препятствующих нарушениям прав иностранцев. Министерство по делам труда и социальным вопросам регулярно обновляет информацию на </w:t>
      </w:r>
      <w:r w:rsidR="009C6F8B">
        <w:t>веб-сайте</w:t>
      </w:r>
      <w:r w:rsidRPr="004030B6">
        <w:t xml:space="preserve"> </w:t>
      </w:r>
      <w:r w:rsidRPr="004030B6">
        <w:rPr>
          <w:lang w:val="en-US"/>
        </w:rPr>
        <w:t>www</w:t>
      </w:r>
      <w:r w:rsidRPr="004030B6">
        <w:t>.</w:t>
      </w:r>
      <w:r w:rsidRPr="004030B6">
        <w:rPr>
          <w:lang w:val="en-US"/>
        </w:rPr>
        <w:t>cizinci</w:t>
      </w:r>
      <w:r w:rsidRPr="004030B6">
        <w:t>.</w:t>
      </w:r>
      <w:r w:rsidRPr="004030B6">
        <w:rPr>
          <w:lang w:val="en-US"/>
        </w:rPr>
        <w:t>cz</w:t>
      </w:r>
      <w:r w:rsidRPr="004030B6">
        <w:t xml:space="preserve">, а также информацию о занятости иностранных граждан по следующим веб-адресам: </w:t>
      </w:r>
      <w:r w:rsidRPr="004030B6">
        <w:rPr>
          <w:lang w:val="en-US"/>
        </w:rPr>
        <w:t>www</w:t>
      </w:r>
      <w:r w:rsidRPr="004030B6">
        <w:t>.</w:t>
      </w:r>
      <w:r w:rsidRPr="004030B6">
        <w:rPr>
          <w:lang w:val="en-US"/>
        </w:rPr>
        <w:t>mpsv</w:t>
      </w:r>
      <w:r w:rsidRPr="004030B6">
        <w:t>.</w:t>
      </w:r>
      <w:r w:rsidRPr="004030B6">
        <w:rPr>
          <w:lang w:val="en-US"/>
        </w:rPr>
        <w:t>cz</w:t>
      </w:r>
      <w:r w:rsidRPr="004030B6">
        <w:t xml:space="preserve"> и </w:t>
      </w:r>
      <w:r w:rsidRPr="004030B6">
        <w:rPr>
          <w:lang w:val="en-US"/>
        </w:rPr>
        <w:t>www</w:t>
      </w:r>
      <w:r w:rsidRPr="004030B6">
        <w:t>.</w:t>
      </w:r>
      <w:r w:rsidRPr="004030B6">
        <w:rPr>
          <w:lang w:val="en-US"/>
        </w:rPr>
        <w:t>portal</w:t>
      </w:r>
      <w:r w:rsidRPr="004030B6">
        <w:t>.</w:t>
      </w:r>
      <w:r w:rsidRPr="004030B6">
        <w:rPr>
          <w:lang w:val="en-US"/>
        </w:rPr>
        <w:t>mpsv</w:t>
      </w:r>
      <w:r w:rsidRPr="004030B6">
        <w:t>.</w:t>
      </w:r>
      <w:r w:rsidRPr="004030B6">
        <w:rPr>
          <w:lang w:val="en-US"/>
        </w:rPr>
        <w:t>cz</w:t>
      </w:r>
      <w:r w:rsidRPr="004030B6">
        <w:t xml:space="preserve">. Информация доступна на </w:t>
      </w:r>
      <w:r w:rsidR="009C6F8B">
        <w:t>веб-сайте</w:t>
      </w:r>
      <w:r w:rsidRPr="004030B6">
        <w:t xml:space="preserve"> на нескольких языках. В последнем квартале 2009 года Министерство по делам труда и социальным вопросам в сотрудничестве с М</w:t>
      </w:r>
      <w:r w:rsidRPr="004030B6">
        <w:t>и</w:t>
      </w:r>
      <w:r w:rsidRPr="004030B6">
        <w:t>нистерством внутренних дел направило в дипломатические миссии ЧР в Укра</w:t>
      </w:r>
      <w:r w:rsidRPr="004030B6">
        <w:t>и</w:t>
      </w:r>
      <w:r w:rsidRPr="004030B6">
        <w:t xml:space="preserve">не примерно 100 000 информационных брошюр под названием </w:t>
      </w:r>
      <w:r w:rsidR="009C6F8B">
        <w:t>"</w:t>
      </w:r>
      <w:r w:rsidRPr="004030B6">
        <w:t>Как легально устроиться на работу в Чешской Республике?</w:t>
      </w:r>
      <w:r w:rsidR="009C6F8B">
        <w:t>"</w:t>
      </w:r>
      <w:r w:rsidRPr="004030B6">
        <w:t xml:space="preserve"> на украинском языке. Несколько тысяч дополнительных экземпляров этой брошюры были направлены НПО и в центры по содействию интеграции иностранцев. Эти брошюры были также предоставлены в распоряжение краевых органов управления в ЧР. Информац</w:t>
      </w:r>
      <w:r w:rsidRPr="004030B6">
        <w:t>и</w:t>
      </w:r>
      <w:r w:rsidRPr="004030B6">
        <w:t xml:space="preserve">онно-справочная система </w:t>
      </w:r>
      <w:r w:rsidRPr="004030B6">
        <w:rPr>
          <w:lang w:val="en-US"/>
        </w:rPr>
        <w:t>EURES</w:t>
      </w:r>
      <w:r w:rsidRPr="004030B6">
        <w:t>, которая способствует повышению мобильн</w:t>
      </w:r>
      <w:r w:rsidRPr="004030B6">
        <w:t>о</w:t>
      </w:r>
      <w:r w:rsidRPr="004030B6">
        <w:t xml:space="preserve">сти рабочей силы и помогает смягчать диспропорции предложения и спроса на рынках труда стран </w:t>
      </w:r>
      <w:r w:rsidRPr="004030B6">
        <w:rPr>
          <w:lang w:val="en-US"/>
        </w:rPr>
        <w:t>EC</w:t>
      </w:r>
      <w:r w:rsidRPr="004030B6">
        <w:t>/ЕЭЗ и Швейцарии, вносит ощутимый вклад в информ</w:t>
      </w:r>
      <w:r w:rsidRPr="004030B6">
        <w:t>и</w:t>
      </w:r>
      <w:r w:rsidRPr="004030B6">
        <w:t>рование заинтересованных сторон в сфере миграции об условиях жизни и раб</w:t>
      </w:r>
      <w:r w:rsidRPr="004030B6">
        <w:t>о</w:t>
      </w:r>
      <w:r w:rsidRPr="004030B6">
        <w:t>ты в различных странах Европы. Предоставление информации клиентам обе</w:t>
      </w:r>
      <w:r w:rsidRPr="004030B6">
        <w:t>с</w:t>
      </w:r>
      <w:r w:rsidRPr="004030B6">
        <w:t xml:space="preserve">печивается консультантами </w:t>
      </w:r>
      <w:r w:rsidRPr="004030B6">
        <w:rPr>
          <w:lang w:val="en-US"/>
        </w:rPr>
        <w:t>EURES</w:t>
      </w:r>
      <w:r w:rsidRPr="004030B6">
        <w:t xml:space="preserve">, а также через </w:t>
      </w:r>
      <w:r w:rsidR="009C6F8B">
        <w:t>веб-сайт</w:t>
      </w:r>
      <w:r w:rsidRPr="004030B6">
        <w:t xml:space="preserve"> </w:t>
      </w:r>
      <w:r w:rsidRPr="004030B6">
        <w:rPr>
          <w:lang w:val="en-US"/>
        </w:rPr>
        <w:t>www</w:t>
      </w:r>
      <w:r w:rsidRPr="004030B6">
        <w:t>.</w:t>
      </w:r>
      <w:r w:rsidRPr="004030B6">
        <w:rPr>
          <w:lang w:val="en-US"/>
        </w:rPr>
        <w:t>eures</w:t>
      </w:r>
      <w:r w:rsidRPr="004030B6">
        <w:t>.</w:t>
      </w:r>
      <w:r w:rsidRPr="004030B6">
        <w:rPr>
          <w:lang w:val="en-US"/>
        </w:rPr>
        <w:t>cz</w:t>
      </w:r>
      <w:r w:rsidRPr="004030B6">
        <w:t xml:space="preserve">. </w:t>
      </w:r>
    </w:p>
    <w:p w:rsidR="0086169A" w:rsidRPr="004030B6" w:rsidRDefault="0086169A" w:rsidP="0086169A">
      <w:pPr>
        <w:pStyle w:val="SingleTxtGR"/>
      </w:pPr>
      <w:r w:rsidRPr="004030B6">
        <w:t>102.</w:t>
      </w:r>
      <w:r w:rsidRPr="004030B6">
        <w:tab/>
        <w:t>Законодательство</w:t>
      </w:r>
      <w:r w:rsidRPr="004030B6">
        <w:rPr>
          <w:vertAlign w:val="superscript"/>
        </w:rPr>
        <w:footnoteReference w:id="121"/>
      </w:r>
      <w:r w:rsidRPr="004030B6">
        <w:t xml:space="preserve"> предусматривает две основные причины задержания иностранцев: задержание для целей принудительной высылки в администр</w:t>
      </w:r>
      <w:r w:rsidRPr="004030B6">
        <w:t>а</w:t>
      </w:r>
      <w:r w:rsidRPr="004030B6">
        <w:t>тивном порядке и задержание для целей передачи или транзита. Задержанных иностранцев помещают в специальные центры содержания нетюремного типа, предназначенные для иностранцев, в которых женщины, семьи и несоверше</w:t>
      </w:r>
      <w:r w:rsidRPr="004030B6">
        <w:t>н</w:t>
      </w:r>
      <w:r w:rsidRPr="004030B6">
        <w:t>нолетние лица, находящиеся без сопровождения взрослых, содержатся отдельно от мужчин. Обычный период задержания не должен превышать 180 дней. Пр</w:t>
      </w:r>
      <w:r w:rsidRPr="004030B6">
        <w:t>о</w:t>
      </w:r>
      <w:r w:rsidRPr="004030B6">
        <w:t>дление периода задержания до 545 дней возможно лишь в отношении тех ин</w:t>
      </w:r>
      <w:r w:rsidRPr="004030B6">
        <w:t>о</w:t>
      </w:r>
      <w:r w:rsidRPr="004030B6">
        <w:t>странцев, которые непосредственно препятствуют предпринимаемые полицией усилия по их высылке, в частности путем предоставления недостоверных ли</w:t>
      </w:r>
      <w:r w:rsidRPr="004030B6">
        <w:t>ч</w:t>
      </w:r>
      <w:r w:rsidRPr="004030B6">
        <w:t>ных данных или сознательного затягивания депортации. Решение о таком пр</w:t>
      </w:r>
      <w:r w:rsidRPr="004030B6">
        <w:t>о</w:t>
      </w:r>
      <w:r w:rsidRPr="004030B6">
        <w:t>длении не может быть принято в отношении несовершеннолетних лиц или с</w:t>
      </w:r>
      <w:r w:rsidRPr="004030B6">
        <w:t>е</w:t>
      </w:r>
      <w:r w:rsidRPr="004030B6">
        <w:t>мей с детьми. Задержание иностранцев производится лишь в тех случаях, когда невозможно добиться эффективного применения других специально пред</w:t>
      </w:r>
      <w:r w:rsidRPr="004030B6">
        <w:t>у</w:t>
      </w:r>
      <w:r w:rsidRPr="004030B6">
        <w:t>смотренных мер, таких, как обязательство иностранца периодически являться в полицию или внесение гарантийного платежа. На любом этапе задержания можно обратиться в суд с просьбой о повторном рассмотрении наличия основ</w:t>
      </w:r>
      <w:r w:rsidRPr="004030B6">
        <w:t>а</w:t>
      </w:r>
      <w:r w:rsidRPr="004030B6">
        <w:t>ний для него. В случае отсутствия таких оснований иностранец должен быть немедленно освобожден. Сотрудники полиции обязаны информировать ин</w:t>
      </w:r>
      <w:r w:rsidRPr="004030B6">
        <w:t>о</w:t>
      </w:r>
      <w:r w:rsidRPr="004030B6">
        <w:t>странцев об этом праве</w:t>
      </w:r>
      <w:r w:rsidRPr="004030B6">
        <w:rPr>
          <w:vertAlign w:val="superscript"/>
        </w:rPr>
        <w:footnoteReference w:id="122"/>
      </w:r>
      <w:r w:rsidRPr="004030B6">
        <w:t>. В случае, если речь идет о несовершеннолетнем ин</w:t>
      </w:r>
      <w:r w:rsidRPr="004030B6">
        <w:t>о</w:t>
      </w:r>
      <w:r w:rsidRPr="004030B6">
        <w:t>странце, находящемся в стране без сопровождения взрослых, полиция инфо</w:t>
      </w:r>
      <w:r w:rsidRPr="004030B6">
        <w:t>р</w:t>
      </w:r>
      <w:r w:rsidRPr="004030B6">
        <w:t>мирует об этих правах назначенного опекуна</w:t>
      </w:r>
      <w:r w:rsidRPr="004030B6">
        <w:rPr>
          <w:vertAlign w:val="superscript"/>
        </w:rPr>
        <w:footnoteReference w:id="123"/>
      </w:r>
      <w:r w:rsidRPr="004030B6">
        <w:t>. В то же самое время полиция обязана продолжать расследование вопроса о наличии оснований для задерж</w:t>
      </w:r>
      <w:r w:rsidRPr="004030B6">
        <w:t>а</w:t>
      </w:r>
      <w:r w:rsidRPr="004030B6">
        <w:t>ния иностранца в течение всего срока его задержания. У иностранцев есть два варианта обжалования решения об их задержании в судебном порядке. Они м</w:t>
      </w:r>
      <w:r w:rsidRPr="004030B6">
        <w:t>о</w:t>
      </w:r>
      <w:r w:rsidRPr="004030B6">
        <w:t>гут либо обжаловать свое задержание в порядке административного судопрои</w:t>
      </w:r>
      <w:r w:rsidRPr="004030B6">
        <w:t>з</w:t>
      </w:r>
      <w:r w:rsidRPr="004030B6">
        <w:t>водства, либо в любое время подать прошение о своем освобождении в суд по гражданским делам.</w:t>
      </w:r>
    </w:p>
    <w:p w:rsidR="0086169A" w:rsidRPr="004030B6" w:rsidRDefault="0086169A" w:rsidP="0086169A">
      <w:pPr>
        <w:pStyle w:val="SingleTxtGR"/>
      </w:pPr>
      <w:r w:rsidRPr="004030B6">
        <w:t>103.</w:t>
      </w:r>
      <w:r w:rsidRPr="004030B6">
        <w:tab/>
        <w:t>В 2010 году правила, связанные с задержанием иностранцев, были изм</w:t>
      </w:r>
      <w:r w:rsidRPr="004030B6">
        <w:t>е</w:t>
      </w:r>
      <w:r w:rsidRPr="004030B6">
        <w:t>нены в целях дальнейшего укрепления гарантий, предоставляемых иностра</w:t>
      </w:r>
      <w:r w:rsidRPr="004030B6">
        <w:t>н</w:t>
      </w:r>
      <w:r w:rsidRPr="004030B6">
        <w:t>цам. Были предусмотрены альтернативы задержанию, в том числе обязательс</w:t>
      </w:r>
      <w:r w:rsidRPr="004030B6">
        <w:t>т</w:t>
      </w:r>
      <w:r w:rsidRPr="004030B6">
        <w:t>во являться в полицию или внесение гарантийного платежа. Решения о заде</w:t>
      </w:r>
      <w:r w:rsidRPr="004030B6">
        <w:t>р</w:t>
      </w:r>
      <w:r w:rsidRPr="004030B6">
        <w:t>жании принимаются на ограниченный период времени, а для семей предусма</w:t>
      </w:r>
      <w:r w:rsidRPr="004030B6">
        <w:t>т</w:t>
      </w:r>
      <w:r w:rsidRPr="004030B6">
        <w:t>риваются менее длительные сроки задержания. В случаях с несовершенноле</w:t>
      </w:r>
      <w:r w:rsidRPr="004030B6">
        <w:t>т</w:t>
      </w:r>
      <w:r w:rsidRPr="004030B6">
        <w:t>ними без сопровождения взрослых законодательство ограничивает основания для задержания; задержание таких лиц производится лишь в тех случаях, когда они могут создать серьезную угрозу национальной безопасности или же грубо нарушить общественный порядок</w:t>
      </w:r>
      <w:r w:rsidRPr="004030B6">
        <w:rPr>
          <w:vertAlign w:val="superscript"/>
        </w:rPr>
        <w:footnoteReference w:id="124"/>
      </w:r>
      <w:r w:rsidRPr="004030B6">
        <w:t>. В ходе слушаний дел несовершенноле</w:t>
      </w:r>
      <w:r w:rsidRPr="004030B6">
        <w:t>т</w:t>
      </w:r>
      <w:r w:rsidRPr="004030B6">
        <w:t>них, на которых рассматривается вопрос об их задержании, должны присутс</w:t>
      </w:r>
      <w:r w:rsidRPr="004030B6">
        <w:t>т</w:t>
      </w:r>
      <w:r w:rsidRPr="004030B6">
        <w:t>вовать их опекуны. Максимальный срок задержания несовершеннолетних с</w:t>
      </w:r>
      <w:r w:rsidRPr="004030B6">
        <w:t>о</w:t>
      </w:r>
      <w:r w:rsidRPr="004030B6">
        <w:t>ставляет 90 дней и не может быть продлен. Существование этих жестких огр</w:t>
      </w:r>
      <w:r w:rsidRPr="004030B6">
        <w:t>а</w:t>
      </w:r>
      <w:r w:rsidRPr="004030B6">
        <w:t>ничений в отношении возможностей для задержания несовершеннолетних, н</w:t>
      </w:r>
      <w:r w:rsidRPr="004030B6">
        <w:t>а</w:t>
      </w:r>
      <w:r w:rsidRPr="004030B6">
        <w:t>ходящихся без сопровождения взрослых, приводит к тому, что на практике их почти никогда не задерживают. Был предусмотрен ускоренный порядок ра</w:t>
      </w:r>
      <w:r w:rsidRPr="004030B6">
        <w:t>с</w:t>
      </w:r>
      <w:r w:rsidRPr="004030B6">
        <w:t>смотрения таких дел судами, согласно которому они обязаны принимать реш</w:t>
      </w:r>
      <w:r w:rsidRPr="004030B6">
        <w:t>е</w:t>
      </w:r>
      <w:r w:rsidRPr="004030B6">
        <w:t>ние по таким делам в течение максимум 7 дней. Эти меры позволили сократить число задержанных иностранцев. Наиболее наглядным свидетельством этого является закрытие одного центра содержания иностранцев.</w:t>
      </w:r>
    </w:p>
    <w:p w:rsidR="0086169A" w:rsidRPr="004030B6" w:rsidRDefault="0086169A" w:rsidP="0086169A">
      <w:pPr>
        <w:pStyle w:val="SingleTxtGR"/>
      </w:pPr>
      <w:r w:rsidRPr="004030B6">
        <w:t>104.</w:t>
      </w:r>
      <w:r w:rsidRPr="004030B6">
        <w:tab/>
        <w:t>Помимо этого, имело место расширение гарантий, предоставляемых з</w:t>
      </w:r>
      <w:r w:rsidRPr="004030B6">
        <w:t>а</w:t>
      </w:r>
      <w:r w:rsidRPr="004030B6">
        <w:t>держанным лицам, подавшим заявления на предоставление им международной защиты. Действует два типа центров временного содержания: на территории ЧР и в международном аэропорту. В центр на территории ЧР направляются те ин</w:t>
      </w:r>
      <w:r w:rsidRPr="004030B6">
        <w:t>о</w:t>
      </w:r>
      <w:r w:rsidRPr="004030B6">
        <w:t>странцы, которые уже находятся в ЧР или хотят подать в ЧР заявление о пр</w:t>
      </w:r>
      <w:r w:rsidRPr="004030B6">
        <w:t>е</w:t>
      </w:r>
      <w:r w:rsidRPr="004030B6">
        <w:t>доставлении им международной защиты. В центр, расположенный в междун</w:t>
      </w:r>
      <w:r w:rsidRPr="004030B6">
        <w:t>а</w:t>
      </w:r>
      <w:r w:rsidRPr="004030B6">
        <w:t>родном аэропорту, попадают иностранцы, которые заявили о своем намерении подать заявление о предоставлении им международной защиты, но еще не въ</w:t>
      </w:r>
      <w:r w:rsidRPr="004030B6">
        <w:t>е</w:t>
      </w:r>
      <w:r w:rsidRPr="004030B6">
        <w:t>хали на территорию ЧР. Этот центр расположен в транзитной зоне Пражского аэропорта имени Вацлава Гавела в Рузыне, и поэтому содержащиеся там ин</w:t>
      </w:r>
      <w:r w:rsidRPr="004030B6">
        <w:t>о</w:t>
      </w:r>
      <w:r w:rsidRPr="004030B6">
        <w:t>странцы не считаются находящимися на территории ЧР. По закону лица, п</w:t>
      </w:r>
      <w:r w:rsidRPr="004030B6">
        <w:t>о</w:t>
      </w:r>
      <w:r w:rsidRPr="004030B6">
        <w:t>давшие заявления на предоставление международной защиты, должны нах</w:t>
      </w:r>
      <w:r w:rsidRPr="004030B6">
        <w:t>о</w:t>
      </w:r>
      <w:r w:rsidRPr="004030B6">
        <w:t>диться в центре временного содержания вплоть до завершения официальных процедур, связанных с въездом в страну, включая выяснение личности, выдачу карточки заявителя и соответствующей визы, а также проведение медицинского обследования перед въездом на предмет выявления опасных и инфекционных заболеваний. Как правило, это занимает примерно две-три недели. Затем заяв</w:t>
      </w:r>
      <w:r w:rsidRPr="004030B6">
        <w:t>и</w:t>
      </w:r>
      <w:r w:rsidRPr="004030B6">
        <w:t>тели переводятся в так называемые жилые комплексы, где установлен свобо</w:t>
      </w:r>
      <w:r w:rsidRPr="004030B6">
        <w:t>д</w:t>
      </w:r>
      <w:r w:rsidRPr="004030B6">
        <w:t>ный режим. Обязательство оставаться в центре временного содержания сверх вышеуказанного периода распространяется также на лиц, личность которых достоверно установить не удалось. Решение о таком обязательстве принимается административным органом, причем оно может быть обжаловано в юридич</w:t>
      </w:r>
      <w:r w:rsidRPr="004030B6">
        <w:t>е</w:t>
      </w:r>
      <w:r w:rsidRPr="004030B6">
        <w:t>ском порядке через соответствующий суд; лицо, на которое было наложено т</w:t>
      </w:r>
      <w:r w:rsidRPr="004030B6">
        <w:t>а</w:t>
      </w:r>
      <w:r w:rsidRPr="004030B6">
        <w:t>кое обязательство, также имеет право обратиться в принявший его администр</w:t>
      </w:r>
      <w:r w:rsidRPr="004030B6">
        <w:t>а</w:t>
      </w:r>
      <w:r w:rsidRPr="004030B6">
        <w:t>тивный орган с просьбой о его пересмотре. После этого, действуя в рамках св</w:t>
      </w:r>
      <w:r w:rsidRPr="004030B6">
        <w:t>о</w:t>
      </w:r>
      <w:r w:rsidRPr="004030B6">
        <w:t>их официальных полномочий, административный орган также рассматривает вопрос о том, существуют ли по-прежнему основания для принудительного н</w:t>
      </w:r>
      <w:r w:rsidRPr="004030B6">
        <w:t>а</w:t>
      </w:r>
      <w:r w:rsidRPr="004030B6">
        <w:t>хождения заявителя в центре временного содержания. Максимально возможный срок пребывания в центре временного содержания составляет 120 дней.</w:t>
      </w:r>
    </w:p>
    <w:p w:rsidR="0086169A" w:rsidRPr="004030B6" w:rsidRDefault="0086169A" w:rsidP="0086169A">
      <w:pPr>
        <w:pStyle w:val="SingleTxtGR"/>
      </w:pPr>
      <w:r w:rsidRPr="004030B6">
        <w:t>105.</w:t>
      </w:r>
      <w:r w:rsidRPr="004030B6">
        <w:tab/>
        <w:t>Функционирование объектов, предназначенных для содержания ин</w:t>
      </w:r>
      <w:r w:rsidRPr="004030B6">
        <w:t>о</w:t>
      </w:r>
      <w:r w:rsidRPr="004030B6">
        <w:t>странцев, обеспечивается Управлением по делам объектов для беженцев. При решении вопроса об условиях размещения иностранцев принимаются во вн</w:t>
      </w:r>
      <w:r w:rsidRPr="004030B6">
        <w:t>и</w:t>
      </w:r>
      <w:r w:rsidRPr="004030B6">
        <w:t>мание такие факторы, как их вероисповедание, национальность или этническая принадлежность, наличие родственников и состояние здоровья. Регулярный контроль за соблюдением установленных процедур на том или ином объекте осуществляется Министерством внутренних дел. Наблюдение за этими объе</w:t>
      </w:r>
      <w:r w:rsidRPr="004030B6">
        <w:t>к</w:t>
      </w:r>
      <w:r w:rsidRPr="004030B6">
        <w:t>тами и центрами временного содержания осуществляет Омбудсмен. Их также посещают представители НПО. Особое внимание уделяется детям и их потре</w:t>
      </w:r>
      <w:r w:rsidRPr="004030B6">
        <w:t>б</w:t>
      </w:r>
      <w:r w:rsidRPr="004030B6">
        <w:t>ностям. В течение дня родителям разрешается помещать своих детей в так н</w:t>
      </w:r>
      <w:r w:rsidRPr="004030B6">
        <w:t>а</w:t>
      </w:r>
      <w:r w:rsidRPr="004030B6">
        <w:t>зываемые детские центры, предназначенные как для дошкольников</w:t>
      </w:r>
      <w:r w:rsidRPr="004030B6">
        <w:rPr>
          <w:vertAlign w:val="superscript"/>
        </w:rPr>
        <w:footnoteReference w:id="125"/>
      </w:r>
      <w:r w:rsidRPr="004030B6">
        <w:t>, так и для детей, обязанных посещать школу</w:t>
      </w:r>
      <w:r w:rsidRPr="004030B6">
        <w:rPr>
          <w:vertAlign w:val="superscript"/>
        </w:rPr>
        <w:footnoteReference w:id="126"/>
      </w:r>
      <w:r w:rsidRPr="004030B6">
        <w:t>. Все дети обязательного школьного возра</w:t>
      </w:r>
      <w:r w:rsidRPr="004030B6">
        <w:t>с</w:t>
      </w:r>
      <w:r w:rsidRPr="004030B6">
        <w:t>та посещают начальную школу. В плане медицинского обслуживания, включая прививки и лечение, такие дети пользуются теми же правами, что и их чешские сверстники.</w:t>
      </w:r>
    </w:p>
    <w:p w:rsidR="0086169A" w:rsidRPr="004030B6" w:rsidRDefault="0086169A" w:rsidP="0086169A">
      <w:pPr>
        <w:pStyle w:val="SingleTxtGR"/>
      </w:pPr>
      <w:r w:rsidRPr="004030B6">
        <w:t>106.</w:t>
      </w:r>
      <w:r w:rsidRPr="004030B6">
        <w:tab/>
        <w:t>Под эгидой Управления по делам объектов для беженцев действуют в</w:t>
      </w:r>
      <w:r w:rsidRPr="004030B6">
        <w:t>о</w:t>
      </w:r>
      <w:r w:rsidRPr="004030B6">
        <w:t>семь центров содействия интеграции беженцев</w:t>
      </w:r>
      <w:r w:rsidRPr="004030B6">
        <w:rPr>
          <w:vertAlign w:val="superscript"/>
        </w:rPr>
        <w:footnoteReference w:id="127"/>
      </w:r>
      <w:r w:rsidRPr="004030B6">
        <w:t>, которые занимаются предо</w:t>
      </w:r>
      <w:r w:rsidRPr="004030B6">
        <w:t>с</w:t>
      </w:r>
      <w:r w:rsidRPr="004030B6">
        <w:t>тавлением бесплатных услуг гражданам третьих стран. В число предоставля</w:t>
      </w:r>
      <w:r w:rsidRPr="004030B6">
        <w:t>е</w:t>
      </w:r>
      <w:r w:rsidRPr="004030B6">
        <w:t>мых ими индивидуальных услуг входят главным образом уроки чешского яз</w:t>
      </w:r>
      <w:r w:rsidRPr="004030B6">
        <w:t>ы</w:t>
      </w:r>
      <w:r w:rsidRPr="004030B6">
        <w:t>ка, предоставление консультаций по юридическим и социальным вопросам, консультативные и информационные услуги, а также курсы, посвященные с</w:t>
      </w:r>
      <w:r w:rsidRPr="004030B6">
        <w:t>о</w:t>
      </w:r>
      <w:r w:rsidRPr="004030B6">
        <w:t>циокультурным темам. Первоочередное внимание в рамках деятельности це</w:t>
      </w:r>
      <w:r w:rsidRPr="004030B6">
        <w:t>н</w:t>
      </w:r>
      <w:r w:rsidRPr="004030B6">
        <w:t>тров также уделяется вопросам профессиональной подготовки сотрудников к</w:t>
      </w:r>
      <w:r w:rsidRPr="004030B6">
        <w:t>а</w:t>
      </w:r>
      <w:r w:rsidRPr="004030B6">
        <w:t>ждого центра. Кроме того, работа центров сосредоточивается на улучшении ориентации иностранцев в чешском обществе, а также облегчении их интегр</w:t>
      </w:r>
      <w:r w:rsidRPr="004030B6">
        <w:t>а</w:t>
      </w:r>
      <w:r w:rsidRPr="004030B6">
        <w:t>ции в повседневную жизнь соответствующих регионов. Одновременно с этим они ведут профилактическую работу, призванную не допустить возникновения таких негативных явлений, как формирование изолированных общин, создание посреднических и клиентских структур и т.д. Благодаря предоставляемой в их распоряжение информации иностранцы, пользующиеся услугами центров и участвующие в организуемых ими мероприятиях, получают возможность доб</w:t>
      </w:r>
      <w:r w:rsidRPr="004030B6">
        <w:t>и</w:t>
      </w:r>
      <w:r w:rsidRPr="004030B6">
        <w:t>ваться более эффективных результатов в плане поиска работы, а также других аспектов их жизни в ЧР. Повышение образовательного уровня иностранцев, в том числе детей, улучшает перспективы их будущей жизни и расширяет их во</w:t>
      </w:r>
      <w:r w:rsidRPr="004030B6">
        <w:t>з</w:t>
      </w:r>
      <w:r w:rsidRPr="004030B6">
        <w:t>можности в отношении трудоустройства. Деятельность центров также напра</w:t>
      </w:r>
      <w:r w:rsidRPr="004030B6">
        <w:t>в</w:t>
      </w:r>
      <w:r w:rsidRPr="004030B6">
        <w:t>лена на популяризацию темы интеграции иностранцев среди общественности и специалистов. Центры также сотрудничают с региональными партнерами в рамках механизмов обмена мнениями относительно потребностей центров и поступающих от них предложений.</w:t>
      </w:r>
    </w:p>
    <w:p w:rsidR="0011602B" w:rsidRDefault="0011602B" w:rsidP="00DF2612">
      <w:pPr>
        <w:pStyle w:val="H4GR"/>
        <w:spacing w:before="240"/>
      </w:pPr>
      <w:r>
        <w:tab/>
      </w:r>
      <w:r>
        <w:tab/>
      </w:r>
      <w:r w:rsidR="0086169A" w:rsidRPr="004030B6">
        <w:t>Ответ на пункт 18 заключительных замечаний</w:t>
      </w:r>
    </w:p>
    <w:p w:rsidR="0086169A" w:rsidRPr="004030B6" w:rsidRDefault="0086169A" w:rsidP="0086169A">
      <w:pPr>
        <w:pStyle w:val="SingleTxtGR"/>
      </w:pPr>
      <w:r w:rsidRPr="004030B6">
        <w:t>107.</w:t>
      </w:r>
      <w:r w:rsidRPr="004030B6">
        <w:tab/>
        <w:t>ЧР рассматривает равенство мужчин и женщин в качестве одного из о</w:t>
      </w:r>
      <w:r w:rsidRPr="004030B6">
        <w:t>с</w:t>
      </w:r>
      <w:r w:rsidRPr="004030B6">
        <w:t>новополагающих условий существования демократического государства и св</w:t>
      </w:r>
      <w:r w:rsidRPr="004030B6">
        <w:t>о</w:t>
      </w:r>
      <w:r w:rsidRPr="004030B6">
        <w:t>бодного общества на основе соблюдения прав человека. Обеспечение гендерн</w:t>
      </w:r>
      <w:r w:rsidRPr="004030B6">
        <w:t>о</w:t>
      </w:r>
      <w:r w:rsidRPr="004030B6">
        <w:t>го равенства красной нитью проходит через всю деятельность по разработке и реализации правительственных мер. В соответствии с Правилами процедуры Правительства все материалы, представляемые на заседания Правительства, в обязательном порядке проходят проверку на предмет их последствий для раве</w:t>
      </w:r>
      <w:r w:rsidRPr="004030B6">
        <w:t>н</w:t>
      </w:r>
      <w:r w:rsidRPr="004030B6">
        <w:t>ства мужчин и женщин, с тем чтобы не допустить создания неоправданных ра</w:t>
      </w:r>
      <w:r w:rsidRPr="004030B6">
        <w:t>з</w:t>
      </w:r>
      <w:r w:rsidRPr="004030B6">
        <w:t>личий между ними. В соответствии с Правилами законодательной деятельности Правительства все законодательные материалы, представляемые на рассмотр</w:t>
      </w:r>
      <w:r w:rsidRPr="004030B6">
        <w:t>е</w:t>
      </w:r>
      <w:r w:rsidRPr="004030B6">
        <w:t>ние Правительства ЧР, должны также обязательно сопровождаться оценкой т</w:t>
      </w:r>
      <w:r w:rsidRPr="004030B6">
        <w:t>е</w:t>
      </w:r>
      <w:r w:rsidRPr="004030B6">
        <w:t>кущего положения дел и последствий предлагаемых решений для вопросов, связанных с запрещением дискриминации, включая разъяснение причин любых различий, а также анализ ожидаемых последствий или ожидаемого развития событий; при этом должны использоваться статистические данные, если так</w:t>
      </w:r>
      <w:r w:rsidRPr="004030B6">
        <w:t>о</w:t>
      </w:r>
      <w:r w:rsidRPr="004030B6">
        <w:t>вые имеются в наличии. В данной связи все действия правительства оценив</w:t>
      </w:r>
      <w:r w:rsidRPr="004030B6">
        <w:t>а</w:t>
      </w:r>
      <w:r w:rsidRPr="004030B6">
        <w:t>ются через призму гендерной проблематики, а также с точки зрения их после</w:t>
      </w:r>
      <w:r w:rsidRPr="004030B6">
        <w:t>д</w:t>
      </w:r>
      <w:r w:rsidRPr="004030B6">
        <w:t>ствий для обеспечения равных возможностей мужчин и женщин.</w:t>
      </w:r>
    </w:p>
    <w:p w:rsidR="0086169A" w:rsidRPr="004030B6" w:rsidRDefault="0086169A" w:rsidP="0086169A">
      <w:pPr>
        <w:pStyle w:val="SingleTxtGR"/>
      </w:pPr>
      <w:r w:rsidRPr="004030B6">
        <w:t>108.</w:t>
      </w:r>
      <w:r w:rsidRPr="004030B6">
        <w:tab/>
        <w:t>Каждый год правительство утверждает Приоритеты и процедуры де</w:t>
      </w:r>
      <w:r w:rsidRPr="004030B6">
        <w:t>я</w:t>
      </w:r>
      <w:r w:rsidRPr="004030B6">
        <w:t>тельности по поощрению создания равных возможностей для женщин и му</w:t>
      </w:r>
      <w:r w:rsidRPr="004030B6">
        <w:t>ж</w:t>
      </w:r>
      <w:r w:rsidRPr="004030B6">
        <w:t>чин, в рамках которых на индивидуальные департаменты возлагаются обяза</w:t>
      </w:r>
      <w:r w:rsidRPr="004030B6">
        <w:t>н</w:t>
      </w:r>
      <w:r w:rsidRPr="004030B6">
        <w:t>ности по реализации мер в соответствующих областях, ориентированных, в ч</w:t>
      </w:r>
      <w:r w:rsidRPr="004030B6">
        <w:t>а</w:t>
      </w:r>
      <w:r w:rsidRPr="004030B6">
        <w:t>стности, на положения Пекинской платформы действий и Европейской страт</w:t>
      </w:r>
      <w:r w:rsidRPr="004030B6">
        <w:t>е</w:t>
      </w:r>
      <w:r w:rsidRPr="004030B6">
        <w:t>гии обеспечения равенства мужчин и женщин. Они также включают в себя Доклад об обеспечении равенства женщин и мужчин за последний год. Кроме того, все министерства обязаны разрабатывать свои собственные планы обесп</w:t>
      </w:r>
      <w:r w:rsidRPr="004030B6">
        <w:t>е</w:t>
      </w:r>
      <w:r w:rsidRPr="004030B6">
        <w:t>чения равенства возможностей мужчин и женщин; в каждом министерстве пр</w:t>
      </w:r>
      <w:r w:rsidRPr="004030B6">
        <w:t>е</w:t>
      </w:r>
      <w:r w:rsidRPr="004030B6">
        <w:t>дусмотрена должность координатора деятельности по обеспечению равенства возможностей женщин и мужчин. Приоритеты предусматривают конкретные задачи, связанные с борьбой против дискриминации женщин по причине их п</w:t>
      </w:r>
      <w:r w:rsidRPr="004030B6">
        <w:t>о</w:t>
      </w:r>
      <w:r w:rsidRPr="004030B6">
        <w:t>ла или расы. Так, например, в 2010 и 2011 годах в целях повышения конкуре</w:t>
      </w:r>
      <w:r w:rsidRPr="004030B6">
        <w:t>н</w:t>
      </w:r>
      <w:r w:rsidRPr="004030B6">
        <w:t>тоспособности женщин на рынке труда на Министра по делам труда и социал</w:t>
      </w:r>
      <w:r w:rsidRPr="004030B6">
        <w:t>ь</w:t>
      </w:r>
      <w:r w:rsidRPr="004030B6">
        <w:t>ным вопросам, Министра по делам образования, молодежи и спорта и Минис</w:t>
      </w:r>
      <w:r w:rsidRPr="004030B6">
        <w:t>т</w:t>
      </w:r>
      <w:r w:rsidRPr="004030B6">
        <w:t>ра торговли и промышленности была возложена задача обеспечить дальнейшую поддержку создания ряда программ профессиональной подготовки и перепо</w:t>
      </w:r>
      <w:r w:rsidRPr="004030B6">
        <w:t>д</w:t>
      </w:r>
      <w:r w:rsidRPr="004030B6">
        <w:t>готовки, поиска подходящей работы для женщин, в том числе в сферах сам</w:t>
      </w:r>
      <w:r w:rsidRPr="004030B6">
        <w:t>о</w:t>
      </w:r>
      <w:r w:rsidRPr="004030B6">
        <w:t>стоятельной занятости и предпринимательства, а также направления государс</w:t>
      </w:r>
      <w:r w:rsidRPr="004030B6">
        <w:t>т</w:t>
      </w:r>
      <w:r w:rsidRPr="004030B6">
        <w:t>венного финансирования на цели переподготовки тех женщин, которые из-за необходимости ухода за детьми или другими родственниками долгое время не работали. Министр по делам труда и социальным вопросам должен продолжить эту деятельность в 2012-2013 годах. Функции специального консультативного органа правительства по данному вопросу выполняет Государственный совет по обеспечению равенства возможностей женщин и мужчин.</w:t>
      </w:r>
    </w:p>
    <w:p w:rsidR="0086169A" w:rsidRPr="004030B6" w:rsidRDefault="0086169A" w:rsidP="0086169A">
      <w:pPr>
        <w:pStyle w:val="SingleTxtGR"/>
      </w:pPr>
      <w:r w:rsidRPr="004030B6">
        <w:t>109.</w:t>
      </w:r>
      <w:r w:rsidRPr="004030B6">
        <w:tab/>
        <w:t>Одной из задач Концептуальной программы интеграции рома на 2010-2013 годы является выправление неблагоприятной ситуации девочек и женщин из числа рома, которые зачастую подвергаются двойной дискриминации: как представители меньшинства и как женщины в своих собственных общинах</w:t>
      </w:r>
      <w:r w:rsidRPr="004030B6">
        <w:rPr>
          <w:vertAlign w:val="superscript"/>
        </w:rPr>
        <w:footnoteReference w:id="128"/>
      </w:r>
      <w:r w:rsidRPr="004030B6">
        <w:t>. Конкретное внимание при разработке соответствующих стратегий уделяется положению женщин-рома на рынке труда, поскольку их доступ на рынок труда затруднен необходимостью выполнения ими обременительных функций по ух</w:t>
      </w:r>
      <w:r w:rsidRPr="004030B6">
        <w:t>о</w:t>
      </w:r>
      <w:r w:rsidRPr="004030B6">
        <w:t>ду за своими – как правило, многочисленными – семьями, что мешает им пол</w:t>
      </w:r>
      <w:r w:rsidRPr="004030B6">
        <w:t>у</w:t>
      </w:r>
      <w:r w:rsidRPr="004030B6">
        <w:t>чать профессиональные навыки, повышать свой образовательный уровень и д</w:t>
      </w:r>
      <w:r w:rsidRPr="004030B6">
        <w:t>о</w:t>
      </w:r>
      <w:r w:rsidRPr="004030B6">
        <w:t>биваться карьерного роста. В связи с этим ставится цель предложить женщ</w:t>
      </w:r>
      <w:r w:rsidRPr="004030B6">
        <w:t>и</w:t>
      </w:r>
      <w:r w:rsidRPr="004030B6">
        <w:t>нам-рома гибкие формы организации работы, которые позволяли бы им гарм</w:t>
      </w:r>
      <w:r w:rsidRPr="004030B6">
        <w:t>о</w:t>
      </w:r>
      <w:r w:rsidRPr="004030B6">
        <w:t>нично сочетать выполнение своих семейных и трудовых обязанностей (вкл</w:t>
      </w:r>
      <w:r w:rsidRPr="004030B6">
        <w:t>ю</w:t>
      </w:r>
      <w:r w:rsidRPr="004030B6">
        <w:t>чая, например, создание возможностей для частичной занятости), обеспечить дальнейшую реализацию конкретных образовательных мероприятий и пр</w:t>
      </w:r>
      <w:r w:rsidRPr="004030B6">
        <w:t>о</w:t>
      </w:r>
      <w:r w:rsidRPr="004030B6">
        <w:t>грамм переподготовки в целях содействия возвращению женщин-рома на рынок труда после декретного отпуска, а также оказать им практическую помощь в адаптации к требованиям рынка труда или же обеспечить наличие услуг по уходу за детьми в социально изолированных районах.</w:t>
      </w:r>
    </w:p>
    <w:p w:rsidR="0086169A" w:rsidRPr="004030B6" w:rsidRDefault="0086169A" w:rsidP="0086169A">
      <w:pPr>
        <w:pStyle w:val="SingleTxtGR"/>
      </w:pPr>
      <w:r w:rsidRPr="004030B6">
        <w:t>110.</w:t>
      </w:r>
      <w:r w:rsidRPr="004030B6">
        <w:tab/>
        <w:t>В целях исправления неблагоприятного положения женщин-рома в че</w:t>
      </w:r>
      <w:r w:rsidRPr="004030B6">
        <w:t>ш</w:t>
      </w:r>
      <w:r w:rsidRPr="004030B6">
        <w:t xml:space="preserve">ском обществе ЧР присоединилась к международной инициативе под названием </w:t>
      </w:r>
      <w:r w:rsidR="009C6F8B">
        <w:t>"</w:t>
      </w:r>
      <w:r w:rsidRPr="004030B6">
        <w:t>Инициатива в интересах женщин-рома</w:t>
      </w:r>
      <w:r w:rsidR="009C6F8B">
        <w:t>"</w:t>
      </w:r>
      <w:r w:rsidRPr="004030B6">
        <w:rPr>
          <w:vertAlign w:val="superscript"/>
        </w:rPr>
        <w:footnoteReference w:id="129"/>
      </w:r>
      <w:r w:rsidRPr="004030B6">
        <w:t>, в реализации которой участвуют примерно 135 организаций из Болгарии, Боснии, Венгрии, Косово, Македонии, Молдовы, Польши, Румынии, Сербии, Словакии, Хорватии и Чешской Респу</w:t>
      </w:r>
      <w:r w:rsidRPr="004030B6">
        <w:t>б</w:t>
      </w:r>
      <w:r w:rsidRPr="004030B6">
        <w:t xml:space="preserve">лики. Проект </w:t>
      </w:r>
      <w:r w:rsidR="009C6F8B">
        <w:t>"</w:t>
      </w:r>
      <w:r w:rsidRPr="004030B6">
        <w:t>Инициатива в интересах женщин-рома</w:t>
      </w:r>
      <w:r w:rsidR="009C6F8B">
        <w:t>"</w:t>
      </w:r>
      <w:r w:rsidRPr="004030B6">
        <w:t xml:space="preserve"> был запущен в 1999 году в рамках программ Института открытого общества. Его целью является по</w:t>
      </w:r>
      <w:r w:rsidRPr="004030B6">
        <w:t>д</w:t>
      </w:r>
      <w:r w:rsidRPr="004030B6">
        <w:t>держка движения женщин-рома в Центральной и Восточной Европе, а также повышение образовательного уровня молодых активистов из числа рома. Мн</w:t>
      </w:r>
      <w:r w:rsidRPr="004030B6">
        <w:t>о</w:t>
      </w:r>
      <w:r w:rsidRPr="004030B6">
        <w:t>гие женщины-рома в ЧР стремятся улучшить свое положение, а также перспе</w:t>
      </w:r>
      <w:r w:rsidRPr="004030B6">
        <w:t>к</w:t>
      </w:r>
      <w:r w:rsidRPr="004030B6">
        <w:t>тивы в плане получения качественного образования и трудоустройства. В о</w:t>
      </w:r>
      <w:r w:rsidRPr="004030B6">
        <w:t>к</w:t>
      </w:r>
      <w:r w:rsidRPr="004030B6">
        <w:t>тябре 2012 года под руководством Уполномоченного по правам человека пр</w:t>
      </w:r>
      <w:r w:rsidRPr="004030B6">
        <w:t>о</w:t>
      </w:r>
      <w:r w:rsidRPr="004030B6">
        <w:t>шел семинар по проблемам женщин-рома, целью которого было описание п</w:t>
      </w:r>
      <w:r w:rsidRPr="004030B6">
        <w:t>о</w:t>
      </w:r>
      <w:r w:rsidRPr="004030B6">
        <w:t>ложения женщин-рома в современном обществе, выявление их потребностей и совместная разработка мер их поддержки со стороны государства.</w:t>
      </w:r>
    </w:p>
    <w:p w:rsidR="0086169A" w:rsidRPr="004030B6" w:rsidRDefault="0011602B" w:rsidP="00DF2612">
      <w:pPr>
        <w:pStyle w:val="H4GR"/>
        <w:spacing w:before="240"/>
      </w:pPr>
      <w:r>
        <w:tab/>
      </w:r>
      <w:r>
        <w:tab/>
      </w:r>
      <w:r w:rsidR="0086169A" w:rsidRPr="004030B6">
        <w:t>Ответ на пункт 21 заключительных замечаний</w:t>
      </w:r>
    </w:p>
    <w:p w:rsidR="0086169A" w:rsidRPr="004030B6" w:rsidRDefault="0086169A" w:rsidP="0086169A">
      <w:pPr>
        <w:pStyle w:val="SingleTxtGR"/>
      </w:pPr>
      <w:r w:rsidRPr="004030B6">
        <w:t>111.</w:t>
      </w:r>
      <w:r w:rsidRPr="004030B6">
        <w:tab/>
        <w:t>ЧР со всей серьезностью относится к борьбе против торговли людьми. Уголовный кодекс 2009 года относит преступления, связанные с торговлей людьми, к той же категории преступлений, что и лишение личной свободы или ее ограничение, похищение людей с их вывозом за границу, сексуальное пр</w:t>
      </w:r>
      <w:r w:rsidRPr="004030B6">
        <w:t>и</w:t>
      </w:r>
      <w:r w:rsidRPr="004030B6">
        <w:t>нуждение, сексуальное насилие, предложение сексуальных услуг и незаконный прием на работу иностранцев. В апреле 2012 года была принята новая Наци</w:t>
      </w:r>
      <w:r w:rsidRPr="004030B6">
        <w:t>о</w:t>
      </w:r>
      <w:r w:rsidRPr="004030B6">
        <w:t>нальная стратегия борьбы с торговлей людьми в ЧР на период 2012-2015 годов. Принятые меры основываются на принципах сотрудничества</w:t>
      </w:r>
      <w:r w:rsidRPr="004030B6">
        <w:rPr>
          <w:vertAlign w:val="superscript"/>
        </w:rPr>
        <w:footnoteReference w:id="130"/>
      </w:r>
      <w:r w:rsidRPr="004030B6">
        <w:t>, наказания в</w:t>
      </w:r>
      <w:r w:rsidRPr="004030B6">
        <w:t>и</w:t>
      </w:r>
      <w:r w:rsidRPr="004030B6">
        <w:t>новных, поддержки жертв и профилактики. В 2012 году были вынесены первые два обвинительных приговора по делам о торговле людьми в целях трудовой эксплуатации. Улучшению положения иностранцев, которые становятся жер</w:t>
      </w:r>
      <w:r w:rsidRPr="004030B6">
        <w:t>т</w:t>
      </w:r>
      <w:r w:rsidRPr="004030B6">
        <w:t>вами торговли людьми, также должно способствовать принятие нового Закона о жертвах преступлений</w:t>
      </w:r>
      <w:r w:rsidRPr="004030B6">
        <w:rPr>
          <w:vertAlign w:val="superscript"/>
        </w:rPr>
        <w:footnoteReference w:id="131"/>
      </w:r>
      <w:r w:rsidRPr="004030B6">
        <w:t>. Согласно положениям этого Закона жертвы торговли людьми относятся к категории жертв, находящихся в особенно уязвимом пол</w:t>
      </w:r>
      <w:r w:rsidRPr="004030B6">
        <w:t>о</w:t>
      </w:r>
      <w:r w:rsidRPr="004030B6">
        <w:t>жении, которые, в частности, имеют право на бесплатную профессиональную помощь. Жертвам, не владеющим чешским языком, будет обеспечено предо</w:t>
      </w:r>
      <w:r w:rsidRPr="004030B6">
        <w:t>с</w:t>
      </w:r>
      <w:r w:rsidRPr="004030B6">
        <w:t>тавление информации на том языке, который они понимают. Жертвы сексуал</w:t>
      </w:r>
      <w:r w:rsidRPr="004030B6">
        <w:t>ь</w:t>
      </w:r>
      <w:r w:rsidRPr="004030B6">
        <w:t>ных преступлений, наносящих ущерб человеческому достоинству, имеют право на финансовую помощь в целях возмещения расходов на профессиональные психотерапевтические и физиотерапевтические услуги, а также другие услуги специалистов, связанные с компенсацией причиненного им нематериального ущерба.</w:t>
      </w:r>
    </w:p>
    <w:p w:rsidR="0086169A" w:rsidRPr="004030B6" w:rsidRDefault="0086169A" w:rsidP="0086169A">
      <w:pPr>
        <w:pStyle w:val="SingleTxtGR"/>
      </w:pPr>
      <w:r w:rsidRPr="004030B6">
        <w:t>112.</w:t>
      </w:r>
      <w:r w:rsidRPr="004030B6">
        <w:tab/>
        <w:t>Меры в целях расширения информированности принимаются как в отн</w:t>
      </w:r>
      <w:r w:rsidRPr="004030B6">
        <w:t>о</w:t>
      </w:r>
      <w:r w:rsidRPr="004030B6">
        <w:t>шении специалистов, так и в отношении широкой общественности. В рамках профессиональной подготовки сотрудников полиции совершенствуются их н</w:t>
      </w:r>
      <w:r w:rsidRPr="004030B6">
        <w:t>а</w:t>
      </w:r>
      <w:r w:rsidRPr="004030B6">
        <w:t>выки в отношении идентификации жертв торговли людьми и оказания им п</w:t>
      </w:r>
      <w:r w:rsidRPr="004030B6">
        <w:t>о</w:t>
      </w:r>
      <w:r w:rsidRPr="004030B6">
        <w:t>мощи. Образовательными программами также охвачены прокуроры, судьи, вр</w:t>
      </w:r>
      <w:r w:rsidRPr="004030B6">
        <w:t>а</w:t>
      </w:r>
      <w:r w:rsidRPr="004030B6">
        <w:t>чи, сотрудники муниципальной полиции, работники бирж труда, зарубежных дипломатических миссий, департаментов по социальным вопросам муницип</w:t>
      </w:r>
      <w:r w:rsidRPr="004030B6">
        <w:t>а</w:t>
      </w:r>
      <w:r w:rsidRPr="004030B6">
        <w:t>литетов и краев, а также Управления по делам объектов для беженцев. В 2009 году Министерство внутренних дел подготовило двуязычную брошюру и и</w:t>
      </w:r>
      <w:r w:rsidRPr="004030B6">
        <w:t>н</w:t>
      </w:r>
      <w:r w:rsidRPr="004030B6">
        <w:t xml:space="preserve">формационный бюллетень с базовой информацией об отдельных организациях, оказывающих помощь возможным жертвам торговли людьми. В 2011 году этот информационный бюллетень был переведен на языки стран, жители которых наиболее часто становятся жертвами торговли людьми, а в 2012 году он был распространен среди населения. В рамках семинара на тему </w:t>
      </w:r>
      <w:r w:rsidR="009C6F8B">
        <w:t>"</w:t>
      </w:r>
      <w:r w:rsidRPr="004030B6">
        <w:t>Торговля людьми для целей сексуальной эксплуатации</w:t>
      </w:r>
      <w:r w:rsidR="009C6F8B">
        <w:t>"</w:t>
      </w:r>
      <w:r w:rsidRPr="004030B6">
        <w:t>, организованного Юридической академ</w:t>
      </w:r>
      <w:r w:rsidRPr="004030B6">
        <w:t>и</w:t>
      </w:r>
      <w:r w:rsidRPr="004030B6">
        <w:t>ей, был затронут вопрос о важном значении знания отличительных особенн</w:t>
      </w:r>
      <w:r w:rsidRPr="004030B6">
        <w:t>о</w:t>
      </w:r>
      <w:r w:rsidRPr="004030B6">
        <w:t>стей других рас, этнических групп и культур в контексте анализа отдельных случаев. В семинаре приняли участие 15 человек. Основное внимание в рамках семинара было уделено некоторым аспектам следующих тем: статус пребыв</w:t>
      </w:r>
      <w:r w:rsidRPr="004030B6">
        <w:t>а</w:t>
      </w:r>
      <w:r w:rsidRPr="004030B6">
        <w:t>ния тех или иных лиц в стране; подготовка доказательной базы применительно к преступлениям в данной сфере, связанным с организованной преступностью, в рамках деятельности прокуратуры; трудности во взаимодействии с жертвами и их роль в уголовном судопроизводстве; уголовные расследования дел, каса</w:t>
      </w:r>
      <w:r w:rsidRPr="004030B6">
        <w:t>ю</w:t>
      </w:r>
      <w:r w:rsidRPr="004030B6">
        <w:t>щихся торговли людьми в целях сексуальной эксплуатации, с точки зрения п</w:t>
      </w:r>
      <w:r w:rsidRPr="004030B6">
        <w:t>о</w:t>
      </w:r>
      <w:r w:rsidRPr="004030B6">
        <w:t>лиции; практические знания, касающиеся отчетов об отдельных делах.</w:t>
      </w:r>
    </w:p>
    <w:p w:rsidR="0086169A" w:rsidRPr="004030B6" w:rsidRDefault="0086169A" w:rsidP="0086169A">
      <w:pPr>
        <w:pStyle w:val="SingleTxtGR"/>
      </w:pPr>
      <w:r w:rsidRPr="004030B6">
        <w:t>113.</w:t>
      </w:r>
      <w:r w:rsidRPr="004030B6">
        <w:tab/>
        <w:t>В ЧР создана эффективная система идентификации вероятных жертв то</w:t>
      </w:r>
      <w:r w:rsidRPr="004030B6">
        <w:t>р</w:t>
      </w:r>
      <w:r w:rsidRPr="004030B6">
        <w:t>говли людьми при помощи как НПО, так и органов уголовного правосудия. НПО, занимающиеся вопросами торговли людьми, проводили регулярную р</w:t>
      </w:r>
      <w:r w:rsidRPr="004030B6">
        <w:t>а</w:t>
      </w:r>
      <w:r w:rsidRPr="004030B6">
        <w:t>боту на местах, основное внимание в рамках которой уделялось выявлению возможных случаев трудовой эксплуатации, особенно в отношении иностра</w:t>
      </w:r>
      <w:r w:rsidRPr="004030B6">
        <w:t>н</w:t>
      </w:r>
      <w:r w:rsidRPr="004030B6">
        <w:t>цев. Финансовая поддержка деятельности на местах осуществляется Министе</w:t>
      </w:r>
      <w:r w:rsidRPr="004030B6">
        <w:t>р</w:t>
      </w:r>
      <w:r w:rsidRPr="004030B6">
        <w:t>ством внутренних дел ЧР. Органы уголовного правосудия, действуя в сотрудн</w:t>
      </w:r>
      <w:r w:rsidRPr="004030B6">
        <w:t>и</w:t>
      </w:r>
      <w:r w:rsidRPr="004030B6">
        <w:t>честве с другими контрольными органами, включая Таможенное управление ЧР, органы Трудовой инспекции, санэпидстанции и т.д., проводят профилакт</w:t>
      </w:r>
      <w:r w:rsidRPr="004030B6">
        <w:t>и</w:t>
      </w:r>
      <w:r w:rsidRPr="004030B6">
        <w:t>ческие проверки ночных клубов и других заведений, в отношении которых имеются подозрения в нарушении работодателями трудового законодательства. В ЧР создана система профессиональной подготовки, направленная на выявл</w:t>
      </w:r>
      <w:r w:rsidRPr="004030B6">
        <w:t>е</w:t>
      </w:r>
      <w:r w:rsidRPr="004030B6">
        <w:t>ние вероятных жертв торговли людьми. В рамках этой системы, в частности, проходят обучение представители соответствующих профессиональных групп, в том числе консульский персонал, направляемый на работу в чешские дипл</w:t>
      </w:r>
      <w:r w:rsidRPr="004030B6">
        <w:t>о</w:t>
      </w:r>
      <w:r w:rsidRPr="004030B6">
        <w:t>матические представительства за рубежом, сотрудники полиции соответству</w:t>
      </w:r>
      <w:r w:rsidRPr="004030B6">
        <w:t>ю</w:t>
      </w:r>
      <w:r w:rsidRPr="004030B6">
        <w:t>щего профиля, прокуроры, работники Управления по делам объектов для б</w:t>
      </w:r>
      <w:r w:rsidRPr="004030B6">
        <w:t>е</w:t>
      </w:r>
      <w:r w:rsidRPr="004030B6">
        <w:t>женцев и отдельные должностные лица правительства. В течение предстоящего периода планируется реализовать меры по повышению квалификации сотру</w:t>
      </w:r>
      <w:r w:rsidRPr="004030B6">
        <w:t>д</w:t>
      </w:r>
      <w:r w:rsidRPr="004030B6">
        <w:t>ников трудовых инспекций, кандидатов на судейские должности, сотрудников полиции, а также военнослужащих, командируемых для участия в зарубежных миссиях. В 2010 году был запущен рассчитанный на три года проект под назв</w:t>
      </w:r>
      <w:r w:rsidRPr="004030B6">
        <w:t>а</w:t>
      </w:r>
      <w:r w:rsidRPr="004030B6">
        <w:t xml:space="preserve">нием </w:t>
      </w:r>
      <w:r w:rsidR="009C6F8B">
        <w:t>"</w:t>
      </w:r>
      <w:r w:rsidRPr="004030B6">
        <w:t>Выявление случаев торговли людьми в целях трудовой эксплуатации и принудительного труда</w:t>
      </w:r>
      <w:r w:rsidR="009C6F8B">
        <w:t>"</w:t>
      </w:r>
      <w:r w:rsidRPr="004030B6">
        <w:t>, в реализации которого принимают участие Министе</w:t>
      </w:r>
      <w:r w:rsidRPr="004030B6">
        <w:t>р</w:t>
      </w:r>
      <w:r w:rsidRPr="004030B6">
        <w:t xml:space="preserve">ство внутренних дел в сотрудничестве с организацией </w:t>
      </w:r>
      <w:r w:rsidR="009C6F8B">
        <w:t>"</w:t>
      </w:r>
      <w:r w:rsidRPr="004030B6">
        <w:t>Ла Страда ЧР</w:t>
      </w:r>
      <w:r w:rsidR="009C6F8B">
        <w:t>"</w:t>
      </w:r>
      <w:r w:rsidRPr="004030B6">
        <w:t xml:space="preserve"> и Юр</w:t>
      </w:r>
      <w:r w:rsidRPr="004030B6">
        <w:t>и</w:t>
      </w:r>
      <w:r w:rsidRPr="004030B6">
        <w:t>дической академией. Данный проект был разработан в целях расширения и</w:t>
      </w:r>
      <w:r w:rsidRPr="004030B6">
        <w:t>н</w:t>
      </w:r>
      <w:r w:rsidRPr="004030B6">
        <w:t xml:space="preserve">формированности о проблеме торговли людьми, а также улучшения доступа жертв такой торговли к правовой помощи и другим услугам. В частности, по линии этого проекта ведется сбор данных о применяемых в рамках уголовного права подходах к торговле людьми в целях принудительного труда и других форм эксплуатации в зарубежных странах. Одной из конкретных целей проекта является определение понятий </w:t>
      </w:r>
      <w:r w:rsidR="009C6F8B">
        <w:t>"</w:t>
      </w:r>
      <w:r w:rsidRPr="004030B6">
        <w:t>принудительный труд</w:t>
      </w:r>
      <w:r w:rsidR="009C6F8B">
        <w:t>"</w:t>
      </w:r>
      <w:r w:rsidRPr="004030B6">
        <w:t xml:space="preserve"> и </w:t>
      </w:r>
      <w:r w:rsidR="009C6F8B">
        <w:t>"</w:t>
      </w:r>
      <w:r w:rsidRPr="004030B6">
        <w:t>трудовая эксплуат</w:t>
      </w:r>
      <w:r w:rsidRPr="004030B6">
        <w:t>а</w:t>
      </w:r>
      <w:r w:rsidRPr="004030B6">
        <w:t>ция</w:t>
      </w:r>
      <w:r w:rsidR="009C6F8B">
        <w:t>"</w:t>
      </w:r>
      <w:r w:rsidRPr="004030B6">
        <w:t xml:space="preserve"> на основе чешского и зарубежного опыта, с тем чтобы обеспечить во</w:t>
      </w:r>
      <w:r w:rsidRPr="004030B6">
        <w:t>з</w:t>
      </w:r>
      <w:r w:rsidRPr="004030B6">
        <w:t>можность для активного использования этих определений в чешской судебной системе в будущем.</w:t>
      </w:r>
    </w:p>
    <w:p w:rsidR="0086169A" w:rsidRPr="004030B6" w:rsidRDefault="0086169A" w:rsidP="0086169A">
      <w:pPr>
        <w:pStyle w:val="SingleTxtGR"/>
      </w:pPr>
      <w:r w:rsidRPr="004030B6">
        <w:t>114.</w:t>
      </w:r>
      <w:r w:rsidRPr="004030B6">
        <w:tab/>
        <w:t>В сотрудничестве с НПО чешское правительство разработало Программу поддержки и защиты жертв торговли людьми. Эта Программа предназначена для иностранцев, подвергающихся эксплуатации в ЧР, а также для граждан ЧР, подвергающихся эксплуатации за границей или в ЧР. По линии Программы жертвам предоставляется психосоциальный и медицинский уход, а также усл</w:t>
      </w:r>
      <w:r w:rsidRPr="004030B6">
        <w:t>у</w:t>
      </w:r>
      <w:r w:rsidRPr="004030B6">
        <w:t>ги в сфере обеспечения жильем и других смежных областях; их также стимул</w:t>
      </w:r>
      <w:r w:rsidRPr="004030B6">
        <w:t>и</w:t>
      </w:r>
      <w:r w:rsidRPr="004030B6">
        <w:t>руют к сотрудничеству с органами уголовного правосудия. Еще одной целью Программы является поддержка возвращения жертв к нормальной жизни, а в случаях с иностранцами из-за пределов ЕС – урегулирование вопроса о статусе их пребывания в стране в рамках существующих механизмов сотрудничества. В реализации Программы принимают участие следующие компетентные органы: органы прокуратуры, НПО, Международная организация по миграции (МОМ), Управление по делам объектов для беженцев и Министерство внутренних дел. На первом этапе осуществления Программы основное внимание уделялось в</w:t>
      </w:r>
      <w:r w:rsidRPr="004030B6">
        <w:t>ы</w:t>
      </w:r>
      <w:r w:rsidRPr="004030B6">
        <w:t>явлению вероятных жертв. Деятельность в рамках второго этапа сосредоточ</w:t>
      </w:r>
      <w:r w:rsidRPr="004030B6">
        <w:t>и</w:t>
      </w:r>
      <w:r w:rsidRPr="004030B6">
        <w:t>валась на оказании непосредственной помощи жертвам торговли людьми. При помощи семи НПО, с которыми Министерство внутренних дел подписало с</w:t>
      </w:r>
      <w:r w:rsidRPr="004030B6">
        <w:t>о</w:t>
      </w:r>
      <w:r w:rsidRPr="004030B6">
        <w:t>глашения о сотрудничестве, тем жертвам, которые принимали решение учас</w:t>
      </w:r>
      <w:r w:rsidRPr="004030B6">
        <w:t>т</w:t>
      </w:r>
      <w:r w:rsidRPr="004030B6">
        <w:t>вовать в Программе на добровольной основе, предоставлялось охраняемое ж</w:t>
      </w:r>
      <w:r w:rsidRPr="004030B6">
        <w:t>и</w:t>
      </w:r>
      <w:r w:rsidRPr="004030B6">
        <w:t>лье, продукты питания и социальные услуги. Кроме того, жертвы могли во</w:t>
      </w:r>
      <w:r w:rsidRPr="004030B6">
        <w:t>с</w:t>
      </w:r>
      <w:r w:rsidRPr="004030B6">
        <w:t>пользоваться консультативными услугами психологов и юристов, а также усл</w:t>
      </w:r>
      <w:r w:rsidRPr="004030B6">
        <w:t>у</w:t>
      </w:r>
      <w:r w:rsidRPr="004030B6">
        <w:t>гами переводчиков. Покрывались расходы и на другие виды обслуживания, в том числе медицинские услуги, а также, в случае необходимости, услуги по уходу за детьми. Целью второго этапа Программы было обеспечение оптимал</w:t>
      </w:r>
      <w:r w:rsidRPr="004030B6">
        <w:t>ь</w:t>
      </w:r>
      <w:r w:rsidRPr="004030B6">
        <w:t>ных условий для уголовного судопроизводства, предоставление поддержки свидетелям и содействие возвращению жертв к нормальной жизни. Начиная с 2003 года Программой было охвачено в общей сложности 120 жертв торговли людьми. Еще одним компонентом данной Программы является Программа до</w:t>
      </w:r>
      <w:r w:rsidRPr="004030B6">
        <w:t>б</w:t>
      </w:r>
      <w:r w:rsidRPr="004030B6">
        <w:t>ровольного возвращения на родину, позволяющая обеспечить безопасное и до</w:t>
      </w:r>
      <w:r w:rsidRPr="004030B6">
        <w:t>с</w:t>
      </w:r>
      <w:r w:rsidRPr="004030B6">
        <w:t>тойное возвращение жертв в страны их происхождения через Отделение МОМ в Праге на государственные средства. В общей сложности программой добр</w:t>
      </w:r>
      <w:r w:rsidRPr="004030B6">
        <w:t>о</w:t>
      </w:r>
      <w:r w:rsidRPr="004030B6">
        <w:t>вольного возвращения воспользовалось 55 человек, из которых 18 человек ве</w:t>
      </w:r>
      <w:r w:rsidRPr="004030B6">
        <w:t>р</w:t>
      </w:r>
      <w:r w:rsidRPr="004030B6">
        <w:t>нулись в ЧР. Подробная информация об этом приводится в Приложении № 9.</w:t>
      </w:r>
    </w:p>
    <w:p w:rsidR="0086169A" w:rsidRPr="004030B6" w:rsidRDefault="0086169A" w:rsidP="0086169A">
      <w:pPr>
        <w:pStyle w:val="SingleTxtGR"/>
      </w:pPr>
      <w:r w:rsidRPr="004030B6">
        <w:t>115.</w:t>
      </w:r>
      <w:r w:rsidRPr="004030B6">
        <w:tab/>
        <w:t>Жертвы торговли людьми имеют доступ к социальным услугам, включая психологическую, социальную и правовую помощь, в центрах экстренной п</w:t>
      </w:r>
      <w:r w:rsidRPr="004030B6">
        <w:t>о</w:t>
      </w:r>
      <w:r w:rsidRPr="004030B6">
        <w:t>мощи; такая помощь предоставляется в рамках механизмов междисциплина</w:t>
      </w:r>
      <w:r w:rsidRPr="004030B6">
        <w:t>р</w:t>
      </w:r>
      <w:r w:rsidRPr="004030B6">
        <w:t>ного сотрудничества с участием национальных, местных и неправительстве</w:t>
      </w:r>
      <w:r w:rsidRPr="004030B6">
        <w:t>н</w:t>
      </w:r>
      <w:r w:rsidRPr="004030B6">
        <w:t>ных организаций. Они также могут пользоваться другими социальными усл</w:t>
      </w:r>
      <w:r w:rsidRPr="004030B6">
        <w:t>у</w:t>
      </w:r>
      <w:r w:rsidRPr="004030B6">
        <w:t>гами, включая помощь по телефону, поддержку в кризисных ситуациях, услуги приютов, социальное консультирование, услуги центров экстренной помощи, а также социальные услуги для семей с детьми и т.д. В 2012 году насчитывалось 105 организаций, которые занимались предоставлением услуг жертвам торго</w:t>
      </w:r>
      <w:r w:rsidRPr="004030B6">
        <w:t>в</w:t>
      </w:r>
      <w:r w:rsidRPr="004030B6">
        <w:t>ли людьми. Сорок девять из них занимались профессиональным социальным консультированием, 12 – оказанием помощи в кризисных ситуациях по телеф</w:t>
      </w:r>
      <w:r w:rsidRPr="004030B6">
        <w:t>о</w:t>
      </w:r>
      <w:r w:rsidRPr="004030B6">
        <w:t>ну, а четыре – социальной реабилитацией; 11 организаций вели деятельность на местах; 18 организовали приюты, четыре – оказывали низкопороговые услуги детям и молодежи; шесть организаций занимались предоставлением поддержки в кризисных ситуациях, а одна – оказанием услуг семьям с детьми в целях обеспечения их более активного участия в жизни общества. Статус жертв и их права не зависят от их готовности сотрудничать с органами уголовного прав</w:t>
      </w:r>
      <w:r w:rsidRPr="004030B6">
        <w:t>о</w:t>
      </w:r>
      <w:r w:rsidRPr="004030B6">
        <w:t xml:space="preserve">судия. </w:t>
      </w:r>
    </w:p>
    <w:p w:rsidR="0086169A" w:rsidRPr="004030B6" w:rsidRDefault="0086169A" w:rsidP="0086169A">
      <w:pPr>
        <w:pStyle w:val="SingleTxtGR"/>
      </w:pPr>
      <w:r w:rsidRPr="004030B6">
        <w:t>116.</w:t>
      </w:r>
      <w:r w:rsidRPr="004030B6">
        <w:tab/>
        <w:t>В рамках своей программы субсидий Министерство по делам труда и с</w:t>
      </w:r>
      <w:r w:rsidRPr="004030B6">
        <w:t>о</w:t>
      </w:r>
      <w:r w:rsidRPr="004030B6">
        <w:t>циальным вопросам занимается финансированием профилактических социал</w:t>
      </w:r>
      <w:r w:rsidRPr="004030B6">
        <w:t>ь</w:t>
      </w:r>
      <w:r w:rsidRPr="004030B6">
        <w:t>ных услуг, включая услуги, оказываемые жертвам торговли людьми</w:t>
      </w:r>
      <w:r w:rsidRPr="004030B6">
        <w:rPr>
          <w:vertAlign w:val="superscript"/>
        </w:rPr>
        <w:footnoteReference w:id="132"/>
      </w:r>
      <w:r w:rsidRPr="004030B6">
        <w:t>. В целом в контексте политики в области борьбы с торговлей людьми основное внимание сосредоточивается на группах высокого риска: главным образом – на иностра</w:t>
      </w:r>
      <w:r w:rsidRPr="004030B6">
        <w:t>н</w:t>
      </w:r>
      <w:r w:rsidRPr="004030B6">
        <w:t>цах, жителях социально изолированных районов, а также женщинах и девочках. Одна из мер, предусмотренных Национальной стратегией, связана со сбором информации о торговле людьми в социально изолированных районах. Планир</w:t>
      </w:r>
      <w:r w:rsidRPr="004030B6">
        <w:t>у</w:t>
      </w:r>
      <w:r w:rsidRPr="004030B6">
        <w:t>ется организовать обследования по меньшей мере в пяти социально изолир</w:t>
      </w:r>
      <w:r w:rsidRPr="004030B6">
        <w:t>о</w:t>
      </w:r>
      <w:r w:rsidRPr="004030B6">
        <w:t>ванных районах, а затем провести оценку ситуации, предложив надлежащие меры.</w:t>
      </w:r>
    </w:p>
    <w:p w:rsidR="0086169A" w:rsidRPr="004030B6" w:rsidRDefault="0086169A" w:rsidP="0086169A">
      <w:pPr>
        <w:pStyle w:val="SingleTxtGR"/>
      </w:pPr>
      <w:r w:rsidRPr="004030B6">
        <w:t>117.</w:t>
      </w:r>
      <w:r w:rsidRPr="004030B6">
        <w:tab/>
        <w:t>Уже в течение долгого времени ЧР участвует в деятельности по предо</w:t>
      </w:r>
      <w:r w:rsidRPr="004030B6">
        <w:t>т</w:t>
      </w:r>
      <w:r w:rsidRPr="004030B6">
        <w:t>вращению торговли людьми и борьбе с ней. В отдельной главе Национальной стратегии шесть мер из предусмотренных там 15 мер носят профилактический характер. В число приоритетных направлений работы авторы данного докуме</w:t>
      </w:r>
      <w:r w:rsidRPr="004030B6">
        <w:t>н</w:t>
      </w:r>
      <w:r w:rsidRPr="004030B6">
        <w:t>та включили подготовку представителей соответствующих профессиональных групп и предотвращение торговли детьми. Министерство внутренних дел рег</w:t>
      </w:r>
      <w:r w:rsidRPr="004030B6">
        <w:t>у</w:t>
      </w:r>
      <w:r w:rsidRPr="004030B6">
        <w:t>лярно выделяет субсидии на изучение тем, связанных с предотвращением то</w:t>
      </w:r>
      <w:r w:rsidRPr="004030B6">
        <w:t>р</w:t>
      </w:r>
      <w:r w:rsidRPr="004030B6">
        <w:t>говли людьми и оказанием помощи ее жертвам. В 2011 году в целях предотвр</w:t>
      </w:r>
      <w:r w:rsidRPr="004030B6">
        <w:t>а</w:t>
      </w:r>
      <w:r w:rsidRPr="004030B6">
        <w:t xml:space="preserve">щения торговли детьми был опубликован документ, озаглавленный </w:t>
      </w:r>
      <w:r w:rsidR="009C6F8B">
        <w:t>"</w:t>
      </w:r>
      <w:r w:rsidRPr="004030B6">
        <w:t>Торговля детьми: рекомендации в отношении процедур государственного управления</w:t>
      </w:r>
      <w:r w:rsidR="009C6F8B">
        <w:t>"</w:t>
      </w:r>
      <w:r w:rsidRPr="004030B6">
        <w:t>. Разработка рекомендаций велась при помощи правительственных ведомств и НПО. Документ преследовал цель довести до сведения органов государстве</w:t>
      </w:r>
      <w:r w:rsidRPr="004030B6">
        <w:t>н</w:t>
      </w:r>
      <w:r w:rsidRPr="004030B6">
        <w:t>ной власти рекомендуемые процедуры на случай совершения несовершенн</w:t>
      </w:r>
      <w:r w:rsidRPr="004030B6">
        <w:t>о</w:t>
      </w:r>
      <w:r w:rsidRPr="004030B6">
        <w:t>летними иностранц</w:t>
      </w:r>
      <w:r w:rsidR="00040B64">
        <w:t>ами имущественных преступлений с</w:t>
      </w:r>
      <w:r w:rsidRPr="004030B6">
        <w:t xml:space="preserve"> упором на тот факт, что ребенок во многих случаях может являться не просто виновником случи</w:t>
      </w:r>
      <w:r w:rsidRPr="004030B6">
        <w:t>в</w:t>
      </w:r>
      <w:r w:rsidRPr="004030B6">
        <w:t>шегося, но также и жертвой, которую вынудили совершить преступление др</w:t>
      </w:r>
      <w:r w:rsidRPr="004030B6">
        <w:t>у</w:t>
      </w:r>
      <w:r w:rsidRPr="004030B6">
        <w:t>гие лица. Этот документ был предоставлен в распоряжение всех соответству</w:t>
      </w:r>
      <w:r w:rsidRPr="004030B6">
        <w:t>ю</w:t>
      </w:r>
      <w:r w:rsidRPr="004030B6">
        <w:t>щих о</w:t>
      </w:r>
      <w:r w:rsidRPr="004030B6">
        <w:t>р</w:t>
      </w:r>
      <w:r w:rsidRPr="004030B6">
        <w:t xml:space="preserve">ганов, а также опубликован на </w:t>
      </w:r>
      <w:r w:rsidR="009C6F8B">
        <w:t>веб-сайте</w:t>
      </w:r>
      <w:r w:rsidRPr="004030B6">
        <w:t xml:space="preserve"> Министерства внутренних дел.</w:t>
      </w:r>
    </w:p>
    <w:p w:rsidR="0086169A" w:rsidRPr="004030B6" w:rsidRDefault="0086169A" w:rsidP="0086169A">
      <w:pPr>
        <w:pStyle w:val="SingleTxtGR"/>
      </w:pPr>
      <w:r w:rsidRPr="004030B6">
        <w:t>118.</w:t>
      </w:r>
      <w:r w:rsidRPr="004030B6">
        <w:tab/>
        <w:t>Приоритеты и процедуры правительства в области поощрения равенства возможностей женщин и мужчин в 2013 году также включают в себя задачи, связанные с борьбой против торговли людьми. Министр внутренних дел до</w:t>
      </w:r>
      <w:r w:rsidRPr="004030B6">
        <w:t>л</w:t>
      </w:r>
      <w:r w:rsidRPr="004030B6">
        <w:t>жен разработать меры по искоренению и предотвращению гендерного насилия, насилия в семьях и торговли людьми, отразить эти меры в первоочередных н</w:t>
      </w:r>
      <w:r w:rsidRPr="004030B6">
        <w:t>а</w:t>
      </w:r>
      <w:r w:rsidRPr="004030B6">
        <w:t>правлениях деятельности своих департаментов, обеспечить учет проблем, св</w:t>
      </w:r>
      <w:r w:rsidRPr="004030B6">
        <w:t>я</w:t>
      </w:r>
      <w:r w:rsidRPr="004030B6">
        <w:t>занных с гендерным насилием и торговлей людьми, при разработке миграцио</w:t>
      </w:r>
      <w:r w:rsidRPr="004030B6">
        <w:t>н</w:t>
      </w:r>
      <w:r w:rsidRPr="004030B6">
        <w:t>ной политики, а также, отталкиваясь от данных Доклада о положении женщин-мигрантов в ЧР, разработать методы анализа связанных с рисками ситуаций в жизни женщин-мигрантов и предложить соответствующие решения и проф</w:t>
      </w:r>
      <w:r w:rsidRPr="004030B6">
        <w:t>и</w:t>
      </w:r>
      <w:r w:rsidRPr="004030B6">
        <w:t>лактические меры в связи с существованием этих рисков. Учитывая многопл</w:t>
      </w:r>
      <w:r w:rsidRPr="004030B6">
        <w:t>а</w:t>
      </w:r>
      <w:r w:rsidRPr="004030B6">
        <w:t>новый характер политики обеспечения равенства возможностей женщин и му</w:t>
      </w:r>
      <w:r w:rsidRPr="004030B6">
        <w:t>ж</w:t>
      </w:r>
      <w:r w:rsidRPr="004030B6">
        <w:t>чин, он также должен подчеркивать неприемлемость гендерного насилия и то</w:t>
      </w:r>
      <w:r w:rsidRPr="004030B6">
        <w:t>р</w:t>
      </w:r>
      <w:r w:rsidRPr="004030B6">
        <w:t>говли людьми в рамках своей политики в отношении СМИ.</w:t>
      </w:r>
    </w:p>
    <w:p w:rsidR="0086169A" w:rsidRPr="004030B6" w:rsidRDefault="0011602B" w:rsidP="00DF2612">
      <w:pPr>
        <w:pStyle w:val="H1GR"/>
      </w:pPr>
      <w:r>
        <w:tab/>
      </w:r>
      <w:r>
        <w:tab/>
      </w:r>
      <w:r w:rsidR="00DF2612">
        <w:t>Статья 6</w:t>
      </w:r>
      <w:r w:rsidR="00DF2612">
        <w:br/>
      </w:r>
      <w:r w:rsidR="0086169A" w:rsidRPr="004030B6">
        <w:t>Защита от всех проявлений расовой дискриминации</w:t>
      </w:r>
    </w:p>
    <w:p w:rsidR="0086169A" w:rsidRPr="004030B6" w:rsidRDefault="0086169A" w:rsidP="0086169A">
      <w:pPr>
        <w:pStyle w:val="SingleTxtGR"/>
      </w:pPr>
      <w:r w:rsidRPr="004030B6">
        <w:t>119.</w:t>
      </w:r>
      <w:r w:rsidRPr="004030B6">
        <w:tab/>
        <w:t>В предыдущем докладе приводилась подробная информация относител</w:t>
      </w:r>
      <w:r w:rsidRPr="004030B6">
        <w:t>ь</w:t>
      </w:r>
      <w:r w:rsidRPr="004030B6">
        <w:t>но законодательства, связанного с защитой от дискриминации</w:t>
      </w:r>
      <w:r w:rsidRPr="004030B6">
        <w:rPr>
          <w:vertAlign w:val="superscript"/>
        </w:rPr>
        <w:footnoteReference w:id="133"/>
      </w:r>
      <w:r w:rsidRPr="004030B6">
        <w:t>. В соответс</w:t>
      </w:r>
      <w:r w:rsidRPr="004030B6">
        <w:t>т</w:t>
      </w:r>
      <w:r w:rsidRPr="004030B6">
        <w:t>вии с Законом о борьбе с дискриминацией в своих правоотношениях любое л</w:t>
      </w:r>
      <w:r w:rsidRPr="004030B6">
        <w:t>и</w:t>
      </w:r>
      <w:r w:rsidRPr="004030B6">
        <w:t>цо пользуется правом на равное обращение и отсутствие дискриминации. Это касается как органов государственной власти, которые в соответствии с норм</w:t>
      </w:r>
      <w:r w:rsidRPr="004030B6">
        <w:t>а</w:t>
      </w:r>
      <w:r w:rsidRPr="004030B6">
        <w:t>ми конституционного порядка и процедурными правилами, упомянутыми в те</w:t>
      </w:r>
      <w:r w:rsidRPr="004030B6">
        <w:t>к</w:t>
      </w:r>
      <w:r w:rsidRPr="004030B6">
        <w:t>сте применительно к статье 5, несут общее обязательство обеспечивать равное обращение в ходе судебных разбирательств, так и частных лиц, чьи обязанн</w:t>
      </w:r>
      <w:r w:rsidRPr="004030B6">
        <w:t>о</w:t>
      </w:r>
      <w:r w:rsidRPr="004030B6">
        <w:t>сти в настоящее время регламентируются Законом о борьбе с дискриминацией. Жертвы дискриминации имеют возможность воспользоваться различными сп</w:t>
      </w:r>
      <w:r w:rsidRPr="004030B6">
        <w:t>о</w:t>
      </w:r>
      <w:r w:rsidRPr="004030B6">
        <w:t>собами защиты своих прав. Все лица, права которых нарушаются в результате дискриминации, могут обратиться в суд с требованием прекратить дискрим</w:t>
      </w:r>
      <w:r w:rsidRPr="004030B6">
        <w:t>и</w:t>
      </w:r>
      <w:r w:rsidRPr="004030B6">
        <w:t>национные действия, ликвидировать их последствия и предоставить им надл</w:t>
      </w:r>
      <w:r w:rsidRPr="004030B6">
        <w:t>е</w:t>
      </w:r>
      <w:r w:rsidRPr="004030B6">
        <w:t>жащую компенсацию, которая, если для этого имеются основания, может вкл</w:t>
      </w:r>
      <w:r w:rsidRPr="004030B6">
        <w:t>ю</w:t>
      </w:r>
      <w:r w:rsidRPr="004030B6">
        <w:t>чать в себя и компенсацию материального ущерба</w:t>
      </w:r>
      <w:r w:rsidRPr="004030B6">
        <w:rPr>
          <w:vertAlign w:val="superscript"/>
        </w:rPr>
        <w:footnoteReference w:id="134"/>
      </w:r>
      <w:r w:rsidRPr="004030B6">
        <w:t>. Кроме того, жертвы ди</w:t>
      </w:r>
      <w:r w:rsidRPr="004030B6">
        <w:t>с</w:t>
      </w:r>
      <w:r w:rsidRPr="004030B6">
        <w:t>криминации могут обращаться в компетентные органы государственной и</w:t>
      </w:r>
      <w:r w:rsidRPr="004030B6">
        <w:t>н</w:t>
      </w:r>
      <w:r w:rsidRPr="004030B6">
        <w:t>спекции (трудовые инспекции, Чешскую торговую инспекцию, Министерство здравоохранения, краевые органы власти, Министерство по делам труда и с</w:t>
      </w:r>
      <w:r w:rsidRPr="004030B6">
        <w:t>о</w:t>
      </w:r>
      <w:r w:rsidRPr="004030B6">
        <w:t>циальным вопросам). Эти органы могут проводить расследования нарушений принципа равного обращения в области трудовых отношений</w:t>
      </w:r>
      <w:r w:rsidRPr="004030B6">
        <w:rPr>
          <w:vertAlign w:val="superscript"/>
        </w:rPr>
        <w:footnoteReference w:id="135"/>
      </w:r>
      <w:r w:rsidRPr="004030B6">
        <w:t>, предоставл</w:t>
      </w:r>
      <w:r w:rsidRPr="004030B6">
        <w:t>е</w:t>
      </w:r>
      <w:r w:rsidRPr="004030B6">
        <w:t>ния товаров и услуг</w:t>
      </w:r>
      <w:r w:rsidRPr="004030B6">
        <w:rPr>
          <w:vertAlign w:val="superscript"/>
        </w:rPr>
        <w:footnoteReference w:id="136"/>
      </w:r>
      <w:r w:rsidRPr="004030B6">
        <w:t>, здравоохранения</w:t>
      </w:r>
      <w:r w:rsidRPr="004030B6">
        <w:rPr>
          <w:vertAlign w:val="superscript"/>
        </w:rPr>
        <w:footnoteReference w:id="137"/>
      </w:r>
      <w:r w:rsidRPr="004030B6">
        <w:t xml:space="preserve"> и социальных льгот</w:t>
      </w:r>
      <w:r w:rsidRPr="004030B6">
        <w:rPr>
          <w:vertAlign w:val="superscript"/>
        </w:rPr>
        <w:footnoteReference w:id="138"/>
      </w:r>
      <w:r w:rsidRPr="004030B6">
        <w:t>. Они могут начинать расследование в рамках своих официальных полномочий или же на основании жалоб, поступающих от индивидуумов, и имеют право накладывать штрафы, но при этом не могут присуждать компенсацию ущерба или иные виды компенсации частным лицам за нанесенный им вред. Подобные решения могут приниматься только судебными органами в порядке описанного выше гражда</w:t>
      </w:r>
      <w:r w:rsidRPr="004030B6">
        <w:t>н</w:t>
      </w:r>
      <w:r w:rsidRPr="004030B6">
        <w:t>ского судопроизводства.</w:t>
      </w:r>
    </w:p>
    <w:p w:rsidR="0086169A" w:rsidRPr="004030B6" w:rsidRDefault="0086169A" w:rsidP="0086169A">
      <w:pPr>
        <w:pStyle w:val="SingleTxtGR"/>
      </w:pPr>
      <w:r w:rsidRPr="004030B6">
        <w:t>120.</w:t>
      </w:r>
      <w:r w:rsidRPr="004030B6">
        <w:tab/>
        <w:t>Начиная с декабря 2009 года функции института по обеспечению раве</w:t>
      </w:r>
      <w:r w:rsidRPr="004030B6">
        <w:t>н</w:t>
      </w:r>
      <w:r w:rsidRPr="004030B6">
        <w:t>ства по смыслу европейского законодательства выполняются Омбудсменом. Его задача заключается в том, чтобы вносить вклад в содействие реализации права на равное обращение, предоставлять жертвам дискриминации методологич</w:t>
      </w:r>
      <w:r w:rsidRPr="004030B6">
        <w:t>е</w:t>
      </w:r>
      <w:r w:rsidRPr="004030B6">
        <w:t xml:space="preserve">скую помощь в защите из прав, проводить обследования, а также публиковать доклады и рекомендации по вопросам, касающимся дискриминации. Основным направлением деятельности Омбудсмена является прежде всего предоставление консультативной помощи и распространение информации. На своем </w:t>
      </w:r>
      <w:r w:rsidR="009C6F8B">
        <w:t>веб-сайте</w:t>
      </w:r>
      <w:r w:rsidRPr="004030B6">
        <w:t xml:space="preserve"> Омбудсмен предоставляет базовую информацию по вопросу о дискриминации, дает указания в отношении способов защиты от нее, а также публикует рек</w:t>
      </w:r>
      <w:r w:rsidRPr="004030B6">
        <w:t>о</w:t>
      </w:r>
      <w:r w:rsidRPr="004030B6">
        <w:t>мендации и юридические заключения относительно конкретных примеров ди</w:t>
      </w:r>
      <w:r w:rsidRPr="004030B6">
        <w:t>с</w:t>
      </w:r>
      <w:r w:rsidRPr="004030B6">
        <w:t>криминации. Омбудсмен не наделен правом выносить какие-либо обязательные для исполнения решения, которые могли бы приводить к возникновению, изм</w:t>
      </w:r>
      <w:r w:rsidRPr="004030B6">
        <w:t>е</w:t>
      </w:r>
      <w:r w:rsidRPr="004030B6">
        <w:t>нению или аннулированию прав и обязательств сторон. Он предоставляет ко</w:t>
      </w:r>
      <w:r w:rsidRPr="004030B6">
        <w:t>н</w:t>
      </w:r>
      <w:r w:rsidRPr="004030B6">
        <w:t>сультативную помощь</w:t>
      </w:r>
      <w:r w:rsidRPr="004030B6">
        <w:rPr>
          <w:vertAlign w:val="superscript"/>
        </w:rPr>
        <w:footnoteReference w:id="139"/>
      </w:r>
      <w:r w:rsidRPr="004030B6">
        <w:t xml:space="preserve"> лицам, подающим жалобы относительно нарушения их права на равное обращение, в рамках которой он проводит анализ их ситуации и – в тех случаях, когда это необходимо, - выносит рекомендации в отношении возможных мер их защиты от дальнейших проявлений дискриминационного обращения. Омбудсмен предоставляет жертвам дискриминации методологич</w:t>
      </w:r>
      <w:r w:rsidRPr="004030B6">
        <w:t>е</w:t>
      </w:r>
      <w:r w:rsidRPr="004030B6">
        <w:t>скую помощь в ходе начатого по их инициативе судопроизводства, но не имеет права вмешиваться в ход судебного разбирательства. Данные о количестве ж</w:t>
      </w:r>
      <w:r w:rsidRPr="004030B6">
        <w:t>а</w:t>
      </w:r>
      <w:r w:rsidRPr="004030B6">
        <w:t xml:space="preserve">лоб, касающихся дискриминации на основании принадлежности к этническому меньшинству рома, приводятся в Приложении № 10. </w:t>
      </w:r>
    </w:p>
    <w:p w:rsidR="0086169A" w:rsidRPr="004030B6" w:rsidRDefault="0086169A" w:rsidP="0086169A">
      <w:pPr>
        <w:pStyle w:val="SingleTxtGR"/>
      </w:pPr>
      <w:r w:rsidRPr="004030B6">
        <w:t>121.</w:t>
      </w:r>
      <w:r w:rsidRPr="004030B6">
        <w:tab/>
        <w:t>В 2012 году Омбудсмен, действуя в сотрудничестве с двумя НПО</w:t>
      </w:r>
      <w:r w:rsidRPr="004030B6">
        <w:rPr>
          <w:vertAlign w:val="superscript"/>
        </w:rPr>
        <w:footnoteReference w:id="140"/>
      </w:r>
      <w:r w:rsidRPr="004030B6">
        <w:t>, пр</w:t>
      </w:r>
      <w:r w:rsidRPr="004030B6">
        <w:t>о</w:t>
      </w:r>
      <w:r w:rsidRPr="004030B6">
        <w:t>вел мероприятия по так называемому ситуационному тестированию</w:t>
      </w:r>
      <w:r w:rsidRPr="004030B6">
        <w:rPr>
          <w:vertAlign w:val="superscript"/>
        </w:rPr>
        <w:footnoteReference w:id="141"/>
      </w:r>
      <w:r w:rsidRPr="004030B6">
        <w:t xml:space="preserve"> случаев дискриминации по этническому признаку в различных сферах жизни (доступ к услугам, здравоохранению и возможностям занятости) в целях оказания по</w:t>
      </w:r>
      <w:r w:rsidRPr="004030B6">
        <w:t>д</w:t>
      </w:r>
      <w:r w:rsidRPr="004030B6">
        <w:t xml:space="preserve">держки подателям жалоб из числа рома в предоставлении доказательств в ходе возможных судебных разбирательств по делам о дискриминации. В период до февраля 2013 года были успешно проведены два мероприятия по тестированию применительно к дискриминации по этническому признаку в вопросах доступа к арендному жилью и услугам. В первом случае был подан иск об обжаловании дискриминационных действий; во втором случае Чешской торговой инспекции было предложено инициировать дело об административном правонарушении. Разбирательства по обоим делам еще не завершены. Истцы с низкими доходами могут воспользоваться соглашением Омбудсмена с ассоциацией </w:t>
      </w:r>
      <w:r w:rsidR="009C6F8B">
        <w:t>"</w:t>
      </w:r>
      <w:r w:rsidRPr="004030B6">
        <w:t xml:space="preserve">Альянс </w:t>
      </w:r>
      <w:r w:rsidRPr="004030B6">
        <w:rPr>
          <w:lang w:val="en-US"/>
        </w:rPr>
        <w:t>Pro</w:t>
      </w:r>
      <w:r w:rsidRPr="004030B6">
        <w:t xml:space="preserve"> </w:t>
      </w:r>
      <w:r w:rsidRPr="004030B6">
        <w:rPr>
          <w:lang w:val="en-US"/>
        </w:rPr>
        <w:t>Bono</w:t>
      </w:r>
      <w:r w:rsidR="009C6F8B">
        <w:t>"</w:t>
      </w:r>
      <w:r w:rsidRPr="004030B6">
        <w:t>, которая работает с юристами, предлагающими свои услуги на беспла</w:t>
      </w:r>
      <w:r w:rsidRPr="004030B6">
        <w:t>т</w:t>
      </w:r>
      <w:r w:rsidRPr="004030B6">
        <w:t>ной основе. В частности, Омбудсмен обеспечивает проведение оценки дискр</w:t>
      </w:r>
      <w:r w:rsidRPr="004030B6">
        <w:t>и</w:t>
      </w:r>
      <w:r w:rsidRPr="004030B6">
        <w:t>минационных действий по существу, включая анализ национальной и междун</w:t>
      </w:r>
      <w:r w:rsidRPr="004030B6">
        <w:t>а</w:t>
      </w:r>
      <w:r w:rsidRPr="004030B6">
        <w:t xml:space="preserve">родной судебной практики, а также своих собственных заключений. Вместе с тем до настоящего времени в ассоциацию </w:t>
      </w:r>
      <w:r w:rsidR="009C6F8B">
        <w:t>"</w:t>
      </w:r>
      <w:r w:rsidRPr="004030B6">
        <w:rPr>
          <w:lang w:val="en-US"/>
        </w:rPr>
        <w:t>Pro</w:t>
      </w:r>
      <w:r w:rsidRPr="004030B6">
        <w:t xml:space="preserve"> </w:t>
      </w:r>
      <w:r w:rsidRPr="004030B6">
        <w:rPr>
          <w:lang w:val="en-US"/>
        </w:rPr>
        <w:t>Bono</w:t>
      </w:r>
      <w:r w:rsidR="009C6F8B">
        <w:t>"</w:t>
      </w:r>
      <w:r w:rsidRPr="004030B6">
        <w:t xml:space="preserve"> не поступало каких-либо дел, связанных с расовой или этнической дискриминацией</w:t>
      </w:r>
      <w:r w:rsidRPr="004030B6">
        <w:rPr>
          <w:vertAlign w:val="superscript"/>
        </w:rPr>
        <w:footnoteReference w:id="142"/>
      </w:r>
      <w:r w:rsidRPr="004030B6">
        <w:t>. Кроме того, О</w:t>
      </w:r>
      <w:r w:rsidRPr="004030B6">
        <w:t>м</w:t>
      </w:r>
      <w:r w:rsidRPr="004030B6">
        <w:t>будсмен опубликовал Заключение о процедурных аспектах Закона о борьбе с дискриминацией, которое он (в дополнении к его публикации в Интернете) предоставил в распоряжение краевых и высоких судов, а также Верховного С</w:t>
      </w:r>
      <w:r w:rsidRPr="004030B6">
        <w:t>у</w:t>
      </w:r>
      <w:r w:rsidRPr="004030B6">
        <w:t>да. Заключение касается юрисдикции судов, занимающихся рассмотрением дел о борьбе с дискриминацией, а также взаимосвязи между действиями, касающ</w:t>
      </w:r>
      <w:r w:rsidRPr="004030B6">
        <w:t>и</w:t>
      </w:r>
      <w:r w:rsidRPr="004030B6">
        <w:t>мися защиты прав личности, с одной стороны, и действиями, относящимися к защите от дискриминации, с другой</w:t>
      </w:r>
      <w:r w:rsidRPr="004030B6">
        <w:rPr>
          <w:vertAlign w:val="superscript"/>
        </w:rPr>
        <w:footnoteReference w:id="143"/>
      </w:r>
      <w:r w:rsidRPr="004030B6">
        <w:t xml:space="preserve">. </w:t>
      </w:r>
    </w:p>
    <w:p w:rsidR="0086169A" w:rsidRPr="004030B6" w:rsidRDefault="0086169A" w:rsidP="0086169A">
      <w:pPr>
        <w:pStyle w:val="SingleTxtGR"/>
      </w:pPr>
      <w:r w:rsidRPr="004030B6">
        <w:t>122.</w:t>
      </w:r>
      <w:r w:rsidRPr="004030B6">
        <w:tab/>
        <w:t>Первого сентября 2012 года вступил в силу Закон о медиации</w:t>
      </w:r>
      <w:r w:rsidRPr="004030B6">
        <w:rPr>
          <w:vertAlign w:val="superscript"/>
        </w:rPr>
        <w:footnoteReference w:id="144"/>
      </w:r>
      <w:r w:rsidRPr="004030B6">
        <w:t>, устан</w:t>
      </w:r>
      <w:r w:rsidRPr="004030B6">
        <w:t>о</w:t>
      </w:r>
      <w:r w:rsidRPr="004030B6">
        <w:t>вивший порядок альтернативного разрешения споров.  Один из методов разр</w:t>
      </w:r>
      <w:r w:rsidRPr="004030B6">
        <w:t>е</w:t>
      </w:r>
      <w:r w:rsidRPr="004030B6">
        <w:t>шения конфликтов – медиация – предполагает участие одного или нескольких посредников, которые содействуют контактам между сторонами, вовлеченными в конфликт, с тем чтобы помочь им достичь взаимоприемлемого решения и з</w:t>
      </w:r>
      <w:r w:rsidRPr="004030B6">
        <w:t>а</w:t>
      </w:r>
      <w:r w:rsidRPr="004030B6">
        <w:t>ключить мировое соглашение. Метод медиации особенно хорошо подходит для такой сферы, как дискриминация, где споры часто возникают в ситуациях, когда между теми, кто допускает проявления дискриминации, и теми, в отношении кого они допускаются, существуют долговременные отношения (например, на работе, в школах, в центрах медицинского обслуживания). В таких ситуациях медиация позволяет достичь взаимоприемлемого урегулирования спора между сторонами, не нарушая существующих отношений между ними так, как это могло бы произойти в результате судебного разбирательства, а также способна возыметь профилактическое действие на того, кто допускает дискриминацию, и расширить его информированность, продемонстрировав ему нежелательность его поведения, а также указав пути урегулирования ситуации. Кроме того, м</w:t>
      </w:r>
      <w:r w:rsidRPr="004030B6">
        <w:t>е</w:t>
      </w:r>
      <w:r w:rsidRPr="004030B6">
        <w:t>диация является более быстрым и менее дорогостоящим способом урегулир</w:t>
      </w:r>
      <w:r w:rsidRPr="004030B6">
        <w:t>о</w:t>
      </w:r>
      <w:r w:rsidRPr="004030B6">
        <w:t>вания конфликтов.</w:t>
      </w:r>
    </w:p>
    <w:p w:rsidR="0086169A" w:rsidRPr="004030B6" w:rsidRDefault="0086169A" w:rsidP="0086169A">
      <w:pPr>
        <w:pStyle w:val="SingleTxtGR"/>
      </w:pPr>
      <w:r w:rsidRPr="004030B6">
        <w:t>123.</w:t>
      </w:r>
      <w:r w:rsidRPr="004030B6">
        <w:tab/>
        <w:t>Права жертв преступлений и мелких правонарушений также находятся под защитой. В задачи компетентных органов входит получение и надлежащее расследование любых сообщений о фактах, свидетельствующих о совершении преступления или мелкого правонарушения с расистской мотивацией. В теч</w:t>
      </w:r>
      <w:r w:rsidRPr="004030B6">
        <w:t>е</w:t>
      </w:r>
      <w:r w:rsidRPr="004030B6">
        <w:t>ние 2011 года защита прав жертв преступлений усилилась. В соответствии с поправкой к Уголовно-процессуальному кодексу они получили право требовать компенсации не только за ущерб имуществу, но и за тот нематериальный ущерб, который зачастую причиняется жертвам преступлений с расистской п</w:t>
      </w:r>
      <w:r w:rsidRPr="004030B6">
        <w:t>о</w:t>
      </w:r>
      <w:r w:rsidRPr="004030B6">
        <w:t>доплекой. Благодаря этому они смогут требовать полного удовлетворения своих претензий уже в ходе уголовного судопроизводства, и тем самым получать во</w:t>
      </w:r>
      <w:r w:rsidRPr="004030B6">
        <w:t>з</w:t>
      </w:r>
      <w:r w:rsidRPr="004030B6">
        <w:t>можность устранять негативные последствия совершенных против них прест</w:t>
      </w:r>
      <w:r w:rsidRPr="004030B6">
        <w:t>у</w:t>
      </w:r>
      <w:r w:rsidRPr="004030B6">
        <w:t>плений. Примером подобного рода является случай с поджогом дома, где пр</w:t>
      </w:r>
      <w:r w:rsidRPr="004030B6">
        <w:t>о</w:t>
      </w:r>
      <w:r w:rsidRPr="004030B6">
        <w:t>живали рома, в Быхорах (Центральная Богемия) в июле 2011 года, жертвам к</w:t>
      </w:r>
      <w:r w:rsidRPr="004030B6">
        <w:t>о</w:t>
      </w:r>
      <w:r w:rsidRPr="004030B6">
        <w:t>торого суд постановил выплатить компенсацию за нематериальный ущерб в размере 100 000 чешских крон. В соответствии с положениями запланированн</w:t>
      </w:r>
      <w:r w:rsidRPr="004030B6">
        <w:t>о</w:t>
      </w:r>
      <w:r w:rsidRPr="004030B6">
        <w:t>го к принятию нового Закона о мелких правонарушениях компенсации немат</w:t>
      </w:r>
      <w:r w:rsidRPr="004030B6">
        <w:t>е</w:t>
      </w:r>
      <w:r w:rsidRPr="004030B6">
        <w:t>риального ущерба в судебном порядке также смогут требовать жертвы мелких правонарушений.</w:t>
      </w:r>
    </w:p>
    <w:p w:rsidR="0086169A" w:rsidRPr="004030B6" w:rsidRDefault="0086169A" w:rsidP="0086169A">
      <w:pPr>
        <w:pStyle w:val="SingleTxtGR"/>
      </w:pPr>
      <w:r w:rsidRPr="004030B6">
        <w:t>124.</w:t>
      </w:r>
      <w:r w:rsidRPr="004030B6">
        <w:tab/>
        <w:t>Значительное укрепление положения жертв преступлений произошло в результате принятия нового Закона о жертвах преступлений. Этот Закон обе</w:t>
      </w:r>
      <w:r w:rsidRPr="004030B6">
        <w:t>с</w:t>
      </w:r>
      <w:r w:rsidRPr="004030B6">
        <w:t>печил всестороннюю правовую защиту жертв преступлений (в том числе с</w:t>
      </w:r>
      <w:r w:rsidRPr="004030B6">
        <w:t>о</w:t>
      </w:r>
      <w:r w:rsidRPr="004030B6">
        <w:t>вершенных на почве расизма) и значительно расширил их права. Прежде всего потерпевшие пользуются правом на получение профессиональной юридич</w:t>
      </w:r>
      <w:r w:rsidRPr="004030B6">
        <w:t>е</w:t>
      </w:r>
      <w:r w:rsidRPr="004030B6">
        <w:t>ской, психологической и социальной помощи</w:t>
      </w:r>
      <w:r w:rsidRPr="004030B6">
        <w:rPr>
          <w:vertAlign w:val="superscript"/>
        </w:rPr>
        <w:footnoteReference w:id="145"/>
      </w:r>
      <w:r w:rsidRPr="004030B6">
        <w:t>, которая в определенных случ</w:t>
      </w:r>
      <w:r w:rsidRPr="004030B6">
        <w:t>а</w:t>
      </w:r>
      <w:r w:rsidRPr="004030B6">
        <w:t>ях оказывается бесплатно, правом на информацию и помощь в ходе уголовного судопроизводства, а также правом на неприкосновенность своей частной жизни от вмешательств, способных привести к их повторной виктимизации. В Законе также содержится конкретное требование к органам, вовлеченным в разбир</w:t>
      </w:r>
      <w:r w:rsidRPr="004030B6">
        <w:t>а</w:t>
      </w:r>
      <w:r w:rsidRPr="004030B6">
        <w:t>тельство уголовных дел, проявлять более внимательный подход к жертвам пр</w:t>
      </w:r>
      <w:r w:rsidRPr="004030B6">
        <w:t>е</w:t>
      </w:r>
      <w:r w:rsidRPr="004030B6">
        <w:t>ступлений. При определенных условиях Закон предусматривает право поте</w:t>
      </w:r>
      <w:r w:rsidRPr="004030B6">
        <w:t>р</w:t>
      </w:r>
      <w:r w:rsidRPr="004030B6">
        <w:t>певшего на ограничение контактов с обвиняемым в ходе уголовного судопрои</w:t>
      </w:r>
      <w:r w:rsidRPr="004030B6">
        <w:t>з</w:t>
      </w:r>
      <w:r w:rsidRPr="004030B6">
        <w:t>водства, право на тактичное проведение допросов, связанных с интимными и деликатными темами, право на проведение перекрестного допроса лицом опр</w:t>
      </w:r>
      <w:r w:rsidRPr="004030B6">
        <w:t>е</w:t>
      </w:r>
      <w:r w:rsidRPr="004030B6">
        <w:t xml:space="preserve">деленного пола, право находиться в сопровождении доверенного лица и право представлять </w:t>
      </w:r>
      <w:r w:rsidR="009C6F8B">
        <w:t>"</w:t>
      </w:r>
      <w:r w:rsidRPr="004030B6">
        <w:t>заявление жертвы о последствиях преступления для его/ее жи</w:t>
      </w:r>
      <w:r w:rsidRPr="004030B6">
        <w:t>з</w:t>
      </w:r>
      <w:r w:rsidRPr="004030B6">
        <w:t>ни</w:t>
      </w:r>
      <w:r w:rsidR="009C6F8B">
        <w:t>"</w:t>
      </w:r>
      <w:r w:rsidRPr="004030B6">
        <w:t>. Сохраняется и право на финансовую помощь потерпевшим со стороны г</w:t>
      </w:r>
      <w:r w:rsidRPr="004030B6">
        <w:t>о</w:t>
      </w:r>
      <w:r w:rsidRPr="004030B6">
        <w:t>сударства, особенно в случаях нанесения ущерба здоровью или смерти поте</w:t>
      </w:r>
      <w:r w:rsidRPr="004030B6">
        <w:t>р</w:t>
      </w:r>
      <w:r w:rsidRPr="004030B6">
        <w:t>певших; такая помощь оказывается в виде предоставления наличных средств для целей компенсации ущерба, связанного с ухудшением социального полож</w:t>
      </w:r>
      <w:r w:rsidRPr="004030B6">
        <w:t>е</w:t>
      </w:r>
      <w:r w:rsidRPr="004030B6">
        <w:t>ния потерпевшего. Потерпевшим, не владеющим чешским языком, информация будет предоставляться на понятном им языке.</w:t>
      </w:r>
    </w:p>
    <w:p w:rsidR="0086169A" w:rsidRPr="004030B6" w:rsidRDefault="0086169A" w:rsidP="0086169A">
      <w:pPr>
        <w:pStyle w:val="SingleTxtGR"/>
      </w:pPr>
      <w:r w:rsidRPr="004030B6">
        <w:t>125.</w:t>
      </w:r>
      <w:r w:rsidRPr="004030B6">
        <w:tab/>
        <w:t>Количество споров, связанных с дискриминацией, которые рассматрив</w:t>
      </w:r>
      <w:r w:rsidRPr="004030B6">
        <w:t>а</w:t>
      </w:r>
      <w:r w:rsidRPr="004030B6">
        <w:t>ются судами, невелико. Из 86 районных судов лишь 16 зафиксировали обращ</w:t>
      </w:r>
      <w:r w:rsidRPr="004030B6">
        <w:t>е</w:t>
      </w:r>
      <w:r w:rsidRPr="004030B6">
        <w:t>ния в порядке осуществления прав на равное обращение и отсутствие дискр</w:t>
      </w:r>
      <w:r w:rsidRPr="004030B6">
        <w:t>и</w:t>
      </w:r>
      <w:r w:rsidRPr="004030B6">
        <w:t>минации в соответствии с положениями Закона о борьбе с дискриминацией. В общей сложности было возбуждено 28 исков. По ним были приняты нижесл</w:t>
      </w:r>
      <w:r w:rsidRPr="004030B6">
        <w:t>е</w:t>
      </w:r>
      <w:r w:rsidRPr="004030B6">
        <w:t>дующие решения: рассмотрение 15 исков еще продолжается, и решение по ним пока не принято; в четырех случаях иски были отозваны; три иска были откл</w:t>
      </w:r>
      <w:r w:rsidRPr="004030B6">
        <w:t>о</w:t>
      </w:r>
      <w:r w:rsidRPr="004030B6">
        <w:t>нены; четыре иска были переданы на рассмотрение соответствующих судов; в одном случае было утверждено решение об урегулировании, а одно решение было зарегистрировано по ошибке</w:t>
      </w:r>
      <w:r w:rsidRPr="004030B6">
        <w:rPr>
          <w:vertAlign w:val="superscript"/>
        </w:rPr>
        <w:footnoteReference w:id="146"/>
      </w:r>
      <w:r w:rsidRPr="004030B6">
        <w:t>.</w:t>
      </w:r>
    </w:p>
    <w:p w:rsidR="0086169A" w:rsidRPr="004030B6" w:rsidRDefault="0086169A" w:rsidP="0086169A">
      <w:pPr>
        <w:pStyle w:val="SingleTxtGR"/>
      </w:pPr>
      <w:r w:rsidRPr="004030B6">
        <w:t>126.</w:t>
      </w:r>
      <w:r w:rsidRPr="004030B6">
        <w:tab/>
        <w:t>Происходит постепенное накопление данных о судебной практике в связи с вопросом о дискриминации, и на их фоне представляется возможным сделать следующие выводы. Для того, чтобы считаться дискриминационными, те или иные меры не обязательно должны быть направлены против конкретного лица, но могут также быть направлены против группы, к которой относится это лицо; при этом сторона, допускающая дискриминацию, не обязательно должна рук</w:t>
      </w:r>
      <w:r w:rsidRPr="004030B6">
        <w:t>о</w:t>
      </w:r>
      <w:r w:rsidRPr="004030B6">
        <w:t>водствоваться дискриминационными намерениями</w:t>
      </w:r>
      <w:r w:rsidRPr="004030B6">
        <w:rPr>
          <w:vertAlign w:val="superscript"/>
        </w:rPr>
        <w:footnoteReference w:id="147"/>
      </w:r>
      <w:r w:rsidRPr="004030B6">
        <w:t>. Как и в случаях с друг</w:t>
      </w:r>
      <w:r w:rsidRPr="004030B6">
        <w:t>и</w:t>
      </w:r>
      <w:r w:rsidRPr="004030B6">
        <w:t>ми видами нарушений прав личности, условием возникновения ответственн</w:t>
      </w:r>
      <w:r w:rsidRPr="004030B6">
        <w:t>о</w:t>
      </w:r>
      <w:r w:rsidRPr="004030B6">
        <w:t>сти является не намерение лица, совершившего неправомерные действия, а их результат. Также не играет роли объективное восприятие дискриминационного поведения; значение имеет прежде всего субъективное восприятие того лица, в отношении которого была допущена дискриминация</w:t>
      </w:r>
      <w:r w:rsidRPr="004030B6">
        <w:rPr>
          <w:vertAlign w:val="superscript"/>
        </w:rPr>
        <w:footnoteReference w:id="148"/>
      </w:r>
      <w:r w:rsidRPr="004030B6">
        <w:t>.</w:t>
      </w:r>
    </w:p>
    <w:p w:rsidR="0086169A" w:rsidRPr="004030B6" w:rsidRDefault="005D2425" w:rsidP="005D2425">
      <w:pPr>
        <w:pStyle w:val="H23GR"/>
      </w:pPr>
      <w:r>
        <w:tab/>
      </w:r>
      <w:r>
        <w:tab/>
      </w:r>
      <w:r w:rsidR="0086169A" w:rsidRPr="004030B6">
        <w:t>Ответ на пункт 8 заключительных замечаний</w:t>
      </w:r>
    </w:p>
    <w:p w:rsidR="0086169A" w:rsidRPr="004030B6" w:rsidRDefault="0086169A" w:rsidP="0086169A">
      <w:pPr>
        <w:pStyle w:val="SingleTxtGR"/>
      </w:pPr>
      <w:r w:rsidRPr="004030B6">
        <w:t>127.</w:t>
      </w:r>
      <w:r w:rsidRPr="004030B6">
        <w:tab/>
        <w:t>Изменения, внесенные в антидискриминационное законодательство, б</w:t>
      </w:r>
      <w:r w:rsidRPr="004030B6">
        <w:t>ы</w:t>
      </w:r>
      <w:r w:rsidRPr="004030B6">
        <w:t>ли описаны в той части текста, которая касается статьи 2. Среди прочего, там показано, что постепенно происходит определенная консолидация законод</w:t>
      </w:r>
      <w:r w:rsidRPr="004030B6">
        <w:t>а</w:t>
      </w:r>
      <w:r w:rsidRPr="004030B6">
        <w:t>тельства, предполагающая, что Закон о борьбе с дискриминацией становится центральным элементом законодательства, обеспечивающего защиту от ди</w:t>
      </w:r>
      <w:r w:rsidRPr="004030B6">
        <w:t>с</w:t>
      </w:r>
      <w:r w:rsidRPr="004030B6">
        <w:t>криминации, а остальные нормативно-правовые акты лишь ссылаются на него. Содействие доступу к правовой защите, которую можно считать наиболее э</w:t>
      </w:r>
      <w:r w:rsidRPr="004030B6">
        <w:t>ф</w:t>
      </w:r>
      <w:r w:rsidRPr="004030B6">
        <w:t>фективным средством защиты от дискриминации, обеспечивается целым рядом способов. К антидискриминационным спорам применяется принцип совместн</w:t>
      </w:r>
      <w:r w:rsidRPr="004030B6">
        <w:t>о</w:t>
      </w:r>
      <w:r w:rsidRPr="004030B6">
        <w:t>го бремени доказывания, в соответствии с которым после установления фактов, указывающих на дискриминацию в отношении потерпевшего, ответчик обязан доказать, что его поведение не было продиктовано дискриминационными мот</w:t>
      </w:r>
      <w:r w:rsidRPr="004030B6">
        <w:t>и</w:t>
      </w:r>
      <w:r w:rsidRPr="004030B6">
        <w:t>вами</w:t>
      </w:r>
      <w:r w:rsidRPr="004030B6">
        <w:rPr>
          <w:vertAlign w:val="superscript"/>
        </w:rPr>
        <w:footnoteReference w:id="149"/>
      </w:r>
      <w:r w:rsidRPr="004030B6">
        <w:t>. Согласно решению Конституционного Суда при изучении обсто</w:t>
      </w:r>
      <w:r w:rsidRPr="004030B6">
        <w:t>я</w:t>
      </w:r>
      <w:r w:rsidRPr="004030B6">
        <w:t>тельств ситуаций, связанных с дискриминацией, необходимо подвергнуть пре</w:t>
      </w:r>
      <w:r w:rsidRPr="004030B6">
        <w:t>д</w:t>
      </w:r>
      <w:r w:rsidRPr="004030B6">
        <w:t>полагаемую ситуацию всестороннему и тщательному изучению, а также пр</w:t>
      </w:r>
      <w:r w:rsidRPr="004030B6">
        <w:t>о</w:t>
      </w:r>
      <w:r w:rsidRPr="004030B6">
        <w:t>анализировать соответствующие факты, с тем чтобы обеспечить возможность для принятия по итогам такой оценки решения о том, имела ли место дискр</w:t>
      </w:r>
      <w:r w:rsidRPr="004030B6">
        <w:t>и</w:t>
      </w:r>
      <w:r w:rsidRPr="004030B6">
        <w:t>минация</w:t>
      </w:r>
      <w:r w:rsidRPr="004030B6">
        <w:rPr>
          <w:vertAlign w:val="superscript"/>
        </w:rPr>
        <w:footnoteReference w:id="150"/>
      </w:r>
      <w:r w:rsidRPr="004030B6">
        <w:t>. Это значительно облегчает положение жертв дискриминации. В х</w:t>
      </w:r>
      <w:r w:rsidRPr="004030B6">
        <w:t>о</w:t>
      </w:r>
      <w:r w:rsidRPr="004030B6">
        <w:t>де судебного разбирательства дел, связанных с вопросами защиты от дискр</w:t>
      </w:r>
      <w:r w:rsidRPr="004030B6">
        <w:t>и</w:t>
      </w:r>
      <w:r w:rsidRPr="004030B6">
        <w:t>минации, интересы участника может представлять генеральное доверенное л</w:t>
      </w:r>
      <w:r w:rsidRPr="004030B6">
        <w:t>и</w:t>
      </w:r>
      <w:r w:rsidRPr="004030B6">
        <w:t>цо, в том числе физическое лицо или юридическое лицо</w:t>
      </w:r>
      <w:r w:rsidRPr="004030B6">
        <w:rPr>
          <w:vertAlign w:val="superscript"/>
        </w:rPr>
        <w:footnoteReference w:id="151"/>
      </w:r>
      <w:r w:rsidRPr="004030B6">
        <w:t>, созданное для целей защиты от дискриминации</w:t>
      </w:r>
      <w:r w:rsidRPr="004030B6">
        <w:rPr>
          <w:vertAlign w:val="superscript"/>
        </w:rPr>
        <w:footnoteReference w:id="152"/>
      </w:r>
      <w:r w:rsidRPr="004030B6">
        <w:t>. Заявители с низкими доходами могут при отсу</w:t>
      </w:r>
      <w:r w:rsidRPr="004030B6">
        <w:t>т</w:t>
      </w:r>
      <w:r w:rsidRPr="004030B6">
        <w:t>ствии у них необходимых средств попросить бесплатно назначить для них представителя</w:t>
      </w:r>
      <w:r w:rsidRPr="004030B6">
        <w:rPr>
          <w:vertAlign w:val="superscript"/>
        </w:rPr>
        <w:footnoteReference w:id="153"/>
      </w:r>
      <w:r w:rsidRPr="004030B6">
        <w:t>, оказать им правовую помощь</w:t>
      </w:r>
      <w:r w:rsidRPr="004030B6">
        <w:rPr>
          <w:vertAlign w:val="superscript"/>
        </w:rPr>
        <w:footnoteReference w:id="154"/>
      </w:r>
      <w:r w:rsidRPr="004030B6">
        <w:t xml:space="preserve"> силами юристов или же во</w:t>
      </w:r>
      <w:r w:rsidRPr="004030B6">
        <w:t>з</w:t>
      </w:r>
      <w:r w:rsidRPr="004030B6">
        <w:t>местить им расходы, понесенные ими в связи с разбирательством</w:t>
      </w:r>
      <w:r w:rsidRPr="004030B6">
        <w:rPr>
          <w:vertAlign w:val="superscript"/>
        </w:rPr>
        <w:footnoteReference w:id="155"/>
      </w:r>
      <w:r w:rsidRPr="004030B6">
        <w:t>. Помощь по общеправовым вопросам, помимо НПО, предоставляется также Чешской колл</w:t>
      </w:r>
      <w:r w:rsidRPr="004030B6">
        <w:t>е</w:t>
      </w:r>
      <w:r w:rsidRPr="004030B6">
        <w:t>гией адвокатов</w:t>
      </w:r>
      <w:r w:rsidRPr="004030B6">
        <w:rPr>
          <w:vertAlign w:val="superscript"/>
        </w:rPr>
        <w:footnoteReference w:id="156"/>
      </w:r>
      <w:r w:rsidRPr="004030B6">
        <w:t>. Расширению доступа к правовой помощи способствуют и вышеперечисленные инициативы Омбудсмена.</w:t>
      </w:r>
    </w:p>
    <w:p w:rsidR="0086169A" w:rsidRPr="004030B6" w:rsidRDefault="0086169A" w:rsidP="0086169A">
      <w:pPr>
        <w:pStyle w:val="SingleTxtGR"/>
      </w:pPr>
      <w:r w:rsidRPr="004030B6">
        <w:t>128.</w:t>
      </w:r>
      <w:r w:rsidRPr="004030B6">
        <w:tab/>
        <w:t>Помощь жертвам дискриминации также оказывают многочисленные НПО, которые действуют при поддержке различных организаций, включая М</w:t>
      </w:r>
      <w:r w:rsidRPr="004030B6">
        <w:t>и</w:t>
      </w:r>
      <w:r w:rsidRPr="004030B6">
        <w:t>нистерство по делам труда и социальным вопросам и Канцелярию Правител</w:t>
      </w:r>
      <w:r w:rsidRPr="004030B6">
        <w:t>ь</w:t>
      </w:r>
      <w:r w:rsidRPr="004030B6">
        <w:t>ства. В частности, Министерство по делам труда и социальным вопросам по</w:t>
      </w:r>
      <w:r w:rsidRPr="004030B6">
        <w:t>д</w:t>
      </w:r>
      <w:r w:rsidRPr="004030B6">
        <w:t>держивает организации, занимающиеся оказанием социальных услуг в таких сферах, как профессиональное социальное консультирование, социальная ре</w:t>
      </w:r>
      <w:r w:rsidRPr="004030B6">
        <w:t>а</w:t>
      </w:r>
      <w:r w:rsidRPr="004030B6">
        <w:t>билитация и социальная работа на местах. Министерство увеличило объем су</w:t>
      </w:r>
      <w:r w:rsidRPr="004030B6">
        <w:t>б</w:t>
      </w:r>
      <w:r w:rsidRPr="004030B6">
        <w:t>сидий, выделяемых этим организациям по оказанию услуг</w:t>
      </w:r>
      <w:r w:rsidRPr="004030B6">
        <w:rPr>
          <w:vertAlign w:val="superscript"/>
        </w:rPr>
        <w:footnoteReference w:id="157"/>
      </w:r>
      <w:r w:rsidRPr="004030B6">
        <w:t>. Канцелярия Пр</w:t>
      </w:r>
      <w:r w:rsidRPr="004030B6">
        <w:t>а</w:t>
      </w:r>
      <w:r w:rsidRPr="004030B6">
        <w:t xml:space="preserve">вительства выделяет субсидии муниципалитетам, НПО и регионам по линии трех программ субсидирования, направленных на поддержку интеграции рома: </w:t>
      </w:r>
      <w:r w:rsidR="009C6F8B">
        <w:t>"</w:t>
      </w:r>
      <w:r w:rsidRPr="004030B6">
        <w:t>Поддержка работы на местах</w:t>
      </w:r>
      <w:r w:rsidR="009C6F8B">
        <w:t>"</w:t>
      </w:r>
      <w:r w:rsidRPr="004030B6">
        <w:rPr>
          <w:vertAlign w:val="superscript"/>
        </w:rPr>
        <w:footnoteReference w:id="158"/>
      </w:r>
      <w:r w:rsidRPr="004030B6">
        <w:t xml:space="preserve">, </w:t>
      </w:r>
      <w:r w:rsidR="009C6F8B">
        <w:t>"</w:t>
      </w:r>
      <w:r w:rsidRPr="004030B6">
        <w:t>Предотвращение социальной изоляции и р</w:t>
      </w:r>
      <w:r w:rsidRPr="004030B6">
        <w:t>а</w:t>
      </w:r>
      <w:r w:rsidRPr="004030B6">
        <w:t>бота на уровне общин</w:t>
      </w:r>
      <w:r w:rsidR="009C6F8B">
        <w:t>"</w:t>
      </w:r>
      <w:r w:rsidRPr="004030B6">
        <w:rPr>
          <w:vertAlign w:val="superscript"/>
        </w:rPr>
        <w:footnoteReference w:id="159"/>
      </w:r>
      <w:r w:rsidRPr="004030B6">
        <w:t xml:space="preserve"> и </w:t>
      </w:r>
      <w:r w:rsidR="009C6F8B">
        <w:t>"</w:t>
      </w:r>
      <w:r w:rsidRPr="004030B6">
        <w:t>Поддержка координаторов по делам рома</w:t>
      </w:r>
      <w:r w:rsidR="009C6F8B">
        <w:t>"</w:t>
      </w:r>
      <w:r w:rsidRPr="004030B6">
        <w:rPr>
          <w:vertAlign w:val="superscript"/>
        </w:rPr>
        <w:footnoteReference w:id="160"/>
      </w:r>
      <w:r w:rsidRPr="004030B6">
        <w:t>. Более подробная информация об этом содержится в Приложении № 11. Начиная с 2013 года Министерство юстиции также будет регистрировать организации, оказывающие помощь жертвам преступлений, в том числе совершаемых на почве расизма, и осуществлять контроль качества предоставляемых ими услуг.</w:t>
      </w:r>
    </w:p>
    <w:p w:rsidR="0086169A" w:rsidRPr="004030B6" w:rsidRDefault="005D2425" w:rsidP="005D2425">
      <w:pPr>
        <w:pStyle w:val="H1GR"/>
      </w:pPr>
      <w:r>
        <w:tab/>
      </w:r>
      <w:r>
        <w:tab/>
      </w:r>
      <w:r w:rsidR="00442C17">
        <w:t>Статья 7</w:t>
      </w:r>
      <w:r w:rsidR="00442C17">
        <w:br/>
      </w:r>
      <w:r w:rsidR="0086169A" w:rsidRPr="004030B6">
        <w:t>Роль государства в сфере образования и профессиональной подготовки применительно к борьбе с расовой дискриминацией</w:t>
      </w:r>
    </w:p>
    <w:p w:rsidR="0086169A" w:rsidRPr="004030B6" w:rsidRDefault="0086169A" w:rsidP="0086169A">
      <w:pPr>
        <w:pStyle w:val="SingleTxtGR"/>
      </w:pPr>
      <w:r w:rsidRPr="004030B6">
        <w:t>129.</w:t>
      </w:r>
      <w:r w:rsidRPr="004030B6">
        <w:tab/>
        <w:t>Система школьного образования по-прежнему базируется на принципах равного доступа всех обучающихся к образованию и недопустимости дискр</w:t>
      </w:r>
      <w:r w:rsidRPr="004030B6">
        <w:t>и</w:t>
      </w:r>
      <w:r w:rsidRPr="004030B6">
        <w:t>минации по признакам расы, цвета кожи, пола, языка, вероисповедания или убеждений, национальности, этнического или социального происхождения, имущественного положения, рождения, состояния здоровья или по иным осн</w:t>
      </w:r>
      <w:r w:rsidRPr="004030B6">
        <w:t>о</w:t>
      </w:r>
      <w:r w:rsidRPr="004030B6">
        <w:t>ваниям, а также на принципах взаимного уважения, терпимости к мнениям др</w:t>
      </w:r>
      <w:r w:rsidRPr="004030B6">
        <w:t>у</w:t>
      </w:r>
      <w:r w:rsidRPr="004030B6">
        <w:t>гих, солидарности и уважения достоинства всех участников учебного процесса. В число основных задач в сфере образования по-прежнему входят развитие личности человека, который в процессе обучения получает знания и социал</w:t>
      </w:r>
      <w:r w:rsidRPr="004030B6">
        <w:t>ь</w:t>
      </w:r>
      <w:r w:rsidRPr="004030B6">
        <w:t>ные навыки, обретает моральные и духовные ценности, необходимые для ли</w:t>
      </w:r>
      <w:r w:rsidRPr="004030B6">
        <w:t>ч</w:t>
      </w:r>
      <w:r w:rsidRPr="004030B6">
        <w:t>ной и общественной жизни, профессионального развития и работы, обучается сбору информации и навыкам непрерывного образования в течение всей жизни, учится понимать и применять принципы демократии и верховенства права, а также соблюдения основных прав и свобод человека, вырабатывает чувство о</w:t>
      </w:r>
      <w:r w:rsidRPr="004030B6">
        <w:t>т</w:t>
      </w:r>
      <w:r w:rsidRPr="004030B6">
        <w:t>ветственности и социальной сплоченности, а также понимание человеком своих обязанностей как представителя нации и гражданина и уважение  этнической, культурной, языковой и религиозной идентичности каждого отдельно взятого человека</w:t>
      </w:r>
      <w:r w:rsidRPr="004030B6">
        <w:rPr>
          <w:vertAlign w:val="superscript"/>
        </w:rPr>
        <w:footnoteReference w:id="161"/>
      </w:r>
      <w:r w:rsidRPr="004030B6">
        <w:t>. Сфера образования в целом регламентируется Национальной пр</w:t>
      </w:r>
      <w:r w:rsidRPr="004030B6">
        <w:t>о</w:t>
      </w:r>
      <w:r w:rsidRPr="004030B6">
        <w:t>граммой в области образования, которую дополняет Рамочная программа, з</w:t>
      </w:r>
      <w:r w:rsidRPr="004030B6">
        <w:t>а</w:t>
      </w:r>
      <w:r w:rsidRPr="004030B6">
        <w:t xml:space="preserve">дающая обязательные </w:t>
      </w:r>
      <w:r w:rsidR="009C6F8B">
        <w:t>"</w:t>
      </w:r>
      <w:r w:rsidRPr="004030B6">
        <w:t>рамки</w:t>
      </w:r>
      <w:r w:rsidR="009C6F8B">
        <w:t>"</w:t>
      </w:r>
      <w:r w:rsidRPr="004030B6">
        <w:t xml:space="preserve"> для различных стадий образовательного проце</w:t>
      </w:r>
      <w:r w:rsidRPr="004030B6">
        <w:t>с</w:t>
      </w:r>
      <w:r w:rsidRPr="004030B6">
        <w:t>са (дошкольное, начальное и среднее образование). Реализация Рамочной пр</w:t>
      </w:r>
      <w:r w:rsidRPr="004030B6">
        <w:t>о</w:t>
      </w:r>
      <w:r w:rsidRPr="004030B6">
        <w:t xml:space="preserve">граммы обеспечивается документом об учебном плане, так называемым </w:t>
      </w:r>
      <w:r w:rsidR="009C6F8B">
        <w:t>"</w:t>
      </w:r>
      <w:r w:rsidRPr="004030B6">
        <w:t>Уче</w:t>
      </w:r>
      <w:r w:rsidRPr="004030B6">
        <w:t>б</w:t>
      </w:r>
      <w:r w:rsidRPr="004030B6">
        <w:t>ным планом для школ</w:t>
      </w:r>
      <w:r w:rsidR="009C6F8B">
        <w:t>"</w:t>
      </w:r>
      <w:r w:rsidRPr="004030B6">
        <w:t>, согласно которому ведется преподавание в отдельных школах.</w:t>
      </w:r>
    </w:p>
    <w:p w:rsidR="0086169A" w:rsidRPr="004030B6" w:rsidRDefault="0086169A" w:rsidP="0086169A">
      <w:pPr>
        <w:pStyle w:val="SingleTxtGR"/>
      </w:pPr>
      <w:r w:rsidRPr="004030B6">
        <w:t>130.</w:t>
      </w:r>
      <w:r w:rsidRPr="004030B6">
        <w:tab/>
        <w:t>Министерство по делам образования, молодежи и спорта поощряет шк</w:t>
      </w:r>
      <w:r w:rsidRPr="004030B6">
        <w:t>о</w:t>
      </w:r>
      <w:r w:rsidRPr="004030B6">
        <w:t>лы учитывать в своих учебных планах весьма многообразную тему, касающу</w:t>
      </w:r>
      <w:r w:rsidRPr="004030B6">
        <w:t>ю</w:t>
      </w:r>
      <w:r w:rsidRPr="004030B6">
        <w:t xml:space="preserve">ся мультикультурного образования; при этом должны приниматься во внимание местные потребности и возможности. В целях поощрения мультикультурного образования в начальных и средних школах было подготовлено методическое пособие под названием </w:t>
      </w:r>
      <w:r w:rsidR="009C6F8B">
        <w:t>"</w:t>
      </w:r>
      <w:r w:rsidRPr="004030B6">
        <w:t>Лучшие ожидаемые результаты</w:t>
      </w:r>
      <w:r w:rsidR="009C6F8B">
        <w:t>"</w:t>
      </w:r>
      <w:r w:rsidRPr="004030B6">
        <w:t>. В дополнение к и</w:t>
      </w:r>
      <w:r w:rsidRPr="004030B6">
        <w:t>н</w:t>
      </w:r>
      <w:r w:rsidRPr="004030B6">
        <w:t>формации о современных тенденциях в области мультикультурного образов</w:t>
      </w:r>
      <w:r w:rsidRPr="004030B6">
        <w:t>а</w:t>
      </w:r>
      <w:r w:rsidRPr="004030B6">
        <w:t>ния, наброскам тематических направлений занятий и ориентиров в плане на</w:t>
      </w:r>
      <w:r w:rsidRPr="004030B6">
        <w:t>и</w:t>
      </w:r>
      <w:r w:rsidRPr="004030B6">
        <w:t>более оптимальных результатов учебного процесса в этом пособии также с</w:t>
      </w:r>
      <w:r w:rsidRPr="004030B6">
        <w:t>о</w:t>
      </w:r>
      <w:r w:rsidRPr="004030B6">
        <w:t>держатся сведения об актуальных источниках информации. Преподаватели и</w:t>
      </w:r>
      <w:r w:rsidRPr="004030B6">
        <w:t>с</w:t>
      </w:r>
      <w:r w:rsidRPr="004030B6">
        <w:t xml:space="preserve">пользуют их в своей работе, а Национальный институт образования, действуя в сотрудничестве с другими организациями, проводит </w:t>
      </w:r>
      <w:r w:rsidR="009C6F8B">
        <w:t>"</w:t>
      </w:r>
      <w:r w:rsidRPr="004030B6">
        <w:t>круглые столы</w:t>
      </w:r>
      <w:r w:rsidR="009C6F8B">
        <w:t>"</w:t>
      </w:r>
      <w:r w:rsidRPr="004030B6">
        <w:t>, семин</w:t>
      </w:r>
      <w:r w:rsidRPr="004030B6">
        <w:t>а</w:t>
      </w:r>
      <w:r w:rsidRPr="004030B6">
        <w:t>ры и другие мероприятия, в рамках которых проходят презентации этих мат</w:t>
      </w:r>
      <w:r w:rsidRPr="004030B6">
        <w:t>е</w:t>
      </w:r>
      <w:r w:rsidRPr="004030B6">
        <w:t>риалов и предоставляются разъяснения относительно пользования ими. Еж</w:t>
      </w:r>
      <w:r w:rsidRPr="004030B6">
        <w:t>е</w:t>
      </w:r>
      <w:r w:rsidRPr="004030B6">
        <w:t>годно объявляется о программе субсидий, направленной на поддержку образ</w:t>
      </w:r>
      <w:r w:rsidRPr="004030B6">
        <w:t>о</w:t>
      </w:r>
      <w:r w:rsidRPr="004030B6">
        <w:t>вания на языках национальных меньшинств, а также мультикультурного обр</w:t>
      </w:r>
      <w:r w:rsidRPr="004030B6">
        <w:t>а</w:t>
      </w:r>
      <w:r w:rsidRPr="004030B6">
        <w:t>зования. В контексте мультикультурного образования организуются обучающие мероприятия для детей, молодежи и представителей этнических меньшинств, а также обеспечивается разработка и внедрение образовательных программ и учебных материалов для детей, молодежи и преподавателей в целях борьбы с расовой и этнической нетерпимостью, расизмом и антисемитизмом, в том числе применительно к проектам, касающимся интеграции, и мультикультурным пр</w:t>
      </w:r>
      <w:r w:rsidRPr="004030B6">
        <w:t>о</w:t>
      </w:r>
      <w:r w:rsidRPr="004030B6">
        <w:t>ектам. В 2012 году Министерство по делам образования, молодежи и спорта поддержало в общей сложности 60 проектов.</w:t>
      </w:r>
    </w:p>
    <w:p w:rsidR="0086169A" w:rsidRPr="004030B6" w:rsidRDefault="0086169A" w:rsidP="0086169A">
      <w:pPr>
        <w:pStyle w:val="SingleTxtGR"/>
      </w:pPr>
      <w:r w:rsidRPr="004030B6">
        <w:t>131.</w:t>
      </w:r>
      <w:r w:rsidRPr="004030B6">
        <w:tab/>
        <w:t>Основным направлением деятельности в рамках Стратегии предотвращ</w:t>
      </w:r>
      <w:r w:rsidRPr="004030B6">
        <w:t>е</w:t>
      </w:r>
      <w:r w:rsidRPr="004030B6">
        <w:t>ния рискованного поведения среди детей и молодежи на период 2013-2018 г</w:t>
      </w:r>
      <w:r w:rsidRPr="004030B6">
        <w:t>о</w:t>
      </w:r>
      <w:r w:rsidRPr="004030B6">
        <w:t>дов</w:t>
      </w:r>
      <w:r w:rsidRPr="004030B6">
        <w:rPr>
          <w:vertAlign w:val="superscript"/>
        </w:rPr>
        <w:footnoteReference w:id="162"/>
      </w:r>
      <w:r w:rsidRPr="004030B6">
        <w:t xml:space="preserve"> является образовательная деятельность среди детей и учителей по вопр</w:t>
      </w:r>
      <w:r w:rsidRPr="004030B6">
        <w:t>о</w:t>
      </w:r>
      <w:r w:rsidRPr="004030B6">
        <w:t>сам экстремизма, расизма и ксенофобии. Главная задача Стратегии заключается в том, чтобы при помощи эффективной системы профилактики свести к мин</w:t>
      </w:r>
      <w:r w:rsidRPr="004030B6">
        <w:t>и</w:t>
      </w:r>
      <w:r w:rsidRPr="004030B6">
        <w:t>муму и сократить распространенность рискованного поведения среди детей и молодежи. Стратегия будет претворяться в жизнь на основе координации де</w:t>
      </w:r>
      <w:r w:rsidRPr="004030B6">
        <w:t>й</w:t>
      </w:r>
      <w:r w:rsidRPr="004030B6">
        <w:t>ствий со школами, учреждениями образовательно-консультативного профиля, юристами, НПО, работающими с детьми и молодежью, службами социальной и правовой защиты детей, Полицией ЧР, университетами и другими заинтерес</w:t>
      </w:r>
      <w:r w:rsidRPr="004030B6">
        <w:t>о</w:t>
      </w:r>
      <w:r w:rsidRPr="004030B6">
        <w:t>ванными сторонами. Поддержка проектов будет осуществляться по линии пр</w:t>
      </w:r>
      <w:r w:rsidRPr="004030B6">
        <w:t>о</w:t>
      </w:r>
      <w:r w:rsidRPr="004030B6">
        <w:t>граммы субсидий Министерства по делам образования, молодежи и спорта. Н</w:t>
      </w:r>
      <w:r w:rsidRPr="004030B6">
        <w:t>а</w:t>
      </w:r>
      <w:r w:rsidRPr="004030B6">
        <w:t>циональный институт непрерывного обучения преподавательского состава о</w:t>
      </w:r>
      <w:r w:rsidRPr="004030B6">
        <w:t>р</w:t>
      </w:r>
      <w:r w:rsidRPr="004030B6">
        <w:t>ганизует образовательные мероприятия по темам, связанным с экстремизмом. В 2007-2013 годах Институт реализовал проекты, целью которых было дополн</w:t>
      </w:r>
      <w:r w:rsidRPr="004030B6">
        <w:t>и</w:t>
      </w:r>
      <w:r w:rsidRPr="004030B6">
        <w:t>тельное образование и поддержка преподавателей школ и других учебных зав</w:t>
      </w:r>
      <w:r w:rsidRPr="004030B6">
        <w:t>е</w:t>
      </w:r>
      <w:r w:rsidRPr="004030B6">
        <w:t>дений, а также повышение качества первичного образования. Софинансиров</w:t>
      </w:r>
      <w:r w:rsidRPr="004030B6">
        <w:t>а</w:t>
      </w:r>
      <w:r w:rsidRPr="004030B6">
        <w:t>ние этих проектов осуществляется по линии Европейского социального фонда.</w:t>
      </w:r>
    </w:p>
    <w:p w:rsidR="0086169A" w:rsidRPr="004030B6" w:rsidRDefault="0086169A" w:rsidP="0086169A">
      <w:pPr>
        <w:pStyle w:val="SingleTxtGR"/>
      </w:pPr>
      <w:r w:rsidRPr="004030B6">
        <w:t>132.</w:t>
      </w:r>
      <w:r w:rsidRPr="004030B6">
        <w:tab/>
        <w:t xml:space="preserve">В рамках первой основной темы Стратегии борьбы с экстремизмом – </w:t>
      </w:r>
      <w:r w:rsidR="009C6F8B">
        <w:t>"</w:t>
      </w:r>
      <w:r w:rsidRPr="004030B6">
        <w:t>Коммуникации против демагогии</w:t>
      </w:r>
      <w:r w:rsidR="009C6F8B">
        <w:t>"</w:t>
      </w:r>
      <w:r w:rsidRPr="004030B6">
        <w:t xml:space="preserve"> - проводились мероприятия в целях расш</w:t>
      </w:r>
      <w:r w:rsidRPr="004030B6">
        <w:t>и</w:t>
      </w:r>
      <w:r w:rsidRPr="004030B6">
        <w:t>рения информированности общественности о проблеме экстремизма при п</w:t>
      </w:r>
      <w:r w:rsidRPr="004030B6">
        <w:t>о</w:t>
      </w:r>
      <w:r w:rsidRPr="004030B6">
        <w:t xml:space="preserve">мощи Интернета (т.е. </w:t>
      </w:r>
      <w:r w:rsidR="009C6F8B">
        <w:t>веб-сайт</w:t>
      </w:r>
      <w:r w:rsidRPr="004030B6">
        <w:t>ов Министерства внутренних дел, Канцелярии Правительства и Полиции ЧР). Министерство внутренних дел регулярно публ</w:t>
      </w:r>
      <w:r w:rsidRPr="004030B6">
        <w:t>и</w:t>
      </w:r>
      <w:r w:rsidRPr="004030B6">
        <w:t xml:space="preserve">ковало на своем </w:t>
      </w:r>
      <w:r w:rsidR="009C6F8B">
        <w:t>веб-сайте</w:t>
      </w:r>
      <w:r w:rsidRPr="004030B6">
        <w:t xml:space="preserve"> информацию и аналитические данные, касающиеся экстремизма, а также мероприятий, связанных с борьбой против экстремизма и расизма. К деятельности по освещению данной темы и расширению информ</w:t>
      </w:r>
      <w:r w:rsidRPr="004030B6">
        <w:t>и</w:t>
      </w:r>
      <w:r w:rsidRPr="004030B6">
        <w:t xml:space="preserve">рованности подключились Агентство по вопросам социальной интеграции и Министерство по делам образования, молодежи и спорта, которые постоянно публикуют на своих </w:t>
      </w:r>
      <w:r w:rsidR="009C6F8B">
        <w:t>веб-сайт</w:t>
      </w:r>
      <w:r w:rsidRPr="004030B6">
        <w:t xml:space="preserve">ах соответствующие информационно-аналитические материалы. </w:t>
      </w:r>
    </w:p>
    <w:p w:rsidR="0086169A" w:rsidRPr="004030B6" w:rsidRDefault="0086169A" w:rsidP="0086169A">
      <w:pPr>
        <w:pStyle w:val="SingleTxtGR"/>
      </w:pPr>
      <w:r w:rsidRPr="004030B6">
        <w:t>133.</w:t>
      </w:r>
      <w:r w:rsidRPr="004030B6">
        <w:tab/>
        <w:t xml:space="preserve">В рамках второй основной темы Стратегии – </w:t>
      </w:r>
      <w:r w:rsidR="009C6F8B">
        <w:t>"</w:t>
      </w:r>
      <w:r w:rsidRPr="004030B6">
        <w:t>Знания против тоталит</w:t>
      </w:r>
      <w:r w:rsidRPr="004030B6">
        <w:t>а</w:t>
      </w:r>
      <w:r w:rsidRPr="004030B6">
        <w:t>ризма</w:t>
      </w:r>
      <w:r w:rsidR="009C6F8B">
        <w:t>"</w:t>
      </w:r>
      <w:r w:rsidRPr="004030B6">
        <w:t xml:space="preserve"> - были проведены образовательные мероприятия для детей и педагогов, координатором которых выступило Министерство по делам образования, мол</w:t>
      </w:r>
      <w:r w:rsidRPr="004030B6">
        <w:t>о</w:t>
      </w:r>
      <w:r w:rsidRPr="004030B6">
        <w:t>дежи и спорта в контексте профилактической деятельности, связанной с пр</w:t>
      </w:r>
      <w:r w:rsidRPr="004030B6">
        <w:t>о</w:t>
      </w:r>
      <w:r w:rsidRPr="004030B6">
        <w:t xml:space="preserve">блемой экстремизма. Министерство по делам образования, молодежи и спорта обновило </w:t>
      </w:r>
      <w:r w:rsidR="009C6F8B">
        <w:t>"</w:t>
      </w:r>
      <w:r w:rsidRPr="004030B6">
        <w:t>Руководство по первичной профилактике рискованного поведения среди детей, учащихся и студентов школ и других учебных заведений</w:t>
      </w:r>
      <w:r w:rsidR="009C6F8B">
        <w:t>"</w:t>
      </w:r>
      <w:r w:rsidRPr="004030B6">
        <w:t>, вкл</w:t>
      </w:r>
      <w:r w:rsidRPr="004030B6">
        <w:t>ю</w:t>
      </w:r>
      <w:r w:rsidRPr="004030B6">
        <w:t xml:space="preserve">чающее в себя рекомендации и практический справочник для школ </w:t>
      </w:r>
      <w:r w:rsidR="009C6F8B">
        <w:t>"</w:t>
      </w:r>
      <w:r w:rsidRPr="004030B6">
        <w:t>Что делать: профилактика силами педагогов</w:t>
      </w:r>
      <w:r w:rsidR="009C6F8B">
        <w:t>"</w:t>
      </w:r>
      <w:r w:rsidRPr="004030B6">
        <w:t>, в котором также сосредоточивается внимание на рекомендациях в отношении мер по борьбе с экстремизмом, расизмом и а</w:t>
      </w:r>
      <w:r w:rsidRPr="004030B6">
        <w:t>н</w:t>
      </w:r>
      <w:r w:rsidRPr="004030B6">
        <w:t xml:space="preserve">тисемитизмом в школах. Помимо этого, было объявлено о начале реализации под эгидой Министерства по делам образования, молодежи и спорта программы мероприятий в области профилактики рискованного поведения. В материалах </w:t>
      </w:r>
      <w:r w:rsidR="009C6F8B">
        <w:t>веб-сайт</w:t>
      </w:r>
      <w:r w:rsidRPr="004030B6">
        <w:t xml:space="preserve">а, расположенного по адресу </w:t>
      </w:r>
      <w:r w:rsidRPr="004030B6">
        <w:rPr>
          <w:lang w:val="en-US"/>
        </w:rPr>
        <w:t>www</w:t>
      </w:r>
      <w:r w:rsidRPr="004030B6">
        <w:t>.</w:t>
      </w:r>
      <w:r w:rsidRPr="004030B6">
        <w:rPr>
          <w:lang w:val="en-US"/>
        </w:rPr>
        <w:t>prevence</w:t>
      </w:r>
      <w:r w:rsidRPr="004030B6">
        <w:t>-</w:t>
      </w:r>
      <w:r w:rsidRPr="004030B6">
        <w:rPr>
          <w:lang w:val="en-US"/>
        </w:rPr>
        <w:t>info</w:t>
      </w:r>
      <w:r w:rsidRPr="004030B6">
        <w:t>.</w:t>
      </w:r>
      <w:r w:rsidRPr="004030B6">
        <w:rPr>
          <w:lang w:val="en-US"/>
        </w:rPr>
        <w:t>cz</w:t>
      </w:r>
      <w:r w:rsidRPr="004030B6">
        <w:t>, первоочередное значение уделяется вопросам профилактики рискованного поведения, а также проблемам расизма и экстремизма. Важную роль в контексте образовательной деятельности, направленной на борьбу с расовой дискриминацией и нетерп</w:t>
      </w:r>
      <w:r w:rsidRPr="004030B6">
        <w:t>и</w:t>
      </w:r>
      <w:r w:rsidRPr="004030B6">
        <w:t>мостью, играют мероприятия по профессиональной подготовке педагогов и преподавательского состава. Повышение квалификации педагогов и преподав</w:t>
      </w:r>
      <w:r w:rsidRPr="004030B6">
        <w:t>а</w:t>
      </w:r>
      <w:r w:rsidRPr="004030B6">
        <w:t xml:space="preserve">тельского состава также является целью образовательного проекта организации </w:t>
      </w:r>
      <w:r w:rsidR="009C6F8B">
        <w:t>"</w:t>
      </w:r>
      <w:r w:rsidRPr="004030B6">
        <w:t>Международная амнистия</w:t>
      </w:r>
      <w:r w:rsidR="009C6F8B">
        <w:t>"</w:t>
      </w:r>
      <w:r w:rsidRPr="004030B6">
        <w:t xml:space="preserve"> в области прав человека под названием </w:t>
      </w:r>
      <w:r w:rsidR="009C6F8B">
        <w:t>"</w:t>
      </w:r>
      <w:r w:rsidRPr="004030B6">
        <w:t>Школа прав человека</w:t>
      </w:r>
      <w:r w:rsidR="009C6F8B">
        <w:t>"</w:t>
      </w:r>
      <w:r w:rsidRPr="004030B6">
        <w:t>.</w:t>
      </w:r>
    </w:p>
    <w:p w:rsidR="0086169A" w:rsidRPr="004030B6" w:rsidRDefault="0086169A" w:rsidP="0086169A">
      <w:pPr>
        <w:pStyle w:val="SingleTxtGR"/>
      </w:pPr>
      <w:r w:rsidRPr="004030B6">
        <w:t>134.</w:t>
      </w:r>
      <w:r w:rsidRPr="004030B6">
        <w:tab/>
        <w:t>Что касается профессиональной подготовки сотрудников полиции, то в</w:t>
      </w:r>
      <w:r w:rsidRPr="004030B6">
        <w:t>о</w:t>
      </w:r>
      <w:r w:rsidRPr="004030B6">
        <w:t>прос об образовательной работе в сфере борьбы с расовой дискриминацией включен в планы работы и методологическую деятельность индивидуальных департаментов, профильных департаментов и департаментов полицейских учебных заведений. Он отражен в рамочных учебных программах, школьных учебных планах, а также учебных планах аккредитованных образовательных программ с учетом индивидуальных особенностей полицейских учебных зав</w:t>
      </w:r>
      <w:r w:rsidRPr="004030B6">
        <w:t>е</w:t>
      </w:r>
      <w:r w:rsidRPr="004030B6">
        <w:t>дений. С 1 января 2013 года система профессиональной подготовки сотрудн</w:t>
      </w:r>
      <w:r w:rsidRPr="004030B6">
        <w:t>и</w:t>
      </w:r>
      <w:r w:rsidRPr="004030B6">
        <w:t>ков полиции состоит из трех учебных заведений: Полицейского колледжа М</w:t>
      </w:r>
      <w:r w:rsidRPr="004030B6">
        <w:t>и</w:t>
      </w:r>
      <w:r w:rsidRPr="004030B6">
        <w:t>нистерства внутренних дел в Праге с филиалом в Йиглаве, Колледжа уголовной полиции в Опатовице с филиалом в Праге (Рузыне) и Полицейского колледжа и Полицейской средней школы Министерства внутренних дел в Голешове с ф</w:t>
      </w:r>
      <w:r w:rsidRPr="004030B6">
        <w:t>и</w:t>
      </w:r>
      <w:r w:rsidRPr="004030B6">
        <w:t>лиалом в Брно. Общее число выпускников, завершивших обучение по всем в</w:t>
      </w:r>
      <w:r w:rsidRPr="004030B6">
        <w:t>и</w:t>
      </w:r>
      <w:r w:rsidRPr="004030B6">
        <w:t>дам образовательных программ, составило в 2011 году почти 13 000 человек, а в 2012 году – 19 000 человек. В этих учебных заведениях работает в общей сложности 313 преподавателей. Кроме того, действуют восемь центров профе</w:t>
      </w:r>
      <w:r w:rsidRPr="004030B6">
        <w:t>с</w:t>
      </w:r>
      <w:r w:rsidRPr="004030B6">
        <w:t>сиональной подготовки сотрудников полиции и три центра практической подг</w:t>
      </w:r>
      <w:r w:rsidRPr="004030B6">
        <w:t>о</w:t>
      </w:r>
      <w:r w:rsidRPr="004030B6">
        <w:t>товки Полиции ЧР. В Полиции ЧР работает в общей сложности 436 инструкт</w:t>
      </w:r>
      <w:r w:rsidRPr="004030B6">
        <w:t>о</w:t>
      </w:r>
      <w:r w:rsidRPr="004030B6">
        <w:t>ров.</w:t>
      </w:r>
    </w:p>
    <w:p w:rsidR="0086169A" w:rsidRPr="004030B6" w:rsidRDefault="0086169A" w:rsidP="0086169A">
      <w:pPr>
        <w:pStyle w:val="SingleTxtGR"/>
      </w:pPr>
      <w:r w:rsidRPr="004030B6">
        <w:t>135.</w:t>
      </w:r>
      <w:r w:rsidRPr="004030B6">
        <w:tab/>
        <w:t>Тема борьбы с расизмом находит свое отражение в программах обучения по ключевым гражданским и профессиональным специальностям. Она отраж</w:t>
      </w:r>
      <w:r w:rsidRPr="004030B6">
        <w:t>е</w:t>
      </w:r>
      <w:r w:rsidRPr="004030B6">
        <w:t>на в рамках следующих предметов: право, полицейская служба, связанная с поддержанием общественного порядка, полицейская служба за рубежом (темы: пограничный контроль, использование социальных и культурных особенностей и отличительных черт этнических групп в процессе профилирования; организ</w:t>
      </w:r>
      <w:r w:rsidRPr="004030B6">
        <w:t>о</w:t>
      </w:r>
      <w:r w:rsidRPr="004030B6">
        <w:t>ванная преступность), коммуникации и полицейская этика (темы: предрассудки и способы воздействия на них, обращение с представителями меньшинств, мультикультурность, социально-патологические явления; полицейская работа в общинах; психологические аспекты действий в отношении конкретных соц</w:t>
      </w:r>
      <w:r w:rsidRPr="004030B6">
        <w:t>и</w:t>
      </w:r>
      <w:r w:rsidRPr="004030B6">
        <w:t>альных групп; виктимология, виктимизация, типология жертв, взаимодействие с жертвами преступлений). Неотъемлемой частью профессиональных и спец</w:t>
      </w:r>
      <w:r w:rsidRPr="004030B6">
        <w:t>и</w:t>
      </w:r>
      <w:r w:rsidRPr="004030B6">
        <w:t xml:space="preserve">альных курсов, а также учебных модулей профилирующих дисциплин являются также следующие предметы: </w:t>
      </w:r>
      <w:r w:rsidR="009C6F8B">
        <w:t>"</w:t>
      </w:r>
      <w:r w:rsidRPr="004030B6">
        <w:t>Выполнение служебных обязанностей</w:t>
      </w:r>
      <w:r w:rsidR="009C6F8B">
        <w:t>"</w:t>
      </w:r>
      <w:r w:rsidRPr="004030B6">
        <w:t xml:space="preserve"> (в рамках темы </w:t>
      </w:r>
      <w:r w:rsidR="009C6F8B">
        <w:t>"</w:t>
      </w:r>
      <w:r w:rsidRPr="004030B6">
        <w:t>Организация функций в соответствии с принципами полицейской работы в общинах</w:t>
      </w:r>
      <w:r w:rsidR="009C6F8B">
        <w:t>"</w:t>
      </w:r>
      <w:r w:rsidRPr="004030B6">
        <w:t xml:space="preserve">) и </w:t>
      </w:r>
      <w:r w:rsidR="009C6F8B">
        <w:t>"</w:t>
      </w:r>
      <w:r w:rsidRPr="004030B6">
        <w:t>Оценка правовых аспектов работы полиции по поддержанию общественного порядка</w:t>
      </w:r>
      <w:r w:rsidR="009C6F8B">
        <w:t>"</w:t>
      </w:r>
      <w:r w:rsidRPr="004030B6">
        <w:t xml:space="preserve"> (в рамках темы </w:t>
      </w:r>
      <w:r w:rsidR="009C6F8B">
        <w:t>"</w:t>
      </w:r>
      <w:r w:rsidRPr="004030B6">
        <w:t>Текущие проблемы практики уголо</w:t>
      </w:r>
      <w:r w:rsidRPr="004030B6">
        <w:t>в</w:t>
      </w:r>
      <w:r w:rsidRPr="004030B6">
        <w:t>ного права</w:t>
      </w:r>
      <w:r w:rsidR="009C6F8B">
        <w:t>"</w:t>
      </w:r>
      <w:r w:rsidRPr="004030B6">
        <w:t>). В рамках спецкурса для сотрудников Полиции ЧР по связям с н</w:t>
      </w:r>
      <w:r w:rsidRPr="004030B6">
        <w:t>а</w:t>
      </w:r>
      <w:r w:rsidRPr="004030B6">
        <w:t xml:space="preserve">селением, которые занимаются вопросами миграции и документации, вопрос о борьбе с расизмом находит отражение в рамках следующих тем: </w:t>
      </w:r>
      <w:r w:rsidR="009C6F8B">
        <w:t>"</w:t>
      </w:r>
      <w:r w:rsidRPr="004030B6">
        <w:t>Использов</w:t>
      </w:r>
      <w:r w:rsidRPr="004030B6">
        <w:t>а</w:t>
      </w:r>
      <w:r w:rsidRPr="004030B6">
        <w:t>ние социальных и культурных особенностей и отличительных черт этнических групп в процессе профилирования</w:t>
      </w:r>
      <w:r w:rsidR="009C6F8B">
        <w:t>"</w:t>
      </w:r>
      <w:r w:rsidRPr="004030B6">
        <w:t xml:space="preserve"> и </w:t>
      </w:r>
      <w:r w:rsidR="009C6F8B">
        <w:t>"</w:t>
      </w:r>
      <w:r w:rsidRPr="004030B6">
        <w:t>Вопрос о социокультурной среде некот</w:t>
      </w:r>
      <w:r w:rsidRPr="004030B6">
        <w:t>о</w:t>
      </w:r>
      <w:r w:rsidRPr="004030B6">
        <w:t>рых стран</w:t>
      </w:r>
      <w:r w:rsidR="009C6F8B">
        <w:t>"</w:t>
      </w:r>
      <w:r w:rsidRPr="004030B6">
        <w:t xml:space="preserve">. Учебный модуль </w:t>
      </w:r>
      <w:r w:rsidR="009C6F8B">
        <w:t>"</w:t>
      </w:r>
      <w:r w:rsidRPr="004030B6">
        <w:t>Оперативно-следственная работа в среде экстр</w:t>
      </w:r>
      <w:r w:rsidRPr="004030B6">
        <w:t>е</w:t>
      </w:r>
      <w:r w:rsidRPr="004030B6">
        <w:t>мистских групп с использованием осведомителя</w:t>
      </w:r>
      <w:r w:rsidR="009C6F8B">
        <w:t>"</w:t>
      </w:r>
      <w:r w:rsidRPr="004030B6">
        <w:t xml:space="preserve"> является частью спецкурса </w:t>
      </w:r>
      <w:r w:rsidR="009C6F8B">
        <w:t>"</w:t>
      </w:r>
      <w:r w:rsidRPr="004030B6">
        <w:t>Подготовка специалистов в связи с проблемой экстремизма</w:t>
      </w:r>
      <w:r w:rsidR="009C6F8B">
        <w:t>"</w:t>
      </w:r>
      <w:r w:rsidRPr="004030B6">
        <w:t xml:space="preserve">. </w:t>
      </w:r>
    </w:p>
    <w:p w:rsidR="0086169A" w:rsidRPr="004030B6" w:rsidRDefault="0086169A" w:rsidP="0086169A">
      <w:pPr>
        <w:pStyle w:val="SingleTxtGR"/>
      </w:pPr>
      <w:r w:rsidRPr="004030B6">
        <w:t>136.</w:t>
      </w:r>
      <w:r w:rsidRPr="004030B6">
        <w:tab/>
        <w:t>В рамках соответствующих учебных курсов сотрудникам полиции прив</w:t>
      </w:r>
      <w:r w:rsidRPr="004030B6">
        <w:t>и</w:t>
      </w:r>
      <w:r w:rsidRPr="004030B6">
        <w:t>вается уважение и толерантность ко всем многообразным культурам, предст</w:t>
      </w:r>
      <w:r w:rsidRPr="004030B6">
        <w:t>а</w:t>
      </w:r>
      <w:r w:rsidRPr="004030B6">
        <w:t>вители которых проживают в ЧР, с упором на навыки коммуникации и ведения переговоров без проявлений расизма и ксенофобии в соответствии с полож</w:t>
      </w:r>
      <w:r w:rsidRPr="004030B6">
        <w:t>е</w:t>
      </w:r>
      <w:r w:rsidRPr="004030B6">
        <w:t>ниями Этического кодекса Полиции ЧР. В рамках специализированной подг</w:t>
      </w:r>
      <w:r w:rsidRPr="004030B6">
        <w:t>о</w:t>
      </w:r>
      <w:r w:rsidRPr="004030B6">
        <w:t xml:space="preserve">товки сотрудников Полиции ЧР проблемам меньшинств было уделено внимание в рамках учебной программы </w:t>
      </w:r>
      <w:r w:rsidR="009C6F8B">
        <w:t>"</w:t>
      </w:r>
      <w:r w:rsidRPr="004030B6">
        <w:t>Курс для сотрудников по связям с меньшинств</w:t>
      </w:r>
      <w:r w:rsidRPr="004030B6">
        <w:t>а</w:t>
      </w:r>
      <w:r w:rsidRPr="004030B6">
        <w:t xml:space="preserve">ми и участников рабочих групп, часть </w:t>
      </w:r>
      <w:r w:rsidRPr="004030B6">
        <w:rPr>
          <w:lang w:val="en-US"/>
        </w:rPr>
        <w:t>I</w:t>
      </w:r>
      <w:r w:rsidR="009C6F8B">
        <w:t>"</w:t>
      </w:r>
      <w:r w:rsidRPr="004030B6">
        <w:t xml:space="preserve">; по состоянию на ноябрь 2011 года этот курс подготовки прошли 140 сотрудников полиции. Начиная с марта 2012 года была запущена программа </w:t>
      </w:r>
      <w:r w:rsidR="009C6F8B">
        <w:t>"</w:t>
      </w:r>
      <w:r w:rsidRPr="004030B6">
        <w:t>Курс для сотрудников по связям с меньшинс</w:t>
      </w:r>
      <w:r w:rsidRPr="004030B6">
        <w:t>т</w:t>
      </w:r>
      <w:r w:rsidRPr="004030B6">
        <w:t>вами и участников рабочих групп, часть I</w:t>
      </w:r>
      <w:r w:rsidRPr="004030B6">
        <w:rPr>
          <w:lang w:val="en-US"/>
        </w:rPr>
        <w:t>I</w:t>
      </w:r>
      <w:r w:rsidR="009C6F8B">
        <w:t>"</w:t>
      </w:r>
      <w:r w:rsidRPr="004030B6">
        <w:t>, в рамках которой прошли обучение 74 сотрудника полиции. Кроме того, продолжалась реализация мероприятий по профессиональной подготовке в рамках проводимых один раз в два года рег</w:t>
      </w:r>
      <w:r w:rsidRPr="004030B6">
        <w:t>у</w:t>
      </w:r>
      <w:r w:rsidRPr="004030B6">
        <w:t xml:space="preserve">лярных встреч сотрудников по связям с меньшинствами. </w:t>
      </w:r>
    </w:p>
    <w:p w:rsidR="0086169A" w:rsidRPr="004030B6" w:rsidRDefault="0086169A" w:rsidP="0086169A">
      <w:pPr>
        <w:pStyle w:val="SingleTxtGR"/>
      </w:pPr>
      <w:r w:rsidRPr="004030B6">
        <w:t>137.</w:t>
      </w:r>
      <w:r w:rsidRPr="004030B6">
        <w:tab/>
        <w:t>В целях повышения квалификации сотрудников Полиции ЧР примен</w:t>
      </w:r>
      <w:r w:rsidRPr="004030B6">
        <w:t>и</w:t>
      </w:r>
      <w:r w:rsidRPr="004030B6">
        <w:t>тельно к проблемам меньшинств был разработан образовательный проект, ц</w:t>
      </w:r>
      <w:r w:rsidRPr="004030B6">
        <w:t>е</w:t>
      </w:r>
      <w:r w:rsidRPr="004030B6">
        <w:t>лью которого является формирование навыков работы в мультикультурной ср</w:t>
      </w:r>
      <w:r w:rsidRPr="004030B6">
        <w:t>е</w:t>
      </w:r>
      <w:r w:rsidRPr="004030B6">
        <w:t>де с использованием методик, которые посредством приобретения необходим</w:t>
      </w:r>
      <w:r w:rsidRPr="004030B6">
        <w:t>о</w:t>
      </w:r>
      <w:r w:rsidRPr="004030B6">
        <w:t>го личного опыта позволяют обучающимся выработать новый взгляд на ситу</w:t>
      </w:r>
      <w:r w:rsidRPr="004030B6">
        <w:t>а</w:t>
      </w:r>
      <w:r w:rsidRPr="004030B6">
        <w:t>цию и пережить внутреннюю трансформацию (избавиться от глубоко укор</w:t>
      </w:r>
      <w:r w:rsidRPr="004030B6">
        <w:t>е</w:t>
      </w:r>
      <w:r w:rsidRPr="004030B6">
        <w:t>ненных подходов и предрассудков). Направленность этих занятий будет в по</w:t>
      </w:r>
      <w:r w:rsidRPr="004030B6">
        <w:t>л</w:t>
      </w:r>
      <w:r w:rsidRPr="004030B6">
        <w:t>ной мере адаптирована к потребностям целевых групп с учетом той роли, кот</w:t>
      </w:r>
      <w:r w:rsidRPr="004030B6">
        <w:t>о</w:t>
      </w:r>
      <w:r w:rsidRPr="004030B6">
        <w:t>рую они играют в сфере работы с общинами меньшинств. Программа также б</w:t>
      </w:r>
      <w:r w:rsidRPr="004030B6">
        <w:t>у</w:t>
      </w:r>
      <w:r w:rsidRPr="004030B6">
        <w:t>дет включать в себя подготовку специальных материалов для учебных семин</w:t>
      </w:r>
      <w:r w:rsidRPr="004030B6">
        <w:t>а</w:t>
      </w:r>
      <w:r w:rsidRPr="004030B6">
        <w:t>ров, направленных на выработку навыков межкультурного взаимодействия в целях преодоления психологического стресса при общении с жителями соц</w:t>
      </w:r>
      <w:r w:rsidRPr="004030B6">
        <w:t>и</w:t>
      </w:r>
      <w:r w:rsidRPr="004030B6">
        <w:t xml:space="preserve">ально изолированных районов, а также перед лицом социальных, культурных и прочих различий. Учебный курс </w:t>
      </w:r>
      <w:r w:rsidR="009C6F8B">
        <w:t>"</w:t>
      </w:r>
      <w:r w:rsidRPr="004030B6">
        <w:t>Полицейский в мультикультурной среде</w:t>
      </w:r>
      <w:r w:rsidR="009C6F8B">
        <w:t>"</w:t>
      </w:r>
      <w:r w:rsidRPr="004030B6">
        <w:t xml:space="preserve"> предназначен для сотрудников полиции из Региональной полицейской дирекции ЧР, которые участвуют в деятельности рабочих групп по делам этнических меньшинств. </w:t>
      </w:r>
    </w:p>
    <w:p w:rsidR="0086169A" w:rsidRPr="004030B6" w:rsidRDefault="0086169A" w:rsidP="0086169A">
      <w:pPr>
        <w:pStyle w:val="SingleTxtGR"/>
      </w:pPr>
      <w:r w:rsidRPr="004030B6">
        <w:t>138.</w:t>
      </w:r>
      <w:r w:rsidRPr="004030B6">
        <w:tab/>
        <w:t xml:space="preserve">В рамках третьей основной темы Стратегии – </w:t>
      </w:r>
      <w:r w:rsidR="009C6F8B">
        <w:t>"</w:t>
      </w:r>
      <w:r w:rsidRPr="004030B6">
        <w:t>Единая платформа для борьбы с экстремизмом</w:t>
      </w:r>
      <w:r w:rsidR="009C6F8B">
        <w:t>"</w:t>
      </w:r>
      <w:r w:rsidRPr="004030B6">
        <w:t xml:space="preserve"> - осуществлялось финансирование профилактических и образовательных проектов, направленных на борьбу с экстремизмом. В число компонентов этой темы входит профилактический проект </w:t>
      </w:r>
      <w:r w:rsidR="009C6F8B">
        <w:t>"</w:t>
      </w:r>
      <w:r w:rsidRPr="004030B6">
        <w:t>Рассвет</w:t>
      </w:r>
      <w:r w:rsidR="009C6F8B">
        <w:t>"</w:t>
      </w:r>
      <w:r w:rsidRPr="004030B6">
        <w:t>, о котором говорилось выше, а также образовательные мероприятия в полицейских уче</w:t>
      </w:r>
      <w:r w:rsidRPr="004030B6">
        <w:t>б</w:t>
      </w:r>
      <w:r w:rsidRPr="004030B6">
        <w:t>ных заведениях и программы по интеграции иностранцев. Полицейский през</w:t>
      </w:r>
      <w:r w:rsidRPr="004030B6">
        <w:t>и</w:t>
      </w:r>
      <w:r w:rsidRPr="004030B6">
        <w:t xml:space="preserve">диум реализовал проект </w:t>
      </w:r>
      <w:r w:rsidR="009C6F8B">
        <w:t>"</w:t>
      </w:r>
      <w:r w:rsidRPr="004030B6">
        <w:t>Полиция для всех</w:t>
      </w:r>
      <w:r w:rsidR="009C6F8B">
        <w:t>"</w:t>
      </w:r>
      <w:r w:rsidRPr="004030B6">
        <w:t>, основное внимание в рамках к</w:t>
      </w:r>
      <w:r w:rsidRPr="004030B6">
        <w:t>о</w:t>
      </w:r>
      <w:r w:rsidRPr="004030B6">
        <w:t>торого уделялось, в частности, проблемам экстремизма и ксенофобии; целевая группа проекта включала в себя учащихся начальных и средних школ.</w:t>
      </w:r>
    </w:p>
    <w:p w:rsidR="0086169A" w:rsidRPr="004030B6" w:rsidRDefault="0086169A" w:rsidP="0086169A">
      <w:pPr>
        <w:pStyle w:val="SingleTxtGR"/>
      </w:pPr>
      <w:r w:rsidRPr="004030B6">
        <w:t>139.</w:t>
      </w:r>
      <w:r w:rsidRPr="004030B6">
        <w:tab/>
        <w:t>Вопросы расизма, ксенофобии и этнических меньшинств также включ</w:t>
      </w:r>
      <w:r w:rsidRPr="004030B6">
        <w:t>е</w:t>
      </w:r>
      <w:r w:rsidRPr="004030B6">
        <w:t>ны в стандартную учебную программу подготовки военных специалистов в Университете обороны. Вопрос о национальных меньшинствах отражен в пр</w:t>
      </w:r>
      <w:r w:rsidRPr="004030B6">
        <w:t>о</w:t>
      </w:r>
      <w:r w:rsidRPr="004030B6">
        <w:t xml:space="preserve">грамме преподавания гуманитарных предметов Специализированной военной средней школы и Колледжа в городе Моравска-Тршебова. В рамках основных подразделений Вооруженных сил ЧР был реализован независимый проект </w:t>
      </w:r>
      <w:r w:rsidR="009C6F8B">
        <w:t>"</w:t>
      </w:r>
      <w:r w:rsidRPr="004030B6">
        <w:t>Экстремизм в Вооруженных силах ЧР</w:t>
      </w:r>
      <w:r w:rsidR="009C6F8B">
        <w:t>"</w:t>
      </w:r>
      <w:r w:rsidRPr="004030B6">
        <w:t>. Его содержание охватывало следу</w:t>
      </w:r>
      <w:r w:rsidRPr="004030B6">
        <w:t>ю</w:t>
      </w:r>
      <w:r w:rsidRPr="004030B6">
        <w:t>щие темы: превентивные методы выявления экстремистских манифестаций, с</w:t>
      </w:r>
      <w:r w:rsidRPr="004030B6">
        <w:t>о</w:t>
      </w:r>
      <w:r w:rsidRPr="004030B6">
        <w:t>чувствие экстремистским движениям и их прямая поддержка, движения, разж</w:t>
      </w:r>
      <w:r w:rsidRPr="004030B6">
        <w:t>и</w:t>
      </w:r>
      <w:r w:rsidRPr="004030B6">
        <w:t>гающие этническую и расовую ненависть, движения, направленные на пода</w:t>
      </w:r>
      <w:r w:rsidRPr="004030B6">
        <w:t>в</w:t>
      </w:r>
      <w:r w:rsidRPr="004030B6">
        <w:t>ление прав и свобод человека. Тема прав человека, в том числе применительно к этническим меньшинствам, была включена (в виде двухчасового занятия) в программу подготовки офицеров Вооруженных сил ЧР, направляемых для уч</w:t>
      </w:r>
      <w:r w:rsidRPr="004030B6">
        <w:t>а</w:t>
      </w:r>
      <w:r w:rsidRPr="004030B6">
        <w:t>стия в зарубежных операциях. Для младшего командного состава Военная ак</w:t>
      </w:r>
      <w:r w:rsidRPr="004030B6">
        <w:t>а</w:t>
      </w:r>
      <w:r w:rsidRPr="004030B6">
        <w:t>демия организует краткосрочные курсы, посвященные проблемам экстремизма и расизма, а, если говорить более точно, - проблеме защиты прав человека. В рамках учреждений, занимающихся профессиональной подготовкой военн</w:t>
      </w:r>
      <w:r w:rsidRPr="004030B6">
        <w:t>о</w:t>
      </w:r>
      <w:r w:rsidRPr="004030B6">
        <w:t>служащих, образование представляет собой неотъемлемую часть процесса по</w:t>
      </w:r>
      <w:r w:rsidRPr="004030B6">
        <w:t>д</w:t>
      </w:r>
      <w:r w:rsidRPr="004030B6">
        <w:t>готовки курсантов к будущей работе в качестве кадровых военных. Само собой разумеется, что эта сфера также включает в себя темы, касающиеся военных коллективов, межличностных отношений, ксенофобии, расизма и экстремизма. В целях удовлетворения потребностей, связанных с профессиональной подг</w:t>
      </w:r>
      <w:r w:rsidRPr="004030B6">
        <w:t>о</w:t>
      </w:r>
      <w:r w:rsidRPr="004030B6">
        <w:t>товкой будущих специалистов, и их ознакомления с данной темой обеспечив</w:t>
      </w:r>
      <w:r w:rsidRPr="004030B6">
        <w:t>а</w:t>
      </w:r>
      <w:r w:rsidRPr="004030B6">
        <w:t xml:space="preserve">ется публикация и распространение учебного пособия </w:t>
      </w:r>
      <w:r w:rsidR="009C6F8B">
        <w:t>"</w:t>
      </w:r>
      <w:r w:rsidRPr="004030B6">
        <w:t>Информация для вое</w:t>
      </w:r>
      <w:r w:rsidRPr="004030B6">
        <w:t>н</w:t>
      </w:r>
      <w:r w:rsidRPr="004030B6">
        <w:t>нослужащих, проходящих курс основной подготовки</w:t>
      </w:r>
      <w:r w:rsidR="009C6F8B">
        <w:t>"</w:t>
      </w:r>
      <w:r w:rsidRPr="004030B6">
        <w:t xml:space="preserve">. </w:t>
      </w:r>
    </w:p>
    <w:p w:rsidR="0086169A" w:rsidRPr="004030B6" w:rsidRDefault="0086169A" w:rsidP="0086169A">
      <w:pPr>
        <w:pStyle w:val="SingleTxtGR"/>
      </w:pPr>
      <w:r w:rsidRPr="004030B6">
        <w:t>140.</w:t>
      </w:r>
      <w:r w:rsidRPr="004030B6">
        <w:tab/>
        <w:t>При Юридической академии были организованы курсы для судей, прок</w:t>
      </w:r>
      <w:r w:rsidRPr="004030B6">
        <w:t>у</w:t>
      </w:r>
      <w:r w:rsidRPr="004030B6">
        <w:t xml:space="preserve">роров и помощников судей. В течение отчетного периода был организован ряд курсов профессиональной подготовки и семинаров, посвященных проблемам экстремизма, расизма и ксенофобии в системе уголовного правосудия и за ее пределами. В 2012 году в этих мероприятиях приняли участие 656 человек. Курсы назывались </w:t>
      </w:r>
      <w:r w:rsidR="009C6F8B">
        <w:t>"</w:t>
      </w:r>
      <w:r w:rsidRPr="004030B6">
        <w:t>Расово мотивированный экстремизм</w:t>
      </w:r>
      <w:r w:rsidR="009C6F8B">
        <w:t>"</w:t>
      </w:r>
      <w:r w:rsidRPr="004030B6">
        <w:t xml:space="preserve"> и </w:t>
      </w:r>
      <w:r w:rsidR="009C6F8B">
        <w:t>"</w:t>
      </w:r>
      <w:r w:rsidRPr="004030B6">
        <w:t>Экстремизм в е</w:t>
      </w:r>
      <w:r w:rsidRPr="004030B6">
        <w:t>в</w:t>
      </w:r>
      <w:r w:rsidRPr="004030B6">
        <w:t>ропейском контексте</w:t>
      </w:r>
      <w:r w:rsidR="009C6F8B">
        <w:t>"</w:t>
      </w:r>
      <w:r w:rsidRPr="004030B6">
        <w:t xml:space="preserve">. Вопросы, связанные с этническими меньшинствами, рассматривались также в ходе семинара на тему </w:t>
      </w:r>
      <w:r w:rsidR="009C6F8B">
        <w:t>"</w:t>
      </w:r>
      <w:r w:rsidRPr="004030B6">
        <w:t>Экстремизм: расово мотив</w:t>
      </w:r>
      <w:r w:rsidRPr="004030B6">
        <w:t>и</w:t>
      </w:r>
      <w:r w:rsidRPr="004030B6">
        <w:t>рованный экстремизм в европейском контексте</w:t>
      </w:r>
      <w:r w:rsidR="009C6F8B">
        <w:t>"</w:t>
      </w:r>
      <w:r w:rsidRPr="004030B6">
        <w:t>, в котором приняли участие 15 человек. Основное внимание было уделено следующим темам: современные проявления экстремизма; методы расследования и доказывания случаев экстр</w:t>
      </w:r>
      <w:r w:rsidRPr="004030B6">
        <w:t>е</w:t>
      </w:r>
      <w:r w:rsidRPr="004030B6">
        <w:t>мизма, включая мнения экспертов; сотрудничество между чешскими и ин</w:t>
      </w:r>
      <w:r w:rsidRPr="004030B6">
        <w:t>о</w:t>
      </w:r>
      <w:r w:rsidRPr="004030B6">
        <w:t>странными экстремистскими группами; сочувствие праворадикальным идеям со стороны подростков; зарубежный опыт; роль прокуроров; проблема безопа</w:t>
      </w:r>
      <w:r w:rsidRPr="004030B6">
        <w:t>с</w:t>
      </w:r>
      <w:r w:rsidRPr="004030B6">
        <w:t>ности в социально изолированных районах; европейские стандарты и докуме</w:t>
      </w:r>
      <w:r w:rsidRPr="004030B6">
        <w:t>н</w:t>
      </w:r>
      <w:r w:rsidRPr="004030B6">
        <w:t>ты, касающиеся праворадикального экстремизма и расово мотивированных преступлений; современные экстремистские движения в Европе; преступления на почве ненависти в европейском контексте и контексте ЧР; и другие вопросы. Для участия в некоторых мероприятиях были приглашены представители пол</w:t>
      </w:r>
      <w:r w:rsidRPr="004030B6">
        <w:t>и</w:t>
      </w:r>
      <w:r w:rsidRPr="004030B6">
        <w:t>ции, Министерства внутренних дел, Службы пробации и медиации и других в</w:t>
      </w:r>
      <w:r w:rsidRPr="004030B6">
        <w:t>е</w:t>
      </w:r>
      <w:r w:rsidRPr="004030B6">
        <w:t>домств, имеющих опыт работы по проблеме экстремизма. Функции преподав</w:t>
      </w:r>
      <w:r w:rsidRPr="004030B6">
        <w:t>а</w:t>
      </w:r>
      <w:r w:rsidRPr="004030B6">
        <w:t>телей в рамках образовательных мероприятий, непосредственно относящихся к проблеме экстремизма, выполняют судьи, прокуроры, представители Агентства по вопросам социальной интеграции, Полиции ЧР и Министерства внутренних дел, эксперты, ученые и другие специалисты. С учетом необходимости вкл</w:t>
      </w:r>
      <w:r w:rsidRPr="004030B6">
        <w:t>ю</w:t>
      </w:r>
      <w:r w:rsidRPr="004030B6">
        <w:t>чить проблемы экстремизма, расизма и ксенофобии в учебный план на пре</w:t>
      </w:r>
      <w:r w:rsidRPr="004030B6">
        <w:t>д</w:t>
      </w:r>
      <w:r w:rsidRPr="004030B6">
        <w:t>стоящие годы Юридическая академия будет обеспечивать постоянное обсужд</w:t>
      </w:r>
      <w:r w:rsidRPr="004030B6">
        <w:t>е</w:t>
      </w:r>
      <w:r w:rsidRPr="004030B6">
        <w:t>ние этих тем в рамках образовательных мероприятий; при этом будут рассма</w:t>
      </w:r>
      <w:r w:rsidRPr="004030B6">
        <w:t>т</w:t>
      </w:r>
      <w:r w:rsidRPr="004030B6">
        <w:t>риваться причины этих явлений, а также эффективные правовые меры по бор</w:t>
      </w:r>
      <w:r w:rsidRPr="004030B6">
        <w:t>ь</w:t>
      </w:r>
      <w:r w:rsidRPr="004030B6">
        <w:t>бе с ними. В 2013 году Министерство юстиции в сотрудничестве с Юридич</w:t>
      </w:r>
      <w:r w:rsidRPr="004030B6">
        <w:t>е</w:t>
      </w:r>
      <w:r w:rsidRPr="004030B6">
        <w:t>ской академией подготовило первый практикум по антидискриминационному законодательству для судей и прокуроров.</w:t>
      </w:r>
    </w:p>
    <w:p w:rsidR="0086169A" w:rsidRPr="004030B6" w:rsidRDefault="002239A6" w:rsidP="002239A6">
      <w:pPr>
        <w:pStyle w:val="H23GR"/>
      </w:pPr>
      <w:r>
        <w:tab/>
      </w:r>
      <w:r>
        <w:tab/>
      </w:r>
      <w:r w:rsidR="0086169A" w:rsidRPr="004030B6">
        <w:t>Распространение информации и ответ на пункт 22 заключительных замечаний</w:t>
      </w:r>
    </w:p>
    <w:p w:rsidR="0086169A" w:rsidRPr="004030B6" w:rsidRDefault="0086169A" w:rsidP="0086169A">
      <w:pPr>
        <w:pStyle w:val="SingleTxtGR"/>
      </w:pPr>
      <w:r w:rsidRPr="004030B6">
        <w:t>141.</w:t>
      </w:r>
      <w:r w:rsidRPr="004030B6">
        <w:tab/>
        <w:t>ЧР принимает против расистских и экстремистских преступлений не м</w:t>
      </w:r>
      <w:r w:rsidRPr="004030B6">
        <w:t>е</w:t>
      </w:r>
      <w:r w:rsidRPr="004030B6">
        <w:t>ры пресечения, но и профилактические меры. В 2013 году в дополнение к по</w:t>
      </w:r>
      <w:r w:rsidRPr="004030B6">
        <w:t>д</w:t>
      </w:r>
      <w:r w:rsidRPr="004030B6">
        <w:t>готовке гражданских служащих, сотрудников полиции и других государстве</w:t>
      </w:r>
      <w:r w:rsidRPr="004030B6">
        <w:t>н</w:t>
      </w:r>
      <w:r w:rsidRPr="004030B6">
        <w:t>ных должностных лиц правительство приступило к подготовке кампании</w:t>
      </w:r>
      <w:r w:rsidRPr="004030B6">
        <w:rPr>
          <w:vertAlign w:val="superscript"/>
        </w:rPr>
        <w:footnoteReference w:id="163"/>
      </w:r>
      <w:r w:rsidRPr="004030B6">
        <w:t xml:space="preserve"> по борьбе с расизмом и насилием на почве ненависти; координировать ее будет Агентство по вопросам социальной интеграции. Данный проект является реа</w:t>
      </w:r>
      <w:r w:rsidRPr="004030B6">
        <w:t>к</w:t>
      </w:r>
      <w:r w:rsidRPr="004030B6">
        <w:t>цией на растущие проявления экстремизма, расизма и насилия на почве нен</w:t>
      </w:r>
      <w:r w:rsidRPr="004030B6">
        <w:t>а</w:t>
      </w:r>
      <w:r w:rsidRPr="004030B6">
        <w:t>висти среди молодежи, жертвами которых зачастую становятся рома в регионах с высоким общим уровнем безработицы. Проект, предполагающий проведение общенациональной кампании в СМИ, направлен на молодых людей в возрасте 15-25 лет. Помимо этой кампании, в рамках проекта также будет вестись обр</w:t>
      </w:r>
      <w:r w:rsidRPr="004030B6">
        <w:t>а</w:t>
      </w:r>
      <w:r w:rsidRPr="004030B6">
        <w:t>зовательная и координационная деятельность</w:t>
      </w:r>
      <w:r w:rsidRPr="004030B6">
        <w:rPr>
          <w:vertAlign w:val="superscript"/>
        </w:rPr>
        <w:footnoteReference w:id="164"/>
      </w:r>
      <w:r w:rsidRPr="004030B6">
        <w:t>. Для реализации образовател</w:t>
      </w:r>
      <w:r w:rsidRPr="004030B6">
        <w:t>ь</w:t>
      </w:r>
      <w:r w:rsidRPr="004030B6">
        <w:t>ных мероприятий были выбраны Устецкий и Моравскосилезский края, поскол</w:t>
      </w:r>
      <w:r w:rsidRPr="004030B6">
        <w:t>ь</w:t>
      </w:r>
      <w:r w:rsidRPr="004030B6">
        <w:t>ку для них уже долгое время характерны высокий уровень безработицы и н</w:t>
      </w:r>
      <w:r w:rsidRPr="004030B6">
        <w:t>е</w:t>
      </w:r>
      <w:r w:rsidRPr="004030B6">
        <w:t>уверенность в завтрашнем дне, которая обусловлена трениями в отношениях между различными группами, включая проявления расизма и склонность по</w:t>
      </w:r>
      <w:r w:rsidRPr="004030B6">
        <w:t>д</w:t>
      </w:r>
      <w:r w:rsidRPr="004030B6">
        <w:t>даваться экстремистским взглядам и поддерживать экстремистские движения и политические партии. Деятельность в этих регионах будет направлена на детей в возрасте от 10 до 15 лет, которые пока еще находятся на стадии формирования своего мировоззрения, а также на представителей профессиональных групп, з</w:t>
      </w:r>
      <w:r w:rsidRPr="004030B6">
        <w:t>а</w:t>
      </w:r>
      <w:r w:rsidRPr="004030B6">
        <w:t>нимающихся практической работой по предотвращению проявлений ненависти и насилия, включая преподавателей, сотрудников полиции и представителей муниципалитетов и городов. В рамках кампании будут преимущественно и</w:t>
      </w:r>
      <w:r w:rsidRPr="004030B6">
        <w:t>с</w:t>
      </w:r>
      <w:r w:rsidRPr="004030B6">
        <w:t>пользоваться современные средства коммуникации, включая Интернет, соц</w:t>
      </w:r>
      <w:r w:rsidRPr="004030B6">
        <w:t>и</w:t>
      </w:r>
      <w:r w:rsidRPr="004030B6">
        <w:t>альные сети и сообщества. При этом ставится цель создать активное сообщес</w:t>
      </w:r>
      <w:r w:rsidRPr="004030B6">
        <w:t>т</w:t>
      </w:r>
      <w:r w:rsidRPr="004030B6">
        <w:t>во людей, ведущих борьбу против расизма в творческом и поучительном ключе. Сопутствующие мероприятия будут направлены на школьное образование в проблемных регионах</w:t>
      </w:r>
      <w:r w:rsidRPr="004030B6">
        <w:rPr>
          <w:vertAlign w:val="superscript"/>
        </w:rPr>
        <w:footnoteReference w:id="165"/>
      </w:r>
      <w:r w:rsidRPr="004030B6">
        <w:t xml:space="preserve"> и расширение информированности органов государс</w:t>
      </w:r>
      <w:r w:rsidRPr="004030B6">
        <w:t>т</w:t>
      </w:r>
      <w:r w:rsidRPr="004030B6">
        <w:t>венной власти. Кроме того, кампания будет ориентирована на распространение информации об эффективных методах работы</w:t>
      </w:r>
      <w:r w:rsidRPr="004030B6">
        <w:rPr>
          <w:vertAlign w:val="superscript"/>
        </w:rPr>
        <w:footnoteReference w:id="166"/>
      </w:r>
      <w:r w:rsidRPr="004030B6">
        <w:t>. Начало кампании запланир</w:t>
      </w:r>
      <w:r w:rsidRPr="004030B6">
        <w:t>о</w:t>
      </w:r>
      <w:r w:rsidRPr="004030B6">
        <w:t>вано на 2014 год.</w:t>
      </w:r>
    </w:p>
    <w:p w:rsidR="0086169A" w:rsidRPr="004030B6" w:rsidRDefault="0086169A" w:rsidP="0086169A">
      <w:pPr>
        <w:pStyle w:val="SingleTxtGR"/>
      </w:pPr>
      <w:r w:rsidRPr="004030B6">
        <w:t>142.</w:t>
      </w:r>
      <w:r w:rsidRPr="004030B6">
        <w:tab/>
        <w:t>Значительное влияние на общественное мнение в отношении рома оказ</w:t>
      </w:r>
      <w:r w:rsidRPr="004030B6">
        <w:t>ы</w:t>
      </w:r>
      <w:r w:rsidRPr="004030B6">
        <w:t>вают средства массовой информации. Распространение ими негативной инфо</w:t>
      </w:r>
      <w:r w:rsidRPr="004030B6">
        <w:t>р</w:t>
      </w:r>
      <w:r w:rsidRPr="004030B6">
        <w:t>мации о рома является источником негативных моделей, стереотипов, предра</w:t>
      </w:r>
      <w:r w:rsidRPr="004030B6">
        <w:t>с</w:t>
      </w:r>
      <w:r w:rsidRPr="004030B6">
        <w:t>судков и идеологий, связанных с меньшинством рома. Закон о радио- и телев</w:t>
      </w:r>
      <w:r w:rsidRPr="004030B6">
        <w:t>е</w:t>
      </w:r>
      <w:r w:rsidRPr="004030B6">
        <w:t>щании запрещает передачи дискриминационного и расистского характера. В соответствии с Законом вещательные организации обязаны разрабатывать пр</w:t>
      </w:r>
      <w:r w:rsidRPr="004030B6">
        <w:t>о</w:t>
      </w:r>
      <w:r w:rsidRPr="004030B6">
        <w:t>грамму передач таким образом, чтобы в результате формировалось сбалансир</w:t>
      </w:r>
      <w:r w:rsidRPr="004030B6">
        <w:t>о</w:t>
      </w:r>
      <w:r w:rsidRPr="004030B6">
        <w:t>ванное расписание передач для всего населения с учетом аспектов, касающихся возраста, пола, цвета кожи, убеждений, вероисповедания, политических или иных взглядов, а также национального, этнического и социального происхо</w:t>
      </w:r>
      <w:r w:rsidRPr="004030B6">
        <w:t>ж</w:t>
      </w:r>
      <w:r w:rsidRPr="004030B6">
        <w:t>дения</w:t>
      </w:r>
      <w:r w:rsidRPr="004030B6">
        <w:rPr>
          <w:vertAlign w:val="superscript"/>
        </w:rPr>
        <w:footnoteReference w:id="167"/>
      </w:r>
      <w:r w:rsidRPr="004030B6">
        <w:t>. Вещательная организация должна обеспечить, чтобы программы, в</w:t>
      </w:r>
      <w:r w:rsidRPr="004030B6">
        <w:t>ы</w:t>
      </w:r>
      <w:r w:rsidRPr="004030B6">
        <w:t>ходящие в ее эфир, не способствовали разжиганию ненависти на почве пола, расы, цвета кожи, языка, вероисповедания или убеждений, политических или иных взглядов, национального или социального происхождения, имуществе</w:t>
      </w:r>
      <w:r w:rsidRPr="004030B6">
        <w:t>н</w:t>
      </w:r>
      <w:r w:rsidRPr="004030B6">
        <w:t>ного положения, статуса при рождении или других факторов. Она не имеет пр</w:t>
      </w:r>
      <w:r w:rsidRPr="004030B6">
        <w:t>а</w:t>
      </w:r>
      <w:r w:rsidRPr="004030B6">
        <w:t>ва транслировать программы, которые могут способствовать усилению нег</w:t>
      </w:r>
      <w:r w:rsidRPr="004030B6">
        <w:t>а</w:t>
      </w:r>
      <w:r w:rsidRPr="004030B6">
        <w:t>тивных стереотипов в отношении этнических, религиозных или расовых мен</w:t>
      </w:r>
      <w:r w:rsidRPr="004030B6">
        <w:t>ь</w:t>
      </w:r>
      <w:r w:rsidRPr="004030B6">
        <w:t>шинств</w:t>
      </w:r>
      <w:r w:rsidRPr="004030B6">
        <w:rPr>
          <w:vertAlign w:val="superscript"/>
        </w:rPr>
        <w:footnoteReference w:id="168"/>
      </w:r>
      <w:r w:rsidRPr="004030B6">
        <w:t>. В 2010 году вступил в силу Закон об услугах по предоставлению а</w:t>
      </w:r>
      <w:r w:rsidRPr="004030B6">
        <w:t>у</w:t>
      </w:r>
      <w:r w:rsidRPr="004030B6">
        <w:t>диовизуальных материалов по запросу</w:t>
      </w:r>
      <w:r w:rsidRPr="004030B6">
        <w:rPr>
          <w:vertAlign w:val="superscript"/>
        </w:rPr>
        <w:footnoteReference w:id="169"/>
      </w:r>
      <w:r w:rsidRPr="004030B6">
        <w:t>. Закон также требует от организаций, предоставляющих подобные услуги, обеспечивать, чтобы они не способствов</w:t>
      </w:r>
      <w:r w:rsidRPr="004030B6">
        <w:t>а</w:t>
      </w:r>
      <w:r w:rsidRPr="004030B6">
        <w:t>ли разжиганию ненависти на почве пола, расы, цвета кожи, языка, вероиспов</w:t>
      </w:r>
      <w:r w:rsidRPr="004030B6">
        <w:t>е</w:t>
      </w:r>
      <w:r w:rsidRPr="004030B6">
        <w:t>дания или убеждений, политических или иных взглядов, национального или социального происхождения, имущественного положения, статуса при рожд</w:t>
      </w:r>
      <w:r w:rsidRPr="004030B6">
        <w:t>е</w:t>
      </w:r>
      <w:r w:rsidRPr="004030B6">
        <w:t>нии или других факторов. Общие и конкретные правила работы различных СМИ регламентируются этическими кодексами. Такие кодексы всегда основ</w:t>
      </w:r>
      <w:r w:rsidRPr="004030B6">
        <w:t>ы</w:t>
      </w:r>
      <w:r w:rsidRPr="004030B6">
        <w:t>ваются на рекомендациях Синдиката журналистов ЧР, содержат конкретное упоминание о проблемах дискриминации и защиты частной жизни и неизменно базируются на принципах открытого и свободного обмена мнениями и взгляд</w:t>
      </w:r>
      <w:r w:rsidRPr="004030B6">
        <w:t>а</w:t>
      </w:r>
      <w:r w:rsidRPr="004030B6">
        <w:t>ми. Этические кодексы большинства СМИ содержат правила, касающиеся н</w:t>
      </w:r>
      <w:r w:rsidRPr="004030B6">
        <w:t>е</w:t>
      </w:r>
      <w:r w:rsidRPr="004030B6">
        <w:t>предвзятого, сбалансированного и внимательного освещения вопросов, связа</w:t>
      </w:r>
      <w:r w:rsidRPr="004030B6">
        <w:t>н</w:t>
      </w:r>
      <w:r w:rsidRPr="004030B6">
        <w:t>ных с вышеуказанными темами.</w:t>
      </w:r>
    </w:p>
    <w:p w:rsidR="0086169A" w:rsidRPr="004030B6" w:rsidRDefault="0086169A" w:rsidP="0086169A">
      <w:pPr>
        <w:pStyle w:val="SingleTxtGR"/>
      </w:pPr>
      <w:r w:rsidRPr="004030B6">
        <w:t>143.</w:t>
      </w:r>
      <w:r w:rsidRPr="004030B6">
        <w:tab/>
        <w:t>В сентябре-октябре 2012 года в рамках совместной работы Уполномоче</w:t>
      </w:r>
      <w:r w:rsidRPr="004030B6">
        <w:t>н</w:t>
      </w:r>
      <w:r w:rsidRPr="004030B6">
        <w:t>ного по правам человека, членов Государственного совета по делам меньшинс</w:t>
      </w:r>
      <w:r w:rsidRPr="004030B6">
        <w:t>т</w:t>
      </w:r>
      <w:r w:rsidRPr="004030B6">
        <w:t>ва рома и представителей Агентства по вопросам социальной интеграции были проведены совещания с участием редакторов пяти общенациональных газет и телевизионных каналов. Целью этих совещаний был обмен информацией и с</w:t>
      </w:r>
      <w:r w:rsidRPr="004030B6">
        <w:t>о</w:t>
      </w:r>
      <w:r w:rsidRPr="004030B6">
        <w:t>вместные обсуждения вопроса о том, каким образом в этих СМИ освещается меньшинство рома и другие меньшинства. Уполномоченный вместе с членами Комиссии и Агентством обратились к редакторам с просьбой обеспечивать б</w:t>
      </w:r>
      <w:r w:rsidRPr="004030B6">
        <w:t>о</w:t>
      </w:r>
      <w:r w:rsidRPr="004030B6">
        <w:t>лее сбалансированное освещение вопросов, касающихся этнической группы рома, а также информировать свою аудиторию о положительных примерах из жизни рома и представителей других меньшинств. Редакторам была предоста</w:t>
      </w:r>
      <w:r w:rsidRPr="004030B6">
        <w:t>в</w:t>
      </w:r>
      <w:r w:rsidRPr="004030B6">
        <w:t>лена контактная информация краевых координаторов по делам рома, консул</w:t>
      </w:r>
      <w:r w:rsidRPr="004030B6">
        <w:t>ь</w:t>
      </w:r>
      <w:r w:rsidRPr="004030B6">
        <w:t>тантов Агентства на местах, поскольку они имеют возможность предоставлять в распоряжение репортеров важную информацию о положении рома на местах и формах социальной изоляции, существующих в тех или иных регионах. Н</w:t>
      </w:r>
      <w:r w:rsidRPr="004030B6">
        <w:t>е</w:t>
      </w:r>
      <w:r w:rsidRPr="004030B6">
        <w:t>посредственным положительным результатом этих совещаний стало их осв</w:t>
      </w:r>
      <w:r w:rsidRPr="004030B6">
        <w:t>е</w:t>
      </w:r>
      <w:r w:rsidRPr="004030B6">
        <w:t>щение в материалах СМИ, которые стали реакцией на их проведение</w:t>
      </w:r>
      <w:r w:rsidRPr="004030B6">
        <w:rPr>
          <w:vertAlign w:val="superscript"/>
        </w:rPr>
        <w:footnoteReference w:id="170"/>
      </w:r>
      <w:r w:rsidRPr="004030B6">
        <w:t>. Кроме того, имело место уменьшение числа неоправданных упоминаний об этнич</w:t>
      </w:r>
      <w:r w:rsidRPr="004030B6">
        <w:t>е</w:t>
      </w:r>
      <w:r w:rsidRPr="004030B6">
        <w:t>ской принадлежности тех или иных лиц в новостных передачах.</w:t>
      </w:r>
    </w:p>
    <w:p w:rsidR="0086169A" w:rsidRPr="004030B6" w:rsidRDefault="0086169A" w:rsidP="0086169A">
      <w:pPr>
        <w:pStyle w:val="SingleTxtGR"/>
      </w:pPr>
      <w:r w:rsidRPr="004030B6">
        <w:t>144.</w:t>
      </w:r>
      <w:r w:rsidRPr="004030B6">
        <w:tab/>
        <w:t>Агентство по вопросам социальной интеграции стало инициатором пр</w:t>
      </w:r>
      <w:r w:rsidRPr="004030B6">
        <w:t>о</w:t>
      </w:r>
      <w:r w:rsidRPr="004030B6">
        <w:t xml:space="preserve">ведения </w:t>
      </w:r>
      <w:r w:rsidR="009C6F8B">
        <w:t>"</w:t>
      </w:r>
      <w:r w:rsidRPr="004030B6">
        <w:t>Анализа медийного образа меньшинства рома в чешских СМИ</w:t>
      </w:r>
      <w:r w:rsidR="009C6F8B">
        <w:t>"</w:t>
      </w:r>
      <w:r w:rsidRPr="004030B6">
        <w:t>. Ц</w:t>
      </w:r>
      <w:r w:rsidRPr="004030B6">
        <w:t>е</w:t>
      </w:r>
      <w:r w:rsidRPr="004030B6">
        <w:t>лью анализа являлось выявление тематических направлений освещения жизни рома в СМИ на современном этапе, в частности в том, что касается информ</w:t>
      </w:r>
      <w:r w:rsidRPr="004030B6">
        <w:t>а</w:t>
      </w:r>
      <w:r w:rsidRPr="004030B6">
        <w:t>ции о совершении преступлений (предполагаемых и реальных) в обычных п</w:t>
      </w:r>
      <w:r w:rsidRPr="004030B6">
        <w:t>о</w:t>
      </w:r>
      <w:r w:rsidRPr="004030B6">
        <w:t xml:space="preserve">вседневных сообщениях СМИ. Предметом анализа были новостные сообщения во всех национальных и наиболее крупных региональных газетных сетях, а также на их </w:t>
      </w:r>
      <w:r w:rsidR="009C6F8B">
        <w:t>веб-сайт</w:t>
      </w:r>
      <w:r w:rsidRPr="004030B6">
        <w:t>ах. В рамках анализа был охвачен период с 1 июля 2011 г</w:t>
      </w:r>
      <w:r w:rsidRPr="004030B6">
        <w:t>о</w:t>
      </w:r>
      <w:r w:rsidRPr="004030B6">
        <w:t>да по 31 мая 2012 года и подвергнуто изучению 6252 текста о меньшинстве р</w:t>
      </w:r>
      <w:r w:rsidRPr="004030B6">
        <w:t>о</w:t>
      </w:r>
      <w:r w:rsidRPr="004030B6">
        <w:t>ма, которые были опубликованы за это время в 19 отобранных для целей анал</w:t>
      </w:r>
      <w:r w:rsidRPr="004030B6">
        <w:t>и</w:t>
      </w:r>
      <w:r w:rsidRPr="004030B6">
        <w:t xml:space="preserve">за периодических изданиях (включая газеты, </w:t>
      </w:r>
      <w:r w:rsidR="009C6F8B">
        <w:t>веб-сайт</w:t>
      </w:r>
      <w:r w:rsidRPr="004030B6">
        <w:t>ы, телевидение и радио). По результатам анализа были разработаны рекомендации, которые должны сп</w:t>
      </w:r>
      <w:r w:rsidRPr="004030B6">
        <w:t>о</w:t>
      </w:r>
      <w:r w:rsidRPr="004030B6">
        <w:t>собствовать распространению в обществе более объективной информации о рома и других меньшинствах, а именно:</w:t>
      </w:r>
    </w:p>
    <w:p w:rsidR="0086169A" w:rsidRPr="004030B6" w:rsidRDefault="0086169A" w:rsidP="002239A6">
      <w:pPr>
        <w:pStyle w:val="SingleTxtGR"/>
        <w:ind w:left="1701" w:hanging="567"/>
      </w:pPr>
      <w:r w:rsidRPr="004030B6">
        <w:tab/>
      </w:r>
      <w:r w:rsidRPr="004030B6">
        <w:rPr>
          <w:lang w:val="en-US"/>
        </w:rPr>
        <w:t>i</w:t>
      </w:r>
      <w:r w:rsidRPr="004030B6">
        <w:t>)</w:t>
      </w:r>
      <w:r w:rsidRPr="004030B6">
        <w:tab/>
        <w:t>не упоминать в сообщениях об этнической принадлежности, если она не имеет принципиального значения для изложения событий, п</w:t>
      </w:r>
      <w:r w:rsidRPr="004030B6">
        <w:t>о</w:t>
      </w:r>
      <w:r w:rsidRPr="004030B6">
        <w:t>скольку э</w:t>
      </w:r>
      <w:r w:rsidRPr="004030B6">
        <w:t>т</w:t>
      </w:r>
      <w:r w:rsidRPr="004030B6">
        <w:t>ническая принадлежность не является нейтральной категорией;</w:t>
      </w:r>
    </w:p>
    <w:p w:rsidR="0086169A" w:rsidRPr="004030B6" w:rsidRDefault="0086169A" w:rsidP="002239A6">
      <w:pPr>
        <w:pStyle w:val="SingleTxtGR"/>
        <w:ind w:left="1701" w:hanging="567"/>
      </w:pPr>
      <w:r w:rsidRPr="004030B6">
        <w:tab/>
      </w:r>
      <w:r w:rsidRPr="004030B6">
        <w:rPr>
          <w:lang w:val="en-US"/>
        </w:rPr>
        <w:t>ii</w:t>
      </w:r>
      <w:r w:rsidRPr="004030B6">
        <w:t>)</w:t>
      </w:r>
      <w:r w:rsidRPr="004030B6">
        <w:tab/>
        <w:t>не навязывать аудитории темы, связанные с преступностью среди рома, обеспечивать тщательное освещение преступлений вне зависим</w:t>
      </w:r>
      <w:r w:rsidRPr="004030B6">
        <w:t>о</w:t>
      </w:r>
      <w:r w:rsidRPr="004030B6">
        <w:t>сти от этнической принадлежности совершивших их лиц, уделяя осно</w:t>
      </w:r>
      <w:r w:rsidRPr="004030B6">
        <w:t>в</w:t>
      </w:r>
      <w:r w:rsidRPr="004030B6">
        <w:t xml:space="preserve">ное внимание серьезности преступления и его значимости для СМИ; </w:t>
      </w:r>
    </w:p>
    <w:p w:rsidR="0086169A" w:rsidRPr="004030B6" w:rsidRDefault="0086169A" w:rsidP="002239A6">
      <w:pPr>
        <w:pStyle w:val="SingleTxtGR"/>
        <w:ind w:left="1701" w:hanging="567"/>
      </w:pPr>
      <w:r w:rsidRPr="004030B6">
        <w:tab/>
      </w:r>
      <w:r w:rsidRPr="004030B6">
        <w:rPr>
          <w:lang w:val="en-US"/>
        </w:rPr>
        <w:t>iii</w:t>
      </w:r>
      <w:r w:rsidRPr="004030B6">
        <w:t>)</w:t>
      </w:r>
      <w:r w:rsidRPr="004030B6">
        <w:tab/>
        <w:t>сообщать о рома в более широком контексте, а также в контексте той ситуации, в которой находится тот или иной индивидуум;</w:t>
      </w:r>
    </w:p>
    <w:p w:rsidR="0086169A" w:rsidRPr="004030B6" w:rsidRDefault="0086169A" w:rsidP="002239A6">
      <w:pPr>
        <w:pStyle w:val="SingleTxtGR"/>
        <w:ind w:left="1701" w:hanging="567"/>
      </w:pPr>
      <w:r w:rsidRPr="004030B6">
        <w:tab/>
      </w:r>
      <w:r w:rsidRPr="004030B6">
        <w:rPr>
          <w:lang w:val="en-US"/>
        </w:rPr>
        <w:t>iv</w:t>
      </w:r>
      <w:r w:rsidRPr="004030B6">
        <w:t>)</w:t>
      </w:r>
      <w:r w:rsidRPr="004030B6">
        <w:tab/>
        <w:t>не делать обобщений в контексте сообщений об отдельных лицах из числа рома, а также других меньшинств;</w:t>
      </w:r>
    </w:p>
    <w:p w:rsidR="0086169A" w:rsidRPr="004030B6" w:rsidRDefault="0086169A" w:rsidP="002239A6">
      <w:pPr>
        <w:pStyle w:val="SingleTxtGR"/>
        <w:ind w:left="1701" w:hanging="567"/>
      </w:pPr>
      <w:r w:rsidRPr="004030B6">
        <w:tab/>
      </w:r>
      <w:r w:rsidRPr="004030B6">
        <w:rPr>
          <w:lang w:val="en-US"/>
        </w:rPr>
        <w:t>v</w:t>
      </w:r>
      <w:r w:rsidRPr="004030B6">
        <w:t>)</w:t>
      </w:r>
      <w:r w:rsidRPr="004030B6">
        <w:tab/>
        <w:t>обеспечивать разнообразие тем и событий, в связи с которыми в СМИ появляются сообщения о рома (и представителях других мен</w:t>
      </w:r>
      <w:r w:rsidRPr="004030B6">
        <w:t>ь</w:t>
      </w:r>
      <w:r w:rsidRPr="004030B6">
        <w:t>шинств), не ограничиваться одним и тем же узким кругом тем и отказат</w:t>
      </w:r>
      <w:r w:rsidRPr="004030B6">
        <w:t>ь</w:t>
      </w:r>
      <w:r w:rsidRPr="004030B6">
        <w:t>ся от автоматического копирования сообщений о меньшинствах с лент новостных агентств;</w:t>
      </w:r>
    </w:p>
    <w:p w:rsidR="0086169A" w:rsidRPr="004030B6" w:rsidRDefault="0086169A" w:rsidP="002239A6">
      <w:pPr>
        <w:pStyle w:val="SingleTxtGR"/>
        <w:ind w:left="1701" w:hanging="567"/>
      </w:pPr>
      <w:r w:rsidRPr="004030B6">
        <w:tab/>
      </w:r>
      <w:r w:rsidRPr="004030B6">
        <w:rPr>
          <w:lang w:val="en-US"/>
        </w:rPr>
        <w:t>vi</w:t>
      </w:r>
      <w:r w:rsidRPr="004030B6">
        <w:t>)</w:t>
      </w:r>
      <w:r w:rsidRPr="004030B6">
        <w:tab/>
        <w:t>использовать в качестве источника информации самих представ</w:t>
      </w:r>
      <w:r w:rsidRPr="004030B6">
        <w:t>и</w:t>
      </w:r>
      <w:r w:rsidRPr="004030B6">
        <w:t>телей общин, не допуская, чтобы от их имени выступали полицейские, мэры, социальные работники или другие представители;</w:t>
      </w:r>
    </w:p>
    <w:p w:rsidR="0086169A" w:rsidRPr="004030B6" w:rsidRDefault="0086169A" w:rsidP="002239A6">
      <w:pPr>
        <w:pStyle w:val="SingleTxtGR"/>
        <w:ind w:left="1701" w:hanging="567"/>
      </w:pPr>
      <w:r w:rsidRPr="004030B6">
        <w:tab/>
      </w:r>
      <w:r w:rsidRPr="004030B6">
        <w:rPr>
          <w:lang w:val="en-US"/>
        </w:rPr>
        <w:t>vii</w:t>
      </w:r>
      <w:r w:rsidRPr="004030B6">
        <w:t>)</w:t>
      </w:r>
      <w:r w:rsidRPr="004030B6">
        <w:tab/>
        <w:t>проявлять осторожность при цитировании политиков и граждан, которым может быть свойственна склонность к популизму и ксенофо</w:t>
      </w:r>
      <w:r w:rsidRPr="004030B6">
        <w:t>б</w:t>
      </w:r>
      <w:r w:rsidRPr="004030B6">
        <w:t>ским заявлениям, не оставлять без комментариев расистские и ксенофо</w:t>
      </w:r>
      <w:r w:rsidRPr="004030B6">
        <w:t>б</w:t>
      </w:r>
      <w:r w:rsidRPr="004030B6">
        <w:t>ские заявл</w:t>
      </w:r>
      <w:r w:rsidRPr="004030B6">
        <w:t>е</w:t>
      </w:r>
      <w:r w:rsidRPr="004030B6">
        <w:t>ния, а также не давать хода мнениям, объективно унижающим людей на осн</w:t>
      </w:r>
      <w:r w:rsidRPr="004030B6">
        <w:t>о</w:t>
      </w:r>
      <w:r w:rsidRPr="004030B6">
        <w:t>вании их расы, вероисповедания или убеждений;</w:t>
      </w:r>
    </w:p>
    <w:p w:rsidR="0086169A" w:rsidRPr="004030B6" w:rsidRDefault="0086169A" w:rsidP="002239A6">
      <w:pPr>
        <w:pStyle w:val="SingleTxtGR"/>
        <w:ind w:left="1701" w:hanging="567"/>
      </w:pPr>
      <w:r w:rsidRPr="004030B6">
        <w:tab/>
      </w:r>
      <w:r w:rsidRPr="004030B6">
        <w:rPr>
          <w:lang w:val="en-US"/>
        </w:rPr>
        <w:t>viii</w:t>
      </w:r>
      <w:r w:rsidRPr="004030B6">
        <w:t>)</w:t>
      </w:r>
      <w:r w:rsidRPr="004030B6">
        <w:tab/>
        <w:t>надлежащим образом дистанцироваться от событий в любой ситу</w:t>
      </w:r>
      <w:r w:rsidRPr="004030B6">
        <w:t>а</w:t>
      </w:r>
      <w:r w:rsidRPr="004030B6">
        <w:t>ции, не допускать способствующего возникновению розни взгляда на с</w:t>
      </w:r>
      <w:r w:rsidRPr="004030B6">
        <w:t>о</w:t>
      </w:r>
      <w:r w:rsidRPr="004030B6">
        <w:t xml:space="preserve">бытия по принципу </w:t>
      </w:r>
      <w:r w:rsidR="009C6F8B">
        <w:t>"</w:t>
      </w:r>
      <w:r w:rsidRPr="004030B6">
        <w:t>мы - они</w:t>
      </w:r>
      <w:r w:rsidR="009C6F8B">
        <w:t>"</w:t>
      </w:r>
      <w:r w:rsidRPr="004030B6">
        <w:t xml:space="preserve"> (т.е. большинство против меньшинства) и не строить репортажи на основе отождествления себя с большинством в противовес меньшинству, а стремиться вместо этого к одинаковому о</w:t>
      </w:r>
      <w:r w:rsidRPr="004030B6">
        <w:t>т</w:t>
      </w:r>
      <w:r w:rsidRPr="004030B6">
        <w:t>ношению ко всем учас</w:t>
      </w:r>
      <w:r w:rsidRPr="004030B6">
        <w:t>т</w:t>
      </w:r>
      <w:r w:rsidRPr="004030B6">
        <w:t>никам ситуации.</w:t>
      </w:r>
    </w:p>
    <w:p w:rsidR="0086169A" w:rsidRPr="004030B6" w:rsidRDefault="0086169A" w:rsidP="0086169A">
      <w:pPr>
        <w:pStyle w:val="SingleTxtGR"/>
      </w:pPr>
      <w:r w:rsidRPr="004030B6">
        <w:t>145.</w:t>
      </w:r>
      <w:r w:rsidRPr="004030B6">
        <w:tab/>
        <w:t>В течение отчетного периода уделялось внимание вопросу о Холокосте рома, а также увековечению памяти жертв бывших лагерей для рома, распол</w:t>
      </w:r>
      <w:r w:rsidRPr="004030B6">
        <w:t>о</w:t>
      </w:r>
      <w:r w:rsidRPr="004030B6">
        <w:t>женных в Лети близ Писека и Ходонине близ Кунштата. Мемориальный ко</w:t>
      </w:r>
      <w:r w:rsidRPr="004030B6">
        <w:t>м</w:t>
      </w:r>
      <w:r w:rsidRPr="004030B6">
        <w:t xml:space="preserve">плекс в Лети, посвященный Холокосту рома, теперь находится под управлением организации </w:t>
      </w:r>
      <w:r w:rsidR="009C6F8B">
        <w:t>"</w:t>
      </w:r>
      <w:r w:rsidRPr="004030B6">
        <w:t>Мемориал Лидице</w:t>
      </w:r>
      <w:r w:rsidR="009C6F8B">
        <w:t>"</w:t>
      </w:r>
      <w:r w:rsidRPr="004030B6">
        <w:t>, которая финансируется государством. В ее задачи входит сохранение уцелевших свидетельств страданий рома, интернир</w:t>
      </w:r>
      <w:r w:rsidRPr="004030B6">
        <w:t>о</w:t>
      </w:r>
      <w:r w:rsidRPr="004030B6">
        <w:t>ванных в бывшем лагере для рома в Лети близ Писека, включая уход за терр</w:t>
      </w:r>
      <w:r w:rsidRPr="004030B6">
        <w:t>и</w:t>
      </w:r>
      <w:r w:rsidRPr="004030B6">
        <w:t>торией Мемориального комплекса. Деятельность Мемориального комплекса, в частности, включает в себя обеспечение функционирования постоянных эксп</w:t>
      </w:r>
      <w:r w:rsidRPr="004030B6">
        <w:t>о</w:t>
      </w:r>
      <w:r w:rsidRPr="004030B6">
        <w:t>зиций и выставок</w:t>
      </w:r>
      <w:r w:rsidRPr="004030B6">
        <w:rPr>
          <w:vertAlign w:val="superscript"/>
        </w:rPr>
        <w:footnoteReference w:id="171"/>
      </w:r>
      <w:r w:rsidRPr="004030B6">
        <w:t>, а также проведение памятных мероприятий</w:t>
      </w:r>
      <w:r w:rsidRPr="004030B6">
        <w:rPr>
          <w:vertAlign w:val="superscript"/>
        </w:rPr>
        <w:footnoteReference w:id="172"/>
      </w:r>
      <w:r w:rsidRPr="004030B6">
        <w:t>. В 2012 году была зарегистрирована самая высокая посещаемость Мемориального комплекса в Лети близ Писека с момента его открытия: его посетили 11 963 человека. Т</w:t>
      </w:r>
      <w:r w:rsidRPr="004030B6">
        <w:t>а</w:t>
      </w:r>
      <w:r w:rsidRPr="004030B6">
        <w:t xml:space="preserve">кая высокая посещаемость является свидетельством интереса к теме Холокоста рома, а также результативности информационной работы организации </w:t>
      </w:r>
      <w:r w:rsidR="009C6F8B">
        <w:t>"</w:t>
      </w:r>
      <w:r w:rsidRPr="004030B6">
        <w:t>Мем</w:t>
      </w:r>
      <w:r w:rsidRPr="004030B6">
        <w:t>о</w:t>
      </w:r>
      <w:r w:rsidRPr="004030B6">
        <w:t>риал Лидице</w:t>
      </w:r>
      <w:r w:rsidR="009C6F8B">
        <w:t>"</w:t>
      </w:r>
      <w:r w:rsidRPr="004030B6">
        <w:t>. Мемориальный комплекс в память о Холокосте рома в Ходонине близ Кунштата был создан под управлением Национального педагогического музея и Библиотеки им. Я.А. Комениуса в Праге. Целью деятельности Мемор</w:t>
      </w:r>
      <w:r w:rsidRPr="004030B6">
        <w:t>и</w:t>
      </w:r>
      <w:r w:rsidRPr="004030B6">
        <w:t>ального комплекса является образовательная и информационная деятельность, касающаяся Холокоста рома, в свете Холокоста евреев и истории чешского н</w:t>
      </w:r>
      <w:r w:rsidRPr="004030B6">
        <w:t>а</w:t>
      </w:r>
      <w:r w:rsidRPr="004030B6">
        <w:t>рода в период Второй мировой войны. Мемориальный комплекс особенно х</w:t>
      </w:r>
      <w:r w:rsidRPr="004030B6">
        <w:t>о</w:t>
      </w:r>
      <w:r w:rsidRPr="004030B6">
        <w:t xml:space="preserve">рошо подходит для проведения неформальных образовательных мероприятий для молодежи. По случаю церемонии открытия Мемориального комплекса была организована временная выставка, рассказывающая об истории объекта, планах будущего расширения, а также о различных аспектах Холокоста рома в ходе Второй мировой войны средствами выставки </w:t>
      </w:r>
      <w:r w:rsidR="009C6F8B">
        <w:t>"</w:t>
      </w:r>
      <w:r w:rsidRPr="004030B6">
        <w:rPr>
          <w:lang w:val="en-US"/>
        </w:rPr>
        <w:t>Porrajmos</w:t>
      </w:r>
      <w:r w:rsidR="009C6F8B">
        <w:t>"</w:t>
      </w:r>
      <w:r w:rsidRPr="004030B6">
        <w:t>, предоставленной о</w:t>
      </w:r>
      <w:r w:rsidRPr="004030B6">
        <w:t>р</w:t>
      </w:r>
      <w:r w:rsidRPr="004030B6">
        <w:t xml:space="preserve">ганизацией </w:t>
      </w:r>
      <w:r w:rsidR="009C6F8B">
        <w:t>"</w:t>
      </w:r>
      <w:r w:rsidRPr="004030B6">
        <w:t>Мемориал Лидице</w:t>
      </w:r>
      <w:r w:rsidR="009C6F8B">
        <w:t>"</w:t>
      </w:r>
      <w:r w:rsidRPr="004030B6">
        <w:t>. Здание Мемориального комплекса было о</w:t>
      </w:r>
      <w:r w:rsidRPr="004030B6">
        <w:t>т</w:t>
      </w:r>
      <w:r w:rsidRPr="004030B6">
        <w:t>крыто 19 августа 2012 года с участием Министра по делам образования, мол</w:t>
      </w:r>
      <w:r w:rsidRPr="004030B6">
        <w:t>о</w:t>
      </w:r>
      <w:r w:rsidRPr="004030B6">
        <w:t>дежи и спорта и многих других гостей; это событие вызвало значительный и</w:t>
      </w:r>
      <w:r w:rsidRPr="004030B6">
        <w:t>н</w:t>
      </w:r>
      <w:r w:rsidRPr="004030B6">
        <w:t>терес со стороны СМИ.</w:t>
      </w:r>
    </w:p>
    <w:p w:rsidR="0086169A" w:rsidRPr="0086169A" w:rsidRDefault="0086169A" w:rsidP="0086169A">
      <w:pPr>
        <w:spacing w:before="240"/>
        <w:jc w:val="center"/>
        <w:rPr>
          <w:u w:val="single"/>
        </w:rPr>
      </w:pPr>
      <w:r>
        <w:rPr>
          <w:u w:val="single"/>
        </w:rPr>
        <w:tab/>
      </w:r>
      <w:r>
        <w:rPr>
          <w:u w:val="single"/>
        </w:rPr>
        <w:tab/>
      </w:r>
      <w:r>
        <w:rPr>
          <w:u w:val="single"/>
        </w:rPr>
        <w:tab/>
      </w:r>
    </w:p>
    <w:sectPr w:rsidR="0086169A" w:rsidRPr="0086169A" w:rsidSect="007511D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887" w:rsidRDefault="00556887">
      <w:r>
        <w:rPr>
          <w:lang w:val="en-US"/>
        </w:rPr>
        <w:tab/>
      </w:r>
      <w:r>
        <w:separator/>
      </w:r>
    </w:p>
  </w:endnote>
  <w:endnote w:type="continuationSeparator" w:id="0">
    <w:p w:rsidR="00556887" w:rsidRDefault="005568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C9" w:rsidRPr="00AB0B64" w:rsidRDefault="00BD55C9">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24383C">
      <w:rPr>
        <w:rStyle w:val="PageNumber"/>
        <w:noProof/>
      </w:rPr>
      <w:t>66</w:t>
    </w:r>
    <w:r>
      <w:rPr>
        <w:rStyle w:val="PageNumber"/>
      </w:rPr>
      <w:fldChar w:fldCharType="end"/>
    </w:r>
    <w:r>
      <w:rPr>
        <w:lang w:val="en-US"/>
      </w:rPr>
      <w:tab/>
      <w:t>GE.1</w:t>
    </w:r>
    <w:r>
      <w:rPr>
        <w:lang w:val="ru-RU"/>
      </w:rPr>
      <w:t>4</w:t>
    </w:r>
    <w:r>
      <w:rPr>
        <w:lang w:val="en-US"/>
      </w:rPr>
      <w:t>-</w:t>
    </w:r>
    <w:r>
      <w:rPr>
        <w:lang w:val="ru-RU"/>
      </w:rPr>
      <w:t>42094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C9" w:rsidRPr="009A6F4A" w:rsidRDefault="00BD55C9">
    <w:pPr>
      <w:pStyle w:val="Footer"/>
      <w:rPr>
        <w:lang w:val="en-US"/>
      </w:rPr>
    </w:pPr>
    <w:r>
      <w:rPr>
        <w:lang w:val="en-US"/>
      </w:rPr>
      <w:t>GE.1</w:t>
    </w:r>
    <w:r>
      <w:rPr>
        <w:lang w:val="ru-RU"/>
      </w:rPr>
      <w:t>4</w:t>
    </w:r>
    <w:r>
      <w:rPr>
        <w:lang w:val="en-US"/>
      </w:rPr>
      <w:t>-</w:t>
    </w:r>
    <w:r>
      <w:rPr>
        <w:lang w:val="ru-RU"/>
      </w:rPr>
      <w:t>42094</w:t>
    </w:r>
    <w:r>
      <w:rPr>
        <w:lang w:val="en-US"/>
      </w:rPr>
      <w:tab/>
    </w:r>
    <w:r>
      <w:rPr>
        <w:rStyle w:val="PageNumber"/>
      </w:rPr>
      <w:fldChar w:fldCharType="begin"/>
    </w:r>
    <w:r>
      <w:rPr>
        <w:rStyle w:val="PageNumber"/>
      </w:rPr>
      <w:instrText xml:space="preserve"> PAGE </w:instrText>
    </w:r>
    <w:r>
      <w:rPr>
        <w:rStyle w:val="PageNumber"/>
      </w:rPr>
      <w:fldChar w:fldCharType="separate"/>
    </w:r>
    <w:r w:rsidR="0024383C">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bottom w:val="none" w:sz="0" w:space="0" w:color="auto"/>
      </w:tblBorders>
      <w:tblLook w:val="01E0"/>
    </w:tblPr>
    <w:tblGrid>
      <w:gridCol w:w="3979"/>
      <w:gridCol w:w="4655"/>
      <w:gridCol w:w="1221"/>
    </w:tblGrid>
    <w:tr w:rsidR="00BD55C9" w:rsidTr="00BB2D63">
      <w:trPr>
        <w:cnfStyle w:val="100000000000"/>
        <w:trHeight w:val="438"/>
      </w:trPr>
      <w:tc>
        <w:tcPr>
          <w:tcW w:w="4068" w:type="dxa"/>
          <w:vAlign w:val="bottom"/>
        </w:tcPr>
        <w:p w:rsidR="00BD55C9" w:rsidRPr="00D24875" w:rsidRDefault="00BD55C9" w:rsidP="00BB2D63">
          <w:pPr>
            <w:rPr>
              <w:sz w:val="20"/>
            </w:rPr>
          </w:pPr>
          <w:r>
            <w:rPr>
              <w:sz w:val="20"/>
              <w:lang w:val="en-US"/>
            </w:rPr>
            <w:t>GE.14</w:t>
          </w:r>
          <w:r w:rsidRPr="00D24875">
            <w:rPr>
              <w:sz w:val="20"/>
              <w:lang w:val="en-US"/>
            </w:rPr>
            <w:t>-</w:t>
          </w:r>
          <w:r>
            <w:rPr>
              <w:sz w:val="20"/>
              <w:lang w:val="en-US"/>
            </w:rPr>
            <w:t>42094</w:t>
          </w:r>
          <w:r w:rsidRPr="00D24875">
            <w:rPr>
              <w:sz w:val="20"/>
              <w:lang w:val="en-US"/>
            </w:rPr>
            <w:t xml:space="preserve">   (R)</w:t>
          </w:r>
          <w:r>
            <w:rPr>
              <w:sz w:val="20"/>
              <w:lang w:val="en-US"/>
            </w:rPr>
            <w:t xml:space="preserve">   021014   031014</w:t>
          </w:r>
        </w:p>
      </w:tc>
      <w:tc>
        <w:tcPr>
          <w:tcW w:w="4663" w:type="dxa"/>
          <w:vMerge w:val="restart"/>
          <w:vAlign w:val="bottom"/>
        </w:tcPr>
        <w:p w:rsidR="00BD55C9" w:rsidRDefault="00BD55C9" w:rsidP="00BB2D63">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BD55C9" w:rsidRDefault="00BD55C9" w:rsidP="00BB2D63">
          <w:pPr>
            <w:jc w:val="right"/>
          </w:pPr>
          <w:r>
            <w:pict>
              <v:shape id="_x0000_i1027" type="#_x0000_t75" style="width:50.25pt;height:50.25pt">
                <v:imagedata r:id="rId2" o:title="10-11&amp;Size=2&amp;Lang=R"/>
              </v:shape>
            </w:pict>
          </w:r>
        </w:p>
      </w:tc>
    </w:tr>
    <w:tr w:rsidR="00BD55C9" w:rsidRPr="00797A78" w:rsidTr="00BB2D63">
      <w:tc>
        <w:tcPr>
          <w:tcW w:w="4068" w:type="dxa"/>
          <w:vAlign w:val="bottom"/>
        </w:tcPr>
        <w:p w:rsidR="00BD55C9" w:rsidRPr="00CB796C" w:rsidRDefault="00BD55C9" w:rsidP="00BB2D63">
          <w:pPr>
            <w:rPr>
              <w:rFonts w:ascii="C39T30Lfz" w:hAnsi="C39T30Lfz"/>
              <w:spacing w:val="0"/>
              <w:w w:val="100"/>
              <w:kern w:val="0"/>
              <w:sz w:val="56"/>
              <w:szCs w:val="56"/>
              <w:lang w:val="en-US" w:eastAsia="ru-RU"/>
            </w:rPr>
          </w:pPr>
          <w:r w:rsidRPr="00CB796C">
            <w:rPr>
              <w:rFonts w:ascii="C39T30Lfz" w:hAnsi="C39T30Lfz"/>
              <w:spacing w:val="0"/>
              <w:w w:val="100"/>
              <w:kern w:val="0"/>
              <w:sz w:val="56"/>
              <w:szCs w:val="56"/>
              <w:lang w:val="en-US" w:eastAsia="ru-RU"/>
            </w:rPr>
            <w:t></w:t>
          </w:r>
          <w:r w:rsidRPr="00CB796C">
            <w:rPr>
              <w:rFonts w:ascii="C39T30Lfz" w:hAnsi="C39T30Lfz"/>
              <w:spacing w:val="0"/>
              <w:w w:val="100"/>
              <w:kern w:val="0"/>
              <w:sz w:val="56"/>
              <w:szCs w:val="56"/>
              <w:lang w:val="en-US" w:eastAsia="ru-RU"/>
            </w:rPr>
            <w:t></w:t>
          </w:r>
          <w:r w:rsidRPr="00CB796C">
            <w:rPr>
              <w:rFonts w:ascii="C39T30Lfz" w:hAnsi="C39T30Lfz"/>
              <w:spacing w:val="0"/>
              <w:w w:val="100"/>
              <w:kern w:val="0"/>
              <w:sz w:val="56"/>
              <w:szCs w:val="56"/>
              <w:lang w:val="en-US" w:eastAsia="ru-RU"/>
            </w:rPr>
            <w:t></w:t>
          </w:r>
          <w:r w:rsidRPr="00CB796C">
            <w:rPr>
              <w:rFonts w:ascii="C39T30Lfz" w:hAnsi="C39T30Lfz"/>
              <w:spacing w:val="0"/>
              <w:w w:val="100"/>
              <w:kern w:val="0"/>
              <w:sz w:val="56"/>
              <w:szCs w:val="56"/>
              <w:lang w:val="en-US" w:eastAsia="ru-RU"/>
            </w:rPr>
            <w:t></w:t>
          </w:r>
          <w:r w:rsidRPr="00CB796C">
            <w:rPr>
              <w:rFonts w:ascii="C39T30Lfz" w:hAnsi="C39T30Lfz"/>
              <w:spacing w:val="0"/>
              <w:w w:val="100"/>
              <w:kern w:val="0"/>
              <w:sz w:val="56"/>
              <w:szCs w:val="56"/>
              <w:lang w:val="en-US" w:eastAsia="ru-RU"/>
            </w:rPr>
            <w:t></w:t>
          </w:r>
          <w:r w:rsidRPr="00CB796C">
            <w:rPr>
              <w:rFonts w:ascii="C39T30Lfz" w:hAnsi="C39T30Lfz"/>
              <w:spacing w:val="0"/>
              <w:w w:val="100"/>
              <w:kern w:val="0"/>
              <w:sz w:val="56"/>
              <w:szCs w:val="56"/>
              <w:lang w:val="en-US" w:eastAsia="ru-RU"/>
            </w:rPr>
            <w:t></w:t>
          </w:r>
          <w:r w:rsidRPr="00CB796C">
            <w:rPr>
              <w:rFonts w:ascii="C39T30Lfz" w:hAnsi="C39T30Lfz"/>
              <w:spacing w:val="0"/>
              <w:w w:val="100"/>
              <w:kern w:val="0"/>
              <w:sz w:val="56"/>
              <w:szCs w:val="56"/>
              <w:lang w:val="en-US" w:eastAsia="ru-RU"/>
            </w:rPr>
            <w:t></w:t>
          </w:r>
          <w:r w:rsidRPr="00CB796C">
            <w:rPr>
              <w:rFonts w:ascii="C39T30Lfz" w:hAnsi="C39T30Lfz"/>
              <w:spacing w:val="0"/>
              <w:w w:val="100"/>
              <w:kern w:val="0"/>
              <w:sz w:val="56"/>
              <w:szCs w:val="56"/>
              <w:lang w:val="en-US" w:eastAsia="ru-RU"/>
            </w:rPr>
            <w:t></w:t>
          </w:r>
          <w:r w:rsidRPr="00CB796C">
            <w:rPr>
              <w:rFonts w:ascii="C39T30Lfz" w:hAnsi="C39T30Lfz"/>
              <w:spacing w:val="0"/>
              <w:w w:val="100"/>
              <w:kern w:val="0"/>
              <w:sz w:val="56"/>
              <w:szCs w:val="56"/>
              <w:lang w:val="en-US" w:eastAsia="ru-RU"/>
            </w:rPr>
            <w:t></w:t>
          </w:r>
        </w:p>
      </w:tc>
      <w:tc>
        <w:tcPr>
          <w:tcW w:w="4663" w:type="dxa"/>
          <w:vMerge/>
        </w:tcPr>
        <w:p w:rsidR="00BD55C9" w:rsidRDefault="00BD55C9" w:rsidP="00BB2D63"/>
      </w:tc>
      <w:tc>
        <w:tcPr>
          <w:tcW w:w="1124" w:type="dxa"/>
          <w:vMerge/>
        </w:tcPr>
        <w:p w:rsidR="00BD55C9" w:rsidRDefault="00BD55C9" w:rsidP="00BB2D63"/>
      </w:tc>
    </w:tr>
  </w:tbl>
  <w:p w:rsidR="00BD55C9" w:rsidRDefault="00BD55C9" w:rsidP="00D24875">
    <w:pPr>
      <w:spacing w:line="240" w:lineRule="auto"/>
      <w:rPr>
        <w:sz w:val="2"/>
        <w:szCs w:val="2"/>
        <w:lang w:val="en-US"/>
      </w:rPr>
    </w:pPr>
  </w:p>
  <w:p w:rsidR="00BD55C9" w:rsidRDefault="00BD55C9" w:rsidP="00B7014E">
    <w:pPr>
      <w:pStyle w:val="Footer"/>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887" w:rsidRPr="00F71F63" w:rsidRDefault="00556887"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556887" w:rsidRPr="00F71F63" w:rsidRDefault="00556887" w:rsidP="00635E86">
      <w:pPr>
        <w:tabs>
          <w:tab w:val="right" w:pos="2155"/>
        </w:tabs>
        <w:spacing w:after="80" w:line="240" w:lineRule="auto"/>
        <w:rPr>
          <w:u w:val="single"/>
          <w:lang w:val="en-US"/>
        </w:rPr>
      </w:pPr>
      <w:r w:rsidRPr="00F71F63">
        <w:rPr>
          <w:u w:val="single"/>
          <w:lang w:val="en-US"/>
        </w:rPr>
        <w:tab/>
      </w:r>
    </w:p>
    <w:p w:rsidR="00556887" w:rsidRPr="00635E86" w:rsidRDefault="00556887" w:rsidP="00635E86">
      <w:pPr>
        <w:pStyle w:val="Footer"/>
      </w:pPr>
    </w:p>
  </w:footnote>
  <w:footnote w:id="1">
    <w:p w:rsidR="00BD55C9" w:rsidRPr="00D577AF" w:rsidRDefault="00BD55C9">
      <w:pPr>
        <w:pStyle w:val="FootnoteText"/>
        <w:rPr>
          <w:sz w:val="20"/>
          <w:lang w:val="ru-RU"/>
        </w:rPr>
      </w:pPr>
      <w:r>
        <w:tab/>
      </w:r>
      <w:r w:rsidRPr="00D577AF">
        <w:rPr>
          <w:rStyle w:val="FootnoteReference"/>
          <w:sz w:val="20"/>
          <w:lang w:val="ru-RU"/>
        </w:rPr>
        <w:t>*</w:t>
      </w:r>
      <w:r w:rsidRPr="00D577AF">
        <w:rPr>
          <w:sz w:val="20"/>
          <w:lang w:val="ru-RU"/>
        </w:rPr>
        <w:tab/>
      </w:r>
      <w:r w:rsidRPr="00D577AF">
        <w:rPr>
          <w:lang w:val="ru-RU"/>
        </w:rPr>
        <w:t>Настоящий документ выпускается без официального редактирования.</w:t>
      </w:r>
    </w:p>
  </w:footnote>
  <w:footnote w:id="2">
    <w:p w:rsidR="00BD55C9" w:rsidRPr="00782828" w:rsidRDefault="00BD55C9">
      <w:pPr>
        <w:pStyle w:val="FootnoteText"/>
        <w:rPr>
          <w:lang w:val="ru-RU"/>
        </w:rPr>
      </w:pPr>
      <w:r>
        <w:rPr>
          <w:lang w:val="ru-RU"/>
        </w:rPr>
        <w:tab/>
      </w:r>
      <w:r w:rsidRPr="00782828">
        <w:rPr>
          <w:rStyle w:val="FootnoteReference"/>
          <w:lang w:val="ru-RU"/>
        </w:rPr>
        <w:t>**</w:t>
      </w:r>
      <w:r>
        <w:rPr>
          <w:lang w:val="ru-RU"/>
        </w:rPr>
        <w:tab/>
      </w:r>
      <w:r w:rsidRPr="00782828">
        <w:rPr>
          <w:lang w:val="ru-RU"/>
        </w:rPr>
        <w:t>С приложениями можно ознакомиться в архивах секретариата.</w:t>
      </w:r>
    </w:p>
  </w:footnote>
  <w:footnote w:id="3">
    <w:p w:rsidR="00BD55C9" w:rsidRPr="0025163A" w:rsidRDefault="00BD55C9" w:rsidP="0066153C">
      <w:pPr>
        <w:pStyle w:val="FootnoteText"/>
        <w:spacing w:line="240" w:lineRule="auto"/>
        <w:rPr>
          <w:szCs w:val="18"/>
          <w:lang w:val="ru-RU"/>
        </w:rPr>
      </w:pPr>
      <w:r>
        <w:tab/>
      </w:r>
      <w:r>
        <w:rPr>
          <w:rStyle w:val="FootnoteReference"/>
        </w:rPr>
        <w:footnoteRef/>
      </w:r>
      <w:r w:rsidRPr="00E46DE5">
        <w:rPr>
          <w:lang w:val="ru-RU"/>
        </w:rPr>
        <w:tab/>
      </w:r>
      <w:r w:rsidRPr="0025163A">
        <w:rPr>
          <w:szCs w:val="18"/>
          <w:lang w:val="ru-RU"/>
        </w:rPr>
        <w:t xml:space="preserve">Подробную информацию см. в документе </w:t>
      </w:r>
      <w:r w:rsidRPr="0025163A">
        <w:rPr>
          <w:szCs w:val="18"/>
        </w:rPr>
        <w:t>HRI</w:t>
      </w:r>
      <w:r w:rsidRPr="0025163A">
        <w:rPr>
          <w:szCs w:val="18"/>
          <w:lang w:val="ru-RU"/>
        </w:rPr>
        <w:t>/</w:t>
      </w:r>
      <w:r w:rsidRPr="0025163A">
        <w:rPr>
          <w:szCs w:val="18"/>
        </w:rPr>
        <w:t>CORE</w:t>
      </w:r>
      <w:r w:rsidRPr="0025163A">
        <w:rPr>
          <w:szCs w:val="18"/>
          <w:lang w:val="ru-RU"/>
        </w:rPr>
        <w:t>/</w:t>
      </w:r>
      <w:r w:rsidRPr="0025163A">
        <w:rPr>
          <w:szCs w:val="18"/>
        </w:rPr>
        <w:t>CZE</w:t>
      </w:r>
      <w:r w:rsidRPr="0025163A">
        <w:rPr>
          <w:szCs w:val="18"/>
          <w:lang w:val="ru-RU"/>
        </w:rPr>
        <w:t>/2010, с. 42, пункт 145 и последующие пункты.</w:t>
      </w:r>
    </w:p>
  </w:footnote>
  <w:footnote w:id="4">
    <w:p w:rsidR="00BD55C9" w:rsidRPr="0025163A" w:rsidRDefault="00BD55C9" w:rsidP="0066153C">
      <w:pPr>
        <w:pStyle w:val="FootnoteText"/>
        <w:spacing w:line="240" w:lineRule="auto"/>
        <w:rPr>
          <w:szCs w:val="18"/>
          <w:lang w:val="ru-RU"/>
        </w:rPr>
      </w:pPr>
      <w:r>
        <w:tab/>
      </w:r>
      <w:r>
        <w:rPr>
          <w:rStyle w:val="FootnoteReference"/>
        </w:rPr>
        <w:footnoteRef/>
      </w:r>
      <w:r w:rsidRPr="00E46DE5">
        <w:rPr>
          <w:lang w:val="ru-RU"/>
        </w:rPr>
        <w:tab/>
      </w:r>
      <w:r w:rsidRPr="0025163A">
        <w:rPr>
          <w:szCs w:val="18"/>
          <w:lang w:val="ru-RU"/>
        </w:rPr>
        <w:t xml:space="preserve">Закон № 198/2009 </w:t>
      </w:r>
      <w:r w:rsidRPr="0025163A">
        <w:rPr>
          <w:szCs w:val="18"/>
        </w:rPr>
        <w:t>Coll</w:t>
      </w:r>
      <w:r w:rsidRPr="0025163A">
        <w:rPr>
          <w:szCs w:val="18"/>
          <w:lang w:val="ru-RU"/>
        </w:rPr>
        <w:t>. с поправками.</w:t>
      </w:r>
    </w:p>
  </w:footnote>
  <w:footnote w:id="5">
    <w:p w:rsidR="00BD55C9" w:rsidRPr="0025163A" w:rsidRDefault="00BD55C9" w:rsidP="009274DE">
      <w:pPr>
        <w:pStyle w:val="FootnoteText"/>
        <w:rPr>
          <w:szCs w:val="18"/>
          <w:lang w:val="ru-RU"/>
        </w:rPr>
      </w:pPr>
      <w:r>
        <w:rPr>
          <w:lang w:val="ru-RU"/>
        </w:rPr>
        <w:tab/>
      </w:r>
      <w:r w:rsidRPr="0025163A">
        <w:rPr>
          <w:rStyle w:val="FootnoteReference"/>
          <w:rFonts w:cs="Arial"/>
          <w:szCs w:val="18"/>
        </w:rPr>
        <w:footnoteRef/>
      </w:r>
      <w:r w:rsidRPr="0025163A">
        <w:rPr>
          <w:szCs w:val="18"/>
          <w:lang w:val="ru-RU"/>
        </w:rPr>
        <w:tab/>
        <w:t>Раздел 7(2) Закона о борьбе с дискриминацией.</w:t>
      </w:r>
    </w:p>
  </w:footnote>
  <w:footnote w:id="6">
    <w:p w:rsidR="00BD55C9" w:rsidRPr="0025163A" w:rsidRDefault="00BD55C9" w:rsidP="0066153C">
      <w:pPr>
        <w:pStyle w:val="FootnoteText"/>
        <w:spacing w:line="240" w:lineRule="auto"/>
        <w:rPr>
          <w:szCs w:val="18"/>
          <w:lang w:val="ru-RU"/>
        </w:rPr>
      </w:pPr>
      <w:r w:rsidRPr="0025163A">
        <w:rPr>
          <w:szCs w:val="18"/>
          <w:lang w:val="ru-RU"/>
        </w:rPr>
        <w:tab/>
      </w:r>
      <w:r w:rsidRPr="0025163A">
        <w:rPr>
          <w:rStyle w:val="FootnoteReference"/>
          <w:rFonts w:cs="Arial"/>
          <w:szCs w:val="18"/>
        </w:rPr>
        <w:footnoteRef/>
      </w:r>
      <w:r w:rsidRPr="0025163A">
        <w:rPr>
          <w:szCs w:val="18"/>
          <w:lang w:val="ru-RU"/>
        </w:rPr>
        <w:tab/>
        <w:t xml:space="preserve">Хартия основных прав и свобод является составной частью конституционного устройства ЧР. </w:t>
      </w:r>
    </w:p>
  </w:footnote>
  <w:footnote w:id="7">
    <w:p w:rsidR="00BD55C9" w:rsidRPr="0025163A" w:rsidRDefault="00BD55C9" w:rsidP="0066153C">
      <w:pPr>
        <w:pStyle w:val="FootnoteText"/>
        <w:spacing w:line="240" w:lineRule="auto"/>
        <w:rPr>
          <w:szCs w:val="18"/>
          <w:lang w:val="ru-RU"/>
        </w:rPr>
      </w:pPr>
      <w:r w:rsidRPr="0025163A">
        <w:rPr>
          <w:szCs w:val="18"/>
          <w:lang w:val="ru-RU"/>
        </w:rPr>
        <w:tab/>
      </w:r>
      <w:r w:rsidRPr="0025163A">
        <w:rPr>
          <w:rStyle w:val="FootnoteReference"/>
          <w:rFonts w:cs="Arial"/>
          <w:szCs w:val="18"/>
        </w:rPr>
        <w:footnoteRef/>
      </w:r>
      <w:r w:rsidRPr="0025163A">
        <w:rPr>
          <w:szCs w:val="18"/>
          <w:lang w:val="ru-RU"/>
        </w:rPr>
        <w:tab/>
        <w:t>Статья 21 Хартии основных прав и свобод.</w:t>
      </w:r>
    </w:p>
  </w:footnote>
  <w:footnote w:id="8">
    <w:p w:rsidR="00BD55C9" w:rsidRPr="0025163A" w:rsidRDefault="00BD55C9" w:rsidP="0066153C">
      <w:pPr>
        <w:pStyle w:val="FootnoteText"/>
        <w:spacing w:line="240" w:lineRule="auto"/>
        <w:rPr>
          <w:szCs w:val="18"/>
          <w:lang w:val="ru-RU"/>
        </w:rPr>
      </w:pPr>
      <w:r w:rsidRPr="0025163A">
        <w:rPr>
          <w:szCs w:val="18"/>
          <w:lang w:val="ru-RU"/>
        </w:rPr>
        <w:tab/>
      </w:r>
      <w:r w:rsidRPr="0025163A">
        <w:rPr>
          <w:rStyle w:val="FootnoteReference"/>
          <w:rFonts w:cs="Arial"/>
          <w:szCs w:val="18"/>
        </w:rPr>
        <w:footnoteRef/>
      </w:r>
      <w:r w:rsidRPr="0025163A">
        <w:rPr>
          <w:szCs w:val="18"/>
          <w:lang w:val="ru-RU"/>
        </w:rPr>
        <w:tab/>
        <w:t xml:space="preserve">Закон № 491/2001 </w:t>
      </w:r>
      <w:r w:rsidRPr="0025163A">
        <w:rPr>
          <w:szCs w:val="18"/>
        </w:rPr>
        <w:t>Coll</w:t>
      </w:r>
      <w:r w:rsidRPr="0025163A">
        <w:rPr>
          <w:szCs w:val="18"/>
          <w:lang w:val="ru-RU"/>
        </w:rPr>
        <w:t xml:space="preserve">. о выборах в муниципальные советы и о внесении поправок в некоторые законы, Закон № 130/2000 </w:t>
      </w:r>
      <w:r w:rsidRPr="0025163A">
        <w:rPr>
          <w:szCs w:val="18"/>
        </w:rPr>
        <w:t>Coll</w:t>
      </w:r>
      <w:r w:rsidRPr="0025163A">
        <w:rPr>
          <w:szCs w:val="18"/>
          <w:lang w:val="ru-RU"/>
        </w:rPr>
        <w:t xml:space="preserve">. о выборах в районные советы и о внесении поправок в некоторые законы, Закон № 63/2003 </w:t>
      </w:r>
      <w:r w:rsidRPr="0025163A">
        <w:rPr>
          <w:szCs w:val="18"/>
        </w:rPr>
        <w:t>Coll</w:t>
      </w:r>
      <w:r w:rsidRPr="0025163A">
        <w:rPr>
          <w:szCs w:val="18"/>
          <w:lang w:val="ru-RU"/>
        </w:rPr>
        <w:t xml:space="preserve">. о выборах в Европейский парламент и о внесении поправок в некоторые законы, Закон № 247/1995 </w:t>
      </w:r>
      <w:r w:rsidRPr="0025163A">
        <w:rPr>
          <w:szCs w:val="18"/>
        </w:rPr>
        <w:t>Coll</w:t>
      </w:r>
      <w:r w:rsidRPr="0025163A">
        <w:rPr>
          <w:szCs w:val="18"/>
          <w:lang w:val="ru-RU"/>
        </w:rPr>
        <w:t>. о выборах в Парламент ЧР.</w:t>
      </w:r>
    </w:p>
  </w:footnote>
  <w:footnote w:id="9">
    <w:p w:rsidR="00BD55C9" w:rsidRPr="0025163A" w:rsidRDefault="00BD55C9" w:rsidP="0066153C">
      <w:pPr>
        <w:pStyle w:val="FootnoteText"/>
        <w:spacing w:line="240" w:lineRule="auto"/>
        <w:rPr>
          <w:szCs w:val="18"/>
          <w:lang w:val="ru-RU"/>
        </w:rPr>
      </w:pPr>
      <w:r w:rsidRPr="0025163A">
        <w:rPr>
          <w:szCs w:val="18"/>
          <w:lang w:val="ru-RU"/>
        </w:rPr>
        <w:tab/>
      </w:r>
      <w:r w:rsidRPr="0025163A">
        <w:rPr>
          <w:rStyle w:val="FootnoteReference"/>
          <w:rFonts w:cs="Arial"/>
          <w:szCs w:val="18"/>
        </w:rPr>
        <w:footnoteRef/>
      </w:r>
      <w:r w:rsidRPr="0025163A">
        <w:rPr>
          <w:szCs w:val="18"/>
          <w:lang w:val="ru-RU"/>
        </w:rPr>
        <w:tab/>
        <w:t xml:space="preserve">Закон № 218/2002 </w:t>
      </w:r>
      <w:r w:rsidRPr="0025163A">
        <w:rPr>
          <w:szCs w:val="18"/>
        </w:rPr>
        <w:t>Coll</w:t>
      </w:r>
      <w:r w:rsidRPr="0025163A">
        <w:rPr>
          <w:szCs w:val="18"/>
          <w:lang w:val="ru-RU"/>
        </w:rPr>
        <w:t xml:space="preserve">. о государственной службе. </w:t>
      </w:r>
    </w:p>
  </w:footnote>
  <w:footnote w:id="10">
    <w:p w:rsidR="00BD55C9" w:rsidRPr="0025163A" w:rsidRDefault="00BD55C9" w:rsidP="0066153C">
      <w:pPr>
        <w:pStyle w:val="FootnoteText"/>
        <w:spacing w:line="240" w:lineRule="auto"/>
        <w:rPr>
          <w:szCs w:val="18"/>
          <w:lang w:val="ru-RU"/>
        </w:rPr>
      </w:pPr>
      <w:r w:rsidRPr="0025163A">
        <w:rPr>
          <w:szCs w:val="18"/>
          <w:lang w:val="ru-RU"/>
        </w:rPr>
        <w:tab/>
      </w:r>
      <w:r w:rsidRPr="0025163A">
        <w:rPr>
          <w:rStyle w:val="FootnoteReference"/>
          <w:rFonts w:cs="Arial"/>
          <w:szCs w:val="18"/>
        </w:rPr>
        <w:footnoteRef/>
      </w:r>
      <w:r w:rsidRPr="0025163A">
        <w:rPr>
          <w:szCs w:val="18"/>
          <w:lang w:val="ru-RU"/>
        </w:rPr>
        <w:tab/>
        <w:t xml:space="preserve">Закон № 361/2003 </w:t>
      </w:r>
      <w:r w:rsidRPr="0025163A">
        <w:rPr>
          <w:szCs w:val="18"/>
        </w:rPr>
        <w:t>Coll</w:t>
      </w:r>
      <w:r w:rsidRPr="0025163A">
        <w:rPr>
          <w:szCs w:val="18"/>
          <w:lang w:val="ru-RU"/>
        </w:rPr>
        <w:t>. о службе сотрудников сил безопасности.</w:t>
      </w:r>
    </w:p>
  </w:footnote>
  <w:footnote w:id="11">
    <w:p w:rsidR="00BD55C9" w:rsidRPr="0060689E" w:rsidRDefault="00BD55C9" w:rsidP="008D3E2F">
      <w:pPr>
        <w:pStyle w:val="FootnoteText"/>
        <w:rPr>
          <w:szCs w:val="18"/>
          <w:lang w:val="ru-RU"/>
        </w:rPr>
      </w:pPr>
      <w:r>
        <w:rPr>
          <w:szCs w:val="18"/>
          <w:lang w:val="ru-RU"/>
        </w:rPr>
        <w:tab/>
      </w:r>
      <w:r w:rsidRPr="0060689E">
        <w:rPr>
          <w:rStyle w:val="FootnoteReference"/>
          <w:rFonts w:cs="Arial"/>
          <w:szCs w:val="18"/>
        </w:rPr>
        <w:footnoteRef/>
      </w:r>
      <w:r>
        <w:rPr>
          <w:szCs w:val="18"/>
          <w:lang w:val="ru-RU"/>
        </w:rPr>
        <w:tab/>
      </w:r>
      <w:r w:rsidRPr="0060689E">
        <w:rPr>
          <w:szCs w:val="18"/>
          <w:lang w:val="ru-RU"/>
        </w:rPr>
        <w:t>Статья 42(2) Хартии.</w:t>
      </w:r>
    </w:p>
  </w:footnote>
  <w:footnote w:id="12">
    <w:p w:rsidR="00BD55C9" w:rsidRPr="0060689E" w:rsidRDefault="00BD55C9" w:rsidP="008D3E2F">
      <w:pPr>
        <w:pStyle w:val="FootnoteText"/>
        <w:rPr>
          <w:szCs w:val="18"/>
          <w:lang w:val="ru-RU"/>
        </w:rPr>
      </w:pPr>
      <w:r>
        <w:rPr>
          <w:szCs w:val="18"/>
          <w:lang w:val="ru-RU"/>
        </w:rPr>
        <w:tab/>
      </w:r>
      <w:r w:rsidRPr="0060689E">
        <w:rPr>
          <w:rStyle w:val="FootnoteReference"/>
          <w:rFonts w:cs="Arial"/>
          <w:szCs w:val="18"/>
        </w:rPr>
        <w:footnoteRef/>
      </w:r>
      <w:r>
        <w:rPr>
          <w:szCs w:val="18"/>
          <w:lang w:val="ru-RU"/>
        </w:rPr>
        <w:tab/>
      </w:r>
      <w:r w:rsidRPr="0060689E">
        <w:rPr>
          <w:szCs w:val="18"/>
          <w:lang w:val="ru-RU"/>
        </w:rPr>
        <w:t>Например, право на участие в выборах и право на вступление в ряды политических партий и движений.</w:t>
      </w:r>
    </w:p>
  </w:footnote>
  <w:footnote w:id="13">
    <w:p w:rsidR="00BD55C9" w:rsidRPr="00414984" w:rsidRDefault="00BD55C9" w:rsidP="00214B51">
      <w:pPr>
        <w:pStyle w:val="FootnoteText"/>
        <w:rPr>
          <w:szCs w:val="18"/>
          <w:lang w:val="ru-RU"/>
        </w:rPr>
      </w:pPr>
      <w:r>
        <w:rPr>
          <w:szCs w:val="18"/>
          <w:lang w:val="ru-RU"/>
        </w:rPr>
        <w:tab/>
      </w:r>
      <w:r w:rsidRPr="00414984">
        <w:rPr>
          <w:rStyle w:val="FootnoteReference"/>
          <w:rFonts w:cs="Arial"/>
          <w:szCs w:val="18"/>
        </w:rPr>
        <w:footnoteRef/>
      </w:r>
      <w:r>
        <w:rPr>
          <w:szCs w:val="18"/>
          <w:lang w:val="ru-RU"/>
        </w:rPr>
        <w:tab/>
      </w:r>
      <w:r w:rsidRPr="00414984">
        <w:rPr>
          <w:szCs w:val="18"/>
          <w:lang w:val="ru-RU"/>
        </w:rPr>
        <w:t>В рамках программы должны использоваться услуги посредников по взаимодействию с рома, владеющих цыганским языком. В ЧР была создана Рабочая группа в составе 25</w:t>
      </w:r>
      <w:r>
        <w:rPr>
          <w:szCs w:val="18"/>
          <w:lang w:val="ru-RU"/>
        </w:rPr>
        <w:t xml:space="preserve"> посредников, которые работают в</w:t>
      </w:r>
      <w:r w:rsidRPr="00414984">
        <w:rPr>
          <w:szCs w:val="18"/>
          <w:lang w:val="ru-RU"/>
        </w:rPr>
        <w:t xml:space="preserve"> качестве региональных координаторов по вопросам рома, консультантов по делам рома, социальных работников на местах, вспомогательного педагогического персонала и представителей НПО. </w:t>
      </w:r>
    </w:p>
  </w:footnote>
  <w:footnote w:id="14">
    <w:p w:rsidR="00BD55C9" w:rsidRPr="00414984" w:rsidRDefault="00BD55C9" w:rsidP="00214B51">
      <w:pPr>
        <w:pStyle w:val="FootnoteText"/>
        <w:rPr>
          <w:szCs w:val="18"/>
          <w:lang w:val="ru-RU"/>
        </w:rPr>
      </w:pPr>
      <w:r>
        <w:rPr>
          <w:szCs w:val="18"/>
          <w:lang w:val="ru-RU"/>
        </w:rPr>
        <w:tab/>
      </w:r>
      <w:r w:rsidRPr="00414984">
        <w:rPr>
          <w:rStyle w:val="FootnoteReference"/>
          <w:rFonts w:cs="Arial"/>
          <w:szCs w:val="18"/>
        </w:rPr>
        <w:footnoteRef/>
      </w:r>
      <w:r>
        <w:rPr>
          <w:szCs w:val="18"/>
          <w:lang w:val="ru-RU"/>
        </w:rPr>
        <w:tab/>
      </w:r>
      <w:r w:rsidRPr="00414984">
        <w:rPr>
          <w:szCs w:val="18"/>
          <w:lang w:val="ru-RU"/>
        </w:rPr>
        <w:t>Чешская Республика, Болгария, Хорватия, Венгрия, Македония, Румыния, Словакия, Сербия, Черногория, Албания, Босния и Герцеговина и Испания.</w:t>
      </w:r>
    </w:p>
  </w:footnote>
  <w:footnote w:id="15">
    <w:p w:rsidR="00BD55C9" w:rsidRPr="00442C17" w:rsidRDefault="00BD55C9" w:rsidP="00442C17">
      <w:pPr>
        <w:pStyle w:val="FootnoteText"/>
        <w:spacing w:line="240" w:lineRule="auto"/>
        <w:rPr>
          <w:szCs w:val="18"/>
          <w:lang w:val="ru-RU"/>
        </w:rPr>
      </w:pPr>
      <w:r>
        <w:rPr>
          <w:szCs w:val="18"/>
          <w:lang w:val="ru-RU"/>
        </w:rPr>
        <w:tab/>
      </w:r>
      <w:r w:rsidRPr="002917DA">
        <w:rPr>
          <w:szCs w:val="18"/>
          <w:vertAlign w:val="superscript"/>
          <w:lang w:val="ru-RU"/>
        </w:rPr>
        <w:footnoteRef/>
      </w:r>
      <w:r>
        <w:rPr>
          <w:szCs w:val="18"/>
          <w:lang w:val="ru-RU"/>
        </w:rPr>
        <w:tab/>
      </w:r>
      <w:r w:rsidRPr="00442C17">
        <w:rPr>
          <w:szCs w:val="18"/>
          <w:lang w:val="ru-RU"/>
        </w:rPr>
        <w:t xml:space="preserve">В соответствии с заранее согласованным форматом все государства-участники представили информацию о положении рома в четырех приоритетных сферах Десятилетия (т.е. занятость, образование, обеспечение жильем и охрана здоровья). </w:t>
      </w:r>
    </w:p>
  </w:footnote>
  <w:footnote w:id="16">
    <w:p w:rsidR="00BD55C9" w:rsidRPr="00442C17" w:rsidRDefault="00BD55C9" w:rsidP="00442C17">
      <w:pPr>
        <w:pStyle w:val="FootnoteText"/>
        <w:spacing w:line="240" w:lineRule="auto"/>
        <w:rPr>
          <w:szCs w:val="18"/>
          <w:lang w:val="ru-RU"/>
        </w:rPr>
      </w:pPr>
      <w:r>
        <w:rPr>
          <w:szCs w:val="18"/>
          <w:lang w:val="ru-RU"/>
        </w:rPr>
        <w:tab/>
      </w:r>
      <w:r w:rsidRPr="002917DA">
        <w:rPr>
          <w:szCs w:val="18"/>
          <w:vertAlign w:val="superscript"/>
          <w:lang w:val="ru-RU"/>
        </w:rPr>
        <w:footnoteRef/>
      </w:r>
      <w:r>
        <w:rPr>
          <w:szCs w:val="18"/>
          <w:lang w:val="ru-RU"/>
        </w:rPr>
        <w:tab/>
      </w:r>
      <w:r w:rsidRPr="00442C17">
        <w:rPr>
          <w:szCs w:val="18"/>
          <w:lang w:val="ru-RU"/>
        </w:rPr>
        <w:t>Конвенция о ликвидации всех форм дискриминации в отношении женщин, Международный пакт о гражданских и политических правах, Международный пакт об экономических, социальных и культурных правах и Конвенция о правах ребенка.</w:t>
      </w:r>
    </w:p>
  </w:footnote>
  <w:footnote w:id="17">
    <w:p w:rsidR="00BD55C9" w:rsidRPr="00442C17" w:rsidRDefault="00BD55C9" w:rsidP="00442C17">
      <w:pPr>
        <w:pStyle w:val="FootnoteText"/>
        <w:spacing w:line="240" w:lineRule="auto"/>
        <w:rPr>
          <w:szCs w:val="18"/>
          <w:lang w:val="ru-RU"/>
        </w:rPr>
      </w:pPr>
      <w:r>
        <w:rPr>
          <w:szCs w:val="18"/>
          <w:lang w:val="ru-RU"/>
        </w:rPr>
        <w:tab/>
      </w:r>
      <w:r w:rsidRPr="002917DA">
        <w:rPr>
          <w:szCs w:val="18"/>
          <w:vertAlign w:val="superscript"/>
          <w:lang w:val="ru-RU"/>
        </w:rPr>
        <w:footnoteRef/>
      </w:r>
      <w:r>
        <w:rPr>
          <w:szCs w:val="18"/>
          <w:lang w:val="ru-RU"/>
        </w:rPr>
        <w:tab/>
      </w:r>
      <w:r w:rsidRPr="00442C17">
        <w:rPr>
          <w:szCs w:val="18"/>
          <w:lang w:val="ru-RU"/>
        </w:rPr>
        <w:t xml:space="preserve">Закон № 198/2009 Coll. о равном обращении и правовых средствах защиты от дискриминации и о внесении поправок в некоторые законы. </w:t>
      </w:r>
    </w:p>
  </w:footnote>
  <w:footnote w:id="18">
    <w:p w:rsidR="00BD55C9" w:rsidRPr="00442C17" w:rsidRDefault="00BD55C9" w:rsidP="00442C17">
      <w:pPr>
        <w:pStyle w:val="FootnoteText"/>
        <w:spacing w:line="240" w:lineRule="auto"/>
        <w:rPr>
          <w:szCs w:val="18"/>
          <w:lang w:val="ru-RU"/>
        </w:rPr>
      </w:pPr>
      <w:r>
        <w:rPr>
          <w:szCs w:val="18"/>
          <w:lang w:val="ru-RU"/>
        </w:rPr>
        <w:tab/>
      </w:r>
      <w:r w:rsidRPr="002917DA">
        <w:rPr>
          <w:szCs w:val="18"/>
          <w:vertAlign w:val="superscript"/>
          <w:lang w:val="ru-RU"/>
        </w:rPr>
        <w:footnoteRef/>
      </w:r>
      <w:r>
        <w:rPr>
          <w:szCs w:val="18"/>
          <w:lang w:val="ru-RU"/>
        </w:rPr>
        <w:tab/>
      </w:r>
      <w:r w:rsidRPr="00442C17">
        <w:rPr>
          <w:szCs w:val="18"/>
          <w:lang w:val="ru-RU"/>
        </w:rPr>
        <w:t>Закон № 306/2009 Coll.</w:t>
      </w:r>
    </w:p>
  </w:footnote>
  <w:footnote w:id="19">
    <w:p w:rsidR="00BD55C9" w:rsidRPr="00442C17" w:rsidRDefault="00BD55C9" w:rsidP="00442C17">
      <w:pPr>
        <w:pStyle w:val="FootnoteText"/>
        <w:spacing w:line="240" w:lineRule="auto"/>
        <w:rPr>
          <w:szCs w:val="18"/>
          <w:lang w:val="ru-RU"/>
        </w:rPr>
      </w:pPr>
      <w:r>
        <w:rPr>
          <w:szCs w:val="18"/>
          <w:lang w:val="ru-RU"/>
        </w:rPr>
        <w:tab/>
      </w:r>
      <w:r w:rsidRPr="004F0C2D">
        <w:rPr>
          <w:szCs w:val="18"/>
          <w:vertAlign w:val="superscript"/>
          <w:lang w:val="ru-RU"/>
        </w:rPr>
        <w:footnoteRef/>
      </w:r>
      <w:r>
        <w:rPr>
          <w:szCs w:val="18"/>
          <w:lang w:val="ru-RU"/>
        </w:rPr>
        <w:tab/>
      </w:r>
      <w:r w:rsidRPr="00442C17">
        <w:rPr>
          <w:szCs w:val="18"/>
          <w:lang w:val="ru-RU"/>
        </w:rPr>
        <w:t xml:space="preserve">Закон № 418/2011 Coll. об уголовной ответственности юридических лиц и судопроизводстве в их отношении. </w:t>
      </w:r>
    </w:p>
  </w:footnote>
  <w:footnote w:id="20">
    <w:p w:rsidR="00BD55C9" w:rsidRPr="00442C17" w:rsidRDefault="00BD55C9" w:rsidP="00442C17">
      <w:pPr>
        <w:pStyle w:val="FootnoteText"/>
        <w:spacing w:line="240" w:lineRule="auto"/>
        <w:rPr>
          <w:szCs w:val="18"/>
          <w:lang w:val="ru-RU"/>
        </w:rPr>
      </w:pPr>
      <w:r>
        <w:rPr>
          <w:szCs w:val="18"/>
          <w:lang w:val="ru-RU"/>
        </w:rPr>
        <w:tab/>
      </w:r>
      <w:r w:rsidRPr="004F0C2D">
        <w:rPr>
          <w:szCs w:val="18"/>
          <w:vertAlign w:val="superscript"/>
          <w:lang w:val="ru-RU"/>
        </w:rPr>
        <w:footnoteRef/>
      </w:r>
      <w:r>
        <w:rPr>
          <w:szCs w:val="18"/>
          <w:lang w:val="ru-RU"/>
        </w:rPr>
        <w:tab/>
      </w:r>
      <w:r w:rsidRPr="00442C17">
        <w:rPr>
          <w:szCs w:val="18"/>
          <w:lang w:val="ru-RU"/>
        </w:rPr>
        <w:t xml:space="preserve">Закон № 45/2013 Coll. о жертвах преступлений. </w:t>
      </w:r>
    </w:p>
  </w:footnote>
  <w:footnote w:id="21">
    <w:p w:rsidR="00BD55C9" w:rsidRPr="00442C17" w:rsidRDefault="00BD55C9" w:rsidP="00442C17">
      <w:pPr>
        <w:pStyle w:val="FootnoteText"/>
        <w:spacing w:line="240" w:lineRule="auto"/>
        <w:rPr>
          <w:szCs w:val="18"/>
          <w:lang w:val="ru-RU"/>
        </w:rPr>
      </w:pPr>
      <w:r>
        <w:rPr>
          <w:szCs w:val="18"/>
          <w:lang w:val="ru-RU"/>
        </w:rPr>
        <w:tab/>
      </w:r>
      <w:r w:rsidRPr="004F0C2D">
        <w:rPr>
          <w:szCs w:val="18"/>
          <w:vertAlign w:val="superscript"/>
          <w:lang w:val="ru-RU"/>
        </w:rPr>
        <w:footnoteRef/>
      </w:r>
      <w:r>
        <w:rPr>
          <w:szCs w:val="18"/>
          <w:lang w:val="ru-RU"/>
        </w:rPr>
        <w:tab/>
      </w:r>
      <w:r w:rsidRPr="00442C17">
        <w:rPr>
          <w:szCs w:val="18"/>
          <w:lang w:val="ru-RU"/>
        </w:rPr>
        <w:t xml:space="preserve">Постановление правительства № 530 от 3 июля 2013 года. </w:t>
      </w:r>
    </w:p>
  </w:footnote>
  <w:footnote w:id="22">
    <w:p w:rsidR="00BD55C9" w:rsidRPr="00442C17" w:rsidRDefault="00BD55C9" w:rsidP="00442C17">
      <w:pPr>
        <w:pStyle w:val="FootnoteText"/>
        <w:spacing w:line="240" w:lineRule="auto"/>
        <w:rPr>
          <w:szCs w:val="18"/>
          <w:lang w:val="ru-RU"/>
        </w:rPr>
      </w:pPr>
      <w:r>
        <w:rPr>
          <w:szCs w:val="18"/>
          <w:lang w:val="ru-RU"/>
        </w:rPr>
        <w:tab/>
      </w:r>
      <w:r w:rsidRPr="004F0C2D">
        <w:rPr>
          <w:szCs w:val="18"/>
          <w:vertAlign w:val="superscript"/>
          <w:lang w:val="ru-RU"/>
        </w:rPr>
        <w:footnoteRef/>
      </w:r>
      <w:r w:rsidRPr="004F0C2D">
        <w:rPr>
          <w:szCs w:val="18"/>
          <w:vertAlign w:val="superscript"/>
          <w:lang w:val="ru-RU"/>
        </w:rPr>
        <w:tab/>
      </w:r>
      <w:r w:rsidRPr="00442C17">
        <w:rPr>
          <w:szCs w:val="18"/>
          <w:lang w:val="ru-RU"/>
        </w:rPr>
        <w:t xml:space="preserve">Статья 3 (2) Хартии основных прав и свобод. </w:t>
      </w:r>
    </w:p>
  </w:footnote>
  <w:footnote w:id="23">
    <w:p w:rsidR="00BD55C9" w:rsidRPr="00442C17" w:rsidRDefault="00BD55C9" w:rsidP="00442C17">
      <w:pPr>
        <w:pStyle w:val="FootnoteText"/>
        <w:spacing w:line="240" w:lineRule="auto"/>
        <w:rPr>
          <w:szCs w:val="18"/>
          <w:lang w:val="ru-RU"/>
        </w:rPr>
      </w:pPr>
      <w:r>
        <w:rPr>
          <w:szCs w:val="18"/>
          <w:lang w:val="ru-RU"/>
        </w:rPr>
        <w:tab/>
      </w:r>
      <w:r w:rsidRPr="004F0C2D">
        <w:rPr>
          <w:szCs w:val="18"/>
          <w:vertAlign w:val="superscript"/>
          <w:lang w:val="ru-RU"/>
        </w:rPr>
        <w:footnoteRef/>
      </w:r>
      <w:r>
        <w:rPr>
          <w:szCs w:val="18"/>
          <w:lang w:val="ru-RU"/>
        </w:rPr>
        <w:tab/>
      </w:r>
      <w:r w:rsidRPr="00442C17">
        <w:rPr>
          <w:szCs w:val="18"/>
          <w:lang w:val="ru-RU"/>
        </w:rPr>
        <w:t xml:space="preserve">Разделы 4 и 12 Закона № 435/2004 Coll. о занятости с поправками, внесенными Законом № 367/2011 Coll. </w:t>
      </w:r>
    </w:p>
  </w:footnote>
  <w:footnote w:id="24">
    <w:p w:rsidR="00BD55C9" w:rsidRPr="00442C17" w:rsidRDefault="00BD55C9" w:rsidP="00442C17">
      <w:pPr>
        <w:pStyle w:val="FootnoteText"/>
        <w:spacing w:line="240" w:lineRule="auto"/>
        <w:rPr>
          <w:szCs w:val="18"/>
          <w:lang w:val="ru-RU"/>
        </w:rPr>
      </w:pPr>
      <w:r>
        <w:rPr>
          <w:szCs w:val="18"/>
          <w:lang w:val="ru-RU"/>
        </w:rPr>
        <w:tab/>
      </w:r>
      <w:r w:rsidRPr="004F0C2D">
        <w:rPr>
          <w:szCs w:val="18"/>
          <w:vertAlign w:val="superscript"/>
          <w:lang w:val="ru-RU"/>
        </w:rPr>
        <w:footnoteRef/>
      </w:r>
      <w:r>
        <w:rPr>
          <w:szCs w:val="18"/>
          <w:lang w:val="ru-RU"/>
        </w:rPr>
        <w:tab/>
      </w:r>
      <w:r w:rsidRPr="00442C17">
        <w:rPr>
          <w:szCs w:val="18"/>
          <w:lang w:val="ru-RU"/>
        </w:rPr>
        <w:t xml:space="preserve">Разделы 13 и 16 Закона № 262/2006 Coll. (Трудовой кодекс), с поправками, внесенными Законом № 365/2011 Coll. </w:t>
      </w:r>
    </w:p>
  </w:footnote>
  <w:footnote w:id="25">
    <w:p w:rsidR="00BD55C9" w:rsidRPr="00442C17" w:rsidRDefault="00BD55C9" w:rsidP="00442C17">
      <w:pPr>
        <w:pStyle w:val="FootnoteText"/>
        <w:spacing w:line="240" w:lineRule="auto"/>
        <w:rPr>
          <w:szCs w:val="18"/>
          <w:lang w:val="ru-RU"/>
        </w:rPr>
      </w:pPr>
      <w:r>
        <w:rPr>
          <w:szCs w:val="18"/>
          <w:lang w:val="ru-RU"/>
        </w:rPr>
        <w:tab/>
      </w:r>
      <w:r w:rsidRPr="004F0C2D">
        <w:rPr>
          <w:szCs w:val="18"/>
          <w:vertAlign w:val="superscript"/>
          <w:lang w:val="ru-RU"/>
        </w:rPr>
        <w:footnoteRef/>
      </w:r>
      <w:r>
        <w:rPr>
          <w:szCs w:val="18"/>
          <w:lang w:val="ru-RU"/>
        </w:rPr>
        <w:tab/>
      </w:r>
      <w:r w:rsidRPr="00442C17">
        <w:rPr>
          <w:szCs w:val="18"/>
          <w:lang w:val="ru-RU"/>
        </w:rPr>
        <w:t>Закон № 40/2009 Coll. с поправками.</w:t>
      </w:r>
    </w:p>
  </w:footnote>
  <w:footnote w:id="26">
    <w:p w:rsidR="00BD55C9" w:rsidRPr="00442C17" w:rsidRDefault="00BD55C9" w:rsidP="00442C17">
      <w:pPr>
        <w:pStyle w:val="FootnoteText"/>
        <w:spacing w:line="240" w:lineRule="auto"/>
        <w:rPr>
          <w:szCs w:val="18"/>
          <w:lang w:val="ru-RU"/>
        </w:rPr>
      </w:pPr>
      <w:r>
        <w:rPr>
          <w:szCs w:val="18"/>
          <w:lang w:val="ru-RU"/>
        </w:rPr>
        <w:tab/>
      </w:r>
      <w:r w:rsidRPr="004F0C2D">
        <w:rPr>
          <w:szCs w:val="18"/>
          <w:vertAlign w:val="superscript"/>
          <w:lang w:val="ru-RU"/>
        </w:rPr>
        <w:footnoteRef/>
      </w:r>
      <w:r>
        <w:rPr>
          <w:szCs w:val="18"/>
          <w:lang w:val="ru-RU"/>
        </w:rPr>
        <w:tab/>
      </w:r>
      <w:r w:rsidRPr="00442C17">
        <w:rPr>
          <w:szCs w:val="18"/>
          <w:lang w:val="ru-RU"/>
        </w:rPr>
        <w:t>Закон № 200/1990 Coll. с поправками.</w:t>
      </w:r>
    </w:p>
  </w:footnote>
  <w:footnote w:id="27">
    <w:p w:rsidR="00BD55C9" w:rsidRPr="00442C17" w:rsidRDefault="00BD55C9" w:rsidP="00442C17">
      <w:pPr>
        <w:pStyle w:val="FootnoteText"/>
        <w:spacing w:line="240" w:lineRule="auto"/>
        <w:rPr>
          <w:szCs w:val="18"/>
          <w:lang w:val="ru-RU"/>
        </w:rPr>
      </w:pPr>
      <w:r>
        <w:rPr>
          <w:szCs w:val="18"/>
          <w:lang w:val="ru-RU"/>
        </w:rPr>
        <w:tab/>
      </w:r>
      <w:r w:rsidRPr="004F0C2D">
        <w:rPr>
          <w:szCs w:val="18"/>
          <w:vertAlign w:val="superscript"/>
          <w:lang w:val="ru-RU"/>
        </w:rPr>
        <w:footnoteRef/>
      </w:r>
      <w:r>
        <w:rPr>
          <w:szCs w:val="18"/>
          <w:lang w:val="ru-RU"/>
        </w:rPr>
        <w:tab/>
      </w:r>
      <w:r w:rsidRPr="00442C17">
        <w:rPr>
          <w:szCs w:val="18"/>
          <w:lang w:val="ru-RU"/>
        </w:rPr>
        <w:t>CERD/C/CZE/CO/8-9/Add.1.</w:t>
      </w:r>
    </w:p>
  </w:footnote>
  <w:footnote w:id="28">
    <w:p w:rsidR="00BD55C9" w:rsidRPr="00442C17" w:rsidRDefault="00BD55C9" w:rsidP="00442C17">
      <w:pPr>
        <w:pStyle w:val="FootnoteText"/>
        <w:spacing w:line="240" w:lineRule="auto"/>
        <w:rPr>
          <w:szCs w:val="18"/>
          <w:lang w:val="ru-RU"/>
        </w:rPr>
      </w:pPr>
      <w:r>
        <w:rPr>
          <w:szCs w:val="18"/>
          <w:lang w:val="ru-RU"/>
        </w:rPr>
        <w:tab/>
      </w:r>
      <w:r w:rsidRPr="004F0C2D">
        <w:rPr>
          <w:szCs w:val="18"/>
          <w:vertAlign w:val="superscript"/>
          <w:lang w:val="ru-RU"/>
        </w:rPr>
        <w:footnoteRef/>
      </w:r>
      <w:r w:rsidRPr="004F0C2D">
        <w:rPr>
          <w:szCs w:val="18"/>
          <w:vertAlign w:val="superscript"/>
          <w:lang w:val="ru-RU"/>
        </w:rPr>
        <w:tab/>
      </w:r>
      <w:r w:rsidRPr="00442C17">
        <w:rPr>
          <w:szCs w:val="18"/>
          <w:lang w:val="ru-RU"/>
        </w:rPr>
        <w:t>Информация доступна по следующей ссылке: http://www.mpsv.cz/files/clanky/3043/Analyza_romskych_lokalit.pdf.</w:t>
      </w:r>
    </w:p>
  </w:footnote>
  <w:footnote w:id="29">
    <w:p w:rsidR="00BD55C9" w:rsidRPr="00442C17" w:rsidRDefault="00BD55C9" w:rsidP="00442C17">
      <w:pPr>
        <w:pStyle w:val="FootnoteText"/>
        <w:spacing w:line="240" w:lineRule="auto"/>
        <w:rPr>
          <w:szCs w:val="18"/>
          <w:lang w:val="ru-RU"/>
        </w:rPr>
      </w:pPr>
      <w:r>
        <w:rPr>
          <w:szCs w:val="18"/>
          <w:lang w:val="ru-RU"/>
        </w:rPr>
        <w:tab/>
      </w:r>
      <w:r w:rsidRPr="004F0C2D">
        <w:rPr>
          <w:szCs w:val="18"/>
          <w:vertAlign w:val="superscript"/>
          <w:lang w:val="ru-RU"/>
        </w:rPr>
        <w:footnoteRef/>
      </w:r>
      <w:r>
        <w:rPr>
          <w:szCs w:val="18"/>
          <w:lang w:val="ru-RU"/>
        </w:rPr>
        <w:tab/>
      </w:r>
      <w:r w:rsidRPr="00442C17">
        <w:rPr>
          <w:szCs w:val="18"/>
          <w:lang w:val="ru-RU"/>
        </w:rPr>
        <w:t xml:space="preserve">Стратегия предусматривает следующие приоритетные направления деятельности: создание интегрированного рынка труда/активная политика в области формирования рынка труда; обеспечение доступа к качественным социальным услугам; развитие сферы социальных услуг и услуг, оказываемых семьям с детьми, в целях социальной интеграции и недопущения социальной изоляции и нищеты, повышение эффективности систем социальной защиты путем принятия мер в области государственного управления, в том числе создания системы ухода за уязвимыми детьми, поощрения активного долголетия и развития неофициальных механизмов совместного ухода; популяризация социальной интеграции, сотрудничества и подхода, основанного на фактических данных. </w:t>
      </w:r>
    </w:p>
  </w:footnote>
  <w:footnote w:id="30">
    <w:p w:rsidR="00BD55C9" w:rsidRPr="00442C17" w:rsidRDefault="00BD55C9" w:rsidP="00442C17">
      <w:pPr>
        <w:pStyle w:val="FootnoteText"/>
        <w:spacing w:line="240" w:lineRule="auto"/>
        <w:rPr>
          <w:szCs w:val="18"/>
          <w:lang w:val="ru-RU"/>
        </w:rPr>
      </w:pPr>
      <w:r>
        <w:rPr>
          <w:szCs w:val="18"/>
          <w:lang w:val="ru-RU"/>
        </w:rPr>
        <w:tab/>
      </w:r>
      <w:r w:rsidRPr="004F0C2D">
        <w:rPr>
          <w:szCs w:val="18"/>
          <w:vertAlign w:val="superscript"/>
          <w:lang w:val="ru-RU"/>
        </w:rPr>
        <w:footnoteRef/>
      </w:r>
      <w:r>
        <w:rPr>
          <w:szCs w:val="18"/>
          <w:lang w:val="ru-RU"/>
        </w:rPr>
        <w:tab/>
      </w:r>
      <w:r w:rsidRPr="00442C17">
        <w:rPr>
          <w:szCs w:val="18"/>
          <w:lang w:val="ru-RU"/>
        </w:rPr>
        <w:t>Включая, например, программы, направленные на поддержку приобретения, ремонта, строительства и эксплуатации социального жилья муниципалитетами и негосударственными организациями, осуществление Экспериментального проекта гарантированного жилья и другие меры.</w:t>
      </w:r>
    </w:p>
  </w:footnote>
  <w:footnote w:id="31">
    <w:p w:rsidR="00BD55C9" w:rsidRPr="00442C17" w:rsidRDefault="00BD55C9" w:rsidP="00442C17">
      <w:pPr>
        <w:pStyle w:val="FootnoteText"/>
        <w:spacing w:line="240" w:lineRule="auto"/>
        <w:rPr>
          <w:szCs w:val="18"/>
          <w:lang w:val="ru-RU"/>
        </w:rPr>
      </w:pPr>
      <w:r>
        <w:rPr>
          <w:szCs w:val="18"/>
          <w:lang w:val="ru-RU"/>
        </w:rPr>
        <w:tab/>
      </w:r>
      <w:r w:rsidRPr="004F0C2D">
        <w:rPr>
          <w:szCs w:val="18"/>
          <w:vertAlign w:val="superscript"/>
          <w:lang w:val="ru-RU"/>
        </w:rPr>
        <w:footnoteRef/>
      </w:r>
      <w:r>
        <w:rPr>
          <w:szCs w:val="18"/>
          <w:lang w:val="ru-RU"/>
        </w:rPr>
        <w:tab/>
      </w:r>
      <w:r w:rsidRPr="00442C17">
        <w:rPr>
          <w:szCs w:val="18"/>
          <w:lang w:val="ru-RU"/>
        </w:rPr>
        <w:t>Включая, например, переход от системы удовлетворения особых потребностей в сфере образования к системе мер поддержки на всех уровнях системы образования в целях оказания конкретной поддержки имеющим на нее право ученикам, принадлежащим к социально незащищенным слоям населения, устранения дискриминационных критериев, препятствующих приему детей в государственные детские сады, и другие меры.</w:t>
      </w:r>
    </w:p>
  </w:footnote>
  <w:footnote w:id="32">
    <w:p w:rsidR="00BD55C9" w:rsidRPr="00442C17" w:rsidRDefault="00BD55C9" w:rsidP="00442C17">
      <w:pPr>
        <w:pStyle w:val="FootnoteText"/>
        <w:spacing w:line="240" w:lineRule="auto"/>
        <w:rPr>
          <w:szCs w:val="18"/>
          <w:lang w:val="ru-RU"/>
        </w:rPr>
      </w:pPr>
      <w:r>
        <w:rPr>
          <w:szCs w:val="18"/>
          <w:lang w:val="ru-RU"/>
        </w:rPr>
        <w:tab/>
      </w:r>
      <w:r w:rsidRPr="004F0C2D">
        <w:rPr>
          <w:szCs w:val="18"/>
          <w:vertAlign w:val="superscript"/>
          <w:lang w:val="ru-RU"/>
        </w:rPr>
        <w:footnoteRef/>
      </w:r>
      <w:r>
        <w:rPr>
          <w:szCs w:val="18"/>
          <w:lang w:val="ru-RU"/>
        </w:rPr>
        <w:tab/>
      </w:r>
      <w:r w:rsidRPr="00442C17">
        <w:rPr>
          <w:szCs w:val="18"/>
          <w:lang w:val="ru-RU"/>
        </w:rPr>
        <w:t>Включая, например, установление параметров для формирования механизма оказания социальных услуг жителям социально изолированных районов, поощрение создания и укрепления социальных служб в социально изолированных районах и применения ими инновационных подходов и другие меры.</w:t>
      </w:r>
    </w:p>
  </w:footnote>
  <w:footnote w:id="33">
    <w:p w:rsidR="00BD55C9" w:rsidRPr="00442C17" w:rsidRDefault="00BD55C9" w:rsidP="00442C17">
      <w:pPr>
        <w:pStyle w:val="FootnoteText"/>
        <w:spacing w:line="240" w:lineRule="auto"/>
        <w:rPr>
          <w:szCs w:val="18"/>
          <w:lang w:val="ru-RU"/>
        </w:rPr>
      </w:pPr>
      <w:r>
        <w:rPr>
          <w:szCs w:val="18"/>
          <w:lang w:val="ru-RU"/>
        </w:rPr>
        <w:tab/>
      </w:r>
      <w:r w:rsidRPr="00BC3D52">
        <w:rPr>
          <w:szCs w:val="18"/>
          <w:vertAlign w:val="superscript"/>
          <w:lang w:val="ru-RU"/>
        </w:rPr>
        <w:footnoteRef/>
      </w:r>
      <w:r>
        <w:rPr>
          <w:szCs w:val="18"/>
          <w:lang w:val="ru-RU"/>
        </w:rPr>
        <w:tab/>
      </w:r>
      <w:r w:rsidRPr="00442C17">
        <w:rPr>
          <w:szCs w:val="18"/>
          <w:lang w:val="ru-RU"/>
        </w:rPr>
        <w:t xml:space="preserve">Включая, например, использование активных стратегий при работе с семьями, ребенок которых был передан государственным органам опеки, с предотвращением в законодательном порядке случаев изъятия детей из семей по причинам экономического характера или жилищных условий. </w:t>
      </w:r>
    </w:p>
  </w:footnote>
  <w:footnote w:id="34">
    <w:p w:rsidR="00BD55C9" w:rsidRPr="00442C17" w:rsidRDefault="00BD55C9" w:rsidP="00442C17">
      <w:pPr>
        <w:pStyle w:val="FootnoteText"/>
        <w:spacing w:line="240" w:lineRule="auto"/>
        <w:rPr>
          <w:szCs w:val="18"/>
          <w:lang w:val="ru-RU"/>
        </w:rPr>
      </w:pPr>
      <w:r>
        <w:rPr>
          <w:szCs w:val="18"/>
          <w:lang w:val="ru-RU"/>
        </w:rPr>
        <w:tab/>
      </w:r>
      <w:r w:rsidRPr="00BC3D52">
        <w:rPr>
          <w:szCs w:val="18"/>
          <w:vertAlign w:val="superscript"/>
          <w:lang w:val="ru-RU"/>
        </w:rPr>
        <w:footnoteRef/>
      </w:r>
      <w:r>
        <w:rPr>
          <w:szCs w:val="18"/>
          <w:lang w:val="ru-RU"/>
        </w:rPr>
        <w:tab/>
      </w:r>
      <w:r w:rsidRPr="00442C17">
        <w:rPr>
          <w:szCs w:val="18"/>
          <w:lang w:val="ru-RU"/>
        </w:rPr>
        <w:t>Подробная информация о создании, задачах и функционировании Агентства по вопросам социальной интеграции была включена в предыдущий доклад.</w:t>
      </w:r>
    </w:p>
  </w:footnote>
  <w:footnote w:id="35">
    <w:p w:rsidR="00BD55C9" w:rsidRPr="00442C17" w:rsidRDefault="00BD55C9" w:rsidP="00442C17">
      <w:pPr>
        <w:pStyle w:val="FootnoteText"/>
        <w:spacing w:line="240" w:lineRule="auto"/>
        <w:rPr>
          <w:szCs w:val="18"/>
          <w:lang w:val="ru-RU"/>
        </w:rPr>
      </w:pPr>
      <w:r>
        <w:rPr>
          <w:szCs w:val="18"/>
          <w:lang w:val="ru-RU"/>
        </w:rPr>
        <w:tab/>
      </w:r>
      <w:r w:rsidRPr="00BC3D52">
        <w:rPr>
          <w:szCs w:val="18"/>
          <w:vertAlign w:val="superscript"/>
          <w:lang w:val="ru-RU"/>
        </w:rPr>
        <w:footnoteRef/>
      </w:r>
      <w:r>
        <w:rPr>
          <w:szCs w:val="18"/>
          <w:lang w:val="ru-RU"/>
        </w:rPr>
        <w:tab/>
      </w:r>
      <w:r w:rsidRPr="00442C17">
        <w:rPr>
          <w:szCs w:val="18"/>
          <w:lang w:val="ru-RU"/>
        </w:rPr>
        <w:t xml:space="preserve">Начиная с 1 января 2013 года Агентство предложило сотрудничество восьми муниципалитетам, а с 1 июля 2013 года – еще девяти муниципалитетам. Кроме того, 31 декабря 2012 года оно завершило сотрудничество с шестью </w:t>
      </w:r>
      <w:r>
        <w:rPr>
          <w:szCs w:val="18"/>
          <w:lang w:val="ru-RU"/>
        </w:rPr>
        <w:t>"</w:t>
      </w:r>
      <w:r w:rsidRPr="00442C17">
        <w:rPr>
          <w:szCs w:val="18"/>
          <w:lang w:val="ru-RU"/>
        </w:rPr>
        <w:t>экспериментальными</w:t>
      </w:r>
      <w:r>
        <w:rPr>
          <w:szCs w:val="18"/>
          <w:lang w:val="ru-RU"/>
        </w:rPr>
        <w:t>"</w:t>
      </w:r>
      <w:r w:rsidRPr="00442C17">
        <w:rPr>
          <w:szCs w:val="18"/>
          <w:lang w:val="ru-RU"/>
        </w:rPr>
        <w:t xml:space="preserve"> районами (сотрудничавшими с Агентством начиная с 2008 года).</w:t>
      </w:r>
    </w:p>
  </w:footnote>
  <w:footnote w:id="36">
    <w:p w:rsidR="00BD55C9" w:rsidRPr="00442C17" w:rsidRDefault="00BD55C9" w:rsidP="00442C17">
      <w:pPr>
        <w:pStyle w:val="FootnoteText"/>
        <w:spacing w:line="240" w:lineRule="auto"/>
        <w:rPr>
          <w:szCs w:val="18"/>
          <w:lang w:val="ru-RU"/>
        </w:rPr>
      </w:pPr>
      <w:r>
        <w:rPr>
          <w:szCs w:val="18"/>
          <w:vertAlign w:val="superscript"/>
          <w:lang w:val="ru-RU"/>
        </w:rPr>
        <w:tab/>
      </w:r>
      <w:r w:rsidRPr="00BC3D52">
        <w:rPr>
          <w:szCs w:val="18"/>
          <w:vertAlign w:val="superscript"/>
          <w:lang w:val="ru-RU"/>
        </w:rPr>
        <w:footnoteRef/>
      </w:r>
      <w:r w:rsidRPr="00BC3D52">
        <w:rPr>
          <w:szCs w:val="18"/>
          <w:vertAlign w:val="superscript"/>
          <w:lang w:val="ru-RU"/>
        </w:rPr>
        <w:t xml:space="preserve"> </w:t>
      </w:r>
      <w:r>
        <w:rPr>
          <w:szCs w:val="18"/>
          <w:vertAlign w:val="superscript"/>
          <w:lang w:val="ru-RU"/>
        </w:rPr>
        <w:tab/>
      </w:r>
      <w:r w:rsidRPr="00442C17">
        <w:rPr>
          <w:szCs w:val="18"/>
          <w:lang w:val="ru-RU"/>
        </w:rPr>
        <w:t>Региональные координаторы занимаются вопросами методологической поддержки, консультирования и координации действий сотрудников, работающих над решением проблем, с которыми сталкиваются рома, на территориях муниципалитетов с расширенными полномочиями.</w:t>
      </w:r>
    </w:p>
  </w:footnote>
  <w:footnote w:id="37">
    <w:p w:rsidR="00BD55C9" w:rsidRPr="00442C17" w:rsidRDefault="00BD55C9" w:rsidP="00442C17">
      <w:pPr>
        <w:pStyle w:val="FootnoteText"/>
        <w:spacing w:line="240" w:lineRule="auto"/>
        <w:rPr>
          <w:szCs w:val="18"/>
          <w:lang w:val="ru-RU"/>
        </w:rPr>
      </w:pPr>
      <w:r>
        <w:rPr>
          <w:szCs w:val="18"/>
          <w:lang w:val="ru-RU"/>
        </w:rPr>
        <w:tab/>
      </w:r>
      <w:r w:rsidRPr="00BC3D52">
        <w:rPr>
          <w:szCs w:val="18"/>
          <w:vertAlign w:val="superscript"/>
          <w:lang w:val="ru-RU"/>
        </w:rPr>
        <w:footnoteRef/>
      </w:r>
      <w:r>
        <w:rPr>
          <w:szCs w:val="18"/>
          <w:lang w:val="ru-RU"/>
        </w:rPr>
        <w:tab/>
      </w:r>
      <w:r w:rsidRPr="00442C17">
        <w:rPr>
          <w:szCs w:val="18"/>
          <w:lang w:val="ru-RU"/>
        </w:rPr>
        <w:t xml:space="preserve">Эти сотрудники заняты решением следующих задач: наблюдение за положением семей мигрантов и первичное выявление проблем социального и медицинского характера путем проведения неофициальных бесед; отслеживание (в зависимости от характера проблем) финансового положения, наличия долгов, случаев ареста имущества, проблем с жильем, трудоустройством и посещением детьми школ, взаимоотношений со школами, учебных достижений школьников, проблем во взаимоотношениях с властями и учреждениями и проблем криминального характера. Они призваны вести социальную работу на местах в соответствии со стандартами качества и методологиями соответствующих служб, в максимально возможной степени – в обычных местах проживания клиентов и под методологическим руководством координаторов социальных служб; они должны вести поиск ключевых партнеров в деле улучшения положения мигрирующих семей рома, а также устанавливать контакты с действующими на местном уровне общественными объединениями, учреждениями, занимающимися социальной и правовой защитой детей, ассоциациями преподавателей, консультантами по делам рома, региональными координаторами по делам рома, местными органами управления, социальными службами, органами муниципальной полиции и Полиции ЧР и, возможно, другими заинтересованными сторонами и, действуя в сотрудничестве с ними, проводить конференции по конкретным проблемам с использованием адресного подхода.  </w:t>
      </w:r>
    </w:p>
  </w:footnote>
  <w:footnote w:id="38">
    <w:p w:rsidR="00BD55C9" w:rsidRPr="00442C17" w:rsidRDefault="00BD55C9" w:rsidP="00442C17">
      <w:pPr>
        <w:pStyle w:val="FootnoteText"/>
        <w:spacing w:line="240" w:lineRule="auto"/>
        <w:rPr>
          <w:szCs w:val="18"/>
          <w:lang w:val="ru-RU"/>
        </w:rPr>
      </w:pPr>
      <w:r>
        <w:rPr>
          <w:szCs w:val="18"/>
          <w:lang w:val="ru-RU"/>
        </w:rPr>
        <w:tab/>
      </w:r>
      <w:r w:rsidRPr="006F210B">
        <w:rPr>
          <w:szCs w:val="18"/>
          <w:vertAlign w:val="superscript"/>
          <w:lang w:val="ru-RU"/>
        </w:rPr>
        <w:footnoteRef/>
      </w:r>
      <w:r>
        <w:rPr>
          <w:szCs w:val="18"/>
          <w:lang w:val="ru-RU"/>
        </w:rPr>
        <w:tab/>
      </w:r>
      <w:r w:rsidRPr="00442C17">
        <w:rPr>
          <w:szCs w:val="18"/>
          <w:lang w:val="ru-RU"/>
        </w:rPr>
        <w:t xml:space="preserve">Включая министерства культуры, по делам образования, молодежи и спорта, по делам труда и социальным вопросам, а также Канцелярию Правительства ЧР и другие ведомства. </w:t>
      </w:r>
    </w:p>
  </w:footnote>
  <w:footnote w:id="39">
    <w:p w:rsidR="00BD55C9" w:rsidRPr="00442C17" w:rsidRDefault="00BD55C9" w:rsidP="00442C17">
      <w:pPr>
        <w:pStyle w:val="FootnoteText"/>
        <w:spacing w:line="240" w:lineRule="auto"/>
        <w:rPr>
          <w:szCs w:val="18"/>
          <w:lang w:val="ru-RU"/>
        </w:rPr>
      </w:pPr>
      <w:r>
        <w:rPr>
          <w:szCs w:val="18"/>
          <w:lang w:val="ru-RU"/>
        </w:rPr>
        <w:tab/>
      </w:r>
      <w:r w:rsidRPr="00EA7713">
        <w:rPr>
          <w:szCs w:val="18"/>
          <w:vertAlign w:val="superscript"/>
          <w:lang w:val="ru-RU"/>
        </w:rPr>
        <w:footnoteRef/>
      </w:r>
      <w:r>
        <w:rPr>
          <w:szCs w:val="18"/>
          <w:lang w:val="ru-RU"/>
        </w:rPr>
        <w:tab/>
      </w:r>
      <w:r w:rsidRPr="00442C17">
        <w:rPr>
          <w:szCs w:val="18"/>
          <w:lang w:val="ru-RU"/>
        </w:rPr>
        <w:t>Статья 352 Уголовного кодекса.</w:t>
      </w:r>
    </w:p>
  </w:footnote>
  <w:footnote w:id="40">
    <w:p w:rsidR="00BD55C9" w:rsidRPr="00442C17" w:rsidRDefault="00BD55C9" w:rsidP="00442C17">
      <w:pPr>
        <w:pStyle w:val="FootnoteText"/>
        <w:spacing w:line="240" w:lineRule="auto"/>
        <w:rPr>
          <w:szCs w:val="18"/>
          <w:lang w:val="ru-RU"/>
        </w:rPr>
      </w:pPr>
      <w:r>
        <w:rPr>
          <w:szCs w:val="18"/>
          <w:lang w:val="ru-RU"/>
        </w:rPr>
        <w:tab/>
      </w:r>
      <w:r w:rsidRPr="00F11C08">
        <w:rPr>
          <w:szCs w:val="18"/>
          <w:vertAlign w:val="superscript"/>
          <w:lang w:val="ru-RU"/>
        </w:rPr>
        <w:footnoteRef/>
      </w:r>
      <w:r>
        <w:rPr>
          <w:szCs w:val="18"/>
          <w:lang w:val="ru-RU"/>
        </w:rPr>
        <w:tab/>
      </w:r>
      <w:r w:rsidRPr="00442C17">
        <w:rPr>
          <w:szCs w:val="18"/>
          <w:lang w:val="ru-RU"/>
        </w:rPr>
        <w:t>Там же, статья 353.</w:t>
      </w:r>
    </w:p>
  </w:footnote>
  <w:footnote w:id="41">
    <w:p w:rsidR="00BD55C9" w:rsidRPr="00442C17" w:rsidRDefault="00BD55C9" w:rsidP="00442C17">
      <w:pPr>
        <w:pStyle w:val="FootnoteText"/>
        <w:spacing w:line="240" w:lineRule="auto"/>
        <w:rPr>
          <w:szCs w:val="18"/>
          <w:lang w:val="ru-RU"/>
        </w:rPr>
      </w:pPr>
      <w:r>
        <w:rPr>
          <w:szCs w:val="18"/>
          <w:lang w:val="ru-RU"/>
        </w:rPr>
        <w:tab/>
      </w:r>
      <w:r w:rsidRPr="00F11C08">
        <w:rPr>
          <w:szCs w:val="18"/>
          <w:vertAlign w:val="superscript"/>
          <w:lang w:val="ru-RU"/>
        </w:rPr>
        <w:footnoteRef/>
      </w:r>
      <w:r>
        <w:rPr>
          <w:szCs w:val="18"/>
          <w:lang w:val="ru-RU"/>
        </w:rPr>
        <w:tab/>
      </w:r>
      <w:r w:rsidRPr="00442C17">
        <w:rPr>
          <w:szCs w:val="18"/>
          <w:lang w:val="ru-RU"/>
        </w:rPr>
        <w:t>Там же, статья 354.</w:t>
      </w:r>
    </w:p>
  </w:footnote>
  <w:footnote w:id="42">
    <w:p w:rsidR="00BD55C9" w:rsidRPr="00442C17" w:rsidRDefault="00BD55C9" w:rsidP="00442C17">
      <w:pPr>
        <w:pStyle w:val="FootnoteText"/>
        <w:spacing w:line="240" w:lineRule="auto"/>
        <w:rPr>
          <w:szCs w:val="18"/>
          <w:lang w:val="ru-RU"/>
        </w:rPr>
      </w:pPr>
      <w:r>
        <w:rPr>
          <w:szCs w:val="18"/>
          <w:lang w:val="ru-RU"/>
        </w:rPr>
        <w:tab/>
      </w:r>
      <w:r w:rsidRPr="00F11C08">
        <w:rPr>
          <w:szCs w:val="18"/>
          <w:vertAlign w:val="superscript"/>
          <w:lang w:val="ru-RU"/>
        </w:rPr>
        <w:footnoteRef/>
      </w:r>
      <w:r>
        <w:rPr>
          <w:szCs w:val="18"/>
          <w:lang w:val="ru-RU"/>
        </w:rPr>
        <w:tab/>
      </w:r>
      <w:r w:rsidRPr="00442C17">
        <w:rPr>
          <w:szCs w:val="18"/>
          <w:lang w:val="ru-RU"/>
        </w:rPr>
        <w:t>Там же, статья 355.</w:t>
      </w:r>
    </w:p>
  </w:footnote>
  <w:footnote w:id="43">
    <w:p w:rsidR="00BD55C9" w:rsidRPr="00442C17" w:rsidRDefault="00BD55C9" w:rsidP="00442C17">
      <w:pPr>
        <w:pStyle w:val="FootnoteText"/>
        <w:spacing w:line="240" w:lineRule="auto"/>
        <w:rPr>
          <w:szCs w:val="18"/>
          <w:lang w:val="ru-RU"/>
        </w:rPr>
      </w:pPr>
      <w:r>
        <w:rPr>
          <w:szCs w:val="18"/>
          <w:lang w:val="ru-RU"/>
        </w:rPr>
        <w:tab/>
      </w:r>
      <w:r w:rsidRPr="00F11C08">
        <w:rPr>
          <w:szCs w:val="18"/>
          <w:vertAlign w:val="superscript"/>
          <w:lang w:val="ru-RU"/>
        </w:rPr>
        <w:footnoteRef/>
      </w:r>
      <w:r>
        <w:rPr>
          <w:szCs w:val="18"/>
          <w:lang w:val="ru-RU"/>
        </w:rPr>
        <w:tab/>
      </w:r>
      <w:r w:rsidRPr="00442C17">
        <w:rPr>
          <w:szCs w:val="18"/>
          <w:lang w:val="ru-RU"/>
        </w:rPr>
        <w:t>Там же, статья 356.</w:t>
      </w:r>
    </w:p>
  </w:footnote>
  <w:footnote w:id="44">
    <w:p w:rsidR="00BD55C9" w:rsidRPr="00442C17" w:rsidRDefault="00BD55C9" w:rsidP="00442C17">
      <w:pPr>
        <w:pStyle w:val="FootnoteText"/>
        <w:spacing w:line="240" w:lineRule="auto"/>
        <w:rPr>
          <w:szCs w:val="18"/>
          <w:lang w:val="ru-RU"/>
        </w:rPr>
      </w:pPr>
      <w:r>
        <w:rPr>
          <w:szCs w:val="18"/>
          <w:lang w:val="ru-RU"/>
        </w:rPr>
        <w:tab/>
      </w:r>
      <w:r w:rsidRPr="00F11C08">
        <w:rPr>
          <w:szCs w:val="18"/>
          <w:vertAlign w:val="superscript"/>
          <w:lang w:val="ru-RU"/>
        </w:rPr>
        <w:footnoteRef/>
      </w:r>
      <w:r>
        <w:rPr>
          <w:szCs w:val="18"/>
          <w:lang w:val="ru-RU"/>
        </w:rPr>
        <w:tab/>
      </w:r>
      <w:r w:rsidRPr="00442C17">
        <w:rPr>
          <w:szCs w:val="18"/>
          <w:lang w:val="ru-RU"/>
        </w:rPr>
        <w:t>Там же, статья 400.</w:t>
      </w:r>
    </w:p>
  </w:footnote>
  <w:footnote w:id="45">
    <w:p w:rsidR="00BD55C9" w:rsidRPr="00442C17" w:rsidRDefault="00BD55C9" w:rsidP="00442C17">
      <w:pPr>
        <w:pStyle w:val="FootnoteText"/>
        <w:spacing w:line="240" w:lineRule="auto"/>
        <w:rPr>
          <w:szCs w:val="18"/>
          <w:lang w:val="ru-RU"/>
        </w:rPr>
      </w:pPr>
      <w:r>
        <w:rPr>
          <w:szCs w:val="18"/>
          <w:lang w:val="ru-RU"/>
        </w:rPr>
        <w:tab/>
      </w:r>
      <w:r w:rsidRPr="00F11C08">
        <w:rPr>
          <w:szCs w:val="18"/>
          <w:vertAlign w:val="superscript"/>
          <w:lang w:val="ru-RU"/>
        </w:rPr>
        <w:footnoteRef/>
      </w:r>
      <w:r>
        <w:rPr>
          <w:szCs w:val="18"/>
          <w:lang w:val="ru-RU"/>
        </w:rPr>
        <w:tab/>
      </w:r>
      <w:r w:rsidRPr="00442C17">
        <w:rPr>
          <w:szCs w:val="18"/>
          <w:lang w:val="ru-RU"/>
        </w:rPr>
        <w:t>Там же, статья 401.</w:t>
      </w:r>
    </w:p>
  </w:footnote>
  <w:footnote w:id="46">
    <w:p w:rsidR="00BD55C9" w:rsidRPr="00442C17" w:rsidRDefault="00BD55C9" w:rsidP="00442C17">
      <w:pPr>
        <w:pStyle w:val="FootnoteText"/>
        <w:spacing w:line="240" w:lineRule="auto"/>
        <w:rPr>
          <w:szCs w:val="18"/>
          <w:lang w:val="ru-RU"/>
        </w:rPr>
      </w:pPr>
      <w:r>
        <w:rPr>
          <w:szCs w:val="18"/>
          <w:lang w:val="ru-RU"/>
        </w:rPr>
        <w:tab/>
      </w:r>
      <w:r w:rsidRPr="001025EA">
        <w:rPr>
          <w:szCs w:val="18"/>
          <w:vertAlign w:val="superscript"/>
          <w:lang w:val="ru-RU"/>
        </w:rPr>
        <w:footnoteRef/>
      </w:r>
      <w:r w:rsidRPr="00442C17">
        <w:rPr>
          <w:szCs w:val="18"/>
          <w:lang w:val="ru-RU"/>
        </w:rPr>
        <w:t xml:space="preserve"> </w:t>
      </w:r>
      <w:r>
        <w:rPr>
          <w:szCs w:val="18"/>
          <w:lang w:val="ru-RU"/>
        </w:rPr>
        <w:tab/>
      </w:r>
      <w:r w:rsidRPr="00442C17">
        <w:rPr>
          <w:szCs w:val="18"/>
          <w:lang w:val="ru-RU"/>
        </w:rPr>
        <w:t>Там же, статья 402.</w:t>
      </w:r>
    </w:p>
  </w:footnote>
  <w:footnote w:id="47">
    <w:p w:rsidR="00BD55C9" w:rsidRPr="00442C17" w:rsidRDefault="00BD55C9" w:rsidP="00442C17">
      <w:pPr>
        <w:pStyle w:val="FootnoteText"/>
        <w:spacing w:line="240" w:lineRule="auto"/>
        <w:rPr>
          <w:szCs w:val="18"/>
          <w:lang w:val="ru-RU"/>
        </w:rPr>
      </w:pPr>
      <w:r>
        <w:rPr>
          <w:szCs w:val="18"/>
          <w:lang w:val="ru-RU"/>
        </w:rPr>
        <w:tab/>
      </w:r>
      <w:r w:rsidRPr="001025EA">
        <w:rPr>
          <w:szCs w:val="18"/>
          <w:vertAlign w:val="superscript"/>
          <w:lang w:val="ru-RU"/>
        </w:rPr>
        <w:footnoteRef/>
      </w:r>
      <w:r>
        <w:rPr>
          <w:szCs w:val="18"/>
          <w:lang w:val="ru-RU"/>
        </w:rPr>
        <w:tab/>
      </w:r>
      <w:r w:rsidRPr="00442C17">
        <w:rPr>
          <w:szCs w:val="18"/>
          <w:lang w:val="ru-RU"/>
        </w:rPr>
        <w:t>Там же, статья 413.</w:t>
      </w:r>
    </w:p>
  </w:footnote>
  <w:footnote w:id="48">
    <w:p w:rsidR="00BD55C9" w:rsidRPr="00442C17" w:rsidRDefault="00BD55C9" w:rsidP="00442C17">
      <w:pPr>
        <w:pStyle w:val="FootnoteText"/>
        <w:spacing w:line="240" w:lineRule="auto"/>
        <w:rPr>
          <w:szCs w:val="18"/>
          <w:lang w:val="ru-RU"/>
        </w:rPr>
      </w:pPr>
      <w:r>
        <w:rPr>
          <w:szCs w:val="18"/>
          <w:lang w:val="ru-RU"/>
        </w:rPr>
        <w:tab/>
      </w:r>
      <w:r w:rsidRPr="001025EA">
        <w:rPr>
          <w:szCs w:val="18"/>
          <w:vertAlign w:val="superscript"/>
          <w:lang w:val="ru-RU"/>
        </w:rPr>
        <w:footnoteRef/>
      </w:r>
      <w:r w:rsidRPr="00442C17">
        <w:rPr>
          <w:szCs w:val="18"/>
          <w:lang w:val="ru-RU"/>
        </w:rPr>
        <w:t xml:space="preserve"> </w:t>
      </w:r>
      <w:r>
        <w:rPr>
          <w:szCs w:val="18"/>
          <w:lang w:val="ru-RU"/>
        </w:rPr>
        <w:tab/>
      </w:r>
      <w:r w:rsidRPr="00442C17">
        <w:rPr>
          <w:szCs w:val="18"/>
          <w:lang w:val="ru-RU"/>
        </w:rPr>
        <w:t>Там же, статья 403.</w:t>
      </w:r>
    </w:p>
  </w:footnote>
  <w:footnote w:id="49">
    <w:p w:rsidR="00BD55C9" w:rsidRPr="00442C17" w:rsidRDefault="00BD55C9" w:rsidP="00442C17">
      <w:pPr>
        <w:pStyle w:val="FootnoteText"/>
        <w:spacing w:line="240" w:lineRule="auto"/>
        <w:rPr>
          <w:szCs w:val="18"/>
          <w:lang w:val="ru-RU"/>
        </w:rPr>
      </w:pPr>
      <w:r>
        <w:rPr>
          <w:szCs w:val="18"/>
          <w:lang w:val="ru-RU"/>
        </w:rPr>
        <w:tab/>
      </w:r>
      <w:r w:rsidRPr="001025EA">
        <w:rPr>
          <w:szCs w:val="18"/>
          <w:vertAlign w:val="superscript"/>
          <w:lang w:val="ru-RU"/>
        </w:rPr>
        <w:footnoteRef/>
      </w:r>
      <w:r w:rsidRPr="00442C17">
        <w:rPr>
          <w:szCs w:val="18"/>
          <w:lang w:val="ru-RU"/>
        </w:rPr>
        <w:t xml:space="preserve"> </w:t>
      </w:r>
      <w:r>
        <w:rPr>
          <w:szCs w:val="18"/>
          <w:lang w:val="ru-RU"/>
        </w:rPr>
        <w:tab/>
      </w:r>
      <w:r w:rsidRPr="00442C17">
        <w:rPr>
          <w:szCs w:val="18"/>
          <w:lang w:val="ru-RU"/>
        </w:rPr>
        <w:t>Там же, статья 404.</w:t>
      </w:r>
    </w:p>
  </w:footnote>
  <w:footnote w:id="50">
    <w:p w:rsidR="00BD55C9" w:rsidRPr="00442C17" w:rsidRDefault="00BD55C9" w:rsidP="00442C17">
      <w:pPr>
        <w:pStyle w:val="FootnoteText"/>
        <w:spacing w:line="240" w:lineRule="auto"/>
        <w:rPr>
          <w:szCs w:val="18"/>
          <w:lang w:val="ru-RU"/>
        </w:rPr>
      </w:pPr>
      <w:r>
        <w:rPr>
          <w:szCs w:val="18"/>
          <w:lang w:val="ru-RU"/>
        </w:rPr>
        <w:tab/>
      </w:r>
      <w:r w:rsidRPr="001025EA">
        <w:rPr>
          <w:szCs w:val="18"/>
          <w:vertAlign w:val="superscript"/>
          <w:lang w:val="ru-RU"/>
        </w:rPr>
        <w:footnoteRef/>
      </w:r>
      <w:r w:rsidRPr="00442C17">
        <w:rPr>
          <w:szCs w:val="18"/>
          <w:lang w:val="ru-RU"/>
        </w:rPr>
        <w:t xml:space="preserve"> </w:t>
      </w:r>
      <w:r>
        <w:rPr>
          <w:szCs w:val="18"/>
          <w:lang w:val="ru-RU"/>
        </w:rPr>
        <w:tab/>
      </w:r>
      <w:r w:rsidRPr="00442C17">
        <w:rPr>
          <w:szCs w:val="18"/>
          <w:lang w:val="ru-RU"/>
        </w:rPr>
        <w:t>Там же, статья 140.</w:t>
      </w:r>
    </w:p>
  </w:footnote>
  <w:footnote w:id="51">
    <w:p w:rsidR="00BD55C9" w:rsidRPr="00442C17" w:rsidRDefault="00BD55C9" w:rsidP="00442C17">
      <w:pPr>
        <w:pStyle w:val="FootnoteText"/>
        <w:spacing w:line="240" w:lineRule="auto"/>
        <w:rPr>
          <w:szCs w:val="18"/>
          <w:lang w:val="ru-RU"/>
        </w:rPr>
      </w:pPr>
      <w:r>
        <w:rPr>
          <w:szCs w:val="18"/>
          <w:lang w:val="ru-RU"/>
        </w:rPr>
        <w:tab/>
      </w:r>
      <w:r w:rsidRPr="001025EA">
        <w:rPr>
          <w:szCs w:val="18"/>
          <w:vertAlign w:val="superscript"/>
          <w:lang w:val="ru-RU"/>
        </w:rPr>
        <w:footnoteRef/>
      </w:r>
      <w:r>
        <w:rPr>
          <w:szCs w:val="18"/>
          <w:lang w:val="ru-RU"/>
        </w:rPr>
        <w:tab/>
      </w:r>
      <w:r w:rsidRPr="00442C17">
        <w:rPr>
          <w:szCs w:val="18"/>
          <w:lang w:val="ru-RU"/>
        </w:rPr>
        <w:t xml:space="preserve">Там же, статьи 145 и 146. </w:t>
      </w:r>
    </w:p>
  </w:footnote>
  <w:footnote w:id="52">
    <w:p w:rsidR="00BD55C9" w:rsidRPr="00442C17" w:rsidRDefault="00BD55C9" w:rsidP="00442C17">
      <w:pPr>
        <w:pStyle w:val="FootnoteText"/>
        <w:spacing w:line="240" w:lineRule="auto"/>
        <w:rPr>
          <w:szCs w:val="18"/>
          <w:lang w:val="ru-RU"/>
        </w:rPr>
      </w:pPr>
      <w:r>
        <w:rPr>
          <w:szCs w:val="18"/>
          <w:lang w:val="ru-RU"/>
        </w:rPr>
        <w:tab/>
      </w:r>
      <w:r w:rsidRPr="001025EA">
        <w:rPr>
          <w:szCs w:val="18"/>
          <w:vertAlign w:val="superscript"/>
          <w:lang w:val="ru-RU"/>
        </w:rPr>
        <w:footnoteRef/>
      </w:r>
      <w:r w:rsidRPr="00442C17">
        <w:rPr>
          <w:szCs w:val="18"/>
          <w:lang w:val="ru-RU"/>
        </w:rPr>
        <w:t xml:space="preserve"> </w:t>
      </w:r>
      <w:r>
        <w:rPr>
          <w:szCs w:val="18"/>
          <w:lang w:val="ru-RU"/>
        </w:rPr>
        <w:tab/>
      </w:r>
      <w:r w:rsidRPr="00442C17">
        <w:rPr>
          <w:szCs w:val="18"/>
          <w:lang w:val="ru-RU"/>
        </w:rPr>
        <w:t>Там же, статья 149.</w:t>
      </w:r>
    </w:p>
  </w:footnote>
  <w:footnote w:id="53">
    <w:p w:rsidR="00BD55C9" w:rsidRPr="00442C17" w:rsidRDefault="00BD55C9" w:rsidP="00442C17">
      <w:pPr>
        <w:pStyle w:val="FootnoteText"/>
        <w:spacing w:line="240" w:lineRule="auto"/>
        <w:rPr>
          <w:szCs w:val="18"/>
          <w:lang w:val="ru-RU"/>
        </w:rPr>
      </w:pPr>
      <w:r>
        <w:rPr>
          <w:szCs w:val="18"/>
          <w:lang w:val="ru-RU"/>
        </w:rPr>
        <w:tab/>
      </w:r>
      <w:r w:rsidRPr="001025EA">
        <w:rPr>
          <w:szCs w:val="18"/>
          <w:vertAlign w:val="superscript"/>
          <w:lang w:val="ru-RU"/>
        </w:rPr>
        <w:footnoteRef/>
      </w:r>
      <w:r w:rsidRPr="00442C17">
        <w:rPr>
          <w:szCs w:val="18"/>
          <w:lang w:val="ru-RU"/>
        </w:rPr>
        <w:t xml:space="preserve"> </w:t>
      </w:r>
      <w:r>
        <w:rPr>
          <w:szCs w:val="18"/>
          <w:lang w:val="ru-RU"/>
        </w:rPr>
        <w:tab/>
      </w:r>
      <w:r w:rsidRPr="00442C17">
        <w:rPr>
          <w:szCs w:val="18"/>
          <w:lang w:val="ru-RU"/>
        </w:rPr>
        <w:t>Там же, статьи 170 и 171.</w:t>
      </w:r>
    </w:p>
  </w:footnote>
  <w:footnote w:id="54">
    <w:p w:rsidR="00BD55C9" w:rsidRPr="00442C17" w:rsidRDefault="00BD55C9" w:rsidP="00442C17">
      <w:pPr>
        <w:pStyle w:val="FootnoteText"/>
        <w:spacing w:line="240" w:lineRule="auto"/>
        <w:rPr>
          <w:szCs w:val="18"/>
          <w:lang w:val="ru-RU"/>
        </w:rPr>
      </w:pPr>
      <w:r>
        <w:rPr>
          <w:szCs w:val="18"/>
          <w:lang w:val="ru-RU"/>
        </w:rPr>
        <w:tab/>
      </w:r>
      <w:r w:rsidRPr="001025EA">
        <w:rPr>
          <w:szCs w:val="18"/>
          <w:vertAlign w:val="superscript"/>
          <w:lang w:val="ru-RU"/>
        </w:rPr>
        <w:footnoteRef/>
      </w:r>
      <w:r w:rsidRPr="00442C17">
        <w:rPr>
          <w:szCs w:val="18"/>
          <w:lang w:val="ru-RU"/>
        </w:rPr>
        <w:t xml:space="preserve"> </w:t>
      </w:r>
      <w:r>
        <w:rPr>
          <w:szCs w:val="18"/>
          <w:lang w:val="ru-RU"/>
        </w:rPr>
        <w:tab/>
      </w:r>
      <w:r w:rsidRPr="00442C17">
        <w:rPr>
          <w:szCs w:val="18"/>
          <w:lang w:val="ru-RU"/>
        </w:rPr>
        <w:t>Там же, статья 172.</w:t>
      </w:r>
    </w:p>
  </w:footnote>
  <w:footnote w:id="55">
    <w:p w:rsidR="00BD55C9" w:rsidRPr="00442C17" w:rsidRDefault="00BD55C9" w:rsidP="00442C17">
      <w:pPr>
        <w:pStyle w:val="FootnoteText"/>
        <w:spacing w:line="240" w:lineRule="auto"/>
        <w:rPr>
          <w:szCs w:val="18"/>
          <w:lang w:val="ru-RU"/>
        </w:rPr>
      </w:pPr>
      <w:r>
        <w:rPr>
          <w:szCs w:val="18"/>
          <w:lang w:val="ru-RU"/>
        </w:rPr>
        <w:tab/>
      </w:r>
      <w:r w:rsidRPr="001025EA">
        <w:rPr>
          <w:szCs w:val="18"/>
          <w:vertAlign w:val="superscript"/>
          <w:lang w:val="ru-RU"/>
        </w:rPr>
        <w:footnoteRef/>
      </w:r>
      <w:r w:rsidRPr="00442C17">
        <w:rPr>
          <w:szCs w:val="18"/>
          <w:lang w:val="ru-RU"/>
        </w:rPr>
        <w:t xml:space="preserve"> </w:t>
      </w:r>
      <w:r>
        <w:rPr>
          <w:szCs w:val="18"/>
          <w:lang w:val="ru-RU"/>
        </w:rPr>
        <w:tab/>
      </w:r>
      <w:r w:rsidRPr="00442C17">
        <w:rPr>
          <w:szCs w:val="18"/>
          <w:lang w:val="ru-RU"/>
        </w:rPr>
        <w:t>Там же, статья 175.</w:t>
      </w:r>
    </w:p>
  </w:footnote>
  <w:footnote w:id="56">
    <w:p w:rsidR="00BD55C9" w:rsidRPr="00442C17" w:rsidRDefault="00BD55C9" w:rsidP="00442C17">
      <w:pPr>
        <w:pStyle w:val="FootnoteText"/>
        <w:spacing w:line="240" w:lineRule="auto"/>
        <w:rPr>
          <w:szCs w:val="18"/>
          <w:lang w:val="ru-RU"/>
        </w:rPr>
      </w:pPr>
      <w:r>
        <w:rPr>
          <w:szCs w:val="18"/>
          <w:lang w:val="ru-RU"/>
        </w:rPr>
        <w:tab/>
      </w:r>
      <w:r w:rsidRPr="001025EA">
        <w:rPr>
          <w:szCs w:val="18"/>
          <w:vertAlign w:val="superscript"/>
          <w:lang w:val="ru-RU"/>
        </w:rPr>
        <w:footnoteRef/>
      </w:r>
      <w:r w:rsidRPr="00442C17">
        <w:rPr>
          <w:szCs w:val="18"/>
          <w:lang w:val="ru-RU"/>
        </w:rPr>
        <w:t xml:space="preserve"> </w:t>
      </w:r>
      <w:r>
        <w:rPr>
          <w:szCs w:val="18"/>
          <w:lang w:val="ru-RU"/>
        </w:rPr>
        <w:tab/>
      </w:r>
      <w:r w:rsidRPr="00442C17">
        <w:rPr>
          <w:szCs w:val="18"/>
          <w:lang w:val="ru-RU"/>
        </w:rPr>
        <w:t>Там же, статья 228.</w:t>
      </w:r>
    </w:p>
  </w:footnote>
  <w:footnote w:id="57">
    <w:p w:rsidR="00BD55C9" w:rsidRPr="00442C17" w:rsidRDefault="00BD55C9" w:rsidP="00442C17">
      <w:pPr>
        <w:pStyle w:val="FootnoteText"/>
        <w:spacing w:line="240" w:lineRule="auto"/>
        <w:rPr>
          <w:szCs w:val="18"/>
          <w:lang w:val="ru-RU"/>
        </w:rPr>
      </w:pPr>
      <w:r>
        <w:rPr>
          <w:szCs w:val="18"/>
          <w:lang w:val="ru-RU"/>
        </w:rPr>
        <w:tab/>
      </w:r>
      <w:r w:rsidRPr="001025EA">
        <w:rPr>
          <w:szCs w:val="18"/>
          <w:vertAlign w:val="superscript"/>
          <w:lang w:val="ru-RU"/>
        </w:rPr>
        <w:footnoteRef/>
      </w:r>
      <w:r>
        <w:rPr>
          <w:szCs w:val="18"/>
          <w:lang w:val="ru-RU"/>
        </w:rPr>
        <w:tab/>
      </w:r>
      <w:r w:rsidRPr="00442C17">
        <w:rPr>
          <w:szCs w:val="18"/>
          <w:lang w:val="ru-RU"/>
        </w:rPr>
        <w:t xml:space="preserve">Там же, статья 329. </w:t>
      </w:r>
    </w:p>
  </w:footnote>
  <w:footnote w:id="58">
    <w:p w:rsidR="00BD55C9" w:rsidRPr="00442C17" w:rsidRDefault="00BD55C9" w:rsidP="00442C17">
      <w:pPr>
        <w:pStyle w:val="FootnoteText"/>
        <w:spacing w:line="240" w:lineRule="auto"/>
        <w:rPr>
          <w:szCs w:val="18"/>
          <w:lang w:val="ru-RU"/>
        </w:rPr>
      </w:pPr>
      <w:r>
        <w:rPr>
          <w:szCs w:val="18"/>
          <w:lang w:val="ru-RU"/>
        </w:rPr>
        <w:tab/>
      </w:r>
      <w:r w:rsidRPr="001025EA">
        <w:rPr>
          <w:szCs w:val="18"/>
          <w:vertAlign w:val="superscript"/>
          <w:lang w:val="ru-RU"/>
        </w:rPr>
        <w:footnoteRef/>
      </w:r>
      <w:r w:rsidRPr="00442C17">
        <w:rPr>
          <w:szCs w:val="18"/>
          <w:lang w:val="ru-RU"/>
        </w:rPr>
        <w:t xml:space="preserve"> </w:t>
      </w:r>
      <w:r>
        <w:rPr>
          <w:szCs w:val="18"/>
          <w:lang w:val="ru-RU"/>
        </w:rPr>
        <w:tab/>
      </w:r>
      <w:r w:rsidRPr="00442C17">
        <w:rPr>
          <w:szCs w:val="18"/>
          <w:lang w:val="ru-RU"/>
        </w:rPr>
        <w:t>Там же, статья 42, часть b.</w:t>
      </w:r>
    </w:p>
  </w:footnote>
  <w:footnote w:id="59">
    <w:p w:rsidR="00BD55C9" w:rsidRPr="00442C17" w:rsidRDefault="00BD55C9" w:rsidP="00442C17">
      <w:pPr>
        <w:pStyle w:val="FootnoteText"/>
        <w:spacing w:line="240" w:lineRule="auto"/>
        <w:rPr>
          <w:szCs w:val="18"/>
          <w:lang w:val="ru-RU"/>
        </w:rPr>
      </w:pPr>
      <w:r>
        <w:rPr>
          <w:szCs w:val="18"/>
          <w:lang w:val="ru-RU"/>
        </w:rPr>
        <w:tab/>
      </w:r>
      <w:r w:rsidRPr="00DC758C">
        <w:rPr>
          <w:szCs w:val="18"/>
          <w:vertAlign w:val="superscript"/>
          <w:lang w:val="ru-RU"/>
        </w:rPr>
        <w:footnoteRef/>
      </w:r>
      <w:r>
        <w:rPr>
          <w:szCs w:val="18"/>
          <w:lang w:val="ru-RU"/>
        </w:rPr>
        <w:tab/>
      </w:r>
      <w:r w:rsidRPr="00442C17">
        <w:rPr>
          <w:szCs w:val="18"/>
          <w:lang w:val="ru-RU"/>
        </w:rPr>
        <w:t xml:space="preserve">Статья 36 (1) и статья 40 Хартии, статья 6 (1) и (3) Конвенции о защите прав человека и основных свобод и статья 14 (1 и 3) Международного пакта о гражданских и политических правах. </w:t>
      </w:r>
    </w:p>
  </w:footnote>
  <w:footnote w:id="60">
    <w:p w:rsidR="00BD55C9" w:rsidRPr="00442C17" w:rsidRDefault="00BD55C9" w:rsidP="00442C17">
      <w:pPr>
        <w:pStyle w:val="FootnoteText"/>
        <w:spacing w:line="240" w:lineRule="auto"/>
        <w:rPr>
          <w:szCs w:val="18"/>
          <w:lang w:val="ru-RU"/>
        </w:rPr>
      </w:pPr>
      <w:r>
        <w:rPr>
          <w:szCs w:val="18"/>
          <w:lang w:val="ru-RU"/>
        </w:rPr>
        <w:tab/>
      </w:r>
      <w:r w:rsidRPr="00DC758C">
        <w:rPr>
          <w:szCs w:val="18"/>
          <w:vertAlign w:val="superscript"/>
          <w:lang w:val="ru-RU"/>
        </w:rPr>
        <w:footnoteRef/>
      </w:r>
      <w:r>
        <w:rPr>
          <w:szCs w:val="18"/>
          <w:lang w:val="ru-RU"/>
        </w:rPr>
        <w:tab/>
      </w:r>
      <w:r w:rsidRPr="00442C17">
        <w:rPr>
          <w:szCs w:val="18"/>
          <w:lang w:val="ru-RU"/>
        </w:rPr>
        <w:t>Статья 40 (2) Хартии основных прав и свобод, статья 6 (2) Конвенции о защите прав человека и основных свобод и статья 14 (2) Международного пакта о гражданских и политических правах. См. также статью 2 (2) Уголовно-процессуального кодекса.</w:t>
      </w:r>
    </w:p>
  </w:footnote>
  <w:footnote w:id="61">
    <w:p w:rsidR="00BD55C9" w:rsidRPr="00442C17" w:rsidRDefault="00BD55C9" w:rsidP="00442C17">
      <w:pPr>
        <w:pStyle w:val="FootnoteText"/>
        <w:spacing w:line="240" w:lineRule="auto"/>
        <w:rPr>
          <w:szCs w:val="18"/>
          <w:lang w:val="ru-RU"/>
        </w:rPr>
      </w:pPr>
      <w:r>
        <w:rPr>
          <w:szCs w:val="18"/>
          <w:lang w:val="ru-RU"/>
        </w:rPr>
        <w:tab/>
      </w:r>
      <w:r w:rsidRPr="00DC758C">
        <w:rPr>
          <w:szCs w:val="18"/>
          <w:vertAlign w:val="superscript"/>
          <w:lang w:val="ru-RU"/>
        </w:rPr>
        <w:footnoteRef/>
      </w:r>
      <w:r>
        <w:rPr>
          <w:szCs w:val="18"/>
          <w:lang w:val="ru-RU"/>
        </w:rPr>
        <w:tab/>
      </w:r>
      <w:r w:rsidRPr="00442C17">
        <w:rPr>
          <w:szCs w:val="18"/>
          <w:lang w:val="ru-RU"/>
        </w:rPr>
        <w:t>Статья 2 (5) Уголовно-процессуального кодекса.</w:t>
      </w:r>
    </w:p>
  </w:footnote>
  <w:footnote w:id="62">
    <w:p w:rsidR="00BD55C9" w:rsidRPr="00442C17" w:rsidRDefault="00BD55C9" w:rsidP="00442C17">
      <w:pPr>
        <w:pStyle w:val="FootnoteText"/>
        <w:spacing w:line="240" w:lineRule="auto"/>
        <w:rPr>
          <w:szCs w:val="18"/>
          <w:lang w:val="ru-RU"/>
        </w:rPr>
      </w:pPr>
      <w:r>
        <w:rPr>
          <w:szCs w:val="18"/>
          <w:lang w:val="ru-RU"/>
        </w:rPr>
        <w:tab/>
      </w:r>
      <w:r w:rsidRPr="00DC758C">
        <w:rPr>
          <w:szCs w:val="18"/>
          <w:vertAlign w:val="superscript"/>
          <w:lang w:val="ru-RU"/>
        </w:rPr>
        <w:footnoteRef/>
      </w:r>
      <w:r>
        <w:rPr>
          <w:szCs w:val="18"/>
          <w:lang w:val="ru-RU"/>
        </w:rPr>
        <w:tab/>
      </w:r>
      <w:r w:rsidRPr="00442C17">
        <w:rPr>
          <w:szCs w:val="18"/>
          <w:lang w:val="ru-RU"/>
        </w:rPr>
        <w:t xml:space="preserve">Статья 73 Общих инструкций Генерального прокурора № 8/2009 относительно уголовного судопроизводства (с поправками).  </w:t>
      </w:r>
    </w:p>
  </w:footnote>
  <w:footnote w:id="63">
    <w:p w:rsidR="00BD55C9" w:rsidRPr="00442C17" w:rsidRDefault="00BD55C9" w:rsidP="00442C17">
      <w:pPr>
        <w:pStyle w:val="FootnoteText"/>
        <w:spacing w:line="240" w:lineRule="auto"/>
        <w:rPr>
          <w:szCs w:val="18"/>
          <w:lang w:val="ru-RU"/>
        </w:rPr>
      </w:pPr>
      <w:r>
        <w:rPr>
          <w:szCs w:val="18"/>
          <w:lang w:val="ru-RU"/>
        </w:rPr>
        <w:tab/>
      </w:r>
      <w:r w:rsidRPr="00FB5360">
        <w:rPr>
          <w:szCs w:val="18"/>
          <w:vertAlign w:val="superscript"/>
          <w:lang w:val="ru-RU"/>
        </w:rPr>
        <w:footnoteRef/>
      </w:r>
      <w:r>
        <w:rPr>
          <w:szCs w:val="18"/>
          <w:lang w:val="ru-RU"/>
        </w:rPr>
        <w:tab/>
      </w:r>
      <w:r w:rsidRPr="00442C17">
        <w:rPr>
          <w:szCs w:val="18"/>
          <w:lang w:val="ru-RU"/>
        </w:rPr>
        <w:t xml:space="preserve">Статья 1 Хартии. </w:t>
      </w:r>
    </w:p>
  </w:footnote>
  <w:footnote w:id="64">
    <w:p w:rsidR="00BD55C9" w:rsidRPr="00442C17" w:rsidRDefault="00BD55C9" w:rsidP="00442C17">
      <w:pPr>
        <w:pStyle w:val="FootnoteText"/>
        <w:spacing w:line="240" w:lineRule="auto"/>
        <w:rPr>
          <w:szCs w:val="18"/>
          <w:lang w:val="ru-RU"/>
        </w:rPr>
      </w:pPr>
      <w:r>
        <w:rPr>
          <w:szCs w:val="18"/>
          <w:lang w:val="ru-RU"/>
        </w:rPr>
        <w:tab/>
      </w:r>
      <w:r w:rsidRPr="00FB5360">
        <w:rPr>
          <w:szCs w:val="18"/>
          <w:vertAlign w:val="superscript"/>
          <w:lang w:val="ru-RU"/>
        </w:rPr>
        <w:footnoteRef/>
      </w:r>
      <w:r>
        <w:rPr>
          <w:szCs w:val="18"/>
          <w:lang w:val="ru-RU"/>
        </w:rPr>
        <w:tab/>
      </w:r>
      <w:r w:rsidRPr="00442C17">
        <w:rPr>
          <w:szCs w:val="18"/>
          <w:lang w:val="ru-RU"/>
        </w:rPr>
        <w:t xml:space="preserve">См., например, статью 14 Конвенции о защите прав человека и основных свобод или статью 2 (1) и статью 26 Международного пакта о гражданских и политических правах, а также статью 2 (2) Международного пакта об экономических, социальных и культурных правах. </w:t>
      </w:r>
    </w:p>
  </w:footnote>
  <w:footnote w:id="65">
    <w:p w:rsidR="00BD55C9" w:rsidRPr="00442C17" w:rsidRDefault="00BD55C9" w:rsidP="00442C17">
      <w:pPr>
        <w:pStyle w:val="FootnoteText"/>
        <w:spacing w:line="240" w:lineRule="auto"/>
        <w:rPr>
          <w:szCs w:val="18"/>
          <w:lang w:val="ru-RU"/>
        </w:rPr>
      </w:pPr>
      <w:r>
        <w:rPr>
          <w:szCs w:val="18"/>
          <w:lang w:val="en-US"/>
        </w:rPr>
        <w:tab/>
      </w:r>
      <w:r w:rsidRPr="00BE6106">
        <w:rPr>
          <w:szCs w:val="18"/>
          <w:vertAlign w:val="superscript"/>
          <w:lang w:val="ru-RU"/>
        </w:rPr>
        <w:footnoteRef/>
      </w:r>
      <w:r w:rsidRPr="00BE6106">
        <w:rPr>
          <w:szCs w:val="18"/>
          <w:lang w:val="ru-RU"/>
        </w:rPr>
        <w:tab/>
      </w:r>
      <w:r w:rsidRPr="00442C17">
        <w:rPr>
          <w:szCs w:val="18"/>
          <w:lang w:val="ru-RU"/>
        </w:rPr>
        <w:t>Резолюция 260 (III) Генеральной Ассамблеи ООН от 9 декабря 1948 года, опубликована под № 32/1955 Coll.</w:t>
      </w:r>
    </w:p>
  </w:footnote>
  <w:footnote w:id="66">
    <w:p w:rsidR="00BD55C9" w:rsidRPr="00442C17" w:rsidRDefault="00BD55C9" w:rsidP="00442C17">
      <w:pPr>
        <w:pStyle w:val="FootnoteText"/>
        <w:spacing w:line="240" w:lineRule="auto"/>
        <w:rPr>
          <w:szCs w:val="18"/>
          <w:lang w:val="ru-RU"/>
        </w:rPr>
      </w:pPr>
      <w:r>
        <w:rPr>
          <w:szCs w:val="18"/>
          <w:lang w:val="en-US"/>
        </w:rPr>
        <w:tab/>
      </w:r>
      <w:r w:rsidRPr="00BE6106">
        <w:rPr>
          <w:szCs w:val="18"/>
          <w:vertAlign w:val="superscript"/>
          <w:lang w:val="ru-RU"/>
        </w:rPr>
        <w:footnoteRef/>
      </w:r>
      <w:r w:rsidRPr="00BE6106">
        <w:rPr>
          <w:szCs w:val="18"/>
          <w:lang w:val="ru-RU"/>
        </w:rPr>
        <w:tab/>
      </w:r>
      <w:r w:rsidRPr="00442C17">
        <w:rPr>
          <w:szCs w:val="18"/>
          <w:lang w:val="ru-RU"/>
        </w:rPr>
        <w:t>Раздел 4 Закона № 424/1991 Coll. об объединении в политические партии и политические движения (с поправками).</w:t>
      </w:r>
    </w:p>
  </w:footnote>
  <w:footnote w:id="67">
    <w:p w:rsidR="00BD55C9" w:rsidRPr="00442C17" w:rsidRDefault="00BD55C9" w:rsidP="00442C17">
      <w:pPr>
        <w:pStyle w:val="FootnoteText"/>
        <w:spacing w:line="240" w:lineRule="auto"/>
        <w:rPr>
          <w:szCs w:val="18"/>
          <w:lang w:val="ru-RU"/>
        </w:rPr>
      </w:pPr>
      <w:r>
        <w:rPr>
          <w:szCs w:val="18"/>
          <w:lang w:val="en-US"/>
        </w:rPr>
        <w:tab/>
      </w:r>
      <w:r w:rsidRPr="00BE6106">
        <w:rPr>
          <w:szCs w:val="18"/>
          <w:vertAlign w:val="superscript"/>
          <w:lang w:val="ru-RU"/>
        </w:rPr>
        <w:footnoteRef/>
      </w:r>
      <w:r w:rsidRPr="00BE6106">
        <w:rPr>
          <w:szCs w:val="18"/>
          <w:lang w:val="ru-RU"/>
        </w:rPr>
        <w:tab/>
      </w:r>
      <w:r w:rsidRPr="00442C17">
        <w:rPr>
          <w:szCs w:val="18"/>
          <w:lang w:val="ru-RU"/>
        </w:rPr>
        <w:t>Раздел 4, пункт a) Закона № 83/1990 Coll. об объединениях граждан (с поправками). Не разрешается создание объединений, которые преследуют цель лишить граждан их личных, политических или иных прав или ограничить такие права по причине их национальности, пола, расы, происхождения, политических или иных убеждений, вероисповедания или социального положения, а также занимаются разжиганием ненависти и нетерпимости на этих основаниях, поддерживают применение насилия или каким-либо иным образом нарушают Конституцию и законы.</w:t>
      </w:r>
    </w:p>
  </w:footnote>
  <w:footnote w:id="68">
    <w:p w:rsidR="00BD55C9" w:rsidRPr="00442C17" w:rsidRDefault="00BD55C9" w:rsidP="00442C17">
      <w:pPr>
        <w:pStyle w:val="FootnoteText"/>
        <w:spacing w:line="240" w:lineRule="auto"/>
        <w:rPr>
          <w:szCs w:val="18"/>
          <w:lang w:val="ru-RU"/>
        </w:rPr>
      </w:pPr>
      <w:r>
        <w:rPr>
          <w:szCs w:val="18"/>
          <w:lang w:val="en-US"/>
        </w:rPr>
        <w:tab/>
      </w:r>
      <w:r w:rsidRPr="009B1835">
        <w:rPr>
          <w:szCs w:val="18"/>
          <w:vertAlign w:val="superscript"/>
          <w:lang w:val="ru-RU"/>
        </w:rPr>
        <w:footnoteRef/>
      </w:r>
      <w:r w:rsidRPr="00BE6106">
        <w:rPr>
          <w:szCs w:val="18"/>
          <w:lang w:val="ru-RU"/>
        </w:rPr>
        <w:tab/>
      </w:r>
      <w:r w:rsidRPr="00442C17">
        <w:rPr>
          <w:szCs w:val="18"/>
          <w:lang w:val="ru-RU"/>
        </w:rPr>
        <w:t>Решение Высшего административного суда Ref. No. Pst 1/2009 от 17 февраля 2010 года.</w:t>
      </w:r>
    </w:p>
  </w:footnote>
  <w:footnote w:id="69">
    <w:p w:rsidR="00BD55C9" w:rsidRPr="00442C17" w:rsidRDefault="00BD55C9" w:rsidP="00442C17">
      <w:pPr>
        <w:pStyle w:val="FootnoteText"/>
        <w:spacing w:line="240" w:lineRule="auto"/>
        <w:rPr>
          <w:szCs w:val="18"/>
          <w:lang w:val="ru-RU"/>
        </w:rPr>
      </w:pPr>
      <w:r>
        <w:rPr>
          <w:szCs w:val="18"/>
          <w:lang w:val="en-US"/>
        </w:rPr>
        <w:tab/>
      </w:r>
      <w:r w:rsidRPr="009B1835">
        <w:rPr>
          <w:szCs w:val="18"/>
          <w:vertAlign w:val="superscript"/>
          <w:lang w:val="ru-RU"/>
        </w:rPr>
        <w:footnoteRef/>
      </w:r>
      <w:r>
        <w:rPr>
          <w:szCs w:val="18"/>
          <w:lang w:val="en-US"/>
        </w:rPr>
        <w:tab/>
      </w:r>
      <w:r w:rsidRPr="00442C17">
        <w:rPr>
          <w:szCs w:val="18"/>
          <w:lang w:val="ru-RU"/>
        </w:rPr>
        <w:t>Закон № 418/2011 Coll.</w:t>
      </w:r>
    </w:p>
  </w:footnote>
  <w:footnote w:id="70">
    <w:p w:rsidR="00BD55C9" w:rsidRPr="00442C17" w:rsidRDefault="00BD55C9" w:rsidP="00442C17">
      <w:pPr>
        <w:pStyle w:val="FootnoteText"/>
        <w:spacing w:line="240" w:lineRule="auto"/>
        <w:rPr>
          <w:szCs w:val="18"/>
          <w:lang w:val="ru-RU"/>
        </w:rPr>
      </w:pPr>
      <w:r>
        <w:rPr>
          <w:szCs w:val="18"/>
          <w:lang w:val="en-US"/>
        </w:rPr>
        <w:tab/>
      </w:r>
      <w:r w:rsidRPr="009B1835">
        <w:rPr>
          <w:szCs w:val="18"/>
          <w:vertAlign w:val="superscript"/>
          <w:lang w:val="ru-RU"/>
        </w:rPr>
        <w:footnoteRef/>
      </w:r>
      <w:r w:rsidRPr="00BE6106">
        <w:rPr>
          <w:szCs w:val="18"/>
          <w:lang w:val="ru-RU"/>
        </w:rPr>
        <w:tab/>
      </w:r>
      <w:r w:rsidRPr="00442C17">
        <w:rPr>
          <w:szCs w:val="18"/>
          <w:lang w:val="ru-RU"/>
        </w:rPr>
        <w:t>Статья 356 (3) Уголовного кодекса.</w:t>
      </w:r>
    </w:p>
  </w:footnote>
  <w:footnote w:id="71">
    <w:p w:rsidR="00BD55C9" w:rsidRPr="00442C17" w:rsidRDefault="00BD55C9" w:rsidP="00442C17">
      <w:pPr>
        <w:pStyle w:val="FootnoteText"/>
        <w:spacing w:line="240" w:lineRule="auto"/>
        <w:rPr>
          <w:szCs w:val="18"/>
          <w:lang w:val="ru-RU"/>
        </w:rPr>
      </w:pPr>
      <w:r>
        <w:rPr>
          <w:szCs w:val="18"/>
          <w:lang w:val="en-US"/>
        </w:rPr>
        <w:tab/>
      </w:r>
      <w:r w:rsidRPr="009B1835">
        <w:rPr>
          <w:szCs w:val="18"/>
          <w:vertAlign w:val="superscript"/>
          <w:lang w:val="ru-RU"/>
        </w:rPr>
        <w:footnoteRef/>
      </w:r>
      <w:r>
        <w:rPr>
          <w:szCs w:val="18"/>
          <w:lang w:val="en-US"/>
        </w:rPr>
        <w:tab/>
      </w:r>
      <w:r w:rsidRPr="00442C17">
        <w:rPr>
          <w:szCs w:val="18"/>
          <w:lang w:val="ru-RU"/>
        </w:rPr>
        <w:t>Статья 403 Уголовного кодекса.</w:t>
      </w:r>
    </w:p>
  </w:footnote>
  <w:footnote w:id="72">
    <w:p w:rsidR="00BD55C9" w:rsidRPr="00442C17" w:rsidRDefault="00BD55C9" w:rsidP="00442C17">
      <w:pPr>
        <w:pStyle w:val="FootnoteText"/>
        <w:spacing w:line="240" w:lineRule="auto"/>
        <w:rPr>
          <w:szCs w:val="18"/>
          <w:lang w:val="ru-RU"/>
        </w:rPr>
      </w:pPr>
      <w:r>
        <w:rPr>
          <w:szCs w:val="18"/>
          <w:lang w:val="en-US"/>
        </w:rPr>
        <w:tab/>
      </w:r>
      <w:r w:rsidRPr="009B1835">
        <w:rPr>
          <w:szCs w:val="18"/>
          <w:vertAlign w:val="superscript"/>
          <w:lang w:val="ru-RU"/>
        </w:rPr>
        <w:footnoteRef/>
      </w:r>
      <w:r w:rsidRPr="009B1835">
        <w:rPr>
          <w:szCs w:val="18"/>
          <w:lang w:val="ru-RU"/>
        </w:rPr>
        <w:tab/>
      </w:r>
      <w:r w:rsidRPr="00442C17">
        <w:rPr>
          <w:szCs w:val="18"/>
          <w:lang w:val="ru-RU"/>
        </w:rPr>
        <w:t xml:space="preserve">Наиболее часто проверки проводились по следующим видам правонарушений: насилие в отношении группы лиц или индивидуумов, диффамация нации, этнической группы, расы или религии, поддержка и поощрение движений, имеющих целью подавление прав и свобод человека. </w:t>
      </w:r>
    </w:p>
  </w:footnote>
  <w:footnote w:id="73">
    <w:p w:rsidR="00BD55C9" w:rsidRPr="00442C17" w:rsidRDefault="00BD55C9" w:rsidP="00442C17">
      <w:pPr>
        <w:pStyle w:val="FootnoteText"/>
        <w:spacing w:line="240" w:lineRule="auto"/>
        <w:rPr>
          <w:szCs w:val="18"/>
          <w:lang w:val="ru-RU"/>
        </w:rPr>
      </w:pPr>
      <w:r>
        <w:rPr>
          <w:szCs w:val="18"/>
          <w:lang w:val="en-US"/>
        </w:rPr>
        <w:tab/>
      </w:r>
      <w:r w:rsidRPr="00691374">
        <w:rPr>
          <w:szCs w:val="18"/>
          <w:vertAlign w:val="superscript"/>
          <w:lang w:val="ru-RU"/>
        </w:rPr>
        <w:footnoteRef/>
      </w:r>
      <w:r w:rsidRPr="00691374">
        <w:rPr>
          <w:szCs w:val="18"/>
          <w:lang w:val="ru-RU"/>
        </w:rPr>
        <w:tab/>
      </w:r>
      <w:r w:rsidRPr="00442C17">
        <w:rPr>
          <w:szCs w:val="18"/>
          <w:lang w:val="ru-RU"/>
        </w:rPr>
        <w:t>Закон № 147/2010 Coll., вносящий поправки в Закон № 219/1999 Coll. о Вооруженных силах ЧР, и Закон № 221/1999 Coll. о военнослужащих по контракту (с поправками).</w:t>
      </w:r>
    </w:p>
  </w:footnote>
  <w:footnote w:id="74">
    <w:p w:rsidR="00BD55C9" w:rsidRPr="00442C17" w:rsidRDefault="00BD55C9" w:rsidP="00442C17">
      <w:pPr>
        <w:pStyle w:val="FootnoteText"/>
        <w:spacing w:line="240" w:lineRule="auto"/>
        <w:rPr>
          <w:szCs w:val="18"/>
          <w:lang w:val="ru-RU"/>
        </w:rPr>
      </w:pPr>
      <w:r>
        <w:rPr>
          <w:szCs w:val="18"/>
          <w:lang w:val="en-US"/>
        </w:rPr>
        <w:tab/>
      </w:r>
      <w:r w:rsidRPr="00691374">
        <w:rPr>
          <w:szCs w:val="18"/>
          <w:vertAlign w:val="superscript"/>
          <w:lang w:val="ru-RU"/>
        </w:rPr>
        <w:footnoteRef/>
      </w:r>
      <w:r w:rsidRPr="00691374">
        <w:rPr>
          <w:szCs w:val="18"/>
          <w:lang w:val="ru-RU"/>
        </w:rPr>
        <w:tab/>
      </w:r>
      <w:r w:rsidRPr="00442C17">
        <w:rPr>
          <w:szCs w:val="18"/>
          <w:lang w:val="ru-RU"/>
        </w:rPr>
        <w:t xml:space="preserve">В рамках уголовного судопроизводства гарантиями равенства служат, в частности, презумпция невиновности, гарантированные права обвиняемых, а точнее – ответчиков, а также основополагающими уголовно-процессуальными нормами, включая: преследование исключительно на законных основаниях, обеспечение права на защиту, принцип необходимости, законность, обвинительный принцип, принцип публичности и принцип доказательности (проведение обысков, свободный анализ доказательств, материальная истина и т.п.).  </w:t>
      </w:r>
    </w:p>
  </w:footnote>
  <w:footnote w:id="75">
    <w:p w:rsidR="00BD55C9" w:rsidRPr="00442C17" w:rsidRDefault="00BD55C9" w:rsidP="00442C17">
      <w:pPr>
        <w:pStyle w:val="FootnoteText"/>
        <w:spacing w:line="240" w:lineRule="auto"/>
        <w:rPr>
          <w:szCs w:val="18"/>
          <w:lang w:val="ru-RU"/>
        </w:rPr>
      </w:pPr>
      <w:r>
        <w:rPr>
          <w:szCs w:val="18"/>
          <w:lang w:val="en-US"/>
        </w:rPr>
        <w:tab/>
      </w:r>
      <w:r w:rsidRPr="00691374">
        <w:rPr>
          <w:szCs w:val="18"/>
          <w:vertAlign w:val="superscript"/>
          <w:lang w:val="ru-RU"/>
        </w:rPr>
        <w:footnoteRef/>
      </w:r>
      <w:r>
        <w:rPr>
          <w:szCs w:val="18"/>
          <w:lang w:val="en-US"/>
        </w:rPr>
        <w:tab/>
      </w:r>
      <w:r w:rsidRPr="00442C17">
        <w:rPr>
          <w:szCs w:val="18"/>
          <w:lang w:val="ru-RU"/>
        </w:rPr>
        <w:t xml:space="preserve">Раздел 18 Закона № 99/1963 Coll. (Гражданско-процессуальный кодекс)гласит: </w:t>
      </w:r>
      <w:r>
        <w:rPr>
          <w:szCs w:val="18"/>
          <w:lang w:val="ru-RU"/>
        </w:rPr>
        <w:t>"</w:t>
      </w:r>
      <w:r w:rsidRPr="00442C17">
        <w:rPr>
          <w:szCs w:val="18"/>
          <w:lang w:val="ru-RU"/>
        </w:rPr>
        <w:t>Участники гражданского процесса имеют равный статус… Суд обязан предоставить им одинаковые возможности для осуществления своих прав</w:t>
      </w:r>
      <w:r>
        <w:rPr>
          <w:szCs w:val="18"/>
          <w:lang w:val="ru-RU"/>
        </w:rPr>
        <w:t>"</w:t>
      </w:r>
      <w:r w:rsidRPr="00442C17">
        <w:rPr>
          <w:szCs w:val="18"/>
          <w:lang w:val="ru-RU"/>
        </w:rPr>
        <w:t xml:space="preserve">. </w:t>
      </w:r>
    </w:p>
  </w:footnote>
  <w:footnote w:id="76">
    <w:p w:rsidR="00BD55C9" w:rsidRPr="00442C17" w:rsidRDefault="00BD55C9" w:rsidP="00442C17">
      <w:pPr>
        <w:pStyle w:val="FootnoteText"/>
        <w:spacing w:line="240" w:lineRule="auto"/>
        <w:rPr>
          <w:szCs w:val="18"/>
          <w:lang w:val="ru-RU"/>
        </w:rPr>
      </w:pPr>
      <w:r>
        <w:rPr>
          <w:szCs w:val="18"/>
          <w:lang w:val="en-US"/>
        </w:rPr>
        <w:tab/>
      </w:r>
      <w:r w:rsidRPr="00691374">
        <w:rPr>
          <w:szCs w:val="18"/>
          <w:vertAlign w:val="superscript"/>
          <w:lang w:val="ru-RU"/>
        </w:rPr>
        <w:footnoteRef/>
      </w:r>
      <w:r>
        <w:rPr>
          <w:szCs w:val="18"/>
          <w:lang w:val="en-US"/>
        </w:rPr>
        <w:tab/>
      </w:r>
      <w:r w:rsidRPr="00442C17">
        <w:rPr>
          <w:szCs w:val="18"/>
          <w:lang w:val="ru-RU"/>
        </w:rPr>
        <w:t xml:space="preserve">Раздел 36 Закона № 150/2002 Coll. (Правила административного судопроизводства): </w:t>
      </w:r>
      <w:r>
        <w:rPr>
          <w:szCs w:val="18"/>
          <w:lang w:val="ru-RU"/>
        </w:rPr>
        <w:t>"</w:t>
      </w:r>
      <w:r w:rsidRPr="00442C17">
        <w:rPr>
          <w:szCs w:val="18"/>
          <w:lang w:val="ru-RU"/>
        </w:rPr>
        <w:t>Участники процесса имеют равный статус… Суд обязан предоставить им одинаковые возможности для осуществления своих прав, а также обеспечить предоставление им консультативной помощи в отношении их процедурных прав и обязательств в той мере, в которой это необходимо для недопущения какого-либо ущерба сторонам процесса</w:t>
      </w:r>
      <w:r>
        <w:rPr>
          <w:szCs w:val="18"/>
          <w:lang w:val="ru-RU"/>
        </w:rPr>
        <w:t>"</w:t>
      </w:r>
      <w:r w:rsidRPr="00442C17">
        <w:rPr>
          <w:szCs w:val="18"/>
          <w:lang w:val="ru-RU"/>
        </w:rPr>
        <w:t>.</w:t>
      </w:r>
    </w:p>
  </w:footnote>
  <w:footnote w:id="77">
    <w:p w:rsidR="00BD55C9" w:rsidRPr="00442C17" w:rsidRDefault="00BD55C9" w:rsidP="00442C17">
      <w:pPr>
        <w:pStyle w:val="FootnoteText"/>
        <w:spacing w:line="240" w:lineRule="auto"/>
        <w:rPr>
          <w:szCs w:val="18"/>
          <w:lang w:val="ru-RU"/>
        </w:rPr>
      </w:pPr>
      <w:r>
        <w:rPr>
          <w:szCs w:val="18"/>
          <w:lang w:val="en-US"/>
        </w:rPr>
        <w:tab/>
      </w:r>
      <w:r w:rsidRPr="00691374">
        <w:rPr>
          <w:szCs w:val="18"/>
          <w:vertAlign w:val="superscript"/>
          <w:lang w:val="ru-RU"/>
        </w:rPr>
        <w:footnoteRef/>
      </w:r>
      <w:r>
        <w:rPr>
          <w:szCs w:val="18"/>
          <w:lang w:val="en-US"/>
        </w:rPr>
        <w:tab/>
      </w:r>
      <w:r w:rsidRPr="00442C17">
        <w:rPr>
          <w:szCs w:val="18"/>
          <w:lang w:val="ru-RU"/>
        </w:rPr>
        <w:t xml:space="preserve">Раздел 7 Закона № 500/2004 Coll. (Административно-процедурный кодекс): </w:t>
      </w:r>
      <w:r>
        <w:rPr>
          <w:szCs w:val="18"/>
          <w:lang w:val="ru-RU"/>
        </w:rPr>
        <w:t>"</w:t>
      </w:r>
      <w:r w:rsidRPr="00442C17">
        <w:rPr>
          <w:szCs w:val="18"/>
          <w:lang w:val="ru-RU"/>
        </w:rPr>
        <w:t>Заинтересованные лица имеют равный статус с точки зрения осуществления своих процедурных прав. Административный орган действует непредвзято по отношению к заинтересованным сторонам и требует от всех заинтересованных лиц в равной степени придерживаться своих процедурных обязательств</w:t>
      </w:r>
      <w:r>
        <w:rPr>
          <w:szCs w:val="18"/>
          <w:lang w:val="ru-RU"/>
        </w:rPr>
        <w:t>"</w:t>
      </w:r>
      <w:r w:rsidRPr="00442C17">
        <w:rPr>
          <w:szCs w:val="18"/>
          <w:lang w:val="ru-RU"/>
        </w:rPr>
        <w:t xml:space="preserve">. </w:t>
      </w:r>
    </w:p>
  </w:footnote>
  <w:footnote w:id="78">
    <w:p w:rsidR="00BD55C9" w:rsidRPr="00442C17" w:rsidRDefault="00BD55C9" w:rsidP="00442C17">
      <w:pPr>
        <w:pStyle w:val="FootnoteText"/>
        <w:spacing w:line="240" w:lineRule="auto"/>
        <w:rPr>
          <w:szCs w:val="18"/>
          <w:lang w:val="ru-RU"/>
        </w:rPr>
      </w:pPr>
      <w:r>
        <w:rPr>
          <w:szCs w:val="18"/>
          <w:lang w:val="en-US"/>
        </w:rPr>
        <w:tab/>
      </w:r>
      <w:r w:rsidRPr="00691374">
        <w:rPr>
          <w:szCs w:val="18"/>
          <w:vertAlign w:val="superscript"/>
          <w:lang w:val="ru-RU"/>
        </w:rPr>
        <w:footnoteRef/>
      </w:r>
      <w:r w:rsidRPr="00691374">
        <w:rPr>
          <w:szCs w:val="18"/>
          <w:vertAlign w:val="superscript"/>
          <w:lang w:val="ru-RU"/>
        </w:rPr>
        <w:tab/>
      </w:r>
      <w:r w:rsidRPr="00442C17">
        <w:rPr>
          <w:szCs w:val="18"/>
          <w:lang w:val="ru-RU"/>
        </w:rPr>
        <w:t>Статья 393 Уголовно-процессуального кодекса.</w:t>
      </w:r>
    </w:p>
  </w:footnote>
  <w:footnote w:id="79">
    <w:p w:rsidR="00BD55C9" w:rsidRPr="00442C17" w:rsidRDefault="00BD55C9" w:rsidP="00442C17">
      <w:pPr>
        <w:pStyle w:val="FootnoteText"/>
        <w:spacing w:line="240" w:lineRule="auto"/>
        <w:rPr>
          <w:szCs w:val="18"/>
          <w:lang w:val="ru-RU"/>
        </w:rPr>
      </w:pPr>
      <w:r>
        <w:rPr>
          <w:szCs w:val="18"/>
          <w:lang w:val="en-US"/>
        </w:rPr>
        <w:tab/>
      </w:r>
      <w:r w:rsidRPr="00691374">
        <w:rPr>
          <w:szCs w:val="18"/>
          <w:vertAlign w:val="superscript"/>
          <w:lang w:val="ru-RU"/>
        </w:rPr>
        <w:footnoteRef/>
      </w:r>
      <w:r w:rsidRPr="00691374">
        <w:rPr>
          <w:szCs w:val="18"/>
          <w:vertAlign w:val="superscript"/>
          <w:lang w:val="ru-RU"/>
        </w:rPr>
        <w:tab/>
      </w:r>
      <w:r w:rsidRPr="00442C17">
        <w:rPr>
          <w:szCs w:val="18"/>
          <w:lang w:val="ru-RU"/>
        </w:rPr>
        <w:t>Раздел 120а Закона о проживании иностранных граждан.</w:t>
      </w:r>
    </w:p>
  </w:footnote>
  <w:footnote w:id="80">
    <w:p w:rsidR="00BD55C9" w:rsidRPr="00442C17" w:rsidRDefault="00BD55C9" w:rsidP="00442C17">
      <w:pPr>
        <w:pStyle w:val="FootnoteText"/>
        <w:spacing w:line="240" w:lineRule="auto"/>
        <w:rPr>
          <w:szCs w:val="18"/>
          <w:lang w:val="ru-RU"/>
        </w:rPr>
      </w:pPr>
      <w:r>
        <w:rPr>
          <w:szCs w:val="18"/>
          <w:lang w:val="en-US"/>
        </w:rPr>
        <w:tab/>
      </w:r>
      <w:r w:rsidRPr="00691374">
        <w:rPr>
          <w:szCs w:val="18"/>
          <w:vertAlign w:val="superscript"/>
          <w:lang w:val="ru-RU"/>
        </w:rPr>
        <w:footnoteRef/>
      </w:r>
      <w:r w:rsidRPr="00691374">
        <w:rPr>
          <w:szCs w:val="18"/>
          <w:vertAlign w:val="superscript"/>
          <w:lang w:val="ru-RU"/>
        </w:rPr>
        <w:tab/>
      </w:r>
      <w:r w:rsidRPr="00442C17">
        <w:rPr>
          <w:szCs w:val="18"/>
          <w:lang w:val="ru-RU"/>
        </w:rPr>
        <w:t xml:space="preserve">13 августа 2013 года Конституционный суд вынес заключение CC. – St. 37/13, в котором был закреплен принцип недопустимости высылки даже в случаях с лицами, стремящимися получить убежище, если процедура рассмотрения их заявлений еще не завершена, включая и рассмотрение любых апелляций. </w:t>
      </w:r>
    </w:p>
  </w:footnote>
  <w:footnote w:id="81">
    <w:p w:rsidR="00BD55C9" w:rsidRPr="00442C17" w:rsidRDefault="00BD55C9" w:rsidP="00442C17">
      <w:pPr>
        <w:pStyle w:val="FootnoteText"/>
        <w:spacing w:line="240" w:lineRule="auto"/>
        <w:rPr>
          <w:szCs w:val="18"/>
          <w:lang w:val="ru-RU"/>
        </w:rPr>
      </w:pPr>
      <w:r>
        <w:rPr>
          <w:szCs w:val="18"/>
          <w:lang w:val="en-US"/>
        </w:rPr>
        <w:tab/>
      </w:r>
      <w:r w:rsidRPr="00691374">
        <w:rPr>
          <w:szCs w:val="18"/>
          <w:vertAlign w:val="superscript"/>
          <w:lang w:val="ru-RU"/>
        </w:rPr>
        <w:footnoteRef/>
      </w:r>
      <w:r w:rsidRPr="00691374">
        <w:rPr>
          <w:szCs w:val="18"/>
          <w:vertAlign w:val="superscript"/>
          <w:lang w:val="ru-RU"/>
        </w:rPr>
        <w:tab/>
      </w:r>
      <w:r w:rsidRPr="00442C17">
        <w:rPr>
          <w:szCs w:val="18"/>
          <w:lang w:val="ru-RU"/>
        </w:rPr>
        <w:t xml:space="preserve">Директива Европейского парламента и Совета 2008/115/EC об общих стандартах и процедурах государств-членов в отношении репатриации граждан третьих стран, незаконно находящихся на их территории. </w:t>
      </w:r>
    </w:p>
  </w:footnote>
  <w:footnote w:id="82">
    <w:p w:rsidR="00BD55C9" w:rsidRPr="00442C17" w:rsidRDefault="00BD55C9" w:rsidP="00442C17">
      <w:pPr>
        <w:pStyle w:val="FootnoteText"/>
        <w:spacing w:line="240" w:lineRule="auto"/>
        <w:rPr>
          <w:szCs w:val="18"/>
          <w:lang w:val="ru-RU"/>
        </w:rPr>
      </w:pPr>
      <w:r>
        <w:rPr>
          <w:szCs w:val="18"/>
          <w:lang w:val="en-US"/>
        </w:rPr>
        <w:tab/>
      </w:r>
      <w:r w:rsidRPr="000F1ED6">
        <w:rPr>
          <w:szCs w:val="18"/>
          <w:vertAlign w:val="superscript"/>
          <w:lang w:val="ru-RU"/>
        </w:rPr>
        <w:footnoteRef/>
      </w:r>
      <w:r w:rsidRPr="00691374">
        <w:rPr>
          <w:szCs w:val="18"/>
          <w:lang w:val="ru-RU"/>
        </w:rPr>
        <w:tab/>
      </w:r>
      <w:r w:rsidRPr="00442C17">
        <w:rPr>
          <w:szCs w:val="18"/>
          <w:lang w:val="ru-RU"/>
        </w:rPr>
        <w:t xml:space="preserve">Раздел 117 (3) Закона о муниципалитетах, раздел 78 (2) Закона о краях и раздел 78 (2) Закона о столичном городе Прага. </w:t>
      </w:r>
    </w:p>
  </w:footnote>
  <w:footnote w:id="83">
    <w:p w:rsidR="00BD55C9" w:rsidRPr="00442C17" w:rsidRDefault="00BD55C9" w:rsidP="00442C17">
      <w:pPr>
        <w:pStyle w:val="FootnoteText"/>
        <w:spacing w:line="240" w:lineRule="auto"/>
        <w:rPr>
          <w:szCs w:val="18"/>
          <w:lang w:val="ru-RU"/>
        </w:rPr>
      </w:pPr>
      <w:r>
        <w:rPr>
          <w:szCs w:val="18"/>
          <w:lang w:val="en-US"/>
        </w:rPr>
        <w:tab/>
      </w:r>
      <w:r w:rsidRPr="000F1ED6">
        <w:rPr>
          <w:szCs w:val="18"/>
          <w:vertAlign w:val="superscript"/>
          <w:lang w:val="ru-RU"/>
        </w:rPr>
        <w:footnoteRef/>
      </w:r>
      <w:r w:rsidRPr="00691374">
        <w:rPr>
          <w:szCs w:val="18"/>
          <w:lang w:val="ru-RU"/>
        </w:rPr>
        <w:tab/>
      </w:r>
      <w:r w:rsidRPr="00442C17">
        <w:rPr>
          <w:szCs w:val="18"/>
          <w:lang w:val="ru-RU"/>
        </w:rPr>
        <w:t>Раздел 10 Закона № 273/2011 Coll. о правах национальных меньшинств и о внесении изменений в некоторые законы (с поправками).</w:t>
      </w:r>
    </w:p>
  </w:footnote>
  <w:footnote w:id="84">
    <w:p w:rsidR="00BD55C9" w:rsidRPr="00442C17" w:rsidRDefault="00BD55C9" w:rsidP="00442C17">
      <w:pPr>
        <w:pStyle w:val="FootnoteText"/>
        <w:spacing w:line="240" w:lineRule="auto"/>
        <w:rPr>
          <w:szCs w:val="18"/>
          <w:lang w:val="ru-RU"/>
        </w:rPr>
      </w:pPr>
      <w:r>
        <w:rPr>
          <w:szCs w:val="18"/>
          <w:lang w:val="en-US"/>
        </w:rPr>
        <w:tab/>
      </w:r>
      <w:r w:rsidRPr="000F1ED6">
        <w:rPr>
          <w:szCs w:val="18"/>
          <w:vertAlign w:val="superscript"/>
          <w:lang w:val="ru-RU"/>
        </w:rPr>
        <w:footnoteRef/>
      </w:r>
      <w:r w:rsidRPr="00691374">
        <w:rPr>
          <w:szCs w:val="18"/>
          <w:lang w:val="ru-RU"/>
        </w:rPr>
        <w:tab/>
      </w:r>
      <w:r w:rsidRPr="00442C17">
        <w:rPr>
          <w:szCs w:val="18"/>
          <w:lang w:val="ru-RU"/>
        </w:rPr>
        <w:t>Раздел 4 (1) Закона № 491/2001 Coll. о выборах представительных органов муниципалитетов и о внесении изменений в некоторые законы (с поправками).</w:t>
      </w:r>
    </w:p>
  </w:footnote>
  <w:footnote w:id="85">
    <w:p w:rsidR="00BD55C9" w:rsidRPr="00442C17" w:rsidRDefault="00BD55C9" w:rsidP="00442C17">
      <w:pPr>
        <w:pStyle w:val="FootnoteText"/>
        <w:spacing w:line="240" w:lineRule="auto"/>
        <w:rPr>
          <w:szCs w:val="18"/>
          <w:lang w:val="ru-RU"/>
        </w:rPr>
      </w:pPr>
      <w:r>
        <w:rPr>
          <w:szCs w:val="18"/>
          <w:lang w:val="en-US"/>
        </w:rPr>
        <w:tab/>
      </w:r>
      <w:r w:rsidRPr="000F1ED6">
        <w:rPr>
          <w:szCs w:val="18"/>
          <w:vertAlign w:val="superscript"/>
          <w:lang w:val="ru-RU"/>
        </w:rPr>
        <w:footnoteRef/>
      </w:r>
      <w:r w:rsidRPr="00691374">
        <w:rPr>
          <w:szCs w:val="18"/>
          <w:lang w:val="ru-RU"/>
        </w:rPr>
        <w:tab/>
      </w:r>
      <w:r w:rsidRPr="00442C17">
        <w:rPr>
          <w:szCs w:val="18"/>
          <w:lang w:val="ru-RU"/>
        </w:rPr>
        <w:t>В соответствии с Договором о присоединени</w:t>
      </w:r>
      <w:r>
        <w:rPr>
          <w:szCs w:val="18"/>
          <w:lang w:val="ru-RU"/>
        </w:rPr>
        <w:t>и ЧР к ЕС, опубликованным под №</w:t>
      </w:r>
      <w:r>
        <w:rPr>
          <w:szCs w:val="18"/>
          <w:lang w:val="en-US"/>
        </w:rPr>
        <w:t> </w:t>
      </w:r>
      <w:r w:rsidRPr="00442C17">
        <w:rPr>
          <w:szCs w:val="18"/>
          <w:lang w:val="ru-RU"/>
        </w:rPr>
        <w:t>44/2004 Coll., граждане ЕС могут и впредь голосовать и баллотироваться в качестве кандидатов на выборах в Европейский парламент (разделы 5 и 6 Закона № 62/2003 Coll. о выборах в Европейский парламент и о внесении изменений в некоторые законы (с поправками).</w:t>
      </w:r>
    </w:p>
  </w:footnote>
  <w:footnote w:id="86">
    <w:p w:rsidR="00BD55C9" w:rsidRPr="00442C17" w:rsidRDefault="00BD55C9" w:rsidP="00442C17">
      <w:pPr>
        <w:pStyle w:val="FootnoteText"/>
        <w:spacing w:line="240" w:lineRule="auto"/>
        <w:rPr>
          <w:szCs w:val="18"/>
          <w:lang w:val="ru-RU"/>
        </w:rPr>
      </w:pPr>
      <w:r w:rsidRPr="000F1ED6">
        <w:rPr>
          <w:szCs w:val="18"/>
          <w:lang w:val="ru-RU"/>
        </w:rPr>
        <w:tab/>
      </w:r>
      <w:r w:rsidRPr="000F1ED6">
        <w:rPr>
          <w:szCs w:val="18"/>
          <w:vertAlign w:val="superscript"/>
          <w:lang w:val="ru-RU"/>
        </w:rPr>
        <w:footnoteRef/>
      </w:r>
      <w:r w:rsidRPr="00691374">
        <w:rPr>
          <w:szCs w:val="18"/>
          <w:lang w:val="ru-RU"/>
        </w:rPr>
        <w:tab/>
      </w:r>
      <w:r w:rsidRPr="00442C17">
        <w:rPr>
          <w:szCs w:val="18"/>
          <w:lang w:val="ru-RU"/>
        </w:rPr>
        <w:t xml:space="preserve">Раздел 103 (2) Закона № 128/2000 Coll. о муниципалитетах с поправками. </w:t>
      </w:r>
    </w:p>
  </w:footnote>
  <w:footnote w:id="87">
    <w:p w:rsidR="00BD55C9" w:rsidRPr="00442C17" w:rsidRDefault="00BD55C9" w:rsidP="00442C17">
      <w:pPr>
        <w:pStyle w:val="FootnoteText"/>
        <w:spacing w:line="240" w:lineRule="auto"/>
        <w:rPr>
          <w:szCs w:val="18"/>
          <w:lang w:val="ru-RU"/>
        </w:rPr>
      </w:pPr>
      <w:r>
        <w:rPr>
          <w:szCs w:val="18"/>
          <w:lang w:val="en-US"/>
        </w:rPr>
        <w:tab/>
      </w:r>
      <w:r w:rsidRPr="000F1ED6">
        <w:rPr>
          <w:szCs w:val="18"/>
          <w:vertAlign w:val="superscript"/>
          <w:lang w:val="ru-RU"/>
        </w:rPr>
        <w:footnoteRef/>
      </w:r>
      <w:r w:rsidRPr="00691374">
        <w:rPr>
          <w:szCs w:val="18"/>
          <w:lang w:val="ru-RU"/>
        </w:rPr>
        <w:tab/>
      </w:r>
      <w:r w:rsidRPr="00442C17">
        <w:rPr>
          <w:szCs w:val="18"/>
          <w:lang w:val="ru-RU"/>
        </w:rPr>
        <w:t xml:space="preserve">Раздел 69 (1) Закона № 131/2000 Coll. о столичном городе Прага с поправками. </w:t>
      </w:r>
    </w:p>
  </w:footnote>
  <w:footnote w:id="88">
    <w:p w:rsidR="00BD55C9" w:rsidRPr="00442C17" w:rsidRDefault="00BD55C9" w:rsidP="00442C17">
      <w:pPr>
        <w:pStyle w:val="FootnoteText"/>
        <w:spacing w:line="240" w:lineRule="auto"/>
        <w:rPr>
          <w:szCs w:val="18"/>
          <w:lang w:val="ru-RU"/>
        </w:rPr>
      </w:pPr>
      <w:r>
        <w:rPr>
          <w:szCs w:val="18"/>
          <w:lang w:val="en-US"/>
        </w:rPr>
        <w:tab/>
      </w:r>
      <w:r w:rsidRPr="000F1ED6">
        <w:rPr>
          <w:szCs w:val="18"/>
          <w:vertAlign w:val="superscript"/>
          <w:lang w:val="ru-RU"/>
        </w:rPr>
        <w:footnoteRef/>
      </w:r>
      <w:r w:rsidRPr="000F1ED6">
        <w:rPr>
          <w:szCs w:val="18"/>
          <w:lang w:val="ru-RU"/>
        </w:rPr>
        <w:tab/>
      </w:r>
      <w:r w:rsidRPr="00442C17">
        <w:rPr>
          <w:szCs w:val="18"/>
          <w:lang w:val="ru-RU"/>
        </w:rPr>
        <w:t>Закон № 222/2012 Coll. о внесении поправок в Закон о выборах и Закон № 326/1999 Coll. о проживании иностранцев и о внесении изменений в некоторые законы (с поправками).</w:t>
      </w:r>
    </w:p>
  </w:footnote>
  <w:footnote w:id="89">
    <w:p w:rsidR="00BD55C9" w:rsidRPr="00442C17" w:rsidRDefault="00BD55C9" w:rsidP="00442C17">
      <w:pPr>
        <w:pStyle w:val="FootnoteText"/>
        <w:spacing w:line="240" w:lineRule="auto"/>
        <w:rPr>
          <w:szCs w:val="18"/>
          <w:lang w:val="ru-RU"/>
        </w:rPr>
      </w:pPr>
      <w:r>
        <w:rPr>
          <w:szCs w:val="18"/>
          <w:lang w:val="en-US"/>
        </w:rPr>
        <w:tab/>
      </w:r>
      <w:r w:rsidRPr="000F1ED6">
        <w:rPr>
          <w:szCs w:val="18"/>
          <w:vertAlign w:val="superscript"/>
          <w:lang w:val="ru-RU"/>
        </w:rPr>
        <w:footnoteRef/>
      </w:r>
      <w:r w:rsidRPr="000F1ED6">
        <w:rPr>
          <w:szCs w:val="18"/>
          <w:lang w:val="ru-RU"/>
        </w:rPr>
        <w:tab/>
      </w:r>
      <w:r w:rsidRPr="00442C17">
        <w:rPr>
          <w:szCs w:val="18"/>
          <w:lang w:val="ru-RU"/>
        </w:rPr>
        <w:t>Раздел 15а Закона № 200/1990 Coll. о мелких правонарушениях с поправками, внесенными Законом № 494/2012 Coll.</w:t>
      </w:r>
    </w:p>
  </w:footnote>
  <w:footnote w:id="90">
    <w:p w:rsidR="00BD55C9" w:rsidRPr="00442C17" w:rsidRDefault="00BD55C9" w:rsidP="00442C17">
      <w:pPr>
        <w:pStyle w:val="FootnoteText"/>
        <w:spacing w:line="240" w:lineRule="auto"/>
        <w:rPr>
          <w:szCs w:val="18"/>
          <w:lang w:val="ru-RU"/>
        </w:rPr>
      </w:pPr>
      <w:r>
        <w:rPr>
          <w:szCs w:val="18"/>
          <w:lang w:val="en-US"/>
        </w:rPr>
        <w:tab/>
      </w:r>
      <w:r w:rsidRPr="000F1ED6">
        <w:rPr>
          <w:szCs w:val="18"/>
          <w:vertAlign w:val="superscript"/>
          <w:lang w:val="ru-RU"/>
        </w:rPr>
        <w:footnoteRef/>
      </w:r>
      <w:r w:rsidRPr="000F1ED6">
        <w:rPr>
          <w:szCs w:val="18"/>
          <w:lang w:val="ru-RU"/>
        </w:rPr>
        <w:tab/>
      </w:r>
      <w:r w:rsidRPr="00442C17">
        <w:rPr>
          <w:szCs w:val="18"/>
          <w:lang w:val="ru-RU"/>
        </w:rPr>
        <w:t>См. Закон № 83/1990 Coll. об объединениях граждан (с поправками), Закон № 424/1991 Coll. об объединении в политические партии и политические движения (с поправками) и Закон № 116/1985 Coll. об условиях деятельности организаций с иностранным участием в Чехословацкой Социалистической Республике (с поправками).</w:t>
      </w:r>
    </w:p>
  </w:footnote>
  <w:footnote w:id="91">
    <w:p w:rsidR="00BD55C9" w:rsidRPr="00442C17" w:rsidRDefault="00BD55C9" w:rsidP="00442C17">
      <w:pPr>
        <w:pStyle w:val="FootnoteText"/>
        <w:spacing w:line="240" w:lineRule="auto"/>
        <w:rPr>
          <w:szCs w:val="18"/>
          <w:lang w:val="ru-RU"/>
        </w:rPr>
      </w:pPr>
      <w:r>
        <w:rPr>
          <w:szCs w:val="18"/>
          <w:lang w:val="en-US"/>
        </w:rPr>
        <w:tab/>
      </w:r>
      <w:r w:rsidRPr="000F1ED6">
        <w:rPr>
          <w:szCs w:val="18"/>
          <w:vertAlign w:val="superscript"/>
          <w:lang w:val="ru-RU"/>
        </w:rPr>
        <w:footnoteRef/>
      </w:r>
      <w:r>
        <w:rPr>
          <w:szCs w:val="18"/>
          <w:lang w:val="en-US"/>
        </w:rPr>
        <w:tab/>
      </w:r>
      <w:r w:rsidRPr="00442C17">
        <w:rPr>
          <w:szCs w:val="18"/>
          <w:lang w:val="ru-RU"/>
        </w:rPr>
        <w:t>Раздел 145 Закона № 89/2012 Coll. (Гражданский кодекс).</w:t>
      </w:r>
    </w:p>
  </w:footnote>
  <w:footnote w:id="92">
    <w:p w:rsidR="00BD55C9" w:rsidRPr="00442C17" w:rsidRDefault="00BD55C9" w:rsidP="00442C17">
      <w:pPr>
        <w:pStyle w:val="FootnoteText"/>
        <w:spacing w:line="240" w:lineRule="auto"/>
        <w:rPr>
          <w:szCs w:val="18"/>
          <w:lang w:val="ru-RU"/>
        </w:rPr>
      </w:pPr>
      <w:r>
        <w:rPr>
          <w:szCs w:val="18"/>
          <w:lang w:val="en-US"/>
        </w:rPr>
        <w:tab/>
      </w:r>
      <w:r w:rsidRPr="000F1ED6">
        <w:rPr>
          <w:szCs w:val="18"/>
          <w:vertAlign w:val="superscript"/>
          <w:lang w:val="ru-RU"/>
        </w:rPr>
        <w:footnoteRef/>
      </w:r>
      <w:r>
        <w:rPr>
          <w:szCs w:val="18"/>
          <w:lang w:val="en-US"/>
        </w:rPr>
        <w:tab/>
      </w:r>
      <w:r w:rsidRPr="00442C17">
        <w:rPr>
          <w:szCs w:val="18"/>
          <w:lang w:val="ru-RU"/>
        </w:rPr>
        <w:t>Раздел 214 Закона № 89/2012 Coll. (Гражданский кодекс).</w:t>
      </w:r>
    </w:p>
  </w:footnote>
  <w:footnote w:id="93">
    <w:p w:rsidR="00BD55C9" w:rsidRPr="00442C17" w:rsidRDefault="00BD55C9" w:rsidP="00442C17">
      <w:pPr>
        <w:pStyle w:val="FootnoteText"/>
        <w:spacing w:line="240" w:lineRule="auto"/>
        <w:rPr>
          <w:szCs w:val="18"/>
          <w:lang w:val="ru-RU"/>
        </w:rPr>
      </w:pPr>
      <w:r>
        <w:rPr>
          <w:szCs w:val="18"/>
          <w:lang w:val="en-US"/>
        </w:rPr>
        <w:tab/>
      </w:r>
      <w:r w:rsidRPr="000F1ED6">
        <w:rPr>
          <w:szCs w:val="18"/>
          <w:vertAlign w:val="superscript"/>
          <w:lang w:val="ru-RU"/>
        </w:rPr>
        <w:footnoteRef/>
      </w:r>
      <w:r w:rsidRPr="000F1ED6">
        <w:rPr>
          <w:szCs w:val="18"/>
          <w:lang w:val="ru-RU"/>
        </w:rPr>
        <w:tab/>
      </w:r>
      <w:r w:rsidRPr="00442C17">
        <w:rPr>
          <w:szCs w:val="18"/>
          <w:lang w:val="ru-RU"/>
        </w:rPr>
        <w:t>CERD/C/CZE/8-9, пункты 68-70.</w:t>
      </w:r>
    </w:p>
  </w:footnote>
  <w:footnote w:id="94">
    <w:p w:rsidR="00BD55C9" w:rsidRPr="00442C17" w:rsidRDefault="00BD55C9" w:rsidP="00442C17">
      <w:pPr>
        <w:pStyle w:val="FootnoteText"/>
        <w:spacing w:line="240" w:lineRule="auto"/>
        <w:rPr>
          <w:szCs w:val="18"/>
          <w:lang w:val="ru-RU"/>
        </w:rPr>
      </w:pPr>
      <w:r>
        <w:rPr>
          <w:szCs w:val="18"/>
          <w:lang w:val="en-US"/>
        </w:rPr>
        <w:tab/>
      </w:r>
      <w:r w:rsidRPr="000F1ED6">
        <w:rPr>
          <w:szCs w:val="18"/>
          <w:vertAlign w:val="superscript"/>
          <w:lang w:val="ru-RU"/>
        </w:rPr>
        <w:footnoteRef/>
      </w:r>
      <w:r w:rsidRPr="000F1ED6">
        <w:rPr>
          <w:szCs w:val="18"/>
          <w:lang w:val="ru-RU"/>
        </w:rPr>
        <w:tab/>
      </w:r>
      <w:r w:rsidRPr="00442C17">
        <w:rPr>
          <w:szCs w:val="18"/>
          <w:lang w:val="ru-RU"/>
        </w:rPr>
        <w:t xml:space="preserve">Исследование доступно по следующей ссылке: http://fra.europa.eu/sites/default/files/fra_uploads/2099-FRA-2012-Roma-at-a-glance_EN.pdf. Целевая группа регионального обследования в ЧР состояла в общей сложности из 1100 домохозяйств рома и 500 других домохозяйств, живущих в районах значительного сосредоточения населения рома. </w:t>
      </w:r>
    </w:p>
  </w:footnote>
  <w:footnote w:id="95">
    <w:p w:rsidR="00BD55C9" w:rsidRPr="00442C17" w:rsidRDefault="00BD55C9" w:rsidP="00442C17">
      <w:pPr>
        <w:pStyle w:val="FootnoteText"/>
        <w:spacing w:line="240" w:lineRule="auto"/>
        <w:rPr>
          <w:szCs w:val="18"/>
          <w:lang w:val="ru-RU"/>
        </w:rPr>
      </w:pPr>
      <w:r>
        <w:rPr>
          <w:szCs w:val="18"/>
          <w:lang w:val="en-US"/>
        </w:rPr>
        <w:tab/>
      </w:r>
      <w:r w:rsidRPr="00281D17">
        <w:rPr>
          <w:szCs w:val="18"/>
          <w:vertAlign w:val="superscript"/>
          <w:lang w:val="ru-RU"/>
        </w:rPr>
        <w:footnoteRef/>
      </w:r>
      <w:r w:rsidRPr="00281D17">
        <w:rPr>
          <w:szCs w:val="18"/>
          <w:lang w:val="ru-RU"/>
        </w:rPr>
        <w:tab/>
      </w:r>
      <w:r w:rsidRPr="00442C17">
        <w:rPr>
          <w:szCs w:val="18"/>
          <w:lang w:val="ru-RU"/>
        </w:rPr>
        <w:t>См. Приложение № 4.</w:t>
      </w:r>
    </w:p>
  </w:footnote>
  <w:footnote w:id="96">
    <w:p w:rsidR="00BD55C9" w:rsidRPr="00442C17" w:rsidRDefault="00BD55C9" w:rsidP="00442C17">
      <w:pPr>
        <w:pStyle w:val="FootnoteText"/>
        <w:spacing w:line="240" w:lineRule="auto"/>
        <w:rPr>
          <w:szCs w:val="18"/>
          <w:lang w:val="ru-RU"/>
        </w:rPr>
      </w:pPr>
      <w:r>
        <w:rPr>
          <w:szCs w:val="18"/>
          <w:lang w:val="en-US"/>
        </w:rPr>
        <w:tab/>
      </w:r>
      <w:r w:rsidRPr="00281D17">
        <w:rPr>
          <w:szCs w:val="18"/>
          <w:vertAlign w:val="superscript"/>
          <w:lang w:val="ru-RU"/>
        </w:rPr>
        <w:footnoteRef/>
      </w:r>
      <w:r w:rsidRPr="00281D17">
        <w:rPr>
          <w:szCs w:val="18"/>
          <w:lang w:val="ru-RU"/>
        </w:rPr>
        <w:tab/>
      </w:r>
      <w:r w:rsidRPr="00442C17">
        <w:rPr>
          <w:szCs w:val="18"/>
          <w:lang w:val="ru-RU"/>
        </w:rPr>
        <w:t>Такая система уже действует, например, во Франции и в Германии.</w:t>
      </w:r>
    </w:p>
  </w:footnote>
  <w:footnote w:id="97">
    <w:p w:rsidR="00BD55C9" w:rsidRPr="00442C17" w:rsidRDefault="00BD55C9" w:rsidP="00442C17">
      <w:pPr>
        <w:pStyle w:val="FootnoteText"/>
        <w:spacing w:line="240" w:lineRule="auto"/>
        <w:rPr>
          <w:szCs w:val="18"/>
          <w:lang w:val="ru-RU"/>
        </w:rPr>
      </w:pPr>
      <w:r>
        <w:rPr>
          <w:szCs w:val="18"/>
          <w:lang w:val="en-US"/>
        </w:rPr>
        <w:tab/>
      </w:r>
      <w:r w:rsidRPr="00281D17">
        <w:rPr>
          <w:szCs w:val="18"/>
          <w:vertAlign w:val="superscript"/>
          <w:lang w:val="ru-RU"/>
        </w:rPr>
        <w:footnoteRef/>
      </w:r>
      <w:r w:rsidRPr="00281D17">
        <w:rPr>
          <w:szCs w:val="18"/>
          <w:vertAlign w:val="superscript"/>
          <w:lang w:val="ru-RU"/>
        </w:rPr>
        <w:tab/>
      </w:r>
      <w:r w:rsidRPr="00442C17">
        <w:rPr>
          <w:szCs w:val="18"/>
          <w:lang w:val="ru-RU"/>
        </w:rPr>
        <w:t>Предусмотрено Законом № 117/1995 Coll. о государственных социальных пособиях с поправками.</w:t>
      </w:r>
    </w:p>
  </w:footnote>
  <w:footnote w:id="98">
    <w:p w:rsidR="00BD55C9" w:rsidRPr="00442C17" w:rsidRDefault="00BD55C9" w:rsidP="00442C17">
      <w:pPr>
        <w:pStyle w:val="FootnoteText"/>
        <w:spacing w:line="240" w:lineRule="auto"/>
        <w:rPr>
          <w:szCs w:val="18"/>
          <w:lang w:val="ru-RU"/>
        </w:rPr>
      </w:pPr>
      <w:r>
        <w:rPr>
          <w:szCs w:val="18"/>
          <w:lang w:val="en-US"/>
        </w:rPr>
        <w:tab/>
      </w:r>
      <w:r w:rsidRPr="00281D17">
        <w:rPr>
          <w:szCs w:val="18"/>
          <w:vertAlign w:val="superscript"/>
          <w:lang w:val="ru-RU"/>
        </w:rPr>
        <w:footnoteRef/>
      </w:r>
      <w:r w:rsidRPr="00281D17">
        <w:rPr>
          <w:szCs w:val="18"/>
          <w:vertAlign w:val="superscript"/>
          <w:lang w:val="ru-RU"/>
        </w:rPr>
        <w:tab/>
      </w:r>
      <w:r w:rsidRPr="00442C17">
        <w:rPr>
          <w:szCs w:val="18"/>
          <w:lang w:val="ru-RU"/>
        </w:rPr>
        <w:t>Предусмотрена Законом № 111/2006 Coll. о помощи лицам, испытывающим материальные затруднения, с поправками.</w:t>
      </w:r>
    </w:p>
  </w:footnote>
  <w:footnote w:id="99">
    <w:p w:rsidR="00BD55C9" w:rsidRPr="00442C17" w:rsidRDefault="00BD55C9" w:rsidP="00442C17">
      <w:pPr>
        <w:pStyle w:val="FootnoteText"/>
        <w:spacing w:line="240" w:lineRule="auto"/>
        <w:rPr>
          <w:szCs w:val="18"/>
          <w:lang w:val="ru-RU"/>
        </w:rPr>
      </w:pPr>
      <w:r>
        <w:rPr>
          <w:szCs w:val="18"/>
          <w:lang w:val="en-US"/>
        </w:rPr>
        <w:tab/>
      </w:r>
      <w:r w:rsidRPr="00281D17">
        <w:rPr>
          <w:szCs w:val="18"/>
          <w:vertAlign w:val="superscript"/>
          <w:lang w:val="ru-RU"/>
        </w:rPr>
        <w:footnoteRef/>
      </w:r>
      <w:r w:rsidRPr="00281D17">
        <w:rPr>
          <w:szCs w:val="18"/>
          <w:vertAlign w:val="superscript"/>
          <w:lang w:val="ru-RU"/>
        </w:rPr>
        <w:tab/>
      </w:r>
      <w:r w:rsidRPr="00442C17">
        <w:rPr>
          <w:szCs w:val="18"/>
          <w:lang w:val="ru-RU"/>
        </w:rPr>
        <w:t>Постановление правительства № 333/2009 Coll. об условиях использования Государственного фонда жилищного строительства в целях частичной компенсации расходов, связанных со строительством социальных квартир.</w:t>
      </w:r>
    </w:p>
  </w:footnote>
  <w:footnote w:id="100">
    <w:p w:rsidR="00BD55C9" w:rsidRPr="00442C17" w:rsidRDefault="00BD55C9" w:rsidP="00442C17">
      <w:pPr>
        <w:pStyle w:val="FootnoteText"/>
        <w:spacing w:line="240" w:lineRule="auto"/>
        <w:rPr>
          <w:szCs w:val="18"/>
          <w:lang w:val="ru-RU"/>
        </w:rPr>
      </w:pPr>
      <w:r>
        <w:rPr>
          <w:szCs w:val="18"/>
          <w:lang w:val="en-US"/>
        </w:rPr>
        <w:tab/>
      </w:r>
      <w:r w:rsidRPr="005F0720">
        <w:rPr>
          <w:szCs w:val="18"/>
          <w:vertAlign w:val="superscript"/>
          <w:lang w:val="ru-RU"/>
        </w:rPr>
        <w:footnoteRef/>
      </w:r>
      <w:r w:rsidRPr="00CC2DDF">
        <w:rPr>
          <w:szCs w:val="18"/>
          <w:lang w:val="ru-RU"/>
        </w:rPr>
        <w:tab/>
      </w:r>
      <w:r w:rsidRPr="00442C17">
        <w:rPr>
          <w:szCs w:val="18"/>
          <w:lang w:val="ru-RU"/>
        </w:rPr>
        <w:t xml:space="preserve">Постановление правительства № 284/2011 Coll. об условиях задействования и использования Государственного фонда жилищного строительства.  </w:t>
      </w:r>
    </w:p>
  </w:footnote>
  <w:footnote w:id="101">
    <w:p w:rsidR="00BD55C9" w:rsidRPr="00442C17" w:rsidRDefault="00BD55C9" w:rsidP="00442C17">
      <w:pPr>
        <w:pStyle w:val="FootnoteText"/>
        <w:spacing w:line="240" w:lineRule="auto"/>
        <w:rPr>
          <w:szCs w:val="18"/>
          <w:lang w:val="ru-RU"/>
        </w:rPr>
      </w:pPr>
      <w:r>
        <w:rPr>
          <w:szCs w:val="18"/>
          <w:lang w:val="en-US"/>
        </w:rPr>
        <w:tab/>
      </w:r>
      <w:r w:rsidRPr="005F0720">
        <w:rPr>
          <w:szCs w:val="18"/>
          <w:vertAlign w:val="superscript"/>
          <w:lang w:val="ru-RU"/>
        </w:rPr>
        <w:footnoteRef/>
      </w:r>
      <w:r w:rsidRPr="00CC2DDF">
        <w:rPr>
          <w:szCs w:val="18"/>
          <w:lang w:val="ru-RU"/>
        </w:rPr>
        <w:tab/>
      </w:r>
      <w:r w:rsidRPr="00442C17">
        <w:rPr>
          <w:szCs w:val="18"/>
          <w:lang w:val="ru-RU"/>
        </w:rPr>
        <w:t>В 2009 году таким образом было поддержано 12 организаций, в 2010 году – 7 организаций, а в 2011 и 2012 годах – по 9 организаций.</w:t>
      </w:r>
    </w:p>
  </w:footnote>
  <w:footnote w:id="102">
    <w:p w:rsidR="00BD55C9" w:rsidRPr="00442C17" w:rsidRDefault="00BD55C9" w:rsidP="00442C17">
      <w:pPr>
        <w:pStyle w:val="FootnoteText"/>
        <w:spacing w:line="240" w:lineRule="auto"/>
        <w:rPr>
          <w:szCs w:val="18"/>
          <w:lang w:val="ru-RU"/>
        </w:rPr>
      </w:pPr>
      <w:r>
        <w:rPr>
          <w:szCs w:val="18"/>
          <w:lang w:val="en-US"/>
        </w:rPr>
        <w:tab/>
      </w:r>
      <w:r w:rsidRPr="005F0720">
        <w:rPr>
          <w:szCs w:val="18"/>
          <w:vertAlign w:val="superscript"/>
          <w:lang w:val="ru-RU"/>
        </w:rPr>
        <w:footnoteRef/>
      </w:r>
      <w:r w:rsidRPr="00CC2DDF">
        <w:rPr>
          <w:szCs w:val="18"/>
          <w:lang w:val="ru-RU"/>
        </w:rPr>
        <w:tab/>
      </w:r>
      <w:r w:rsidRPr="00442C17">
        <w:rPr>
          <w:szCs w:val="18"/>
          <w:lang w:val="ru-RU"/>
        </w:rPr>
        <w:t xml:space="preserve">Брошюра </w:t>
      </w:r>
      <w:r>
        <w:rPr>
          <w:szCs w:val="18"/>
          <w:lang w:val="ru-RU"/>
        </w:rPr>
        <w:t>"</w:t>
      </w:r>
      <w:r w:rsidRPr="00442C17">
        <w:rPr>
          <w:szCs w:val="18"/>
          <w:lang w:val="ru-RU"/>
        </w:rPr>
        <w:t>Руководство для пациентов</w:t>
      </w:r>
      <w:r>
        <w:rPr>
          <w:szCs w:val="18"/>
          <w:lang w:val="ru-RU"/>
        </w:rPr>
        <w:t>"</w:t>
      </w:r>
      <w:r w:rsidRPr="00442C17">
        <w:rPr>
          <w:szCs w:val="18"/>
          <w:lang w:val="ru-RU"/>
        </w:rPr>
        <w:t xml:space="preserve"> также доступна на веб</w:t>
      </w:r>
      <w:r>
        <w:rPr>
          <w:szCs w:val="18"/>
          <w:lang w:val="ru-RU"/>
        </w:rPr>
        <w:t>-</w:t>
      </w:r>
      <w:r w:rsidRPr="00442C17">
        <w:rPr>
          <w:szCs w:val="18"/>
          <w:lang w:val="ru-RU"/>
        </w:rPr>
        <w:t xml:space="preserve">сайте Министерства здравоохранения по следующей ссылке: http://www.mzcr.cz/dokumenty/ministerstvo-zdravotnictvi-vydava-publikaci-radce-pacienta-ktera-prispeje-k-lepsi-orientaci-pacientu-pri-kontaktu-se-zdravotnimi-sluzbami_3478_1.html </w:t>
      </w:r>
    </w:p>
  </w:footnote>
  <w:footnote w:id="103">
    <w:p w:rsidR="00BD55C9" w:rsidRPr="00442C17" w:rsidRDefault="00BD55C9" w:rsidP="00442C17">
      <w:pPr>
        <w:pStyle w:val="FootnoteText"/>
        <w:spacing w:line="240" w:lineRule="auto"/>
        <w:rPr>
          <w:szCs w:val="18"/>
          <w:lang w:val="ru-RU"/>
        </w:rPr>
      </w:pPr>
      <w:r w:rsidRPr="00CC2DDF">
        <w:rPr>
          <w:szCs w:val="18"/>
          <w:lang w:val="ru-RU"/>
        </w:rPr>
        <w:tab/>
      </w:r>
      <w:r w:rsidRPr="005F0720">
        <w:rPr>
          <w:szCs w:val="18"/>
          <w:vertAlign w:val="superscript"/>
          <w:lang w:val="ru-RU"/>
        </w:rPr>
        <w:footnoteRef/>
      </w:r>
      <w:r w:rsidRPr="00CC2DDF">
        <w:rPr>
          <w:szCs w:val="18"/>
          <w:lang w:val="ru-RU"/>
        </w:rPr>
        <w:tab/>
      </w:r>
      <w:r w:rsidRPr="00442C17">
        <w:rPr>
          <w:szCs w:val="18"/>
          <w:lang w:val="ru-RU"/>
        </w:rPr>
        <w:t xml:space="preserve">CERD/C/CZE/CO/8-9/Add.1 </w:t>
      </w:r>
    </w:p>
  </w:footnote>
  <w:footnote w:id="104">
    <w:p w:rsidR="00BD55C9" w:rsidRPr="00442C17" w:rsidRDefault="00BD55C9" w:rsidP="00442C17">
      <w:pPr>
        <w:pStyle w:val="FootnoteText"/>
        <w:spacing w:line="240" w:lineRule="auto"/>
        <w:rPr>
          <w:szCs w:val="18"/>
          <w:lang w:val="ru-RU"/>
        </w:rPr>
      </w:pPr>
      <w:r>
        <w:rPr>
          <w:szCs w:val="18"/>
          <w:lang w:val="ru-RU"/>
        </w:rPr>
        <w:tab/>
      </w:r>
      <w:r w:rsidRPr="007B78D7">
        <w:rPr>
          <w:szCs w:val="18"/>
          <w:vertAlign w:val="superscript"/>
          <w:lang w:val="ru-RU"/>
        </w:rPr>
        <w:footnoteRef/>
      </w:r>
      <w:r>
        <w:rPr>
          <w:szCs w:val="18"/>
          <w:lang w:val="ru-RU"/>
        </w:rPr>
        <w:tab/>
      </w:r>
      <w:r w:rsidRPr="00442C17">
        <w:rPr>
          <w:szCs w:val="18"/>
          <w:lang w:val="ru-RU"/>
        </w:rPr>
        <w:t>Закон № 401/2012 Coll. о внесении поправок в Закон № 359/1999 Coll. о социальной и правовой защите детей.</w:t>
      </w:r>
    </w:p>
  </w:footnote>
  <w:footnote w:id="105">
    <w:p w:rsidR="00BD55C9" w:rsidRPr="00442C17" w:rsidRDefault="00BD55C9" w:rsidP="00442C17">
      <w:pPr>
        <w:pStyle w:val="FootnoteText"/>
        <w:spacing w:line="240" w:lineRule="auto"/>
        <w:rPr>
          <w:szCs w:val="18"/>
          <w:lang w:val="ru-RU"/>
        </w:rPr>
      </w:pPr>
      <w:r>
        <w:rPr>
          <w:szCs w:val="18"/>
          <w:lang w:val="ru-RU"/>
        </w:rPr>
        <w:tab/>
      </w:r>
      <w:r w:rsidRPr="007B78D7">
        <w:rPr>
          <w:szCs w:val="18"/>
          <w:vertAlign w:val="superscript"/>
          <w:lang w:val="ru-RU"/>
        </w:rPr>
        <w:footnoteRef/>
      </w:r>
      <w:r>
        <w:rPr>
          <w:szCs w:val="18"/>
          <w:lang w:val="ru-RU"/>
        </w:rPr>
        <w:tab/>
      </w:r>
      <w:r w:rsidRPr="00442C17">
        <w:rPr>
          <w:szCs w:val="18"/>
          <w:lang w:val="ru-RU"/>
        </w:rPr>
        <w:t>Разделы 31-34 Закона № 359/1999 Coll.</w:t>
      </w:r>
    </w:p>
  </w:footnote>
  <w:footnote w:id="106">
    <w:p w:rsidR="00BD55C9" w:rsidRPr="00442C17" w:rsidRDefault="00BD55C9" w:rsidP="00442C17">
      <w:pPr>
        <w:pStyle w:val="FootnoteText"/>
        <w:spacing w:line="240" w:lineRule="auto"/>
        <w:rPr>
          <w:szCs w:val="18"/>
          <w:lang w:val="ru-RU"/>
        </w:rPr>
      </w:pPr>
      <w:r>
        <w:rPr>
          <w:szCs w:val="18"/>
          <w:lang w:val="ru-RU"/>
        </w:rPr>
        <w:tab/>
      </w:r>
      <w:r w:rsidRPr="007B78D7">
        <w:rPr>
          <w:szCs w:val="18"/>
          <w:vertAlign w:val="superscript"/>
          <w:lang w:val="ru-RU"/>
        </w:rPr>
        <w:footnoteRef/>
      </w:r>
      <w:r>
        <w:rPr>
          <w:szCs w:val="18"/>
          <w:lang w:val="ru-RU"/>
        </w:rPr>
        <w:tab/>
      </w:r>
      <w:r w:rsidRPr="00442C17">
        <w:rPr>
          <w:szCs w:val="18"/>
          <w:lang w:val="ru-RU"/>
        </w:rPr>
        <w:t xml:space="preserve">Постановление МТСВ № 473/2012 Coll. </w:t>
      </w:r>
    </w:p>
  </w:footnote>
  <w:footnote w:id="107">
    <w:p w:rsidR="00BD55C9" w:rsidRPr="007B78D7" w:rsidRDefault="00BD55C9" w:rsidP="00442C17">
      <w:pPr>
        <w:pStyle w:val="FootnoteText"/>
        <w:spacing w:line="240" w:lineRule="auto"/>
        <w:rPr>
          <w:szCs w:val="18"/>
          <w:lang w:val="en-US"/>
        </w:rPr>
      </w:pPr>
      <w:r>
        <w:rPr>
          <w:szCs w:val="18"/>
          <w:lang w:val="ru-RU"/>
        </w:rPr>
        <w:tab/>
      </w:r>
      <w:r w:rsidRPr="007B78D7">
        <w:rPr>
          <w:szCs w:val="18"/>
          <w:vertAlign w:val="superscript"/>
          <w:lang w:val="ru-RU"/>
        </w:rPr>
        <w:footnoteRef/>
      </w:r>
      <w:r w:rsidRPr="007B78D7">
        <w:rPr>
          <w:szCs w:val="18"/>
          <w:lang w:val="en-US"/>
        </w:rPr>
        <w:tab/>
        <w:t>CERD/C/CZE/CO/8-9/Add.1</w:t>
      </w:r>
    </w:p>
  </w:footnote>
  <w:footnote w:id="108">
    <w:p w:rsidR="00BD55C9" w:rsidRPr="00442C17" w:rsidRDefault="00BD55C9" w:rsidP="00442C17">
      <w:pPr>
        <w:pStyle w:val="FootnoteText"/>
        <w:spacing w:line="240" w:lineRule="auto"/>
        <w:rPr>
          <w:szCs w:val="18"/>
          <w:lang w:val="ru-RU"/>
        </w:rPr>
      </w:pPr>
      <w:r w:rsidRPr="007B78D7">
        <w:rPr>
          <w:szCs w:val="18"/>
          <w:lang w:val="en-US"/>
        </w:rPr>
        <w:tab/>
      </w:r>
      <w:r w:rsidRPr="007B78D7">
        <w:rPr>
          <w:szCs w:val="18"/>
          <w:vertAlign w:val="superscript"/>
          <w:lang w:val="ru-RU"/>
        </w:rPr>
        <w:footnoteRef/>
      </w:r>
      <w:r w:rsidRPr="007B78D7">
        <w:rPr>
          <w:szCs w:val="18"/>
          <w:vertAlign w:val="superscript"/>
          <w:lang w:val="ru-RU"/>
        </w:rPr>
        <w:t xml:space="preserve"> </w:t>
      </w:r>
      <w:r>
        <w:rPr>
          <w:szCs w:val="18"/>
          <w:lang w:val="ru-RU"/>
        </w:rPr>
        <w:tab/>
      </w:r>
      <w:r w:rsidRPr="00442C17">
        <w:rPr>
          <w:szCs w:val="18"/>
          <w:lang w:val="ru-RU"/>
        </w:rPr>
        <w:t>Результаты обследования доступны на следующем веб</w:t>
      </w:r>
      <w:r>
        <w:rPr>
          <w:szCs w:val="18"/>
          <w:lang w:val="ru-RU"/>
        </w:rPr>
        <w:t>-</w:t>
      </w:r>
      <w:r w:rsidRPr="00442C17">
        <w:rPr>
          <w:szCs w:val="18"/>
          <w:lang w:val="ru-RU"/>
        </w:rPr>
        <w:t xml:space="preserve">сайте: http://www.ochrance.cz/fileadmin/user_upload/ DISKRIMINACE/Vyzkum/Vyzkum_skoly-zprava.pdf. </w:t>
      </w:r>
    </w:p>
  </w:footnote>
  <w:footnote w:id="109">
    <w:p w:rsidR="00BD55C9" w:rsidRPr="00442C17" w:rsidRDefault="00BD55C9" w:rsidP="00442C17">
      <w:pPr>
        <w:pStyle w:val="FootnoteText"/>
        <w:spacing w:line="240" w:lineRule="auto"/>
        <w:rPr>
          <w:szCs w:val="18"/>
          <w:lang w:val="ru-RU"/>
        </w:rPr>
      </w:pPr>
      <w:r>
        <w:rPr>
          <w:szCs w:val="18"/>
          <w:lang w:val="ru-RU"/>
        </w:rPr>
        <w:tab/>
      </w:r>
      <w:r w:rsidRPr="00C3125F">
        <w:rPr>
          <w:szCs w:val="18"/>
          <w:vertAlign w:val="superscript"/>
          <w:lang w:val="ru-RU"/>
        </w:rPr>
        <w:footnoteRef/>
      </w:r>
      <w:r>
        <w:rPr>
          <w:szCs w:val="18"/>
          <w:lang w:val="ru-RU"/>
        </w:rPr>
        <w:tab/>
      </w:r>
      <w:hyperlink r:id="rId1" w:history="1">
        <w:r w:rsidRPr="00442C17">
          <w:rPr>
            <w:szCs w:val="18"/>
            <w:lang w:val="ru-RU"/>
          </w:rPr>
          <w:t>http://www.coe.int/t/dghl/monitoring/execution/Reports/pendingCases_en.asp? CaseTitleOrNumber=57325%2F00&amp;StateCode=CZE&amp;SectionCode</w:t>
        </w:r>
      </w:hyperlink>
      <w:r w:rsidRPr="00442C17">
        <w:rPr>
          <w:szCs w:val="18"/>
          <w:lang w:val="ru-RU"/>
        </w:rPr>
        <w:t>.</w:t>
      </w:r>
    </w:p>
  </w:footnote>
  <w:footnote w:id="110">
    <w:p w:rsidR="00BD55C9" w:rsidRPr="00442C17" w:rsidRDefault="00BD55C9" w:rsidP="00442C17">
      <w:pPr>
        <w:pStyle w:val="FootnoteText"/>
        <w:spacing w:line="240" w:lineRule="auto"/>
        <w:rPr>
          <w:szCs w:val="18"/>
          <w:lang w:val="ru-RU"/>
        </w:rPr>
      </w:pPr>
      <w:r>
        <w:rPr>
          <w:szCs w:val="18"/>
          <w:lang w:val="ru-RU"/>
        </w:rPr>
        <w:tab/>
      </w:r>
      <w:r w:rsidRPr="00C3125F">
        <w:rPr>
          <w:szCs w:val="18"/>
          <w:vertAlign w:val="superscript"/>
          <w:lang w:val="ru-RU"/>
        </w:rPr>
        <w:footnoteRef/>
      </w:r>
      <w:r>
        <w:rPr>
          <w:szCs w:val="18"/>
          <w:lang w:val="ru-RU"/>
        </w:rPr>
        <w:tab/>
      </w:r>
      <w:r w:rsidRPr="00442C17">
        <w:rPr>
          <w:szCs w:val="18"/>
          <w:lang w:val="ru-RU"/>
        </w:rPr>
        <w:t>CERD/C/CZE/CO/8-9/Add. 1.</w:t>
      </w:r>
    </w:p>
  </w:footnote>
  <w:footnote w:id="111">
    <w:p w:rsidR="00BD55C9" w:rsidRPr="00442C17" w:rsidRDefault="00BD55C9" w:rsidP="00442C17">
      <w:pPr>
        <w:pStyle w:val="FootnoteText"/>
        <w:spacing w:line="240" w:lineRule="auto"/>
        <w:rPr>
          <w:szCs w:val="18"/>
          <w:lang w:val="ru-RU"/>
        </w:rPr>
      </w:pPr>
      <w:r>
        <w:rPr>
          <w:szCs w:val="18"/>
          <w:lang w:val="ru-RU"/>
        </w:rPr>
        <w:tab/>
      </w:r>
      <w:r w:rsidRPr="00C3125F">
        <w:rPr>
          <w:szCs w:val="18"/>
          <w:vertAlign w:val="superscript"/>
          <w:lang w:val="ru-RU"/>
        </w:rPr>
        <w:footnoteRef/>
      </w:r>
      <w:r>
        <w:rPr>
          <w:szCs w:val="18"/>
          <w:lang w:val="ru-RU"/>
        </w:rPr>
        <w:tab/>
      </w:r>
      <w:r w:rsidRPr="00442C17">
        <w:rPr>
          <w:szCs w:val="18"/>
          <w:lang w:val="ru-RU"/>
        </w:rPr>
        <w:t xml:space="preserve">В 2012 году была организована передвижная выставка </w:t>
      </w:r>
      <w:r>
        <w:rPr>
          <w:szCs w:val="18"/>
          <w:lang w:val="ru-RU"/>
        </w:rPr>
        <w:t>"</w:t>
      </w:r>
      <w:r w:rsidRPr="00442C17">
        <w:rPr>
          <w:szCs w:val="18"/>
          <w:lang w:val="ru-RU"/>
        </w:rPr>
        <w:t>Геноцид рома в ходе Второй мировой войны</w:t>
      </w:r>
      <w:r>
        <w:rPr>
          <w:szCs w:val="18"/>
          <w:lang w:val="ru-RU"/>
        </w:rPr>
        <w:t>"</w:t>
      </w:r>
      <w:r w:rsidRPr="00442C17">
        <w:rPr>
          <w:szCs w:val="18"/>
          <w:lang w:val="ru-RU"/>
        </w:rPr>
        <w:t xml:space="preserve">, которая будет экспонироваться в школах Соединенного Королевства в течение двух лет в рамках проекта </w:t>
      </w:r>
      <w:r>
        <w:rPr>
          <w:szCs w:val="18"/>
          <w:lang w:val="ru-RU"/>
        </w:rPr>
        <w:t>"</w:t>
      </w:r>
      <w:r w:rsidRPr="00442C17">
        <w:rPr>
          <w:szCs w:val="18"/>
          <w:lang w:val="ru-RU"/>
        </w:rPr>
        <w:t>Комениус</w:t>
      </w:r>
      <w:r>
        <w:rPr>
          <w:szCs w:val="18"/>
          <w:lang w:val="ru-RU"/>
        </w:rPr>
        <w:t>"</w:t>
      </w:r>
      <w:r w:rsidRPr="00442C17">
        <w:rPr>
          <w:szCs w:val="18"/>
          <w:lang w:val="ru-RU"/>
        </w:rPr>
        <w:t xml:space="preserve">. Аналогичная выставка будет направлена за рубеж в рамках программы </w:t>
      </w:r>
      <w:r>
        <w:rPr>
          <w:szCs w:val="18"/>
          <w:lang w:val="ru-RU"/>
        </w:rPr>
        <w:t>"</w:t>
      </w:r>
      <w:r w:rsidRPr="00442C17">
        <w:rPr>
          <w:szCs w:val="18"/>
          <w:lang w:val="ru-RU"/>
        </w:rPr>
        <w:t>Грюндтвиг</w:t>
      </w:r>
      <w:r>
        <w:rPr>
          <w:szCs w:val="18"/>
          <w:lang w:val="ru-RU"/>
        </w:rPr>
        <w:t>"</w:t>
      </w:r>
      <w:r w:rsidRPr="00442C17">
        <w:rPr>
          <w:szCs w:val="18"/>
          <w:lang w:val="ru-RU"/>
        </w:rPr>
        <w:t>.</w:t>
      </w:r>
    </w:p>
  </w:footnote>
  <w:footnote w:id="112">
    <w:p w:rsidR="00BD55C9" w:rsidRPr="00442C17" w:rsidRDefault="00BD55C9" w:rsidP="00442C17">
      <w:pPr>
        <w:pStyle w:val="FootnoteText"/>
        <w:spacing w:line="240" w:lineRule="auto"/>
        <w:rPr>
          <w:szCs w:val="18"/>
          <w:lang w:val="ru-RU"/>
        </w:rPr>
      </w:pPr>
      <w:r>
        <w:rPr>
          <w:szCs w:val="18"/>
          <w:lang w:val="ru-RU"/>
        </w:rPr>
        <w:tab/>
      </w:r>
      <w:r w:rsidRPr="00C3125F">
        <w:rPr>
          <w:szCs w:val="18"/>
          <w:vertAlign w:val="superscript"/>
          <w:lang w:val="ru-RU"/>
        </w:rPr>
        <w:footnoteRef/>
      </w:r>
      <w:r>
        <w:rPr>
          <w:szCs w:val="18"/>
          <w:lang w:val="ru-RU"/>
        </w:rPr>
        <w:tab/>
      </w:r>
      <w:r w:rsidRPr="00442C17">
        <w:rPr>
          <w:szCs w:val="18"/>
          <w:lang w:val="ru-RU"/>
        </w:rPr>
        <w:t xml:space="preserve">В 2012 году в рамках учебного курса </w:t>
      </w:r>
      <w:r>
        <w:rPr>
          <w:szCs w:val="18"/>
          <w:lang w:val="ru-RU"/>
        </w:rPr>
        <w:t>"</w:t>
      </w:r>
      <w:r w:rsidRPr="00442C17">
        <w:rPr>
          <w:szCs w:val="18"/>
          <w:lang w:val="ru-RU"/>
        </w:rPr>
        <w:t>Современный учитель истории</w:t>
      </w:r>
      <w:r>
        <w:rPr>
          <w:szCs w:val="18"/>
          <w:lang w:val="ru-RU"/>
        </w:rPr>
        <w:t>"</w:t>
      </w:r>
      <w:r w:rsidRPr="00442C17">
        <w:rPr>
          <w:szCs w:val="18"/>
          <w:lang w:val="ru-RU"/>
        </w:rPr>
        <w:t xml:space="preserve"> была организована серия разовых мероприятий, включая </w:t>
      </w:r>
      <w:r>
        <w:rPr>
          <w:szCs w:val="18"/>
          <w:lang w:val="ru-RU"/>
        </w:rPr>
        <w:t>"</w:t>
      </w:r>
      <w:r w:rsidRPr="00442C17">
        <w:rPr>
          <w:szCs w:val="18"/>
          <w:lang w:val="ru-RU"/>
        </w:rPr>
        <w:t>Семинар шаг за шагом</w:t>
      </w:r>
      <w:r>
        <w:rPr>
          <w:szCs w:val="18"/>
          <w:lang w:val="ru-RU"/>
        </w:rPr>
        <w:t>"</w:t>
      </w:r>
      <w:r w:rsidRPr="00442C17">
        <w:rPr>
          <w:szCs w:val="18"/>
          <w:lang w:val="ru-RU"/>
        </w:rPr>
        <w:t xml:space="preserve"> и мероприятие под названием </w:t>
      </w:r>
      <w:r>
        <w:rPr>
          <w:szCs w:val="18"/>
          <w:lang w:val="ru-RU"/>
        </w:rPr>
        <w:t>"</w:t>
      </w:r>
      <w:r w:rsidRPr="00442C17">
        <w:rPr>
          <w:szCs w:val="18"/>
          <w:lang w:val="ru-RU"/>
        </w:rPr>
        <w:t>История рома в нашей стране</w:t>
      </w:r>
      <w:r>
        <w:rPr>
          <w:szCs w:val="18"/>
          <w:lang w:val="ru-RU"/>
        </w:rPr>
        <w:t>"</w:t>
      </w:r>
      <w:r w:rsidRPr="00442C17">
        <w:rPr>
          <w:szCs w:val="18"/>
          <w:lang w:val="ru-RU"/>
        </w:rPr>
        <w:t xml:space="preserve">; кроме того, была проведена лекция и семинар для педагогов на тему </w:t>
      </w:r>
      <w:r>
        <w:rPr>
          <w:szCs w:val="18"/>
          <w:lang w:val="ru-RU"/>
        </w:rPr>
        <w:t>"</w:t>
      </w:r>
      <w:r w:rsidRPr="00442C17">
        <w:rPr>
          <w:szCs w:val="18"/>
          <w:lang w:val="ru-RU"/>
        </w:rPr>
        <w:t>Принципы рома – рома и воспитание детей</w:t>
      </w:r>
      <w:r>
        <w:rPr>
          <w:szCs w:val="18"/>
          <w:lang w:val="ru-RU"/>
        </w:rPr>
        <w:t>"</w:t>
      </w:r>
      <w:r w:rsidRPr="00442C17">
        <w:rPr>
          <w:szCs w:val="18"/>
          <w:lang w:val="ru-RU"/>
        </w:rPr>
        <w:t xml:space="preserve">, семинары о Холокосте евреев и рома </w:t>
      </w:r>
      <w:r>
        <w:rPr>
          <w:szCs w:val="18"/>
          <w:lang w:val="ru-RU"/>
        </w:rPr>
        <w:t>"</w:t>
      </w:r>
      <w:r w:rsidRPr="00442C17">
        <w:rPr>
          <w:szCs w:val="18"/>
          <w:lang w:val="ru-RU"/>
        </w:rPr>
        <w:t>Porajmos – Soa – Холокост</w:t>
      </w:r>
      <w:r>
        <w:rPr>
          <w:szCs w:val="18"/>
          <w:lang w:val="ru-RU"/>
        </w:rPr>
        <w:t>"</w:t>
      </w:r>
      <w:r w:rsidRPr="00442C17">
        <w:rPr>
          <w:szCs w:val="18"/>
          <w:lang w:val="ru-RU"/>
        </w:rPr>
        <w:t xml:space="preserve">, а также семинар для педагогов на тему </w:t>
      </w:r>
      <w:r>
        <w:rPr>
          <w:szCs w:val="18"/>
          <w:lang w:val="ru-RU"/>
        </w:rPr>
        <w:t>"</w:t>
      </w:r>
      <w:r w:rsidRPr="00442C17">
        <w:rPr>
          <w:szCs w:val="18"/>
          <w:lang w:val="ru-RU"/>
        </w:rPr>
        <w:t>Как преподавать материал, связанный с Холокостом рома</w:t>
      </w:r>
      <w:r>
        <w:rPr>
          <w:szCs w:val="18"/>
          <w:lang w:val="ru-RU"/>
        </w:rPr>
        <w:t>"</w:t>
      </w:r>
      <w:r w:rsidRPr="00442C17">
        <w:rPr>
          <w:szCs w:val="18"/>
          <w:lang w:val="ru-RU"/>
        </w:rPr>
        <w:t xml:space="preserve">. </w:t>
      </w:r>
    </w:p>
  </w:footnote>
  <w:footnote w:id="113">
    <w:p w:rsidR="00BD55C9" w:rsidRPr="00442C17" w:rsidRDefault="00BD55C9" w:rsidP="00442C17">
      <w:pPr>
        <w:pStyle w:val="FootnoteText"/>
        <w:spacing w:line="240" w:lineRule="auto"/>
        <w:rPr>
          <w:szCs w:val="18"/>
          <w:lang w:val="ru-RU"/>
        </w:rPr>
      </w:pPr>
      <w:r>
        <w:rPr>
          <w:szCs w:val="18"/>
          <w:lang w:val="ru-RU"/>
        </w:rPr>
        <w:tab/>
      </w:r>
      <w:r w:rsidRPr="00C3125F">
        <w:rPr>
          <w:szCs w:val="18"/>
          <w:vertAlign w:val="superscript"/>
          <w:lang w:val="ru-RU"/>
        </w:rPr>
        <w:footnoteRef/>
      </w:r>
      <w:r>
        <w:rPr>
          <w:szCs w:val="18"/>
          <w:lang w:val="ru-RU"/>
        </w:rPr>
        <w:tab/>
      </w:r>
      <w:r w:rsidRPr="00442C17">
        <w:rPr>
          <w:szCs w:val="18"/>
          <w:lang w:val="ru-RU"/>
        </w:rPr>
        <w:t>В рамках этого проекта были подготовлены учебные материалы для курсов языка рома, которые были опробованы в Музее.</w:t>
      </w:r>
    </w:p>
  </w:footnote>
  <w:footnote w:id="114">
    <w:p w:rsidR="00BD55C9" w:rsidRPr="00442C17" w:rsidRDefault="00BD55C9" w:rsidP="00442C17">
      <w:pPr>
        <w:pStyle w:val="FootnoteText"/>
        <w:spacing w:line="240" w:lineRule="auto"/>
        <w:rPr>
          <w:szCs w:val="18"/>
          <w:lang w:val="ru-RU"/>
        </w:rPr>
      </w:pPr>
      <w:r>
        <w:rPr>
          <w:szCs w:val="18"/>
          <w:lang w:val="ru-RU"/>
        </w:rPr>
        <w:tab/>
      </w:r>
      <w:r w:rsidRPr="00C3125F">
        <w:rPr>
          <w:szCs w:val="18"/>
          <w:vertAlign w:val="superscript"/>
          <w:lang w:val="ru-RU"/>
        </w:rPr>
        <w:footnoteRef/>
      </w:r>
      <w:r>
        <w:rPr>
          <w:szCs w:val="18"/>
          <w:lang w:val="ru-RU"/>
        </w:rPr>
        <w:tab/>
      </w:r>
      <w:r w:rsidRPr="00442C17">
        <w:rPr>
          <w:szCs w:val="18"/>
          <w:lang w:val="ru-RU"/>
        </w:rPr>
        <w:t xml:space="preserve">В этой программе приняли участие в общей сложности 40 детей, которые посещают индивидуальные занятия один или два раза в неделю; это способствует хорошим отношениям между семьями рома и Музеем. Преподавание ведут два педагога и 12 добровольцев из числа студентов университетов, в частности педагогического факультета Масарикова университета.  </w:t>
      </w:r>
    </w:p>
  </w:footnote>
  <w:footnote w:id="115">
    <w:p w:rsidR="00BD55C9" w:rsidRPr="00442C17" w:rsidRDefault="00BD55C9" w:rsidP="00442C17">
      <w:pPr>
        <w:pStyle w:val="FootnoteText"/>
        <w:spacing w:line="240" w:lineRule="auto"/>
        <w:rPr>
          <w:szCs w:val="18"/>
          <w:lang w:val="ru-RU"/>
        </w:rPr>
      </w:pPr>
      <w:r>
        <w:rPr>
          <w:szCs w:val="18"/>
          <w:lang w:val="ru-RU"/>
        </w:rPr>
        <w:tab/>
      </w:r>
      <w:r w:rsidRPr="00C3125F">
        <w:rPr>
          <w:szCs w:val="18"/>
          <w:vertAlign w:val="superscript"/>
          <w:lang w:val="ru-RU"/>
        </w:rPr>
        <w:footnoteRef/>
      </w:r>
      <w:r>
        <w:rPr>
          <w:szCs w:val="18"/>
          <w:lang w:val="ru-RU"/>
        </w:rPr>
        <w:tab/>
      </w:r>
      <w:r w:rsidRPr="00442C17">
        <w:rPr>
          <w:szCs w:val="18"/>
          <w:lang w:val="ru-RU"/>
        </w:rPr>
        <w:t xml:space="preserve">Гражданское объединение </w:t>
      </w:r>
      <w:r>
        <w:rPr>
          <w:szCs w:val="18"/>
          <w:lang w:val="ru-RU"/>
        </w:rPr>
        <w:t>"</w:t>
      </w:r>
      <w:r w:rsidRPr="00442C17">
        <w:rPr>
          <w:szCs w:val="18"/>
          <w:lang w:val="ru-RU"/>
        </w:rPr>
        <w:t>Слово 21</w:t>
      </w:r>
      <w:r>
        <w:rPr>
          <w:szCs w:val="18"/>
          <w:lang w:val="ru-RU"/>
        </w:rPr>
        <w:t>"</w:t>
      </w:r>
      <w:r w:rsidRPr="00442C17">
        <w:rPr>
          <w:szCs w:val="18"/>
          <w:lang w:val="ru-RU"/>
        </w:rPr>
        <w:t xml:space="preserve"> ежегодно организует Фестиваль рома </w:t>
      </w:r>
      <w:r>
        <w:rPr>
          <w:szCs w:val="18"/>
          <w:lang w:val="ru-RU"/>
        </w:rPr>
        <w:t>"</w:t>
      </w:r>
      <w:r w:rsidRPr="00442C17">
        <w:rPr>
          <w:szCs w:val="18"/>
          <w:lang w:val="ru-RU"/>
        </w:rPr>
        <w:t>Хаморо</w:t>
      </w:r>
      <w:r>
        <w:rPr>
          <w:szCs w:val="18"/>
          <w:lang w:val="ru-RU"/>
        </w:rPr>
        <w:t>"</w:t>
      </w:r>
      <w:r w:rsidRPr="00442C17">
        <w:rPr>
          <w:szCs w:val="18"/>
          <w:lang w:val="ru-RU"/>
        </w:rPr>
        <w:t xml:space="preserve">, а Ассоциация цыган Моравии и Цыганская ассоциация Северной Моравии организуют свои собственные фестивали.  </w:t>
      </w:r>
    </w:p>
  </w:footnote>
  <w:footnote w:id="116">
    <w:p w:rsidR="00BD55C9" w:rsidRPr="00442C17" w:rsidRDefault="00BD55C9" w:rsidP="00442C17">
      <w:pPr>
        <w:pStyle w:val="FootnoteText"/>
        <w:spacing w:line="240" w:lineRule="auto"/>
        <w:rPr>
          <w:szCs w:val="18"/>
          <w:lang w:val="ru-RU"/>
        </w:rPr>
      </w:pPr>
      <w:r>
        <w:rPr>
          <w:szCs w:val="18"/>
          <w:lang w:val="ru-RU"/>
        </w:rPr>
        <w:tab/>
      </w:r>
      <w:r w:rsidRPr="00C3125F">
        <w:rPr>
          <w:szCs w:val="18"/>
          <w:vertAlign w:val="superscript"/>
          <w:lang w:val="ru-RU"/>
        </w:rPr>
        <w:footnoteRef/>
      </w:r>
      <w:r>
        <w:rPr>
          <w:szCs w:val="18"/>
          <w:lang w:val="ru-RU"/>
        </w:rPr>
        <w:tab/>
      </w:r>
      <w:r w:rsidRPr="00442C17">
        <w:rPr>
          <w:szCs w:val="18"/>
          <w:lang w:val="ru-RU"/>
        </w:rPr>
        <w:t>Сюда входят сценические мероприятия, культурные и образовательные мероприятия, исследования и анализ национальных культур и народных традиций, культурные мероприятия с участием представителей разных национальностей, направленные, в частности, на борьбу с экстремизмом, расовой и национальной нетерпимостью и ксенофобией, а также издание документов, связанных с национальной культурой.</w:t>
      </w:r>
    </w:p>
  </w:footnote>
  <w:footnote w:id="117">
    <w:p w:rsidR="00BD55C9" w:rsidRPr="00442C17" w:rsidRDefault="00BD55C9" w:rsidP="00442C17">
      <w:pPr>
        <w:pStyle w:val="FootnoteText"/>
        <w:spacing w:line="240" w:lineRule="auto"/>
        <w:rPr>
          <w:szCs w:val="18"/>
          <w:lang w:val="ru-RU"/>
        </w:rPr>
      </w:pPr>
      <w:r>
        <w:rPr>
          <w:szCs w:val="18"/>
          <w:lang w:val="ru-RU"/>
        </w:rPr>
        <w:tab/>
      </w:r>
      <w:r w:rsidRPr="00C3125F">
        <w:rPr>
          <w:szCs w:val="18"/>
          <w:vertAlign w:val="superscript"/>
          <w:lang w:val="ru-RU"/>
        </w:rPr>
        <w:footnoteRef/>
      </w:r>
      <w:r>
        <w:rPr>
          <w:szCs w:val="18"/>
          <w:lang w:val="ru-RU"/>
        </w:rPr>
        <w:tab/>
      </w:r>
      <w:r w:rsidRPr="00442C17">
        <w:rPr>
          <w:szCs w:val="18"/>
          <w:lang w:val="ru-RU"/>
        </w:rPr>
        <w:t>Статья 14 Устава.</w:t>
      </w:r>
    </w:p>
  </w:footnote>
  <w:footnote w:id="118">
    <w:p w:rsidR="00BD55C9" w:rsidRPr="00442C17" w:rsidRDefault="00BD55C9" w:rsidP="00442C17">
      <w:pPr>
        <w:pStyle w:val="FootnoteText"/>
        <w:spacing w:line="240" w:lineRule="auto"/>
        <w:rPr>
          <w:szCs w:val="18"/>
          <w:lang w:val="ru-RU"/>
        </w:rPr>
      </w:pPr>
      <w:r>
        <w:rPr>
          <w:szCs w:val="18"/>
          <w:vertAlign w:val="superscript"/>
          <w:lang w:val="ru-RU"/>
        </w:rPr>
        <w:tab/>
      </w:r>
      <w:r w:rsidRPr="00C3125F">
        <w:rPr>
          <w:szCs w:val="18"/>
          <w:vertAlign w:val="superscript"/>
          <w:lang w:val="ru-RU"/>
        </w:rPr>
        <w:footnoteRef/>
      </w:r>
      <w:r>
        <w:rPr>
          <w:szCs w:val="18"/>
          <w:vertAlign w:val="superscript"/>
          <w:lang w:val="ru-RU"/>
        </w:rPr>
        <w:tab/>
      </w:r>
      <w:r w:rsidRPr="00442C17">
        <w:rPr>
          <w:szCs w:val="18"/>
          <w:lang w:val="ru-RU"/>
        </w:rPr>
        <w:t>По состоянию на 31 декабря 2012 года в ЧР был зарегистрирован в общей сложности 360 941 легально работающий иностранец, а также 91 040 иностранцев, имеющих торговые лицензии; по сравнению с 31 декабря 2011 года их число уменьшилось примерно на 2019 человек.</w:t>
      </w:r>
    </w:p>
  </w:footnote>
  <w:footnote w:id="119">
    <w:p w:rsidR="00BD55C9" w:rsidRPr="00442C17" w:rsidRDefault="00BD55C9" w:rsidP="00442C17">
      <w:pPr>
        <w:pStyle w:val="FootnoteText"/>
        <w:spacing w:line="240" w:lineRule="auto"/>
        <w:rPr>
          <w:szCs w:val="18"/>
          <w:lang w:val="ru-RU"/>
        </w:rPr>
      </w:pPr>
      <w:r>
        <w:rPr>
          <w:szCs w:val="18"/>
          <w:lang w:val="ru-RU"/>
        </w:rPr>
        <w:tab/>
      </w:r>
      <w:r w:rsidRPr="00C3125F">
        <w:rPr>
          <w:szCs w:val="18"/>
          <w:vertAlign w:val="superscript"/>
          <w:lang w:val="ru-RU"/>
        </w:rPr>
        <w:footnoteRef/>
      </w:r>
      <w:r>
        <w:rPr>
          <w:szCs w:val="18"/>
          <w:lang w:val="ru-RU"/>
        </w:rPr>
        <w:tab/>
      </w:r>
      <w:r w:rsidRPr="00442C17">
        <w:rPr>
          <w:szCs w:val="18"/>
          <w:lang w:val="ru-RU"/>
        </w:rPr>
        <w:t>Раздел 20 (6) Закона № 561/2004 Coll. о дошкольном, базовом, среднем, высшем профессиональном образовании и других видах образования (Закон об образовании) с поправками, внесенными Законом № 472/2011 Coll.</w:t>
      </w:r>
    </w:p>
  </w:footnote>
  <w:footnote w:id="120">
    <w:p w:rsidR="00BD55C9" w:rsidRPr="00442C17" w:rsidRDefault="00BD55C9" w:rsidP="00442C17">
      <w:pPr>
        <w:pStyle w:val="FootnoteText"/>
        <w:spacing w:line="240" w:lineRule="auto"/>
        <w:rPr>
          <w:szCs w:val="18"/>
          <w:lang w:val="ru-RU"/>
        </w:rPr>
      </w:pPr>
      <w:r>
        <w:rPr>
          <w:szCs w:val="18"/>
          <w:lang w:val="ru-RU"/>
        </w:rPr>
        <w:tab/>
      </w:r>
      <w:r w:rsidRPr="00C3125F">
        <w:rPr>
          <w:szCs w:val="18"/>
          <w:vertAlign w:val="superscript"/>
          <w:lang w:val="ru-RU"/>
        </w:rPr>
        <w:footnoteRef/>
      </w:r>
      <w:r>
        <w:rPr>
          <w:szCs w:val="18"/>
          <w:lang w:val="ru-RU"/>
        </w:rPr>
        <w:tab/>
        <w:t>Указ № 147/2011 Coll., вносящий</w:t>
      </w:r>
      <w:r w:rsidRPr="00442C17">
        <w:rPr>
          <w:szCs w:val="18"/>
          <w:lang w:val="ru-RU"/>
        </w:rPr>
        <w:t xml:space="preserve"> поправки в Указ № 73/2005 Coll. об образовании детей, школьников и студентов с особыми потребностями в области образования, а также особенно одаренных детей, школьников и студентов. </w:t>
      </w:r>
    </w:p>
  </w:footnote>
  <w:footnote w:id="121">
    <w:p w:rsidR="00BD55C9" w:rsidRPr="00442C17" w:rsidRDefault="00BD55C9" w:rsidP="00442C17">
      <w:pPr>
        <w:pStyle w:val="FootnoteText"/>
        <w:spacing w:line="240" w:lineRule="auto"/>
        <w:rPr>
          <w:szCs w:val="18"/>
          <w:lang w:val="ru-RU"/>
        </w:rPr>
      </w:pPr>
      <w:r>
        <w:rPr>
          <w:szCs w:val="18"/>
          <w:lang w:val="ru-RU"/>
        </w:rPr>
        <w:tab/>
      </w:r>
      <w:r w:rsidRPr="00DC5DFF">
        <w:rPr>
          <w:szCs w:val="18"/>
          <w:vertAlign w:val="superscript"/>
          <w:lang w:val="ru-RU"/>
        </w:rPr>
        <w:footnoteRef/>
      </w:r>
      <w:r>
        <w:rPr>
          <w:szCs w:val="18"/>
          <w:lang w:val="ru-RU"/>
        </w:rPr>
        <w:tab/>
      </w:r>
      <w:r w:rsidRPr="00442C17">
        <w:rPr>
          <w:szCs w:val="18"/>
          <w:lang w:val="ru-RU"/>
        </w:rPr>
        <w:t>Закон № 326/1999 Coll. о проживании иностранцев в ЧР.</w:t>
      </w:r>
    </w:p>
  </w:footnote>
  <w:footnote w:id="122">
    <w:p w:rsidR="00BD55C9" w:rsidRPr="00442C17" w:rsidRDefault="00BD55C9" w:rsidP="00442C17">
      <w:pPr>
        <w:pStyle w:val="FootnoteText"/>
        <w:spacing w:line="240" w:lineRule="auto"/>
        <w:rPr>
          <w:szCs w:val="18"/>
          <w:lang w:val="ru-RU"/>
        </w:rPr>
      </w:pPr>
      <w:r>
        <w:rPr>
          <w:szCs w:val="18"/>
          <w:lang w:val="ru-RU"/>
        </w:rPr>
        <w:tab/>
      </w:r>
      <w:r w:rsidRPr="00DC5DFF">
        <w:rPr>
          <w:szCs w:val="18"/>
          <w:vertAlign w:val="superscript"/>
          <w:lang w:val="ru-RU"/>
        </w:rPr>
        <w:footnoteRef/>
      </w:r>
      <w:r>
        <w:rPr>
          <w:szCs w:val="18"/>
          <w:lang w:val="ru-RU"/>
        </w:rPr>
        <w:tab/>
      </w:r>
      <w:r w:rsidRPr="00442C17">
        <w:rPr>
          <w:szCs w:val="18"/>
          <w:lang w:val="ru-RU"/>
        </w:rPr>
        <w:t>Раздел 126 Закона № 326/1999 Coll. о проживании иностранцев на территории ЧР.</w:t>
      </w:r>
    </w:p>
  </w:footnote>
  <w:footnote w:id="123">
    <w:p w:rsidR="00BD55C9" w:rsidRPr="00442C17" w:rsidRDefault="00BD55C9" w:rsidP="00442C17">
      <w:pPr>
        <w:pStyle w:val="FootnoteText"/>
        <w:spacing w:line="240" w:lineRule="auto"/>
        <w:rPr>
          <w:szCs w:val="18"/>
          <w:lang w:val="ru-RU"/>
        </w:rPr>
      </w:pPr>
      <w:r>
        <w:rPr>
          <w:szCs w:val="18"/>
          <w:lang w:val="ru-RU"/>
        </w:rPr>
        <w:tab/>
      </w:r>
      <w:r w:rsidRPr="00DC5DFF">
        <w:rPr>
          <w:szCs w:val="18"/>
          <w:vertAlign w:val="superscript"/>
          <w:lang w:val="ru-RU"/>
        </w:rPr>
        <w:footnoteRef/>
      </w:r>
      <w:r>
        <w:rPr>
          <w:szCs w:val="18"/>
          <w:lang w:val="ru-RU"/>
        </w:rPr>
        <w:tab/>
      </w:r>
      <w:r w:rsidRPr="00442C17">
        <w:rPr>
          <w:szCs w:val="18"/>
          <w:lang w:val="ru-RU"/>
        </w:rPr>
        <w:t xml:space="preserve">Раздел 124 Закона № 326/1999 Coll. о проживании иностранцев на территории ЧР. </w:t>
      </w:r>
    </w:p>
  </w:footnote>
  <w:footnote w:id="124">
    <w:p w:rsidR="00BD55C9" w:rsidRPr="00442C17" w:rsidRDefault="00BD55C9" w:rsidP="00442C17">
      <w:pPr>
        <w:pStyle w:val="FootnoteText"/>
        <w:spacing w:line="240" w:lineRule="auto"/>
        <w:rPr>
          <w:szCs w:val="18"/>
          <w:lang w:val="ru-RU"/>
        </w:rPr>
      </w:pPr>
      <w:r>
        <w:rPr>
          <w:szCs w:val="18"/>
          <w:lang w:val="ru-RU"/>
        </w:rPr>
        <w:tab/>
      </w:r>
      <w:r w:rsidRPr="00DC5DFF">
        <w:rPr>
          <w:szCs w:val="18"/>
          <w:vertAlign w:val="superscript"/>
          <w:lang w:val="ru-RU"/>
        </w:rPr>
        <w:footnoteRef/>
      </w:r>
      <w:r>
        <w:rPr>
          <w:szCs w:val="18"/>
          <w:lang w:val="ru-RU"/>
        </w:rPr>
        <w:tab/>
      </w:r>
      <w:r w:rsidRPr="00442C17">
        <w:rPr>
          <w:szCs w:val="18"/>
          <w:lang w:val="ru-RU"/>
        </w:rPr>
        <w:t>Раздел 124 (5) Закона о проживании иностранцев с поправками, внесенными Законом № 427/2010 Coll.</w:t>
      </w:r>
    </w:p>
  </w:footnote>
  <w:footnote w:id="125">
    <w:p w:rsidR="00BD55C9" w:rsidRPr="00442C17" w:rsidRDefault="00BD55C9" w:rsidP="00442C17">
      <w:pPr>
        <w:pStyle w:val="FootnoteText"/>
        <w:spacing w:line="240" w:lineRule="auto"/>
        <w:rPr>
          <w:szCs w:val="18"/>
          <w:lang w:val="ru-RU"/>
        </w:rPr>
      </w:pPr>
      <w:r>
        <w:rPr>
          <w:szCs w:val="18"/>
          <w:lang w:val="ru-RU"/>
        </w:rPr>
        <w:tab/>
      </w:r>
      <w:r w:rsidRPr="00DC5DFF">
        <w:rPr>
          <w:szCs w:val="18"/>
          <w:vertAlign w:val="superscript"/>
          <w:lang w:val="ru-RU"/>
        </w:rPr>
        <w:footnoteRef/>
      </w:r>
      <w:r>
        <w:rPr>
          <w:szCs w:val="18"/>
          <w:lang w:val="ru-RU"/>
        </w:rPr>
        <w:tab/>
      </w:r>
      <w:r w:rsidRPr="00442C17">
        <w:rPr>
          <w:szCs w:val="18"/>
          <w:lang w:val="ru-RU"/>
        </w:rPr>
        <w:t xml:space="preserve">В этих центрах обеспечивается всестороннее развитие личности детей дошкольного возраста посредством развития их интеллектуальных способностей, привития им навыков взаимодействия в группах, обучения письму и чтению и т.д. </w:t>
      </w:r>
    </w:p>
  </w:footnote>
  <w:footnote w:id="126">
    <w:p w:rsidR="00BD55C9" w:rsidRPr="00442C17" w:rsidRDefault="00BD55C9" w:rsidP="00442C17">
      <w:pPr>
        <w:pStyle w:val="FootnoteText"/>
        <w:spacing w:line="240" w:lineRule="auto"/>
        <w:rPr>
          <w:szCs w:val="18"/>
          <w:lang w:val="ru-RU"/>
        </w:rPr>
      </w:pPr>
      <w:r>
        <w:rPr>
          <w:szCs w:val="18"/>
          <w:lang w:val="ru-RU"/>
        </w:rPr>
        <w:tab/>
      </w:r>
      <w:r w:rsidRPr="001F25AE">
        <w:rPr>
          <w:szCs w:val="18"/>
          <w:vertAlign w:val="superscript"/>
          <w:lang w:val="ru-RU"/>
        </w:rPr>
        <w:footnoteRef/>
      </w:r>
      <w:r>
        <w:rPr>
          <w:szCs w:val="18"/>
          <w:lang w:val="ru-RU"/>
        </w:rPr>
        <w:tab/>
      </w:r>
      <w:r w:rsidRPr="00442C17">
        <w:rPr>
          <w:szCs w:val="18"/>
          <w:lang w:val="ru-RU"/>
        </w:rPr>
        <w:t xml:space="preserve">В распоряжение детей предоставляются персональные компьютеры, книги и прочие предметы, необходимые не только для подготовки к школе и выполнения домашних заданий, но и для отдыха. </w:t>
      </w:r>
    </w:p>
  </w:footnote>
  <w:footnote w:id="127">
    <w:p w:rsidR="00BD55C9" w:rsidRPr="00442C17" w:rsidRDefault="00BD55C9" w:rsidP="00442C17">
      <w:pPr>
        <w:pStyle w:val="FootnoteText"/>
        <w:spacing w:line="240" w:lineRule="auto"/>
        <w:rPr>
          <w:szCs w:val="18"/>
          <w:lang w:val="ru-RU"/>
        </w:rPr>
      </w:pPr>
      <w:r>
        <w:rPr>
          <w:szCs w:val="18"/>
          <w:lang w:val="ru-RU"/>
        </w:rPr>
        <w:tab/>
      </w:r>
      <w:r w:rsidRPr="001F25AE">
        <w:rPr>
          <w:szCs w:val="18"/>
          <w:vertAlign w:val="superscript"/>
          <w:lang w:val="ru-RU"/>
        </w:rPr>
        <w:footnoteRef/>
      </w:r>
      <w:r>
        <w:rPr>
          <w:szCs w:val="18"/>
          <w:lang w:val="ru-RU"/>
        </w:rPr>
        <w:tab/>
      </w:r>
      <w:r w:rsidRPr="00442C17">
        <w:rPr>
          <w:szCs w:val="18"/>
          <w:lang w:val="ru-RU"/>
        </w:rPr>
        <w:t xml:space="preserve">Эти центры расположены в следующих краях: Пльзенском, Карловарском, Южнобогемском, Оломоуцком, Моравскосилезском, Злинском, Пардубицком и Либерецком.  </w:t>
      </w:r>
    </w:p>
  </w:footnote>
  <w:footnote w:id="128">
    <w:p w:rsidR="00BD55C9" w:rsidRPr="00442C17" w:rsidRDefault="00BD55C9" w:rsidP="00442C17">
      <w:pPr>
        <w:pStyle w:val="FootnoteText"/>
        <w:spacing w:line="240" w:lineRule="auto"/>
        <w:rPr>
          <w:szCs w:val="18"/>
          <w:lang w:val="ru-RU"/>
        </w:rPr>
      </w:pPr>
      <w:r>
        <w:rPr>
          <w:szCs w:val="18"/>
          <w:lang w:val="ru-RU"/>
        </w:rPr>
        <w:tab/>
      </w:r>
      <w:r w:rsidRPr="001F25AE">
        <w:rPr>
          <w:szCs w:val="18"/>
          <w:vertAlign w:val="superscript"/>
          <w:lang w:val="ru-RU"/>
        </w:rPr>
        <w:footnoteRef/>
      </w:r>
      <w:r>
        <w:rPr>
          <w:szCs w:val="18"/>
          <w:lang w:val="ru-RU"/>
        </w:rPr>
        <w:tab/>
      </w:r>
      <w:r w:rsidRPr="00442C17">
        <w:rPr>
          <w:szCs w:val="18"/>
          <w:lang w:val="ru-RU"/>
        </w:rPr>
        <w:t>Задача 1.6 – Дальнейшая поддержка равных возможностей для женщин в общинах рома.</w:t>
      </w:r>
    </w:p>
  </w:footnote>
  <w:footnote w:id="129">
    <w:p w:rsidR="00BD55C9" w:rsidRPr="00442C17" w:rsidRDefault="00BD55C9" w:rsidP="00442C17">
      <w:pPr>
        <w:pStyle w:val="FootnoteText"/>
        <w:spacing w:line="240" w:lineRule="auto"/>
        <w:rPr>
          <w:szCs w:val="18"/>
          <w:lang w:val="ru-RU"/>
        </w:rPr>
      </w:pPr>
      <w:r>
        <w:rPr>
          <w:szCs w:val="18"/>
          <w:lang w:val="ru-RU"/>
        </w:rPr>
        <w:tab/>
      </w:r>
      <w:r w:rsidRPr="001F25AE">
        <w:rPr>
          <w:szCs w:val="18"/>
          <w:vertAlign w:val="superscript"/>
          <w:lang w:val="ru-RU"/>
        </w:rPr>
        <w:footnoteRef/>
      </w:r>
      <w:r>
        <w:rPr>
          <w:szCs w:val="18"/>
          <w:lang w:val="ru-RU"/>
        </w:rPr>
        <w:tab/>
      </w:r>
      <w:r w:rsidRPr="00442C17">
        <w:rPr>
          <w:szCs w:val="18"/>
          <w:lang w:val="ru-RU"/>
        </w:rPr>
        <w:t>Источник: http://romove.radio.cz/cz/clanek/20092.</w:t>
      </w:r>
    </w:p>
  </w:footnote>
  <w:footnote w:id="130">
    <w:p w:rsidR="00BD55C9" w:rsidRPr="00442C17" w:rsidRDefault="00BD55C9" w:rsidP="00442C17">
      <w:pPr>
        <w:pStyle w:val="FootnoteText"/>
        <w:spacing w:line="240" w:lineRule="auto"/>
        <w:rPr>
          <w:szCs w:val="18"/>
          <w:lang w:val="ru-RU"/>
        </w:rPr>
      </w:pPr>
      <w:r>
        <w:rPr>
          <w:szCs w:val="18"/>
          <w:lang w:val="ru-RU"/>
        </w:rPr>
        <w:tab/>
      </w:r>
      <w:r w:rsidRPr="00013E31">
        <w:rPr>
          <w:szCs w:val="18"/>
          <w:vertAlign w:val="superscript"/>
          <w:lang w:val="ru-RU"/>
        </w:rPr>
        <w:footnoteRef/>
      </w:r>
      <w:r>
        <w:rPr>
          <w:szCs w:val="18"/>
          <w:lang w:val="ru-RU"/>
        </w:rPr>
        <w:tab/>
      </w:r>
      <w:r w:rsidRPr="00442C17">
        <w:rPr>
          <w:szCs w:val="18"/>
          <w:lang w:val="ru-RU"/>
        </w:rPr>
        <w:t>Под сотрудничеством подразумевается выяснение ситуации в области торговли людьми в социально изолированных районах.</w:t>
      </w:r>
    </w:p>
  </w:footnote>
  <w:footnote w:id="131">
    <w:p w:rsidR="00BD55C9" w:rsidRPr="00442C17" w:rsidRDefault="00BD55C9" w:rsidP="00442C17">
      <w:pPr>
        <w:pStyle w:val="FootnoteText"/>
        <w:spacing w:line="240" w:lineRule="auto"/>
        <w:rPr>
          <w:szCs w:val="18"/>
          <w:lang w:val="ru-RU"/>
        </w:rPr>
      </w:pPr>
      <w:r>
        <w:rPr>
          <w:szCs w:val="18"/>
          <w:lang w:val="ru-RU"/>
        </w:rPr>
        <w:tab/>
      </w:r>
      <w:r w:rsidRPr="00013E31">
        <w:rPr>
          <w:szCs w:val="18"/>
          <w:vertAlign w:val="superscript"/>
          <w:lang w:val="ru-RU"/>
        </w:rPr>
        <w:footnoteRef/>
      </w:r>
      <w:r>
        <w:rPr>
          <w:szCs w:val="18"/>
          <w:lang w:val="ru-RU"/>
        </w:rPr>
        <w:tab/>
      </w:r>
      <w:r w:rsidRPr="00442C17">
        <w:rPr>
          <w:szCs w:val="18"/>
          <w:lang w:val="ru-RU"/>
        </w:rPr>
        <w:t>Закон № 45/2013 Coll. о жертвах преступлений и внесении поправок в ряд законов (Закон о жертвах преступлений).</w:t>
      </w:r>
    </w:p>
  </w:footnote>
  <w:footnote w:id="132">
    <w:p w:rsidR="00BD55C9" w:rsidRPr="00442C17" w:rsidRDefault="00BD55C9" w:rsidP="00442C17">
      <w:pPr>
        <w:pStyle w:val="FootnoteText"/>
        <w:spacing w:line="240" w:lineRule="auto"/>
        <w:rPr>
          <w:szCs w:val="18"/>
          <w:lang w:val="ru-RU"/>
        </w:rPr>
      </w:pPr>
      <w:r>
        <w:rPr>
          <w:szCs w:val="18"/>
          <w:lang w:val="ru-RU"/>
        </w:rPr>
        <w:tab/>
      </w:r>
      <w:r w:rsidRPr="00EA4F68">
        <w:rPr>
          <w:szCs w:val="18"/>
          <w:vertAlign w:val="superscript"/>
          <w:lang w:val="ru-RU"/>
        </w:rPr>
        <w:footnoteRef/>
      </w:r>
      <w:r>
        <w:rPr>
          <w:szCs w:val="18"/>
          <w:lang w:val="ru-RU"/>
        </w:rPr>
        <w:tab/>
      </w:r>
      <w:r w:rsidRPr="00442C17">
        <w:rPr>
          <w:szCs w:val="18"/>
          <w:lang w:val="ru-RU"/>
        </w:rPr>
        <w:t xml:space="preserve">В число субсидируемых социальных услуг входят услуги приютов, профессиональное социальное консультирование и помощь в кризисных ситуациях. </w:t>
      </w:r>
    </w:p>
  </w:footnote>
  <w:footnote w:id="133">
    <w:p w:rsidR="00BD55C9" w:rsidRPr="00442C17" w:rsidRDefault="00BD55C9" w:rsidP="00442C17">
      <w:pPr>
        <w:pStyle w:val="FootnoteText"/>
        <w:spacing w:line="240" w:lineRule="auto"/>
        <w:rPr>
          <w:szCs w:val="18"/>
          <w:lang w:val="ru-RU"/>
        </w:rPr>
      </w:pPr>
      <w:r>
        <w:rPr>
          <w:szCs w:val="18"/>
          <w:lang w:val="ru-RU"/>
        </w:rPr>
        <w:tab/>
      </w:r>
      <w:r w:rsidRPr="00EA4F68">
        <w:rPr>
          <w:szCs w:val="18"/>
          <w:vertAlign w:val="superscript"/>
          <w:lang w:val="ru-RU"/>
        </w:rPr>
        <w:footnoteRef/>
      </w:r>
      <w:r>
        <w:rPr>
          <w:szCs w:val="18"/>
          <w:lang w:val="ru-RU"/>
        </w:rPr>
        <w:tab/>
      </w:r>
      <w:r w:rsidRPr="00442C17">
        <w:rPr>
          <w:szCs w:val="18"/>
          <w:lang w:val="ru-RU"/>
        </w:rPr>
        <w:t>CERD/C/CZE/8-9, пункты 111-123.</w:t>
      </w:r>
    </w:p>
  </w:footnote>
  <w:footnote w:id="134">
    <w:p w:rsidR="00BD55C9" w:rsidRPr="00442C17" w:rsidRDefault="00BD55C9" w:rsidP="00442C17">
      <w:pPr>
        <w:pStyle w:val="FootnoteText"/>
        <w:spacing w:line="240" w:lineRule="auto"/>
        <w:rPr>
          <w:szCs w:val="18"/>
          <w:lang w:val="ru-RU"/>
        </w:rPr>
      </w:pPr>
      <w:r>
        <w:rPr>
          <w:szCs w:val="18"/>
          <w:lang w:val="ru-RU"/>
        </w:rPr>
        <w:tab/>
      </w:r>
      <w:r w:rsidRPr="00EA4F68">
        <w:rPr>
          <w:szCs w:val="18"/>
          <w:vertAlign w:val="superscript"/>
          <w:lang w:val="ru-RU"/>
        </w:rPr>
        <w:footnoteRef/>
      </w:r>
      <w:r>
        <w:rPr>
          <w:szCs w:val="18"/>
          <w:lang w:val="ru-RU"/>
        </w:rPr>
        <w:tab/>
      </w:r>
      <w:r w:rsidRPr="00442C17">
        <w:rPr>
          <w:szCs w:val="18"/>
          <w:lang w:val="ru-RU"/>
        </w:rPr>
        <w:t xml:space="preserve">Раздел 13 (10) Гражданского кодекса, раздел 10 Закона о борьбе с дискриминацией. </w:t>
      </w:r>
    </w:p>
  </w:footnote>
  <w:footnote w:id="135">
    <w:p w:rsidR="00BD55C9" w:rsidRPr="00442C17" w:rsidRDefault="00BD55C9" w:rsidP="00442C17">
      <w:pPr>
        <w:pStyle w:val="FootnoteText"/>
        <w:spacing w:line="240" w:lineRule="auto"/>
        <w:rPr>
          <w:szCs w:val="18"/>
          <w:lang w:val="ru-RU"/>
        </w:rPr>
      </w:pPr>
      <w:r>
        <w:rPr>
          <w:szCs w:val="18"/>
          <w:lang w:val="ru-RU"/>
        </w:rPr>
        <w:tab/>
      </w:r>
      <w:r w:rsidRPr="00EA4F68">
        <w:rPr>
          <w:szCs w:val="18"/>
          <w:vertAlign w:val="superscript"/>
          <w:lang w:val="ru-RU"/>
        </w:rPr>
        <w:footnoteRef/>
      </w:r>
      <w:r>
        <w:rPr>
          <w:szCs w:val="18"/>
          <w:lang w:val="ru-RU"/>
        </w:rPr>
        <w:tab/>
      </w:r>
      <w:r w:rsidRPr="00442C17">
        <w:rPr>
          <w:szCs w:val="18"/>
          <w:lang w:val="ru-RU"/>
        </w:rPr>
        <w:t xml:space="preserve">Закон № 251/2005 Coll. о трудовых инспекциях с поправками. </w:t>
      </w:r>
    </w:p>
  </w:footnote>
  <w:footnote w:id="136">
    <w:p w:rsidR="00BD55C9" w:rsidRPr="00442C17" w:rsidRDefault="00BD55C9" w:rsidP="00442C17">
      <w:pPr>
        <w:pStyle w:val="FootnoteText"/>
        <w:spacing w:line="240" w:lineRule="auto"/>
        <w:rPr>
          <w:szCs w:val="18"/>
          <w:lang w:val="ru-RU"/>
        </w:rPr>
      </w:pPr>
      <w:r>
        <w:rPr>
          <w:szCs w:val="18"/>
          <w:lang w:val="ru-RU"/>
        </w:rPr>
        <w:tab/>
      </w:r>
      <w:r w:rsidRPr="00EA4F68">
        <w:rPr>
          <w:szCs w:val="18"/>
          <w:vertAlign w:val="superscript"/>
          <w:lang w:val="ru-RU"/>
        </w:rPr>
        <w:footnoteRef/>
      </w:r>
      <w:r>
        <w:rPr>
          <w:szCs w:val="18"/>
          <w:lang w:val="ru-RU"/>
        </w:rPr>
        <w:tab/>
      </w:r>
      <w:r w:rsidRPr="00442C17">
        <w:rPr>
          <w:szCs w:val="18"/>
          <w:lang w:val="ru-RU"/>
        </w:rPr>
        <w:t xml:space="preserve">Закон № 634/1992 Coll. о защите прав потребителей (с поправками) и Закон № 64/1986 Coll. о Чешской торговой инспекции (с поправками). </w:t>
      </w:r>
    </w:p>
  </w:footnote>
  <w:footnote w:id="137">
    <w:p w:rsidR="00BD55C9" w:rsidRPr="00442C17" w:rsidRDefault="00BD55C9" w:rsidP="00442C17">
      <w:pPr>
        <w:pStyle w:val="FootnoteText"/>
        <w:spacing w:line="240" w:lineRule="auto"/>
        <w:rPr>
          <w:szCs w:val="18"/>
          <w:lang w:val="ru-RU"/>
        </w:rPr>
      </w:pPr>
      <w:r>
        <w:rPr>
          <w:szCs w:val="18"/>
          <w:lang w:val="ru-RU"/>
        </w:rPr>
        <w:tab/>
      </w:r>
      <w:r w:rsidRPr="00EA4F68">
        <w:rPr>
          <w:szCs w:val="18"/>
          <w:vertAlign w:val="superscript"/>
          <w:lang w:val="ru-RU"/>
        </w:rPr>
        <w:footnoteRef/>
      </w:r>
      <w:r>
        <w:rPr>
          <w:szCs w:val="18"/>
          <w:lang w:val="ru-RU"/>
        </w:rPr>
        <w:tab/>
      </w:r>
      <w:r w:rsidRPr="00442C17">
        <w:rPr>
          <w:szCs w:val="18"/>
          <w:lang w:val="ru-RU"/>
        </w:rPr>
        <w:t xml:space="preserve">Закон № 372/2011 Coll. об услугах в области здравоохранения с поправками. </w:t>
      </w:r>
    </w:p>
  </w:footnote>
  <w:footnote w:id="138">
    <w:p w:rsidR="00BD55C9" w:rsidRPr="00442C17" w:rsidRDefault="00BD55C9" w:rsidP="00442C17">
      <w:pPr>
        <w:pStyle w:val="FootnoteText"/>
        <w:spacing w:line="240" w:lineRule="auto"/>
        <w:rPr>
          <w:szCs w:val="18"/>
          <w:lang w:val="ru-RU"/>
        </w:rPr>
      </w:pPr>
      <w:r>
        <w:rPr>
          <w:szCs w:val="18"/>
          <w:lang w:val="ru-RU"/>
        </w:rPr>
        <w:tab/>
      </w:r>
      <w:r w:rsidRPr="00EA4F68">
        <w:rPr>
          <w:szCs w:val="18"/>
          <w:vertAlign w:val="superscript"/>
          <w:lang w:val="ru-RU"/>
        </w:rPr>
        <w:footnoteRef/>
      </w:r>
      <w:r>
        <w:rPr>
          <w:szCs w:val="18"/>
          <w:lang w:val="ru-RU"/>
        </w:rPr>
        <w:tab/>
      </w:r>
      <w:r w:rsidRPr="00442C17">
        <w:rPr>
          <w:szCs w:val="18"/>
          <w:lang w:val="ru-RU"/>
        </w:rPr>
        <w:t xml:space="preserve">Закон № 108/2006 Coll. о социальных услугах с поправками. </w:t>
      </w:r>
    </w:p>
  </w:footnote>
  <w:footnote w:id="139">
    <w:p w:rsidR="00BD55C9" w:rsidRPr="00442C17" w:rsidRDefault="00BD55C9" w:rsidP="00442C17">
      <w:pPr>
        <w:pStyle w:val="FootnoteText"/>
        <w:spacing w:line="240" w:lineRule="auto"/>
        <w:rPr>
          <w:szCs w:val="18"/>
          <w:lang w:val="ru-RU"/>
        </w:rPr>
      </w:pPr>
      <w:r>
        <w:rPr>
          <w:szCs w:val="18"/>
          <w:lang w:val="ru-RU"/>
        </w:rPr>
        <w:tab/>
      </w:r>
      <w:r w:rsidRPr="00EA4F68">
        <w:rPr>
          <w:szCs w:val="18"/>
          <w:vertAlign w:val="superscript"/>
          <w:lang w:val="ru-RU"/>
        </w:rPr>
        <w:footnoteRef/>
      </w:r>
      <w:r>
        <w:rPr>
          <w:szCs w:val="18"/>
          <w:lang w:val="ru-RU"/>
        </w:rPr>
        <w:tab/>
      </w:r>
      <w:r w:rsidRPr="00442C17">
        <w:rPr>
          <w:szCs w:val="18"/>
          <w:lang w:val="ru-RU"/>
        </w:rPr>
        <w:t xml:space="preserve">Податели жалоб могут поддерживать неофициальные контакты с Канцелярией Омбудсмена по телефону или по электронной почте. Уполномоченные сотрудники Канцелярии часто совершают поездки по месту жительства подателей жалоб в целях выяснения обстоятельств на местах. </w:t>
      </w:r>
    </w:p>
  </w:footnote>
  <w:footnote w:id="140">
    <w:p w:rsidR="00BD55C9" w:rsidRPr="00442C17" w:rsidRDefault="00BD55C9" w:rsidP="00442C17">
      <w:pPr>
        <w:pStyle w:val="FootnoteText"/>
        <w:spacing w:line="240" w:lineRule="auto"/>
        <w:rPr>
          <w:szCs w:val="18"/>
          <w:lang w:val="ru-RU"/>
        </w:rPr>
      </w:pPr>
      <w:r>
        <w:rPr>
          <w:szCs w:val="18"/>
          <w:lang w:val="ru-RU"/>
        </w:rPr>
        <w:tab/>
      </w:r>
      <w:r w:rsidRPr="003C7E3D">
        <w:rPr>
          <w:szCs w:val="18"/>
          <w:vertAlign w:val="superscript"/>
          <w:lang w:val="ru-RU"/>
        </w:rPr>
        <w:footnoteRef/>
      </w:r>
      <w:r w:rsidRPr="003C7E3D">
        <w:rPr>
          <w:szCs w:val="18"/>
          <w:vertAlign w:val="superscript"/>
          <w:lang w:val="ru-RU"/>
        </w:rPr>
        <w:tab/>
      </w:r>
      <w:r w:rsidRPr="00442C17">
        <w:rPr>
          <w:szCs w:val="18"/>
          <w:lang w:val="ru-RU"/>
        </w:rPr>
        <w:t>Организация “Служба помощи рома IQ</w:t>
      </w:r>
      <w:r>
        <w:rPr>
          <w:szCs w:val="18"/>
          <w:lang w:val="ru-RU"/>
        </w:rPr>
        <w:t>"</w:t>
      </w:r>
      <w:r w:rsidRPr="00442C17">
        <w:rPr>
          <w:szCs w:val="18"/>
          <w:lang w:val="ru-RU"/>
        </w:rPr>
        <w:t xml:space="preserve"> и Консультативный центр по вопросам гражданства, гражданских прав и прав человека. </w:t>
      </w:r>
    </w:p>
  </w:footnote>
  <w:footnote w:id="141">
    <w:p w:rsidR="00BD55C9" w:rsidRPr="00442C17" w:rsidRDefault="00BD55C9" w:rsidP="00442C17">
      <w:pPr>
        <w:pStyle w:val="FootnoteText"/>
        <w:spacing w:line="240" w:lineRule="auto"/>
        <w:rPr>
          <w:szCs w:val="18"/>
          <w:lang w:val="ru-RU"/>
        </w:rPr>
      </w:pPr>
      <w:r>
        <w:rPr>
          <w:szCs w:val="18"/>
          <w:lang w:val="ru-RU"/>
        </w:rPr>
        <w:tab/>
      </w:r>
      <w:r w:rsidRPr="003C7E3D">
        <w:rPr>
          <w:szCs w:val="18"/>
          <w:vertAlign w:val="superscript"/>
          <w:lang w:val="ru-RU"/>
        </w:rPr>
        <w:footnoteRef/>
      </w:r>
      <w:r w:rsidRPr="003C7E3D">
        <w:rPr>
          <w:szCs w:val="18"/>
          <w:vertAlign w:val="superscript"/>
          <w:lang w:val="ru-RU"/>
        </w:rPr>
        <w:t xml:space="preserve"> </w:t>
      </w:r>
      <w:r w:rsidRPr="003C7E3D">
        <w:rPr>
          <w:szCs w:val="18"/>
          <w:vertAlign w:val="superscript"/>
          <w:lang w:val="ru-RU"/>
        </w:rPr>
        <w:tab/>
      </w:r>
      <w:r w:rsidRPr="00442C17">
        <w:rPr>
          <w:szCs w:val="18"/>
          <w:lang w:val="ru-RU"/>
        </w:rPr>
        <w:t xml:space="preserve">Общая информация доступна по следующей ссылке: http://www.ochrance.cz/diskriminace/pomoc-obetem-diskriminace/situacni-testovani/. </w:t>
      </w:r>
    </w:p>
  </w:footnote>
  <w:footnote w:id="142">
    <w:p w:rsidR="00BD55C9" w:rsidRPr="00442C17" w:rsidRDefault="00BD55C9" w:rsidP="00442C17">
      <w:pPr>
        <w:pStyle w:val="FootnoteText"/>
        <w:spacing w:line="240" w:lineRule="auto"/>
        <w:rPr>
          <w:szCs w:val="18"/>
          <w:lang w:val="ru-RU"/>
        </w:rPr>
      </w:pPr>
      <w:r>
        <w:rPr>
          <w:szCs w:val="18"/>
          <w:lang w:val="ru-RU"/>
        </w:rPr>
        <w:tab/>
      </w:r>
      <w:r w:rsidRPr="003C7E3D">
        <w:rPr>
          <w:szCs w:val="18"/>
          <w:vertAlign w:val="superscript"/>
          <w:lang w:val="ru-RU"/>
        </w:rPr>
        <w:footnoteRef/>
      </w:r>
      <w:r w:rsidRPr="003C7E3D">
        <w:rPr>
          <w:szCs w:val="18"/>
          <w:vertAlign w:val="superscript"/>
          <w:lang w:val="ru-RU"/>
        </w:rPr>
        <w:t xml:space="preserve"> </w:t>
      </w:r>
      <w:r w:rsidRPr="003C7E3D">
        <w:rPr>
          <w:szCs w:val="18"/>
          <w:vertAlign w:val="superscript"/>
          <w:lang w:val="ru-RU"/>
        </w:rPr>
        <w:tab/>
      </w:r>
      <w:r w:rsidRPr="00442C17">
        <w:rPr>
          <w:szCs w:val="18"/>
          <w:lang w:val="ru-RU"/>
        </w:rPr>
        <w:t xml:space="preserve">Дополнительная информация на английском языке доступна по следующей ссылке: http://www.ochrance.cz/en/discrimination/news-from-discrimination/news-from-discrimination-2013/cooperation-of-the-public-defender-of-rights-with-pro-bono-aliance-shows-first-signs-of-success/. </w:t>
      </w:r>
    </w:p>
  </w:footnote>
  <w:footnote w:id="143">
    <w:p w:rsidR="00BD55C9" w:rsidRPr="00442C17" w:rsidRDefault="00BD55C9" w:rsidP="00442C17">
      <w:pPr>
        <w:pStyle w:val="FootnoteText"/>
        <w:spacing w:line="240" w:lineRule="auto"/>
        <w:rPr>
          <w:szCs w:val="18"/>
          <w:lang w:val="ru-RU"/>
        </w:rPr>
      </w:pPr>
      <w:r>
        <w:rPr>
          <w:szCs w:val="18"/>
          <w:lang w:val="ru-RU"/>
        </w:rPr>
        <w:tab/>
      </w:r>
      <w:r w:rsidRPr="003C7E3D">
        <w:rPr>
          <w:szCs w:val="18"/>
          <w:vertAlign w:val="superscript"/>
          <w:lang w:val="ru-RU"/>
        </w:rPr>
        <w:footnoteRef/>
      </w:r>
      <w:r w:rsidRPr="003C7E3D">
        <w:rPr>
          <w:szCs w:val="18"/>
          <w:vertAlign w:val="superscript"/>
          <w:lang w:val="ru-RU"/>
        </w:rPr>
        <w:tab/>
      </w:r>
      <w:r w:rsidRPr="00442C17">
        <w:rPr>
          <w:szCs w:val="18"/>
          <w:lang w:val="ru-RU"/>
        </w:rPr>
        <w:t xml:space="preserve">Текст Заключения доступен по следующей ссылке: http://www.ochrance.cz/fileadmin/user_upload/DISKRIMINACE/ Stanoviska/Stanovisko_verejneho_ochrance_prav_k_nekterym_procesnim_aspektum_antidiskriminacniho_zakona.pdf. </w:t>
      </w:r>
    </w:p>
  </w:footnote>
  <w:footnote w:id="144">
    <w:p w:rsidR="00BD55C9" w:rsidRPr="00442C17" w:rsidRDefault="00BD55C9" w:rsidP="00442C17">
      <w:pPr>
        <w:pStyle w:val="FootnoteText"/>
        <w:spacing w:line="240" w:lineRule="auto"/>
        <w:rPr>
          <w:szCs w:val="18"/>
          <w:lang w:val="ru-RU"/>
        </w:rPr>
      </w:pPr>
      <w:r>
        <w:rPr>
          <w:szCs w:val="18"/>
          <w:lang w:val="ru-RU"/>
        </w:rPr>
        <w:tab/>
      </w:r>
      <w:r w:rsidRPr="003C7E3D">
        <w:rPr>
          <w:szCs w:val="18"/>
          <w:vertAlign w:val="superscript"/>
          <w:lang w:val="ru-RU"/>
        </w:rPr>
        <w:footnoteRef/>
      </w:r>
      <w:r w:rsidRPr="003C7E3D">
        <w:rPr>
          <w:szCs w:val="18"/>
          <w:vertAlign w:val="superscript"/>
          <w:lang w:val="ru-RU"/>
        </w:rPr>
        <w:t xml:space="preserve"> </w:t>
      </w:r>
      <w:r w:rsidRPr="003C7E3D">
        <w:rPr>
          <w:szCs w:val="18"/>
          <w:vertAlign w:val="superscript"/>
          <w:lang w:val="ru-RU"/>
        </w:rPr>
        <w:tab/>
      </w:r>
      <w:r w:rsidRPr="00442C17">
        <w:rPr>
          <w:szCs w:val="18"/>
          <w:lang w:val="ru-RU"/>
        </w:rPr>
        <w:t xml:space="preserve">Закон № 202/2012 Coll. </w:t>
      </w:r>
    </w:p>
  </w:footnote>
  <w:footnote w:id="145">
    <w:p w:rsidR="00BD55C9" w:rsidRPr="00442C17" w:rsidRDefault="00BD55C9" w:rsidP="00442C17">
      <w:pPr>
        <w:pStyle w:val="FootnoteText"/>
        <w:spacing w:line="240" w:lineRule="auto"/>
        <w:rPr>
          <w:szCs w:val="18"/>
          <w:lang w:val="ru-RU"/>
        </w:rPr>
      </w:pPr>
      <w:r>
        <w:rPr>
          <w:szCs w:val="18"/>
          <w:lang w:val="ru-RU"/>
        </w:rPr>
        <w:tab/>
      </w:r>
      <w:r w:rsidRPr="00A558B2">
        <w:rPr>
          <w:szCs w:val="18"/>
          <w:vertAlign w:val="superscript"/>
          <w:lang w:val="ru-RU"/>
        </w:rPr>
        <w:footnoteRef/>
      </w:r>
      <w:r>
        <w:rPr>
          <w:szCs w:val="18"/>
          <w:lang w:val="ru-RU"/>
        </w:rPr>
        <w:tab/>
      </w:r>
      <w:r w:rsidRPr="00442C17">
        <w:rPr>
          <w:szCs w:val="18"/>
          <w:lang w:val="ru-RU"/>
        </w:rPr>
        <w:t>Включая консультации психологов, социальные консультации, правовую помощь и реабилитационные программы с участием некоммерческих организаций, Службы пробации и медиации, а также юристов.</w:t>
      </w:r>
    </w:p>
  </w:footnote>
  <w:footnote w:id="146">
    <w:p w:rsidR="00BD55C9" w:rsidRPr="00442C17" w:rsidRDefault="00BD55C9" w:rsidP="00442C17">
      <w:pPr>
        <w:pStyle w:val="FootnoteText"/>
        <w:spacing w:line="240" w:lineRule="auto"/>
        <w:rPr>
          <w:szCs w:val="18"/>
          <w:lang w:val="ru-RU"/>
        </w:rPr>
      </w:pPr>
      <w:r>
        <w:rPr>
          <w:szCs w:val="18"/>
          <w:lang w:val="ru-RU"/>
        </w:rPr>
        <w:tab/>
      </w:r>
      <w:r w:rsidRPr="00A558B2">
        <w:rPr>
          <w:szCs w:val="18"/>
          <w:vertAlign w:val="superscript"/>
          <w:lang w:val="ru-RU"/>
        </w:rPr>
        <w:footnoteRef/>
      </w:r>
      <w:r w:rsidRPr="00A558B2">
        <w:rPr>
          <w:szCs w:val="18"/>
          <w:vertAlign w:val="superscript"/>
          <w:lang w:val="ru-RU"/>
        </w:rPr>
        <w:tab/>
      </w:r>
      <w:r w:rsidRPr="00442C17">
        <w:rPr>
          <w:szCs w:val="18"/>
          <w:lang w:val="ru-RU"/>
        </w:rPr>
        <w:t xml:space="preserve">Чешский Хельсинкский комитет, </w:t>
      </w:r>
      <w:r>
        <w:rPr>
          <w:szCs w:val="18"/>
          <w:lang w:val="ru-RU"/>
        </w:rPr>
        <w:t>"</w:t>
      </w:r>
      <w:r w:rsidRPr="00442C17">
        <w:rPr>
          <w:szCs w:val="18"/>
          <w:lang w:val="ru-RU"/>
        </w:rPr>
        <w:t>Прошло два года после вступления в силу Закона о дискриминации: подтверждается ли его эффективность на практике?</w:t>
      </w:r>
      <w:r>
        <w:rPr>
          <w:szCs w:val="18"/>
          <w:lang w:val="ru-RU"/>
        </w:rPr>
        <w:t>"</w:t>
      </w:r>
      <w:r w:rsidRPr="00442C17">
        <w:rPr>
          <w:szCs w:val="18"/>
          <w:lang w:val="ru-RU"/>
        </w:rPr>
        <w:t xml:space="preserve">, текст доступен по следующей ссылке: http://diskriminace.helcom.cz/2012/03/antidiskri minacni-zakon-po-dvou-a-pul-letech-jeho-ucinnosti-%E2%80%93-je-v-praxi-opravdu-ucinny/ </w:t>
      </w:r>
    </w:p>
  </w:footnote>
  <w:footnote w:id="147">
    <w:p w:rsidR="00BD55C9" w:rsidRPr="00442C17" w:rsidRDefault="00BD55C9" w:rsidP="00442C17">
      <w:pPr>
        <w:pStyle w:val="FootnoteText"/>
        <w:spacing w:line="240" w:lineRule="auto"/>
        <w:rPr>
          <w:szCs w:val="18"/>
          <w:lang w:val="ru-RU"/>
        </w:rPr>
      </w:pPr>
      <w:r>
        <w:rPr>
          <w:szCs w:val="18"/>
          <w:lang w:val="ru-RU"/>
        </w:rPr>
        <w:tab/>
      </w:r>
      <w:r w:rsidRPr="00A558B2">
        <w:rPr>
          <w:szCs w:val="18"/>
          <w:vertAlign w:val="superscript"/>
          <w:lang w:val="ru-RU"/>
        </w:rPr>
        <w:footnoteRef/>
      </w:r>
      <w:r w:rsidRPr="00A558B2">
        <w:rPr>
          <w:szCs w:val="18"/>
          <w:vertAlign w:val="superscript"/>
          <w:lang w:val="ru-RU"/>
        </w:rPr>
        <w:t xml:space="preserve"> </w:t>
      </w:r>
      <w:r w:rsidRPr="00A558B2">
        <w:rPr>
          <w:szCs w:val="18"/>
          <w:vertAlign w:val="superscript"/>
          <w:lang w:val="ru-RU"/>
        </w:rPr>
        <w:tab/>
      </w:r>
      <w:r w:rsidRPr="00442C17">
        <w:rPr>
          <w:szCs w:val="18"/>
          <w:lang w:val="ru-RU"/>
        </w:rPr>
        <w:t>См. Решение Верховного Суда Ref. No. 30 Cdo 1630/2004 от 30 июня 2005 года.</w:t>
      </w:r>
    </w:p>
  </w:footnote>
  <w:footnote w:id="148">
    <w:p w:rsidR="00BD55C9" w:rsidRPr="00442C17" w:rsidRDefault="00BD55C9" w:rsidP="00442C17">
      <w:pPr>
        <w:pStyle w:val="FootnoteText"/>
        <w:spacing w:line="240" w:lineRule="auto"/>
        <w:rPr>
          <w:szCs w:val="18"/>
          <w:lang w:val="ru-RU"/>
        </w:rPr>
      </w:pPr>
      <w:r>
        <w:rPr>
          <w:szCs w:val="18"/>
          <w:lang w:val="ru-RU"/>
        </w:rPr>
        <w:tab/>
      </w:r>
      <w:r w:rsidRPr="00A558B2">
        <w:rPr>
          <w:szCs w:val="18"/>
          <w:vertAlign w:val="superscript"/>
          <w:lang w:val="ru-RU"/>
        </w:rPr>
        <w:footnoteRef/>
      </w:r>
      <w:r w:rsidRPr="00A558B2">
        <w:rPr>
          <w:szCs w:val="18"/>
          <w:vertAlign w:val="superscript"/>
          <w:lang w:val="ru-RU"/>
        </w:rPr>
        <w:t xml:space="preserve"> </w:t>
      </w:r>
      <w:r w:rsidRPr="00A558B2">
        <w:rPr>
          <w:szCs w:val="18"/>
          <w:vertAlign w:val="superscript"/>
          <w:lang w:val="ru-RU"/>
        </w:rPr>
        <w:tab/>
      </w:r>
      <w:r w:rsidRPr="00442C17">
        <w:rPr>
          <w:szCs w:val="18"/>
          <w:lang w:val="ru-RU"/>
        </w:rPr>
        <w:t>См. Сборник решений Конституционного Суда, решение № II. CC 1174/09 от 13 января 2010 года.</w:t>
      </w:r>
    </w:p>
  </w:footnote>
  <w:footnote w:id="149">
    <w:p w:rsidR="00BD55C9" w:rsidRPr="00442C17" w:rsidRDefault="00BD55C9" w:rsidP="00442C17">
      <w:pPr>
        <w:pStyle w:val="FootnoteText"/>
        <w:spacing w:line="240" w:lineRule="auto"/>
        <w:rPr>
          <w:szCs w:val="18"/>
          <w:lang w:val="ru-RU"/>
        </w:rPr>
      </w:pPr>
      <w:r>
        <w:rPr>
          <w:szCs w:val="18"/>
          <w:lang w:val="ru-RU"/>
        </w:rPr>
        <w:tab/>
      </w:r>
      <w:r w:rsidRPr="00A558B2">
        <w:rPr>
          <w:szCs w:val="18"/>
          <w:vertAlign w:val="superscript"/>
          <w:lang w:val="ru-RU"/>
        </w:rPr>
        <w:footnoteRef/>
      </w:r>
      <w:r w:rsidRPr="00A558B2">
        <w:rPr>
          <w:szCs w:val="18"/>
          <w:vertAlign w:val="superscript"/>
          <w:lang w:val="ru-RU"/>
        </w:rPr>
        <w:t xml:space="preserve"> </w:t>
      </w:r>
      <w:r w:rsidRPr="00A558B2">
        <w:rPr>
          <w:szCs w:val="18"/>
          <w:vertAlign w:val="superscript"/>
          <w:lang w:val="ru-RU"/>
        </w:rPr>
        <w:tab/>
      </w:r>
      <w:r w:rsidRPr="00442C17">
        <w:rPr>
          <w:szCs w:val="18"/>
          <w:lang w:val="ru-RU"/>
        </w:rPr>
        <w:t>Раздел 133а Гражданско-процессуального кодекса. См. также Сборник решений Конституционного Суда, решение № Pl. CC 37/04 от 26 апреля 2006 года (опубликовано под № 419/2006 Coll.).</w:t>
      </w:r>
    </w:p>
  </w:footnote>
  <w:footnote w:id="150">
    <w:p w:rsidR="00BD55C9" w:rsidRPr="00442C17" w:rsidRDefault="00BD55C9" w:rsidP="00442C17">
      <w:pPr>
        <w:pStyle w:val="FootnoteText"/>
        <w:spacing w:line="240" w:lineRule="auto"/>
        <w:rPr>
          <w:szCs w:val="18"/>
          <w:lang w:val="ru-RU"/>
        </w:rPr>
      </w:pPr>
      <w:r>
        <w:rPr>
          <w:szCs w:val="18"/>
          <w:lang w:val="en-US"/>
        </w:rPr>
        <w:tab/>
      </w:r>
      <w:r w:rsidRPr="005B29CB">
        <w:rPr>
          <w:szCs w:val="18"/>
          <w:vertAlign w:val="superscript"/>
          <w:lang w:val="ru-RU"/>
        </w:rPr>
        <w:footnoteRef/>
      </w:r>
      <w:r w:rsidRPr="00442C17">
        <w:rPr>
          <w:szCs w:val="18"/>
          <w:lang w:val="ru-RU"/>
        </w:rPr>
        <w:t xml:space="preserve"> </w:t>
      </w:r>
      <w:r w:rsidRPr="005B29CB">
        <w:rPr>
          <w:szCs w:val="18"/>
          <w:lang w:val="ru-RU"/>
        </w:rPr>
        <w:tab/>
      </w:r>
      <w:r w:rsidRPr="00442C17">
        <w:rPr>
          <w:szCs w:val="18"/>
          <w:lang w:val="ru-RU"/>
        </w:rPr>
        <w:t>См. Сборник решений Конституционного Суда, решение № II. CC 1609/08 от 30 апреля 2009 года.</w:t>
      </w:r>
    </w:p>
  </w:footnote>
  <w:footnote w:id="151">
    <w:p w:rsidR="00BD55C9" w:rsidRPr="00442C17" w:rsidRDefault="00BD55C9" w:rsidP="00442C17">
      <w:pPr>
        <w:pStyle w:val="FootnoteText"/>
        <w:spacing w:line="240" w:lineRule="auto"/>
        <w:rPr>
          <w:szCs w:val="18"/>
          <w:lang w:val="ru-RU"/>
        </w:rPr>
      </w:pPr>
      <w:r>
        <w:rPr>
          <w:szCs w:val="18"/>
          <w:lang w:val="en-US"/>
        </w:rPr>
        <w:tab/>
      </w:r>
      <w:r w:rsidRPr="005B29CB">
        <w:rPr>
          <w:szCs w:val="18"/>
          <w:vertAlign w:val="superscript"/>
          <w:lang w:val="ru-RU"/>
        </w:rPr>
        <w:footnoteRef/>
      </w:r>
      <w:r w:rsidRPr="00442C17">
        <w:rPr>
          <w:szCs w:val="18"/>
          <w:lang w:val="ru-RU"/>
        </w:rPr>
        <w:t xml:space="preserve"> </w:t>
      </w:r>
      <w:r w:rsidRPr="005B29CB">
        <w:rPr>
          <w:szCs w:val="18"/>
          <w:lang w:val="ru-RU"/>
        </w:rPr>
        <w:tab/>
      </w:r>
      <w:r w:rsidRPr="00442C17">
        <w:rPr>
          <w:szCs w:val="18"/>
          <w:lang w:val="ru-RU"/>
        </w:rPr>
        <w:t xml:space="preserve">Некоммерческая или неправительственная организация, а также генеральный представитель в соответствии с процедурой гражданского судопроизводства по делам о защите от дискриминации. </w:t>
      </w:r>
    </w:p>
  </w:footnote>
  <w:footnote w:id="152">
    <w:p w:rsidR="00BD55C9" w:rsidRPr="00442C17" w:rsidRDefault="00BD55C9" w:rsidP="00442C17">
      <w:pPr>
        <w:pStyle w:val="FootnoteText"/>
        <w:spacing w:line="240" w:lineRule="auto"/>
        <w:rPr>
          <w:szCs w:val="18"/>
          <w:lang w:val="ru-RU"/>
        </w:rPr>
      </w:pPr>
      <w:r>
        <w:rPr>
          <w:szCs w:val="18"/>
          <w:lang w:val="en-US"/>
        </w:rPr>
        <w:tab/>
      </w:r>
      <w:r w:rsidRPr="005B29CB">
        <w:rPr>
          <w:szCs w:val="18"/>
          <w:vertAlign w:val="superscript"/>
          <w:lang w:val="ru-RU"/>
        </w:rPr>
        <w:footnoteRef/>
      </w:r>
      <w:r w:rsidRPr="00442C17">
        <w:rPr>
          <w:szCs w:val="18"/>
          <w:lang w:val="ru-RU"/>
        </w:rPr>
        <w:t xml:space="preserve"> </w:t>
      </w:r>
      <w:r>
        <w:rPr>
          <w:szCs w:val="18"/>
          <w:lang w:val="en-US"/>
        </w:rPr>
        <w:tab/>
      </w:r>
      <w:r w:rsidRPr="00442C17">
        <w:rPr>
          <w:szCs w:val="18"/>
          <w:lang w:val="ru-RU"/>
        </w:rPr>
        <w:t xml:space="preserve">Раздел 26 (3) Закона № 99/1963 Coll. (Гражданско-процессуальный кодекс). </w:t>
      </w:r>
    </w:p>
  </w:footnote>
  <w:footnote w:id="153">
    <w:p w:rsidR="00BD55C9" w:rsidRPr="00442C17" w:rsidRDefault="00BD55C9" w:rsidP="00442C17">
      <w:pPr>
        <w:pStyle w:val="FootnoteText"/>
        <w:spacing w:line="240" w:lineRule="auto"/>
        <w:rPr>
          <w:szCs w:val="18"/>
          <w:lang w:val="ru-RU"/>
        </w:rPr>
      </w:pPr>
      <w:r>
        <w:rPr>
          <w:szCs w:val="18"/>
          <w:lang w:val="en-US"/>
        </w:rPr>
        <w:tab/>
      </w:r>
      <w:r w:rsidRPr="005B29CB">
        <w:rPr>
          <w:szCs w:val="18"/>
          <w:vertAlign w:val="superscript"/>
          <w:lang w:val="ru-RU"/>
        </w:rPr>
        <w:footnoteRef/>
      </w:r>
      <w:r w:rsidRPr="00442C17">
        <w:rPr>
          <w:szCs w:val="18"/>
          <w:lang w:val="ru-RU"/>
        </w:rPr>
        <w:t xml:space="preserve"> </w:t>
      </w:r>
      <w:r w:rsidRPr="005B29CB">
        <w:rPr>
          <w:szCs w:val="18"/>
          <w:lang w:val="ru-RU"/>
        </w:rPr>
        <w:tab/>
      </w:r>
      <w:r w:rsidRPr="00442C17">
        <w:rPr>
          <w:szCs w:val="18"/>
          <w:lang w:val="ru-RU"/>
        </w:rPr>
        <w:t>Там же, раздел 30.</w:t>
      </w:r>
    </w:p>
  </w:footnote>
  <w:footnote w:id="154">
    <w:p w:rsidR="00BD55C9" w:rsidRPr="00442C17" w:rsidRDefault="00BD55C9" w:rsidP="00442C17">
      <w:pPr>
        <w:pStyle w:val="FootnoteText"/>
        <w:spacing w:line="240" w:lineRule="auto"/>
        <w:rPr>
          <w:szCs w:val="18"/>
          <w:lang w:val="ru-RU"/>
        </w:rPr>
      </w:pPr>
      <w:r>
        <w:rPr>
          <w:szCs w:val="18"/>
          <w:lang w:val="en-US"/>
        </w:rPr>
        <w:tab/>
      </w:r>
      <w:r w:rsidRPr="005B29CB">
        <w:rPr>
          <w:szCs w:val="18"/>
          <w:vertAlign w:val="superscript"/>
          <w:lang w:val="ru-RU"/>
        </w:rPr>
        <w:footnoteRef/>
      </w:r>
      <w:r w:rsidRPr="00442C17">
        <w:rPr>
          <w:szCs w:val="18"/>
          <w:lang w:val="ru-RU"/>
        </w:rPr>
        <w:t xml:space="preserve"> </w:t>
      </w:r>
      <w:r w:rsidRPr="005B29CB">
        <w:rPr>
          <w:szCs w:val="18"/>
          <w:lang w:val="ru-RU"/>
        </w:rPr>
        <w:tab/>
      </w:r>
      <w:r w:rsidRPr="00442C17">
        <w:rPr>
          <w:szCs w:val="18"/>
          <w:lang w:val="ru-RU"/>
        </w:rPr>
        <w:t xml:space="preserve">Раздел 51a Уголовно-процессуального кодекса. </w:t>
      </w:r>
    </w:p>
  </w:footnote>
  <w:footnote w:id="155">
    <w:p w:rsidR="00BD55C9" w:rsidRPr="00442C17" w:rsidRDefault="00BD55C9" w:rsidP="00442C17">
      <w:pPr>
        <w:pStyle w:val="FootnoteText"/>
        <w:spacing w:line="240" w:lineRule="auto"/>
        <w:rPr>
          <w:szCs w:val="18"/>
          <w:lang w:val="ru-RU"/>
        </w:rPr>
      </w:pPr>
      <w:r>
        <w:rPr>
          <w:szCs w:val="18"/>
          <w:lang w:val="en-US"/>
        </w:rPr>
        <w:tab/>
      </w:r>
      <w:r w:rsidRPr="005B29CB">
        <w:rPr>
          <w:szCs w:val="18"/>
          <w:vertAlign w:val="superscript"/>
          <w:lang w:val="ru-RU"/>
        </w:rPr>
        <w:footnoteRef/>
      </w:r>
      <w:r w:rsidRPr="00442C17">
        <w:rPr>
          <w:szCs w:val="18"/>
          <w:lang w:val="ru-RU"/>
        </w:rPr>
        <w:t xml:space="preserve"> </w:t>
      </w:r>
      <w:r w:rsidRPr="005B29CB">
        <w:rPr>
          <w:szCs w:val="18"/>
          <w:lang w:val="ru-RU"/>
        </w:rPr>
        <w:tab/>
      </w:r>
      <w:r w:rsidRPr="00442C17">
        <w:rPr>
          <w:szCs w:val="18"/>
          <w:lang w:val="ru-RU"/>
        </w:rPr>
        <w:t xml:space="preserve">Раздел 138 Гражданско-процессуального кодекса. </w:t>
      </w:r>
    </w:p>
  </w:footnote>
  <w:footnote w:id="156">
    <w:p w:rsidR="00BD55C9" w:rsidRPr="00442C17" w:rsidRDefault="00BD55C9" w:rsidP="00442C17">
      <w:pPr>
        <w:pStyle w:val="FootnoteText"/>
        <w:spacing w:line="240" w:lineRule="auto"/>
        <w:rPr>
          <w:szCs w:val="18"/>
          <w:lang w:val="ru-RU"/>
        </w:rPr>
      </w:pPr>
      <w:r>
        <w:rPr>
          <w:szCs w:val="18"/>
          <w:lang w:val="en-US"/>
        </w:rPr>
        <w:tab/>
      </w:r>
      <w:r w:rsidRPr="005B29CB">
        <w:rPr>
          <w:szCs w:val="18"/>
          <w:vertAlign w:val="superscript"/>
          <w:lang w:val="ru-RU"/>
        </w:rPr>
        <w:footnoteRef/>
      </w:r>
      <w:r w:rsidRPr="00442C17">
        <w:rPr>
          <w:szCs w:val="18"/>
          <w:lang w:val="ru-RU"/>
        </w:rPr>
        <w:t xml:space="preserve"> </w:t>
      </w:r>
      <w:r w:rsidRPr="005B29CB">
        <w:rPr>
          <w:szCs w:val="18"/>
          <w:lang w:val="ru-RU"/>
        </w:rPr>
        <w:tab/>
      </w:r>
      <w:r w:rsidRPr="00442C17">
        <w:rPr>
          <w:szCs w:val="18"/>
          <w:lang w:val="ru-RU"/>
        </w:rPr>
        <w:t xml:space="preserve">Раздел 18 (2) Закона о профессиональных юристах.  </w:t>
      </w:r>
    </w:p>
  </w:footnote>
  <w:footnote w:id="157">
    <w:p w:rsidR="00BD55C9" w:rsidRPr="00442C17" w:rsidRDefault="00BD55C9" w:rsidP="00442C17">
      <w:pPr>
        <w:pStyle w:val="FootnoteText"/>
        <w:spacing w:line="240" w:lineRule="auto"/>
        <w:rPr>
          <w:szCs w:val="18"/>
          <w:lang w:val="ru-RU"/>
        </w:rPr>
      </w:pPr>
      <w:r>
        <w:rPr>
          <w:szCs w:val="18"/>
          <w:lang w:val="en-US"/>
        </w:rPr>
        <w:tab/>
      </w:r>
      <w:r w:rsidRPr="005B29CB">
        <w:rPr>
          <w:szCs w:val="18"/>
          <w:vertAlign w:val="superscript"/>
          <w:lang w:val="ru-RU"/>
        </w:rPr>
        <w:footnoteRef/>
      </w:r>
      <w:r w:rsidRPr="00442C17">
        <w:rPr>
          <w:szCs w:val="18"/>
          <w:lang w:val="ru-RU"/>
        </w:rPr>
        <w:t xml:space="preserve"> </w:t>
      </w:r>
      <w:r w:rsidRPr="005B29CB">
        <w:rPr>
          <w:szCs w:val="18"/>
          <w:lang w:val="ru-RU"/>
        </w:rPr>
        <w:tab/>
      </w:r>
      <w:r w:rsidRPr="00442C17">
        <w:rPr>
          <w:szCs w:val="18"/>
          <w:lang w:val="ru-RU"/>
        </w:rPr>
        <w:t>В 2011 году объем субсидий, выделенных на цели предоставления этих социальных услуг, составил 49 млн. чешских крон, а в 2012 году в их пользу было перераспределено 60 млн. чешских крон.</w:t>
      </w:r>
    </w:p>
  </w:footnote>
  <w:footnote w:id="158">
    <w:p w:rsidR="00BD55C9" w:rsidRPr="00442C17" w:rsidRDefault="00BD55C9" w:rsidP="00442C17">
      <w:pPr>
        <w:pStyle w:val="FootnoteText"/>
        <w:spacing w:line="240" w:lineRule="auto"/>
        <w:rPr>
          <w:szCs w:val="18"/>
          <w:lang w:val="ru-RU"/>
        </w:rPr>
      </w:pPr>
      <w:r>
        <w:rPr>
          <w:szCs w:val="18"/>
          <w:lang w:val="en-US"/>
        </w:rPr>
        <w:tab/>
      </w:r>
      <w:r w:rsidRPr="005B29CB">
        <w:rPr>
          <w:szCs w:val="18"/>
          <w:vertAlign w:val="superscript"/>
          <w:lang w:val="ru-RU"/>
        </w:rPr>
        <w:footnoteRef/>
      </w:r>
      <w:r w:rsidRPr="00442C17">
        <w:rPr>
          <w:szCs w:val="18"/>
          <w:lang w:val="ru-RU"/>
        </w:rPr>
        <w:t xml:space="preserve"> </w:t>
      </w:r>
      <w:r w:rsidRPr="005B29CB">
        <w:rPr>
          <w:szCs w:val="18"/>
          <w:lang w:val="ru-RU"/>
        </w:rPr>
        <w:tab/>
      </w:r>
      <w:r w:rsidRPr="00442C17">
        <w:rPr>
          <w:szCs w:val="18"/>
          <w:lang w:val="ru-RU"/>
        </w:rPr>
        <w:t>Субсидии предназначены для поддержки тех муниципалитетов, в которых работают сотрудники по связям с населением.</w:t>
      </w:r>
    </w:p>
  </w:footnote>
  <w:footnote w:id="159">
    <w:p w:rsidR="00BD55C9" w:rsidRPr="00442C17" w:rsidRDefault="00BD55C9" w:rsidP="00442C17">
      <w:pPr>
        <w:pStyle w:val="FootnoteText"/>
        <w:spacing w:line="240" w:lineRule="auto"/>
        <w:rPr>
          <w:szCs w:val="18"/>
          <w:lang w:val="ru-RU"/>
        </w:rPr>
      </w:pPr>
      <w:r>
        <w:rPr>
          <w:szCs w:val="18"/>
          <w:lang w:val="en-US"/>
        </w:rPr>
        <w:tab/>
      </w:r>
      <w:r w:rsidRPr="005B29CB">
        <w:rPr>
          <w:szCs w:val="18"/>
          <w:vertAlign w:val="superscript"/>
          <w:lang w:val="ru-RU"/>
        </w:rPr>
        <w:footnoteRef/>
      </w:r>
      <w:r w:rsidRPr="00442C17">
        <w:rPr>
          <w:szCs w:val="18"/>
          <w:lang w:val="ru-RU"/>
        </w:rPr>
        <w:t xml:space="preserve"> </w:t>
      </w:r>
      <w:r w:rsidRPr="005B29CB">
        <w:rPr>
          <w:szCs w:val="18"/>
          <w:lang w:val="ru-RU"/>
        </w:rPr>
        <w:tab/>
      </w:r>
      <w:r w:rsidRPr="00442C17">
        <w:rPr>
          <w:szCs w:val="18"/>
          <w:lang w:val="ru-RU"/>
        </w:rPr>
        <w:t>Целью данной программы является содействие НПО в осуществлении не связанных с инвестициями проектов, направленных на поддержку усилий общин рома и жителей изолированных районов проживания рома в плане налаживания нормальной жизни и участия в жизни местного. Одновременно с этим осуществляется поддержка комплексной работы с целевыми группами, что позволяет обеспечить увязку проектных мероприятий с деятельностью других ключевых учреждений в сфере интеграции рома (включая, например, медицинские учреждения, школы, органы полиции и т.д.).</w:t>
      </w:r>
    </w:p>
  </w:footnote>
  <w:footnote w:id="160">
    <w:p w:rsidR="00BD55C9" w:rsidRPr="00442C17" w:rsidRDefault="00BD55C9" w:rsidP="00442C17">
      <w:pPr>
        <w:pStyle w:val="FootnoteText"/>
        <w:spacing w:line="240" w:lineRule="auto"/>
        <w:rPr>
          <w:szCs w:val="18"/>
          <w:lang w:val="ru-RU"/>
        </w:rPr>
      </w:pPr>
      <w:r>
        <w:rPr>
          <w:szCs w:val="18"/>
          <w:lang w:val="en-US"/>
        </w:rPr>
        <w:tab/>
      </w:r>
      <w:r w:rsidRPr="005B29CB">
        <w:rPr>
          <w:szCs w:val="18"/>
          <w:vertAlign w:val="superscript"/>
          <w:lang w:val="ru-RU"/>
        </w:rPr>
        <w:footnoteRef/>
      </w:r>
      <w:r w:rsidRPr="00442C17">
        <w:rPr>
          <w:szCs w:val="18"/>
          <w:lang w:val="ru-RU"/>
        </w:rPr>
        <w:t xml:space="preserve"> </w:t>
      </w:r>
      <w:r w:rsidRPr="005B29CB">
        <w:rPr>
          <w:szCs w:val="18"/>
          <w:lang w:val="ru-RU"/>
        </w:rPr>
        <w:tab/>
      </w:r>
      <w:r w:rsidRPr="00442C17">
        <w:rPr>
          <w:szCs w:val="18"/>
          <w:lang w:val="ru-RU"/>
        </w:rPr>
        <w:t xml:space="preserve">Программа направлена на содействие в финансировании должностей координаторов по делам рома в регионах.  </w:t>
      </w:r>
    </w:p>
  </w:footnote>
  <w:footnote w:id="161">
    <w:p w:rsidR="00BD55C9" w:rsidRPr="00442C17" w:rsidRDefault="00BD55C9" w:rsidP="00442C17">
      <w:pPr>
        <w:pStyle w:val="FootnoteText"/>
        <w:spacing w:line="240" w:lineRule="auto"/>
        <w:rPr>
          <w:szCs w:val="18"/>
          <w:lang w:val="ru-RU"/>
        </w:rPr>
      </w:pPr>
      <w:r>
        <w:rPr>
          <w:szCs w:val="18"/>
          <w:lang w:val="en-US"/>
        </w:rPr>
        <w:tab/>
      </w:r>
      <w:r w:rsidRPr="00B8411D">
        <w:rPr>
          <w:szCs w:val="18"/>
          <w:vertAlign w:val="superscript"/>
          <w:lang w:val="ru-RU"/>
        </w:rPr>
        <w:footnoteRef/>
      </w:r>
      <w:r w:rsidRPr="00442C17">
        <w:rPr>
          <w:szCs w:val="18"/>
          <w:lang w:val="ru-RU"/>
        </w:rPr>
        <w:t xml:space="preserve"> </w:t>
      </w:r>
      <w:r w:rsidRPr="00B8411D">
        <w:rPr>
          <w:szCs w:val="18"/>
          <w:lang w:val="ru-RU"/>
        </w:rPr>
        <w:tab/>
      </w:r>
      <w:r w:rsidRPr="00442C17">
        <w:rPr>
          <w:szCs w:val="18"/>
          <w:lang w:val="ru-RU"/>
        </w:rPr>
        <w:t>Раздел 2 Закона об образовании.</w:t>
      </w:r>
    </w:p>
  </w:footnote>
  <w:footnote w:id="162">
    <w:p w:rsidR="00BD55C9" w:rsidRPr="00442C17" w:rsidRDefault="00BD55C9" w:rsidP="00442C17">
      <w:pPr>
        <w:pStyle w:val="FootnoteText"/>
        <w:spacing w:line="240" w:lineRule="auto"/>
        <w:rPr>
          <w:szCs w:val="18"/>
          <w:lang w:val="ru-RU"/>
        </w:rPr>
      </w:pPr>
      <w:r>
        <w:rPr>
          <w:szCs w:val="18"/>
          <w:lang w:val="en-US"/>
        </w:rPr>
        <w:tab/>
      </w:r>
      <w:r w:rsidRPr="00B8411D">
        <w:rPr>
          <w:szCs w:val="18"/>
          <w:vertAlign w:val="superscript"/>
          <w:lang w:val="ru-RU"/>
        </w:rPr>
        <w:footnoteRef/>
      </w:r>
      <w:r w:rsidRPr="00B8411D">
        <w:rPr>
          <w:szCs w:val="18"/>
          <w:lang w:val="ru-RU"/>
        </w:rPr>
        <w:tab/>
      </w:r>
      <w:r w:rsidRPr="00442C17">
        <w:rPr>
          <w:szCs w:val="18"/>
          <w:lang w:val="ru-RU"/>
        </w:rPr>
        <w:t>Текст Стратегии доступен в электронном виде по следующей ссылке: http://www.msmt.cz/file/28077.</w:t>
      </w:r>
    </w:p>
  </w:footnote>
  <w:footnote w:id="163">
    <w:p w:rsidR="00BD55C9" w:rsidRPr="00442C17" w:rsidRDefault="00BD55C9" w:rsidP="00442C17">
      <w:pPr>
        <w:pStyle w:val="FootnoteText"/>
        <w:spacing w:line="240" w:lineRule="auto"/>
        <w:rPr>
          <w:szCs w:val="18"/>
          <w:lang w:val="ru-RU"/>
        </w:rPr>
      </w:pPr>
      <w:r>
        <w:rPr>
          <w:szCs w:val="18"/>
          <w:lang w:val="en-US"/>
        </w:rPr>
        <w:tab/>
      </w:r>
      <w:r w:rsidRPr="008A143A">
        <w:rPr>
          <w:szCs w:val="18"/>
          <w:vertAlign w:val="superscript"/>
          <w:lang w:val="ru-RU"/>
        </w:rPr>
        <w:footnoteRef/>
      </w:r>
      <w:r w:rsidRPr="008A143A">
        <w:rPr>
          <w:szCs w:val="18"/>
          <w:vertAlign w:val="superscript"/>
          <w:lang w:val="ru-RU"/>
        </w:rPr>
        <w:t xml:space="preserve"> </w:t>
      </w:r>
      <w:r w:rsidRPr="008A143A">
        <w:rPr>
          <w:szCs w:val="18"/>
          <w:vertAlign w:val="superscript"/>
          <w:lang w:val="ru-RU"/>
        </w:rPr>
        <w:tab/>
      </w:r>
      <w:r w:rsidRPr="00442C17">
        <w:rPr>
          <w:szCs w:val="18"/>
          <w:lang w:val="ru-RU"/>
        </w:rPr>
        <w:t>В течение 2013 года был разработан план кампании, которая станет частью трехлетнего проекта, финансируемого ЕЭЗ/Норвегией.</w:t>
      </w:r>
    </w:p>
  </w:footnote>
  <w:footnote w:id="164">
    <w:p w:rsidR="00BD55C9" w:rsidRPr="00442C17" w:rsidRDefault="00BD55C9" w:rsidP="00442C17">
      <w:pPr>
        <w:pStyle w:val="FootnoteText"/>
        <w:spacing w:line="240" w:lineRule="auto"/>
        <w:rPr>
          <w:szCs w:val="18"/>
          <w:lang w:val="ru-RU"/>
        </w:rPr>
      </w:pPr>
      <w:r>
        <w:rPr>
          <w:szCs w:val="18"/>
          <w:lang w:val="en-US"/>
        </w:rPr>
        <w:tab/>
      </w:r>
      <w:r w:rsidRPr="008A143A">
        <w:rPr>
          <w:szCs w:val="18"/>
          <w:vertAlign w:val="superscript"/>
          <w:lang w:val="ru-RU"/>
        </w:rPr>
        <w:footnoteRef/>
      </w:r>
      <w:r w:rsidRPr="008A143A">
        <w:rPr>
          <w:szCs w:val="18"/>
          <w:vertAlign w:val="superscript"/>
          <w:lang w:val="ru-RU"/>
        </w:rPr>
        <w:t xml:space="preserve"> </w:t>
      </w:r>
      <w:r w:rsidRPr="008A143A">
        <w:rPr>
          <w:szCs w:val="18"/>
          <w:vertAlign w:val="superscript"/>
          <w:lang w:val="ru-RU"/>
        </w:rPr>
        <w:tab/>
      </w:r>
      <w:r w:rsidRPr="00442C17">
        <w:rPr>
          <w:szCs w:val="18"/>
          <w:lang w:val="ru-RU"/>
        </w:rPr>
        <w:t>Включая, например, региональные мероприятия по профессиональной подготовке сотрудников полиции в Устецком и Моравскосилезском краях, направленные на то, чтобы улучшить понимание ситуации в социально изолированных районах и повысить профессиональный уровень сотрудников в плане реализации профилактических мер, особенно связанных с борьбой с преступлениями на почве ненависти.</w:t>
      </w:r>
    </w:p>
  </w:footnote>
  <w:footnote w:id="165">
    <w:p w:rsidR="00BD55C9" w:rsidRPr="00442C17" w:rsidRDefault="00BD55C9" w:rsidP="00442C17">
      <w:pPr>
        <w:pStyle w:val="FootnoteText"/>
        <w:spacing w:line="240" w:lineRule="auto"/>
        <w:rPr>
          <w:szCs w:val="18"/>
          <w:lang w:val="ru-RU"/>
        </w:rPr>
      </w:pPr>
      <w:r>
        <w:rPr>
          <w:szCs w:val="18"/>
          <w:lang w:val="en-US"/>
        </w:rPr>
        <w:tab/>
      </w:r>
      <w:r w:rsidRPr="008A143A">
        <w:rPr>
          <w:szCs w:val="18"/>
          <w:vertAlign w:val="superscript"/>
          <w:lang w:val="ru-RU"/>
        </w:rPr>
        <w:footnoteRef/>
      </w:r>
      <w:r w:rsidRPr="008A143A">
        <w:rPr>
          <w:szCs w:val="18"/>
          <w:vertAlign w:val="superscript"/>
          <w:lang w:val="ru-RU"/>
        </w:rPr>
        <w:t xml:space="preserve"> </w:t>
      </w:r>
      <w:r w:rsidRPr="008A143A">
        <w:rPr>
          <w:szCs w:val="18"/>
          <w:vertAlign w:val="superscript"/>
          <w:lang w:val="ru-RU"/>
        </w:rPr>
        <w:tab/>
      </w:r>
      <w:r w:rsidRPr="00442C17">
        <w:rPr>
          <w:szCs w:val="18"/>
          <w:lang w:val="ru-RU"/>
        </w:rPr>
        <w:t xml:space="preserve">Включая, например, программы, направленные на углубление понимания того, каким образом следует решать проблемы расизма, насилия на почве ненависти и агрессивного поведения в целом, включая подготовку обучающих материалов (фильмов, методологических пособий и т.п.).   </w:t>
      </w:r>
    </w:p>
  </w:footnote>
  <w:footnote w:id="166">
    <w:p w:rsidR="00BD55C9" w:rsidRPr="00442C17" w:rsidRDefault="00BD55C9" w:rsidP="00442C17">
      <w:pPr>
        <w:pStyle w:val="FootnoteText"/>
        <w:spacing w:line="240" w:lineRule="auto"/>
        <w:rPr>
          <w:szCs w:val="18"/>
          <w:lang w:val="ru-RU"/>
        </w:rPr>
      </w:pPr>
      <w:r>
        <w:rPr>
          <w:szCs w:val="18"/>
          <w:lang w:val="en-US"/>
        </w:rPr>
        <w:tab/>
      </w:r>
      <w:r w:rsidRPr="008A143A">
        <w:rPr>
          <w:szCs w:val="18"/>
          <w:vertAlign w:val="superscript"/>
          <w:lang w:val="ru-RU"/>
        </w:rPr>
        <w:footnoteRef/>
      </w:r>
      <w:r w:rsidRPr="008A143A">
        <w:rPr>
          <w:szCs w:val="18"/>
          <w:vertAlign w:val="superscript"/>
          <w:lang w:val="ru-RU"/>
        </w:rPr>
        <w:t xml:space="preserve"> </w:t>
      </w:r>
      <w:r w:rsidRPr="008A143A">
        <w:rPr>
          <w:szCs w:val="18"/>
          <w:vertAlign w:val="superscript"/>
          <w:lang w:val="ru-RU"/>
        </w:rPr>
        <w:tab/>
      </w:r>
      <w:r w:rsidRPr="00442C17">
        <w:rPr>
          <w:szCs w:val="18"/>
          <w:lang w:val="ru-RU"/>
        </w:rPr>
        <w:t>Информация о примерах такого рода будет распространяться посредством интерактивных веб</w:t>
      </w:r>
      <w:r>
        <w:rPr>
          <w:szCs w:val="18"/>
          <w:lang w:val="ru-RU"/>
        </w:rPr>
        <w:t>-</w:t>
      </w:r>
      <w:r w:rsidRPr="00442C17">
        <w:rPr>
          <w:szCs w:val="18"/>
          <w:lang w:val="ru-RU"/>
        </w:rPr>
        <w:t xml:space="preserve">сайтов (созданных для этой цели) и информационных материалов, предназначенных для представителей правительства (руководителей и членов советов), руководящих сотрудников соответствующих департаментов (по вопросам образования, социальным вопросам и вопросам здравоохранения), а также представителей основных организаций-партнеров на местах (Полиции ЧР и муниципальной полиции, директоров школ, специалистов в области здравоохранения, НПО и т.д.). </w:t>
      </w:r>
    </w:p>
  </w:footnote>
  <w:footnote w:id="167">
    <w:p w:rsidR="00BD55C9" w:rsidRPr="00442C17" w:rsidRDefault="00BD55C9" w:rsidP="00442C17">
      <w:pPr>
        <w:pStyle w:val="FootnoteText"/>
        <w:spacing w:line="240" w:lineRule="auto"/>
        <w:rPr>
          <w:szCs w:val="18"/>
          <w:lang w:val="ru-RU"/>
        </w:rPr>
      </w:pPr>
      <w:r w:rsidRPr="0084765E">
        <w:rPr>
          <w:szCs w:val="18"/>
          <w:lang w:val="ru-RU"/>
        </w:rPr>
        <w:tab/>
      </w:r>
      <w:r w:rsidRPr="008A143A">
        <w:rPr>
          <w:szCs w:val="18"/>
          <w:vertAlign w:val="superscript"/>
          <w:lang w:val="ru-RU"/>
        </w:rPr>
        <w:footnoteRef/>
      </w:r>
      <w:r w:rsidRPr="00442C17">
        <w:rPr>
          <w:szCs w:val="18"/>
          <w:lang w:val="ru-RU"/>
        </w:rPr>
        <w:t xml:space="preserve"> </w:t>
      </w:r>
      <w:r w:rsidRPr="008A143A">
        <w:rPr>
          <w:szCs w:val="18"/>
          <w:lang w:val="ru-RU"/>
        </w:rPr>
        <w:tab/>
      </w:r>
      <w:r w:rsidRPr="00442C17">
        <w:rPr>
          <w:szCs w:val="18"/>
          <w:lang w:val="ru-RU"/>
        </w:rPr>
        <w:t>Раздел 31 (4) Закона о радио- и телевещании.</w:t>
      </w:r>
    </w:p>
  </w:footnote>
  <w:footnote w:id="168">
    <w:p w:rsidR="00BD55C9" w:rsidRPr="00442C17" w:rsidRDefault="00BD55C9" w:rsidP="00442C17">
      <w:pPr>
        <w:pStyle w:val="FootnoteText"/>
        <w:spacing w:line="240" w:lineRule="auto"/>
        <w:rPr>
          <w:szCs w:val="18"/>
          <w:lang w:val="ru-RU"/>
        </w:rPr>
      </w:pPr>
      <w:r>
        <w:rPr>
          <w:szCs w:val="18"/>
          <w:lang w:val="en-US"/>
        </w:rPr>
        <w:tab/>
      </w:r>
      <w:r w:rsidRPr="008A143A">
        <w:rPr>
          <w:szCs w:val="18"/>
          <w:vertAlign w:val="superscript"/>
          <w:lang w:val="ru-RU"/>
        </w:rPr>
        <w:footnoteRef/>
      </w:r>
      <w:r w:rsidRPr="00442C17">
        <w:rPr>
          <w:szCs w:val="18"/>
          <w:lang w:val="ru-RU"/>
        </w:rPr>
        <w:t xml:space="preserve"> </w:t>
      </w:r>
      <w:r w:rsidRPr="008A143A">
        <w:rPr>
          <w:szCs w:val="18"/>
          <w:lang w:val="ru-RU"/>
        </w:rPr>
        <w:tab/>
      </w:r>
      <w:r w:rsidRPr="00442C17">
        <w:rPr>
          <w:szCs w:val="18"/>
          <w:lang w:val="ru-RU"/>
        </w:rPr>
        <w:t>Раздел 32 (1), пункт с) Закона о радио- и телевещании.</w:t>
      </w:r>
    </w:p>
  </w:footnote>
  <w:footnote w:id="169">
    <w:p w:rsidR="00BD55C9" w:rsidRPr="00442C17" w:rsidRDefault="00BD55C9" w:rsidP="00442C17">
      <w:pPr>
        <w:pStyle w:val="FootnoteText"/>
        <w:spacing w:line="240" w:lineRule="auto"/>
        <w:rPr>
          <w:szCs w:val="18"/>
          <w:lang w:val="ru-RU"/>
        </w:rPr>
      </w:pPr>
      <w:r>
        <w:rPr>
          <w:szCs w:val="18"/>
          <w:lang w:val="en-US"/>
        </w:rPr>
        <w:tab/>
      </w:r>
      <w:r w:rsidRPr="008A143A">
        <w:rPr>
          <w:szCs w:val="18"/>
          <w:vertAlign w:val="superscript"/>
          <w:lang w:val="ru-RU"/>
        </w:rPr>
        <w:footnoteRef/>
      </w:r>
      <w:r w:rsidRPr="00442C17">
        <w:rPr>
          <w:szCs w:val="18"/>
          <w:lang w:val="ru-RU"/>
        </w:rPr>
        <w:t xml:space="preserve"> </w:t>
      </w:r>
      <w:r w:rsidRPr="008A143A">
        <w:rPr>
          <w:szCs w:val="18"/>
          <w:lang w:val="ru-RU"/>
        </w:rPr>
        <w:tab/>
      </w:r>
      <w:r w:rsidRPr="00442C17">
        <w:rPr>
          <w:szCs w:val="18"/>
          <w:lang w:val="ru-RU"/>
        </w:rPr>
        <w:t xml:space="preserve">Закон № 132/2010 Coll., Закон об услугах по предоставлению аудиовизуальных материалов по запросу и о внесении поправок в некоторые законы (Закон об услугах по предоставлению аудиовизуальных материалов по запросу), который заменяет Директиву об услугах по предоставлению аудиовизуальных материалов. </w:t>
      </w:r>
    </w:p>
  </w:footnote>
  <w:footnote w:id="170">
    <w:p w:rsidR="00BD55C9" w:rsidRPr="00442C17" w:rsidRDefault="00BD55C9" w:rsidP="00442C17">
      <w:pPr>
        <w:pStyle w:val="FootnoteText"/>
        <w:spacing w:line="240" w:lineRule="auto"/>
        <w:rPr>
          <w:szCs w:val="18"/>
          <w:lang w:val="ru-RU"/>
        </w:rPr>
      </w:pPr>
      <w:r>
        <w:rPr>
          <w:szCs w:val="18"/>
          <w:lang w:val="en-US"/>
        </w:rPr>
        <w:tab/>
      </w:r>
      <w:r w:rsidRPr="008A143A">
        <w:rPr>
          <w:szCs w:val="18"/>
          <w:vertAlign w:val="superscript"/>
          <w:lang w:val="ru-RU"/>
        </w:rPr>
        <w:footnoteRef/>
      </w:r>
      <w:r w:rsidRPr="00442C17">
        <w:rPr>
          <w:szCs w:val="18"/>
          <w:lang w:val="ru-RU"/>
        </w:rPr>
        <w:t xml:space="preserve"> </w:t>
      </w:r>
      <w:r w:rsidRPr="008A143A">
        <w:rPr>
          <w:szCs w:val="18"/>
          <w:lang w:val="ru-RU"/>
        </w:rPr>
        <w:tab/>
      </w:r>
      <w:r w:rsidRPr="00442C17">
        <w:rPr>
          <w:szCs w:val="18"/>
          <w:lang w:val="ru-RU"/>
        </w:rPr>
        <w:t>Включая, например, освещение на чешском телевидении семинара по проблемам женщин-рома, а также освещение Руководства для муниципалитетов, подготовленного Агентством по вопросам социальной интеграции.</w:t>
      </w:r>
    </w:p>
  </w:footnote>
  <w:footnote w:id="171">
    <w:p w:rsidR="00BD55C9" w:rsidRPr="00442C17" w:rsidRDefault="00BD55C9" w:rsidP="00442C17">
      <w:pPr>
        <w:pStyle w:val="FootnoteText"/>
        <w:spacing w:line="240" w:lineRule="auto"/>
        <w:rPr>
          <w:szCs w:val="18"/>
          <w:lang w:val="ru-RU"/>
        </w:rPr>
      </w:pPr>
      <w:r>
        <w:rPr>
          <w:szCs w:val="18"/>
          <w:lang w:val="en-US"/>
        </w:rPr>
        <w:tab/>
      </w:r>
      <w:r w:rsidRPr="00215297">
        <w:rPr>
          <w:szCs w:val="18"/>
          <w:vertAlign w:val="superscript"/>
          <w:lang w:val="ru-RU"/>
        </w:rPr>
        <w:footnoteRef/>
      </w:r>
      <w:r w:rsidRPr="00215297">
        <w:rPr>
          <w:szCs w:val="18"/>
          <w:vertAlign w:val="superscript"/>
          <w:lang w:val="ru-RU"/>
        </w:rPr>
        <w:tab/>
      </w:r>
      <w:r w:rsidRPr="00442C17">
        <w:rPr>
          <w:szCs w:val="18"/>
          <w:lang w:val="ru-RU"/>
        </w:rPr>
        <w:t xml:space="preserve">Постоянно действующая экспозиция </w:t>
      </w:r>
      <w:r>
        <w:rPr>
          <w:szCs w:val="18"/>
          <w:lang w:val="ru-RU"/>
        </w:rPr>
        <w:t>"</w:t>
      </w:r>
      <w:r w:rsidRPr="00442C17">
        <w:rPr>
          <w:szCs w:val="18"/>
          <w:lang w:val="ru-RU"/>
        </w:rPr>
        <w:t>Лети: жизнь за оградой</w:t>
      </w:r>
      <w:r>
        <w:rPr>
          <w:szCs w:val="18"/>
          <w:lang w:val="ru-RU"/>
        </w:rPr>
        <w:t>"</w:t>
      </w:r>
      <w:r w:rsidRPr="00442C17">
        <w:rPr>
          <w:szCs w:val="18"/>
          <w:lang w:val="ru-RU"/>
        </w:rPr>
        <w:t xml:space="preserve">; до 26 марта 2012 года функционировала выставка </w:t>
      </w:r>
      <w:r>
        <w:rPr>
          <w:szCs w:val="18"/>
          <w:lang w:val="ru-RU"/>
        </w:rPr>
        <w:t>"</w:t>
      </w:r>
      <w:r w:rsidRPr="00442C17">
        <w:rPr>
          <w:szCs w:val="18"/>
          <w:lang w:val="ru-RU"/>
        </w:rPr>
        <w:t>Porrajmos</w:t>
      </w:r>
      <w:r>
        <w:rPr>
          <w:szCs w:val="18"/>
          <w:lang w:val="ru-RU"/>
        </w:rPr>
        <w:t>"</w:t>
      </w:r>
      <w:r w:rsidRPr="00442C17">
        <w:rPr>
          <w:szCs w:val="18"/>
          <w:lang w:val="ru-RU"/>
        </w:rPr>
        <w:t xml:space="preserve"> (</w:t>
      </w:r>
      <w:r>
        <w:rPr>
          <w:szCs w:val="18"/>
          <w:lang w:val="ru-RU"/>
        </w:rPr>
        <w:t>"</w:t>
      </w:r>
      <w:r w:rsidRPr="00442C17">
        <w:rPr>
          <w:szCs w:val="18"/>
          <w:lang w:val="ru-RU"/>
        </w:rPr>
        <w:t>Великое разрушение</w:t>
      </w:r>
      <w:r>
        <w:rPr>
          <w:szCs w:val="18"/>
          <w:lang w:val="ru-RU"/>
        </w:rPr>
        <w:t>"</w:t>
      </w:r>
      <w:r w:rsidRPr="00442C17">
        <w:rPr>
          <w:szCs w:val="18"/>
          <w:lang w:val="ru-RU"/>
        </w:rPr>
        <w:t xml:space="preserve">), в рамках которой подробно рассказывалось о судьбе, преследованиях и геноциде рома в ходе Второй мировой войны; компоненты постоянно действующей экспозиции в Информационном центре Лети. Передвижная выставка </w:t>
      </w:r>
      <w:r>
        <w:rPr>
          <w:szCs w:val="18"/>
          <w:lang w:val="ru-RU"/>
        </w:rPr>
        <w:t>"</w:t>
      </w:r>
      <w:r w:rsidRPr="00442C17">
        <w:rPr>
          <w:szCs w:val="18"/>
          <w:lang w:val="ru-RU"/>
        </w:rPr>
        <w:t>Lacho lav sar maro</w:t>
      </w:r>
      <w:r>
        <w:rPr>
          <w:szCs w:val="18"/>
          <w:lang w:val="ru-RU"/>
        </w:rPr>
        <w:t>"</w:t>
      </w:r>
      <w:r w:rsidRPr="00442C17">
        <w:rPr>
          <w:szCs w:val="18"/>
          <w:lang w:val="ru-RU"/>
        </w:rPr>
        <w:t xml:space="preserve"> (</w:t>
      </w:r>
      <w:r>
        <w:rPr>
          <w:szCs w:val="18"/>
          <w:lang w:val="ru-RU"/>
        </w:rPr>
        <w:t>"</w:t>
      </w:r>
      <w:r w:rsidRPr="00442C17">
        <w:rPr>
          <w:szCs w:val="18"/>
          <w:lang w:val="ru-RU"/>
        </w:rPr>
        <w:t>Доброе слово подобно хлебу</w:t>
      </w:r>
      <w:r>
        <w:rPr>
          <w:szCs w:val="18"/>
          <w:lang w:val="ru-RU"/>
        </w:rPr>
        <w:t>"</w:t>
      </w:r>
      <w:r w:rsidRPr="00442C17">
        <w:rPr>
          <w:szCs w:val="18"/>
          <w:lang w:val="ru-RU"/>
        </w:rPr>
        <w:t xml:space="preserve">) (16 авторов-рома в фотографиях Лукаша Худека), представляющая тексты авторов-рома на их родном языке. </w:t>
      </w:r>
    </w:p>
  </w:footnote>
  <w:footnote w:id="172">
    <w:p w:rsidR="00BD55C9" w:rsidRPr="00442C17" w:rsidRDefault="00BD55C9" w:rsidP="00442C17">
      <w:pPr>
        <w:pStyle w:val="FootnoteText"/>
        <w:spacing w:line="240" w:lineRule="auto"/>
        <w:rPr>
          <w:szCs w:val="18"/>
          <w:lang w:val="ru-RU"/>
        </w:rPr>
      </w:pPr>
      <w:r>
        <w:rPr>
          <w:szCs w:val="18"/>
          <w:lang w:val="en-US"/>
        </w:rPr>
        <w:tab/>
      </w:r>
      <w:r w:rsidRPr="00215297">
        <w:rPr>
          <w:szCs w:val="18"/>
          <w:vertAlign w:val="superscript"/>
          <w:lang w:val="ru-RU"/>
        </w:rPr>
        <w:footnoteRef/>
      </w:r>
      <w:r w:rsidRPr="00215297">
        <w:rPr>
          <w:szCs w:val="18"/>
          <w:lang w:val="ru-RU"/>
        </w:rPr>
        <w:tab/>
      </w:r>
      <w:r w:rsidRPr="00442C17">
        <w:rPr>
          <w:szCs w:val="18"/>
          <w:lang w:val="ru-RU"/>
        </w:rPr>
        <w:t xml:space="preserve">13 мая 2012 года на месте захоронения в Лети близ Писека была проведена мемориальная церемония в память о жертвах из числа рома, которые являлись заключенными лагеря для цыган в Лети; 9 июля 2012 года на территории Мемориального комплекса в Лети по инициативе Канцелярии Правительства было проведено мероприятие в память о жертвах Холокоста рома.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C9" w:rsidRPr="005A734F" w:rsidRDefault="00BD55C9">
    <w:pPr>
      <w:pStyle w:val="Header"/>
      <w:rPr>
        <w:lang w:val="en-US"/>
      </w:rPr>
    </w:pPr>
    <w:r>
      <w:rPr>
        <w:lang w:val="en-US"/>
      </w:rPr>
      <w:t>CERD/C/CZE/10-11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C9" w:rsidRPr="009A6F4A" w:rsidRDefault="00BD55C9">
    <w:pPr>
      <w:pStyle w:val="Header"/>
      <w:rPr>
        <w:lang w:val="en-US"/>
      </w:rPr>
    </w:pPr>
    <w:r>
      <w:rPr>
        <w:lang w:val="en-US"/>
      </w:rPr>
      <w:tab/>
      <w:t>CERD/C/CZE/10-11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8A826D8"/>
    <w:multiLevelType w:val="hybridMultilevel"/>
    <w:tmpl w:val="B092450C"/>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2">
    <w:nsid w:val="4A914F9E"/>
    <w:multiLevelType w:val="hybridMultilevel"/>
    <w:tmpl w:val="1428820C"/>
    <w:lvl w:ilvl="0" w:tplc="BF34B0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8D243ED"/>
    <w:multiLevelType w:val="hybridMultilevel"/>
    <w:tmpl w:val="16FC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3"/>
  </w:num>
  <w:num w:numId="3">
    <w:abstractNumId w:val="16"/>
  </w:num>
  <w:num w:numId="4">
    <w:abstractNumId w:val="18"/>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3"/>
  </w:num>
  <w:num w:numId="19">
    <w:abstractNumId w:val="13"/>
  </w:num>
  <w:num w:numId="20">
    <w:abstractNumId w:val="17"/>
  </w:num>
  <w:num w:numId="21">
    <w:abstractNumId w:val="13"/>
  </w:num>
  <w:num w:numId="22">
    <w:abstractNumId w:val="16"/>
  </w:num>
  <w:num w:numId="23">
    <w:abstractNumId w:val="16"/>
  </w:num>
  <w:num w:numId="24">
    <w:abstractNumId w:val="11"/>
  </w:num>
  <w:num w:numId="25">
    <w:abstractNumId w:val="15"/>
  </w:num>
  <w:num w:numId="26">
    <w:abstractNumId w:val="12"/>
  </w:num>
  <w:num w:numId="27">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0CCB"/>
    <w:rsid w:val="000033D8"/>
    <w:rsid w:val="00005C1C"/>
    <w:rsid w:val="00007A7F"/>
    <w:rsid w:val="00013E31"/>
    <w:rsid w:val="00016553"/>
    <w:rsid w:val="000233B3"/>
    <w:rsid w:val="00023E9E"/>
    <w:rsid w:val="00026B0C"/>
    <w:rsid w:val="00034A16"/>
    <w:rsid w:val="0003638E"/>
    <w:rsid w:val="00036FF2"/>
    <w:rsid w:val="0004010A"/>
    <w:rsid w:val="00040B64"/>
    <w:rsid w:val="00043D88"/>
    <w:rsid w:val="00044A73"/>
    <w:rsid w:val="00046E4D"/>
    <w:rsid w:val="0006401A"/>
    <w:rsid w:val="00072C27"/>
    <w:rsid w:val="00080395"/>
    <w:rsid w:val="00084738"/>
    <w:rsid w:val="00086182"/>
    <w:rsid w:val="00090891"/>
    <w:rsid w:val="00092E62"/>
    <w:rsid w:val="00097975"/>
    <w:rsid w:val="000A3DDF"/>
    <w:rsid w:val="000A60A0"/>
    <w:rsid w:val="000C3688"/>
    <w:rsid w:val="000D6863"/>
    <w:rsid w:val="000F1ED6"/>
    <w:rsid w:val="001025EA"/>
    <w:rsid w:val="0011602B"/>
    <w:rsid w:val="00117AEE"/>
    <w:rsid w:val="00125951"/>
    <w:rsid w:val="00125BA5"/>
    <w:rsid w:val="001463F7"/>
    <w:rsid w:val="0015769C"/>
    <w:rsid w:val="00172FD9"/>
    <w:rsid w:val="00180752"/>
    <w:rsid w:val="00185076"/>
    <w:rsid w:val="0018543C"/>
    <w:rsid w:val="00190231"/>
    <w:rsid w:val="00192ABD"/>
    <w:rsid w:val="00193EDF"/>
    <w:rsid w:val="001A75D5"/>
    <w:rsid w:val="001A7D40"/>
    <w:rsid w:val="001D07F7"/>
    <w:rsid w:val="001D7B8F"/>
    <w:rsid w:val="001E48EE"/>
    <w:rsid w:val="001F25AE"/>
    <w:rsid w:val="001F2D04"/>
    <w:rsid w:val="001F6E56"/>
    <w:rsid w:val="0020059C"/>
    <w:rsid w:val="002019BD"/>
    <w:rsid w:val="00214B51"/>
    <w:rsid w:val="00215297"/>
    <w:rsid w:val="002239A6"/>
    <w:rsid w:val="00232D42"/>
    <w:rsid w:val="00237334"/>
    <w:rsid w:val="0024383C"/>
    <w:rsid w:val="002444F4"/>
    <w:rsid w:val="0025163A"/>
    <w:rsid w:val="002629A0"/>
    <w:rsid w:val="002708AD"/>
    <w:rsid w:val="002719DE"/>
    <w:rsid w:val="00281D17"/>
    <w:rsid w:val="0028492B"/>
    <w:rsid w:val="002917DA"/>
    <w:rsid w:val="00291C8F"/>
    <w:rsid w:val="002A23B5"/>
    <w:rsid w:val="002B43B0"/>
    <w:rsid w:val="002C5036"/>
    <w:rsid w:val="002C6A71"/>
    <w:rsid w:val="002C6D5F"/>
    <w:rsid w:val="002D15EA"/>
    <w:rsid w:val="002D6C07"/>
    <w:rsid w:val="002E0CE6"/>
    <w:rsid w:val="002E1163"/>
    <w:rsid w:val="002E43F3"/>
    <w:rsid w:val="00317DB7"/>
    <w:rsid w:val="003215F5"/>
    <w:rsid w:val="00327AF0"/>
    <w:rsid w:val="00332891"/>
    <w:rsid w:val="00336175"/>
    <w:rsid w:val="003530B9"/>
    <w:rsid w:val="00356BB2"/>
    <w:rsid w:val="00360477"/>
    <w:rsid w:val="00367FC9"/>
    <w:rsid w:val="003711A1"/>
    <w:rsid w:val="00372123"/>
    <w:rsid w:val="00386581"/>
    <w:rsid w:val="00387100"/>
    <w:rsid w:val="003951D3"/>
    <w:rsid w:val="003978C6"/>
    <w:rsid w:val="003B40A9"/>
    <w:rsid w:val="003C016E"/>
    <w:rsid w:val="003C7E3D"/>
    <w:rsid w:val="003D5EBD"/>
    <w:rsid w:val="003E5D88"/>
    <w:rsid w:val="00401CE0"/>
    <w:rsid w:val="00403234"/>
    <w:rsid w:val="00407AC3"/>
    <w:rsid w:val="00414586"/>
    <w:rsid w:val="00414984"/>
    <w:rsid w:val="00415059"/>
    <w:rsid w:val="00424FDD"/>
    <w:rsid w:val="0043033D"/>
    <w:rsid w:val="00435FE4"/>
    <w:rsid w:val="00442C17"/>
    <w:rsid w:val="00457634"/>
    <w:rsid w:val="00474F42"/>
    <w:rsid w:val="00480CE5"/>
    <w:rsid w:val="0048244D"/>
    <w:rsid w:val="004A0DE8"/>
    <w:rsid w:val="004A4CB7"/>
    <w:rsid w:val="004A57B5"/>
    <w:rsid w:val="004B19DA"/>
    <w:rsid w:val="004B392D"/>
    <w:rsid w:val="004B77A8"/>
    <w:rsid w:val="004C2A53"/>
    <w:rsid w:val="004C3B35"/>
    <w:rsid w:val="004C43EC"/>
    <w:rsid w:val="004D0536"/>
    <w:rsid w:val="004E6729"/>
    <w:rsid w:val="004F0C2D"/>
    <w:rsid w:val="004F0E47"/>
    <w:rsid w:val="004F3A7A"/>
    <w:rsid w:val="0051339C"/>
    <w:rsid w:val="0051412F"/>
    <w:rsid w:val="00522B6F"/>
    <w:rsid w:val="0052430E"/>
    <w:rsid w:val="00525E45"/>
    <w:rsid w:val="005276AD"/>
    <w:rsid w:val="00540A9A"/>
    <w:rsid w:val="00543522"/>
    <w:rsid w:val="00545680"/>
    <w:rsid w:val="00556887"/>
    <w:rsid w:val="0056618E"/>
    <w:rsid w:val="00576F59"/>
    <w:rsid w:val="00577A34"/>
    <w:rsid w:val="00580AAD"/>
    <w:rsid w:val="00581786"/>
    <w:rsid w:val="0058530E"/>
    <w:rsid w:val="00593A04"/>
    <w:rsid w:val="005965BB"/>
    <w:rsid w:val="005A6D5A"/>
    <w:rsid w:val="005B1B28"/>
    <w:rsid w:val="005B29CB"/>
    <w:rsid w:val="005B7D51"/>
    <w:rsid w:val="005B7F35"/>
    <w:rsid w:val="005C2081"/>
    <w:rsid w:val="005C2A60"/>
    <w:rsid w:val="005C678A"/>
    <w:rsid w:val="005C67CB"/>
    <w:rsid w:val="005D2425"/>
    <w:rsid w:val="005D346D"/>
    <w:rsid w:val="005D5877"/>
    <w:rsid w:val="005E74AB"/>
    <w:rsid w:val="005F0720"/>
    <w:rsid w:val="006043B4"/>
    <w:rsid w:val="0060689E"/>
    <w:rsid w:val="00606A3E"/>
    <w:rsid w:val="006115AA"/>
    <w:rsid w:val="006120AE"/>
    <w:rsid w:val="00635E86"/>
    <w:rsid w:val="00636A37"/>
    <w:rsid w:val="0064111B"/>
    <w:rsid w:val="006501A5"/>
    <w:rsid w:val="006567B2"/>
    <w:rsid w:val="0065697E"/>
    <w:rsid w:val="0066153C"/>
    <w:rsid w:val="00662ADE"/>
    <w:rsid w:val="00664106"/>
    <w:rsid w:val="006756F1"/>
    <w:rsid w:val="00677773"/>
    <w:rsid w:val="006805FC"/>
    <w:rsid w:val="00691374"/>
    <w:rsid w:val="006926C7"/>
    <w:rsid w:val="00694C37"/>
    <w:rsid w:val="006A1BEB"/>
    <w:rsid w:val="006A401C"/>
    <w:rsid w:val="006A7C6E"/>
    <w:rsid w:val="006B23D9"/>
    <w:rsid w:val="006C1814"/>
    <w:rsid w:val="006C2F45"/>
    <w:rsid w:val="006C361A"/>
    <w:rsid w:val="006C5657"/>
    <w:rsid w:val="006D5E4E"/>
    <w:rsid w:val="006E6860"/>
    <w:rsid w:val="006E7183"/>
    <w:rsid w:val="006F210B"/>
    <w:rsid w:val="006F5FBF"/>
    <w:rsid w:val="0070327E"/>
    <w:rsid w:val="00707B5F"/>
    <w:rsid w:val="00735602"/>
    <w:rsid w:val="007412CE"/>
    <w:rsid w:val="007511D7"/>
    <w:rsid w:val="0075279B"/>
    <w:rsid w:val="00753748"/>
    <w:rsid w:val="007544BE"/>
    <w:rsid w:val="00762446"/>
    <w:rsid w:val="00781ACB"/>
    <w:rsid w:val="00782828"/>
    <w:rsid w:val="007A1829"/>
    <w:rsid w:val="007A79EB"/>
    <w:rsid w:val="007B3DC5"/>
    <w:rsid w:val="007B78D7"/>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5E"/>
    <w:rsid w:val="00847689"/>
    <w:rsid w:val="0086169A"/>
    <w:rsid w:val="00861C52"/>
    <w:rsid w:val="008727A1"/>
    <w:rsid w:val="00886B0F"/>
    <w:rsid w:val="00891C08"/>
    <w:rsid w:val="008A143A"/>
    <w:rsid w:val="008A3879"/>
    <w:rsid w:val="008A5FA8"/>
    <w:rsid w:val="008A7575"/>
    <w:rsid w:val="008B5F47"/>
    <w:rsid w:val="008B61D7"/>
    <w:rsid w:val="008C7B87"/>
    <w:rsid w:val="008D3E2F"/>
    <w:rsid w:val="008D6A7A"/>
    <w:rsid w:val="008E3E87"/>
    <w:rsid w:val="008E7F13"/>
    <w:rsid w:val="008F3185"/>
    <w:rsid w:val="00905871"/>
    <w:rsid w:val="00915B0A"/>
    <w:rsid w:val="00925557"/>
    <w:rsid w:val="00926904"/>
    <w:rsid w:val="009274DE"/>
    <w:rsid w:val="009372F0"/>
    <w:rsid w:val="00955022"/>
    <w:rsid w:val="00957B4D"/>
    <w:rsid w:val="00964EEA"/>
    <w:rsid w:val="00980C86"/>
    <w:rsid w:val="009B1835"/>
    <w:rsid w:val="009B1D9B"/>
    <w:rsid w:val="009B4074"/>
    <w:rsid w:val="009C30BB"/>
    <w:rsid w:val="009C60BE"/>
    <w:rsid w:val="009C6F8B"/>
    <w:rsid w:val="009E4302"/>
    <w:rsid w:val="009E6279"/>
    <w:rsid w:val="009F00A6"/>
    <w:rsid w:val="009F56A7"/>
    <w:rsid w:val="009F5B05"/>
    <w:rsid w:val="00A026CA"/>
    <w:rsid w:val="00A07232"/>
    <w:rsid w:val="00A14800"/>
    <w:rsid w:val="00A156DE"/>
    <w:rsid w:val="00A157ED"/>
    <w:rsid w:val="00A167F4"/>
    <w:rsid w:val="00A2446A"/>
    <w:rsid w:val="00A4025D"/>
    <w:rsid w:val="00A41F10"/>
    <w:rsid w:val="00A558B2"/>
    <w:rsid w:val="00A800D1"/>
    <w:rsid w:val="00A92699"/>
    <w:rsid w:val="00AB0B64"/>
    <w:rsid w:val="00AB5BF0"/>
    <w:rsid w:val="00AC1C95"/>
    <w:rsid w:val="00AC2CCB"/>
    <w:rsid w:val="00AC443A"/>
    <w:rsid w:val="00AD677D"/>
    <w:rsid w:val="00AD7217"/>
    <w:rsid w:val="00AE60E2"/>
    <w:rsid w:val="00B0169F"/>
    <w:rsid w:val="00B05F21"/>
    <w:rsid w:val="00B14EA9"/>
    <w:rsid w:val="00B30A3C"/>
    <w:rsid w:val="00B6316D"/>
    <w:rsid w:val="00B7014E"/>
    <w:rsid w:val="00B73D47"/>
    <w:rsid w:val="00B81305"/>
    <w:rsid w:val="00B8411D"/>
    <w:rsid w:val="00BB17DC"/>
    <w:rsid w:val="00BB1AF9"/>
    <w:rsid w:val="00BB2D63"/>
    <w:rsid w:val="00BB4C4A"/>
    <w:rsid w:val="00BB7F25"/>
    <w:rsid w:val="00BC3D52"/>
    <w:rsid w:val="00BD3CAE"/>
    <w:rsid w:val="00BD55C9"/>
    <w:rsid w:val="00BD5F3C"/>
    <w:rsid w:val="00BE6106"/>
    <w:rsid w:val="00C0446B"/>
    <w:rsid w:val="00C07C0F"/>
    <w:rsid w:val="00C145C4"/>
    <w:rsid w:val="00C20D2F"/>
    <w:rsid w:val="00C2131B"/>
    <w:rsid w:val="00C3125F"/>
    <w:rsid w:val="00C37AF8"/>
    <w:rsid w:val="00C37C79"/>
    <w:rsid w:val="00C41BBC"/>
    <w:rsid w:val="00C51419"/>
    <w:rsid w:val="00C54056"/>
    <w:rsid w:val="00C64AFC"/>
    <w:rsid w:val="00C663A3"/>
    <w:rsid w:val="00C753EC"/>
    <w:rsid w:val="00C75CB2"/>
    <w:rsid w:val="00C90723"/>
    <w:rsid w:val="00C90D5C"/>
    <w:rsid w:val="00CA609E"/>
    <w:rsid w:val="00CA63AB"/>
    <w:rsid w:val="00CA7DA4"/>
    <w:rsid w:val="00CB31FB"/>
    <w:rsid w:val="00CB796C"/>
    <w:rsid w:val="00CC2DDF"/>
    <w:rsid w:val="00CD3ECD"/>
    <w:rsid w:val="00CE3D6F"/>
    <w:rsid w:val="00CE79A5"/>
    <w:rsid w:val="00CF0042"/>
    <w:rsid w:val="00CF262F"/>
    <w:rsid w:val="00CF75BD"/>
    <w:rsid w:val="00D025D5"/>
    <w:rsid w:val="00D24875"/>
    <w:rsid w:val="00D26B13"/>
    <w:rsid w:val="00D26CC1"/>
    <w:rsid w:val="00D30662"/>
    <w:rsid w:val="00D32A0B"/>
    <w:rsid w:val="00D577AF"/>
    <w:rsid w:val="00D6236B"/>
    <w:rsid w:val="00D809D1"/>
    <w:rsid w:val="00D81239"/>
    <w:rsid w:val="00D84ECF"/>
    <w:rsid w:val="00D853D0"/>
    <w:rsid w:val="00D90CCB"/>
    <w:rsid w:val="00DA2851"/>
    <w:rsid w:val="00DA2B7C"/>
    <w:rsid w:val="00DA5686"/>
    <w:rsid w:val="00DB2FC0"/>
    <w:rsid w:val="00DC5DFF"/>
    <w:rsid w:val="00DC758C"/>
    <w:rsid w:val="00DF18FA"/>
    <w:rsid w:val="00DF2612"/>
    <w:rsid w:val="00DF49CA"/>
    <w:rsid w:val="00DF775B"/>
    <w:rsid w:val="00E007F3"/>
    <w:rsid w:val="00E00DEA"/>
    <w:rsid w:val="00E06EF0"/>
    <w:rsid w:val="00E11679"/>
    <w:rsid w:val="00E154CA"/>
    <w:rsid w:val="00E23705"/>
    <w:rsid w:val="00E307D1"/>
    <w:rsid w:val="00E46A04"/>
    <w:rsid w:val="00E46DE5"/>
    <w:rsid w:val="00E54AEB"/>
    <w:rsid w:val="00E717F3"/>
    <w:rsid w:val="00E72C5E"/>
    <w:rsid w:val="00E73451"/>
    <w:rsid w:val="00E7489F"/>
    <w:rsid w:val="00E75147"/>
    <w:rsid w:val="00E8167D"/>
    <w:rsid w:val="00E907E9"/>
    <w:rsid w:val="00E95D7E"/>
    <w:rsid w:val="00E96BE7"/>
    <w:rsid w:val="00EA2CD0"/>
    <w:rsid w:val="00EA4F68"/>
    <w:rsid w:val="00EA7713"/>
    <w:rsid w:val="00EC0044"/>
    <w:rsid w:val="00EC6B9F"/>
    <w:rsid w:val="00EE516D"/>
    <w:rsid w:val="00EF4D1B"/>
    <w:rsid w:val="00EF5F5D"/>
    <w:rsid w:val="00EF7295"/>
    <w:rsid w:val="00F069D1"/>
    <w:rsid w:val="00F11C08"/>
    <w:rsid w:val="00F1503D"/>
    <w:rsid w:val="00F22712"/>
    <w:rsid w:val="00F275F5"/>
    <w:rsid w:val="00F33188"/>
    <w:rsid w:val="00F35BDE"/>
    <w:rsid w:val="00F52A0E"/>
    <w:rsid w:val="00F622A8"/>
    <w:rsid w:val="00F71F63"/>
    <w:rsid w:val="00F87506"/>
    <w:rsid w:val="00F92C41"/>
    <w:rsid w:val="00FA5522"/>
    <w:rsid w:val="00FA6E4A"/>
    <w:rsid w:val="00FB2B35"/>
    <w:rsid w:val="00FB5360"/>
    <w:rsid w:val="00FB5A26"/>
    <w:rsid w:val="00FC4AE1"/>
    <w:rsid w:val="00FD7565"/>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hl/monitoring/execution/Reports/pendingCases_en.asp?%20CaseTitleOrNumber=57325%2F00&amp;StateCode=CZE&amp;SectionCo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Pages>
  <Words>25381</Words>
  <Characters>174117</Characters>
  <Application>Microsoft Office Outlook</Application>
  <DocSecurity>4</DocSecurity>
  <Lines>2901</Lines>
  <Paragraphs>267</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199231</CharactersWithSpaces>
  <SharedDoc>false</SharedDoc>
  <HLinks>
    <vt:vector size="6" baseType="variant">
      <vt:variant>
        <vt:i4>7667741</vt:i4>
      </vt:variant>
      <vt:variant>
        <vt:i4>0</vt:i4>
      </vt:variant>
      <vt:variant>
        <vt:i4>0</vt:i4>
      </vt:variant>
      <vt:variant>
        <vt:i4>5</vt:i4>
      </vt:variant>
      <vt:variant>
        <vt:lpwstr>http://www.coe.int/t/dghl/monitoring/execution/Reports/pendingCases_en.asp?%20CaseTitleOrNumber=57325%2F00&amp;StateCode=CZE&amp;SectionCode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Ирина Сафонова</dc:creator>
  <cp:keywords/>
  <dc:description/>
  <cp:lastModifiedBy>Ирина Сафонова</cp:lastModifiedBy>
  <cp:revision>3</cp:revision>
  <cp:lastPrinted>2014-10-03T11:36:00Z</cp:lastPrinted>
  <dcterms:created xsi:type="dcterms:W3CDTF">2014-10-03T11:36:00Z</dcterms:created>
  <dcterms:modified xsi:type="dcterms:W3CDTF">2014-10-03T11:36:00Z</dcterms:modified>
</cp:coreProperties>
</file>