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077437" w:rsidRPr="00077437" w14:paraId="793A0EFA" w14:textId="77777777" w:rsidTr="00E56EE3">
        <w:trPr>
          <w:trHeight w:hRule="exact" w:val="851"/>
        </w:trPr>
        <w:tc>
          <w:tcPr>
            <w:tcW w:w="1280" w:type="dxa"/>
            <w:tcBorders>
              <w:bottom w:val="single" w:sz="4" w:space="0" w:color="auto"/>
            </w:tcBorders>
            <w:shd w:val="clear" w:color="auto" w:fill="auto"/>
          </w:tcPr>
          <w:p w14:paraId="2D12147B" w14:textId="77777777" w:rsidR="002D5AAC" w:rsidRPr="00077437" w:rsidRDefault="002D5AAC" w:rsidP="00E56EE3"/>
        </w:tc>
        <w:tc>
          <w:tcPr>
            <w:tcW w:w="2273" w:type="dxa"/>
            <w:tcBorders>
              <w:bottom w:val="single" w:sz="4" w:space="0" w:color="auto"/>
            </w:tcBorders>
            <w:shd w:val="clear" w:color="auto" w:fill="auto"/>
            <w:vAlign w:val="bottom"/>
          </w:tcPr>
          <w:p w14:paraId="29A87A18" w14:textId="77777777" w:rsidR="002D5AAC" w:rsidRPr="00077437" w:rsidRDefault="00426D34" w:rsidP="00E56EE3">
            <w:pPr>
              <w:spacing w:after="80" w:line="300" w:lineRule="exact"/>
              <w:rPr>
                <w:sz w:val="28"/>
              </w:rPr>
            </w:pPr>
            <w:r w:rsidRPr="00077437">
              <w:rPr>
                <w:sz w:val="28"/>
              </w:rPr>
              <w:t>Naciones Unidas</w:t>
            </w:r>
          </w:p>
        </w:tc>
        <w:tc>
          <w:tcPr>
            <w:tcW w:w="6086" w:type="dxa"/>
            <w:gridSpan w:val="2"/>
            <w:tcBorders>
              <w:bottom w:val="single" w:sz="4" w:space="0" w:color="auto"/>
            </w:tcBorders>
            <w:shd w:val="clear" w:color="auto" w:fill="auto"/>
            <w:vAlign w:val="bottom"/>
          </w:tcPr>
          <w:p w14:paraId="3F60A22B" w14:textId="77777777" w:rsidR="002D5AAC" w:rsidRPr="00077437" w:rsidRDefault="00426D34" w:rsidP="00077437">
            <w:pPr>
              <w:jc w:val="right"/>
            </w:pPr>
            <w:bookmarkStart w:id="0" w:name="_Hlk28247228"/>
            <w:proofErr w:type="spellStart"/>
            <w:r w:rsidRPr="00077437">
              <w:rPr>
                <w:sz w:val="40"/>
              </w:rPr>
              <w:t>CRPD</w:t>
            </w:r>
            <w:proofErr w:type="spellEnd"/>
            <w:r w:rsidR="00935A0B" w:rsidRPr="00077437">
              <w:t>/C/VEN/</w:t>
            </w:r>
            <w:proofErr w:type="spellStart"/>
            <w:r w:rsidR="00077437" w:rsidRPr="00077437">
              <w:t>R</w:t>
            </w:r>
            <w:r w:rsidR="00935A0B" w:rsidRPr="00077437">
              <w:t>Q</w:t>
            </w:r>
            <w:proofErr w:type="spellEnd"/>
            <w:r w:rsidR="00935A0B" w:rsidRPr="00077437">
              <w:t>/1</w:t>
            </w:r>
            <w:bookmarkEnd w:id="0"/>
          </w:p>
        </w:tc>
      </w:tr>
      <w:tr w:rsidR="00077437" w:rsidRPr="00077437" w14:paraId="01CBC756" w14:textId="77777777" w:rsidTr="00E56EE3">
        <w:trPr>
          <w:trHeight w:hRule="exact" w:val="2835"/>
        </w:trPr>
        <w:tc>
          <w:tcPr>
            <w:tcW w:w="1280" w:type="dxa"/>
            <w:tcBorders>
              <w:top w:val="single" w:sz="4" w:space="0" w:color="auto"/>
              <w:bottom w:val="single" w:sz="12" w:space="0" w:color="auto"/>
            </w:tcBorders>
            <w:shd w:val="clear" w:color="auto" w:fill="auto"/>
          </w:tcPr>
          <w:p w14:paraId="435D9856" w14:textId="77777777" w:rsidR="002D5AAC" w:rsidRPr="00077437" w:rsidRDefault="00426D34" w:rsidP="00E56EE3">
            <w:pPr>
              <w:spacing w:before="120"/>
              <w:jc w:val="center"/>
            </w:pPr>
            <w:r w:rsidRPr="00077437">
              <w:rPr>
                <w:noProof/>
                <w:lang w:val="en-GB" w:eastAsia="en-GB"/>
              </w:rPr>
              <w:drawing>
                <wp:inline distT="0" distB="0" distL="0" distR="0" wp14:anchorId="33B70638" wp14:editId="0F764F0A">
                  <wp:extent cx="716280" cy="586740"/>
                  <wp:effectExtent l="0" t="0" r="0" b="0"/>
                  <wp:docPr id="2"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3517527"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16280" cy="58674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shd w:val="clear" w:color="auto" w:fill="auto"/>
          </w:tcPr>
          <w:p w14:paraId="78A9FD78" w14:textId="77777777" w:rsidR="002D5AAC" w:rsidRPr="00077437" w:rsidRDefault="00426D34" w:rsidP="00CC3501">
            <w:pPr>
              <w:spacing w:before="120" w:line="360" w:lineRule="exact"/>
              <w:rPr>
                <w:b/>
                <w:sz w:val="34"/>
                <w:szCs w:val="34"/>
              </w:rPr>
            </w:pPr>
            <w:r w:rsidRPr="00077437">
              <w:rPr>
                <w:b/>
                <w:sz w:val="34"/>
                <w:szCs w:val="34"/>
              </w:rPr>
              <w:t>Convención sobre los Derechos</w:t>
            </w:r>
            <w:r w:rsidRPr="00077437">
              <w:rPr>
                <w:b/>
                <w:sz w:val="34"/>
                <w:szCs w:val="34"/>
              </w:rPr>
              <w:br/>
              <w:t>de las Personas con Discapacidad</w:t>
            </w:r>
          </w:p>
        </w:tc>
        <w:tc>
          <w:tcPr>
            <w:tcW w:w="2819" w:type="dxa"/>
            <w:tcBorders>
              <w:top w:val="single" w:sz="4" w:space="0" w:color="auto"/>
              <w:bottom w:val="single" w:sz="12" w:space="0" w:color="auto"/>
            </w:tcBorders>
            <w:shd w:val="clear" w:color="auto" w:fill="auto"/>
          </w:tcPr>
          <w:p w14:paraId="2C6DE9D1" w14:textId="77777777" w:rsidR="00935A0B" w:rsidRPr="00077437" w:rsidRDefault="00426D34" w:rsidP="00935A0B">
            <w:pPr>
              <w:spacing w:before="240" w:line="240" w:lineRule="exact"/>
            </w:pPr>
            <w:proofErr w:type="spellStart"/>
            <w:r w:rsidRPr="00077437">
              <w:t>Distr</w:t>
            </w:r>
            <w:proofErr w:type="spellEnd"/>
            <w:r w:rsidRPr="00077437">
              <w:t xml:space="preserve">. </w:t>
            </w:r>
            <w:r w:rsidR="006551F6" w:rsidRPr="00077437">
              <w:t>general</w:t>
            </w:r>
          </w:p>
          <w:p w14:paraId="0FAFCF45" w14:textId="77777777" w:rsidR="001734EB" w:rsidRPr="00077437" w:rsidRDefault="0004528E" w:rsidP="00935A0B">
            <w:r>
              <w:t>30</w:t>
            </w:r>
            <w:r w:rsidR="00426D34" w:rsidRPr="00077437">
              <w:t xml:space="preserve"> de diciembre de 2019</w:t>
            </w:r>
          </w:p>
          <w:p w14:paraId="66AF4376" w14:textId="77777777" w:rsidR="00E26E90" w:rsidRPr="00077437" w:rsidRDefault="00E26E90" w:rsidP="00935A0B"/>
          <w:p w14:paraId="6CBBE4F3" w14:textId="77777777" w:rsidR="00935A0B" w:rsidRPr="00077437" w:rsidRDefault="00426D34" w:rsidP="00935A0B">
            <w:r w:rsidRPr="00077437">
              <w:t>Original: español</w:t>
            </w:r>
          </w:p>
          <w:p w14:paraId="7F4B2B5F" w14:textId="77777777" w:rsidR="002D5AAC" w:rsidRPr="00077437" w:rsidRDefault="00935A0B" w:rsidP="00935A0B">
            <w:pPr>
              <w:spacing w:line="240" w:lineRule="exact"/>
            </w:pPr>
            <w:r w:rsidRPr="00077437">
              <w:t>Español, inglés y ruso únicamente</w:t>
            </w:r>
          </w:p>
        </w:tc>
      </w:tr>
    </w:tbl>
    <w:p w14:paraId="01AAF068" w14:textId="77777777" w:rsidR="001A4396" w:rsidRDefault="00426D34" w:rsidP="001A4396">
      <w:pPr>
        <w:spacing w:before="120"/>
        <w:rPr>
          <w:b/>
          <w:sz w:val="24"/>
          <w:szCs w:val="24"/>
        </w:rPr>
      </w:pPr>
      <w:r w:rsidRPr="00077437">
        <w:rPr>
          <w:b/>
          <w:sz w:val="24"/>
          <w:szCs w:val="24"/>
        </w:rPr>
        <w:t>Comité sobre los Derechos de las Personas con Discapacidad</w:t>
      </w:r>
    </w:p>
    <w:p w14:paraId="15D5882C" w14:textId="77777777" w:rsidR="00AB0964" w:rsidRPr="00077437" w:rsidRDefault="00AB0964" w:rsidP="00AB0964">
      <w:pPr>
        <w:rPr>
          <w:b/>
        </w:rPr>
      </w:pPr>
      <w:proofErr w:type="spellStart"/>
      <w:r w:rsidRPr="00077437">
        <w:rPr>
          <w:b/>
        </w:rPr>
        <w:t>23</w:t>
      </w:r>
      <w:r w:rsidRPr="00077437">
        <w:rPr>
          <w:b/>
          <w:vertAlign w:val="superscript"/>
        </w:rPr>
        <w:t>er</w:t>
      </w:r>
      <w:proofErr w:type="spellEnd"/>
      <w:r w:rsidRPr="00077437">
        <w:rPr>
          <w:b/>
        </w:rPr>
        <w:t xml:space="preserve"> período de sesiones</w:t>
      </w:r>
    </w:p>
    <w:p w14:paraId="3BD5C7E9" w14:textId="77777777" w:rsidR="00AB0964" w:rsidRPr="00077437" w:rsidRDefault="00AB0964" w:rsidP="00AB0964">
      <w:r>
        <w:t>9</w:t>
      </w:r>
      <w:r w:rsidRPr="00077437">
        <w:t xml:space="preserve"> a </w:t>
      </w:r>
      <w:r>
        <w:t>27</w:t>
      </w:r>
      <w:r w:rsidRPr="00077437">
        <w:t xml:space="preserve"> de marzo de 20</w:t>
      </w:r>
      <w:r>
        <w:t>20</w:t>
      </w:r>
    </w:p>
    <w:p w14:paraId="13631640" w14:textId="77777777" w:rsidR="00AB0964" w:rsidRPr="00077437" w:rsidRDefault="00AB0964" w:rsidP="00AB0964">
      <w:r w:rsidRPr="00077437">
        <w:t xml:space="preserve">Tema </w:t>
      </w:r>
      <w:r>
        <w:t>5</w:t>
      </w:r>
      <w:r w:rsidRPr="00077437">
        <w:t xml:space="preserve"> del programa provisional</w:t>
      </w:r>
    </w:p>
    <w:p w14:paraId="5B594607" w14:textId="77777777" w:rsidR="00AB0964" w:rsidRPr="00077437" w:rsidRDefault="00AB0964" w:rsidP="00AB0964">
      <w:pPr>
        <w:rPr>
          <w:b/>
          <w:sz w:val="24"/>
          <w:szCs w:val="24"/>
        </w:rPr>
      </w:pPr>
      <w:r w:rsidRPr="00077437">
        <w:rPr>
          <w:b/>
        </w:rPr>
        <w:t>Examen de los informes presentados por las partes</w:t>
      </w:r>
      <w:r w:rsidRPr="00077437">
        <w:rPr>
          <w:b/>
        </w:rPr>
        <w:br/>
        <w:t>en la Convención en virtud del artículo 35</w:t>
      </w:r>
    </w:p>
    <w:p w14:paraId="0AE05DE7" w14:textId="77777777" w:rsidR="003B4D5D" w:rsidRPr="00077437" w:rsidRDefault="00426D34" w:rsidP="00054D51">
      <w:pPr>
        <w:pStyle w:val="HMG"/>
      </w:pPr>
      <w:r w:rsidRPr="00077437">
        <w:tab/>
      </w:r>
      <w:r w:rsidRPr="00077437">
        <w:tab/>
      </w:r>
      <w:r w:rsidR="00435DA5" w:rsidRPr="00077437">
        <w:rPr>
          <w:lang w:val="es-ES_tradnl"/>
        </w:rPr>
        <w:t>Respuestas de la República Bolivariana de</w:t>
      </w:r>
      <w:r w:rsidR="0004528E">
        <w:rPr>
          <w:lang w:val="es-ES_tradnl"/>
        </w:rPr>
        <w:t> </w:t>
      </w:r>
      <w:r w:rsidR="00435DA5" w:rsidRPr="00077437">
        <w:rPr>
          <w:lang w:val="es-ES_tradnl"/>
        </w:rPr>
        <w:t xml:space="preserve">Venezuela a la lista de cuestiones </w:t>
      </w:r>
      <w:r w:rsidRPr="00077437">
        <w:rPr>
          <w:lang w:val="es-ES_tradnl"/>
        </w:rPr>
        <w:t>relativa</w:t>
      </w:r>
      <w:r w:rsidR="0004528E">
        <w:t> </w:t>
      </w:r>
      <w:r w:rsidRPr="00077437">
        <w:t>a</w:t>
      </w:r>
      <w:r w:rsidR="0004528E">
        <w:t> </w:t>
      </w:r>
      <w:r w:rsidR="00435DA5">
        <w:t>su</w:t>
      </w:r>
      <w:r w:rsidR="0004528E">
        <w:t> </w:t>
      </w:r>
      <w:r w:rsidRPr="00077437">
        <w:t>informe inicial</w:t>
      </w:r>
      <w:r w:rsidR="0004528E" w:rsidRPr="00054D51">
        <w:rPr>
          <w:rStyle w:val="Refdenotaalpie"/>
          <w:b w:val="0"/>
          <w:sz w:val="20"/>
          <w:vertAlign w:val="baseline"/>
        </w:rPr>
        <w:footnoteReference w:customMarkFollows="1" w:id="1"/>
        <w:t>*</w:t>
      </w:r>
    </w:p>
    <w:p w14:paraId="5C7F14D9" w14:textId="77777777" w:rsidR="003B4D5D" w:rsidRPr="00077437" w:rsidRDefault="00426D34" w:rsidP="003B4D5D">
      <w:pPr>
        <w:pStyle w:val="SingleTxtG"/>
        <w:jc w:val="right"/>
      </w:pPr>
      <w:r w:rsidRPr="00077437">
        <w:t>[</w:t>
      </w:r>
      <w:r w:rsidRPr="00077437">
        <w:rPr>
          <w:lang w:val="es-ES_tradnl"/>
        </w:rPr>
        <w:t>Fecha de recepción:</w:t>
      </w:r>
      <w:r w:rsidRPr="00077437">
        <w:t xml:space="preserve"> </w:t>
      </w:r>
      <w:r w:rsidR="00077437" w:rsidRPr="00077437">
        <w:rPr>
          <w:lang w:val="es-ES_tradnl"/>
        </w:rPr>
        <w:t>18</w:t>
      </w:r>
      <w:r w:rsidRPr="00077437">
        <w:rPr>
          <w:lang w:val="es-ES_tradnl"/>
        </w:rPr>
        <w:t xml:space="preserve"> de </w:t>
      </w:r>
      <w:r w:rsidR="00077437" w:rsidRPr="00077437">
        <w:t xml:space="preserve">diciembre </w:t>
      </w:r>
      <w:r w:rsidRPr="00077437">
        <w:rPr>
          <w:lang w:val="es-ES_tradnl"/>
        </w:rPr>
        <w:t xml:space="preserve">de </w:t>
      </w:r>
      <w:r w:rsidR="008D3F2A" w:rsidRPr="00077437">
        <w:rPr>
          <w:lang w:val="es-ES_tradnl"/>
        </w:rPr>
        <w:t>20</w:t>
      </w:r>
      <w:r w:rsidR="00F30DC8">
        <w:rPr>
          <w:lang w:val="es-ES_tradnl"/>
        </w:rPr>
        <w:t>19</w:t>
      </w:r>
      <w:r w:rsidRPr="00077437">
        <w:t>]</w:t>
      </w:r>
    </w:p>
    <w:p w14:paraId="124FAFF0" w14:textId="77777777" w:rsidR="001734EB" w:rsidRPr="00077437" w:rsidRDefault="00426D34" w:rsidP="00054D51">
      <w:pPr>
        <w:pStyle w:val="H1G"/>
        <w:rPr>
          <w:lang w:val="es-VE"/>
        </w:rPr>
      </w:pPr>
      <w:r w:rsidRPr="00077437">
        <w:br w:type="page"/>
      </w:r>
      <w:r w:rsidR="00A27241">
        <w:lastRenderedPageBreak/>
        <w:tab/>
      </w:r>
      <w:r w:rsidR="001734EB" w:rsidRPr="00077437">
        <w:rPr>
          <w:lang w:val="es-VE"/>
        </w:rPr>
        <w:t>A.</w:t>
      </w:r>
      <w:r w:rsidR="009420E0" w:rsidRPr="00077437">
        <w:rPr>
          <w:lang w:val="es-VE"/>
        </w:rPr>
        <w:tab/>
      </w:r>
      <w:r w:rsidR="001734EB" w:rsidRPr="00077437">
        <w:rPr>
          <w:lang w:val="es-VE"/>
        </w:rPr>
        <w:t>Propósito y obligaciones generales (art. 1 a 4)</w:t>
      </w:r>
    </w:p>
    <w:p w14:paraId="161D3B45" w14:textId="77777777" w:rsidR="001734EB" w:rsidRPr="00077437" w:rsidRDefault="00A27241" w:rsidP="00054D51">
      <w:pPr>
        <w:pStyle w:val="H1G"/>
        <w:rPr>
          <w:lang w:val="es-VE"/>
        </w:rPr>
      </w:pPr>
      <w:r>
        <w:tab/>
      </w:r>
      <w:r>
        <w:tab/>
      </w:r>
      <w:r w:rsidR="00C154C7" w:rsidRPr="00F96454">
        <w:t xml:space="preserve">Respuesta </w:t>
      </w:r>
      <w:r w:rsidR="00C154C7">
        <w:t xml:space="preserve">a la </w:t>
      </w:r>
      <w:r w:rsidR="00C154C7" w:rsidRPr="00F96454">
        <w:t>cuestión</w:t>
      </w:r>
      <w:r w:rsidR="001734EB" w:rsidRPr="00077437">
        <w:rPr>
          <w:lang w:val="es-VE"/>
        </w:rPr>
        <w:t xml:space="preserve"> 1</w:t>
      </w:r>
      <w:r w:rsidR="00C154C7" w:rsidRPr="00C154C7">
        <w:t xml:space="preserve"> </w:t>
      </w:r>
      <w:r w:rsidR="00C154C7" w:rsidRPr="00F96454">
        <w:t>de la lista de cuestiones</w:t>
      </w:r>
      <w:r>
        <w:br/>
      </w:r>
      <w:proofErr w:type="spellStart"/>
      <w:r w:rsidR="00C154C7">
        <w:t>CRPD</w:t>
      </w:r>
      <w:proofErr w:type="spellEnd"/>
      <w:r w:rsidR="00C154C7">
        <w:t>/C/VEN/Q/1</w:t>
      </w:r>
    </w:p>
    <w:p w14:paraId="7A777891" w14:textId="77777777" w:rsidR="001734EB" w:rsidRPr="00077437" w:rsidRDefault="00A27241" w:rsidP="00054D51">
      <w:pPr>
        <w:pStyle w:val="SingleTxtG"/>
        <w:rPr>
          <w:lang w:val="es-VE"/>
        </w:rPr>
      </w:pPr>
      <w:r>
        <w:rPr>
          <w:lang w:val="es-VE"/>
        </w:rPr>
        <w:t>1.</w:t>
      </w:r>
      <w:r>
        <w:rPr>
          <w:lang w:val="es-VE"/>
        </w:rPr>
        <w:tab/>
      </w:r>
      <w:r w:rsidR="001734EB" w:rsidRPr="00077437">
        <w:rPr>
          <w:lang w:val="es-VE"/>
        </w:rPr>
        <w:t>La República Bolivariana de Venezuela (</w:t>
      </w:r>
      <w:proofErr w:type="spellStart"/>
      <w:r w:rsidR="001734EB" w:rsidRPr="00077437">
        <w:rPr>
          <w:lang w:val="es-VE"/>
        </w:rPr>
        <w:t>RBV</w:t>
      </w:r>
      <w:proofErr w:type="spellEnd"/>
      <w:r w:rsidR="001734EB" w:rsidRPr="00077437">
        <w:rPr>
          <w:lang w:val="es-VE"/>
        </w:rPr>
        <w:t>) se encuentra sometida a una agresión multiforme por parte del gobierno de los Estados Unidos de América que genera consecuencias negativas en el disfrute de los derechos humanos de la población venezolana, con especial impacto en las personas con discapacidad (</w:t>
      </w:r>
      <w:proofErr w:type="spellStart"/>
      <w:r w:rsidR="001734EB" w:rsidRPr="00077437">
        <w:rPr>
          <w:lang w:val="es-VE"/>
        </w:rPr>
        <w:t>PcD</w:t>
      </w:r>
      <w:proofErr w:type="spellEnd"/>
      <w:r w:rsidR="001734EB" w:rsidRPr="00077437">
        <w:rPr>
          <w:lang w:val="es-VE"/>
        </w:rPr>
        <w:t xml:space="preserve">). </w:t>
      </w:r>
    </w:p>
    <w:p w14:paraId="54593CD9" w14:textId="77777777" w:rsidR="001734EB" w:rsidRPr="00077437" w:rsidRDefault="00A27241" w:rsidP="00054D51">
      <w:pPr>
        <w:pStyle w:val="SingleTxtG"/>
        <w:rPr>
          <w:lang w:val="es-VE"/>
        </w:rPr>
      </w:pPr>
      <w:r>
        <w:rPr>
          <w:lang w:val="es-VE"/>
        </w:rPr>
        <w:t>2.</w:t>
      </w:r>
      <w:r>
        <w:rPr>
          <w:lang w:val="es-VE"/>
        </w:rPr>
        <w:tab/>
      </w:r>
      <w:r w:rsidR="001734EB" w:rsidRPr="00077437">
        <w:rPr>
          <w:lang w:val="es-VE"/>
        </w:rPr>
        <w:t>La modalidad de la agresión contra Venezuela incluye la adopción de medidas coercitivas unilaterales, cuyo impacto ha sido documentado por el Consejo de Derechos Humanos, el Relator Especial sobre repercusiones negativas de las medidas coercitivas unilaterales en el disfrute de los derechos humanos</w:t>
      </w:r>
      <w:r w:rsidR="001734EB" w:rsidRPr="00054D51">
        <w:rPr>
          <w:sz w:val="18"/>
          <w:vertAlign w:val="superscript"/>
          <w:lang w:val="es-VE"/>
        </w:rPr>
        <w:footnoteReference w:id="2"/>
      </w:r>
      <w:r w:rsidR="001734EB" w:rsidRPr="00077437">
        <w:rPr>
          <w:lang w:val="es-VE"/>
        </w:rPr>
        <w:t>, el Experto Independiente sobre la promoción de un orden internacional democrático y equitativo</w:t>
      </w:r>
      <w:r w:rsidR="001734EB" w:rsidRPr="00054D51">
        <w:rPr>
          <w:sz w:val="18"/>
          <w:vertAlign w:val="superscript"/>
          <w:lang w:val="es-VE"/>
        </w:rPr>
        <w:footnoteReference w:id="3"/>
      </w:r>
      <w:r w:rsidR="001734EB" w:rsidRPr="00077437">
        <w:rPr>
          <w:lang w:val="es-VE"/>
        </w:rPr>
        <w:t xml:space="preserve"> y la Alta Comisionada de Naciones Unidas para los Derechos Humanos</w:t>
      </w:r>
      <w:r w:rsidR="001734EB" w:rsidRPr="00054D51">
        <w:rPr>
          <w:sz w:val="18"/>
          <w:vertAlign w:val="superscript"/>
          <w:lang w:val="es-VE"/>
        </w:rPr>
        <w:footnoteReference w:id="4"/>
      </w:r>
      <w:r w:rsidR="001734EB" w:rsidRPr="00077437">
        <w:rPr>
          <w:lang w:val="es-VE"/>
        </w:rPr>
        <w:t xml:space="preserve">. </w:t>
      </w:r>
    </w:p>
    <w:p w14:paraId="7E803981" w14:textId="77777777" w:rsidR="001734EB" w:rsidRPr="00077437" w:rsidRDefault="00A27241" w:rsidP="00054D51">
      <w:pPr>
        <w:pStyle w:val="SingleTxtG"/>
        <w:rPr>
          <w:lang w:val="es-VE"/>
        </w:rPr>
      </w:pPr>
      <w:r>
        <w:rPr>
          <w:lang w:val="es-VE"/>
        </w:rPr>
        <w:t>3.</w:t>
      </w:r>
      <w:r>
        <w:rPr>
          <w:lang w:val="es-VE"/>
        </w:rPr>
        <w:tab/>
      </w:r>
      <w:r w:rsidR="001734EB" w:rsidRPr="00077437">
        <w:rPr>
          <w:lang w:val="es-VE"/>
        </w:rPr>
        <w:t xml:space="preserve">Estas medidas ilegales y arbitrarias han reducido las capacidades del Estado para obtener recursos financieros, bienes y servicios requeridos para cubrir y satisfacer plenamente las principales necesidades de sus habitantes, incluyendo alimentos, medicamentos, ayudas técnicas para </w:t>
      </w:r>
      <w:proofErr w:type="spellStart"/>
      <w:r w:rsidR="001734EB" w:rsidRPr="00077437">
        <w:rPr>
          <w:lang w:val="es-VE"/>
        </w:rPr>
        <w:t>PcD</w:t>
      </w:r>
      <w:proofErr w:type="spellEnd"/>
      <w:r w:rsidR="001734EB" w:rsidRPr="00077437">
        <w:rPr>
          <w:lang w:val="es-VE"/>
        </w:rPr>
        <w:t xml:space="preserve"> y demás bienes necesarios para el desarrollo económico y social. </w:t>
      </w:r>
    </w:p>
    <w:p w14:paraId="182B008D" w14:textId="77777777" w:rsidR="001734EB" w:rsidRPr="00077437" w:rsidRDefault="00A27241" w:rsidP="00054D51">
      <w:pPr>
        <w:pStyle w:val="SingleTxtG"/>
        <w:rPr>
          <w:lang w:val="es-VE"/>
        </w:rPr>
      </w:pPr>
      <w:r>
        <w:rPr>
          <w:lang w:val="es-VE"/>
        </w:rPr>
        <w:t>4.</w:t>
      </w:r>
      <w:r>
        <w:rPr>
          <w:lang w:val="es-VE"/>
        </w:rPr>
        <w:tab/>
      </w:r>
      <w:r w:rsidR="001734EB" w:rsidRPr="00077437">
        <w:rPr>
          <w:lang w:val="es-VE"/>
        </w:rPr>
        <w:t xml:space="preserve">Para mayo de 2019 existían USD 5.470.030.645,29 pertenecientes a la </w:t>
      </w:r>
      <w:proofErr w:type="spellStart"/>
      <w:r w:rsidR="001734EB" w:rsidRPr="00077437">
        <w:rPr>
          <w:lang w:val="es-VE"/>
        </w:rPr>
        <w:t>RBV</w:t>
      </w:r>
      <w:proofErr w:type="spellEnd"/>
      <w:r w:rsidR="001734EB" w:rsidRPr="00077437">
        <w:rPr>
          <w:lang w:val="es-VE"/>
        </w:rPr>
        <w:t xml:space="preserve"> ilegalmente retenidos en el sistema financiero internacional. Adicionalmente, se ha despojado a la </w:t>
      </w:r>
      <w:proofErr w:type="spellStart"/>
      <w:r w:rsidR="001734EB" w:rsidRPr="00077437">
        <w:rPr>
          <w:lang w:val="es-VE"/>
        </w:rPr>
        <w:t>RBV</w:t>
      </w:r>
      <w:proofErr w:type="spellEnd"/>
      <w:r w:rsidR="001734EB" w:rsidRPr="00077437">
        <w:rPr>
          <w:lang w:val="es-VE"/>
        </w:rPr>
        <w:t xml:space="preserve"> de activos ubicados en el extranjero valorados en más de 30 mil millones de USD. </w:t>
      </w:r>
    </w:p>
    <w:p w14:paraId="44C0F046" w14:textId="77777777" w:rsidR="001734EB" w:rsidRPr="00077437" w:rsidRDefault="00A27241" w:rsidP="00054D51">
      <w:pPr>
        <w:pStyle w:val="H1G"/>
        <w:rPr>
          <w:lang w:val="es-VE"/>
        </w:rPr>
      </w:pPr>
      <w:r>
        <w:tab/>
      </w:r>
      <w:r>
        <w:tab/>
      </w:r>
      <w:r w:rsidR="00C154C7" w:rsidRPr="00F96454">
        <w:t xml:space="preserve">Respuesta </w:t>
      </w:r>
      <w:r w:rsidR="00C154C7">
        <w:t xml:space="preserve">a la </w:t>
      </w:r>
      <w:r w:rsidR="00C154C7">
        <w:rPr>
          <w:lang w:val="es-VE"/>
        </w:rPr>
        <w:t>c</w:t>
      </w:r>
      <w:r w:rsidR="001734EB" w:rsidRPr="00077437">
        <w:rPr>
          <w:lang w:val="es-VE"/>
        </w:rPr>
        <w:t>uestión 2</w:t>
      </w:r>
    </w:p>
    <w:p w14:paraId="38CE791C" w14:textId="77777777" w:rsidR="001734EB" w:rsidRPr="00077437" w:rsidRDefault="00A27241" w:rsidP="00054D51">
      <w:pPr>
        <w:pStyle w:val="SingleTxtG"/>
        <w:rPr>
          <w:lang w:val="es-VE"/>
        </w:rPr>
      </w:pPr>
      <w:r>
        <w:rPr>
          <w:lang w:val="es-VE"/>
        </w:rPr>
        <w:t>5.</w:t>
      </w:r>
      <w:r>
        <w:rPr>
          <w:lang w:val="es-VE"/>
        </w:rPr>
        <w:tab/>
      </w:r>
      <w:r w:rsidR="001734EB" w:rsidRPr="00077437">
        <w:rPr>
          <w:lang w:val="es-VE"/>
        </w:rPr>
        <w:t>La Constitución de la República Bolivariana de Venezuela (</w:t>
      </w:r>
      <w:proofErr w:type="spellStart"/>
      <w:r w:rsidR="001734EB" w:rsidRPr="00077437">
        <w:rPr>
          <w:lang w:val="es-VE"/>
        </w:rPr>
        <w:t>CRBV</w:t>
      </w:r>
      <w:proofErr w:type="spellEnd"/>
      <w:r w:rsidR="001734EB" w:rsidRPr="00077437">
        <w:rPr>
          <w:lang w:val="es-VE"/>
        </w:rPr>
        <w:t xml:space="preserve">) de 1999 le dio rango constitucional a la protección de las </w:t>
      </w:r>
      <w:proofErr w:type="spellStart"/>
      <w:r w:rsidR="001734EB" w:rsidRPr="00077437">
        <w:rPr>
          <w:lang w:val="es-VE"/>
        </w:rPr>
        <w:t>PcD</w:t>
      </w:r>
      <w:proofErr w:type="spellEnd"/>
      <w:r w:rsidR="001734EB" w:rsidRPr="00054D51">
        <w:rPr>
          <w:sz w:val="18"/>
          <w:vertAlign w:val="superscript"/>
          <w:lang w:val="es-VE"/>
        </w:rPr>
        <w:footnoteReference w:id="5"/>
      </w:r>
      <w:r w:rsidR="001734EB" w:rsidRPr="00077437">
        <w:rPr>
          <w:lang w:val="es-VE"/>
        </w:rPr>
        <w:t xml:space="preserve">, adoptando el término </w:t>
      </w:r>
      <w:r w:rsidR="001734EB" w:rsidRPr="00077437">
        <w:rPr>
          <w:i/>
          <w:lang w:val="es-VE"/>
        </w:rPr>
        <w:t>“personas con discapacidad”</w:t>
      </w:r>
      <w:r w:rsidR="001734EB" w:rsidRPr="00077437">
        <w:rPr>
          <w:lang w:val="es-VE"/>
        </w:rPr>
        <w:t xml:space="preserve"> y reconociendo expresamente a este importante sector de la población el derecho al ejercicio pleno y autónomo de sus capacidades, así como su integración familiar y comunitaria.</w:t>
      </w:r>
    </w:p>
    <w:p w14:paraId="6408EC2E" w14:textId="77777777" w:rsidR="001734EB" w:rsidRPr="00077437" w:rsidRDefault="00A27241" w:rsidP="00054D51">
      <w:pPr>
        <w:pStyle w:val="SingleTxtG"/>
        <w:rPr>
          <w:lang w:val="es-VE"/>
        </w:rPr>
      </w:pPr>
      <w:r>
        <w:rPr>
          <w:lang w:val="es-VE"/>
        </w:rPr>
        <w:t>6.</w:t>
      </w:r>
      <w:r>
        <w:rPr>
          <w:lang w:val="es-VE"/>
        </w:rPr>
        <w:tab/>
      </w:r>
      <w:r w:rsidR="001734EB" w:rsidRPr="00077437">
        <w:rPr>
          <w:lang w:val="es-VE"/>
        </w:rPr>
        <w:t>En el año 2007 se adoptó la Ley de Personas con Discapacidad (</w:t>
      </w:r>
      <w:proofErr w:type="spellStart"/>
      <w:r w:rsidR="001734EB" w:rsidRPr="00077437">
        <w:rPr>
          <w:lang w:val="es-VE"/>
        </w:rPr>
        <w:t>LPCD</w:t>
      </w:r>
      <w:proofErr w:type="spellEnd"/>
      <w:r w:rsidR="001734EB" w:rsidRPr="00077437">
        <w:rPr>
          <w:lang w:val="es-VE"/>
        </w:rPr>
        <w:t>)</w:t>
      </w:r>
      <w:r w:rsidR="001734EB" w:rsidRPr="00054D51">
        <w:rPr>
          <w:sz w:val="18"/>
          <w:vertAlign w:val="superscript"/>
          <w:lang w:val="es-VE"/>
        </w:rPr>
        <w:footnoteReference w:id="6"/>
      </w:r>
      <w:r w:rsidR="001734EB" w:rsidRPr="00077437">
        <w:rPr>
          <w:lang w:val="es-VE"/>
        </w:rPr>
        <w:t>, derogando expresamente el artículo 410 del Código Civil Venezolano (CCV)</w:t>
      </w:r>
      <w:r w:rsidR="001734EB" w:rsidRPr="00054D51">
        <w:rPr>
          <w:sz w:val="18"/>
          <w:vertAlign w:val="superscript"/>
          <w:lang w:val="es-VE"/>
        </w:rPr>
        <w:footnoteReference w:id="7"/>
      </w:r>
      <w:r w:rsidR="001734EB" w:rsidRPr="00077437">
        <w:rPr>
          <w:lang w:val="es-VE"/>
        </w:rPr>
        <w:t xml:space="preserve"> que consideraba civilmente inhábiles a las </w:t>
      </w:r>
      <w:proofErr w:type="spellStart"/>
      <w:r w:rsidR="001734EB" w:rsidRPr="00077437">
        <w:rPr>
          <w:lang w:val="es-VE"/>
        </w:rPr>
        <w:t>PcD</w:t>
      </w:r>
      <w:proofErr w:type="spellEnd"/>
      <w:r w:rsidR="001734EB" w:rsidRPr="00077437">
        <w:rPr>
          <w:lang w:val="es-VE"/>
        </w:rPr>
        <w:t xml:space="preserve">. Con esta medida se reconoció la capacidad jurídica plena que tienen las </w:t>
      </w:r>
      <w:proofErr w:type="spellStart"/>
      <w:r w:rsidR="001734EB" w:rsidRPr="00077437">
        <w:rPr>
          <w:lang w:val="es-VE"/>
        </w:rPr>
        <w:t>PcD</w:t>
      </w:r>
      <w:proofErr w:type="spellEnd"/>
      <w:r w:rsidR="001734EB" w:rsidRPr="00077437">
        <w:rPr>
          <w:lang w:val="es-VE"/>
        </w:rPr>
        <w:t xml:space="preserve"> para realizar voluntariamente todos los actos de la vida diaria.</w:t>
      </w:r>
      <w:r w:rsidR="00223132">
        <w:rPr>
          <w:lang w:val="es-VE"/>
        </w:rPr>
        <w:t xml:space="preserve"> </w:t>
      </w:r>
    </w:p>
    <w:p w14:paraId="455985B7" w14:textId="77777777" w:rsidR="001734EB" w:rsidRPr="00077437" w:rsidRDefault="00A27241" w:rsidP="00054D51">
      <w:pPr>
        <w:pStyle w:val="SingleTxtG"/>
        <w:rPr>
          <w:lang w:val="es-VE"/>
        </w:rPr>
      </w:pPr>
      <w:r>
        <w:rPr>
          <w:lang w:val="es-VE"/>
        </w:rPr>
        <w:lastRenderedPageBreak/>
        <w:t>7.</w:t>
      </w:r>
      <w:r>
        <w:rPr>
          <w:lang w:val="es-VE"/>
        </w:rPr>
        <w:tab/>
      </w:r>
      <w:r w:rsidR="001734EB" w:rsidRPr="00077437">
        <w:rPr>
          <w:lang w:val="es-VE"/>
        </w:rPr>
        <w:t xml:space="preserve">En diciembre de 2015 </w:t>
      </w:r>
      <w:proofErr w:type="gramStart"/>
      <w:r w:rsidR="001734EB" w:rsidRPr="00077437">
        <w:rPr>
          <w:lang w:val="es-VE"/>
        </w:rPr>
        <w:t>entró en vigencia</w:t>
      </w:r>
      <w:proofErr w:type="gramEnd"/>
      <w:r w:rsidR="001734EB" w:rsidRPr="00077437">
        <w:rPr>
          <w:lang w:val="es-VE"/>
        </w:rPr>
        <w:t xml:space="preserve"> el Código Orgánico Penitenciario</w:t>
      </w:r>
      <w:r w:rsidR="001734EB" w:rsidRPr="00054D51">
        <w:rPr>
          <w:sz w:val="18"/>
          <w:vertAlign w:val="superscript"/>
          <w:lang w:val="es-VE"/>
        </w:rPr>
        <w:footnoteReference w:id="8"/>
      </w:r>
      <w:r w:rsidR="001734EB" w:rsidRPr="00077437">
        <w:rPr>
          <w:lang w:val="es-VE"/>
        </w:rPr>
        <w:t xml:space="preserve"> (COP). Este instrumento derogó la Ley de Régimen Penitenciario</w:t>
      </w:r>
      <w:r w:rsidR="001734EB" w:rsidRPr="00054D51">
        <w:rPr>
          <w:sz w:val="18"/>
          <w:vertAlign w:val="superscript"/>
          <w:lang w:val="es-VE"/>
        </w:rPr>
        <w:footnoteReference w:id="9"/>
      </w:r>
      <w:r w:rsidR="001734EB" w:rsidRPr="00077437">
        <w:rPr>
          <w:lang w:val="es-VE"/>
        </w:rPr>
        <w:t xml:space="preserve"> (</w:t>
      </w:r>
      <w:proofErr w:type="spellStart"/>
      <w:r w:rsidR="001734EB" w:rsidRPr="00077437">
        <w:rPr>
          <w:lang w:val="es-VE"/>
        </w:rPr>
        <w:t>LRP</w:t>
      </w:r>
      <w:proofErr w:type="spellEnd"/>
      <w:r w:rsidR="001734EB" w:rsidRPr="00077437">
        <w:rPr>
          <w:lang w:val="es-VE"/>
        </w:rPr>
        <w:t>) que contenía los términos “</w:t>
      </w:r>
      <w:r w:rsidR="001734EB" w:rsidRPr="00077437">
        <w:rPr>
          <w:i/>
          <w:lang w:val="es-VE"/>
        </w:rPr>
        <w:t>síntomas de perturbación psíquica que no correspondan a enfermedad mental propiamente dicha</w:t>
      </w:r>
      <w:r w:rsidR="001734EB" w:rsidRPr="00077437">
        <w:rPr>
          <w:lang w:val="es-VE"/>
        </w:rPr>
        <w:t>” (art. 79) y “</w:t>
      </w:r>
      <w:r w:rsidR="001734EB" w:rsidRPr="00077437">
        <w:rPr>
          <w:i/>
          <w:lang w:val="es-VE"/>
        </w:rPr>
        <w:t>los que padezcan mutilaciones físicas que supongan discapacidad</w:t>
      </w:r>
      <w:r w:rsidR="001734EB" w:rsidRPr="00077437">
        <w:rPr>
          <w:lang w:val="es-VE"/>
        </w:rPr>
        <w:t>” (art.</w:t>
      </w:r>
      <w:r w:rsidR="005B4B9E">
        <w:rPr>
          <w:lang w:val="es-VE"/>
        </w:rPr>
        <w:t> </w:t>
      </w:r>
      <w:r w:rsidR="001734EB" w:rsidRPr="00077437">
        <w:rPr>
          <w:lang w:val="es-VE"/>
        </w:rPr>
        <w:t>80).</w:t>
      </w:r>
    </w:p>
    <w:p w14:paraId="166B91A1" w14:textId="77777777" w:rsidR="001734EB" w:rsidRPr="00077437" w:rsidRDefault="00A27241" w:rsidP="00054D51">
      <w:pPr>
        <w:pStyle w:val="SingleTxtG"/>
        <w:rPr>
          <w:lang w:val="es-VE"/>
        </w:rPr>
      </w:pPr>
      <w:r>
        <w:rPr>
          <w:lang w:val="es-VE"/>
        </w:rPr>
        <w:t>8.</w:t>
      </w:r>
      <w:r>
        <w:rPr>
          <w:lang w:val="es-VE"/>
        </w:rPr>
        <w:tab/>
      </w:r>
      <w:r w:rsidR="001734EB" w:rsidRPr="00077437">
        <w:rPr>
          <w:lang w:val="es-VE"/>
        </w:rPr>
        <w:t xml:space="preserve">En agosto de 2017 se instaló una Asamblea Nacional Constituyente (ANC), elegida mediante el voto universal, directo y secreto del pueblo venezolano. La ANC tiene el mandato de transformar el Estado, crear un nuevo ordenamiento jurídico y </w:t>
      </w:r>
      <w:r w:rsidR="000A0878">
        <w:rPr>
          <w:lang w:val="es-VE"/>
        </w:rPr>
        <w:t>redactar una nueva Constitución</w:t>
      </w:r>
      <w:r w:rsidR="001734EB" w:rsidRPr="00054D51">
        <w:rPr>
          <w:sz w:val="18"/>
          <w:vertAlign w:val="superscript"/>
          <w:lang w:val="es-VE"/>
        </w:rPr>
        <w:footnoteReference w:id="10"/>
      </w:r>
      <w:r w:rsidR="000A0878">
        <w:rPr>
          <w:lang w:val="es-VE"/>
        </w:rPr>
        <w:t>.</w:t>
      </w:r>
    </w:p>
    <w:p w14:paraId="37BE804A" w14:textId="77777777" w:rsidR="001734EB" w:rsidRPr="00077437" w:rsidRDefault="00A27241" w:rsidP="00054D51">
      <w:pPr>
        <w:pStyle w:val="SingleTxtG"/>
        <w:rPr>
          <w:lang w:val="es-VE"/>
        </w:rPr>
      </w:pPr>
      <w:r>
        <w:rPr>
          <w:lang w:val="es-VE"/>
        </w:rPr>
        <w:t>9.</w:t>
      </w:r>
      <w:r>
        <w:rPr>
          <w:lang w:val="es-VE"/>
        </w:rPr>
        <w:tab/>
      </w:r>
      <w:r w:rsidR="001734EB" w:rsidRPr="00077437">
        <w:rPr>
          <w:lang w:val="es-VE"/>
        </w:rPr>
        <w:t xml:space="preserve">Actualmente, la Comisión Permanente para las </w:t>
      </w:r>
      <w:proofErr w:type="spellStart"/>
      <w:r w:rsidR="001734EB" w:rsidRPr="00077437">
        <w:rPr>
          <w:lang w:val="es-VE"/>
        </w:rPr>
        <w:t>PcD</w:t>
      </w:r>
      <w:proofErr w:type="spellEnd"/>
      <w:r w:rsidR="001734EB" w:rsidRPr="00077437">
        <w:rPr>
          <w:lang w:val="es-VE"/>
        </w:rPr>
        <w:t xml:space="preserve"> de la ANC adelanta un proceso amplio de discusión y consulta de una nueva norma jurídica en materia de </w:t>
      </w:r>
      <w:proofErr w:type="spellStart"/>
      <w:r w:rsidR="001734EB" w:rsidRPr="00077437">
        <w:rPr>
          <w:lang w:val="es-VE"/>
        </w:rPr>
        <w:t>PcD</w:t>
      </w:r>
      <w:proofErr w:type="spellEnd"/>
      <w:r w:rsidR="001734EB" w:rsidRPr="00077437">
        <w:rPr>
          <w:lang w:val="es-VE"/>
        </w:rPr>
        <w:t>, totalmente adecuada a los principios de la Convención sobre los Derechos de las Personas con Discapacidad</w:t>
      </w:r>
      <w:r w:rsidR="00223132">
        <w:rPr>
          <w:lang w:val="es-VE"/>
        </w:rPr>
        <w:t xml:space="preserve"> </w:t>
      </w:r>
      <w:r w:rsidR="001734EB" w:rsidRPr="00077437">
        <w:rPr>
          <w:lang w:val="es-VE"/>
        </w:rPr>
        <w:t>(</w:t>
      </w:r>
      <w:proofErr w:type="spellStart"/>
      <w:r w:rsidR="001734EB" w:rsidRPr="00077437">
        <w:rPr>
          <w:lang w:val="es-VE"/>
        </w:rPr>
        <w:t>CDPD</w:t>
      </w:r>
      <w:proofErr w:type="spellEnd"/>
      <w:r w:rsidR="001734EB" w:rsidRPr="00077437">
        <w:rPr>
          <w:lang w:val="es-VE"/>
        </w:rPr>
        <w:t>), denominada Ley Constitucional para las Personas con Discapacidad</w:t>
      </w:r>
      <w:r w:rsidR="001734EB" w:rsidRPr="00054D51">
        <w:rPr>
          <w:sz w:val="18"/>
          <w:vertAlign w:val="superscript"/>
          <w:lang w:val="es-VE"/>
        </w:rPr>
        <w:footnoteReference w:id="11"/>
      </w:r>
      <w:r w:rsidR="001734EB" w:rsidRPr="00077437">
        <w:rPr>
          <w:lang w:val="es-VE"/>
        </w:rPr>
        <w:t xml:space="preserve">. </w:t>
      </w:r>
    </w:p>
    <w:p w14:paraId="224C7692" w14:textId="77777777" w:rsidR="001734EB" w:rsidRPr="00077437" w:rsidRDefault="00A27241" w:rsidP="00054D51">
      <w:pPr>
        <w:pStyle w:val="SingleTxtG"/>
        <w:rPr>
          <w:lang w:val="es-VE"/>
        </w:rPr>
      </w:pPr>
      <w:r>
        <w:rPr>
          <w:lang w:val="es-VE"/>
        </w:rPr>
        <w:t>10.</w:t>
      </w:r>
      <w:r>
        <w:rPr>
          <w:lang w:val="es-VE"/>
        </w:rPr>
        <w:tab/>
      </w:r>
      <w:r w:rsidR="001734EB" w:rsidRPr="00077437">
        <w:rPr>
          <w:lang w:val="es-VE"/>
        </w:rPr>
        <w:t xml:space="preserve">La </w:t>
      </w:r>
      <w:proofErr w:type="spellStart"/>
      <w:r w:rsidR="001734EB" w:rsidRPr="00077437">
        <w:rPr>
          <w:lang w:val="es-VE"/>
        </w:rPr>
        <w:t>LPCD</w:t>
      </w:r>
      <w:proofErr w:type="spellEnd"/>
      <w:r w:rsidR="001734EB" w:rsidRPr="00077437">
        <w:rPr>
          <w:lang w:val="es-VE"/>
        </w:rPr>
        <w:t xml:space="preserve"> reconoce y sanciona explícitamente la discriminación por discapacidad, en consonancia con lo previsto en la </w:t>
      </w:r>
      <w:proofErr w:type="spellStart"/>
      <w:r w:rsidR="001734EB" w:rsidRPr="00077437">
        <w:rPr>
          <w:lang w:val="es-VE"/>
        </w:rPr>
        <w:t>CDPD</w:t>
      </w:r>
      <w:proofErr w:type="spellEnd"/>
      <w:r w:rsidR="001734EB" w:rsidRPr="00077437">
        <w:rPr>
          <w:lang w:val="es-VE"/>
        </w:rPr>
        <w:t xml:space="preserve">. Según su artículo 9, ninguna persona podrá ser objeto de trato discriminatorio por razones de discapacidad. La violación de esta disposición se encuentra sancionada en el artículo 89 de este instrumento legal. Adicionalmente, en Venezuela las disposiciones de la </w:t>
      </w:r>
      <w:proofErr w:type="spellStart"/>
      <w:r w:rsidR="001734EB" w:rsidRPr="00077437">
        <w:rPr>
          <w:lang w:val="es-VE"/>
        </w:rPr>
        <w:t>CDPD</w:t>
      </w:r>
      <w:proofErr w:type="spellEnd"/>
      <w:r w:rsidR="001734EB" w:rsidRPr="00077437">
        <w:rPr>
          <w:lang w:val="es-VE"/>
        </w:rPr>
        <w:t xml:space="preserve"> son de aplicación inmediata y directa por los tribunales y </w:t>
      </w:r>
      <w:r w:rsidR="000A0878">
        <w:rPr>
          <w:lang w:val="es-VE"/>
        </w:rPr>
        <w:t>demás órganos del Poder Público</w:t>
      </w:r>
      <w:r w:rsidR="001734EB" w:rsidRPr="00054D51">
        <w:rPr>
          <w:sz w:val="18"/>
          <w:vertAlign w:val="superscript"/>
          <w:lang w:val="es-VE"/>
        </w:rPr>
        <w:footnoteReference w:id="12"/>
      </w:r>
      <w:r w:rsidR="000A0878">
        <w:rPr>
          <w:lang w:val="es-VE"/>
        </w:rPr>
        <w:t>.</w:t>
      </w:r>
    </w:p>
    <w:p w14:paraId="6A6D70CA" w14:textId="77777777" w:rsidR="001734EB" w:rsidRPr="00077437" w:rsidRDefault="00A27241" w:rsidP="00054D51">
      <w:pPr>
        <w:pStyle w:val="SingleTxtG"/>
      </w:pPr>
      <w:r>
        <w:t>11.</w:t>
      </w:r>
      <w:r>
        <w:tab/>
      </w:r>
      <w:r w:rsidR="001734EB" w:rsidRPr="00077437">
        <w:t>El Consejo Presidencial de Gobierno Popular</w:t>
      </w:r>
      <w:r w:rsidR="001734EB" w:rsidRPr="00077437">
        <w:rPr>
          <w:b/>
          <w:lang w:val="es-VE"/>
        </w:rPr>
        <w:t xml:space="preserve"> </w:t>
      </w:r>
      <w:r w:rsidR="001734EB" w:rsidRPr="00077437">
        <w:rPr>
          <w:lang w:val="es-VE"/>
        </w:rPr>
        <w:t>de Personas con Discapacidad (</w:t>
      </w:r>
      <w:proofErr w:type="spellStart"/>
      <w:r w:rsidR="001734EB" w:rsidRPr="00077437">
        <w:rPr>
          <w:lang w:val="es-VE"/>
        </w:rPr>
        <w:t>CPGPPCD</w:t>
      </w:r>
      <w:proofErr w:type="spellEnd"/>
      <w:r w:rsidR="001734EB" w:rsidRPr="00077437">
        <w:rPr>
          <w:lang w:val="es-VE"/>
        </w:rPr>
        <w:t xml:space="preserve">) está conformado por </w:t>
      </w:r>
      <w:proofErr w:type="spellStart"/>
      <w:r w:rsidR="001734EB" w:rsidRPr="00077437">
        <w:rPr>
          <w:lang w:val="es-VE"/>
        </w:rPr>
        <w:t>PcD</w:t>
      </w:r>
      <w:proofErr w:type="spellEnd"/>
      <w:r w:rsidR="001734EB" w:rsidRPr="00077437">
        <w:rPr>
          <w:lang w:val="es-VE"/>
        </w:rPr>
        <w:t xml:space="preserve"> electas en asambleas populares realizadas en todo el territorio nacional. El </w:t>
      </w:r>
      <w:proofErr w:type="spellStart"/>
      <w:r w:rsidR="001734EB" w:rsidRPr="00077437">
        <w:rPr>
          <w:lang w:val="es-VE"/>
        </w:rPr>
        <w:t>CPGPPCD</w:t>
      </w:r>
      <w:proofErr w:type="spellEnd"/>
      <w:r w:rsidR="001734EB" w:rsidRPr="00077437">
        <w:rPr>
          <w:lang w:val="es-VE"/>
        </w:rPr>
        <w:t xml:space="preserve"> ha intervenido en el diseño, implementación y seguimiento de las siguientes políticas públicas nacionales: i) </w:t>
      </w:r>
      <w:r w:rsidR="001734EB" w:rsidRPr="00077437">
        <w:t>Incorporación del 5</w:t>
      </w:r>
      <w:r>
        <w:t xml:space="preserve"> </w:t>
      </w:r>
      <w:r w:rsidR="001734EB" w:rsidRPr="00077437">
        <w:t xml:space="preserve">% de </w:t>
      </w:r>
      <w:proofErr w:type="spellStart"/>
      <w:r w:rsidR="001734EB" w:rsidRPr="00077437">
        <w:t>PcD</w:t>
      </w:r>
      <w:proofErr w:type="spellEnd"/>
      <w:r w:rsidR="001734EB" w:rsidRPr="00077437">
        <w:t xml:space="preserve"> en las nóminas de los entes públicos y privados; </w:t>
      </w:r>
      <w:proofErr w:type="spellStart"/>
      <w:r w:rsidR="001734EB" w:rsidRPr="00077437">
        <w:t>ii</w:t>
      </w:r>
      <w:proofErr w:type="spellEnd"/>
      <w:r w:rsidR="001734EB" w:rsidRPr="00077437">
        <w:t xml:space="preserve">) Incorporación de programas de formación en materia de discapacidad en el Sistemas Educativo; </w:t>
      </w:r>
      <w:proofErr w:type="spellStart"/>
      <w:r w:rsidR="001734EB" w:rsidRPr="00077437">
        <w:t>iii</w:t>
      </w:r>
      <w:proofErr w:type="spellEnd"/>
      <w:r w:rsidR="001734EB" w:rsidRPr="00077437">
        <w:t xml:space="preserve">) Asegurar el derecho de las </w:t>
      </w:r>
      <w:proofErr w:type="spellStart"/>
      <w:r w:rsidR="001734EB" w:rsidRPr="00077437">
        <w:t>PcD</w:t>
      </w:r>
      <w:proofErr w:type="spellEnd"/>
      <w:r w:rsidR="001734EB" w:rsidRPr="00077437">
        <w:t xml:space="preserve"> a ser atendidas con prioridad, suministrándoles el apoyo necesario para la ejecución de todos los trámites que requieran y </w:t>
      </w:r>
      <w:proofErr w:type="spellStart"/>
      <w:r w:rsidR="001734EB" w:rsidRPr="00077437">
        <w:t>iv</w:t>
      </w:r>
      <w:proofErr w:type="spellEnd"/>
      <w:r w:rsidR="001734EB" w:rsidRPr="00077437">
        <w:t xml:space="preserve">) Mejora profunda en la accesibilidad del entorno físico para garantizar la inclusión plena de las </w:t>
      </w:r>
      <w:proofErr w:type="spellStart"/>
      <w:r w:rsidR="001734EB" w:rsidRPr="00077437">
        <w:t>PcD</w:t>
      </w:r>
      <w:proofErr w:type="spellEnd"/>
      <w:r w:rsidR="001734EB" w:rsidRPr="00077437">
        <w:t xml:space="preserve">, incluyendo la ciudad accesible y el transporte. </w:t>
      </w:r>
    </w:p>
    <w:p w14:paraId="038CE69A" w14:textId="77777777" w:rsidR="001734EB" w:rsidRPr="00077437" w:rsidRDefault="00A27241" w:rsidP="00054D51">
      <w:pPr>
        <w:pStyle w:val="SingleTxtG"/>
        <w:rPr>
          <w:lang w:val="es-VE"/>
        </w:rPr>
      </w:pPr>
      <w:r>
        <w:rPr>
          <w:lang w:val="es-VE"/>
        </w:rPr>
        <w:t>12.</w:t>
      </w:r>
      <w:r>
        <w:rPr>
          <w:lang w:val="es-VE"/>
        </w:rPr>
        <w:tab/>
      </w:r>
      <w:r w:rsidR="001734EB" w:rsidRPr="00077437">
        <w:rPr>
          <w:lang w:val="es-VE"/>
        </w:rPr>
        <w:t>El Plan de Desarrollo Económico y Social de la Nación, denominado Plan de la Patria 201</w:t>
      </w:r>
      <w:r w:rsidR="000A0878">
        <w:rPr>
          <w:lang w:val="es-VE"/>
        </w:rPr>
        <w:t>9-2025, fue aprobado por la ANC</w:t>
      </w:r>
      <w:r w:rsidR="001734EB" w:rsidRPr="00054D51">
        <w:rPr>
          <w:sz w:val="18"/>
          <w:vertAlign w:val="superscript"/>
          <w:lang w:val="es-VE"/>
        </w:rPr>
        <w:footnoteReference w:id="13"/>
      </w:r>
      <w:r w:rsidR="000A0878">
        <w:rPr>
          <w:lang w:val="es-VE"/>
        </w:rPr>
        <w:t>.</w:t>
      </w:r>
      <w:r w:rsidR="001734EB" w:rsidRPr="00077437">
        <w:rPr>
          <w:lang w:val="es-VE"/>
        </w:rPr>
        <w:t xml:space="preserve"> La elaboración de este Plan se llevó a cabo el año 2018 a través de una consulta a todos los sectores de la vida nacional. El sector de </w:t>
      </w:r>
      <w:proofErr w:type="spellStart"/>
      <w:r w:rsidR="001734EB" w:rsidRPr="00077437">
        <w:rPr>
          <w:lang w:val="es-VE"/>
        </w:rPr>
        <w:t>PcD</w:t>
      </w:r>
      <w:proofErr w:type="spellEnd"/>
      <w:r w:rsidR="001734EB" w:rsidRPr="00077437">
        <w:rPr>
          <w:lang w:val="es-VE"/>
        </w:rPr>
        <w:t xml:space="preserve"> participó de manera activa en el proceso de consulta y presentó diversas propuestas.</w:t>
      </w:r>
    </w:p>
    <w:p w14:paraId="4F776707" w14:textId="77777777" w:rsidR="001734EB" w:rsidRPr="00077437" w:rsidRDefault="00A27241" w:rsidP="00054D51">
      <w:pPr>
        <w:pStyle w:val="SingleTxtG"/>
        <w:rPr>
          <w:lang w:val="es-VE"/>
        </w:rPr>
      </w:pPr>
      <w:r>
        <w:rPr>
          <w:lang w:val="es-VE"/>
        </w:rPr>
        <w:t>13.</w:t>
      </w:r>
      <w:r>
        <w:rPr>
          <w:lang w:val="es-VE"/>
        </w:rPr>
        <w:tab/>
      </w:r>
      <w:r w:rsidR="001734EB" w:rsidRPr="00077437">
        <w:rPr>
          <w:lang w:val="es-VE"/>
        </w:rPr>
        <w:t xml:space="preserve">El Plan de la Patria define cuatro grandes políticas estructurantes para la garantía de los derechos de las </w:t>
      </w:r>
      <w:proofErr w:type="spellStart"/>
      <w:r w:rsidR="001734EB" w:rsidRPr="00077437">
        <w:rPr>
          <w:lang w:val="es-VE"/>
        </w:rPr>
        <w:t>PcD</w:t>
      </w:r>
      <w:proofErr w:type="spellEnd"/>
      <w:r w:rsidR="001734EB" w:rsidRPr="00077437">
        <w:rPr>
          <w:lang w:val="es-VE"/>
        </w:rPr>
        <w:t xml:space="preserve">: i) Ciudades accesibles para la inclusión plena de las </w:t>
      </w:r>
      <w:proofErr w:type="spellStart"/>
      <w:r w:rsidR="001734EB" w:rsidRPr="00077437">
        <w:rPr>
          <w:lang w:val="es-VE"/>
        </w:rPr>
        <w:t>PcD</w:t>
      </w:r>
      <w:proofErr w:type="spellEnd"/>
      <w:r w:rsidR="001734EB" w:rsidRPr="00077437">
        <w:rPr>
          <w:lang w:val="es-VE"/>
        </w:rPr>
        <w:t xml:space="preserve">, movilidad, transporte, centros educativos y sistema de salud; </w:t>
      </w:r>
      <w:proofErr w:type="spellStart"/>
      <w:r w:rsidR="001734EB" w:rsidRPr="00077437">
        <w:rPr>
          <w:lang w:val="es-VE"/>
        </w:rPr>
        <w:t>ii</w:t>
      </w:r>
      <w:proofErr w:type="spellEnd"/>
      <w:r w:rsidR="001734EB" w:rsidRPr="00077437">
        <w:rPr>
          <w:lang w:val="es-VE"/>
        </w:rPr>
        <w:t xml:space="preserve">) Insertar en las actividades productivas a las </w:t>
      </w:r>
      <w:proofErr w:type="spellStart"/>
      <w:r w:rsidR="001734EB" w:rsidRPr="00077437">
        <w:rPr>
          <w:lang w:val="es-VE"/>
        </w:rPr>
        <w:t>PcD</w:t>
      </w:r>
      <w:proofErr w:type="spellEnd"/>
      <w:r w:rsidR="001734EB" w:rsidRPr="00077437">
        <w:rPr>
          <w:lang w:val="es-VE"/>
        </w:rPr>
        <w:t xml:space="preserve">, de acuerdo con sus potencialidades; </w:t>
      </w:r>
      <w:proofErr w:type="spellStart"/>
      <w:r w:rsidR="001734EB" w:rsidRPr="00077437">
        <w:rPr>
          <w:lang w:val="es-VE"/>
        </w:rPr>
        <w:t>iii</w:t>
      </w:r>
      <w:proofErr w:type="spellEnd"/>
      <w:r w:rsidR="001734EB" w:rsidRPr="00077437">
        <w:rPr>
          <w:lang w:val="es-VE"/>
        </w:rPr>
        <w:t>) Incorporar el lenguaje de señas en la educación y promover su uso en todos los espacios organizativos</w:t>
      </w:r>
      <w:r w:rsidR="005B4B9E">
        <w:rPr>
          <w:lang w:val="es-VE"/>
        </w:rPr>
        <w:t>,</w:t>
      </w:r>
      <w:r w:rsidR="001734EB" w:rsidRPr="00077437">
        <w:rPr>
          <w:lang w:val="es-VE"/>
        </w:rPr>
        <w:t xml:space="preserve"> y </w:t>
      </w:r>
      <w:proofErr w:type="spellStart"/>
      <w:r w:rsidR="001734EB" w:rsidRPr="00077437">
        <w:rPr>
          <w:lang w:val="es-VE"/>
        </w:rPr>
        <w:t>iv</w:t>
      </w:r>
      <w:proofErr w:type="spellEnd"/>
      <w:r w:rsidR="001734EB" w:rsidRPr="00077437">
        <w:rPr>
          <w:lang w:val="es-VE"/>
        </w:rPr>
        <w:t>) Inclusión plena y no discriminación social, política, laboral, de las personas con algún tipo de discapacidad.</w:t>
      </w:r>
    </w:p>
    <w:p w14:paraId="32B86384" w14:textId="77777777" w:rsidR="001734EB" w:rsidRPr="00077437" w:rsidRDefault="00A27241" w:rsidP="00054D51">
      <w:pPr>
        <w:pStyle w:val="SingleTxtG"/>
        <w:rPr>
          <w:lang w:val="es-VE"/>
        </w:rPr>
      </w:pPr>
      <w:r>
        <w:rPr>
          <w:lang w:val="es-VE"/>
        </w:rPr>
        <w:lastRenderedPageBreak/>
        <w:t>14.</w:t>
      </w:r>
      <w:r>
        <w:rPr>
          <w:lang w:val="es-VE"/>
        </w:rPr>
        <w:tab/>
      </w:r>
      <w:r w:rsidR="001734EB" w:rsidRPr="00077437">
        <w:rPr>
          <w:lang w:val="es-VE"/>
        </w:rPr>
        <w:t xml:space="preserve">En febrero de 2016 se aprobó el </w:t>
      </w:r>
      <w:r w:rsidR="001734EB" w:rsidRPr="00077437">
        <w:rPr>
          <w:bCs/>
          <w:lang w:val="es-VE"/>
        </w:rPr>
        <w:t>Plan Nacional de Derechos Humanos (</w:t>
      </w:r>
      <w:proofErr w:type="spellStart"/>
      <w:r w:rsidR="001734EB" w:rsidRPr="00077437">
        <w:rPr>
          <w:bCs/>
          <w:lang w:val="es-VE"/>
        </w:rPr>
        <w:t>PNDH</w:t>
      </w:r>
      <w:proofErr w:type="spellEnd"/>
      <w:r w:rsidR="001734EB" w:rsidRPr="00077437">
        <w:rPr>
          <w:bCs/>
          <w:lang w:val="es-VE"/>
        </w:rPr>
        <w:t>) 2016</w:t>
      </w:r>
      <w:r w:rsidR="00C42365">
        <w:rPr>
          <w:bCs/>
          <w:lang w:val="es-VE"/>
        </w:rPr>
        <w:noBreakHyphen/>
      </w:r>
      <w:r w:rsidR="001734EB" w:rsidRPr="00077437">
        <w:rPr>
          <w:bCs/>
          <w:lang w:val="es-VE"/>
        </w:rPr>
        <w:t>2019</w:t>
      </w:r>
      <w:r w:rsidR="001734EB" w:rsidRPr="00054D51">
        <w:rPr>
          <w:bCs/>
          <w:sz w:val="18"/>
          <w:vertAlign w:val="superscript"/>
          <w:lang w:val="es-VE"/>
        </w:rPr>
        <w:footnoteReference w:id="14"/>
      </w:r>
      <w:r w:rsidR="001734EB" w:rsidRPr="00077437">
        <w:rPr>
          <w:lang w:val="es-VE"/>
        </w:rPr>
        <w:t xml:space="preserve">, luego de un amplio proceso de consulta nacional en el que participaron las </w:t>
      </w:r>
      <w:proofErr w:type="spellStart"/>
      <w:r w:rsidR="001734EB" w:rsidRPr="00077437">
        <w:rPr>
          <w:lang w:val="es-VE"/>
        </w:rPr>
        <w:t>PcD</w:t>
      </w:r>
      <w:proofErr w:type="spellEnd"/>
      <w:r w:rsidR="001734EB" w:rsidRPr="00077437">
        <w:rPr>
          <w:lang w:val="es-VE"/>
        </w:rPr>
        <w:t xml:space="preserve">. El </w:t>
      </w:r>
      <w:proofErr w:type="spellStart"/>
      <w:r w:rsidR="001734EB" w:rsidRPr="00077437">
        <w:rPr>
          <w:lang w:val="es-VE"/>
        </w:rPr>
        <w:t>PNDH</w:t>
      </w:r>
      <w:proofErr w:type="spellEnd"/>
      <w:r w:rsidR="001734EB" w:rsidRPr="00077437">
        <w:rPr>
          <w:lang w:val="es-VE"/>
        </w:rPr>
        <w:t xml:space="preserve"> establece los cinco ejes estructurantes de la política de derechos humanos de la </w:t>
      </w:r>
      <w:proofErr w:type="spellStart"/>
      <w:r w:rsidR="001734EB" w:rsidRPr="00077437">
        <w:rPr>
          <w:lang w:val="es-VE"/>
        </w:rPr>
        <w:t>RBV</w:t>
      </w:r>
      <w:proofErr w:type="spellEnd"/>
      <w:r w:rsidR="001734EB" w:rsidRPr="00077437">
        <w:rPr>
          <w:lang w:val="es-VE"/>
        </w:rPr>
        <w:t xml:space="preserve">. El </w:t>
      </w:r>
      <w:proofErr w:type="spellStart"/>
      <w:r w:rsidR="001734EB" w:rsidRPr="00077437">
        <w:rPr>
          <w:lang w:val="es-VE"/>
        </w:rPr>
        <w:t>PNDH</w:t>
      </w:r>
      <w:proofErr w:type="spellEnd"/>
      <w:r w:rsidR="001734EB" w:rsidRPr="00077437">
        <w:rPr>
          <w:lang w:val="es-VE"/>
        </w:rPr>
        <w:t xml:space="preserve"> incluye entre otros principios transversales: i) la igualdad sustantiva, establecida y practicada y </w:t>
      </w:r>
      <w:proofErr w:type="spellStart"/>
      <w:r w:rsidR="001734EB" w:rsidRPr="00077437">
        <w:rPr>
          <w:lang w:val="es-VE"/>
        </w:rPr>
        <w:t>ii</w:t>
      </w:r>
      <w:proofErr w:type="spellEnd"/>
      <w:r w:rsidR="001734EB" w:rsidRPr="00077437">
        <w:rPr>
          <w:lang w:val="es-VE"/>
        </w:rPr>
        <w:t xml:space="preserve">) la atención prioritaria a grupos en situación de vulnerabilidad. En ambos principios se hace </w:t>
      </w:r>
      <w:r w:rsidR="00223132">
        <w:rPr>
          <w:lang w:val="es-VE"/>
        </w:rPr>
        <w:t xml:space="preserve">referencia explícita a las </w:t>
      </w:r>
      <w:proofErr w:type="spellStart"/>
      <w:r w:rsidR="00223132">
        <w:rPr>
          <w:lang w:val="es-VE"/>
        </w:rPr>
        <w:t>PcD</w:t>
      </w:r>
      <w:proofErr w:type="spellEnd"/>
      <w:r w:rsidR="00223132">
        <w:rPr>
          <w:lang w:val="es-VE"/>
        </w:rPr>
        <w:t>.</w:t>
      </w:r>
    </w:p>
    <w:p w14:paraId="66CE8EF9" w14:textId="77777777" w:rsidR="001734EB" w:rsidRPr="00077437" w:rsidRDefault="00A27241" w:rsidP="00054D51">
      <w:pPr>
        <w:pStyle w:val="SingleTxtG"/>
        <w:rPr>
          <w:lang w:val="es-VE"/>
        </w:rPr>
      </w:pPr>
      <w:r>
        <w:rPr>
          <w:lang w:val="es-VE"/>
        </w:rPr>
        <w:t>15.</w:t>
      </w:r>
      <w:r>
        <w:rPr>
          <w:lang w:val="es-VE"/>
        </w:rPr>
        <w:tab/>
      </w:r>
      <w:r w:rsidR="001734EB" w:rsidRPr="00077437">
        <w:rPr>
          <w:lang w:val="es-VE"/>
        </w:rPr>
        <w:t xml:space="preserve">El </w:t>
      </w:r>
      <w:proofErr w:type="spellStart"/>
      <w:r w:rsidR="001734EB" w:rsidRPr="00077437">
        <w:rPr>
          <w:lang w:val="es-VE"/>
        </w:rPr>
        <w:t>PNDH</w:t>
      </w:r>
      <w:proofErr w:type="spellEnd"/>
      <w:r w:rsidR="001734EB" w:rsidRPr="00077437">
        <w:rPr>
          <w:lang w:val="es-VE"/>
        </w:rPr>
        <w:t xml:space="preserve"> incorpora acciones programáticas específicas para las </w:t>
      </w:r>
      <w:proofErr w:type="spellStart"/>
      <w:r w:rsidR="001734EB" w:rsidRPr="00077437">
        <w:rPr>
          <w:lang w:val="es-VE"/>
        </w:rPr>
        <w:t>PcD</w:t>
      </w:r>
      <w:proofErr w:type="spellEnd"/>
      <w:r w:rsidR="001734EB" w:rsidRPr="00077437">
        <w:rPr>
          <w:lang w:val="es-VE"/>
        </w:rPr>
        <w:t>, entre las cuales se encuentran: i) Incorporar</w:t>
      </w:r>
      <w:r w:rsidR="00223132">
        <w:rPr>
          <w:lang w:val="es-VE"/>
        </w:rPr>
        <w:t xml:space="preserve"> </w:t>
      </w:r>
      <w:r w:rsidR="001734EB" w:rsidRPr="00077437">
        <w:rPr>
          <w:lang w:val="es-VE"/>
        </w:rPr>
        <w:t>la</w:t>
      </w:r>
      <w:r w:rsidR="00223132">
        <w:rPr>
          <w:lang w:val="es-VE"/>
        </w:rPr>
        <w:t xml:space="preserve"> </w:t>
      </w:r>
      <w:r w:rsidR="001734EB" w:rsidRPr="00077437">
        <w:rPr>
          <w:lang w:val="es-VE"/>
        </w:rPr>
        <w:t>formación</w:t>
      </w:r>
      <w:r w:rsidR="00223132">
        <w:rPr>
          <w:lang w:val="es-VE"/>
        </w:rPr>
        <w:t xml:space="preserve"> </w:t>
      </w:r>
      <w:r w:rsidR="001734EB" w:rsidRPr="00077437">
        <w:rPr>
          <w:lang w:val="es-VE"/>
        </w:rPr>
        <w:t>en</w:t>
      </w:r>
      <w:r w:rsidR="00223132">
        <w:rPr>
          <w:lang w:val="es-VE"/>
        </w:rPr>
        <w:t xml:space="preserve"> </w:t>
      </w:r>
      <w:r w:rsidR="001734EB" w:rsidRPr="00077437">
        <w:rPr>
          <w:lang w:val="es-VE"/>
        </w:rPr>
        <w:t>Lengua</w:t>
      </w:r>
      <w:r w:rsidR="00223132">
        <w:rPr>
          <w:lang w:val="es-VE"/>
        </w:rPr>
        <w:t xml:space="preserve"> </w:t>
      </w:r>
      <w:r w:rsidR="001734EB" w:rsidRPr="00077437">
        <w:rPr>
          <w:lang w:val="es-VE"/>
        </w:rPr>
        <w:t>de</w:t>
      </w:r>
      <w:r w:rsidR="00223132">
        <w:rPr>
          <w:lang w:val="es-VE"/>
        </w:rPr>
        <w:t xml:space="preserve"> </w:t>
      </w:r>
      <w:r w:rsidR="001734EB" w:rsidRPr="00077437">
        <w:rPr>
          <w:lang w:val="es-VE"/>
        </w:rPr>
        <w:t>Señas Venezolana (</w:t>
      </w:r>
      <w:proofErr w:type="spellStart"/>
      <w:r w:rsidR="001734EB" w:rsidRPr="00077437">
        <w:rPr>
          <w:lang w:val="es-VE"/>
        </w:rPr>
        <w:t>LSV</w:t>
      </w:r>
      <w:proofErr w:type="spellEnd"/>
      <w:r w:rsidR="001734EB" w:rsidRPr="00077437">
        <w:rPr>
          <w:lang w:val="es-VE"/>
        </w:rPr>
        <w:t xml:space="preserve">) dentro de los procesos desarrollados por el Sistema Educativo; </w:t>
      </w:r>
      <w:proofErr w:type="spellStart"/>
      <w:r w:rsidR="001734EB" w:rsidRPr="00077437">
        <w:rPr>
          <w:lang w:val="es-VE"/>
        </w:rPr>
        <w:t>ii</w:t>
      </w:r>
      <w:proofErr w:type="spellEnd"/>
      <w:r w:rsidR="001734EB" w:rsidRPr="00077437">
        <w:rPr>
          <w:lang w:val="es-VE"/>
        </w:rPr>
        <w:t>) Promover</w:t>
      </w:r>
      <w:r w:rsidR="00223132">
        <w:rPr>
          <w:lang w:val="es-VE"/>
        </w:rPr>
        <w:t xml:space="preserve"> </w:t>
      </w:r>
      <w:r w:rsidR="001734EB" w:rsidRPr="00077437">
        <w:rPr>
          <w:lang w:val="es-VE"/>
        </w:rPr>
        <w:t>mensajes</w:t>
      </w:r>
      <w:r w:rsidR="00223132">
        <w:rPr>
          <w:lang w:val="es-VE"/>
        </w:rPr>
        <w:t xml:space="preserve"> </w:t>
      </w:r>
      <w:r w:rsidR="001734EB" w:rsidRPr="00077437">
        <w:rPr>
          <w:lang w:val="es-VE"/>
        </w:rPr>
        <w:t>dirigidos</w:t>
      </w:r>
      <w:r w:rsidR="00223132">
        <w:rPr>
          <w:lang w:val="es-VE"/>
        </w:rPr>
        <w:t xml:space="preserve"> </w:t>
      </w:r>
      <w:r w:rsidR="001734EB" w:rsidRPr="00077437">
        <w:rPr>
          <w:lang w:val="es-VE"/>
        </w:rPr>
        <w:t>a</w:t>
      </w:r>
      <w:r w:rsidR="00223132">
        <w:rPr>
          <w:lang w:val="es-VE"/>
        </w:rPr>
        <w:t xml:space="preserve"> </w:t>
      </w:r>
      <w:r w:rsidR="001734EB" w:rsidRPr="00077437">
        <w:rPr>
          <w:lang w:val="es-VE"/>
        </w:rPr>
        <w:t>afianzar</w:t>
      </w:r>
      <w:r w:rsidR="00223132">
        <w:rPr>
          <w:lang w:val="es-VE"/>
        </w:rPr>
        <w:t xml:space="preserve"> </w:t>
      </w:r>
      <w:r w:rsidR="001734EB" w:rsidRPr="00077437">
        <w:rPr>
          <w:lang w:val="es-VE"/>
        </w:rPr>
        <w:t>el respeto al derecho a la igualdad y no discriminación en todos los entornos públicos y privados, con especial énfasis en grupos</w:t>
      </w:r>
      <w:r w:rsidR="00223132">
        <w:rPr>
          <w:lang w:val="es-VE"/>
        </w:rPr>
        <w:t xml:space="preserve"> </w:t>
      </w:r>
      <w:r w:rsidR="001734EB" w:rsidRPr="00077437">
        <w:rPr>
          <w:lang w:val="es-VE"/>
        </w:rPr>
        <w:t>o</w:t>
      </w:r>
      <w:r w:rsidR="00223132">
        <w:rPr>
          <w:lang w:val="es-VE"/>
        </w:rPr>
        <w:t xml:space="preserve"> </w:t>
      </w:r>
      <w:r w:rsidR="001734EB" w:rsidRPr="00077437">
        <w:rPr>
          <w:lang w:val="es-VE"/>
        </w:rPr>
        <w:t>sectores</w:t>
      </w:r>
      <w:r w:rsidR="00223132">
        <w:rPr>
          <w:lang w:val="es-VE"/>
        </w:rPr>
        <w:t xml:space="preserve"> </w:t>
      </w:r>
      <w:r w:rsidR="001734EB" w:rsidRPr="00077437">
        <w:rPr>
          <w:lang w:val="es-VE"/>
        </w:rPr>
        <w:t xml:space="preserve">históricamente discriminados como las </w:t>
      </w:r>
      <w:proofErr w:type="spellStart"/>
      <w:r w:rsidR="001734EB" w:rsidRPr="00077437">
        <w:rPr>
          <w:lang w:val="es-VE"/>
        </w:rPr>
        <w:t>PcD</w:t>
      </w:r>
      <w:proofErr w:type="spellEnd"/>
      <w:r w:rsidR="001734EB" w:rsidRPr="00077437">
        <w:rPr>
          <w:lang w:val="es-VE"/>
        </w:rPr>
        <w:t xml:space="preserve">; </w:t>
      </w:r>
      <w:proofErr w:type="spellStart"/>
      <w:r w:rsidR="001734EB" w:rsidRPr="00077437">
        <w:rPr>
          <w:lang w:val="es-VE"/>
        </w:rPr>
        <w:t>iii</w:t>
      </w:r>
      <w:proofErr w:type="spellEnd"/>
      <w:r w:rsidR="001734EB" w:rsidRPr="00077437">
        <w:rPr>
          <w:lang w:val="es-VE"/>
        </w:rPr>
        <w:t>) Continuar</w:t>
      </w:r>
      <w:r w:rsidR="00223132">
        <w:rPr>
          <w:lang w:val="es-VE"/>
        </w:rPr>
        <w:t xml:space="preserve"> </w:t>
      </w:r>
      <w:r w:rsidR="001734EB" w:rsidRPr="00077437">
        <w:rPr>
          <w:lang w:val="es-VE"/>
        </w:rPr>
        <w:t>fortaleciendo</w:t>
      </w:r>
      <w:r w:rsidR="00223132">
        <w:rPr>
          <w:lang w:val="es-VE"/>
        </w:rPr>
        <w:t xml:space="preserve"> </w:t>
      </w:r>
      <w:r w:rsidR="001734EB" w:rsidRPr="00077437">
        <w:rPr>
          <w:lang w:val="es-VE"/>
        </w:rPr>
        <w:t>y</w:t>
      </w:r>
      <w:r w:rsidR="00223132">
        <w:rPr>
          <w:lang w:val="es-VE"/>
        </w:rPr>
        <w:t xml:space="preserve"> </w:t>
      </w:r>
      <w:r w:rsidR="001734EB" w:rsidRPr="00077437">
        <w:rPr>
          <w:lang w:val="es-VE"/>
        </w:rPr>
        <w:t>ampliando</w:t>
      </w:r>
      <w:r w:rsidR="00223132">
        <w:rPr>
          <w:lang w:val="es-VE"/>
        </w:rPr>
        <w:t xml:space="preserve"> </w:t>
      </w:r>
      <w:r w:rsidR="001734EB" w:rsidRPr="00077437">
        <w:rPr>
          <w:lang w:val="es-VE"/>
        </w:rPr>
        <w:t>las</w:t>
      </w:r>
      <w:r w:rsidR="00223132">
        <w:rPr>
          <w:lang w:val="es-VE"/>
        </w:rPr>
        <w:t xml:space="preserve"> </w:t>
      </w:r>
      <w:r w:rsidR="001734EB" w:rsidRPr="00077437">
        <w:rPr>
          <w:lang w:val="es-VE"/>
        </w:rPr>
        <w:t>capacidades del Consejo Nacional de Personas con Discapacidad (</w:t>
      </w:r>
      <w:proofErr w:type="spellStart"/>
      <w:r w:rsidR="001734EB" w:rsidRPr="00077437">
        <w:rPr>
          <w:lang w:val="es-VE"/>
        </w:rPr>
        <w:t>CONAPDIS</w:t>
      </w:r>
      <w:proofErr w:type="spellEnd"/>
      <w:r w:rsidR="001734EB" w:rsidRPr="00077437">
        <w:rPr>
          <w:lang w:val="es-VE"/>
        </w:rPr>
        <w:t xml:space="preserve">) y de la Misión José Gregorio Hernández, prestando especial atención a la optimización del Registro Nacional de </w:t>
      </w:r>
      <w:proofErr w:type="spellStart"/>
      <w:r w:rsidR="001734EB" w:rsidRPr="00077437">
        <w:rPr>
          <w:lang w:val="es-VE"/>
        </w:rPr>
        <w:t>PcD</w:t>
      </w:r>
      <w:proofErr w:type="spellEnd"/>
      <w:r w:rsidR="001734EB" w:rsidRPr="00077437">
        <w:rPr>
          <w:lang w:val="es-VE"/>
        </w:rPr>
        <w:t xml:space="preserve">; </w:t>
      </w:r>
      <w:proofErr w:type="spellStart"/>
      <w:r w:rsidR="001734EB" w:rsidRPr="00077437">
        <w:rPr>
          <w:lang w:val="es-VE"/>
        </w:rPr>
        <w:t>iv</w:t>
      </w:r>
      <w:proofErr w:type="spellEnd"/>
      <w:r w:rsidR="001734EB" w:rsidRPr="00077437">
        <w:rPr>
          <w:lang w:val="es-VE"/>
        </w:rPr>
        <w:t xml:space="preserve">) Generar un mecanismo que asegure la presencia de intérpretes de </w:t>
      </w:r>
      <w:proofErr w:type="spellStart"/>
      <w:r w:rsidR="001734EB" w:rsidRPr="00077437">
        <w:rPr>
          <w:lang w:val="es-VE"/>
        </w:rPr>
        <w:t>LSV</w:t>
      </w:r>
      <w:proofErr w:type="spellEnd"/>
      <w:r w:rsidR="001734EB" w:rsidRPr="00077437">
        <w:rPr>
          <w:lang w:val="es-VE"/>
        </w:rPr>
        <w:t xml:space="preserve"> y de idiomas indígenas en las instituciones responsables de la garantía y protección de los derechos humanos, a fin de asegurar la accesibilidad de las </w:t>
      </w:r>
      <w:proofErr w:type="spellStart"/>
      <w:r w:rsidR="001734EB" w:rsidRPr="00077437">
        <w:rPr>
          <w:lang w:val="es-VE"/>
        </w:rPr>
        <w:t>PcD</w:t>
      </w:r>
      <w:proofErr w:type="spellEnd"/>
      <w:r w:rsidR="001734EB" w:rsidRPr="00077437">
        <w:rPr>
          <w:lang w:val="es-VE"/>
        </w:rPr>
        <w:t xml:space="preserve"> y también de los pueblos indígenas; v) Fortalecer los mecanismos que permitan garantizar el ejercicio del derecho al trabajo de las </w:t>
      </w:r>
      <w:proofErr w:type="spellStart"/>
      <w:r w:rsidR="001734EB" w:rsidRPr="00077437">
        <w:rPr>
          <w:lang w:val="es-VE"/>
        </w:rPr>
        <w:t>PcD</w:t>
      </w:r>
      <w:proofErr w:type="spellEnd"/>
      <w:r w:rsidR="001734EB" w:rsidRPr="00077437">
        <w:rPr>
          <w:lang w:val="es-VE"/>
        </w:rPr>
        <w:t xml:space="preserve"> en el sector público y privado; vi) Continuar adoptando acciones para asegurar</w:t>
      </w:r>
      <w:r w:rsidR="00223132">
        <w:rPr>
          <w:lang w:val="es-VE"/>
        </w:rPr>
        <w:t xml:space="preserve"> </w:t>
      </w:r>
      <w:r w:rsidR="001734EB" w:rsidRPr="00077437">
        <w:rPr>
          <w:lang w:val="es-VE"/>
        </w:rPr>
        <w:t>y</w:t>
      </w:r>
      <w:r w:rsidR="00223132">
        <w:rPr>
          <w:lang w:val="es-VE"/>
        </w:rPr>
        <w:t xml:space="preserve"> </w:t>
      </w:r>
      <w:r w:rsidR="001734EB" w:rsidRPr="00077437">
        <w:rPr>
          <w:lang w:val="es-VE"/>
        </w:rPr>
        <w:t>promover</w:t>
      </w:r>
      <w:r w:rsidR="00223132">
        <w:rPr>
          <w:lang w:val="es-VE"/>
        </w:rPr>
        <w:t xml:space="preserve"> </w:t>
      </w:r>
      <w:r w:rsidR="001734EB" w:rsidRPr="00077437">
        <w:rPr>
          <w:lang w:val="es-VE"/>
        </w:rPr>
        <w:t>la</w:t>
      </w:r>
      <w:r w:rsidR="00223132">
        <w:rPr>
          <w:lang w:val="es-VE"/>
        </w:rPr>
        <w:t xml:space="preserve"> </w:t>
      </w:r>
      <w:r w:rsidR="001734EB" w:rsidRPr="00077437">
        <w:rPr>
          <w:lang w:val="es-VE"/>
        </w:rPr>
        <w:t>plena</w:t>
      </w:r>
      <w:r w:rsidR="00223132">
        <w:rPr>
          <w:lang w:val="es-VE"/>
        </w:rPr>
        <w:t xml:space="preserve"> </w:t>
      </w:r>
      <w:r w:rsidR="001734EB" w:rsidRPr="00077437">
        <w:rPr>
          <w:lang w:val="es-VE"/>
        </w:rPr>
        <w:t>participación</w:t>
      </w:r>
      <w:r w:rsidR="00223132">
        <w:rPr>
          <w:lang w:val="es-VE"/>
        </w:rPr>
        <w:t xml:space="preserve"> </w:t>
      </w:r>
      <w:r w:rsidR="001734EB" w:rsidRPr="00077437">
        <w:rPr>
          <w:lang w:val="es-VE"/>
        </w:rPr>
        <w:t xml:space="preserve">de las </w:t>
      </w:r>
      <w:proofErr w:type="spellStart"/>
      <w:r w:rsidR="001734EB" w:rsidRPr="00077437">
        <w:rPr>
          <w:lang w:val="es-VE"/>
        </w:rPr>
        <w:t>PcD</w:t>
      </w:r>
      <w:proofErr w:type="spellEnd"/>
      <w:r w:rsidR="001734EB" w:rsidRPr="00077437">
        <w:rPr>
          <w:lang w:val="es-VE"/>
        </w:rPr>
        <w:t xml:space="preserve"> en los procesos electorales, implementando los mecanismos de accesibilidad necesarios. </w:t>
      </w:r>
    </w:p>
    <w:p w14:paraId="1D4FE65D" w14:textId="77777777" w:rsidR="001734EB" w:rsidRPr="00077437" w:rsidRDefault="00A27241" w:rsidP="00054D51">
      <w:pPr>
        <w:pStyle w:val="H1G"/>
        <w:rPr>
          <w:lang w:val="es-VE"/>
        </w:rPr>
      </w:pPr>
      <w:r>
        <w:tab/>
      </w:r>
      <w:r>
        <w:tab/>
      </w:r>
      <w:r w:rsidR="00C154C7" w:rsidRPr="00F96454">
        <w:t xml:space="preserve">Respuesta </w:t>
      </w:r>
      <w:r w:rsidR="00C154C7">
        <w:t xml:space="preserve">a la </w:t>
      </w:r>
      <w:r w:rsidR="00C154C7">
        <w:rPr>
          <w:lang w:val="es-VE"/>
        </w:rPr>
        <w:t>c</w:t>
      </w:r>
      <w:r w:rsidR="001734EB" w:rsidRPr="00077437">
        <w:rPr>
          <w:lang w:val="es-VE"/>
        </w:rPr>
        <w:t>uestión 3</w:t>
      </w:r>
    </w:p>
    <w:p w14:paraId="1D453396" w14:textId="77777777" w:rsidR="001734EB" w:rsidRPr="00077437" w:rsidRDefault="00A27241" w:rsidP="00054D51">
      <w:pPr>
        <w:pStyle w:val="SingleTxtG"/>
        <w:rPr>
          <w:lang w:val="es-VE"/>
        </w:rPr>
      </w:pPr>
      <w:r>
        <w:rPr>
          <w:lang w:val="es-VE"/>
        </w:rPr>
        <w:t>16.</w:t>
      </w:r>
      <w:r>
        <w:rPr>
          <w:lang w:val="es-VE"/>
        </w:rPr>
        <w:tab/>
      </w:r>
      <w:r w:rsidR="001734EB" w:rsidRPr="00077437">
        <w:rPr>
          <w:lang w:val="es-VE"/>
        </w:rPr>
        <w:t xml:space="preserve">Conforme a la </w:t>
      </w:r>
      <w:proofErr w:type="spellStart"/>
      <w:r w:rsidR="001734EB" w:rsidRPr="00077437">
        <w:rPr>
          <w:lang w:val="es-VE"/>
        </w:rPr>
        <w:t>CRBV</w:t>
      </w:r>
      <w:proofErr w:type="spellEnd"/>
      <w:r w:rsidR="001734EB" w:rsidRPr="00054D51">
        <w:rPr>
          <w:sz w:val="18"/>
          <w:vertAlign w:val="superscript"/>
          <w:lang w:val="es-VE"/>
        </w:rPr>
        <w:footnoteReference w:id="15"/>
      </w:r>
      <w:r w:rsidR="001734EB" w:rsidRPr="00077437">
        <w:rPr>
          <w:lang w:val="es-VE"/>
        </w:rPr>
        <w:t xml:space="preserve">, todas las personas tienen el derecho de participar libremente en los asuntos públicos, directamente o por medio de sus representantes elegidos. Para favorecer el ejercicio de este derecho, la </w:t>
      </w:r>
      <w:proofErr w:type="spellStart"/>
      <w:r w:rsidR="001734EB" w:rsidRPr="00077437">
        <w:rPr>
          <w:lang w:val="es-VE"/>
        </w:rPr>
        <w:t>LPCD</w:t>
      </w:r>
      <w:proofErr w:type="spellEnd"/>
      <w:r w:rsidR="001734EB" w:rsidRPr="00077437">
        <w:rPr>
          <w:lang w:val="es-VE"/>
        </w:rPr>
        <w:t xml:space="preserve"> en su artículo 49 contempla la figura de los Comités Comunitarios de </w:t>
      </w:r>
      <w:proofErr w:type="spellStart"/>
      <w:r w:rsidR="001734EB" w:rsidRPr="00077437">
        <w:rPr>
          <w:lang w:val="es-VE"/>
        </w:rPr>
        <w:t>PcD</w:t>
      </w:r>
      <w:proofErr w:type="spellEnd"/>
      <w:r w:rsidR="001734EB" w:rsidRPr="00077437">
        <w:rPr>
          <w:lang w:val="es-VE"/>
        </w:rPr>
        <w:t xml:space="preserve"> (</w:t>
      </w:r>
      <w:proofErr w:type="spellStart"/>
      <w:r w:rsidR="001734EB" w:rsidRPr="00077437">
        <w:rPr>
          <w:lang w:val="es-VE"/>
        </w:rPr>
        <w:t>CCPCD</w:t>
      </w:r>
      <w:proofErr w:type="spellEnd"/>
      <w:r w:rsidR="001734EB" w:rsidRPr="00077437">
        <w:rPr>
          <w:lang w:val="es-VE"/>
        </w:rPr>
        <w:t xml:space="preserve">), como una instancia de organización, participación y protagonismo pleno de las </w:t>
      </w:r>
      <w:proofErr w:type="spellStart"/>
      <w:r w:rsidR="001734EB" w:rsidRPr="00077437">
        <w:rPr>
          <w:lang w:val="es-VE"/>
        </w:rPr>
        <w:t>PcD</w:t>
      </w:r>
      <w:proofErr w:type="spellEnd"/>
      <w:r w:rsidR="001734EB" w:rsidRPr="00077437">
        <w:rPr>
          <w:lang w:val="es-VE"/>
        </w:rPr>
        <w:t xml:space="preserve">. Entre otras cosas, los </w:t>
      </w:r>
      <w:proofErr w:type="spellStart"/>
      <w:r w:rsidR="001734EB" w:rsidRPr="00077437">
        <w:rPr>
          <w:lang w:val="es-VE"/>
        </w:rPr>
        <w:t>CCPCD</w:t>
      </w:r>
      <w:proofErr w:type="spellEnd"/>
      <w:r w:rsidR="001734EB" w:rsidRPr="00077437">
        <w:rPr>
          <w:lang w:val="es-VE"/>
        </w:rPr>
        <w:t xml:space="preserve"> participan en la ejecución de las políticas públicas desarrolladas para las </w:t>
      </w:r>
      <w:proofErr w:type="spellStart"/>
      <w:r w:rsidR="001734EB" w:rsidRPr="00077437">
        <w:rPr>
          <w:lang w:val="es-VE"/>
        </w:rPr>
        <w:t>PcD</w:t>
      </w:r>
      <w:proofErr w:type="spellEnd"/>
      <w:r w:rsidR="001734EB" w:rsidRPr="00077437">
        <w:rPr>
          <w:lang w:val="es-VE"/>
        </w:rPr>
        <w:t xml:space="preserve"> de su área poblacional. </w:t>
      </w:r>
    </w:p>
    <w:p w14:paraId="02D8C502" w14:textId="77777777" w:rsidR="001734EB" w:rsidRPr="00077437" w:rsidRDefault="00A27241" w:rsidP="00054D51">
      <w:pPr>
        <w:pStyle w:val="SingleTxtG"/>
        <w:rPr>
          <w:lang w:val="es-VE"/>
        </w:rPr>
      </w:pPr>
      <w:r>
        <w:rPr>
          <w:lang w:val="es-VE"/>
        </w:rPr>
        <w:t>17.</w:t>
      </w:r>
      <w:r>
        <w:rPr>
          <w:lang w:val="es-VE"/>
        </w:rPr>
        <w:tab/>
      </w:r>
      <w:r w:rsidR="001734EB" w:rsidRPr="00077437">
        <w:rPr>
          <w:lang w:val="es-VE"/>
        </w:rPr>
        <w:t xml:space="preserve">Desde el año 2015 hasta la actualidad, se han incrementado progresivamente los </w:t>
      </w:r>
      <w:proofErr w:type="spellStart"/>
      <w:r w:rsidR="001734EB" w:rsidRPr="00077437">
        <w:rPr>
          <w:lang w:val="es-VE"/>
        </w:rPr>
        <w:t>CCPCD</w:t>
      </w:r>
      <w:proofErr w:type="spellEnd"/>
      <w:r w:rsidR="001734EB" w:rsidRPr="00077437">
        <w:rPr>
          <w:lang w:val="es-VE"/>
        </w:rPr>
        <w:t xml:space="preserve">, registrándose 3.999 nuevos comités a nivel nacional. Estas instancias de organización y participación han sido fundamentales para el desarrollo de los diagnósticos de necesidades de las </w:t>
      </w:r>
      <w:proofErr w:type="spellStart"/>
      <w:r w:rsidR="001734EB" w:rsidRPr="00077437">
        <w:rPr>
          <w:lang w:val="es-VE"/>
        </w:rPr>
        <w:t>PcD</w:t>
      </w:r>
      <w:proofErr w:type="spellEnd"/>
      <w:r w:rsidR="001734EB" w:rsidRPr="00077437">
        <w:rPr>
          <w:lang w:val="es-VE"/>
        </w:rPr>
        <w:t xml:space="preserve"> en cada una de las comunidades, así como para la entrega de ayudas técnicas, la asistencia médica y los abordajes integrales e interdisciplinarios a las </w:t>
      </w:r>
      <w:proofErr w:type="spellStart"/>
      <w:r w:rsidR="001734EB" w:rsidRPr="00077437">
        <w:rPr>
          <w:lang w:val="es-VE"/>
        </w:rPr>
        <w:t>PcD</w:t>
      </w:r>
      <w:proofErr w:type="spellEnd"/>
      <w:r w:rsidR="001734EB" w:rsidRPr="00077437">
        <w:rPr>
          <w:lang w:val="es-VE"/>
        </w:rPr>
        <w:t xml:space="preserve"> y sus familias.</w:t>
      </w:r>
    </w:p>
    <w:p w14:paraId="510A8417" w14:textId="77777777" w:rsidR="001734EB" w:rsidRPr="00077437" w:rsidRDefault="00A27241" w:rsidP="00054D51">
      <w:pPr>
        <w:pStyle w:val="SingleTxtG"/>
        <w:rPr>
          <w:lang w:val="es-VE"/>
        </w:rPr>
      </w:pPr>
      <w:r>
        <w:rPr>
          <w:lang w:val="es-VE"/>
        </w:rPr>
        <w:t>18.</w:t>
      </w:r>
      <w:r>
        <w:rPr>
          <w:lang w:val="es-VE"/>
        </w:rPr>
        <w:tab/>
      </w:r>
      <w:r w:rsidR="001734EB" w:rsidRPr="00077437">
        <w:rPr>
          <w:lang w:val="es-VE"/>
        </w:rPr>
        <w:t xml:space="preserve">En Venezuela no existen restricciones de ningún tipo a las organizaciones de </w:t>
      </w:r>
      <w:proofErr w:type="spellStart"/>
      <w:r w:rsidR="001734EB" w:rsidRPr="00077437">
        <w:rPr>
          <w:lang w:val="es-VE"/>
        </w:rPr>
        <w:t>PcD</w:t>
      </w:r>
      <w:proofErr w:type="spellEnd"/>
      <w:r w:rsidR="001734EB" w:rsidRPr="00077437">
        <w:rPr>
          <w:lang w:val="es-VE"/>
        </w:rPr>
        <w:t xml:space="preserve"> para establecerse y ser integradas a la toma de decisiones de los órganos del Estado, por no tener afinidad política con el gobierno. </w:t>
      </w:r>
    </w:p>
    <w:p w14:paraId="1B7A4033" w14:textId="77777777" w:rsidR="001734EB" w:rsidRPr="00077437" w:rsidRDefault="00A27241" w:rsidP="00054D51">
      <w:pPr>
        <w:pStyle w:val="SingleTxtG"/>
        <w:rPr>
          <w:lang w:val="es-VE"/>
        </w:rPr>
      </w:pPr>
      <w:r>
        <w:rPr>
          <w:lang w:val="es-VE"/>
        </w:rPr>
        <w:t>19.</w:t>
      </w:r>
      <w:r>
        <w:rPr>
          <w:lang w:val="es-VE"/>
        </w:rPr>
        <w:tab/>
      </w:r>
      <w:r w:rsidR="001734EB" w:rsidRPr="00077437">
        <w:rPr>
          <w:lang w:val="es-VE"/>
        </w:rPr>
        <w:t xml:space="preserve">La </w:t>
      </w:r>
      <w:proofErr w:type="spellStart"/>
      <w:r w:rsidR="001734EB" w:rsidRPr="00077437">
        <w:rPr>
          <w:lang w:val="es-VE"/>
        </w:rPr>
        <w:t>RBV</w:t>
      </w:r>
      <w:proofErr w:type="spellEnd"/>
      <w:r w:rsidR="001734EB" w:rsidRPr="00077437">
        <w:rPr>
          <w:lang w:val="es-VE"/>
        </w:rPr>
        <w:t xml:space="preserve"> garantiza plenamente el derecho a la manifestación pacífica y sin armas de las </w:t>
      </w:r>
      <w:proofErr w:type="spellStart"/>
      <w:r w:rsidR="001734EB" w:rsidRPr="00077437">
        <w:rPr>
          <w:lang w:val="es-VE"/>
        </w:rPr>
        <w:t>PcD</w:t>
      </w:r>
      <w:proofErr w:type="spellEnd"/>
      <w:r w:rsidR="001734EB" w:rsidRPr="00077437">
        <w:rPr>
          <w:lang w:val="es-VE"/>
        </w:rPr>
        <w:t>. Como parte de la garantía de ese derecho, el Ministerio del Poder Popular de Relaciones Interiores, Justicia y Paz (</w:t>
      </w:r>
      <w:proofErr w:type="spellStart"/>
      <w:r w:rsidR="001734EB" w:rsidRPr="00077437">
        <w:rPr>
          <w:lang w:val="es-VE"/>
        </w:rPr>
        <w:t>MPPRIJP</w:t>
      </w:r>
      <w:proofErr w:type="spellEnd"/>
      <w:r w:rsidR="001734EB" w:rsidRPr="00077437">
        <w:rPr>
          <w:lang w:val="es-VE"/>
        </w:rPr>
        <w:t xml:space="preserve">) y el </w:t>
      </w:r>
      <w:proofErr w:type="spellStart"/>
      <w:r w:rsidR="001734EB" w:rsidRPr="00077437">
        <w:rPr>
          <w:lang w:val="es-VE"/>
        </w:rPr>
        <w:t>CONAPDIS</w:t>
      </w:r>
      <w:proofErr w:type="spellEnd"/>
      <w:r w:rsidR="001734EB" w:rsidRPr="00077437">
        <w:rPr>
          <w:lang w:val="es-VE"/>
        </w:rPr>
        <w:t xml:space="preserve"> han desarrollado 15 encuentros formativos, dirigidos a 2.250 funcionarios policiales a nivel nacional, con la finalidad de garantizar el conocimiento pleno de la normativa vigente y la política del Estado para la atención a las </w:t>
      </w:r>
      <w:proofErr w:type="spellStart"/>
      <w:r w:rsidR="001734EB" w:rsidRPr="00077437">
        <w:rPr>
          <w:lang w:val="es-VE"/>
        </w:rPr>
        <w:t>PcD</w:t>
      </w:r>
      <w:proofErr w:type="spellEnd"/>
      <w:r w:rsidR="001734EB" w:rsidRPr="00077437">
        <w:rPr>
          <w:lang w:val="es-VE"/>
        </w:rPr>
        <w:t xml:space="preserve">, favoreciendo un trato digno y respetuoso por parte de los órganos de policía. </w:t>
      </w:r>
    </w:p>
    <w:p w14:paraId="3BFDA6D7" w14:textId="77777777" w:rsidR="001734EB" w:rsidRPr="00077437" w:rsidRDefault="00A27241" w:rsidP="00054D51">
      <w:pPr>
        <w:pStyle w:val="SingleTxtG"/>
        <w:rPr>
          <w:lang w:val="es-VE"/>
        </w:rPr>
      </w:pPr>
      <w:r>
        <w:rPr>
          <w:lang w:val="es-VE"/>
        </w:rPr>
        <w:t>20.</w:t>
      </w:r>
      <w:r>
        <w:rPr>
          <w:lang w:val="es-VE"/>
        </w:rPr>
        <w:tab/>
      </w:r>
      <w:r w:rsidR="001734EB" w:rsidRPr="00077437">
        <w:rPr>
          <w:lang w:val="es-VE"/>
        </w:rPr>
        <w:t xml:space="preserve">En el año 2017 se incluyó la atención a las </w:t>
      </w:r>
      <w:proofErr w:type="spellStart"/>
      <w:r w:rsidR="001734EB" w:rsidRPr="00077437">
        <w:rPr>
          <w:lang w:val="es-VE"/>
        </w:rPr>
        <w:t>PcD</w:t>
      </w:r>
      <w:proofErr w:type="spellEnd"/>
      <w:r w:rsidR="001734EB" w:rsidRPr="00077437">
        <w:rPr>
          <w:lang w:val="es-VE"/>
        </w:rPr>
        <w:t xml:space="preserve"> como eje temático en el concurso de buenas prácticas policiales. Igualmente, se elaboró un Manual de Atención a las </w:t>
      </w:r>
      <w:proofErr w:type="spellStart"/>
      <w:r w:rsidR="001734EB" w:rsidRPr="00077437">
        <w:rPr>
          <w:lang w:val="es-VE"/>
        </w:rPr>
        <w:t>PcD</w:t>
      </w:r>
      <w:proofErr w:type="spellEnd"/>
      <w:r w:rsidR="001734EB" w:rsidRPr="00077437">
        <w:rPr>
          <w:lang w:val="es-VE"/>
        </w:rPr>
        <w:t xml:space="preserve"> y se definió el estándar de actuación policial hacía las </w:t>
      </w:r>
      <w:proofErr w:type="spellStart"/>
      <w:r w:rsidR="001734EB" w:rsidRPr="00077437">
        <w:rPr>
          <w:lang w:val="es-VE"/>
        </w:rPr>
        <w:t>PcD</w:t>
      </w:r>
      <w:proofErr w:type="spellEnd"/>
      <w:r w:rsidR="001734EB" w:rsidRPr="00077437">
        <w:rPr>
          <w:lang w:val="es-VE"/>
        </w:rPr>
        <w:t xml:space="preserve">, bajo la asesoría del Consejo General </w:t>
      </w:r>
      <w:r w:rsidR="001734EB" w:rsidRPr="00077437">
        <w:rPr>
          <w:lang w:val="es-VE"/>
        </w:rPr>
        <w:lastRenderedPageBreak/>
        <w:t xml:space="preserve">de Policía. El tema de la atención a las </w:t>
      </w:r>
      <w:proofErr w:type="spellStart"/>
      <w:r w:rsidR="001734EB" w:rsidRPr="00077437">
        <w:rPr>
          <w:lang w:val="es-VE"/>
        </w:rPr>
        <w:t>PcD</w:t>
      </w:r>
      <w:proofErr w:type="spellEnd"/>
      <w:r w:rsidR="001734EB" w:rsidRPr="00077437">
        <w:rPr>
          <w:lang w:val="es-VE"/>
        </w:rPr>
        <w:t xml:space="preserve"> fue incorporado en el Programa de Reentrenamiento Policial 2018-2019, dirigido a todos los organismos policiales del país. </w:t>
      </w:r>
    </w:p>
    <w:p w14:paraId="0CF6566F" w14:textId="77777777" w:rsidR="001734EB" w:rsidRPr="00077437" w:rsidRDefault="00426D34" w:rsidP="00054D51">
      <w:pPr>
        <w:pStyle w:val="H1G"/>
        <w:rPr>
          <w:lang w:val="es-VE"/>
        </w:rPr>
      </w:pPr>
      <w:r w:rsidRPr="00077437">
        <w:rPr>
          <w:lang w:val="es-VE"/>
        </w:rPr>
        <w:tab/>
      </w:r>
      <w:r w:rsidR="001734EB" w:rsidRPr="00077437">
        <w:rPr>
          <w:lang w:val="es-VE"/>
        </w:rPr>
        <w:t xml:space="preserve">B. </w:t>
      </w:r>
      <w:r w:rsidRPr="00077437">
        <w:rPr>
          <w:lang w:val="es-VE"/>
        </w:rPr>
        <w:tab/>
      </w:r>
      <w:r w:rsidR="001734EB" w:rsidRPr="00077437">
        <w:rPr>
          <w:lang w:val="es-VE"/>
        </w:rPr>
        <w:t>Derechos específicos (arts. 5 a 30)</w:t>
      </w:r>
    </w:p>
    <w:p w14:paraId="615E8902" w14:textId="77777777" w:rsidR="001734EB" w:rsidRPr="00077437" w:rsidRDefault="00A27241" w:rsidP="00054D51">
      <w:pPr>
        <w:pStyle w:val="H1G"/>
        <w:rPr>
          <w:lang w:val="es-VE"/>
        </w:rPr>
      </w:pPr>
      <w:r>
        <w:rPr>
          <w:lang w:val="es-VE"/>
        </w:rPr>
        <w:tab/>
      </w:r>
      <w:r>
        <w:rPr>
          <w:lang w:val="es-VE"/>
        </w:rPr>
        <w:tab/>
      </w:r>
      <w:r w:rsidR="001734EB" w:rsidRPr="00077437">
        <w:rPr>
          <w:lang w:val="es-VE"/>
        </w:rPr>
        <w:t>Igualdad y no discriminación (art. 5)</w:t>
      </w:r>
    </w:p>
    <w:p w14:paraId="02BB03C6" w14:textId="77777777" w:rsidR="001734EB" w:rsidRPr="00077437" w:rsidRDefault="00A27241" w:rsidP="00054D51">
      <w:pPr>
        <w:pStyle w:val="H1G"/>
        <w:rPr>
          <w:lang w:val="es-VE"/>
        </w:rPr>
      </w:pPr>
      <w:r>
        <w:tab/>
      </w:r>
      <w:r>
        <w:tab/>
      </w:r>
      <w:r w:rsidR="00C154C7" w:rsidRPr="00F96454">
        <w:t xml:space="preserve">Respuesta </w:t>
      </w:r>
      <w:r w:rsidR="00C154C7">
        <w:t xml:space="preserve">a la </w:t>
      </w:r>
      <w:r w:rsidR="00C154C7">
        <w:rPr>
          <w:lang w:val="es-VE"/>
        </w:rPr>
        <w:t>c</w:t>
      </w:r>
      <w:r w:rsidR="001734EB" w:rsidRPr="00077437">
        <w:rPr>
          <w:lang w:val="es-VE"/>
        </w:rPr>
        <w:t>uestión 4</w:t>
      </w:r>
    </w:p>
    <w:p w14:paraId="5B8C6193" w14:textId="77777777" w:rsidR="001734EB" w:rsidRPr="00077437" w:rsidRDefault="00C42365" w:rsidP="00054D51">
      <w:pPr>
        <w:pStyle w:val="SingleTxtG"/>
        <w:rPr>
          <w:lang w:val="es-VE"/>
        </w:rPr>
      </w:pPr>
      <w:r>
        <w:rPr>
          <w:lang w:val="es-VE"/>
        </w:rPr>
        <w:t>21.</w:t>
      </w:r>
      <w:r>
        <w:rPr>
          <w:lang w:val="es-VE"/>
        </w:rPr>
        <w:tab/>
      </w:r>
      <w:r w:rsidR="001734EB" w:rsidRPr="00077437">
        <w:rPr>
          <w:lang w:val="es-VE"/>
        </w:rPr>
        <w:t xml:space="preserve">La ANC se encuentra elaborando nueva norma jurídica en materia de </w:t>
      </w:r>
      <w:proofErr w:type="spellStart"/>
      <w:r w:rsidR="001734EB" w:rsidRPr="00077437">
        <w:rPr>
          <w:lang w:val="es-VE"/>
        </w:rPr>
        <w:t>PcD</w:t>
      </w:r>
      <w:proofErr w:type="spellEnd"/>
      <w:r w:rsidR="001734EB" w:rsidRPr="00077437">
        <w:rPr>
          <w:lang w:val="es-VE"/>
        </w:rPr>
        <w:t xml:space="preserve">, totalmente adecuada a los principios de la </w:t>
      </w:r>
      <w:proofErr w:type="spellStart"/>
      <w:r w:rsidR="001734EB" w:rsidRPr="00077437">
        <w:rPr>
          <w:lang w:val="es-VE"/>
        </w:rPr>
        <w:t>CDPD</w:t>
      </w:r>
      <w:proofErr w:type="spellEnd"/>
      <w:r w:rsidR="001734EB" w:rsidRPr="00077437">
        <w:rPr>
          <w:lang w:val="es-VE"/>
        </w:rPr>
        <w:t xml:space="preserve">. Igualmente, trabaja en un nuevo texto constitucional que prevé incorporar un capítulo dirigido a las </w:t>
      </w:r>
      <w:proofErr w:type="spellStart"/>
      <w:r w:rsidR="001734EB" w:rsidRPr="00077437">
        <w:rPr>
          <w:lang w:val="es-VE"/>
        </w:rPr>
        <w:t>PcD</w:t>
      </w:r>
      <w:proofErr w:type="spellEnd"/>
      <w:r w:rsidR="001734EB" w:rsidRPr="00077437">
        <w:rPr>
          <w:lang w:val="es-VE"/>
        </w:rPr>
        <w:t xml:space="preserve"> y hacer referencia explícita a la no discriminación hacia las </w:t>
      </w:r>
      <w:proofErr w:type="spellStart"/>
      <w:r w:rsidR="001734EB" w:rsidRPr="00077437">
        <w:rPr>
          <w:lang w:val="es-VE"/>
        </w:rPr>
        <w:t>PcD</w:t>
      </w:r>
      <w:proofErr w:type="spellEnd"/>
      <w:r w:rsidR="001734EB" w:rsidRPr="00077437">
        <w:rPr>
          <w:lang w:val="es-VE"/>
        </w:rPr>
        <w:t xml:space="preserve">. </w:t>
      </w:r>
    </w:p>
    <w:p w14:paraId="33882969" w14:textId="77777777" w:rsidR="001734EB" w:rsidRPr="00077437" w:rsidRDefault="00C42365" w:rsidP="00054D51">
      <w:pPr>
        <w:pStyle w:val="SingleTxtG"/>
        <w:rPr>
          <w:lang w:val="es-VE"/>
        </w:rPr>
      </w:pPr>
      <w:r>
        <w:rPr>
          <w:lang w:val="es-VE"/>
        </w:rPr>
        <w:t>22.</w:t>
      </w:r>
      <w:r>
        <w:rPr>
          <w:lang w:val="es-VE"/>
        </w:rPr>
        <w:tab/>
      </w:r>
      <w:r w:rsidR="001734EB" w:rsidRPr="00077437">
        <w:rPr>
          <w:lang w:val="es-VE"/>
        </w:rPr>
        <w:t>En diciembre de 2014 se aprobó la Ley de Promoción y Protección del Derecho a la Igualdad de las Pe</w:t>
      </w:r>
      <w:r w:rsidR="000A0878">
        <w:rPr>
          <w:lang w:val="es-VE"/>
        </w:rPr>
        <w:t>rsonas con VIH y sus Familiares</w:t>
      </w:r>
      <w:r w:rsidR="001734EB" w:rsidRPr="00054D51">
        <w:rPr>
          <w:sz w:val="18"/>
          <w:vertAlign w:val="superscript"/>
          <w:lang w:val="es-VE"/>
        </w:rPr>
        <w:footnoteReference w:id="16"/>
      </w:r>
      <w:r w:rsidR="000A0878">
        <w:rPr>
          <w:lang w:val="es-VE"/>
        </w:rPr>
        <w:t>.</w:t>
      </w:r>
      <w:r w:rsidR="001734EB" w:rsidRPr="00077437">
        <w:rPr>
          <w:lang w:val="es-VE"/>
        </w:rPr>
        <w:t xml:space="preserve"> Esta Ley consagra el derecho a la igualdad de las </w:t>
      </w:r>
      <w:proofErr w:type="spellStart"/>
      <w:r w:rsidR="001734EB" w:rsidRPr="00077437">
        <w:rPr>
          <w:lang w:val="es-VE"/>
        </w:rPr>
        <w:t>PcD</w:t>
      </w:r>
      <w:proofErr w:type="spellEnd"/>
      <w:r w:rsidR="001734EB" w:rsidRPr="00077437">
        <w:rPr>
          <w:lang w:val="es-VE"/>
        </w:rPr>
        <w:t xml:space="preserve"> y prohíbe expresamente negar o condicionar la atención médica a las </w:t>
      </w:r>
      <w:proofErr w:type="spellStart"/>
      <w:r w:rsidR="001734EB" w:rsidRPr="00077437">
        <w:rPr>
          <w:lang w:val="es-VE"/>
        </w:rPr>
        <w:t>PcD</w:t>
      </w:r>
      <w:proofErr w:type="spellEnd"/>
      <w:r w:rsidR="001734EB" w:rsidRPr="00077437">
        <w:rPr>
          <w:lang w:val="es-VE"/>
        </w:rPr>
        <w:t xml:space="preserve"> con VIH o </w:t>
      </w:r>
      <w:r w:rsidR="001F2819">
        <w:rPr>
          <w:lang w:val="es-VE"/>
        </w:rPr>
        <w:t>s</w:t>
      </w:r>
      <w:r w:rsidR="001734EB" w:rsidRPr="00077437">
        <w:rPr>
          <w:lang w:val="es-VE"/>
        </w:rPr>
        <w:t xml:space="preserve">ida. </w:t>
      </w:r>
    </w:p>
    <w:p w14:paraId="09A965EF" w14:textId="77777777" w:rsidR="001734EB" w:rsidRPr="00077437" w:rsidRDefault="00C42365" w:rsidP="00054D51">
      <w:pPr>
        <w:pStyle w:val="SingleTxtG"/>
        <w:rPr>
          <w:lang w:val="es-VE"/>
        </w:rPr>
      </w:pPr>
      <w:r>
        <w:rPr>
          <w:lang w:val="es-VE"/>
        </w:rPr>
        <w:t>23.</w:t>
      </w:r>
      <w:r>
        <w:rPr>
          <w:lang w:val="es-VE"/>
        </w:rPr>
        <w:tab/>
      </w:r>
      <w:r w:rsidR="001734EB" w:rsidRPr="00077437">
        <w:rPr>
          <w:lang w:val="es-VE"/>
        </w:rPr>
        <w:t xml:space="preserve">El </w:t>
      </w:r>
      <w:proofErr w:type="spellStart"/>
      <w:r w:rsidR="001734EB" w:rsidRPr="00077437">
        <w:rPr>
          <w:lang w:val="es-VE"/>
        </w:rPr>
        <w:t>CONAPDIS</w:t>
      </w:r>
      <w:proofErr w:type="spellEnd"/>
      <w:r w:rsidR="001734EB" w:rsidRPr="00077437">
        <w:rPr>
          <w:lang w:val="es-VE"/>
        </w:rPr>
        <w:t xml:space="preserve"> recibe y procesa, de manera presencial, telefónica y electrónica, denuncias a nivel nacional sobre el incumplimiento de la </w:t>
      </w:r>
      <w:proofErr w:type="spellStart"/>
      <w:r w:rsidR="001734EB" w:rsidRPr="00077437">
        <w:rPr>
          <w:lang w:val="es-VE"/>
        </w:rPr>
        <w:t>LPCD</w:t>
      </w:r>
      <w:proofErr w:type="spellEnd"/>
      <w:r w:rsidR="001734EB" w:rsidRPr="00077437">
        <w:rPr>
          <w:lang w:val="es-VE"/>
        </w:rPr>
        <w:t xml:space="preserve">. En el año 2016 se recibieron 11.442 denuncias, en el año 2017 se recibieron 9.467 y en el año 2018 un total de 1.459 denuncias. La disminución de las denuncias recibidas por </w:t>
      </w:r>
      <w:proofErr w:type="gramStart"/>
      <w:r w:rsidR="001734EB" w:rsidRPr="00077437">
        <w:rPr>
          <w:lang w:val="es-VE"/>
        </w:rPr>
        <w:t>año,</w:t>
      </w:r>
      <w:proofErr w:type="gramEnd"/>
      <w:r w:rsidR="001734EB" w:rsidRPr="00077437">
        <w:rPr>
          <w:lang w:val="es-VE"/>
        </w:rPr>
        <w:t xml:space="preserve"> viene dada por la articulación interinstitucional que estableció el </w:t>
      </w:r>
      <w:proofErr w:type="spellStart"/>
      <w:r w:rsidR="001734EB" w:rsidRPr="00077437">
        <w:rPr>
          <w:lang w:val="es-VE"/>
        </w:rPr>
        <w:t>CONAPDIS</w:t>
      </w:r>
      <w:proofErr w:type="spellEnd"/>
      <w:r w:rsidR="001734EB" w:rsidRPr="00077437">
        <w:rPr>
          <w:lang w:val="es-VE"/>
        </w:rPr>
        <w:t xml:space="preserve"> con la Defensoría del Pueblo (</w:t>
      </w:r>
      <w:proofErr w:type="spellStart"/>
      <w:r w:rsidR="001734EB" w:rsidRPr="00077437">
        <w:rPr>
          <w:lang w:val="es-VE"/>
        </w:rPr>
        <w:t>DdP</w:t>
      </w:r>
      <w:proofErr w:type="spellEnd"/>
      <w:r w:rsidR="001734EB" w:rsidRPr="00077437">
        <w:rPr>
          <w:lang w:val="es-VE"/>
        </w:rPr>
        <w:t xml:space="preserve">) y las distintas instituciones de administración de justicia. </w:t>
      </w:r>
    </w:p>
    <w:p w14:paraId="42B82B8F" w14:textId="77777777" w:rsidR="001734EB" w:rsidRPr="00077437" w:rsidRDefault="00C42365" w:rsidP="00054D51">
      <w:pPr>
        <w:pStyle w:val="SingleTxtG"/>
        <w:rPr>
          <w:lang w:val="es-VE"/>
        </w:rPr>
      </w:pPr>
      <w:r>
        <w:rPr>
          <w:lang w:val="es-VE"/>
        </w:rPr>
        <w:t>24.</w:t>
      </w:r>
      <w:r>
        <w:rPr>
          <w:lang w:val="es-VE"/>
        </w:rPr>
        <w:tab/>
      </w:r>
      <w:r w:rsidR="001734EB" w:rsidRPr="00077437">
        <w:rPr>
          <w:lang w:val="es-VE"/>
        </w:rPr>
        <w:t xml:space="preserve">Por motivo de discriminación El </w:t>
      </w:r>
      <w:proofErr w:type="spellStart"/>
      <w:r w:rsidR="001734EB" w:rsidRPr="00077437">
        <w:rPr>
          <w:lang w:val="es-VE"/>
        </w:rPr>
        <w:t>CONAPDIS</w:t>
      </w:r>
      <w:proofErr w:type="spellEnd"/>
      <w:r w:rsidR="001734EB" w:rsidRPr="00077437">
        <w:rPr>
          <w:lang w:val="es-VE"/>
        </w:rPr>
        <w:t xml:space="preserve"> recibió un total de 3.998 denuncias a </w:t>
      </w:r>
      <w:proofErr w:type="spellStart"/>
      <w:r w:rsidR="001734EB" w:rsidRPr="00077437">
        <w:rPr>
          <w:lang w:val="es-VE"/>
        </w:rPr>
        <w:t>PcD</w:t>
      </w:r>
      <w:proofErr w:type="spellEnd"/>
      <w:r w:rsidR="001734EB" w:rsidRPr="00077437">
        <w:rPr>
          <w:lang w:val="es-VE"/>
        </w:rPr>
        <w:t xml:space="preserve"> entre los años 2016 y 2018. </w:t>
      </w:r>
    </w:p>
    <w:p w14:paraId="2E6BED75" w14:textId="77777777" w:rsidR="001734EB" w:rsidRPr="00054D51" w:rsidRDefault="001734EB" w:rsidP="004E5744">
      <w:pPr>
        <w:pStyle w:val="Ttulo1"/>
      </w:pPr>
      <w:r w:rsidRPr="00054D51">
        <w:t>Tabla 1</w:t>
      </w:r>
    </w:p>
    <w:p w14:paraId="7D81798B" w14:textId="77777777" w:rsidR="001734EB" w:rsidRPr="00B04937" w:rsidRDefault="00C42365" w:rsidP="00054D51">
      <w:pPr>
        <w:pStyle w:val="H23G"/>
        <w:spacing w:before="0"/>
        <w:rPr>
          <w:lang w:val="es-VE"/>
        </w:rPr>
      </w:pPr>
      <w:r>
        <w:rPr>
          <w:lang w:val="es-VE"/>
        </w:rPr>
        <w:tab/>
      </w:r>
      <w:r>
        <w:rPr>
          <w:lang w:val="es-VE"/>
        </w:rPr>
        <w:tab/>
      </w:r>
      <w:r w:rsidR="001734EB" w:rsidRPr="004E5744">
        <w:rPr>
          <w:lang w:val="es-VE"/>
        </w:rPr>
        <w:t>Denuncias</w:t>
      </w:r>
      <w:r w:rsidR="001734EB" w:rsidRPr="00B04937">
        <w:rPr>
          <w:lang w:val="es-VE"/>
        </w:rPr>
        <w:t xml:space="preserve"> por discriminación a </w:t>
      </w:r>
      <w:proofErr w:type="spellStart"/>
      <w:r w:rsidR="001734EB" w:rsidRPr="00B04937">
        <w:rPr>
          <w:lang w:val="es-VE"/>
        </w:rPr>
        <w:t>Pcd</w:t>
      </w:r>
      <w:proofErr w:type="spellEnd"/>
      <w:r w:rsidR="001734EB" w:rsidRPr="00B04937">
        <w:rPr>
          <w:lang w:val="es-VE"/>
        </w:rPr>
        <w:t xml:space="preserve"> por grupo etario</w:t>
      </w:r>
      <w:r w:rsidR="00B04937" w:rsidRPr="00B04937">
        <w:rPr>
          <w:lang w:val="es-VE"/>
        </w:rPr>
        <w:t xml:space="preserve"> </w:t>
      </w:r>
      <w:r>
        <w:rPr>
          <w:lang w:val="es-VE"/>
        </w:rPr>
        <w:t>—</w:t>
      </w:r>
      <w:proofErr w:type="spellStart"/>
      <w:r w:rsidR="001734EB" w:rsidRPr="00B04937">
        <w:rPr>
          <w:lang w:val="es-VE"/>
        </w:rPr>
        <w:t>CONAPDIS</w:t>
      </w:r>
      <w:proofErr w:type="spellEnd"/>
      <w:r>
        <w:rPr>
          <w:lang w:val="es-VE"/>
        </w:rPr>
        <w:t xml:space="preserve">— </w:t>
      </w:r>
      <w:r w:rsidR="001734EB" w:rsidRPr="00B04937">
        <w:rPr>
          <w:lang w:val="es-VE"/>
        </w:rPr>
        <w:t>2016-2018</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3579"/>
        <w:gridCol w:w="3791"/>
      </w:tblGrid>
      <w:tr w:rsidR="00C42365" w:rsidRPr="00C42365" w14:paraId="6C779F44" w14:textId="77777777" w:rsidTr="00054D51">
        <w:trPr>
          <w:trHeight w:val="240"/>
          <w:tblHeader/>
        </w:trPr>
        <w:tc>
          <w:tcPr>
            <w:tcW w:w="3579" w:type="dxa"/>
            <w:tcBorders>
              <w:top w:val="single" w:sz="4" w:space="0" w:color="auto"/>
              <w:bottom w:val="single" w:sz="12" w:space="0" w:color="auto"/>
            </w:tcBorders>
            <w:shd w:val="clear" w:color="auto" w:fill="auto"/>
            <w:vAlign w:val="bottom"/>
          </w:tcPr>
          <w:p w14:paraId="6B20B3BE" w14:textId="77777777" w:rsidR="001734EB" w:rsidRPr="004E5744" w:rsidRDefault="001734EB" w:rsidP="00054D51">
            <w:pPr>
              <w:pStyle w:val="SingleTxtG"/>
              <w:spacing w:before="80" w:after="80" w:line="200" w:lineRule="exact"/>
              <w:ind w:left="0" w:right="0"/>
              <w:jc w:val="left"/>
              <w:rPr>
                <w:i/>
                <w:sz w:val="16"/>
                <w:lang w:val="es-VE"/>
              </w:rPr>
            </w:pPr>
            <w:r w:rsidRPr="004E5744">
              <w:rPr>
                <w:i/>
                <w:sz w:val="16"/>
                <w:lang w:val="es-VE"/>
              </w:rPr>
              <w:t>Grupo etario</w:t>
            </w:r>
          </w:p>
        </w:tc>
        <w:tc>
          <w:tcPr>
            <w:tcW w:w="3791" w:type="dxa"/>
            <w:tcBorders>
              <w:top w:val="single" w:sz="4" w:space="0" w:color="auto"/>
              <w:bottom w:val="single" w:sz="12" w:space="0" w:color="auto"/>
            </w:tcBorders>
            <w:shd w:val="clear" w:color="auto" w:fill="auto"/>
            <w:vAlign w:val="bottom"/>
          </w:tcPr>
          <w:p w14:paraId="609C6FBD" w14:textId="77777777" w:rsidR="001734EB" w:rsidRPr="00C42365" w:rsidRDefault="001734EB" w:rsidP="00054D51">
            <w:pPr>
              <w:pStyle w:val="SingleTxtG"/>
              <w:spacing w:before="80" w:after="80" w:line="200" w:lineRule="exact"/>
              <w:ind w:left="113" w:right="0"/>
              <w:jc w:val="right"/>
              <w:rPr>
                <w:i/>
                <w:sz w:val="16"/>
                <w:lang w:val="es-VE"/>
              </w:rPr>
            </w:pPr>
            <w:r w:rsidRPr="004E5744">
              <w:rPr>
                <w:i/>
                <w:sz w:val="16"/>
                <w:lang w:val="es-VE"/>
              </w:rPr>
              <w:t xml:space="preserve">Denuncias </w:t>
            </w:r>
          </w:p>
        </w:tc>
      </w:tr>
      <w:tr w:rsidR="00C42365" w:rsidRPr="00C42365" w14:paraId="5D094ED0" w14:textId="77777777" w:rsidTr="00054D51">
        <w:trPr>
          <w:trHeight w:val="240"/>
        </w:trPr>
        <w:tc>
          <w:tcPr>
            <w:tcW w:w="3579" w:type="dxa"/>
            <w:tcBorders>
              <w:top w:val="single" w:sz="12" w:space="0" w:color="auto"/>
            </w:tcBorders>
            <w:shd w:val="clear" w:color="auto" w:fill="auto"/>
          </w:tcPr>
          <w:p w14:paraId="4425EC56" w14:textId="77777777" w:rsidR="001734EB" w:rsidRPr="004E5744" w:rsidRDefault="00C42365" w:rsidP="00054D51">
            <w:pPr>
              <w:pStyle w:val="SingleTxtG"/>
              <w:spacing w:before="40" w:after="40" w:line="220" w:lineRule="exact"/>
              <w:ind w:left="0" w:right="0"/>
              <w:jc w:val="left"/>
              <w:rPr>
                <w:sz w:val="18"/>
                <w:lang w:val="es-VE"/>
              </w:rPr>
            </w:pPr>
            <w:r>
              <w:rPr>
                <w:sz w:val="18"/>
                <w:lang w:val="es-VE"/>
              </w:rPr>
              <w:t>De 0 a 6 años</w:t>
            </w:r>
          </w:p>
        </w:tc>
        <w:tc>
          <w:tcPr>
            <w:tcW w:w="3791" w:type="dxa"/>
            <w:tcBorders>
              <w:top w:val="single" w:sz="12" w:space="0" w:color="auto"/>
            </w:tcBorders>
            <w:shd w:val="clear" w:color="auto" w:fill="auto"/>
            <w:vAlign w:val="bottom"/>
          </w:tcPr>
          <w:p w14:paraId="7DE88A29" w14:textId="77777777" w:rsidR="001734EB" w:rsidRPr="004E5744" w:rsidRDefault="001734EB" w:rsidP="00054D51">
            <w:pPr>
              <w:pStyle w:val="SingleTxtG"/>
              <w:spacing w:before="40" w:after="40" w:line="220" w:lineRule="exact"/>
              <w:ind w:left="113" w:right="0"/>
              <w:jc w:val="right"/>
              <w:rPr>
                <w:sz w:val="18"/>
                <w:lang w:val="es-VE"/>
              </w:rPr>
            </w:pPr>
            <w:r w:rsidRPr="004E5744">
              <w:rPr>
                <w:sz w:val="18"/>
                <w:lang w:val="es-VE"/>
              </w:rPr>
              <w:t>424</w:t>
            </w:r>
          </w:p>
        </w:tc>
      </w:tr>
      <w:tr w:rsidR="00C42365" w:rsidRPr="00C42365" w14:paraId="5CC33FC1" w14:textId="77777777" w:rsidTr="00054D51">
        <w:trPr>
          <w:trHeight w:val="240"/>
        </w:trPr>
        <w:tc>
          <w:tcPr>
            <w:tcW w:w="3579" w:type="dxa"/>
            <w:shd w:val="clear" w:color="auto" w:fill="auto"/>
          </w:tcPr>
          <w:p w14:paraId="49216E95" w14:textId="77777777" w:rsidR="001734EB" w:rsidRPr="004E5744" w:rsidRDefault="00C42365" w:rsidP="00054D51">
            <w:pPr>
              <w:pStyle w:val="SingleTxtG"/>
              <w:spacing w:before="40" w:after="40" w:line="220" w:lineRule="exact"/>
              <w:ind w:left="0" w:right="0"/>
              <w:jc w:val="left"/>
              <w:rPr>
                <w:sz w:val="18"/>
                <w:lang w:val="es-VE"/>
              </w:rPr>
            </w:pPr>
            <w:r>
              <w:rPr>
                <w:sz w:val="18"/>
                <w:lang w:val="es-VE"/>
              </w:rPr>
              <w:t xml:space="preserve">De </w:t>
            </w:r>
            <w:r w:rsidR="001734EB" w:rsidRPr="004E5744">
              <w:rPr>
                <w:sz w:val="18"/>
                <w:lang w:val="es-VE"/>
              </w:rPr>
              <w:t>12</w:t>
            </w:r>
            <w:r>
              <w:rPr>
                <w:sz w:val="18"/>
                <w:lang w:val="es-VE"/>
              </w:rPr>
              <w:t xml:space="preserve"> a </w:t>
            </w:r>
            <w:r w:rsidR="001734EB" w:rsidRPr="004E5744">
              <w:rPr>
                <w:sz w:val="18"/>
                <w:lang w:val="es-VE"/>
              </w:rPr>
              <w:t>18</w:t>
            </w:r>
            <w:r>
              <w:rPr>
                <w:sz w:val="18"/>
                <w:lang w:val="es-VE"/>
              </w:rPr>
              <w:t xml:space="preserve"> años</w:t>
            </w:r>
          </w:p>
        </w:tc>
        <w:tc>
          <w:tcPr>
            <w:tcW w:w="3791" w:type="dxa"/>
            <w:shd w:val="clear" w:color="auto" w:fill="auto"/>
            <w:vAlign w:val="bottom"/>
          </w:tcPr>
          <w:p w14:paraId="229C2EFC" w14:textId="77777777" w:rsidR="001734EB" w:rsidRPr="004E5744" w:rsidRDefault="001734EB" w:rsidP="00054D51">
            <w:pPr>
              <w:pStyle w:val="SingleTxtG"/>
              <w:spacing w:before="40" w:after="40" w:line="220" w:lineRule="exact"/>
              <w:ind w:left="113" w:right="0"/>
              <w:jc w:val="right"/>
              <w:rPr>
                <w:sz w:val="18"/>
                <w:lang w:val="es-VE"/>
              </w:rPr>
            </w:pPr>
            <w:r w:rsidRPr="004E5744">
              <w:rPr>
                <w:sz w:val="18"/>
                <w:lang w:val="es-VE"/>
              </w:rPr>
              <w:t>947</w:t>
            </w:r>
          </w:p>
        </w:tc>
      </w:tr>
      <w:tr w:rsidR="00C42365" w:rsidRPr="00C42365" w14:paraId="3DA21F69" w14:textId="77777777" w:rsidTr="00054D51">
        <w:trPr>
          <w:trHeight w:val="240"/>
        </w:trPr>
        <w:tc>
          <w:tcPr>
            <w:tcW w:w="3579" w:type="dxa"/>
            <w:shd w:val="clear" w:color="auto" w:fill="auto"/>
          </w:tcPr>
          <w:p w14:paraId="4971B085" w14:textId="77777777" w:rsidR="001734EB" w:rsidRPr="004E5744" w:rsidRDefault="00C42365" w:rsidP="00054D51">
            <w:pPr>
              <w:pStyle w:val="SingleTxtG"/>
              <w:spacing w:before="40" w:after="40" w:line="220" w:lineRule="exact"/>
              <w:ind w:left="0" w:right="0"/>
              <w:jc w:val="left"/>
              <w:rPr>
                <w:sz w:val="18"/>
                <w:lang w:val="es-VE"/>
              </w:rPr>
            </w:pPr>
            <w:r>
              <w:rPr>
                <w:sz w:val="18"/>
                <w:lang w:val="es-VE"/>
              </w:rPr>
              <w:t xml:space="preserve">De </w:t>
            </w:r>
            <w:r w:rsidR="001734EB" w:rsidRPr="004E5744">
              <w:rPr>
                <w:sz w:val="18"/>
                <w:lang w:val="es-VE"/>
              </w:rPr>
              <w:t>35</w:t>
            </w:r>
            <w:r>
              <w:rPr>
                <w:sz w:val="18"/>
                <w:lang w:val="es-VE"/>
              </w:rPr>
              <w:t xml:space="preserve"> a </w:t>
            </w:r>
            <w:r w:rsidR="001734EB" w:rsidRPr="004E5744">
              <w:rPr>
                <w:sz w:val="18"/>
                <w:lang w:val="es-VE"/>
              </w:rPr>
              <w:t>50</w:t>
            </w:r>
            <w:r>
              <w:rPr>
                <w:sz w:val="18"/>
                <w:lang w:val="es-VE"/>
              </w:rPr>
              <w:t xml:space="preserve"> años</w:t>
            </w:r>
          </w:p>
        </w:tc>
        <w:tc>
          <w:tcPr>
            <w:tcW w:w="3791" w:type="dxa"/>
            <w:shd w:val="clear" w:color="auto" w:fill="auto"/>
            <w:vAlign w:val="bottom"/>
          </w:tcPr>
          <w:p w14:paraId="298DBD41" w14:textId="77777777" w:rsidR="001734EB" w:rsidRPr="004E5744" w:rsidRDefault="001734EB" w:rsidP="00054D51">
            <w:pPr>
              <w:pStyle w:val="SingleTxtG"/>
              <w:spacing w:before="40" w:after="40" w:line="220" w:lineRule="exact"/>
              <w:ind w:left="113" w:right="0"/>
              <w:jc w:val="right"/>
              <w:rPr>
                <w:sz w:val="18"/>
                <w:lang w:val="es-VE"/>
              </w:rPr>
            </w:pPr>
            <w:r w:rsidRPr="004E5744">
              <w:rPr>
                <w:sz w:val="18"/>
                <w:lang w:val="es-VE"/>
              </w:rPr>
              <w:t>1</w:t>
            </w:r>
            <w:r w:rsidR="00C42365">
              <w:rPr>
                <w:sz w:val="18"/>
                <w:lang w:val="es-VE"/>
              </w:rPr>
              <w:t xml:space="preserve"> </w:t>
            </w:r>
            <w:r w:rsidRPr="004E5744">
              <w:rPr>
                <w:sz w:val="18"/>
                <w:lang w:val="es-VE"/>
              </w:rPr>
              <w:t>587</w:t>
            </w:r>
          </w:p>
        </w:tc>
      </w:tr>
      <w:tr w:rsidR="00C42365" w:rsidRPr="00C42365" w14:paraId="2DD8F472" w14:textId="77777777" w:rsidTr="00054D51">
        <w:trPr>
          <w:trHeight w:val="240"/>
        </w:trPr>
        <w:tc>
          <w:tcPr>
            <w:tcW w:w="3579" w:type="dxa"/>
            <w:shd w:val="clear" w:color="auto" w:fill="auto"/>
          </w:tcPr>
          <w:p w14:paraId="0F9BCCD9" w14:textId="77777777" w:rsidR="001734EB" w:rsidRPr="004E5744" w:rsidRDefault="00C42365" w:rsidP="00054D51">
            <w:pPr>
              <w:pStyle w:val="SingleTxtG"/>
              <w:spacing w:before="40" w:after="40" w:line="220" w:lineRule="exact"/>
              <w:ind w:left="0" w:right="0"/>
              <w:jc w:val="left"/>
              <w:rPr>
                <w:sz w:val="18"/>
                <w:lang w:val="es-VE"/>
              </w:rPr>
            </w:pPr>
            <w:r>
              <w:rPr>
                <w:sz w:val="18"/>
                <w:lang w:val="es-VE"/>
              </w:rPr>
              <w:t xml:space="preserve">De </w:t>
            </w:r>
            <w:r w:rsidR="001734EB" w:rsidRPr="004E5744">
              <w:rPr>
                <w:sz w:val="18"/>
                <w:lang w:val="es-VE"/>
              </w:rPr>
              <w:t>60</w:t>
            </w:r>
            <w:r>
              <w:rPr>
                <w:sz w:val="18"/>
                <w:lang w:val="es-VE"/>
              </w:rPr>
              <w:t xml:space="preserve"> a </w:t>
            </w:r>
            <w:r w:rsidR="001734EB" w:rsidRPr="004E5744">
              <w:rPr>
                <w:sz w:val="18"/>
                <w:lang w:val="es-VE"/>
              </w:rPr>
              <w:t>70</w:t>
            </w:r>
            <w:r>
              <w:rPr>
                <w:sz w:val="18"/>
                <w:lang w:val="es-VE"/>
              </w:rPr>
              <w:t xml:space="preserve"> años</w:t>
            </w:r>
          </w:p>
        </w:tc>
        <w:tc>
          <w:tcPr>
            <w:tcW w:w="3791" w:type="dxa"/>
            <w:shd w:val="clear" w:color="auto" w:fill="auto"/>
            <w:vAlign w:val="bottom"/>
          </w:tcPr>
          <w:p w14:paraId="670E622B" w14:textId="77777777" w:rsidR="001734EB" w:rsidRPr="004E5744" w:rsidRDefault="001734EB" w:rsidP="00054D51">
            <w:pPr>
              <w:pStyle w:val="SingleTxtG"/>
              <w:spacing w:before="40" w:after="40" w:line="220" w:lineRule="exact"/>
              <w:ind w:left="113" w:right="0"/>
              <w:jc w:val="right"/>
              <w:rPr>
                <w:sz w:val="18"/>
                <w:lang w:val="es-VE"/>
              </w:rPr>
            </w:pPr>
            <w:r w:rsidRPr="004E5744">
              <w:rPr>
                <w:sz w:val="18"/>
                <w:lang w:val="es-VE"/>
              </w:rPr>
              <w:t>677</w:t>
            </w:r>
          </w:p>
        </w:tc>
      </w:tr>
      <w:tr w:rsidR="00C42365" w:rsidRPr="00C42365" w14:paraId="6A8E8F88" w14:textId="77777777" w:rsidTr="00054D51">
        <w:trPr>
          <w:trHeight w:val="240"/>
        </w:trPr>
        <w:tc>
          <w:tcPr>
            <w:tcW w:w="3579" w:type="dxa"/>
            <w:tcBorders>
              <w:bottom w:val="single" w:sz="4" w:space="0" w:color="auto"/>
            </w:tcBorders>
            <w:shd w:val="clear" w:color="auto" w:fill="auto"/>
          </w:tcPr>
          <w:p w14:paraId="772697AC" w14:textId="77777777" w:rsidR="001734EB" w:rsidRPr="004E5744" w:rsidRDefault="00C42365" w:rsidP="00054D51">
            <w:pPr>
              <w:pStyle w:val="SingleTxtG"/>
              <w:spacing w:before="40" w:after="40" w:line="220" w:lineRule="exact"/>
              <w:ind w:left="0" w:right="0"/>
              <w:jc w:val="left"/>
              <w:rPr>
                <w:sz w:val="18"/>
                <w:lang w:val="es-VE"/>
              </w:rPr>
            </w:pPr>
            <w:r>
              <w:rPr>
                <w:sz w:val="18"/>
                <w:lang w:val="es-VE"/>
              </w:rPr>
              <w:t xml:space="preserve">De </w:t>
            </w:r>
            <w:r w:rsidR="001734EB" w:rsidRPr="004E5744">
              <w:rPr>
                <w:sz w:val="18"/>
                <w:lang w:val="es-VE"/>
              </w:rPr>
              <w:t>80</w:t>
            </w:r>
            <w:r>
              <w:rPr>
                <w:sz w:val="18"/>
                <w:lang w:val="es-VE"/>
              </w:rPr>
              <w:t xml:space="preserve"> a </w:t>
            </w:r>
            <w:r w:rsidR="001734EB" w:rsidRPr="004E5744">
              <w:rPr>
                <w:sz w:val="18"/>
                <w:lang w:val="es-VE"/>
              </w:rPr>
              <w:t>90</w:t>
            </w:r>
            <w:r>
              <w:rPr>
                <w:sz w:val="18"/>
                <w:lang w:val="es-VE"/>
              </w:rPr>
              <w:t xml:space="preserve"> años</w:t>
            </w:r>
          </w:p>
        </w:tc>
        <w:tc>
          <w:tcPr>
            <w:tcW w:w="3791" w:type="dxa"/>
            <w:tcBorders>
              <w:bottom w:val="single" w:sz="4" w:space="0" w:color="auto"/>
            </w:tcBorders>
            <w:shd w:val="clear" w:color="auto" w:fill="auto"/>
            <w:vAlign w:val="bottom"/>
          </w:tcPr>
          <w:p w14:paraId="1E958EA8" w14:textId="77777777" w:rsidR="001734EB" w:rsidRPr="004E5744" w:rsidRDefault="001734EB" w:rsidP="00054D51">
            <w:pPr>
              <w:pStyle w:val="SingleTxtG"/>
              <w:spacing w:before="40" w:after="40" w:line="220" w:lineRule="exact"/>
              <w:ind w:left="113" w:right="0"/>
              <w:jc w:val="right"/>
              <w:rPr>
                <w:sz w:val="18"/>
                <w:lang w:val="es-VE"/>
              </w:rPr>
            </w:pPr>
            <w:r w:rsidRPr="004E5744">
              <w:rPr>
                <w:sz w:val="18"/>
                <w:lang w:val="es-VE"/>
              </w:rPr>
              <w:t>363</w:t>
            </w:r>
          </w:p>
        </w:tc>
      </w:tr>
      <w:tr w:rsidR="00C42365" w:rsidRPr="00C42365" w14:paraId="4A41BFF0" w14:textId="77777777" w:rsidTr="00054D51">
        <w:trPr>
          <w:trHeight w:val="240"/>
        </w:trPr>
        <w:tc>
          <w:tcPr>
            <w:tcW w:w="3579" w:type="dxa"/>
            <w:tcBorders>
              <w:top w:val="single" w:sz="4" w:space="0" w:color="auto"/>
              <w:bottom w:val="single" w:sz="12" w:space="0" w:color="auto"/>
            </w:tcBorders>
            <w:shd w:val="clear" w:color="auto" w:fill="auto"/>
          </w:tcPr>
          <w:p w14:paraId="7A253FB3" w14:textId="77777777" w:rsidR="001734EB" w:rsidRPr="004E5744" w:rsidRDefault="00C42365" w:rsidP="00054D51">
            <w:pPr>
              <w:pStyle w:val="SingleTxtG"/>
              <w:spacing w:before="80" w:after="80" w:line="220" w:lineRule="exact"/>
              <w:ind w:left="283" w:right="0"/>
              <w:jc w:val="left"/>
              <w:rPr>
                <w:b/>
                <w:sz w:val="18"/>
                <w:lang w:val="es-VE"/>
              </w:rPr>
            </w:pPr>
            <w:r w:rsidRPr="00054D51">
              <w:rPr>
                <w:b/>
                <w:sz w:val="18"/>
                <w:lang w:val="es-VE"/>
              </w:rPr>
              <w:t>Total</w:t>
            </w:r>
          </w:p>
        </w:tc>
        <w:tc>
          <w:tcPr>
            <w:tcW w:w="3791" w:type="dxa"/>
            <w:tcBorders>
              <w:top w:val="single" w:sz="4" w:space="0" w:color="auto"/>
              <w:bottom w:val="single" w:sz="12" w:space="0" w:color="auto"/>
            </w:tcBorders>
            <w:shd w:val="clear" w:color="auto" w:fill="auto"/>
            <w:vAlign w:val="bottom"/>
          </w:tcPr>
          <w:p w14:paraId="0209BA6E" w14:textId="77777777" w:rsidR="001734EB" w:rsidRPr="004E5744" w:rsidRDefault="001734EB" w:rsidP="00054D51">
            <w:pPr>
              <w:pStyle w:val="SingleTxtG"/>
              <w:spacing w:before="80" w:after="80" w:line="220" w:lineRule="exact"/>
              <w:ind w:left="0" w:right="0"/>
              <w:jc w:val="right"/>
              <w:rPr>
                <w:b/>
                <w:sz w:val="18"/>
                <w:lang w:val="es-VE"/>
              </w:rPr>
            </w:pPr>
            <w:r w:rsidRPr="004E5744">
              <w:rPr>
                <w:b/>
                <w:sz w:val="18"/>
                <w:lang w:val="es-VE"/>
              </w:rPr>
              <w:t>3</w:t>
            </w:r>
            <w:r w:rsidR="00C42365" w:rsidRPr="00054D51">
              <w:rPr>
                <w:b/>
                <w:sz w:val="18"/>
                <w:lang w:val="es-VE"/>
              </w:rPr>
              <w:t xml:space="preserve"> </w:t>
            </w:r>
            <w:r w:rsidRPr="004E5744">
              <w:rPr>
                <w:b/>
                <w:sz w:val="18"/>
                <w:lang w:val="es-VE"/>
              </w:rPr>
              <w:t>998</w:t>
            </w:r>
          </w:p>
        </w:tc>
      </w:tr>
    </w:tbl>
    <w:p w14:paraId="576D39F2" w14:textId="77777777" w:rsidR="001734EB" w:rsidRPr="004E5744" w:rsidRDefault="001734EB" w:rsidP="00054D51">
      <w:pPr>
        <w:pStyle w:val="Ttulo1"/>
        <w:spacing w:before="240"/>
      </w:pPr>
      <w:r w:rsidRPr="004E5744">
        <w:t>Tabla 2</w:t>
      </w:r>
    </w:p>
    <w:p w14:paraId="1454EF01" w14:textId="77777777" w:rsidR="001734EB" w:rsidRPr="00B04937" w:rsidRDefault="00C42365" w:rsidP="00054D51">
      <w:pPr>
        <w:pStyle w:val="H23G"/>
        <w:spacing w:before="0"/>
        <w:rPr>
          <w:lang w:val="es-VE"/>
        </w:rPr>
      </w:pPr>
      <w:r>
        <w:rPr>
          <w:lang w:val="es-VE"/>
        </w:rPr>
        <w:tab/>
      </w:r>
      <w:r>
        <w:rPr>
          <w:lang w:val="es-VE"/>
        </w:rPr>
        <w:tab/>
      </w:r>
      <w:r w:rsidR="001734EB" w:rsidRPr="00B04937">
        <w:rPr>
          <w:lang w:val="es-VE"/>
        </w:rPr>
        <w:t xml:space="preserve">Denuncias por discriminación a </w:t>
      </w:r>
      <w:proofErr w:type="spellStart"/>
      <w:r w:rsidR="001734EB" w:rsidRPr="00B04937">
        <w:rPr>
          <w:lang w:val="es-VE"/>
        </w:rPr>
        <w:t>Pcd</w:t>
      </w:r>
      <w:proofErr w:type="spellEnd"/>
      <w:r w:rsidR="001734EB" w:rsidRPr="00B04937">
        <w:rPr>
          <w:lang w:val="es-VE"/>
        </w:rPr>
        <w:t xml:space="preserve"> por sexo</w:t>
      </w:r>
      <w:r w:rsidR="00B04937" w:rsidRPr="00B04937">
        <w:rPr>
          <w:lang w:val="es-VE"/>
        </w:rPr>
        <w:t xml:space="preserve"> </w:t>
      </w:r>
      <w:r>
        <w:rPr>
          <w:lang w:val="es-VE"/>
        </w:rPr>
        <w:t>—</w:t>
      </w:r>
      <w:proofErr w:type="spellStart"/>
      <w:r w:rsidR="001734EB" w:rsidRPr="00B04937">
        <w:rPr>
          <w:lang w:val="es-VE"/>
        </w:rPr>
        <w:t>CONAPDIS</w:t>
      </w:r>
      <w:proofErr w:type="spellEnd"/>
      <w:r>
        <w:rPr>
          <w:lang w:val="es-VE"/>
        </w:rPr>
        <w:t xml:space="preserve">— </w:t>
      </w:r>
      <w:r w:rsidR="001734EB" w:rsidRPr="00B04937">
        <w:rPr>
          <w:lang w:val="es-VE"/>
        </w:rPr>
        <w:t>2016-2018</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3660"/>
        <w:gridCol w:w="3710"/>
      </w:tblGrid>
      <w:tr w:rsidR="00C42365" w:rsidRPr="00C42365" w14:paraId="1CF13DD1" w14:textId="77777777" w:rsidTr="00054D51">
        <w:trPr>
          <w:trHeight w:val="240"/>
          <w:tblHeader/>
        </w:trPr>
        <w:tc>
          <w:tcPr>
            <w:tcW w:w="3660" w:type="dxa"/>
            <w:tcBorders>
              <w:top w:val="single" w:sz="4" w:space="0" w:color="auto"/>
              <w:bottom w:val="single" w:sz="12" w:space="0" w:color="auto"/>
            </w:tcBorders>
            <w:shd w:val="clear" w:color="auto" w:fill="auto"/>
            <w:vAlign w:val="bottom"/>
          </w:tcPr>
          <w:p w14:paraId="1961B708" w14:textId="77777777" w:rsidR="001734EB" w:rsidRPr="004E5744" w:rsidRDefault="001734EB" w:rsidP="00054D51">
            <w:pPr>
              <w:pStyle w:val="SingleTxtG"/>
              <w:spacing w:before="80" w:after="80" w:line="200" w:lineRule="exact"/>
              <w:ind w:left="0" w:right="0"/>
              <w:jc w:val="left"/>
              <w:rPr>
                <w:i/>
                <w:sz w:val="16"/>
                <w:lang w:val="es-VE"/>
              </w:rPr>
            </w:pPr>
            <w:r w:rsidRPr="004E5744">
              <w:rPr>
                <w:i/>
                <w:sz w:val="16"/>
                <w:lang w:val="es-VE"/>
              </w:rPr>
              <w:t>Sexo</w:t>
            </w:r>
          </w:p>
        </w:tc>
        <w:tc>
          <w:tcPr>
            <w:tcW w:w="3710" w:type="dxa"/>
            <w:tcBorders>
              <w:top w:val="single" w:sz="4" w:space="0" w:color="auto"/>
              <w:bottom w:val="single" w:sz="12" w:space="0" w:color="auto"/>
            </w:tcBorders>
            <w:shd w:val="clear" w:color="auto" w:fill="auto"/>
            <w:vAlign w:val="bottom"/>
          </w:tcPr>
          <w:p w14:paraId="54B77430" w14:textId="77777777" w:rsidR="001734EB" w:rsidRPr="004E5744" w:rsidRDefault="001734EB" w:rsidP="00054D51">
            <w:pPr>
              <w:pStyle w:val="SingleTxtG"/>
              <w:spacing w:before="80" w:after="80" w:line="200" w:lineRule="exact"/>
              <w:ind w:left="113" w:right="0"/>
              <w:jc w:val="right"/>
              <w:rPr>
                <w:i/>
                <w:sz w:val="16"/>
                <w:lang w:val="es-VE"/>
              </w:rPr>
            </w:pPr>
            <w:r w:rsidRPr="004E5744">
              <w:rPr>
                <w:i/>
                <w:sz w:val="16"/>
                <w:lang w:val="es-VE"/>
              </w:rPr>
              <w:t xml:space="preserve">Denuncias </w:t>
            </w:r>
          </w:p>
        </w:tc>
      </w:tr>
      <w:tr w:rsidR="00C42365" w:rsidRPr="00C42365" w14:paraId="1F2C6767" w14:textId="77777777" w:rsidTr="00054D51">
        <w:trPr>
          <w:trHeight w:val="240"/>
        </w:trPr>
        <w:tc>
          <w:tcPr>
            <w:tcW w:w="3660" w:type="dxa"/>
            <w:tcBorders>
              <w:top w:val="single" w:sz="12" w:space="0" w:color="auto"/>
            </w:tcBorders>
            <w:shd w:val="clear" w:color="auto" w:fill="auto"/>
          </w:tcPr>
          <w:p w14:paraId="6DDD2F60" w14:textId="77777777" w:rsidR="001734EB" w:rsidRPr="004E5744" w:rsidRDefault="001734EB" w:rsidP="00054D51">
            <w:pPr>
              <w:pStyle w:val="SingleTxtG"/>
              <w:spacing w:before="40" w:after="40" w:line="220" w:lineRule="exact"/>
              <w:ind w:left="0" w:right="0"/>
              <w:jc w:val="left"/>
              <w:rPr>
                <w:sz w:val="18"/>
                <w:lang w:val="es-VE"/>
              </w:rPr>
            </w:pPr>
            <w:r w:rsidRPr="004E5744">
              <w:rPr>
                <w:sz w:val="18"/>
                <w:lang w:val="es-VE"/>
              </w:rPr>
              <w:t>Femenino</w:t>
            </w:r>
          </w:p>
        </w:tc>
        <w:tc>
          <w:tcPr>
            <w:tcW w:w="3710" w:type="dxa"/>
            <w:tcBorders>
              <w:top w:val="single" w:sz="12" w:space="0" w:color="auto"/>
            </w:tcBorders>
            <w:shd w:val="clear" w:color="auto" w:fill="auto"/>
            <w:vAlign w:val="bottom"/>
          </w:tcPr>
          <w:p w14:paraId="596F5568" w14:textId="77777777" w:rsidR="001734EB" w:rsidRPr="004E5744" w:rsidRDefault="001734EB" w:rsidP="00054D51">
            <w:pPr>
              <w:pStyle w:val="SingleTxtG"/>
              <w:spacing w:before="40" w:after="40" w:line="220" w:lineRule="exact"/>
              <w:ind w:left="113" w:right="0"/>
              <w:jc w:val="right"/>
              <w:rPr>
                <w:sz w:val="18"/>
                <w:lang w:val="es-VE"/>
              </w:rPr>
            </w:pPr>
            <w:r w:rsidRPr="004E5744">
              <w:rPr>
                <w:sz w:val="18"/>
                <w:lang w:val="es-VE"/>
              </w:rPr>
              <w:t>2</w:t>
            </w:r>
            <w:r w:rsidR="00C42365">
              <w:rPr>
                <w:sz w:val="18"/>
                <w:lang w:val="es-VE"/>
              </w:rPr>
              <w:t xml:space="preserve"> </w:t>
            </w:r>
            <w:r w:rsidRPr="004E5744">
              <w:rPr>
                <w:sz w:val="18"/>
                <w:lang w:val="es-VE"/>
              </w:rPr>
              <w:t>132</w:t>
            </w:r>
          </w:p>
        </w:tc>
      </w:tr>
      <w:tr w:rsidR="00C42365" w:rsidRPr="00C42365" w14:paraId="62B34458" w14:textId="77777777" w:rsidTr="00054D51">
        <w:trPr>
          <w:trHeight w:val="240"/>
        </w:trPr>
        <w:tc>
          <w:tcPr>
            <w:tcW w:w="3660" w:type="dxa"/>
            <w:tcBorders>
              <w:bottom w:val="single" w:sz="4" w:space="0" w:color="auto"/>
            </w:tcBorders>
            <w:shd w:val="clear" w:color="auto" w:fill="auto"/>
          </w:tcPr>
          <w:p w14:paraId="05878E1F" w14:textId="77777777" w:rsidR="001734EB" w:rsidRPr="00C42365" w:rsidRDefault="001734EB" w:rsidP="00054D51">
            <w:pPr>
              <w:pStyle w:val="SingleTxtG"/>
              <w:spacing w:before="40" w:after="40" w:line="220" w:lineRule="exact"/>
              <w:ind w:left="0" w:right="0"/>
              <w:jc w:val="left"/>
              <w:rPr>
                <w:sz w:val="18"/>
                <w:lang w:val="es-VE"/>
              </w:rPr>
            </w:pPr>
            <w:r w:rsidRPr="00C42365">
              <w:rPr>
                <w:sz w:val="18"/>
                <w:lang w:val="es-VE"/>
              </w:rPr>
              <w:t>Masculino</w:t>
            </w:r>
          </w:p>
        </w:tc>
        <w:tc>
          <w:tcPr>
            <w:tcW w:w="3710" w:type="dxa"/>
            <w:tcBorders>
              <w:bottom w:val="single" w:sz="4" w:space="0" w:color="auto"/>
            </w:tcBorders>
            <w:shd w:val="clear" w:color="auto" w:fill="auto"/>
            <w:vAlign w:val="bottom"/>
          </w:tcPr>
          <w:p w14:paraId="3C63FB7A" w14:textId="77777777" w:rsidR="001734EB" w:rsidRPr="004E5744" w:rsidRDefault="001734EB" w:rsidP="00054D51">
            <w:pPr>
              <w:pStyle w:val="SingleTxtG"/>
              <w:spacing w:before="40" w:after="40" w:line="220" w:lineRule="exact"/>
              <w:ind w:left="113" w:right="0"/>
              <w:jc w:val="right"/>
              <w:rPr>
                <w:sz w:val="18"/>
                <w:lang w:val="es-VE"/>
              </w:rPr>
            </w:pPr>
            <w:r w:rsidRPr="00C42365">
              <w:rPr>
                <w:sz w:val="18"/>
                <w:lang w:val="es-VE"/>
              </w:rPr>
              <w:t>1</w:t>
            </w:r>
            <w:r w:rsidR="00C42365">
              <w:rPr>
                <w:sz w:val="18"/>
                <w:lang w:val="es-VE"/>
              </w:rPr>
              <w:t xml:space="preserve"> </w:t>
            </w:r>
            <w:r w:rsidRPr="004E5744">
              <w:rPr>
                <w:sz w:val="18"/>
                <w:lang w:val="es-VE"/>
              </w:rPr>
              <w:t>866</w:t>
            </w:r>
          </w:p>
        </w:tc>
      </w:tr>
      <w:tr w:rsidR="00C42365" w:rsidRPr="00C42365" w14:paraId="77E746BA" w14:textId="77777777" w:rsidTr="00054D51">
        <w:trPr>
          <w:trHeight w:val="240"/>
        </w:trPr>
        <w:tc>
          <w:tcPr>
            <w:tcW w:w="3660" w:type="dxa"/>
            <w:tcBorders>
              <w:top w:val="single" w:sz="4" w:space="0" w:color="auto"/>
              <w:bottom w:val="single" w:sz="12" w:space="0" w:color="auto"/>
            </w:tcBorders>
            <w:shd w:val="clear" w:color="auto" w:fill="auto"/>
          </w:tcPr>
          <w:p w14:paraId="1251D9AF" w14:textId="77777777" w:rsidR="001734EB" w:rsidRPr="004E5744" w:rsidRDefault="00C42365" w:rsidP="00054D51">
            <w:pPr>
              <w:pStyle w:val="SingleTxtG"/>
              <w:spacing w:before="80" w:after="80" w:line="220" w:lineRule="exact"/>
              <w:ind w:left="283" w:right="0"/>
              <w:jc w:val="left"/>
              <w:rPr>
                <w:b/>
                <w:sz w:val="18"/>
                <w:lang w:val="es-VE"/>
              </w:rPr>
            </w:pPr>
            <w:r w:rsidRPr="00054D51">
              <w:rPr>
                <w:b/>
                <w:sz w:val="18"/>
                <w:lang w:val="es-VE"/>
              </w:rPr>
              <w:t>Total</w:t>
            </w:r>
          </w:p>
        </w:tc>
        <w:tc>
          <w:tcPr>
            <w:tcW w:w="3710" w:type="dxa"/>
            <w:tcBorders>
              <w:top w:val="single" w:sz="4" w:space="0" w:color="auto"/>
              <w:bottom w:val="single" w:sz="12" w:space="0" w:color="auto"/>
            </w:tcBorders>
            <w:shd w:val="clear" w:color="auto" w:fill="auto"/>
            <w:vAlign w:val="bottom"/>
          </w:tcPr>
          <w:p w14:paraId="6918CFC2" w14:textId="77777777" w:rsidR="001734EB" w:rsidRPr="004E5744" w:rsidRDefault="001734EB" w:rsidP="00054D51">
            <w:pPr>
              <w:pStyle w:val="SingleTxtG"/>
              <w:spacing w:before="80" w:after="80" w:line="220" w:lineRule="exact"/>
              <w:ind w:left="0" w:right="0"/>
              <w:jc w:val="right"/>
              <w:rPr>
                <w:b/>
                <w:sz w:val="18"/>
                <w:lang w:val="es-VE"/>
              </w:rPr>
            </w:pPr>
            <w:r w:rsidRPr="004E5744">
              <w:rPr>
                <w:b/>
                <w:sz w:val="18"/>
                <w:lang w:val="es-VE"/>
              </w:rPr>
              <w:t>3</w:t>
            </w:r>
            <w:r w:rsidR="00C42365">
              <w:rPr>
                <w:b/>
                <w:sz w:val="18"/>
                <w:lang w:val="es-VE"/>
              </w:rPr>
              <w:t xml:space="preserve"> </w:t>
            </w:r>
            <w:r w:rsidRPr="004E5744">
              <w:rPr>
                <w:b/>
                <w:sz w:val="18"/>
                <w:lang w:val="es-VE"/>
              </w:rPr>
              <w:t>998</w:t>
            </w:r>
          </w:p>
        </w:tc>
      </w:tr>
    </w:tbl>
    <w:p w14:paraId="7E913412" w14:textId="77777777" w:rsidR="001734EB" w:rsidRPr="000A0878" w:rsidRDefault="001734EB" w:rsidP="00054D51">
      <w:pPr>
        <w:pStyle w:val="Ttulo1"/>
        <w:spacing w:before="240"/>
      </w:pPr>
      <w:r w:rsidRPr="000A0878">
        <w:t>Tabla 3</w:t>
      </w:r>
    </w:p>
    <w:p w14:paraId="238782F6" w14:textId="77777777" w:rsidR="001734EB" w:rsidRPr="00B04937" w:rsidRDefault="00C42365" w:rsidP="00054D51">
      <w:pPr>
        <w:pStyle w:val="H23G"/>
        <w:spacing w:before="0"/>
        <w:rPr>
          <w:lang w:val="es-VE"/>
        </w:rPr>
      </w:pPr>
      <w:r>
        <w:rPr>
          <w:lang w:val="es-VE"/>
        </w:rPr>
        <w:tab/>
      </w:r>
      <w:r>
        <w:rPr>
          <w:lang w:val="es-VE"/>
        </w:rPr>
        <w:tab/>
      </w:r>
      <w:r w:rsidR="001734EB" w:rsidRPr="00B04937">
        <w:rPr>
          <w:lang w:val="es-VE"/>
        </w:rPr>
        <w:t xml:space="preserve">Denuncias por discriminación a </w:t>
      </w:r>
      <w:proofErr w:type="spellStart"/>
      <w:r w:rsidR="001734EB" w:rsidRPr="00B04937">
        <w:rPr>
          <w:lang w:val="es-VE"/>
        </w:rPr>
        <w:t>Pcd</w:t>
      </w:r>
      <w:proofErr w:type="spellEnd"/>
      <w:r w:rsidR="001734EB" w:rsidRPr="00B04937">
        <w:rPr>
          <w:lang w:val="es-VE"/>
        </w:rPr>
        <w:t xml:space="preserve"> por tipo de discapacidad</w:t>
      </w:r>
      <w:r w:rsidR="00B04937" w:rsidRPr="00B04937">
        <w:rPr>
          <w:lang w:val="es-VE"/>
        </w:rPr>
        <w:t xml:space="preserve"> </w:t>
      </w:r>
      <w:r>
        <w:rPr>
          <w:lang w:val="es-VE"/>
        </w:rPr>
        <w:t>—</w:t>
      </w:r>
      <w:proofErr w:type="spellStart"/>
      <w:r w:rsidR="001734EB" w:rsidRPr="00B04937">
        <w:rPr>
          <w:lang w:val="es-VE"/>
        </w:rPr>
        <w:t>CONAPDIS</w:t>
      </w:r>
      <w:proofErr w:type="spellEnd"/>
      <w:r>
        <w:rPr>
          <w:lang w:val="es-VE"/>
        </w:rPr>
        <w:t>—</w:t>
      </w:r>
      <w:r>
        <w:rPr>
          <w:lang w:val="es-VE"/>
        </w:rPr>
        <w:br/>
      </w:r>
      <w:r w:rsidR="001734EB" w:rsidRPr="00B04937">
        <w:rPr>
          <w:lang w:val="es-VE"/>
        </w:rPr>
        <w:t>2016-2018</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3802"/>
        <w:gridCol w:w="3568"/>
      </w:tblGrid>
      <w:tr w:rsidR="00C42365" w:rsidRPr="00C42365" w14:paraId="23C551AC" w14:textId="77777777" w:rsidTr="00054D51">
        <w:trPr>
          <w:trHeight w:val="240"/>
          <w:tblHeader/>
        </w:trPr>
        <w:tc>
          <w:tcPr>
            <w:tcW w:w="3802" w:type="dxa"/>
            <w:tcBorders>
              <w:top w:val="single" w:sz="4" w:space="0" w:color="auto"/>
              <w:bottom w:val="single" w:sz="12" w:space="0" w:color="auto"/>
            </w:tcBorders>
            <w:shd w:val="clear" w:color="auto" w:fill="auto"/>
            <w:vAlign w:val="bottom"/>
          </w:tcPr>
          <w:p w14:paraId="20B7EAEA" w14:textId="77777777" w:rsidR="001734EB" w:rsidRPr="004E5744" w:rsidRDefault="001734EB" w:rsidP="00054D51">
            <w:pPr>
              <w:pStyle w:val="SingleTxtG"/>
              <w:spacing w:before="80" w:after="80" w:line="200" w:lineRule="exact"/>
              <w:ind w:left="0" w:right="0"/>
              <w:jc w:val="left"/>
              <w:rPr>
                <w:i/>
                <w:sz w:val="16"/>
                <w:lang w:val="es-VE"/>
              </w:rPr>
            </w:pPr>
            <w:r w:rsidRPr="004E5744">
              <w:rPr>
                <w:i/>
                <w:sz w:val="16"/>
                <w:lang w:val="es-VE"/>
              </w:rPr>
              <w:t>Tipo discapacidad</w:t>
            </w:r>
          </w:p>
        </w:tc>
        <w:tc>
          <w:tcPr>
            <w:tcW w:w="3568" w:type="dxa"/>
            <w:tcBorders>
              <w:top w:val="single" w:sz="4" w:space="0" w:color="auto"/>
              <w:bottom w:val="single" w:sz="12" w:space="0" w:color="auto"/>
            </w:tcBorders>
            <w:shd w:val="clear" w:color="auto" w:fill="auto"/>
            <w:vAlign w:val="bottom"/>
          </w:tcPr>
          <w:p w14:paraId="4ABBDACA" w14:textId="77777777" w:rsidR="001734EB" w:rsidRPr="004E5744" w:rsidRDefault="001734EB" w:rsidP="00054D51">
            <w:pPr>
              <w:pStyle w:val="SingleTxtG"/>
              <w:spacing w:before="80" w:after="80" w:line="200" w:lineRule="exact"/>
              <w:ind w:left="113" w:right="0"/>
              <w:jc w:val="right"/>
              <w:rPr>
                <w:i/>
                <w:sz w:val="16"/>
                <w:lang w:val="es-VE"/>
              </w:rPr>
            </w:pPr>
            <w:r w:rsidRPr="004E5744">
              <w:rPr>
                <w:i/>
                <w:sz w:val="16"/>
                <w:lang w:val="es-VE"/>
              </w:rPr>
              <w:t>Denuncias</w:t>
            </w:r>
          </w:p>
        </w:tc>
      </w:tr>
      <w:tr w:rsidR="00C42365" w:rsidRPr="00C42365" w14:paraId="62413AEE" w14:textId="77777777" w:rsidTr="00054D51">
        <w:trPr>
          <w:trHeight w:val="240"/>
        </w:trPr>
        <w:tc>
          <w:tcPr>
            <w:tcW w:w="3802" w:type="dxa"/>
            <w:tcBorders>
              <w:top w:val="single" w:sz="12" w:space="0" w:color="auto"/>
            </w:tcBorders>
            <w:shd w:val="clear" w:color="auto" w:fill="auto"/>
          </w:tcPr>
          <w:p w14:paraId="63DB089A" w14:textId="77777777" w:rsidR="001734EB" w:rsidRPr="00C42365" w:rsidRDefault="001734EB" w:rsidP="00054D51">
            <w:pPr>
              <w:pStyle w:val="SingleTxtG"/>
              <w:spacing w:before="40" w:after="40" w:line="220" w:lineRule="exact"/>
              <w:ind w:left="0" w:right="0"/>
              <w:jc w:val="left"/>
              <w:rPr>
                <w:sz w:val="18"/>
                <w:lang w:val="es-VE"/>
              </w:rPr>
            </w:pPr>
            <w:r w:rsidRPr="00C42365">
              <w:rPr>
                <w:sz w:val="18"/>
                <w:lang w:val="es-VE"/>
              </w:rPr>
              <w:lastRenderedPageBreak/>
              <w:t>Intelectual</w:t>
            </w:r>
          </w:p>
        </w:tc>
        <w:tc>
          <w:tcPr>
            <w:tcW w:w="3568" w:type="dxa"/>
            <w:tcBorders>
              <w:top w:val="single" w:sz="12" w:space="0" w:color="auto"/>
            </w:tcBorders>
            <w:shd w:val="clear" w:color="auto" w:fill="auto"/>
            <w:vAlign w:val="bottom"/>
          </w:tcPr>
          <w:p w14:paraId="64E5E2F8" w14:textId="77777777" w:rsidR="001734EB" w:rsidRPr="004E5744" w:rsidRDefault="001734EB" w:rsidP="00054D51">
            <w:pPr>
              <w:pStyle w:val="SingleTxtG"/>
              <w:spacing w:before="40" w:after="40" w:line="220" w:lineRule="exact"/>
              <w:ind w:left="113" w:right="0"/>
              <w:jc w:val="right"/>
              <w:rPr>
                <w:sz w:val="18"/>
                <w:lang w:val="es-VE"/>
              </w:rPr>
            </w:pPr>
            <w:r w:rsidRPr="00C42365">
              <w:rPr>
                <w:sz w:val="18"/>
                <w:lang w:val="es-VE"/>
              </w:rPr>
              <w:t>1</w:t>
            </w:r>
            <w:r w:rsidR="00C42365">
              <w:rPr>
                <w:sz w:val="18"/>
                <w:lang w:val="es-VE"/>
              </w:rPr>
              <w:t xml:space="preserve"> </w:t>
            </w:r>
            <w:r w:rsidRPr="004E5744">
              <w:rPr>
                <w:sz w:val="18"/>
                <w:lang w:val="es-VE"/>
              </w:rPr>
              <w:t>528</w:t>
            </w:r>
          </w:p>
        </w:tc>
      </w:tr>
      <w:tr w:rsidR="00C42365" w:rsidRPr="00C42365" w14:paraId="7D2FC7BC" w14:textId="77777777" w:rsidTr="00054D51">
        <w:trPr>
          <w:trHeight w:val="240"/>
        </w:trPr>
        <w:tc>
          <w:tcPr>
            <w:tcW w:w="3802" w:type="dxa"/>
            <w:shd w:val="clear" w:color="auto" w:fill="auto"/>
          </w:tcPr>
          <w:p w14:paraId="7B7E9972" w14:textId="77777777" w:rsidR="001734EB" w:rsidRPr="00C42365" w:rsidRDefault="001734EB" w:rsidP="00054D51">
            <w:pPr>
              <w:pStyle w:val="SingleTxtG"/>
              <w:spacing w:before="40" w:after="40" w:line="220" w:lineRule="exact"/>
              <w:ind w:left="0" w:right="0"/>
              <w:jc w:val="left"/>
              <w:rPr>
                <w:sz w:val="18"/>
                <w:lang w:val="es-VE"/>
              </w:rPr>
            </w:pPr>
            <w:r w:rsidRPr="00C42365">
              <w:rPr>
                <w:sz w:val="18"/>
                <w:lang w:val="es-VE"/>
              </w:rPr>
              <w:t>Auditiva</w:t>
            </w:r>
          </w:p>
        </w:tc>
        <w:tc>
          <w:tcPr>
            <w:tcW w:w="3568" w:type="dxa"/>
            <w:shd w:val="clear" w:color="auto" w:fill="auto"/>
            <w:vAlign w:val="bottom"/>
          </w:tcPr>
          <w:p w14:paraId="42D19437" w14:textId="77777777" w:rsidR="001734EB" w:rsidRPr="004E5744" w:rsidRDefault="001734EB" w:rsidP="00054D51">
            <w:pPr>
              <w:pStyle w:val="SingleTxtG"/>
              <w:spacing w:before="40" w:after="40" w:line="220" w:lineRule="exact"/>
              <w:ind w:left="113" w:right="0"/>
              <w:jc w:val="right"/>
              <w:rPr>
                <w:sz w:val="18"/>
                <w:lang w:val="es-VE"/>
              </w:rPr>
            </w:pPr>
            <w:r w:rsidRPr="00C42365">
              <w:rPr>
                <w:sz w:val="18"/>
                <w:lang w:val="es-VE"/>
              </w:rPr>
              <w:t>1</w:t>
            </w:r>
            <w:r w:rsidR="00C42365">
              <w:rPr>
                <w:sz w:val="18"/>
                <w:lang w:val="es-VE"/>
              </w:rPr>
              <w:t xml:space="preserve"> </w:t>
            </w:r>
            <w:r w:rsidRPr="004E5744">
              <w:rPr>
                <w:sz w:val="18"/>
                <w:lang w:val="es-VE"/>
              </w:rPr>
              <w:t>050</w:t>
            </w:r>
          </w:p>
        </w:tc>
      </w:tr>
      <w:tr w:rsidR="00C42365" w:rsidRPr="00C42365" w14:paraId="3E10601A" w14:textId="77777777" w:rsidTr="00054D51">
        <w:trPr>
          <w:trHeight w:val="240"/>
        </w:trPr>
        <w:tc>
          <w:tcPr>
            <w:tcW w:w="3802" w:type="dxa"/>
            <w:shd w:val="clear" w:color="auto" w:fill="auto"/>
          </w:tcPr>
          <w:p w14:paraId="2D0E7B9F" w14:textId="77777777" w:rsidR="001734EB" w:rsidRPr="00C42365" w:rsidRDefault="001734EB" w:rsidP="00054D51">
            <w:pPr>
              <w:pStyle w:val="SingleTxtG"/>
              <w:spacing w:before="40" w:after="40" w:line="220" w:lineRule="exact"/>
              <w:ind w:left="0" w:right="0"/>
              <w:jc w:val="left"/>
              <w:rPr>
                <w:sz w:val="18"/>
                <w:lang w:val="es-VE"/>
              </w:rPr>
            </w:pPr>
            <w:proofErr w:type="spellStart"/>
            <w:r w:rsidRPr="00C42365">
              <w:rPr>
                <w:sz w:val="18"/>
                <w:lang w:val="es-VE"/>
              </w:rPr>
              <w:t>Fisicomotora</w:t>
            </w:r>
            <w:proofErr w:type="spellEnd"/>
          </w:p>
        </w:tc>
        <w:tc>
          <w:tcPr>
            <w:tcW w:w="3568" w:type="dxa"/>
            <w:shd w:val="clear" w:color="auto" w:fill="auto"/>
            <w:vAlign w:val="bottom"/>
          </w:tcPr>
          <w:p w14:paraId="1FA95436" w14:textId="77777777" w:rsidR="001734EB" w:rsidRPr="00C42365" w:rsidRDefault="001734EB" w:rsidP="00054D51">
            <w:pPr>
              <w:pStyle w:val="SingleTxtG"/>
              <w:spacing w:before="40" w:after="40" w:line="220" w:lineRule="exact"/>
              <w:ind w:left="113" w:right="0"/>
              <w:jc w:val="right"/>
              <w:rPr>
                <w:sz w:val="18"/>
                <w:lang w:val="es-VE"/>
              </w:rPr>
            </w:pPr>
            <w:r w:rsidRPr="00C42365">
              <w:rPr>
                <w:sz w:val="18"/>
                <w:lang w:val="es-VE"/>
              </w:rPr>
              <w:t>750</w:t>
            </w:r>
          </w:p>
        </w:tc>
      </w:tr>
      <w:tr w:rsidR="00C42365" w:rsidRPr="00C42365" w14:paraId="07BCA51A" w14:textId="77777777" w:rsidTr="00054D51">
        <w:trPr>
          <w:trHeight w:val="240"/>
        </w:trPr>
        <w:tc>
          <w:tcPr>
            <w:tcW w:w="3802" w:type="dxa"/>
            <w:shd w:val="clear" w:color="auto" w:fill="auto"/>
          </w:tcPr>
          <w:p w14:paraId="1543A009" w14:textId="77777777" w:rsidR="001734EB" w:rsidRPr="00C42365" w:rsidRDefault="001734EB" w:rsidP="00054D51">
            <w:pPr>
              <w:pStyle w:val="SingleTxtG"/>
              <w:spacing w:before="40" w:after="40" w:line="220" w:lineRule="exact"/>
              <w:ind w:left="0" w:right="0"/>
              <w:jc w:val="left"/>
              <w:rPr>
                <w:sz w:val="18"/>
                <w:lang w:val="es-VE"/>
              </w:rPr>
            </w:pPr>
            <w:r w:rsidRPr="00C42365">
              <w:rPr>
                <w:sz w:val="18"/>
                <w:lang w:val="es-VE"/>
              </w:rPr>
              <w:t>Visual</w:t>
            </w:r>
          </w:p>
        </w:tc>
        <w:tc>
          <w:tcPr>
            <w:tcW w:w="3568" w:type="dxa"/>
            <w:shd w:val="clear" w:color="auto" w:fill="auto"/>
            <w:vAlign w:val="bottom"/>
          </w:tcPr>
          <w:p w14:paraId="5E5F43E6" w14:textId="77777777" w:rsidR="001734EB" w:rsidRPr="00C42365" w:rsidRDefault="001734EB" w:rsidP="00054D51">
            <w:pPr>
              <w:pStyle w:val="SingleTxtG"/>
              <w:spacing w:before="40" w:after="40" w:line="220" w:lineRule="exact"/>
              <w:ind w:left="113" w:right="0"/>
              <w:jc w:val="right"/>
              <w:rPr>
                <w:sz w:val="18"/>
                <w:lang w:val="es-VE"/>
              </w:rPr>
            </w:pPr>
            <w:r w:rsidRPr="00C42365">
              <w:rPr>
                <w:sz w:val="18"/>
                <w:lang w:val="es-VE"/>
              </w:rPr>
              <w:t>532</w:t>
            </w:r>
          </w:p>
        </w:tc>
      </w:tr>
      <w:tr w:rsidR="00C42365" w:rsidRPr="00C42365" w14:paraId="568CA4BA" w14:textId="77777777" w:rsidTr="00054D51">
        <w:trPr>
          <w:trHeight w:val="240"/>
        </w:trPr>
        <w:tc>
          <w:tcPr>
            <w:tcW w:w="3802" w:type="dxa"/>
            <w:tcBorders>
              <w:bottom w:val="single" w:sz="4" w:space="0" w:color="auto"/>
            </w:tcBorders>
            <w:shd w:val="clear" w:color="auto" w:fill="auto"/>
          </w:tcPr>
          <w:p w14:paraId="6B16820D" w14:textId="77777777" w:rsidR="001734EB" w:rsidRPr="00C42365" w:rsidRDefault="001734EB" w:rsidP="00054D51">
            <w:pPr>
              <w:pStyle w:val="SingleTxtG"/>
              <w:spacing w:before="40" w:after="40" w:line="220" w:lineRule="exact"/>
              <w:ind w:left="0" w:right="0"/>
              <w:jc w:val="left"/>
              <w:rPr>
                <w:sz w:val="18"/>
                <w:lang w:val="es-VE"/>
              </w:rPr>
            </w:pPr>
            <w:r w:rsidRPr="00C42365">
              <w:rPr>
                <w:sz w:val="18"/>
                <w:lang w:val="es-VE"/>
              </w:rPr>
              <w:t>Múltiple</w:t>
            </w:r>
          </w:p>
        </w:tc>
        <w:tc>
          <w:tcPr>
            <w:tcW w:w="3568" w:type="dxa"/>
            <w:tcBorders>
              <w:bottom w:val="single" w:sz="4" w:space="0" w:color="auto"/>
            </w:tcBorders>
            <w:shd w:val="clear" w:color="auto" w:fill="auto"/>
            <w:vAlign w:val="bottom"/>
          </w:tcPr>
          <w:p w14:paraId="598821FC" w14:textId="77777777" w:rsidR="001734EB" w:rsidRPr="00C42365" w:rsidRDefault="001734EB" w:rsidP="00054D51">
            <w:pPr>
              <w:pStyle w:val="SingleTxtG"/>
              <w:spacing w:before="40" w:after="40" w:line="220" w:lineRule="exact"/>
              <w:ind w:left="113" w:right="0"/>
              <w:jc w:val="right"/>
              <w:rPr>
                <w:sz w:val="18"/>
                <w:lang w:val="es-VE"/>
              </w:rPr>
            </w:pPr>
            <w:r w:rsidRPr="00C42365">
              <w:rPr>
                <w:sz w:val="18"/>
                <w:lang w:val="es-VE"/>
              </w:rPr>
              <w:t>138</w:t>
            </w:r>
          </w:p>
        </w:tc>
      </w:tr>
      <w:tr w:rsidR="00C42365" w:rsidRPr="00C42365" w14:paraId="0A45D398" w14:textId="77777777" w:rsidTr="00054D51">
        <w:trPr>
          <w:trHeight w:val="240"/>
        </w:trPr>
        <w:tc>
          <w:tcPr>
            <w:tcW w:w="3802" w:type="dxa"/>
            <w:tcBorders>
              <w:top w:val="single" w:sz="4" w:space="0" w:color="auto"/>
              <w:bottom w:val="single" w:sz="12" w:space="0" w:color="auto"/>
            </w:tcBorders>
            <w:shd w:val="clear" w:color="auto" w:fill="auto"/>
          </w:tcPr>
          <w:p w14:paraId="6C9847CA" w14:textId="77777777" w:rsidR="001734EB" w:rsidRPr="004E5744" w:rsidRDefault="00C42365" w:rsidP="00054D51">
            <w:pPr>
              <w:pStyle w:val="SingleTxtG"/>
              <w:spacing w:before="80" w:after="80" w:line="220" w:lineRule="exact"/>
              <w:ind w:left="283" w:right="0"/>
              <w:jc w:val="left"/>
              <w:rPr>
                <w:b/>
                <w:sz w:val="18"/>
                <w:lang w:val="es-VE"/>
              </w:rPr>
            </w:pPr>
            <w:r w:rsidRPr="00054D51">
              <w:rPr>
                <w:b/>
                <w:sz w:val="18"/>
                <w:lang w:val="es-VE"/>
              </w:rPr>
              <w:t>Total</w:t>
            </w:r>
          </w:p>
        </w:tc>
        <w:tc>
          <w:tcPr>
            <w:tcW w:w="3568" w:type="dxa"/>
            <w:tcBorders>
              <w:top w:val="single" w:sz="4" w:space="0" w:color="auto"/>
              <w:bottom w:val="single" w:sz="12" w:space="0" w:color="auto"/>
            </w:tcBorders>
            <w:shd w:val="clear" w:color="auto" w:fill="auto"/>
            <w:vAlign w:val="bottom"/>
          </w:tcPr>
          <w:p w14:paraId="2906F084" w14:textId="77777777" w:rsidR="001734EB" w:rsidRPr="004E5744" w:rsidRDefault="001734EB" w:rsidP="00054D51">
            <w:pPr>
              <w:pStyle w:val="SingleTxtG"/>
              <w:spacing w:before="80" w:after="80" w:line="220" w:lineRule="exact"/>
              <w:ind w:left="0" w:right="0"/>
              <w:jc w:val="right"/>
              <w:rPr>
                <w:b/>
                <w:sz w:val="18"/>
                <w:lang w:val="es-VE"/>
              </w:rPr>
            </w:pPr>
            <w:r w:rsidRPr="004E5744">
              <w:rPr>
                <w:b/>
                <w:sz w:val="18"/>
                <w:lang w:val="es-VE"/>
              </w:rPr>
              <w:t>3</w:t>
            </w:r>
            <w:r w:rsidR="00C42365">
              <w:rPr>
                <w:b/>
                <w:sz w:val="18"/>
                <w:lang w:val="es-VE"/>
              </w:rPr>
              <w:t xml:space="preserve"> </w:t>
            </w:r>
            <w:r w:rsidRPr="004E5744">
              <w:rPr>
                <w:b/>
                <w:sz w:val="18"/>
                <w:lang w:val="es-VE"/>
              </w:rPr>
              <w:t>998</w:t>
            </w:r>
          </w:p>
        </w:tc>
      </w:tr>
    </w:tbl>
    <w:p w14:paraId="33D32751" w14:textId="77777777" w:rsidR="001734EB" w:rsidRPr="00077437" w:rsidRDefault="00C42365" w:rsidP="00054D51">
      <w:pPr>
        <w:pStyle w:val="SingleTxtG"/>
        <w:spacing w:before="240"/>
        <w:rPr>
          <w:lang w:val="es-VE"/>
        </w:rPr>
      </w:pPr>
      <w:r>
        <w:rPr>
          <w:lang w:val="es-VE"/>
        </w:rPr>
        <w:t>25.</w:t>
      </w:r>
      <w:r>
        <w:rPr>
          <w:lang w:val="es-VE"/>
        </w:rPr>
        <w:tab/>
      </w:r>
      <w:r w:rsidR="001734EB" w:rsidRPr="00077437">
        <w:rPr>
          <w:lang w:val="es-VE"/>
        </w:rPr>
        <w:t xml:space="preserve">Por su parte, la </w:t>
      </w:r>
      <w:proofErr w:type="spellStart"/>
      <w:r w:rsidR="001734EB" w:rsidRPr="00077437">
        <w:rPr>
          <w:lang w:val="es-VE"/>
        </w:rPr>
        <w:t>DdP</w:t>
      </w:r>
      <w:proofErr w:type="spellEnd"/>
      <w:r w:rsidR="001734EB" w:rsidRPr="00077437">
        <w:rPr>
          <w:lang w:val="es-VE"/>
        </w:rPr>
        <w:t xml:space="preserve"> ha recibido 49 denuncias de discriminación contra las </w:t>
      </w:r>
      <w:proofErr w:type="spellStart"/>
      <w:r w:rsidR="001734EB" w:rsidRPr="00077437">
        <w:rPr>
          <w:lang w:val="es-VE"/>
        </w:rPr>
        <w:t>PcD</w:t>
      </w:r>
      <w:proofErr w:type="spellEnd"/>
      <w:r w:rsidR="001734EB" w:rsidRPr="00077437">
        <w:rPr>
          <w:lang w:val="es-VE"/>
        </w:rPr>
        <w:t xml:space="preserve"> en el período 2015-2019, desagregadas de la manera siguiente: </w:t>
      </w:r>
    </w:p>
    <w:p w14:paraId="469811A3" w14:textId="77777777" w:rsidR="001734EB" w:rsidRPr="001A10BF" w:rsidRDefault="001734EB" w:rsidP="004E5744">
      <w:pPr>
        <w:pStyle w:val="Ttulo1"/>
      </w:pPr>
      <w:r w:rsidRPr="001A10BF">
        <w:t>Tabla 4</w:t>
      </w:r>
    </w:p>
    <w:p w14:paraId="52E9716E" w14:textId="77777777" w:rsidR="001734EB" w:rsidRPr="00B04937" w:rsidRDefault="00C42365" w:rsidP="00054D51">
      <w:pPr>
        <w:pStyle w:val="H23G"/>
        <w:spacing w:before="0"/>
        <w:rPr>
          <w:lang w:val="es-VE"/>
        </w:rPr>
      </w:pPr>
      <w:r>
        <w:rPr>
          <w:lang w:val="es-VE"/>
        </w:rPr>
        <w:tab/>
      </w:r>
      <w:r>
        <w:rPr>
          <w:lang w:val="es-VE"/>
        </w:rPr>
        <w:tab/>
      </w:r>
      <w:r w:rsidR="001734EB" w:rsidRPr="00B04937">
        <w:rPr>
          <w:lang w:val="es-VE"/>
        </w:rPr>
        <w:t xml:space="preserve">Denuncias por discriminación a </w:t>
      </w:r>
      <w:proofErr w:type="spellStart"/>
      <w:r w:rsidR="001734EB" w:rsidRPr="00B04937">
        <w:rPr>
          <w:lang w:val="es-VE"/>
        </w:rPr>
        <w:t>Pcd</w:t>
      </w:r>
      <w:proofErr w:type="spellEnd"/>
      <w:r w:rsidR="00B04937" w:rsidRPr="00B04937">
        <w:rPr>
          <w:lang w:val="es-VE"/>
        </w:rPr>
        <w:t xml:space="preserve"> </w:t>
      </w:r>
      <w:r>
        <w:rPr>
          <w:lang w:val="es-VE"/>
        </w:rPr>
        <w:t>—</w:t>
      </w:r>
      <w:r w:rsidR="001734EB" w:rsidRPr="00B04937">
        <w:rPr>
          <w:lang w:val="es-VE"/>
        </w:rPr>
        <w:t>Defensoría del Pueblo</w:t>
      </w:r>
      <w:r>
        <w:rPr>
          <w:lang w:val="es-VE"/>
        </w:rPr>
        <w:t>—</w:t>
      </w:r>
      <w:r w:rsidR="00B04937" w:rsidRPr="00B04937">
        <w:rPr>
          <w:lang w:val="es-VE"/>
        </w:rPr>
        <w:t xml:space="preserve"> </w:t>
      </w:r>
      <w:r w:rsidR="001734EB" w:rsidRPr="00B04937">
        <w:rPr>
          <w:lang w:val="es-VE"/>
        </w:rPr>
        <w:t>2015-2019</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720"/>
        <w:gridCol w:w="329"/>
        <w:gridCol w:w="329"/>
        <w:gridCol w:w="329"/>
        <w:gridCol w:w="329"/>
        <w:gridCol w:w="330"/>
        <w:gridCol w:w="330"/>
        <w:gridCol w:w="330"/>
        <w:gridCol w:w="330"/>
        <w:gridCol w:w="330"/>
        <w:gridCol w:w="330"/>
        <w:gridCol w:w="330"/>
        <w:gridCol w:w="330"/>
        <w:gridCol w:w="330"/>
        <w:gridCol w:w="330"/>
        <w:gridCol w:w="330"/>
        <w:gridCol w:w="330"/>
        <w:gridCol w:w="330"/>
        <w:gridCol w:w="330"/>
        <w:gridCol w:w="714"/>
      </w:tblGrid>
      <w:tr w:rsidR="00C42365" w:rsidRPr="00C42365" w14:paraId="3C3963C7" w14:textId="77777777" w:rsidTr="00054D51">
        <w:trPr>
          <w:trHeight w:val="240"/>
          <w:tblHeader/>
        </w:trPr>
        <w:tc>
          <w:tcPr>
            <w:tcW w:w="721" w:type="dxa"/>
            <w:vMerge w:val="restart"/>
            <w:tcBorders>
              <w:top w:val="single" w:sz="4" w:space="0" w:color="auto"/>
              <w:bottom w:val="single" w:sz="12" w:space="0" w:color="auto"/>
            </w:tcBorders>
            <w:shd w:val="clear" w:color="auto" w:fill="auto"/>
            <w:vAlign w:val="bottom"/>
          </w:tcPr>
          <w:p w14:paraId="60B17348" w14:textId="77777777" w:rsidR="001734EB" w:rsidRPr="004E5744" w:rsidRDefault="001734EB">
            <w:pPr>
              <w:pStyle w:val="SingleTxtG"/>
              <w:spacing w:before="80" w:after="80" w:line="200" w:lineRule="exact"/>
              <w:ind w:left="0" w:right="0"/>
              <w:jc w:val="left"/>
              <w:rPr>
                <w:i/>
                <w:sz w:val="16"/>
                <w:lang w:val="es-VE"/>
              </w:rPr>
            </w:pPr>
            <w:r w:rsidRPr="004E5744">
              <w:rPr>
                <w:i/>
                <w:sz w:val="16"/>
                <w:lang w:val="es-VE"/>
              </w:rPr>
              <w:t>Año</w:t>
            </w:r>
          </w:p>
        </w:tc>
        <w:tc>
          <w:tcPr>
            <w:tcW w:w="658" w:type="dxa"/>
            <w:gridSpan w:val="2"/>
            <w:tcBorders>
              <w:top w:val="single" w:sz="4" w:space="0" w:color="auto"/>
              <w:bottom w:val="single" w:sz="4" w:space="0" w:color="auto"/>
            </w:tcBorders>
            <w:shd w:val="clear" w:color="auto" w:fill="auto"/>
            <w:vAlign w:val="bottom"/>
          </w:tcPr>
          <w:p w14:paraId="12A087B2" w14:textId="77777777" w:rsidR="001734EB" w:rsidRPr="004E5744" w:rsidRDefault="001734EB" w:rsidP="00054D51">
            <w:pPr>
              <w:pStyle w:val="SingleTxtG"/>
              <w:spacing w:before="80" w:after="80" w:line="200" w:lineRule="exact"/>
              <w:ind w:left="113" w:right="0"/>
              <w:jc w:val="center"/>
              <w:rPr>
                <w:i/>
                <w:sz w:val="16"/>
                <w:lang w:val="es-VE"/>
              </w:rPr>
            </w:pPr>
            <w:r w:rsidRPr="004E5744">
              <w:rPr>
                <w:i/>
                <w:sz w:val="16"/>
                <w:lang w:val="es-VE"/>
              </w:rPr>
              <w:t>0</w:t>
            </w:r>
            <w:r w:rsidR="00C42365">
              <w:rPr>
                <w:i/>
                <w:sz w:val="16"/>
                <w:lang w:val="es-VE"/>
              </w:rPr>
              <w:t xml:space="preserve"> a </w:t>
            </w:r>
            <w:r w:rsidRPr="004E5744">
              <w:rPr>
                <w:i/>
                <w:sz w:val="16"/>
                <w:lang w:val="es-VE"/>
              </w:rPr>
              <w:t>10</w:t>
            </w:r>
          </w:p>
        </w:tc>
        <w:tc>
          <w:tcPr>
            <w:tcW w:w="658" w:type="dxa"/>
            <w:gridSpan w:val="2"/>
            <w:tcBorders>
              <w:top w:val="single" w:sz="4" w:space="0" w:color="auto"/>
              <w:bottom w:val="single" w:sz="4" w:space="0" w:color="auto"/>
            </w:tcBorders>
            <w:shd w:val="clear" w:color="auto" w:fill="auto"/>
            <w:vAlign w:val="bottom"/>
          </w:tcPr>
          <w:p w14:paraId="338278C7" w14:textId="77777777" w:rsidR="001734EB" w:rsidRPr="004E5744" w:rsidRDefault="001734EB" w:rsidP="00054D51">
            <w:pPr>
              <w:pStyle w:val="SingleTxtG"/>
              <w:spacing w:before="80" w:after="80" w:line="200" w:lineRule="exact"/>
              <w:ind w:left="113" w:right="0"/>
              <w:jc w:val="center"/>
              <w:rPr>
                <w:i/>
                <w:sz w:val="16"/>
                <w:lang w:val="es-VE"/>
              </w:rPr>
            </w:pPr>
            <w:r w:rsidRPr="004E5744">
              <w:rPr>
                <w:i/>
                <w:sz w:val="16"/>
                <w:lang w:val="es-VE"/>
              </w:rPr>
              <w:t>11</w:t>
            </w:r>
            <w:r w:rsidR="00C42365">
              <w:rPr>
                <w:i/>
                <w:sz w:val="16"/>
                <w:lang w:val="es-VE"/>
              </w:rPr>
              <w:t xml:space="preserve"> a </w:t>
            </w:r>
            <w:r w:rsidRPr="004E5744">
              <w:rPr>
                <w:i/>
                <w:sz w:val="16"/>
                <w:lang w:val="es-VE"/>
              </w:rPr>
              <w:t>20</w:t>
            </w:r>
          </w:p>
        </w:tc>
        <w:tc>
          <w:tcPr>
            <w:tcW w:w="660" w:type="dxa"/>
            <w:gridSpan w:val="2"/>
            <w:tcBorders>
              <w:top w:val="single" w:sz="4" w:space="0" w:color="auto"/>
              <w:bottom w:val="single" w:sz="4" w:space="0" w:color="auto"/>
            </w:tcBorders>
            <w:shd w:val="clear" w:color="auto" w:fill="auto"/>
            <w:vAlign w:val="bottom"/>
          </w:tcPr>
          <w:p w14:paraId="2F603E37" w14:textId="77777777" w:rsidR="001734EB" w:rsidRPr="004E5744" w:rsidRDefault="001734EB" w:rsidP="00054D51">
            <w:pPr>
              <w:pStyle w:val="SingleTxtG"/>
              <w:spacing w:before="80" w:after="80" w:line="200" w:lineRule="exact"/>
              <w:ind w:left="113" w:right="0"/>
              <w:jc w:val="center"/>
              <w:rPr>
                <w:i/>
                <w:sz w:val="16"/>
                <w:lang w:val="es-VE"/>
              </w:rPr>
            </w:pPr>
            <w:r w:rsidRPr="004E5744">
              <w:rPr>
                <w:i/>
                <w:sz w:val="16"/>
                <w:lang w:val="es-VE"/>
              </w:rPr>
              <w:t>21</w:t>
            </w:r>
            <w:r w:rsidR="00C42365">
              <w:rPr>
                <w:i/>
                <w:sz w:val="16"/>
                <w:lang w:val="es-VE"/>
              </w:rPr>
              <w:t xml:space="preserve"> a </w:t>
            </w:r>
            <w:r w:rsidRPr="004E5744">
              <w:rPr>
                <w:i/>
                <w:sz w:val="16"/>
                <w:lang w:val="es-VE"/>
              </w:rPr>
              <w:t>30</w:t>
            </w:r>
          </w:p>
        </w:tc>
        <w:tc>
          <w:tcPr>
            <w:tcW w:w="660" w:type="dxa"/>
            <w:gridSpan w:val="2"/>
            <w:tcBorders>
              <w:top w:val="single" w:sz="4" w:space="0" w:color="auto"/>
              <w:bottom w:val="single" w:sz="4" w:space="0" w:color="auto"/>
            </w:tcBorders>
            <w:shd w:val="clear" w:color="auto" w:fill="auto"/>
            <w:vAlign w:val="bottom"/>
          </w:tcPr>
          <w:p w14:paraId="1A3F883E" w14:textId="77777777" w:rsidR="001734EB" w:rsidRPr="004E5744" w:rsidRDefault="001734EB" w:rsidP="00054D51">
            <w:pPr>
              <w:pStyle w:val="SingleTxtG"/>
              <w:spacing w:before="80" w:after="80" w:line="200" w:lineRule="exact"/>
              <w:ind w:left="113" w:right="0"/>
              <w:jc w:val="center"/>
              <w:rPr>
                <w:i/>
                <w:sz w:val="16"/>
                <w:lang w:val="es-VE"/>
              </w:rPr>
            </w:pPr>
            <w:r w:rsidRPr="004E5744">
              <w:rPr>
                <w:i/>
                <w:sz w:val="16"/>
                <w:lang w:val="es-VE"/>
              </w:rPr>
              <w:t>31</w:t>
            </w:r>
            <w:r w:rsidR="00C42365">
              <w:rPr>
                <w:i/>
                <w:sz w:val="16"/>
                <w:lang w:val="es-VE"/>
              </w:rPr>
              <w:t xml:space="preserve"> a </w:t>
            </w:r>
            <w:r w:rsidRPr="004E5744">
              <w:rPr>
                <w:i/>
                <w:sz w:val="16"/>
                <w:lang w:val="es-VE"/>
              </w:rPr>
              <w:t>40</w:t>
            </w:r>
          </w:p>
        </w:tc>
        <w:tc>
          <w:tcPr>
            <w:tcW w:w="660" w:type="dxa"/>
            <w:gridSpan w:val="2"/>
            <w:tcBorders>
              <w:top w:val="single" w:sz="4" w:space="0" w:color="auto"/>
              <w:bottom w:val="single" w:sz="4" w:space="0" w:color="auto"/>
            </w:tcBorders>
            <w:shd w:val="clear" w:color="auto" w:fill="auto"/>
            <w:vAlign w:val="bottom"/>
          </w:tcPr>
          <w:p w14:paraId="125A7836" w14:textId="77777777" w:rsidR="001734EB" w:rsidRPr="004E5744" w:rsidRDefault="001734EB" w:rsidP="00054D51">
            <w:pPr>
              <w:pStyle w:val="SingleTxtG"/>
              <w:spacing w:before="80" w:after="80" w:line="200" w:lineRule="exact"/>
              <w:ind w:left="113" w:right="0"/>
              <w:jc w:val="center"/>
              <w:rPr>
                <w:i/>
                <w:sz w:val="16"/>
                <w:lang w:val="es-VE"/>
              </w:rPr>
            </w:pPr>
            <w:r w:rsidRPr="004E5744">
              <w:rPr>
                <w:i/>
                <w:sz w:val="16"/>
                <w:lang w:val="es-VE"/>
              </w:rPr>
              <w:t>41</w:t>
            </w:r>
            <w:r w:rsidR="00C42365">
              <w:rPr>
                <w:i/>
                <w:sz w:val="16"/>
                <w:lang w:val="es-VE"/>
              </w:rPr>
              <w:t xml:space="preserve"> a </w:t>
            </w:r>
            <w:r w:rsidRPr="004E5744">
              <w:rPr>
                <w:i/>
                <w:sz w:val="16"/>
                <w:lang w:val="es-VE"/>
              </w:rPr>
              <w:t>50</w:t>
            </w:r>
          </w:p>
        </w:tc>
        <w:tc>
          <w:tcPr>
            <w:tcW w:w="660" w:type="dxa"/>
            <w:gridSpan w:val="2"/>
            <w:tcBorders>
              <w:top w:val="single" w:sz="4" w:space="0" w:color="auto"/>
              <w:bottom w:val="single" w:sz="4" w:space="0" w:color="auto"/>
            </w:tcBorders>
            <w:shd w:val="clear" w:color="auto" w:fill="auto"/>
            <w:vAlign w:val="bottom"/>
          </w:tcPr>
          <w:p w14:paraId="33C2603F" w14:textId="77777777" w:rsidR="001734EB" w:rsidRPr="004E5744" w:rsidRDefault="001734EB" w:rsidP="00054D51">
            <w:pPr>
              <w:pStyle w:val="SingleTxtG"/>
              <w:spacing w:before="80" w:after="80" w:line="200" w:lineRule="exact"/>
              <w:ind w:left="113" w:right="0"/>
              <w:jc w:val="center"/>
              <w:rPr>
                <w:i/>
                <w:sz w:val="16"/>
                <w:lang w:val="es-VE"/>
              </w:rPr>
            </w:pPr>
            <w:r w:rsidRPr="004E5744">
              <w:rPr>
                <w:i/>
                <w:sz w:val="16"/>
                <w:lang w:val="es-VE"/>
              </w:rPr>
              <w:t>51</w:t>
            </w:r>
            <w:r w:rsidR="00C42365">
              <w:rPr>
                <w:i/>
                <w:sz w:val="16"/>
                <w:lang w:val="es-VE"/>
              </w:rPr>
              <w:t xml:space="preserve"> a </w:t>
            </w:r>
            <w:r w:rsidRPr="004E5744">
              <w:rPr>
                <w:i/>
                <w:sz w:val="16"/>
                <w:lang w:val="es-VE"/>
              </w:rPr>
              <w:t>60</w:t>
            </w:r>
          </w:p>
        </w:tc>
        <w:tc>
          <w:tcPr>
            <w:tcW w:w="660" w:type="dxa"/>
            <w:gridSpan w:val="2"/>
            <w:tcBorders>
              <w:top w:val="single" w:sz="4" w:space="0" w:color="auto"/>
              <w:bottom w:val="single" w:sz="4" w:space="0" w:color="auto"/>
            </w:tcBorders>
            <w:shd w:val="clear" w:color="auto" w:fill="auto"/>
            <w:vAlign w:val="bottom"/>
          </w:tcPr>
          <w:p w14:paraId="42F3264E" w14:textId="77777777" w:rsidR="001734EB" w:rsidRPr="004E5744" w:rsidRDefault="001734EB" w:rsidP="00054D51">
            <w:pPr>
              <w:pStyle w:val="SingleTxtG"/>
              <w:spacing w:before="80" w:after="80" w:line="200" w:lineRule="exact"/>
              <w:ind w:left="113" w:right="0"/>
              <w:jc w:val="center"/>
              <w:rPr>
                <w:i/>
                <w:sz w:val="16"/>
                <w:lang w:val="es-VE"/>
              </w:rPr>
            </w:pPr>
            <w:r w:rsidRPr="004E5744">
              <w:rPr>
                <w:i/>
                <w:sz w:val="16"/>
                <w:lang w:val="es-VE"/>
              </w:rPr>
              <w:t>61</w:t>
            </w:r>
            <w:r w:rsidR="00C42365">
              <w:rPr>
                <w:i/>
                <w:sz w:val="16"/>
                <w:lang w:val="es-VE"/>
              </w:rPr>
              <w:t xml:space="preserve"> a </w:t>
            </w:r>
            <w:r w:rsidRPr="004E5744">
              <w:rPr>
                <w:i/>
                <w:sz w:val="16"/>
                <w:lang w:val="es-VE"/>
              </w:rPr>
              <w:t>70</w:t>
            </w:r>
          </w:p>
        </w:tc>
        <w:tc>
          <w:tcPr>
            <w:tcW w:w="660" w:type="dxa"/>
            <w:gridSpan w:val="2"/>
            <w:tcBorders>
              <w:top w:val="single" w:sz="4" w:space="0" w:color="auto"/>
              <w:bottom w:val="single" w:sz="4" w:space="0" w:color="auto"/>
            </w:tcBorders>
            <w:shd w:val="clear" w:color="auto" w:fill="auto"/>
            <w:vAlign w:val="bottom"/>
          </w:tcPr>
          <w:p w14:paraId="05115AE0" w14:textId="77777777" w:rsidR="001734EB" w:rsidRPr="004E5744" w:rsidRDefault="001734EB" w:rsidP="00054D51">
            <w:pPr>
              <w:pStyle w:val="SingleTxtG"/>
              <w:spacing w:before="80" w:after="80" w:line="200" w:lineRule="exact"/>
              <w:ind w:left="0" w:right="0"/>
              <w:jc w:val="center"/>
              <w:rPr>
                <w:i/>
                <w:sz w:val="16"/>
                <w:lang w:val="es-VE"/>
              </w:rPr>
            </w:pPr>
            <w:r w:rsidRPr="004E5744">
              <w:rPr>
                <w:i/>
                <w:sz w:val="16"/>
                <w:lang w:val="es-VE"/>
              </w:rPr>
              <w:t>71 y más</w:t>
            </w:r>
          </w:p>
        </w:tc>
        <w:tc>
          <w:tcPr>
            <w:tcW w:w="660" w:type="dxa"/>
            <w:gridSpan w:val="2"/>
            <w:tcBorders>
              <w:top w:val="single" w:sz="4" w:space="0" w:color="auto"/>
              <w:bottom w:val="single" w:sz="4" w:space="0" w:color="auto"/>
            </w:tcBorders>
            <w:shd w:val="clear" w:color="auto" w:fill="auto"/>
            <w:vAlign w:val="bottom"/>
          </w:tcPr>
          <w:p w14:paraId="05D8035E" w14:textId="77777777" w:rsidR="001734EB" w:rsidRPr="00C42365" w:rsidRDefault="001734EB" w:rsidP="00054D51">
            <w:pPr>
              <w:pStyle w:val="SingleTxtG"/>
              <w:spacing w:before="80" w:after="80" w:line="200" w:lineRule="exact"/>
              <w:ind w:left="113" w:right="0"/>
              <w:jc w:val="center"/>
              <w:rPr>
                <w:i/>
                <w:sz w:val="16"/>
                <w:lang w:val="es-VE"/>
              </w:rPr>
            </w:pPr>
            <w:r w:rsidRPr="00C42365">
              <w:rPr>
                <w:i/>
                <w:sz w:val="16"/>
                <w:lang w:val="es-VE"/>
              </w:rPr>
              <w:t>Total</w:t>
            </w:r>
          </w:p>
        </w:tc>
        <w:tc>
          <w:tcPr>
            <w:tcW w:w="714" w:type="dxa"/>
            <w:vMerge w:val="restart"/>
            <w:tcBorders>
              <w:top w:val="single" w:sz="4" w:space="0" w:color="auto"/>
              <w:bottom w:val="single" w:sz="12" w:space="0" w:color="auto"/>
            </w:tcBorders>
            <w:shd w:val="clear" w:color="auto" w:fill="auto"/>
            <w:vAlign w:val="bottom"/>
          </w:tcPr>
          <w:p w14:paraId="4B05E545" w14:textId="77777777" w:rsidR="001734EB" w:rsidRPr="00C42365" w:rsidRDefault="001734EB" w:rsidP="00054D51">
            <w:pPr>
              <w:pStyle w:val="SingleTxtG"/>
              <w:spacing w:before="80" w:after="80" w:line="200" w:lineRule="exact"/>
              <w:ind w:left="113" w:right="0"/>
              <w:jc w:val="right"/>
              <w:rPr>
                <w:i/>
                <w:sz w:val="16"/>
                <w:lang w:val="es-VE"/>
              </w:rPr>
            </w:pPr>
            <w:proofErr w:type="gramStart"/>
            <w:r w:rsidRPr="00C42365">
              <w:rPr>
                <w:i/>
                <w:sz w:val="16"/>
                <w:lang w:val="es-VE"/>
              </w:rPr>
              <w:t>Total</w:t>
            </w:r>
            <w:proofErr w:type="gramEnd"/>
            <w:r w:rsidRPr="00C42365">
              <w:rPr>
                <w:i/>
                <w:sz w:val="16"/>
                <w:lang w:val="es-VE"/>
              </w:rPr>
              <w:t xml:space="preserve"> general</w:t>
            </w:r>
          </w:p>
        </w:tc>
      </w:tr>
      <w:tr w:rsidR="00C42365" w:rsidRPr="00C42365" w14:paraId="1C372FCC" w14:textId="77777777" w:rsidTr="00054D51">
        <w:trPr>
          <w:trHeight w:val="240"/>
          <w:tblHeader/>
        </w:trPr>
        <w:tc>
          <w:tcPr>
            <w:tcW w:w="721" w:type="dxa"/>
            <w:vMerge/>
            <w:tcBorders>
              <w:top w:val="single" w:sz="12" w:space="0" w:color="auto"/>
              <w:bottom w:val="single" w:sz="12" w:space="0" w:color="auto"/>
            </w:tcBorders>
            <w:shd w:val="clear" w:color="auto" w:fill="auto"/>
            <w:vAlign w:val="bottom"/>
          </w:tcPr>
          <w:p w14:paraId="00B5AFB9" w14:textId="77777777" w:rsidR="001734EB" w:rsidRPr="00054D51" w:rsidRDefault="001734EB">
            <w:pPr>
              <w:pStyle w:val="SingleTxtG"/>
              <w:spacing w:before="40" w:after="40" w:line="220" w:lineRule="exact"/>
              <w:ind w:left="0" w:right="0"/>
              <w:jc w:val="left"/>
              <w:rPr>
                <w:sz w:val="18"/>
                <w:lang w:val="es-VE"/>
              </w:rPr>
            </w:pPr>
          </w:p>
        </w:tc>
        <w:tc>
          <w:tcPr>
            <w:tcW w:w="329" w:type="dxa"/>
            <w:tcBorders>
              <w:top w:val="single" w:sz="4" w:space="0" w:color="auto"/>
              <w:bottom w:val="single" w:sz="12" w:space="0" w:color="auto"/>
            </w:tcBorders>
            <w:shd w:val="clear" w:color="auto" w:fill="auto"/>
            <w:vAlign w:val="bottom"/>
          </w:tcPr>
          <w:p w14:paraId="55230B4C" w14:textId="77777777" w:rsidR="001734EB" w:rsidRPr="00054D51" w:rsidRDefault="001734EB" w:rsidP="00054D51">
            <w:pPr>
              <w:pStyle w:val="SingleTxtG"/>
              <w:spacing w:before="80" w:after="80" w:line="200" w:lineRule="exact"/>
              <w:ind w:left="113" w:right="0"/>
              <w:jc w:val="right"/>
              <w:rPr>
                <w:i/>
                <w:sz w:val="16"/>
                <w:lang w:val="es-VE"/>
              </w:rPr>
            </w:pPr>
            <w:r w:rsidRPr="00054D51">
              <w:rPr>
                <w:i/>
                <w:sz w:val="16"/>
                <w:lang w:val="es-VE"/>
              </w:rPr>
              <w:t>M</w:t>
            </w:r>
          </w:p>
        </w:tc>
        <w:tc>
          <w:tcPr>
            <w:tcW w:w="329" w:type="dxa"/>
            <w:tcBorders>
              <w:top w:val="single" w:sz="4" w:space="0" w:color="auto"/>
              <w:bottom w:val="single" w:sz="12" w:space="0" w:color="auto"/>
            </w:tcBorders>
            <w:shd w:val="clear" w:color="auto" w:fill="auto"/>
            <w:vAlign w:val="bottom"/>
          </w:tcPr>
          <w:p w14:paraId="3C753A34" w14:textId="77777777" w:rsidR="001734EB" w:rsidRPr="00054D51" w:rsidRDefault="001734EB" w:rsidP="00054D51">
            <w:pPr>
              <w:pStyle w:val="SingleTxtG"/>
              <w:spacing w:before="80" w:after="80" w:line="200" w:lineRule="exact"/>
              <w:ind w:left="113" w:right="0"/>
              <w:jc w:val="right"/>
              <w:rPr>
                <w:i/>
                <w:sz w:val="16"/>
                <w:lang w:val="es-VE"/>
              </w:rPr>
            </w:pPr>
            <w:r w:rsidRPr="00054D51">
              <w:rPr>
                <w:i/>
                <w:sz w:val="16"/>
                <w:lang w:val="es-VE"/>
              </w:rPr>
              <w:t>F</w:t>
            </w:r>
          </w:p>
        </w:tc>
        <w:tc>
          <w:tcPr>
            <w:tcW w:w="329" w:type="dxa"/>
            <w:tcBorders>
              <w:top w:val="single" w:sz="4" w:space="0" w:color="auto"/>
              <w:bottom w:val="single" w:sz="12" w:space="0" w:color="auto"/>
            </w:tcBorders>
            <w:shd w:val="clear" w:color="auto" w:fill="auto"/>
            <w:vAlign w:val="bottom"/>
          </w:tcPr>
          <w:p w14:paraId="7846A8CA" w14:textId="77777777" w:rsidR="001734EB" w:rsidRPr="00054D51" w:rsidRDefault="001734EB" w:rsidP="00054D51">
            <w:pPr>
              <w:pStyle w:val="SingleTxtG"/>
              <w:spacing w:before="80" w:after="80" w:line="200" w:lineRule="exact"/>
              <w:ind w:left="113" w:right="0"/>
              <w:jc w:val="right"/>
              <w:rPr>
                <w:i/>
                <w:sz w:val="16"/>
                <w:lang w:val="es-VE"/>
              </w:rPr>
            </w:pPr>
            <w:r w:rsidRPr="00054D51">
              <w:rPr>
                <w:i/>
                <w:sz w:val="16"/>
                <w:lang w:val="es-VE"/>
              </w:rPr>
              <w:t>M</w:t>
            </w:r>
          </w:p>
        </w:tc>
        <w:tc>
          <w:tcPr>
            <w:tcW w:w="329" w:type="dxa"/>
            <w:tcBorders>
              <w:top w:val="single" w:sz="4" w:space="0" w:color="auto"/>
              <w:bottom w:val="single" w:sz="12" w:space="0" w:color="auto"/>
            </w:tcBorders>
            <w:shd w:val="clear" w:color="auto" w:fill="auto"/>
            <w:vAlign w:val="bottom"/>
          </w:tcPr>
          <w:p w14:paraId="49C64DA9" w14:textId="77777777" w:rsidR="001734EB" w:rsidRPr="00054D51" w:rsidRDefault="001734EB" w:rsidP="00054D51">
            <w:pPr>
              <w:pStyle w:val="SingleTxtG"/>
              <w:spacing w:before="80" w:after="80" w:line="200" w:lineRule="exact"/>
              <w:ind w:left="113" w:right="0"/>
              <w:jc w:val="right"/>
              <w:rPr>
                <w:i/>
                <w:sz w:val="16"/>
                <w:lang w:val="es-VE"/>
              </w:rPr>
            </w:pPr>
            <w:r w:rsidRPr="00054D51">
              <w:rPr>
                <w:i/>
                <w:sz w:val="16"/>
                <w:lang w:val="es-VE"/>
              </w:rPr>
              <w:t>F</w:t>
            </w:r>
          </w:p>
        </w:tc>
        <w:tc>
          <w:tcPr>
            <w:tcW w:w="330" w:type="dxa"/>
            <w:tcBorders>
              <w:top w:val="single" w:sz="4" w:space="0" w:color="auto"/>
              <w:bottom w:val="single" w:sz="12" w:space="0" w:color="auto"/>
            </w:tcBorders>
            <w:shd w:val="clear" w:color="auto" w:fill="auto"/>
            <w:vAlign w:val="bottom"/>
          </w:tcPr>
          <w:p w14:paraId="579E2509" w14:textId="77777777" w:rsidR="001734EB" w:rsidRPr="00054D51" w:rsidRDefault="001734EB" w:rsidP="00054D51">
            <w:pPr>
              <w:pStyle w:val="SingleTxtG"/>
              <w:spacing w:before="80" w:after="80" w:line="200" w:lineRule="exact"/>
              <w:ind w:left="113" w:right="0"/>
              <w:jc w:val="right"/>
              <w:rPr>
                <w:i/>
                <w:sz w:val="16"/>
                <w:lang w:val="es-VE"/>
              </w:rPr>
            </w:pPr>
            <w:r w:rsidRPr="00054D51">
              <w:rPr>
                <w:i/>
                <w:sz w:val="16"/>
                <w:lang w:val="es-VE"/>
              </w:rPr>
              <w:t>M</w:t>
            </w:r>
          </w:p>
        </w:tc>
        <w:tc>
          <w:tcPr>
            <w:tcW w:w="330" w:type="dxa"/>
            <w:tcBorders>
              <w:top w:val="single" w:sz="4" w:space="0" w:color="auto"/>
              <w:bottom w:val="single" w:sz="12" w:space="0" w:color="auto"/>
            </w:tcBorders>
            <w:shd w:val="clear" w:color="auto" w:fill="auto"/>
            <w:vAlign w:val="bottom"/>
          </w:tcPr>
          <w:p w14:paraId="68FF9F89" w14:textId="77777777" w:rsidR="001734EB" w:rsidRPr="00054D51" w:rsidRDefault="001734EB" w:rsidP="00054D51">
            <w:pPr>
              <w:pStyle w:val="SingleTxtG"/>
              <w:spacing w:before="80" w:after="80" w:line="200" w:lineRule="exact"/>
              <w:ind w:left="113" w:right="0"/>
              <w:jc w:val="right"/>
              <w:rPr>
                <w:i/>
                <w:sz w:val="16"/>
                <w:lang w:val="es-VE"/>
              </w:rPr>
            </w:pPr>
            <w:r w:rsidRPr="00054D51">
              <w:rPr>
                <w:i/>
                <w:sz w:val="16"/>
                <w:lang w:val="es-VE"/>
              </w:rPr>
              <w:t>F</w:t>
            </w:r>
          </w:p>
        </w:tc>
        <w:tc>
          <w:tcPr>
            <w:tcW w:w="330" w:type="dxa"/>
            <w:tcBorders>
              <w:top w:val="single" w:sz="4" w:space="0" w:color="auto"/>
              <w:bottom w:val="single" w:sz="12" w:space="0" w:color="auto"/>
            </w:tcBorders>
            <w:shd w:val="clear" w:color="auto" w:fill="auto"/>
            <w:vAlign w:val="bottom"/>
          </w:tcPr>
          <w:p w14:paraId="31983FBC" w14:textId="77777777" w:rsidR="001734EB" w:rsidRPr="00054D51" w:rsidRDefault="001734EB" w:rsidP="00054D51">
            <w:pPr>
              <w:pStyle w:val="SingleTxtG"/>
              <w:spacing w:before="80" w:after="80" w:line="200" w:lineRule="exact"/>
              <w:ind w:left="113" w:right="0"/>
              <w:jc w:val="right"/>
              <w:rPr>
                <w:i/>
                <w:sz w:val="16"/>
                <w:lang w:val="es-VE"/>
              </w:rPr>
            </w:pPr>
            <w:r w:rsidRPr="00054D51">
              <w:rPr>
                <w:i/>
                <w:sz w:val="16"/>
                <w:lang w:val="es-VE"/>
              </w:rPr>
              <w:t>M</w:t>
            </w:r>
          </w:p>
        </w:tc>
        <w:tc>
          <w:tcPr>
            <w:tcW w:w="330" w:type="dxa"/>
            <w:tcBorders>
              <w:top w:val="single" w:sz="4" w:space="0" w:color="auto"/>
              <w:bottom w:val="single" w:sz="12" w:space="0" w:color="auto"/>
            </w:tcBorders>
            <w:shd w:val="clear" w:color="auto" w:fill="auto"/>
            <w:vAlign w:val="bottom"/>
          </w:tcPr>
          <w:p w14:paraId="38D1D787" w14:textId="77777777" w:rsidR="001734EB" w:rsidRPr="00054D51" w:rsidRDefault="001734EB" w:rsidP="00054D51">
            <w:pPr>
              <w:pStyle w:val="SingleTxtG"/>
              <w:spacing w:before="80" w:after="80" w:line="200" w:lineRule="exact"/>
              <w:ind w:left="113" w:right="0"/>
              <w:jc w:val="right"/>
              <w:rPr>
                <w:i/>
                <w:sz w:val="16"/>
                <w:lang w:val="es-VE"/>
              </w:rPr>
            </w:pPr>
            <w:r w:rsidRPr="00054D51">
              <w:rPr>
                <w:i/>
                <w:sz w:val="16"/>
                <w:lang w:val="es-VE"/>
              </w:rPr>
              <w:t>F</w:t>
            </w:r>
          </w:p>
        </w:tc>
        <w:tc>
          <w:tcPr>
            <w:tcW w:w="330" w:type="dxa"/>
            <w:tcBorders>
              <w:top w:val="single" w:sz="4" w:space="0" w:color="auto"/>
              <w:bottom w:val="single" w:sz="12" w:space="0" w:color="auto"/>
            </w:tcBorders>
            <w:shd w:val="clear" w:color="auto" w:fill="auto"/>
            <w:vAlign w:val="bottom"/>
          </w:tcPr>
          <w:p w14:paraId="654633C7" w14:textId="77777777" w:rsidR="001734EB" w:rsidRPr="00054D51" w:rsidRDefault="001734EB" w:rsidP="00054D51">
            <w:pPr>
              <w:pStyle w:val="SingleTxtG"/>
              <w:spacing w:before="80" w:after="80" w:line="200" w:lineRule="exact"/>
              <w:ind w:left="113" w:right="0"/>
              <w:jc w:val="right"/>
              <w:rPr>
                <w:i/>
                <w:sz w:val="16"/>
                <w:lang w:val="es-VE"/>
              </w:rPr>
            </w:pPr>
            <w:r w:rsidRPr="00054D51">
              <w:rPr>
                <w:i/>
                <w:sz w:val="16"/>
                <w:lang w:val="es-VE"/>
              </w:rPr>
              <w:t>M</w:t>
            </w:r>
          </w:p>
        </w:tc>
        <w:tc>
          <w:tcPr>
            <w:tcW w:w="330" w:type="dxa"/>
            <w:tcBorders>
              <w:top w:val="single" w:sz="4" w:space="0" w:color="auto"/>
              <w:bottom w:val="single" w:sz="12" w:space="0" w:color="auto"/>
            </w:tcBorders>
            <w:shd w:val="clear" w:color="auto" w:fill="auto"/>
            <w:vAlign w:val="bottom"/>
          </w:tcPr>
          <w:p w14:paraId="513D3C0C" w14:textId="77777777" w:rsidR="001734EB" w:rsidRPr="00054D51" w:rsidRDefault="001734EB" w:rsidP="00054D51">
            <w:pPr>
              <w:pStyle w:val="SingleTxtG"/>
              <w:spacing w:before="80" w:after="80" w:line="200" w:lineRule="exact"/>
              <w:ind w:left="113" w:right="0"/>
              <w:jc w:val="right"/>
              <w:rPr>
                <w:i/>
                <w:sz w:val="16"/>
                <w:lang w:val="es-VE"/>
              </w:rPr>
            </w:pPr>
            <w:r w:rsidRPr="00054D51">
              <w:rPr>
                <w:i/>
                <w:sz w:val="16"/>
                <w:lang w:val="es-VE"/>
              </w:rPr>
              <w:t>F</w:t>
            </w:r>
          </w:p>
        </w:tc>
        <w:tc>
          <w:tcPr>
            <w:tcW w:w="330" w:type="dxa"/>
            <w:tcBorders>
              <w:top w:val="single" w:sz="4" w:space="0" w:color="auto"/>
              <w:bottom w:val="single" w:sz="12" w:space="0" w:color="auto"/>
            </w:tcBorders>
            <w:shd w:val="clear" w:color="auto" w:fill="auto"/>
            <w:vAlign w:val="bottom"/>
          </w:tcPr>
          <w:p w14:paraId="353581A2" w14:textId="77777777" w:rsidR="001734EB" w:rsidRPr="00054D51" w:rsidRDefault="001734EB" w:rsidP="00054D51">
            <w:pPr>
              <w:pStyle w:val="SingleTxtG"/>
              <w:spacing w:before="80" w:after="80" w:line="200" w:lineRule="exact"/>
              <w:ind w:left="113" w:right="0"/>
              <w:jc w:val="right"/>
              <w:rPr>
                <w:i/>
                <w:sz w:val="16"/>
                <w:lang w:val="es-VE"/>
              </w:rPr>
            </w:pPr>
            <w:r w:rsidRPr="00054D51">
              <w:rPr>
                <w:i/>
                <w:sz w:val="16"/>
                <w:lang w:val="es-VE"/>
              </w:rPr>
              <w:t>M</w:t>
            </w:r>
          </w:p>
        </w:tc>
        <w:tc>
          <w:tcPr>
            <w:tcW w:w="330" w:type="dxa"/>
            <w:tcBorders>
              <w:top w:val="single" w:sz="4" w:space="0" w:color="auto"/>
              <w:bottom w:val="single" w:sz="12" w:space="0" w:color="auto"/>
            </w:tcBorders>
            <w:shd w:val="clear" w:color="auto" w:fill="auto"/>
            <w:vAlign w:val="bottom"/>
          </w:tcPr>
          <w:p w14:paraId="60BB058E" w14:textId="77777777" w:rsidR="001734EB" w:rsidRPr="00054D51" w:rsidRDefault="001734EB" w:rsidP="00054D51">
            <w:pPr>
              <w:pStyle w:val="SingleTxtG"/>
              <w:spacing w:before="80" w:after="80" w:line="200" w:lineRule="exact"/>
              <w:ind w:left="113" w:right="0"/>
              <w:jc w:val="right"/>
              <w:rPr>
                <w:i/>
                <w:sz w:val="16"/>
                <w:lang w:val="es-VE"/>
              </w:rPr>
            </w:pPr>
            <w:r w:rsidRPr="00054D51">
              <w:rPr>
                <w:i/>
                <w:sz w:val="16"/>
                <w:lang w:val="es-VE"/>
              </w:rPr>
              <w:t>F</w:t>
            </w:r>
          </w:p>
        </w:tc>
        <w:tc>
          <w:tcPr>
            <w:tcW w:w="330" w:type="dxa"/>
            <w:tcBorders>
              <w:top w:val="single" w:sz="4" w:space="0" w:color="auto"/>
              <w:bottom w:val="single" w:sz="12" w:space="0" w:color="auto"/>
            </w:tcBorders>
            <w:shd w:val="clear" w:color="auto" w:fill="auto"/>
            <w:vAlign w:val="bottom"/>
          </w:tcPr>
          <w:p w14:paraId="01D11366" w14:textId="77777777" w:rsidR="001734EB" w:rsidRPr="00054D51" w:rsidRDefault="001734EB" w:rsidP="00054D51">
            <w:pPr>
              <w:pStyle w:val="SingleTxtG"/>
              <w:spacing w:before="80" w:after="80" w:line="200" w:lineRule="exact"/>
              <w:ind w:left="113" w:right="0"/>
              <w:jc w:val="right"/>
              <w:rPr>
                <w:i/>
                <w:sz w:val="16"/>
                <w:lang w:val="es-VE"/>
              </w:rPr>
            </w:pPr>
            <w:r w:rsidRPr="00054D51">
              <w:rPr>
                <w:i/>
                <w:sz w:val="16"/>
                <w:lang w:val="es-VE"/>
              </w:rPr>
              <w:t>M</w:t>
            </w:r>
          </w:p>
        </w:tc>
        <w:tc>
          <w:tcPr>
            <w:tcW w:w="330" w:type="dxa"/>
            <w:tcBorders>
              <w:top w:val="single" w:sz="4" w:space="0" w:color="auto"/>
              <w:bottom w:val="single" w:sz="12" w:space="0" w:color="auto"/>
            </w:tcBorders>
            <w:shd w:val="clear" w:color="auto" w:fill="auto"/>
            <w:vAlign w:val="bottom"/>
          </w:tcPr>
          <w:p w14:paraId="4CE1D85E" w14:textId="77777777" w:rsidR="001734EB" w:rsidRPr="00054D51" w:rsidRDefault="001734EB" w:rsidP="00054D51">
            <w:pPr>
              <w:pStyle w:val="SingleTxtG"/>
              <w:spacing w:before="80" w:after="80" w:line="200" w:lineRule="exact"/>
              <w:ind w:left="113" w:right="0"/>
              <w:jc w:val="right"/>
              <w:rPr>
                <w:i/>
                <w:sz w:val="16"/>
                <w:lang w:val="es-VE"/>
              </w:rPr>
            </w:pPr>
            <w:r w:rsidRPr="00054D51">
              <w:rPr>
                <w:i/>
                <w:sz w:val="16"/>
                <w:lang w:val="es-VE"/>
              </w:rPr>
              <w:t>F</w:t>
            </w:r>
          </w:p>
        </w:tc>
        <w:tc>
          <w:tcPr>
            <w:tcW w:w="330" w:type="dxa"/>
            <w:tcBorders>
              <w:top w:val="single" w:sz="4" w:space="0" w:color="auto"/>
              <w:bottom w:val="single" w:sz="12" w:space="0" w:color="auto"/>
            </w:tcBorders>
            <w:shd w:val="clear" w:color="auto" w:fill="auto"/>
            <w:vAlign w:val="bottom"/>
          </w:tcPr>
          <w:p w14:paraId="0F365D5A" w14:textId="77777777" w:rsidR="001734EB" w:rsidRPr="00054D51" w:rsidRDefault="001734EB" w:rsidP="00054D51">
            <w:pPr>
              <w:pStyle w:val="SingleTxtG"/>
              <w:spacing w:before="80" w:after="80" w:line="200" w:lineRule="exact"/>
              <w:ind w:left="113" w:right="0"/>
              <w:jc w:val="right"/>
              <w:rPr>
                <w:i/>
                <w:sz w:val="16"/>
                <w:lang w:val="es-VE"/>
              </w:rPr>
            </w:pPr>
            <w:r w:rsidRPr="00054D51">
              <w:rPr>
                <w:i/>
                <w:sz w:val="16"/>
                <w:lang w:val="es-VE"/>
              </w:rPr>
              <w:t>M</w:t>
            </w:r>
          </w:p>
        </w:tc>
        <w:tc>
          <w:tcPr>
            <w:tcW w:w="330" w:type="dxa"/>
            <w:tcBorders>
              <w:top w:val="single" w:sz="4" w:space="0" w:color="auto"/>
              <w:bottom w:val="single" w:sz="12" w:space="0" w:color="auto"/>
            </w:tcBorders>
            <w:shd w:val="clear" w:color="auto" w:fill="auto"/>
            <w:vAlign w:val="bottom"/>
          </w:tcPr>
          <w:p w14:paraId="33A80FF3" w14:textId="77777777" w:rsidR="001734EB" w:rsidRPr="00054D51" w:rsidRDefault="001734EB" w:rsidP="00054D51">
            <w:pPr>
              <w:pStyle w:val="SingleTxtG"/>
              <w:spacing w:before="80" w:after="80" w:line="200" w:lineRule="exact"/>
              <w:ind w:left="113" w:right="0"/>
              <w:jc w:val="right"/>
              <w:rPr>
                <w:i/>
                <w:sz w:val="16"/>
                <w:lang w:val="es-VE"/>
              </w:rPr>
            </w:pPr>
            <w:r w:rsidRPr="00054D51">
              <w:rPr>
                <w:i/>
                <w:sz w:val="16"/>
                <w:lang w:val="es-VE"/>
              </w:rPr>
              <w:t>F</w:t>
            </w:r>
          </w:p>
        </w:tc>
        <w:tc>
          <w:tcPr>
            <w:tcW w:w="330" w:type="dxa"/>
            <w:tcBorders>
              <w:top w:val="single" w:sz="4" w:space="0" w:color="auto"/>
              <w:bottom w:val="single" w:sz="12" w:space="0" w:color="auto"/>
            </w:tcBorders>
            <w:shd w:val="clear" w:color="auto" w:fill="auto"/>
            <w:vAlign w:val="bottom"/>
          </w:tcPr>
          <w:p w14:paraId="5178B757" w14:textId="77777777" w:rsidR="001734EB" w:rsidRPr="00054D51" w:rsidRDefault="001734EB" w:rsidP="00054D51">
            <w:pPr>
              <w:pStyle w:val="SingleTxtG"/>
              <w:spacing w:before="80" w:after="80" w:line="200" w:lineRule="exact"/>
              <w:ind w:left="113" w:right="0"/>
              <w:jc w:val="right"/>
              <w:rPr>
                <w:i/>
                <w:sz w:val="16"/>
                <w:lang w:val="es-VE"/>
              </w:rPr>
            </w:pPr>
            <w:r w:rsidRPr="00054D51">
              <w:rPr>
                <w:i/>
                <w:sz w:val="16"/>
                <w:lang w:val="es-VE"/>
              </w:rPr>
              <w:t>M</w:t>
            </w:r>
          </w:p>
        </w:tc>
        <w:tc>
          <w:tcPr>
            <w:tcW w:w="330" w:type="dxa"/>
            <w:tcBorders>
              <w:top w:val="single" w:sz="4" w:space="0" w:color="auto"/>
              <w:bottom w:val="single" w:sz="12" w:space="0" w:color="auto"/>
            </w:tcBorders>
            <w:shd w:val="clear" w:color="auto" w:fill="auto"/>
            <w:vAlign w:val="bottom"/>
          </w:tcPr>
          <w:p w14:paraId="1F1E6B2F" w14:textId="77777777" w:rsidR="001734EB" w:rsidRPr="00054D51" w:rsidRDefault="001734EB" w:rsidP="00054D51">
            <w:pPr>
              <w:pStyle w:val="SingleTxtG"/>
              <w:spacing w:before="80" w:after="80" w:line="200" w:lineRule="exact"/>
              <w:ind w:left="113" w:right="0"/>
              <w:jc w:val="right"/>
              <w:rPr>
                <w:i/>
                <w:sz w:val="16"/>
                <w:lang w:val="es-VE"/>
              </w:rPr>
            </w:pPr>
            <w:r w:rsidRPr="00054D51">
              <w:rPr>
                <w:i/>
                <w:sz w:val="16"/>
                <w:lang w:val="es-VE"/>
              </w:rPr>
              <w:t>F</w:t>
            </w:r>
          </w:p>
        </w:tc>
        <w:tc>
          <w:tcPr>
            <w:tcW w:w="714" w:type="dxa"/>
            <w:vMerge/>
            <w:tcBorders>
              <w:top w:val="single" w:sz="12" w:space="0" w:color="auto"/>
              <w:bottom w:val="single" w:sz="12" w:space="0" w:color="auto"/>
            </w:tcBorders>
            <w:shd w:val="clear" w:color="auto" w:fill="auto"/>
            <w:vAlign w:val="bottom"/>
          </w:tcPr>
          <w:p w14:paraId="6D02B719" w14:textId="77777777" w:rsidR="001734EB" w:rsidRPr="00054D51" w:rsidRDefault="001734EB" w:rsidP="00054D51">
            <w:pPr>
              <w:pStyle w:val="SingleTxtG"/>
              <w:spacing w:before="80" w:after="80" w:line="200" w:lineRule="exact"/>
              <w:ind w:left="113" w:right="0"/>
              <w:jc w:val="right"/>
              <w:rPr>
                <w:i/>
                <w:sz w:val="16"/>
                <w:lang w:val="es-VE"/>
              </w:rPr>
            </w:pPr>
          </w:p>
        </w:tc>
      </w:tr>
      <w:tr w:rsidR="00C42365" w:rsidRPr="00C42365" w14:paraId="597C9516" w14:textId="77777777" w:rsidTr="00054D51">
        <w:trPr>
          <w:trHeight w:val="240"/>
        </w:trPr>
        <w:tc>
          <w:tcPr>
            <w:tcW w:w="721" w:type="dxa"/>
            <w:tcBorders>
              <w:top w:val="single" w:sz="12" w:space="0" w:color="auto"/>
            </w:tcBorders>
            <w:shd w:val="clear" w:color="auto" w:fill="auto"/>
          </w:tcPr>
          <w:p w14:paraId="0C316660" w14:textId="77777777" w:rsidR="001734EB" w:rsidRPr="00C42365" w:rsidRDefault="001734EB" w:rsidP="004E5744">
            <w:pPr>
              <w:pStyle w:val="SingleTxtG"/>
              <w:spacing w:before="40" w:after="40" w:line="220" w:lineRule="exact"/>
              <w:ind w:left="0" w:right="0"/>
              <w:jc w:val="left"/>
              <w:rPr>
                <w:sz w:val="18"/>
                <w:lang w:val="es-VE"/>
              </w:rPr>
            </w:pPr>
            <w:r w:rsidRPr="00C42365">
              <w:rPr>
                <w:sz w:val="18"/>
                <w:lang w:val="es-VE"/>
              </w:rPr>
              <w:t>2015</w:t>
            </w:r>
          </w:p>
        </w:tc>
        <w:tc>
          <w:tcPr>
            <w:tcW w:w="329" w:type="dxa"/>
            <w:tcBorders>
              <w:top w:val="single" w:sz="12" w:space="0" w:color="auto"/>
            </w:tcBorders>
            <w:shd w:val="clear" w:color="auto" w:fill="auto"/>
            <w:vAlign w:val="bottom"/>
          </w:tcPr>
          <w:p w14:paraId="5E312C5E" w14:textId="77777777" w:rsidR="001734EB" w:rsidRPr="00C42365" w:rsidRDefault="001734EB" w:rsidP="00054D51">
            <w:pPr>
              <w:pStyle w:val="SingleTxtG"/>
              <w:spacing w:before="40" w:after="40" w:line="220" w:lineRule="exact"/>
              <w:ind w:left="113" w:right="0"/>
              <w:jc w:val="right"/>
              <w:rPr>
                <w:sz w:val="18"/>
                <w:lang w:val="es-VE"/>
              </w:rPr>
            </w:pPr>
          </w:p>
        </w:tc>
        <w:tc>
          <w:tcPr>
            <w:tcW w:w="329" w:type="dxa"/>
            <w:tcBorders>
              <w:top w:val="single" w:sz="12" w:space="0" w:color="auto"/>
            </w:tcBorders>
            <w:shd w:val="clear" w:color="auto" w:fill="auto"/>
            <w:vAlign w:val="bottom"/>
          </w:tcPr>
          <w:p w14:paraId="1F7FF488" w14:textId="77777777" w:rsidR="001734EB" w:rsidRPr="00C42365" w:rsidRDefault="001734EB" w:rsidP="00054D51">
            <w:pPr>
              <w:pStyle w:val="SingleTxtG"/>
              <w:spacing w:before="40" w:after="40" w:line="220" w:lineRule="exact"/>
              <w:ind w:left="113" w:right="0"/>
              <w:jc w:val="right"/>
              <w:rPr>
                <w:sz w:val="18"/>
                <w:lang w:val="es-VE"/>
              </w:rPr>
            </w:pPr>
          </w:p>
        </w:tc>
        <w:tc>
          <w:tcPr>
            <w:tcW w:w="329" w:type="dxa"/>
            <w:tcBorders>
              <w:top w:val="single" w:sz="12" w:space="0" w:color="auto"/>
            </w:tcBorders>
            <w:shd w:val="clear" w:color="auto" w:fill="auto"/>
            <w:vAlign w:val="bottom"/>
          </w:tcPr>
          <w:p w14:paraId="0AD4CBD8" w14:textId="77777777" w:rsidR="001734EB" w:rsidRPr="00C42365" w:rsidRDefault="001734EB" w:rsidP="00054D51">
            <w:pPr>
              <w:pStyle w:val="SingleTxtG"/>
              <w:spacing w:before="40" w:after="40" w:line="220" w:lineRule="exact"/>
              <w:ind w:left="113" w:right="0"/>
              <w:jc w:val="right"/>
              <w:rPr>
                <w:sz w:val="18"/>
                <w:lang w:val="es-VE"/>
              </w:rPr>
            </w:pPr>
          </w:p>
        </w:tc>
        <w:tc>
          <w:tcPr>
            <w:tcW w:w="329" w:type="dxa"/>
            <w:tcBorders>
              <w:top w:val="single" w:sz="12" w:space="0" w:color="auto"/>
            </w:tcBorders>
            <w:shd w:val="clear" w:color="auto" w:fill="auto"/>
            <w:vAlign w:val="bottom"/>
          </w:tcPr>
          <w:p w14:paraId="209CC70E" w14:textId="77777777" w:rsidR="001734EB" w:rsidRPr="00C42365" w:rsidRDefault="001734EB" w:rsidP="00054D51">
            <w:pPr>
              <w:pStyle w:val="SingleTxtG"/>
              <w:spacing w:before="40" w:after="40" w:line="220" w:lineRule="exact"/>
              <w:ind w:left="113" w:right="0"/>
              <w:jc w:val="right"/>
              <w:rPr>
                <w:sz w:val="18"/>
                <w:lang w:val="es-VE"/>
              </w:rPr>
            </w:pPr>
          </w:p>
        </w:tc>
        <w:tc>
          <w:tcPr>
            <w:tcW w:w="330" w:type="dxa"/>
            <w:tcBorders>
              <w:top w:val="single" w:sz="12" w:space="0" w:color="auto"/>
            </w:tcBorders>
            <w:shd w:val="clear" w:color="auto" w:fill="auto"/>
            <w:vAlign w:val="bottom"/>
          </w:tcPr>
          <w:p w14:paraId="398D36A8" w14:textId="77777777" w:rsidR="001734EB" w:rsidRPr="00C42365" w:rsidRDefault="001734EB" w:rsidP="00054D51">
            <w:pPr>
              <w:pStyle w:val="SingleTxtG"/>
              <w:spacing w:before="40" w:after="40" w:line="220" w:lineRule="exact"/>
              <w:ind w:left="113" w:right="0"/>
              <w:jc w:val="right"/>
              <w:rPr>
                <w:sz w:val="18"/>
                <w:lang w:val="es-VE"/>
              </w:rPr>
            </w:pPr>
            <w:r w:rsidRPr="00C42365">
              <w:rPr>
                <w:sz w:val="18"/>
                <w:lang w:val="es-VE"/>
              </w:rPr>
              <w:t>3</w:t>
            </w:r>
          </w:p>
        </w:tc>
        <w:tc>
          <w:tcPr>
            <w:tcW w:w="330" w:type="dxa"/>
            <w:tcBorders>
              <w:top w:val="single" w:sz="12" w:space="0" w:color="auto"/>
            </w:tcBorders>
            <w:shd w:val="clear" w:color="auto" w:fill="auto"/>
            <w:vAlign w:val="bottom"/>
          </w:tcPr>
          <w:p w14:paraId="7976AB50" w14:textId="77777777" w:rsidR="001734EB" w:rsidRPr="00C42365" w:rsidRDefault="001734EB" w:rsidP="00054D51">
            <w:pPr>
              <w:pStyle w:val="SingleTxtG"/>
              <w:spacing w:before="40" w:after="40" w:line="220" w:lineRule="exact"/>
              <w:ind w:left="113" w:right="0"/>
              <w:jc w:val="right"/>
              <w:rPr>
                <w:sz w:val="18"/>
                <w:lang w:val="es-VE"/>
              </w:rPr>
            </w:pPr>
            <w:r w:rsidRPr="00C42365">
              <w:rPr>
                <w:sz w:val="18"/>
                <w:lang w:val="es-VE"/>
              </w:rPr>
              <w:t>1</w:t>
            </w:r>
          </w:p>
        </w:tc>
        <w:tc>
          <w:tcPr>
            <w:tcW w:w="330" w:type="dxa"/>
            <w:tcBorders>
              <w:top w:val="single" w:sz="12" w:space="0" w:color="auto"/>
            </w:tcBorders>
            <w:shd w:val="clear" w:color="auto" w:fill="auto"/>
            <w:vAlign w:val="bottom"/>
          </w:tcPr>
          <w:p w14:paraId="5897058F" w14:textId="77777777" w:rsidR="001734EB" w:rsidRPr="00C42365" w:rsidRDefault="001734EB" w:rsidP="00054D51">
            <w:pPr>
              <w:pStyle w:val="SingleTxtG"/>
              <w:spacing w:before="40" w:after="40" w:line="220" w:lineRule="exact"/>
              <w:ind w:left="113" w:right="0"/>
              <w:jc w:val="right"/>
              <w:rPr>
                <w:sz w:val="18"/>
                <w:lang w:val="es-VE"/>
              </w:rPr>
            </w:pPr>
            <w:r w:rsidRPr="00C42365">
              <w:rPr>
                <w:sz w:val="18"/>
                <w:lang w:val="es-VE"/>
              </w:rPr>
              <w:t>2</w:t>
            </w:r>
          </w:p>
        </w:tc>
        <w:tc>
          <w:tcPr>
            <w:tcW w:w="330" w:type="dxa"/>
            <w:tcBorders>
              <w:top w:val="single" w:sz="12" w:space="0" w:color="auto"/>
            </w:tcBorders>
            <w:shd w:val="clear" w:color="auto" w:fill="auto"/>
            <w:vAlign w:val="bottom"/>
          </w:tcPr>
          <w:p w14:paraId="34BD3590" w14:textId="77777777" w:rsidR="001734EB" w:rsidRPr="00C42365" w:rsidRDefault="001734EB" w:rsidP="00054D51">
            <w:pPr>
              <w:pStyle w:val="SingleTxtG"/>
              <w:spacing w:before="40" w:after="40" w:line="220" w:lineRule="exact"/>
              <w:ind w:left="113" w:right="0"/>
              <w:jc w:val="right"/>
              <w:rPr>
                <w:sz w:val="18"/>
                <w:lang w:val="es-VE"/>
              </w:rPr>
            </w:pPr>
          </w:p>
        </w:tc>
        <w:tc>
          <w:tcPr>
            <w:tcW w:w="330" w:type="dxa"/>
            <w:tcBorders>
              <w:top w:val="single" w:sz="12" w:space="0" w:color="auto"/>
            </w:tcBorders>
            <w:shd w:val="clear" w:color="auto" w:fill="auto"/>
            <w:vAlign w:val="bottom"/>
          </w:tcPr>
          <w:p w14:paraId="59BC9D64" w14:textId="77777777" w:rsidR="001734EB" w:rsidRPr="00C42365" w:rsidRDefault="001734EB" w:rsidP="00054D51">
            <w:pPr>
              <w:pStyle w:val="SingleTxtG"/>
              <w:spacing w:before="40" w:after="40" w:line="220" w:lineRule="exact"/>
              <w:ind w:left="113" w:right="0"/>
              <w:jc w:val="right"/>
              <w:rPr>
                <w:sz w:val="18"/>
                <w:lang w:val="es-VE"/>
              </w:rPr>
            </w:pPr>
            <w:r w:rsidRPr="00C42365">
              <w:rPr>
                <w:sz w:val="18"/>
                <w:lang w:val="es-VE"/>
              </w:rPr>
              <w:t>1</w:t>
            </w:r>
          </w:p>
        </w:tc>
        <w:tc>
          <w:tcPr>
            <w:tcW w:w="330" w:type="dxa"/>
            <w:tcBorders>
              <w:top w:val="single" w:sz="12" w:space="0" w:color="auto"/>
            </w:tcBorders>
            <w:shd w:val="clear" w:color="auto" w:fill="auto"/>
            <w:vAlign w:val="bottom"/>
          </w:tcPr>
          <w:p w14:paraId="33EEFB7E" w14:textId="77777777" w:rsidR="001734EB" w:rsidRPr="00C42365" w:rsidRDefault="001734EB" w:rsidP="00054D51">
            <w:pPr>
              <w:pStyle w:val="SingleTxtG"/>
              <w:spacing w:before="40" w:after="40" w:line="220" w:lineRule="exact"/>
              <w:ind w:left="113" w:right="0"/>
              <w:jc w:val="right"/>
              <w:rPr>
                <w:sz w:val="18"/>
                <w:lang w:val="es-VE"/>
              </w:rPr>
            </w:pPr>
          </w:p>
        </w:tc>
        <w:tc>
          <w:tcPr>
            <w:tcW w:w="330" w:type="dxa"/>
            <w:tcBorders>
              <w:top w:val="single" w:sz="12" w:space="0" w:color="auto"/>
            </w:tcBorders>
            <w:shd w:val="clear" w:color="auto" w:fill="auto"/>
            <w:vAlign w:val="bottom"/>
          </w:tcPr>
          <w:p w14:paraId="7232D568" w14:textId="77777777" w:rsidR="001734EB" w:rsidRPr="00C42365" w:rsidRDefault="001734EB" w:rsidP="00054D51">
            <w:pPr>
              <w:pStyle w:val="SingleTxtG"/>
              <w:spacing w:before="40" w:after="40" w:line="220" w:lineRule="exact"/>
              <w:ind w:left="113" w:right="0"/>
              <w:jc w:val="right"/>
              <w:rPr>
                <w:sz w:val="18"/>
                <w:lang w:val="es-VE"/>
              </w:rPr>
            </w:pPr>
            <w:r w:rsidRPr="00C42365">
              <w:rPr>
                <w:sz w:val="18"/>
                <w:lang w:val="es-VE"/>
              </w:rPr>
              <w:t>3</w:t>
            </w:r>
          </w:p>
        </w:tc>
        <w:tc>
          <w:tcPr>
            <w:tcW w:w="330" w:type="dxa"/>
            <w:tcBorders>
              <w:top w:val="single" w:sz="12" w:space="0" w:color="auto"/>
            </w:tcBorders>
            <w:shd w:val="clear" w:color="auto" w:fill="auto"/>
            <w:vAlign w:val="bottom"/>
          </w:tcPr>
          <w:p w14:paraId="2331DF4F" w14:textId="77777777" w:rsidR="001734EB" w:rsidRPr="00C42365" w:rsidRDefault="001734EB" w:rsidP="00054D51">
            <w:pPr>
              <w:pStyle w:val="SingleTxtG"/>
              <w:spacing w:before="40" w:after="40" w:line="220" w:lineRule="exact"/>
              <w:ind w:left="113" w:right="0"/>
              <w:jc w:val="right"/>
              <w:rPr>
                <w:sz w:val="18"/>
                <w:lang w:val="es-VE"/>
              </w:rPr>
            </w:pPr>
            <w:r w:rsidRPr="00C42365">
              <w:rPr>
                <w:sz w:val="18"/>
                <w:lang w:val="es-VE"/>
              </w:rPr>
              <w:t>1</w:t>
            </w:r>
          </w:p>
        </w:tc>
        <w:tc>
          <w:tcPr>
            <w:tcW w:w="330" w:type="dxa"/>
            <w:tcBorders>
              <w:top w:val="single" w:sz="12" w:space="0" w:color="auto"/>
            </w:tcBorders>
            <w:shd w:val="clear" w:color="auto" w:fill="auto"/>
            <w:vAlign w:val="bottom"/>
          </w:tcPr>
          <w:p w14:paraId="4B509C29" w14:textId="77777777" w:rsidR="001734EB" w:rsidRPr="00C42365" w:rsidRDefault="001734EB" w:rsidP="00054D51">
            <w:pPr>
              <w:pStyle w:val="SingleTxtG"/>
              <w:spacing w:before="40" w:after="40" w:line="220" w:lineRule="exact"/>
              <w:ind w:left="113" w:right="0"/>
              <w:jc w:val="right"/>
              <w:rPr>
                <w:sz w:val="18"/>
                <w:lang w:val="es-VE"/>
              </w:rPr>
            </w:pPr>
            <w:r w:rsidRPr="00C42365">
              <w:rPr>
                <w:sz w:val="18"/>
                <w:lang w:val="es-VE"/>
              </w:rPr>
              <w:t>1</w:t>
            </w:r>
          </w:p>
        </w:tc>
        <w:tc>
          <w:tcPr>
            <w:tcW w:w="330" w:type="dxa"/>
            <w:tcBorders>
              <w:top w:val="single" w:sz="12" w:space="0" w:color="auto"/>
            </w:tcBorders>
            <w:shd w:val="clear" w:color="auto" w:fill="auto"/>
            <w:vAlign w:val="bottom"/>
          </w:tcPr>
          <w:p w14:paraId="6E83AF27" w14:textId="77777777" w:rsidR="001734EB" w:rsidRPr="00C42365" w:rsidRDefault="001734EB" w:rsidP="00054D51">
            <w:pPr>
              <w:pStyle w:val="SingleTxtG"/>
              <w:spacing w:before="40" w:after="40" w:line="220" w:lineRule="exact"/>
              <w:ind w:left="113" w:right="0"/>
              <w:jc w:val="right"/>
              <w:rPr>
                <w:sz w:val="18"/>
                <w:lang w:val="es-VE"/>
              </w:rPr>
            </w:pPr>
          </w:p>
        </w:tc>
        <w:tc>
          <w:tcPr>
            <w:tcW w:w="330" w:type="dxa"/>
            <w:tcBorders>
              <w:top w:val="single" w:sz="12" w:space="0" w:color="auto"/>
            </w:tcBorders>
            <w:shd w:val="clear" w:color="auto" w:fill="auto"/>
            <w:vAlign w:val="bottom"/>
          </w:tcPr>
          <w:p w14:paraId="4CE35857" w14:textId="77777777" w:rsidR="001734EB" w:rsidRPr="00C42365" w:rsidRDefault="001734EB" w:rsidP="00054D51">
            <w:pPr>
              <w:pStyle w:val="SingleTxtG"/>
              <w:spacing w:before="40" w:after="40" w:line="220" w:lineRule="exact"/>
              <w:ind w:left="113" w:right="0"/>
              <w:jc w:val="right"/>
              <w:rPr>
                <w:sz w:val="18"/>
                <w:lang w:val="es-VE"/>
              </w:rPr>
            </w:pPr>
          </w:p>
        </w:tc>
        <w:tc>
          <w:tcPr>
            <w:tcW w:w="330" w:type="dxa"/>
            <w:tcBorders>
              <w:top w:val="single" w:sz="12" w:space="0" w:color="auto"/>
            </w:tcBorders>
            <w:shd w:val="clear" w:color="auto" w:fill="auto"/>
            <w:vAlign w:val="bottom"/>
          </w:tcPr>
          <w:p w14:paraId="48C0CE1B" w14:textId="77777777" w:rsidR="001734EB" w:rsidRPr="00C42365" w:rsidRDefault="001734EB" w:rsidP="00054D51">
            <w:pPr>
              <w:pStyle w:val="SingleTxtG"/>
              <w:spacing w:before="40" w:after="40" w:line="220" w:lineRule="exact"/>
              <w:ind w:left="113" w:right="0"/>
              <w:jc w:val="right"/>
              <w:rPr>
                <w:sz w:val="18"/>
                <w:lang w:val="es-VE"/>
              </w:rPr>
            </w:pPr>
          </w:p>
        </w:tc>
        <w:tc>
          <w:tcPr>
            <w:tcW w:w="330" w:type="dxa"/>
            <w:tcBorders>
              <w:top w:val="single" w:sz="12" w:space="0" w:color="auto"/>
            </w:tcBorders>
            <w:shd w:val="clear" w:color="auto" w:fill="auto"/>
            <w:vAlign w:val="bottom"/>
          </w:tcPr>
          <w:p w14:paraId="27AFCD1C" w14:textId="77777777" w:rsidR="001734EB" w:rsidRPr="00C42365" w:rsidRDefault="001734EB" w:rsidP="00054D51">
            <w:pPr>
              <w:pStyle w:val="SingleTxtG"/>
              <w:spacing w:before="40" w:after="40" w:line="220" w:lineRule="exact"/>
              <w:ind w:left="113" w:right="0"/>
              <w:jc w:val="right"/>
              <w:rPr>
                <w:sz w:val="18"/>
                <w:lang w:val="es-VE"/>
              </w:rPr>
            </w:pPr>
            <w:r w:rsidRPr="00C42365">
              <w:rPr>
                <w:sz w:val="18"/>
                <w:lang w:val="es-VE"/>
              </w:rPr>
              <w:t>10</w:t>
            </w:r>
          </w:p>
        </w:tc>
        <w:tc>
          <w:tcPr>
            <w:tcW w:w="330" w:type="dxa"/>
            <w:tcBorders>
              <w:top w:val="single" w:sz="12" w:space="0" w:color="auto"/>
            </w:tcBorders>
            <w:shd w:val="clear" w:color="auto" w:fill="auto"/>
            <w:vAlign w:val="bottom"/>
          </w:tcPr>
          <w:p w14:paraId="1E5C62D9" w14:textId="77777777" w:rsidR="001734EB" w:rsidRPr="00C42365" w:rsidRDefault="001734EB" w:rsidP="00054D51">
            <w:pPr>
              <w:pStyle w:val="SingleTxtG"/>
              <w:spacing w:before="40" w:after="40" w:line="220" w:lineRule="exact"/>
              <w:ind w:left="113" w:right="0"/>
              <w:jc w:val="right"/>
              <w:rPr>
                <w:sz w:val="18"/>
                <w:lang w:val="es-VE"/>
              </w:rPr>
            </w:pPr>
            <w:r w:rsidRPr="00C42365">
              <w:rPr>
                <w:sz w:val="18"/>
                <w:lang w:val="es-VE"/>
              </w:rPr>
              <w:t>2</w:t>
            </w:r>
          </w:p>
        </w:tc>
        <w:tc>
          <w:tcPr>
            <w:tcW w:w="714" w:type="dxa"/>
            <w:tcBorders>
              <w:top w:val="single" w:sz="12" w:space="0" w:color="auto"/>
            </w:tcBorders>
            <w:shd w:val="clear" w:color="auto" w:fill="auto"/>
            <w:vAlign w:val="bottom"/>
          </w:tcPr>
          <w:p w14:paraId="5948D0BC" w14:textId="77777777" w:rsidR="001734EB" w:rsidRPr="00C42365" w:rsidRDefault="001734EB" w:rsidP="00054D51">
            <w:pPr>
              <w:pStyle w:val="SingleTxtG"/>
              <w:spacing w:before="40" w:after="40" w:line="220" w:lineRule="exact"/>
              <w:ind w:left="113" w:right="0"/>
              <w:jc w:val="right"/>
              <w:rPr>
                <w:sz w:val="18"/>
                <w:lang w:val="es-VE"/>
              </w:rPr>
            </w:pPr>
            <w:r w:rsidRPr="00C42365">
              <w:rPr>
                <w:sz w:val="18"/>
                <w:lang w:val="es-VE"/>
              </w:rPr>
              <w:t>12</w:t>
            </w:r>
          </w:p>
        </w:tc>
      </w:tr>
      <w:tr w:rsidR="00C42365" w:rsidRPr="00C42365" w14:paraId="1F66BF76" w14:textId="77777777" w:rsidTr="00054D51">
        <w:trPr>
          <w:trHeight w:val="240"/>
        </w:trPr>
        <w:tc>
          <w:tcPr>
            <w:tcW w:w="721" w:type="dxa"/>
            <w:shd w:val="clear" w:color="auto" w:fill="auto"/>
          </w:tcPr>
          <w:p w14:paraId="1B705033" w14:textId="77777777" w:rsidR="001734EB" w:rsidRPr="00C42365" w:rsidRDefault="001734EB" w:rsidP="004E5744">
            <w:pPr>
              <w:pStyle w:val="SingleTxtG"/>
              <w:spacing w:before="40" w:after="40" w:line="220" w:lineRule="exact"/>
              <w:ind w:left="0" w:right="0"/>
              <w:jc w:val="left"/>
              <w:rPr>
                <w:sz w:val="18"/>
                <w:lang w:val="es-VE"/>
              </w:rPr>
            </w:pPr>
            <w:r w:rsidRPr="00C42365">
              <w:rPr>
                <w:sz w:val="18"/>
                <w:lang w:val="es-VE"/>
              </w:rPr>
              <w:t>2016</w:t>
            </w:r>
          </w:p>
        </w:tc>
        <w:tc>
          <w:tcPr>
            <w:tcW w:w="329" w:type="dxa"/>
            <w:shd w:val="clear" w:color="auto" w:fill="auto"/>
            <w:vAlign w:val="bottom"/>
          </w:tcPr>
          <w:p w14:paraId="3EC17AE3" w14:textId="77777777" w:rsidR="001734EB" w:rsidRPr="00C42365" w:rsidRDefault="001734EB" w:rsidP="00054D51">
            <w:pPr>
              <w:pStyle w:val="SingleTxtG"/>
              <w:spacing w:before="40" w:after="40" w:line="220" w:lineRule="exact"/>
              <w:ind w:left="113" w:right="0"/>
              <w:jc w:val="right"/>
              <w:rPr>
                <w:sz w:val="18"/>
                <w:lang w:val="es-VE"/>
              </w:rPr>
            </w:pPr>
          </w:p>
        </w:tc>
        <w:tc>
          <w:tcPr>
            <w:tcW w:w="329" w:type="dxa"/>
            <w:shd w:val="clear" w:color="auto" w:fill="auto"/>
            <w:vAlign w:val="bottom"/>
          </w:tcPr>
          <w:p w14:paraId="1F941F73" w14:textId="77777777" w:rsidR="001734EB" w:rsidRPr="00C42365" w:rsidRDefault="001734EB" w:rsidP="00054D51">
            <w:pPr>
              <w:pStyle w:val="SingleTxtG"/>
              <w:spacing w:before="40" w:after="40" w:line="220" w:lineRule="exact"/>
              <w:ind w:left="113" w:right="0"/>
              <w:jc w:val="right"/>
              <w:rPr>
                <w:sz w:val="18"/>
                <w:lang w:val="es-VE"/>
              </w:rPr>
            </w:pPr>
          </w:p>
        </w:tc>
        <w:tc>
          <w:tcPr>
            <w:tcW w:w="329" w:type="dxa"/>
            <w:shd w:val="clear" w:color="auto" w:fill="auto"/>
            <w:vAlign w:val="bottom"/>
          </w:tcPr>
          <w:p w14:paraId="10872F1C" w14:textId="77777777" w:rsidR="001734EB" w:rsidRPr="00C42365" w:rsidRDefault="001734EB" w:rsidP="00054D51">
            <w:pPr>
              <w:pStyle w:val="SingleTxtG"/>
              <w:spacing w:before="40" w:after="40" w:line="220" w:lineRule="exact"/>
              <w:ind w:left="113" w:right="0"/>
              <w:jc w:val="right"/>
              <w:rPr>
                <w:sz w:val="18"/>
                <w:lang w:val="es-VE"/>
              </w:rPr>
            </w:pPr>
            <w:r w:rsidRPr="00C42365">
              <w:rPr>
                <w:sz w:val="18"/>
                <w:lang w:val="es-VE"/>
              </w:rPr>
              <w:t>1</w:t>
            </w:r>
          </w:p>
        </w:tc>
        <w:tc>
          <w:tcPr>
            <w:tcW w:w="329" w:type="dxa"/>
            <w:shd w:val="clear" w:color="auto" w:fill="auto"/>
            <w:vAlign w:val="bottom"/>
          </w:tcPr>
          <w:p w14:paraId="2D26FEB8" w14:textId="77777777" w:rsidR="001734EB" w:rsidRPr="00C42365" w:rsidRDefault="001734EB" w:rsidP="00054D51">
            <w:pPr>
              <w:pStyle w:val="SingleTxtG"/>
              <w:spacing w:before="40" w:after="40" w:line="220" w:lineRule="exact"/>
              <w:ind w:left="113" w:right="0"/>
              <w:jc w:val="right"/>
              <w:rPr>
                <w:sz w:val="18"/>
                <w:lang w:val="es-VE"/>
              </w:rPr>
            </w:pPr>
          </w:p>
        </w:tc>
        <w:tc>
          <w:tcPr>
            <w:tcW w:w="330" w:type="dxa"/>
            <w:shd w:val="clear" w:color="auto" w:fill="auto"/>
            <w:vAlign w:val="bottom"/>
          </w:tcPr>
          <w:p w14:paraId="4C069F80" w14:textId="77777777" w:rsidR="001734EB" w:rsidRPr="00C42365" w:rsidRDefault="001734EB" w:rsidP="00054D51">
            <w:pPr>
              <w:pStyle w:val="SingleTxtG"/>
              <w:spacing w:before="40" w:after="40" w:line="220" w:lineRule="exact"/>
              <w:ind w:left="113" w:right="0"/>
              <w:jc w:val="right"/>
              <w:rPr>
                <w:sz w:val="18"/>
                <w:lang w:val="es-VE"/>
              </w:rPr>
            </w:pPr>
            <w:r w:rsidRPr="00C42365">
              <w:rPr>
                <w:sz w:val="18"/>
                <w:lang w:val="es-VE"/>
              </w:rPr>
              <w:t>2</w:t>
            </w:r>
          </w:p>
        </w:tc>
        <w:tc>
          <w:tcPr>
            <w:tcW w:w="330" w:type="dxa"/>
            <w:shd w:val="clear" w:color="auto" w:fill="auto"/>
            <w:vAlign w:val="bottom"/>
          </w:tcPr>
          <w:p w14:paraId="3521D65B" w14:textId="77777777" w:rsidR="001734EB" w:rsidRPr="00C42365" w:rsidRDefault="001734EB" w:rsidP="00054D51">
            <w:pPr>
              <w:pStyle w:val="SingleTxtG"/>
              <w:spacing w:before="40" w:after="40" w:line="220" w:lineRule="exact"/>
              <w:ind w:left="113" w:right="0"/>
              <w:jc w:val="right"/>
              <w:rPr>
                <w:sz w:val="18"/>
                <w:lang w:val="es-VE"/>
              </w:rPr>
            </w:pPr>
          </w:p>
        </w:tc>
        <w:tc>
          <w:tcPr>
            <w:tcW w:w="330" w:type="dxa"/>
            <w:shd w:val="clear" w:color="auto" w:fill="auto"/>
            <w:vAlign w:val="bottom"/>
          </w:tcPr>
          <w:p w14:paraId="6E292744" w14:textId="77777777" w:rsidR="001734EB" w:rsidRPr="00C42365" w:rsidRDefault="001734EB" w:rsidP="00054D51">
            <w:pPr>
              <w:pStyle w:val="SingleTxtG"/>
              <w:spacing w:before="40" w:after="40" w:line="220" w:lineRule="exact"/>
              <w:ind w:left="113" w:right="0"/>
              <w:jc w:val="right"/>
              <w:rPr>
                <w:sz w:val="18"/>
                <w:lang w:val="es-VE"/>
              </w:rPr>
            </w:pPr>
            <w:r w:rsidRPr="00C42365">
              <w:rPr>
                <w:sz w:val="18"/>
                <w:lang w:val="es-VE"/>
              </w:rPr>
              <w:t>1</w:t>
            </w:r>
          </w:p>
        </w:tc>
        <w:tc>
          <w:tcPr>
            <w:tcW w:w="330" w:type="dxa"/>
            <w:shd w:val="clear" w:color="auto" w:fill="auto"/>
            <w:vAlign w:val="bottom"/>
          </w:tcPr>
          <w:p w14:paraId="3BD43D1C" w14:textId="77777777" w:rsidR="001734EB" w:rsidRPr="00C42365" w:rsidRDefault="001734EB" w:rsidP="00054D51">
            <w:pPr>
              <w:pStyle w:val="SingleTxtG"/>
              <w:spacing w:before="40" w:after="40" w:line="220" w:lineRule="exact"/>
              <w:ind w:left="113" w:right="0"/>
              <w:jc w:val="right"/>
              <w:rPr>
                <w:sz w:val="18"/>
                <w:lang w:val="es-VE"/>
              </w:rPr>
            </w:pPr>
            <w:r w:rsidRPr="00C42365">
              <w:rPr>
                <w:sz w:val="18"/>
                <w:lang w:val="es-VE"/>
              </w:rPr>
              <w:t>2</w:t>
            </w:r>
          </w:p>
        </w:tc>
        <w:tc>
          <w:tcPr>
            <w:tcW w:w="330" w:type="dxa"/>
            <w:shd w:val="clear" w:color="auto" w:fill="auto"/>
            <w:vAlign w:val="bottom"/>
          </w:tcPr>
          <w:p w14:paraId="58393A1B" w14:textId="77777777" w:rsidR="001734EB" w:rsidRPr="00C42365" w:rsidRDefault="001734EB" w:rsidP="00054D51">
            <w:pPr>
              <w:pStyle w:val="SingleTxtG"/>
              <w:spacing w:before="40" w:after="40" w:line="220" w:lineRule="exact"/>
              <w:ind w:left="113" w:right="0"/>
              <w:jc w:val="right"/>
              <w:rPr>
                <w:sz w:val="18"/>
                <w:lang w:val="es-VE"/>
              </w:rPr>
            </w:pPr>
            <w:r w:rsidRPr="00C42365">
              <w:rPr>
                <w:sz w:val="18"/>
                <w:lang w:val="es-VE"/>
              </w:rPr>
              <w:t>2</w:t>
            </w:r>
          </w:p>
        </w:tc>
        <w:tc>
          <w:tcPr>
            <w:tcW w:w="330" w:type="dxa"/>
            <w:shd w:val="clear" w:color="auto" w:fill="auto"/>
            <w:vAlign w:val="bottom"/>
          </w:tcPr>
          <w:p w14:paraId="2676FCF8" w14:textId="77777777" w:rsidR="001734EB" w:rsidRPr="00C42365" w:rsidRDefault="001734EB" w:rsidP="00054D51">
            <w:pPr>
              <w:pStyle w:val="SingleTxtG"/>
              <w:spacing w:before="40" w:after="40" w:line="220" w:lineRule="exact"/>
              <w:ind w:left="113" w:right="0"/>
              <w:jc w:val="right"/>
              <w:rPr>
                <w:sz w:val="18"/>
                <w:lang w:val="es-VE"/>
              </w:rPr>
            </w:pPr>
            <w:r w:rsidRPr="00C42365">
              <w:rPr>
                <w:sz w:val="18"/>
                <w:lang w:val="es-VE"/>
              </w:rPr>
              <w:t>3</w:t>
            </w:r>
          </w:p>
        </w:tc>
        <w:tc>
          <w:tcPr>
            <w:tcW w:w="330" w:type="dxa"/>
            <w:shd w:val="clear" w:color="auto" w:fill="auto"/>
            <w:vAlign w:val="bottom"/>
          </w:tcPr>
          <w:p w14:paraId="3DD383CB" w14:textId="77777777" w:rsidR="001734EB" w:rsidRPr="00C42365" w:rsidRDefault="001734EB" w:rsidP="00054D51">
            <w:pPr>
              <w:pStyle w:val="SingleTxtG"/>
              <w:spacing w:before="40" w:after="40" w:line="220" w:lineRule="exact"/>
              <w:ind w:left="113" w:right="0"/>
              <w:jc w:val="right"/>
              <w:rPr>
                <w:sz w:val="18"/>
                <w:lang w:val="es-VE"/>
              </w:rPr>
            </w:pPr>
          </w:p>
        </w:tc>
        <w:tc>
          <w:tcPr>
            <w:tcW w:w="330" w:type="dxa"/>
            <w:shd w:val="clear" w:color="auto" w:fill="auto"/>
            <w:vAlign w:val="bottom"/>
          </w:tcPr>
          <w:p w14:paraId="7673EA72" w14:textId="77777777" w:rsidR="001734EB" w:rsidRPr="00C42365" w:rsidRDefault="001734EB" w:rsidP="00054D51">
            <w:pPr>
              <w:pStyle w:val="SingleTxtG"/>
              <w:spacing w:before="40" w:after="40" w:line="220" w:lineRule="exact"/>
              <w:ind w:left="113" w:right="0"/>
              <w:jc w:val="right"/>
              <w:rPr>
                <w:sz w:val="18"/>
                <w:lang w:val="es-VE"/>
              </w:rPr>
            </w:pPr>
            <w:r w:rsidRPr="00C42365">
              <w:rPr>
                <w:sz w:val="18"/>
                <w:lang w:val="es-VE"/>
              </w:rPr>
              <w:t>1</w:t>
            </w:r>
          </w:p>
        </w:tc>
        <w:tc>
          <w:tcPr>
            <w:tcW w:w="330" w:type="dxa"/>
            <w:shd w:val="clear" w:color="auto" w:fill="auto"/>
            <w:vAlign w:val="bottom"/>
          </w:tcPr>
          <w:p w14:paraId="57F6003D" w14:textId="77777777" w:rsidR="001734EB" w:rsidRPr="00C42365" w:rsidRDefault="001734EB" w:rsidP="00054D51">
            <w:pPr>
              <w:pStyle w:val="SingleTxtG"/>
              <w:spacing w:before="40" w:after="40" w:line="220" w:lineRule="exact"/>
              <w:ind w:left="113" w:right="0"/>
              <w:jc w:val="right"/>
              <w:rPr>
                <w:sz w:val="18"/>
                <w:lang w:val="es-VE"/>
              </w:rPr>
            </w:pPr>
            <w:r w:rsidRPr="00C42365">
              <w:rPr>
                <w:sz w:val="18"/>
                <w:lang w:val="es-VE"/>
              </w:rPr>
              <w:t>3</w:t>
            </w:r>
          </w:p>
        </w:tc>
        <w:tc>
          <w:tcPr>
            <w:tcW w:w="330" w:type="dxa"/>
            <w:shd w:val="clear" w:color="auto" w:fill="auto"/>
            <w:vAlign w:val="bottom"/>
          </w:tcPr>
          <w:p w14:paraId="1374027F" w14:textId="77777777" w:rsidR="001734EB" w:rsidRPr="00C42365" w:rsidRDefault="001734EB" w:rsidP="00054D51">
            <w:pPr>
              <w:pStyle w:val="SingleTxtG"/>
              <w:spacing w:before="40" w:after="40" w:line="220" w:lineRule="exact"/>
              <w:ind w:left="113" w:right="0"/>
              <w:jc w:val="right"/>
              <w:rPr>
                <w:sz w:val="18"/>
                <w:lang w:val="es-VE"/>
              </w:rPr>
            </w:pPr>
            <w:r w:rsidRPr="00C42365">
              <w:rPr>
                <w:sz w:val="18"/>
                <w:lang w:val="es-VE"/>
              </w:rPr>
              <w:t>1</w:t>
            </w:r>
          </w:p>
        </w:tc>
        <w:tc>
          <w:tcPr>
            <w:tcW w:w="330" w:type="dxa"/>
            <w:shd w:val="clear" w:color="auto" w:fill="auto"/>
            <w:vAlign w:val="bottom"/>
          </w:tcPr>
          <w:p w14:paraId="64908FE9" w14:textId="77777777" w:rsidR="001734EB" w:rsidRPr="00C42365" w:rsidRDefault="001734EB" w:rsidP="00054D51">
            <w:pPr>
              <w:pStyle w:val="SingleTxtG"/>
              <w:spacing w:before="40" w:after="40" w:line="220" w:lineRule="exact"/>
              <w:ind w:left="113" w:right="0"/>
              <w:jc w:val="right"/>
              <w:rPr>
                <w:sz w:val="18"/>
                <w:lang w:val="es-VE"/>
              </w:rPr>
            </w:pPr>
            <w:r w:rsidRPr="00C42365">
              <w:rPr>
                <w:sz w:val="18"/>
                <w:lang w:val="es-VE"/>
              </w:rPr>
              <w:t>1</w:t>
            </w:r>
          </w:p>
        </w:tc>
        <w:tc>
          <w:tcPr>
            <w:tcW w:w="330" w:type="dxa"/>
            <w:shd w:val="clear" w:color="auto" w:fill="auto"/>
            <w:vAlign w:val="bottom"/>
          </w:tcPr>
          <w:p w14:paraId="18EDCC51" w14:textId="77777777" w:rsidR="001734EB" w:rsidRPr="00C42365" w:rsidRDefault="001734EB" w:rsidP="00054D51">
            <w:pPr>
              <w:pStyle w:val="SingleTxtG"/>
              <w:spacing w:before="40" w:after="40" w:line="220" w:lineRule="exact"/>
              <w:ind w:left="113" w:right="0"/>
              <w:jc w:val="right"/>
              <w:rPr>
                <w:sz w:val="18"/>
                <w:lang w:val="es-VE"/>
              </w:rPr>
            </w:pPr>
          </w:p>
        </w:tc>
        <w:tc>
          <w:tcPr>
            <w:tcW w:w="330" w:type="dxa"/>
            <w:shd w:val="clear" w:color="auto" w:fill="auto"/>
            <w:vAlign w:val="bottom"/>
          </w:tcPr>
          <w:p w14:paraId="75C3FDC3" w14:textId="77777777" w:rsidR="001734EB" w:rsidRPr="00C42365" w:rsidRDefault="001734EB" w:rsidP="00054D51">
            <w:pPr>
              <w:pStyle w:val="SingleTxtG"/>
              <w:spacing w:before="40" w:after="40" w:line="220" w:lineRule="exact"/>
              <w:ind w:left="113" w:right="0"/>
              <w:jc w:val="right"/>
              <w:rPr>
                <w:sz w:val="18"/>
                <w:lang w:val="es-VE"/>
              </w:rPr>
            </w:pPr>
            <w:r w:rsidRPr="00C42365">
              <w:rPr>
                <w:sz w:val="18"/>
                <w:lang w:val="es-VE"/>
              </w:rPr>
              <w:t>10</w:t>
            </w:r>
          </w:p>
        </w:tc>
        <w:tc>
          <w:tcPr>
            <w:tcW w:w="330" w:type="dxa"/>
            <w:shd w:val="clear" w:color="auto" w:fill="auto"/>
            <w:vAlign w:val="bottom"/>
          </w:tcPr>
          <w:p w14:paraId="7AEB26D6" w14:textId="77777777" w:rsidR="001734EB" w:rsidRPr="00C42365" w:rsidRDefault="001734EB" w:rsidP="00054D51">
            <w:pPr>
              <w:pStyle w:val="SingleTxtG"/>
              <w:spacing w:before="40" w:after="40" w:line="220" w:lineRule="exact"/>
              <w:ind w:left="113" w:right="0"/>
              <w:jc w:val="right"/>
              <w:rPr>
                <w:sz w:val="18"/>
                <w:lang w:val="es-VE"/>
              </w:rPr>
            </w:pPr>
            <w:r w:rsidRPr="00C42365">
              <w:rPr>
                <w:sz w:val="18"/>
                <w:lang w:val="es-VE"/>
              </w:rPr>
              <w:t>7</w:t>
            </w:r>
          </w:p>
        </w:tc>
        <w:tc>
          <w:tcPr>
            <w:tcW w:w="714" w:type="dxa"/>
            <w:shd w:val="clear" w:color="auto" w:fill="auto"/>
            <w:vAlign w:val="bottom"/>
          </w:tcPr>
          <w:p w14:paraId="2A3DC978" w14:textId="77777777" w:rsidR="001734EB" w:rsidRPr="00C42365" w:rsidRDefault="001734EB" w:rsidP="00054D51">
            <w:pPr>
              <w:pStyle w:val="SingleTxtG"/>
              <w:spacing w:before="40" w:after="40" w:line="220" w:lineRule="exact"/>
              <w:ind w:left="113" w:right="0"/>
              <w:jc w:val="right"/>
              <w:rPr>
                <w:sz w:val="18"/>
                <w:lang w:val="es-VE"/>
              </w:rPr>
            </w:pPr>
            <w:r w:rsidRPr="00C42365">
              <w:rPr>
                <w:sz w:val="18"/>
                <w:lang w:val="es-VE"/>
              </w:rPr>
              <w:t>17</w:t>
            </w:r>
          </w:p>
        </w:tc>
      </w:tr>
      <w:tr w:rsidR="00C42365" w:rsidRPr="00C42365" w14:paraId="3127B47B" w14:textId="77777777" w:rsidTr="00054D51">
        <w:trPr>
          <w:trHeight w:val="240"/>
        </w:trPr>
        <w:tc>
          <w:tcPr>
            <w:tcW w:w="721" w:type="dxa"/>
            <w:shd w:val="clear" w:color="auto" w:fill="auto"/>
          </w:tcPr>
          <w:p w14:paraId="43CBD48E" w14:textId="77777777" w:rsidR="001734EB" w:rsidRPr="00C42365" w:rsidRDefault="001734EB" w:rsidP="004E5744">
            <w:pPr>
              <w:pStyle w:val="SingleTxtG"/>
              <w:spacing w:before="40" w:after="40" w:line="220" w:lineRule="exact"/>
              <w:ind w:left="0" w:right="0"/>
              <w:jc w:val="left"/>
              <w:rPr>
                <w:sz w:val="18"/>
                <w:lang w:val="es-VE"/>
              </w:rPr>
            </w:pPr>
            <w:r w:rsidRPr="00C42365">
              <w:rPr>
                <w:sz w:val="18"/>
                <w:lang w:val="es-VE"/>
              </w:rPr>
              <w:t>2017</w:t>
            </w:r>
          </w:p>
        </w:tc>
        <w:tc>
          <w:tcPr>
            <w:tcW w:w="329" w:type="dxa"/>
            <w:shd w:val="clear" w:color="auto" w:fill="auto"/>
            <w:vAlign w:val="bottom"/>
          </w:tcPr>
          <w:p w14:paraId="7DA61862" w14:textId="77777777" w:rsidR="001734EB" w:rsidRPr="00C42365" w:rsidRDefault="001734EB" w:rsidP="00054D51">
            <w:pPr>
              <w:pStyle w:val="SingleTxtG"/>
              <w:spacing w:before="40" w:after="40" w:line="220" w:lineRule="exact"/>
              <w:ind w:left="113" w:right="0"/>
              <w:jc w:val="right"/>
              <w:rPr>
                <w:sz w:val="18"/>
                <w:lang w:val="es-VE"/>
              </w:rPr>
            </w:pPr>
          </w:p>
        </w:tc>
        <w:tc>
          <w:tcPr>
            <w:tcW w:w="329" w:type="dxa"/>
            <w:shd w:val="clear" w:color="auto" w:fill="auto"/>
            <w:vAlign w:val="bottom"/>
          </w:tcPr>
          <w:p w14:paraId="68026EC5" w14:textId="77777777" w:rsidR="001734EB" w:rsidRPr="00C42365" w:rsidRDefault="001734EB" w:rsidP="00054D51">
            <w:pPr>
              <w:pStyle w:val="SingleTxtG"/>
              <w:spacing w:before="40" w:after="40" w:line="220" w:lineRule="exact"/>
              <w:ind w:left="113" w:right="0"/>
              <w:jc w:val="right"/>
              <w:rPr>
                <w:sz w:val="18"/>
                <w:lang w:val="es-VE"/>
              </w:rPr>
            </w:pPr>
          </w:p>
        </w:tc>
        <w:tc>
          <w:tcPr>
            <w:tcW w:w="329" w:type="dxa"/>
            <w:shd w:val="clear" w:color="auto" w:fill="auto"/>
            <w:vAlign w:val="bottom"/>
          </w:tcPr>
          <w:p w14:paraId="40606F7B" w14:textId="77777777" w:rsidR="001734EB" w:rsidRPr="00C42365" w:rsidRDefault="001734EB" w:rsidP="00054D51">
            <w:pPr>
              <w:pStyle w:val="SingleTxtG"/>
              <w:spacing w:before="40" w:after="40" w:line="220" w:lineRule="exact"/>
              <w:ind w:left="113" w:right="0"/>
              <w:jc w:val="right"/>
              <w:rPr>
                <w:sz w:val="18"/>
                <w:lang w:val="es-VE"/>
              </w:rPr>
            </w:pPr>
          </w:p>
        </w:tc>
        <w:tc>
          <w:tcPr>
            <w:tcW w:w="329" w:type="dxa"/>
            <w:shd w:val="clear" w:color="auto" w:fill="auto"/>
            <w:vAlign w:val="bottom"/>
          </w:tcPr>
          <w:p w14:paraId="4EA19B72" w14:textId="77777777" w:rsidR="001734EB" w:rsidRPr="00C42365" w:rsidRDefault="001734EB" w:rsidP="00054D51">
            <w:pPr>
              <w:pStyle w:val="SingleTxtG"/>
              <w:spacing w:before="40" w:after="40" w:line="220" w:lineRule="exact"/>
              <w:ind w:left="113" w:right="0"/>
              <w:jc w:val="right"/>
              <w:rPr>
                <w:sz w:val="18"/>
                <w:lang w:val="es-VE"/>
              </w:rPr>
            </w:pPr>
          </w:p>
        </w:tc>
        <w:tc>
          <w:tcPr>
            <w:tcW w:w="330" w:type="dxa"/>
            <w:shd w:val="clear" w:color="auto" w:fill="auto"/>
            <w:vAlign w:val="bottom"/>
          </w:tcPr>
          <w:p w14:paraId="28D5557C" w14:textId="77777777" w:rsidR="001734EB" w:rsidRPr="00C42365" w:rsidRDefault="001734EB" w:rsidP="00054D51">
            <w:pPr>
              <w:pStyle w:val="SingleTxtG"/>
              <w:spacing w:before="40" w:after="40" w:line="220" w:lineRule="exact"/>
              <w:ind w:left="113" w:right="0"/>
              <w:jc w:val="right"/>
              <w:rPr>
                <w:sz w:val="18"/>
                <w:lang w:val="es-VE"/>
              </w:rPr>
            </w:pPr>
            <w:r w:rsidRPr="00C42365">
              <w:rPr>
                <w:sz w:val="18"/>
                <w:lang w:val="es-VE"/>
              </w:rPr>
              <w:t>2</w:t>
            </w:r>
          </w:p>
        </w:tc>
        <w:tc>
          <w:tcPr>
            <w:tcW w:w="330" w:type="dxa"/>
            <w:shd w:val="clear" w:color="auto" w:fill="auto"/>
            <w:vAlign w:val="bottom"/>
          </w:tcPr>
          <w:p w14:paraId="1B3D2D32" w14:textId="77777777" w:rsidR="001734EB" w:rsidRPr="00C42365" w:rsidRDefault="001734EB" w:rsidP="00054D51">
            <w:pPr>
              <w:pStyle w:val="SingleTxtG"/>
              <w:spacing w:before="40" w:after="40" w:line="220" w:lineRule="exact"/>
              <w:ind w:left="113" w:right="0"/>
              <w:jc w:val="right"/>
              <w:rPr>
                <w:sz w:val="18"/>
                <w:lang w:val="es-VE"/>
              </w:rPr>
            </w:pPr>
            <w:r w:rsidRPr="00C42365">
              <w:rPr>
                <w:sz w:val="18"/>
                <w:lang w:val="es-VE"/>
              </w:rPr>
              <w:t>1</w:t>
            </w:r>
          </w:p>
        </w:tc>
        <w:tc>
          <w:tcPr>
            <w:tcW w:w="330" w:type="dxa"/>
            <w:shd w:val="clear" w:color="auto" w:fill="auto"/>
            <w:vAlign w:val="bottom"/>
          </w:tcPr>
          <w:p w14:paraId="14FBA504" w14:textId="77777777" w:rsidR="001734EB" w:rsidRPr="00C42365" w:rsidRDefault="001734EB" w:rsidP="00054D51">
            <w:pPr>
              <w:pStyle w:val="SingleTxtG"/>
              <w:spacing w:before="40" w:after="40" w:line="220" w:lineRule="exact"/>
              <w:ind w:left="113" w:right="0"/>
              <w:jc w:val="right"/>
              <w:rPr>
                <w:sz w:val="18"/>
                <w:lang w:val="es-VE"/>
              </w:rPr>
            </w:pPr>
            <w:r w:rsidRPr="00C42365">
              <w:rPr>
                <w:sz w:val="18"/>
                <w:lang w:val="es-VE"/>
              </w:rPr>
              <w:t>2</w:t>
            </w:r>
          </w:p>
        </w:tc>
        <w:tc>
          <w:tcPr>
            <w:tcW w:w="330" w:type="dxa"/>
            <w:shd w:val="clear" w:color="auto" w:fill="auto"/>
            <w:vAlign w:val="bottom"/>
          </w:tcPr>
          <w:p w14:paraId="14F659BB" w14:textId="77777777" w:rsidR="001734EB" w:rsidRPr="00C42365" w:rsidRDefault="001734EB" w:rsidP="00054D51">
            <w:pPr>
              <w:pStyle w:val="SingleTxtG"/>
              <w:spacing w:before="40" w:after="40" w:line="220" w:lineRule="exact"/>
              <w:ind w:left="113" w:right="0"/>
              <w:jc w:val="right"/>
              <w:rPr>
                <w:sz w:val="18"/>
                <w:lang w:val="es-VE"/>
              </w:rPr>
            </w:pPr>
            <w:r w:rsidRPr="00C42365">
              <w:rPr>
                <w:sz w:val="18"/>
                <w:lang w:val="es-VE"/>
              </w:rPr>
              <w:t>1</w:t>
            </w:r>
          </w:p>
        </w:tc>
        <w:tc>
          <w:tcPr>
            <w:tcW w:w="330" w:type="dxa"/>
            <w:shd w:val="clear" w:color="auto" w:fill="auto"/>
            <w:vAlign w:val="bottom"/>
          </w:tcPr>
          <w:p w14:paraId="49DD1527" w14:textId="77777777" w:rsidR="001734EB" w:rsidRPr="00C42365" w:rsidRDefault="001734EB" w:rsidP="00054D51">
            <w:pPr>
              <w:pStyle w:val="SingleTxtG"/>
              <w:spacing w:before="40" w:after="40" w:line="220" w:lineRule="exact"/>
              <w:ind w:left="113" w:right="0"/>
              <w:jc w:val="right"/>
              <w:rPr>
                <w:sz w:val="18"/>
                <w:lang w:val="es-VE"/>
              </w:rPr>
            </w:pPr>
            <w:r w:rsidRPr="00C42365">
              <w:rPr>
                <w:sz w:val="18"/>
                <w:lang w:val="es-VE"/>
              </w:rPr>
              <w:t>1</w:t>
            </w:r>
          </w:p>
        </w:tc>
        <w:tc>
          <w:tcPr>
            <w:tcW w:w="330" w:type="dxa"/>
            <w:shd w:val="clear" w:color="auto" w:fill="auto"/>
            <w:vAlign w:val="bottom"/>
          </w:tcPr>
          <w:p w14:paraId="4181582D" w14:textId="77777777" w:rsidR="001734EB" w:rsidRPr="00C42365" w:rsidRDefault="001734EB" w:rsidP="00054D51">
            <w:pPr>
              <w:pStyle w:val="SingleTxtG"/>
              <w:spacing w:before="40" w:after="40" w:line="220" w:lineRule="exact"/>
              <w:ind w:left="113" w:right="0"/>
              <w:jc w:val="right"/>
              <w:rPr>
                <w:sz w:val="18"/>
                <w:lang w:val="es-VE"/>
              </w:rPr>
            </w:pPr>
            <w:r w:rsidRPr="00C42365">
              <w:rPr>
                <w:sz w:val="18"/>
                <w:lang w:val="es-VE"/>
              </w:rPr>
              <w:t>1</w:t>
            </w:r>
          </w:p>
        </w:tc>
        <w:tc>
          <w:tcPr>
            <w:tcW w:w="330" w:type="dxa"/>
            <w:shd w:val="clear" w:color="auto" w:fill="auto"/>
            <w:vAlign w:val="bottom"/>
          </w:tcPr>
          <w:p w14:paraId="1A209C7A" w14:textId="77777777" w:rsidR="001734EB" w:rsidRPr="00C42365" w:rsidRDefault="001734EB" w:rsidP="00054D51">
            <w:pPr>
              <w:pStyle w:val="SingleTxtG"/>
              <w:spacing w:before="40" w:after="40" w:line="220" w:lineRule="exact"/>
              <w:ind w:left="113" w:right="0"/>
              <w:jc w:val="right"/>
              <w:rPr>
                <w:sz w:val="18"/>
                <w:lang w:val="es-VE"/>
              </w:rPr>
            </w:pPr>
          </w:p>
        </w:tc>
        <w:tc>
          <w:tcPr>
            <w:tcW w:w="330" w:type="dxa"/>
            <w:shd w:val="clear" w:color="auto" w:fill="auto"/>
            <w:vAlign w:val="bottom"/>
          </w:tcPr>
          <w:p w14:paraId="701FBDE6" w14:textId="77777777" w:rsidR="001734EB" w:rsidRPr="00C42365" w:rsidRDefault="001734EB" w:rsidP="00054D51">
            <w:pPr>
              <w:pStyle w:val="SingleTxtG"/>
              <w:spacing w:before="40" w:after="40" w:line="220" w:lineRule="exact"/>
              <w:ind w:left="113" w:right="0"/>
              <w:jc w:val="right"/>
              <w:rPr>
                <w:sz w:val="18"/>
                <w:lang w:val="es-VE"/>
              </w:rPr>
            </w:pPr>
            <w:r w:rsidRPr="00C42365">
              <w:rPr>
                <w:sz w:val="18"/>
                <w:lang w:val="es-VE"/>
              </w:rPr>
              <w:t>1</w:t>
            </w:r>
          </w:p>
        </w:tc>
        <w:tc>
          <w:tcPr>
            <w:tcW w:w="330" w:type="dxa"/>
            <w:shd w:val="clear" w:color="auto" w:fill="auto"/>
            <w:vAlign w:val="bottom"/>
          </w:tcPr>
          <w:p w14:paraId="0CC508A2" w14:textId="77777777" w:rsidR="001734EB" w:rsidRPr="00C42365" w:rsidRDefault="001734EB" w:rsidP="00054D51">
            <w:pPr>
              <w:pStyle w:val="SingleTxtG"/>
              <w:spacing w:before="40" w:after="40" w:line="220" w:lineRule="exact"/>
              <w:ind w:left="113" w:right="0"/>
              <w:jc w:val="right"/>
              <w:rPr>
                <w:sz w:val="18"/>
                <w:lang w:val="es-VE"/>
              </w:rPr>
            </w:pPr>
            <w:r w:rsidRPr="00C42365">
              <w:rPr>
                <w:sz w:val="18"/>
                <w:lang w:val="es-VE"/>
              </w:rPr>
              <w:t>1</w:t>
            </w:r>
          </w:p>
        </w:tc>
        <w:tc>
          <w:tcPr>
            <w:tcW w:w="330" w:type="dxa"/>
            <w:shd w:val="clear" w:color="auto" w:fill="auto"/>
            <w:vAlign w:val="bottom"/>
          </w:tcPr>
          <w:p w14:paraId="7DE8EDDD" w14:textId="77777777" w:rsidR="001734EB" w:rsidRPr="00C42365" w:rsidRDefault="001734EB" w:rsidP="00054D51">
            <w:pPr>
              <w:pStyle w:val="SingleTxtG"/>
              <w:spacing w:before="40" w:after="40" w:line="220" w:lineRule="exact"/>
              <w:ind w:left="113" w:right="0"/>
              <w:jc w:val="right"/>
              <w:rPr>
                <w:sz w:val="18"/>
                <w:lang w:val="es-VE"/>
              </w:rPr>
            </w:pPr>
          </w:p>
        </w:tc>
        <w:tc>
          <w:tcPr>
            <w:tcW w:w="330" w:type="dxa"/>
            <w:shd w:val="clear" w:color="auto" w:fill="auto"/>
            <w:vAlign w:val="bottom"/>
          </w:tcPr>
          <w:p w14:paraId="6BFA2E45" w14:textId="77777777" w:rsidR="001734EB" w:rsidRPr="00C42365" w:rsidRDefault="001734EB" w:rsidP="00054D51">
            <w:pPr>
              <w:pStyle w:val="SingleTxtG"/>
              <w:spacing w:before="40" w:after="40" w:line="220" w:lineRule="exact"/>
              <w:ind w:left="113" w:right="0"/>
              <w:jc w:val="right"/>
              <w:rPr>
                <w:sz w:val="18"/>
                <w:lang w:val="es-VE"/>
              </w:rPr>
            </w:pPr>
          </w:p>
        </w:tc>
        <w:tc>
          <w:tcPr>
            <w:tcW w:w="330" w:type="dxa"/>
            <w:shd w:val="clear" w:color="auto" w:fill="auto"/>
            <w:vAlign w:val="bottom"/>
          </w:tcPr>
          <w:p w14:paraId="77CDF7FC" w14:textId="77777777" w:rsidR="001734EB" w:rsidRPr="00C42365" w:rsidRDefault="001734EB" w:rsidP="00054D51">
            <w:pPr>
              <w:pStyle w:val="SingleTxtG"/>
              <w:spacing w:before="40" w:after="40" w:line="220" w:lineRule="exact"/>
              <w:ind w:left="113" w:right="0"/>
              <w:jc w:val="right"/>
              <w:rPr>
                <w:sz w:val="18"/>
                <w:lang w:val="es-VE"/>
              </w:rPr>
            </w:pPr>
          </w:p>
        </w:tc>
        <w:tc>
          <w:tcPr>
            <w:tcW w:w="330" w:type="dxa"/>
            <w:shd w:val="clear" w:color="auto" w:fill="auto"/>
            <w:vAlign w:val="bottom"/>
          </w:tcPr>
          <w:p w14:paraId="33AF868B" w14:textId="77777777" w:rsidR="001734EB" w:rsidRPr="00C42365" w:rsidRDefault="001734EB" w:rsidP="00054D51">
            <w:pPr>
              <w:pStyle w:val="SingleTxtG"/>
              <w:spacing w:before="40" w:after="40" w:line="220" w:lineRule="exact"/>
              <w:ind w:left="113" w:right="0"/>
              <w:jc w:val="right"/>
              <w:rPr>
                <w:sz w:val="18"/>
                <w:lang w:val="es-VE"/>
              </w:rPr>
            </w:pPr>
            <w:r w:rsidRPr="00C42365">
              <w:rPr>
                <w:sz w:val="18"/>
                <w:lang w:val="es-VE"/>
              </w:rPr>
              <w:t>6</w:t>
            </w:r>
          </w:p>
        </w:tc>
        <w:tc>
          <w:tcPr>
            <w:tcW w:w="330" w:type="dxa"/>
            <w:shd w:val="clear" w:color="auto" w:fill="auto"/>
            <w:vAlign w:val="bottom"/>
          </w:tcPr>
          <w:p w14:paraId="6FC9500B" w14:textId="77777777" w:rsidR="001734EB" w:rsidRPr="00C42365" w:rsidRDefault="001734EB" w:rsidP="00054D51">
            <w:pPr>
              <w:pStyle w:val="SingleTxtG"/>
              <w:spacing w:before="40" w:after="40" w:line="220" w:lineRule="exact"/>
              <w:ind w:left="113" w:right="0"/>
              <w:jc w:val="right"/>
              <w:rPr>
                <w:sz w:val="18"/>
                <w:lang w:val="es-VE"/>
              </w:rPr>
            </w:pPr>
            <w:r w:rsidRPr="00C42365">
              <w:rPr>
                <w:sz w:val="18"/>
                <w:lang w:val="es-VE"/>
              </w:rPr>
              <w:t>4</w:t>
            </w:r>
          </w:p>
        </w:tc>
        <w:tc>
          <w:tcPr>
            <w:tcW w:w="714" w:type="dxa"/>
            <w:shd w:val="clear" w:color="auto" w:fill="auto"/>
            <w:vAlign w:val="bottom"/>
          </w:tcPr>
          <w:p w14:paraId="1910B620" w14:textId="77777777" w:rsidR="001734EB" w:rsidRPr="00C42365" w:rsidRDefault="001734EB" w:rsidP="00054D51">
            <w:pPr>
              <w:pStyle w:val="SingleTxtG"/>
              <w:spacing w:before="40" w:after="40" w:line="220" w:lineRule="exact"/>
              <w:ind w:left="113" w:right="0"/>
              <w:jc w:val="right"/>
              <w:rPr>
                <w:sz w:val="18"/>
                <w:lang w:val="es-VE"/>
              </w:rPr>
            </w:pPr>
            <w:r w:rsidRPr="00C42365">
              <w:rPr>
                <w:sz w:val="18"/>
                <w:lang w:val="es-VE"/>
              </w:rPr>
              <w:t>10</w:t>
            </w:r>
          </w:p>
        </w:tc>
      </w:tr>
      <w:tr w:rsidR="00C42365" w:rsidRPr="00C42365" w14:paraId="6689601F" w14:textId="77777777" w:rsidTr="00054D51">
        <w:trPr>
          <w:trHeight w:val="240"/>
        </w:trPr>
        <w:tc>
          <w:tcPr>
            <w:tcW w:w="721" w:type="dxa"/>
            <w:shd w:val="clear" w:color="auto" w:fill="auto"/>
          </w:tcPr>
          <w:p w14:paraId="5B4397C4" w14:textId="77777777" w:rsidR="001734EB" w:rsidRPr="00C42365" w:rsidRDefault="001734EB" w:rsidP="004E5744">
            <w:pPr>
              <w:pStyle w:val="SingleTxtG"/>
              <w:spacing w:before="40" w:after="40" w:line="220" w:lineRule="exact"/>
              <w:ind w:left="0" w:right="0"/>
              <w:jc w:val="left"/>
              <w:rPr>
                <w:sz w:val="18"/>
                <w:lang w:val="es-VE"/>
              </w:rPr>
            </w:pPr>
            <w:r w:rsidRPr="00C42365">
              <w:rPr>
                <w:sz w:val="18"/>
                <w:lang w:val="es-VE"/>
              </w:rPr>
              <w:t>2018</w:t>
            </w:r>
          </w:p>
        </w:tc>
        <w:tc>
          <w:tcPr>
            <w:tcW w:w="329" w:type="dxa"/>
            <w:shd w:val="clear" w:color="auto" w:fill="auto"/>
            <w:vAlign w:val="bottom"/>
          </w:tcPr>
          <w:p w14:paraId="4B22262D" w14:textId="77777777" w:rsidR="001734EB" w:rsidRPr="00C42365" w:rsidRDefault="001734EB" w:rsidP="00054D51">
            <w:pPr>
              <w:pStyle w:val="SingleTxtG"/>
              <w:spacing w:before="40" w:after="40" w:line="220" w:lineRule="exact"/>
              <w:ind w:left="113" w:right="0"/>
              <w:jc w:val="right"/>
              <w:rPr>
                <w:sz w:val="18"/>
                <w:lang w:val="es-VE"/>
              </w:rPr>
            </w:pPr>
          </w:p>
        </w:tc>
        <w:tc>
          <w:tcPr>
            <w:tcW w:w="329" w:type="dxa"/>
            <w:shd w:val="clear" w:color="auto" w:fill="auto"/>
            <w:vAlign w:val="bottom"/>
          </w:tcPr>
          <w:p w14:paraId="781F5C5E" w14:textId="77777777" w:rsidR="001734EB" w:rsidRPr="00C42365" w:rsidRDefault="001734EB" w:rsidP="00054D51">
            <w:pPr>
              <w:pStyle w:val="SingleTxtG"/>
              <w:spacing w:before="40" w:after="40" w:line="220" w:lineRule="exact"/>
              <w:ind w:left="113" w:right="0"/>
              <w:jc w:val="right"/>
              <w:rPr>
                <w:sz w:val="18"/>
                <w:lang w:val="es-VE"/>
              </w:rPr>
            </w:pPr>
          </w:p>
        </w:tc>
        <w:tc>
          <w:tcPr>
            <w:tcW w:w="329" w:type="dxa"/>
            <w:shd w:val="clear" w:color="auto" w:fill="auto"/>
            <w:vAlign w:val="bottom"/>
          </w:tcPr>
          <w:p w14:paraId="6627820D" w14:textId="77777777" w:rsidR="001734EB" w:rsidRPr="00C42365" w:rsidRDefault="001734EB" w:rsidP="00054D51">
            <w:pPr>
              <w:pStyle w:val="SingleTxtG"/>
              <w:spacing w:before="40" w:after="40" w:line="220" w:lineRule="exact"/>
              <w:ind w:left="113" w:right="0"/>
              <w:jc w:val="right"/>
              <w:rPr>
                <w:sz w:val="18"/>
                <w:lang w:val="es-VE"/>
              </w:rPr>
            </w:pPr>
            <w:r w:rsidRPr="00C42365">
              <w:rPr>
                <w:sz w:val="18"/>
                <w:lang w:val="es-VE"/>
              </w:rPr>
              <w:t>1</w:t>
            </w:r>
          </w:p>
        </w:tc>
        <w:tc>
          <w:tcPr>
            <w:tcW w:w="329" w:type="dxa"/>
            <w:shd w:val="clear" w:color="auto" w:fill="auto"/>
            <w:vAlign w:val="bottom"/>
          </w:tcPr>
          <w:p w14:paraId="14B508F6" w14:textId="77777777" w:rsidR="001734EB" w:rsidRPr="00C42365" w:rsidRDefault="001734EB" w:rsidP="00054D51">
            <w:pPr>
              <w:pStyle w:val="SingleTxtG"/>
              <w:spacing w:before="40" w:after="40" w:line="220" w:lineRule="exact"/>
              <w:ind w:left="113" w:right="0"/>
              <w:jc w:val="right"/>
              <w:rPr>
                <w:sz w:val="18"/>
                <w:lang w:val="es-VE"/>
              </w:rPr>
            </w:pPr>
          </w:p>
        </w:tc>
        <w:tc>
          <w:tcPr>
            <w:tcW w:w="330" w:type="dxa"/>
            <w:shd w:val="clear" w:color="auto" w:fill="auto"/>
            <w:vAlign w:val="bottom"/>
          </w:tcPr>
          <w:p w14:paraId="00258FDA" w14:textId="77777777" w:rsidR="001734EB" w:rsidRPr="00C42365" w:rsidRDefault="001734EB" w:rsidP="00054D51">
            <w:pPr>
              <w:pStyle w:val="SingleTxtG"/>
              <w:spacing w:before="40" w:after="40" w:line="220" w:lineRule="exact"/>
              <w:ind w:left="113" w:right="0"/>
              <w:jc w:val="right"/>
              <w:rPr>
                <w:sz w:val="18"/>
                <w:lang w:val="es-VE"/>
              </w:rPr>
            </w:pPr>
          </w:p>
        </w:tc>
        <w:tc>
          <w:tcPr>
            <w:tcW w:w="330" w:type="dxa"/>
            <w:shd w:val="clear" w:color="auto" w:fill="auto"/>
            <w:vAlign w:val="bottom"/>
          </w:tcPr>
          <w:p w14:paraId="3C0C4070" w14:textId="77777777" w:rsidR="001734EB" w:rsidRPr="00C42365" w:rsidRDefault="001734EB" w:rsidP="00054D51">
            <w:pPr>
              <w:pStyle w:val="SingleTxtG"/>
              <w:spacing w:before="40" w:after="40" w:line="220" w:lineRule="exact"/>
              <w:ind w:left="113" w:right="0"/>
              <w:jc w:val="right"/>
              <w:rPr>
                <w:sz w:val="18"/>
                <w:lang w:val="es-VE"/>
              </w:rPr>
            </w:pPr>
          </w:p>
        </w:tc>
        <w:tc>
          <w:tcPr>
            <w:tcW w:w="330" w:type="dxa"/>
            <w:shd w:val="clear" w:color="auto" w:fill="auto"/>
            <w:vAlign w:val="bottom"/>
          </w:tcPr>
          <w:p w14:paraId="3D10E2E7" w14:textId="77777777" w:rsidR="001734EB" w:rsidRPr="00C42365" w:rsidRDefault="001734EB" w:rsidP="00054D51">
            <w:pPr>
              <w:pStyle w:val="SingleTxtG"/>
              <w:spacing w:before="40" w:after="40" w:line="220" w:lineRule="exact"/>
              <w:ind w:left="113" w:right="0"/>
              <w:jc w:val="right"/>
              <w:rPr>
                <w:sz w:val="18"/>
                <w:lang w:val="es-VE"/>
              </w:rPr>
            </w:pPr>
          </w:p>
        </w:tc>
        <w:tc>
          <w:tcPr>
            <w:tcW w:w="330" w:type="dxa"/>
            <w:shd w:val="clear" w:color="auto" w:fill="auto"/>
            <w:vAlign w:val="bottom"/>
          </w:tcPr>
          <w:p w14:paraId="4BDD9474" w14:textId="77777777" w:rsidR="001734EB" w:rsidRPr="00C42365" w:rsidRDefault="001734EB" w:rsidP="00054D51">
            <w:pPr>
              <w:pStyle w:val="SingleTxtG"/>
              <w:spacing w:before="40" w:after="40" w:line="220" w:lineRule="exact"/>
              <w:ind w:left="113" w:right="0"/>
              <w:jc w:val="right"/>
              <w:rPr>
                <w:sz w:val="18"/>
                <w:lang w:val="es-VE"/>
              </w:rPr>
            </w:pPr>
          </w:p>
        </w:tc>
        <w:tc>
          <w:tcPr>
            <w:tcW w:w="330" w:type="dxa"/>
            <w:shd w:val="clear" w:color="auto" w:fill="auto"/>
            <w:vAlign w:val="bottom"/>
          </w:tcPr>
          <w:p w14:paraId="0E950C7F" w14:textId="77777777" w:rsidR="001734EB" w:rsidRPr="00C42365" w:rsidRDefault="001734EB" w:rsidP="00054D51">
            <w:pPr>
              <w:pStyle w:val="SingleTxtG"/>
              <w:spacing w:before="40" w:after="40" w:line="220" w:lineRule="exact"/>
              <w:ind w:left="113" w:right="0"/>
              <w:jc w:val="right"/>
              <w:rPr>
                <w:sz w:val="18"/>
                <w:lang w:val="es-VE"/>
              </w:rPr>
            </w:pPr>
            <w:r w:rsidRPr="00C42365">
              <w:rPr>
                <w:sz w:val="18"/>
                <w:lang w:val="es-VE"/>
              </w:rPr>
              <w:t>1</w:t>
            </w:r>
          </w:p>
        </w:tc>
        <w:tc>
          <w:tcPr>
            <w:tcW w:w="330" w:type="dxa"/>
            <w:shd w:val="clear" w:color="auto" w:fill="auto"/>
            <w:vAlign w:val="bottom"/>
          </w:tcPr>
          <w:p w14:paraId="070D1C43" w14:textId="77777777" w:rsidR="001734EB" w:rsidRPr="00C42365" w:rsidRDefault="001734EB" w:rsidP="00054D51">
            <w:pPr>
              <w:pStyle w:val="SingleTxtG"/>
              <w:spacing w:before="40" w:after="40" w:line="220" w:lineRule="exact"/>
              <w:ind w:left="113" w:right="0"/>
              <w:jc w:val="right"/>
              <w:rPr>
                <w:sz w:val="18"/>
                <w:lang w:val="es-VE"/>
              </w:rPr>
            </w:pPr>
            <w:r w:rsidRPr="00C42365">
              <w:rPr>
                <w:sz w:val="18"/>
                <w:lang w:val="es-VE"/>
              </w:rPr>
              <w:t>1</w:t>
            </w:r>
          </w:p>
        </w:tc>
        <w:tc>
          <w:tcPr>
            <w:tcW w:w="330" w:type="dxa"/>
            <w:shd w:val="clear" w:color="auto" w:fill="auto"/>
            <w:vAlign w:val="bottom"/>
          </w:tcPr>
          <w:p w14:paraId="1D01EBB1" w14:textId="77777777" w:rsidR="001734EB" w:rsidRPr="00C42365" w:rsidRDefault="001734EB" w:rsidP="00054D51">
            <w:pPr>
              <w:pStyle w:val="SingleTxtG"/>
              <w:spacing w:before="40" w:after="40" w:line="220" w:lineRule="exact"/>
              <w:ind w:left="113" w:right="0"/>
              <w:jc w:val="right"/>
              <w:rPr>
                <w:sz w:val="18"/>
                <w:lang w:val="es-VE"/>
              </w:rPr>
            </w:pPr>
            <w:r w:rsidRPr="00C42365">
              <w:rPr>
                <w:sz w:val="18"/>
                <w:lang w:val="es-VE"/>
              </w:rPr>
              <w:t>3</w:t>
            </w:r>
          </w:p>
        </w:tc>
        <w:tc>
          <w:tcPr>
            <w:tcW w:w="330" w:type="dxa"/>
            <w:shd w:val="clear" w:color="auto" w:fill="auto"/>
            <w:vAlign w:val="bottom"/>
          </w:tcPr>
          <w:p w14:paraId="6DBBA55D" w14:textId="77777777" w:rsidR="001734EB" w:rsidRPr="00C42365" w:rsidRDefault="001734EB" w:rsidP="00054D51">
            <w:pPr>
              <w:pStyle w:val="SingleTxtG"/>
              <w:spacing w:before="40" w:after="40" w:line="220" w:lineRule="exact"/>
              <w:ind w:left="113" w:right="0"/>
              <w:jc w:val="right"/>
              <w:rPr>
                <w:sz w:val="18"/>
                <w:lang w:val="es-VE"/>
              </w:rPr>
            </w:pPr>
            <w:r w:rsidRPr="00C42365">
              <w:rPr>
                <w:sz w:val="18"/>
                <w:lang w:val="es-VE"/>
              </w:rPr>
              <w:t>1</w:t>
            </w:r>
          </w:p>
        </w:tc>
        <w:tc>
          <w:tcPr>
            <w:tcW w:w="330" w:type="dxa"/>
            <w:shd w:val="clear" w:color="auto" w:fill="auto"/>
            <w:vAlign w:val="bottom"/>
          </w:tcPr>
          <w:p w14:paraId="52C3C63D" w14:textId="77777777" w:rsidR="001734EB" w:rsidRPr="00C42365" w:rsidRDefault="001734EB" w:rsidP="00054D51">
            <w:pPr>
              <w:pStyle w:val="SingleTxtG"/>
              <w:spacing w:before="40" w:after="40" w:line="220" w:lineRule="exact"/>
              <w:ind w:left="113" w:right="0"/>
              <w:jc w:val="right"/>
              <w:rPr>
                <w:sz w:val="18"/>
                <w:lang w:val="es-VE"/>
              </w:rPr>
            </w:pPr>
          </w:p>
        </w:tc>
        <w:tc>
          <w:tcPr>
            <w:tcW w:w="330" w:type="dxa"/>
            <w:shd w:val="clear" w:color="auto" w:fill="auto"/>
            <w:vAlign w:val="bottom"/>
          </w:tcPr>
          <w:p w14:paraId="3B98E9E7" w14:textId="77777777" w:rsidR="001734EB" w:rsidRPr="00C42365" w:rsidRDefault="001734EB" w:rsidP="00054D51">
            <w:pPr>
              <w:pStyle w:val="SingleTxtG"/>
              <w:spacing w:before="40" w:after="40" w:line="220" w:lineRule="exact"/>
              <w:ind w:left="113" w:right="0"/>
              <w:jc w:val="right"/>
              <w:rPr>
                <w:sz w:val="18"/>
                <w:lang w:val="es-VE"/>
              </w:rPr>
            </w:pPr>
          </w:p>
        </w:tc>
        <w:tc>
          <w:tcPr>
            <w:tcW w:w="330" w:type="dxa"/>
            <w:shd w:val="clear" w:color="auto" w:fill="auto"/>
            <w:vAlign w:val="bottom"/>
          </w:tcPr>
          <w:p w14:paraId="7452114A" w14:textId="77777777" w:rsidR="001734EB" w:rsidRPr="00C42365" w:rsidRDefault="001734EB" w:rsidP="00054D51">
            <w:pPr>
              <w:pStyle w:val="SingleTxtG"/>
              <w:spacing w:before="40" w:after="40" w:line="220" w:lineRule="exact"/>
              <w:ind w:left="113" w:right="0"/>
              <w:jc w:val="right"/>
              <w:rPr>
                <w:sz w:val="18"/>
                <w:lang w:val="es-VE"/>
              </w:rPr>
            </w:pPr>
          </w:p>
        </w:tc>
        <w:tc>
          <w:tcPr>
            <w:tcW w:w="330" w:type="dxa"/>
            <w:shd w:val="clear" w:color="auto" w:fill="auto"/>
            <w:vAlign w:val="bottom"/>
          </w:tcPr>
          <w:p w14:paraId="0B6E43F0" w14:textId="77777777" w:rsidR="001734EB" w:rsidRPr="00C42365" w:rsidRDefault="001734EB" w:rsidP="00054D51">
            <w:pPr>
              <w:pStyle w:val="SingleTxtG"/>
              <w:spacing w:before="40" w:after="40" w:line="220" w:lineRule="exact"/>
              <w:ind w:left="113" w:right="0"/>
              <w:jc w:val="right"/>
              <w:rPr>
                <w:sz w:val="18"/>
                <w:lang w:val="es-VE"/>
              </w:rPr>
            </w:pPr>
          </w:p>
        </w:tc>
        <w:tc>
          <w:tcPr>
            <w:tcW w:w="330" w:type="dxa"/>
            <w:shd w:val="clear" w:color="auto" w:fill="auto"/>
            <w:vAlign w:val="bottom"/>
          </w:tcPr>
          <w:p w14:paraId="20311200" w14:textId="77777777" w:rsidR="001734EB" w:rsidRPr="00C42365" w:rsidRDefault="001734EB" w:rsidP="00054D51">
            <w:pPr>
              <w:pStyle w:val="SingleTxtG"/>
              <w:spacing w:before="40" w:after="40" w:line="220" w:lineRule="exact"/>
              <w:ind w:left="113" w:right="0"/>
              <w:jc w:val="right"/>
              <w:rPr>
                <w:sz w:val="18"/>
                <w:lang w:val="es-VE"/>
              </w:rPr>
            </w:pPr>
            <w:r w:rsidRPr="00C42365">
              <w:rPr>
                <w:sz w:val="18"/>
                <w:lang w:val="es-VE"/>
              </w:rPr>
              <w:t>5</w:t>
            </w:r>
          </w:p>
        </w:tc>
        <w:tc>
          <w:tcPr>
            <w:tcW w:w="330" w:type="dxa"/>
            <w:shd w:val="clear" w:color="auto" w:fill="auto"/>
            <w:vAlign w:val="bottom"/>
          </w:tcPr>
          <w:p w14:paraId="158C4C3D" w14:textId="77777777" w:rsidR="001734EB" w:rsidRPr="00C42365" w:rsidRDefault="001734EB" w:rsidP="00054D51">
            <w:pPr>
              <w:pStyle w:val="SingleTxtG"/>
              <w:spacing w:before="40" w:after="40" w:line="220" w:lineRule="exact"/>
              <w:ind w:left="113" w:right="0"/>
              <w:jc w:val="right"/>
              <w:rPr>
                <w:sz w:val="18"/>
                <w:lang w:val="es-VE"/>
              </w:rPr>
            </w:pPr>
            <w:r w:rsidRPr="00C42365">
              <w:rPr>
                <w:sz w:val="18"/>
                <w:lang w:val="es-VE"/>
              </w:rPr>
              <w:t>2</w:t>
            </w:r>
          </w:p>
        </w:tc>
        <w:tc>
          <w:tcPr>
            <w:tcW w:w="714" w:type="dxa"/>
            <w:shd w:val="clear" w:color="auto" w:fill="auto"/>
            <w:vAlign w:val="bottom"/>
          </w:tcPr>
          <w:p w14:paraId="42558984" w14:textId="77777777" w:rsidR="001734EB" w:rsidRPr="00C42365" w:rsidRDefault="001734EB" w:rsidP="00054D51">
            <w:pPr>
              <w:pStyle w:val="SingleTxtG"/>
              <w:spacing w:before="40" w:after="40" w:line="220" w:lineRule="exact"/>
              <w:ind w:left="113" w:right="0"/>
              <w:jc w:val="right"/>
              <w:rPr>
                <w:sz w:val="18"/>
                <w:lang w:val="es-VE"/>
              </w:rPr>
            </w:pPr>
            <w:r w:rsidRPr="00C42365">
              <w:rPr>
                <w:sz w:val="18"/>
                <w:lang w:val="es-VE"/>
              </w:rPr>
              <w:t>7</w:t>
            </w:r>
          </w:p>
        </w:tc>
      </w:tr>
      <w:tr w:rsidR="00C42365" w:rsidRPr="00C42365" w14:paraId="2FB575E0" w14:textId="77777777" w:rsidTr="00054D51">
        <w:trPr>
          <w:trHeight w:val="240"/>
        </w:trPr>
        <w:tc>
          <w:tcPr>
            <w:tcW w:w="721" w:type="dxa"/>
            <w:tcBorders>
              <w:bottom w:val="single" w:sz="4" w:space="0" w:color="auto"/>
            </w:tcBorders>
            <w:shd w:val="clear" w:color="auto" w:fill="auto"/>
          </w:tcPr>
          <w:p w14:paraId="3F3976EE" w14:textId="77777777" w:rsidR="001734EB" w:rsidRPr="00C42365" w:rsidRDefault="001734EB" w:rsidP="004E5744">
            <w:pPr>
              <w:pStyle w:val="SingleTxtG"/>
              <w:spacing w:before="40" w:after="40" w:line="220" w:lineRule="exact"/>
              <w:ind w:left="0" w:right="0"/>
              <w:jc w:val="left"/>
              <w:rPr>
                <w:sz w:val="18"/>
                <w:lang w:val="es-VE"/>
              </w:rPr>
            </w:pPr>
            <w:r w:rsidRPr="00C42365">
              <w:rPr>
                <w:sz w:val="18"/>
                <w:lang w:val="es-VE"/>
              </w:rPr>
              <w:t>2019</w:t>
            </w:r>
          </w:p>
        </w:tc>
        <w:tc>
          <w:tcPr>
            <w:tcW w:w="329" w:type="dxa"/>
            <w:tcBorders>
              <w:bottom w:val="single" w:sz="4" w:space="0" w:color="auto"/>
            </w:tcBorders>
            <w:shd w:val="clear" w:color="auto" w:fill="auto"/>
            <w:vAlign w:val="bottom"/>
          </w:tcPr>
          <w:p w14:paraId="1A9450FE" w14:textId="77777777" w:rsidR="001734EB" w:rsidRPr="00C42365" w:rsidRDefault="001734EB" w:rsidP="00054D51">
            <w:pPr>
              <w:pStyle w:val="SingleTxtG"/>
              <w:spacing w:before="40" w:after="40" w:line="220" w:lineRule="exact"/>
              <w:ind w:left="113" w:right="0"/>
              <w:jc w:val="right"/>
              <w:rPr>
                <w:sz w:val="18"/>
                <w:lang w:val="es-VE"/>
              </w:rPr>
            </w:pPr>
          </w:p>
        </w:tc>
        <w:tc>
          <w:tcPr>
            <w:tcW w:w="329" w:type="dxa"/>
            <w:tcBorders>
              <w:bottom w:val="single" w:sz="4" w:space="0" w:color="auto"/>
            </w:tcBorders>
            <w:shd w:val="clear" w:color="auto" w:fill="auto"/>
            <w:vAlign w:val="bottom"/>
          </w:tcPr>
          <w:p w14:paraId="46F3F385" w14:textId="77777777" w:rsidR="001734EB" w:rsidRPr="00C42365" w:rsidRDefault="001734EB" w:rsidP="00054D51">
            <w:pPr>
              <w:pStyle w:val="SingleTxtG"/>
              <w:spacing w:before="40" w:after="40" w:line="220" w:lineRule="exact"/>
              <w:ind w:left="113" w:right="0"/>
              <w:jc w:val="right"/>
              <w:rPr>
                <w:sz w:val="18"/>
                <w:lang w:val="es-VE"/>
              </w:rPr>
            </w:pPr>
          </w:p>
        </w:tc>
        <w:tc>
          <w:tcPr>
            <w:tcW w:w="329" w:type="dxa"/>
            <w:tcBorders>
              <w:bottom w:val="single" w:sz="4" w:space="0" w:color="auto"/>
            </w:tcBorders>
            <w:shd w:val="clear" w:color="auto" w:fill="auto"/>
            <w:vAlign w:val="bottom"/>
          </w:tcPr>
          <w:p w14:paraId="17D20797" w14:textId="77777777" w:rsidR="001734EB" w:rsidRPr="00C42365" w:rsidRDefault="001734EB" w:rsidP="00054D51">
            <w:pPr>
              <w:pStyle w:val="SingleTxtG"/>
              <w:spacing w:before="40" w:after="40" w:line="220" w:lineRule="exact"/>
              <w:ind w:left="113" w:right="0"/>
              <w:jc w:val="right"/>
              <w:rPr>
                <w:sz w:val="18"/>
                <w:lang w:val="es-VE"/>
              </w:rPr>
            </w:pPr>
          </w:p>
        </w:tc>
        <w:tc>
          <w:tcPr>
            <w:tcW w:w="329" w:type="dxa"/>
            <w:tcBorders>
              <w:bottom w:val="single" w:sz="4" w:space="0" w:color="auto"/>
            </w:tcBorders>
            <w:shd w:val="clear" w:color="auto" w:fill="auto"/>
            <w:vAlign w:val="bottom"/>
          </w:tcPr>
          <w:p w14:paraId="6F79F043" w14:textId="77777777" w:rsidR="001734EB" w:rsidRPr="00C42365" w:rsidRDefault="001734EB" w:rsidP="00054D51">
            <w:pPr>
              <w:pStyle w:val="SingleTxtG"/>
              <w:spacing w:before="40" w:after="40" w:line="220" w:lineRule="exact"/>
              <w:ind w:left="113" w:right="0"/>
              <w:jc w:val="right"/>
              <w:rPr>
                <w:sz w:val="18"/>
                <w:lang w:val="es-VE"/>
              </w:rPr>
            </w:pPr>
          </w:p>
        </w:tc>
        <w:tc>
          <w:tcPr>
            <w:tcW w:w="330" w:type="dxa"/>
            <w:tcBorders>
              <w:bottom w:val="single" w:sz="4" w:space="0" w:color="auto"/>
            </w:tcBorders>
            <w:shd w:val="clear" w:color="auto" w:fill="auto"/>
            <w:vAlign w:val="bottom"/>
          </w:tcPr>
          <w:p w14:paraId="34033453" w14:textId="77777777" w:rsidR="001734EB" w:rsidRPr="00C42365" w:rsidRDefault="001734EB" w:rsidP="00054D51">
            <w:pPr>
              <w:pStyle w:val="SingleTxtG"/>
              <w:spacing w:before="40" w:after="40" w:line="220" w:lineRule="exact"/>
              <w:ind w:left="113" w:right="0"/>
              <w:jc w:val="right"/>
              <w:rPr>
                <w:sz w:val="18"/>
                <w:lang w:val="es-VE"/>
              </w:rPr>
            </w:pPr>
          </w:p>
        </w:tc>
        <w:tc>
          <w:tcPr>
            <w:tcW w:w="330" w:type="dxa"/>
            <w:tcBorders>
              <w:bottom w:val="single" w:sz="4" w:space="0" w:color="auto"/>
            </w:tcBorders>
            <w:shd w:val="clear" w:color="auto" w:fill="auto"/>
            <w:vAlign w:val="bottom"/>
          </w:tcPr>
          <w:p w14:paraId="79FB22E6" w14:textId="77777777" w:rsidR="001734EB" w:rsidRPr="00C42365" w:rsidRDefault="001734EB" w:rsidP="00054D51">
            <w:pPr>
              <w:pStyle w:val="SingleTxtG"/>
              <w:spacing w:before="40" w:after="40" w:line="220" w:lineRule="exact"/>
              <w:ind w:left="113" w:right="0"/>
              <w:jc w:val="right"/>
              <w:rPr>
                <w:sz w:val="18"/>
                <w:lang w:val="es-VE"/>
              </w:rPr>
            </w:pPr>
          </w:p>
        </w:tc>
        <w:tc>
          <w:tcPr>
            <w:tcW w:w="330" w:type="dxa"/>
            <w:tcBorders>
              <w:bottom w:val="single" w:sz="4" w:space="0" w:color="auto"/>
            </w:tcBorders>
            <w:shd w:val="clear" w:color="auto" w:fill="auto"/>
            <w:vAlign w:val="bottom"/>
          </w:tcPr>
          <w:p w14:paraId="3276CE16" w14:textId="77777777" w:rsidR="001734EB" w:rsidRPr="00C42365" w:rsidRDefault="001734EB" w:rsidP="00054D51">
            <w:pPr>
              <w:pStyle w:val="SingleTxtG"/>
              <w:spacing w:before="40" w:after="40" w:line="220" w:lineRule="exact"/>
              <w:ind w:left="113" w:right="0"/>
              <w:jc w:val="right"/>
              <w:rPr>
                <w:sz w:val="18"/>
                <w:lang w:val="es-VE"/>
              </w:rPr>
            </w:pPr>
          </w:p>
        </w:tc>
        <w:tc>
          <w:tcPr>
            <w:tcW w:w="330" w:type="dxa"/>
            <w:tcBorders>
              <w:bottom w:val="single" w:sz="4" w:space="0" w:color="auto"/>
            </w:tcBorders>
            <w:shd w:val="clear" w:color="auto" w:fill="auto"/>
            <w:vAlign w:val="bottom"/>
          </w:tcPr>
          <w:p w14:paraId="12CCF7A3" w14:textId="77777777" w:rsidR="001734EB" w:rsidRPr="00C42365" w:rsidRDefault="001734EB" w:rsidP="00054D51">
            <w:pPr>
              <w:pStyle w:val="SingleTxtG"/>
              <w:spacing w:before="40" w:after="40" w:line="220" w:lineRule="exact"/>
              <w:ind w:left="113" w:right="0"/>
              <w:jc w:val="right"/>
              <w:rPr>
                <w:sz w:val="18"/>
                <w:lang w:val="es-VE"/>
              </w:rPr>
            </w:pPr>
          </w:p>
        </w:tc>
        <w:tc>
          <w:tcPr>
            <w:tcW w:w="330" w:type="dxa"/>
            <w:tcBorders>
              <w:bottom w:val="single" w:sz="4" w:space="0" w:color="auto"/>
            </w:tcBorders>
            <w:shd w:val="clear" w:color="auto" w:fill="auto"/>
            <w:vAlign w:val="bottom"/>
          </w:tcPr>
          <w:p w14:paraId="5C44F34B" w14:textId="77777777" w:rsidR="001734EB" w:rsidRPr="00C42365" w:rsidRDefault="001734EB" w:rsidP="00054D51">
            <w:pPr>
              <w:pStyle w:val="SingleTxtG"/>
              <w:spacing w:before="40" w:after="40" w:line="220" w:lineRule="exact"/>
              <w:ind w:left="113" w:right="0"/>
              <w:jc w:val="right"/>
              <w:rPr>
                <w:sz w:val="18"/>
                <w:lang w:val="es-VE"/>
              </w:rPr>
            </w:pPr>
          </w:p>
        </w:tc>
        <w:tc>
          <w:tcPr>
            <w:tcW w:w="330" w:type="dxa"/>
            <w:tcBorders>
              <w:bottom w:val="single" w:sz="4" w:space="0" w:color="auto"/>
            </w:tcBorders>
            <w:shd w:val="clear" w:color="auto" w:fill="auto"/>
            <w:vAlign w:val="bottom"/>
          </w:tcPr>
          <w:p w14:paraId="5C365E3C" w14:textId="77777777" w:rsidR="001734EB" w:rsidRPr="00C42365" w:rsidRDefault="001734EB" w:rsidP="00054D51">
            <w:pPr>
              <w:pStyle w:val="SingleTxtG"/>
              <w:spacing w:before="40" w:after="40" w:line="220" w:lineRule="exact"/>
              <w:ind w:left="113" w:right="0"/>
              <w:jc w:val="right"/>
              <w:rPr>
                <w:sz w:val="18"/>
                <w:lang w:val="es-VE"/>
              </w:rPr>
            </w:pPr>
            <w:r w:rsidRPr="00C42365">
              <w:rPr>
                <w:sz w:val="18"/>
                <w:lang w:val="es-VE"/>
              </w:rPr>
              <w:t>1</w:t>
            </w:r>
          </w:p>
        </w:tc>
        <w:tc>
          <w:tcPr>
            <w:tcW w:w="330" w:type="dxa"/>
            <w:tcBorders>
              <w:bottom w:val="single" w:sz="4" w:space="0" w:color="auto"/>
            </w:tcBorders>
            <w:shd w:val="clear" w:color="auto" w:fill="auto"/>
            <w:vAlign w:val="bottom"/>
          </w:tcPr>
          <w:p w14:paraId="2CCA0368" w14:textId="77777777" w:rsidR="001734EB" w:rsidRPr="00C42365" w:rsidRDefault="001734EB" w:rsidP="00054D51">
            <w:pPr>
              <w:pStyle w:val="SingleTxtG"/>
              <w:spacing w:before="40" w:after="40" w:line="220" w:lineRule="exact"/>
              <w:ind w:left="113" w:right="0"/>
              <w:jc w:val="right"/>
              <w:rPr>
                <w:sz w:val="18"/>
                <w:lang w:val="es-VE"/>
              </w:rPr>
            </w:pPr>
            <w:r w:rsidRPr="00C42365">
              <w:rPr>
                <w:sz w:val="18"/>
                <w:lang w:val="es-VE"/>
              </w:rPr>
              <w:t>2</w:t>
            </w:r>
          </w:p>
        </w:tc>
        <w:tc>
          <w:tcPr>
            <w:tcW w:w="330" w:type="dxa"/>
            <w:tcBorders>
              <w:bottom w:val="single" w:sz="4" w:space="0" w:color="auto"/>
            </w:tcBorders>
            <w:shd w:val="clear" w:color="auto" w:fill="auto"/>
            <w:vAlign w:val="bottom"/>
          </w:tcPr>
          <w:p w14:paraId="5CF17DED" w14:textId="77777777" w:rsidR="001734EB" w:rsidRPr="00C42365" w:rsidRDefault="001734EB" w:rsidP="00054D51">
            <w:pPr>
              <w:pStyle w:val="SingleTxtG"/>
              <w:spacing w:before="40" w:after="40" w:line="220" w:lineRule="exact"/>
              <w:ind w:left="113" w:right="0"/>
              <w:jc w:val="right"/>
              <w:rPr>
                <w:sz w:val="18"/>
                <w:lang w:val="es-VE"/>
              </w:rPr>
            </w:pPr>
          </w:p>
        </w:tc>
        <w:tc>
          <w:tcPr>
            <w:tcW w:w="330" w:type="dxa"/>
            <w:tcBorders>
              <w:bottom w:val="single" w:sz="4" w:space="0" w:color="auto"/>
            </w:tcBorders>
            <w:shd w:val="clear" w:color="auto" w:fill="auto"/>
            <w:vAlign w:val="bottom"/>
          </w:tcPr>
          <w:p w14:paraId="3778E270" w14:textId="77777777" w:rsidR="001734EB" w:rsidRPr="00C42365" w:rsidRDefault="001734EB" w:rsidP="00054D51">
            <w:pPr>
              <w:pStyle w:val="SingleTxtG"/>
              <w:spacing w:before="40" w:after="40" w:line="220" w:lineRule="exact"/>
              <w:ind w:left="113" w:right="0"/>
              <w:jc w:val="right"/>
              <w:rPr>
                <w:sz w:val="18"/>
                <w:lang w:val="es-VE"/>
              </w:rPr>
            </w:pPr>
          </w:p>
        </w:tc>
        <w:tc>
          <w:tcPr>
            <w:tcW w:w="330" w:type="dxa"/>
            <w:tcBorders>
              <w:bottom w:val="single" w:sz="4" w:space="0" w:color="auto"/>
            </w:tcBorders>
            <w:shd w:val="clear" w:color="auto" w:fill="auto"/>
            <w:vAlign w:val="bottom"/>
          </w:tcPr>
          <w:p w14:paraId="3393A766" w14:textId="77777777" w:rsidR="001734EB" w:rsidRPr="00C42365" w:rsidRDefault="001734EB" w:rsidP="00054D51">
            <w:pPr>
              <w:pStyle w:val="SingleTxtG"/>
              <w:spacing w:before="40" w:after="40" w:line="220" w:lineRule="exact"/>
              <w:ind w:left="113" w:right="0"/>
              <w:jc w:val="right"/>
              <w:rPr>
                <w:sz w:val="18"/>
                <w:lang w:val="es-VE"/>
              </w:rPr>
            </w:pPr>
          </w:p>
        </w:tc>
        <w:tc>
          <w:tcPr>
            <w:tcW w:w="330" w:type="dxa"/>
            <w:tcBorders>
              <w:bottom w:val="single" w:sz="4" w:space="0" w:color="auto"/>
            </w:tcBorders>
            <w:shd w:val="clear" w:color="auto" w:fill="auto"/>
            <w:vAlign w:val="bottom"/>
          </w:tcPr>
          <w:p w14:paraId="4289BD2F" w14:textId="77777777" w:rsidR="001734EB" w:rsidRPr="00C42365" w:rsidRDefault="001734EB" w:rsidP="00054D51">
            <w:pPr>
              <w:pStyle w:val="SingleTxtG"/>
              <w:spacing w:before="40" w:after="40" w:line="220" w:lineRule="exact"/>
              <w:ind w:left="113" w:right="0"/>
              <w:jc w:val="right"/>
              <w:rPr>
                <w:sz w:val="18"/>
                <w:lang w:val="es-VE"/>
              </w:rPr>
            </w:pPr>
          </w:p>
        </w:tc>
        <w:tc>
          <w:tcPr>
            <w:tcW w:w="330" w:type="dxa"/>
            <w:tcBorders>
              <w:bottom w:val="single" w:sz="4" w:space="0" w:color="auto"/>
            </w:tcBorders>
            <w:shd w:val="clear" w:color="auto" w:fill="auto"/>
            <w:vAlign w:val="bottom"/>
          </w:tcPr>
          <w:p w14:paraId="392B98B4" w14:textId="77777777" w:rsidR="001734EB" w:rsidRPr="00C42365" w:rsidRDefault="001734EB" w:rsidP="00054D51">
            <w:pPr>
              <w:pStyle w:val="SingleTxtG"/>
              <w:spacing w:before="40" w:after="40" w:line="220" w:lineRule="exact"/>
              <w:ind w:left="113" w:right="0"/>
              <w:jc w:val="right"/>
              <w:rPr>
                <w:sz w:val="18"/>
                <w:lang w:val="es-VE"/>
              </w:rPr>
            </w:pPr>
          </w:p>
        </w:tc>
        <w:tc>
          <w:tcPr>
            <w:tcW w:w="330" w:type="dxa"/>
            <w:tcBorders>
              <w:bottom w:val="single" w:sz="4" w:space="0" w:color="auto"/>
            </w:tcBorders>
            <w:shd w:val="clear" w:color="auto" w:fill="auto"/>
            <w:vAlign w:val="bottom"/>
          </w:tcPr>
          <w:p w14:paraId="588E090E" w14:textId="77777777" w:rsidR="001734EB" w:rsidRPr="00C42365" w:rsidRDefault="001734EB" w:rsidP="00054D51">
            <w:pPr>
              <w:pStyle w:val="SingleTxtG"/>
              <w:spacing w:before="40" w:after="40" w:line="220" w:lineRule="exact"/>
              <w:ind w:left="113" w:right="0"/>
              <w:jc w:val="right"/>
              <w:rPr>
                <w:sz w:val="18"/>
                <w:lang w:val="es-VE"/>
              </w:rPr>
            </w:pPr>
            <w:r w:rsidRPr="00C42365">
              <w:rPr>
                <w:sz w:val="18"/>
                <w:lang w:val="es-VE"/>
              </w:rPr>
              <w:t>2</w:t>
            </w:r>
          </w:p>
        </w:tc>
        <w:tc>
          <w:tcPr>
            <w:tcW w:w="330" w:type="dxa"/>
            <w:tcBorders>
              <w:bottom w:val="single" w:sz="4" w:space="0" w:color="auto"/>
            </w:tcBorders>
            <w:shd w:val="clear" w:color="auto" w:fill="auto"/>
            <w:vAlign w:val="bottom"/>
          </w:tcPr>
          <w:p w14:paraId="5BFE4BDB" w14:textId="77777777" w:rsidR="001734EB" w:rsidRPr="00C42365" w:rsidRDefault="001734EB" w:rsidP="00054D51">
            <w:pPr>
              <w:pStyle w:val="SingleTxtG"/>
              <w:spacing w:before="40" w:after="40" w:line="220" w:lineRule="exact"/>
              <w:ind w:left="113" w:right="0"/>
              <w:jc w:val="right"/>
              <w:rPr>
                <w:sz w:val="18"/>
                <w:lang w:val="es-VE"/>
              </w:rPr>
            </w:pPr>
            <w:r w:rsidRPr="00C42365">
              <w:rPr>
                <w:sz w:val="18"/>
                <w:lang w:val="es-VE"/>
              </w:rPr>
              <w:t>1</w:t>
            </w:r>
          </w:p>
        </w:tc>
        <w:tc>
          <w:tcPr>
            <w:tcW w:w="714" w:type="dxa"/>
            <w:tcBorders>
              <w:bottom w:val="single" w:sz="4" w:space="0" w:color="auto"/>
            </w:tcBorders>
            <w:shd w:val="clear" w:color="auto" w:fill="auto"/>
            <w:vAlign w:val="bottom"/>
          </w:tcPr>
          <w:p w14:paraId="45B0EE5E" w14:textId="77777777" w:rsidR="001734EB" w:rsidRPr="00C42365" w:rsidRDefault="001734EB" w:rsidP="00054D51">
            <w:pPr>
              <w:pStyle w:val="SingleTxtG"/>
              <w:spacing w:before="40" w:after="40" w:line="220" w:lineRule="exact"/>
              <w:ind w:left="113" w:right="0"/>
              <w:jc w:val="right"/>
              <w:rPr>
                <w:sz w:val="18"/>
                <w:lang w:val="es-VE"/>
              </w:rPr>
            </w:pPr>
            <w:r w:rsidRPr="00C42365">
              <w:rPr>
                <w:sz w:val="18"/>
                <w:lang w:val="es-VE"/>
              </w:rPr>
              <w:t>3</w:t>
            </w:r>
          </w:p>
        </w:tc>
      </w:tr>
      <w:tr w:rsidR="00C42365" w:rsidRPr="00C42365" w14:paraId="68E788F9" w14:textId="77777777" w:rsidTr="00054D51">
        <w:trPr>
          <w:trHeight w:val="240"/>
        </w:trPr>
        <w:tc>
          <w:tcPr>
            <w:tcW w:w="721" w:type="dxa"/>
            <w:tcBorders>
              <w:top w:val="single" w:sz="4" w:space="0" w:color="auto"/>
              <w:bottom w:val="single" w:sz="12" w:space="0" w:color="auto"/>
            </w:tcBorders>
            <w:shd w:val="clear" w:color="auto" w:fill="auto"/>
          </w:tcPr>
          <w:p w14:paraId="5F77D12A" w14:textId="77777777" w:rsidR="001734EB" w:rsidRPr="004E5744" w:rsidRDefault="00C42365" w:rsidP="00054D51">
            <w:pPr>
              <w:pStyle w:val="SingleTxtG"/>
              <w:spacing w:before="80" w:after="80" w:line="220" w:lineRule="exact"/>
              <w:ind w:left="283" w:right="0"/>
              <w:jc w:val="left"/>
              <w:rPr>
                <w:b/>
                <w:sz w:val="18"/>
                <w:lang w:val="es-VE"/>
              </w:rPr>
            </w:pPr>
            <w:r w:rsidRPr="00054D51">
              <w:rPr>
                <w:b/>
                <w:sz w:val="18"/>
                <w:lang w:val="es-VE"/>
              </w:rPr>
              <w:t>Total</w:t>
            </w:r>
          </w:p>
        </w:tc>
        <w:tc>
          <w:tcPr>
            <w:tcW w:w="329" w:type="dxa"/>
            <w:tcBorders>
              <w:top w:val="single" w:sz="4" w:space="0" w:color="auto"/>
              <w:bottom w:val="single" w:sz="12" w:space="0" w:color="auto"/>
            </w:tcBorders>
            <w:shd w:val="clear" w:color="auto" w:fill="auto"/>
            <w:vAlign w:val="bottom"/>
          </w:tcPr>
          <w:p w14:paraId="12A01A58" w14:textId="77777777" w:rsidR="001734EB" w:rsidRPr="004E5744" w:rsidRDefault="001734EB" w:rsidP="00054D51">
            <w:pPr>
              <w:pStyle w:val="SingleTxtG"/>
              <w:spacing w:before="80" w:after="80" w:line="220" w:lineRule="exact"/>
              <w:ind w:left="0" w:right="0"/>
              <w:jc w:val="right"/>
              <w:rPr>
                <w:b/>
                <w:sz w:val="18"/>
                <w:lang w:val="es-VE"/>
              </w:rPr>
            </w:pPr>
          </w:p>
        </w:tc>
        <w:tc>
          <w:tcPr>
            <w:tcW w:w="329" w:type="dxa"/>
            <w:tcBorders>
              <w:top w:val="single" w:sz="4" w:space="0" w:color="auto"/>
              <w:bottom w:val="single" w:sz="12" w:space="0" w:color="auto"/>
            </w:tcBorders>
            <w:shd w:val="clear" w:color="auto" w:fill="auto"/>
            <w:vAlign w:val="bottom"/>
          </w:tcPr>
          <w:p w14:paraId="231F4C88" w14:textId="77777777" w:rsidR="001734EB" w:rsidRPr="00C42365" w:rsidRDefault="001734EB" w:rsidP="00054D51">
            <w:pPr>
              <w:pStyle w:val="SingleTxtG"/>
              <w:spacing w:before="80" w:after="80" w:line="220" w:lineRule="exact"/>
              <w:ind w:left="0" w:right="0"/>
              <w:jc w:val="right"/>
              <w:rPr>
                <w:b/>
                <w:sz w:val="18"/>
                <w:lang w:val="es-VE"/>
              </w:rPr>
            </w:pPr>
          </w:p>
        </w:tc>
        <w:tc>
          <w:tcPr>
            <w:tcW w:w="329" w:type="dxa"/>
            <w:tcBorders>
              <w:top w:val="single" w:sz="4" w:space="0" w:color="auto"/>
              <w:bottom w:val="single" w:sz="12" w:space="0" w:color="auto"/>
            </w:tcBorders>
            <w:shd w:val="clear" w:color="auto" w:fill="auto"/>
            <w:vAlign w:val="bottom"/>
          </w:tcPr>
          <w:p w14:paraId="02C7B77B" w14:textId="77777777" w:rsidR="001734EB" w:rsidRPr="00C42365" w:rsidRDefault="001734EB" w:rsidP="00054D51">
            <w:pPr>
              <w:pStyle w:val="SingleTxtG"/>
              <w:spacing w:before="80" w:after="80" w:line="220" w:lineRule="exact"/>
              <w:ind w:left="0" w:right="0"/>
              <w:jc w:val="right"/>
              <w:rPr>
                <w:b/>
                <w:sz w:val="18"/>
                <w:lang w:val="es-VE"/>
              </w:rPr>
            </w:pPr>
            <w:r w:rsidRPr="00C42365">
              <w:rPr>
                <w:b/>
                <w:sz w:val="18"/>
                <w:lang w:val="es-VE"/>
              </w:rPr>
              <w:t>2</w:t>
            </w:r>
          </w:p>
        </w:tc>
        <w:tc>
          <w:tcPr>
            <w:tcW w:w="329" w:type="dxa"/>
            <w:tcBorders>
              <w:top w:val="single" w:sz="4" w:space="0" w:color="auto"/>
              <w:bottom w:val="single" w:sz="12" w:space="0" w:color="auto"/>
            </w:tcBorders>
            <w:shd w:val="clear" w:color="auto" w:fill="auto"/>
            <w:vAlign w:val="bottom"/>
          </w:tcPr>
          <w:p w14:paraId="42D69465" w14:textId="77777777" w:rsidR="001734EB" w:rsidRPr="00C42365" w:rsidRDefault="001734EB" w:rsidP="00054D51">
            <w:pPr>
              <w:pStyle w:val="SingleTxtG"/>
              <w:spacing w:before="80" w:after="80" w:line="220" w:lineRule="exact"/>
              <w:ind w:left="0" w:right="0"/>
              <w:jc w:val="right"/>
              <w:rPr>
                <w:b/>
                <w:sz w:val="18"/>
                <w:lang w:val="es-VE"/>
              </w:rPr>
            </w:pPr>
          </w:p>
        </w:tc>
        <w:tc>
          <w:tcPr>
            <w:tcW w:w="330" w:type="dxa"/>
            <w:tcBorders>
              <w:top w:val="single" w:sz="4" w:space="0" w:color="auto"/>
              <w:bottom w:val="single" w:sz="12" w:space="0" w:color="auto"/>
            </w:tcBorders>
            <w:shd w:val="clear" w:color="auto" w:fill="auto"/>
            <w:vAlign w:val="bottom"/>
          </w:tcPr>
          <w:p w14:paraId="3D07AEB3" w14:textId="77777777" w:rsidR="001734EB" w:rsidRPr="00C42365" w:rsidRDefault="001734EB" w:rsidP="00054D51">
            <w:pPr>
              <w:pStyle w:val="SingleTxtG"/>
              <w:spacing w:before="80" w:after="80" w:line="220" w:lineRule="exact"/>
              <w:ind w:left="0" w:right="0"/>
              <w:jc w:val="right"/>
              <w:rPr>
                <w:b/>
                <w:sz w:val="18"/>
                <w:lang w:val="es-VE"/>
              </w:rPr>
            </w:pPr>
            <w:r w:rsidRPr="00C42365">
              <w:rPr>
                <w:b/>
                <w:sz w:val="18"/>
                <w:lang w:val="es-VE"/>
              </w:rPr>
              <w:t>7</w:t>
            </w:r>
          </w:p>
        </w:tc>
        <w:tc>
          <w:tcPr>
            <w:tcW w:w="330" w:type="dxa"/>
            <w:tcBorders>
              <w:top w:val="single" w:sz="4" w:space="0" w:color="auto"/>
              <w:bottom w:val="single" w:sz="12" w:space="0" w:color="auto"/>
            </w:tcBorders>
            <w:shd w:val="clear" w:color="auto" w:fill="auto"/>
            <w:vAlign w:val="bottom"/>
          </w:tcPr>
          <w:p w14:paraId="6AC5E8DC" w14:textId="77777777" w:rsidR="001734EB" w:rsidRPr="00C42365" w:rsidRDefault="001734EB" w:rsidP="00054D51">
            <w:pPr>
              <w:pStyle w:val="SingleTxtG"/>
              <w:spacing w:before="80" w:after="80" w:line="220" w:lineRule="exact"/>
              <w:ind w:left="0" w:right="0"/>
              <w:jc w:val="right"/>
              <w:rPr>
                <w:b/>
                <w:sz w:val="18"/>
                <w:lang w:val="es-VE"/>
              </w:rPr>
            </w:pPr>
            <w:r w:rsidRPr="00C42365">
              <w:rPr>
                <w:b/>
                <w:sz w:val="18"/>
                <w:lang w:val="es-VE"/>
              </w:rPr>
              <w:t>2</w:t>
            </w:r>
          </w:p>
        </w:tc>
        <w:tc>
          <w:tcPr>
            <w:tcW w:w="330" w:type="dxa"/>
            <w:tcBorders>
              <w:top w:val="single" w:sz="4" w:space="0" w:color="auto"/>
              <w:bottom w:val="single" w:sz="12" w:space="0" w:color="auto"/>
            </w:tcBorders>
            <w:shd w:val="clear" w:color="auto" w:fill="auto"/>
            <w:vAlign w:val="bottom"/>
          </w:tcPr>
          <w:p w14:paraId="458325F9" w14:textId="77777777" w:rsidR="001734EB" w:rsidRPr="00C42365" w:rsidRDefault="001734EB" w:rsidP="00054D51">
            <w:pPr>
              <w:pStyle w:val="SingleTxtG"/>
              <w:spacing w:before="80" w:after="80" w:line="220" w:lineRule="exact"/>
              <w:ind w:left="0" w:right="0"/>
              <w:jc w:val="right"/>
              <w:rPr>
                <w:b/>
                <w:sz w:val="18"/>
                <w:lang w:val="es-VE"/>
              </w:rPr>
            </w:pPr>
            <w:r w:rsidRPr="00C42365">
              <w:rPr>
                <w:b/>
                <w:sz w:val="18"/>
                <w:lang w:val="es-VE"/>
              </w:rPr>
              <w:t>5</w:t>
            </w:r>
          </w:p>
        </w:tc>
        <w:tc>
          <w:tcPr>
            <w:tcW w:w="330" w:type="dxa"/>
            <w:tcBorders>
              <w:top w:val="single" w:sz="4" w:space="0" w:color="auto"/>
              <w:bottom w:val="single" w:sz="12" w:space="0" w:color="auto"/>
            </w:tcBorders>
            <w:shd w:val="clear" w:color="auto" w:fill="auto"/>
            <w:vAlign w:val="bottom"/>
          </w:tcPr>
          <w:p w14:paraId="5354AA95" w14:textId="77777777" w:rsidR="001734EB" w:rsidRPr="00C42365" w:rsidRDefault="001734EB" w:rsidP="00054D51">
            <w:pPr>
              <w:pStyle w:val="SingleTxtG"/>
              <w:spacing w:before="80" w:after="80" w:line="220" w:lineRule="exact"/>
              <w:ind w:left="0" w:right="0"/>
              <w:jc w:val="right"/>
              <w:rPr>
                <w:b/>
                <w:sz w:val="18"/>
                <w:lang w:val="es-VE"/>
              </w:rPr>
            </w:pPr>
            <w:r w:rsidRPr="00C42365">
              <w:rPr>
                <w:b/>
                <w:sz w:val="18"/>
                <w:lang w:val="es-VE"/>
              </w:rPr>
              <w:t>3</w:t>
            </w:r>
          </w:p>
        </w:tc>
        <w:tc>
          <w:tcPr>
            <w:tcW w:w="330" w:type="dxa"/>
            <w:tcBorders>
              <w:top w:val="single" w:sz="4" w:space="0" w:color="auto"/>
              <w:bottom w:val="single" w:sz="12" w:space="0" w:color="auto"/>
            </w:tcBorders>
            <w:shd w:val="clear" w:color="auto" w:fill="auto"/>
            <w:vAlign w:val="bottom"/>
          </w:tcPr>
          <w:p w14:paraId="7220E9E5" w14:textId="77777777" w:rsidR="001734EB" w:rsidRPr="00C42365" w:rsidRDefault="001734EB" w:rsidP="00054D51">
            <w:pPr>
              <w:pStyle w:val="SingleTxtG"/>
              <w:spacing w:before="80" w:after="80" w:line="220" w:lineRule="exact"/>
              <w:ind w:left="0" w:right="0"/>
              <w:jc w:val="right"/>
              <w:rPr>
                <w:b/>
                <w:sz w:val="18"/>
                <w:lang w:val="es-VE"/>
              </w:rPr>
            </w:pPr>
            <w:r w:rsidRPr="00C42365">
              <w:rPr>
                <w:b/>
                <w:sz w:val="18"/>
                <w:lang w:val="es-VE"/>
              </w:rPr>
              <w:t>5</w:t>
            </w:r>
          </w:p>
        </w:tc>
        <w:tc>
          <w:tcPr>
            <w:tcW w:w="330" w:type="dxa"/>
            <w:tcBorders>
              <w:top w:val="single" w:sz="4" w:space="0" w:color="auto"/>
              <w:bottom w:val="single" w:sz="12" w:space="0" w:color="auto"/>
            </w:tcBorders>
            <w:shd w:val="clear" w:color="auto" w:fill="auto"/>
            <w:vAlign w:val="bottom"/>
          </w:tcPr>
          <w:p w14:paraId="73B9F93D" w14:textId="77777777" w:rsidR="001734EB" w:rsidRPr="00C42365" w:rsidRDefault="001734EB" w:rsidP="00054D51">
            <w:pPr>
              <w:pStyle w:val="SingleTxtG"/>
              <w:spacing w:before="80" w:after="80" w:line="220" w:lineRule="exact"/>
              <w:ind w:left="0" w:right="0"/>
              <w:jc w:val="right"/>
              <w:rPr>
                <w:b/>
                <w:sz w:val="18"/>
                <w:lang w:val="es-VE"/>
              </w:rPr>
            </w:pPr>
            <w:r w:rsidRPr="00C42365">
              <w:rPr>
                <w:b/>
                <w:sz w:val="18"/>
                <w:lang w:val="es-VE"/>
              </w:rPr>
              <w:t>6</w:t>
            </w:r>
          </w:p>
        </w:tc>
        <w:tc>
          <w:tcPr>
            <w:tcW w:w="330" w:type="dxa"/>
            <w:tcBorders>
              <w:top w:val="single" w:sz="4" w:space="0" w:color="auto"/>
              <w:bottom w:val="single" w:sz="12" w:space="0" w:color="auto"/>
            </w:tcBorders>
            <w:shd w:val="clear" w:color="auto" w:fill="auto"/>
            <w:vAlign w:val="bottom"/>
          </w:tcPr>
          <w:p w14:paraId="409B8D86" w14:textId="77777777" w:rsidR="001734EB" w:rsidRPr="00C42365" w:rsidRDefault="001734EB" w:rsidP="00054D51">
            <w:pPr>
              <w:pStyle w:val="SingleTxtG"/>
              <w:spacing w:before="80" w:after="80" w:line="220" w:lineRule="exact"/>
              <w:ind w:left="0" w:right="0"/>
              <w:jc w:val="right"/>
              <w:rPr>
                <w:b/>
                <w:sz w:val="18"/>
                <w:lang w:val="es-VE"/>
              </w:rPr>
            </w:pPr>
            <w:r w:rsidRPr="00C42365">
              <w:rPr>
                <w:b/>
                <w:sz w:val="18"/>
                <w:lang w:val="es-VE"/>
              </w:rPr>
              <w:t>8</w:t>
            </w:r>
          </w:p>
        </w:tc>
        <w:tc>
          <w:tcPr>
            <w:tcW w:w="330" w:type="dxa"/>
            <w:tcBorders>
              <w:top w:val="single" w:sz="4" w:space="0" w:color="auto"/>
              <w:bottom w:val="single" w:sz="12" w:space="0" w:color="auto"/>
            </w:tcBorders>
            <w:shd w:val="clear" w:color="auto" w:fill="auto"/>
            <w:vAlign w:val="bottom"/>
          </w:tcPr>
          <w:p w14:paraId="2A912AF8" w14:textId="77777777" w:rsidR="001734EB" w:rsidRPr="00C42365" w:rsidRDefault="001734EB" w:rsidP="00054D51">
            <w:pPr>
              <w:pStyle w:val="SingleTxtG"/>
              <w:spacing w:before="80" w:after="80" w:line="220" w:lineRule="exact"/>
              <w:ind w:left="0" w:right="0"/>
              <w:jc w:val="right"/>
              <w:rPr>
                <w:b/>
                <w:sz w:val="18"/>
                <w:lang w:val="es-VE"/>
              </w:rPr>
            </w:pPr>
            <w:r w:rsidRPr="00C42365">
              <w:rPr>
                <w:b/>
                <w:sz w:val="18"/>
                <w:lang w:val="es-VE"/>
              </w:rPr>
              <w:t>4</w:t>
            </w:r>
          </w:p>
        </w:tc>
        <w:tc>
          <w:tcPr>
            <w:tcW w:w="330" w:type="dxa"/>
            <w:tcBorders>
              <w:top w:val="single" w:sz="4" w:space="0" w:color="auto"/>
              <w:bottom w:val="single" w:sz="12" w:space="0" w:color="auto"/>
            </w:tcBorders>
            <w:shd w:val="clear" w:color="auto" w:fill="auto"/>
            <w:vAlign w:val="bottom"/>
          </w:tcPr>
          <w:p w14:paraId="1E2A250B" w14:textId="77777777" w:rsidR="001734EB" w:rsidRPr="00C42365" w:rsidRDefault="001734EB" w:rsidP="00054D51">
            <w:pPr>
              <w:pStyle w:val="SingleTxtG"/>
              <w:spacing w:before="80" w:after="80" w:line="220" w:lineRule="exact"/>
              <w:ind w:left="0" w:right="0"/>
              <w:jc w:val="right"/>
              <w:rPr>
                <w:b/>
                <w:sz w:val="18"/>
                <w:lang w:val="es-VE"/>
              </w:rPr>
            </w:pPr>
            <w:r w:rsidRPr="00C42365">
              <w:rPr>
                <w:b/>
                <w:sz w:val="18"/>
                <w:lang w:val="es-VE"/>
              </w:rPr>
              <w:t>5</w:t>
            </w:r>
          </w:p>
        </w:tc>
        <w:tc>
          <w:tcPr>
            <w:tcW w:w="330" w:type="dxa"/>
            <w:tcBorders>
              <w:top w:val="single" w:sz="4" w:space="0" w:color="auto"/>
              <w:bottom w:val="single" w:sz="12" w:space="0" w:color="auto"/>
            </w:tcBorders>
            <w:shd w:val="clear" w:color="auto" w:fill="auto"/>
            <w:vAlign w:val="bottom"/>
          </w:tcPr>
          <w:p w14:paraId="51DBCC45" w14:textId="77777777" w:rsidR="001734EB" w:rsidRPr="00C42365" w:rsidRDefault="001734EB" w:rsidP="00054D51">
            <w:pPr>
              <w:pStyle w:val="SingleTxtG"/>
              <w:spacing w:before="80" w:after="80" w:line="220" w:lineRule="exact"/>
              <w:ind w:left="0" w:right="0"/>
              <w:jc w:val="right"/>
              <w:rPr>
                <w:b/>
                <w:sz w:val="18"/>
                <w:lang w:val="es-VE"/>
              </w:rPr>
            </w:pPr>
            <w:r w:rsidRPr="00C42365">
              <w:rPr>
                <w:b/>
                <w:sz w:val="18"/>
                <w:lang w:val="es-VE"/>
              </w:rPr>
              <w:t>1</w:t>
            </w:r>
          </w:p>
        </w:tc>
        <w:tc>
          <w:tcPr>
            <w:tcW w:w="330" w:type="dxa"/>
            <w:tcBorders>
              <w:top w:val="single" w:sz="4" w:space="0" w:color="auto"/>
              <w:bottom w:val="single" w:sz="12" w:space="0" w:color="auto"/>
            </w:tcBorders>
            <w:shd w:val="clear" w:color="auto" w:fill="auto"/>
            <w:vAlign w:val="bottom"/>
          </w:tcPr>
          <w:p w14:paraId="78385286" w14:textId="77777777" w:rsidR="001734EB" w:rsidRPr="00C42365" w:rsidRDefault="001734EB" w:rsidP="00054D51">
            <w:pPr>
              <w:pStyle w:val="SingleTxtG"/>
              <w:spacing w:before="80" w:after="80" w:line="220" w:lineRule="exact"/>
              <w:ind w:left="0" w:right="0"/>
              <w:jc w:val="right"/>
              <w:rPr>
                <w:b/>
                <w:sz w:val="18"/>
                <w:lang w:val="es-VE"/>
              </w:rPr>
            </w:pPr>
            <w:r w:rsidRPr="00C42365">
              <w:rPr>
                <w:b/>
                <w:sz w:val="18"/>
                <w:lang w:val="es-VE"/>
              </w:rPr>
              <w:t>1</w:t>
            </w:r>
          </w:p>
        </w:tc>
        <w:tc>
          <w:tcPr>
            <w:tcW w:w="330" w:type="dxa"/>
            <w:tcBorders>
              <w:top w:val="single" w:sz="4" w:space="0" w:color="auto"/>
              <w:bottom w:val="single" w:sz="12" w:space="0" w:color="auto"/>
            </w:tcBorders>
            <w:shd w:val="clear" w:color="auto" w:fill="auto"/>
            <w:vAlign w:val="bottom"/>
          </w:tcPr>
          <w:p w14:paraId="23C2C841" w14:textId="77777777" w:rsidR="001734EB" w:rsidRPr="00C42365" w:rsidRDefault="001734EB" w:rsidP="00054D51">
            <w:pPr>
              <w:pStyle w:val="SingleTxtG"/>
              <w:spacing w:before="80" w:after="80" w:line="220" w:lineRule="exact"/>
              <w:ind w:left="0" w:right="0"/>
              <w:jc w:val="right"/>
              <w:rPr>
                <w:b/>
                <w:sz w:val="18"/>
                <w:lang w:val="es-VE"/>
              </w:rPr>
            </w:pPr>
          </w:p>
        </w:tc>
        <w:tc>
          <w:tcPr>
            <w:tcW w:w="330" w:type="dxa"/>
            <w:tcBorders>
              <w:top w:val="single" w:sz="4" w:space="0" w:color="auto"/>
              <w:bottom w:val="single" w:sz="12" w:space="0" w:color="auto"/>
            </w:tcBorders>
            <w:shd w:val="clear" w:color="auto" w:fill="auto"/>
            <w:vAlign w:val="bottom"/>
          </w:tcPr>
          <w:p w14:paraId="02893CE9" w14:textId="77777777" w:rsidR="001734EB" w:rsidRPr="00C42365" w:rsidRDefault="001734EB" w:rsidP="00054D51">
            <w:pPr>
              <w:pStyle w:val="SingleTxtG"/>
              <w:spacing w:before="80" w:after="80" w:line="220" w:lineRule="exact"/>
              <w:ind w:left="0" w:right="0"/>
              <w:jc w:val="right"/>
              <w:rPr>
                <w:b/>
                <w:sz w:val="18"/>
                <w:lang w:val="es-VE"/>
              </w:rPr>
            </w:pPr>
            <w:r w:rsidRPr="00C42365">
              <w:rPr>
                <w:b/>
                <w:sz w:val="18"/>
                <w:lang w:val="es-VE"/>
              </w:rPr>
              <w:t>33</w:t>
            </w:r>
          </w:p>
        </w:tc>
        <w:tc>
          <w:tcPr>
            <w:tcW w:w="330" w:type="dxa"/>
            <w:tcBorders>
              <w:top w:val="single" w:sz="4" w:space="0" w:color="auto"/>
              <w:bottom w:val="single" w:sz="12" w:space="0" w:color="auto"/>
            </w:tcBorders>
            <w:shd w:val="clear" w:color="auto" w:fill="auto"/>
            <w:vAlign w:val="bottom"/>
          </w:tcPr>
          <w:p w14:paraId="65F25B35" w14:textId="77777777" w:rsidR="001734EB" w:rsidRPr="00C42365" w:rsidRDefault="001734EB" w:rsidP="00054D51">
            <w:pPr>
              <w:pStyle w:val="SingleTxtG"/>
              <w:spacing w:before="80" w:after="80" w:line="220" w:lineRule="exact"/>
              <w:ind w:left="0" w:right="0"/>
              <w:jc w:val="right"/>
              <w:rPr>
                <w:b/>
                <w:sz w:val="18"/>
                <w:lang w:val="es-VE"/>
              </w:rPr>
            </w:pPr>
            <w:r w:rsidRPr="00C42365">
              <w:rPr>
                <w:b/>
                <w:sz w:val="18"/>
                <w:lang w:val="es-VE"/>
              </w:rPr>
              <w:t>16</w:t>
            </w:r>
          </w:p>
        </w:tc>
        <w:tc>
          <w:tcPr>
            <w:tcW w:w="714" w:type="dxa"/>
            <w:tcBorders>
              <w:top w:val="single" w:sz="4" w:space="0" w:color="auto"/>
              <w:bottom w:val="single" w:sz="12" w:space="0" w:color="auto"/>
            </w:tcBorders>
            <w:shd w:val="clear" w:color="auto" w:fill="auto"/>
            <w:vAlign w:val="bottom"/>
          </w:tcPr>
          <w:p w14:paraId="1DA1F2AD" w14:textId="77777777" w:rsidR="001734EB" w:rsidRPr="00C42365" w:rsidRDefault="001734EB" w:rsidP="00054D51">
            <w:pPr>
              <w:pStyle w:val="SingleTxtG"/>
              <w:spacing w:before="80" w:after="80" w:line="220" w:lineRule="exact"/>
              <w:ind w:left="0" w:right="0"/>
              <w:jc w:val="right"/>
              <w:rPr>
                <w:b/>
                <w:sz w:val="18"/>
                <w:lang w:val="es-VE"/>
              </w:rPr>
            </w:pPr>
            <w:r w:rsidRPr="00C42365">
              <w:rPr>
                <w:b/>
                <w:sz w:val="18"/>
                <w:lang w:val="es-VE"/>
              </w:rPr>
              <w:t>49</w:t>
            </w:r>
          </w:p>
        </w:tc>
      </w:tr>
    </w:tbl>
    <w:p w14:paraId="157EA628" w14:textId="77777777" w:rsidR="001734EB" w:rsidRPr="00077437" w:rsidRDefault="00C42365" w:rsidP="00054D51">
      <w:pPr>
        <w:pStyle w:val="H1G"/>
        <w:rPr>
          <w:lang w:val="es-VE"/>
        </w:rPr>
      </w:pPr>
      <w:r>
        <w:rPr>
          <w:lang w:val="es-VE"/>
        </w:rPr>
        <w:tab/>
      </w:r>
      <w:r>
        <w:rPr>
          <w:lang w:val="es-VE"/>
        </w:rPr>
        <w:tab/>
      </w:r>
      <w:r w:rsidR="001734EB" w:rsidRPr="00077437">
        <w:rPr>
          <w:lang w:val="es-VE"/>
        </w:rPr>
        <w:t>Mujeres con discapacidad (art. 6)</w:t>
      </w:r>
    </w:p>
    <w:p w14:paraId="36B8FD03" w14:textId="77777777" w:rsidR="001734EB" w:rsidRPr="00077437" w:rsidRDefault="00C42365" w:rsidP="00054D51">
      <w:pPr>
        <w:pStyle w:val="H1G"/>
        <w:rPr>
          <w:lang w:val="es-VE"/>
        </w:rPr>
      </w:pPr>
      <w:r>
        <w:tab/>
      </w:r>
      <w:r>
        <w:tab/>
      </w:r>
      <w:r w:rsidR="00C154C7" w:rsidRPr="00F96454">
        <w:t xml:space="preserve">Respuesta </w:t>
      </w:r>
      <w:r w:rsidR="00C154C7">
        <w:t xml:space="preserve">a la </w:t>
      </w:r>
      <w:r w:rsidR="00C154C7">
        <w:rPr>
          <w:lang w:val="es-VE"/>
        </w:rPr>
        <w:t>c</w:t>
      </w:r>
      <w:r w:rsidR="001734EB" w:rsidRPr="00077437">
        <w:rPr>
          <w:lang w:val="es-VE"/>
        </w:rPr>
        <w:t>uestión 5</w:t>
      </w:r>
    </w:p>
    <w:p w14:paraId="71CF2392" w14:textId="77777777" w:rsidR="001734EB" w:rsidRPr="00077437" w:rsidRDefault="00C42365" w:rsidP="00054D51">
      <w:pPr>
        <w:pStyle w:val="SingleTxtG"/>
        <w:rPr>
          <w:lang w:val="es-VE"/>
        </w:rPr>
      </w:pPr>
      <w:r>
        <w:rPr>
          <w:lang w:val="es-VE"/>
        </w:rPr>
        <w:t>26.</w:t>
      </w:r>
      <w:r>
        <w:rPr>
          <w:lang w:val="es-VE"/>
        </w:rPr>
        <w:tab/>
      </w:r>
      <w:r w:rsidR="001734EB" w:rsidRPr="00077437">
        <w:rPr>
          <w:lang w:val="es-VE"/>
        </w:rPr>
        <w:t>En el año 2019 se inició la implementación del Plan de Atención Especial a las Víctimas de la Guerra Económica (</w:t>
      </w:r>
      <w:proofErr w:type="spellStart"/>
      <w:r w:rsidR="001734EB" w:rsidRPr="00077437">
        <w:rPr>
          <w:lang w:val="es-VE"/>
        </w:rPr>
        <w:t>PAEVGE</w:t>
      </w:r>
      <w:proofErr w:type="spellEnd"/>
      <w:r w:rsidR="001734EB" w:rsidRPr="00077437">
        <w:rPr>
          <w:lang w:val="es-VE"/>
        </w:rPr>
        <w:t xml:space="preserve">) con el objeto de brindar protección especial a los grupos más afectados por las medidas coercitivas unilaterales y la agresión multiforme que se desarrolla contra Venezuela. Las mujeres y niñas con discapacidad se encuentran entre los sectores priorizados por el </w:t>
      </w:r>
      <w:proofErr w:type="spellStart"/>
      <w:r w:rsidR="001734EB" w:rsidRPr="00077437">
        <w:rPr>
          <w:lang w:val="es-VE"/>
        </w:rPr>
        <w:t>PAEVGE</w:t>
      </w:r>
      <w:proofErr w:type="spellEnd"/>
      <w:r w:rsidR="001734EB" w:rsidRPr="00077437">
        <w:rPr>
          <w:lang w:val="es-VE"/>
        </w:rPr>
        <w:t xml:space="preserve">. </w:t>
      </w:r>
    </w:p>
    <w:p w14:paraId="32947CD2" w14:textId="77777777" w:rsidR="001734EB" w:rsidRPr="00077437" w:rsidRDefault="00C42365" w:rsidP="00054D51">
      <w:pPr>
        <w:pStyle w:val="SingleTxtG"/>
        <w:rPr>
          <w:lang w:val="es-VE"/>
        </w:rPr>
      </w:pPr>
      <w:r>
        <w:rPr>
          <w:lang w:val="es-VE"/>
        </w:rPr>
        <w:t>27.</w:t>
      </w:r>
      <w:r>
        <w:rPr>
          <w:lang w:val="es-VE"/>
        </w:rPr>
        <w:tab/>
      </w:r>
      <w:r w:rsidR="001734EB" w:rsidRPr="00077437">
        <w:rPr>
          <w:lang w:val="es-VE"/>
        </w:rPr>
        <w:t xml:space="preserve">El Estado venezolano trabaja coordinadamente con el sistema de Naciones Unidas en el país para la implementación del Plan de Respuesta Humanitaria, aprobado en julio de 2019. Este Plan está orientado a brindar atención a 2,6 millones de personas en las áreas de acceso al agua potable y saneamiento, alimentación, nutrición, salud, educación y protección. </w:t>
      </w:r>
    </w:p>
    <w:p w14:paraId="0585439B" w14:textId="77777777" w:rsidR="001734EB" w:rsidRPr="00077437" w:rsidRDefault="00C42365" w:rsidP="00054D51">
      <w:pPr>
        <w:pStyle w:val="SingleTxtG"/>
        <w:rPr>
          <w:lang w:val="es-VE"/>
        </w:rPr>
      </w:pPr>
      <w:r>
        <w:rPr>
          <w:lang w:val="es-VE"/>
        </w:rPr>
        <w:t>28.</w:t>
      </w:r>
      <w:r>
        <w:rPr>
          <w:lang w:val="es-VE"/>
        </w:rPr>
        <w:tab/>
      </w:r>
      <w:r w:rsidR="001734EB" w:rsidRPr="00077437">
        <w:rPr>
          <w:lang w:val="es-VE"/>
        </w:rPr>
        <w:t xml:space="preserve">La </w:t>
      </w:r>
      <w:proofErr w:type="spellStart"/>
      <w:r w:rsidR="001734EB" w:rsidRPr="00077437">
        <w:rPr>
          <w:lang w:val="es-VE"/>
        </w:rPr>
        <w:t>RBV</w:t>
      </w:r>
      <w:proofErr w:type="spellEnd"/>
      <w:r w:rsidR="001734EB" w:rsidRPr="00077437">
        <w:rPr>
          <w:lang w:val="es-VE"/>
        </w:rPr>
        <w:t xml:space="preserve"> cuenta con una política de protección integral de las mujeres, incluyendo a las mujeres con discapacidad. Para tal fin, se ha creado un conjunto de instituciones entre las que se encuentran el Ministerio del Poder Popular para la Mujer e Igualdad de Género (</w:t>
      </w:r>
      <w:proofErr w:type="spellStart"/>
      <w:r w:rsidR="001734EB" w:rsidRPr="00077437">
        <w:rPr>
          <w:lang w:val="es-VE"/>
        </w:rPr>
        <w:t>MPPMIG</w:t>
      </w:r>
      <w:proofErr w:type="spellEnd"/>
      <w:r w:rsidR="001734EB" w:rsidRPr="00077437">
        <w:rPr>
          <w:lang w:val="es-VE"/>
        </w:rPr>
        <w:t>), el Instituto Nacional de la Mujer (</w:t>
      </w:r>
      <w:proofErr w:type="spellStart"/>
      <w:r w:rsidR="001734EB" w:rsidRPr="00077437">
        <w:rPr>
          <w:lang w:val="es-VE"/>
        </w:rPr>
        <w:t>INAMUJER</w:t>
      </w:r>
      <w:proofErr w:type="spellEnd"/>
      <w:r w:rsidR="001734EB" w:rsidRPr="00077437">
        <w:rPr>
          <w:lang w:val="es-VE"/>
        </w:rPr>
        <w:t>), el Banco de Desarrollo de la Mujer (</w:t>
      </w:r>
      <w:proofErr w:type="spellStart"/>
      <w:r w:rsidR="001734EB" w:rsidRPr="00077437">
        <w:rPr>
          <w:lang w:val="es-VE"/>
        </w:rPr>
        <w:t>BANMUJER</w:t>
      </w:r>
      <w:proofErr w:type="spellEnd"/>
      <w:r w:rsidR="001734EB" w:rsidRPr="00077437">
        <w:rPr>
          <w:lang w:val="es-VE"/>
        </w:rPr>
        <w:t xml:space="preserve">), así como fiscalías y tribunales especializados en materia de derechos de la mujer. </w:t>
      </w:r>
    </w:p>
    <w:p w14:paraId="647F5771" w14:textId="77777777" w:rsidR="001734EB" w:rsidRPr="00077437" w:rsidRDefault="00C42365" w:rsidP="00054D51">
      <w:pPr>
        <w:pStyle w:val="SingleTxtG"/>
        <w:rPr>
          <w:lang w:val="es-VE"/>
        </w:rPr>
      </w:pPr>
      <w:r>
        <w:rPr>
          <w:lang w:val="es-VE"/>
        </w:rPr>
        <w:t>29.</w:t>
      </w:r>
      <w:r>
        <w:rPr>
          <w:lang w:val="es-VE"/>
        </w:rPr>
        <w:tab/>
      </w:r>
      <w:r w:rsidR="001734EB" w:rsidRPr="00077437">
        <w:rPr>
          <w:lang w:val="es-VE"/>
        </w:rPr>
        <w:t xml:space="preserve">La incorporación de las perspectivas de género y discapacidad en la legislación y las políticas en el Estado constituye una obligación constitucional y se desarrolla bajo la rectoría del </w:t>
      </w:r>
      <w:proofErr w:type="spellStart"/>
      <w:r w:rsidR="001734EB" w:rsidRPr="00077437">
        <w:rPr>
          <w:lang w:val="es-VE"/>
        </w:rPr>
        <w:t>MPPMIG</w:t>
      </w:r>
      <w:proofErr w:type="spellEnd"/>
      <w:r w:rsidR="001734EB" w:rsidRPr="00077437">
        <w:rPr>
          <w:lang w:val="es-VE"/>
        </w:rPr>
        <w:t xml:space="preserve"> y el </w:t>
      </w:r>
      <w:proofErr w:type="spellStart"/>
      <w:r w:rsidR="001734EB" w:rsidRPr="00077437">
        <w:rPr>
          <w:lang w:val="es-VE"/>
        </w:rPr>
        <w:t>CONAPDIS</w:t>
      </w:r>
      <w:proofErr w:type="spellEnd"/>
      <w:r w:rsidR="001734EB" w:rsidRPr="00077437">
        <w:rPr>
          <w:lang w:val="es-VE"/>
        </w:rPr>
        <w:t xml:space="preserve">. Las organizaciones de mujeres con discapacidad son escuchadas por los órganos de los poderes públicos en las áreas de su competencia, en aplicación del derecho de petición y oportuna respuesta consagrado en el artículo 51 de la </w:t>
      </w:r>
      <w:proofErr w:type="spellStart"/>
      <w:r w:rsidR="001734EB" w:rsidRPr="00077437">
        <w:rPr>
          <w:lang w:val="es-VE"/>
        </w:rPr>
        <w:t>CRBV</w:t>
      </w:r>
      <w:proofErr w:type="spellEnd"/>
      <w:r w:rsidR="001734EB" w:rsidRPr="00077437">
        <w:rPr>
          <w:lang w:val="es-VE"/>
        </w:rPr>
        <w:t xml:space="preserve">. </w:t>
      </w:r>
    </w:p>
    <w:p w14:paraId="044A647E" w14:textId="77777777" w:rsidR="001734EB" w:rsidRPr="00077437" w:rsidRDefault="00C42365" w:rsidP="00054D51">
      <w:pPr>
        <w:pStyle w:val="SingleTxtG"/>
        <w:rPr>
          <w:lang w:val="es-VE"/>
        </w:rPr>
      </w:pPr>
      <w:r>
        <w:rPr>
          <w:lang w:val="es-VE"/>
        </w:rPr>
        <w:t>30.</w:t>
      </w:r>
      <w:r>
        <w:rPr>
          <w:lang w:val="es-VE"/>
        </w:rPr>
        <w:tab/>
      </w:r>
      <w:r w:rsidR="001734EB" w:rsidRPr="00077437">
        <w:rPr>
          <w:lang w:val="es-VE"/>
        </w:rPr>
        <w:t xml:space="preserve">El Plan para la Igualdad de Género por la Equidad Mamá Rosa 2013-2019 establece los lineamientos generales de la política de igualdad y equidad de género. Constituye el </w:t>
      </w:r>
      <w:r w:rsidR="001734EB" w:rsidRPr="00077437">
        <w:rPr>
          <w:lang w:val="es-VE"/>
        </w:rPr>
        <w:lastRenderedPageBreak/>
        <w:t xml:space="preserve">tercer plan que lleva adelante Venezuela en materia de derechos de la mujer y define objetivos históricos, nacionales, generales, así como áreas de intervención, con sus respectivas líneas de acción estructuradas en cuatro grandes dimensiones: social; cultural; política y económica; y autonomía de las mujeres. El Plan y su implementación incluyen de manera priorizada y transversal a los grupos en condición de vulnerabilidad, incluyendo las mujeres y niñas con discapacidad. </w:t>
      </w:r>
    </w:p>
    <w:p w14:paraId="34FDF277" w14:textId="77777777" w:rsidR="001734EB" w:rsidRPr="00077437" w:rsidRDefault="00C42365" w:rsidP="00054D51">
      <w:pPr>
        <w:pStyle w:val="H1G"/>
        <w:rPr>
          <w:lang w:val="es-VE"/>
        </w:rPr>
      </w:pPr>
      <w:r>
        <w:tab/>
      </w:r>
      <w:r>
        <w:tab/>
      </w:r>
      <w:r w:rsidR="00C154C7" w:rsidRPr="00F96454">
        <w:t xml:space="preserve">Respuesta </w:t>
      </w:r>
      <w:r w:rsidR="00C154C7">
        <w:t xml:space="preserve">a la </w:t>
      </w:r>
      <w:r w:rsidR="00C154C7">
        <w:rPr>
          <w:lang w:val="es-VE"/>
        </w:rPr>
        <w:t>c</w:t>
      </w:r>
      <w:r w:rsidR="001734EB" w:rsidRPr="00077437">
        <w:rPr>
          <w:lang w:val="es-VE"/>
        </w:rPr>
        <w:t>uestión 6</w:t>
      </w:r>
    </w:p>
    <w:p w14:paraId="0D4B9E05" w14:textId="77777777" w:rsidR="001734EB" w:rsidRPr="00077437" w:rsidRDefault="00C42365" w:rsidP="00054D51">
      <w:pPr>
        <w:pStyle w:val="SingleTxtG"/>
        <w:rPr>
          <w:lang w:val="es-VE"/>
        </w:rPr>
      </w:pPr>
      <w:r>
        <w:rPr>
          <w:lang w:val="es-VE"/>
        </w:rPr>
        <w:t>31.</w:t>
      </w:r>
      <w:r>
        <w:rPr>
          <w:lang w:val="es-VE"/>
        </w:rPr>
        <w:tab/>
      </w:r>
      <w:r w:rsidR="001734EB" w:rsidRPr="00077437">
        <w:rPr>
          <w:lang w:val="es-VE"/>
        </w:rPr>
        <w:t>La Misión Madres del Barrio</w:t>
      </w:r>
      <w:r w:rsidR="001734EB" w:rsidRPr="00054D51">
        <w:rPr>
          <w:sz w:val="18"/>
          <w:vertAlign w:val="superscript"/>
          <w:lang w:val="es-VE"/>
        </w:rPr>
        <w:footnoteReference w:id="17"/>
      </w:r>
      <w:r w:rsidR="001734EB" w:rsidRPr="00077437">
        <w:rPr>
          <w:lang w:val="es-VE"/>
        </w:rPr>
        <w:t xml:space="preserve"> fue creada con el objeto de apoyar a las amas de casa que se encuentren en estado de necesidad, a fin de que logren, junto con sus familias, superar la situación de pobreza extrema y prepararse para salir de la pobreza en su comunidad, mediante la incorporación a programas sociales, el acompañamiento comunitario y el otorgamiento de una asignación económica.</w:t>
      </w:r>
    </w:p>
    <w:p w14:paraId="28F9D0AD" w14:textId="77777777" w:rsidR="001734EB" w:rsidRPr="00077437" w:rsidRDefault="00C42365" w:rsidP="00054D51">
      <w:pPr>
        <w:pStyle w:val="H1G"/>
        <w:rPr>
          <w:lang w:val="es-VE"/>
        </w:rPr>
      </w:pPr>
      <w:r>
        <w:rPr>
          <w:lang w:val="es-VE"/>
        </w:rPr>
        <w:tab/>
      </w:r>
      <w:r>
        <w:rPr>
          <w:lang w:val="es-VE"/>
        </w:rPr>
        <w:tab/>
      </w:r>
      <w:r w:rsidR="001734EB" w:rsidRPr="00077437">
        <w:rPr>
          <w:lang w:val="es-VE"/>
        </w:rPr>
        <w:t xml:space="preserve">Niños y niñas con discapacidad (art. 7) </w:t>
      </w:r>
    </w:p>
    <w:p w14:paraId="12C752CB" w14:textId="77777777" w:rsidR="001734EB" w:rsidRPr="00077437" w:rsidRDefault="00C42365" w:rsidP="00054D51">
      <w:pPr>
        <w:pStyle w:val="H1G"/>
        <w:rPr>
          <w:lang w:val="es-VE"/>
        </w:rPr>
      </w:pPr>
      <w:r>
        <w:tab/>
      </w:r>
      <w:r>
        <w:tab/>
      </w:r>
      <w:r w:rsidR="00C154C7" w:rsidRPr="00F96454">
        <w:t xml:space="preserve">Respuesta </w:t>
      </w:r>
      <w:r w:rsidR="00C154C7">
        <w:t xml:space="preserve">a la </w:t>
      </w:r>
      <w:r w:rsidR="00C154C7">
        <w:rPr>
          <w:lang w:val="es-VE"/>
        </w:rPr>
        <w:t>c</w:t>
      </w:r>
      <w:r w:rsidR="001734EB" w:rsidRPr="00077437">
        <w:rPr>
          <w:lang w:val="es-VE"/>
        </w:rPr>
        <w:t xml:space="preserve">uestión 7 </w:t>
      </w:r>
    </w:p>
    <w:p w14:paraId="03BFF657" w14:textId="77777777" w:rsidR="001734EB" w:rsidRPr="00077437" w:rsidRDefault="00C42365" w:rsidP="00054D51">
      <w:pPr>
        <w:pStyle w:val="SingleTxtG"/>
        <w:rPr>
          <w:lang w:val="es-VE"/>
        </w:rPr>
      </w:pPr>
      <w:r>
        <w:rPr>
          <w:lang w:val="es-VE"/>
        </w:rPr>
        <w:t>32.</w:t>
      </w:r>
      <w:r>
        <w:rPr>
          <w:lang w:val="es-VE"/>
        </w:rPr>
        <w:tab/>
      </w:r>
      <w:r w:rsidR="001734EB" w:rsidRPr="00077437">
        <w:rPr>
          <w:lang w:val="es-VE"/>
        </w:rPr>
        <w:t>La Ley Orgánica para la Protección de Niñas, Niños y Adolescentes (</w:t>
      </w:r>
      <w:proofErr w:type="spellStart"/>
      <w:r w:rsidR="001734EB" w:rsidRPr="00077437">
        <w:rPr>
          <w:lang w:val="es-VE"/>
        </w:rPr>
        <w:t>LOPNNA</w:t>
      </w:r>
      <w:proofErr w:type="spellEnd"/>
      <w:r w:rsidR="001734EB" w:rsidRPr="00077437">
        <w:rPr>
          <w:lang w:val="es-VE"/>
        </w:rPr>
        <w:t xml:space="preserve">) contempla de manera transversal a los niños y niñas con discapacidad. Conforme al artículo 3 de la </w:t>
      </w:r>
      <w:proofErr w:type="spellStart"/>
      <w:r w:rsidR="001734EB" w:rsidRPr="00077437">
        <w:rPr>
          <w:lang w:val="es-VE"/>
        </w:rPr>
        <w:t>LOPNNA</w:t>
      </w:r>
      <w:proofErr w:type="spellEnd"/>
      <w:r w:rsidR="001734EB" w:rsidRPr="00077437">
        <w:rPr>
          <w:lang w:val="es-VE"/>
        </w:rPr>
        <w:t xml:space="preserve">, las disposiciones de esta Ley se aplican por igual a todos los niños, niñas y adolescentes, sin discriminación alguna fundada en motivos de discapacidad, entre otros. </w:t>
      </w:r>
    </w:p>
    <w:p w14:paraId="765A0ABE" w14:textId="77777777" w:rsidR="001734EB" w:rsidRPr="00077437" w:rsidRDefault="00C42365" w:rsidP="00054D51">
      <w:pPr>
        <w:pStyle w:val="SingleTxtG"/>
        <w:rPr>
          <w:lang w:val="es-VE"/>
        </w:rPr>
      </w:pPr>
      <w:r>
        <w:rPr>
          <w:lang w:val="es-VE"/>
        </w:rPr>
        <w:t>33.</w:t>
      </w:r>
      <w:r>
        <w:rPr>
          <w:lang w:val="es-VE"/>
        </w:rPr>
        <w:tab/>
      </w:r>
      <w:r w:rsidR="001734EB" w:rsidRPr="00077437">
        <w:rPr>
          <w:lang w:val="es-VE"/>
        </w:rPr>
        <w:t xml:space="preserve">El artículo 29 de la </w:t>
      </w:r>
      <w:proofErr w:type="spellStart"/>
      <w:r w:rsidR="001734EB" w:rsidRPr="00077437">
        <w:rPr>
          <w:lang w:val="es-VE"/>
        </w:rPr>
        <w:t>LOPNNA</w:t>
      </w:r>
      <w:proofErr w:type="spellEnd"/>
      <w:r w:rsidR="001734EB" w:rsidRPr="00077437">
        <w:rPr>
          <w:lang w:val="es-VE"/>
        </w:rPr>
        <w:t xml:space="preserve"> consagra que todos los niños y adolescentes con necesidades especiales tienen todos los derechos y garantías consagrados y reconocidos por esta Ley, además de los inherentes a su condición específica. También, establece la obligación del Estado, la familia y la sociedad de asegurarles el pleno desarrollo de su personalidad hasta el máximo de sus potencialidades, así como el goce de una vida plena y digna. </w:t>
      </w:r>
    </w:p>
    <w:p w14:paraId="775B227E" w14:textId="77777777" w:rsidR="001734EB" w:rsidRPr="00077437" w:rsidRDefault="00C42365" w:rsidP="00054D51">
      <w:pPr>
        <w:pStyle w:val="SingleTxtG"/>
        <w:rPr>
          <w:lang w:val="es-VE"/>
        </w:rPr>
      </w:pPr>
      <w:r>
        <w:rPr>
          <w:lang w:val="es-VE"/>
        </w:rPr>
        <w:t>34.</w:t>
      </w:r>
      <w:r>
        <w:rPr>
          <w:lang w:val="es-VE"/>
        </w:rPr>
        <w:tab/>
      </w:r>
      <w:r w:rsidR="001734EB" w:rsidRPr="00077437">
        <w:rPr>
          <w:lang w:val="es-VE"/>
        </w:rPr>
        <w:t>El Estado venezolano, a través del Instituto Autónomo Consejo Nacional de Derechos de Niños, Niñas y Adolescentes (</w:t>
      </w:r>
      <w:proofErr w:type="spellStart"/>
      <w:r w:rsidR="001734EB" w:rsidRPr="00077437">
        <w:rPr>
          <w:lang w:val="es-VE"/>
        </w:rPr>
        <w:t>IDENNA</w:t>
      </w:r>
      <w:proofErr w:type="spellEnd"/>
      <w:r w:rsidR="001734EB" w:rsidRPr="00077437">
        <w:rPr>
          <w:lang w:val="es-VE"/>
        </w:rPr>
        <w:t>), ha creado la Unidad de Protección Integral Especializada (</w:t>
      </w:r>
      <w:proofErr w:type="spellStart"/>
      <w:r w:rsidR="001734EB" w:rsidRPr="00077437">
        <w:rPr>
          <w:lang w:val="es-VE"/>
        </w:rPr>
        <w:t>UPIE</w:t>
      </w:r>
      <w:proofErr w:type="spellEnd"/>
      <w:r w:rsidR="001734EB" w:rsidRPr="00077437">
        <w:rPr>
          <w:lang w:val="es-VE"/>
        </w:rPr>
        <w:t>) con el objeto de brindar protección y atención integral especializada a niños, niñas y adolescentes con discapacidad. El programa contempla dos modalidades de abordaje:</w:t>
      </w:r>
      <w:r w:rsidR="001F2819">
        <w:rPr>
          <w:lang w:val="es-VE"/>
        </w:rPr>
        <w:t xml:space="preserve"> </w:t>
      </w:r>
      <w:r w:rsidR="001734EB" w:rsidRPr="00077437">
        <w:rPr>
          <w:lang w:val="es-VE"/>
        </w:rPr>
        <w:t xml:space="preserve">Residencial y Ambulatoria. Actualmente están en funcionamiento ocho (8) </w:t>
      </w:r>
      <w:proofErr w:type="spellStart"/>
      <w:r w:rsidR="001734EB" w:rsidRPr="00077437">
        <w:rPr>
          <w:lang w:val="es-VE"/>
        </w:rPr>
        <w:t>UPIE</w:t>
      </w:r>
      <w:proofErr w:type="spellEnd"/>
      <w:r w:rsidR="001734EB" w:rsidRPr="00077437">
        <w:rPr>
          <w:lang w:val="es-VE"/>
        </w:rPr>
        <w:t xml:space="preserve"> en modalidad residencial, ubicadas en los estados Distrito Capital (2), Carabobo (1), Falcón (1), Táchira (1) y Zulia (3). Existen dos (2) </w:t>
      </w:r>
      <w:proofErr w:type="spellStart"/>
      <w:r w:rsidR="001734EB" w:rsidRPr="00077437">
        <w:rPr>
          <w:lang w:val="es-VE"/>
        </w:rPr>
        <w:t>UPIE</w:t>
      </w:r>
      <w:proofErr w:type="spellEnd"/>
      <w:r w:rsidR="001734EB" w:rsidRPr="00077437">
        <w:rPr>
          <w:lang w:val="es-VE"/>
        </w:rPr>
        <w:t xml:space="preserve"> en modalidad ambulatoria, ubicadas en los estados Cojedes (1) y Miranda (1).</w:t>
      </w:r>
      <w:r w:rsidR="00223132">
        <w:rPr>
          <w:lang w:val="es-VE"/>
        </w:rPr>
        <w:t xml:space="preserve"> </w:t>
      </w:r>
    </w:p>
    <w:p w14:paraId="7E472532" w14:textId="77777777" w:rsidR="001734EB" w:rsidRPr="00077437" w:rsidRDefault="00C42365" w:rsidP="00054D51">
      <w:pPr>
        <w:pStyle w:val="SingleTxtG"/>
        <w:rPr>
          <w:lang w:val="es-VE"/>
        </w:rPr>
      </w:pPr>
      <w:r>
        <w:rPr>
          <w:lang w:val="es-VE"/>
        </w:rPr>
        <w:t>35.</w:t>
      </w:r>
      <w:r>
        <w:rPr>
          <w:lang w:val="es-VE"/>
        </w:rPr>
        <w:tab/>
      </w:r>
      <w:r w:rsidR="001734EB" w:rsidRPr="00077437">
        <w:rPr>
          <w:lang w:val="es-VE"/>
        </w:rPr>
        <w:t xml:space="preserve">El artículo 80 de la </w:t>
      </w:r>
      <w:proofErr w:type="spellStart"/>
      <w:r w:rsidR="001734EB" w:rsidRPr="00077437">
        <w:rPr>
          <w:lang w:val="es-VE"/>
        </w:rPr>
        <w:t>LOPNNA</w:t>
      </w:r>
      <w:proofErr w:type="spellEnd"/>
      <w:r w:rsidR="001734EB" w:rsidRPr="00077437">
        <w:rPr>
          <w:lang w:val="es-VE"/>
        </w:rPr>
        <w:t xml:space="preserve"> consagra el derecho de los niños a expresar libremente su opinión en los asuntos en que tengan interés y a que sus opiniones sean tomadas en cuenta en función de su desarrollo. Según esta norma, la opinión del niño será escuchada de la forma más adecuada a su situación personal y desarrollo. En los casos de niños con discapacidad se debe garantizar la asistencia de personas que, por su profesión o relación especial de confianza, puedan transmitir objetivamente su opinión. </w:t>
      </w:r>
    </w:p>
    <w:p w14:paraId="0A6ADEE3" w14:textId="77777777" w:rsidR="001734EB" w:rsidRPr="00077437" w:rsidRDefault="00C42365" w:rsidP="00054D51">
      <w:pPr>
        <w:pStyle w:val="SingleTxtG"/>
        <w:rPr>
          <w:lang w:val="es-VE"/>
        </w:rPr>
      </w:pPr>
      <w:r>
        <w:rPr>
          <w:lang w:val="es-VE"/>
        </w:rPr>
        <w:t>36.</w:t>
      </w:r>
      <w:r>
        <w:rPr>
          <w:lang w:val="es-VE"/>
        </w:rPr>
        <w:tab/>
      </w:r>
      <w:r w:rsidR="001734EB" w:rsidRPr="00077437">
        <w:rPr>
          <w:lang w:val="es-VE"/>
        </w:rPr>
        <w:t>A los fines de garantizar el derecho de los niños con discapacidad a expresar su opinión en los procesos de toma de decisiones que les afecten, el Tribunal Supremo de Justicia (</w:t>
      </w:r>
      <w:proofErr w:type="spellStart"/>
      <w:r w:rsidR="001734EB" w:rsidRPr="00077437">
        <w:rPr>
          <w:lang w:val="es-VE"/>
        </w:rPr>
        <w:t>TSJ</w:t>
      </w:r>
      <w:proofErr w:type="spellEnd"/>
      <w:r w:rsidR="001734EB" w:rsidRPr="00077437">
        <w:rPr>
          <w:lang w:val="es-VE"/>
        </w:rPr>
        <w:t xml:space="preserve">) dictó las </w:t>
      </w:r>
      <w:r w:rsidR="001734EB" w:rsidRPr="00077437">
        <w:rPr>
          <w:i/>
          <w:lang w:val="es-VE"/>
        </w:rPr>
        <w:t>“Orientaciones sobre la garantía del derecho humano de los niños, niñas y adolescentes a opinar y ser oídos en los procedimientos mundiales ant</w:t>
      </w:r>
      <w:r w:rsidR="000A0878">
        <w:rPr>
          <w:i/>
          <w:lang w:val="es-VE"/>
        </w:rPr>
        <w:t>e los Tribunales de Protección”</w:t>
      </w:r>
      <w:r w:rsidR="001734EB" w:rsidRPr="00054D51">
        <w:rPr>
          <w:sz w:val="18"/>
          <w:vertAlign w:val="superscript"/>
          <w:lang w:val="es-VE"/>
        </w:rPr>
        <w:footnoteReference w:id="18"/>
      </w:r>
      <w:r w:rsidR="000A0878">
        <w:rPr>
          <w:i/>
          <w:lang w:val="es-VE"/>
        </w:rPr>
        <w:t>.</w:t>
      </w:r>
      <w:r w:rsidR="001734EB" w:rsidRPr="00077437">
        <w:rPr>
          <w:lang w:val="es-VE"/>
        </w:rPr>
        <w:t xml:space="preserve"> Este instrumento incorpora de manera transversal a los niños con discapacidad y contiene orientaciones específicas para oír la opinión de niños con discapacidad. </w:t>
      </w:r>
    </w:p>
    <w:p w14:paraId="40F55759" w14:textId="77777777" w:rsidR="001734EB" w:rsidRPr="00077437" w:rsidRDefault="00210ABB" w:rsidP="00054D51">
      <w:pPr>
        <w:pStyle w:val="H1G"/>
        <w:rPr>
          <w:lang w:val="es-VE"/>
        </w:rPr>
      </w:pPr>
      <w:r>
        <w:rPr>
          <w:lang w:val="es-VE"/>
        </w:rPr>
        <w:lastRenderedPageBreak/>
        <w:tab/>
      </w:r>
      <w:r>
        <w:rPr>
          <w:lang w:val="es-VE"/>
        </w:rPr>
        <w:tab/>
      </w:r>
      <w:r w:rsidR="001734EB" w:rsidRPr="00077437">
        <w:rPr>
          <w:lang w:val="es-VE"/>
        </w:rPr>
        <w:t>Toma de conciencia (art. 8)</w:t>
      </w:r>
    </w:p>
    <w:p w14:paraId="1F24C39B" w14:textId="77777777" w:rsidR="001734EB" w:rsidRPr="00077437" w:rsidRDefault="00210ABB" w:rsidP="00054D51">
      <w:pPr>
        <w:pStyle w:val="H1G"/>
        <w:rPr>
          <w:lang w:val="es-VE"/>
        </w:rPr>
      </w:pPr>
      <w:r>
        <w:tab/>
      </w:r>
      <w:r>
        <w:tab/>
      </w:r>
      <w:r w:rsidR="00C154C7" w:rsidRPr="00F96454">
        <w:t xml:space="preserve">Respuesta </w:t>
      </w:r>
      <w:r w:rsidR="00C154C7">
        <w:t xml:space="preserve">a la </w:t>
      </w:r>
      <w:r w:rsidR="00C154C7">
        <w:rPr>
          <w:lang w:val="es-VE"/>
        </w:rPr>
        <w:t>c</w:t>
      </w:r>
      <w:r w:rsidR="001734EB" w:rsidRPr="00077437">
        <w:rPr>
          <w:lang w:val="es-VE"/>
        </w:rPr>
        <w:t>uestión 8</w:t>
      </w:r>
    </w:p>
    <w:p w14:paraId="6070D5B7" w14:textId="77777777" w:rsidR="001734EB" w:rsidRPr="00077437" w:rsidRDefault="00210ABB" w:rsidP="00054D51">
      <w:pPr>
        <w:pStyle w:val="SingleTxtG"/>
        <w:rPr>
          <w:lang w:val="es-VE"/>
        </w:rPr>
      </w:pPr>
      <w:r>
        <w:rPr>
          <w:lang w:val="es-VE"/>
        </w:rPr>
        <w:t>37.</w:t>
      </w:r>
      <w:r>
        <w:rPr>
          <w:lang w:val="es-VE"/>
        </w:rPr>
        <w:tab/>
      </w:r>
      <w:r w:rsidR="001734EB" w:rsidRPr="00077437">
        <w:rPr>
          <w:lang w:val="es-VE"/>
        </w:rPr>
        <w:t xml:space="preserve">Para promover la toma de conciencia en materia de discapacidad y difundir un enfoque humanista, el </w:t>
      </w:r>
      <w:proofErr w:type="spellStart"/>
      <w:r w:rsidR="001734EB" w:rsidRPr="00077437">
        <w:rPr>
          <w:lang w:val="es-VE"/>
        </w:rPr>
        <w:t>CONAPDIS</w:t>
      </w:r>
      <w:proofErr w:type="spellEnd"/>
      <w:r w:rsidR="001734EB" w:rsidRPr="00077437">
        <w:rPr>
          <w:lang w:val="es-VE"/>
        </w:rPr>
        <w:t xml:space="preserve"> </w:t>
      </w:r>
      <w:r w:rsidR="001734EB" w:rsidRPr="00077437">
        <w:rPr>
          <w:lang w:val="es-CO"/>
        </w:rPr>
        <w:t>ha desarrollado diversos programas formativos en articulación con el Ministerio del Poder Popular para la Salud (</w:t>
      </w:r>
      <w:proofErr w:type="spellStart"/>
      <w:r w:rsidR="001734EB" w:rsidRPr="00077437">
        <w:rPr>
          <w:lang w:val="es-CO"/>
        </w:rPr>
        <w:t>MPPS</w:t>
      </w:r>
      <w:proofErr w:type="spellEnd"/>
      <w:r w:rsidR="001734EB" w:rsidRPr="00077437">
        <w:rPr>
          <w:lang w:val="es-CO"/>
        </w:rPr>
        <w:t xml:space="preserve">) y la </w:t>
      </w:r>
      <w:proofErr w:type="spellStart"/>
      <w:r w:rsidR="001734EB" w:rsidRPr="00077437">
        <w:rPr>
          <w:lang w:val="es-CO"/>
        </w:rPr>
        <w:t>DdP</w:t>
      </w:r>
      <w:proofErr w:type="spellEnd"/>
      <w:r w:rsidR="001734EB" w:rsidRPr="00077437">
        <w:rPr>
          <w:lang w:val="es-CO"/>
        </w:rPr>
        <w:t xml:space="preserve">, entre los cuales destacan: i) Taller de Formación sobre Trato Adecuado hacia las </w:t>
      </w:r>
      <w:proofErr w:type="spellStart"/>
      <w:r w:rsidR="001734EB" w:rsidRPr="00077437">
        <w:rPr>
          <w:lang w:val="es-CO"/>
        </w:rPr>
        <w:t>PcD</w:t>
      </w:r>
      <w:proofErr w:type="spellEnd"/>
      <w:r w:rsidR="001734EB" w:rsidRPr="00077437">
        <w:rPr>
          <w:lang w:val="es-CO"/>
        </w:rPr>
        <w:t xml:space="preserve">; </w:t>
      </w:r>
      <w:proofErr w:type="spellStart"/>
      <w:r w:rsidR="001734EB" w:rsidRPr="00077437">
        <w:rPr>
          <w:lang w:val="es-CO"/>
        </w:rPr>
        <w:t>ii</w:t>
      </w:r>
      <w:proofErr w:type="spellEnd"/>
      <w:r w:rsidR="001734EB" w:rsidRPr="00077437">
        <w:rPr>
          <w:lang w:val="es-CO"/>
        </w:rPr>
        <w:t xml:space="preserve">) Diplomado en Atención Integral hacia las Personas con Discapacidad; </w:t>
      </w:r>
      <w:proofErr w:type="spellStart"/>
      <w:r w:rsidR="001734EB" w:rsidRPr="00077437">
        <w:rPr>
          <w:lang w:val="es-CO"/>
        </w:rPr>
        <w:t>iii</w:t>
      </w:r>
      <w:proofErr w:type="spellEnd"/>
      <w:r w:rsidR="001734EB" w:rsidRPr="00077437">
        <w:rPr>
          <w:lang w:val="es-CO"/>
        </w:rPr>
        <w:t xml:space="preserve">) Diplomado sobre los derechos humanos de las </w:t>
      </w:r>
      <w:proofErr w:type="spellStart"/>
      <w:r w:rsidR="001734EB" w:rsidRPr="00077437">
        <w:rPr>
          <w:lang w:val="es-CO"/>
        </w:rPr>
        <w:t>PcD</w:t>
      </w:r>
      <w:proofErr w:type="spellEnd"/>
      <w:r w:rsidR="001734EB" w:rsidRPr="00077437">
        <w:rPr>
          <w:lang w:val="es-CO"/>
        </w:rPr>
        <w:t xml:space="preserve">; </w:t>
      </w:r>
      <w:proofErr w:type="spellStart"/>
      <w:r w:rsidR="001734EB" w:rsidRPr="00077437">
        <w:rPr>
          <w:lang w:val="es-CO"/>
        </w:rPr>
        <w:t>iv</w:t>
      </w:r>
      <w:proofErr w:type="spellEnd"/>
      <w:r w:rsidR="001734EB" w:rsidRPr="00077437">
        <w:rPr>
          <w:lang w:val="es-CO"/>
        </w:rPr>
        <w:t>) Glosario de términos y Manuales sobre la condición de discapacidad; v) U</w:t>
      </w:r>
      <w:r w:rsidR="001734EB" w:rsidRPr="00077437">
        <w:rPr>
          <w:lang w:val="es-VE"/>
        </w:rPr>
        <w:t xml:space="preserve">so de las redes sociales por parte de las </w:t>
      </w:r>
      <w:proofErr w:type="spellStart"/>
      <w:r w:rsidR="001734EB" w:rsidRPr="00077437">
        <w:rPr>
          <w:lang w:val="es-VE"/>
        </w:rPr>
        <w:t>PcD</w:t>
      </w:r>
      <w:proofErr w:type="spellEnd"/>
      <w:r w:rsidR="001734EB" w:rsidRPr="00077437">
        <w:rPr>
          <w:lang w:val="es-VE"/>
        </w:rPr>
        <w:t xml:space="preserve">; vi) Encuentros con diferentes organizaciones, movimientos, fundaciones, comités y asociaciones para garantizar el libre y total desenvolvimiento de las </w:t>
      </w:r>
      <w:proofErr w:type="spellStart"/>
      <w:r w:rsidR="001734EB" w:rsidRPr="00077437">
        <w:rPr>
          <w:lang w:val="es-VE"/>
        </w:rPr>
        <w:t>PcD</w:t>
      </w:r>
      <w:proofErr w:type="spellEnd"/>
      <w:r w:rsidR="001734EB" w:rsidRPr="00077437">
        <w:rPr>
          <w:lang w:val="es-VE"/>
        </w:rPr>
        <w:t>.</w:t>
      </w:r>
      <w:bookmarkStart w:id="1" w:name="OLE_LINK29"/>
      <w:bookmarkStart w:id="2" w:name="OLE_LINK30"/>
    </w:p>
    <w:p w14:paraId="63C3C776" w14:textId="77777777" w:rsidR="001734EB" w:rsidRPr="001A10BF" w:rsidRDefault="001734EB" w:rsidP="004E5744">
      <w:pPr>
        <w:pStyle w:val="Ttulo1"/>
      </w:pPr>
      <w:r w:rsidRPr="001A10BF">
        <w:t>Tabla 5</w:t>
      </w:r>
    </w:p>
    <w:p w14:paraId="68C7EEFA" w14:textId="77777777" w:rsidR="001734EB" w:rsidRPr="007B47F6" w:rsidRDefault="00210ABB" w:rsidP="00054D51">
      <w:pPr>
        <w:pStyle w:val="H23G"/>
        <w:spacing w:before="0"/>
      </w:pPr>
      <w:r>
        <w:tab/>
      </w:r>
      <w:r>
        <w:tab/>
      </w:r>
      <w:r w:rsidR="001734EB" w:rsidRPr="007B47F6">
        <w:t>Personas formadas en materia de discapacidad</w:t>
      </w:r>
      <w:r w:rsidR="007B47F6" w:rsidRPr="007B47F6">
        <w:t xml:space="preserve"> </w:t>
      </w:r>
      <w:r w:rsidR="00950D81">
        <w:t>—</w:t>
      </w:r>
      <w:proofErr w:type="spellStart"/>
      <w:r w:rsidR="001734EB" w:rsidRPr="007B47F6">
        <w:t>Conapdis</w:t>
      </w:r>
      <w:proofErr w:type="spellEnd"/>
      <w:r w:rsidR="00950D81">
        <w:t>—</w:t>
      </w:r>
      <w:r w:rsidR="00426D34" w:rsidRPr="007B47F6">
        <w:t xml:space="preserve"> </w:t>
      </w:r>
      <w:r w:rsidR="001734EB" w:rsidRPr="007B47F6">
        <w:t>2015-2019</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1885"/>
        <w:gridCol w:w="1891"/>
        <w:gridCol w:w="1797"/>
        <w:gridCol w:w="1797"/>
      </w:tblGrid>
      <w:tr w:rsidR="00950D81" w:rsidRPr="00950D81" w14:paraId="69410183" w14:textId="77777777" w:rsidTr="00054D51">
        <w:trPr>
          <w:trHeight w:val="240"/>
          <w:tblHeader/>
        </w:trPr>
        <w:tc>
          <w:tcPr>
            <w:tcW w:w="1885" w:type="dxa"/>
            <w:tcBorders>
              <w:top w:val="single" w:sz="4" w:space="0" w:color="auto"/>
              <w:bottom w:val="single" w:sz="12" w:space="0" w:color="auto"/>
            </w:tcBorders>
            <w:shd w:val="clear" w:color="auto" w:fill="auto"/>
            <w:vAlign w:val="bottom"/>
          </w:tcPr>
          <w:p w14:paraId="5927E95A" w14:textId="77777777" w:rsidR="001734EB" w:rsidRPr="004E5744" w:rsidRDefault="001734EB" w:rsidP="00054D51">
            <w:pPr>
              <w:pStyle w:val="SingleTxtG"/>
              <w:spacing w:before="80" w:after="80" w:line="200" w:lineRule="exact"/>
              <w:ind w:left="0" w:right="0"/>
              <w:jc w:val="left"/>
              <w:rPr>
                <w:i/>
                <w:sz w:val="16"/>
                <w:lang w:val="es-VE"/>
              </w:rPr>
            </w:pPr>
            <w:r w:rsidRPr="004E5744">
              <w:rPr>
                <w:i/>
                <w:sz w:val="16"/>
                <w:lang w:val="es-VE"/>
              </w:rPr>
              <w:t>Año</w:t>
            </w:r>
          </w:p>
        </w:tc>
        <w:tc>
          <w:tcPr>
            <w:tcW w:w="1891" w:type="dxa"/>
            <w:tcBorders>
              <w:top w:val="single" w:sz="4" w:space="0" w:color="auto"/>
              <w:bottom w:val="single" w:sz="12" w:space="0" w:color="auto"/>
            </w:tcBorders>
            <w:shd w:val="clear" w:color="auto" w:fill="auto"/>
            <w:vAlign w:val="bottom"/>
          </w:tcPr>
          <w:p w14:paraId="6B2FF730" w14:textId="77777777" w:rsidR="001734EB" w:rsidRPr="00950D81" w:rsidRDefault="001734EB" w:rsidP="00054D51">
            <w:pPr>
              <w:pStyle w:val="SingleTxtG"/>
              <w:spacing w:before="80" w:after="80" w:line="200" w:lineRule="exact"/>
              <w:ind w:left="113" w:right="0"/>
              <w:jc w:val="right"/>
              <w:rPr>
                <w:i/>
                <w:sz w:val="16"/>
                <w:lang w:val="es-VE"/>
              </w:rPr>
            </w:pPr>
            <w:r w:rsidRPr="004E5744">
              <w:rPr>
                <w:i/>
                <w:sz w:val="16"/>
                <w:lang w:val="es-VE"/>
              </w:rPr>
              <w:t>Hombre</w:t>
            </w:r>
          </w:p>
        </w:tc>
        <w:tc>
          <w:tcPr>
            <w:tcW w:w="1797" w:type="dxa"/>
            <w:tcBorders>
              <w:top w:val="single" w:sz="4" w:space="0" w:color="auto"/>
              <w:bottom w:val="single" w:sz="12" w:space="0" w:color="auto"/>
            </w:tcBorders>
            <w:shd w:val="clear" w:color="auto" w:fill="auto"/>
            <w:vAlign w:val="bottom"/>
          </w:tcPr>
          <w:p w14:paraId="2A2ACFF2" w14:textId="77777777" w:rsidR="001734EB" w:rsidRPr="00950D81" w:rsidRDefault="001734EB" w:rsidP="00054D51">
            <w:pPr>
              <w:pStyle w:val="SingleTxtG"/>
              <w:spacing w:before="80" w:after="80" w:line="200" w:lineRule="exact"/>
              <w:ind w:left="113" w:right="0"/>
              <w:jc w:val="right"/>
              <w:rPr>
                <w:i/>
                <w:sz w:val="16"/>
                <w:lang w:val="es-VE"/>
              </w:rPr>
            </w:pPr>
            <w:r w:rsidRPr="00950D81">
              <w:rPr>
                <w:i/>
                <w:sz w:val="16"/>
                <w:lang w:val="es-VE"/>
              </w:rPr>
              <w:t>Mujer</w:t>
            </w:r>
          </w:p>
        </w:tc>
        <w:tc>
          <w:tcPr>
            <w:tcW w:w="1797" w:type="dxa"/>
            <w:tcBorders>
              <w:top w:val="single" w:sz="4" w:space="0" w:color="auto"/>
              <w:bottom w:val="single" w:sz="12" w:space="0" w:color="auto"/>
            </w:tcBorders>
            <w:shd w:val="clear" w:color="auto" w:fill="auto"/>
            <w:vAlign w:val="bottom"/>
          </w:tcPr>
          <w:p w14:paraId="477832C8" w14:textId="77777777" w:rsidR="001734EB" w:rsidRPr="00054D51" w:rsidRDefault="001734EB" w:rsidP="00054D51">
            <w:pPr>
              <w:pStyle w:val="SingleTxtG"/>
              <w:spacing w:before="80" w:after="80" w:line="200" w:lineRule="exact"/>
              <w:ind w:left="113" w:right="0"/>
              <w:jc w:val="right"/>
              <w:rPr>
                <w:i/>
                <w:sz w:val="16"/>
                <w:lang w:val="es-VE"/>
              </w:rPr>
            </w:pPr>
            <w:r w:rsidRPr="00054D51">
              <w:rPr>
                <w:i/>
                <w:sz w:val="16"/>
                <w:lang w:val="es-VE"/>
              </w:rPr>
              <w:t>Total</w:t>
            </w:r>
          </w:p>
        </w:tc>
      </w:tr>
      <w:tr w:rsidR="00950D81" w:rsidRPr="00950D81" w14:paraId="58087D4F" w14:textId="77777777" w:rsidTr="00054D51">
        <w:trPr>
          <w:trHeight w:val="240"/>
        </w:trPr>
        <w:tc>
          <w:tcPr>
            <w:tcW w:w="1885" w:type="dxa"/>
            <w:tcBorders>
              <w:top w:val="single" w:sz="12" w:space="0" w:color="auto"/>
            </w:tcBorders>
            <w:shd w:val="clear" w:color="auto" w:fill="auto"/>
          </w:tcPr>
          <w:p w14:paraId="7DE3FD24" w14:textId="77777777" w:rsidR="001734EB" w:rsidRPr="004E5744" w:rsidRDefault="001734EB" w:rsidP="00054D51">
            <w:pPr>
              <w:pStyle w:val="SingleTxtG"/>
              <w:spacing w:before="40" w:after="40" w:line="220" w:lineRule="exact"/>
              <w:ind w:left="0" w:right="0"/>
              <w:jc w:val="left"/>
              <w:rPr>
                <w:sz w:val="18"/>
                <w:lang w:val="es-VE"/>
              </w:rPr>
            </w:pPr>
            <w:r w:rsidRPr="004E5744">
              <w:rPr>
                <w:sz w:val="18"/>
                <w:lang w:val="es-VE"/>
              </w:rPr>
              <w:t>2015</w:t>
            </w:r>
          </w:p>
        </w:tc>
        <w:tc>
          <w:tcPr>
            <w:tcW w:w="1891" w:type="dxa"/>
            <w:tcBorders>
              <w:top w:val="single" w:sz="12" w:space="0" w:color="auto"/>
            </w:tcBorders>
            <w:shd w:val="clear" w:color="auto" w:fill="auto"/>
            <w:vAlign w:val="bottom"/>
          </w:tcPr>
          <w:p w14:paraId="2E734644" w14:textId="77777777" w:rsidR="001734EB" w:rsidRPr="00950D81" w:rsidRDefault="001734EB" w:rsidP="00054D51">
            <w:pPr>
              <w:pStyle w:val="SingleTxtG"/>
              <w:spacing w:before="40" w:after="40" w:line="220" w:lineRule="exact"/>
              <w:ind w:left="113" w:right="0"/>
              <w:jc w:val="right"/>
              <w:rPr>
                <w:sz w:val="18"/>
                <w:lang w:val="es-VE"/>
              </w:rPr>
            </w:pPr>
            <w:r w:rsidRPr="00950D81">
              <w:rPr>
                <w:sz w:val="18"/>
                <w:lang w:val="es-VE"/>
              </w:rPr>
              <w:t>446</w:t>
            </w:r>
          </w:p>
        </w:tc>
        <w:tc>
          <w:tcPr>
            <w:tcW w:w="1797" w:type="dxa"/>
            <w:tcBorders>
              <w:top w:val="single" w:sz="12" w:space="0" w:color="auto"/>
            </w:tcBorders>
            <w:shd w:val="clear" w:color="auto" w:fill="auto"/>
            <w:vAlign w:val="bottom"/>
          </w:tcPr>
          <w:p w14:paraId="175B5FAB" w14:textId="77777777" w:rsidR="001734EB" w:rsidRPr="00950D81" w:rsidRDefault="001734EB" w:rsidP="00054D51">
            <w:pPr>
              <w:pStyle w:val="SingleTxtG"/>
              <w:spacing w:before="40" w:after="40" w:line="220" w:lineRule="exact"/>
              <w:ind w:left="113" w:right="0"/>
              <w:jc w:val="right"/>
              <w:rPr>
                <w:sz w:val="18"/>
                <w:lang w:val="es-VE"/>
              </w:rPr>
            </w:pPr>
            <w:r w:rsidRPr="00950D81">
              <w:rPr>
                <w:sz w:val="18"/>
                <w:lang w:val="es-VE"/>
              </w:rPr>
              <w:t>564</w:t>
            </w:r>
          </w:p>
        </w:tc>
        <w:tc>
          <w:tcPr>
            <w:tcW w:w="1797" w:type="dxa"/>
            <w:tcBorders>
              <w:top w:val="single" w:sz="12" w:space="0" w:color="auto"/>
            </w:tcBorders>
            <w:shd w:val="clear" w:color="auto" w:fill="auto"/>
            <w:vAlign w:val="bottom"/>
          </w:tcPr>
          <w:p w14:paraId="2771E91B" w14:textId="77777777" w:rsidR="001734EB" w:rsidRPr="004E5744" w:rsidRDefault="001734EB" w:rsidP="00054D51">
            <w:pPr>
              <w:pStyle w:val="SingleTxtG"/>
              <w:spacing w:before="40" w:after="40" w:line="220" w:lineRule="exact"/>
              <w:ind w:left="113" w:right="0"/>
              <w:jc w:val="right"/>
              <w:rPr>
                <w:sz w:val="18"/>
                <w:lang w:val="es-VE"/>
              </w:rPr>
            </w:pPr>
            <w:r w:rsidRPr="00950D81">
              <w:rPr>
                <w:sz w:val="18"/>
                <w:lang w:val="es-VE"/>
              </w:rPr>
              <w:t>1</w:t>
            </w:r>
            <w:r w:rsidR="00950D81">
              <w:rPr>
                <w:sz w:val="18"/>
                <w:lang w:val="es-VE"/>
              </w:rPr>
              <w:t xml:space="preserve"> </w:t>
            </w:r>
            <w:r w:rsidRPr="004E5744">
              <w:rPr>
                <w:sz w:val="18"/>
                <w:lang w:val="es-VE"/>
              </w:rPr>
              <w:t>010</w:t>
            </w:r>
          </w:p>
        </w:tc>
      </w:tr>
      <w:tr w:rsidR="00950D81" w:rsidRPr="00950D81" w14:paraId="2ECFB36A" w14:textId="77777777" w:rsidTr="00054D51">
        <w:trPr>
          <w:trHeight w:val="240"/>
        </w:trPr>
        <w:tc>
          <w:tcPr>
            <w:tcW w:w="1885" w:type="dxa"/>
            <w:shd w:val="clear" w:color="auto" w:fill="auto"/>
          </w:tcPr>
          <w:p w14:paraId="58BC2AFF" w14:textId="77777777" w:rsidR="001734EB" w:rsidRPr="00950D81" w:rsidRDefault="001734EB" w:rsidP="00054D51">
            <w:pPr>
              <w:pStyle w:val="SingleTxtG"/>
              <w:spacing w:before="40" w:after="40" w:line="220" w:lineRule="exact"/>
              <w:ind w:left="0" w:right="0"/>
              <w:jc w:val="left"/>
              <w:rPr>
                <w:sz w:val="18"/>
                <w:lang w:val="es-VE"/>
              </w:rPr>
            </w:pPr>
            <w:r w:rsidRPr="00950D81">
              <w:rPr>
                <w:sz w:val="18"/>
                <w:lang w:val="es-VE"/>
              </w:rPr>
              <w:t>2016</w:t>
            </w:r>
          </w:p>
        </w:tc>
        <w:tc>
          <w:tcPr>
            <w:tcW w:w="1891" w:type="dxa"/>
            <w:shd w:val="clear" w:color="auto" w:fill="auto"/>
            <w:vAlign w:val="bottom"/>
          </w:tcPr>
          <w:p w14:paraId="45CA56AC" w14:textId="77777777" w:rsidR="001734EB" w:rsidRPr="00950D81" w:rsidRDefault="001734EB" w:rsidP="00054D51">
            <w:pPr>
              <w:pStyle w:val="SingleTxtG"/>
              <w:spacing w:before="40" w:after="40" w:line="220" w:lineRule="exact"/>
              <w:ind w:left="113" w:right="0"/>
              <w:jc w:val="right"/>
              <w:rPr>
                <w:sz w:val="18"/>
                <w:lang w:val="es-VE"/>
              </w:rPr>
            </w:pPr>
            <w:r w:rsidRPr="00950D81">
              <w:rPr>
                <w:sz w:val="18"/>
                <w:lang w:val="es-VE"/>
              </w:rPr>
              <w:t>204</w:t>
            </w:r>
          </w:p>
        </w:tc>
        <w:tc>
          <w:tcPr>
            <w:tcW w:w="1797" w:type="dxa"/>
            <w:shd w:val="clear" w:color="auto" w:fill="auto"/>
            <w:vAlign w:val="bottom"/>
          </w:tcPr>
          <w:p w14:paraId="7E6BDCBF" w14:textId="77777777" w:rsidR="001734EB" w:rsidRPr="00950D81" w:rsidRDefault="001734EB" w:rsidP="00054D51">
            <w:pPr>
              <w:pStyle w:val="SingleTxtG"/>
              <w:spacing w:before="40" w:after="40" w:line="220" w:lineRule="exact"/>
              <w:ind w:left="113" w:right="0"/>
              <w:jc w:val="right"/>
              <w:rPr>
                <w:sz w:val="18"/>
                <w:lang w:val="es-VE"/>
              </w:rPr>
            </w:pPr>
            <w:r w:rsidRPr="00950D81">
              <w:rPr>
                <w:sz w:val="18"/>
                <w:lang w:val="es-VE"/>
              </w:rPr>
              <w:t>308</w:t>
            </w:r>
          </w:p>
        </w:tc>
        <w:tc>
          <w:tcPr>
            <w:tcW w:w="1797" w:type="dxa"/>
            <w:shd w:val="clear" w:color="auto" w:fill="auto"/>
            <w:vAlign w:val="bottom"/>
          </w:tcPr>
          <w:p w14:paraId="0B008A8B" w14:textId="77777777" w:rsidR="001734EB" w:rsidRPr="00950D81" w:rsidRDefault="001734EB" w:rsidP="00054D51">
            <w:pPr>
              <w:pStyle w:val="SingleTxtG"/>
              <w:spacing w:before="40" w:after="40" w:line="220" w:lineRule="exact"/>
              <w:ind w:left="113" w:right="0"/>
              <w:jc w:val="right"/>
              <w:rPr>
                <w:sz w:val="18"/>
                <w:lang w:val="es-VE"/>
              </w:rPr>
            </w:pPr>
            <w:r w:rsidRPr="00950D81">
              <w:rPr>
                <w:sz w:val="18"/>
                <w:lang w:val="es-VE"/>
              </w:rPr>
              <w:t>512</w:t>
            </w:r>
          </w:p>
        </w:tc>
      </w:tr>
      <w:tr w:rsidR="00950D81" w:rsidRPr="00950D81" w14:paraId="054884A1" w14:textId="77777777" w:rsidTr="00054D51">
        <w:trPr>
          <w:trHeight w:val="240"/>
        </w:trPr>
        <w:tc>
          <w:tcPr>
            <w:tcW w:w="1885" w:type="dxa"/>
            <w:shd w:val="clear" w:color="auto" w:fill="auto"/>
          </w:tcPr>
          <w:p w14:paraId="7122B6D5" w14:textId="77777777" w:rsidR="001734EB" w:rsidRPr="00950D81" w:rsidRDefault="001734EB" w:rsidP="00054D51">
            <w:pPr>
              <w:pStyle w:val="SingleTxtG"/>
              <w:spacing w:before="40" w:after="40" w:line="220" w:lineRule="exact"/>
              <w:ind w:left="0" w:right="0"/>
              <w:jc w:val="left"/>
              <w:rPr>
                <w:sz w:val="18"/>
                <w:lang w:val="es-VE"/>
              </w:rPr>
            </w:pPr>
            <w:r w:rsidRPr="00950D81">
              <w:rPr>
                <w:sz w:val="18"/>
                <w:lang w:val="es-VE"/>
              </w:rPr>
              <w:t>2017</w:t>
            </w:r>
          </w:p>
        </w:tc>
        <w:tc>
          <w:tcPr>
            <w:tcW w:w="1891" w:type="dxa"/>
            <w:shd w:val="clear" w:color="auto" w:fill="auto"/>
            <w:vAlign w:val="bottom"/>
          </w:tcPr>
          <w:p w14:paraId="5BCCF49A" w14:textId="77777777" w:rsidR="001734EB" w:rsidRPr="004E5744" w:rsidRDefault="001734EB" w:rsidP="00054D51">
            <w:pPr>
              <w:pStyle w:val="SingleTxtG"/>
              <w:spacing w:before="40" w:after="40" w:line="220" w:lineRule="exact"/>
              <w:ind w:left="113" w:right="0"/>
              <w:jc w:val="right"/>
              <w:rPr>
                <w:sz w:val="18"/>
                <w:lang w:val="es-VE"/>
              </w:rPr>
            </w:pPr>
            <w:r w:rsidRPr="00950D81">
              <w:rPr>
                <w:sz w:val="18"/>
                <w:lang w:val="es-VE"/>
              </w:rPr>
              <w:t>1</w:t>
            </w:r>
            <w:r w:rsidR="00950D81">
              <w:rPr>
                <w:sz w:val="18"/>
                <w:lang w:val="es-VE"/>
              </w:rPr>
              <w:t xml:space="preserve"> </w:t>
            </w:r>
            <w:r w:rsidRPr="004E5744">
              <w:rPr>
                <w:sz w:val="18"/>
                <w:lang w:val="es-VE"/>
              </w:rPr>
              <w:t>529</w:t>
            </w:r>
          </w:p>
        </w:tc>
        <w:tc>
          <w:tcPr>
            <w:tcW w:w="1797" w:type="dxa"/>
            <w:shd w:val="clear" w:color="auto" w:fill="auto"/>
            <w:vAlign w:val="bottom"/>
          </w:tcPr>
          <w:p w14:paraId="60D08F16" w14:textId="77777777" w:rsidR="001734EB" w:rsidRPr="004E5744" w:rsidRDefault="001734EB" w:rsidP="00054D51">
            <w:pPr>
              <w:pStyle w:val="SingleTxtG"/>
              <w:spacing w:before="40" w:after="40" w:line="220" w:lineRule="exact"/>
              <w:ind w:left="113" w:right="0"/>
              <w:jc w:val="right"/>
              <w:rPr>
                <w:sz w:val="18"/>
                <w:lang w:val="es-VE"/>
              </w:rPr>
            </w:pPr>
            <w:r w:rsidRPr="004E5744">
              <w:rPr>
                <w:sz w:val="18"/>
                <w:lang w:val="es-VE"/>
              </w:rPr>
              <w:t>2</w:t>
            </w:r>
            <w:r w:rsidR="00950D81">
              <w:rPr>
                <w:sz w:val="18"/>
                <w:lang w:val="es-VE"/>
              </w:rPr>
              <w:t xml:space="preserve"> </w:t>
            </w:r>
            <w:r w:rsidRPr="004E5744">
              <w:rPr>
                <w:sz w:val="18"/>
                <w:lang w:val="es-VE"/>
              </w:rPr>
              <w:t>589</w:t>
            </w:r>
          </w:p>
        </w:tc>
        <w:tc>
          <w:tcPr>
            <w:tcW w:w="1797" w:type="dxa"/>
            <w:shd w:val="clear" w:color="auto" w:fill="auto"/>
            <w:vAlign w:val="bottom"/>
          </w:tcPr>
          <w:p w14:paraId="3C0E2259" w14:textId="77777777" w:rsidR="001734EB" w:rsidRPr="004E5744" w:rsidRDefault="001734EB" w:rsidP="00054D51">
            <w:pPr>
              <w:pStyle w:val="SingleTxtG"/>
              <w:spacing w:before="40" w:after="40" w:line="220" w:lineRule="exact"/>
              <w:ind w:left="113" w:right="0"/>
              <w:jc w:val="right"/>
              <w:rPr>
                <w:sz w:val="18"/>
                <w:lang w:val="es-VE"/>
              </w:rPr>
            </w:pPr>
            <w:r w:rsidRPr="004E5744">
              <w:rPr>
                <w:sz w:val="18"/>
                <w:lang w:val="es-VE"/>
              </w:rPr>
              <w:t>4</w:t>
            </w:r>
            <w:r w:rsidR="00950D81">
              <w:rPr>
                <w:sz w:val="18"/>
                <w:lang w:val="es-VE"/>
              </w:rPr>
              <w:t xml:space="preserve"> </w:t>
            </w:r>
            <w:r w:rsidRPr="004E5744">
              <w:rPr>
                <w:sz w:val="18"/>
                <w:lang w:val="es-VE"/>
              </w:rPr>
              <w:t>118</w:t>
            </w:r>
          </w:p>
        </w:tc>
      </w:tr>
      <w:tr w:rsidR="00950D81" w:rsidRPr="00950D81" w14:paraId="2F54D8AA" w14:textId="77777777" w:rsidTr="00054D51">
        <w:trPr>
          <w:trHeight w:val="240"/>
        </w:trPr>
        <w:tc>
          <w:tcPr>
            <w:tcW w:w="1885" w:type="dxa"/>
            <w:shd w:val="clear" w:color="auto" w:fill="auto"/>
          </w:tcPr>
          <w:p w14:paraId="4A14D53A" w14:textId="77777777" w:rsidR="001734EB" w:rsidRPr="00950D81" w:rsidRDefault="001734EB" w:rsidP="00054D51">
            <w:pPr>
              <w:pStyle w:val="SingleTxtG"/>
              <w:spacing w:before="40" w:after="40" w:line="220" w:lineRule="exact"/>
              <w:ind w:left="0" w:right="0"/>
              <w:jc w:val="left"/>
              <w:rPr>
                <w:sz w:val="18"/>
                <w:lang w:val="es-VE"/>
              </w:rPr>
            </w:pPr>
            <w:r w:rsidRPr="00950D81">
              <w:rPr>
                <w:sz w:val="18"/>
                <w:lang w:val="es-VE"/>
              </w:rPr>
              <w:t>2018</w:t>
            </w:r>
          </w:p>
        </w:tc>
        <w:tc>
          <w:tcPr>
            <w:tcW w:w="1891" w:type="dxa"/>
            <w:shd w:val="clear" w:color="auto" w:fill="auto"/>
            <w:vAlign w:val="bottom"/>
          </w:tcPr>
          <w:p w14:paraId="1C44E984" w14:textId="77777777" w:rsidR="001734EB" w:rsidRPr="004E5744" w:rsidRDefault="001734EB" w:rsidP="00054D51">
            <w:pPr>
              <w:pStyle w:val="SingleTxtG"/>
              <w:spacing w:before="40" w:after="40" w:line="220" w:lineRule="exact"/>
              <w:ind w:left="113" w:right="0"/>
              <w:jc w:val="right"/>
              <w:rPr>
                <w:sz w:val="18"/>
                <w:lang w:val="es-VE"/>
              </w:rPr>
            </w:pPr>
            <w:r w:rsidRPr="00950D81">
              <w:rPr>
                <w:sz w:val="18"/>
                <w:lang w:val="es-VE"/>
              </w:rPr>
              <w:t>3</w:t>
            </w:r>
            <w:r w:rsidR="00950D81">
              <w:rPr>
                <w:sz w:val="18"/>
                <w:lang w:val="es-VE"/>
              </w:rPr>
              <w:t xml:space="preserve"> </w:t>
            </w:r>
            <w:r w:rsidRPr="004E5744">
              <w:rPr>
                <w:sz w:val="18"/>
                <w:lang w:val="es-VE"/>
              </w:rPr>
              <w:t>904</w:t>
            </w:r>
          </w:p>
        </w:tc>
        <w:tc>
          <w:tcPr>
            <w:tcW w:w="1797" w:type="dxa"/>
            <w:shd w:val="clear" w:color="auto" w:fill="auto"/>
            <w:vAlign w:val="bottom"/>
          </w:tcPr>
          <w:p w14:paraId="1ABF1F75" w14:textId="77777777" w:rsidR="001734EB" w:rsidRPr="004E5744" w:rsidRDefault="001734EB" w:rsidP="00054D51">
            <w:pPr>
              <w:pStyle w:val="SingleTxtG"/>
              <w:spacing w:before="40" w:after="40" w:line="220" w:lineRule="exact"/>
              <w:ind w:left="113" w:right="0"/>
              <w:jc w:val="right"/>
              <w:rPr>
                <w:sz w:val="18"/>
                <w:lang w:val="es-VE"/>
              </w:rPr>
            </w:pPr>
            <w:r w:rsidRPr="004E5744">
              <w:rPr>
                <w:sz w:val="18"/>
                <w:lang w:val="es-VE"/>
              </w:rPr>
              <w:t>5</w:t>
            </w:r>
            <w:r w:rsidR="00950D81">
              <w:rPr>
                <w:sz w:val="18"/>
                <w:lang w:val="es-VE"/>
              </w:rPr>
              <w:t xml:space="preserve"> </w:t>
            </w:r>
            <w:r w:rsidRPr="004E5744">
              <w:rPr>
                <w:sz w:val="18"/>
                <w:lang w:val="es-VE"/>
              </w:rPr>
              <w:t>826</w:t>
            </w:r>
          </w:p>
        </w:tc>
        <w:tc>
          <w:tcPr>
            <w:tcW w:w="1797" w:type="dxa"/>
            <w:shd w:val="clear" w:color="auto" w:fill="auto"/>
            <w:vAlign w:val="bottom"/>
          </w:tcPr>
          <w:p w14:paraId="31268F51" w14:textId="77777777" w:rsidR="001734EB" w:rsidRPr="004E5744" w:rsidRDefault="001734EB" w:rsidP="00054D51">
            <w:pPr>
              <w:pStyle w:val="SingleTxtG"/>
              <w:spacing w:before="40" w:after="40" w:line="220" w:lineRule="exact"/>
              <w:ind w:left="113" w:right="0"/>
              <w:jc w:val="right"/>
              <w:rPr>
                <w:sz w:val="18"/>
                <w:lang w:val="es-VE"/>
              </w:rPr>
            </w:pPr>
            <w:r w:rsidRPr="004E5744">
              <w:rPr>
                <w:sz w:val="18"/>
                <w:lang w:val="es-VE"/>
              </w:rPr>
              <w:t>9</w:t>
            </w:r>
            <w:r w:rsidR="00950D81">
              <w:rPr>
                <w:sz w:val="18"/>
                <w:lang w:val="es-VE"/>
              </w:rPr>
              <w:t xml:space="preserve"> </w:t>
            </w:r>
            <w:r w:rsidRPr="004E5744">
              <w:rPr>
                <w:sz w:val="18"/>
                <w:lang w:val="es-VE"/>
              </w:rPr>
              <w:t>730</w:t>
            </w:r>
          </w:p>
        </w:tc>
      </w:tr>
      <w:tr w:rsidR="00950D81" w:rsidRPr="00950D81" w14:paraId="0BD4006F" w14:textId="77777777" w:rsidTr="00054D51">
        <w:trPr>
          <w:trHeight w:val="240"/>
        </w:trPr>
        <w:tc>
          <w:tcPr>
            <w:tcW w:w="1885" w:type="dxa"/>
            <w:tcBorders>
              <w:bottom w:val="single" w:sz="4" w:space="0" w:color="auto"/>
            </w:tcBorders>
            <w:shd w:val="clear" w:color="auto" w:fill="auto"/>
          </w:tcPr>
          <w:p w14:paraId="6508BB1C" w14:textId="77777777" w:rsidR="001734EB" w:rsidRPr="00950D81" w:rsidRDefault="001734EB" w:rsidP="00054D51">
            <w:pPr>
              <w:pStyle w:val="SingleTxtG"/>
              <w:spacing w:before="40" w:after="40" w:line="220" w:lineRule="exact"/>
              <w:ind w:left="0" w:right="0"/>
              <w:jc w:val="left"/>
              <w:rPr>
                <w:sz w:val="18"/>
                <w:lang w:val="es-VE"/>
              </w:rPr>
            </w:pPr>
            <w:r w:rsidRPr="00950D81">
              <w:rPr>
                <w:sz w:val="18"/>
                <w:lang w:val="es-VE"/>
              </w:rPr>
              <w:t>2019</w:t>
            </w:r>
          </w:p>
        </w:tc>
        <w:tc>
          <w:tcPr>
            <w:tcW w:w="1891" w:type="dxa"/>
            <w:tcBorders>
              <w:bottom w:val="single" w:sz="4" w:space="0" w:color="auto"/>
            </w:tcBorders>
            <w:shd w:val="clear" w:color="auto" w:fill="auto"/>
            <w:vAlign w:val="bottom"/>
          </w:tcPr>
          <w:p w14:paraId="1AFF1AB5" w14:textId="77777777" w:rsidR="001734EB" w:rsidRPr="004E5744" w:rsidRDefault="001734EB" w:rsidP="00054D51">
            <w:pPr>
              <w:pStyle w:val="SingleTxtG"/>
              <w:spacing w:before="40" w:after="40" w:line="220" w:lineRule="exact"/>
              <w:ind w:left="113" w:right="0"/>
              <w:jc w:val="right"/>
              <w:rPr>
                <w:sz w:val="18"/>
                <w:lang w:val="es-VE"/>
              </w:rPr>
            </w:pPr>
            <w:r w:rsidRPr="00950D81">
              <w:rPr>
                <w:sz w:val="18"/>
                <w:lang w:val="es-VE"/>
              </w:rPr>
              <w:t>3</w:t>
            </w:r>
            <w:r w:rsidR="00950D81">
              <w:rPr>
                <w:sz w:val="18"/>
                <w:lang w:val="es-VE"/>
              </w:rPr>
              <w:t xml:space="preserve"> </w:t>
            </w:r>
            <w:r w:rsidRPr="004E5744">
              <w:rPr>
                <w:sz w:val="18"/>
                <w:lang w:val="es-VE"/>
              </w:rPr>
              <w:t>277</w:t>
            </w:r>
          </w:p>
        </w:tc>
        <w:tc>
          <w:tcPr>
            <w:tcW w:w="1797" w:type="dxa"/>
            <w:tcBorders>
              <w:bottom w:val="single" w:sz="4" w:space="0" w:color="auto"/>
            </w:tcBorders>
            <w:shd w:val="clear" w:color="auto" w:fill="auto"/>
            <w:vAlign w:val="bottom"/>
          </w:tcPr>
          <w:p w14:paraId="47B05D0F" w14:textId="77777777" w:rsidR="001734EB" w:rsidRPr="004E5744" w:rsidRDefault="001734EB" w:rsidP="00054D51">
            <w:pPr>
              <w:pStyle w:val="SingleTxtG"/>
              <w:spacing w:before="40" w:after="40" w:line="220" w:lineRule="exact"/>
              <w:ind w:left="113" w:right="0"/>
              <w:jc w:val="right"/>
              <w:rPr>
                <w:sz w:val="18"/>
                <w:lang w:val="es-VE"/>
              </w:rPr>
            </w:pPr>
            <w:r w:rsidRPr="004E5744">
              <w:rPr>
                <w:sz w:val="18"/>
                <w:lang w:val="es-VE"/>
              </w:rPr>
              <w:t>5</w:t>
            </w:r>
            <w:r w:rsidR="00950D81">
              <w:rPr>
                <w:sz w:val="18"/>
                <w:lang w:val="es-VE"/>
              </w:rPr>
              <w:t xml:space="preserve"> </w:t>
            </w:r>
            <w:r w:rsidRPr="004E5744">
              <w:rPr>
                <w:sz w:val="18"/>
                <w:lang w:val="es-VE"/>
              </w:rPr>
              <w:t>390</w:t>
            </w:r>
          </w:p>
        </w:tc>
        <w:tc>
          <w:tcPr>
            <w:tcW w:w="1797" w:type="dxa"/>
            <w:tcBorders>
              <w:bottom w:val="single" w:sz="4" w:space="0" w:color="auto"/>
            </w:tcBorders>
            <w:shd w:val="clear" w:color="auto" w:fill="auto"/>
            <w:vAlign w:val="bottom"/>
          </w:tcPr>
          <w:p w14:paraId="53EED0FB" w14:textId="77777777" w:rsidR="001734EB" w:rsidRPr="004E5744" w:rsidRDefault="001734EB" w:rsidP="00054D51">
            <w:pPr>
              <w:pStyle w:val="SingleTxtG"/>
              <w:spacing w:before="40" w:after="40" w:line="220" w:lineRule="exact"/>
              <w:ind w:left="113" w:right="0"/>
              <w:jc w:val="right"/>
              <w:rPr>
                <w:sz w:val="18"/>
                <w:lang w:val="es-VE"/>
              </w:rPr>
            </w:pPr>
            <w:r w:rsidRPr="004E5744">
              <w:rPr>
                <w:sz w:val="18"/>
                <w:lang w:val="es-VE"/>
              </w:rPr>
              <w:t>8</w:t>
            </w:r>
            <w:r w:rsidR="00950D81">
              <w:rPr>
                <w:sz w:val="18"/>
                <w:lang w:val="es-VE"/>
              </w:rPr>
              <w:t xml:space="preserve"> </w:t>
            </w:r>
            <w:r w:rsidRPr="004E5744">
              <w:rPr>
                <w:sz w:val="18"/>
                <w:lang w:val="es-VE"/>
              </w:rPr>
              <w:t>667</w:t>
            </w:r>
          </w:p>
        </w:tc>
      </w:tr>
      <w:tr w:rsidR="00950D81" w:rsidRPr="00950D81" w14:paraId="6EBBDDCA" w14:textId="77777777" w:rsidTr="00054D51">
        <w:trPr>
          <w:trHeight w:val="240"/>
        </w:trPr>
        <w:tc>
          <w:tcPr>
            <w:tcW w:w="1885" w:type="dxa"/>
            <w:tcBorders>
              <w:top w:val="single" w:sz="4" w:space="0" w:color="auto"/>
              <w:bottom w:val="single" w:sz="12" w:space="0" w:color="auto"/>
            </w:tcBorders>
            <w:shd w:val="clear" w:color="auto" w:fill="auto"/>
          </w:tcPr>
          <w:p w14:paraId="5F214E3B" w14:textId="77777777" w:rsidR="001734EB" w:rsidRPr="004E5744" w:rsidRDefault="00950D81" w:rsidP="00054D51">
            <w:pPr>
              <w:pStyle w:val="SingleTxtG"/>
              <w:spacing w:before="80" w:after="80" w:line="220" w:lineRule="exact"/>
              <w:ind w:left="283" w:right="0"/>
              <w:jc w:val="left"/>
              <w:rPr>
                <w:b/>
                <w:sz w:val="18"/>
                <w:lang w:val="es-VE"/>
              </w:rPr>
            </w:pPr>
            <w:r w:rsidRPr="00054D51">
              <w:rPr>
                <w:b/>
                <w:sz w:val="18"/>
                <w:lang w:val="es-VE"/>
              </w:rPr>
              <w:t>Total</w:t>
            </w:r>
          </w:p>
        </w:tc>
        <w:tc>
          <w:tcPr>
            <w:tcW w:w="1891" w:type="dxa"/>
            <w:tcBorders>
              <w:top w:val="single" w:sz="4" w:space="0" w:color="auto"/>
              <w:bottom w:val="single" w:sz="12" w:space="0" w:color="auto"/>
            </w:tcBorders>
            <w:shd w:val="clear" w:color="auto" w:fill="auto"/>
            <w:vAlign w:val="bottom"/>
          </w:tcPr>
          <w:p w14:paraId="1BC31835" w14:textId="77777777" w:rsidR="001734EB" w:rsidRPr="004E5744" w:rsidRDefault="001734EB" w:rsidP="00054D51">
            <w:pPr>
              <w:pStyle w:val="SingleTxtG"/>
              <w:spacing w:before="80" w:after="80" w:line="220" w:lineRule="exact"/>
              <w:ind w:left="0" w:right="0"/>
              <w:jc w:val="right"/>
              <w:rPr>
                <w:b/>
                <w:sz w:val="18"/>
                <w:lang w:val="es-VE"/>
              </w:rPr>
            </w:pPr>
            <w:r w:rsidRPr="004E5744">
              <w:rPr>
                <w:b/>
                <w:sz w:val="18"/>
                <w:lang w:val="es-VE"/>
              </w:rPr>
              <w:t>9</w:t>
            </w:r>
            <w:r w:rsidR="00950D81">
              <w:rPr>
                <w:b/>
                <w:sz w:val="18"/>
                <w:lang w:val="es-VE"/>
              </w:rPr>
              <w:t xml:space="preserve"> </w:t>
            </w:r>
            <w:r w:rsidRPr="004E5744">
              <w:rPr>
                <w:b/>
                <w:sz w:val="18"/>
                <w:lang w:val="es-VE"/>
              </w:rPr>
              <w:t>360</w:t>
            </w:r>
          </w:p>
        </w:tc>
        <w:tc>
          <w:tcPr>
            <w:tcW w:w="1797" w:type="dxa"/>
            <w:tcBorders>
              <w:top w:val="single" w:sz="4" w:space="0" w:color="auto"/>
              <w:bottom w:val="single" w:sz="12" w:space="0" w:color="auto"/>
            </w:tcBorders>
            <w:shd w:val="clear" w:color="auto" w:fill="auto"/>
            <w:vAlign w:val="bottom"/>
          </w:tcPr>
          <w:p w14:paraId="26847CE0" w14:textId="77777777" w:rsidR="001734EB" w:rsidRPr="004E5744" w:rsidRDefault="001734EB" w:rsidP="00054D51">
            <w:pPr>
              <w:pStyle w:val="SingleTxtG"/>
              <w:spacing w:before="80" w:after="80" w:line="220" w:lineRule="exact"/>
              <w:ind w:left="0" w:right="0"/>
              <w:jc w:val="right"/>
              <w:rPr>
                <w:b/>
                <w:sz w:val="18"/>
                <w:lang w:val="es-VE"/>
              </w:rPr>
            </w:pPr>
            <w:r w:rsidRPr="004E5744">
              <w:rPr>
                <w:b/>
                <w:sz w:val="18"/>
                <w:lang w:val="es-VE"/>
              </w:rPr>
              <w:t>14</w:t>
            </w:r>
            <w:r w:rsidR="00950D81">
              <w:rPr>
                <w:b/>
                <w:sz w:val="18"/>
                <w:lang w:val="es-VE"/>
              </w:rPr>
              <w:t xml:space="preserve"> </w:t>
            </w:r>
            <w:r w:rsidRPr="004E5744">
              <w:rPr>
                <w:b/>
                <w:sz w:val="18"/>
                <w:lang w:val="es-VE"/>
              </w:rPr>
              <w:t>667</w:t>
            </w:r>
          </w:p>
        </w:tc>
        <w:tc>
          <w:tcPr>
            <w:tcW w:w="1797" w:type="dxa"/>
            <w:tcBorders>
              <w:top w:val="single" w:sz="4" w:space="0" w:color="auto"/>
              <w:bottom w:val="single" w:sz="12" w:space="0" w:color="auto"/>
            </w:tcBorders>
            <w:shd w:val="clear" w:color="auto" w:fill="auto"/>
            <w:vAlign w:val="bottom"/>
          </w:tcPr>
          <w:p w14:paraId="43B76C20" w14:textId="77777777" w:rsidR="001734EB" w:rsidRPr="004E5744" w:rsidRDefault="001734EB" w:rsidP="00054D51">
            <w:pPr>
              <w:pStyle w:val="SingleTxtG"/>
              <w:spacing w:before="80" w:after="80" w:line="220" w:lineRule="exact"/>
              <w:ind w:left="0" w:right="0"/>
              <w:jc w:val="right"/>
              <w:rPr>
                <w:b/>
                <w:sz w:val="18"/>
                <w:lang w:val="es-VE"/>
              </w:rPr>
            </w:pPr>
            <w:r w:rsidRPr="00950D81">
              <w:rPr>
                <w:b/>
                <w:sz w:val="18"/>
                <w:lang w:val="es-VE"/>
              </w:rPr>
              <w:t>24</w:t>
            </w:r>
            <w:r w:rsidR="00950D81">
              <w:rPr>
                <w:b/>
                <w:sz w:val="18"/>
                <w:lang w:val="es-VE"/>
              </w:rPr>
              <w:t xml:space="preserve"> </w:t>
            </w:r>
            <w:r w:rsidRPr="004E5744">
              <w:rPr>
                <w:b/>
                <w:sz w:val="18"/>
                <w:lang w:val="es-VE"/>
              </w:rPr>
              <w:t>037</w:t>
            </w:r>
          </w:p>
        </w:tc>
      </w:tr>
    </w:tbl>
    <w:p w14:paraId="38388A3D" w14:textId="77777777" w:rsidR="001734EB" w:rsidRPr="00077437" w:rsidRDefault="00950D81" w:rsidP="00054D51">
      <w:pPr>
        <w:pStyle w:val="H1G"/>
        <w:rPr>
          <w:lang w:val="es-VE"/>
        </w:rPr>
      </w:pPr>
      <w:r>
        <w:rPr>
          <w:lang w:val="es-VE"/>
        </w:rPr>
        <w:tab/>
      </w:r>
      <w:r>
        <w:rPr>
          <w:lang w:val="es-VE"/>
        </w:rPr>
        <w:tab/>
      </w:r>
      <w:r w:rsidR="001734EB" w:rsidRPr="00077437">
        <w:rPr>
          <w:lang w:val="es-VE"/>
        </w:rPr>
        <w:t>Accesibilidad (art. 9)</w:t>
      </w:r>
    </w:p>
    <w:p w14:paraId="6C1C29BD" w14:textId="77777777" w:rsidR="001734EB" w:rsidRPr="00077437" w:rsidRDefault="00950D81" w:rsidP="00054D51">
      <w:pPr>
        <w:pStyle w:val="H1G"/>
        <w:rPr>
          <w:lang w:val="es-VE"/>
        </w:rPr>
      </w:pPr>
      <w:r>
        <w:tab/>
      </w:r>
      <w:r>
        <w:tab/>
      </w:r>
      <w:r w:rsidR="00C154C7" w:rsidRPr="00F96454">
        <w:t xml:space="preserve">Respuesta </w:t>
      </w:r>
      <w:r w:rsidR="00C154C7">
        <w:t xml:space="preserve">a la </w:t>
      </w:r>
      <w:r w:rsidR="00C154C7">
        <w:rPr>
          <w:lang w:val="es-VE"/>
        </w:rPr>
        <w:t>c</w:t>
      </w:r>
      <w:r w:rsidR="001734EB" w:rsidRPr="00077437">
        <w:rPr>
          <w:lang w:val="es-VE"/>
        </w:rPr>
        <w:t xml:space="preserve">uestión 9 </w:t>
      </w:r>
      <w:bookmarkEnd w:id="1"/>
      <w:bookmarkEnd w:id="2"/>
    </w:p>
    <w:p w14:paraId="0F7A20DD" w14:textId="77777777" w:rsidR="001734EB" w:rsidRPr="00077437" w:rsidRDefault="00950D81" w:rsidP="00054D51">
      <w:pPr>
        <w:pStyle w:val="SingleTxtG"/>
      </w:pPr>
      <w:bookmarkStart w:id="3" w:name="OLE_LINK27"/>
      <w:bookmarkStart w:id="4" w:name="OLE_LINK28"/>
      <w:r>
        <w:t>38.</w:t>
      </w:r>
      <w:r>
        <w:tab/>
      </w:r>
      <w:r w:rsidR="001734EB" w:rsidRPr="00077437">
        <w:t xml:space="preserve">El artículo 31 de la </w:t>
      </w:r>
      <w:proofErr w:type="spellStart"/>
      <w:r w:rsidR="001734EB" w:rsidRPr="00077437">
        <w:t>LPCD</w:t>
      </w:r>
      <w:proofErr w:type="spellEnd"/>
      <w:r w:rsidR="001734EB" w:rsidRPr="00077437">
        <w:t xml:space="preserve"> establece la obligación de todos los órganos públicos, empresas y particulares de cumplir con las normas de la Comisión Venezolana de Normas Industriales (COVENIN), así como las reglamentaciones de los organismos competentes, relativas a la accesibilidad y </w:t>
      </w:r>
      <w:proofErr w:type="spellStart"/>
      <w:r w:rsidR="001734EB" w:rsidRPr="00077437">
        <w:t>transitabilidad</w:t>
      </w:r>
      <w:proofErr w:type="spellEnd"/>
      <w:r w:rsidR="001734EB" w:rsidRPr="00077437">
        <w:t xml:space="preserve"> de las personas con discapacidad, en toda obra de construcción o remodelación de edificaciones y medios urbanos o rurales. La sanción por la violación de esta obligación está prevista en el artículo 86 de la </w:t>
      </w:r>
      <w:proofErr w:type="spellStart"/>
      <w:r w:rsidR="001734EB" w:rsidRPr="00077437">
        <w:t>LPCD</w:t>
      </w:r>
      <w:proofErr w:type="spellEnd"/>
      <w:r w:rsidR="001734EB" w:rsidRPr="00077437">
        <w:t xml:space="preserve">. </w:t>
      </w:r>
    </w:p>
    <w:p w14:paraId="5B4B72A9" w14:textId="77777777" w:rsidR="001734EB" w:rsidRPr="00077437" w:rsidRDefault="00950D81" w:rsidP="00054D51">
      <w:pPr>
        <w:pStyle w:val="SingleTxtG"/>
      </w:pPr>
      <w:r>
        <w:t>39.</w:t>
      </w:r>
      <w:r>
        <w:tab/>
      </w:r>
      <w:r w:rsidR="001734EB" w:rsidRPr="00077437">
        <w:t>En materia de telecomunicaciones, la Ley Orgánica de Telecomunicaciones (</w:t>
      </w:r>
      <w:proofErr w:type="spellStart"/>
      <w:r w:rsidR="001734EB" w:rsidRPr="00077437">
        <w:t>LOTEL</w:t>
      </w:r>
      <w:proofErr w:type="spellEnd"/>
      <w:r w:rsidR="001734EB" w:rsidRPr="00077437">
        <w:t>)</w:t>
      </w:r>
      <w:r w:rsidR="001734EB" w:rsidRPr="00054D51">
        <w:rPr>
          <w:sz w:val="18"/>
          <w:vertAlign w:val="superscript"/>
        </w:rPr>
        <w:footnoteReference w:id="19"/>
      </w:r>
      <w:r w:rsidR="001734EB" w:rsidRPr="00077437">
        <w:t xml:space="preserve"> prevé la necesidad de asegurar que las </w:t>
      </w:r>
      <w:proofErr w:type="spellStart"/>
      <w:r w:rsidR="001734EB" w:rsidRPr="00077437">
        <w:t>PcD</w:t>
      </w:r>
      <w:proofErr w:type="spellEnd"/>
      <w:r w:rsidR="001734EB" w:rsidRPr="00077437">
        <w:t xml:space="preserve"> tengan acceso al servicio telefónico fijo, en condiciones equiparables a las que se ofrecen al resto de usuarios. Para alcanzar este objetivo, se dictó el Reglamento para la Protección de los Derechos de los Usuarios de los Servicios de Telecomunicaciones</w:t>
      </w:r>
      <w:r w:rsidR="001734EB" w:rsidRPr="00054D51">
        <w:rPr>
          <w:sz w:val="18"/>
          <w:vertAlign w:val="superscript"/>
        </w:rPr>
        <w:footnoteReference w:id="20"/>
      </w:r>
      <w:r w:rsidR="001734EB" w:rsidRPr="00077437">
        <w:t xml:space="preserve">, el cual impone el deber a los operadores de servicios de telecomunicaciones de disponer de equipos terminales adecuados a los diferentes tipos de discapacidades, en conjunto con una oferta tecnológicamente actualizada de terminales especiales, adaptados según el servicio prestado. Esta obligación se encuentra prevista igualmente en el artículo 44 de la </w:t>
      </w:r>
      <w:proofErr w:type="spellStart"/>
      <w:r w:rsidR="001734EB" w:rsidRPr="00077437">
        <w:t>LPCD</w:t>
      </w:r>
      <w:proofErr w:type="spellEnd"/>
      <w:r w:rsidR="001734EB" w:rsidRPr="00077437">
        <w:t xml:space="preserve"> y su incumplimiento es sancionado por el artículo 87 de ese instrumento. </w:t>
      </w:r>
    </w:p>
    <w:bookmarkEnd w:id="3"/>
    <w:bookmarkEnd w:id="4"/>
    <w:p w14:paraId="787A95F5" w14:textId="77777777" w:rsidR="001734EB" w:rsidRPr="00077437" w:rsidRDefault="00950D81" w:rsidP="00054D51">
      <w:pPr>
        <w:pStyle w:val="SingleTxtG"/>
        <w:rPr>
          <w:lang w:val="es-VE"/>
        </w:rPr>
      </w:pPr>
      <w:r>
        <w:rPr>
          <w:lang w:val="es-VE"/>
        </w:rPr>
        <w:t>40.</w:t>
      </w:r>
      <w:r>
        <w:rPr>
          <w:lang w:val="es-VE"/>
        </w:rPr>
        <w:tab/>
      </w:r>
      <w:r w:rsidR="001734EB" w:rsidRPr="00077437">
        <w:rPr>
          <w:lang w:val="es-VE"/>
        </w:rPr>
        <w:t xml:space="preserve">El </w:t>
      </w:r>
      <w:proofErr w:type="spellStart"/>
      <w:r w:rsidR="001734EB" w:rsidRPr="00077437">
        <w:rPr>
          <w:lang w:val="es-VE"/>
        </w:rPr>
        <w:t>CONAPDIS</w:t>
      </w:r>
      <w:proofErr w:type="spellEnd"/>
      <w:r w:rsidR="001734EB" w:rsidRPr="00077437">
        <w:rPr>
          <w:lang w:val="es-VE"/>
        </w:rPr>
        <w:t xml:space="preserve"> tiene la competencia de velar por el cumplimiento del ordenamiento jurídico en materia de accesibilidad de las </w:t>
      </w:r>
      <w:proofErr w:type="spellStart"/>
      <w:r w:rsidR="001734EB" w:rsidRPr="00077437">
        <w:rPr>
          <w:lang w:val="es-VE"/>
        </w:rPr>
        <w:t>PcD</w:t>
      </w:r>
      <w:proofErr w:type="spellEnd"/>
      <w:r w:rsidR="001734EB" w:rsidRPr="00077437">
        <w:rPr>
          <w:lang w:val="es-VE"/>
        </w:rPr>
        <w:t xml:space="preserve"> y sancionar el incumplimiento o inobservancia de las obligaciones previstas en la </w:t>
      </w:r>
      <w:proofErr w:type="spellStart"/>
      <w:r w:rsidR="001734EB" w:rsidRPr="00077437">
        <w:rPr>
          <w:lang w:val="es-VE"/>
        </w:rPr>
        <w:t>LPCD</w:t>
      </w:r>
      <w:proofErr w:type="spellEnd"/>
      <w:r w:rsidR="001734EB" w:rsidRPr="00077437">
        <w:rPr>
          <w:lang w:val="es-VE"/>
        </w:rPr>
        <w:t>, conforme al artículo 73 de este instrumento</w:t>
      </w:r>
      <w:bookmarkStart w:id="5" w:name="OLE_LINK12"/>
      <w:bookmarkStart w:id="6" w:name="OLE_LINK2"/>
      <w:bookmarkStart w:id="7" w:name="OLE_LINK1"/>
      <w:r w:rsidR="001734EB" w:rsidRPr="00077437">
        <w:rPr>
          <w:lang w:val="es-VE"/>
        </w:rPr>
        <w:t xml:space="preserve">. Para tal fin, realiza inspecciones en las entidades públicas, privadas y mixtas. </w:t>
      </w:r>
    </w:p>
    <w:p w14:paraId="11D7CCAC" w14:textId="77777777" w:rsidR="001734EB" w:rsidRPr="00077437" w:rsidRDefault="00950D81" w:rsidP="00054D51">
      <w:pPr>
        <w:pStyle w:val="SingleTxtG"/>
        <w:rPr>
          <w:lang w:val="es-VE"/>
        </w:rPr>
      </w:pPr>
      <w:r>
        <w:rPr>
          <w:lang w:val="es-VE"/>
        </w:rPr>
        <w:t>41.</w:t>
      </w:r>
      <w:r>
        <w:rPr>
          <w:lang w:val="es-VE"/>
        </w:rPr>
        <w:tab/>
      </w:r>
      <w:r w:rsidR="001734EB" w:rsidRPr="00077437">
        <w:rPr>
          <w:lang w:val="es-VE"/>
        </w:rPr>
        <w:t xml:space="preserve">Asimismo, el </w:t>
      </w:r>
      <w:proofErr w:type="spellStart"/>
      <w:r w:rsidR="001734EB" w:rsidRPr="00077437">
        <w:rPr>
          <w:lang w:val="es-VE"/>
        </w:rPr>
        <w:t>CONAPDIS</w:t>
      </w:r>
      <w:proofErr w:type="spellEnd"/>
      <w:r w:rsidR="001734EB" w:rsidRPr="00077437">
        <w:rPr>
          <w:lang w:val="es-VE"/>
        </w:rPr>
        <w:t xml:space="preserve"> ha desarrollado jornadas de orientación y asesoría en los terminales de pasajeros, entidades públicas y privadas en todo el territorio nacional, para </w:t>
      </w:r>
      <w:r w:rsidR="001734EB" w:rsidRPr="00077437">
        <w:rPr>
          <w:lang w:val="es-VE"/>
        </w:rPr>
        <w:lastRenderedPageBreak/>
        <w:t xml:space="preserve">favorecer la inclusión y el acceso de las </w:t>
      </w:r>
      <w:proofErr w:type="spellStart"/>
      <w:r w:rsidR="001734EB" w:rsidRPr="00077437">
        <w:rPr>
          <w:lang w:val="es-VE"/>
        </w:rPr>
        <w:t>PcD</w:t>
      </w:r>
      <w:proofErr w:type="spellEnd"/>
      <w:r w:rsidR="001734EB" w:rsidRPr="00077437">
        <w:rPr>
          <w:lang w:val="es-VE"/>
        </w:rPr>
        <w:t xml:space="preserve">, generando como resultado la construcción de rampas, señalizaciones, adaptaciones en ascensores, baños, puertas y escaleras, así como atención preferencial de las </w:t>
      </w:r>
      <w:proofErr w:type="spellStart"/>
      <w:r w:rsidR="001734EB" w:rsidRPr="00077437">
        <w:rPr>
          <w:lang w:val="es-VE"/>
        </w:rPr>
        <w:t>PcD</w:t>
      </w:r>
      <w:proofErr w:type="spellEnd"/>
      <w:r w:rsidR="001734EB" w:rsidRPr="00077437">
        <w:rPr>
          <w:lang w:val="es-VE"/>
        </w:rPr>
        <w:t>.</w:t>
      </w:r>
    </w:p>
    <w:p w14:paraId="1ED38EEB" w14:textId="77777777" w:rsidR="001734EB" w:rsidRPr="00077437" w:rsidRDefault="00950D81" w:rsidP="00054D51">
      <w:pPr>
        <w:pStyle w:val="SingleTxtG"/>
        <w:rPr>
          <w:lang w:val="es-VE"/>
        </w:rPr>
      </w:pPr>
      <w:r>
        <w:rPr>
          <w:lang w:val="es-VE"/>
        </w:rPr>
        <w:t>42.</w:t>
      </w:r>
      <w:r>
        <w:rPr>
          <w:lang w:val="es-VE"/>
        </w:rPr>
        <w:tab/>
      </w:r>
      <w:r w:rsidR="001734EB" w:rsidRPr="00077437">
        <w:rPr>
          <w:lang w:val="es-VE"/>
        </w:rPr>
        <w:t xml:space="preserve">En el período 2015-2019 el </w:t>
      </w:r>
      <w:proofErr w:type="spellStart"/>
      <w:r w:rsidR="001734EB" w:rsidRPr="00077437">
        <w:rPr>
          <w:lang w:val="es-VE"/>
        </w:rPr>
        <w:t>CONAPDIS</w:t>
      </w:r>
      <w:proofErr w:type="spellEnd"/>
      <w:r w:rsidR="001734EB" w:rsidRPr="00077437">
        <w:rPr>
          <w:lang w:val="es-VE"/>
        </w:rPr>
        <w:t xml:space="preserve"> inspeccionó 1.700 empresas y realizó 1.200 asesorías. </w:t>
      </w:r>
    </w:p>
    <w:bookmarkEnd w:id="5"/>
    <w:bookmarkEnd w:id="6"/>
    <w:bookmarkEnd w:id="7"/>
    <w:p w14:paraId="351E9C32" w14:textId="77777777" w:rsidR="001734EB" w:rsidRPr="00077437" w:rsidRDefault="00950D81" w:rsidP="00054D51">
      <w:pPr>
        <w:pStyle w:val="SingleTxtG"/>
      </w:pPr>
      <w:r>
        <w:t>43.</w:t>
      </w:r>
      <w:r>
        <w:tab/>
      </w:r>
      <w:r w:rsidR="001734EB" w:rsidRPr="00077437">
        <w:t>El Servicio Nacional de Comunicación Accesible (</w:t>
      </w:r>
      <w:proofErr w:type="spellStart"/>
      <w:r w:rsidR="001734EB" w:rsidRPr="00077437">
        <w:t>SENACOA</w:t>
      </w:r>
      <w:proofErr w:type="spellEnd"/>
      <w:r w:rsidR="001734EB" w:rsidRPr="00077437">
        <w:t>) e</w:t>
      </w:r>
      <w:r w:rsidR="001734EB" w:rsidRPr="00077437">
        <w:rPr>
          <w:lang w:val="es-CO"/>
        </w:rPr>
        <w:t xml:space="preserve">s un programa que tiene como finalidad facilitar el acceso a las </w:t>
      </w:r>
      <w:proofErr w:type="spellStart"/>
      <w:r w:rsidR="001734EB" w:rsidRPr="00077437">
        <w:rPr>
          <w:lang w:val="es-CO"/>
        </w:rPr>
        <w:t>PcD</w:t>
      </w:r>
      <w:proofErr w:type="spellEnd"/>
      <w:r w:rsidR="001734EB" w:rsidRPr="00077437">
        <w:rPr>
          <w:lang w:val="es-CO"/>
        </w:rPr>
        <w:t xml:space="preserve"> auditiva, personas sordas y sordo ciegas a la información y comunicación mediante mecanismos acordes a las diferentes discapacidades, tales como </w:t>
      </w:r>
      <w:proofErr w:type="spellStart"/>
      <w:r w:rsidR="001734EB" w:rsidRPr="00077437">
        <w:rPr>
          <w:lang w:val="es-CO"/>
        </w:rPr>
        <w:t>LSV</w:t>
      </w:r>
      <w:proofErr w:type="spellEnd"/>
      <w:r w:rsidR="001734EB" w:rsidRPr="00077437">
        <w:rPr>
          <w:lang w:val="es-CO"/>
        </w:rPr>
        <w:t xml:space="preserve">, Sistema Braille y ayudas audiovisuales. </w:t>
      </w:r>
    </w:p>
    <w:p w14:paraId="725B074C" w14:textId="77777777" w:rsidR="001734EB" w:rsidRPr="00077437" w:rsidRDefault="00950D81" w:rsidP="00054D51">
      <w:pPr>
        <w:pStyle w:val="SingleTxtG"/>
      </w:pPr>
      <w:r>
        <w:t>44.</w:t>
      </w:r>
      <w:r>
        <w:tab/>
      </w:r>
      <w:r w:rsidR="001734EB" w:rsidRPr="00077437">
        <w:t xml:space="preserve">A través de este programa se ha brindado </w:t>
      </w:r>
      <w:r w:rsidR="001734EB" w:rsidRPr="00077437">
        <w:rPr>
          <w:lang w:val="es-CO"/>
        </w:rPr>
        <w:t xml:space="preserve">los servicios de interpretación a las </w:t>
      </w:r>
      <w:proofErr w:type="spellStart"/>
      <w:r w:rsidR="001734EB" w:rsidRPr="00077437">
        <w:rPr>
          <w:lang w:val="es-CO"/>
        </w:rPr>
        <w:t>PcD</w:t>
      </w:r>
      <w:proofErr w:type="spellEnd"/>
      <w:r w:rsidR="001734EB" w:rsidRPr="00077437">
        <w:rPr>
          <w:lang w:val="es-CO"/>
        </w:rPr>
        <w:t xml:space="preserve"> auditiva, personas sordas e instituciones públicas y privadas que así lo soliciten. Igualmente, se han realizado cursos y talleres sobre </w:t>
      </w:r>
      <w:proofErr w:type="spellStart"/>
      <w:r w:rsidR="001734EB" w:rsidRPr="00077437">
        <w:rPr>
          <w:lang w:val="es-CO"/>
        </w:rPr>
        <w:t>LSV</w:t>
      </w:r>
      <w:proofErr w:type="spellEnd"/>
      <w:r w:rsidR="001734EB" w:rsidRPr="00077437">
        <w:rPr>
          <w:lang w:val="es-CO"/>
        </w:rPr>
        <w:t xml:space="preserve"> y se ha estructurado el Diplomado en </w:t>
      </w:r>
      <w:proofErr w:type="spellStart"/>
      <w:r w:rsidR="001734EB" w:rsidRPr="00077437">
        <w:rPr>
          <w:lang w:val="es-CO"/>
        </w:rPr>
        <w:t>LSV</w:t>
      </w:r>
      <w:proofErr w:type="spellEnd"/>
      <w:r w:rsidR="001734EB" w:rsidRPr="00077437">
        <w:rPr>
          <w:lang w:val="es-CO"/>
        </w:rPr>
        <w:t xml:space="preserve">, que se imparte en la Escuela Nacional de Derechos Humanos, adscrita a la </w:t>
      </w:r>
      <w:proofErr w:type="spellStart"/>
      <w:r w:rsidR="001734EB" w:rsidRPr="00077437">
        <w:rPr>
          <w:lang w:val="es-CO"/>
        </w:rPr>
        <w:t>DdP</w:t>
      </w:r>
      <w:proofErr w:type="spellEnd"/>
      <w:r w:rsidR="001734EB" w:rsidRPr="00077437">
        <w:rPr>
          <w:lang w:val="es-CO"/>
        </w:rPr>
        <w:t>.</w:t>
      </w:r>
    </w:p>
    <w:p w14:paraId="2933E659" w14:textId="77777777" w:rsidR="001734EB" w:rsidRPr="00077437" w:rsidRDefault="00950D81" w:rsidP="00054D51">
      <w:pPr>
        <w:pStyle w:val="SingleTxtG"/>
      </w:pPr>
      <w:r>
        <w:t>45.</w:t>
      </w:r>
      <w:r>
        <w:tab/>
      </w:r>
      <w:r w:rsidR="001734EB" w:rsidRPr="00077437">
        <w:t xml:space="preserve">En el período 2017-2019 el </w:t>
      </w:r>
      <w:proofErr w:type="spellStart"/>
      <w:r w:rsidR="001734EB" w:rsidRPr="00077437">
        <w:t>SENACOA</w:t>
      </w:r>
      <w:proofErr w:type="spellEnd"/>
      <w:r w:rsidR="001734EB" w:rsidRPr="00077437">
        <w:t xml:space="preserve"> ha formado </w:t>
      </w:r>
      <w:r w:rsidR="001734EB" w:rsidRPr="00077437">
        <w:rPr>
          <w:bCs/>
          <w:lang w:val="es-CO"/>
        </w:rPr>
        <w:t xml:space="preserve">5.361 personas en </w:t>
      </w:r>
      <w:proofErr w:type="spellStart"/>
      <w:r w:rsidR="001734EB" w:rsidRPr="00077437">
        <w:rPr>
          <w:bCs/>
          <w:lang w:val="es-CO"/>
        </w:rPr>
        <w:t>LSV</w:t>
      </w:r>
      <w:proofErr w:type="spellEnd"/>
      <w:r w:rsidR="001734EB" w:rsidRPr="00077437">
        <w:rPr>
          <w:bCs/>
          <w:lang w:val="es-CO"/>
        </w:rPr>
        <w:t>.</w:t>
      </w:r>
      <w:r w:rsidR="00223132">
        <w:rPr>
          <w:bCs/>
          <w:lang w:val="es-CO"/>
        </w:rPr>
        <w:t xml:space="preserve"> </w:t>
      </w:r>
    </w:p>
    <w:p w14:paraId="4718A1FF" w14:textId="77777777" w:rsidR="001734EB" w:rsidRPr="001A10BF" w:rsidRDefault="001734EB" w:rsidP="004E5744">
      <w:pPr>
        <w:pStyle w:val="Ttulo1"/>
      </w:pPr>
      <w:r w:rsidRPr="001A10BF">
        <w:t>Tabla 6</w:t>
      </w:r>
    </w:p>
    <w:p w14:paraId="170BA049" w14:textId="77777777" w:rsidR="001734EB" w:rsidRPr="007B47F6" w:rsidRDefault="00950D81" w:rsidP="00054D51">
      <w:pPr>
        <w:pStyle w:val="H23G"/>
        <w:spacing w:before="0"/>
        <w:rPr>
          <w:lang w:val="es-VE"/>
        </w:rPr>
      </w:pPr>
      <w:r>
        <w:rPr>
          <w:lang w:val="es-VE"/>
        </w:rPr>
        <w:tab/>
      </w:r>
      <w:r>
        <w:rPr>
          <w:lang w:val="es-VE"/>
        </w:rPr>
        <w:tab/>
      </w:r>
      <w:r w:rsidR="001734EB" w:rsidRPr="007B47F6">
        <w:rPr>
          <w:lang w:val="es-VE"/>
        </w:rPr>
        <w:t xml:space="preserve">Personas formadas </w:t>
      </w:r>
      <w:r w:rsidR="001734EB" w:rsidRPr="007B47F6">
        <w:rPr>
          <w:bCs/>
          <w:lang w:val="es-VE"/>
        </w:rPr>
        <w:t>en Lengua de Señas Venezolana</w:t>
      </w:r>
      <w:r w:rsidR="007B47F6" w:rsidRPr="007B47F6">
        <w:rPr>
          <w:bCs/>
          <w:lang w:val="es-VE"/>
        </w:rPr>
        <w:t xml:space="preserve"> </w:t>
      </w:r>
      <w:r>
        <w:rPr>
          <w:bCs/>
          <w:lang w:val="es-VE"/>
        </w:rPr>
        <w:t>—</w:t>
      </w:r>
      <w:proofErr w:type="spellStart"/>
      <w:r w:rsidR="001734EB" w:rsidRPr="007B47F6">
        <w:rPr>
          <w:lang w:val="es-VE"/>
        </w:rPr>
        <w:t>SENACOA</w:t>
      </w:r>
      <w:proofErr w:type="spellEnd"/>
      <w:r>
        <w:rPr>
          <w:lang w:val="es-VE"/>
        </w:rPr>
        <w:t>—</w:t>
      </w:r>
      <w:r w:rsidR="007B47F6" w:rsidRPr="007B47F6">
        <w:rPr>
          <w:lang w:val="es-VE"/>
        </w:rPr>
        <w:t xml:space="preserve"> </w:t>
      </w:r>
      <w:r w:rsidR="001734EB" w:rsidRPr="007B47F6">
        <w:rPr>
          <w:lang w:val="es-VE"/>
        </w:rPr>
        <w:t>2017-2019</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1899"/>
        <w:gridCol w:w="1905"/>
        <w:gridCol w:w="1809"/>
        <w:gridCol w:w="1757"/>
      </w:tblGrid>
      <w:tr w:rsidR="00950D81" w:rsidRPr="00950D81" w14:paraId="4E232077" w14:textId="77777777" w:rsidTr="00054D51">
        <w:trPr>
          <w:trHeight w:val="240"/>
          <w:tblHeader/>
        </w:trPr>
        <w:tc>
          <w:tcPr>
            <w:tcW w:w="1899" w:type="dxa"/>
            <w:tcBorders>
              <w:top w:val="single" w:sz="4" w:space="0" w:color="auto"/>
              <w:bottom w:val="single" w:sz="12" w:space="0" w:color="auto"/>
            </w:tcBorders>
            <w:shd w:val="clear" w:color="auto" w:fill="auto"/>
            <w:vAlign w:val="bottom"/>
          </w:tcPr>
          <w:p w14:paraId="3410D288" w14:textId="77777777" w:rsidR="001734EB" w:rsidRPr="004E5744" w:rsidRDefault="001734EB" w:rsidP="00054D51">
            <w:pPr>
              <w:pStyle w:val="SingleTxtG"/>
              <w:spacing w:before="80" w:after="80" w:line="200" w:lineRule="exact"/>
              <w:ind w:left="0" w:right="0"/>
              <w:jc w:val="left"/>
              <w:rPr>
                <w:i/>
                <w:sz w:val="16"/>
                <w:lang w:val="es-VE"/>
              </w:rPr>
            </w:pPr>
            <w:r w:rsidRPr="004E5744">
              <w:rPr>
                <w:i/>
                <w:sz w:val="16"/>
                <w:lang w:val="es-VE"/>
              </w:rPr>
              <w:t>Año</w:t>
            </w:r>
          </w:p>
        </w:tc>
        <w:tc>
          <w:tcPr>
            <w:tcW w:w="1905" w:type="dxa"/>
            <w:tcBorders>
              <w:top w:val="single" w:sz="4" w:space="0" w:color="auto"/>
              <w:bottom w:val="single" w:sz="12" w:space="0" w:color="auto"/>
            </w:tcBorders>
            <w:shd w:val="clear" w:color="auto" w:fill="auto"/>
            <w:vAlign w:val="bottom"/>
          </w:tcPr>
          <w:p w14:paraId="04698639" w14:textId="77777777" w:rsidR="001734EB" w:rsidRPr="00950D81" w:rsidRDefault="001734EB" w:rsidP="00054D51">
            <w:pPr>
              <w:pStyle w:val="SingleTxtG"/>
              <w:spacing w:before="80" w:after="80" w:line="200" w:lineRule="exact"/>
              <w:ind w:left="113" w:right="0"/>
              <w:jc w:val="right"/>
              <w:rPr>
                <w:i/>
                <w:sz w:val="16"/>
                <w:lang w:val="es-VE"/>
              </w:rPr>
            </w:pPr>
            <w:r w:rsidRPr="004E5744">
              <w:rPr>
                <w:i/>
                <w:sz w:val="16"/>
                <w:lang w:val="es-VE"/>
              </w:rPr>
              <w:t>Hombre</w:t>
            </w:r>
          </w:p>
        </w:tc>
        <w:tc>
          <w:tcPr>
            <w:tcW w:w="1809" w:type="dxa"/>
            <w:tcBorders>
              <w:top w:val="single" w:sz="4" w:space="0" w:color="auto"/>
              <w:bottom w:val="single" w:sz="12" w:space="0" w:color="auto"/>
            </w:tcBorders>
            <w:shd w:val="clear" w:color="auto" w:fill="auto"/>
            <w:vAlign w:val="bottom"/>
          </w:tcPr>
          <w:p w14:paraId="5F4EF1E0" w14:textId="77777777" w:rsidR="001734EB" w:rsidRPr="00950D81" w:rsidRDefault="001734EB" w:rsidP="00054D51">
            <w:pPr>
              <w:pStyle w:val="SingleTxtG"/>
              <w:spacing w:before="80" w:after="80" w:line="200" w:lineRule="exact"/>
              <w:ind w:left="113" w:right="0"/>
              <w:jc w:val="right"/>
              <w:rPr>
                <w:i/>
                <w:sz w:val="16"/>
                <w:lang w:val="es-VE"/>
              </w:rPr>
            </w:pPr>
            <w:r w:rsidRPr="00950D81">
              <w:rPr>
                <w:i/>
                <w:sz w:val="16"/>
                <w:lang w:val="es-VE"/>
              </w:rPr>
              <w:t>Mujer</w:t>
            </w:r>
          </w:p>
        </w:tc>
        <w:tc>
          <w:tcPr>
            <w:tcW w:w="1757" w:type="dxa"/>
            <w:tcBorders>
              <w:top w:val="single" w:sz="4" w:space="0" w:color="auto"/>
              <w:bottom w:val="single" w:sz="12" w:space="0" w:color="auto"/>
            </w:tcBorders>
            <w:shd w:val="clear" w:color="auto" w:fill="auto"/>
            <w:vAlign w:val="bottom"/>
          </w:tcPr>
          <w:p w14:paraId="72A20EEA" w14:textId="77777777" w:rsidR="001734EB" w:rsidRPr="00950D81" w:rsidRDefault="001734EB" w:rsidP="00054D51">
            <w:pPr>
              <w:pStyle w:val="SingleTxtG"/>
              <w:spacing w:before="80" w:after="80" w:line="200" w:lineRule="exact"/>
              <w:ind w:left="113" w:right="0"/>
              <w:jc w:val="right"/>
              <w:rPr>
                <w:i/>
                <w:sz w:val="16"/>
                <w:lang w:val="es-VE"/>
              </w:rPr>
            </w:pPr>
            <w:r w:rsidRPr="00950D81">
              <w:rPr>
                <w:i/>
                <w:sz w:val="16"/>
                <w:lang w:val="es-VE"/>
              </w:rPr>
              <w:t>Total</w:t>
            </w:r>
          </w:p>
        </w:tc>
      </w:tr>
      <w:tr w:rsidR="00950D81" w:rsidRPr="00950D81" w14:paraId="74143BEF" w14:textId="77777777" w:rsidTr="00054D51">
        <w:trPr>
          <w:trHeight w:val="240"/>
        </w:trPr>
        <w:tc>
          <w:tcPr>
            <w:tcW w:w="1899" w:type="dxa"/>
            <w:tcBorders>
              <w:top w:val="single" w:sz="12" w:space="0" w:color="auto"/>
            </w:tcBorders>
            <w:shd w:val="clear" w:color="auto" w:fill="auto"/>
          </w:tcPr>
          <w:p w14:paraId="34A16001" w14:textId="77777777" w:rsidR="001734EB" w:rsidRPr="004E5744" w:rsidRDefault="001734EB" w:rsidP="00054D51">
            <w:pPr>
              <w:pStyle w:val="SingleTxtG"/>
              <w:spacing w:before="40" w:after="40" w:line="220" w:lineRule="exact"/>
              <w:ind w:left="0" w:right="0"/>
              <w:jc w:val="left"/>
              <w:rPr>
                <w:sz w:val="18"/>
                <w:lang w:val="es-VE"/>
              </w:rPr>
            </w:pPr>
            <w:r w:rsidRPr="004E5744">
              <w:rPr>
                <w:sz w:val="18"/>
                <w:lang w:val="es-VE"/>
              </w:rPr>
              <w:t>2017</w:t>
            </w:r>
          </w:p>
        </w:tc>
        <w:tc>
          <w:tcPr>
            <w:tcW w:w="1905" w:type="dxa"/>
            <w:tcBorders>
              <w:top w:val="single" w:sz="12" w:space="0" w:color="auto"/>
            </w:tcBorders>
            <w:shd w:val="clear" w:color="auto" w:fill="auto"/>
            <w:vAlign w:val="bottom"/>
          </w:tcPr>
          <w:p w14:paraId="2DECD9FC" w14:textId="77777777" w:rsidR="001734EB" w:rsidRPr="004E5744" w:rsidRDefault="001734EB" w:rsidP="00054D51">
            <w:pPr>
              <w:pStyle w:val="SingleTxtG"/>
              <w:spacing w:before="40" w:after="40" w:line="220" w:lineRule="exact"/>
              <w:ind w:left="113" w:right="0"/>
              <w:jc w:val="right"/>
              <w:rPr>
                <w:sz w:val="18"/>
                <w:lang w:val="es-VE"/>
              </w:rPr>
            </w:pPr>
            <w:r w:rsidRPr="004E5744">
              <w:rPr>
                <w:sz w:val="18"/>
                <w:lang w:val="es-VE"/>
              </w:rPr>
              <w:t>1</w:t>
            </w:r>
            <w:r w:rsidR="00950D81">
              <w:rPr>
                <w:sz w:val="18"/>
                <w:lang w:val="es-VE"/>
              </w:rPr>
              <w:t xml:space="preserve"> </w:t>
            </w:r>
            <w:r w:rsidRPr="004E5744">
              <w:rPr>
                <w:sz w:val="18"/>
                <w:lang w:val="es-VE"/>
              </w:rPr>
              <w:t>888</w:t>
            </w:r>
          </w:p>
        </w:tc>
        <w:tc>
          <w:tcPr>
            <w:tcW w:w="1809" w:type="dxa"/>
            <w:tcBorders>
              <w:top w:val="single" w:sz="12" w:space="0" w:color="auto"/>
            </w:tcBorders>
            <w:shd w:val="clear" w:color="auto" w:fill="auto"/>
            <w:vAlign w:val="bottom"/>
          </w:tcPr>
          <w:p w14:paraId="7273674B" w14:textId="77777777" w:rsidR="001734EB" w:rsidRPr="00950D81" w:rsidRDefault="001734EB" w:rsidP="00054D51">
            <w:pPr>
              <w:pStyle w:val="SingleTxtG"/>
              <w:spacing w:before="40" w:after="40" w:line="220" w:lineRule="exact"/>
              <w:ind w:left="113" w:right="0"/>
              <w:jc w:val="right"/>
              <w:rPr>
                <w:sz w:val="18"/>
                <w:lang w:val="es-VE"/>
              </w:rPr>
            </w:pPr>
            <w:r w:rsidRPr="00950D81">
              <w:rPr>
                <w:sz w:val="18"/>
                <w:lang w:val="es-VE"/>
              </w:rPr>
              <w:t>700</w:t>
            </w:r>
          </w:p>
        </w:tc>
        <w:tc>
          <w:tcPr>
            <w:tcW w:w="1757" w:type="dxa"/>
            <w:tcBorders>
              <w:top w:val="single" w:sz="12" w:space="0" w:color="auto"/>
            </w:tcBorders>
            <w:shd w:val="clear" w:color="auto" w:fill="auto"/>
            <w:vAlign w:val="bottom"/>
          </w:tcPr>
          <w:p w14:paraId="504EA4C7" w14:textId="77777777" w:rsidR="001734EB" w:rsidRPr="004E5744" w:rsidRDefault="001734EB" w:rsidP="00054D51">
            <w:pPr>
              <w:pStyle w:val="SingleTxtG"/>
              <w:spacing w:before="40" w:after="40" w:line="220" w:lineRule="exact"/>
              <w:ind w:left="113" w:right="0"/>
              <w:jc w:val="right"/>
              <w:rPr>
                <w:sz w:val="18"/>
                <w:lang w:val="es-VE"/>
              </w:rPr>
            </w:pPr>
            <w:r w:rsidRPr="00950D81">
              <w:rPr>
                <w:sz w:val="18"/>
                <w:lang w:val="es-VE"/>
              </w:rPr>
              <w:t>2</w:t>
            </w:r>
            <w:r w:rsidR="00950D81">
              <w:rPr>
                <w:sz w:val="18"/>
                <w:lang w:val="es-VE"/>
              </w:rPr>
              <w:t xml:space="preserve"> </w:t>
            </w:r>
            <w:r w:rsidRPr="004E5744">
              <w:rPr>
                <w:sz w:val="18"/>
                <w:lang w:val="es-VE"/>
              </w:rPr>
              <w:t>588</w:t>
            </w:r>
          </w:p>
        </w:tc>
      </w:tr>
      <w:tr w:rsidR="00950D81" w:rsidRPr="00950D81" w14:paraId="1C8A4A21" w14:textId="77777777" w:rsidTr="00054D51">
        <w:trPr>
          <w:trHeight w:val="240"/>
        </w:trPr>
        <w:tc>
          <w:tcPr>
            <w:tcW w:w="1899" w:type="dxa"/>
            <w:shd w:val="clear" w:color="auto" w:fill="auto"/>
          </w:tcPr>
          <w:p w14:paraId="474C3144" w14:textId="77777777" w:rsidR="001734EB" w:rsidRPr="00950D81" w:rsidRDefault="001734EB" w:rsidP="00054D51">
            <w:pPr>
              <w:pStyle w:val="SingleTxtG"/>
              <w:spacing w:before="40" w:after="40" w:line="220" w:lineRule="exact"/>
              <w:ind w:left="0" w:right="0"/>
              <w:jc w:val="left"/>
              <w:rPr>
                <w:sz w:val="18"/>
                <w:lang w:val="es-VE"/>
              </w:rPr>
            </w:pPr>
            <w:r w:rsidRPr="00950D81">
              <w:rPr>
                <w:sz w:val="18"/>
                <w:lang w:val="es-VE"/>
              </w:rPr>
              <w:t>2018</w:t>
            </w:r>
          </w:p>
        </w:tc>
        <w:tc>
          <w:tcPr>
            <w:tcW w:w="1905" w:type="dxa"/>
            <w:shd w:val="clear" w:color="auto" w:fill="auto"/>
            <w:vAlign w:val="bottom"/>
          </w:tcPr>
          <w:p w14:paraId="510AD7D7" w14:textId="77777777" w:rsidR="001734EB" w:rsidRPr="00950D81" w:rsidRDefault="001734EB" w:rsidP="00054D51">
            <w:pPr>
              <w:pStyle w:val="SingleTxtG"/>
              <w:spacing w:before="40" w:after="40" w:line="220" w:lineRule="exact"/>
              <w:ind w:left="113" w:right="0"/>
              <w:jc w:val="right"/>
              <w:rPr>
                <w:sz w:val="18"/>
                <w:lang w:val="es-VE"/>
              </w:rPr>
            </w:pPr>
            <w:r w:rsidRPr="00950D81">
              <w:rPr>
                <w:sz w:val="18"/>
                <w:lang w:val="es-VE"/>
              </w:rPr>
              <w:t>634</w:t>
            </w:r>
          </w:p>
        </w:tc>
        <w:tc>
          <w:tcPr>
            <w:tcW w:w="1809" w:type="dxa"/>
            <w:shd w:val="clear" w:color="auto" w:fill="auto"/>
            <w:vAlign w:val="bottom"/>
          </w:tcPr>
          <w:p w14:paraId="280740A7" w14:textId="77777777" w:rsidR="001734EB" w:rsidRPr="004E5744" w:rsidRDefault="001734EB" w:rsidP="00054D51">
            <w:pPr>
              <w:pStyle w:val="SingleTxtG"/>
              <w:spacing w:before="40" w:after="40" w:line="220" w:lineRule="exact"/>
              <w:ind w:left="113" w:right="0"/>
              <w:jc w:val="right"/>
              <w:rPr>
                <w:sz w:val="18"/>
                <w:lang w:val="es-VE"/>
              </w:rPr>
            </w:pPr>
            <w:r w:rsidRPr="00950D81">
              <w:rPr>
                <w:sz w:val="18"/>
                <w:lang w:val="es-VE"/>
              </w:rPr>
              <w:t>1</w:t>
            </w:r>
            <w:r w:rsidR="00950D81">
              <w:rPr>
                <w:sz w:val="18"/>
                <w:lang w:val="es-VE"/>
              </w:rPr>
              <w:t xml:space="preserve"> </w:t>
            </w:r>
            <w:r w:rsidRPr="004E5744">
              <w:rPr>
                <w:sz w:val="18"/>
                <w:lang w:val="es-VE"/>
              </w:rPr>
              <w:t>413</w:t>
            </w:r>
          </w:p>
        </w:tc>
        <w:tc>
          <w:tcPr>
            <w:tcW w:w="1757" w:type="dxa"/>
            <w:shd w:val="clear" w:color="auto" w:fill="auto"/>
            <w:vAlign w:val="bottom"/>
          </w:tcPr>
          <w:p w14:paraId="39480F93" w14:textId="77777777" w:rsidR="001734EB" w:rsidRPr="004E5744" w:rsidRDefault="001734EB" w:rsidP="00054D51">
            <w:pPr>
              <w:pStyle w:val="SingleTxtG"/>
              <w:spacing w:before="40" w:after="40" w:line="220" w:lineRule="exact"/>
              <w:ind w:left="113" w:right="0"/>
              <w:jc w:val="right"/>
              <w:rPr>
                <w:sz w:val="18"/>
                <w:lang w:val="es-VE"/>
              </w:rPr>
            </w:pPr>
            <w:r w:rsidRPr="004E5744">
              <w:rPr>
                <w:sz w:val="18"/>
                <w:lang w:val="es-VE"/>
              </w:rPr>
              <w:t>2</w:t>
            </w:r>
            <w:r w:rsidR="00950D81">
              <w:rPr>
                <w:sz w:val="18"/>
                <w:lang w:val="es-VE"/>
              </w:rPr>
              <w:t xml:space="preserve"> </w:t>
            </w:r>
            <w:r w:rsidRPr="004E5744">
              <w:rPr>
                <w:sz w:val="18"/>
                <w:lang w:val="es-VE"/>
              </w:rPr>
              <w:t>047</w:t>
            </w:r>
          </w:p>
        </w:tc>
      </w:tr>
      <w:tr w:rsidR="00950D81" w:rsidRPr="00950D81" w14:paraId="33A81934" w14:textId="77777777" w:rsidTr="00054D51">
        <w:trPr>
          <w:trHeight w:val="240"/>
        </w:trPr>
        <w:tc>
          <w:tcPr>
            <w:tcW w:w="1899" w:type="dxa"/>
            <w:tcBorders>
              <w:bottom w:val="single" w:sz="4" w:space="0" w:color="auto"/>
            </w:tcBorders>
            <w:shd w:val="clear" w:color="auto" w:fill="auto"/>
          </w:tcPr>
          <w:p w14:paraId="004A91A9" w14:textId="77777777" w:rsidR="001734EB" w:rsidRPr="00950D81" w:rsidRDefault="001734EB" w:rsidP="00054D51">
            <w:pPr>
              <w:pStyle w:val="SingleTxtG"/>
              <w:spacing w:before="40" w:after="40" w:line="220" w:lineRule="exact"/>
              <w:ind w:left="0" w:right="0"/>
              <w:jc w:val="left"/>
              <w:rPr>
                <w:sz w:val="18"/>
                <w:lang w:val="es-VE"/>
              </w:rPr>
            </w:pPr>
            <w:r w:rsidRPr="00950D81">
              <w:rPr>
                <w:sz w:val="18"/>
                <w:lang w:val="es-VE"/>
              </w:rPr>
              <w:t>2019</w:t>
            </w:r>
          </w:p>
        </w:tc>
        <w:tc>
          <w:tcPr>
            <w:tcW w:w="1905" w:type="dxa"/>
            <w:tcBorders>
              <w:bottom w:val="single" w:sz="4" w:space="0" w:color="auto"/>
            </w:tcBorders>
            <w:shd w:val="clear" w:color="auto" w:fill="auto"/>
            <w:vAlign w:val="bottom"/>
          </w:tcPr>
          <w:p w14:paraId="47C2A050" w14:textId="77777777" w:rsidR="001734EB" w:rsidRPr="00950D81" w:rsidRDefault="001734EB" w:rsidP="00054D51">
            <w:pPr>
              <w:pStyle w:val="SingleTxtG"/>
              <w:spacing w:before="40" w:after="40" w:line="220" w:lineRule="exact"/>
              <w:ind w:left="113" w:right="0"/>
              <w:jc w:val="right"/>
              <w:rPr>
                <w:sz w:val="18"/>
                <w:lang w:val="es-VE"/>
              </w:rPr>
            </w:pPr>
            <w:r w:rsidRPr="00950D81">
              <w:rPr>
                <w:sz w:val="18"/>
                <w:lang w:val="es-VE"/>
              </w:rPr>
              <w:t>191</w:t>
            </w:r>
          </w:p>
        </w:tc>
        <w:tc>
          <w:tcPr>
            <w:tcW w:w="1809" w:type="dxa"/>
            <w:tcBorders>
              <w:bottom w:val="single" w:sz="4" w:space="0" w:color="auto"/>
            </w:tcBorders>
            <w:shd w:val="clear" w:color="auto" w:fill="auto"/>
            <w:vAlign w:val="bottom"/>
          </w:tcPr>
          <w:p w14:paraId="108D0571" w14:textId="77777777" w:rsidR="001734EB" w:rsidRPr="00950D81" w:rsidRDefault="001734EB" w:rsidP="00054D51">
            <w:pPr>
              <w:pStyle w:val="SingleTxtG"/>
              <w:spacing w:before="40" w:after="40" w:line="220" w:lineRule="exact"/>
              <w:ind w:left="113" w:right="0"/>
              <w:jc w:val="right"/>
              <w:rPr>
                <w:sz w:val="18"/>
                <w:lang w:val="es-VE"/>
              </w:rPr>
            </w:pPr>
            <w:r w:rsidRPr="00950D81">
              <w:rPr>
                <w:sz w:val="18"/>
                <w:lang w:val="es-VE"/>
              </w:rPr>
              <w:t>535</w:t>
            </w:r>
          </w:p>
        </w:tc>
        <w:tc>
          <w:tcPr>
            <w:tcW w:w="1757" w:type="dxa"/>
            <w:tcBorders>
              <w:bottom w:val="single" w:sz="4" w:space="0" w:color="auto"/>
            </w:tcBorders>
            <w:shd w:val="clear" w:color="auto" w:fill="auto"/>
            <w:vAlign w:val="bottom"/>
          </w:tcPr>
          <w:p w14:paraId="0D1682E4" w14:textId="77777777" w:rsidR="001734EB" w:rsidRPr="00950D81" w:rsidRDefault="001734EB" w:rsidP="00054D51">
            <w:pPr>
              <w:pStyle w:val="SingleTxtG"/>
              <w:spacing w:before="40" w:after="40" w:line="220" w:lineRule="exact"/>
              <w:ind w:left="113" w:right="0"/>
              <w:jc w:val="right"/>
              <w:rPr>
                <w:sz w:val="18"/>
                <w:lang w:val="es-VE"/>
              </w:rPr>
            </w:pPr>
            <w:r w:rsidRPr="00950D81">
              <w:rPr>
                <w:sz w:val="18"/>
                <w:lang w:val="es-VE"/>
              </w:rPr>
              <w:t>726</w:t>
            </w:r>
          </w:p>
        </w:tc>
      </w:tr>
      <w:tr w:rsidR="00950D81" w:rsidRPr="00950D81" w14:paraId="59A2E018" w14:textId="77777777" w:rsidTr="00054D51">
        <w:trPr>
          <w:trHeight w:val="240"/>
        </w:trPr>
        <w:tc>
          <w:tcPr>
            <w:tcW w:w="1899" w:type="dxa"/>
            <w:tcBorders>
              <w:top w:val="single" w:sz="4" w:space="0" w:color="auto"/>
              <w:bottom w:val="single" w:sz="12" w:space="0" w:color="auto"/>
            </w:tcBorders>
            <w:shd w:val="clear" w:color="auto" w:fill="auto"/>
          </w:tcPr>
          <w:p w14:paraId="52DBB874" w14:textId="77777777" w:rsidR="001734EB" w:rsidRPr="004E5744" w:rsidRDefault="00950D81" w:rsidP="00054D51">
            <w:pPr>
              <w:pStyle w:val="SingleTxtG"/>
              <w:spacing w:before="80" w:after="80" w:line="220" w:lineRule="exact"/>
              <w:ind w:left="283" w:right="0"/>
              <w:jc w:val="left"/>
              <w:rPr>
                <w:b/>
                <w:sz w:val="18"/>
                <w:lang w:val="es-VE"/>
              </w:rPr>
            </w:pPr>
            <w:r w:rsidRPr="00054D51">
              <w:rPr>
                <w:b/>
                <w:sz w:val="18"/>
                <w:lang w:val="es-VE"/>
              </w:rPr>
              <w:t>Total</w:t>
            </w:r>
          </w:p>
        </w:tc>
        <w:tc>
          <w:tcPr>
            <w:tcW w:w="1905" w:type="dxa"/>
            <w:tcBorders>
              <w:top w:val="single" w:sz="4" w:space="0" w:color="auto"/>
              <w:bottom w:val="single" w:sz="12" w:space="0" w:color="auto"/>
            </w:tcBorders>
            <w:shd w:val="clear" w:color="auto" w:fill="auto"/>
            <w:vAlign w:val="bottom"/>
          </w:tcPr>
          <w:p w14:paraId="52402ECE" w14:textId="77777777" w:rsidR="001734EB" w:rsidRPr="004E5744" w:rsidRDefault="001734EB" w:rsidP="00054D51">
            <w:pPr>
              <w:pStyle w:val="SingleTxtG"/>
              <w:spacing w:before="80" w:after="80" w:line="220" w:lineRule="exact"/>
              <w:ind w:left="0" w:right="0"/>
              <w:jc w:val="right"/>
              <w:rPr>
                <w:b/>
                <w:sz w:val="18"/>
                <w:lang w:val="es-VE"/>
              </w:rPr>
            </w:pPr>
            <w:r w:rsidRPr="004E5744">
              <w:rPr>
                <w:b/>
                <w:sz w:val="18"/>
                <w:lang w:val="es-VE"/>
              </w:rPr>
              <w:t>2</w:t>
            </w:r>
            <w:r w:rsidR="00950D81">
              <w:rPr>
                <w:b/>
                <w:sz w:val="18"/>
                <w:lang w:val="es-VE"/>
              </w:rPr>
              <w:t xml:space="preserve"> </w:t>
            </w:r>
            <w:r w:rsidRPr="004E5744">
              <w:rPr>
                <w:b/>
                <w:sz w:val="18"/>
                <w:lang w:val="es-VE"/>
              </w:rPr>
              <w:t>713</w:t>
            </w:r>
          </w:p>
        </w:tc>
        <w:tc>
          <w:tcPr>
            <w:tcW w:w="1809" w:type="dxa"/>
            <w:tcBorders>
              <w:top w:val="single" w:sz="4" w:space="0" w:color="auto"/>
              <w:bottom w:val="single" w:sz="12" w:space="0" w:color="auto"/>
            </w:tcBorders>
            <w:shd w:val="clear" w:color="auto" w:fill="auto"/>
            <w:vAlign w:val="bottom"/>
          </w:tcPr>
          <w:p w14:paraId="03506790" w14:textId="77777777" w:rsidR="001734EB" w:rsidRPr="004E5744" w:rsidRDefault="001734EB" w:rsidP="00054D51">
            <w:pPr>
              <w:pStyle w:val="SingleTxtG"/>
              <w:spacing w:before="80" w:after="80" w:line="220" w:lineRule="exact"/>
              <w:ind w:left="0" w:right="0"/>
              <w:jc w:val="right"/>
              <w:rPr>
                <w:b/>
                <w:sz w:val="18"/>
                <w:lang w:val="es-VE"/>
              </w:rPr>
            </w:pPr>
            <w:r w:rsidRPr="004E5744">
              <w:rPr>
                <w:b/>
                <w:sz w:val="18"/>
                <w:lang w:val="es-VE"/>
              </w:rPr>
              <w:t>2</w:t>
            </w:r>
            <w:r w:rsidR="00950D81">
              <w:rPr>
                <w:b/>
                <w:sz w:val="18"/>
                <w:lang w:val="es-VE"/>
              </w:rPr>
              <w:t xml:space="preserve"> </w:t>
            </w:r>
            <w:r w:rsidRPr="004E5744">
              <w:rPr>
                <w:b/>
                <w:sz w:val="18"/>
                <w:lang w:val="es-VE"/>
              </w:rPr>
              <w:t>648</w:t>
            </w:r>
          </w:p>
        </w:tc>
        <w:tc>
          <w:tcPr>
            <w:tcW w:w="1757" w:type="dxa"/>
            <w:tcBorders>
              <w:top w:val="single" w:sz="4" w:space="0" w:color="auto"/>
              <w:bottom w:val="single" w:sz="12" w:space="0" w:color="auto"/>
            </w:tcBorders>
            <w:shd w:val="clear" w:color="auto" w:fill="auto"/>
            <w:vAlign w:val="bottom"/>
          </w:tcPr>
          <w:p w14:paraId="3EA1A0CE" w14:textId="77777777" w:rsidR="001734EB" w:rsidRPr="004E5744" w:rsidRDefault="001734EB" w:rsidP="00054D51">
            <w:pPr>
              <w:pStyle w:val="SingleTxtG"/>
              <w:spacing w:before="80" w:after="80" w:line="220" w:lineRule="exact"/>
              <w:ind w:left="0" w:right="0"/>
              <w:jc w:val="right"/>
              <w:rPr>
                <w:b/>
                <w:sz w:val="18"/>
                <w:lang w:val="es-VE"/>
              </w:rPr>
            </w:pPr>
            <w:r w:rsidRPr="004E5744">
              <w:rPr>
                <w:b/>
                <w:sz w:val="18"/>
                <w:lang w:val="es-VE"/>
              </w:rPr>
              <w:t>5</w:t>
            </w:r>
            <w:r w:rsidR="00950D81">
              <w:rPr>
                <w:b/>
                <w:sz w:val="18"/>
                <w:lang w:val="es-VE"/>
              </w:rPr>
              <w:t xml:space="preserve"> </w:t>
            </w:r>
            <w:r w:rsidRPr="004E5744">
              <w:rPr>
                <w:b/>
                <w:sz w:val="18"/>
                <w:lang w:val="es-VE"/>
              </w:rPr>
              <w:t>361</w:t>
            </w:r>
          </w:p>
        </w:tc>
      </w:tr>
    </w:tbl>
    <w:p w14:paraId="587BE0B8" w14:textId="77777777" w:rsidR="001734EB" w:rsidRPr="00077437" w:rsidRDefault="00950D81" w:rsidP="00054D51">
      <w:pPr>
        <w:pStyle w:val="H1G"/>
        <w:rPr>
          <w:lang w:val="es-VE"/>
        </w:rPr>
      </w:pPr>
      <w:r>
        <w:rPr>
          <w:lang w:val="es-VE"/>
        </w:rPr>
        <w:tab/>
      </w:r>
      <w:r>
        <w:rPr>
          <w:lang w:val="es-VE"/>
        </w:rPr>
        <w:tab/>
      </w:r>
      <w:r w:rsidR="001734EB" w:rsidRPr="00077437">
        <w:rPr>
          <w:lang w:val="es-VE"/>
        </w:rPr>
        <w:t>Derecho a la vida (art. 10)</w:t>
      </w:r>
    </w:p>
    <w:p w14:paraId="2368D12E" w14:textId="77777777" w:rsidR="001734EB" w:rsidRPr="00077437" w:rsidRDefault="00950D81" w:rsidP="00054D51">
      <w:pPr>
        <w:pStyle w:val="H1G"/>
        <w:rPr>
          <w:lang w:val="es-VE"/>
        </w:rPr>
      </w:pPr>
      <w:r>
        <w:tab/>
      </w:r>
      <w:r>
        <w:tab/>
      </w:r>
      <w:r w:rsidR="00C154C7" w:rsidRPr="00F96454">
        <w:t xml:space="preserve">Respuesta </w:t>
      </w:r>
      <w:r w:rsidR="00C154C7">
        <w:t xml:space="preserve">a la </w:t>
      </w:r>
      <w:r w:rsidR="00C154C7">
        <w:rPr>
          <w:lang w:val="es-VE"/>
        </w:rPr>
        <w:t>c</w:t>
      </w:r>
      <w:r w:rsidR="001734EB" w:rsidRPr="00077437">
        <w:rPr>
          <w:lang w:val="es-VE"/>
        </w:rPr>
        <w:t>uestión 10</w:t>
      </w:r>
    </w:p>
    <w:p w14:paraId="072D9F7E" w14:textId="77777777" w:rsidR="001734EB" w:rsidRPr="00077437" w:rsidRDefault="00950D81" w:rsidP="00054D51">
      <w:pPr>
        <w:pStyle w:val="SingleTxtG"/>
        <w:rPr>
          <w:lang w:val="es-VE"/>
        </w:rPr>
      </w:pPr>
      <w:r>
        <w:rPr>
          <w:lang w:val="es-VE"/>
        </w:rPr>
        <w:t>46.</w:t>
      </w:r>
      <w:r>
        <w:rPr>
          <w:lang w:val="es-VE"/>
        </w:rPr>
        <w:tab/>
      </w:r>
      <w:r w:rsidR="001734EB" w:rsidRPr="00077437">
        <w:rPr>
          <w:lang w:val="es-VE"/>
        </w:rPr>
        <w:t>El Estado venezolano ha puesto en marcha el</w:t>
      </w:r>
      <w:r w:rsidR="001734EB" w:rsidRPr="00077437">
        <w:rPr>
          <w:i/>
          <w:lang w:val="es-VE"/>
        </w:rPr>
        <w:t xml:space="preserve"> “Plan de Parto Humanizado” </w:t>
      </w:r>
      <w:r w:rsidR="001734EB" w:rsidRPr="00077437">
        <w:rPr>
          <w:lang w:val="es-VE"/>
        </w:rPr>
        <w:t xml:space="preserve">a los fines de fortalecer el acompañamiento comunitario a las mujeres durante el proceso de gestación, parto y posparto. Igualmente, la ANC aprobó el Decreto Constituyente para la Promoción y Protección del Parto y el </w:t>
      </w:r>
      <w:r w:rsidR="000A0878">
        <w:rPr>
          <w:lang w:val="es-VE"/>
        </w:rPr>
        <w:t>Nacimiento Humanizado (</w:t>
      </w:r>
      <w:proofErr w:type="spellStart"/>
      <w:r w:rsidR="000A0878">
        <w:rPr>
          <w:lang w:val="es-VE"/>
        </w:rPr>
        <w:t>DCPPPNH</w:t>
      </w:r>
      <w:proofErr w:type="spellEnd"/>
      <w:r w:rsidR="000A0878">
        <w:rPr>
          <w:lang w:val="es-VE"/>
        </w:rPr>
        <w:t>)</w:t>
      </w:r>
      <w:r w:rsidR="001734EB" w:rsidRPr="00054D51">
        <w:rPr>
          <w:sz w:val="18"/>
          <w:vertAlign w:val="superscript"/>
          <w:lang w:val="es-VE"/>
        </w:rPr>
        <w:footnoteReference w:id="21"/>
      </w:r>
      <w:r w:rsidR="000A0878">
        <w:rPr>
          <w:lang w:val="es-VE"/>
        </w:rPr>
        <w:t>.</w:t>
      </w:r>
      <w:r w:rsidR="001734EB" w:rsidRPr="00077437">
        <w:rPr>
          <w:lang w:val="es-VE"/>
        </w:rPr>
        <w:t xml:space="preserve"> </w:t>
      </w:r>
    </w:p>
    <w:p w14:paraId="7C4C46B6" w14:textId="77777777" w:rsidR="001734EB" w:rsidRPr="00077437" w:rsidRDefault="00950D81" w:rsidP="00054D51">
      <w:pPr>
        <w:pStyle w:val="SingleTxtG"/>
        <w:rPr>
          <w:lang w:val="es-VE"/>
        </w:rPr>
      </w:pPr>
      <w:r>
        <w:rPr>
          <w:lang w:val="es-VE"/>
        </w:rPr>
        <w:t>47.</w:t>
      </w:r>
      <w:r>
        <w:rPr>
          <w:lang w:val="es-VE"/>
        </w:rPr>
        <w:tab/>
      </w:r>
      <w:r w:rsidR="001734EB" w:rsidRPr="00077437">
        <w:rPr>
          <w:lang w:val="es-VE"/>
        </w:rPr>
        <w:t xml:space="preserve">El </w:t>
      </w:r>
      <w:proofErr w:type="spellStart"/>
      <w:r w:rsidR="001734EB" w:rsidRPr="00077437">
        <w:rPr>
          <w:lang w:val="es-VE"/>
        </w:rPr>
        <w:t>DCPPPNH</w:t>
      </w:r>
      <w:proofErr w:type="spellEnd"/>
      <w:r w:rsidR="001734EB" w:rsidRPr="00077437">
        <w:rPr>
          <w:lang w:val="es-VE"/>
        </w:rPr>
        <w:t xml:space="preserve"> consagra el derecho de las mujeres con discapacidad a recibir un trato en condiciones de igualdad, durante la gestación, el trabajo de parto, el par</w:t>
      </w:r>
      <w:r w:rsidR="000A0878">
        <w:rPr>
          <w:lang w:val="es-VE"/>
        </w:rPr>
        <w:t>to, el nacimiento y el posparto</w:t>
      </w:r>
      <w:r w:rsidR="001734EB" w:rsidRPr="00054D51">
        <w:rPr>
          <w:sz w:val="18"/>
          <w:vertAlign w:val="superscript"/>
          <w:lang w:val="es-VE"/>
        </w:rPr>
        <w:footnoteReference w:id="22"/>
      </w:r>
      <w:r w:rsidR="000A0878">
        <w:rPr>
          <w:lang w:val="es-VE"/>
        </w:rPr>
        <w:t>.</w:t>
      </w:r>
      <w:r w:rsidR="001734EB" w:rsidRPr="00077437">
        <w:rPr>
          <w:lang w:val="es-VE"/>
        </w:rPr>
        <w:t xml:space="preserve"> </w:t>
      </w:r>
    </w:p>
    <w:p w14:paraId="1541BF30" w14:textId="77777777" w:rsidR="001734EB" w:rsidRPr="00077437" w:rsidRDefault="00950D81" w:rsidP="00054D51">
      <w:pPr>
        <w:pStyle w:val="SingleTxtG"/>
        <w:rPr>
          <w:lang w:val="es-VE"/>
        </w:rPr>
      </w:pPr>
      <w:r>
        <w:rPr>
          <w:lang w:val="es-VE"/>
        </w:rPr>
        <w:t>48.</w:t>
      </w:r>
      <w:r>
        <w:rPr>
          <w:lang w:val="es-VE"/>
        </w:rPr>
        <w:tab/>
      </w:r>
      <w:r w:rsidR="001734EB" w:rsidRPr="00077437">
        <w:rPr>
          <w:lang w:val="es-VE"/>
        </w:rPr>
        <w:t xml:space="preserve">Los hospitales y maternidades en la </w:t>
      </w:r>
      <w:proofErr w:type="spellStart"/>
      <w:r w:rsidR="001734EB" w:rsidRPr="00077437">
        <w:rPr>
          <w:lang w:val="es-VE"/>
        </w:rPr>
        <w:t>RBV</w:t>
      </w:r>
      <w:proofErr w:type="spellEnd"/>
      <w:r w:rsidR="001734EB" w:rsidRPr="00077437">
        <w:rPr>
          <w:lang w:val="es-VE"/>
        </w:rPr>
        <w:t xml:space="preserve"> cuentan con áreas o servicios neonatales para la atención hospitalaria a los neonatos que presentan complicaciones de salud o discapacidad al momento del alumbramiento. </w:t>
      </w:r>
    </w:p>
    <w:p w14:paraId="16504CB6" w14:textId="77777777" w:rsidR="001734EB" w:rsidRPr="00077437" w:rsidRDefault="00950D81" w:rsidP="00054D51">
      <w:pPr>
        <w:pStyle w:val="SingleTxtG"/>
        <w:rPr>
          <w:lang w:val="es-VE"/>
        </w:rPr>
      </w:pPr>
      <w:r>
        <w:rPr>
          <w:lang w:val="es-VE"/>
        </w:rPr>
        <w:t>49.</w:t>
      </w:r>
      <w:r>
        <w:rPr>
          <w:lang w:val="es-VE"/>
        </w:rPr>
        <w:tab/>
      </w:r>
      <w:r w:rsidR="001734EB" w:rsidRPr="00077437">
        <w:rPr>
          <w:lang w:val="es-VE"/>
        </w:rPr>
        <w:t xml:space="preserve">Venezuela ha fortalecido la cooperación con la </w:t>
      </w:r>
      <w:proofErr w:type="spellStart"/>
      <w:r w:rsidR="001734EB" w:rsidRPr="00077437">
        <w:rPr>
          <w:lang w:val="es-VE"/>
        </w:rPr>
        <w:t>OPS</w:t>
      </w:r>
      <w:proofErr w:type="spellEnd"/>
      <w:r w:rsidR="001734EB" w:rsidRPr="00077437">
        <w:rPr>
          <w:lang w:val="es-VE"/>
        </w:rPr>
        <w:t xml:space="preserve">, OMS, UNICEF a los fines de responder a los impactos negativos generados por las medidas coercitivas unilaterales en las políticas para la reducción de la mortalidad materna e infantil, así como para la prevención de enfermedades. A través de los mecanismos de cooperación internacional se importan medicamentos e insumos que no pueden ser adquiridos directamente por la </w:t>
      </w:r>
      <w:proofErr w:type="spellStart"/>
      <w:r w:rsidR="001734EB" w:rsidRPr="00077437">
        <w:rPr>
          <w:lang w:val="es-VE"/>
        </w:rPr>
        <w:t>RBV</w:t>
      </w:r>
      <w:proofErr w:type="spellEnd"/>
      <w:r w:rsidR="001734EB" w:rsidRPr="00077437">
        <w:rPr>
          <w:lang w:val="es-VE"/>
        </w:rPr>
        <w:t xml:space="preserve">, en virtud de las medidas coercitivas unilaterales dictadas por el gobierno de los Estados Unidos de América. </w:t>
      </w:r>
    </w:p>
    <w:p w14:paraId="219BA568" w14:textId="77777777" w:rsidR="001734EB" w:rsidRPr="00077437" w:rsidRDefault="00950D81" w:rsidP="00054D51">
      <w:pPr>
        <w:pStyle w:val="H1G"/>
        <w:rPr>
          <w:lang w:val="es-VE"/>
        </w:rPr>
      </w:pPr>
      <w:r>
        <w:rPr>
          <w:lang w:val="es-VE"/>
        </w:rPr>
        <w:lastRenderedPageBreak/>
        <w:tab/>
      </w:r>
      <w:r>
        <w:rPr>
          <w:lang w:val="es-VE"/>
        </w:rPr>
        <w:tab/>
      </w:r>
      <w:r w:rsidR="001734EB" w:rsidRPr="00077437">
        <w:rPr>
          <w:lang w:val="es-VE"/>
        </w:rPr>
        <w:t>Situaciones de riesgo y emergencias humanitarias (art. 11)</w:t>
      </w:r>
    </w:p>
    <w:p w14:paraId="6B253E9A" w14:textId="77777777" w:rsidR="001734EB" w:rsidRPr="00077437" w:rsidRDefault="00950D81" w:rsidP="00054D51">
      <w:pPr>
        <w:pStyle w:val="H1G"/>
        <w:rPr>
          <w:lang w:val="es-VE"/>
        </w:rPr>
      </w:pPr>
      <w:r>
        <w:tab/>
      </w:r>
      <w:r>
        <w:tab/>
      </w:r>
      <w:r w:rsidR="00C154C7" w:rsidRPr="00F96454">
        <w:t xml:space="preserve">Respuesta </w:t>
      </w:r>
      <w:r w:rsidR="00C154C7">
        <w:t xml:space="preserve">a la </w:t>
      </w:r>
      <w:r w:rsidR="00C154C7">
        <w:rPr>
          <w:lang w:val="es-VE"/>
        </w:rPr>
        <w:t>c</w:t>
      </w:r>
      <w:r w:rsidR="001734EB" w:rsidRPr="00077437">
        <w:rPr>
          <w:lang w:val="es-VE"/>
        </w:rPr>
        <w:t>uestión 11</w:t>
      </w:r>
    </w:p>
    <w:p w14:paraId="0EDF8027" w14:textId="77777777" w:rsidR="001734EB" w:rsidRPr="00077437" w:rsidRDefault="00950D81" w:rsidP="00054D51">
      <w:pPr>
        <w:pStyle w:val="SingleTxtG"/>
        <w:rPr>
          <w:lang w:val="es-VE"/>
        </w:rPr>
      </w:pPr>
      <w:r>
        <w:rPr>
          <w:lang w:val="es-VE"/>
        </w:rPr>
        <w:t>50.</w:t>
      </w:r>
      <w:r>
        <w:rPr>
          <w:lang w:val="es-VE"/>
        </w:rPr>
        <w:tab/>
      </w:r>
      <w:r w:rsidR="001734EB" w:rsidRPr="00077437">
        <w:rPr>
          <w:lang w:val="es-VE"/>
        </w:rPr>
        <w:t xml:space="preserve">La </w:t>
      </w:r>
      <w:proofErr w:type="spellStart"/>
      <w:r w:rsidR="001734EB" w:rsidRPr="00077437">
        <w:rPr>
          <w:lang w:val="es-VE"/>
        </w:rPr>
        <w:t>RBV</w:t>
      </w:r>
      <w:proofErr w:type="spellEnd"/>
      <w:r w:rsidR="001734EB" w:rsidRPr="00077437">
        <w:rPr>
          <w:lang w:val="es-VE"/>
        </w:rPr>
        <w:t xml:space="preserve"> no enfrenta una </w:t>
      </w:r>
      <w:r w:rsidR="001734EB" w:rsidRPr="00077437">
        <w:rPr>
          <w:i/>
          <w:lang w:val="es-VE"/>
        </w:rPr>
        <w:t xml:space="preserve">“crisis humanitaria” </w:t>
      </w:r>
      <w:r w:rsidR="001734EB" w:rsidRPr="00077437">
        <w:rPr>
          <w:lang w:val="es-VE"/>
        </w:rPr>
        <w:t>a la luz del derecho internacional, tal como lo ha reconocido el Experto Independiente sobre la promoción de un orden internacional democrático y equita</w:t>
      </w:r>
      <w:r w:rsidR="000A0878">
        <w:rPr>
          <w:lang w:val="es-VE"/>
        </w:rPr>
        <w:t>tivo luego de su visita al país</w:t>
      </w:r>
      <w:r w:rsidR="001734EB" w:rsidRPr="00054D51">
        <w:rPr>
          <w:sz w:val="18"/>
          <w:vertAlign w:val="superscript"/>
          <w:lang w:val="es-VE"/>
        </w:rPr>
        <w:footnoteReference w:id="23"/>
      </w:r>
      <w:r w:rsidR="000A0878">
        <w:rPr>
          <w:lang w:val="es-VE"/>
        </w:rPr>
        <w:t>.</w:t>
      </w:r>
      <w:r w:rsidR="001734EB" w:rsidRPr="00077437">
        <w:rPr>
          <w:lang w:val="es-VE"/>
        </w:rPr>
        <w:t xml:space="preserve"> Venezuela sufre las consecuencias económicas y sociales de una agresión multiforme dirigida por el gobierno de los Estados Unidos de América, que incluye la aplicación de medidas coercitivas </w:t>
      </w:r>
      <w:r w:rsidR="000A0878">
        <w:rPr>
          <w:lang w:val="es-VE"/>
        </w:rPr>
        <w:t>unilaterales</w:t>
      </w:r>
      <w:r w:rsidR="001734EB" w:rsidRPr="00054D51">
        <w:rPr>
          <w:sz w:val="18"/>
          <w:vertAlign w:val="superscript"/>
          <w:lang w:val="es-VE"/>
        </w:rPr>
        <w:footnoteReference w:id="24"/>
      </w:r>
      <w:r w:rsidR="000A0878">
        <w:rPr>
          <w:lang w:val="es-VE"/>
        </w:rPr>
        <w:t>.</w:t>
      </w:r>
      <w:r w:rsidR="001734EB" w:rsidRPr="00077437">
        <w:rPr>
          <w:lang w:val="es-VE"/>
        </w:rPr>
        <w:t xml:space="preserve"> Como lo reconoce la doctrina internacional</w:t>
      </w:r>
      <w:r w:rsidR="001734EB" w:rsidRPr="00054D51">
        <w:rPr>
          <w:sz w:val="18"/>
          <w:vertAlign w:val="superscript"/>
          <w:lang w:val="es-VE"/>
        </w:rPr>
        <w:footnoteReference w:id="25"/>
      </w:r>
      <w:r w:rsidR="001734EB" w:rsidRPr="00077437">
        <w:rPr>
          <w:lang w:val="es-VE"/>
        </w:rPr>
        <w:t xml:space="preserve">, la aplicación de este tipo de medidas siempre genera consecuencias negativas en los derechos humanos de los habitantes del país en cuestión, con especial impacto en los sectores más vulnerables, incluyendo las </w:t>
      </w:r>
      <w:proofErr w:type="spellStart"/>
      <w:r w:rsidR="001734EB" w:rsidRPr="00077437">
        <w:rPr>
          <w:lang w:val="es-VE"/>
        </w:rPr>
        <w:t>PcD</w:t>
      </w:r>
      <w:proofErr w:type="spellEnd"/>
      <w:r w:rsidR="001734EB" w:rsidRPr="00077437">
        <w:rPr>
          <w:lang w:val="es-VE"/>
        </w:rPr>
        <w:t xml:space="preserve">. </w:t>
      </w:r>
    </w:p>
    <w:p w14:paraId="2F44025B" w14:textId="77777777" w:rsidR="001734EB" w:rsidRPr="00077437" w:rsidRDefault="00950D81" w:rsidP="00054D51">
      <w:pPr>
        <w:pStyle w:val="SingleTxtG"/>
        <w:rPr>
          <w:lang w:val="es-VE"/>
        </w:rPr>
      </w:pPr>
      <w:r>
        <w:rPr>
          <w:lang w:val="es-VE"/>
        </w:rPr>
        <w:t>51.</w:t>
      </w:r>
      <w:r>
        <w:rPr>
          <w:lang w:val="es-VE"/>
        </w:rPr>
        <w:tab/>
      </w:r>
      <w:r w:rsidR="001734EB" w:rsidRPr="00077437">
        <w:rPr>
          <w:lang w:val="es-VE"/>
        </w:rPr>
        <w:t xml:space="preserve">La </w:t>
      </w:r>
      <w:proofErr w:type="spellStart"/>
      <w:r w:rsidR="001734EB" w:rsidRPr="00077437">
        <w:rPr>
          <w:lang w:val="es-VE"/>
        </w:rPr>
        <w:t>RBV</w:t>
      </w:r>
      <w:proofErr w:type="spellEnd"/>
      <w:r w:rsidR="001734EB" w:rsidRPr="00077437">
        <w:rPr>
          <w:lang w:val="es-VE"/>
        </w:rPr>
        <w:t xml:space="preserve"> ha recurrido al sistema de las Naciones Unidas para denunciar y hacer cesar las causas de la afectación económica y social que enfrenta el país. Igualmente, se encuentra estudiando las acciones jurídicas disponibles para actuar contra esta clara trasgresión del derecho internacional que impacta negativamente en el disfrute de los derechos humanos. </w:t>
      </w:r>
    </w:p>
    <w:p w14:paraId="5F1B1AA6" w14:textId="77777777" w:rsidR="001734EB" w:rsidRPr="00077437" w:rsidRDefault="00950D81" w:rsidP="00054D51">
      <w:pPr>
        <w:pStyle w:val="SingleTxtG"/>
        <w:rPr>
          <w:lang w:val="es-VE"/>
        </w:rPr>
      </w:pPr>
      <w:r>
        <w:rPr>
          <w:lang w:val="es-VE"/>
        </w:rPr>
        <w:t>52.</w:t>
      </w:r>
      <w:r>
        <w:rPr>
          <w:lang w:val="es-VE"/>
        </w:rPr>
        <w:tab/>
      </w:r>
      <w:r w:rsidR="001734EB" w:rsidRPr="00077437">
        <w:rPr>
          <w:lang w:val="es-VE"/>
        </w:rPr>
        <w:t xml:space="preserve">Para dar respuesta a las consecuencias sobre las </w:t>
      </w:r>
      <w:proofErr w:type="spellStart"/>
      <w:r w:rsidR="001734EB" w:rsidRPr="00077437">
        <w:rPr>
          <w:lang w:val="es-VE"/>
        </w:rPr>
        <w:t>PcD</w:t>
      </w:r>
      <w:proofErr w:type="spellEnd"/>
      <w:r w:rsidR="001734EB" w:rsidRPr="00077437">
        <w:rPr>
          <w:lang w:val="es-VE"/>
        </w:rPr>
        <w:t xml:space="preserve"> de la agresión económica contra el país, Venezuela implementa el </w:t>
      </w:r>
      <w:proofErr w:type="spellStart"/>
      <w:r w:rsidR="001734EB" w:rsidRPr="00077437">
        <w:rPr>
          <w:lang w:val="es-VE"/>
        </w:rPr>
        <w:t>PAEVGE</w:t>
      </w:r>
      <w:proofErr w:type="spellEnd"/>
      <w:r w:rsidR="001734EB" w:rsidRPr="00077437">
        <w:rPr>
          <w:lang w:val="es-VE"/>
        </w:rPr>
        <w:t xml:space="preserve"> y trabaja coordinadamente con el sistema de Naciones Unidas en el país para la implementación del Plan de Respuesta Humanitaria. </w:t>
      </w:r>
    </w:p>
    <w:p w14:paraId="2DDA37FC" w14:textId="77777777" w:rsidR="001734EB" w:rsidRPr="00077437" w:rsidRDefault="00950D81" w:rsidP="00054D51">
      <w:pPr>
        <w:pStyle w:val="SingleTxtG"/>
        <w:rPr>
          <w:lang w:val="es-VE"/>
        </w:rPr>
      </w:pPr>
      <w:r>
        <w:rPr>
          <w:lang w:val="es-VE"/>
        </w:rPr>
        <w:t>53.</w:t>
      </w:r>
      <w:r>
        <w:rPr>
          <w:lang w:val="es-VE"/>
        </w:rPr>
        <w:tab/>
      </w:r>
      <w:r w:rsidR="001734EB" w:rsidRPr="00077437">
        <w:rPr>
          <w:lang w:val="es-VE"/>
        </w:rPr>
        <w:t>La Organización Nacional de Protección Civil y Administración de Desastres (</w:t>
      </w:r>
      <w:proofErr w:type="spellStart"/>
      <w:r w:rsidR="001734EB" w:rsidRPr="00077437">
        <w:rPr>
          <w:lang w:val="es-VE"/>
        </w:rPr>
        <w:t>ONPCAD</w:t>
      </w:r>
      <w:proofErr w:type="spellEnd"/>
      <w:r w:rsidR="001734EB" w:rsidRPr="00077437">
        <w:rPr>
          <w:lang w:val="es-VE"/>
        </w:rPr>
        <w:t xml:space="preserve">) del </w:t>
      </w:r>
      <w:proofErr w:type="spellStart"/>
      <w:r w:rsidR="001734EB" w:rsidRPr="00077437">
        <w:rPr>
          <w:lang w:val="es-VE"/>
        </w:rPr>
        <w:t>MPPRIJP</w:t>
      </w:r>
      <w:proofErr w:type="spellEnd"/>
      <w:r w:rsidR="001734EB" w:rsidRPr="00077437">
        <w:rPr>
          <w:lang w:val="es-VE"/>
        </w:rPr>
        <w:t xml:space="preserve"> ha implementado una estrategia de formación a todos los actores de seguridad, así como a la comunidad en general, sobre la Atención de Emergencias y Desastres frente al abordaje de la Discapacidad, promoviendo en todos los procesos la participación de las </w:t>
      </w:r>
      <w:proofErr w:type="spellStart"/>
      <w:r w:rsidR="001734EB" w:rsidRPr="00077437">
        <w:rPr>
          <w:lang w:val="es-VE"/>
        </w:rPr>
        <w:t>PcD</w:t>
      </w:r>
      <w:proofErr w:type="spellEnd"/>
      <w:r w:rsidR="001734EB" w:rsidRPr="00077437">
        <w:rPr>
          <w:lang w:val="es-VE"/>
        </w:rPr>
        <w:t>.</w:t>
      </w:r>
    </w:p>
    <w:p w14:paraId="27A284AE" w14:textId="77777777" w:rsidR="001734EB" w:rsidRPr="00077437" w:rsidRDefault="00950D81" w:rsidP="00054D51">
      <w:pPr>
        <w:pStyle w:val="SingleTxtG"/>
        <w:rPr>
          <w:lang w:val="es-VE"/>
        </w:rPr>
      </w:pPr>
      <w:r>
        <w:rPr>
          <w:lang w:val="es-VE"/>
        </w:rPr>
        <w:t>54.</w:t>
      </w:r>
      <w:r>
        <w:rPr>
          <w:lang w:val="es-VE"/>
        </w:rPr>
        <w:tab/>
      </w:r>
      <w:r w:rsidR="001734EB" w:rsidRPr="00077437">
        <w:rPr>
          <w:lang w:val="es-VE"/>
        </w:rPr>
        <w:t>La (</w:t>
      </w:r>
      <w:proofErr w:type="spellStart"/>
      <w:r w:rsidR="001734EB" w:rsidRPr="00077437">
        <w:rPr>
          <w:lang w:val="es-VE"/>
        </w:rPr>
        <w:t>ONPCAD</w:t>
      </w:r>
      <w:proofErr w:type="spellEnd"/>
      <w:r w:rsidR="001734EB" w:rsidRPr="00077437">
        <w:rPr>
          <w:lang w:val="es-VE"/>
        </w:rPr>
        <w:t xml:space="preserve">) cuenta con un Protocolo de atención a las </w:t>
      </w:r>
      <w:proofErr w:type="spellStart"/>
      <w:r w:rsidR="001734EB" w:rsidRPr="00077437">
        <w:rPr>
          <w:lang w:val="es-VE"/>
        </w:rPr>
        <w:t>PcD</w:t>
      </w:r>
      <w:proofErr w:type="spellEnd"/>
      <w:r w:rsidR="001734EB" w:rsidRPr="00077437">
        <w:rPr>
          <w:lang w:val="es-VE"/>
        </w:rPr>
        <w:t xml:space="preserve"> ante situaciones de emergencia y desastres, para ser implementado en cualquier lugar donde exista situación de amenaza, vulnerabilidad o riesgo. </w:t>
      </w:r>
    </w:p>
    <w:p w14:paraId="20C8E1A7" w14:textId="77777777" w:rsidR="001734EB" w:rsidRPr="00077437" w:rsidRDefault="00950D81" w:rsidP="00054D51">
      <w:pPr>
        <w:pStyle w:val="SingleTxtG"/>
        <w:rPr>
          <w:lang w:val="es-VE"/>
        </w:rPr>
      </w:pPr>
      <w:r>
        <w:rPr>
          <w:lang w:val="es-VE"/>
        </w:rPr>
        <w:t>55.</w:t>
      </w:r>
      <w:r>
        <w:rPr>
          <w:lang w:val="es-VE"/>
        </w:rPr>
        <w:tab/>
      </w:r>
      <w:r w:rsidR="001734EB" w:rsidRPr="00077437">
        <w:rPr>
          <w:lang w:val="es-VE"/>
        </w:rPr>
        <w:t xml:space="preserve">Igualmente, se ha elaborado material especializado en la materia de riesgos y emergencias, dirigido especialmente a las </w:t>
      </w:r>
      <w:proofErr w:type="spellStart"/>
      <w:r w:rsidR="001734EB" w:rsidRPr="00077437">
        <w:rPr>
          <w:lang w:val="es-VE"/>
        </w:rPr>
        <w:t>PcD</w:t>
      </w:r>
      <w:proofErr w:type="spellEnd"/>
      <w:r w:rsidR="001734EB" w:rsidRPr="00077437">
        <w:rPr>
          <w:lang w:val="es-VE"/>
        </w:rPr>
        <w:t xml:space="preserve"> y </w:t>
      </w:r>
      <w:proofErr w:type="gramStart"/>
      <w:r w:rsidR="001734EB" w:rsidRPr="00077437">
        <w:rPr>
          <w:lang w:val="es-VE"/>
        </w:rPr>
        <w:t>difundido información</w:t>
      </w:r>
      <w:proofErr w:type="gramEnd"/>
      <w:r w:rsidR="001734EB" w:rsidRPr="00077437">
        <w:rPr>
          <w:lang w:val="es-VE"/>
        </w:rPr>
        <w:t xml:space="preserve"> sobre la materia a través de los diversos medios de comunicación. </w:t>
      </w:r>
    </w:p>
    <w:p w14:paraId="5585805C" w14:textId="77777777" w:rsidR="001734EB" w:rsidRPr="00077437" w:rsidRDefault="00950D81" w:rsidP="00054D51">
      <w:pPr>
        <w:pStyle w:val="H1G"/>
        <w:rPr>
          <w:lang w:val="es-VE"/>
        </w:rPr>
      </w:pPr>
      <w:r>
        <w:rPr>
          <w:lang w:val="es-VE"/>
        </w:rPr>
        <w:lastRenderedPageBreak/>
        <w:tab/>
      </w:r>
      <w:r>
        <w:rPr>
          <w:lang w:val="es-VE"/>
        </w:rPr>
        <w:tab/>
      </w:r>
      <w:r w:rsidR="001734EB" w:rsidRPr="00077437">
        <w:rPr>
          <w:lang w:val="es-VE"/>
        </w:rPr>
        <w:t>Igual reconocimiento como persona ante la ley (art. 12)</w:t>
      </w:r>
    </w:p>
    <w:p w14:paraId="7D9A2834" w14:textId="77777777" w:rsidR="001734EB" w:rsidRPr="00077437" w:rsidRDefault="00950D81" w:rsidP="00054D51">
      <w:pPr>
        <w:pStyle w:val="H1G"/>
        <w:rPr>
          <w:lang w:val="es-VE"/>
        </w:rPr>
      </w:pPr>
      <w:r>
        <w:tab/>
      </w:r>
      <w:r>
        <w:tab/>
      </w:r>
      <w:r w:rsidR="00C154C7" w:rsidRPr="00F96454">
        <w:t xml:space="preserve">Respuesta </w:t>
      </w:r>
      <w:r w:rsidR="00C154C7">
        <w:t xml:space="preserve">a la </w:t>
      </w:r>
      <w:r w:rsidR="00C154C7">
        <w:rPr>
          <w:lang w:val="es-VE"/>
        </w:rPr>
        <w:t>c</w:t>
      </w:r>
      <w:r w:rsidR="001734EB" w:rsidRPr="00077437">
        <w:rPr>
          <w:lang w:val="es-VE"/>
        </w:rPr>
        <w:t xml:space="preserve">uestión 12 </w:t>
      </w:r>
    </w:p>
    <w:p w14:paraId="1E054A7B" w14:textId="77777777" w:rsidR="001734EB" w:rsidRPr="00077437" w:rsidRDefault="00950D81" w:rsidP="00054D51">
      <w:pPr>
        <w:pStyle w:val="SingleTxtG"/>
        <w:rPr>
          <w:lang w:val="es-VE"/>
        </w:rPr>
      </w:pPr>
      <w:r>
        <w:rPr>
          <w:lang w:val="es-VE"/>
        </w:rPr>
        <w:t>56.</w:t>
      </w:r>
      <w:r>
        <w:rPr>
          <w:lang w:val="es-VE"/>
        </w:rPr>
        <w:tab/>
      </w:r>
      <w:r w:rsidR="001734EB" w:rsidRPr="00077437">
        <w:rPr>
          <w:lang w:val="es-VE"/>
        </w:rPr>
        <w:t xml:space="preserve">La </w:t>
      </w:r>
      <w:proofErr w:type="spellStart"/>
      <w:r w:rsidR="001734EB" w:rsidRPr="00077437">
        <w:rPr>
          <w:lang w:val="es-VE"/>
        </w:rPr>
        <w:t>LPCD</w:t>
      </w:r>
      <w:proofErr w:type="spellEnd"/>
      <w:r w:rsidR="001734EB" w:rsidRPr="00077437">
        <w:rPr>
          <w:lang w:val="es-VE"/>
        </w:rPr>
        <w:t xml:space="preserve"> derogó expresamente el artículo 410 del CCV que consideraba civilmente inhábiles a las </w:t>
      </w:r>
      <w:proofErr w:type="spellStart"/>
      <w:r w:rsidR="001734EB" w:rsidRPr="00077437">
        <w:rPr>
          <w:lang w:val="es-VE"/>
        </w:rPr>
        <w:t>PcD</w:t>
      </w:r>
      <w:proofErr w:type="spellEnd"/>
      <w:r w:rsidR="001734EB" w:rsidRPr="00077437">
        <w:rPr>
          <w:lang w:val="es-VE"/>
        </w:rPr>
        <w:t xml:space="preserve">. Igualmente derogó toda disposición de carácter legal que colida con lo previsto en la </w:t>
      </w:r>
      <w:proofErr w:type="spellStart"/>
      <w:r w:rsidR="001734EB" w:rsidRPr="00077437">
        <w:rPr>
          <w:lang w:val="es-VE"/>
        </w:rPr>
        <w:t>LPCD</w:t>
      </w:r>
      <w:proofErr w:type="spellEnd"/>
      <w:r w:rsidR="001734EB" w:rsidRPr="00077437">
        <w:rPr>
          <w:lang w:val="es-VE"/>
        </w:rPr>
        <w:t xml:space="preserve">. </w:t>
      </w:r>
    </w:p>
    <w:p w14:paraId="4C070043" w14:textId="77777777" w:rsidR="001734EB" w:rsidRPr="00077437" w:rsidRDefault="00950D81" w:rsidP="00054D51">
      <w:pPr>
        <w:pStyle w:val="SingleTxtG"/>
        <w:rPr>
          <w:lang w:val="es-VE"/>
        </w:rPr>
      </w:pPr>
      <w:r>
        <w:rPr>
          <w:lang w:val="es-VE"/>
        </w:rPr>
        <w:t>57.</w:t>
      </w:r>
      <w:r>
        <w:rPr>
          <w:lang w:val="es-VE"/>
        </w:rPr>
        <w:tab/>
      </w:r>
      <w:r w:rsidR="001734EB" w:rsidRPr="00077437">
        <w:rPr>
          <w:lang w:val="es-VE"/>
        </w:rPr>
        <w:t xml:space="preserve">Actualmente, la ANC trabaja en la redacción de una nueva norma jurídica en materia de </w:t>
      </w:r>
      <w:proofErr w:type="spellStart"/>
      <w:r w:rsidR="001734EB" w:rsidRPr="00077437">
        <w:rPr>
          <w:lang w:val="es-VE"/>
        </w:rPr>
        <w:t>PcD</w:t>
      </w:r>
      <w:proofErr w:type="spellEnd"/>
      <w:r w:rsidR="001734EB" w:rsidRPr="00077437">
        <w:rPr>
          <w:lang w:val="es-VE"/>
        </w:rPr>
        <w:t xml:space="preserve">, totalmente adecuada a la </w:t>
      </w:r>
      <w:proofErr w:type="spellStart"/>
      <w:r w:rsidR="001734EB" w:rsidRPr="00077437">
        <w:rPr>
          <w:lang w:val="es-VE"/>
        </w:rPr>
        <w:t>CDPD</w:t>
      </w:r>
      <w:proofErr w:type="spellEnd"/>
      <w:r w:rsidR="001734EB" w:rsidRPr="00077437">
        <w:rPr>
          <w:lang w:val="es-VE"/>
        </w:rPr>
        <w:t>.</w:t>
      </w:r>
    </w:p>
    <w:p w14:paraId="43A1F14B" w14:textId="77777777" w:rsidR="001734EB" w:rsidRPr="00077437" w:rsidRDefault="00950D81" w:rsidP="00054D51">
      <w:pPr>
        <w:pStyle w:val="H1G"/>
        <w:rPr>
          <w:lang w:val="es-VE"/>
        </w:rPr>
      </w:pPr>
      <w:bookmarkStart w:id="8" w:name="OLE_LINK45"/>
      <w:bookmarkStart w:id="9" w:name="OLE_LINK48"/>
      <w:r>
        <w:rPr>
          <w:lang w:val="es-VE"/>
        </w:rPr>
        <w:tab/>
      </w:r>
      <w:r>
        <w:rPr>
          <w:lang w:val="es-VE"/>
        </w:rPr>
        <w:tab/>
      </w:r>
      <w:r w:rsidR="001734EB" w:rsidRPr="00077437">
        <w:rPr>
          <w:lang w:val="es-VE"/>
        </w:rPr>
        <w:t>Acceso a la justicia (art. 13)</w:t>
      </w:r>
    </w:p>
    <w:p w14:paraId="36B293C0" w14:textId="77777777" w:rsidR="001734EB" w:rsidRPr="00077437" w:rsidRDefault="00950D81" w:rsidP="00054D51">
      <w:pPr>
        <w:pStyle w:val="H1G"/>
        <w:rPr>
          <w:lang w:val="es-VE"/>
        </w:rPr>
      </w:pPr>
      <w:r>
        <w:tab/>
      </w:r>
      <w:r>
        <w:tab/>
      </w:r>
      <w:r w:rsidR="00C154C7" w:rsidRPr="00F96454">
        <w:t xml:space="preserve">Respuesta </w:t>
      </w:r>
      <w:r w:rsidR="00C154C7">
        <w:t xml:space="preserve">a la </w:t>
      </w:r>
      <w:r w:rsidR="00C154C7">
        <w:rPr>
          <w:lang w:val="es-VE"/>
        </w:rPr>
        <w:t>c</w:t>
      </w:r>
      <w:r w:rsidR="001734EB" w:rsidRPr="00077437">
        <w:rPr>
          <w:lang w:val="es-VE"/>
        </w:rPr>
        <w:t>uestión 13</w:t>
      </w:r>
    </w:p>
    <w:p w14:paraId="7BDB0DDB" w14:textId="77777777" w:rsidR="001734EB" w:rsidRPr="00077437" w:rsidRDefault="00950D81" w:rsidP="00054D51">
      <w:pPr>
        <w:pStyle w:val="SingleTxtG"/>
        <w:rPr>
          <w:lang w:val="es-ES_tradnl"/>
        </w:rPr>
      </w:pPr>
      <w:r>
        <w:rPr>
          <w:lang w:val="es-ES_tradnl"/>
        </w:rPr>
        <w:t>58.</w:t>
      </w:r>
      <w:r>
        <w:rPr>
          <w:lang w:val="es-ES_tradnl"/>
        </w:rPr>
        <w:tab/>
      </w:r>
      <w:r w:rsidR="001734EB" w:rsidRPr="00077437">
        <w:rPr>
          <w:lang w:val="es-ES_tradnl"/>
        </w:rPr>
        <w:t xml:space="preserve">La </w:t>
      </w:r>
      <w:proofErr w:type="spellStart"/>
      <w:r w:rsidR="001734EB" w:rsidRPr="00077437">
        <w:rPr>
          <w:lang w:val="es-ES_tradnl"/>
        </w:rPr>
        <w:t>CRBV</w:t>
      </w:r>
      <w:proofErr w:type="spellEnd"/>
      <w:r w:rsidR="001734EB" w:rsidRPr="00077437">
        <w:rPr>
          <w:lang w:val="es-ES_tradnl"/>
        </w:rPr>
        <w:t xml:space="preserve"> garantiza a todas las personas el acceso a la justicia en condiciones de igualdad. Para tal fin, el </w:t>
      </w:r>
      <w:proofErr w:type="spellStart"/>
      <w:r w:rsidR="001734EB" w:rsidRPr="00077437">
        <w:rPr>
          <w:lang w:val="es-ES_tradnl"/>
        </w:rPr>
        <w:t>TSJ</w:t>
      </w:r>
      <w:proofErr w:type="spellEnd"/>
      <w:r w:rsidR="001734EB" w:rsidRPr="00077437">
        <w:rPr>
          <w:lang w:val="es-ES_tradnl"/>
        </w:rPr>
        <w:t xml:space="preserve"> ha implementado acciones cuyo objeto es asegurar el acceso efectivo a la justicia de las personas con discapacidad. </w:t>
      </w:r>
    </w:p>
    <w:p w14:paraId="1DAF73FC" w14:textId="77777777" w:rsidR="001734EB" w:rsidRPr="00077437" w:rsidRDefault="00950D81" w:rsidP="00054D51">
      <w:pPr>
        <w:pStyle w:val="SingleTxtG"/>
        <w:rPr>
          <w:lang w:val="es-ES_tradnl"/>
        </w:rPr>
      </w:pPr>
      <w:r>
        <w:rPr>
          <w:lang w:val="es-ES_tradnl"/>
        </w:rPr>
        <w:t>59.</w:t>
      </w:r>
      <w:r>
        <w:rPr>
          <w:lang w:val="es-ES_tradnl"/>
        </w:rPr>
        <w:tab/>
      </w:r>
      <w:r w:rsidR="001734EB" w:rsidRPr="00077437">
        <w:rPr>
          <w:lang w:val="es-ES_tradnl"/>
        </w:rPr>
        <w:t xml:space="preserve">El programa de Tribunales Móviles permite llevar la justicia a cada rincón del país, especialmente en las zonas de difícil acceso, atendiendo de manera prioritaria a </w:t>
      </w:r>
      <w:proofErr w:type="spellStart"/>
      <w:r w:rsidR="001734EB" w:rsidRPr="00077437">
        <w:rPr>
          <w:lang w:val="es-ES_tradnl"/>
        </w:rPr>
        <w:t>PcD</w:t>
      </w:r>
      <w:proofErr w:type="spellEnd"/>
      <w:r w:rsidR="001734EB" w:rsidRPr="00077437">
        <w:rPr>
          <w:lang w:val="es-ES_tradnl"/>
        </w:rPr>
        <w:t xml:space="preserve">. Se trata de equipos multidisciplinarios que se trasladan a áreas de difícil acceso para brindar el servicio de la justicia a la población. </w:t>
      </w:r>
    </w:p>
    <w:p w14:paraId="6F0153E6" w14:textId="77777777" w:rsidR="001734EB" w:rsidRPr="00077437" w:rsidRDefault="00950D81" w:rsidP="00054D51">
      <w:pPr>
        <w:pStyle w:val="SingleTxtG"/>
        <w:rPr>
          <w:lang w:val="es-ES_tradnl"/>
        </w:rPr>
      </w:pPr>
      <w:r>
        <w:rPr>
          <w:lang w:val="es-ES_tradnl"/>
        </w:rPr>
        <w:t>60.</w:t>
      </w:r>
      <w:r>
        <w:rPr>
          <w:lang w:val="es-ES_tradnl"/>
        </w:rPr>
        <w:tab/>
      </w:r>
      <w:r w:rsidR="001734EB" w:rsidRPr="00077437">
        <w:rPr>
          <w:lang w:val="es-ES_tradnl"/>
        </w:rPr>
        <w:t xml:space="preserve">El </w:t>
      </w:r>
      <w:proofErr w:type="spellStart"/>
      <w:r w:rsidR="001734EB" w:rsidRPr="00077437">
        <w:rPr>
          <w:lang w:val="es-ES_tradnl"/>
        </w:rPr>
        <w:t>TSJ</w:t>
      </w:r>
      <w:proofErr w:type="spellEnd"/>
      <w:r w:rsidR="001734EB" w:rsidRPr="00077437">
        <w:rPr>
          <w:lang w:val="es-ES_tradnl"/>
        </w:rPr>
        <w:t xml:space="preserve"> </w:t>
      </w:r>
      <w:r w:rsidR="001734EB" w:rsidRPr="00077437">
        <w:rPr>
          <w:lang w:val="es-VE"/>
        </w:rPr>
        <w:t>ha i</w:t>
      </w:r>
      <w:proofErr w:type="spellStart"/>
      <w:r w:rsidR="001734EB" w:rsidRPr="00077437">
        <w:rPr>
          <w:lang w:val="es-ES_tradnl"/>
        </w:rPr>
        <w:t>ncorporado</w:t>
      </w:r>
      <w:proofErr w:type="spellEnd"/>
      <w:r w:rsidR="001734EB" w:rsidRPr="00077437">
        <w:rPr>
          <w:lang w:val="es-ES_tradnl"/>
        </w:rPr>
        <w:t xml:space="preserve"> en los juicios y demás audiencias del proceso judicial a expertos en </w:t>
      </w:r>
      <w:proofErr w:type="spellStart"/>
      <w:r w:rsidR="001734EB" w:rsidRPr="00077437">
        <w:rPr>
          <w:lang w:val="es-ES_tradnl"/>
        </w:rPr>
        <w:t>LSV</w:t>
      </w:r>
      <w:proofErr w:type="spellEnd"/>
      <w:r w:rsidR="001734EB" w:rsidRPr="00077437">
        <w:rPr>
          <w:lang w:val="es-ES_tradnl"/>
        </w:rPr>
        <w:t xml:space="preserve">, conforme a lo establecido en la </w:t>
      </w:r>
      <w:proofErr w:type="spellStart"/>
      <w:r w:rsidR="001734EB" w:rsidRPr="00077437">
        <w:rPr>
          <w:lang w:val="es-ES_tradnl"/>
        </w:rPr>
        <w:t>LPCD</w:t>
      </w:r>
      <w:proofErr w:type="spellEnd"/>
      <w:r w:rsidR="001734EB" w:rsidRPr="00077437">
        <w:rPr>
          <w:lang w:val="es-ES_tradnl"/>
        </w:rPr>
        <w:t xml:space="preserve">. Se han establecido protocolos de trabajo en los juzgados de protección y violencia de género para garantizar los derechos de las </w:t>
      </w:r>
      <w:proofErr w:type="spellStart"/>
      <w:r w:rsidR="001734EB" w:rsidRPr="00077437">
        <w:rPr>
          <w:lang w:val="es-ES_tradnl"/>
        </w:rPr>
        <w:t>PcD</w:t>
      </w:r>
      <w:proofErr w:type="spellEnd"/>
      <w:r w:rsidR="001734EB" w:rsidRPr="00077437">
        <w:rPr>
          <w:lang w:val="es-ES_tradnl"/>
        </w:rPr>
        <w:t xml:space="preserve"> y se han adecuado los espacios físicos en tribunales y sedes judiciales para la comparecencia de personas con </w:t>
      </w:r>
      <w:proofErr w:type="spellStart"/>
      <w:r w:rsidR="001734EB" w:rsidRPr="00077437">
        <w:rPr>
          <w:lang w:val="es-ES_tradnl"/>
        </w:rPr>
        <w:t>PcD</w:t>
      </w:r>
      <w:proofErr w:type="spellEnd"/>
      <w:r w:rsidR="001734EB" w:rsidRPr="00077437">
        <w:rPr>
          <w:lang w:val="es-ES_tradnl"/>
        </w:rPr>
        <w:t>, a través de video conferencias e implementación de Cámaras Gesell.</w:t>
      </w:r>
    </w:p>
    <w:p w14:paraId="20FC9817" w14:textId="77777777" w:rsidR="001734EB" w:rsidRPr="00077437" w:rsidRDefault="00950D81" w:rsidP="00054D51">
      <w:pPr>
        <w:pStyle w:val="SingleTxtG"/>
        <w:rPr>
          <w:lang w:val="es-ES_tradnl"/>
        </w:rPr>
      </w:pPr>
      <w:r>
        <w:rPr>
          <w:lang w:val="es-VE"/>
        </w:rPr>
        <w:t>61.</w:t>
      </w:r>
      <w:r>
        <w:rPr>
          <w:lang w:val="es-VE"/>
        </w:rPr>
        <w:tab/>
      </w:r>
      <w:r w:rsidR="001734EB" w:rsidRPr="00077437">
        <w:rPr>
          <w:lang w:val="es-VE"/>
        </w:rPr>
        <w:t xml:space="preserve">El </w:t>
      </w:r>
      <w:proofErr w:type="spellStart"/>
      <w:r w:rsidR="001734EB" w:rsidRPr="00077437">
        <w:rPr>
          <w:lang w:val="es-VE"/>
        </w:rPr>
        <w:t>TSJ</w:t>
      </w:r>
      <w:proofErr w:type="spellEnd"/>
      <w:r w:rsidR="001734EB" w:rsidRPr="00077437">
        <w:rPr>
          <w:lang w:val="es-VE"/>
        </w:rPr>
        <w:t xml:space="preserve"> dictó los “Lineamientos sobre el testimonio de los niños, niñas y adolescentes en los procedimientos judiciales ante los Tribunales de Protección”</w:t>
      </w:r>
      <w:r w:rsidR="001734EB" w:rsidRPr="00054D51">
        <w:rPr>
          <w:sz w:val="18"/>
          <w:vertAlign w:val="superscript"/>
          <w:lang w:val="es-VE"/>
        </w:rPr>
        <w:footnoteReference w:id="26"/>
      </w:r>
      <w:r w:rsidR="001734EB" w:rsidRPr="00077437">
        <w:rPr>
          <w:lang w:val="es-VE"/>
        </w:rPr>
        <w:t xml:space="preserve">. En estos lineamientos se incorpora de manera transversal a los niños con discapacidad y se consagran lineamientos específicos para el adecuado respeto de sus derechos. </w:t>
      </w:r>
    </w:p>
    <w:p w14:paraId="156375D0" w14:textId="77777777" w:rsidR="001734EB" w:rsidRPr="00077437" w:rsidRDefault="00950D81" w:rsidP="00054D51">
      <w:pPr>
        <w:pStyle w:val="SingleTxtG"/>
        <w:rPr>
          <w:lang w:val="es-ES_tradnl"/>
        </w:rPr>
      </w:pPr>
      <w:r>
        <w:rPr>
          <w:lang w:val="es-ES_tradnl"/>
        </w:rPr>
        <w:t>62.</w:t>
      </w:r>
      <w:r>
        <w:rPr>
          <w:lang w:val="es-ES_tradnl"/>
        </w:rPr>
        <w:tab/>
      </w:r>
      <w:r w:rsidR="001734EB" w:rsidRPr="00077437">
        <w:rPr>
          <w:lang w:val="es-ES_tradnl"/>
        </w:rPr>
        <w:t>En el período 2015-2019, la Escuela Nacional de la Magistratura (</w:t>
      </w:r>
      <w:proofErr w:type="spellStart"/>
      <w:r w:rsidR="001734EB" w:rsidRPr="00077437">
        <w:rPr>
          <w:lang w:val="es-ES_tradnl"/>
        </w:rPr>
        <w:t>ENM</w:t>
      </w:r>
      <w:proofErr w:type="spellEnd"/>
      <w:r w:rsidR="001734EB" w:rsidRPr="00077437">
        <w:rPr>
          <w:lang w:val="es-ES_tradnl"/>
        </w:rPr>
        <w:t xml:space="preserve">) ha formado a 2.563 jueces y 3.880 trabajadores judiciales en materia de derechos humanos, incluyendo los derechos de las </w:t>
      </w:r>
      <w:proofErr w:type="spellStart"/>
      <w:r w:rsidR="001734EB" w:rsidRPr="00077437">
        <w:rPr>
          <w:lang w:val="es-ES_tradnl"/>
        </w:rPr>
        <w:t>PcD</w:t>
      </w:r>
      <w:proofErr w:type="spellEnd"/>
      <w:r w:rsidR="001734EB" w:rsidRPr="00077437">
        <w:rPr>
          <w:lang w:val="es-ES_tradnl"/>
        </w:rPr>
        <w:t xml:space="preserve">. </w:t>
      </w:r>
    </w:p>
    <w:p w14:paraId="23AB5CAB" w14:textId="77777777" w:rsidR="001734EB" w:rsidRPr="001A10BF" w:rsidRDefault="001734EB" w:rsidP="004E5744">
      <w:pPr>
        <w:pStyle w:val="Ttulo1"/>
      </w:pPr>
      <w:r w:rsidRPr="001A10BF">
        <w:t>Tabla 7</w:t>
      </w:r>
    </w:p>
    <w:p w14:paraId="000ED721" w14:textId="77777777" w:rsidR="001734EB" w:rsidRPr="007B47F6" w:rsidRDefault="00950D81" w:rsidP="00054D51">
      <w:pPr>
        <w:pStyle w:val="H23G"/>
        <w:spacing w:before="0"/>
        <w:rPr>
          <w:lang w:val="es-VE"/>
        </w:rPr>
      </w:pPr>
      <w:r>
        <w:rPr>
          <w:lang w:val="es-VE"/>
        </w:rPr>
        <w:tab/>
      </w:r>
      <w:r>
        <w:rPr>
          <w:lang w:val="es-VE"/>
        </w:rPr>
        <w:tab/>
      </w:r>
      <w:r w:rsidR="001734EB" w:rsidRPr="007B47F6">
        <w:rPr>
          <w:lang w:val="es-VE"/>
        </w:rPr>
        <w:t>Funcionarios judicial</w:t>
      </w:r>
      <w:r w:rsidR="007B47F6" w:rsidRPr="007B47F6">
        <w:rPr>
          <w:lang w:val="es-VE"/>
        </w:rPr>
        <w:t xml:space="preserve">es formados en derechos humanos </w:t>
      </w:r>
      <w:r>
        <w:rPr>
          <w:lang w:val="es-VE"/>
        </w:rPr>
        <w:t>—</w:t>
      </w:r>
      <w:proofErr w:type="spellStart"/>
      <w:r w:rsidR="001734EB" w:rsidRPr="007B47F6">
        <w:rPr>
          <w:lang w:val="es-VE"/>
        </w:rPr>
        <w:t>ENM</w:t>
      </w:r>
      <w:proofErr w:type="spellEnd"/>
      <w:r>
        <w:rPr>
          <w:lang w:val="es-VE"/>
        </w:rPr>
        <w:t>—</w:t>
      </w:r>
      <w:r w:rsidR="007B47F6" w:rsidRPr="007B47F6">
        <w:rPr>
          <w:lang w:val="es-VE"/>
        </w:rPr>
        <w:t xml:space="preserve"> </w:t>
      </w:r>
      <w:r w:rsidR="001734EB" w:rsidRPr="007B47F6">
        <w:rPr>
          <w:lang w:val="es-VE"/>
        </w:rPr>
        <w:t>2015-2019</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1832"/>
        <w:gridCol w:w="1751"/>
        <w:gridCol w:w="2093"/>
        <w:gridCol w:w="1694"/>
      </w:tblGrid>
      <w:tr w:rsidR="00950D81" w:rsidRPr="00950D81" w14:paraId="06330A73" w14:textId="77777777" w:rsidTr="00054D51">
        <w:trPr>
          <w:trHeight w:val="240"/>
          <w:tblHeader/>
        </w:trPr>
        <w:tc>
          <w:tcPr>
            <w:tcW w:w="1832" w:type="dxa"/>
            <w:tcBorders>
              <w:top w:val="single" w:sz="4" w:space="0" w:color="auto"/>
              <w:bottom w:val="single" w:sz="12" w:space="0" w:color="auto"/>
            </w:tcBorders>
            <w:shd w:val="clear" w:color="auto" w:fill="auto"/>
            <w:vAlign w:val="bottom"/>
          </w:tcPr>
          <w:p w14:paraId="545FB9A5" w14:textId="77777777" w:rsidR="001734EB" w:rsidRPr="004E5744" w:rsidRDefault="001734EB" w:rsidP="00054D51">
            <w:pPr>
              <w:pStyle w:val="SingleTxtG"/>
              <w:spacing w:before="80" w:after="80" w:line="200" w:lineRule="exact"/>
              <w:ind w:left="0" w:right="0"/>
              <w:jc w:val="left"/>
              <w:rPr>
                <w:i/>
                <w:sz w:val="16"/>
                <w:lang w:val="es-VE"/>
              </w:rPr>
            </w:pPr>
            <w:r w:rsidRPr="004E5744">
              <w:rPr>
                <w:i/>
                <w:sz w:val="16"/>
                <w:lang w:val="es-VE"/>
              </w:rPr>
              <w:t>Año</w:t>
            </w:r>
          </w:p>
        </w:tc>
        <w:tc>
          <w:tcPr>
            <w:tcW w:w="1751" w:type="dxa"/>
            <w:tcBorders>
              <w:top w:val="single" w:sz="4" w:space="0" w:color="auto"/>
              <w:bottom w:val="single" w:sz="12" w:space="0" w:color="auto"/>
            </w:tcBorders>
            <w:shd w:val="clear" w:color="auto" w:fill="auto"/>
            <w:vAlign w:val="bottom"/>
          </w:tcPr>
          <w:p w14:paraId="7761D2AB" w14:textId="77777777" w:rsidR="001734EB" w:rsidRPr="00950D81" w:rsidRDefault="001734EB" w:rsidP="00054D51">
            <w:pPr>
              <w:pStyle w:val="SingleTxtG"/>
              <w:spacing w:before="80" w:after="80" w:line="200" w:lineRule="exact"/>
              <w:ind w:left="113" w:right="0"/>
              <w:jc w:val="right"/>
              <w:rPr>
                <w:i/>
                <w:sz w:val="16"/>
                <w:lang w:val="es-VE"/>
              </w:rPr>
            </w:pPr>
            <w:r w:rsidRPr="004E5744">
              <w:rPr>
                <w:i/>
                <w:sz w:val="16"/>
                <w:lang w:val="es-VE"/>
              </w:rPr>
              <w:t>Jueces</w:t>
            </w:r>
          </w:p>
        </w:tc>
        <w:tc>
          <w:tcPr>
            <w:tcW w:w="2093" w:type="dxa"/>
            <w:tcBorders>
              <w:top w:val="single" w:sz="4" w:space="0" w:color="auto"/>
              <w:bottom w:val="single" w:sz="12" w:space="0" w:color="auto"/>
            </w:tcBorders>
            <w:shd w:val="clear" w:color="auto" w:fill="auto"/>
            <w:vAlign w:val="bottom"/>
          </w:tcPr>
          <w:p w14:paraId="7EDBEEE4" w14:textId="77777777" w:rsidR="001734EB" w:rsidRPr="00950D81" w:rsidRDefault="001734EB" w:rsidP="00054D51">
            <w:pPr>
              <w:pStyle w:val="SingleTxtG"/>
              <w:spacing w:before="80" w:after="80" w:line="200" w:lineRule="exact"/>
              <w:ind w:left="113" w:right="0"/>
              <w:jc w:val="right"/>
              <w:rPr>
                <w:i/>
                <w:sz w:val="16"/>
                <w:lang w:val="es-VE"/>
              </w:rPr>
            </w:pPr>
            <w:r w:rsidRPr="00950D81">
              <w:rPr>
                <w:i/>
                <w:sz w:val="16"/>
                <w:lang w:val="es-VE"/>
              </w:rPr>
              <w:t xml:space="preserve">Trabajadores </w:t>
            </w:r>
          </w:p>
        </w:tc>
        <w:tc>
          <w:tcPr>
            <w:tcW w:w="1694" w:type="dxa"/>
            <w:tcBorders>
              <w:top w:val="single" w:sz="4" w:space="0" w:color="auto"/>
              <w:bottom w:val="single" w:sz="12" w:space="0" w:color="auto"/>
            </w:tcBorders>
            <w:shd w:val="clear" w:color="auto" w:fill="auto"/>
            <w:vAlign w:val="bottom"/>
          </w:tcPr>
          <w:p w14:paraId="56689BEF" w14:textId="77777777" w:rsidR="001734EB" w:rsidRPr="00950D81" w:rsidRDefault="001734EB" w:rsidP="00054D51">
            <w:pPr>
              <w:pStyle w:val="SingleTxtG"/>
              <w:spacing w:before="80" w:after="80" w:line="200" w:lineRule="exact"/>
              <w:ind w:left="113" w:right="0"/>
              <w:jc w:val="right"/>
              <w:rPr>
                <w:i/>
                <w:sz w:val="16"/>
                <w:lang w:val="es-VE"/>
              </w:rPr>
            </w:pPr>
            <w:r w:rsidRPr="00950D81">
              <w:rPr>
                <w:i/>
                <w:sz w:val="16"/>
                <w:lang w:val="es-VE"/>
              </w:rPr>
              <w:t>Total</w:t>
            </w:r>
          </w:p>
        </w:tc>
      </w:tr>
      <w:tr w:rsidR="00950D81" w:rsidRPr="00950D81" w14:paraId="2D35C431" w14:textId="77777777" w:rsidTr="00054D51">
        <w:trPr>
          <w:trHeight w:val="240"/>
        </w:trPr>
        <w:tc>
          <w:tcPr>
            <w:tcW w:w="1832" w:type="dxa"/>
            <w:tcBorders>
              <w:top w:val="single" w:sz="12" w:space="0" w:color="auto"/>
            </w:tcBorders>
            <w:shd w:val="clear" w:color="auto" w:fill="auto"/>
          </w:tcPr>
          <w:p w14:paraId="6F24A375" w14:textId="77777777" w:rsidR="001734EB" w:rsidRPr="004E5744" w:rsidRDefault="001734EB" w:rsidP="00054D51">
            <w:pPr>
              <w:pStyle w:val="SingleTxtG"/>
              <w:spacing w:before="40" w:after="40" w:line="220" w:lineRule="exact"/>
              <w:ind w:left="0" w:right="0"/>
              <w:jc w:val="left"/>
              <w:rPr>
                <w:sz w:val="18"/>
                <w:lang w:val="es-VE"/>
              </w:rPr>
            </w:pPr>
            <w:r w:rsidRPr="004E5744">
              <w:rPr>
                <w:sz w:val="18"/>
                <w:lang w:val="es-VE"/>
              </w:rPr>
              <w:t>2015</w:t>
            </w:r>
          </w:p>
        </w:tc>
        <w:tc>
          <w:tcPr>
            <w:tcW w:w="1751" w:type="dxa"/>
            <w:tcBorders>
              <w:top w:val="single" w:sz="12" w:space="0" w:color="auto"/>
            </w:tcBorders>
            <w:shd w:val="clear" w:color="auto" w:fill="auto"/>
            <w:vAlign w:val="bottom"/>
          </w:tcPr>
          <w:p w14:paraId="6B9FBCDB" w14:textId="77777777" w:rsidR="001734EB" w:rsidRPr="00950D81" w:rsidRDefault="001734EB" w:rsidP="00054D51">
            <w:pPr>
              <w:pStyle w:val="SingleTxtG"/>
              <w:spacing w:before="40" w:after="40" w:line="220" w:lineRule="exact"/>
              <w:ind w:left="113" w:right="0"/>
              <w:jc w:val="right"/>
              <w:rPr>
                <w:sz w:val="18"/>
                <w:lang w:val="es-ES_tradnl"/>
              </w:rPr>
            </w:pPr>
            <w:r w:rsidRPr="004E5744">
              <w:rPr>
                <w:sz w:val="18"/>
                <w:lang w:val="es-ES_tradnl"/>
              </w:rPr>
              <w:t>632</w:t>
            </w:r>
          </w:p>
        </w:tc>
        <w:tc>
          <w:tcPr>
            <w:tcW w:w="2093" w:type="dxa"/>
            <w:tcBorders>
              <w:top w:val="single" w:sz="12" w:space="0" w:color="auto"/>
            </w:tcBorders>
            <w:shd w:val="clear" w:color="auto" w:fill="auto"/>
            <w:vAlign w:val="bottom"/>
          </w:tcPr>
          <w:p w14:paraId="6A1D196A" w14:textId="77777777" w:rsidR="001734EB" w:rsidRPr="00950D81" w:rsidRDefault="001734EB" w:rsidP="00054D51">
            <w:pPr>
              <w:pStyle w:val="SingleTxtG"/>
              <w:spacing w:before="40" w:after="40" w:line="220" w:lineRule="exact"/>
              <w:ind w:left="113" w:right="0"/>
              <w:jc w:val="right"/>
              <w:rPr>
                <w:sz w:val="18"/>
                <w:lang w:val="es-ES_tradnl"/>
              </w:rPr>
            </w:pPr>
            <w:r w:rsidRPr="00950D81">
              <w:rPr>
                <w:sz w:val="18"/>
                <w:lang w:val="es-ES_tradnl"/>
              </w:rPr>
              <w:t>649</w:t>
            </w:r>
          </w:p>
        </w:tc>
        <w:tc>
          <w:tcPr>
            <w:tcW w:w="1694" w:type="dxa"/>
            <w:tcBorders>
              <w:top w:val="single" w:sz="12" w:space="0" w:color="auto"/>
            </w:tcBorders>
            <w:shd w:val="clear" w:color="auto" w:fill="auto"/>
            <w:vAlign w:val="bottom"/>
          </w:tcPr>
          <w:p w14:paraId="7964DB16" w14:textId="77777777" w:rsidR="001734EB" w:rsidRPr="004E5744" w:rsidRDefault="001734EB" w:rsidP="00054D51">
            <w:pPr>
              <w:pStyle w:val="SingleTxtG"/>
              <w:spacing w:before="40" w:after="40" w:line="220" w:lineRule="exact"/>
              <w:ind w:left="113" w:right="0"/>
              <w:jc w:val="right"/>
              <w:rPr>
                <w:sz w:val="18"/>
                <w:lang w:val="es-VE"/>
              </w:rPr>
            </w:pPr>
            <w:r w:rsidRPr="00950D81">
              <w:rPr>
                <w:sz w:val="18"/>
                <w:lang w:val="es-VE"/>
              </w:rPr>
              <w:t>1</w:t>
            </w:r>
            <w:r w:rsidR="00950D81">
              <w:rPr>
                <w:sz w:val="18"/>
                <w:lang w:val="es-VE"/>
              </w:rPr>
              <w:t xml:space="preserve"> </w:t>
            </w:r>
            <w:r w:rsidRPr="004E5744">
              <w:rPr>
                <w:sz w:val="18"/>
                <w:lang w:val="es-VE"/>
              </w:rPr>
              <w:t>281</w:t>
            </w:r>
          </w:p>
        </w:tc>
      </w:tr>
      <w:tr w:rsidR="00950D81" w:rsidRPr="00950D81" w14:paraId="23FCD651" w14:textId="77777777" w:rsidTr="00054D51">
        <w:trPr>
          <w:trHeight w:val="240"/>
        </w:trPr>
        <w:tc>
          <w:tcPr>
            <w:tcW w:w="1832" w:type="dxa"/>
            <w:shd w:val="clear" w:color="auto" w:fill="auto"/>
          </w:tcPr>
          <w:p w14:paraId="02B4668B" w14:textId="77777777" w:rsidR="001734EB" w:rsidRPr="00950D81" w:rsidRDefault="001734EB" w:rsidP="00054D51">
            <w:pPr>
              <w:pStyle w:val="SingleTxtG"/>
              <w:spacing w:before="40" w:after="40" w:line="220" w:lineRule="exact"/>
              <w:ind w:left="0" w:right="0"/>
              <w:jc w:val="left"/>
              <w:rPr>
                <w:sz w:val="18"/>
                <w:lang w:val="es-VE"/>
              </w:rPr>
            </w:pPr>
            <w:r w:rsidRPr="00950D81">
              <w:rPr>
                <w:sz w:val="18"/>
                <w:lang w:val="es-VE"/>
              </w:rPr>
              <w:t>2016</w:t>
            </w:r>
          </w:p>
        </w:tc>
        <w:tc>
          <w:tcPr>
            <w:tcW w:w="1751" w:type="dxa"/>
            <w:shd w:val="clear" w:color="auto" w:fill="auto"/>
            <w:vAlign w:val="bottom"/>
          </w:tcPr>
          <w:p w14:paraId="5DCE94B2" w14:textId="77777777" w:rsidR="001734EB" w:rsidRPr="00950D81" w:rsidRDefault="001734EB" w:rsidP="00054D51">
            <w:pPr>
              <w:pStyle w:val="SingleTxtG"/>
              <w:spacing w:before="40" w:after="40" w:line="220" w:lineRule="exact"/>
              <w:ind w:left="113" w:right="0"/>
              <w:jc w:val="right"/>
              <w:rPr>
                <w:sz w:val="18"/>
                <w:lang w:val="es-ES_tradnl"/>
              </w:rPr>
            </w:pPr>
            <w:r w:rsidRPr="00950D81">
              <w:rPr>
                <w:sz w:val="18"/>
                <w:lang w:val="es-ES_tradnl"/>
              </w:rPr>
              <w:t>589</w:t>
            </w:r>
          </w:p>
        </w:tc>
        <w:tc>
          <w:tcPr>
            <w:tcW w:w="2093" w:type="dxa"/>
            <w:shd w:val="clear" w:color="auto" w:fill="auto"/>
            <w:vAlign w:val="bottom"/>
          </w:tcPr>
          <w:p w14:paraId="592B6554" w14:textId="77777777" w:rsidR="001734EB" w:rsidRPr="00950D81" w:rsidRDefault="001734EB" w:rsidP="00054D51">
            <w:pPr>
              <w:pStyle w:val="SingleTxtG"/>
              <w:spacing w:before="40" w:after="40" w:line="220" w:lineRule="exact"/>
              <w:ind w:left="113" w:right="0"/>
              <w:jc w:val="right"/>
              <w:rPr>
                <w:sz w:val="18"/>
                <w:lang w:val="es-ES_tradnl"/>
              </w:rPr>
            </w:pPr>
            <w:r w:rsidRPr="00950D81">
              <w:rPr>
                <w:sz w:val="18"/>
                <w:lang w:val="es-ES_tradnl"/>
              </w:rPr>
              <w:t>114</w:t>
            </w:r>
          </w:p>
        </w:tc>
        <w:tc>
          <w:tcPr>
            <w:tcW w:w="1694" w:type="dxa"/>
            <w:shd w:val="clear" w:color="auto" w:fill="auto"/>
            <w:vAlign w:val="bottom"/>
          </w:tcPr>
          <w:p w14:paraId="70DB313D" w14:textId="77777777" w:rsidR="001734EB" w:rsidRPr="00950D81" w:rsidRDefault="001734EB" w:rsidP="00054D51">
            <w:pPr>
              <w:pStyle w:val="SingleTxtG"/>
              <w:spacing w:before="40" w:after="40" w:line="220" w:lineRule="exact"/>
              <w:ind w:left="113" w:right="0"/>
              <w:jc w:val="right"/>
              <w:rPr>
                <w:sz w:val="18"/>
                <w:lang w:val="es-VE"/>
              </w:rPr>
            </w:pPr>
            <w:r w:rsidRPr="00950D81">
              <w:rPr>
                <w:sz w:val="18"/>
                <w:lang w:val="es-VE"/>
              </w:rPr>
              <w:t>703</w:t>
            </w:r>
          </w:p>
        </w:tc>
      </w:tr>
      <w:tr w:rsidR="00950D81" w:rsidRPr="00950D81" w14:paraId="0F0B099E" w14:textId="77777777" w:rsidTr="00054D51">
        <w:trPr>
          <w:trHeight w:val="240"/>
        </w:trPr>
        <w:tc>
          <w:tcPr>
            <w:tcW w:w="1832" w:type="dxa"/>
            <w:shd w:val="clear" w:color="auto" w:fill="auto"/>
          </w:tcPr>
          <w:p w14:paraId="35B69D4B" w14:textId="77777777" w:rsidR="001734EB" w:rsidRPr="00950D81" w:rsidRDefault="001734EB" w:rsidP="00054D51">
            <w:pPr>
              <w:pStyle w:val="SingleTxtG"/>
              <w:spacing w:before="40" w:after="40" w:line="220" w:lineRule="exact"/>
              <w:ind w:left="0" w:right="0"/>
              <w:jc w:val="left"/>
              <w:rPr>
                <w:sz w:val="18"/>
                <w:lang w:val="es-VE"/>
              </w:rPr>
            </w:pPr>
            <w:r w:rsidRPr="00950D81">
              <w:rPr>
                <w:sz w:val="18"/>
                <w:lang w:val="es-VE"/>
              </w:rPr>
              <w:t>2017</w:t>
            </w:r>
          </w:p>
        </w:tc>
        <w:tc>
          <w:tcPr>
            <w:tcW w:w="1751" w:type="dxa"/>
            <w:shd w:val="clear" w:color="auto" w:fill="auto"/>
            <w:vAlign w:val="bottom"/>
          </w:tcPr>
          <w:p w14:paraId="39BD251B" w14:textId="77777777" w:rsidR="001734EB" w:rsidRPr="00950D81" w:rsidRDefault="001734EB" w:rsidP="00054D51">
            <w:pPr>
              <w:pStyle w:val="SingleTxtG"/>
              <w:spacing w:before="40" w:after="40" w:line="220" w:lineRule="exact"/>
              <w:ind w:left="113" w:right="0"/>
              <w:jc w:val="right"/>
              <w:rPr>
                <w:sz w:val="18"/>
                <w:lang w:val="es-ES_tradnl"/>
              </w:rPr>
            </w:pPr>
            <w:r w:rsidRPr="00950D81">
              <w:rPr>
                <w:sz w:val="18"/>
                <w:lang w:val="es-ES_tradnl"/>
              </w:rPr>
              <w:t>725</w:t>
            </w:r>
          </w:p>
        </w:tc>
        <w:tc>
          <w:tcPr>
            <w:tcW w:w="2093" w:type="dxa"/>
            <w:shd w:val="clear" w:color="auto" w:fill="auto"/>
            <w:vAlign w:val="bottom"/>
          </w:tcPr>
          <w:p w14:paraId="28455500" w14:textId="77777777" w:rsidR="001734EB" w:rsidRPr="004E5744" w:rsidRDefault="001734EB" w:rsidP="00054D51">
            <w:pPr>
              <w:pStyle w:val="SingleTxtG"/>
              <w:spacing w:before="40" w:after="40" w:line="220" w:lineRule="exact"/>
              <w:ind w:left="113" w:right="0"/>
              <w:jc w:val="right"/>
              <w:rPr>
                <w:sz w:val="18"/>
                <w:lang w:val="es-ES_tradnl"/>
              </w:rPr>
            </w:pPr>
            <w:r w:rsidRPr="00950D81">
              <w:rPr>
                <w:sz w:val="18"/>
                <w:lang w:val="es-ES_tradnl"/>
              </w:rPr>
              <w:t>1</w:t>
            </w:r>
            <w:r w:rsidR="00950D81">
              <w:rPr>
                <w:sz w:val="18"/>
                <w:lang w:val="es-ES_tradnl"/>
              </w:rPr>
              <w:t xml:space="preserve"> </w:t>
            </w:r>
            <w:r w:rsidRPr="004E5744">
              <w:rPr>
                <w:sz w:val="18"/>
                <w:lang w:val="es-ES_tradnl"/>
              </w:rPr>
              <w:t>739</w:t>
            </w:r>
          </w:p>
        </w:tc>
        <w:tc>
          <w:tcPr>
            <w:tcW w:w="1694" w:type="dxa"/>
            <w:shd w:val="clear" w:color="auto" w:fill="auto"/>
            <w:vAlign w:val="bottom"/>
          </w:tcPr>
          <w:p w14:paraId="06DAB2D3" w14:textId="77777777" w:rsidR="001734EB" w:rsidRPr="004E5744" w:rsidRDefault="001734EB" w:rsidP="00054D51">
            <w:pPr>
              <w:pStyle w:val="SingleTxtG"/>
              <w:spacing w:before="40" w:after="40" w:line="220" w:lineRule="exact"/>
              <w:ind w:left="113" w:right="0"/>
              <w:jc w:val="right"/>
              <w:rPr>
                <w:sz w:val="18"/>
                <w:lang w:val="es-VE"/>
              </w:rPr>
            </w:pPr>
            <w:r w:rsidRPr="004E5744">
              <w:rPr>
                <w:sz w:val="18"/>
                <w:lang w:val="es-VE"/>
              </w:rPr>
              <w:t>2</w:t>
            </w:r>
            <w:r w:rsidR="00950D81">
              <w:rPr>
                <w:sz w:val="18"/>
                <w:lang w:val="es-VE"/>
              </w:rPr>
              <w:t xml:space="preserve"> </w:t>
            </w:r>
            <w:r w:rsidRPr="004E5744">
              <w:rPr>
                <w:sz w:val="18"/>
                <w:lang w:val="es-VE"/>
              </w:rPr>
              <w:t>464</w:t>
            </w:r>
          </w:p>
        </w:tc>
      </w:tr>
      <w:tr w:rsidR="00950D81" w:rsidRPr="00950D81" w14:paraId="0304A6B8" w14:textId="77777777" w:rsidTr="00054D51">
        <w:trPr>
          <w:trHeight w:val="240"/>
        </w:trPr>
        <w:tc>
          <w:tcPr>
            <w:tcW w:w="1832" w:type="dxa"/>
            <w:shd w:val="clear" w:color="auto" w:fill="auto"/>
          </w:tcPr>
          <w:p w14:paraId="357CB862" w14:textId="77777777" w:rsidR="001734EB" w:rsidRPr="00950D81" w:rsidRDefault="001734EB" w:rsidP="00054D51">
            <w:pPr>
              <w:pStyle w:val="SingleTxtG"/>
              <w:spacing w:before="40" w:after="40" w:line="220" w:lineRule="exact"/>
              <w:ind w:left="0" w:right="0"/>
              <w:jc w:val="left"/>
              <w:rPr>
                <w:sz w:val="18"/>
                <w:lang w:val="es-VE"/>
              </w:rPr>
            </w:pPr>
            <w:r w:rsidRPr="00950D81">
              <w:rPr>
                <w:sz w:val="18"/>
                <w:lang w:val="es-VE"/>
              </w:rPr>
              <w:t>2018</w:t>
            </w:r>
          </w:p>
        </w:tc>
        <w:tc>
          <w:tcPr>
            <w:tcW w:w="1751" w:type="dxa"/>
            <w:shd w:val="clear" w:color="auto" w:fill="auto"/>
            <w:vAlign w:val="bottom"/>
          </w:tcPr>
          <w:p w14:paraId="0CBA541B" w14:textId="77777777" w:rsidR="001734EB" w:rsidRPr="00950D81" w:rsidRDefault="001734EB" w:rsidP="00054D51">
            <w:pPr>
              <w:pStyle w:val="SingleTxtG"/>
              <w:spacing w:before="40" w:after="40" w:line="220" w:lineRule="exact"/>
              <w:ind w:left="113" w:right="0"/>
              <w:jc w:val="right"/>
              <w:rPr>
                <w:sz w:val="18"/>
                <w:lang w:val="es-ES_tradnl"/>
              </w:rPr>
            </w:pPr>
            <w:r w:rsidRPr="00950D81">
              <w:rPr>
                <w:sz w:val="18"/>
                <w:lang w:val="es-ES_tradnl"/>
              </w:rPr>
              <w:t>446</w:t>
            </w:r>
          </w:p>
        </w:tc>
        <w:tc>
          <w:tcPr>
            <w:tcW w:w="2093" w:type="dxa"/>
            <w:shd w:val="clear" w:color="auto" w:fill="auto"/>
            <w:vAlign w:val="bottom"/>
          </w:tcPr>
          <w:p w14:paraId="633954BE" w14:textId="77777777" w:rsidR="001734EB" w:rsidRPr="00950D81" w:rsidRDefault="001734EB" w:rsidP="00054D51">
            <w:pPr>
              <w:pStyle w:val="SingleTxtG"/>
              <w:spacing w:before="40" w:after="40" w:line="220" w:lineRule="exact"/>
              <w:ind w:left="113" w:right="0"/>
              <w:jc w:val="right"/>
              <w:rPr>
                <w:sz w:val="18"/>
                <w:lang w:val="es-ES_tradnl"/>
              </w:rPr>
            </w:pPr>
            <w:r w:rsidRPr="00950D81">
              <w:rPr>
                <w:sz w:val="18"/>
                <w:lang w:val="es-ES_tradnl"/>
              </w:rPr>
              <w:t>990</w:t>
            </w:r>
          </w:p>
        </w:tc>
        <w:tc>
          <w:tcPr>
            <w:tcW w:w="1694" w:type="dxa"/>
            <w:shd w:val="clear" w:color="auto" w:fill="auto"/>
            <w:vAlign w:val="bottom"/>
          </w:tcPr>
          <w:p w14:paraId="2974DB0F" w14:textId="77777777" w:rsidR="001734EB" w:rsidRPr="004E5744" w:rsidRDefault="001734EB" w:rsidP="00054D51">
            <w:pPr>
              <w:pStyle w:val="SingleTxtG"/>
              <w:spacing w:before="40" w:after="40" w:line="220" w:lineRule="exact"/>
              <w:ind w:left="113" w:right="0"/>
              <w:jc w:val="right"/>
              <w:rPr>
                <w:sz w:val="18"/>
                <w:lang w:val="es-VE"/>
              </w:rPr>
            </w:pPr>
            <w:r w:rsidRPr="00950D81">
              <w:rPr>
                <w:sz w:val="18"/>
                <w:lang w:val="es-VE"/>
              </w:rPr>
              <w:t>1</w:t>
            </w:r>
            <w:r w:rsidR="00950D81">
              <w:rPr>
                <w:sz w:val="18"/>
                <w:lang w:val="es-VE"/>
              </w:rPr>
              <w:t xml:space="preserve"> </w:t>
            </w:r>
            <w:r w:rsidRPr="004E5744">
              <w:rPr>
                <w:sz w:val="18"/>
                <w:lang w:val="es-VE"/>
              </w:rPr>
              <w:t>436</w:t>
            </w:r>
          </w:p>
        </w:tc>
      </w:tr>
      <w:tr w:rsidR="00950D81" w:rsidRPr="00950D81" w14:paraId="0E9B98FD" w14:textId="77777777" w:rsidTr="00054D51">
        <w:trPr>
          <w:trHeight w:val="240"/>
        </w:trPr>
        <w:tc>
          <w:tcPr>
            <w:tcW w:w="1832" w:type="dxa"/>
            <w:tcBorders>
              <w:bottom w:val="single" w:sz="4" w:space="0" w:color="auto"/>
            </w:tcBorders>
            <w:shd w:val="clear" w:color="auto" w:fill="auto"/>
          </w:tcPr>
          <w:p w14:paraId="647C9345" w14:textId="77777777" w:rsidR="001734EB" w:rsidRPr="00950D81" w:rsidRDefault="001734EB" w:rsidP="00054D51">
            <w:pPr>
              <w:pStyle w:val="SingleTxtG"/>
              <w:spacing w:before="40" w:after="40" w:line="220" w:lineRule="exact"/>
              <w:ind w:left="0" w:right="0"/>
              <w:jc w:val="left"/>
              <w:rPr>
                <w:sz w:val="18"/>
                <w:lang w:val="es-VE"/>
              </w:rPr>
            </w:pPr>
            <w:r w:rsidRPr="00950D81">
              <w:rPr>
                <w:sz w:val="18"/>
                <w:lang w:val="es-VE"/>
              </w:rPr>
              <w:t>2019</w:t>
            </w:r>
          </w:p>
        </w:tc>
        <w:tc>
          <w:tcPr>
            <w:tcW w:w="1751" w:type="dxa"/>
            <w:tcBorders>
              <w:bottom w:val="single" w:sz="4" w:space="0" w:color="auto"/>
            </w:tcBorders>
            <w:shd w:val="clear" w:color="auto" w:fill="auto"/>
            <w:vAlign w:val="bottom"/>
          </w:tcPr>
          <w:p w14:paraId="1A2AA147" w14:textId="77777777" w:rsidR="001734EB" w:rsidRPr="00950D81" w:rsidRDefault="001734EB" w:rsidP="00054D51">
            <w:pPr>
              <w:pStyle w:val="SingleTxtG"/>
              <w:spacing w:before="40" w:after="40" w:line="220" w:lineRule="exact"/>
              <w:ind w:left="113" w:right="0"/>
              <w:jc w:val="right"/>
              <w:rPr>
                <w:sz w:val="18"/>
                <w:lang w:val="es-ES_tradnl"/>
              </w:rPr>
            </w:pPr>
            <w:r w:rsidRPr="00950D81">
              <w:rPr>
                <w:sz w:val="18"/>
                <w:lang w:val="es-ES_tradnl"/>
              </w:rPr>
              <w:t>171</w:t>
            </w:r>
          </w:p>
        </w:tc>
        <w:tc>
          <w:tcPr>
            <w:tcW w:w="2093" w:type="dxa"/>
            <w:tcBorders>
              <w:bottom w:val="single" w:sz="4" w:space="0" w:color="auto"/>
            </w:tcBorders>
            <w:shd w:val="clear" w:color="auto" w:fill="auto"/>
            <w:vAlign w:val="bottom"/>
          </w:tcPr>
          <w:p w14:paraId="7079D7CA" w14:textId="77777777" w:rsidR="001734EB" w:rsidRPr="00950D81" w:rsidRDefault="001734EB" w:rsidP="00054D51">
            <w:pPr>
              <w:pStyle w:val="SingleTxtG"/>
              <w:spacing w:before="40" w:after="40" w:line="220" w:lineRule="exact"/>
              <w:ind w:left="113" w:right="0"/>
              <w:jc w:val="right"/>
              <w:rPr>
                <w:sz w:val="18"/>
                <w:lang w:val="es-ES_tradnl"/>
              </w:rPr>
            </w:pPr>
            <w:r w:rsidRPr="00950D81">
              <w:rPr>
                <w:sz w:val="18"/>
                <w:lang w:val="es-ES_tradnl"/>
              </w:rPr>
              <w:t>388</w:t>
            </w:r>
          </w:p>
        </w:tc>
        <w:tc>
          <w:tcPr>
            <w:tcW w:w="1694" w:type="dxa"/>
            <w:tcBorders>
              <w:bottom w:val="single" w:sz="4" w:space="0" w:color="auto"/>
            </w:tcBorders>
            <w:shd w:val="clear" w:color="auto" w:fill="auto"/>
            <w:vAlign w:val="bottom"/>
          </w:tcPr>
          <w:p w14:paraId="0D5846AA" w14:textId="77777777" w:rsidR="001734EB" w:rsidRPr="00950D81" w:rsidRDefault="001734EB" w:rsidP="00054D51">
            <w:pPr>
              <w:pStyle w:val="SingleTxtG"/>
              <w:spacing w:before="40" w:after="40" w:line="220" w:lineRule="exact"/>
              <w:ind w:left="113" w:right="0"/>
              <w:jc w:val="right"/>
              <w:rPr>
                <w:sz w:val="18"/>
                <w:lang w:val="es-VE"/>
              </w:rPr>
            </w:pPr>
            <w:r w:rsidRPr="00950D81">
              <w:rPr>
                <w:sz w:val="18"/>
                <w:lang w:val="es-VE"/>
              </w:rPr>
              <w:t>559</w:t>
            </w:r>
          </w:p>
        </w:tc>
      </w:tr>
      <w:tr w:rsidR="00950D81" w:rsidRPr="00950D81" w14:paraId="6FA95CA7" w14:textId="77777777" w:rsidTr="00054D51">
        <w:trPr>
          <w:trHeight w:val="240"/>
        </w:trPr>
        <w:tc>
          <w:tcPr>
            <w:tcW w:w="1832" w:type="dxa"/>
            <w:tcBorders>
              <w:top w:val="single" w:sz="4" w:space="0" w:color="auto"/>
              <w:bottom w:val="single" w:sz="12" w:space="0" w:color="auto"/>
            </w:tcBorders>
            <w:shd w:val="clear" w:color="auto" w:fill="auto"/>
          </w:tcPr>
          <w:p w14:paraId="0248E25A" w14:textId="77777777" w:rsidR="001734EB" w:rsidRPr="004E5744" w:rsidRDefault="00950D81" w:rsidP="00054D51">
            <w:pPr>
              <w:pStyle w:val="SingleTxtG"/>
              <w:spacing w:before="80" w:after="80" w:line="220" w:lineRule="exact"/>
              <w:ind w:left="283" w:right="0"/>
              <w:jc w:val="left"/>
              <w:rPr>
                <w:b/>
                <w:sz w:val="18"/>
                <w:lang w:val="es-VE"/>
              </w:rPr>
            </w:pPr>
            <w:r w:rsidRPr="00054D51">
              <w:rPr>
                <w:b/>
                <w:sz w:val="18"/>
                <w:lang w:val="es-VE"/>
              </w:rPr>
              <w:t>Total</w:t>
            </w:r>
          </w:p>
        </w:tc>
        <w:tc>
          <w:tcPr>
            <w:tcW w:w="1751" w:type="dxa"/>
            <w:tcBorders>
              <w:top w:val="single" w:sz="4" w:space="0" w:color="auto"/>
              <w:bottom w:val="single" w:sz="12" w:space="0" w:color="auto"/>
            </w:tcBorders>
            <w:shd w:val="clear" w:color="auto" w:fill="auto"/>
            <w:vAlign w:val="bottom"/>
          </w:tcPr>
          <w:p w14:paraId="41205243" w14:textId="77777777" w:rsidR="001734EB" w:rsidRPr="004E5744" w:rsidRDefault="001734EB" w:rsidP="00054D51">
            <w:pPr>
              <w:pStyle w:val="SingleTxtG"/>
              <w:spacing w:before="80" w:after="80" w:line="220" w:lineRule="exact"/>
              <w:ind w:left="0" w:right="0"/>
              <w:jc w:val="right"/>
              <w:rPr>
                <w:b/>
                <w:sz w:val="18"/>
                <w:lang w:val="es-VE"/>
              </w:rPr>
            </w:pPr>
            <w:r w:rsidRPr="004E5744">
              <w:rPr>
                <w:b/>
                <w:sz w:val="18"/>
                <w:lang w:val="es-ES_tradnl"/>
              </w:rPr>
              <w:t>2</w:t>
            </w:r>
            <w:r w:rsidR="00950D81" w:rsidRPr="00054D51">
              <w:rPr>
                <w:b/>
                <w:sz w:val="18"/>
                <w:lang w:val="es-ES_tradnl"/>
              </w:rPr>
              <w:t xml:space="preserve"> </w:t>
            </w:r>
            <w:r w:rsidRPr="004E5744">
              <w:rPr>
                <w:b/>
                <w:sz w:val="18"/>
                <w:lang w:val="es-ES_tradnl"/>
              </w:rPr>
              <w:t>563</w:t>
            </w:r>
          </w:p>
        </w:tc>
        <w:tc>
          <w:tcPr>
            <w:tcW w:w="2093" w:type="dxa"/>
            <w:tcBorders>
              <w:top w:val="single" w:sz="4" w:space="0" w:color="auto"/>
              <w:bottom w:val="single" w:sz="12" w:space="0" w:color="auto"/>
            </w:tcBorders>
            <w:shd w:val="clear" w:color="auto" w:fill="auto"/>
            <w:vAlign w:val="bottom"/>
          </w:tcPr>
          <w:p w14:paraId="1000BDB2" w14:textId="77777777" w:rsidR="001734EB" w:rsidRPr="004E5744" w:rsidRDefault="001734EB" w:rsidP="00054D51">
            <w:pPr>
              <w:pStyle w:val="SingleTxtG"/>
              <w:spacing w:before="80" w:after="80" w:line="220" w:lineRule="exact"/>
              <w:ind w:left="0" w:right="0"/>
              <w:jc w:val="right"/>
              <w:rPr>
                <w:b/>
                <w:sz w:val="18"/>
                <w:lang w:val="es-ES_tradnl"/>
              </w:rPr>
            </w:pPr>
            <w:r w:rsidRPr="004E5744">
              <w:rPr>
                <w:b/>
                <w:sz w:val="18"/>
                <w:lang w:val="es-ES_tradnl"/>
              </w:rPr>
              <w:t>3</w:t>
            </w:r>
            <w:r w:rsidR="00950D81" w:rsidRPr="00054D51">
              <w:rPr>
                <w:b/>
                <w:sz w:val="18"/>
                <w:lang w:val="es-ES_tradnl"/>
              </w:rPr>
              <w:t xml:space="preserve"> </w:t>
            </w:r>
            <w:r w:rsidRPr="004E5744">
              <w:rPr>
                <w:b/>
                <w:sz w:val="18"/>
                <w:lang w:val="es-ES_tradnl"/>
              </w:rPr>
              <w:t>880</w:t>
            </w:r>
          </w:p>
        </w:tc>
        <w:tc>
          <w:tcPr>
            <w:tcW w:w="1694" w:type="dxa"/>
            <w:tcBorders>
              <w:top w:val="single" w:sz="4" w:space="0" w:color="auto"/>
              <w:bottom w:val="single" w:sz="12" w:space="0" w:color="auto"/>
            </w:tcBorders>
            <w:shd w:val="clear" w:color="auto" w:fill="auto"/>
            <w:vAlign w:val="bottom"/>
          </w:tcPr>
          <w:p w14:paraId="077A089E" w14:textId="77777777" w:rsidR="001734EB" w:rsidRPr="004E5744" w:rsidRDefault="001734EB" w:rsidP="00054D51">
            <w:pPr>
              <w:pStyle w:val="SingleTxtG"/>
              <w:spacing w:before="80" w:after="80" w:line="220" w:lineRule="exact"/>
              <w:ind w:left="0" w:right="0"/>
              <w:jc w:val="right"/>
              <w:rPr>
                <w:b/>
                <w:sz w:val="18"/>
                <w:lang w:val="es-VE"/>
              </w:rPr>
            </w:pPr>
            <w:r w:rsidRPr="004E5744">
              <w:rPr>
                <w:b/>
                <w:sz w:val="18"/>
                <w:lang w:val="es-VE"/>
              </w:rPr>
              <w:t>6</w:t>
            </w:r>
            <w:r w:rsidR="00950D81" w:rsidRPr="00054D51">
              <w:rPr>
                <w:b/>
                <w:sz w:val="18"/>
                <w:lang w:val="es-VE"/>
              </w:rPr>
              <w:t xml:space="preserve"> </w:t>
            </w:r>
            <w:r w:rsidRPr="004E5744">
              <w:rPr>
                <w:b/>
                <w:sz w:val="18"/>
                <w:lang w:val="es-VE"/>
              </w:rPr>
              <w:t>443</w:t>
            </w:r>
          </w:p>
        </w:tc>
      </w:tr>
    </w:tbl>
    <w:p w14:paraId="4F5468E7" w14:textId="77777777" w:rsidR="001734EB" w:rsidRPr="00077437" w:rsidRDefault="00950D81" w:rsidP="00054D51">
      <w:pPr>
        <w:pStyle w:val="SingleTxtG"/>
        <w:spacing w:before="240"/>
        <w:rPr>
          <w:lang w:val="es-ES_tradnl"/>
        </w:rPr>
      </w:pPr>
      <w:r>
        <w:rPr>
          <w:lang w:val="es-VE"/>
        </w:rPr>
        <w:t>63.</w:t>
      </w:r>
      <w:r>
        <w:rPr>
          <w:lang w:val="es-VE"/>
        </w:rPr>
        <w:tab/>
      </w:r>
      <w:r w:rsidR="001734EB" w:rsidRPr="00077437">
        <w:rPr>
          <w:lang w:val="es-VE"/>
        </w:rPr>
        <w:t xml:space="preserve">A través del </w:t>
      </w:r>
      <w:proofErr w:type="spellStart"/>
      <w:r w:rsidR="001734EB" w:rsidRPr="00077437">
        <w:rPr>
          <w:lang w:val="es-VE"/>
        </w:rPr>
        <w:t>CONAPDIS</w:t>
      </w:r>
      <w:proofErr w:type="spellEnd"/>
      <w:r w:rsidR="001734EB" w:rsidRPr="00077437">
        <w:rPr>
          <w:lang w:val="es-VE"/>
        </w:rPr>
        <w:t xml:space="preserve"> se brinda apoyo con intérpretes de la </w:t>
      </w:r>
      <w:proofErr w:type="spellStart"/>
      <w:r w:rsidR="001734EB" w:rsidRPr="00077437">
        <w:rPr>
          <w:lang w:val="es-VE"/>
        </w:rPr>
        <w:t>LSV</w:t>
      </w:r>
      <w:proofErr w:type="spellEnd"/>
      <w:r w:rsidR="001734EB" w:rsidRPr="00077437">
        <w:rPr>
          <w:lang w:val="es-VE"/>
        </w:rPr>
        <w:t xml:space="preserve"> a aquellas personas con discapacidad que así lo requieran ante cualquier órgano judicial. De manera progresiva se ha venido trabajando para seguir expandiendo la accesibilidad de las sedes judiciales para las </w:t>
      </w:r>
      <w:proofErr w:type="spellStart"/>
      <w:r w:rsidR="001734EB" w:rsidRPr="00077437">
        <w:rPr>
          <w:lang w:val="es-VE"/>
        </w:rPr>
        <w:t>PcD</w:t>
      </w:r>
      <w:proofErr w:type="spellEnd"/>
      <w:r w:rsidR="001734EB" w:rsidRPr="00077437">
        <w:rPr>
          <w:lang w:val="es-VE"/>
        </w:rPr>
        <w:t xml:space="preserve">. </w:t>
      </w:r>
    </w:p>
    <w:bookmarkEnd w:id="8"/>
    <w:bookmarkEnd w:id="9"/>
    <w:p w14:paraId="74495808" w14:textId="77777777" w:rsidR="001734EB" w:rsidRPr="00077437" w:rsidRDefault="00950D81" w:rsidP="00054D51">
      <w:pPr>
        <w:pStyle w:val="SingleTxtG"/>
        <w:rPr>
          <w:b/>
          <w:lang w:val="es-VE"/>
        </w:rPr>
      </w:pPr>
      <w:r>
        <w:rPr>
          <w:lang w:val="es-VE"/>
        </w:rPr>
        <w:lastRenderedPageBreak/>
        <w:t>64.</w:t>
      </w:r>
      <w:r>
        <w:rPr>
          <w:lang w:val="es-VE"/>
        </w:rPr>
        <w:tab/>
      </w:r>
      <w:r w:rsidR="001734EB" w:rsidRPr="00077437">
        <w:rPr>
          <w:lang w:val="es-VE"/>
        </w:rPr>
        <w:t>El Ministerio del Poder Popular para el Servicio Penitenciario (</w:t>
      </w:r>
      <w:proofErr w:type="spellStart"/>
      <w:r w:rsidR="001734EB" w:rsidRPr="00077437">
        <w:rPr>
          <w:lang w:val="es-VE"/>
        </w:rPr>
        <w:t>MPPSP</w:t>
      </w:r>
      <w:proofErr w:type="spellEnd"/>
      <w:r w:rsidR="001734EB" w:rsidRPr="00077437">
        <w:rPr>
          <w:lang w:val="es-VE"/>
        </w:rPr>
        <w:t xml:space="preserve">) dispone de un registro detallado de todas las </w:t>
      </w:r>
      <w:proofErr w:type="spellStart"/>
      <w:r w:rsidR="001734EB" w:rsidRPr="00077437">
        <w:rPr>
          <w:lang w:val="es-VE"/>
        </w:rPr>
        <w:t>PcD</w:t>
      </w:r>
      <w:proofErr w:type="spellEnd"/>
      <w:r w:rsidR="001734EB" w:rsidRPr="00077437">
        <w:rPr>
          <w:lang w:val="es-VE"/>
        </w:rPr>
        <w:t xml:space="preserve"> que se encuentran privadas de libertad en establecimientos penitenciarios. Asimismo, desarrolla talleres dirigidos a los funcionarios penitenciarios para sensibilizarlos en torno a los derechos de las </w:t>
      </w:r>
      <w:proofErr w:type="spellStart"/>
      <w:r w:rsidR="001734EB" w:rsidRPr="00077437">
        <w:rPr>
          <w:lang w:val="es-VE"/>
        </w:rPr>
        <w:t>PcD</w:t>
      </w:r>
      <w:proofErr w:type="spellEnd"/>
      <w:r w:rsidR="001734EB" w:rsidRPr="00077437">
        <w:rPr>
          <w:lang w:val="es-VE"/>
        </w:rPr>
        <w:t xml:space="preserve">. </w:t>
      </w:r>
    </w:p>
    <w:p w14:paraId="3CC31D3F" w14:textId="77777777" w:rsidR="001734EB" w:rsidRPr="00077437" w:rsidRDefault="00950D81" w:rsidP="00054D51">
      <w:pPr>
        <w:pStyle w:val="SingleTxtG"/>
        <w:rPr>
          <w:lang w:val="es-VE"/>
        </w:rPr>
      </w:pPr>
      <w:r>
        <w:rPr>
          <w:lang w:val="es-VE"/>
        </w:rPr>
        <w:t>65.</w:t>
      </w:r>
      <w:r>
        <w:rPr>
          <w:lang w:val="es-VE"/>
        </w:rPr>
        <w:tab/>
      </w:r>
      <w:r w:rsidR="001734EB" w:rsidRPr="00077437">
        <w:rPr>
          <w:lang w:val="es-VE"/>
        </w:rPr>
        <w:t xml:space="preserve">El </w:t>
      </w:r>
      <w:proofErr w:type="spellStart"/>
      <w:r w:rsidR="001734EB" w:rsidRPr="00077437">
        <w:rPr>
          <w:lang w:val="es-VE"/>
        </w:rPr>
        <w:t>MPPSP</w:t>
      </w:r>
      <w:proofErr w:type="spellEnd"/>
      <w:r w:rsidR="001734EB" w:rsidRPr="00077437">
        <w:rPr>
          <w:lang w:val="es-VE"/>
        </w:rPr>
        <w:t xml:space="preserve"> suministra ayudas técnicas y productos de apoyo a las </w:t>
      </w:r>
      <w:proofErr w:type="spellStart"/>
      <w:r w:rsidR="001734EB" w:rsidRPr="00077437">
        <w:rPr>
          <w:lang w:val="es-VE"/>
        </w:rPr>
        <w:t>PcD</w:t>
      </w:r>
      <w:proofErr w:type="spellEnd"/>
      <w:r w:rsidR="001734EB" w:rsidRPr="00077437">
        <w:rPr>
          <w:lang w:val="es-VE"/>
        </w:rPr>
        <w:t xml:space="preserve"> que así lo requieran para trasladarse dentro de los establecimientos penitenciarios. En los centros se cuenta con un personal médico capacitado para la atención de las </w:t>
      </w:r>
      <w:proofErr w:type="spellStart"/>
      <w:r w:rsidR="001734EB" w:rsidRPr="00077437">
        <w:rPr>
          <w:lang w:val="es-VE"/>
        </w:rPr>
        <w:t>PcD</w:t>
      </w:r>
      <w:proofErr w:type="spellEnd"/>
      <w:r w:rsidR="001734EB" w:rsidRPr="00077437">
        <w:rPr>
          <w:lang w:val="es-VE"/>
        </w:rPr>
        <w:t xml:space="preserve">. </w:t>
      </w:r>
    </w:p>
    <w:p w14:paraId="2445DAEC" w14:textId="77777777" w:rsidR="001734EB" w:rsidRPr="00077437" w:rsidRDefault="00950D81" w:rsidP="00054D51">
      <w:pPr>
        <w:pStyle w:val="H1G"/>
        <w:rPr>
          <w:lang w:val="es-VE"/>
        </w:rPr>
      </w:pPr>
      <w:r>
        <w:rPr>
          <w:lang w:val="es-VE"/>
        </w:rPr>
        <w:tab/>
      </w:r>
      <w:r>
        <w:rPr>
          <w:lang w:val="es-VE"/>
        </w:rPr>
        <w:tab/>
      </w:r>
      <w:r w:rsidR="001734EB" w:rsidRPr="00077437">
        <w:rPr>
          <w:lang w:val="es-VE"/>
        </w:rPr>
        <w:t>Libertad y seguridad de la persona (art. 14)</w:t>
      </w:r>
    </w:p>
    <w:p w14:paraId="26EC4BD4" w14:textId="77777777" w:rsidR="001734EB" w:rsidRPr="00077437" w:rsidRDefault="00950D81" w:rsidP="00054D51">
      <w:pPr>
        <w:pStyle w:val="SingleTxtG"/>
        <w:rPr>
          <w:lang w:val="es-VE"/>
        </w:rPr>
      </w:pPr>
      <w:r>
        <w:rPr>
          <w:lang w:val="es-VE"/>
        </w:rPr>
        <w:t>66.</w:t>
      </w:r>
      <w:r>
        <w:rPr>
          <w:lang w:val="es-VE"/>
        </w:rPr>
        <w:tab/>
      </w:r>
      <w:r w:rsidR="001734EB" w:rsidRPr="00077437">
        <w:rPr>
          <w:lang w:val="es-VE"/>
        </w:rPr>
        <w:t xml:space="preserve">La aprobación de un nuevo Código Penal, así como la actualización de la legislación en materia de salud mental y familia son desafíos en materia de derechos humanos de la </w:t>
      </w:r>
      <w:proofErr w:type="spellStart"/>
      <w:r w:rsidR="001734EB" w:rsidRPr="00077437">
        <w:rPr>
          <w:lang w:val="es-VE"/>
        </w:rPr>
        <w:t>RBV</w:t>
      </w:r>
      <w:proofErr w:type="spellEnd"/>
      <w:r w:rsidR="001734EB" w:rsidRPr="00077437">
        <w:rPr>
          <w:lang w:val="es-VE"/>
        </w:rPr>
        <w:t xml:space="preserve">. El desarrollo de estas normas jurídicas se incorporó como una de las acciones programáticas en el </w:t>
      </w:r>
      <w:proofErr w:type="spellStart"/>
      <w:r w:rsidR="001734EB" w:rsidRPr="00077437">
        <w:rPr>
          <w:lang w:val="es-VE"/>
        </w:rPr>
        <w:t>PNDH</w:t>
      </w:r>
      <w:proofErr w:type="spellEnd"/>
      <w:r w:rsidR="001734EB" w:rsidRPr="00077437">
        <w:rPr>
          <w:lang w:val="es-VE"/>
        </w:rPr>
        <w:t xml:space="preserve">, para ser ejecutadas en el período 2016-2019. Sin embargo, este objetivo no pudo ser alcanzado por la situación de desacato y desconocimiento de la </w:t>
      </w:r>
      <w:proofErr w:type="spellStart"/>
      <w:r w:rsidR="001734EB" w:rsidRPr="00077437">
        <w:rPr>
          <w:lang w:val="es-VE"/>
        </w:rPr>
        <w:t>CRBV</w:t>
      </w:r>
      <w:proofErr w:type="spellEnd"/>
      <w:r w:rsidR="001734EB" w:rsidRPr="00077437">
        <w:rPr>
          <w:lang w:val="es-VE"/>
        </w:rPr>
        <w:t>, asumida por la Asamblea Nacional (</w:t>
      </w:r>
      <w:proofErr w:type="spellStart"/>
      <w:r w:rsidR="001734EB" w:rsidRPr="00077437">
        <w:rPr>
          <w:lang w:val="es-VE"/>
        </w:rPr>
        <w:t>AN</w:t>
      </w:r>
      <w:proofErr w:type="spellEnd"/>
      <w:r w:rsidR="001734EB" w:rsidRPr="00077437">
        <w:rPr>
          <w:lang w:val="es-VE"/>
        </w:rPr>
        <w:t>).</w:t>
      </w:r>
    </w:p>
    <w:p w14:paraId="5225D16A" w14:textId="77777777" w:rsidR="001734EB" w:rsidRPr="00077437" w:rsidRDefault="00950D81" w:rsidP="00054D51">
      <w:pPr>
        <w:pStyle w:val="H1G"/>
        <w:rPr>
          <w:lang w:val="es-VE"/>
        </w:rPr>
      </w:pPr>
      <w:bookmarkStart w:id="10" w:name="OLE_LINK63"/>
      <w:bookmarkStart w:id="11" w:name="OLE_LINK64"/>
      <w:r>
        <w:rPr>
          <w:lang w:val="es-VE"/>
        </w:rPr>
        <w:tab/>
      </w:r>
      <w:r>
        <w:rPr>
          <w:lang w:val="es-VE"/>
        </w:rPr>
        <w:tab/>
      </w:r>
      <w:r w:rsidR="001734EB" w:rsidRPr="00077437">
        <w:rPr>
          <w:lang w:val="es-VE"/>
        </w:rPr>
        <w:t>Protección contra la tortura, y otros tratos o penas crueles, inhumanos</w:t>
      </w:r>
      <w:r>
        <w:rPr>
          <w:lang w:val="es-VE"/>
        </w:rPr>
        <w:t> </w:t>
      </w:r>
      <w:r w:rsidR="001734EB" w:rsidRPr="00077437">
        <w:rPr>
          <w:lang w:val="es-VE"/>
        </w:rPr>
        <w:t>o degradantes (art.</w:t>
      </w:r>
      <w:r>
        <w:rPr>
          <w:lang w:val="es-VE"/>
        </w:rPr>
        <w:t xml:space="preserve"> </w:t>
      </w:r>
      <w:r w:rsidR="001734EB" w:rsidRPr="00077437">
        <w:rPr>
          <w:lang w:val="es-VE"/>
        </w:rPr>
        <w:t>15)</w:t>
      </w:r>
    </w:p>
    <w:p w14:paraId="0FDFC1B4" w14:textId="77777777" w:rsidR="001734EB" w:rsidRPr="00077437" w:rsidRDefault="00950D81" w:rsidP="00054D51">
      <w:pPr>
        <w:pStyle w:val="H1G"/>
        <w:rPr>
          <w:lang w:val="es-VE"/>
        </w:rPr>
      </w:pPr>
      <w:r>
        <w:tab/>
      </w:r>
      <w:r>
        <w:tab/>
      </w:r>
      <w:r w:rsidR="00C154C7" w:rsidRPr="00F96454">
        <w:t xml:space="preserve">Respuesta </w:t>
      </w:r>
      <w:r w:rsidR="00C154C7">
        <w:t xml:space="preserve">a la </w:t>
      </w:r>
      <w:r w:rsidR="00C154C7">
        <w:rPr>
          <w:lang w:val="es-VE"/>
        </w:rPr>
        <w:t>c</w:t>
      </w:r>
      <w:r w:rsidR="001734EB" w:rsidRPr="00077437">
        <w:rPr>
          <w:lang w:val="es-VE"/>
        </w:rPr>
        <w:t>uestión 15</w:t>
      </w:r>
      <w:bookmarkEnd w:id="10"/>
      <w:bookmarkEnd w:id="11"/>
    </w:p>
    <w:p w14:paraId="1616C2FA" w14:textId="77777777" w:rsidR="001734EB" w:rsidRPr="00077437" w:rsidRDefault="00950D81" w:rsidP="00054D51">
      <w:pPr>
        <w:pStyle w:val="SingleTxtG"/>
        <w:rPr>
          <w:lang w:val="es-VE"/>
        </w:rPr>
      </w:pPr>
      <w:r>
        <w:rPr>
          <w:lang w:val="es-VE"/>
        </w:rPr>
        <w:t>67.</w:t>
      </w:r>
      <w:r>
        <w:rPr>
          <w:lang w:val="es-VE"/>
        </w:rPr>
        <w:tab/>
      </w:r>
      <w:r w:rsidR="001734EB" w:rsidRPr="00077437">
        <w:rPr>
          <w:lang w:val="es-VE"/>
        </w:rPr>
        <w:t xml:space="preserve">En Venezuela no existe un contexto de graves violaciones a los derechos humanos. La remisión políticamente motivada realizada por un grupo de países a la </w:t>
      </w:r>
      <w:proofErr w:type="spellStart"/>
      <w:r w:rsidR="001734EB" w:rsidRPr="00077437">
        <w:rPr>
          <w:lang w:val="es-VE"/>
        </w:rPr>
        <w:t>CPI</w:t>
      </w:r>
      <w:proofErr w:type="spellEnd"/>
      <w:r w:rsidR="001734EB" w:rsidRPr="00077437">
        <w:rPr>
          <w:lang w:val="es-VE"/>
        </w:rPr>
        <w:t xml:space="preserve"> no constituye un elemento serio para el análisis objetivo de la situación de la </w:t>
      </w:r>
      <w:proofErr w:type="spellStart"/>
      <w:r w:rsidR="001734EB" w:rsidRPr="00077437">
        <w:rPr>
          <w:lang w:val="es-VE"/>
        </w:rPr>
        <w:t>RBV</w:t>
      </w:r>
      <w:proofErr w:type="spellEnd"/>
      <w:r w:rsidR="001734EB" w:rsidRPr="00077437">
        <w:rPr>
          <w:lang w:val="es-VE"/>
        </w:rPr>
        <w:t>.</w:t>
      </w:r>
      <w:r w:rsidR="00223132">
        <w:rPr>
          <w:lang w:val="es-VE"/>
        </w:rPr>
        <w:t xml:space="preserve"> </w:t>
      </w:r>
      <w:r w:rsidR="001734EB" w:rsidRPr="00077437">
        <w:rPr>
          <w:lang w:val="es-VE"/>
        </w:rPr>
        <w:t>El Comité prejuzga sobre esta materia sin haber requerido previamente información al Estado.</w:t>
      </w:r>
      <w:r w:rsidR="00223132">
        <w:rPr>
          <w:lang w:val="es-VE"/>
        </w:rPr>
        <w:t xml:space="preserve"> </w:t>
      </w:r>
    </w:p>
    <w:p w14:paraId="0242A739" w14:textId="77777777" w:rsidR="001734EB" w:rsidRPr="00077437" w:rsidRDefault="00950D81" w:rsidP="00054D51">
      <w:pPr>
        <w:pStyle w:val="SingleTxtG"/>
        <w:rPr>
          <w:lang w:val="es-VE"/>
        </w:rPr>
      </w:pPr>
      <w:r>
        <w:rPr>
          <w:lang w:val="es-VE"/>
        </w:rPr>
        <w:t>68.</w:t>
      </w:r>
      <w:r>
        <w:rPr>
          <w:lang w:val="es-VE"/>
        </w:rPr>
        <w:tab/>
      </w:r>
      <w:r w:rsidR="001734EB" w:rsidRPr="00077437">
        <w:rPr>
          <w:lang w:val="es-VE"/>
        </w:rPr>
        <w:t xml:space="preserve">La </w:t>
      </w:r>
      <w:proofErr w:type="spellStart"/>
      <w:r w:rsidR="001734EB" w:rsidRPr="00077437">
        <w:rPr>
          <w:lang w:val="es-VE"/>
        </w:rPr>
        <w:t>LPCD</w:t>
      </w:r>
      <w:proofErr w:type="spellEnd"/>
      <w:r w:rsidR="001734EB" w:rsidRPr="00077437">
        <w:rPr>
          <w:lang w:val="es-VE"/>
        </w:rPr>
        <w:t xml:space="preserve"> en su artículo 9 garantiza el buen trato y protección familiar de las </w:t>
      </w:r>
      <w:proofErr w:type="spellStart"/>
      <w:r w:rsidR="001734EB" w:rsidRPr="00077437">
        <w:rPr>
          <w:lang w:val="es-VE"/>
        </w:rPr>
        <w:t>PcD</w:t>
      </w:r>
      <w:proofErr w:type="spellEnd"/>
      <w:r w:rsidR="001734EB" w:rsidRPr="00077437">
        <w:rPr>
          <w:lang w:val="es-VE"/>
        </w:rPr>
        <w:t xml:space="preserve">, durante su estadía en los centros de salud. La legislación nacional protege a las </w:t>
      </w:r>
      <w:proofErr w:type="spellStart"/>
      <w:r w:rsidR="001734EB" w:rsidRPr="00077437">
        <w:rPr>
          <w:lang w:val="es-VE"/>
        </w:rPr>
        <w:t>PcD</w:t>
      </w:r>
      <w:proofErr w:type="spellEnd"/>
      <w:r w:rsidR="001734EB" w:rsidRPr="00077437">
        <w:rPr>
          <w:lang w:val="es-VE"/>
        </w:rPr>
        <w:t xml:space="preserve"> para que no sean víctimas de tortura, tratos o penas crueles, inhumanas o degradantes, así como para que no sean expuestas a tratamientos indebidos, involuntarios o excesivos y prácticas médicas no consentidas. </w:t>
      </w:r>
    </w:p>
    <w:p w14:paraId="5215E43D" w14:textId="77777777" w:rsidR="001734EB" w:rsidRPr="00077437" w:rsidRDefault="00950D81" w:rsidP="00054D51">
      <w:pPr>
        <w:pStyle w:val="SingleTxtG"/>
        <w:rPr>
          <w:lang w:val="es-VE"/>
        </w:rPr>
      </w:pPr>
      <w:r>
        <w:rPr>
          <w:lang w:val="es-VE"/>
        </w:rPr>
        <w:t>69.</w:t>
      </w:r>
      <w:r>
        <w:rPr>
          <w:lang w:val="es-VE"/>
        </w:rPr>
        <w:tab/>
      </w:r>
      <w:r w:rsidR="001734EB" w:rsidRPr="00077437">
        <w:rPr>
          <w:lang w:val="es-VE"/>
        </w:rPr>
        <w:t>La Ley Especial para Prevenir y Sancionar la Tortura y Otros Tratos Crueles, Inhu</w:t>
      </w:r>
      <w:r w:rsidR="000A0878">
        <w:rPr>
          <w:lang w:val="es-VE"/>
        </w:rPr>
        <w:t>manos o Degradantes (</w:t>
      </w:r>
      <w:proofErr w:type="spellStart"/>
      <w:r w:rsidR="000A0878">
        <w:rPr>
          <w:lang w:val="es-VE"/>
        </w:rPr>
        <w:t>LEPSTOTCID</w:t>
      </w:r>
      <w:proofErr w:type="spellEnd"/>
      <w:r w:rsidR="001734EB" w:rsidRPr="00054D51">
        <w:rPr>
          <w:sz w:val="18"/>
          <w:vertAlign w:val="superscript"/>
          <w:lang w:val="es-VE"/>
        </w:rPr>
        <w:footnoteReference w:id="27"/>
      </w:r>
      <w:r w:rsidR="000A0878">
        <w:rPr>
          <w:lang w:val="es-VE"/>
        </w:rPr>
        <w:t>)</w:t>
      </w:r>
      <w:r w:rsidR="001734EB" w:rsidRPr="00077437">
        <w:rPr>
          <w:lang w:val="es-VE"/>
        </w:rPr>
        <w:t xml:space="preserve"> contempla una serie de medidas de protección y seguimiento, prevención, rehabilitación y reparación del daño que abarca a toda persona víctima de tortura y otros tratos crueles inhumanos o degradantes, incluidas las </w:t>
      </w:r>
      <w:proofErr w:type="spellStart"/>
      <w:r w:rsidR="001734EB" w:rsidRPr="00077437">
        <w:rPr>
          <w:lang w:val="es-VE"/>
        </w:rPr>
        <w:t>PcD</w:t>
      </w:r>
      <w:proofErr w:type="spellEnd"/>
      <w:r w:rsidR="001734EB" w:rsidRPr="00077437">
        <w:rPr>
          <w:lang w:val="es-VE"/>
        </w:rPr>
        <w:t xml:space="preserve">. </w:t>
      </w:r>
    </w:p>
    <w:p w14:paraId="2CE1CA49" w14:textId="77777777" w:rsidR="001734EB" w:rsidRPr="00077437" w:rsidRDefault="00950D81" w:rsidP="00054D51">
      <w:pPr>
        <w:pStyle w:val="SingleTxtG"/>
        <w:rPr>
          <w:lang w:val="es-VE"/>
        </w:rPr>
      </w:pPr>
      <w:r>
        <w:rPr>
          <w:lang w:val="es-VE"/>
        </w:rPr>
        <w:t>70.</w:t>
      </w:r>
      <w:r>
        <w:rPr>
          <w:lang w:val="es-VE"/>
        </w:rPr>
        <w:tab/>
      </w:r>
      <w:r w:rsidR="001734EB" w:rsidRPr="00077437">
        <w:rPr>
          <w:lang w:val="es-VE"/>
        </w:rPr>
        <w:t xml:space="preserve">La </w:t>
      </w:r>
      <w:proofErr w:type="spellStart"/>
      <w:r w:rsidR="001734EB" w:rsidRPr="00077437">
        <w:rPr>
          <w:lang w:val="es-VE"/>
        </w:rPr>
        <w:t>DdP</w:t>
      </w:r>
      <w:proofErr w:type="spellEnd"/>
      <w:r w:rsidR="001734EB" w:rsidRPr="00077437">
        <w:rPr>
          <w:lang w:val="es-VE"/>
        </w:rPr>
        <w:t xml:space="preserve"> y la Comisión Nacional de Prevención de la Tortura y otros Tratos Crueles, Inhumanos o Degradantes desarrollan talleres, charlas y foros en materia de prevención de la tortura, dirigidos a los funcionarios de la Fuerza Armada Nacional Bolivariana, del sistema penitenciario y del sistema nacional de salud. Asimismo, realizan visitas periódicas, sin previo aviso, a los distintos establecimientos de privación de libertad, incluyendo centros hospitalarios de salud mental. </w:t>
      </w:r>
    </w:p>
    <w:p w14:paraId="6D1A1FFE" w14:textId="77777777" w:rsidR="001734EB" w:rsidRPr="00077437" w:rsidRDefault="00950D81" w:rsidP="00054D51">
      <w:pPr>
        <w:pStyle w:val="SingleTxtG"/>
        <w:rPr>
          <w:lang w:val="es-VE"/>
        </w:rPr>
      </w:pPr>
      <w:r>
        <w:rPr>
          <w:lang w:val="es-VE"/>
        </w:rPr>
        <w:t>71.</w:t>
      </w:r>
      <w:r>
        <w:rPr>
          <w:lang w:val="es-VE"/>
        </w:rPr>
        <w:tab/>
      </w:r>
      <w:r w:rsidR="001734EB" w:rsidRPr="00077437">
        <w:rPr>
          <w:lang w:val="es-VE"/>
        </w:rPr>
        <w:t xml:space="preserve">Las instituciones del Sistema de Justicia y los Consejos de Protección de Niños, Niñas y Adolescentes contemplan de manera transversal a las mujeres y niños con discapacidad y cuentan con personal capacitado para atenderlos. </w:t>
      </w:r>
    </w:p>
    <w:p w14:paraId="1E4A4C6F" w14:textId="77777777" w:rsidR="001734EB" w:rsidRPr="00077437" w:rsidRDefault="00950D81" w:rsidP="00054D51">
      <w:pPr>
        <w:pStyle w:val="H1G"/>
        <w:rPr>
          <w:lang w:val="es-VE"/>
        </w:rPr>
      </w:pPr>
      <w:bookmarkStart w:id="12" w:name="OLE_LINK73"/>
      <w:bookmarkStart w:id="13" w:name="OLE_LINK74"/>
      <w:bookmarkStart w:id="14" w:name="OLE_LINK70"/>
      <w:bookmarkStart w:id="15" w:name="OLE_LINK69"/>
      <w:r>
        <w:rPr>
          <w:lang w:val="es-VE"/>
        </w:rPr>
        <w:lastRenderedPageBreak/>
        <w:tab/>
      </w:r>
      <w:r>
        <w:rPr>
          <w:lang w:val="es-VE"/>
        </w:rPr>
        <w:tab/>
      </w:r>
      <w:r w:rsidR="001734EB" w:rsidRPr="00077437">
        <w:rPr>
          <w:lang w:val="es-VE"/>
        </w:rPr>
        <w:t>Protección contra la explotación, la violencia y el abuso (art. 16) y</w:t>
      </w:r>
      <w:r>
        <w:rPr>
          <w:lang w:val="es-VE"/>
        </w:rPr>
        <w:t> </w:t>
      </w:r>
      <w:r w:rsidR="001734EB" w:rsidRPr="00077437">
        <w:rPr>
          <w:lang w:val="es-VE"/>
        </w:rPr>
        <w:t>Protección de la integridad personal (art. 17)</w:t>
      </w:r>
    </w:p>
    <w:p w14:paraId="23630D3A" w14:textId="77777777" w:rsidR="001734EB" w:rsidRPr="00077437" w:rsidRDefault="00950D81" w:rsidP="00054D51">
      <w:pPr>
        <w:pStyle w:val="H1G"/>
        <w:rPr>
          <w:lang w:val="es-VE"/>
        </w:rPr>
      </w:pPr>
      <w:r>
        <w:tab/>
      </w:r>
      <w:r>
        <w:tab/>
      </w:r>
      <w:r w:rsidR="00C154C7" w:rsidRPr="00F96454">
        <w:t xml:space="preserve">Respuesta </w:t>
      </w:r>
      <w:r w:rsidR="00C154C7">
        <w:t xml:space="preserve">a la </w:t>
      </w:r>
      <w:r w:rsidR="00C154C7">
        <w:rPr>
          <w:lang w:val="es-VE"/>
        </w:rPr>
        <w:t>c</w:t>
      </w:r>
      <w:r w:rsidR="001734EB" w:rsidRPr="00077437">
        <w:rPr>
          <w:lang w:val="es-VE"/>
        </w:rPr>
        <w:t xml:space="preserve">uestión 16 </w:t>
      </w:r>
      <w:bookmarkEnd w:id="12"/>
      <w:bookmarkEnd w:id="13"/>
      <w:bookmarkEnd w:id="14"/>
      <w:bookmarkEnd w:id="15"/>
    </w:p>
    <w:p w14:paraId="29FF27D0" w14:textId="77777777" w:rsidR="001734EB" w:rsidRPr="00077437" w:rsidRDefault="00950D81" w:rsidP="00054D51">
      <w:pPr>
        <w:pStyle w:val="SingleTxtG"/>
        <w:rPr>
          <w:lang w:val="es-VE"/>
        </w:rPr>
      </w:pPr>
      <w:bookmarkStart w:id="16" w:name="OLE_LINK75"/>
      <w:bookmarkStart w:id="17" w:name="OLE_LINK76"/>
      <w:r>
        <w:rPr>
          <w:lang w:val="es-VE"/>
        </w:rPr>
        <w:t>72.</w:t>
      </w:r>
      <w:r>
        <w:rPr>
          <w:lang w:val="es-VE"/>
        </w:rPr>
        <w:tab/>
      </w:r>
      <w:r w:rsidR="001734EB" w:rsidRPr="00077437">
        <w:rPr>
          <w:lang w:val="es-VE"/>
        </w:rPr>
        <w:t xml:space="preserve">En la </w:t>
      </w:r>
      <w:proofErr w:type="spellStart"/>
      <w:r w:rsidR="001734EB" w:rsidRPr="00077437">
        <w:rPr>
          <w:lang w:val="es-VE"/>
        </w:rPr>
        <w:t>RBV</w:t>
      </w:r>
      <w:proofErr w:type="spellEnd"/>
      <w:r w:rsidR="001734EB" w:rsidRPr="00077437">
        <w:rPr>
          <w:lang w:val="es-VE"/>
        </w:rPr>
        <w:t xml:space="preserve"> se encuentra prohibido constitucional y legalmente la violencia y el maltrato contra las </w:t>
      </w:r>
      <w:proofErr w:type="spellStart"/>
      <w:r w:rsidR="001734EB" w:rsidRPr="00077437">
        <w:rPr>
          <w:lang w:val="es-VE"/>
        </w:rPr>
        <w:t>PcD</w:t>
      </w:r>
      <w:proofErr w:type="spellEnd"/>
      <w:r w:rsidR="001734EB" w:rsidRPr="00077437">
        <w:rPr>
          <w:lang w:val="es-VE"/>
        </w:rPr>
        <w:t xml:space="preserve">. En agosto del año 2019 el </w:t>
      </w:r>
      <w:proofErr w:type="spellStart"/>
      <w:r w:rsidR="001734EB" w:rsidRPr="00077437">
        <w:rPr>
          <w:lang w:val="es-VE"/>
        </w:rPr>
        <w:t>CONAPDIS</w:t>
      </w:r>
      <w:proofErr w:type="spellEnd"/>
      <w:r w:rsidR="001734EB" w:rsidRPr="00077437">
        <w:rPr>
          <w:lang w:val="es-VE"/>
        </w:rPr>
        <w:t xml:space="preserve"> suscribió un acuerdo con el Cuerpo de Investigaciones, Científicas, Penales y Criminalísticas (CICPC) para la creación de la unidad de víctimas con discapacidad. </w:t>
      </w:r>
    </w:p>
    <w:p w14:paraId="3CA723D0" w14:textId="77777777" w:rsidR="001734EB" w:rsidRPr="00077437" w:rsidRDefault="00950D81" w:rsidP="00054D51">
      <w:pPr>
        <w:pStyle w:val="SingleTxtG"/>
        <w:rPr>
          <w:lang w:val="es-VE"/>
        </w:rPr>
      </w:pPr>
      <w:r>
        <w:rPr>
          <w:lang w:val="es-VE"/>
        </w:rPr>
        <w:t>73.</w:t>
      </w:r>
      <w:r>
        <w:rPr>
          <w:lang w:val="es-VE"/>
        </w:rPr>
        <w:tab/>
      </w:r>
      <w:r w:rsidR="001734EB" w:rsidRPr="00077437">
        <w:rPr>
          <w:lang w:val="es-VE"/>
        </w:rPr>
        <w:t>El artículo 15 de la Ley Orgánica sobre el Derecho de las Mujeres a una Vida Libre de Violencia (</w:t>
      </w:r>
      <w:proofErr w:type="spellStart"/>
      <w:r w:rsidR="001734EB" w:rsidRPr="00077437">
        <w:rPr>
          <w:lang w:val="es-VE"/>
        </w:rPr>
        <w:t>LODMVLV</w:t>
      </w:r>
      <w:proofErr w:type="spellEnd"/>
      <w:r w:rsidR="001734EB" w:rsidRPr="00077437">
        <w:rPr>
          <w:lang w:val="es-VE"/>
        </w:rPr>
        <w:t xml:space="preserve">) tipifica la esterilización forzada como una forma de violencia contra la mujer. El artículo 52 de la </w:t>
      </w:r>
      <w:proofErr w:type="spellStart"/>
      <w:r w:rsidR="001734EB" w:rsidRPr="00077437">
        <w:rPr>
          <w:lang w:val="es-VE"/>
        </w:rPr>
        <w:t>LODMVLV</w:t>
      </w:r>
      <w:proofErr w:type="spellEnd"/>
      <w:r w:rsidR="001734EB" w:rsidRPr="00077437">
        <w:rPr>
          <w:lang w:val="es-VE"/>
        </w:rPr>
        <w:t xml:space="preserve"> sanciona con pena de prisión de dos a cinco años la práctica de la esterilización forzada. </w:t>
      </w:r>
    </w:p>
    <w:p w14:paraId="7315C6D0" w14:textId="77777777" w:rsidR="001734EB" w:rsidRPr="00077437" w:rsidRDefault="00950D81" w:rsidP="00054D51">
      <w:pPr>
        <w:pStyle w:val="SingleTxtG"/>
        <w:rPr>
          <w:lang w:val="es-VE"/>
        </w:rPr>
      </w:pPr>
      <w:r>
        <w:rPr>
          <w:lang w:val="es-VE"/>
        </w:rPr>
        <w:t>74.</w:t>
      </w:r>
      <w:r>
        <w:rPr>
          <w:lang w:val="es-VE"/>
        </w:rPr>
        <w:tab/>
      </w:r>
      <w:r w:rsidR="001734EB" w:rsidRPr="00077437">
        <w:rPr>
          <w:lang w:val="es-VE"/>
        </w:rPr>
        <w:t>El Ministerio del Poder Popular para la Salud (</w:t>
      </w:r>
      <w:proofErr w:type="spellStart"/>
      <w:r w:rsidR="001734EB" w:rsidRPr="00077437">
        <w:rPr>
          <w:lang w:val="es-VE"/>
        </w:rPr>
        <w:t>MPPS</w:t>
      </w:r>
      <w:proofErr w:type="spellEnd"/>
      <w:r w:rsidR="001734EB" w:rsidRPr="00077437">
        <w:rPr>
          <w:lang w:val="es-VE"/>
        </w:rPr>
        <w:t xml:space="preserve">) ha elaborado y publicado con apoyo de agencias de la ONU, protocolos de atención para las esterilizaciones, hospitalización, tratamientos médicos y farmacológicos que garantizan el derecho al consentimiento libre e informado de las </w:t>
      </w:r>
      <w:proofErr w:type="spellStart"/>
      <w:r w:rsidR="001734EB" w:rsidRPr="00077437">
        <w:rPr>
          <w:lang w:val="es-VE"/>
        </w:rPr>
        <w:t>PcD</w:t>
      </w:r>
      <w:proofErr w:type="spellEnd"/>
      <w:r w:rsidR="001734EB" w:rsidRPr="00077437">
        <w:rPr>
          <w:lang w:val="es-VE"/>
        </w:rPr>
        <w:t>, incluidos los servicios de salud mental y salud sexual y reproductiva.</w:t>
      </w:r>
    </w:p>
    <w:p w14:paraId="25791B1E" w14:textId="77777777" w:rsidR="001734EB" w:rsidRPr="00077437" w:rsidRDefault="00950D81" w:rsidP="00054D51">
      <w:pPr>
        <w:pStyle w:val="H1G"/>
        <w:rPr>
          <w:lang w:val="es-VE"/>
        </w:rPr>
      </w:pPr>
      <w:r>
        <w:tab/>
      </w:r>
      <w:r>
        <w:tab/>
      </w:r>
      <w:r w:rsidR="00C154C7" w:rsidRPr="00F96454">
        <w:t xml:space="preserve">Respuesta </w:t>
      </w:r>
      <w:r w:rsidR="00C154C7">
        <w:t xml:space="preserve">a la </w:t>
      </w:r>
      <w:r w:rsidR="00C154C7">
        <w:rPr>
          <w:lang w:val="es-VE"/>
        </w:rPr>
        <w:t>c</w:t>
      </w:r>
      <w:r w:rsidR="001734EB" w:rsidRPr="00077437">
        <w:rPr>
          <w:lang w:val="es-VE"/>
        </w:rPr>
        <w:t xml:space="preserve">uestión 17 </w:t>
      </w:r>
    </w:p>
    <w:p w14:paraId="321203A0" w14:textId="77777777" w:rsidR="001734EB" w:rsidRPr="00077437" w:rsidRDefault="00950D81" w:rsidP="00054D51">
      <w:pPr>
        <w:pStyle w:val="SingleTxtG"/>
        <w:rPr>
          <w:lang w:val="es-VE"/>
        </w:rPr>
      </w:pPr>
      <w:r>
        <w:rPr>
          <w:lang w:val="es-VE"/>
        </w:rPr>
        <w:t>75.</w:t>
      </w:r>
      <w:r>
        <w:rPr>
          <w:lang w:val="es-VE"/>
        </w:rPr>
        <w:tab/>
      </w:r>
      <w:r w:rsidR="001734EB" w:rsidRPr="00077437">
        <w:rPr>
          <w:lang w:val="es-VE"/>
        </w:rPr>
        <w:t xml:space="preserve">El </w:t>
      </w:r>
      <w:proofErr w:type="spellStart"/>
      <w:r w:rsidR="001734EB" w:rsidRPr="00077437">
        <w:rPr>
          <w:lang w:val="es-VE"/>
        </w:rPr>
        <w:t>CONAPDIS</w:t>
      </w:r>
      <w:proofErr w:type="spellEnd"/>
      <w:r w:rsidR="001734EB" w:rsidRPr="00077437">
        <w:rPr>
          <w:lang w:val="es-VE"/>
        </w:rPr>
        <w:t xml:space="preserve"> cuenta con 24 Coordinaciones Estadales que supervisan el cumplimiento de </w:t>
      </w:r>
      <w:proofErr w:type="spellStart"/>
      <w:r w:rsidR="001734EB" w:rsidRPr="00077437">
        <w:rPr>
          <w:lang w:val="es-VE"/>
        </w:rPr>
        <w:t>LPCD</w:t>
      </w:r>
      <w:proofErr w:type="spellEnd"/>
      <w:r w:rsidR="001734EB" w:rsidRPr="00077437">
        <w:rPr>
          <w:lang w:val="es-VE"/>
        </w:rPr>
        <w:t xml:space="preserve"> y el respeto de los derechos de las </w:t>
      </w:r>
      <w:proofErr w:type="spellStart"/>
      <w:r w:rsidR="001734EB" w:rsidRPr="00077437">
        <w:rPr>
          <w:lang w:val="es-VE"/>
        </w:rPr>
        <w:t>PcD</w:t>
      </w:r>
      <w:proofErr w:type="spellEnd"/>
      <w:r w:rsidR="001734EB" w:rsidRPr="00077437">
        <w:rPr>
          <w:lang w:val="es-VE"/>
        </w:rPr>
        <w:t xml:space="preserve">. Estas dependencias reciben denuncias por parte de las </w:t>
      </w:r>
      <w:proofErr w:type="spellStart"/>
      <w:r w:rsidR="001734EB" w:rsidRPr="00077437">
        <w:rPr>
          <w:lang w:val="es-VE"/>
        </w:rPr>
        <w:t>PcD</w:t>
      </w:r>
      <w:proofErr w:type="spellEnd"/>
      <w:r w:rsidR="001734EB" w:rsidRPr="00077437">
        <w:rPr>
          <w:lang w:val="es-VE"/>
        </w:rPr>
        <w:t xml:space="preserve"> y realizan programas de capacitación sobre los derechos de las </w:t>
      </w:r>
      <w:proofErr w:type="spellStart"/>
      <w:r w:rsidR="001734EB" w:rsidRPr="00077437">
        <w:rPr>
          <w:lang w:val="es-VE"/>
        </w:rPr>
        <w:t>PcD</w:t>
      </w:r>
      <w:proofErr w:type="spellEnd"/>
      <w:r w:rsidR="001734EB" w:rsidRPr="00077437">
        <w:rPr>
          <w:lang w:val="es-VE"/>
        </w:rPr>
        <w:t xml:space="preserve"> a las diversas instituciones ubicadas dentro de su jurisdicción territorial. </w:t>
      </w:r>
    </w:p>
    <w:p w14:paraId="7821CDAA" w14:textId="77777777" w:rsidR="001734EB" w:rsidRPr="00077437" w:rsidRDefault="00950D81" w:rsidP="00054D51">
      <w:pPr>
        <w:pStyle w:val="H1G"/>
        <w:rPr>
          <w:lang w:val="es-VE"/>
        </w:rPr>
      </w:pPr>
      <w:r>
        <w:tab/>
      </w:r>
      <w:r>
        <w:tab/>
      </w:r>
      <w:r w:rsidR="00C154C7" w:rsidRPr="00F96454">
        <w:t xml:space="preserve">Respuesta </w:t>
      </w:r>
      <w:r w:rsidR="00C154C7">
        <w:t xml:space="preserve">a la </w:t>
      </w:r>
      <w:r w:rsidR="00C154C7">
        <w:rPr>
          <w:lang w:val="es-VE"/>
        </w:rPr>
        <w:t>c</w:t>
      </w:r>
      <w:r w:rsidR="001734EB" w:rsidRPr="00077437">
        <w:rPr>
          <w:lang w:val="es-VE"/>
        </w:rPr>
        <w:t>uestión 18</w:t>
      </w:r>
    </w:p>
    <w:p w14:paraId="43DBE9F8" w14:textId="77777777" w:rsidR="001734EB" w:rsidRPr="00077437" w:rsidRDefault="00950D81" w:rsidP="00054D51">
      <w:pPr>
        <w:pStyle w:val="SingleTxtG"/>
        <w:rPr>
          <w:lang w:val="es-VE"/>
        </w:rPr>
      </w:pPr>
      <w:r>
        <w:rPr>
          <w:lang w:val="es-VE"/>
        </w:rPr>
        <w:t>76.</w:t>
      </w:r>
      <w:r>
        <w:rPr>
          <w:lang w:val="es-VE"/>
        </w:rPr>
        <w:tab/>
      </w:r>
      <w:r w:rsidR="001734EB" w:rsidRPr="004E5744">
        <w:rPr>
          <w:lang w:val="es-VE"/>
        </w:rPr>
        <w:t>La</w:t>
      </w:r>
      <w:r w:rsidR="001734EB" w:rsidRPr="00077437">
        <w:rPr>
          <w:lang w:val="es-VE"/>
        </w:rPr>
        <w:t xml:space="preserve"> </w:t>
      </w:r>
      <w:proofErr w:type="spellStart"/>
      <w:r w:rsidR="001734EB" w:rsidRPr="00077437">
        <w:rPr>
          <w:lang w:val="es-VE"/>
        </w:rPr>
        <w:t>LOSDMVLV</w:t>
      </w:r>
      <w:proofErr w:type="spellEnd"/>
      <w:r w:rsidR="001734EB" w:rsidRPr="00077437">
        <w:rPr>
          <w:lang w:val="es-VE"/>
        </w:rPr>
        <w:t xml:space="preserve"> contempla transversalmente a las mujeres y niñas con discapacidad. Esta norma contiene garantías específicas para el ejercicio de los derechos de las mujeres con discapacidad víctimas de violencia y tipifica como agravante en los delitos que el hecho sea cometido contra una mujer con discapacidad. </w:t>
      </w:r>
    </w:p>
    <w:p w14:paraId="66ABA8A2" w14:textId="77777777" w:rsidR="001734EB" w:rsidRPr="00077437" w:rsidRDefault="00950D81" w:rsidP="00054D51">
      <w:pPr>
        <w:pStyle w:val="SingleTxtG"/>
        <w:rPr>
          <w:lang w:val="es-VE"/>
        </w:rPr>
      </w:pPr>
      <w:r>
        <w:rPr>
          <w:lang w:val="es-VE"/>
        </w:rPr>
        <w:t>77.</w:t>
      </w:r>
      <w:r>
        <w:rPr>
          <w:lang w:val="es-VE"/>
        </w:rPr>
        <w:tab/>
      </w:r>
      <w:r w:rsidR="001734EB" w:rsidRPr="00077437">
        <w:rPr>
          <w:lang w:val="es-VE"/>
        </w:rPr>
        <w:t xml:space="preserve">El personal de los órganos receptores de denuncias de violencia contra la mujer, así como los tribunales y fiscalías especializadas en esta materia reciben permanentemente formación sobre los derechos de las </w:t>
      </w:r>
      <w:proofErr w:type="spellStart"/>
      <w:r w:rsidR="001734EB" w:rsidRPr="00077437">
        <w:rPr>
          <w:lang w:val="es-VE"/>
        </w:rPr>
        <w:t>PcD</w:t>
      </w:r>
      <w:proofErr w:type="spellEnd"/>
      <w:r w:rsidR="001734EB" w:rsidRPr="00077437">
        <w:rPr>
          <w:lang w:val="es-VE"/>
        </w:rPr>
        <w:t xml:space="preserve">. </w:t>
      </w:r>
    </w:p>
    <w:p w14:paraId="62712B03" w14:textId="77777777" w:rsidR="001734EB" w:rsidRPr="00077437" w:rsidRDefault="00950D81" w:rsidP="00054D51">
      <w:pPr>
        <w:pStyle w:val="H1G"/>
        <w:rPr>
          <w:lang w:val="es-VE"/>
        </w:rPr>
      </w:pPr>
      <w:bookmarkStart w:id="18" w:name="OLE_LINK88"/>
      <w:bookmarkStart w:id="19" w:name="OLE_LINK89"/>
      <w:bookmarkEnd w:id="16"/>
      <w:bookmarkEnd w:id="17"/>
      <w:r>
        <w:rPr>
          <w:lang w:val="es-VE"/>
        </w:rPr>
        <w:tab/>
      </w:r>
      <w:r>
        <w:rPr>
          <w:lang w:val="es-VE"/>
        </w:rPr>
        <w:tab/>
      </w:r>
      <w:r w:rsidR="001734EB" w:rsidRPr="00077437">
        <w:rPr>
          <w:lang w:val="es-VE"/>
        </w:rPr>
        <w:t>Libertad de circulación y nacionalidad (art. 18)</w:t>
      </w:r>
    </w:p>
    <w:p w14:paraId="2A8BFBF7" w14:textId="77777777" w:rsidR="001734EB" w:rsidRPr="00077437" w:rsidRDefault="00950D81" w:rsidP="00054D51">
      <w:pPr>
        <w:pStyle w:val="H1G"/>
        <w:rPr>
          <w:lang w:val="es-VE"/>
        </w:rPr>
      </w:pPr>
      <w:r>
        <w:tab/>
      </w:r>
      <w:r>
        <w:tab/>
      </w:r>
      <w:r w:rsidR="00C154C7" w:rsidRPr="00F96454">
        <w:t xml:space="preserve">Respuesta </w:t>
      </w:r>
      <w:r w:rsidR="00C154C7">
        <w:t xml:space="preserve">a la </w:t>
      </w:r>
      <w:r w:rsidR="00C154C7">
        <w:rPr>
          <w:lang w:val="es-VE"/>
        </w:rPr>
        <w:t>c</w:t>
      </w:r>
      <w:r w:rsidR="001734EB" w:rsidRPr="00077437">
        <w:rPr>
          <w:lang w:val="es-VE"/>
        </w:rPr>
        <w:t>uestión 19</w:t>
      </w:r>
    </w:p>
    <w:p w14:paraId="574DFF75" w14:textId="77777777" w:rsidR="001734EB" w:rsidRPr="00077437" w:rsidRDefault="00950D81" w:rsidP="00054D51">
      <w:pPr>
        <w:pStyle w:val="SingleTxtG"/>
        <w:rPr>
          <w:lang w:val="es-VE"/>
        </w:rPr>
      </w:pPr>
      <w:r>
        <w:rPr>
          <w:lang w:val="es-VE"/>
        </w:rPr>
        <w:t>78.</w:t>
      </w:r>
      <w:r>
        <w:rPr>
          <w:lang w:val="es-VE"/>
        </w:rPr>
        <w:tab/>
      </w:r>
      <w:r w:rsidR="001734EB" w:rsidRPr="00077437">
        <w:rPr>
          <w:lang w:val="es-VE"/>
        </w:rPr>
        <w:t xml:space="preserve">En la </w:t>
      </w:r>
      <w:proofErr w:type="spellStart"/>
      <w:r w:rsidR="001734EB" w:rsidRPr="00077437">
        <w:rPr>
          <w:lang w:val="es-VE"/>
        </w:rPr>
        <w:t>RBV</w:t>
      </w:r>
      <w:proofErr w:type="spellEnd"/>
      <w:r w:rsidR="001734EB" w:rsidRPr="00077437">
        <w:rPr>
          <w:lang w:val="es-VE"/>
        </w:rPr>
        <w:t xml:space="preserve"> los órganos del Estado tienen el deber de garantizar el pleno acceso, brindar atención preferencial y crear mecanismos adecuados y efectivos para facilitar información, trámites y demás servicios que prestan a las </w:t>
      </w:r>
      <w:proofErr w:type="spellStart"/>
      <w:r w:rsidR="001734EB" w:rsidRPr="00077437">
        <w:rPr>
          <w:lang w:val="es-VE"/>
        </w:rPr>
        <w:t>PcD</w:t>
      </w:r>
      <w:proofErr w:type="spellEnd"/>
      <w:r w:rsidR="001734EB" w:rsidRPr="00077437">
        <w:rPr>
          <w:lang w:val="es-VE"/>
        </w:rPr>
        <w:t xml:space="preserve">, incluyendo los procedimientos relacionados con la obtención de documentos de identidad. </w:t>
      </w:r>
    </w:p>
    <w:p w14:paraId="664E0557" w14:textId="77777777" w:rsidR="001734EB" w:rsidRPr="00077437" w:rsidRDefault="00950D81" w:rsidP="00054D51">
      <w:pPr>
        <w:pStyle w:val="H1G"/>
        <w:rPr>
          <w:lang w:val="es-VE"/>
        </w:rPr>
      </w:pPr>
      <w:r>
        <w:rPr>
          <w:lang w:val="es-VE"/>
        </w:rPr>
        <w:tab/>
      </w:r>
      <w:r>
        <w:rPr>
          <w:lang w:val="es-VE"/>
        </w:rPr>
        <w:tab/>
      </w:r>
      <w:r w:rsidR="001734EB" w:rsidRPr="00077437">
        <w:rPr>
          <w:lang w:val="es-VE"/>
        </w:rPr>
        <w:t>Derecho a vivir de forma independiente y a ser incluido en la comunidad (art. 19)</w:t>
      </w:r>
    </w:p>
    <w:p w14:paraId="5A2FD2A4" w14:textId="77777777" w:rsidR="001734EB" w:rsidRPr="00077437" w:rsidRDefault="00950D81" w:rsidP="00054D51">
      <w:pPr>
        <w:pStyle w:val="H1G"/>
        <w:rPr>
          <w:lang w:val="es-VE"/>
        </w:rPr>
      </w:pPr>
      <w:r>
        <w:tab/>
      </w:r>
      <w:r>
        <w:tab/>
      </w:r>
      <w:r w:rsidR="00C154C7" w:rsidRPr="00F96454">
        <w:t xml:space="preserve">Respuesta </w:t>
      </w:r>
      <w:r w:rsidR="00C154C7">
        <w:t xml:space="preserve">a la </w:t>
      </w:r>
      <w:r w:rsidR="00C154C7">
        <w:rPr>
          <w:lang w:val="es-VE"/>
        </w:rPr>
        <w:t>c</w:t>
      </w:r>
      <w:r w:rsidR="001734EB" w:rsidRPr="00077437">
        <w:rPr>
          <w:lang w:val="es-VE"/>
        </w:rPr>
        <w:t xml:space="preserve">uestión 20 </w:t>
      </w:r>
    </w:p>
    <w:p w14:paraId="77B0B6F7" w14:textId="77777777" w:rsidR="001734EB" w:rsidRPr="00077437" w:rsidRDefault="00950D81" w:rsidP="00054D51">
      <w:pPr>
        <w:pStyle w:val="SingleTxtG"/>
        <w:rPr>
          <w:lang w:val="es-VE"/>
        </w:rPr>
      </w:pPr>
      <w:r>
        <w:rPr>
          <w:lang w:val="es-VE"/>
        </w:rPr>
        <w:t>79.</w:t>
      </w:r>
      <w:r>
        <w:rPr>
          <w:lang w:val="es-VE"/>
        </w:rPr>
        <w:tab/>
      </w:r>
      <w:r w:rsidR="001734EB" w:rsidRPr="00077437">
        <w:rPr>
          <w:lang w:val="es-VE"/>
        </w:rPr>
        <w:t xml:space="preserve">El </w:t>
      </w:r>
      <w:proofErr w:type="spellStart"/>
      <w:r w:rsidR="001734EB" w:rsidRPr="00077437">
        <w:rPr>
          <w:lang w:val="es-VE"/>
        </w:rPr>
        <w:t>MPPS</w:t>
      </w:r>
      <w:proofErr w:type="spellEnd"/>
      <w:r w:rsidR="001734EB" w:rsidRPr="00077437">
        <w:rPr>
          <w:lang w:val="es-VE"/>
        </w:rPr>
        <w:t xml:space="preserve">, a través de la Dirección de Salud Mental y Prevención de Accidentes y otros Hechos Violentos, viene desarrollando desde comienzos del año 2019 el proyecto </w:t>
      </w:r>
      <w:r w:rsidR="001734EB" w:rsidRPr="00077437">
        <w:rPr>
          <w:i/>
          <w:lang w:val="es-VE"/>
        </w:rPr>
        <w:lastRenderedPageBreak/>
        <w:t>"Humanización de la atención en la Salud Mental para la Vida Sana"</w:t>
      </w:r>
      <w:r w:rsidR="001734EB" w:rsidRPr="00054D51">
        <w:rPr>
          <w:lang w:val="es-VE"/>
        </w:rPr>
        <w:t>,</w:t>
      </w:r>
      <w:r w:rsidR="001734EB" w:rsidRPr="00077437">
        <w:rPr>
          <w:i/>
          <w:lang w:val="es-VE"/>
        </w:rPr>
        <w:t xml:space="preserve"> </w:t>
      </w:r>
      <w:r w:rsidR="001734EB" w:rsidRPr="00077437">
        <w:rPr>
          <w:lang w:val="es-VE"/>
        </w:rPr>
        <w:t xml:space="preserve">con el objeto de fortalecer el enfoque de derechos humanos de la política pública en esta materia. </w:t>
      </w:r>
    </w:p>
    <w:p w14:paraId="51681651" w14:textId="77777777" w:rsidR="001734EB" w:rsidRPr="00077437" w:rsidRDefault="00950D81" w:rsidP="00054D51">
      <w:pPr>
        <w:pStyle w:val="SingleTxtG"/>
        <w:rPr>
          <w:lang w:val="es-VE"/>
        </w:rPr>
      </w:pPr>
      <w:r>
        <w:rPr>
          <w:lang w:val="es-VE"/>
        </w:rPr>
        <w:t>80.</w:t>
      </w:r>
      <w:r>
        <w:rPr>
          <w:lang w:val="es-VE"/>
        </w:rPr>
        <w:tab/>
      </w:r>
      <w:r w:rsidR="001734EB" w:rsidRPr="00077437">
        <w:rPr>
          <w:lang w:val="es-VE"/>
        </w:rPr>
        <w:t xml:space="preserve">La </w:t>
      </w:r>
      <w:proofErr w:type="spellStart"/>
      <w:r w:rsidR="001734EB" w:rsidRPr="00077437">
        <w:rPr>
          <w:lang w:val="es-VE"/>
        </w:rPr>
        <w:t>LPCD</w:t>
      </w:r>
      <w:proofErr w:type="spellEnd"/>
      <w:r w:rsidR="001734EB" w:rsidRPr="00077437">
        <w:rPr>
          <w:lang w:val="es-VE"/>
        </w:rPr>
        <w:t xml:space="preserve"> prevé que la persona con discapacidad debe ser atendida en el seno familiar. En caso de la atención institucionalizada, ésta se hará previo estudio de acuerdo con lo establecido en las leyes. </w:t>
      </w:r>
    </w:p>
    <w:p w14:paraId="212D138B" w14:textId="77777777" w:rsidR="001734EB" w:rsidRPr="00077437" w:rsidRDefault="00950D81" w:rsidP="00054D51">
      <w:pPr>
        <w:pStyle w:val="SingleTxtG"/>
        <w:rPr>
          <w:lang w:val="es-VE"/>
        </w:rPr>
      </w:pPr>
      <w:r>
        <w:rPr>
          <w:lang w:val="es-VE"/>
        </w:rPr>
        <w:t>81.</w:t>
      </w:r>
      <w:r>
        <w:rPr>
          <w:lang w:val="es-VE"/>
        </w:rPr>
        <w:tab/>
      </w:r>
      <w:r w:rsidR="001734EB" w:rsidRPr="00077437">
        <w:rPr>
          <w:lang w:val="es-VE"/>
        </w:rPr>
        <w:t xml:space="preserve">Entre los años 2015 y 2018 se han incrementado progresivamente los </w:t>
      </w:r>
      <w:proofErr w:type="spellStart"/>
      <w:r w:rsidR="001734EB" w:rsidRPr="00077437">
        <w:rPr>
          <w:lang w:val="es-VE"/>
        </w:rPr>
        <w:t>CCPCD</w:t>
      </w:r>
      <w:proofErr w:type="spellEnd"/>
      <w:r w:rsidR="001734EB" w:rsidRPr="00077437">
        <w:rPr>
          <w:lang w:val="es-VE"/>
        </w:rPr>
        <w:t xml:space="preserve"> en todo el territorio nacional. En ese período, se registraron 3.999 nuevos </w:t>
      </w:r>
      <w:proofErr w:type="spellStart"/>
      <w:r w:rsidR="001734EB" w:rsidRPr="00077437">
        <w:rPr>
          <w:lang w:val="es-VE"/>
        </w:rPr>
        <w:t>CCPCD</w:t>
      </w:r>
      <w:proofErr w:type="spellEnd"/>
      <w:r w:rsidR="001734EB" w:rsidRPr="00077437">
        <w:rPr>
          <w:lang w:val="es-VE"/>
        </w:rPr>
        <w:t xml:space="preserve">. Los </w:t>
      </w:r>
      <w:proofErr w:type="spellStart"/>
      <w:r w:rsidR="001734EB" w:rsidRPr="00077437">
        <w:rPr>
          <w:lang w:val="es-VE"/>
        </w:rPr>
        <w:t>CCPCD</w:t>
      </w:r>
      <w:proofErr w:type="spellEnd"/>
      <w:r w:rsidR="001734EB" w:rsidRPr="00077437">
        <w:rPr>
          <w:lang w:val="es-VE"/>
        </w:rPr>
        <w:t xml:space="preserve"> han contribuido en las entregas de ayudas técnicas, así como en el diagnóstico de las necesidades de atención de las </w:t>
      </w:r>
      <w:proofErr w:type="spellStart"/>
      <w:r w:rsidR="001734EB" w:rsidRPr="00077437">
        <w:rPr>
          <w:lang w:val="es-VE"/>
        </w:rPr>
        <w:t>PcD</w:t>
      </w:r>
      <w:proofErr w:type="spellEnd"/>
      <w:r w:rsidR="001734EB" w:rsidRPr="00077437">
        <w:rPr>
          <w:lang w:val="es-VE"/>
        </w:rPr>
        <w:t xml:space="preserve"> y en la formación de los integrantes de la comunidad en materia de derechos de las </w:t>
      </w:r>
      <w:proofErr w:type="spellStart"/>
      <w:r w:rsidR="001734EB" w:rsidRPr="00077437">
        <w:rPr>
          <w:lang w:val="es-VE"/>
        </w:rPr>
        <w:t>PcD</w:t>
      </w:r>
      <w:proofErr w:type="spellEnd"/>
      <w:r w:rsidR="001734EB" w:rsidRPr="00077437">
        <w:rPr>
          <w:lang w:val="es-VE"/>
        </w:rPr>
        <w:t>.</w:t>
      </w:r>
      <w:r w:rsidR="00223132">
        <w:rPr>
          <w:lang w:val="es-VE"/>
        </w:rPr>
        <w:t xml:space="preserve"> </w:t>
      </w:r>
    </w:p>
    <w:p w14:paraId="59538779" w14:textId="77777777" w:rsidR="001734EB" w:rsidRPr="00077437" w:rsidRDefault="00950D81" w:rsidP="00054D51">
      <w:pPr>
        <w:pStyle w:val="H1G"/>
        <w:rPr>
          <w:lang w:val="es-VE"/>
        </w:rPr>
      </w:pPr>
      <w:r>
        <w:tab/>
      </w:r>
      <w:r>
        <w:tab/>
      </w:r>
      <w:r w:rsidR="00C154C7" w:rsidRPr="00F96454">
        <w:t xml:space="preserve">Respuesta </w:t>
      </w:r>
      <w:r w:rsidR="00C154C7">
        <w:t xml:space="preserve">a la </w:t>
      </w:r>
      <w:r w:rsidR="00C154C7">
        <w:rPr>
          <w:lang w:val="es-VE"/>
        </w:rPr>
        <w:t>c</w:t>
      </w:r>
      <w:r w:rsidR="001734EB" w:rsidRPr="00077437">
        <w:rPr>
          <w:lang w:val="es-VE"/>
        </w:rPr>
        <w:t>uestión 21</w:t>
      </w:r>
    </w:p>
    <w:p w14:paraId="74810DD6" w14:textId="77777777" w:rsidR="001734EB" w:rsidRPr="00077437" w:rsidRDefault="00950D81" w:rsidP="00054D51">
      <w:pPr>
        <w:pStyle w:val="SingleTxtG"/>
        <w:rPr>
          <w:lang w:val="es-VE"/>
        </w:rPr>
      </w:pPr>
      <w:r>
        <w:rPr>
          <w:lang w:val="es-VE"/>
        </w:rPr>
        <w:t>82.</w:t>
      </w:r>
      <w:r>
        <w:rPr>
          <w:lang w:val="es-VE"/>
        </w:rPr>
        <w:tab/>
      </w:r>
      <w:r w:rsidR="001734EB" w:rsidRPr="00077437">
        <w:rPr>
          <w:lang w:val="es-VE"/>
        </w:rPr>
        <w:t>El Ministerio del Poder Popular para la Vivienda y el Hábitat (</w:t>
      </w:r>
      <w:proofErr w:type="spellStart"/>
      <w:r w:rsidR="001734EB" w:rsidRPr="00077437">
        <w:rPr>
          <w:lang w:val="es-VE"/>
        </w:rPr>
        <w:t>MPPVH</w:t>
      </w:r>
      <w:proofErr w:type="spellEnd"/>
      <w:r w:rsidR="001734EB" w:rsidRPr="00077437">
        <w:rPr>
          <w:lang w:val="es-VE"/>
        </w:rPr>
        <w:t xml:space="preserve">) ha implementado una política nacional dirigida a garantizar que las viviendas y el hábitat de los urbanismos a construir resulten accesibles para las </w:t>
      </w:r>
      <w:proofErr w:type="spellStart"/>
      <w:r w:rsidR="001734EB" w:rsidRPr="00077437">
        <w:rPr>
          <w:lang w:val="es-VE"/>
        </w:rPr>
        <w:t>PcD</w:t>
      </w:r>
      <w:proofErr w:type="spellEnd"/>
      <w:r w:rsidR="001734EB" w:rsidRPr="00077437">
        <w:rPr>
          <w:lang w:val="es-VE"/>
        </w:rPr>
        <w:t xml:space="preserve">, promoviendo con ello la calidad de vida y la autonomía personal de las </w:t>
      </w:r>
      <w:proofErr w:type="spellStart"/>
      <w:r w:rsidR="001734EB" w:rsidRPr="00077437">
        <w:rPr>
          <w:lang w:val="es-VE"/>
        </w:rPr>
        <w:t>PcD</w:t>
      </w:r>
      <w:proofErr w:type="spellEnd"/>
      <w:r w:rsidR="001734EB" w:rsidRPr="00077437">
        <w:rPr>
          <w:lang w:val="es-VE"/>
        </w:rPr>
        <w:t>.</w:t>
      </w:r>
    </w:p>
    <w:p w14:paraId="15FCC5A1" w14:textId="77777777" w:rsidR="001734EB" w:rsidRPr="00077437" w:rsidRDefault="00950D81" w:rsidP="00054D51">
      <w:pPr>
        <w:pStyle w:val="SingleTxtG"/>
        <w:rPr>
          <w:lang w:val="es-VE"/>
        </w:rPr>
      </w:pPr>
      <w:r>
        <w:rPr>
          <w:lang w:val="es-VE"/>
        </w:rPr>
        <w:t>83.</w:t>
      </w:r>
      <w:r>
        <w:rPr>
          <w:lang w:val="es-VE"/>
        </w:rPr>
        <w:tab/>
      </w:r>
      <w:r w:rsidR="001734EB" w:rsidRPr="00077437">
        <w:rPr>
          <w:lang w:val="es-VE"/>
        </w:rPr>
        <w:t xml:space="preserve">El </w:t>
      </w:r>
      <w:proofErr w:type="spellStart"/>
      <w:r w:rsidR="001734EB" w:rsidRPr="00077437">
        <w:rPr>
          <w:lang w:val="es-VE"/>
        </w:rPr>
        <w:t>MPPVH</w:t>
      </w:r>
      <w:proofErr w:type="spellEnd"/>
      <w:r w:rsidR="001734EB" w:rsidRPr="00077437">
        <w:rPr>
          <w:lang w:val="es-VE"/>
        </w:rPr>
        <w:t xml:space="preserve"> ha diseñado y fomentado las siguientes premisas en atención para las </w:t>
      </w:r>
      <w:proofErr w:type="spellStart"/>
      <w:r w:rsidR="001734EB" w:rsidRPr="00077437">
        <w:rPr>
          <w:lang w:val="es-VE"/>
        </w:rPr>
        <w:t>PcD</w:t>
      </w:r>
      <w:proofErr w:type="spellEnd"/>
      <w:r w:rsidR="001734EB" w:rsidRPr="00077437">
        <w:rPr>
          <w:lang w:val="es-VE"/>
        </w:rPr>
        <w:t xml:space="preserve">: i) Atención a la </w:t>
      </w:r>
      <w:proofErr w:type="spellStart"/>
      <w:r w:rsidR="001734EB" w:rsidRPr="00077437">
        <w:rPr>
          <w:lang w:val="es-VE"/>
        </w:rPr>
        <w:t>PcD</w:t>
      </w:r>
      <w:proofErr w:type="spellEnd"/>
      <w:r w:rsidR="001734EB" w:rsidRPr="00077437">
        <w:rPr>
          <w:lang w:val="es-VE"/>
        </w:rPr>
        <w:t xml:space="preserve"> con discapacidad mediante mecanismos de acceso y financiamiento en la política de vivienda a la Gran Misión Vivienda Venezuela (</w:t>
      </w:r>
      <w:proofErr w:type="spellStart"/>
      <w:r w:rsidR="001734EB" w:rsidRPr="00077437">
        <w:rPr>
          <w:lang w:val="es-VE"/>
        </w:rPr>
        <w:t>GMVV</w:t>
      </w:r>
      <w:proofErr w:type="spellEnd"/>
      <w:r w:rsidR="001734EB" w:rsidRPr="00077437">
        <w:rPr>
          <w:lang w:val="es-VE"/>
        </w:rPr>
        <w:t xml:space="preserve">); </w:t>
      </w:r>
      <w:proofErr w:type="spellStart"/>
      <w:r w:rsidR="001734EB" w:rsidRPr="00077437">
        <w:rPr>
          <w:lang w:val="es-VE"/>
        </w:rPr>
        <w:t>ii</w:t>
      </w:r>
      <w:proofErr w:type="spellEnd"/>
      <w:r w:rsidR="001734EB" w:rsidRPr="00077437">
        <w:rPr>
          <w:lang w:val="es-VE"/>
        </w:rPr>
        <w:t xml:space="preserve">) Accesibilidad a urbanismos, acondicionamiento de edificaciones y viviendas a través del programa de jornadas voluntarias para la adecuación del hábitat sin barreras; </w:t>
      </w:r>
      <w:proofErr w:type="spellStart"/>
      <w:r w:rsidR="001734EB" w:rsidRPr="00077437">
        <w:rPr>
          <w:lang w:val="es-VE"/>
        </w:rPr>
        <w:t>iii</w:t>
      </w:r>
      <w:proofErr w:type="spellEnd"/>
      <w:r w:rsidR="001734EB" w:rsidRPr="00077437">
        <w:rPr>
          <w:lang w:val="es-VE"/>
        </w:rPr>
        <w:t>) Consideraciones de riesgo en los urbanismos</w:t>
      </w:r>
      <w:r w:rsidR="005B4B9E">
        <w:rPr>
          <w:lang w:val="es-VE"/>
        </w:rPr>
        <w:t>,</w:t>
      </w:r>
      <w:r w:rsidR="001734EB" w:rsidRPr="00077437">
        <w:rPr>
          <w:lang w:val="es-VE"/>
        </w:rPr>
        <w:t xml:space="preserve"> y </w:t>
      </w:r>
      <w:proofErr w:type="spellStart"/>
      <w:r w:rsidR="001734EB" w:rsidRPr="00077437">
        <w:rPr>
          <w:lang w:val="es-VE"/>
        </w:rPr>
        <w:t>iv</w:t>
      </w:r>
      <w:proofErr w:type="spellEnd"/>
      <w:r w:rsidR="001734EB" w:rsidRPr="00077437">
        <w:rPr>
          <w:lang w:val="es-VE"/>
        </w:rPr>
        <w:t xml:space="preserve">) Inclusión socio productiva de las </w:t>
      </w:r>
      <w:proofErr w:type="spellStart"/>
      <w:r w:rsidR="001734EB" w:rsidRPr="00077437">
        <w:rPr>
          <w:lang w:val="es-VE"/>
        </w:rPr>
        <w:t>PcD</w:t>
      </w:r>
      <w:proofErr w:type="spellEnd"/>
      <w:r w:rsidR="001734EB" w:rsidRPr="00077437">
        <w:rPr>
          <w:lang w:val="es-VE"/>
        </w:rPr>
        <w:t xml:space="preserve"> en los urbanismos de la </w:t>
      </w:r>
      <w:proofErr w:type="spellStart"/>
      <w:r w:rsidR="001734EB" w:rsidRPr="00077437">
        <w:rPr>
          <w:lang w:val="es-VE"/>
        </w:rPr>
        <w:t>GMVV</w:t>
      </w:r>
      <w:proofErr w:type="spellEnd"/>
      <w:r w:rsidR="001734EB" w:rsidRPr="00077437">
        <w:rPr>
          <w:lang w:val="es-VE"/>
        </w:rPr>
        <w:t xml:space="preserve">. </w:t>
      </w:r>
    </w:p>
    <w:p w14:paraId="1D3660C5" w14:textId="77777777" w:rsidR="001734EB" w:rsidRPr="00077437" w:rsidRDefault="00950D81" w:rsidP="00054D51">
      <w:pPr>
        <w:pStyle w:val="H1G"/>
        <w:rPr>
          <w:lang w:val="es-VE"/>
        </w:rPr>
      </w:pPr>
      <w:r>
        <w:tab/>
      </w:r>
      <w:r>
        <w:tab/>
      </w:r>
      <w:r w:rsidR="00C154C7" w:rsidRPr="00F96454">
        <w:t xml:space="preserve">Respuesta </w:t>
      </w:r>
      <w:r w:rsidR="00C154C7">
        <w:t xml:space="preserve">a la </w:t>
      </w:r>
      <w:r w:rsidR="00C154C7">
        <w:rPr>
          <w:lang w:val="es-VE"/>
        </w:rPr>
        <w:t>c</w:t>
      </w:r>
      <w:r w:rsidR="001734EB" w:rsidRPr="00077437">
        <w:rPr>
          <w:lang w:val="es-VE"/>
        </w:rPr>
        <w:t>uestión 22</w:t>
      </w:r>
    </w:p>
    <w:p w14:paraId="4A2B30A5" w14:textId="77777777" w:rsidR="001734EB" w:rsidRPr="00077437" w:rsidRDefault="00950D81" w:rsidP="00054D51">
      <w:pPr>
        <w:pStyle w:val="SingleTxtG"/>
        <w:rPr>
          <w:lang w:val="es-VE"/>
        </w:rPr>
      </w:pPr>
      <w:r>
        <w:rPr>
          <w:lang w:val="es-VE"/>
        </w:rPr>
        <w:t>84.</w:t>
      </w:r>
      <w:r>
        <w:rPr>
          <w:lang w:val="es-VE"/>
        </w:rPr>
        <w:tab/>
      </w:r>
      <w:r w:rsidR="001734EB" w:rsidRPr="00077437">
        <w:rPr>
          <w:lang w:val="es-VE"/>
        </w:rPr>
        <w:t xml:space="preserve">Los organismos del Estado encargados de la administración de instituciones residenciales mantienen un registro de las </w:t>
      </w:r>
      <w:proofErr w:type="spellStart"/>
      <w:r w:rsidR="001734EB" w:rsidRPr="00077437">
        <w:rPr>
          <w:lang w:val="es-VE"/>
        </w:rPr>
        <w:t>PcD</w:t>
      </w:r>
      <w:proofErr w:type="spellEnd"/>
      <w:r w:rsidR="001734EB" w:rsidRPr="00077437">
        <w:rPr>
          <w:lang w:val="es-VE"/>
        </w:rPr>
        <w:t xml:space="preserve"> que permanecen en estos establecimientos, en consonancia con la política nacional para la garantía de los derechos humanos de este sector de la población. </w:t>
      </w:r>
    </w:p>
    <w:p w14:paraId="75F603ED" w14:textId="77777777" w:rsidR="001734EB" w:rsidRPr="00077437" w:rsidRDefault="00950D81" w:rsidP="00054D51">
      <w:pPr>
        <w:pStyle w:val="H1G"/>
        <w:rPr>
          <w:lang w:val="es-VE"/>
        </w:rPr>
      </w:pPr>
      <w:r>
        <w:rPr>
          <w:lang w:val="es-VE"/>
        </w:rPr>
        <w:tab/>
      </w:r>
      <w:r>
        <w:rPr>
          <w:lang w:val="es-VE"/>
        </w:rPr>
        <w:tab/>
      </w:r>
      <w:r w:rsidR="001734EB" w:rsidRPr="00077437">
        <w:rPr>
          <w:lang w:val="es-VE"/>
        </w:rPr>
        <w:t>Movilidad personal (art. 20)</w:t>
      </w:r>
    </w:p>
    <w:p w14:paraId="7A01A111" w14:textId="77777777" w:rsidR="001734EB" w:rsidRPr="00077437" w:rsidRDefault="00950D81" w:rsidP="00054D51">
      <w:pPr>
        <w:pStyle w:val="H1G"/>
        <w:rPr>
          <w:lang w:val="es-VE"/>
        </w:rPr>
      </w:pPr>
      <w:r>
        <w:tab/>
      </w:r>
      <w:r>
        <w:tab/>
      </w:r>
      <w:r w:rsidR="00C154C7" w:rsidRPr="00F96454">
        <w:t xml:space="preserve">Respuesta </w:t>
      </w:r>
      <w:r w:rsidR="00C154C7">
        <w:t xml:space="preserve">a la </w:t>
      </w:r>
      <w:r w:rsidR="00C154C7">
        <w:rPr>
          <w:lang w:val="es-VE"/>
        </w:rPr>
        <w:t>c</w:t>
      </w:r>
      <w:r w:rsidR="001734EB" w:rsidRPr="00077437">
        <w:rPr>
          <w:lang w:val="es-VE"/>
        </w:rPr>
        <w:t>uestión 23</w:t>
      </w:r>
    </w:p>
    <w:bookmarkEnd w:id="18"/>
    <w:bookmarkEnd w:id="19"/>
    <w:p w14:paraId="2B8D00B0" w14:textId="77777777" w:rsidR="001734EB" w:rsidRPr="00077437" w:rsidRDefault="00950D81" w:rsidP="00054D51">
      <w:pPr>
        <w:pStyle w:val="SingleTxtG"/>
        <w:rPr>
          <w:lang w:val="es-VE"/>
        </w:rPr>
      </w:pPr>
      <w:r>
        <w:rPr>
          <w:lang w:val="es-VE"/>
        </w:rPr>
        <w:t>85.</w:t>
      </w:r>
      <w:r>
        <w:rPr>
          <w:lang w:val="es-VE"/>
        </w:rPr>
        <w:tab/>
      </w:r>
      <w:r w:rsidR="001734EB" w:rsidRPr="00077437">
        <w:rPr>
          <w:lang w:val="es-VE"/>
        </w:rPr>
        <w:t>En el año 2017 la Fundación Misión José Gregorio Hernández (</w:t>
      </w:r>
      <w:proofErr w:type="spellStart"/>
      <w:r w:rsidR="001734EB" w:rsidRPr="00077437">
        <w:rPr>
          <w:lang w:val="es-VE"/>
        </w:rPr>
        <w:t>FMJGH</w:t>
      </w:r>
      <w:proofErr w:type="spellEnd"/>
      <w:r w:rsidR="001734EB" w:rsidRPr="00077437">
        <w:rPr>
          <w:lang w:val="es-VE"/>
        </w:rPr>
        <w:t xml:space="preserve">) inauguró 2 nuevos laboratorios de órtesis y prótesis en los estados Sucre y Vargas. Igualmente, fusionó dos laboratorios ubicados en el Estado Lara. En la actualidad la </w:t>
      </w:r>
      <w:proofErr w:type="spellStart"/>
      <w:r w:rsidR="001734EB" w:rsidRPr="00077437">
        <w:rPr>
          <w:lang w:val="es-VE"/>
        </w:rPr>
        <w:t>FMJGH</w:t>
      </w:r>
      <w:proofErr w:type="spellEnd"/>
      <w:r w:rsidR="001734EB" w:rsidRPr="00077437">
        <w:rPr>
          <w:lang w:val="es-VE"/>
        </w:rPr>
        <w:t xml:space="preserve"> dispone de 12 laboratorios activos en todo el territorio nacional. El </w:t>
      </w:r>
      <w:proofErr w:type="spellStart"/>
      <w:r w:rsidR="001734EB" w:rsidRPr="00077437">
        <w:rPr>
          <w:lang w:val="es-VE"/>
        </w:rPr>
        <w:t>MPPS</w:t>
      </w:r>
      <w:proofErr w:type="spellEnd"/>
      <w:r w:rsidR="001734EB" w:rsidRPr="00077437">
        <w:rPr>
          <w:lang w:val="es-VE"/>
        </w:rPr>
        <w:t xml:space="preserve"> dispone de 7 laboratorios de órtesis y prótesis en todo el territorio nacional. </w:t>
      </w:r>
    </w:p>
    <w:p w14:paraId="5B602EFC" w14:textId="77777777" w:rsidR="001734EB" w:rsidRPr="00077437" w:rsidRDefault="00950D81" w:rsidP="00054D51">
      <w:pPr>
        <w:pStyle w:val="SingleTxtG"/>
        <w:rPr>
          <w:lang w:val="es-VE"/>
        </w:rPr>
      </w:pPr>
      <w:r>
        <w:rPr>
          <w:lang w:val="es-VE"/>
        </w:rPr>
        <w:t>86.</w:t>
      </w:r>
      <w:r>
        <w:rPr>
          <w:lang w:val="es-VE"/>
        </w:rPr>
        <w:tab/>
      </w:r>
      <w:r w:rsidR="001734EB" w:rsidRPr="00077437">
        <w:rPr>
          <w:lang w:val="es-VE"/>
        </w:rPr>
        <w:t xml:space="preserve">Los servicios que se prestan en los laboratorios de órtesis y prótesis para las </w:t>
      </w:r>
      <w:proofErr w:type="spellStart"/>
      <w:r w:rsidR="001734EB" w:rsidRPr="00077437">
        <w:rPr>
          <w:lang w:val="es-VE"/>
        </w:rPr>
        <w:t>PcD</w:t>
      </w:r>
      <w:proofErr w:type="spellEnd"/>
      <w:r w:rsidR="001734EB" w:rsidRPr="00077437">
        <w:rPr>
          <w:lang w:val="es-VE"/>
        </w:rPr>
        <w:t xml:space="preserve"> son totalmente gratuitos. Desde el año 2015 hasta octubre de 2019 en los laboratorios de la </w:t>
      </w:r>
      <w:proofErr w:type="spellStart"/>
      <w:r w:rsidR="001734EB" w:rsidRPr="00077437">
        <w:rPr>
          <w:lang w:val="es-VE"/>
        </w:rPr>
        <w:t>FMJGH</w:t>
      </w:r>
      <w:proofErr w:type="spellEnd"/>
      <w:r w:rsidR="001734EB" w:rsidRPr="00077437">
        <w:rPr>
          <w:lang w:val="es-VE"/>
        </w:rPr>
        <w:t xml:space="preserve"> se han prestado 26.598 atenciones a personas con necesidad de órtesis y prótesis, a través de la confección y reparación de artificios ortopédicos gratuitos. Asimismo, se han confeccionado 7.954 artificios para </w:t>
      </w:r>
      <w:proofErr w:type="spellStart"/>
      <w:r w:rsidR="001734EB" w:rsidRPr="00077437">
        <w:rPr>
          <w:lang w:val="es-VE"/>
        </w:rPr>
        <w:t>PcD</w:t>
      </w:r>
      <w:proofErr w:type="spellEnd"/>
      <w:r w:rsidR="001734EB" w:rsidRPr="00077437">
        <w:rPr>
          <w:lang w:val="es-VE"/>
        </w:rPr>
        <w:t xml:space="preserve"> neuromusculoesquelética, beneficiando a 6.724 </w:t>
      </w:r>
      <w:proofErr w:type="spellStart"/>
      <w:r w:rsidR="001734EB" w:rsidRPr="00077437">
        <w:rPr>
          <w:lang w:val="es-VE"/>
        </w:rPr>
        <w:t>PcD</w:t>
      </w:r>
      <w:proofErr w:type="spellEnd"/>
      <w:r w:rsidR="001734EB" w:rsidRPr="00077437">
        <w:rPr>
          <w:lang w:val="es-VE"/>
        </w:rPr>
        <w:t xml:space="preserve">. </w:t>
      </w:r>
    </w:p>
    <w:p w14:paraId="13F76B97" w14:textId="77777777" w:rsidR="001734EB" w:rsidRPr="00077437" w:rsidRDefault="00950D81" w:rsidP="00054D51">
      <w:pPr>
        <w:pStyle w:val="SingleTxtG"/>
        <w:rPr>
          <w:lang w:val="es-VE"/>
        </w:rPr>
      </w:pPr>
      <w:r>
        <w:rPr>
          <w:lang w:val="es-VE"/>
        </w:rPr>
        <w:t>87.</w:t>
      </w:r>
      <w:r>
        <w:rPr>
          <w:lang w:val="es-VE"/>
        </w:rPr>
        <w:tab/>
      </w:r>
      <w:r w:rsidR="001734EB" w:rsidRPr="00077437">
        <w:rPr>
          <w:lang w:val="es-VE"/>
        </w:rPr>
        <w:t>El proceso de adquisición de insumos y kits protésicos para la confección y reparación de órtesis y prótesis se ha visto afectado negativamente por la imposición de medidas coercitivas unilaterales contra el país, dificultándose su adquisición en el mercado internacional y su posterior importación a Venezuela.</w:t>
      </w:r>
      <w:r w:rsidR="00223132">
        <w:rPr>
          <w:lang w:val="es-VE"/>
        </w:rPr>
        <w:t xml:space="preserve"> </w:t>
      </w:r>
    </w:p>
    <w:p w14:paraId="15E744DE" w14:textId="77777777" w:rsidR="001734EB" w:rsidRPr="00077437" w:rsidRDefault="00950D81" w:rsidP="00054D51">
      <w:pPr>
        <w:pStyle w:val="H1G"/>
        <w:rPr>
          <w:lang w:val="es-VE"/>
        </w:rPr>
      </w:pPr>
      <w:bookmarkStart w:id="20" w:name="OLE_LINK5"/>
      <w:bookmarkStart w:id="21" w:name="OLE_LINK6"/>
      <w:r>
        <w:rPr>
          <w:lang w:val="es-VE"/>
        </w:rPr>
        <w:lastRenderedPageBreak/>
        <w:tab/>
      </w:r>
      <w:r>
        <w:rPr>
          <w:lang w:val="es-VE"/>
        </w:rPr>
        <w:tab/>
      </w:r>
      <w:r w:rsidR="001734EB" w:rsidRPr="00077437">
        <w:rPr>
          <w:lang w:val="es-VE"/>
        </w:rPr>
        <w:t>Libertad de expresión y de opinión y acceso a la información</w:t>
      </w:r>
      <w:r>
        <w:rPr>
          <w:lang w:val="es-VE"/>
        </w:rPr>
        <w:br/>
      </w:r>
      <w:r w:rsidR="001734EB" w:rsidRPr="00077437">
        <w:rPr>
          <w:lang w:val="es-VE"/>
        </w:rPr>
        <w:t>(art. 21)</w:t>
      </w:r>
    </w:p>
    <w:p w14:paraId="6449B749" w14:textId="77777777" w:rsidR="001734EB" w:rsidRPr="00077437" w:rsidRDefault="00950D81" w:rsidP="00054D51">
      <w:pPr>
        <w:pStyle w:val="H1G"/>
        <w:rPr>
          <w:lang w:val="es-VE"/>
        </w:rPr>
      </w:pPr>
      <w:r>
        <w:tab/>
      </w:r>
      <w:r>
        <w:tab/>
      </w:r>
      <w:r w:rsidR="00C154C7" w:rsidRPr="00F96454">
        <w:t xml:space="preserve">Respuesta </w:t>
      </w:r>
      <w:r w:rsidR="00C154C7">
        <w:t xml:space="preserve">a la </w:t>
      </w:r>
      <w:r w:rsidR="00C154C7">
        <w:rPr>
          <w:lang w:val="es-VE"/>
        </w:rPr>
        <w:t>c</w:t>
      </w:r>
      <w:r w:rsidR="001734EB" w:rsidRPr="00077437">
        <w:rPr>
          <w:lang w:val="es-VE"/>
        </w:rPr>
        <w:t>uestión 24</w:t>
      </w:r>
    </w:p>
    <w:bookmarkEnd w:id="20"/>
    <w:bookmarkEnd w:id="21"/>
    <w:p w14:paraId="7B096606" w14:textId="77777777" w:rsidR="001734EB" w:rsidRPr="00077437" w:rsidRDefault="00950D81" w:rsidP="00054D51">
      <w:pPr>
        <w:pStyle w:val="SingleTxtG"/>
        <w:rPr>
          <w:lang w:val="es-VE"/>
        </w:rPr>
      </w:pPr>
      <w:r>
        <w:rPr>
          <w:lang w:val="es-CO"/>
        </w:rPr>
        <w:t>88.</w:t>
      </w:r>
      <w:r>
        <w:rPr>
          <w:lang w:val="es-CO"/>
        </w:rPr>
        <w:tab/>
      </w:r>
      <w:r w:rsidR="001734EB" w:rsidRPr="00077437">
        <w:rPr>
          <w:lang w:val="es-CO"/>
        </w:rPr>
        <w:t xml:space="preserve">A través del </w:t>
      </w:r>
      <w:proofErr w:type="spellStart"/>
      <w:r w:rsidR="001734EB" w:rsidRPr="00077437">
        <w:rPr>
          <w:lang w:val="es-CO"/>
        </w:rPr>
        <w:t>SENACOA</w:t>
      </w:r>
      <w:proofErr w:type="spellEnd"/>
      <w:r w:rsidR="001734EB" w:rsidRPr="00077437">
        <w:rPr>
          <w:lang w:val="es-CO"/>
        </w:rPr>
        <w:t xml:space="preserve"> se ha formado a 5.361 personas en </w:t>
      </w:r>
      <w:proofErr w:type="spellStart"/>
      <w:r w:rsidR="001734EB" w:rsidRPr="00077437">
        <w:rPr>
          <w:lang w:val="es-CO"/>
        </w:rPr>
        <w:t>LSV</w:t>
      </w:r>
      <w:proofErr w:type="spellEnd"/>
      <w:r w:rsidR="001734EB" w:rsidRPr="00077437">
        <w:rPr>
          <w:lang w:val="es-CO"/>
        </w:rPr>
        <w:t xml:space="preserve">, durante el período 2017-2019. En Plan de la Patria 2019-2025 se prevé como meta la incorporación de la enseñanza de la </w:t>
      </w:r>
      <w:proofErr w:type="spellStart"/>
      <w:r w:rsidR="001734EB" w:rsidRPr="00077437">
        <w:rPr>
          <w:lang w:val="es-CO"/>
        </w:rPr>
        <w:t>LSV</w:t>
      </w:r>
      <w:proofErr w:type="spellEnd"/>
      <w:r w:rsidR="001734EB" w:rsidRPr="00077437">
        <w:rPr>
          <w:lang w:val="es-CO"/>
        </w:rPr>
        <w:t xml:space="preserve"> en el 100</w:t>
      </w:r>
      <w:r w:rsidR="001F2819">
        <w:rPr>
          <w:lang w:val="es-CO"/>
        </w:rPr>
        <w:t xml:space="preserve"> </w:t>
      </w:r>
      <w:r w:rsidR="001734EB" w:rsidRPr="00077437">
        <w:rPr>
          <w:lang w:val="es-CO"/>
        </w:rPr>
        <w:t xml:space="preserve">% de las instituciones educativas. </w:t>
      </w:r>
    </w:p>
    <w:p w14:paraId="329BF3B5" w14:textId="77777777" w:rsidR="001734EB" w:rsidRPr="00077437" w:rsidRDefault="00950D81" w:rsidP="00054D51">
      <w:pPr>
        <w:pStyle w:val="SingleTxtG"/>
        <w:rPr>
          <w:lang w:val="es-VE"/>
        </w:rPr>
      </w:pPr>
      <w:r>
        <w:t>89.</w:t>
      </w:r>
      <w:r>
        <w:tab/>
      </w:r>
      <w:r w:rsidR="001734EB" w:rsidRPr="00077437">
        <w:t xml:space="preserve">El 2 de octubre de 2019, la </w:t>
      </w:r>
      <w:proofErr w:type="spellStart"/>
      <w:r w:rsidR="001734EB" w:rsidRPr="00077437">
        <w:t>RBV</w:t>
      </w:r>
      <w:proofErr w:type="spellEnd"/>
      <w:r w:rsidR="001734EB" w:rsidRPr="00077437">
        <w:t xml:space="preserve"> se adhirió al Tratado de Marrakech para “Facilitar el Acceso a las Obras Publicadas a las Personas Ciegas, con Discapacidad Visual o con Otras Dificultades para Acceder al Texto Impreso”, lo que permitirá un avance significativo en materia de accesibilidad e inclusión plena y efectiva de las </w:t>
      </w:r>
      <w:proofErr w:type="spellStart"/>
      <w:r w:rsidR="001734EB" w:rsidRPr="00077437">
        <w:t>PcD</w:t>
      </w:r>
      <w:proofErr w:type="spellEnd"/>
      <w:r w:rsidR="001734EB" w:rsidRPr="00077437">
        <w:t xml:space="preserve">. </w:t>
      </w:r>
    </w:p>
    <w:p w14:paraId="23E14697" w14:textId="77777777" w:rsidR="001734EB" w:rsidRPr="00077437" w:rsidRDefault="00950D81" w:rsidP="00054D51">
      <w:pPr>
        <w:pStyle w:val="SingleTxtG"/>
        <w:rPr>
          <w:lang w:val="es-VE"/>
        </w:rPr>
      </w:pPr>
      <w:r>
        <w:rPr>
          <w:lang w:val="es-VE"/>
        </w:rPr>
        <w:t>90.</w:t>
      </w:r>
      <w:r>
        <w:rPr>
          <w:lang w:val="es-VE"/>
        </w:rPr>
        <w:tab/>
      </w:r>
      <w:r w:rsidR="001734EB" w:rsidRPr="00077437">
        <w:rPr>
          <w:lang w:val="es-VE"/>
        </w:rPr>
        <w:t xml:space="preserve">Se ha continuado con el funcionamiento de la imprenta venezolana del Braille </w:t>
      </w:r>
      <w:r w:rsidR="001734EB" w:rsidRPr="00077437">
        <w:rPr>
          <w:i/>
          <w:lang w:val="es-VE"/>
        </w:rPr>
        <w:t xml:space="preserve">“Simón Bolívar”, </w:t>
      </w:r>
      <w:r w:rsidR="001734EB" w:rsidRPr="00077437">
        <w:rPr>
          <w:lang w:val="es-VE"/>
        </w:rPr>
        <w:t>así como con</w:t>
      </w:r>
      <w:r w:rsidR="001734EB" w:rsidRPr="00077437">
        <w:rPr>
          <w:i/>
          <w:lang w:val="es-VE"/>
        </w:rPr>
        <w:t xml:space="preserve"> </w:t>
      </w:r>
      <w:r w:rsidR="001734EB" w:rsidRPr="00077437">
        <w:rPr>
          <w:lang w:val="es-VE"/>
        </w:rPr>
        <w:t>el Servicio para Personas con Discapacidad Visual (</w:t>
      </w:r>
      <w:proofErr w:type="spellStart"/>
      <w:r w:rsidR="001734EB" w:rsidRPr="00077437">
        <w:rPr>
          <w:lang w:val="es-VE"/>
        </w:rPr>
        <w:t>SPDV</w:t>
      </w:r>
      <w:proofErr w:type="spellEnd"/>
      <w:r w:rsidR="001734EB" w:rsidRPr="00077437">
        <w:rPr>
          <w:lang w:val="es-VE"/>
        </w:rPr>
        <w:t>), adscrito al</w:t>
      </w:r>
      <w:r w:rsidR="001734EB" w:rsidRPr="00077437">
        <w:rPr>
          <w:bCs/>
          <w:lang w:val="es-VE"/>
        </w:rPr>
        <w:t xml:space="preserve"> Instituto Autónomo Biblioteca Nacional y Servicios de Bibliotecas (</w:t>
      </w:r>
      <w:proofErr w:type="spellStart"/>
      <w:r w:rsidR="001734EB" w:rsidRPr="00077437">
        <w:rPr>
          <w:bCs/>
          <w:lang w:val="es-VE"/>
        </w:rPr>
        <w:t>BNV</w:t>
      </w:r>
      <w:proofErr w:type="spellEnd"/>
      <w:r w:rsidR="001734EB" w:rsidRPr="00077437">
        <w:rPr>
          <w:bCs/>
          <w:lang w:val="es-VE"/>
        </w:rPr>
        <w:t>).</w:t>
      </w:r>
      <w:r w:rsidR="00223132">
        <w:rPr>
          <w:bCs/>
          <w:lang w:val="es-VE"/>
        </w:rPr>
        <w:t xml:space="preserve"> </w:t>
      </w:r>
      <w:r w:rsidR="001734EB" w:rsidRPr="00077437">
        <w:rPr>
          <w:bCs/>
          <w:lang w:val="es-VE"/>
        </w:rPr>
        <w:t xml:space="preserve">La Fundación Infocentro dispone de </w:t>
      </w:r>
      <w:r w:rsidR="001734EB" w:rsidRPr="00077437">
        <w:rPr>
          <w:lang w:val="es-VE"/>
        </w:rPr>
        <w:t xml:space="preserve">salas adaptadas para las </w:t>
      </w:r>
      <w:proofErr w:type="spellStart"/>
      <w:r w:rsidR="001734EB" w:rsidRPr="00077437">
        <w:rPr>
          <w:lang w:val="es-VE"/>
        </w:rPr>
        <w:t>PcD</w:t>
      </w:r>
      <w:proofErr w:type="spellEnd"/>
      <w:r w:rsidR="001734EB" w:rsidRPr="00077437">
        <w:rPr>
          <w:lang w:val="es-VE"/>
        </w:rPr>
        <w:t xml:space="preserve"> visual, dotadas de computadoras con lectores de pantalla, circuito cerrado de magnificación para facilitar la lectura a las personas con baja visión, impresoras Braille, maquinas inteligentes de lecturas, las cuales digitalizan textos impresos en tinta y los transforman en formato digital y en audio. </w:t>
      </w:r>
    </w:p>
    <w:p w14:paraId="145DCE8C" w14:textId="77777777" w:rsidR="001734EB" w:rsidRPr="00077437" w:rsidRDefault="00950D81" w:rsidP="00054D51">
      <w:pPr>
        <w:pStyle w:val="SingleTxtG"/>
        <w:rPr>
          <w:lang w:val="es-VE"/>
        </w:rPr>
      </w:pPr>
      <w:r>
        <w:rPr>
          <w:lang w:val="es-VE"/>
        </w:rPr>
        <w:t>91.</w:t>
      </w:r>
      <w:r>
        <w:rPr>
          <w:lang w:val="es-VE"/>
        </w:rPr>
        <w:tab/>
      </w:r>
      <w:r w:rsidR="001734EB" w:rsidRPr="00077437">
        <w:rPr>
          <w:lang w:val="es-VE"/>
        </w:rPr>
        <w:t xml:space="preserve">La </w:t>
      </w:r>
      <w:r w:rsidR="001734EB" w:rsidRPr="00077437">
        <w:t>Ley de Responsabilidad Social en Radio, Televisión y Medios Electrónicos (</w:t>
      </w:r>
      <w:proofErr w:type="spellStart"/>
      <w:r w:rsidR="001734EB" w:rsidRPr="00077437">
        <w:t>LRSRTME</w:t>
      </w:r>
      <w:proofErr w:type="spellEnd"/>
      <w:r w:rsidR="001734EB" w:rsidRPr="00077437">
        <w:t xml:space="preserve">) contempla la obligación de incorporar subtítulos, traducción a la </w:t>
      </w:r>
      <w:proofErr w:type="spellStart"/>
      <w:r w:rsidR="001734EB" w:rsidRPr="00077437">
        <w:t>LSV</w:t>
      </w:r>
      <w:proofErr w:type="spellEnd"/>
      <w:r w:rsidR="001734EB" w:rsidRPr="00077437">
        <w:t xml:space="preserve"> u otras medidas necesarias que garanticen la integración de </w:t>
      </w:r>
      <w:proofErr w:type="spellStart"/>
      <w:r w:rsidR="001734EB" w:rsidRPr="00077437">
        <w:t>PcD</w:t>
      </w:r>
      <w:proofErr w:type="spellEnd"/>
      <w:r w:rsidR="001734EB" w:rsidRPr="00077437">
        <w:t xml:space="preserve"> auditiva, especialmente en los programas culturales, educativos e informativos. Esta obligación está regulada en la Providencia Administrativa </w:t>
      </w:r>
      <w:proofErr w:type="spellStart"/>
      <w:r w:rsidR="001734EB" w:rsidRPr="00077437">
        <w:t>N</w:t>
      </w:r>
      <w:r w:rsidR="001F2819">
        <w:t>º</w:t>
      </w:r>
      <w:proofErr w:type="spellEnd"/>
      <w:r w:rsidR="001734EB" w:rsidRPr="00077437">
        <w:t xml:space="preserve"> 866 contentiva de las Normas Técnicas para la Integración de Personas con Discapacidad Auditiva para la Recepción de los Mensajes Difundidos por los Prestadores de</w:t>
      </w:r>
      <w:r w:rsidR="000A0878">
        <w:t xml:space="preserve"> Servicio de Televisión Abierta</w:t>
      </w:r>
      <w:r w:rsidR="001734EB" w:rsidRPr="00054D51">
        <w:rPr>
          <w:sz w:val="18"/>
          <w:vertAlign w:val="superscript"/>
        </w:rPr>
        <w:footnoteReference w:id="28"/>
      </w:r>
      <w:r w:rsidR="000A0878">
        <w:t>.</w:t>
      </w:r>
      <w:r w:rsidR="001734EB" w:rsidRPr="00077437">
        <w:t xml:space="preserve"> El incumplimiento de esta obligación es sancionado con la cesión de espacios para la difusión de mensajes educativos, conforme al artículo </w:t>
      </w:r>
      <w:proofErr w:type="spellStart"/>
      <w:r w:rsidR="001734EB" w:rsidRPr="00077437">
        <w:t>28.1.a</w:t>
      </w:r>
      <w:proofErr w:type="spellEnd"/>
      <w:r w:rsidR="001734EB" w:rsidRPr="00077437">
        <w:t xml:space="preserve"> de la </w:t>
      </w:r>
      <w:proofErr w:type="spellStart"/>
      <w:r w:rsidR="001734EB" w:rsidRPr="00077437">
        <w:t>LRSRTME</w:t>
      </w:r>
      <w:proofErr w:type="spellEnd"/>
      <w:r w:rsidR="001734EB" w:rsidRPr="00077437">
        <w:t xml:space="preserve">. </w:t>
      </w:r>
    </w:p>
    <w:p w14:paraId="6DC99378" w14:textId="77777777" w:rsidR="001734EB" w:rsidRPr="00077437" w:rsidRDefault="00950D81" w:rsidP="00054D51">
      <w:pPr>
        <w:pStyle w:val="H1G"/>
        <w:rPr>
          <w:lang w:val="es-VE"/>
        </w:rPr>
      </w:pPr>
      <w:r>
        <w:rPr>
          <w:lang w:val="es-VE"/>
        </w:rPr>
        <w:tab/>
      </w:r>
      <w:r>
        <w:rPr>
          <w:lang w:val="es-VE"/>
        </w:rPr>
        <w:tab/>
      </w:r>
      <w:r w:rsidR="001734EB" w:rsidRPr="00077437">
        <w:rPr>
          <w:lang w:val="es-VE"/>
        </w:rPr>
        <w:t>Respeto del hogar y de la familia (art. 23)</w:t>
      </w:r>
    </w:p>
    <w:p w14:paraId="692B4ECA" w14:textId="77777777" w:rsidR="001734EB" w:rsidRPr="00077437" w:rsidRDefault="00950D81" w:rsidP="00054D51">
      <w:pPr>
        <w:pStyle w:val="H1G"/>
        <w:rPr>
          <w:lang w:val="es-VE"/>
        </w:rPr>
      </w:pPr>
      <w:r>
        <w:tab/>
      </w:r>
      <w:r>
        <w:tab/>
      </w:r>
      <w:r w:rsidR="00C154C7" w:rsidRPr="00F96454">
        <w:t xml:space="preserve">Respuesta </w:t>
      </w:r>
      <w:r w:rsidR="00C154C7">
        <w:t xml:space="preserve">a la </w:t>
      </w:r>
      <w:r w:rsidR="00C154C7">
        <w:rPr>
          <w:lang w:val="es-VE"/>
        </w:rPr>
        <w:t>c</w:t>
      </w:r>
      <w:r w:rsidR="001734EB" w:rsidRPr="00077437">
        <w:rPr>
          <w:lang w:val="es-VE"/>
        </w:rPr>
        <w:t xml:space="preserve">uestión 25 </w:t>
      </w:r>
    </w:p>
    <w:p w14:paraId="3D7A8050" w14:textId="77777777" w:rsidR="001734EB" w:rsidRPr="00077437" w:rsidRDefault="00950D81" w:rsidP="00054D51">
      <w:pPr>
        <w:pStyle w:val="SingleTxtG"/>
        <w:rPr>
          <w:b/>
          <w:lang w:val="es-VE"/>
        </w:rPr>
      </w:pPr>
      <w:r>
        <w:rPr>
          <w:lang w:val="es-VE"/>
        </w:rPr>
        <w:t>92.</w:t>
      </w:r>
      <w:r>
        <w:rPr>
          <w:lang w:val="es-VE"/>
        </w:rPr>
        <w:tab/>
      </w:r>
      <w:r w:rsidR="001734EB" w:rsidRPr="00077437">
        <w:rPr>
          <w:lang w:val="es-VE"/>
        </w:rPr>
        <w:t xml:space="preserve">En la </w:t>
      </w:r>
      <w:proofErr w:type="spellStart"/>
      <w:r w:rsidR="001734EB" w:rsidRPr="00077437">
        <w:rPr>
          <w:lang w:val="es-VE"/>
        </w:rPr>
        <w:t>RBV</w:t>
      </w:r>
      <w:proofErr w:type="spellEnd"/>
      <w:r w:rsidR="001734EB" w:rsidRPr="00077437">
        <w:rPr>
          <w:lang w:val="es-VE"/>
        </w:rPr>
        <w:t xml:space="preserve"> </w:t>
      </w:r>
      <w:r w:rsidR="001734EB" w:rsidRPr="00077437">
        <w:rPr>
          <w:lang w:val="es-CO"/>
        </w:rPr>
        <w:t xml:space="preserve">se reconoce el derecho de las </w:t>
      </w:r>
      <w:proofErr w:type="spellStart"/>
      <w:r w:rsidR="001734EB" w:rsidRPr="00077437">
        <w:rPr>
          <w:lang w:val="es-CO"/>
        </w:rPr>
        <w:t>PcD</w:t>
      </w:r>
      <w:proofErr w:type="spellEnd"/>
      <w:r w:rsidR="001734EB" w:rsidRPr="00077437">
        <w:rPr>
          <w:lang w:val="es-CO"/>
        </w:rPr>
        <w:t xml:space="preserve"> en edad de contraer matrimonio, a casarse y fundar una familia sobre la base del consentimiento libre y pleno ejercicio de sus derechos. La Ley Orgánica de Registro Civil</w:t>
      </w:r>
      <w:r w:rsidR="001734EB" w:rsidRPr="00054D51">
        <w:rPr>
          <w:sz w:val="18"/>
          <w:vertAlign w:val="superscript"/>
          <w:lang w:val="es-CO"/>
        </w:rPr>
        <w:footnoteReference w:id="29"/>
      </w:r>
      <w:r w:rsidR="001734EB" w:rsidRPr="00077437">
        <w:rPr>
          <w:lang w:val="es-CO"/>
        </w:rPr>
        <w:t xml:space="preserve"> en su artículo 104 prevé que el consentimiento matrimonial de las </w:t>
      </w:r>
      <w:proofErr w:type="spellStart"/>
      <w:r w:rsidR="001734EB" w:rsidRPr="00077437">
        <w:rPr>
          <w:lang w:val="es-CO"/>
        </w:rPr>
        <w:t>PcD</w:t>
      </w:r>
      <w:proofErr w:type="spellEnd"/>
      <w:r w:rsidR="001734EB" w:rsidRPr="00077437">
        <w:rPr>
          <w:lang w:val="es-CO"/>
        </w:rPr>
        <w:t xml:space="preserve"> auditiva o visual se hará constar por escrito o a través de la </w:t>
      </w:r>
      <w:proofErr w:type="spellStart"/>
      <w:r w:rsidR="001734EB" w:rsidRPr="00077437">
        <w:rPr>
          <w:lang w:val="es-CO"/>
        </w:rPr>
        <w:t>LSV</w:t>
      </w:r>
      <w:proofErr w:type="spellEnd"/>
      <w:r w:rsidR="001734EB" w:rsidRPr="00077437">
        <w:rPr>
          <w:lang w:val="es-CO"/>
        </w:rPr>
        <w:t xml:space="preserve">. </w:t>
      </w:r>
    </w:p>
    <w:p w14:paraId="1F994A3E" w14:textId="77777777" w:rsidR="001734EB" w:rsidRPr="00077437" w:rsidRDefault="00950D81" w:rsidP="00054D51">
      <w:pPr>
        <w:pStyle w:val="SingleTxtG"/>
        <w:rPr>
          <w:b/>
          <w:lang w:val="es-VE"/>
        </w:rPr>
      </w:pPr>
      <w:r>
        <w:rPr>
          <w:lang w:val="es-CO"/>
        </w:rPr>
        <w:t>93.</w:t>
      </w:r>
      <w:r>
        <w:rPr>
          <w:lang w:val="es-CO"/>
        </w:rPr>
        <w:tab/>
      </w:r>
      <w:r w:rsidR="001734EB" w:rsidRPr="00077437">
        <w:rPr>
          <w:lang w:val="es-CO"/>
        </w:rPr>
        <w:t>El Programa de Orientación Familiar (</w:t>
      </w:r>
      <w:proofErr w:type="spellStart"/>
      <w:r w:rsidR="001734EB" w:rsidRPr="00077437">
        <w:rPr>
          <w:lang w:val="es-CO"/>
        </w:rPr>
        <w:t>POF</w:t>
      </w:r>
      <w:proofErr w:type="spellEnd"/>
      <w:r w:rsidR="001734EB" w:rsidRPr="00077437">
        <w:rPr>
          <w:lang w:val="es-CO"/>
        </w:rPr>
        <w:t xml:space="preserve">) ofrece orientación y atención integral a las </w:t>
      </w:r>
      <w:proofErr w:type="spellStart"/>
      <w:r w:rsidR="001734EB" w:rsidRPr="00077437">
        <w:rPr>
          <w:lang w:val="es-CO"/>
        </w:rPr>
        <w:t>PcD</w:t>
      </w:r>
      <w:proofErr w:type="spellEnd"/>
      <w:r w:rsidR="001734EB" w:rsidRPr="00077437">
        <w:rPr>
          <w:lang w:val="es-CO"/>
        </w:rPr>
        <w:t xml:space="preserve"> y su grupo familiar. Se diseñan sesiones terapéuticas de manera individual y grupal, en las áreas de Psicología, Psicopedagogía, Trabajo Social y terapia ocupacional, entre otras. Este programa es atendido por un equipo interdisciplinario que hace un abordaje con sus especialistas en el área. Se implementan planes de acción para abordar el fortalecimiento familiar y relaciones interpersonales, mejoramiento de los sistemas de comunicación, relaciones de pareja, matrimonio y el derecho a la salud sexual y reproductiva, entre otros. A través del programa se han atendido 17.740 </w:t>
      </w:r>
      <w:proofErr w:type="spellStart"/>
      <w:r w:rsidR="001734EB" w:rsidRPr="00077437">
        <w:rPr>
          <w:lang w:val="es-CO"/>
        </w:rPr>
        <w:t>PcD</w:t>
      </w:r>
      <w:proofErr w:type="spellEnd"/>
    </w:p>
    <w:p w14:paraId="56C1E372" w14:textId="77777777" w:rsidR="001734EB" w:rsidRPr="000A0878" w:rsidRDefault="001734EB" w:rsidP="004E5744">
      <w:pPr>
        <w:pStyle w:val="Ttulo1"/>
      </w:pPr>
      <w:r w:rsidRPr="000A0878">
        <w:lastRenderedPageBreak/>
        <w:t>Tabla 8</w:t>
      </w:r>
    </w:p>
    <w:p w14:paraId="673F6BB9" w14:textId="77777777" w:rsidR="001734EB" w:rsidRPr="007B47F6" w:rsidRDefault="00950D81" w:rsidP="00054D51">
      <w:pPr>
        <w:pStyle w:val="H23G"/>
        <w:spacing w:before="0"/>
        <w:rPr>
          <w:lang w:val="es-VE"/>
        </w:rPr>
      </w:pPr>
      <w:r>
        <w:rPr>
          <w:lang w:val="es-VE"/>
        </w:rPr>
        <w:tab/>
      </w:r>
      <w:r>
        <w:rPr>
          <w:lang w:val="es-VE"/>
        </w:rPr>
        <w:tab/>
      </w:r>
      <w:proofErr w:type="spellStart"/>
      <w:r w:rsidR="001734EB" w:rsidRPr="007B47F6">
        <w:rPr>
          <w:lang w:val="es-VE"/>
        </w:rPr>
        <w:t>PcD</w:t>
      </w:r>
      <w:proofErr w:type="spellEnd"/>
      <w:r w:rsidR="001734EB" w:rsidRPr="007B47F6">
        <w:rPr>
          <w:lang w:val="es-VE"/>
        </w:rPr>
        <w:t xml:space="preserve"> atendidas en </w:t>
      </w:r>
      <w:r w:rsidR="001734EB" w:rsidRPr="007B47F6">
        <w:rPr>
          <w:bCs/>
          <w:lang w:val="es-CO"/>
        </w:rPr>
        <w:t>Programa de Orientación Familiar</w:t>
      </w:r>
      <w:r w:rsidR="007B47F6" w:rsidRPr="007B47F6">
        <w:rPr>
          <w:bCs/>
          <w:lang w:val="es-CO"/>
        </w:rPr>
        <w:t xml:space="preserve"> </w:t>
      </w:r>
      <w:r>
        <w:rPr>
          <w:bCs/>
          <w:lang w:val="es-CO"/>
        </w:rPr>
        <w:t>—</w:t>
      </w:r>
      <w:proofErr w:type="spellStart"/>
      <w:r w:rsidR="001734EB" w:rsidRPr="007B47F6">
        <w:rPr>
          <w:lang w:val="es-VE"/>
        </w:rPr>
        <w:t>CONAPDIS</w:t>
      </w:r>
      <w:proofErr w:type="spellEnd"/>
      <w:r>
        <w:rPr>
          <w:lang w:val="es-VE"/>
        </w:rPr>
        <w:t>—</w:t>
      </w:r>
      <w:r w:rsidR="007B47F6" w:rsidRPr="007B47F6">
        <w:rPr>
          <w:lang w:val="es-VE"/>
        </w:rPr>
        <w:t xml:space="preserve"> </w:t>
      </w:r>
      <w:r w:rsidR="001734EB" w:rsidRPr="007B47F6">
        <w:rPr>
          <w:lang w:val="es-VE"/>
        </w:rPr>
        <w:t>2015-2019</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1885"/>
        <w:gridCol w:w="1891"/>
        <w:gridCol w:w="1797"/>
        <w:gridCol w:w="1797"/>
      </w:tblGrid>
      <w:tr w:rsidR="00950D81" w:rsidRPr="00950D81" w14:paraId="287C6F5A" w14:textId="77777777" w:rsidTr="00054D51">
        <w:trPr>
          <w:trHeight w:val="240"/>
          <w:tblHeader/>
        </w:trPr>
        <w:tc>
          <w:tcPr>
            <w:tcW w:w="1885" w:type="dxa"/>
            <w:tcBorders>
              <w:top w:val="single" w:sz="4" w:space="0" w:color="auto"/>
              <w:bottom w:val="single" w:sz="12" w:space="0" w:color="auto"/>
            </w:tcBorders>
            <w:shd w:val="clear" w:color="auto" w:fill="auto"/>
            <w:vAlign w:val="bottom"/>
          </w:tcPr>
          <w:p w14:paraId="071473D9" w14:textId="77777777" w:rsidR="001734EB" w:rsidRPr="004E5744" w:rsidRDefault="001734EB" w:rsidP="00054D51">
            <w:pPr>
              <w:pStyle w:val="SingleTxtG"/>
              <w:spacing w:before="80" w:after="80" w:line="200" w:lineRule="exact"/>
              <w:ind w:left="0" w:right="0"/>
              <w:jc w:val="left"/>
              <w:rPr>
                <w:i/>
                <w:sz w:val="16"/>
                <w:lang w:val="es-VE"/>
              </w:rPr>
            </w:pPr>
            <w:r w:rsidRPr="004E5744">
              <w:rPr>
                <w:i/>
                <w:sz w:val="16"/>
                <w:lang w:val="es-VE"/>
              </w:rPr>
              <w:t>Año</w:t>
            </w:r>
          </w:p>
        </w:tc>
        <w:tc>
          <w:tcPr>
            <w:tcW w:w="1891" w:type="dxa"/>
            <w:tcBorders>
              <w:top w:val="single" w:sz="4" w:space="0" w:color="auto"/>
              <w:bottom w:val="single" w:sz="12" w:space="0" w:color="auto"/>
            </w:tcBorders>
            <w:shd w:val="clear" w:color="auto" w:fill="auto"/>
            <w:vAlign w:val="bottom"/>
          </w:tcPr>
          <w:p w14:paraId="36AD04EE" w14:textId="77777777" w:rsidR="001734EB" w:rsidRPr="004E5744" w:rsidRDefault="001734EB" w:rsidP="00054D51">
            <w:pPr>
              <w:pStyle w:val="SingleTxtG"/>
              <w:spacing w:before="80" w:after="80" w:line="200" w:lineRule="exact"/>
              <w:ind w:left="113" w:right="0"/>
              <w:jc w:val="right"/>
              <w:rPr>
                <w:i/>
                <w:sz w:val="16"/>
                <w:lang w:val="es-VE"/>
              </w:rPr>
            </w:pPr>
            <w:r w:rsidRPr="004E5744">
              <w:rPr>
                <w:i/>
                <w:sz w:val="16"/>
                <w:lang w:val="es-VE"/>
              </w:rPr>
              <w:t>Hombre</w:t>
            </w:r>
          </w:p>
        </w:tc>
        <w:tc>
          <w:tcPr>
            <w:tcW w:w="1797" w:type="dxa"/>
            <w:tcBorders>
              <w:top w:val="single" w:sz="4" w:space="0" w:color="auto"/>
              <w:bottom w:val="single" w:sz="12" w:space="0" w:color="auto"/>
            </w:tcBorders>
            <w:shd w:val="clear" w:color="auto" w:fill="auto"/>
            <w:vAlign w:val="bottom"/>
          </w:tcPr>
          <w:p w14:paraId="26A2E1AC" w14:textId="77777777" w:rsidR="001734EB" w:rsidRPr="00950D81" w:rsidRDefault="001734EB" w:rsidP="00054D51">
            <w:pPr>
              <w:pStyle w:val="SingleTxtG"/>
              <w:spacing w:before="80" w:after="80" w:line="200" w:lineRule="exact"/>
              <w:ind w:left="113" w:right="0"/>
              <w:jc w:val="right"/>
              <w:rPr>
                <w:i/>
                <w:sz w:val="16"/>
                <w:lang w:val="es-VE"/>
              </w:rPr>
            </w:pPr>
            <w:r w:rsidRPr="00950D81">
              <w:rPr>
                <w:i/>
                <w:sz w:val="16"/>
                <w:lang w:val="es-VE"/>
              </w:rPr>
              <w:t>Mujer</w:t>
            </w:r>
          </w:p>
        </w:tc>
        <w:tc>
          <w:tcPr>
            <w:tcW w:w="1797" w:type="dxa"/>
            <w:tcBorders>
              <w:top w:val="single" w:sz="4" w:space="0" w:color="auto"/>
              <w:bottom w:val="single" w:sz="12" w:space="0" w:color="auto"/>
            </w:tcBorders>
            <w:shd w:val="clear" w:color="auto" w:fill="auto"/>
            <w:vAlign w:val="bottom"/>
          </w:tcPr>
          <w:p w14:paraId="51B85AB3" w14:textId="77777777" w:rsidR="001734EB" w:rsidRPr="00054D51" w:rsidRDefault="001734EB" w:rsidP="00054D51">
            <w:pPr>
              <w:pStyle w:val="SingleTxtG"/>
              <w:spacing w:before="80" w:after="80" w:line="200" w:lineRule="exact"/>
              <w:ind w:left="113" w:right="0"/>
              <w:jc w:val="right"/>
              <w:rPr>
                <w:i/>
                <w:sz w:val="16"/>
                <w:lang w:val="es-VE"/>
              </w:rPr>
            </w:pPr>
            <w:r w:rsidRPr="00054D51">
              <w:rPr>
                <w:i/>
                <w:sz w:val="16"/>
                <w:lang w:val="es-VE"/>
              </w:rPr>
              <w:t>Total</w:t>
            </w:r>
          </w:p>
        </w:tc>
      </w:tr>
      <w:tr w:rsidR="00950D81" w:rsidRPr="00950D81" w14:paraId="3EF04FF2" w14:textId="77777777" w:rsidTr="00054D51">
        <w:trPr>
          <w:trHeight w:val="240"/>
        </w:trPr>
        <w:tc>
          <w:tcPr>
            <w:tcW w:w="1885" w:type="dxa"/>
            <w:tcBorders>
              <w:top w:val="single" w:sz="12" w:space="0" w:color="auto"/>
            </w:tcBorders>
            <w:shd w:val="clear" w:color="auto" w:fill="auto"/>
          </w:tcPr>
          <w:p w14:paraId="48C89FDE" w14:textId="77777777" w:rsidR="001734EB" w:rsidRPr="004E5744" w:rsidRDefault="001734EB" w:rsidP="00054D51">
            <w:pPr>
              <w:pStyle w:val="SingleTxtG"/>
              <w:spacing w:before="40" w:after="40" w:line="220" w:lineRule="exact"/>
              <w:ind w:left="0" w:right="0"/>
              <w:jc w:val="left"/>
              <w:rPr>
                <w:sz w:val="18"/>
                <w:lang w:val="es-VE"/>
              </w:rPr>
            </w:pPr>
            <w:r w:rsidRPr="004E5744">
              <w:rPr>
                <w:sz w:val="18"/>
                <w:lang w:val="es-VE"/>
              </w:rPr>
              <w:t>2015</w:t>
            </w:r>
          </w:p>
        </w:tc>
        <w:tc>
          <w:tcPr>
            <w:tcW w:w="1891" w:type="dxa"/>
            <w:tcBorders>
              <w:top w:val="single" w:sz="12" w:space="0" w:color="auto"/>
            </w:tcBorders>
            <w:shd w:val="clear" w:color="auto" w:fill="auto"/>
            <w:vAlign w:val="bottom"/>
          </w:tcPr>
          <w:p w14:paraId="53A9EF20" w14:textId="77777777" w:rsidR="001734EB" w:rsidRPr="004E5744" w:rsidRDefault="001734EB" w:rsidP="00054D51">
            <w:pPr>
              <w:pStyle w:val="SingleTxtG"/>
              <w:spacing w:before="40" w:after="40" w:line="220" w:lineRule="exact"/>
              <w:ind w:left="113" w:right="0"/>
              <w:jc w:val="right"/>
              <w:rPr>
                <w:sz w:val="18"/>
                <w:lang w:val="es-VE"/>
              </w:rPr>
            </w:pPr>
            <w:r w:rsidRPr="004E5744">
              <w:rPr>
                <w:sz w:val="18"/>
                <w:lang w:val="es-VE"/>
              </w:rPr>
              <w:t>1</w:t>
            </w:r>
            <w:r w:rsidR="00950D81">
              <w:rPr>
                <w:sz w:val="18"/>
                <w:lang w:val="es-VE"/>
              </w:rPr>
              <w:t xml:space="preserve"> </w:t>
            </w:r>
            <w:r w:rsidRPr="004E5744">
              <w:rPr>
                <w:sz w:val="18"/>
                <w:lang w:val="es-VE"/>
              </w:rPr>
              <w:t>494</w:t>
            </w:r>
          </w:p>
        </w:tc>
        <w:tc>
          <w:tcPr>
            <w:tcW w:w="1797" w:type="dxa"/>
            <w:tcBorders>
              <w:top w:val="single" w:sz="12" w:space="0" w:color="auto"/>
            </w:tcBorders>
            <w:shd w:val="clear" w:color="auto" w:fill="auto"/>
            <w:vAlign w:val="bottom"/>
          </w:tcPr>
          <w:p w14:paraId="3947728C" w14:textId="77777777" w:rsidR="001734EB" w:rsidRPr="004E5744" w:rsidRDefault="001734EB" w:rsidP="00054D51">
            <w:pPr>
              <w:pStyle w:val="SingleTxtG"/>
              <w:spacing w:before="40" w:after="40" w:line="220" w:lineRule="exact"/>
              <w:ind w:left="113" w:right="0"/>
              <w:jc w:val="right"/>
              <w:rPr>
                <w:sz w:val="18"/>
                <w:lang w:val="es-VE"/>
              </w:rPr>
            </w:pPr>
            <w:r w:rsidRPr="004E5744">
              <w:rPr>
                <w:sz w:val="18"/>
                <w:lang w:val="es-VE"/>
              </w:rPr>
              <w:t>2</w:t>
            </w:r>
            <w:r w:rsidR="00950D81">
              <w:rPr>
                <w:sz w:val="18"/>
                <w:lang w:val="es-VE"/>
              </w:rPr>
              <w:t xml:space="preserve"> </w:t>
            </w:r>
            <w:r w:rsidRPr="004E5744">
              <w:rPr>
                <w:sz w:val="18"/>
                <w:lang w:val="es-VE"/>
              </w:rPr>
              <w:t>659</w:t>
            </w:r>
          </w:p>
        </w:tc>
        <w:tc>
          <w:tcPr>
            <w:tcW w:w="1797" w:type="dxa"/>
            <w:tcBorders>
              <w:top w:val="single" w:sz="12" w:space="0" w:color="auto"/>
            </w:tcBorders>
            <w:shd w:val="clear" w:color="auto" w:fill="auto"/>
            <w:vAlign w:val="bottom"/>
          </w:tcPr>
          <w:p w14:paraId="0502291F" w14:textId="77777777" w:rsidR="001734EB" w:rsidRPr="004E5744" w:rsidRDefault="001734EB" w:rsidP="00054D51">
            <w:pPr>
              <w:pStyle w:val="SingleTxtG"/>
              <w:spacing w:before="40" w:after="40" w:line="220" w:lineRule="exact"/>
              <w:ind w:left="113" w:right="0"/>
              <w:jc w:val="right"/>
              <w:rPr>
                <w:sz w:val="18"/>
                <w:lang w:val="es-VE"/>
              </w:rPr>
            </w:pPr>
            <w:r w:rsidRPr="004E5744">
              <w:rPr>
                <w:sz w:val="18"/>
                <w:lang w:val="es-VE"/>
              </w:rPr>
              <w:t>4</w:t>
            </w:r>
            <w:r w:rsidR="00950D81">
              <w:rPr>
                <w:sz w:val="18"/>
                <w:lang w:val="es-VE"/>
              </w:rPr>
              <w:t xml:space="preserve"> </w:t>
            </w:r>
            <w:r w:rsidRPr="004E5744">
              <w:rPr>
                <w:sz w:val="18"/>
                <w:lang w:val="es-VE"/>
              </w:rPr>
              <w:t>153</w:t>
            </w:r>
          </w:p>
        </w:tc>
      </w:tr>
      <w:tr w:rsidR="00950D81" w:rsidRPr="00950D81" w14:paraId="3BA36B3E" w14:textId="77777777" w:rsidTr="00054D51">
        <w:trPr>
          <w:trHeight w:val="240"/>
        </w:trPr>
        <w:tc>
          <w:tcPr>
            <w:tcW w:w="1885" w:type="dxa"/>
            <w:shd w:val="clear" w:color="auto" w:fill="auto"/>
          </w:tcPr>
          <w:p w14:paraId="2437CDE8" w14:textId="77777777" w:rsidR="001734EB" w:rsidRPr="00950D81" w:rsidRDefault="001734EB" w:rsidP="00054D51">
            <w:pPr>
              <w:pStyle w:val="SingleTxtG"/>
              <w:spacing w:before="40" w:after="40" w:line="220" w:lineRule="exact"/>
              <w:ind w:left="0" w:right="0"/>
              <w:jc w:val="left"/>
              <w:rPr>
                <w:sz w:val="18"/>
                <w:lang w:val="es-VE"/>
              </w:rPr>
            </w:pPr>
            <w:r w:rsidRPr="00950D81">
              <w:rPr>
                <w:sz w:val="18"/>
                <w:lang w:val="es-VE"/>
              </w:rPr>
              <w:t>2016</w:t>
            </w:r>
          </w:p>
        </w:tc>
        <w:tc>
          <w:tcPr>
            <w:tcW w:w="1891" w:type="dxa"/>
            <w:shd w:val="clear" w:color="auto" w:fill="auto"/>
            <w:vAlign w:val="bottom"/>
          </w:tcPr>
          <w:p w14:paraId="0BE312B4" w14:textId="77777777" w:rsidR="001734EB" w:rsidRPr="004E5744" w:rsidRDefault="001734EB" w:rsidP="00054D51">
            <w:pPr>
              <w:pStyle w:val="SingleTxtG"/>
              <w:spacing w:before="40" w:after="40" w:line="220" w:lineRule="exact"/>
              <w:ind w:left="113" w:right="0"/>
              <w:jc w:val="right"/>
              <w:rPr>
                <w:sz w:val="18"/>
                <w:lang w:val="es-VE"/>
              </w:rPr>
            </w:pPr>
            <w:r w:rsidRPr="00950D81">
              <w:rPr>
                <w:sz w:val="18"/>
                <w:lang w:val="es-VE"/>
              </w:rPr>
              <w:t>1</w:t>
            </w:r>
            <w:r w:rsidR="00950D81">
              <w:rPr>
                <w:sz w:val="18"/>
                <w:lang w:val="es-VE"/>
              </w:rPr>
              <w:t xml:space="preserve"> </w:t>
            </w:r>
            <w:r w:rsidRPr="004E5744">
              <w:rPr>
                <w:sz w:val="18"/>
                <w:lang w:val="es-VE"/>
              </w:rPr>
              <w:t>263</w:t>
            </w:r>
          </w:p>
        </w:tc>
        <w:tc>
          <w:tcPr>
            <w:tcW w:w="1797" w:type="dxa"/>
            <w:shd w:val="clear" w:color="auto" w:fill="auto"/>
            <w:vAlign w:val="bottom"/>
          </w:tcPr>
          <w:p w14:paraId="21513991" w14:textId="77777777" w:rsidR="001734EB" w:rsidRPr="004E5744" w:rsidRDefault="001734EB" w:rsidP="00054D51">
            <w:pPr>
              <w:pStyle w:val="SingleTxtG"/>
              <w:spacing w:before="40" w:after="40" w:line="220" w:lineRule="exact"/>
              <w:ind w:left="113" w:right="0"/>
              <w:jc w:val="right"/>
              <w:rPr>
                <w:sz w:val="18"/>
                <w:lang w:val="es-VE"/>
              </w:rPr>
            </w:pPr>
            <w:r w:rsidRPr="004E5744">
              <w:rPr>
                <w:sz w:val="18"/>
                <w:lang w:val="es-VE"/>
              </w:rPr>
              <w:t>2</w:t>
            </w:r>
            <w:r w:rsidR="00950D81">
              <w:rPr>
                <w:sz w:val="18"/>
                <w:lang w:val="es-VE"/>
              </w:rPr>
              <w:t xml:space="preserve"> </w:t>
            </w:r>
            <w:r w:rsidRPr="004E5744">
              <w:rPr>
                <w:sz w:val="18"/>
                <w:lang w:val="es-VE"/>
              </w:rPr>
              <w:t>053</w:t>
            </w:r>
          </w:p>
        </w:tc>
        <w:tc>
          <w:tcPr>
            <w:tcW w:w="1797" w:type="dxa"/>
            <w:shd w:val="clear" w:color="auto" w:fill="auto"/>
            <w:vAlign w:val="bottom"/>
          </w:tcPr>
          <w:p w14:paraId="441A2FAA" w14:textId="77777777" w:rsidR="001734EB" w:rsidRPr="004E5744" w:rsidRDefault="001734EB" w:rsidP="00054D51">
            <w:pPr>
              <w:pStyle w:val="SingleTxtG"/>
              <w:spacing w:before="40" w:after="40" w:line="220" w:lineRule="exact"/>
              <w:ind w:left="113" w:right="0"/>
              <w:jc w:val="right"/>
              <w:rPr>
                <w:sz w:val="18"/>
                <w:lang w:val="es-VE"/>
              </w:rPr>
            </w:pPr>
            <w:r w:rsidRPr="004E5744">
              <w:rPr>
                <w:sz w:val="18"/>
                <w:lang w:val="es-VE"/>
              </w:rPr>
              <w:t>3</w:t>
            </w:r>
            <w:r w:rsidR="00950D81">
              <w:rPr>
                <w:sz w:val="18"/>
                <w:lang w:val="es-VE"/>
              </w:rPr>
              <w:t xml:space="preserve"> </w:t>
            </w:r>
            <w:r w:rsidRPr="004E5744">
              <w:rPr>
                <w:sz w:val="18"/>
                <w:lang w:val="es-VE"/>
              </w:rPr>
              <w:t>316</w:t>
            </w:r>
          </w:p>
        </w:tc>
      </w:tr>
      <w:tr w:rsidR="00950D81" w:rsidRPr="00950D81" w14:paraId="30BC80DA" w14:textId="77777777" w:rsidTr="00054D51">
        <w:trPr>
          <w:trHeight w:val="240"/>
        </w:trPr>
        <w:tc>
          <w:tcPr>
            <w:tcW w:w="1885" w:type="dxa"/>
            <w:shd w:val="clear" w:color="auto" w:fill="auto"/>
          </w:tcPr>
          <w:p w14:paraId="0756053D" w14:textId="77777777" w:rsidR="001734EB" w:rsidRPr="00950D81" w:rsidRDefault="001734EB" w:rsidP="00054D51">
            <w:pPr>
              <w:pStyle w:val="SingleTxtG"/>
              <w:spacing w:before="40" w:after="40" w:line="220" w:lineRule="exact"/>
              <w:ind w:left="0" w:right="0"/>
              <w:jc w:val="left"/>
              <w:rPr>
                <w:sz w:val="18"/>
                <w:lang w:val="es-VE"/>
              </w:rPr>
            </w:pPr>
            <w:r w:rsidRPr="00950D81">
              <w:rPr>
                <w:sz w:val="18"/>
                <w:lang w:val="es-VE"/>
              </w:rPr>
              <w:t>2017</w:t>
            </w:r>
          </w:p>
        </w:tc>
        <w:tc>
          <w:tcPr>
            <w:tcW w:w="1891" w:type="dxa"/>
            <w:shd w:val="clear" w:color="auto" w:fill="auto"/>
            <w:vAlign w:val="bottom"/>
          </w:tcPr>
          <w:p w14:paraId="0A13B53A" w14:textId="77777777" w:rsidR="001734EB" w:rsidRPr="004E5744" w:rsidRDefault="001734EB" w:rsidP="00054D51">
            <w:pPr>
              <w:pStyle w:val="SingleTxtG"/>
              <w:spacing w:before="40" w:after="40" w:line="220" w:lineRule="exact"/>
              <w:ind w:left="113" w:right="0"/>
              <w:jc w:val="right"/>
              <w:rPr>
                <w:sz w:val="18"/>
                <w:lang w:val="es-VE"/>
              </w:rPr>
            </w:pPr>
            <w:r w:rsidRPr="00950D81">
              <w:rPr>
                <w:sz w:val="18"/>
                <w:lang w:val="es-VE"/>
              </w:rPr>
              <w:t>1</w:t>
            </w:r>
            <w:r w:rsidR="00950D81">
              <w:rPr>
                <w:sz w:val="18"/>
                <w:lang w:val="es-VE"/>
              </w:rPr>
              <w:t xml:space="preserve"> </w:t>
            </w:r>
            <w:r w:rsidRPr="004E5744">
              <w:rPr>
                <w:sz w:val="18"/>
                <w:lang w:val="es-VE"/>
              </w:rPr>
              <w:t>242</w:t>
            </w:r>
          </w:p>
        </w:tc>
        <w:tc>
          <w:tcPr>
            <w:tcW w:w="1797" w:type="dxa"/>
            <w:shd w:val="clear" w:color="auto" w:fill="auto"/>
            <w:vAlign w:val="bottom"/>
          </w:tcPr>
          <w:p w14:paraId="311C3129" w14:textId="77777777" w:rsidR="001734EB" w:rsidRPr="004E5744" w:rsidRDefault="001734EB" w:rsidP="00054D51">
            <w:pPr>
              <w:pStyle w:val="SingleTxtG"/>
              <w:spacing w:before="40" w:after="40" w:line="220" w:lineRule="exact"/>
              <w:ind w:left="113" w:right="0"/>
              <w:jc w:val="right"/>
              <w:rPr>
                <w:sz w:val="18"/>
                <w:lang w:val="es-VE"/>
              </w:rPr>
            </w:pPr>
            <w:r w:rsidRPr="004E5744">
              <w:rPr>
                <w:sz w:val="18"/>
                <w:lang w:val="es-VE"/>
              </w:rPr>
              <w:t>1</w:t>
            </w:r>
            <w:r w:rsidR="00950D81">
              <w:rPr>
                <w:sz w:val="18"/>
                <w:lang w:val="es-VE"/>
              </w:rPr>
              <w:t xml:space="preserve"> </w:t>
            </w:r>
            <w:r w:rsidRPr="004E5744">
              <w:rPr>
                <w:sz w:val="18"/>
                <w:lang w:val="es-VE"/>
              </w:rPr>
              <w:t>845</w:t>
            </w:r>
          </w:p>
        </w:tc>
        <w:tc>
          <w:tcPr>
            <w:tcW w:w="1797" w:type="dxa"/>
            <w:shd w:val="clear" w:color="auto" w:fill="auto"/>
            <w:vAlign w:val="bottom"/>
          </w:tcPr>
          <w:p w14:paraId="2196C97D" w14:textId="77777777" w:rsidR="001734EB" w:rsidRPr="004E5744" w:rsidRDefault="001734EB" w:rsidP="00054D51">
            <w:pPr>
              <w:pStyle w:val="SingleTxtG"/>
              <w:spacing w:before="40" w:after="40" w:line="220" w:lineRule="exact"/>
              <w:ind w:left="113" w:right="0"/>
              <w:jc w:val="right"/>
              <w:rPr>
                <w:sz w:val="18"/>
                <w:lang w:val="es-VE"/>
              </w:rPr>
            </w:pPr>
            <w:r w:rsidRPr="004E5744">
              <w:rPr>
                <w:sz w:val="18"/>
                <w:lang w:val="es-VE"/>
              </w:rPr>
              <w:t>3</w:t>
            </w:r>
            <w:r w:rsidR="00950D81">
              <w:rPr>
                <w:sz w:val="18"/>
                <w:lang w:val="es-VE"/>
              </w:rPr>
              <w:t xml:space="preserve"> </w:t>
            </w:r>
            <w:r w:rsidRPr="004E5744">
              <w:rPr>
                <w:sz w:val="18"/>
                <w:lang w:val="es-VE"/>
              </w:rPr>
              <w:t>087</w:t>
            </w:r>
          </w:p>
        </w:tc>
      </w:tr>
      <w:tr w:rsidR="00950D81" w:rsidRPr="00950D81" w14:paraId="355328F9" w14:textId="77777777" w:rsidTr="00054D51">
        <w:trPr>
          <w:trHeight w:val="240"/>
        </w:trPr>
        <w:tc>
          <w:tcPr>
            <w:tcW w:w="1885" w:type="dxa"/>
            <w:shd w:val="clear" w:color="auto" w:fill="auto"/>
          </w:tcPr>
          <w:p w14:paraId="4AA7E6C3" w14:textId="77777777" w:rsidR="001734EB" w:rsidRPr="00950D81" w:rsidRDefault="001734EB" w:rsidP="00054D51">
            <w:pPr>
              <w:pStyle w:val="SingleTxtG"/>
              <w:spacing w:before="40" w:after="40" w:line="220" w:lineRule="exact"/>
              <w:ind w:left="0" w:right="0"/>
              <w:jc w:val="left"/>
              <w:rPr>
                <w:sz w:val="18"/>
                <w:lang w:val="es-VE"/>
              </w:rPr>
            </w:pPr>
            <w:r w:rsidRPr="00950D81">
              <w:rPr>
                <w:sz w:val="18"/>
                <w:lang w:val="es-VE"/>
              </w:rPr>
              <w:t>2018</w:t>
            </w:r>
          </w:p>
        </w:tc>
        <w:tc>
          <w:tcPr>
            <w:tcW w:w="1891" w:type="dxa"/>
            <w:shd w:val="clear" w:color="auto" w:fill="auto"/>
            <w:vAlign w:val="bottom"/>
          </w:tcPr>
          <w:p w14:paraId="264CB031" w14:textId="77777777" w:rsidR="001734EB" w:rsidRPr="004E5744" w:rsidRDefault="001734EB" w:rsidP="00054D51">
            <w:pPr>
              <w:pStyle w:val="SingleTxtG"/>
              <w:spacing w:before="40" w:after="40" w:line="220" w:lineRule="exact"/>
              <w:ind w:left="113" w:right="0"/>
              <w:jc w:val="right"/>
              <w:rPr>
                <w:sz w:val="18"/>
                <w:lang w:val="es-VE"/>
              </w:rPr>
            </w:pPr>
            <w:r w:rsidRPr="00950D81">
              <w:rPr>
                <w:sz w:val="18"/>
                <w:lang w:val="es-VE"/>
              </w:rPr>
              <w:t>1</w:t>
            </w:r>
            <w:r w:rsidR="00950D81">
              <w:rPr>
                <w:sz w:val="18"/>
                <w:lang w:val="es-VE"/>
              </w:rPr>
              <w:t xml:space="preserve"> </w:t>
            </w:r>
            <w:r w:rsidRPr="004E5744">
              <w:rPr>
                <w:sz w:val="18"/>
                <w:lang w:val="es-VE"/>
              </w:rPr>
              <w:t>660</w:t>
            </w:r>
          </w:p>
        </w:tc>
        <w:tc>
          <w:tcPr>
            <w:tcW w:w="1797" w:type="dxa"/>
            <w:shd w:val="clear" w:color="auto" w:fill="auto"/>
            <w:vAlign w:val="bottom"/>
          </w:tcPr>
          <w:p w14:paraId="67100A1C" w14:textId="77777777" w:rsidR="001734EB" w:rsidRPr="004E5744" w:rsidRDefault="001734EB" w:rsidP="00054D51">
            <w:pPr>
              <w:pStyle w:val="SingleTxtG"/>
              <w:spacing w:before="40" w:after="40" w:line="220" w:lineRule="exact"/>
              <w:ind w:left="113" w:right="0"/>
              <w:jc w:val="right"/>
              <w:rPr>
                <w:sz w:val="18"/>
                <w:lang w:val="es-VE"/>
              </w:rPr>
            </w:pPr>
            <w:r w:rsidRPr="004E5744">
              <w:rPr>
                <w:sz w:val="18"/>
                <w:lang w:val="es-VE"/>
              </w:rPr>
              <w:t>3</w:t>
            </w:r>
            <w:r w:rsidR="00950D81">
              <w:rPr>
                <w:sz w:val="18"/>
                <w:lang w:val="es-VE"/>
              </w:rPr>
              <w:t xml:space="preserve"> </w:t>
            </w:r>
            <w:r w:rsidRPr="004E5744">
              <w:rPr>
                <w:sz w:val="18"/>
                <w:lang w:val="es-VE"/>
              </w:rPr>
              <w:t>008</w:t>
            </w:r>
          </w:p>
        </w:tc>
        <w:tc>
          <w:tcPr>
            <w:tcW w:w="1797" w:type="dxa"/>
            <w:shd w:val="clear" w:color="auto" w:fill="auto"/>
            <w:vAlign w:val="bottom"/>
          </w:tcPr>
          <w:p w14:paraId="6D60CADB" w14:textId="77777777" w:rsidR="001734EB" w:rsidRPr="004E5744" w:rsidRDefault="001734EB" w:rsidP="00054D51">
            <w:pPr>
              <w:pStyle w:val="SingleTxtG"/>
              <w:spacing w:before="40" w:after="40" w:line="220" w:lineRule="exact"/>
              <w:ind w:left="113" w:right="0"/>
              <w:jc w:val="right"/>
              <w:rPr>
                <w:sz w:val="18"/>
                <w:lang w:val="es-VE"/>
              </w:rPr>
            </w:pPr>
            <w:r w:rsidRPr="004E5744">
              <w:rPr>
                <w:sz w:val="18"/>
                <w:lang w:val="es-VE"/>
              </w:rPr>
              <w:t>4</w:t>
            </w:r>
            <w:r w:rsidR="00950D81">
              <w:rPr>
                <w:sz w:val="18"/>
                <w:lang w:val="es-VE"/>
              </w:rPr>
              <w:t xml:space="preserve"> </w:t>
            </w:r>
            <w:r w:rsidRPr="004E5744">
              <w:rPr>
                <w:sz w:val="18"/>
                <w:lang w:val="es-VE"/>
              </w:rPr>
              <w:t>668</w:t>
            </w:r>
          </w:p>
        </w:tc>
      </w:tr>
      <w:tr w:rsidR="00950D81" w:rsidRPr="00950D81" w14:paraId="540B495F" w14:textId="77777777" w:rsidTr="00054D51">
        <w:trPr>
          <w:trHeight w:val="240"/>
        </w:trPr>
        <w:tc>
          <w:tcPr>
            <w:tcW w:w="1885" w:type="dxa"/>
            <w:tcBorders>
              <w:bottom w:val="single" w:sz="4" w:space="0" w:color="auto"/>
            </w:tcBorders>
            <w:shd w:val="clear" w:color="auto" w:fill="auto"/>
          </w:tcPr>
          <w:p w14:paraId="5257A435" w14:textId="77777777" w:rsidR="001734EB" w:rsidRPr="00950D81" w:rsidRDefault="001734EB" w:rsidP="00054D51">
            <w:pPr>
              <w:pStyle w:val="SingleTxtG"/>
              <w:spacing w:before="40" w:after="40" w:line="220" w:lineRule="exact"/>
              <w:ind w:left="0" w:right="0"/>
              <w:jc w:val="left"/>
              <w:rPr>
                <w:sz w:val="18"/>
                <w:lang w:val="es-VE"/>
              </w:rPr>
            </w:pPr>
            <w:r w:rsidRPr="00950D81">
              <w:rPr>
                <w:sz w:val="18"/>
                <w:lang w:val="es-VE"/>
              </w:rPr>
              <w:t>2019</w:t>
            </w:r>
          </w:p>
        </w:tc>
        <w:tc>
          <w:tcPr>
            <w:tcW w:w="1891" w:type="dxa"/>
            <w:tcBorders>
              <w:bottom w:val="single" w:sz="4" w:space="0" w:color="auto"/>
            </w:tcBorders>
            <w:shd w:val="clear" w:color="auto" w:fill="auto"/>
            <w:vAlign w:val="bottom"/>
          </w:tcPr>
          <w:p w14:paraId="07437799" w14:textId="77777777" w:rsidR="001734EB" w:rsidRPr="00950D81" w:rsidRDefault="001734EB" w:rsidP="00054D51">
            <w:pPr>
              <w:pStyle w:val="SingleTxtG"/>
              <w:spacing w:before="40" w:after="40" w:line="220" w:lineRule="exact"/>
              <w:ind w:left="113" w:right="0"/>
              <w:jc w:val="right"/>
              <w:rPr>
                <w:sz w:val="18"/>
                <w:lang w:val="es-VE"/>
              </w:rPr>
            </w:pPr>
            <w:r w:rsidRPr="00950D81">
              <w:rPr>
                <w:sz w:val="18"/>
                <w:lang w:val="es-VE"/>
              </w:rPr>
              <w:t>921</w:t>
            </w:r>
          </w:p>
        </w:tc>
        <w:tc>
          <w:tcPr>
            <w:tcW w:w="1797" w:type="dxa"/>
            <w:tcBorders>
              <w:bottom w:val="single" w:sz="4" w:space="0" w:color="auto"/>
            </w:tcBorders>
            <w:shd w:val="clear" w:color="auto" w:fill="auto"/>
            <w:vAlign w:val="bottom"/>
          </w:tcPr>
          <w:p w14:paraId="424FE31A" w14:textId="77777777" w:rsidR="001734EB" w:rsidRPr="004E5744" w:rsidRDefault="001734EB" w:rsidP="00054D51">
            <w:pPr>
              <w:pStyle w:val="SingleTxtG"/>
              <w:spacing w:before="40" w:after="40" w:line="220" w:lineRule="exact"/>
              <w:ind w:left="113" w:right="0"/>
              <w:jc w:val="right"/>
              <w:rPr>
                <w:sz w:val="18"/>
                <w:lang w:val="es-VE"/>
              </w:rPr>
            </w:pPr>
            <w:r w:rsidRPr="00950D81">
              <w:rPr>
                <w:sz w:val="18"/>
                <w:lang w:val="es-VE"/>
              </w:rPr>
              <w:t>1</w:t>
            </w:r>
            <w:r w:rsidR="00950D81">
              <w:rPr>
                <w:sz w:val="18"/>
                <w:lang w:val="es-VE"/>
              </w:rPr>
              <w:t xml:space="preserve"> </w:t>
            </w:r>
            <w:r w:rsidRPr="004E5744">
              <w:rPr>
                <w:sz w:val="18"/>
                <w:lang w:val="es-VE"/>
              </w:rPr>
              <w:t>595</w:t>
            </w:r>
          </w:p>
        </w:tc>
        <w:tc>
          <w:tcPr>
            <w:tcW w:w="1797" w:type="dxa"/>
            <w:tcBorders>
              <w:bottom w:val="single" w:sz="4" w:space="0" w:color="auto"/>
            </w:tcBorders>
            <w:shd w:val="clear" w:color="auto" w:fill="auto"/>
            <w:vAlign w:val="bottom"/>
          </w:tcPr>
          <w:p w14:paraId="0DC830F8" w14:textId="77777777" w:rsidR="001734EB" w:rsidRPr="004E5744" w:rsidRDefault="001734EB" w:rsidP="00054D51">
            <w:pPr>
              <w:pStyle w:val="SingleTxtG"/>
              <w:spacing w:before="40" w:after="40" w:line="220" w:lineRule="exact"/>
              <w:ind w:left="113" w:right="0"/>
              <w:jc w:val="right"/>
              <w:rPr>
                <w:sz w:val="18"/>
                <w:lang w:val="es-VE"/>
              </w:rPr>
            </w:pPr>
            <w:r w:rsidRPr="004E5744">
              <w:rPr>
                <w:sz w:val="18"/>
                <w:lang w:val="es-VE"/>
              </w:rPr>
              <w:t>2</w:t>
            </w:r>
            <w:r w:rsidR="00950D81">
              <w:rPr>
                <w:sz w:val="18"/>
                <w:lang w:val="es-VE"/>
              </w:rPr>
              <w:t xml:space="preserve"> </w:t>
            </w:r>
            <w:r w:rsidRPr="004E5744">
              <w:rPr>
                <w:sz w:val="18"/>
                <w:lang w:val="es-VE"/>
              </w:rPr>
              <w:t>516</w:t>
            </w:r>
          </w:p>
        </w:tc>
      </w:tr>
      <w:tr w:rsidR="00950D81" w:rsidRPr="00950D81" w14:paraId="6DA75A68" w14:textId="77777777" w:rsidTr="00054D51">
        <w:trPr>
          <w:trHeight w:val="240"/>
        </w:trPr>
        <w:tc>
          <w:tcPr>
            <w:tcW w:w="1885" w:type="dxa"/>
            <w:tcBorders>
              <w:top w:val="single" w:sz="4" w:space="0" w:color="auto"/>
              <w:bottom w:val="single" w:sz="12" w:space="0" w:color="auto"/>
            </w:tcBorders>
            <w:shd w:val="clear" w:color="auto" w:fill="auto"/>
          </w:tcPr>
          <w:p w14:paraId="500AB2F4" w14:textId="77777777" w:rsidR="001734EB" w:rsidRPr="004E5744" w:rsidRDefault="00950D81" w:rsidP="00054D51">
            <w:pPr>
              <w:pStyle w:val="SingleTxtG"/>
              <w:spacing w:before="80" w:after="80" w:line="220" w:lineRule="exact"/>
              <w:ind w:left="283" w:right="0"/>
              <w:jc w:val="left"/>
              <w:rPr>
                <w:b/>
                <w:sz w:val="18"/>
                <w:lang w:val="es-VE"/>
              </w:rPr>
            </w:pPr>
            <w:r w:rsidRPr="00054D51">
              <w:rPr>
                <w:b/>
                <w:sz w:val="18"/>
                <w:lang w:val="es-VE"/>
              </w:rPr>
              <w:t>Total</w:t>
            </w:r>
          </w:p>
        </w:tc>
        <w:tc>
          <w:tcPr>
            <w:tcW w:w="1891" w:type="dxa"/>
            <w:tcBorders>
              <w:top w:val="single" w:sz="4" w:space="0" w:color="auto"/>
              <w:bottom w:val="single" w:sz="12" w:space="0" w:color="auto"/>
            </w:tcBorders>
            <w:shd w:val="clear" w:color="auto" w:fill="auto"/>
            <w:vAlign w:val="bottom"/>
          </w:tcPr>
          <w:p w14:paraId="458014A1" w14:textId="77777777" w:rsidR="001734EB" w:rsidRPr="004E5744" w:rsidRDefault="001734EB" w:rsidP="00054D51">
            <w:pPr>
              <w:pStyle w:val="SingleTxtG"/>
              <w:spacing w:before="80" w:after="80" w:line="220" w:lineRule="exact"/>
              <w:ind w:left="0" w:right="0"/>
              <w:jc w:val="right"/>
              <w:rPr>
                <w:b/>
                <w:sz w:val="18"/>
                <w:lang w:val="es-VE"/>
              </w:rPr>
            </w:pPr>
            <w:r w:rsidRPr="004E5744">
              <w:rPr>
                <w:b/>
                <w:sz w:val="18"/>
                <w:lang w:val="es-VE"/>
              </w:rPr>
              <w:t>6</w:t>
            </w:r>
            <w:r w:rsidR="00950D81">
              <w:rPr>
                <w:b/>
                <w:sz w:val="18"/>
                <w:lang w:val="es-VE"/>
              </w:rPr>
              <w:t xml:space="preserve"> </w:t>
            </w:r>
            <w:r w:rsidRPr="004E5744">
              <w:rPr>
                <w:b/>
                <w:sz w:val="18"/>
                <w:lang w:val="es-VE"/>
              </w:rPr>
              <w:t>580</w:t>
            </w:r>
          </w:p>
        </w:tc>
        <w:tc>
          <w:tcPr>
            <w:tcW w:w="1797" w:type="dxa"/>
            <w:tcBorders>
              <w:top w:val="single" w:sz="4" w:space="0" w:color="auto"/>
              <w:bottom w:val="single" w:sz="12" w:space="0" w:color="auto"/>
            </w:tcBorders>
            <w:shd w:val="clear" w:color="auto" w:fill="auto"/>
            <w:vAlign w:val="bottom"/>
          </w:tcPr>
          <w:p w14:paraId="5DA44418" w14:textId="77777777" w:rsidR="001734EB" w:rsidRPr="004E5744" w:rsidRDefault="001734EB" w:rsidP="00054D51">
            <w:pPr>
              <w:pStyle w:val="SingleTxtG"/>
              <w:spacing w:before="80" w:after="80" w:line="220" w:lineRule="exact"/>
              <w:ind w:left="0" w:right="0"/>
              <w:jc w:val="right"/>
              <w:rPr>
                <w:b/>
                <w:sz w:val="18"/>
                <w:lang w:val="es-VE"/>
              </w:rPr>
            </w:pPr>
            <w:r w:rsidRPr="004E5744">
              <w:rPr>
                <w:b/>
                <w:sz w:val="18"/>
                <w:lang w:val="es-VE"/>
              </w:rPr>
              <w:t>11</w:t>
            </w:r>
            <w:r w:rsidR="00950D81">
              <w:rPr>
                <w:b/>
                <w:sz w:val="18"/>
                <w:lang w:val="es-VE"/>
              </w:rPr>
              <w:t xml:space="preserve"> </w:t>
            </w:r>
            <w:r w:rsidRPr="004E5744">
              <w:rPr>
                <w:b/>
                <w:sz w:val="18"/>
                <w:lang w:val="es-VE"/>
              </w:rPr>
              <w:t>160</w:t>
            </w:r>
          </w:p>
        </w:tc>
        <w:tc>
          <w:tcPr>
            <w:tcW w:w="1797" w:type="dxa"/>
            <w:tcBorders>
              <w:top w:val="single" w:sz="4" w:space="0" w:color="auto"/>
              <w:bottom w:val="single" w:sz="12" w:space="0" w:color="auto"/>
            </w:tcBorders>
            <w:shd w:val="clear" w:color="auto" w:fill="auto"/>
            <w:vAlign w:val="bottom"/>
          </w:tcPr>
          <w:p w14:paraId="01D5443C" w14:textId="77777777" w:rsidR="001734EB" w:rsidRPr="004E5744" w:rsidRDefault="001734EB" w:rsidP="00054D51">
            <w:pPr>
              <w:pStyle w:val="SingleTxtG"/>
              <w:spacing w:before="80" w:after="80" w:line="220" w:lineRule="exact"/>
              <w:ind w:left="0" w:right="0"/>
              <w:jc w:val="right"/>
              <w:rPr>
                <w:b/>
                <w:sz w:val="18"/>
                <w:lang w:val="es-VE"/>
              </w:rPr>
            </w:pPr>
            <w:r w:rsidRPr="004E5744">
              <w:rPr>
                <w:b/>
                <w:sz w:val="18"/>
                <w:lang w:val="es-VE"/>
              </w:rPr>
              <w:t>17</w:t>
            </w:r>
            <w:r w:rsidR="00950D81">
              <w:rPr>
                <w:b/>
                <w:sz w:val="18"/>
                <w:lang w:val="es-VE"/>
              </w:rPr>
              <w:t xml:space="preserve"> </w:t>
            </w:r>
            <w:r w:rsidRPr="004E5744">
              <w:rPr>
                <w:b/>
                <w:sz w:val="18"/>
                <w:lang w:val="es-VE"/>
              </w:rPr>
              <w:t>740</w:t>
            </w:r>
          </w:p>
        </w:tc>
      </w:tr>
    </w:tbl>
    <w:p w14:paraId="484432DB" w14:textId="77777777" w:rsidR="001734EB" w:rsidRPr="00077437" w:rsidRDefault="00911778" w:rsidP="00054D51">
      <w:pPr>
        <w:pStyle w:val="H1G"/>
        <w:rPr>
          <w:lang w:val="es-VE"/>
        </w:rPr>
      </w:pPr>
      <w:r>
        <w:rPr>
          <w:lang w:val="es-VE"/>
        </w:rPr>
        <w:tab/>
      </w:r>
      <w:r>
        <w:rPr>
          <w:lang w:val="es-VE"/>
        </w:rPr>
        <w:tab/>
      </w:r>
      <w:r w:rsidR="001734EB" w:rsidRPr="00077437">
        <w:rPr>
          <w:lang w:val="es-VE"/>
        </w:rPr>
        <w:t>Educación (art. 24)</w:t>
      </w:r>
    </w:p>
    <w:p w14:paraId="7B5FDBB0" w14:textId="77777777" w:rsidR="001734EB" w:rsidRPr="00077437" w:rsidRDefault="00911778" w:rsidP="00054D51">
      <w:pPr>
        <w:pStyle w:val="H1G"/>
        <w:rPr>
          <w:lang w:val="es-VE"/>
        </w:rPr>
      </w:pPr>
      <w:r>
        <w:tab/>
      </w:r>
      <w:r>
        <w:tab/>
      </w:r>
      <w:r w:rsidR="00C154C7" w:rsidRPr="00F96454">
        <w:t xml:space="preserve">Respuesta </w:t>
      </w:r>
      <w:r w:rsidR="00C154C7">
        <w:t xml:space="preserve">a la </w:t>
      </w:r>
      <w:r w:rsidR="00C154C7">
        <w:rPr>
          <w:lang w:val="es-VE"/>
        </w:rPr>
        <w:t>c</w:t>
      </w:r>
      <w:r w:rsidR="001734EB" w:rsidRPr="00077437">
        <w:rPr>
          <w:lang w:val="es-VE"/>
        </w:rPr>
        <w:t xml:space="preserve">uestión 26 </w:t>
      </w:r>
    </w:p>
    <w:p w14:paraId="277BF0DD" w14:textId="77777777" w:rsidR="001734EB" w:rsidRPr="00077437" w:rsidRDefault="00911778" w:rsidP="00054D51">
      <w:pPr>
        <w:pStyle w:val="SingleTxtG"/>
      </w:pPr>
      <w:r>
        <w:t>94</w:t>
      </w:r>
      <w:r>
        <w:tab/>
      </w:r>
      <w:r w:rsidR="001734EB" w:rsidRPr="00077437">
        <w:t>La Consulta Nacional por la Calidad Educativa ha contribuido significativamente a la inclusión educativa. En el periodo 2016-2018 se incrementó la matrícula escolar en 171.398 estudiantes, ubicados en los planteles de la modalidad de Educación Especial e integrados en los niveles y otras modalidades.</w:t>
      </w:r>
    </w:p>
    <w:p w14:paraId="58D426ED" w14:textId="77777777" w:rsidR="001734EB" w:rsidRPr="004E5744" w:rsidRDefault="00911778" w:rsidP="00054D51">
      <w:pPr>
        <w:pStyle w:val="SingleTxtG"/>
      </w:pPr>
      <w:r>
        <w:t>95.</w:t>
      </w:r>
      <w:r>
        <w:tab/>
      </w:r>
      <w:r w:rsidR="001734EB" w:rsidRPr="004E5744">
        <w:t xml:space="preserve">En agosto de 2017 se dictaron las </w:t>
      </w:r>
      <w:r w:rsidR="001734EB" w:rsidRPr="00054D51">
        <w:t xml:space="preserve">“Normas que </w:t>
      </w:r>
      <w:proofErr w:type="spellStart"/>
      <w:r w:rsidR="001734EB" w:rsidRPr="00054D51">
        <w:t>direccionalizan</w:t>
      </w:r>
      <w:proofErr w:type="spellEnd"/>
      <w:r w:rsidR="001734EB" w:rsidRPr="00054D51">
        <w:t xml:space="preserve"> los elementos centrales de la conceptualización y política para la atención educativa integral de las personas con necesidades educativas especiales y/o con discapacidad”</w:t>
      </w:r>
      <w:r w:rsidR="001734EB" w:rsidRPr="00054D51">
        <w:rPr>
          <w:sz w:val="18"/>
          <w:vertAlign w:val="superscript"/>
        </w:rPr>
        <w:footnoteReference w:id="30"/>
      </w:r>
      <w:r w:rsidR="001734EB" w:rsidRPr="00054D51">
        <w:t xml:space="preserve">, a los fines de fortalecer el </w:t>
      </w:r>
      <w:proofErr w:type="spellStart"/>
      <w:r w:rsidR="001734EB" w:rsidRPr="00054D51">
        <w:t>processo</w:t>
      </w:r>
      <w:proofErr w:type="spellEnd"/>
      <w:r w:rsidR="001734EB" w:rsidRPr="00054D51">
        <w:t xml:space="preserve"> educativo de las </w:t>
      </w:r>
      <w:proofErr w:type="spellStart"/>
      <w:r w:rsidR="001734EB" w:rsidRPr="00054D51">
        <w:t>PcD</w:t>
      </w:r>
      <w:proofErr w:type="spellEnd"/>
      <w:r w:rsidR="001734EB" w:rsidRPr="00054D51">
        <w:t xml:space="preserve">. </w:t>
      </w:r>
    </w:p>
    <w:p w14:paraId="5DE6275D" w14:textId="77777777" w:rsidR="001734EB" w:rsidRPr="00077437" w:rsidRDefault="00773B6B" w:rsidP="00054D51">
      <w:pPr>
        <w:pStyle w:val="SingleTxtG"/>
      </w:pPr>
      <w:r>
        <w:t>96.</w:t>
      </w:r>
      <w:r>
        <w:tab/>
      </w:r>
      <w:r w:rsidR="001734EB" w:rsidRPr="00077437">
        <w:t>En el período 2016-2018 un total de 5.385 personas ingresaron como personal docente y técnico-administrativo, acción vital para el cumplimiento de la atención educativa integral en los planteles y servicios de la modalidad de Educación Especial.</w:t>
      </w:r>
    </w:p>
    <w:p w14:paraId="61810FBF" w14:textId="77777777" w:rsidR="001734EB" w:rsidRPr="00077437" w:rsidRDefault="00773B6B" w:rsidP="00054D51">
      <w:pPr>
        <w:pStyle w:val="SingleTxtG"/>
      </w:pPr>
      <w:r>
        <w:t>97.</w:t>
      </w:r>
      <w:r>
        <w:tab/>
      </w:r>
      <w:r w:rsidR="001734EB" w:rsidRPr="00077437">
        <w:t>En mayo de 2018 se inició la primera cohorte del Programa de Formación Avanzada de Educación Especial (</w:t>
      </w:r>
      <w:proofErr w:type="spellStart"/>
      <w:r w:rsidR="001734EB" w:rsidRPr="00077437">
        <w:t>PNFAEE</w:t>
      </w:r>
      <w:proofErr w:type="spellEnd"/>
      <w:r w:rsidR="001734EB" w:rsidRPr="00077437">
        <w:t xml:space="preserve">), dirigido a docentes en servicio de Educación Especial y de los niveles educativos de Educación Inicial, Primaria y Media. Para el primer trimestre del año 2020 se realizará la primera graduación de 2.693 participantes del </w:t>
      </w:r>
      <w:proofErr w:type="spellStart"/>
      <w:r w:rsidR="001734EB" w:rsidRPr="00077437">
        <w:t>PNFAEE</w:t>
      </w:r>
      <w:proofErr w:type="spellEnd"/>
      <w:r w:rsidR="001734EB" w:rsidRPr="00077437">
        <w:t>.</w:t>
      </w:r>
    </w:p>
    <w:p w14:paraId="2F4600FB" w14:textId="77777777" w:rsidR="001734EB" w:rsidRPr="00077437" w:rsidRDefault="00773B6B" w:rsidP="00054D51">
      <w:pPr>
        <w:pStyle w:val="SingleTxtG"/>
      </w:pPr>
      <w:r>
        <w:rPr>
          <w:lang w:val="es-VE"/>
        </w:rPr>
        <w:t>98.</w:t>
      </w:r>
      <w:r>
        <w:rPr>
          <w:lang w:val="es-VE"/>
        </w:rPr>
        <w:tab/>
      </w:r>
      <w:r w:rsidR="001734EB" w:rsidRPr="00077437">
        <w:rPr>
          <w:lang w:val="es-VE"/>
        </w:rPr>
        <w:t xml:space="preserve">Desde su creación hasta el mes de septiembre de 2019, la Misión Robinson ha permitido alfabetizar y </w:t>
      </w:r>
      <w:proofErr w:type="spellStart"/>
      <w:r w:rsidR="001734EB" w:rsidRPr="00077437">
        <w:rPr>
          <w:lang w:val="es-VE"/>
        </w:rPr>
        <w:t>postalfabetizar</w:t>
      </w:r>
      <w:proofErr w:type="spellEnd"/>
      <w:r w:rsidR="001734EB" w:rsidRPr="00077437">
        <w:rPr>
          <w:lang w:val="es-VE"/>
        </w:rPr>
        <w:t xml:space="preserve"> a un total de 315.590 </w:t>
      </w:r>
      <w:proofErr w:type="spellStart"/>
      <w:r w:rsidR="001734EB" w:rsidRPr="00077437">
        <w:rPr>
          <w:lang w:val="es-VE"/>
        </w:rPr>
        <w:t>PcD</w:t>
      </w:r>
      <w:proofErr w:type="spellEnd"/>
      <w:r w:rsidR="001734EB" w:rsidRPr="00077437">
        <w:rPr>
          <w:lang w:val="es-VE"/>
        </w:rPr>
        <w:t>. El 56</w:t>
      </w:r>
      <w:r w:rsidR="001F2819">
        <w:rPr>
          <w:lang w:val="es-VE"/>
        </w:rPr>
        <w:t xml:space="preserve"> </w:t>
      </w:r>
      <w:r w:rsidR="001734EB" w:rsidRPr="00077437">
        <w:rPr>
          <w:lang w:val="es-VE"/>
        </w:rPr>
        <w:t xml:space="preserve">% de las </w:t>
      </w:r>
      <w:proofErr w:type="spellStart"/>
      <w:r w:rsidR="001734EB" w:rsidRPr="00077437">
        <w:rPr>
          <w:lang w:val="es-VE"/>
        </w:rPr>
        <w:t>PcD</w:t>
      </w:r>
      <w:proofErr w:type="spellEnd"/>
      <w:r w:rsidR="001734EB" w:rsidRPr="00077437">
        <w:rPr>
          <w:lang w:val="es-VE"/>
        </w:rPr>
        <w:t xml:space="preserve"> alfabetizadas y </w:t>
      </w:r>
      <w:proofErr w:type="spellStart"/>
      <w:r w:rsidR="001734EB" w:rsidRPr="00077437">
        <w:rPr>
          <w:lang w:val="es-VE"/>
        </w:rPr>
        <w:t>postalfabetizadas</w:t>
      </w:r>
      <w:proofErr w:type="spellEnd"/>
      <w:r w:rsidR="001734EB" w:rsidRPr="00077437">
        <w:rPr>
          <w:lang w:val="es-VE"/>
        </w:rPr>
        <w:t xml:space="preserve"> por la Misión Robinson son mujeres. </w:t>
      </w:r>
    </w:p>
    <w:p w14:paraId="2BA07AEC" w14:textId="77777777" w:rsidR="001734EB" w:rsidRPr="00077437" w:rsidRDefault="00773B6B" w:rsidP="00054D51">
      <w:pPr>
        <w:pStyle w:val="H1G"/>
        <w:rPr>
          <w:lang w:val="es-VE"/>
        </w:rPr>
      </w:pPr>
      <w:r>
        <w:tab/>
      </w:r>
      <w:r>
        <w:tab/>
      </w:r>
      <w:r w:rsidR="00C154C7" w:rsidRPr="00F96454">
        <w:t xml:space="preserve">Respuesta </w:t>
      </w:r>
      <w:r w:rsidR="00C154C7">
        <w:t xml:space="preserve">a la </w:t>
      </w:r>
      <w:r w:rsidR="00C154C7">
        <w:rPr>
          <w:lang w:val="es-VE"/>
        </w:rPr>
        <w:t>c</w:t>
      </w:r>
      <w:r w:rsidR="001734EB" w:rsidRPr="00077437">
        <w:rPr>
          <w:lang w:val="es-VE"/>
        </w:rPr>
        <w:t>uestión 27</w:t>
      </w:r>
    </w:p>
    <w:p w14:paraId="46986C20" w14:textId="77777777" w:rsidR="001734EB" w:rsidRPr="00077437" w:rsidRDefault="00773B6B" w:rsidP="00054D51">
      <w:pPr>
        <w:pStyle w:val="SingleTxtG"/>
        <w:rPr>
          <w:lang w:val="es-VE"/>
        </w:rPr>
      </w:pPr>
      <w:r>
        <w:rPr>
          <w:lang w:val="es-VE"/>
        </w:rPr>
        <w:t>99.</w:t>
      </w:r>
      <w:r>
        <w:rPr>
          <w:lang w:val="es-VE"/>
        </w:rPr>
        <w:tab/>
      </w:r>
      <w:r w:rsidR="001734EB" w:rsidRPr="00077437">
        <w:rPr>
          <w:lang w:val="es-VE"/>
        </w:rPr>
        <w:t>En la Universidad Nacional Experimental de la Fuerza Armada Nacional Bolivariana (</w:t>
      </w:r>
      <w:proofErr w:type="spellStart"/>
      <w:r w:rsidR="001734EB" w:rsidRPr="00077437">
        <w:rPr>
          <w:lang w:val="es-VE"/>
        </w:rPr>
        <w:t>UNEFANB</w:t>
      </w:r>
      <w:proofErr w:type="spellEnd"/>
      <w:r w:rsidR="001734EB" w:rsidRPr="00077437">
        <w:rPr>
          <w:lang w:val="es-VE"/>
        </w:rPr>
        <w:t xml:space="preserve">) cursan estudios un total de 361 </w:t>
      </w:r>
      <w:proofErr w:type="spellStart"/>
      <w:r w:rsidR="001734EB" w:rsidRPr="00077437">
        <w:rPr>
          <w:lang w:val="es-VE"/>
        </w:rPr>
        <w:t>PcD</w:t>
      </w:r>
      <w:proofErr w:type="spellEnd"/>
      <w:r w:rsidR="001734EB" w:rsidRPr="00077437">
        <w:rPr>
          <w:lang w:val="es-VE"/>
        </w:rPr>
        <w:t>, como parte del Programa de Atención Integral del Estudiante con Discapacidad. 119 estudiantes poseen discapacidad visual, 97 discapacidad motora, 63 discapacidad cognitiva, 47 discapacidad auditiva y 35 discapacidad múltiple.</w:t>
      </w:r>
    </w:p>
    <w:p w14:paraId="6078F0E6" w14:textId="77777777" w:rsidR="001734EB" w:rsidRPr="00077437" w:rsidRDefault="00223132" w:rsidP="004E5744">
      <w:pPr>
        <w:pStyle w:val="H1G"/>
        <w:rPr>
          <w:lang w:val="es-VE"/>
        </w:rPr>
      </w:pPr>
      <w:r>
        <w:rPr>
          <w:lang w:val="es-VE"/>
        </w:rPr>
        <w:tab/>
      </w:r>
      <w:r>
        <w:rPr>
          <w:lang w:val="es-VE"/>
        </w:rPr>
        <w:tab/>
      </w:r>
      <w:r w:rsidR="00773B6B">
        <w:rPr>
          <w:lang w:val="es-VE"/>
        </w:rPr>
        <w:tab/>
      </w:r>
      <w:r w:rsidR="001734EB" w:rsidRPr="00077437">
        <w:rPr>
          <w:lang w:val="es-VE"/>
        </w:rPr>
        <w:t>Salud (art. 25)</w:t>
      </w:r>
    </w:p>
    <w:p w14:paraId="1ABE8944" w14:textId="77777777" w:rsidR="001734EB" w:rsidRPr="00077437" w:rsidRDefault="00773B6B" w:rsidP="00054D51">
      <w:pPr>
        <w:pStyle w:val="H1G"/>
        <w:rPr>
          <w:lang w:val="es-VE"/>
        </w:rPr>
      </w:pPr>
      <w:r>
        <w:tab/>
      </w:r>
      <w:r>
        <w:tab/>
      </w:r>
      <w:r w:rsidR="00C154C7" w:rsidRPr="00F96454">
        <w:t xml:space="preserve">Respuesta </w:t>
      </w:r>
      <w:r w:rsidR="00C154C7">
        <w:t xml:space="preserve">a la </w:t>
      </w:r>
      <w:r w:rsidR="00C154C7">
        <w:rPr>
          <w:lang w:val="es-VE"/>
        </w:rPr>
        <w:t>c</w:t>
      </w:r>
      <w:r w:rsidR="001734EB" w:rsidRPr="00077437">
        <w:rPr>
          <w:lang w:val="es-VE"/>
        </w:rPr>
        <w:t>uestión 28</w:t>
      </w:r>
    </w:p>
    <w:p w14:paraId="1AA4A3C9" w14:textId="77777777" w:rsidR="001734EB" w:rsidRPr="00077437" w:rsidRDefault="00773B6B" w:rsidP="00054D51">
      <w:pPr>
        <w:pStyle w:val="SingleTxtG"/>
        <w:rPr>
          <w:lang w:val="es-VE"/>
        </w:rPr>
      </w:pPr>
      <w:r>
        <w:rPr>
          <w:lang w:val="es-VE"/>
        </w:rPr>
        <w:t>100.</w:t>
      </w:r>
      <w:r>
        <w:rPr>
          <w:lang w:val="es-VE"/>
        </w:rPr>
        <w:tab/>
      </w:r>
      <w:r w:rsidR="001734EB" w:rsidRPr="00077437">
        <w:rPr>
          <w:lang w:val="es-VE"/>
        </w:rPr>
        <w:t xml:space="preserve">La </w:t>
      </w:r>
      <w:proofErr w:type="spellStart"/>
      <w:r w:rsidR="001734EB" w:rsidRPr="00077437">
        <w:rPr>
          <w:lang w:val="es-VE"/>
        </w:rPr>
        <w:t>RBV</w:t>
      </w:r>
      <w:proofErr w:type="spellEnd"/>
      <w:r w:rsidR="001734EB" w:rsidRPr="00077437">
        <w:rPr>
          <w:lang w:val="es-VE"/>
        </w:rPr>
        <w:t xml:space="preserve"> ha puesto especial énfasis en el incremento del personal disponible para el adecuado funcionamiento del sistema nacional de salud. Entre los años 2015 y 2019, el </w:t>
      </w:r>
      <w:proofErr w:type="spellStart"/>
      <w:r w:rsidR="001734EB" w:rsidRPr="00077437">
        <w:rPr>
          <w:lang w:val="es-VE"/>
        </w:rPr>
        <w:t>MPPS</w:t>
      </w:r>
      <w:proofErr w:type="spellEnd"/>
      <w:r w:rsidR="001734EB" w:rsidRPr="00077437">
        <w:rPr>
          <w:lang w:val="es-VE"/>
        </w:rPr>
        <w:t xml:space="preserve"> ha registrado el ingreso a la plantilla de 128.324 profesionales en diversas áreas, incluyendo 30.841 licenciados en enfermería y 21.968 médicos cirujanos.</w:t>
      </w:r>
    </w:p>
    <w:p w14:paraId="392C24B2" w14:textId="77777777" w:rsidR="001734EB" w:rsidRPr="00077437" w:rsidRDefault="00773B6B" w:rsidP="00054D51">
      <w:pPr>
        <w:pStyle w:val="SingleTxtG"/>
        <w:rPr>
          <w:lang w:val="es-VE"/>
        </w:rPr>
      </w:pPr>
      <w:r>
        <w:rPr>
          <w:lang w:val="es-VE"/>
        </w:rPr>
        <w:lastRenderedPageBreak/>
        <w:t>101.</w:t>
      </w:r>
      <w:r>
        <w:rPr>
          <w:lang w:val="es-VE"/>
        </w:rPr>
        <w:tab/>
      </w:r>
      <w:r w:rsidR="001734EB" w:rsidRPr="00077437">
        <w:rPr>
          <w:lang w:val="es-VE"/>
        </w:rPr>
        <w:t xml:space="preserve">A través de la Universidad de las Ciencias de la Salud se han graduado 29.057 médicos integrales comunitarios en el período 2011-2019, todos formados bajo los principios de la atención primaria de salud y capacitados para brindar atención a las </w:t>
      </w:r>
      <w:proofErr w:type="spellStart"/>
      <w:r w:rsidR="001734EB" w:rsidRPr="00077437">
        <w:rPr>
          <w:lang w:val="es-VE"/>
        </w:rPr>
        <w:t>PcD</w:t>
      </w:r>
      <w:proofErr w:type="spellEnd"/>
      <w:r w:rsidR="001734EB" w:rsidRPr="00077437">
        <w:rPr>
          <w:lang w:val="es-VE"/>
        </w:rPr>
        <w:t xml:space="preserve">. </w:t>
      </w:r>
    </w:p>
    <w:p w14:paraId="6D888FDC" w14:textId="77777777" w:rsidR="001734EB" w:rsidRPr="00077437" w:rsidRDefault="00773B6B" w:rsidP="00054D51">
      <w:pPr>
        <w:pStyle w:val="SingleTxtG"/>
        <w:rPr>
          <w:lang w:val="es-VE"/>
        </w:rPr>
      </w:pPr>
      <w:r>
        <w:rPr>
          <w:lang w:val="es-VE"/>
        </w:rPr>
        <w:t>102.</w:t>
      </w:r>
      <w:r>
        <w:rPr>
          <w:lang w:val="es-VE"/>
        </w:rPr>
        <w:tab/>
      </w:r>
      <w:r w:rsidR="001734EB" w:rsidRPr="00077437">
        <w:rPr>
          <w:lang w:val="es-VE"/>
        </w:rPr>
        <w:t>En 2018 Venezuela alcanzó 100</w:t>
      </w:r>
      <w:r w:rsidR="001F2819">
        <w:rPr>
          <w:lang w:val="es-VE"/>
        </w:rPr>
        <w:t xml:space="preserve"> </w:t>
      </w:r>
      <w:r w:rsidR="001734EB" w:rsidRPr="00077437">
        <w:rPr>
          <w:lang w:val="es-VE"/>
        </w:rPr>
        <w:t>% de cobertura territorial en la red de atención primaria de salud, a través de áreas de salud comunitaria, consideradas como una parte esencial del sistema nacional de salud pública. En el año 2018, se realizaron 127.168.253 consultas médicas en los niveles de atención primario, ambulatorio y hospitalario. Además, se realizaron 442.235 intervenciones quirúrgicas y se vacunaron a 13.686.719 personas a nivel nacional.</w:t>
      </w:r>
    </w:p>
    <w:p w14:paraId="2B03EAE7" w14:textId="77777777" w:rsidR="001734EB" w:rsidRPr="00077437" w:rsidRDefault="00773B6B" w:rsidP="00054D51">
      <w:pPr>
        <w:pStyle w:val="SingleTxtG"/>
        <w:rPr>
          <w:lang w:val="es-VE"/>
        </w:rPr>
      </w:pPr>
      <w:r>
        <w:rPr>
          <w:lang w:val="es-VE"/>
        </w:rPr>
        <w:t>103.</w:t>
      </w:r>
      <w:r>
        <w:rPr>
          <w:lang w:val="es-VE"/>
        </w:rPr>
        <w:tab/>
      </w:r>
      <w:r w:rsidR="001734EB" w:rsidRPr="00077437">
        <w:rPr>
          <w:lang w:val="es-VE"/>
        </w:rPr>
        <w:t xml:space="preserve">Se garantiza a las </w:t>
      </w:r>
      <w:proofErr w:type="spellStart"/>
      <w:r w:rsidR="001734EB" w:rsidRPr="00077437">
        <w:rPr>
          <w:lang w:val="es-VE"/>
        </w:rPr>
        <w:t>PcD</w:t>
      </w:r>
      <w:proofErr w:type="spellEnd"/>
      <w:r w:rsidR="001734EB" w:rsidRPr="00077437">
        <w:rPr>
          <w:lang w:val="es-VE"/>
        </w:rPr>
        <w:t xml:space="preserve"> el acceso gratuito o asequible de servicios y programas salud específicos a nivel nacional, así como el acceso gratuito o asequible de bienes y servicios de habilitación y rehabilitación relacionados con la salud, incluida la identificación e intervención temprana.</w:t>
      </w:r>
    </w:p>
    <w:p w14:paraId="50575CAF" w14:textId="77777777" w:rsidR="001734EB" w:rsidRPr="00077437" w:rsidRDefault="00773B6B" w:rsidP="00054D51">
      <w:pPr>
        <w:pStyle w:val="SingleTxtG"/>
        <w:rPr>
          <w:lang w:val="es-VE"/>
        </w:rPr>
      </w:pPr>
      <w:r>
        <w:rPr>
          <w:lang w:val="es-VE"/>
        </w:rPr>
        <w:t>104.</w:t>
      </w:r>
      <w:r>
        <w:rPr>
          <w:lang w:val="es-VE"/>
        </w:rPr>
        <w:tab/>
      </w:r>
      <w:r w:rsidR="001734EB" w:rsidRPr="00077437">
        <w:rPr>
          <w:lang w:val="es-VE"/>
        </w:rPr>
        <w:t xml:space="preserve">Se cuenta con una Red Nacional de Establecimientos de Salud, a nivel Hospitalario y Red Comunal, dispuestos para garantizar la atención a las </w:t>
      </w:r>
      <w:proofErr w:type="spellStart"/>
      <w:r w:rsidR="001734EB" w:rsidRPr="00077437">
        <w:rPr>
          <w:lang w:val="es-VE"/>
        </w:rPr>
        <w:t>PcD</w:t>
      </w:r>
      <w:proofErr w:type="spellEnd"/>
      <w:r w:rsidR="001734EB" w:rsidRPr="00077437">
        <w:rPr>
          <w:lang w:val="es-VE"/>
        </w:rPr>
        <w:t xml:space="preserve">, incluyendo la existencia de servicios especializados en rehabilitación y habilitación, que desarrollan programas específicos para el funcionamiento humano por tipo de discapacidad, con áreas complementarias de atención con base en las necesidades de las </w:t>
      </w:r>
      <w:proofErr w:type="spellStart"/>
      <w:r w:rsidR="001734EB" w:rsidRPr="00077437">
        <w:rPr>
          <w:lang w:val="es-VE"/>
        </w:rPr>
        <w:t>PcD</w:t>
      </w:r>
      <w:proofErr w:type="spellEnd"/>
      <w:r w:rsidR="001734EB" w:rsidRPr="00077437">
        <w:rPr>
          <w:lang w:val="es-VE"/>
        </w:rPr>
        <w:t xml:space="preserve">. </w:t>
      </w:r>
    </w:p>
    <w:p w14:paraId="428B8B54" w14:textId="77777777" w:rsidR="001734EB" w:rsidRPr="00077437" w:rsidRDefault="00773B6B" w:rsidP="00054D51">
      <w:pPr>
        <w:pStyle w:val="SingleTxtG"/>
        <w:rPr>
          <w:lang w:val="es-VE"/>
        </w:rPr>
      </w:pPr>
      <w:r>
        <w:rPr>
          <w:lang w:val="es-VE"/>
        </w:rPr>
        <w:t>105.</w:t>
      </w:r>
      <w:r>
        <w:rPr>
          <w:lang w:val="es-VE"/>
        </w:rPr>
        <w:tab/>
      </w:r>
      <w:r w:rsidR="001734EB" w:rsidRPr="00077437">
        <w:rPr>
          <w:lang w:val="es-VE"/>
        </w:rPr>
        <w:t xml:space="preserve">En Venezuela existen más de 700 salas de rehabilitación a nivel comunitario y 48 Servicios de Medicina Física y Rehabilitación a nivel hospitalario, los cuales cuentan con equipos multidisciplinarios, compuestos por médicos, terapistas ocupacionales, fisioterapeutas, enfermeras y demás profesionales en las diferentes disciplinas, quienes garantizan una atención adecuada a las </w:t>
      </w:r>
      <w:proofErr w:type="spellStart"/>
      <w:r w:rsidR="001734EB" w:rsidRPr="00077437">
        <w:rPr>
          <w:lang w:val="es-VE"/>
        </w:rPr>
        <w:t>PcD</w:t>
      </w:r>
      <w:proofErr w:type="spellEnd"/>
      <w:r w:rsidR="001734EB" w:rsidRPr="00077437">
        <w:rPr>
          <w:lang w:val="es-VE"/>
        </w:rPr>
        <w:t>.</w:t>
      </w:r>
      <w:r w:rsidR="00223132">
        <w:rPr>
          <w:lang w:val="es-VE"/>
        </w:rPr>
        <w:t xml:space="preserve"> </w:t>
      </w:r>
    </w:p>
    <w:p w14:paraId="7E6CE29D" w14:textId="77777777" w:rsidR="001734EB" w:rsidRPr="00077437" w:rsidRDefault="00773B6B" w:rsidP="00054D51">
      <w:pPr>
        <w:pStyle w:val="SingleTxtG"/>
        <w:rPr>
          <w:lang w:val="es-VE"/>
        </w:rPr>
      </w:pPr>
      <w:r>
        <w:rPr>
          <w:lang w:val="es-VE"/>
        </w:rPr>
        <w:t>106.</w:t>
      </w:r>
      <w:r>
        <w:rPr>
          <w:lang w:val="es-VE"/>
        </w:rPr>
        <w:tab/>
      </w:r>
      <w:r w:rsidR="001734EB" w:rsidRPr="00077437">
        <w:rPr>
          <w:lang w:val="es-VE"/>
        </w:rPr>
        <w:t>Todos los servicios y atenciones en estas instalaciones son totalmente gratuitos y accesibles. En cada estado existe al menos 2 salas de rehabilitación por Área de Salud Integral Comunitaria.</w:t>
      </w:r>
      <w:r w:rsidR="00223132">
        <w:rPr>
          <w:lang w:val="es-VE"/>
        </w:rPr>
        <w:t xml:space="preserve"> </w:t>
      </w:r>
      <w:bookmarkStart w:id="22" w:name="OLE_LINK49"/>
      <w:bookmarkStart w:id="23" w:name="OLE_LINK50"/>
    </w:p>
    <w:p w14:paraId="323E9DB8" w14:textId="77777777" w:rsidR="001734EB" w:rsidRPr="00077437" w:rsidRDefault="00251A06" w:rsidP="00054D51">
      <w:pPr>
        <w:pStyle w:val="H1G"/>
        <w:rPr>
          <w:lang w:val="es-VE"/>
        </w:rPr>
      </w:pPr>
      <w:r>
        <w:rPr>
          <w:lang w:val="es-VE"/>
        </w:rPr>
        <w:tab/>
      </w:r>
      <w:r>
        <w:rPr>
          <w:lang w:val="es-VE"/>
        </w:rPr>
        <w:tab/>
      </w:r>
      <w:r w:rsidR="001734EB" w:rsidRPr="00077437">
        <w:rPr>
          <w:lang w:val="es-VE"/>
        </w:rPr>
        <w:t>Trabajo y empleo (art. 27)</w:t>
      </w:r>
    </w:p>
    <w:p w14:paraId="273558EA" w14:textId="77777777" w:rsidR="001734EB" w:rsidRPr="00077437" w:rsidRDefault="00251A06" w:rsidP="00054D51">
      <w:pPr>
        <w:pStyle w:val="H1G"/>
        <w:rPr>
          <w:lang w:val="es-VE"/>
        </w:rPr>
      </w:pPr>
      <w:r>
        <w:tab/>
      </w:r>
      <w:r>
        <w:tab/>
      </w:r>
      <w:r w:rsidR="00C154C7" w:rsidRPr="00F96454">
        <w:t xml:space="preserve">Respuesta </w:t>
      </w:r>
      <w:r w:rsidR="00C154C7">
        <w:t xml:space="preserve">a la </w:t>
      </w:r>
      <w:r w:rsidR="00C154C7">
        <w:rPr>
          <w:lang w:val="es-VE"/>
        </w:rPr>
        <w:t>c</w:t>
      </w:r>
      <w:r w:rsidR="001734EB" w:rsidRPr="00077437">
        <w:rPr>
          <w:lang w:val="es-VE"/>
        </w:rPr>
        <w:t>uestión 29</w:t>
      </w:r>
    </w:p>
    <w:bookmarkEnd w:id="22"/>
    <w:bookmarkEnd w:id="23"/>
    <w:p w14:paraId="44A0BDE8" w14:textId="77777777" w:rsidR="001734EB" w:rsidRPr="00077437" w:rsidRDefault="00251A06" w:rsidP="00054D51">
      <w:pPr>
        <w:pStyle w:val="SingleTxtG"/>
        <w:rPr>
          <w:lang w:val="es-VE"/>
        </w:rPr>
      </w:pPr>
      <w:r>
        <w:rPr>
          <w:lang w:val="es-VE"/>
        </w:rPr>
        <w:t>107.</w:t>
      </w:r>
      <w:r>
        <w:rPr>
          <w:lang w:val="es-VE"/>
        </w:rPr>
        <w:tab/>
      </w:r>
      <w:r w:rsidR="001734EB" w:rsidRPr="00077437">
        <w:rPr>
          <w:lang w:val="es-VE"/>
        </w:rPr>
        <w:t xml:space="preserve">Para el año 2018 se registraron 38.015 </w:t>
      </w:r>
      <w:proofErr w:type="spellStart"/>
      <w:r w:rsidR="001734EB" w:rsidRPr="00077437">
        <w:rPr>
          <w:lang w:val="es-VE"/>
        </w:rPr>
        <w:t>PcD</w:t>
      </w:r>
      <w:proofErr w:type="spellEnd"/>
      <w:r w:rsidR="001734EB" w:rsidRPr="00077437">
        <w:rPr>
          <w:lang w:val="es-VE"/>
        </w:rPr>
        <w:t xml:space="preserve"> laborando, lo que representa un 21,33</w:t>
      </w:r>
      <w:r w:rsidR="001F2819">
        <w:rPr>
          <w:lang w:val="es-VE"/>
        </w:rPr>
        <w:t xml:space="preserve"> </w:t>
      </w:r>
      <w:r w:rsidR="001734EB" w:rsidRPr="00077437">
        <w:rPr>
          <w:lang w:val="es-VE"/>
        </w:rPr>
        <w:t xml:space="preserve">% de </w:t>
      </w:r>
      <w:proofErr w:type="spellStart"/>
      <w:r w:rsidR="001734EB" w:rsidRPr="00077437">
        <w:rPr>
          <w:lang w:val="es-VE"/>
        </w:rPr>
        <w:t>PcD</w:t>
      </w:r>
      <w:proofErr w:type="spellEnd"/>
      <w:r w:rsidR="001734EB" w:rsidRPr="00077437">
        <w:rPr>
          <w:lang w:val="es-VE"/>
        </w:rPr>
        <w:t xml:space="preserve"> ingresadas laboralmente, en relación con las 178.158 </w:t>
      </w:r>
      <w:proofErr w:type="spellStart"/>
      <w:r w:rsidR="001734EB" w:rsidRPr="00077437">
        <w:rPr>
          <w:lang w:val="es-VE"/>
        </w:rPr>
        <w:t>PcD</w:t>
      </w:r>
      <w:proofErr w:type="spellEnd"/>
      <w:r w:rsidR="001734EB" w:rsidRPr="00077437">
        <w:rPr>
          <w:lang w:val="es-VE"/>
        </w:rPr>
        <w:t xml:space="preserve"> ubicadas en el rango de edad productiva entre 19 a 64 años.</w:t>
      </w:r>
    </w:p>
    <w:p w14:paraId="65A25042" w14:textId="77777777" w:rsidR="001734EB" w:rsidRPr="00077437" w:rsidRDefault="00251A06" w:rsidP="00054D51">
      <w:pPr>
        <w:pStyle w:val="SingleTxtG"/>
        <w:rPr>
          <w:lang w:val="es-VE"/>
        </w:rPr>
      </w:pPr>
      <w:r>
        <w:rPr>
          <w:lang w:val="es-VE"/>
        </w:rPr>
        <w:t>108.</w:t>
      </w:r>
      <w:r>
        <w:rPr>
          <w:lang w:val="es-VE"/>
        </w:rPr>
        <w:tab/>
      </w:r>
      <w:r w:rsidR="001734EB" w:rsidRPr="00077437">
        <w:rPr>
          <w:lang w:val="es-VE"/>
        </w:rPr>
        <w:t>El Ministerio del Poder Popular para el Proceso Social del Trabajo (</w:t>
      </w:r>
      <w:proofErr w:type="spellStart"/>
      <w:r w:rsidR="001734EB" w:rsidRPr="00077437">
        <w:rPr>
          <w:lang w:val="es-VE"/>
        </w:rPr>
        <w:t>MPPPST</w:t>
      </w:r>
      <w:proofErr w:type="spellEnd"/>
      <w:r w:rsidR="001734EB" w:rsidRPr="00077437">
        <w:rPr>
          <w:lang w:val="es-VE"/>
        </w:rPr>
        <w:t xml:space="preserve">) efectúa la verificación del cumplimiento de la normativa que rige la contratación de </w:t>
      </w:r>
      <w:proofErr w:type="spellStart"/>
      <w:r w:rsidR="001734EB" w:rsidRPr="00077437">
        <w:rPr>
          <w:lang w:val="es-VE"/>
        </w:rPr>
        <w:t>PcD</w:t>
      </w:r>
      <w:proofErr w:type="spellEnd"/>
      <w:r w:rsidR="001734EB" w:rsidRPr="00077437">
        <w:rPr>
          <w:lang w:val="es-VE"/>
        </w:rPr>
        <w:t>, bajo los fundamentos y procedimientos que se indican en la Ley Orgánica del Trabajo, los Trabajadores y las Trabajadoras (</w:t>
      </w:r>
      <w:proofErr w:type="spellStart"/>
      <w:r w:rsidR="001734EB" w:rsidRPr="00077437">
        <w:rPr>
          <w:lang w:val="es-VE"/>
        </w:rPr>
        <w:t>LOTTT</w:t>
      </w:r>
      <w:proofErr w:type="spellEnd"/>
      <w:r w:rsidR="001734EB" w:rsidRPr="00077437">
        <w:rPr>
          <w:lang w:val="es-VE"/>
        </w:rPr>
        <w:t xml:space="preserve">). </w:t>
      </w:r>
    </w:p>
    <w:p w14:paraId="1EEDF228" w14:textId="77777777" w:rsidR="001734EB" w:rsidRPr="00077437" w:rsidRDefault="00251A06" w:rsidP="00054D51">
      <w:pPr>
        <w:pStyle w:val="SingleTxtG"/>
        <w:rPr>
          <w:lang w:val="es-VE"/>
        </w:rPr>
      </w:pPr>
      <w:r>
        <w:rPr>
          <w:lang w:val="es-VE"/>
        </w:rPr>
        <w:t>109.</w:t>
      </w:r>
      <w:r>
        <w:rPr>
          <w:lang w:val="es-VE"/>
        </w:rPr>
        <w:tab/>
      </w:r>
      <w:r w:rsidR="001734EB" w:rsidRPr="00077437">
        <w:rPr>
          <w:lang w:val="es-VE"/>
        </w:rPr>
        <w:t xml:space="preserve">Entre los meses de enero y octubre de 2019 se inspeccionaron 16.262 entidades de trabajo, detectando 143 entidades que incumplieron la obligación prevista en el artículo 290 de la </w:t>
      </w:r>
      <w:proofErr w:type="spellStart"/>
      <w:r w:rsidR="001734EB" w:rsidRPr="00077437">
        <w:rPr>
          <w:lang w:val="es-VE"/>
        </w:rPr>
        <w:t>LOTTT</w:t>
      </w:r>
      <w:proofErr w:type="spellEnd"/>
      <w:r w:rsidR="001734EB" w:rsidRPr="00077437">
        <w:rPr>
          <w:lang w:val="es-VE"/>
        </w:rPr>
        <w:t xml:space="preserve">. Como resultado de estas inspecciones se iniciaron 31 procedimientos administrativos sancionatorios. </w:t>
      </w:r>
    </w:p>
    <w:p w14:paraId="296FBDE0" w14:textId="77777777" w:rsidR="001734EB" w:rsidRPr="00077437" w:rsidRDefault="00251A06" w:rsidP="00054D51">
      <w:pPr>
        <w:pStyle w:val="SingleTxtG"/>
        <w:rPr>
          <w:lang w:val="es-VE"/>
        </w:rPr>
      </w:pPr>
      <w:r>
        <w:rPr>
          <w:lang w:val="es-VE"/>
        </w:rPr>
        <w:t>110.</w:t>
      </w:r>
      <w:r>
        <w:rPr>
          <w:lang w:val="es-VE"/>
        </w:rPr>
        <w:tab/>
      </w:r>
      <w:r w:rsidR="001734EB" w:rsidRPr="00077437">
        <w:rPr>
          <w:lang w:val="es-VE"/>
        </w:rPr>
        <w:t xml:space="preserve">En el período 2015-2019, el </w:t>
      </w:r>
      <w:proofErr w:type="spellStart"/>
      <w:r w:rsidR="001734EB" w:rsidRPr="00077437">
        <w:rPr>
          <w:lang w:val="es-VE"/>
        </w:rPr>
        <w:t>CONAPDIS</w:t>
      </w:r>
      <w:proofErr w:type="spellEnd"/>
      <w:r w:rsidR="001734EB" w:rsidRPr="00077437">
        <w:rPr>
          <w:lang w:val="es-VE"/>
        </w:rPr>
        <w:t xml:space="preserve"> ha impuesto un total de 100 multas por el incumplimiento de la obligación prevista en el artículo 28 de la </w:t>
      </w:r>
      <w:proofErr w:type="spellStart"/>
      <w:r w:rsidR="001734EB" w:rsidRPr="00077437">
        <w:rPr>
          <w:lang w:val="es-VE"/>
        </w:rPr>
        <w:t>LPCD</w:t>
      </w:r>
      <w:proofErr w:type="spellEnd"/>
      <w:r w:rsidR="001734EB" w:rsidRPr="00077437">
        <w:rPr>
          <w:lang w:val="es-VE"/>
        </w:rPr>
        <w:t xml:space="preserve">. </w:t>
      </w:r>
    </w:p>
    <w:p w14:paraId="3ED40FF2" w14:textId="77777777" w:rsidR="001734EB" w:rsidRPr="001A10BF" w:rsidRDefault="001734EB" w:rsidP="004E5744">
      <w:pPr>
        <w:pStyle w:val="Ttulo1"/>
      </w:pPr>
      <w:r w:rsidRPr="001A10BF">
        <w:t>Tabla 9</w:t>
      </w:r>
    </w:p>
    <w:p w14:paraId="68747B06" w14:textId="77777777" w:rsidR="001734EB" w:rsidRPr="00223132" w:rsidRDefault="00AD676C" w:rsidP="00054D51">
      <w:pPr>
        <w:pStyle w:val="H23G"/>
        <w:spacing w:before="0"/>
        <w:rPr>
          <w:lang w:val="es-VE"/>
        </w:rPr>
      </w:pPr>
      <w:r>
        <w:rPr>
          <w:lang w:val="es-VE"/>
        </w:rPr>
        <w:tab/>
      </w:r>
      <w:r>
        <w:rPr>
          <w:lang w:val="es-VE"/>
        </w:rPr>
        <w:tab/>
      </w:r>
      <w:r w:rsidR="001734EB" w:rsidRPr="00223132">
        <w:rPr>
          <w:lang w:val="es-VE"/>
        </w:rPr>
        <w:t xml:space="preserve">Multas impuestas por incumplimiento de artículo 28 </w:t>
      </w:r>
      <w:proofErr w:type="spellStart"/>
      <w:r w:rsidR="001734EB" w:rsidRPr="00223132">
        <w:rPr>
          <w:lang w:val="es-VE"/>
        </w:rPr>
        <w:t>LPCD</w:t>
      </w:r>
      <w:proofErr w:type="spellEnd"/>
      <w:r w:rsidR="00223132">
        <w:rPr>
          <w:lang w:val="es-VE"/>
        </w:rPr>
        <w:t xml:space="preserve"> </w:t>
      </w:r>
      <w:r>
        <w:rPr>
          <w:lang w:val="es-VE"/>
        </w:rPr>
        <w:t>—</w:t>
      </w:r>
      <w:proofErr w:type="spellStart"/>
      <w:r w:rsidR="001734EB" w:rsidRPr="00223132">
        <w:rPr>
          <w:lang w:val="es-VE"/>
        </w:rPr>
        <w:t>CONAPDIS</w:t>
      </w:r>
      <w:proofErr w:type="spellEnd"/>
      <w:r>
        <w:rPr>
          <w:lang w:val="es-VE"/>
        </w:rPr>
        <w:t>—</w:t>
      </w:r>
      <w:r>
        <w:rPr>
          <w:lang w:val="es-VE"/>
        </w:rPr>
        <w:br/>
      </w:r>
      <w:r w:rsidR="001734EB" w:rsidRPr="00223132">
        <w:rPr>
          <w:lang w:val="es-VE"/>
        </w:rPr>
        <w:t>2015-2019</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3744"/>
        <w:gridCol w:w="3626"/>
      </w:tblGrid>
      <w:tr w:rsidR="00AD676C" w:rsidRPr="00AD676C" w14:paraId="102AFC92" w14:textId="77777777" w:rsidTr="00054D51">
        <w:trPr>
          <w:trHeight w:val="240"/>
          <w:tblHeader/>
        </w:trPr>
        <w:tc>
          <w:tcPr>
            <w:tcW w:w="3744" w:type="dxa"/>
            <w:tcBorders>
              <w:top w:val="single" w:sz="4" w:space="0" w:color="auto"/>
              <w:bottom w:val="single" w:sz="12" w:space="0" w:color="auto"/>
            </w:tcBorders>
            <w:shd w:val="clear" w:color="auto" w:fill="auto"/>
            <w:vAlign w:val="bottom"/>
          </w:tcPr>
          <w:p w14:paraId="57A0734A" w14:textId="77777777" w:rsidR="001734EB" w:rsidRPr="004E5744" w:rsidRDefault="001734EB" w:rsidP="00054D51">
            <w:pPr>
              <w:pStyle w:val="SingleTxtG"/>
              <w:spacing w:before="80" w:after="80" w:line="200" w:lineRule="exact"/>
              <w:ind w:left="0" w:right="0"/>
              <w:jc w:val="left"/>
              <w:rPr>
                <w:i/>
                <w:sz w:val="16"/>
                <w:lang w:val="es-VE"/>
              </w:rPr>
            </w:pPr>
            <w:r w:rsidRPr="004E5744">
              <w:rPr>
                <w:i/>
                <w:sz w:val="16"/>
                <w:lang w:val="es-VE"/>
              </w:rPr>
              <w:t>Año</w:t>
            </w:r>
          </w:p>
        </w:tc>
        <w:tc>
          <w:tcPr>
            <w:tcW w:w="3626" w:type="dxa"/>
            <w:tcBorders>
              <w:top w:val="single" w:sz="4" w:space="0" w:color="auto"/>
              <w:bottom w:val="single" w:sz="12" w:space="0" w:color="auto"/>
            </w:tcBorders>
            <w:shd w:val="clear" w:color="auto" w:fill="auto"/>
            <w:vAlign w:val="bottom"/>
          </w:tcPr>
          <w:p w14:paraId="4173BD1E" w14:textId="77777777" w:rsidR="001734EB" w:rsidRPr="004E5744" w:rsidRDefault="001734EB" w:rsidP="00054D51">
            <w:pPr>
              <w:pStyle w:val="SingleTxtG"/>
              <w:spacing w:before="80" w:after="80" w:line="200" w:lineRule="exact"/>
              <w:ind w:left="113" w:right="0"/>
              <w:jc w:val="right"/>
              <w:rPr>
                <w:i/>
                <w:sz w:val="16"/>
                <w:lang w:val="es-VE"/>
              </w:rPr>
            </w:pPr>
            <w:r w:rsidRPr="004E5744">
              <w:rPr>
                <w:i/>
                <w:sz w:val="16"/>
                <w:lang w:val="es-VE"/>
              </w:rPr>
              <w:t>Multas</w:t>
            </w:r>
          </w:p>
        </w:tc>
      </w:tr>
      <w:tr w:rsidR="00AD676C" w:rsidRPr="00AD676C" w14:paraId="27954E4D" w14:textId="77777777" w:rsidTr="00054D51">
        <w:trPr>
          <w:trHeight w:val="240"/>
        </w:trPr>
        <w:tc>
          <w:tcPr>
            <w:tcW w:w="3744" w:type="dxa"/>
            <w:tcBorders>
              <w:top w:val="single" w:sz="12" w:space="0" w:color="auto"/>
            </w:tcBorders>
            <w:shd w:val="clear" w:color="auto" w:fill="auto"/>
          </w:tcPr>
          <w:p w14:paraId="5C282A41" w14:textId="77777777" w:rsidR="001734EB" w:rsidRPr="004E5744" w:rsidRDefault="001734EB" w:rsidP="00054D51">
            <w:pPr>
              <w:pStyle w:val="SingleTxtG"/>
              <w:spacing w:before="40" w:after="40" w:line="220" w:lineRule="exact"/>
              <w:ind w:left="0" w:right="0"/>
              <w:jc w:val="left"/>
              <w:rPr>
                <w:sz w:val="18"/>
                <w:lang w:val="es-VE"/>
              </w:rPr>
            </w:pPr>
            <w:r w:rsidRPr="004E5744">
              <w:rPr>
                <w:sz w:val="18"/>
                <w:lang w:val="es-VE"/>
              </w:rPr>
              <w:t>2015</w:t>
            </w:r>
          </w:p>
        </w:tc>
        <w:tc>
          <w:tcPr>
            <w:tcW w:w="3626" w:type="dxa"/>
            <w:tcBorders>
              <w:top w:val="single" w:sz="12" w:space="0" w:color="auto"/>
            </w:tcBorders>
            <w:shd w:val="clear" w:color="auto" w:fill="auto"/>
            <w:vAlign w:val="bottom"/>
          </w:tcPr>
          <w:p w14:paraId="0BE9E8D1" w14:textId="77777777" w:rsidR="001734EB" w:rsidRPr="00AD676C" w:rsidRDefault="001734EB" w:rsidP="00054D51">
            <w:pPr>
              <w:pStyle w:val="SingleTxtG"/>
              <w:spacing w:before="40" w:after="40" w:line="220" w:lineRule="exact"/>
              <w:ind w:left="113" w:right="0"/>
              <w:jc w:val="right"/>
              <w:rPr>
                <w:sz w:val="18"/>
                <w:lang w:val="es-VE"/>
              </w:rPr>
            </w:pPr>
            <w:r w:rsidRPr="004E5744">
              <w:rPr>
                <w:sz w:val="18"/>
                <w:lang w:val="es-VE"/>
              </w:rPr>
              <w:t>27</w:t>
            </w:r>
          </w:p>
        </w:tc>
      </w:tr>
      <w:tr w:rsidR="00AD676C" w:rsidRPr="00AD676C" w14:paraId="0808F90C" w14:textId="77777777" w:rsidTr="00054D51">
        <w:trPr>
          <w:trHeight w:val="240"/>
        </w:trPr>
        <w:tc>
          <w:tcPr>
            <w:tcW w:w="3744" w:type="dxa"/>
            <w:shd w:val="clear" w:color="auto" w:fill="auto"/>
          </w:tcPr>
          <w:p w14:paraId="25E9B88A" w14:textId="77777777" w:rsidR="001734EB" w:rsidRPr="00AD676C" w:rsidRDefault="001734EB" w:rsidP="00054D51">
            <w:pPr>
              <w:pStyle w:val="SingleTxtG"/>
              <w:spacing w:before="40" w:after="40" w:line="220" w:lineRule="exact"/>
              <w:ind w:left="0" w:right="0"/>
              <w:jc w:val="left"/>
              <w:rPr>
                <w:sz w:val="18"/>
                <w:lang w:val="es-VE"/>
              </w:rPr>
            </w:pPr>
            <w:r w:rsidRPr="00AD676C">
              <w:rPr>
                <w:sz w:val="18"/>
                <w:lang w:val="es-VE"/>
              </w:rPr>
              <w:t>2016</w:t>
            </w:r>
          </w:p>
        </w:tc>
        <w:tc>
          <w:tcPr>
            <w:tcW w:w="3626" w:type="dxa"/>
            <w:shd w:val="clear" w:color="auto" w:fill="auto"/>
            <w:vAlign w:val="bottom"/>
          </w:tcPr>
          <w:p w14:paraId="12595470" w14:textId="77777777" w:rsidR="001734EB" w:rsidRPr="00AD676C" w:rsidRDefault="001734EB" w:rsidP="00054D51">
            <w:pPr>
              <w:pStyle w:val="SingleTxtG"/>
              <w:spacing w:before="40" w:after="40" w:line="220" w:lineRule="exact"/>
              <w:ind w:left="113" w:right="0"/>
              <w:jc w:val="right"/>
              <w:rPr>
                <w:sz w:val="18"/>
                <w:lang w:val="es-VE"/>
              </w:rPr>
            </w:pPr>
            <w:r w:rsidRPr="00AD676C">
              <w:rPr>
                <w:sz w:val="18"/>
                <w:lang w:val="es-VE"/>
              </w:rPr>
              <w:t>35</w:t>
            </w:r>
          </w:p>
        </w:tc>
      </w:tr>
      <w:tr w:rsidR="00AD676C" w:rsidRPr="00AD676C" w14:paraId="67C74928" w14:textId="77777777" w:rsidTr="00054D51">
        <w:trPr>
          <w:trHeight w:val="240"/>
        </w:trPr>
        <w:tc>
          <w:tcPr>
            <w:tcW w:w="3744" w:type="dxa"/>
            <w:shd w:val="clear" w:color="auto" w:fill="auto"/>
          </w:tcPr>
          <w:p w14:paraId="5B470937" w14:textId="77777777" w:rsidR="001734EB" w:rsidRPr="00AD676C" w:rsidRDefault="001734EB" w:rsidP="00054D51">
            <w:pPr>
              <w:pStyle w:val="SingleTxtG"/>
              <w:spacing w:before="40" w:after="40" w:line="220" w:lineRule="exact"/>
              <w:ind w:left="0" w:right="0"/>
              <w:jc w:val="left"/>
              <w:rPr>
                <w:sz w:val="18"/>
                <w:lang w:val="es-VE"/>
              </w:rPr>
            </w:pPr>
            <w:r w:rsidRPr="00AD676C">
              <w:rPr>
                <w:sz w:val="18"/>
                <w:lang w:val="es-VE"/>
              </w:rPr>
              <w:t>2017</w:t>
            </w:r>
          </w:p>
        </w:tc>
        <w:tc>
          <w:tcPr>
            <w:tcW w:w="3626" w:type="dxa"/>
            <w:shd w:val="clear" w:color="auto" w:fill="auto"/>
            <w:vAlign w:val="bottom"/>
          </w:tcPr>
          <w:p w14:paraId="4F39643D" w14:textId="77777777" w:rsidR="001734EB" w:rsidRPr="00AD676C" w:rsidRDefault="001734EB" w:rsidP="00054D51">
            <w:pPr>
              <w:pStyle w:val="SingleTxtG"/>
              <w:spacing w:before="40" w:after="40" w:line="220" w:lineRule="exact"/>
              <w:ind w:left="113" w:right="0"/>
              <w:jc w:val="right"/>
              <w:rPr>
                <w:sz w:val="18"/>
                <w:lang w:val="es-VE"/>
              </w:rPr>
            </w:pPr>
            <w:r w:rsidRPr="00AD676C">
              <w:rPr>
                <w:sz w:val="18"/>
                <w:lang w:val="es-VE"/>
              </w:rPr>
              <w:t>17</w:t>
            </w:r>
          </w:p>
        </w:tc>
      </w:tr>
      <w:tr w:rsidR="00AD676C" w:rsidRPr="00AD676C" w14:paraId="25F4DDAD" w14:textId="77777777" w:rsidTr="00054D51">
        <w:trPr>
          <w:trHeight w:val="240"/>
        </w:trPr>
        <w:tc>
          <w:tcPr>
            <w:tcW w:w="3744" w:type="dxa"/>
            <w:shd w:val="clear" w:color="auto" w:fill="auto"/>
          </w:tcPr>
          <w:p w14:paraId="634E6AEE" w14:textId="77777777" w:rsidR="001734EB" w:rsidRPr="00AD676C" w:rsidRDefault="001734EB" w:rsidP="00054D51">
            <w:pPr>
              <w:pStyle w:val="SingleTxtG"/>
              <w:spacing w:before="40" w:after="40" w:line="220" w:lineRule="exact"/>
              <w:ind w:left="0" w:right="0"/>
              <w:jc w:val="left"/>
              <w:rPr>
                <w:sz w:val="18"/>
                <w:lang w:val="es-VE"/>
              </w:rPr>
            </w:pPr>
            <w:r w:rsidRPr="00AD676C">
              <w:rPr>
                <w:sz w:val="18"/>
                <w:lang w:val="es-VE"/>
              </w:rPr>
              <w:lastRenderedPageBreak/>
              <w:t>2018</w:t>
            </w:r>
          </w:p>
        </w:tc>
        <w:tc>
          <w:tcPr>
            <w:tcW w:w="3626" w:type="dxa"/>
            <w:shd w:val="clear" w:color="auto" w:fill="auto"/>
            <w:vAlign w:val="bottom"/>
          </w:tcPr>
          <w:p w14:paraId="52691FC6" w14:textId="77777777" w:rsidR="001734EB" w:rsidRPr="00AD676C" w:rsidRDefault="001734EB" w:rsidP="00054D51">
            <w:pPr>
              <w:pStyle w:val="SingleTxtG"/>
              <w:spacing w:before="40" w:after="40" w:line="220" w:lineRule="exact"/>
              <w:ind w:left="113" w:right="0"/>
              <w:jc w:val="right"/>
              <w:rPr>
                <w:sz w:val="18"/>
                <w:lang w:val="es-VE"/>
              </w:rPr>
            </w:pPr>
            <w:r w:rsidRPr="00AD676C">
              <w:rPr>
                <w:sz w:val="18"/>
                <w:lang w:val="es-VE"/>
              </w:rPr>
              <w:t>16</w:t>
            </w:r>
          </w:p>
        </w:tc>
      </w:tr>
      <w:tr w:rsidR="00AD676C" w:rsidRPr="00AD676C" w14:paraId="1F597806" w14:textId="77777777" w:rsidTr="00054D51">
        <w:trPr>
          <w:trHeight w:val="240"/>
        </w:trPr>
        <w:tc>
          <w:tcPr>
            <w:tcW w:w="3744" w:type="dxa"/>
            <w:tcBorders>
              <w:bottom w:val="single" w:sz="4" w:space="0" w:color="auto"/>
            </w:tcBorders>
            <w:shd w:val="clear" w:color="auto" w:fill="auto"/>
          </w:tcPr>
          <w:p w14:paraId="3DE8FB28" w14:textId="77777777" w:rsidR="001734EB" w:rsidRPr="00AD676C" w:rsidRDefault="001734EB" w:rsidP="00054D51">
            <w:pPr>
              <w:pStyle w:val="SingleTxtG"/>
              <w:spacing w:before="40" w:after="40" w:line="220" w:lineRule="exact"/>
              <w:ind w:left="0" w:right="0"/>
              <w:jc w:val="left"/>
              <w:rPr>
                <w:sz w:val="18"/>
                <w:lang w:val="es-VE"/>
              </w:rPr>
            </w:pPr>
            <w:r w:rsidRPr="00AD676C">
              <w:rPr>
                <w:sz w:val="18"/>
                <w:lang w:val="es-VE"/>
              </w:rPr>
              <w:t>2019</w:t>
            </w:r>
          </w:p>
        </w:tc>
        <w:tc>
          <w:tcPr>
            <w:tcW w:w="3626" w:type="dxa"/>
            <w:tcBorders>
              <w:bottom w:val="single" w:sz="4" w:space="0" w:color="auto"/>
            </w:tcBorders>
            <w:shd w:val="clear" w:color="auto" w:fill="auto"/>
            <w:vAlign w:val="bottom"/>
          </w:tcPr>
          <w:p w14:paraId="2DF8080C" w14:textId="77777777" w:rsidR="001734EB" w:rsidRPr="00AD676C" w:rsidRDefault="001734EB" w:rsidP="00054D51">
            <w:pPr>
              <w:pStyle w:val="SingleTxtG"/>
              <w:spacing w:before="40" w:after="40" w:line="220" w:lineRule="exact"/>
              <w:ind w:left="113" w:right="0"/>
              <w:jc w:val="right"/>
              <w:rPr>
                <w:sz w:val="18"/>
                <w:lang w:val="es-VE"/>
              </w:rPr>
            </w:pPr>
            <w:r w:rsidRPr="00AD676C">
              <w:rPr>
                <w:sz w:val="18"/>
                <w:lang w:val="es-VE"/>
              </w:rPr>
              <w:t>5</w:t>
            </w:r>
          </w:p>
        </w:tc>
      </w:tr>
      <w:tr w:rsidR="00AD676C" w:rsidRPr="00AD676C" w14:paraId="31D11E94" w14:textId="77777777" w:rsidTr="00054D51">
        <w:trPr>
          <w:trHeight w:val="240"/>
        </w:trPr>
        <w:tc>
          <w:tcPr>
            <w:tcW w:w="3744" w:type="dxa"/>
            <w:tcBorders>
              <w:top w:val="single" w:sz="4" w:space="0" w:color="auto"/>
              <w:bottom w:val="single" w:sz="12" w:space="0" w:color="auto"/>
            </w:tcBorders>
            <w:shd w:val="clear" w:color="auto" w:fill="auto"/>
          </w:tcPr>
          <w:p w14:paraId="465E327B" w14:textId="77777777" w:rsidR="001734EB" w:rsidRPr="004E5744" w:rsidRDefault="00AD676C" w:rsidP="00054D51">
            <w:pPr>
              <w:pStyle w:val="SingleTxtG"/>
              <w:spacing w:before="80" w:after="80" w:line="220" w:lineRule="exact"/>
              <w:ind w:left="283" w:right="0"/>
              <w:jc w:val="left"/>
              <w:rPr>
                <w:b/>
                <w:sz w:val="18"/>
                <w:lang w:val="es-VE"/>
              </w:rPr>
            </w:pPr>
            <w:r w:rsidRPr="00054D51">
              <w:rPr>
                <w:b/>
                <w:sz w:val="18"/>
                <w:lang w:val="es-VE"/>
              </w:rPr>
              <w:t>Total</w:t>
            </w:r>
          </w:p>
        </w:tc>
        <w:tc>
          <w:tcPr>
            <w:tcW w:w="3626" w:type="dxa"/>
            <w:tcBorders>
              <w:top w:val="single" w:sz="4" w:space="0" w:color="auto"/>
              <w:bottom w:val="single" w:sz="12" w:space="0" w:color="auto"/>
            </w:tcBorders>
            <w:shd w:val="clear" w:color="auto" w:fill="auto"/>
            <w:vAlign w:val="bottom"/>
          </w:tcPr>
          <w:p w14:paraId="26C36A48" w14:textId="77777777" w:rsidR="001734EB" w:rsidRPr="004E5744" w:rsidRDefault="001734EB" w:rsidP="00054D51">
            <w:pPr>
              <w:pStyle w:val="SingleTxtG"/>
              <w:spacing w:before="80" w:after="80" w:line="220" w:lineRule="exact"/>
              <w:ind w:left="0" w:right="0"/>
              <w:jc w:val="right"/>
              <w:rPr>
                <w:b/>
                <w:sz w:val="18"/>
                <w:lang w:val="es-VE"/>
              </w:rPr>
            </w:pPr>
            <w:r w:rsidRPr="004E5744">
              <w:rPr>
                <w:b/>
                <w:sz w:val="18"/>
                <w:lang w:val="es-VE"/>
              </w:rPr>
              <w:t>100</w:t>
            </w:r>
          </w:p>
        </w:tc>
      </w:tr>
    </w:tbl>
    <w:p w14:paraId="3E8EE61D" w14:textId="77777777" w:rsidR="001734EB" w:rsidRPr="00077437" w:rsidRDefault="00AD676C" w:rsidP="00054D51">
      <w:pPr>
        <w:pStyle w:val="H1G"/>
        <w:rPr>
          <w:lang w:val="es-VE"/>
        </w:rPr>
      </w:pPr>
      <w:bookmarkStart w:id="24" w:name="OLE_LINK53"/>
      <w:bookmarkStart w:id="25" w:name="OLE_LINK54"/>
      <w:r>
        <w:rPr>
          <w:lang w:val="es-VE"/>
        </w:rPr>
        <w:tab/>
      </w:r>
      <w:r>
        <w:rPr>
          <w:lang w:val="es-VE"/>
        </w:rPr>
        <w:tab/>
      </w:r>
      <w:r w:rsidR="001734EB" w:rsidRPr="00077437">
        <w:rPr>
          <w:lang w:val="es-VE"/>
        </w:rPr>
        <w:t>Nivel de vida adecuado y protección social (art. 28)</w:t>
      </w:r>
    </w:p>
    <w:p w14:paraId="0B1EB1EB" w14:textId="77777777" w:rsidR="001734EB" w:rsidRPr="00077437" w:rsidRDefault="00AD676C" w:rsidP="00054D51">
      <w:pPr>
        <w:pStyle w:val="H1G"/>
        <w:rPr>
          <w:lang w:val="es-VE"/>
        </w:rPr>
      </w:pPr>
      <w:r>
        <w:tab/>
      </w:r>
      <w:r>
        <w:tab/>
      </w:r>
      <w:r w:rsidR="00C154C7" w:rsidRPr="00F96454">
        <w:t xml:space="preserve">Respuesta </w:t>
      </w:r>
      <w:r w:rsidR="00C154C7">
        <w:t xml:space="preserve">a la </w:t>
      </w:r>
      <w:r w:rsidR="00C154C7">
        <w:rPr>
          <w:lang w:val="es-VE"/>
        </w:rPr>
        <w:t>c</w:t>
      </w:r>
      <w:r w:rsidR="001734EB" w:rsidRPr="00077437">
        <w:rPr>
          <w:lang w:val="es-VE"/>
        </w:rPr>
        <w:t>uestión 30</w:t>
      </w:r>
    </w:p>
    <w:p w14:paraId="339C2D82" w14:textId="77777777" w:rsidR="001734EB" w:rsidRPr="00077437" w:rsidRDefault="00AD676C" w:rsidP="00054D51">
      <w:pPr>
        <w:pStyle w:val="SingleTxtG"/>
        <w:rPr>
          <w:lang w:val="es-VE"/>
        </w:rPr>
      </w:pPr>
      <w:r>
        <w:rPr>
          <w:lang w:val="es-VE"/>
        </w:rPr>
        <w:t>111.</w:t>
      </w:r>
      <w:r>
        <w:rPr>
          <w:lang w:val="es-VE"/>
        </w:rPr>
        <w:tab/>
      </w:r>
      <w:r w:rsidR="001734EB" w:rsidRPr="00077437">
        <w:rPr>
          <w:lang w:val="es-VE"/>
        </w:rPr>
        <w:t>La pobreza medida por Necesidades Básicas Insatisfechas (</w:t>
      </w:r>
      <w:proofErr w:type="spellStart"/>
      <w:r w:rsidR="001734EB" w:rsidRPr="00077437">
        <w:rPr>
          <w:lang w:val="es-VE"/>
        </w:rPr>
        <w:t>NBI</w:t>
      </w:r>
      <w:proofErr w:type="spellEnd"/>
      <w:r w:rsidR="001734EB" w:rsidRPr="00077437">
        <w:rPr>
          <w:lang w:val="es-VE"/>
        </w:rPr>
        <w:t>) disminuyó en el período 2015-2018, pasando de 19,7</w:t>
      </w:r>
      <w:r w:rsidR="00AC7B31">
        <w:rPr>
          <w:lang w:val="es-VE"/>
        </w:rPr>
        <w:t xml:space="preserve"> </w:t>
      </w:r>
      <w:r w:rsidR="001734EB" w:rsidRPr="00077437">
        <w:rPr>
          <w:lang w:val="es-VE"/>
        </w:rPr>
        <w:t>% hogares pobres en 2015, a 18,3</w:t>
      </w:r>
      <w:r w:rsidR="00AC7B31">
        <w:rPr>
          <w:lang w:val="es-VE"/>
        </w:rPr>
        <w:t xml:space="preserve"> </w:t>
      </w:r>
      <w:r w:rsidR="001734EB" w:rsidRPr="00077437">
        <w:rPr>
          <w:lang w:val="es-VE"/>
        </w:rPr>
        <w:t>% en 2016, 18,1</w:t>
      </w:r>
      <w:r w:rsidR="00AC7B31">
        <w:rPr>
          <w:lang w:val="es-VE"/>
        </w:rPr>
        <w:t xml:space="preserve"> </w:t>
      </w:r>
      <w:r w:rsidR="001734EB" w:rsidRPr="00077437">
        <w:rPr>
          <w:lang w:val="es-VE"/>
        </w:rPr>
        <w:t>% en 2017 y 17,3</w:t>
      </w:r>
      <w:r w:rsidR="00AC7B31">
        <w:rPr>
          <w:lang w:val="es-VE"/>
        </w:rPr>
        <w:t xml:space="preserve"> </w:t>
      </w:r>
      <w:r w:rsidR="001734EB" w:rsidRPr="00077437">
        <w:rPr>
          <w:lang w:val="es-VE"/>
        </w:rPr>
        <w:t>% en 2018. En el caso de la pobreza extrema, se pasó de 4,9</w:t>
      </w:r>
      <w:r w:rsidR="00AC7B31">
        <w:rPr>
          <w:lang w:val="es-VE"/>
        </w:rPr>
        <w:t xml:space="preserve"> </w:t>
      </w:r>
      <w:r w:rsidR="001734EB" w:rsidRPr="00077437">
        <w:rPr>
          <w:lang w:val="es-VE"/>
        </w:rPr>
        <w:t>% de hogares en pobreza extrema en 2015, a 4,4</w:t>
      </w:r>
      <w:r w:rsidR="00AC7B31">
        <w:rPr>
          <w:lang w:val="es-VE"/>
        </w:rPr>
        <w:t xml:space="preserve"> </w:t>
      </w:r>
      <w:r w:rsidR="001734EB" w:rsidRPr="00077437">
        <w:rPr>
          <w:lang w:val="es-VE"/>
        </w:rPr>
        <w:t>% en 2016, 4.4</w:t>
      </w:r>
      <w:r w:rsidR="00AC7B31">
        <w:rPr>
          <w:lang w:val="es-VE"/>
        </w:rPr>
        <w:t xml:space="preserve"> </w:t>
      </w:r>
      <w:r w:rsidR="001734EB" w:rsidRPr="00077437">
        <w:rPr>
          <w:lang w:val="es-VE"/>
        </w:rPr>
        <w:t>% en 2017 y 4,3</w:t>
      </w:r>
      <w:r w:rsidR="00AC7B31">
        <w:rPr>
          <w:lang w:val="es-VE"/>
        </w:rPr>
        <w:t xml:space="preserve"> </w:t>
      </w:r>
      <w:r w:rsidR="001734EB" w:rsidRPr="00077437">
        <w:rPr>
          <w:lang w:val="es-VE"/>
        </w:rPr>
        <w:t>% en 2018.</w:t>
      </w:r>
      <w:r w:rsidR="00223132">
        <w:rPr>
          <w:lang w:val="es-VE"/>
        </w:rPr>
        <w:t xml:space="preserve"> </w:t>
      </w:r>
    </w:p>
    <w:p w14:paraId="098AA35B" w14:textId="77777777" w:rsidR="001734EB" w:rsidRPr="00077437" w:rsidRDefault="00AC7B31" w:rsidP="00054D51">
      <w:pPr>
        <w:pStyle w:val="SingleTxtG"/>
        <w:rPr>
          <w:lang w:val="es-VE"/>
        </w:rPr>
      </w:pPr>
      <w:r>
        <w:rPr>
          <w:lang w:val="es-VE"/>
        </w:rPr>
        <w:t>112.</w:t>
      </w:r>
      <w:r>
        <w:rPr>
          <w:lang w:val="es-VE"/>
        </w:rPr>
        <w:tab/>
      </w:r>
      <w:r w:rsidR="001734EB" w:rsidRPr="00077437">
        <w:rPr>
          <w:lang w:val="es-VE"/>
        </w:rPr>
        <w:t xml:space="preserve">Como resultado de la política por la igualdad en la distribución del ingreso nacional, el Índice de Gini pasó de 0.381 en 2015 a 0.377 en 2018. </w:t>
      </w:r>
    </w:p>
    <w:p w14:paraId="26A98658" w14:textId="77777777" w:rsidR="001734EB" w:rsidRPr="00077437" w:rsidRDefault="00AC7B31" w:rsidP="00054D51">
      <w:pPr>
        <w:pStyle w:val="SingleTxtG"/>
        <w:rPr>
          <w:lang w:val="es-VE"/>
        </w:rPr>
      </w:pPr>
      <w:r>
        <w:rPr>
          <w:lang w:val="es-VE"/>
        </w:rPr>
        <w:t>113.</w:t>
      </w:r>
      <w:r>
        <w:rPr>
          <w:lang w:val="es-VE"/>
        </w:rPr>
        <w:tab/>
      </w:r>
      <w:r w:rsidR="001734EB" w:rsidRPr="00077437">
        <w:rPr>
          <w:lang w:val="es-VE"/>
        </w:rPr>
        <w:t xml:space="preserve">En el año 2016 se creó el sistema del </w:t>
      </w:r>
      <w:proofErr w:type="gramStart"/>
      <w:r w:rsidR="001734EB" w:rsidRPr="00077437">
        <w:rPr>
          <w:lang w:val="es-VE"/>
        </w:rPr>
        <w:t>Carnet</w:t>
      </w:r>
      <w:proofErr w:type="gramEnd"/>
      <w:r w:rsidR="001734EB" w:rsidRPr="00077437">
        <w:rPr>
          <w:lang w:val="es-VE"/>
        </w:rPr>
        <w:t xml:space="preserve"> de la Patria para incrementar la cobertura y eficiencia de los programas sociales destinados a la población, incluyendo a las </w:t>
      </w:r>
      <w:proofErr w:type="spellStart"/>
      <w:r w:rsidR="001734EB" w:rsidRPr="00077437">
        <w:rPr>
          <w:lang w:val="es-VE"/>
        </w:rPr>
        <w:t>PcD</w:t>
      </w:r>
      <w:proofErr w:type="spellEnd"/>
      <w:r w:rsidR="001734EB" w:rsidRPr="00077437">
        <w:rPr>
          <w:lang w:val="es-VE"/>
        </w:rPr>
        <w:t>. En la actualidad, más de 18 millones de personas se encuentran registradas en este sistema, lo que equivale aproximadamente al 80</w:t>
      </w:r>
      <w:r w:rsidR="001F2819">
        <w:rPr>
          <w:lang w:val="es-VE"/>
        </w:rPr>
        <w:t xml:space="preserve"> </w:t>
      </w:r>
      <w:r w:rsidR="001734EB" w:rsidRPr="00077437">
        <w:rPr>
          <w:lang w:val="es-VE"/>
        </w:rPr>
        <w:t xml:space="preserve">% de la población adulta del país. </w:t>
      </w:r>
    </w:p>
    <w:p w14:paraId="50939EDB" w14:textId="77777777" w:rsidR="001734EB" w:rsidRPr="00077437" w:rsidRDefault="00C45D5A" w:rsidP="00054D51">
      <w:pPr>
        <w:pStyle w:val="SingleTxtG"/>
        <w:rPr>
          <w:lang w:val="es-VE"/>
        </w:rPr>
      </w:pPr>
      <w:r>
        <w:rPr>
          <w:lang w:val="es-VE"/>
        </w:rPr>
        <w:t>114.</w:t>
      </w:r>
      <w:r>
        <w:rPr>
          <w:lang w:val="es-VE"/>
        </w:rPr>
        <w:tab/>
      </w:r>
      <w:r w:rsidR="001734EB" w:rsidRPr="00077437">
        <w:rPr>
          <w:lang w:val="es-VE"/>
        </w:rPr>
        <w:t xml:space="preserve">A través del </w:t>
      </w:r>
      <w:proofErr w:type="gramStart"/>
      <w:r w:rsidR="001734EB" w:rsidRPr="00077437">
        <w:rPr>
          <w:lang w:val="es-VE"/>
        </w:rPr>
        <w:t>Carnet</w:t>
      </w:r>
      <w:proofErr w:type="gramEnd"/>
      <w:r w:rsidR="001734EB" w:rsidRPr="00077437">
        <w:rPr>
          <w:lang w:val="es-VE"/>
        </w:rPr>
        <w:t xml:space="preserve"> de la Patria, se realizan asignaciones dinerarias mensuales a los hogares más necesitados, así como transferencias dinerarias mensuales para mujeres embarazadas o en período de lactancia y </w:t>
      </w:r>
      <w:proofErr w:type="spellStart"/>
      <w:r w:rsidR="001734EB" w:rsidRPr="00077437">
        <w:rPr>
          <w:lang w:val="es-VE"/>
        </w:rPr>
        <w:t>PcD</w:t>
      </w:r>
      <w:proofErr w:type="spellEnd"/>
      <w:r w:rsidR="001734EB" w:rsidRPr="00077437">
        <w:rPr>
          <w:lang w:val="es-VE"/>
        </w:rPr>
        <w:t xml:space="preserve">. Asimismo, se realizan asignaciones extraordinarias en forma de bonos económicos. En 2019 un total de 1.794.088 </w:t>
      </w:r>
      <w:proofErr w:type="spellStart"/>
      <w:r w:rsidR="001734EB" w:rsidRPr="00077437">
        <w:rPr>
          <w:lang w:val="es-VE"/>
        </w:rPr>
        <w:t>PcD</w:t>
      </w:r>
      <w:proofErr w:type="spellEnd"/>
      <w:r w:rsidR="001734EB" w:rsidRPr="00077437">
        <w:rPr>
          <w:lang w:val="es-VE"/>
        </w:rPr>
        <w:t xml:space="preserve"> reciben la asignación dineraria mensual denominada </w:t>
      </w:r>
      <w:r w:rsidR="001734EB" w:rsidRPr="00077437">
        <w:rPr>
          <w:i/>
          <w:lang w:val="es-VE"/>
        </w:rPr>
        <w:t>“José Gregorio Hernández”</w:t>
      </w:r>
      <w:r w:rsidR="001734EB" w:rsidRPr="00077437">
        <w:rPr>
          <w:lang w:val="es-VE"/>
        </w:rPr>
        <w:t xml:space="preserve">, a través del sistema del </w:t>
      </w:r>
      <w:proofErr w:type="gramStart"/>
      <w:r w:rsidR="001734EB" w:rsidRPr="00077437">
        <w:rPr>
          <w:lang w:val="es-VE"/>
        </w:rPr>
        <w:t>Carnet</w:t>
      </w:r>
      <w:proofErr w:type="gramEnd"/>
      <w:r w:rsidR="001734EB" w:rsidRPr="00077437">
        <w:rPr>
          <w:lang w:val="es-VE"/>
        </w:rPr>
        <w:t xml:space="preserve"> de la Patria. </w:t>
      </w:r>
    </w:p>
    <w:p w14:paraId="4A421CF0" w14:textId="77777777" w:rsidR="001734EB" w:rsidRPr="00077437" w:rsidRDefault="00C45D5A" w:rsidP="00054D51">
      <w:pPr>
        <w:pStyle w:val="SingleTxtG"/>
        <w:rPr>
          <w:lang w:val="es-VE"/>
        </w:rPr>
      </w:pPr>
      <w:r>
        <w:rPr>
          <w:lang w:val="es-VE"/>
        </w:rPr>
        <w:t>115.</w:t>
      </w:r>
      <w:r>
        <w:rPr>
          <w:lang w:val="es-VE"/>
        </w:rPr>
        <w:tab/>
      </w:r>
      <w:r w:rsidR="001734EB" w:rsidRPr="00077437">
        <w:rPr>
          <w:lang w:val="es-VE"/>
        </w:rPr>
        <w:t xml:space="preserve">El Estado venezolano implementa diversos programas para garantizar el derecho a la alimentación, en los que se prioriza a las </w:t>
      </w:r>
      <w:proofErr w:type="spellStart"/>
      <w:r w:rsidR="001734EB" w:rsidRPr="00077437">
        <w:rPr>
          <w:lang w:val="es-VE"/>
        </w:rPr>
        <w:t>PcD</w:t>
      </w:r>
      <w:proofErr w:type="spellEnd"/>
      <w:r w:rsidR="001734EB" w:rsidRPr="00077437">
        <w:rPr>
          <w:lang w:val="es-VE"/>
        </w:rPr>
        <w:t>: (i) Comités Locales de Alimentación y Producción (</w:t>
      </w:r>
      <w:proofErr w:type="spellStart"/>
      <w:r w:rsidR="001734EB" w:rsidRPr="00077437">
        <w:rPr>
          <w:lang w:val="es-VE"/>
        </w:rPr>
        <w:t>CLAP</w:t>
      </w:r>
      <w:proofErr w:type="spellEnd"/>
      <w:r w:rsidR="001734EB" w:rsidRPr="00077437">
        <w:rPr>
          <w:lang w:val="es-VE"/>
        </w:rPr>
        <w:t xml:space="preserve">); </w:t>
      </w:r>
      <w:proofErr w:type="spellStart"/>
      <w:r w:rsidR="001734EB" w:rsidRPr="00077437">
        <w:rPr>
          <w:lang w:val="es-VE"/>
        </w:rPr>
        <w:t>ii</w:t>
      </w:r>
      <w:proofErr w:type="spellEnd"/>
      <w:r w:rsidR="001734EB" w:rsidRPr="00077437">
        <w:rPr>
          <w:lang w:val="es-VE"/>
        </w:rPr>
        <w:t xml:space="preserve">) Las Casas de Alimentación; </w:t>
      </w:r>
      <w:proofErr w:type="spellStart"/>
      <w:r w:rsidR="001734EB" w:rsidRPr="00077437">
        <w:rPr>
          <w:lang w:val="es-VE"/>
        </w:rPr>
        <w:t>iii</w:t>
      </w:r>
      <w:proofErr w:type="spellEnd"/>
      <w:r w:rsidR="001734EB" w:rsidRPr="00077437">
        <w:rPr>
          <w:lang w:val="es-VE"/>
        </w:rPr>
        <w:t>) El Programa de Alimentación Escolar (</w:t>
      </w:r>
      <w:proofErr w:type="spellStart"/>
      <w:r w:rsidR="001734EB" w:rsidRPr="00077437">
        <w:rPr>
          <w:lang w:val="es-VE"/>
        </w:rPr>
        <w:t>PAE</w:t>
      </w:r>
      <w:proofErr w:type="spellEnd"/>
      <w:r w:rsidR="001734EB" w:rsidRPr="00077437">
        <w:rPr>
          <w:lang w:val="es-VE"/>
        </w:rPr>
        <w:t xml:space="preserve">); </w:t>
      </w:r>
      <w:proofErr w:type="spellStart"/>
      <w:r w:rsidR="001734EB" w:rsidRPr="00077437">
        <w:rPr>
          <w:lang w:val="es-VE"/>
        </w:rPr>
        <w:t>iv</w:t>
      </w:r>
      <w:proofErr w:type="spellEnd"/>
      <w:r w:rsidR="001734EB" w:rsidRPr="00077437">
        <w:rPr>
          <w:lang w:val="es-VE"/>
        </w:rPr>
        <w:t xml:space="preserve">) El Programa de Proteína Animal y Ferias del Campo Soberano; v) El Plan de Atención a la Vulnerabilidad Nutricional, vi) los Comedores Populares; </w:t>
      </w:r>
      <w:proofErr w:type="spellStart"/>
      <w:r w:rsidR="001734EB" w:rsidRPr="00077437">
        <w:rPr>
          <w:lang w:val="es-VE"/>
        </w:rPr>
        <w:t>vii</w:t>
      </w:r>
      <w:proofErr w:type="spellEnd"/>
      <w:r w:rsidR="001734EB" w:rsidRPr="00077437">
        <w:rPr>
          <w:lang w:val="es-VE"/>
        </w:rPr>
        <w:t>) El Servicio de Alimentación a Personas bajo la Tutela del Estado (</w:t>
      </w:r>
      <w:proofErr w:type="spellStart"/>
      <w:r w:rsidR="001734EB" w:rsidRPr="00077437">
        <w:rPr>
          <w:lang w:val="es-VE"/>
        </w:rPr>
        <w:t>SAPTE</w:t>
      </w:r>
      <w:proofErr w:type="spellEnd"/>
      <w:r w:rsidR="001734EB" w:rsidRPr="00077437">
        <w:rPr>
          <w:lang w:val="es-VE"/>
        </w:rPr>
        <w:t>)</w:t>
      </w:r>
      <w:r w:rsidR="004E5744">
        <w:rPr>
          <w:lang w:val="es-VE"/>
        </w:rPr>
        <w:t>,</w:t>
      </w:r>
      <w:r w:rsidR="001734EB" w:rsidRPr="00077437">
        <w:rPr>
          <w:lang w:val="es-VE"/>
        </w:rPr>
        <w:t xml:space="preserve"> y </w:t>
      </w:r>
      <w:proofErr w:type="spellStart"/>
      <w:r w:rsidR="001734EB" w:rsidRPr="00077437">
        <w:rPr>
          <w:lang w:val="es-VE"/>
        </w:rPr>
        <w:t>viii</w:t>
      </w:r>
      <w:proofErr w:type="spellEnd"/>
      <w:r w:rsidR="001734EB" w:rsidRPr="00077437">
        <w:rPr>
          <w:lang w:val="es-VE"/>
        </w:rPr>
        <w:t>) El Componente Alimentario para pueblos originarios.</w:t>
      </w:r>
    </w:p>
    <w:p w14:paraId="655CF3CF" w14:textId="77777777" w:rsidR="001734EB" w:rsidRPr="00077437" w:rsidRDefault="00C45D5A" w:rsidP="00054D51">
      <w:pPr>
        <w:pStyle w:val="SingleTxtG"/>
        <w:rPr>
          <w:lang w:val="es-VE"/>
        </w:rPr>
      </w:pPr>
      <w:r>
        <w:rPr>
          <w:lang w:val="es-VE"/>
        </w:rPr>
        <w:t>116.</w:t>
      </w:r>
      <w:r>
        <w:rPr>
          <w:lang w:val="es-VE"/>
        </w:rPr>
        <w:tab/>
      </w:r>
      <w:r w:rsidR="001734EB" w:rsidRPr="00077437">
        <w:rPr>
          <w:lang w:val="es-VE"/>
        </w:rPr>
        <w:t xml:space="preserve">Con el programa </w:t>
      </w:r>
      <w:proofErr w:type="spellStart"/>
      <w:r w:rsidR="001734EB" w:rsidRPr="00077437">
        <w:rPr>
          <w:lang w:val="es-VE"/>
        </w:rPr>
        <w:t>CLAP</w:t>
      </w:r>
      <w:proofErr w:type="spellEnd"/>
      <w:r w:rsidR="001734EB" w:rsidRPr="00077437">
        <w:rPr>
          <w:lang w:val="es-VE"/>
        </w:rPr>
        <w:t>, el Estado distribuye cada 21 días en promedio, productos alimenticios a precios subsidiados a un total de 6 millones de familias, lo cual representa el 80</w:t>
      </w:r>
      <w:r w:rsidR="001F2819">
        <w:rPr>
          <w:lang w:val="es-VE"/>
        </w:rPr>
        <w:t xml:space="preserve"> </w:t>
      </w:r>
      <w:r w:rsidR="001734EB" w:rsidRPr="00077437">
        <w:rPr>
          <w:lang w:val="es-VE"/>
        </w:rPr>
        <w:t xml:space="preserve">% de los núcleos familiares del país. En la determinación de los beneficiarios de este programa se prioriza a las </w:t>
      </w:r>
      <w:proofErr w:type="spellStart"/>
      <w:r w:rsidR="001734EB" w:rsidRPr="00077437">
        <w:rPr>
          <w:lang w:val="es-VE"/>
        </w:rPr>
        <w:t>PcD</w:t>
      </w:r>
      <w:proofErr w:type="spellEnd"/>
      <w:r w:rsidR="001734EB" w:rsidRPr="00077437">
        <w:rPr>
          <w:lang w:val="es-VE"/>
        </w:rPr>
        <w:t xml:space="preserve">. Este programa de protección social ha sido objeto de medidas coercitivas unilaterales impuestas por el gobierno de los Estados Unidos de América. </w:t>
      </w:r>
    </w:p>
    <w:p w14:paraId="3A02371F" w14:textId="77777777" w:rsidR="001734EB" w:rsidRPr="00077437" w:rsidRDefault="00C45D5A" w:rsidP="00054D51">
      <w:pPr>
        <w:pStyle w:val="SingleTxtG"/>
        <w:rPr>
          <w:lang w:val="es-VE"/>
        </w:rPr>
      </w:pPr>
      <w:r>
        <w:rPr>
          <w:lang w:val="es-VE"/>
        </w:rPr>
        <w:t>117.</w:t>
      </w:r>
      <w:r>
        <w:rPr>
          <w:lang w:val="es-VE"/>
        </w:rPr>
        <w:tab/>
      </w:r>
      <w:r w:rsidR="001734EB" w:rsidRPr="00077437">
        <w:rPr>
          <w:lang w:val="es-VE"/>
        </w:rPr>
        <w:t xml:space="preserve">Con el programa </w:t>
      </w:r>
      <w:proofErr w:type="spellStart"/>
      <w:r w:rsidR="001734EB" w:rsidRPr="00077437">
        <w:rPr>
          <w:lang w:val="es-VE"/>
        </w:rPr>
        <w:t>PAE</w:t>
      </w:r>
      <w:proofErr w:type="spellEnd"/>
      <w:r w:rsidR="001734EB" w:rsidRPr="00077437">
        <w:rPr>
          <w:lang w:val="es-VE"/>
        </w:rPr>
        <w:t xml:space="preserve"> se suministra gratuitamente la alimentación a 5.357.380 niños, niñas y adolescentes que estudian en 23.439 escuelas en todo el país. En las Casas de Alimentación se suministra comida preparada de manera gratuita a más de 6.000 personas en estado de vulnerabilidad social, incluyendo </w:t>
      </w:r>
      <w:proofErr w:type="spellStart"/>
      <w:r w:rsidR="001734EB" w:rsidRPr="00077437">
        <w:rPr>
          <w:lang w:val="es-VE"/>
        </w:rPr>
        <w:t>PcD</w:t>
      </w:r>
      <w:proofErr w:type="spellEnd"/>
      <w:r w:rsidR="001734EB" w:rsidRPr="00077437">
        <w:rPr>
          <w:lang w:val="es-VE"/>
        </w:rPr>
        <w:t xml:space="preserve">. </w:t>
      </w:r>
    </w:p>
    <w:p w14:paraId="020981D3" w14:textId="77777777" w:rsidR="001734EB" w:rsidRPr="00077437" w:rsidRDefault="00C45D5A" w:rsidP="00054D51">
      <w:pPr>
        <w:pStyle w:val="SingleTxtG"/>
        <w:rPr>
          <w:lang w:val="es-VE"/>
        </w:rPr>
      </w:pPr>
      <w:r>
        <w:rPr>
          <w:lang w:val="es-VE"/>
        </w:rPr>
        <w:t>118.</w:t>
      </w:r>
      <w:r>
        <w:rPr>
          <w:lang w:val="es-VE"/>
        </w:rPr>
        <w:tab/>
      </w:r>
      <w:r w:rsidR="001734EB" w:rsidRPr="00077437">
        <w:rPr>
          <w:lang w:val="es-VE"/>
        </w:rPr>
        <w:t xml:space="preserve">A través del programa </w:t>
      </w:r>
      <w:proofErr w:type="spellStart"/>
      <w:r w:rsidR="001734EB" w:rsidRPr="00077437">
        <w:rPr>
          <w:lang w:val="es-VE"/>
        </w:rPr>
        <w:t>SAPTE</w:t>
      </w:r>
      <w:proofErr w:type="spellEnd"/>
      <w:r w:rsidR="001734EB" w:rsidRPr="00077437">
        <w:rPr>
          <w:lang w:val="es-VE"/>
        </w:rPr>
        <w:t xml:space="preserve"> se distribuyen alimentos para centros penitenciarios, centros de salud, centros residenciales de adultos mayores y casas de abrigo para mujeres embarazadas, niños, niñas y adolescentes. El componente alimentario para pueblos indígenas suministra alimentos a más 30.000 personas pertenecientes a 24 pueblos originarios ubicados en 338 comunidades indígenas. </w:t>
      </w:r>
    </w:p>
    <w:p w14:paraId="41C61BCC" w14:textId="77777777" w:rsidR="001734EB" w:rsidRPr="00077437" w:rsidRDefault="00C45D5A" w:rsidP="00054D51">
      <w:pPr>
        <w:pStyle w:val="SingleTxtG"/>
        <w:rPr>
          <w:lang w:val="es-VE"/>
        </w:rPr>
      </w:pPr>
      <w:r>
        <w:rPr>
          <w:lang w:val="es-VE"/>
        </w:rPr>
        <w:t>119.</w:t>
      </w:r>
      <w:r>
        <w:rPr>
          <w:lang w:val="es-VE"/>
        </w:rPr>
        <w:tab/>
      </w:r>
      <w:r w:rsidR="001734EB" w:rsidRPr="00077437">
        <w:rPr>
          <w:lang w:val="es-VE"/>
        </w:rPr>
        <w:t xml:space="preserve">La </w:t>
      </w:r>
      <w:proofErr w:type="spellStart"/>
      <w:r w:rsidR="001734EB" w:rsidRPr="00077437">
        <w:rPr>
          <w:lang w:val="es-VE"/>
        </w:rPr>
        <w:t>RBV</w:t>
      </w:r>
      <w:proofErr w:type="spellEnd"/>
      <w:r w:rsidR="001734EB" w:rsidRPr="00077437">
        <w:rPr>
          <w:lang w:val="es-VE"/>
        </w:rPr>
        <w:t xml:space="preserve"> mantiene una política de subsidio generalizado de los servicios públicos, incluyendo agua potable, electricidad, gas doméstico, telefonía fija, telefonía celular, internet y televisión satelital. </w:t>
      </w:r>
    </w:p>
    <w:p w14:paraId="68253807" w14:textId="77777777" w:rsidR="001734EB" w:rsidRPr="00077437" w:rsidRDefault="00C45D5A" w:rsidP="00054D51">
      <w:pPr>
        <w:pStyle w:val="SingleTxtG"/>
        <w:rPr>
          <w:lang w:val="es-VE"/>
        </w:rPr>
      </w:pPr>
      <w:r>
        <w:rPr>
          <w:lang w:val="es-VE"/>
        </w:rPr>
        <w:lastRenderedPageBreak/>
        <w:t>120.</w:t>
      </w:r>
      <w:r>
        <w:rPr>
          <w:lang w:val="es-VE"/>
        </w:rPr>
        <w:tab/>
      </w:r>
      <w:r w:rsidR="001734EB" w:rsidRPr="00077437">
        <w:rPr>
          <w:lang w:val="es-VE"/>
        </w:rPr>
        <w:t xml:space="preserve">Como consecuencia de la caída del precio del petróleo, los ingresos de Venezuela por exportación petrolera disminuyeron de 42.690 millones de dólares en 2013 a 38.109 millones de dólares en 2014, 10.634 millones de dólares en 2015, 4.650 millones de dólares en 2016, 5.198 millones de dólares en 2017 y 4.088 millones de dólares en 2018. </w:t>
      </w:r>
    </w:p>
    <w:p w14:paraId="76E349FE" w14:textId="77777777" w:rsidR="001734EB" w:rsidRPr="00077437" w:rsidRDefault="00C45D5A" w:rsidP="00054D51">
      <w:pPr>
        <w:pStyle w:val="SingleTxtG"/>
        <w:rPr>
          <w:lang w:val="es-VE"/>
        </w:rPr>
      </w:pPr>
      <w:r>
        <w:rPr>
          <w:lang w:val="es-VE"/>
        </w:rPr>
        <w:t>121.</w:t>
      </w:r>
      <w:r>
        <w:rPr>
          <w:lang w:val="es-VE"/>
        </w:rPr>
        <w:tab/>
      </w:r>
      <w:r w:rsidR="001734EB" w:rsidRPr="00077437">
        <w:rPr>
          <w:lang w:val="es-VE"/>
        </w:rPr>
        <w:t xml:space="preserve">Venezuela ha logrado mantener la financiación de los programas de protección social para la población en general y las </w:t>
      </w:r>
      <w:proofErr w:type="spellStart"/>
      <w:r w:rsidR="001734EB" w:rsidRPr="00077437">
        <w:rPr>
          <w:lang w:val="es-VE"/>
        </w:rPr>
        <w:t>PcD</w:t>
      </w:r>
      <w:proofErr w:type="spellEnd"/>
      <w:r w:rsidR="001734EB" w:rsidRPr="00077437">
        <w:rPr>
          <w:lang w:val="es-VE"/>
        </w:rPr>
        <w:t>, priorizando la inversión de recursos en esta materia, a pesar de la disminución de los ingresos a partir del año 2014.</w:t>
      </w:r>
      <w:r w:rsidR="00223132">
        <w:rPr>
          <w:lang w:val="es-VE"/>
        </w:rPr>
        <w:t xml:space="preserve"> </w:t>
      </w:r>
      <w:r w:rsidR="001734EB" w:rsidRPr="00077437">
        <w:rPr>
          <w:lang w:val="es-VE"/>
        </w:rPr>
        <w:t>El 75</w:t>
      </w:r>
      <w:r w:rsidR="001F2819">
        <w:rPr>
          <w:lang w:val="es-VE"/>
        </w:rPr>
        <w:t xml:space="preserve"> </w:t>
      </w:r>
      <w:r w:rsidR="001734EB" w:rsidRPr="00077437">
        <w:rPr>
          <w:lang w:val="es-VE"/>
        </w:rPr>
        <w:t xml:space="preserve">% del presupuesto nacional se destina a la inversión social. </w:t>
      </w:r>
    </w:p>
    <w:p w14:paraId="089A933B" w14:textId="77777777" w:rsidR="001734EB" w:rsidRPr="00077437" w:rsidRDefault="00C45D5A" w:rsidP="00054D51">
      <w:pPr>
        <w:pStyle w:val="SingleTxtG"/>
        <w:rPr>
          <w:lang w:val="es-VE"/>
        </w:rPr>
      </w:pPr>
      <w:r>
        <w:rPr>
          <w:lang w:val="es-VE"/>
        </w:rPr>
        <w:t>122.</w:t>
      </w:r>
      <w:r>
        <w:rPr>
          <w:lang w:val="es-VE"/>
        </w:rPr>
        <w:tab/>
      </w:r>
      <w:r w:rsidR="001734EB" w:rsidRPr="00077437">
        <w:rPr>
          <w:lang w:val="es-VE"/>
        </w:rPr>
        <w:t xml:space="preserve">El </w:t>
      </w:r>
      <w:proofErr w:type="spellStart"/>
      <w:r w:rsidR="001734EB" w:rsidRPr="00077437">
        <w:rPr>
          <w:lang w:val="es-VE"/>
        </w:rPr>
        <w:t>MPPVH</w:t>
      </w:r>
      <w:proofErr w:type="spellEnd"/>
      <w:r w:rsidR="001734EB" w:rsidRPr="00077437">
        <w:rPr>
          <w:lang w:val="es-VE"/>
        </w:rPr>
        <w:t xml:space="preserve"> a través de la Gran Misión Vivienda Venezuela, ha generado mecanismos de atención a las solicitudes de viviendas y de financiamiento para mejoras y adecuaciones de viviendas para las </w:t>
      </w:r>
      <w:proofErr w:type="spellStart"/>
      <w:r w:rsidR="001734EB" w:rsidRPr="00077437">
        <w:rPr>
          <w:lang w:val="es-VE"/>
        </w:rPr>
        <w:t>PcD</w:t>
      </w:r>
      <w:proofErr w:type="spellEnd"/>
      <w:r w:rsidR="001734EB" w:rsidRPr="00077437">
        <w:rPr>
          <w:lang w:val="es-VE"/>
        </w:rPr>
        <w:t>.</w:t>
      </w:r>
      <w:r w:rsidR="00223132">
        <w:rPr>
          <w:lang w:val="es-VE"/>
        </w:rPr>
        <w:t xml:space="preserve"> </w:t>
      </w:r>
    </w:p>
    <w:p w14:paraId="2D0EFEF3" w14:textId="77777777" w:rsidR="001734EB" w:rsidRPr="00077437" w:rsidRDefault="00C45D5A" w:rsidP="00054D51">
      <w:pPr>
        <w:pStyle w:val="SingleTxtG"/>
        <w:rPr>
          <w:lang w:val="es-VE"/>
        </w:rPr>
      </w:pPr>
      <w:r>
        <w:rPr>
          <w:lang w:val="es-VE"/>
        </w:rPr>
        <w:t>123.</w:t>
      </w:r>
      <w:r>
        <w:rPr>
          <w:lang w:val="es-VE"/>
        </w:rPr>
        <w:tab/>
      </w:r>
      <w:r w:rsidR="001734EB" w:rsidRPr="00077437">
        <w:rPr>
          <w:lang w:val="es-VE"/>
        </w:rPr>
        <w:t xml:space="preserve">A octubre de 2019 se han entregado 11.045 viviendas a grupos familiares con al menos una </w:t>
      </w:r>
      <w:proofErr w:type="spellStart"/>
      <w:r w:rsidR="001734EB" w:rsidRPr="00077437">
        <w:rPr>
          <w:lang w:val="es-VE"/>
        </w:rPr>
        <w:t>PcD</w:t>
      </w:r>
      <w:proofErr w:type="spellEnd"/>
      <w:r w:rsidR="001734EB" w:rsidRPr="00077437">
        <w:rPr>
          <w:lang w:val="es-VE"/>
        </w:rPr>
        <w:t xml:space="preserve">. Asimismo, se han atendido mediante las jornadas de adecuación de espacios y áreas en los urbanismos a 4.587 grupos familiares con al menos una </w:t>
      </w:r>
      <w:proofErr w:type="spellStart"/>
      <w:r w:rsidR="001734EB" w:rsidRPr="00077437">
        <w:rPr>
          <w:lang w:val="es-VE"/>
        </w:rPr>
        <w:t>PcD</w:t>
      </w:r>
      <w:proofErr w:type="spellEnd"/>
      <w:r w:rsidR="001734EB" w:rsidRPr="00077437">
        <w:rPr>
          <w:lang w:val="es-VE"/>
        </w:rPr>
        <w:t xml:space="preserve">, garantizando la accesibilidad y cumplimiento de las normas de infraestructura sin barreras. </w:t>
      </w:r>
    </w:p>
    <w:p w14:paraId="335772D1" w14:textId="77777777" w:rsidR="001734EB" w:rsidRPr="00077437" w:rsidRDefault="00C45D5A" w:rsidP="00054D51">
      <w:pPr>
        <w:pStyle w:val="SingleTxtG"/>
        <w:rPr>
          <w:lang w:val="es-VE"/>
        </w:rPr>
      </w:pPr>
      <w:r>
        <w:rPr>
          <w:lang w:val="es-VE"/>
        </w:rPr>
        <w:t>124.</w:t>
      </w:r>
      <w:r>
        <w:rPr>
          <w:lang w:val="es-VE"/>
        </w:rPr>
        <w:tab/>
      </w:r>
      <w:r w:rsidR="001734EB" w:rsidRPr="00077437">
        <w:rPr>
          <w:lang w:val="es-VE"/>
        </w:rPr>
        <w:t xml:space="preserve">El </w:t>
      </w:r>
      <w:proofErr w:type="spellStart"/>
      <w:r w:rsidR="001734EB" w:rsidRPr="00077437">
        <w:rPr>
          <w:lang w:val="es-VE"/>
        </w:rPr>
        <w:t>MPPVH</w:t>
      </w:r>
      <w:proofErr w:type="spellEnd"/>
      <w:r w:rsidR="001734EB" w:rsidRPr="00077437">
        <w:rPr>
          <w:lang w:val="es-VE"/>
        </w:rPr>
        <w:t xml:space="preserve"> mantiene 26.412 </w:t>
      </w:r>
      <w:proofErr w:type="spellStart"/>
      <w:r w:rsidR="001734EB" w:rsidRPr="00077437">
        <w:rPr>
          <w:lang w:val="es-VE"/>
        </w:rPr>
        <w:t>PcD</w:t>
      </w:r>
      <w:proofErr w:type="spellEnd"/>
      <w:r w:rsidR="001734EB" w:rsidRPr="00077437">
        <w:rPr>
          <w:lang w:val="es-VE"/>
        </w:rPr>
        <w:t xml:space="preserve"> asociadas a las obras en construcción por la Gran Misión Vivienda Venezuela</w:t>
      </w:r>
      <w:r w:rsidR="00B52D11">
        <w:rPr>
          <w:lang w:val="es-VE"/>
        </w:rPr>
        <w:t>.</w:t>
      </w:r>
    </w:p>
    <w:p w14:paraId="3CDC7ACB" w14:textId="77777777" w:rsidR="001734EB" w:rsidRPr="00077437" w:rsidRDefault="00C45D5A" w:rsidP="00054D51">
      <w:pPr>
        <w:pStyle w:val="SingleTxtG"/>
        <w:rPr>
          <w:lang w:val="es-VE"/>
        </w:rPr>
      </w:pPr>
      <w:r>
        <w:rPr>
          <w:lang w:val="es-VE"/>
        </w:rPr>
        <w:t>125.</w:t>
      </w:r>
      <w:r>
        <w:rPr>
          <w:lang w:val="es-VE"/>
        </w:rPr>
        <w:tab/>
      </w:r>
      <w:r w:rsidR="001734EB" w:rsidRPr="00077437">
        <w:rPr>
          <w:lang w:val="es-VE"/>
        </w:rPr>
        <w:t>Con el programa de financiamiento desarrollado por el Banco Nacional de Hábitat y Vivienda se garantiza el subsidio por parte del Estado para la adquisición, adecuación o remodelación de las viviendas, a través del otorgamiento de créditos pagaderos a un máximo de 30 años, con una tasa de interés de 1,4</w:t>
      </w:r>
      <w:r w:rsidR="001F2819">
        <w:rPr>
          <w:lang w:val="es-VE"/>
        </w:rPr>
        <w:t xml:space="preserve"> </w:t>
      </w:r>
      <w:r w:rsidR="001734EB" w:rsidRPr="00077437">
        <w:rPr>
          <w:lang w:val="es-VE"/>
        </w:rPr>
        <w:t xml:space="preserve">%. </w:t>
      </w:r>
    </w:p>
    <w:p w14:paraId="715F806E" w14:textId="77777777" w:rsidR="001734EB" w:rsidRPr="00077437" w:rsidRDefault="00C45D5A" w:rsidP="00054D51">
      <w:pPr>
        <w:pStyle w:val="SingleTxtG"/>
        <w:rPr>
          <w:lang w:val="es-VE"/>
        </w:rPr>
      </w:pPr>
      <w:r>
        <w:rPr>
          <w:lang w:val="es-VE"/>
        </w:rPr>
        <w:t>126.</w:t>
      </w:r>
      <w:r>
        <w:rPr>
          <w:lang w:val="es-VE"/>
        </w:rPr>
        <w:tab/>
      </w:r>
      <w:r w:rsidR="001734EB" w:rsidRPr="00077437">
        <w:rPr>
          <w:lang w:val="es-VE"/>
        </w:rPr>
        <w:t>La Gran Misión José Gregorio Hernández (</w:t>
      </w:r>
      <w:proofErr w:type="spellStart"/>
      <w:r w:rsidR="001734EB" w:rsidRPr="00077437">
        <w:rPr>
          <w:lang w:val="es-VE"/>
        </w:rPr>
        <w:t>GMJGH</w:t>
      </w:r>
      <w:proofErr w:type="spellEnd"/>
      <w:r w:rsidR="001734EB" w:rsidRPr="00077437">
        <w:rPr>
          <w:lang w:val="es-VE"/>
        </w:rPr>
        <w:t xml:space="preserve">) otorgó de forma gratuita un total de 42.765 ayudas técnicas a </w:t>
      </w:r>
      <w:proofErr w:type="spellStart"/>
      <w:r w:rsidR="001734EB" w:rsidRPr="00077437">
        <w:rPr>
          <w:lang w:val="es-VE"/>
        </w:rPr>
        <w:t>PcD</w:t>
      </w:r>
      <w:proofErr w:type="spellEnd"/>
      <w:r w:rsidR="001734EB" w:rsidRPr="00077437">
        <w:rPr>
          <w:lang w:val="es-VE"/>
        </w:rPr>
        <w:t xml:space="preserve">. Asimismo, cumple un rol fundamental para visitar cada una de las comunidades del país para detectar las necesidades de las </w:t>
      </w:r>
      <w:proofErr w:type="spellStart"/>
      <w:r w:rsidR="001734EB" w:rsidRPr="00077437">
        <w:rPr>
          <w:lang w:val="es-VE"/>
        </w:rPr>
        <w:t>PcD</w:t>
      </w:r>
      <w:proofErr w:type="spellEnd"/>
      <w:r w:rsidR="001734EB" w:rsidRPr="00077437">
        <w:rPr>
          <w:lang w:val="es-VE"/>
        </w:rPr>
        <w:t xml:space="preserve"> y promover la respuesta institucional correspondiente. La </w:t>
      </w:r>
      <w:proofErr w:type="spellStart"/>
      <w:r w:rsidR="001734EB" w:rsidRPr="00077437">
        <w:rPr>
          <w:lang w:val="es-VE"/>
        </w:rPr>
        <w:t>GMJGH</w:t>
      </w:r>
      <w:proofErr w:type="spellEnd"/>
      <w:r w:rsidR="001734EB" w:rsidRPr="00077437">
        <w:rPr>
          <w:lang w:val="es-VE"/>
        </w:rPr>
        <w:t xml:space="preserve"> ha visitado en sus hogares a 388.972 </w:t>
      </w:r>
      <w:proofErr w:type="spellStart"/>
      <w:r w:rsidR="001734EB" w:rsidRPr="00077437">
        <w:rPr>
          <w:lang w:val="es-VE"/>
        </w:rPr>
        <w:t>PcD</w:t>
      </w:r>
      <w:proofErr w:type="spellEnd"/>
      <w:r w:rsidR="001734EB" w:rsidRPr="00077437">
        <w:rPr>
          <w:lang w:val="es-VE"/>
        </w:rPr>
        <w:t xml:space="preserve">. </w:t>
      </w:r>
    </w:p>
    <w:p w14:paraId="77CEEF1F" w14:textId="77777777" w:rsidR="001734EB" w:rsidRPr="00077437" w:rsidRDefault="00C45D5A" w:rsidP="00054D51">
      <w:pPr>
        <w:pStyle w:val="SingleTxtG"/>
        <w:rPr>
          <w:lang w:val="es-VE"/>
        </w:rPr>
      </w:pPr>
      <w:r>
        <w:rPr>
          <w:lang w:val="es-VE"/>
        </w:rPr>
        <w:t>127.</w:t>
      </w:r>
      <w:r>
        <w:rPr>
          <w:lang w:val="es-VE"/>
        </w:rPr>
        <w:tab/>
      </w:r>
      <w:r w:rsidR="001734EB" w:rsidRPr="00077437">
        <w:rPr>
          <w:lang w:val="es-VE"/>
        </w:rPr>
        <w:t>La Gran Misión en Amor Mayor Venezuela (</w:t>
      </w:r>
      <w:proofErr w:type="spellStart"/>
      <w:r w:rsidR="001734EB" w:rsidRPr="00077437">
        <w:rPr>
          <w:lang w:val="es-VE"/>
        </w:rPr>
        <w:t>GMAMV</w:t>
      </w:r>
      <w:proofErr w:type="spellEnd"/>
      <w:r w:rsidR="001734EB" w:rsidRPr="00077437">
        <w:rPr>
          <w:lang w:val="es-VE"/>
        </w:rPr>
        <w:t>) es un programa social orientado a la población adulto mayor que no logró realizar las cotizaciones exigidas por la ley en el Instituto Venezolano de los Seguros Sociales (</w:t>
      </w:r>
      <w:proofErr w:type="spellStart"/>
      <w:r w:rsidR="001734EB" w:rsidRPr="00077437">
        <w:rPr>
          <w:lang w:val="es-VE"/>
        </w:rPr>
        <w:t>IVSS</w:t>
      </w:r>
      <w:proofErr w:type="spellEnd"/>
      <w:r w:rsidR="001734EB" w:rsidRPr="00077437">
        <w:rPr>
          <w:lang w:val="es-VE"/>
        </w:rPr>
        <w:t xml:space="preserve">). Permite tener acceso a pensiones de vejez homologadas al salario mínimo nacional. A través de la </w:t>
      </w:r>
      <w:proofErr w:type="spellStart"/>
      <w:r w:rsidR="001734EB" w:rsidRPr="00077437">
        <w:rPr>
          <w:lang w:val="es-VE"/>
        </w:rPr>
        <w:t>GMAMV</w:t>
      </w:r>
      <w:proofErr w:type="spellEnd"/>
      <w:r w:rsidR="001734EB" w:rsidRPr="00077437">
        <w:rPr>
          <w:lang w:val="es-VE"/>
        </w:rPr>
        <w:t xml:space="preserve"> se han incorporado al régimen de pensiones más de 2.014.812 adultas y adultos mayores. </w:t>
      </w:r>
    </w:p>
    <w:p w14:paraId="58B87F82" w14:textId="77777777" w:rsidR="001734EB" w:rsidRPr="00077437" w:rsidRDefault="00C45D5A" w:rsidP="00054D51">
      <w:pPr>
        <w:pStyle w:val="SingleTxtG"/>
        <w:rPr>
          <w:lang w:val="es-VE"/>
        </w:rPr>
      </w:pPr>
      <w:r>
        <w:rPr>
          <w:lang w:val="es-VE"/>
        </w:rPr>
        <w:t>128.</w:t>
      </w:r>
      <w:r>
        <w:rPr>
          <w:lang w:val="es-VE"/>
        </w:rPr>
        <w:tab/>
      </w:r>
      <w:r w:rsidR="001734EB" w:rsidRPr="00077437">
        <w:rPr>
          <w:lang w:val="es-VE"/>
        </w:rPr>
        <w:t xml:space="preserve">A los fines de prevenir situaciones de indigencia de los niños y adultos con discapacidad, el </w:t>
      </w:r>
      <w:proofErr w:type="spellStart"/>
      <w:r w:rsidR="001734EB" w:rsidRPr="00077437">
        <w:rPr>
          <w:lang w:val="es-VE"/>
        </w:rPr>
        <w:t>CONAPDIS</w:t>
      </w:r>
      <w:proofErr w:type="spellEnd"/>
      <w:r w:rsidR="001734EB" w:rsidRPr="00077437">
        <w:rPr>
          <w:lang w:val="es-VE"/>
        </w:rPr>
        <w:t xml:space="preserve"> implementa las siguientes acciones: i) Incorporación de la familia al Programa de Orientación y Familia mediante la atención del equipo interdisciplinario y el respectivo seguimiento a través de los grupos de apoyo; </w:t>
      </w:r>
      <w:proofErr w:type="spellStart"/>
      <w:r w:rsidR="001734EB" w:rsidRPr="00077437">
        <w:rPr>
          <w:lang w:val="es-VE"/>
        </w:rPr>
        <w:t>ii</w:t>
      </w:r>
      <w:proofErr w:type="spellEnd"/>
      <w:r w:rsidR="001734EB" w:rsidRPr="00077437">
        <w:rPr>
          <w:lang w:val="es-VE"/>
        </w:rPr>
        <w:t>)</w:t>
      </w:r>
      <w:r w:rsidR="00223132">
        <w:rPr>
          <w:lang w:val="es-VE"/>
        </w:rPr>
        <w:t xml:space="preserve"> </w:t>
      </w:r>
      <w:r w:rsidR="001734EB" w:rsidRPr="00077437">
        <w:rPr>
          <w:lang w:val="es-VE"/>
        </w:rPr>
        <w:t xml:space="preserve">Atención biopsicosocial a la persona y su grupo familiar; </w:t>
      </w:r>
      <w:proofErr w:type="spellStart"/>
      <w:r w:rsidR="001734EB" w:rsidRPr="00077437">
        <w:rPr>
          <w:lang w:val="es-VE"/>
        </w:rPr>
        <w:t>iii</w:t>
      </w:r>
      <w:proofErr w:type="spellEnd"/>
      <w:r w:rsidR="001734EB" w:rsidRPr="00077437">
        <w:rPr>
          <w:lang w:val="es-VE"/>
        </w:rPr>
        <w:t>)</w:t>
      </w:r>
      <w:r w:rsidR="00223132">
        <w:rPr>
          <w:lang w:val="es-VE"/>
        </w:rPr>
        <w:t xml:space="preserve"> </w:t>
      </w:r>
      <w:r w:rsidR="001734EB" w:rsidRPr="00077437">
        <w:rPr>
          <w:lang w:val="es-VE"/>
        </w:rPr>
        <w:t xml:space="preserve">Ciclo de atención integral a los padres y directamente al niño o adulto mayor; </w:t>
      </w:r>
      <w:proofErr w:type="spellStart"/>
      <w:r w:rsidR="001734EB" w:rsidRPr="00077437">
        <w:rPr>
          <w:lang w:val="es-VE"/>
        </w:rPr>
        <w:t>iv</w:t>
      </w:r>
      <w:proofErr w:type="spellEnd"/>
      <w:r w:rsidR="001734EB" w:rsidRPr="00077437">
        <w:rPr>
          <w:lang w:val="es-VE"/>
        </w:rPr>
        <w:t>) Contacto con los organismos especializados a fin de garantizar la protección legal de los derechos; v) Incorporación al sistema de protección social bajo la normativa de la institución según corresponda; vi) Formación y capacitación para el desarrollo de emprendimiento o proyectos socios productivos que permitan la incorporación del grupo familiar al campo laboral o en el desarrollo de actividades socios productivas que les generen un ingreso para su sustento.</w:t>
      </w:r>
    </w:p>
    <w:bookmarkEnd w:id="24"/>
    <w:bookmarkEnd w:id="25"/>
    <w:p w14:paraId="390072D2" w14:textId="77777777" w:rsidR="001734EB" w:rsidRPr="00077437" w:rsidRDefault="00C45D5A" w:rsidP="00054D51">
      <w:pPr>
        <w:pStyle w:val="H1G"/>
        <w:rPr>
          <w:lang w:val="es-VE"/>
        </w:rPr>
      </w:pPr>
      <w:r>
        <w:rPr>
          <w:lang w:val="es-VE"/>
        </w:rPr>
        <w:tab/>
      </w:r>
      <w:r>
        <w:rPr>
          <w:lang w:val="es-VE"/>
        </w:rPr>
        <w:tab/>
      </w:r>
      <w:r w:rsidR="001734EB" w:rsidRPr="00077437">
        <w:rPr>
          <w:lang w:val="es-VE"/>
        </w:rPr>
        <w:t>Participación en la vida política y pública (art. 29)</w:t>
      </w:r>
    </w:p>
    <w:p w14:paraId="6141BEE6" w14:textId="77777777" w:rsidR="001734EB" w:rsidRPr="00077437" w:rsidRDefault="00C45D5A" w:rsidP="00054D51">
      <w:pPr>
        <w:pStyle w:val="H1G"/>
        <w:rPr>
          <w:lang w:val="es-VE"/>
        </w:rPr>
      </w:pPr>
      <w:r>
        <w:tab/>
      </w:r>
      <w:r>
        <w:tab/>
      </w:r>
      <w:r w:rsidR="00C154C7" w:rsidRPr="00F96454">
        <w:t xml:space="preserve">Respuesta </w:t>
      </w:r>
      <w:r w:rsidR="00C154C7">
        <w:t xml:space="preserve">a la </w:t>
      </w:r>
      <w:r w:rsidR="00C154C7">
        <w:rPr>
          <w:lang w:val="es-VE"/>
        </w:rPr>
        <w:t>c</w:t>
      </w:r>
      <w:r w:rsidR="001734EB" w:rsidRPr="00077437">
        <w:rPr>
          <w:lang w:val="es-VE"/>
        </w:rPr>
        <w:t xml:space="preserve">uestión 31 </w:t>
      </w:r>
    </w:p>
    <w:p w14:paraId="32456AE0" w14:textId="77777777" w:rsidR="001734EB" w:rsidRPr="00077437" w:rsidRDefault="00C45D5A" w:rsidP="00054D51">
      <w:pPr>
        <w:pStyle w:val="SingleTxtG"/>
        <w:rPr>
          <w:lang w:val="es-VE"/>
        </w:rPr>
      </w:pPr>
      <w:r>
        <w:rPr>
          <w:lang w:val="es-VE"/>
        </w:rPr>
        <w:t>129.</w:t>
      </w:r>
      <w:r>
        <w:rPr>
          <w:lang w:val="es-VE"/>
        </w:rPr>
        <w:tab/>
      </w:r>
      <w:r w:rsidR="001734EB" w:rsidRPr="00077437">
        <w:rPr>
          <w:lang w:val="es-VE"/>
        </w:rPr>
        <w:t xml:space="preserve">En Venezuela, el Consejo Nacional Electoral (CNE) realiza constantemente campañas de divulgación orientadas a las </w:t>
      </w:r>
      <w:proofErr w:type="spellStart"/>
      <w:r w:rsidR="001734EB" w:rsidRPr="00077437">
        <w:rPr>
          <w:lang w:val="es-VE"/>
        </w:rPr>
        <w:t>PcD</w:t>
      </w:r>
      <w:proofErr w:type="spellEnd"/>
      <w:r w:rsidR="001734EB" w:rsidRPr="00077437">
        <w:rPr>
          <w:lang w:val="es-VE"/>
        </w:rPr>
        <w:t xml:space="preserve"> sobre el ejercicio del derecho al voto, haciendo uso de la interpretación en </w:t>
      </w:r>
      <w:proofErr w:type="spellStart"/>
      <w:r w:rsidR="001734EB" w:rsidRPr="00077437">
        <w:rPr>
          <w:lang w:val="es-VE"/>
        </w:rPr>
        <w:t>LSV</w:t>
      </w:r>
      <w:proofErr w:type="spellEnd"/>
      <w:r w:rsidR="001734EB" w:rsidRPr="00077437">
        <w:rPr>
          <w:lang w:val="es-VE"/>
        </w:rPr>
        <w:t xml:space="preserve"> y otros modos alternativos de comunicación. Existe un Sistema Automatizado de Votación, cuya tecnología cuenta con la posibilidad de habilitar los dispositivos para incorporar la lectura Braille, destinada a facilitar el voto de las </w:t>
      </w:r>
      <w:proofErr w:type="spellStart"/>
      <w:r w:rsidR="001734EB" w:rsidRPr="00077437">
        <w:rPr>
          <w:lang w:val="es-VE"/>
        </w:rPr>
        <w:t>PcD</w:t>
      </w:r>
      <w:proofErr w:type="spellEnd"/>
      <w:r w:rsidR="001734EB" w:rsidRPr="00077437">
        <w:rPr>
          <w:lang w:val="es-VE"/>
        </w:rPr>
        <w:t xml:space="preserve"> visual o audífonos para apoyar el ejercicio del sufragio de </w:t>
      </w:r>
      <w:proofErr w:type="spellStart"/>
      <w:r w:rsidR="001734EB" w:rsidRPr="00077437">
        <w:rPr>
          <w:lang w:val="es-VE"/>
        </w:rPr>
        <w:t>PcD</w:t>
      </w:r>
      <w:proofErr w:type="spellEnd"/>
      <w:r w:rsidR="001734EB" w:rsidRPr="00077437">
        <w:rPr>
          <w:lang w:val="es-VE"/>
        </w:rPr>
        <w:t xml:space="preserve"> auditiva. </w:t>
      </w:r>
    </w:p>
    <w:p w14:paraId="2C21EDBD" w14:textId="77777777" w:rsidR="001734EB" w:rsidRPr="00077437" w:rsidRDefault="00C45D5A" w:rsidP="00054D51">
      <w:pPr>
        <w:pStyle w:val="SingleTxtG"/>
        <w:rPr>
          <w:lang w:val="es-VE"/>
        </w:rPr>
      </w:pPr>
      <w:r>
        <w:rPr>
          <w:lang w:val="es-VE"/>
        </w:rPr>
        <w:lastRenderedPageBreak/>
        <w:t>130.</w:t>
      </w:r>
      <w:r>
        <w:rPr>
          <w:lang w:val="es-VE"/>
        </w:rPr>
        <w:tab/>
      </w:r>
      <w:r w:rsidR="001734EB" w:rsidRPr="00077437">
        <w:rPr>
          <w:lang w:val="es-VE"/>
        </w:rPr>
        <w:t xml:space="preserve">El CNE actualmente desarrolla un proceso de actualización del Registro Electoral para ampliar la identificación de los electores con discapacidad, a los fines de facilitar su accesibilidad a los centros de votación y el ejercicio del derecho al voto. </w:t>
      </w:r>
    </w:p>
    <w:p w14:paraId="2CAA47C0" w14:textId="77777777" w:rsidR="001734EB" w:rsidRPr="00077437" w:rsidRDefault="00C45D5A" w:rsidP="00054D51">
      <w:pPr>
        <w:pStyle w:val="SingleTxtG"/>
        <w:rPr>
          <w:lang w:val="es-VE"/>
        </w:rPr>
      </w:pPr>
      <w:r>
        <w:rPr>
          <w:lang w:val="es-VE"/>
        </w:rPr>
        <w:t>131.</w:t>
      </w:r>
      <w:r>
        <w:rPr>
          <w:lang w:val="es-VE"/>
        </w:rPr>
        <w:tab/>
      </w:r>
      <w:r w:rsidR="001734EB" w:rsidRPr="00077437">
        <w:rPr>
          <w:lang w:val="es-VE"/>
        </w:rPr>
        <w:t xml:space="preserve">En los procesos electorales que se realizan en la </w:t>
      </w:r>
      <w:proofErr w:type="spellStart"/>
      <w:r w:rsidR="001734EB" w:rsidRPr="00077437">
        <w:rPr>
          <w:lang w:val="es-VE"/>
        </w:rPr>
        <w:t>RBV</w:t>
      </w:r>
      <w:proofErr w:type="spellEnd"/>
      <w:r w:rsidR="001734EB" w:rsidRPr="00077437">
        <w:rPr>
          <w:lang w:val="es-VE"/>
        </w:rPr>
        <w:t xml:space="preserve"> se </w:t>
      </w:r>
      <w:r w:rsidR="001734EB" w:rsidRPr="00077437">
        <w:rPr>
          <w:bCs/>
          <w:lang w:val="es-VE"/>
        </w:rPr>
        <w:t xml:space="preserve">implementa el denominado </w:t>
      </w:r>
      <w:r w:rsidR="001734EB" w:rsidRPr="00077437">
        <w:rPr>
          <w:bCs/>
          <w:i/>
          <w:lang w:val="es-VE"/>
        </w:rPr>
        <w:t>“</w:t>
      </w:r>
      <w:r w:rsidR="001734EB" w:rsidRPr="00077437">
        <w:rPr>
          <w:bCs/>
          <w:i/>
          <w:iCs/>
          <w:lang w:val="es-VE"/>
        </w:rPr>
        <w:t>Voto con Acompañante”</w:t>
      </w:r>
      <w:r w:rsidR="001734EB" w:rsidRPr="00054D51">
        <w:rPr>
          <w:lang w:val="es-VE"/>
        </w:rPr>
        <w:t>,</w:t>
      </w:r>
      <w:r w:rsidR="001734EB" w:rsidRPr="004E5744">
        <w:rPr>
          <w:lang w:val="es-VE"/>
        </w:rPr>
        <w:t xml:space="preserve"> </w:t>
      </w:r>
      <w:r w:rsidR="001734EB" w:rsidRPr="00077437">
        <w:rPr>
          <w:lang w:val="es-VE"/>
        </w:rPr>
        <w:t xml:space="preserve">mediante el cual las </w:t>
      </w:r>
      <w:proofErr w:type="spellStart"/>
      <w:r w:rsidR="001734EB" w:rsidRPr="00077437">
        <w:rPr>
          <w:lang w:val="es-VE"/>
        </w:rPr>
        <w:t>PcD</w:t>
      </w:r>
      <w:proofErr w:type="spellEnd"/>
      <w:r w:rsidR="001734EB" w:rsidRPr="00077437">
        <w:rPr>
          <w:lang w:val="es-VE"/>
        </w:rPr>
        <w:t xml:space="preserve"> puede hacerse acompañar por personas de su confianza para que las apoyen durante el ejercicio del sufragio y les sirvan de intérprete ante los miembros de la mesa electoral. En estos casos, queda a voluntad del elector hasta qué punto del acto de votación puede acompañarle esa persona de confianza, en preservación del secreto del sufragio. </w:t>
      </w:r>
    </w:p>
    <w:p w14:paraId="1B8F4D4B" w14:textId="77777777" w:rsidR="001734EB" w:rsidRPr="00077437" w:rsidRDefault="00C45D5A" w:rsidP="00054D51">
      <w:pPr>
        <w:pStyle w:val="SingleTxtG"/>
        <w:rPr>
          <w:lang w:val="es-VE"/>
        </w:rPr>
      </w:pPr>
      <w:r>
        <w:rPr>
          <w:lang w:val="es-VE"/>
        </w:rPr>
        <w:t>132.</w:t>
      </w:r>
      <w:r>
        <w:rPr>
          <w:lang w:val="es-VE"/>
        </w:rPr>
        <w:tab/>
      </w:r>
      <w:r w:rsidR="001734EB" w:rsidRPr="00077437">
        <w:rPr>
          <w:lang w:val="es-VE"/>
        </w:rPr>
        <w:t xml:space="preserve">El CNE elaboró un “Instructivo de Atención y Apoyo a las Personas con Discapacidad en los Procesos Electorales”, cuyo contenido ha sido esquematizado en el afiche denominado “Pasos a Seguir para la Atención de las Personas con Discapacidad”. Este afiche debe ser fijado en cada uno de los centros y mesas de votación en la oportunidad de constituirse la mesa electoral. </w:t>
      </w:r>
    </w:p>
    <w:p w14:paraId="63950718" w14:textId="77777777" w:rsidR="001734EB" w:rsidRPr="00077437" w:rsidRDefault="00C45D5A" w:rsidP="00054D51">
      <w:pPr>
        <w:pStyle w:val="SingleTxtG"/>
        <w:rPr>
          <w:lang w:val="es-VE"/>
        </w:rPr>
      </w:pPr>
      <w:r>
        <w:rPr>
          <w:bCs/>
          <w:lang w:val="es-VE"/>
        </w:rPr>
        <w:t>133.</w:t>
      </w:r>
      <w:r>
        <w:rPr>
          <w:bCs/>
          <w:lang w:val="es-VE"/>
        </w:rPr>
        <w:tab/>
      </w:r>
      <w:r w:rsidR="001734EB" w:rsidRPr="00077437">
        <w:rPr>
          <w:bCs/>
          <w:lang w:val="es-VE"/>
        </w:rPr>
        <w:t>Desde el punto de vista del elector</w:t>
      </w:r>
      <w:r w:rsidR="001734EB" w:rsidRPr="00077437">
        <w:rPr>
          <w:lang w:val="es-VE"/>
        </w:rPr>
        <w:t xml:space="preserve">, no se contempla ninguna restricción para que las </w:t>
      </w:r>
      <w:r w:rsidR="001734EB" w:rsidRPr="00077437">
        <w:rPr>
          <w:iCs/>
          <w:lang w:val="es-VE"/>
        </w:rPr>
        <w:t>personas con discapacidad psicosocial, intelectual o personas sordas puedan ejercer su derecho al voto. E</w:t>
      </w:r>
      <w:r w:rsidR="001734EB" w:rsidRPr="00077437">
        <w:rPr>
          <w:lang w:val="es-VE"/>
        </w:rPr>
        <w:t xml:space="preserve">l CNE ofrece en su sistema automatizado del Registro Electoral, la posibilidad de que las </w:t>
      </w:r>
      <w:proofErr w:type="spellStart"/>
      <w:r w:rsidR="001734EB" w:rsidRPr="00077437">
        <w:rPr>
          <w:lang w:val="es-VE"/>
        </w:rPr>
        <w:t>PcD</w:t>
      </w:r>
      <w:proofErr w:type="spellEnd"/>
      <w:r w:rsidR="001734EB" w:rsidRPr="00077437">
        <w:rPr>
          <w:lang w:val="es-VE"/>
        </w:rPr>
        <w:t xml:space="preserve"> puedan inscribirse en el Registro Electoral incorporando información sobre su tipo de discapacidad. </w:t>
      </w:r>
    </w:p>
    <w:p w14:paraId="673DFD2E" w14:textId="77777777" w:rsidR="001734EB" w:rsidRPr="001A10BF" w:rsidRDefault="001734EB" w:rsidP="004E5744">
      <w:pPr>
        <w:pStyle w:val="Ttulo1"/>
      </w:pPr>
      <w:r w:rsidRPr="001A10BF">
        <w:t>Tabla 10</w:t>
      </w:r>
    </w:p>
    <w:p w14:paraId="5026C944" w14:textId="77777777" w:rsidR="001734EB" w:rsidRPr="00223132" w:rsidRDefault="00C45D5A" w:rsidP="00054D51">
      <w:pPr>
        <w:pStyle w:val="H23G"/>
        <w:spacing w:before="0"/>
        <w:rPr>
          <w:lang w:val="es-VE"/>
        </w:rPr>
      </w:pPr>
      <w:r>
        <w:rPr>
          <w:lang w:val="es-VE"/>
        </w:rPr>
        <w:tab/>
      </w:r>
      <w:r>
        <w:rPr>
          <w:lang w:val="es-VE"/>
        </w:rPr>
        <w:tab/>
      </w:r>
      <w:proofErr w:type="spellStart"/>
      <w:r w:rsidR="001734EB" w:rsidRPr="00223132">
        <w:rPr>
          <w:lang w:val="es-VE"/>
        </w:rPr>
        <w:t>PcD</w:t>
      </w:r>
      <w:proofErr w:type="spellEnd"/>
      <w:r w:rsidR="001734EB" w:rsidRPr="00223132">
        <w:rPr>
          <w:lang w:val="es-VE"/>
        </w:rPr>
        <w:t xml:space="preserve"> inscritas en Registro Electoral</w:t>
      </w:r>
      <w:r w:rsidR="00223132" w:rsidRPr="00223132">
        <w:rPr>
          <w:lang w:val="es-VE"/>
        </w:rPr>
        <w:t xml:space="preserve"> – </w:t>
      </w:r>
      <w:r w:rsidR="001734EB" w:rsidRPr="00223132">
        <w:rPr>
          <w:lang w:val="es-VE"/>
        </w:rPr>
        <w:t>CNE</w:t>
      </w:r>
      <w:r w:rsidR="00223132" w:rsidRPr="00223132">
        <w:rPr>
          <w:lang w:val="es-VE"/>
        </w:rPr>
        <w:t xml:space="preserve"> - </w:t>
      </w:r>
      <w:r w:rsidR="000A0878" w:rsidRPr="00223132">
        <w:rPr>
          <w:lang w:val="es-VE"/>
        </w:rPr>
        <w:t>abril</w:t>
      </w:r>
      <w:r w:rsidR="001734EB" w:rsidRPr="00223132">
        <w:rPr>
          <w:lang w:val="es-VE"/>
        </w:rPr>
        <w:t xml:space="preserve"> 2019</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2585"/>
        <w:gridCol w:w="2483"/>
        <w:gridCol w:w="2302"/>
      </w:tblGrid>
      <w:tr w:rsidR="00C45D5A" w:rsidRPr="00C45D5A" w14:paraId="342A47BB" w14:textId="77777777" w:rsidTr="00054D51">
        <w:trPr>
          <w:trHeight w:val="240"/>
          <w:tblHeader/>
        </w:trPr>
        <w:tc>
          <w:tcPr>
            <w:tcW w:w="2585" w:type="dxa"/>
            <w:tcBorders>
              <w:top w:val="single" w:sz="4" w:space="0" w:color="auto"/>
              <w:bottom w:val="single" w:sz="12" w:space="0" w:color="auto"/>
            </w:tcBorders>
            <w:shd w:val="clear" w:color="auto" w:fill="auto"/>
            <w:vAlign w:val="bottom"/>
          </w:tcPr>
          <w:p w14:paraId="7B0423B2" w14:textId="77777777" w:rsidR="001734EB" w:rsidRPr="004E5744" w:rsidRDefault="001734EB" w:rsidP="00054D51">
            <w:pPr>
              <w:pStyle w:val="SingleTxtG"/>
              <w:spacing w:before="80" w:after="80" w:line="200" w:lineRule="exact"/>
              <w:ind w:left="0" w:right="0"/>
              <w:jc w:val="left"/>
              <w:rPr>
                <w:i/>
                <w:sz w:val="16"/>
                <w:lang w:val="es-VE"/>
              </w:rPr>
            </w:pPr>
            <w:r w:rsidRPr="004E5744">
              <w:rPr>
                <w:i/>
                <w:sz w:val="16"/>
                <w:lang w:val="es-VE"/>
              </w:rPr>
              <w:t>Estado</w:t>
            </w:r>
          </w:p>
        </w:tc>
        <w:tc>
          <w:tcPr>
            <w:tcW w:w="2483" w:type="dxa"/>
            <w:tcBorders>
              <w:top w:val="single" w:sz="4" w:space="0" w:color="auto"/>
              <w:bottom w:val="single" w:sz="12" w:space="0" w:color="auto"/>
            </w:tcBorders>
            <w:shd w:val="clear" w:color="auto" w:fill="auto"/>
            <w:vAlign w:val="bottom"/>
          </w:tcPr>
          <w:p w14:paraId="68DA5661" w14:textId="77777777" w:rsidR="001734EB" w:rsidRPr="00C45D5A" w:rsidRDefault="001734EB" w:rsidP="00054D51">
            <w:pPr>
              <w:pStyle w:val="SingleTxtG"/>
              <w:spacing w:before="80" w:after="80" w:line="200" w:lineRule="exact"/>
              <w:ind w:left="113" w:right="0"/>
              <w:jc w:val="right"/>
              <w:rPr>
                <w:i/>
                <w:sz w:val="16"/>
                <w:lang w:val="es-VE"/>
              </w:rPr>
            </w:pPr>
            <w:r w:rsidRPr="004E5744">
              <w:rPr>
                <w:i/>
                <w:sz w:val="16"/>
                <w:lang w:val="es-VE"/>
              </w:rPr>
              <w:t>Electores</w:t>
            </w:r>
          </w:p>
        </w:tc>
        <w:tc>
          <w:tcPr>
            <w:tcW w:w="2302" w:type="dxa"/>
            <w:tcBorders>
              <w:top w:val="single" w:sz="4" w:space="0" w:color="auto"/>
              <w:bottom w:val="single" w:sz="12" w:space="0" w:color="auto"/>
            </w:tcBorders>
            <w:shd w:val="clear" w:color="auto" w:fill="auto"/>
            <w:vAlign w:val="bottom"/>
          </w:tcPr>
          <w:p w14:paraId="1B30A4AD" w14:textId="77777777" w:rsidR="001734EB" w:rsidRPr="00C45D5A" w:rsidRDefault="001734EB" w:rsidP="00054D51">
            <w:pPr>
              <w:pStyle w:val="SingleTxtG"/>
              <w:spacing w:before="80" w:after="80" w:line="200" w:lineRule="exact"/>
              <w:ind w:left="113" w:right="0"/>
              <w:jc w:val="right"/>
              <w:rPr>
                <w:i/>
                <w:sz w:val="16"/>
                <w:lang w:val="es-VE"/>
              </w:rPr>
            </w:pPr>
            <w:r w:rsidRPr="00C45D5A">
              <w:rPr>
                <w:i/>
                <w:sz w:val="16"/>
                <w:lang w:val="es-VE"/>
              </w:rPr>
              <w:t>%</w:t>
            </w:r>
          </w:p>
        </w:tc>
      </w:tr>
      <w:tr w:rsidR="00C45D5A" w:rsidRPr="00C45D5A" w14:paraId="62705007" w14:textId="77777777" w:rsidTr="00054D51">
        <w:trPr>
          <w:trHeight w:val="240"/>
        </w:trPr>
        <w:tc>
          <w:tcPr>
            <w:tcW w:w="2585" w:type="dxa"/>
            <w:tcBorders>
              <w:top w:val="single" w:sz="12" w:space="0" w:color="auto"/>
            </w:tcBorders>
            <w:shd w:val="clear" w:color="auto" w:fill="auto"/>
          </w:tcPr>
          <w:p w14:paraId="550EA454" w14:textId="77777777" w:rsidR="001734EB" w:rsidRPr="004E5744" w:rsidRDefault="001734EB" w:rsidP="00054D51">
            <w:pPr>
              <w:pStyle w:val="SingleTxtG"/>
              <w:spacing w:before="40" w:after="40" w:line="220" w:lineRule="exact"/>
              <w:ind w:left="0" w:right="0"/>
              <w:jc w:val="left"/>
              <w:rPr>
                <w:sz w:val="18"/>
                <w:lang w:val="es-VE"/>
              </w:rPr>
            </w:pPr>
            <w:r w:rsidRPr="004E5744">
              <w:rPr>
                <w:sz w:val="18"/>
                <w:lang w:val="es-VE"/>
              </w:rPr>
              <w:t>Aragua</w:t>
            </w:r>
          </w:p>
        </w:tc>
        <w:tc>
          <w:tcPr>
            <w:tcW w:w="2483" w:type="dxa"/>
            <w:tcBorders>
              <w:top w:val="single" w:sz="12" w:space="0" w:color="auto"/>
            </w:tcBorders>
            <w:shd w:val="clear" w:color="auto" w:fill="auto"/>
            <w:vAlign w:val="bottom"/>
          </w:tcPr>
          <w:p w14:paraId="2DC30ABA" w14:textId="77777777" w:rsidR="001734EB" w:rsidRPr="004E5744" w:rsidRDefault="001734EB" w:rsidP="00054D51">
            <w:pPr>
              <w:pStyle w:val="SingleTxtG"/>
              <w:spacing w:before="40" w:after="40" w:line="220" w:lineRule="exact"/>
              <w:ind w:left="113" w:right="0"/>
              <w:jc w:val="right"/>
              <w:rPr>
                <w:sz w:val="18"/>
                <w:lang w:val="es-VE"/>
              </w:rPr>
            </w:pPr>
            <w:r w:rsidRPr="004E5744">
              <w:rPr>
                <w:sz w:val="18"/>
                <w:lang w:val="es-VE"/>
              </w:rPr>
              <w:t>2</w:t>
            </w:r>
            <w:r w:rsidR="00C45D5A">
              <w:rPr>
                <w:sz w:val="18"/>
                <w:lang w:val="es-VE"/>
              </w:rPr>
              <w:t xml:space="preserve"> </w:t>
            </w:r>
            <w:r w:rsidRPr="004E5744">
              <w:rPr>
                <w:sz w:val="18"/>
                <w:lang w:val="es-VE"/>
              </w:rPr>
              <w:t>078</w:t>
            </w:r>
          </w:p>
        </w:tc>
        <w:tc>
          <w:tcPr>
            <w:tcW w:w="2302" w:type="dxa"/>
            <w:tcBorders>
              <w:top w:val="single" w:sz="12" w:space="0" w:color="auto"/>
            </w:tcBorders>
            <w:shd w:val="clear" w:color="auto" w:fill="auto"/>
            <w:vAlign w:val="bottom"/>
          </w:tcPr>
          <w:p w14:paraId="2E7F3DBD" w14:textId="77777777" w:rsidR="001734EB" w:rsidRPr="00C45D5A" w:rsidRDefault="001734EB" w:rsidP="00054D51">
            <w:pPr>
              <w:pStyle w:val="SingleTxtG"/>
              <w:spacing w:before="40" w:after="40" w:line="220" w:lineRule="exact"/>
              <w:ind w:left="113" w:right="0"/>
              <w:jc w:val="right"/>
              <w:rPr>
                <w:sz w:val="18"/>
                <w:lang w:val="es-VE"/>
              </w:rPr>
            </w:pPr>
            <w:r w:rsidRPr="00C45D5A">
              <w:rPr>
                <w:sz w:val="18"/>
                <w:lang w:val="es-VE"/>
              </w:rPr>
              <w:t>12,18</w:t>
            </w:r>
          </w:p>
        </w:tc>
      </w:tr>
      <w:tr w:rsidR="00C45D5A" w:rsidRPr="00C45D5A" w14:paraId="3C933243" w14:textId="77777777" w:rsidTr="00054D51">
        <w:trPr>
          <w:trHeight w:val="240"/>
        </w:trPr>
        <w:tc>
          <w:tcPr>
            <w:tcW w:w="2585" w:type="dxa"/>
            <w:shd w:val="clear" w:color="auto" w:fill="auto"/>
          </w:tcPr>
          <w:p w14:paraId="09BB0A9E" w14:textId="77777777" w:rsidR="001734EB" w:rsidRPr="00C45D5A" w:rsidRDefault="001734EB" w:rsidP="00054D51">
            <w:pPr>
              <w:pStyle w:val="SingleTxtG"/>
              <w:spacing w:before="40" w:after="40" w:line="220" w:lineRule="exact"/>
              <w:ind w:left="0" w:right="0"/>
              <w:jc w:val="left"/>
              <w:rPr>
                <w:sz w:val="18"/>
                <w:lang w:val="es-VE"/>
              </w:rPr>
            </w:pPr>
            <w:r w:rsidRPr="00C45D5A">
              <w:rPr>
                <w:sz w:val="18"/>
                <w:lang w:val="es-VE"/>
              </w:rPr>
              <w:t>Zulia</w:t>
            </w:r>
          </w:p>
        </w:tc>
        <w:tc>
          <w:tcPr>
            <w:tcW w:w="2483" w:type="dxa"/>
            <w:shd w:val="clear" w:color="auto" w:fill="auto"/>
            <w:vAlign w:val="bottom"/>
          </w:tcPr>
          <w:p w14:paraId="6792FC5A" w14:textId="77777777" w:rsidR="001734EB" w:rsidRPr="004E5744" w:rsidRDefault="001734EB" w:rsidP="00054D51">
            <w:pPr>
              <w:pStyle w:val="SingleTxtG"/>
              <w:spacing w:before="40" w:after="40" w:line="220" w:lineRule="exact"/>
              <w:ind w:left="113" w:right="0"/>
              <w:jc w:val="right"/>
              <w:rPr>
                <w:sz w:val="18"/>
                <w:lang w:val="es-VE"/>
              </w:rPr>
            </w:pPr>
            <w:r w:rsidRPr="00C45D5A">
              <w:rPr>
                <w:sz w:val="18"/>
                <w:lang w:val="es-VE"/>
              </w:rPr>
              <w:t>1</w:t>
            </w:r>
            <w:r w:rsidR="00C45D5A">
              <w:rPr>
                <w:sz w:val="18"/>
                <w:lang w:val="es-VE"/>
              </w:rPr>
              <w:t xml:space="preserve"> </w:t>
            </w:r>
            <w:r w:rsidRPr="004E5744">
              <w:rPr>
                <w:sz w:val="18"/>
                <w:lang w:val="es-VE"/>
              </w:rPr>
              <w:t>929</w:t>
            </w:r>
          </w:p>
        </w:tc>
        <w:tc>
          <w:tcPr>
            <w:tcW w:w="2302" w:type="dxa"/>
            <w:shd w:val="clear" w:color="auto" w:fill="auto"/>
            <w:vAlign w:val="bottom"/>
          </w:tcPr>
          <w:p w14:paraId="0CE8084D" w14:textId="77777777" w:rsidR="001734EB" w:rsidRPr="00C45D5A" w:rsidRDefault="001734EB" w:rsidP="00054D51">
            <w:pPr>
              <w:pStyle w:val="SingleTxtG"/>
              <w:spacing w:before="40" w:after="40" w:line="220" w:lineRule="exact"/>
              <w:ind w:left="113" w:right="0"/>
              <w:jc w:val="right"/>
              <w:rPr>
                <w:sz w:val="18"/>
                <w:lang w:val="es-VE"/>
              </w:rPr>
            </w:pPr>
            <w:r w:rsidRPr="00C45D5A">
              <w:rPr>
                <w:sz w:val="18"/>
                <w:lang w:val="es-VE"/>
              </w:rPr>
              <w:t>11,31</w:t>
            </w:r>
          </w:p>
        </w:tc>
      </w:tr>
      <w:tr w:rsidR="00C45D5A" w:rsidRPr="00C45D5A" w14:paraId="65D702AE" w14:textId="77777777" w:rsidTr="00054D51">
        <w:trPr>
          <w:trHeight w:val="240"/>
        </w:trPr>
        <w:tc>
          <w:tcPr>
            <w:tcW w:w="2585" w:type="dxa"/>
            <w:shd w:val="clear" w:color="auto" w:fill="auto"/>
          </w:tcPr>
          <w:p w14:paraId="75FC0855" w14:textId="77777777" w:rsidR="001734EB" w:rsidRPr="00C45D5A" w:rsidRDefault="001734EB" w:rsidP="00054D51">
            <w:pPr>
              <w:pStyle w:val="SingleTxtG"/>
              <w:spacing w:before="40" w:after="40" w:line="220" w:lineRule="exact"/>
              <w:ind w:left="0" w:right="0"/>
              <w:jc w:val="left"/>
              <w:rPr>
                <w:sz w:val="18"/>
                <w:lang w:val="es-VE"/>
              </w:rPr>
            </w:pPr>
            <w:r w:rsidRPr="00C45D5A">
              <w:rPr>
                <w:sz w:val="18"/>
                <w:lang w:val="es-VE"/>
              </w:rPr>
              <w:t>Táchira</w:t>
            </w:r>
          </w:p>
        </w:tc>
        <w:tc>
          <w:tcPr>
            <w:tcW w:w="2483" w:type="dxa"/>
            <w:shd w:val="clear" w:color="auto" w:fill="auto"/>
            <w:vAlign w:val="bottom"/>
          </w:tcPr>
          <w:p w14:paraId="60D89678" w14:textId="77777777" w:rsidR="001734EB" w:rsidRPr="004E5744" w:rsidRDefault="001734EB" w:rsidP="00054D51">
            <w:pPr>
              <w:pStyle w:val="SingleTxtG"/>
              <w:spacing w:before="40" w:after="40" w:line="220" w:lineRule="exact"/>
              <w:ind w:left="113" w:right="0"/>
              <w:jc w:val="right"/>
              <w:rPr>
                <w:sz w:val="18"/>
                <w:lang w:val="es-VE"/>
              </w:rPr>
            </w:pPr>
            <w:r w:rsidRPr="00C45D5A">
              <w:rPr>
                <w:sz w:val="18"/>
                <w:lang w:val="es-VE"/>
              </w:rPr>
              <w:t>1</w:t>
            </w:r>
            <w:r w:rsidR="00C45D5A">
              <w:rPr>
                <w:sz w:val="18"/>
                <w:lang w:val="es-VE"/>
              </w:rPr>
              <w:t xml:space="preserve"> </w:t>
            </w:r>
            <w:r w:rsidRPr="004E5744">
              <w:rPr>
                <w:sz w:val="18"/>
                <w:lang w:val="es-VE"/>
              </w:rPr>
              <w:t>928</w:t>
            </w:r>
          </w:p>
        </w:tc>
        <w:tc>
          <w:tcPr>
            <w:tcW w:w="2302" w:type="dxa"/>
            <w:shd w:val="clear" w:color="auto" w:fill="auto"/>
            <w:vAlign w:val="bottom"/>
          </w:tcPr>
          <w:p w14:paraId="70116184" w14:textId="77777777" w:rsidR="001734EB" w:rsidRPr="00C45D5A" w:rsidRDefault="001734EB" w:rsidP="00054D51">
            <w:pPr>
              <w:pStyle w:val="SingleTxtG"/>
              <w:spacing w:before="40" w:after="40" w:line="220" w:lineRule="exact"/>
              <w:ind w:left="113" w:right="0"/>
              <w:jc w:val="right"/>
              <w:rPr>
                <w:sz w:val="18"/>
                <w:lang w:val="es-VE"/>
              </w:rPr>
            </w:pPr>
            <w:r w:rsidRPr="00C45D5A">
              <w:rPr>
                <w:sz w:val="18"/>
                <w:lang w:val="es-VE"/>
              </w:rPr>
              <w:t>11,30</w:t>
            </w:r>
          </w:p>
        </w:tc>
      </w:tr>
      <w:tr w:rsidR="00C45D5A" w:rsidRPr="00C45D5A" w14:paraId="6CCF79A8" w14:textId="77777777" w:rsidTr="00054D51">
        <w:trPr>
          <w:trHeight w:val="240"/>
        </w:trPr>
        <w:tc>
          <w:tcPr>
            <w:tcW w:w="2585" w:type="dxa"/>
            <w:shd w:val="clear" w:color="auto" w:fill="auto"/>
          </w:tcPr>
          <w:p w14:paraId="048EC5A0" w14:textId="77777777" w:rsidR="001734EB" w:rsidRPr="00C45D5A" w:rsidRDefault="001734EB" w:rsidP="00054D51">
            <w:pPr>
              <w:pStyle w:val="SingleTxtG"/>
              <w:spacing w:before="40" w:after="40" w:line="220" w:lineRule="exact"/>
              <w:ind w:left="0" w:right="0"/>
              <w:jc w:val="left"/>
              <w:rPr>
                <w:sz w:val="18"/>
                <w:lang w:val="es-VE"/>
              </w:rPr>
            </w:pPr>
            <w:r w:rsidRPr="00C45D5A">
              <w:rPr>
                <w:sz w:val="18"/>
                <w:lang w:val="es-VE"/>
              </w:rPr>
              <w:t>Dto. Capital</w:t>
            </w:r>
          </w:p>
        </w:tc>
        <w:tc>
          <w:tcPr>
            <w:tcW w:w="2483" w:type="dxa"/>
            <w:shd w:val="clear" w:color="auto" w:fill="auto"/>
            <w:vAlign w:val="bottom"/>
          </w:tcPr>
          <w:p w14:paraId="74403AA0" w14:textId="77777777" w:rsidR="001734EB" w:rsidRPr="004E5744" w:rsidRDefault="001734EB" w:rsidP="00054D51">
            <w:pPr>
              <w:pStyle w:val="SingleTxtG"/>
              <w:spacing w:before="40" w:after="40" w:line="220" w:lineRule="exact"/>
              <w:ind w:left="113" w:right="0"/>
              <w:jc w:val="right"/>
              <w:rPr>
                <w:sz w:val="18"/>
                <w:lang w:val="es-VE"/>
              </w:rPr>
            </w:pPr>
            <w:r w:rsidRPr="00C45D5A">
              <w:rPr>
                <w:sz w:val="18"/>
                <w:lang w:val="es-VE"/>
              </w:rPr>
              <w:t>1</w:t>
            </w:r>
            <w:r w:rsidR="00C45D5A">
              <w:rPr>
                <w:sz w:val="18"/>
                <w:lang w:val="es-VE"/>
              </w:rPr>
              <w:t xml:space="preserve"> </w:t>
            </w:r>
            <w:r w:rsidRPr="004E5744">
              <w:rPr>
                <w:sz w:val="18"/>
                <w:lang w:val="es-VE"/>
              </w:rPr>
              <w:t>606</w:t>
            </w:r>
          </w:p>
        </w:tc>
        <w:tc>
          <w:tcPr>
            <w:tcW w:w="2302" w:type="dxa"/>
            <w:shd w:val="clear" w:color="auto" w:fill="auto"/>
            <w:vAlign w:val="bottom"/>
          </w:tcPr>
          <w:p w14:paraId="5F161278" w14:textId="77777777" w:rsidR="001734EB" w:rsidRPr="00C45D5A" w:rsidRDefault="001734EB" w:rsidP="00054D51">
            <w:pPr>
              <w:pStyle w:val="SingleTxtG"/>
              <w:spacing w:before="40" w:after="40" w:line="220" w:lineRule="exact"/>
              <w:ind w:left="113" w:right="0"/>
              <w:jc w:val="right"/>
              <w:rPr>
                <w:sz w:val="18"/>
                <w:lang w:val="es-VE"/>
              </w:rPr>
            </w:pPr>
            <w:r w:rsidRPr="00C45D5A">
              <w:rPr>
                <w:sz w:val="18"/>
                <w:lang w:val="es-VE"/>
              </w:rPr>
              <w:t>9,41</w:t>
            </w:r>
          </w:p>
        </w:tc>
      </w:tr>
      <w:tr w:rsidR="00C45D5A" w:rsidRPr="00C45D5A" w14:paraId="02503458" w14:textId="77777777" w:rsidTr="00054D51">
        <w:trPr>
          <w:trHeight w:val="240"/>
        </w:trPr>
        <w:tc>
          <w:tcPr>
            <w:tcW w:w="2585" w:type="dxa"/>
            <w:shd w:val="clear" w:color="auto" w:fill="auto"/>
          </w:tcPr>
          <w:p w14:paraId="6E7B09BB" w14:textId="77777777" w:rsidR="001734EB" w:rsidRPr="00C45D5A" w:rsidRDefault="001734EB" w:rsidP="00054D51">
            <w:pPr>
              <w:pStyle w:val="SingleTxtG"/>
              <w:spacing w:before="40" w:after="40" w:line="220" w:lineRule="exact"/>
              <w:ind w:left="0" w:right="0"/>
              <w:jc w:val="left"/>
              <w:rPr>
                <w:sz w:val="18"/>
                <w:lang w:val="es-VE"/>
              </w:rPr>
            </w:pPr>
            <w:r w:rsidRPr="00C45D5A">
              <w:rPr>
                <w:sz w:val="18"/>
                <w:lang w:val="es-VE"/>
              </w:rPr>
              <w:t>Lara</w:t>
            </w:r>
          </w:p>
        </w:tc>
        <w:tc>
          <w:tcPr>
            <w:tcW w:w="2483" w:type="dxa"/>
            <w:shd w:val="clear" w:color="auto" w:fill="auto"/>
            <w:vAlign w:val="bottom"/>
          </w:tcPr>
          <w:p w14:paraId="013133C3" w14:textId="77777777" w:rsidR="001734EB" w:rsidRPr="004E5744" w:rsidRDefault="001734EB" w:rsidP="00054D51">
            <w:pPr>
              <w:pStyle w:val="SingleTxtG"/>
              <w:spacing w:before="40" w:after="40" w:line="220" w:lineRule="exact"/>
              <w:ind w:left="113" w:right="0"/>
              <w:jc w:val="right"/>
              <w:rPr>
                <w:sz w:val="18"/>
                <w:lang w:val="es-VE"/>
              </w:rPr>
            </w:pPr>
            <w:r w:rsidRPr="00C45D5A">
              <w:rPr>
                <w:sz w:val="18"/>
                <w:lang w:val="es-VE"/>
              </w:rPr>
              <w:t>1</w:t>
            </w:r>
            <w:r w:rsidR="00C45D5A">
              <w:rPr>
                <w:sz w:val="18"/>
                <w:lang w:val="es-VE"/>
              </w:rPr>
              <w:t xml:space="preserve"> </w:t>
            </w:r>
            <w:r w:rsidRPr="004E5744">
              <w:rPr>
                <w:sz w:val="18"/>
                <w:lang w:val="es-VE"/>
              </w:rPr>
              <w:t>322</w:t>
            </w:r>
          </w:p>
        </w:tc>
        <w:tc>
          <w:tcPr>
            <w:tcW w:w="2302" w:type="dxa"/>
            <w:shd w:val="clear" w:color="auto" w:fill="auto"/>
            <w:vAlign w:val="bottom"/>
          </w:tcPr>
          <w:p w14:paraId="579B77CF" w14:textId="77777777" w:rsidR="001734EB" w:rsidRPr="00C45D5A" w:rsidRDefault="001734EB" w:rsidP="00054D51">
            <w:pPr>
              <w:pStyle w:val="SingleTxtG"/>
              <w:spacing w:before="40" w:after="40" w:line="220" w:lineRule="exact"/>
              <w:ind w:left="113" w:right="0"/>
              <w:jc w:val="right"/>
              <w:rPr>
                <w:sz w:val="18"/>
                <w:lang w:val="es-VE"/>
              </w:rPr>
            </w:pPr>
            <w:r w:rsidRPr="00C45D5A">
              <w:rPr>
                <w:sz w:val="18"/>
                <w:lang w:val="es-VE"/>
              </w:rPr>
              <w:t>7,75</w:t>
            </w:r>
          </w:p>
        </w:tc>
      </w:tr>
      <w:tr w:rsidR="00C45D5A" w:rsidRPr="00C45D5A" w14:paraId="070948B4" w14:textId="77777777" w:rsidTr="00054D51">
        <w:trPr>
          <w:trHeight w:val="240"/>
        </w:trPr>
        <w:tc>
          <w:tcPr>
            <w:tcW w:w="2585" w:type="dxa"/>
            <w:shd w:val="clear" w:color="auto" w:fill="auto"/>
          </w:tcPr>
          <w:p w14:paraId="59F4C160" w14:textId="77777777" w:rsidR="001734EB" w:rsidRPr="00C45D5A" w:rsidRDefault="001734EB" w:rsidP="00054D51">
            <w:pPr>
              <w:pStyle w:val="SingleTxtG"/>
              <w:spacing w:before="40" w:after="40" w:line="220" w:lineRule="exact"/>
              <w:ind w:left="0" w:right="0"/>
              <w:jc w:val="left"/>
              <w:rPr>
                <w:sz w:val="18"/>
                <w:lang w:val="es-VE"/>
              </w:rPr>
            </w:pPr>
            <w:r w:rsidRPr="00C45D5A">
              <w:rPr>
                <w:sz w:val="18"/>
                <w:lang w:val="es-VE"/>
              </w:rPr>
              <w:t>Miranda</w:t>
            </w:r>
          </w:p>
        </w:tc>
        <w:tc>
          <w:tcPr>
            <w:tcW w:w="2483" w:type="dxa"/>
            <w:shd w:val="clear" w:color="auto" w:fill="auto"/>
            <w:vAlign w:val="bottom"/>
          </w:tcPr>
          <w:p w14:paraId="1DAB5C91" w14:textId="77777777" w:rsidR="001734EB" w:rsidRPr="004E5744" w:rsidRDefault="001734EB" w:rsidP="00054D51">
            <w:pPr>
              <w:pStyle w:val="SingleTxtG"/>
              <w:spacing w:before="40" w:after="40" w:line="220" w:lineRule="exact"/>
              <w:ind w:left="113" w:right="0"/>
              <w:jc w:val="right"/>
              <w:rPr>
                <w:sz w:val="18"/>
                <w:lang w:val="es-VE"/>
              </w:rPr>
            </w:pPr>
            <w:r w:rsidRPr="00C45D5A">
              <w:rPr>
                <w:sz w:val="18"/>
                <w:lang w:val="es-VE"/>
              </w:rPr>
              <w:t>1</w:t>
            </w:r>
            <w:r w:rsidR="00C45D5A">
              <w:rPr>
                <w:sz w:val="18"/>
                <w:lang w:val="es-VE"/>
              </w:rPr>
              <w:t xml:space="preserve"> </w:t>
            </w:r>
            <w:r w:rsidRPr="004E5744">
              <w:rPr>
                <w:sz w:val="18"/>
                <w:lang w:val="es-VE"/>
              </w:rPr>
              <w:t>199</w:t>
            </w:r>
          </w:p>
        </w:tc>
        <w:tc>
          <w:tcPr>
            <w:tcW w:w="2302" w:type="dxa"/>
            <w:shd w:val="clear" w:color="auto" w:fill="auto"/>
            <w:vAlign w:val="bottom"/>
          </w:tcPr>
          <w:p w14:paraId="520AE53D" w14:textId="77777777" w:rsidR="001734EB" w:rsidRPr="00C45D5A" w:rsidRDefault="001734EB" w:rsidP="00054D51">
            <w:pPr>
              <w:pStyle w:val="SingleTxtG"/>
              <w:spacing w:before="40" w:after="40" w:line="220" w:lineRule="exact"/>
              <w:ind w:left="113" w:right="0"/>
              <w:jc w:val="right"/>
              <w:rPr>
                <w:sz w:val="18"/>
                <w:lang w:val="es-VE"/>
              </w:rPr>
            </w:pPr>
            <w:r w:rsidRPr="00C45D5A">
              <w:rPr>
                <w:sz w:val="18"/>
                <w:lang w:val="es-VE"/>
              </w:rPr>
              <w:t>7,03</w:t>
            </w:r>
          </w:p>
        </w:tc>
      </w:tr>
      <w:tr w:rsidR="00C45D5A" w:rsidRPr="00C45D5A" w14:paraId="523D3D56" w14:textId="77777777" w:rsidTr="00054D51">
        <w:trPr>
          <w:trHeight w:val="240"/>
        </w:trPr>
        <w:tc>
          <w:tcPr>
            <w:tcW w:w="2585" w:type="dxa"/>
            <w:shd w:val="clear" w:color="auto" w:fill="auto"/>
          </w:tcPr>
          <w:p w14:paraId="0A36D851" w14:textId="77777777" w:rsidR="001734EB" w:rsidRPr="00C45D5A" w:rsidRDefault="001734EB" w:rsidP="00054D51">
            <w:pPr>
              <w:pStyle w:val="SingleTxtG"/>
              <w:spacing w:before="40" w:after="40" w:line="220" w:lineRule="exact"/>
              <w:ind w:left="0" w:right="0"/>
              <w:jc w:val="left"/>
              <w:rPr>
                <w:sz w:val="18"/>
                <w:lang w:val="es-VE"/>
              </w:rPr>
            </w:pPr>
            <w:r w:rsidRPr="00C45D5A">
              <w:rPr>
                <w:sz w:val="18"/>
                <w:lang w:val="es-VE"/>
              </w:rPr>
              <w:t>Portuguesa</w:t>
            </w:r>
          </w:p>
        </w:tc>
        <w:tc>
          <w:tcPr>
            <w:tcW w:w="2483" w:type="dxa"/>
            <w:shd w:val="clear" w:color="auto" w:fill="auto"/>
            <w:vAlign w:val="bottom"/>
          </w:tcPr>
          <w:p w14:paraId="7515545E" w14:textId="77777777" w:rsidR="001734EB" w:rsidRPr="00C45D5A" w:rsidRDefault="001734EB" w:rsidP="00054D51">
            <w:pPr>
              <w:pStyle w:val="SingleTxtG"/>
              <w:spacing w:before="40" w:after="40" w:line="220" w:lineRule="exact"/>
              <w:ind w:left="113" w:right="0"/>
              <w:jc w:val="right"/>
              <w:rPr>
                <w:sz w:val="18"/>
                <w:lang w:val="es-VE"/>
              </w:rPr>
            </w:pPr>
            <w:r w:rsidRPr="00C45D5A">
              <w:rPr>
                <w:sz w:val="18"/>
                <w:lang w:val="es-VE"/>
              </w:rPr>
              <w:t>964</w:t>
            </w:r>
          </w:p>
        </w:tc>
        <w:tc>
          <w:tcPr>
            <w:tcW w:w="2302" w:type="dxa"/>
            <w:shd w:val="clear" w:color="auto" w:fill="auto"/>
            <w:vAlign w:val="bottom"/>
          </w:tcPr>
          <w:p w14:paraId="4E529C26" w14:textId="77777777" w:rsidR="001734EB" w:rsidRPr="00C45D5A" w:rsidRDefault="001734EB" w:rsidP="00054D51">
            <w:pPr>
              <w:pStyle w:val="SingleTxtG"/>
              <w:spacing w:before="40" w:after="40" w:line="220" w:lineRule="exact"/>
              <w:ind w:left="113" w:right="0"/>
              <w:jc w:val="right"/>
              <w:rPr>
                <w:sz w:val="18"/>
                <w:lang w:val="es-VE"/>
              </w:rPr>
            </w:pPr>
            <w:r w:rsidRPr="00C45D5A">
              <w:rPr>
                <w:sz w:val="18"/>
                <w:lang w:val="es-VE"/>
              </w:rPr>
              <w:t>5,65</w:t>
            </w:r>
          </w:p>
        </w:tc>
      </w:tr>
      <w:tr w:rsidR="00C45D5A" w:rsidRPr="00C45D5A" w14:paraId="1C920F73" w14:textId="77777777" w:rsidTr="00054D51">
        <w:trPr>
          <w:trHeight w:val="240"/>
        </w:trPr>
        <w:tc>
          <w:tcPr>
            <w:tcW w:w="2585" w:type="dxa"/>
            <w:shd w:val="clear" w:color="auto" w:fill="auto"/>
          </w:tcPr>
          <w:p w14:paraId="1266FCCA" w14:textId="77777777" w:rsidR="001734EB" w:rsidRPr="00C45D5A" w:rsidRDefault="001734EB" w:rsidP="00054D51">
            <w:pPr>
              <w:pStyle w:val="SingleTxtG"/>
              <w:spacing w:before="40" w:after="40" w:line="220" w:lineRule="exact"/>
              <w:ind w:left="0" w:right="0"/>
              <w:jc w:val="left"/>
              <w:rPr>
                <w:sz w:val="18"/>
                <w:lang w:val="es-VE"/>
              </w:rPr>
            </w:pPr>
            <w:r w:rsidRPr="00C45D5A">
              <w:rPr>
                <w:sz w:val="18"/>
                <w:lang w:val="es-VE"/>
              </w:rPr>
              <w:t>Barinas</w:t>
            </w:r>
          </w:p>
        </w:tc>
        <w:tc>
          <w:tcPr>
            <w:tcW w:w="2483" w:type="dxa"/>
            <w:shd w:val="clear" w:color="auto" w:fill="auto"/>
            <w:vAlign w:val="bottom"/>
          </w:tcPr>
          <w:p w14:paraId="13FC7E1E" w14:textId="77777777" w:rsidR="001734EB" w:rsidRPr="00C45D5A" w:rsidRDefault="001734EB" w:rsidP="00054D51">
            <w:pPr>
              <w:pStyle w:val="SingleTxtG"/>
              <w:spacing w:before="40" w:after="40" w:line="220" w:lineRule="exact"/>
              <w:ind w:left="113" w:right="0"/>
              <w:jc w:val="right"/>
              <w:rPr>
                <w:sz w:val="18"/>
                <w:lang w:val="es-VE"/>
              </w:rPr>
            </w:pPr>
            <w:r w:rsidRPr="00C45D5A">
              <w:rPr>
                <w:sz w:val="18"/>
                <w:lang w:val="es-VE"/>
              </w:rPr>
              <w:t>930</w:t>
            </w:r>
          </w:p>
        </w:tc>
        <w:tc>
          <w:tcPr>
            <w:tcW w:w="2302" w:type="dxa"/>
            <w:shd w:val="clear" w:color="auto" w:fill="auto"/>
            <w:vAlign w:val="bottom"/>
          </w:tcPr>
          <w:p w14:paraId="587F093B" w14:textId="77777777" w:rsidR="001734EB" w:rsidRPr="00C45D5A" w:rsidRDefault="001734EB" w:rsidP="00054D51">
            <w:pPr>
              <w:pStyle w:val="SingleTxtG"/>
              <w:spacing w:before="40" w:after="40" w:line="220" w:lineRule="exact"/>
              <w:ind w:left="113" w:right="0"/>
              <w:jc w:val="right"/>
              <w:rPr>
                <w:sz w:val="18"/>
                <w:lang w:val="es-VE"/>
              </w:rPr>
            </w:pPr>
            <w:r w:rsidRPr="00C45D5A">
              <w:rPr>
                <w:sz w:val="18"/>
                <w:lang w:val="es-VE"/>
              </w:rPr>
              <w:t>5,45</w:t>
            </w:r>
          </w:p>
        </w:tc>
      </w:tr>
      <w:tr w:rsidR="00C45D5A" w:rsidRPr="00C45D5A" w14:paraId="5C6F33D4" w14:textId="77777777" w:rsidTr="00054D51">
        <w:trPr>
          <w:trHeight w:val="240"/>
        </w:trPr>
        <w:tc>
          <w:tcPr>
            <w:tcW w:w="2585" w:type="dxa"/>
            <w:shd w:val="clear" w:color="auto" w:fill="auto"/>
          </w:tcPr>
          <w:p w14:paraId="2A6781A6" w14:textId="77777777" w:rsidR="001734EB" w:rsidRPr="00C45D5A" w:rsidRDefault="001734EB" w:rsidP="00054D51">
            <w:pPr>
              <w:pStyle w:val="SingleTxtG"/>
              <w:spacing w:before="40" w:after="40" w:line="220" w:lineRule="exact"/>
              <w:ind w:left="0" w:right="0"/>
              <w:jc w:val="left"/>
              <w:rPr>
                <w:sz w:val="18"/>
                <w:lang w:val="es-VE"/>
              </w:rPr>
            </w:pPr>
            <w:r w:rsidRPr="00C45D5A">
              <w:rPr>
                <w:sz w:val="18"/>
                <w:lang w:val="es-VE"/>
              </w:rPr>
              <w:t>Yaracuy</w:t>
            </w:r>
          </w:p>
        </w:tc>
        <w:tc>
          <w:tcPr>
            <w:tcW w:w="2483" w:type="dxa"/>
            <w:shd w:val="clear" w:color="auto" w:fill="auto"/>
            <w:vAlign w:val="bottom"/>
          </w:tcPr>
          <w:p w14:paraId="5FE59319" w14:textId="77777777" w:rsidR="001734EB" w:rsidRPr="00C45D5A" w:rsidRDefault="001734EB" w:rsidP="00054D51">
            <w:pPr>
              <w:pStyle w:val="SingleTxtG"/>
              <w:spacing w:before="40" w:after="40" w:line="220" w:lineRule="exact"/>
              <w:ind w:left="113" w:right="0"/>
              <w:jc w:val="right"/>
              <w:rPr>
                <w:sz w:val="18"/>
                <w:lang w:val="es-VE"/>
              </w:rPr>
            </w:pPr>
            <w:r w:rsidRPr="00C45D5A">
              <w:rPr>
                <w:sz w:val="18"/>
                <w:lang w:val="es-VE"/>
              </w:rPr>
              <w:t>776</w:t>
            </w:r>
          </w:p>
        </w:tc>
        <w:tc>
          <w:tcPr>
            <w:tcW w:w="2302" w:type="dxa"/>
            <w:shd w:val="clear" w:color="auto" w:fill="auto"/>
            <w:vAlign w:val="bottom"/>
          </w:tcPr>
          <w:p w14:paraId="0548FF1A" w14:textId="77777777" w:rsidR="001734EB" w:rsidRPr="00C45D5A" w:rsidRDefault="001734EB" w:rsidP="00054D51">
            <w:pPr>
              <w:pStyle w:val="SingleTxtG"/>
              <w:spacing w:before="40" w:after="40" w:line="220" w:lineRule="exact"/>
              <w:ind w:left="113" w:right="0"/>
              <w:jc w:val="right"/>
              <w:rPr>
                <w:sz w:val="18"/>
                <w:lang w:val="es-VE"/>
              </w:rPr>
            </w:pPr>
            <w:r w:rsidRPr="00C45D5A">
              <w:rPr>
                <w:sz w:val="18"/>
                <w:lang w:val="es-VE"/>
              </w:rPr>
              <w:t>4,55</w:t>
            </w:r>
          </w:p>
        </w:tc>
      </w:tr>
      <w:tr w:rsidR="00C45D5A" w:rsidRPr="00C45D5A" w14:paraId="1FE55285" w14:textId="77777777" w:rsidTr="00054D51">
        <w:trPr>
          <w:trHeight w:val="240"/>
        </w:trPr>
        <w:tc>
          <w:tcPr>
            <w:tcW w:w="2585" w:type="dxa"/>
            <w:shd w:val="clear" w:color="auto" w:fill="auto"/>
          </w:tcPr>
          <w:p w14:paraId="31242C60" w14:textId="77777777" w:rsidR="001734EB" w:rsidRPr="00C45D5A" w:rsidRDefault="001734EB" w:rsidP="00054D51">
            <w:pPr>
              <w:pStyle w:val="SingleTxtG"/>
              <w:spacing w:before="40" w:after="40" w:line="220" w:lineRule="exact"/>
              <w:ind w:left="0" w:right="0"/>
              <w:jc w:val="left"/>
              <w:rPr>
                <w:sz w:val="18"/>
                <w:lang w:val="es-VE"/>
              </w:rPr>
            </w:pPr>
            <w:r w:rsidRPr="00C45D5A">
              <w:rPr>
                <w:sz w:val="18"/>
                <w:lang w:val="es-VE"/>
              </w:rPr>
              <w:t>Bolívar</w:t>
            </w:r>
          </w:p>
        </w:tc>
        <w:tc>
          <w:tcPr>
            <w:tcW w:w="2483" w:type="dxa"/>
            <w:shd w:val="clear" w:color="auto" w:fill="auto"/>
            <w:vAlign w:val="bottom"/>
          </w:tcPr>
          <w:p w14:paraId="53C728FA" w14:textId="77777777" w:rsidR="001734EB" w:rsidRPr="00C45D5A" w:rsidRDefault="001734EB" w:rsidP="00054D51">
            <w:pPr>
              <w:pStyle w:val="SingleTxtG"/>
              <w:spacing w:before="40" w:after="40" w:line="220" w:lineRule="exact"/>
              <w:ind w:left="113" w:right="0"/>
              <w:jc w:val="right"/>
              <w:rPr>
                <w:sz w:val="18"/>
                <w:lang w:val="es-VE"/>
              </w:rPr>
            </w:pPr>
            <w:r w:rsidRPr="00C45D5A">
              <w:rPr>
                <w:sz w:val="18"/>
                <w:lang w:val="es-VE"/>
              </w:rPr>
              <w:t>744</w:t>
            </w:r>
          </w:p>
        </w:tc>
        <w:tc>
          <w:tcPr>
            <w:tcW w:w="2302" w:type="dxa"/>
            <w:shd w:val="clear" w:color="auto" w:fill="auto"/>
            <w:vAlign w:val="bottom"/>
          </w:tcPr>
          <w:p w14:paraId="1A7BF150" w14:textId="77777777" w:rsidR="001734EB" w:rsidRPr="00C45D5A" w:rsidRDefault="001734EB" w:rsidP="00054D51">
            <w:pPr>
              <w:pStyle w:val="SingleTxtG"/>
              <w:spacing w:before="40" w:after="40" w:line="220" w:lineRule="exact"/>
              <w:ind w:left="113" w:right="0"/>
              <w:jc w:val="right"/>
              <w:rPr>
                <w:sz w:val="18"/>
                <w:lang w:val="es-VE"/>
              </w:rPr>
            </w:pPr>
            <w:r w:rsidRPr="00C45D5A">
              <w:rPr>
                <w:sz w:val="18"/>
                <w:lang w:val="es-VE"/>
              </w:rPr>
              <w:t>4,36</w:t>
            </w:r>
          </w:p>
        </w:tc>
      </w:tr>
      <w:tr w:rsidR="00C45D5A" w:rsidRPr="00C45D5A" w14:paraId="0C69A1AF" w14:textId="77777777" w:rsidTr="00054D51">
        <w:trPr>
          <w:trHeight w:val="240"/>
        </w:trPr>
        <w:tc>
          <w:tcPr>
            <w:tcW w:w="2585" w:type="dxa"/>
            <w:shd w:val="clear" w:color="auto" w:fill="auto"/>
          </w:tcPr>
          <w:p w14:paraId="3B9B8498" w14:textId="77777777" w:rsidR="001734EB" w:rsidRPr="00C45D5A" w:rsidRDefault="001734EB" w:rsidP="00054D51">
            <w:pPr>
              <w:pStyle w:val="SingleTxtG"/>
              <w:spacing w:before="40" w:after="40" w:line="220" w:lineRule="exact"/>
              <w:ind w:left="0" w:right="0"/>
              <w:jc w:val="left"/>
              <w:rPr>
                <w:sz w:val="18"/>
                <w:lang w:val="es-VE"/>
              </w:rPr>
            </w:pPr>
            <w:r w:rsidRPr="00C45D5A">
              <w:rPr>
                <w:sz w:val="18"/>
                <w:lang w:val="es-VE"/>
              </w:rPr>
              <w:t>Sucre</w:t>
            </w:r>
          </w:p>
        </w:tc>
        <w:tc>
          <w:tcPr>
            <w:tcW w:w="2483" w:type="dxa"/>
            <w:shd w:val="clear" w:color="auto" w:fill="auto"/>
            <w:vAlign w:val="bottom"/>
          </w:tcPr>
          <w:p w14:paraId="583A919C" w14:textId="77777777" w:rsidR="001734EB" w:rsidRPr="00C45D5A" w:rsidRDefault="001734EB" w:rsidP="00054D51">
            <w:pPr>
              <w:pStyle w:val="SingleTxtG"/>
              <w:spacing w:before="40" w:after="40" w:line="220" w:lineRule="exact"/>
              <w:ind w:left="113" w:right="0"/>
              <w:jc w:val="right"/>
              <w:rPr>
                <w:sz w:val="18"/>
                <w:lang w:val="es-VE"/>
              </w:rPr>
            </w:pPr>
            <w:r w:rsidRPr="00C45D5A">
              <w:rPr>
                <w:sz w:val="18"/>
                <w:lang w:val="es-VE"/>
              </w:rPr>
              <w:t>515</w:t>
            </w:r>
          </w:p>
        </w:tc>
        <w:tc>
          <w:tcPr>
            <w:tcW w:w="2302" w:type="dxa"/>
            <w:shd w:val="clear" w:color="auto" w:fill="auto"/>
            <w:vAlign w:val="bottom"/>
          </w:tcPr>
          <w:p w14:paraId="59F0F812" w14:textId="77777777" w:rsidR="001734EB" w:rsidRPr="00C45D5A" w:rsidRDefault="001734EB" w:rsidP="00054D51">
            <w:pPr>
              <w:pStyle w:val="SingleTxtG"/>
              <w:spacing w:before="40" w:after="40" w:line="220" w:lineRule="exact"/>
              <w:ind w:left="113" w:right="0"/>
              <w:jc w:val="right"/>
              <w:rPr>
                <w:sz w:val="18"/>
                <w:lang w:val="es-VE"/>
              </w:rPr>
            </w:pPr>
            <w:r w:rsidRPr="00C45D5A">
              <w:rPr>
                <w:sz w:val="18"/>
                <w:lang w:val="es-VE"/>
              </w:rPr>
              <w:t>3,02</w:t>
            </w:r>
          </w:p>
        </w:tc>
      </w:tr>
      <w:tr w:rsidR="00C45D5A" w:rsidRPr="00C45D5A" w14:paraId="29B83F9B" w14:textId="77777777" w:rsidTr="00054D51">
        <w:trPr>
          <w:trHeight w:val="240"/>
        </w:trPr>
        <w:tc>
          <w:tcPr>
            <w:tcW w:w="2585" w:type="dxa"/>
            <w:shd w:val="clear" w:color="auto" w:fill="auto"/>
          </w:tcPr>
          <w:p w14:paraId="4B6C7391" w14:textId="77777777" w:rsidR="001734EB" w:rsidRPr="00C45D5A" w:rsidRDefault="001734EB" w:rsidP="00054D51">
            <w:pPr>
              <w:pStyle w:val="SingleTxtG"/>
              <w:spacing w:before="40" w:after="40" w:line="220" w:lineRule="exact"/>
              <w:ind w:left="0" w:right="0"/>
              <w:jc w:val="left"/>
              <w:rPr>
                <w:sz w:val="18"/>
                <w:lang w:val="es-VE"/>
              </w:rPr>
            </w:pPr>
            <w:r w:rsidRPr="00C45D5A">
              <w:rPr>
                <w:sz w:val="18"/>
                <w:lang w:val="es-VE"/>
              </w:rPr>
              <w:t>Mérida</w:t>
            </w:r>
          </w:p>
        </w:tc>
        <w:tc>
          <w:tcPr>
            <w:tcW w:w="2483" w:type="dxa"/>
            <w:shd w:val="clear" w:color="auto" w:fill="auto"/>
            <w:vAlign w:val="bottom"/>
          </w:tcPr>
          <w:p w14:paraId="1A9A55F9" w14:textId="77777777" w:rsidR="001734EB" w:rsidRPr="00C45D5A" w:rsidRDefault="001734EB" w:rsidP="00054D51">
            <w:pPr>
              <w:pStyle w:val="SingleTxtG"/>
              <w:spacing w:before="40" w:after="40" w:line="220" w:lineRule="exact"/>
              <w:ind w:left="113" w:right="0"/>
              <w:jc w:val="right"/>
              <w:rPr>
                <w:sz w:val="18"/>
                <w:lang w:val="es-VE"/>
              </w:rPr>
            </w:pPr>
            <w:r w:rsidRPr="00C45D5A">
              <w:rPr>
                <w:sz w:val="18"/>
                <w:lang w:val="es-VE"/>
              </w:rPr>
              <w:t>467</w:t>
            </w:r>
          </w:p>
        </w:tc>
        <w:tc>
          <w:tcPr>
            <w:tcW w:w="2302" w:type="dxa"/>
            <w:shd w:val="clear" w:color="auto" w:fill="auto"/>
            <w:vAlign w:val="bottom"/>
          </w:tcPr>
          <w:p w14:paraId="2DE0F232" w14:textId="77777777" w:rsidR="001734EB" w:rsidRPr="00C45D5A" w:rsidRDefault="001734EB" w:rsidP="00054D51">
            <w:pPr>
              <w:pStyle w:val="SingleTxtG"/>
              <w:spacing w:before="40" w:after="40" w:line="220" w:lineRule="exact"/>
              <w:ind w:left="113" w:right="0"/>
              <w:jc w:val="right"/>
              <w:rPr>
                <w:sz w:val="18"/>
                <w:lang w:val="es-VE"/>
              </w:rPr>
            </w:pPr>
            <w:r w:rsidRPr="00C45D5A">
              <w:rPr>
                <w:sz w:val="18"/>
                <w:lang w:val="es-VE"/>
              </w:rPr>
              <w:t>2,74</w:t>
            </w:r>
          </w:p>
        </w:tc>
      </w:tr>
      <w:tr w:rsidR="00C45D5A" w:rsidRPr="00C45D5A" w14:paraId="56D5ACB5" w14:textId="77777777" w:rsidTr="00054D51">
        <w:trPr>
          <w:trHeight w:val="240"/>
        </w:trPr>
        <w:tc>
          <w:tcPr>
            <w:tcW w:w="2585" w:type="dxa"/>
            <w:shd w:val="clear" w:color="auto" w:fill="auto"/>
          </w:tcPr>
          <w:p w14:paraId="1C6CF62D" w14:textId="77777777" w:rsidR="001734EB" w:rsidRPr="00C45D5A" w:rsidRDefault="001734EB" w:rsidP="00054D51">
            <w:pPr>
              <w:pStyle w:val="SingleTxtG"/>
              <w:spacing w:before="40" w:after="40" w:line="220" w:lineRule="exact"/>
              <w:ind w:left="0" w:right="0"/>
              <w:jc w:val="left"/>
              <w:rPr>
                <w:sz w:val="18"/>
                <w:lang w:val="es-VE"/>
              </w:rPr>
            </w:pPr>
            <w:r w:rsidRPr="00C45D5A">
              <w:rPr>
                <w:sz w:val="18"/>
                <w:lang w:val="es-VE"/>
              </w:rPr>
              <w:t>Monagas</w:t>
            </w:r>
          </w:p>
        </w:tc>
        <w:tc>
          <w:tcPr>
            <w:tcW w:w="2483" w:type="dxa"/>
            <w:shd w:val="clear" w:color="auto" w:fill="auto"/>
            <w:vAlign w:val="bottom"/>
          </w:tcPr>
          <w:p w14:paraId="1B2CE029" w14:textId="77777777" w:rsidR="001734EB" w:rsidRPr="00C45D5A" w:rsidRDefault="001734EB" w:rsidP="00054D51">
            <w:pPr>
              <w:pStyle w:val="SingleTxtG"/>
              <w:spacing w:before="40" w:after="40" w:line="220" w:lineRule="exact"/>
              <w:ind w:left="113" w:right="0"/>
              <w:jc w:val="right"/>
              <w:rPr>
                <w:sz w:val="18"/>
                <w:lang w:val="es-VE"/>
              </w:rPr>
            </w:pPr>
            <w:r w:rsidRPr="00C45D5A">
              <w:rPr>
                <w:sz w:val="18"/>
                <w:lang w:val="es-VE"/>
              </w:rPr>
              <w:t>429</w:t>
            </w:r>
          </w:p>
        </w:tc>
        <w:tc>
          <w:tcPr>
            <w:tcW w:w="2302" w:type="dxa"/>
            <w:shd w:val="clear" w:color="auto" w:fill="auto"/>
            <w:vAlign w:val="bottom"/>
          </w:tcPr>
          <w:p w14:paraId="23A04722" w14:textId="77777777" w:rsidR="001734EB" w:rsidRPr="00C45D5A" w:rsidRDefault="001734EB" w:rsidP="00054D51">
            <w:pPr>
              <w:pStyle w:val="SingleTxtG"/>
              <w:spacing w:before="40" w:after="40" w:line="220" w:lineRule="exact"/>
              <w:ind w:left="113" w:right="0"/>
              <w:jc w:val="right"/>
              <w:rPr>
                <w:sz w:val="18"/>
                <w:lang w:val="es-VE"/>
              </w:rPr>
            </w:pPr>
            <w:r w:rsidRPr="00C45D5A">
              <w:rPr>
                <w:sz w:val="18"/>
                <w:lang w:val="es-VE"/>
              </w:rPr>
              <w:t>2,51</w:t>
            </w:r>
          </w:p>
        </w:tc>
      </w:tr>
      <w:tr w:rsidR="00C45D5A" w:rsidRPr="00C45D5A" w14:paraId="28596586" w14:textId="77777777" w:rsidTr="00054D51">
        <w:trPr>
          <w:trHeight w:val="240"/>
        </w:trPr>
        <w:tc>
          <w:tcPr>
            <w:tcW w:w="2585" w:type="dxa"/>
            <w:shd w:val="clear" w:color="auto" w:fill="auto"/>
          </w:tcPr>
          <w:p w14:paraId="5E4F6EEC" w14:textId="77777777" w:rsidR="001734EB" w:rsidRPr="00C45D5A" w:rsidRDefault="001734EB" w:rsidP="00054D51">
            <w:pPr>
              <w:pStyle w:val="SingleTxtG"/>
              <w:spacing w:before="40" w:after="40" w:line="220" w:lineRule="exact"/>
              <w:ind w:left="0" w:right="0"/>
              <w:jc w:val="left"/>
              <w:rPr>
                <w:sz w:val="18"/>
                <w:lang w:val="es-VE"/>
              </w:rPr>
            </w:pPr>
            <w:r w:rsidRPr="00C45D5A">
              <w:rPr>
                <w:sz w:val="18"/>
                <w:lang w:val="es-VE"/>
              </w:rPr>
              <w:t>Falcón</w:t>
            </w:r>
          </w:p>
        </w:tc>
        <w:tc>
          <w:tcPr>
            <w:tcW w:w="2483" w:type="dxa"/>
            <w:shd w:val="clear" w:color="auto" w:fill="auto"/>
            <w:vAlign w:val="bottom"/>
          </w:tcPr>
          <w:p w14:paraId="285F4567" w14:textId="77777777" w:rsidR="001734EB" w:rsidRPr="00C45D5A" w:rsidRDefault="001734EB" w:rsidP="00054D51">
            <w:pPr>
              <w:pStyle w:val="SingleTxtG"/>
              <w:spacing w:before="40" w:after="40" w:line="220" w:lineRule="exact"/>
              <w:ind w:left="113" w:right="0"/>
              <w:jc w:val="right"/>
              <w:rPr>
                <w:sz w:val="18"/>
                <w:lang w:val="es-VE"/>
              </w:rPr>
            </w:pPr>
            <w:r w:rsidRPr="00C45D5A">
              <w:rPr>
                <w:sz w:val="18"/>
                <w:lang w:val="es-VE"/>
              </w:rPr>
              <w:t>360</w:t>
            </w:r>
          </w:p>
        </w:tc>
        <w:tc>
          <w:tcPr>
            <w:tcW w:w="2302" w:type="dxa"/>
            <w:shd w:val="clear" w:color="auto" w:fill="auto"/>
            <w:vAlign w:val="bottom"/>
          </w:tcPr>
          <w:p w14:paraId="69F648F2" w14:textId="77777777" w:rsidR="001734EB" w:rsidRPr="00C45D5A" w:rsidRDefault="001734EB" w:rsidP="00054D51">
            <w:pPr>
              <w:pStyle w:val="SingleTxtG"/>
              <w:spacing w:before="40" w:after="40" w:line="220" w:lineRule="exact"/>
              <w:ind w:left="113" w:right="0"/>
              <w:jc w:val="right"/>
              <w:rPr>
                <w:sz w:val="18"/>
                <w:lang w:val="es-VE"/>
              </w:rPr>
            </w:pPr>
            <w:r w:rsidRPr="00C45D5A">
              <w:rPr>
                <w:sz w:val="18"/>
                <w:lang w:val="es-VE"/>
              </w:rPr>
              <w:t>2,11</w:t>
            </w:r>
          </w:p>
        </w:tc>
      </w:tr>
      <w:tr w:rsidR="00C45D5A" w:rsidRPr="00C45D5A" w14:paraId="274B9CB8" w14:textId="77777777" w:rsidTr="00054D51">
        <w:trPr>
          <w:trHeight w:val="240"/>
        </w:trPr>
        <w:tc>
          <w:tcPr>
            <w:tcW w:w="2585" w:type="dxa"/>
            <w:shd w:val="clear" w:color="auto" w:fill="auto"/>
          </w:tcPr>
          <w:p w14:paraId="089897F4" w14:textId="77777777" w:rsidR="001734EB" w:rsidRPr="00C45D5A" w:rsidRDefault="001734EB" w:rsidP="00054D51">
            <w:pPr>
              <w:pStyle w:val="SingleTxtG"/>
              <w:spacing w:before="40" w:after="40" w:line="220" w:lineRule="exact"/>
              <w:ind w:left="0" w:right="0"/>
              <w:jc w:val="left"/>
              <w:rPr>
                <w:sz w:val="18"/>
                <w:lang w:val="es-VE"/>
              </w:rPr>
            </w:pPr>
            <w:proofErr w:type="spellStart"/>
            <w:r w:rsidRPr="00C45D5A">
              <w:rPr>
                <w:sz w:val="18"/>
                <w:lang w:val="es-VE"/>
              </w:rPr>
              <w:t>Nva</w:t>
            </w:r>
            <w:proofErr w:type="spellEnd"/>
            <w:r w:rsidRPr="00C45D5A">
              <w:rPr>
                <w:sz w:val="18"/>
                <w:lang w:val="es-VE"/>
              </w:rPr>
              <w:t>. Esparta</w:t>
            </w:r>
          </w:p>
        </w:tc>
        <w:tc>
          <w:tcPr>
            <w:tcW w:w="2483" w:type="dxa"/>
            <w:shd w:val="clear" w:color="auto" w:fill="auto"/>
            <w:vAlign w:val="bottom"/>
          </w:tcPr>
          <w:p w14:paraId="610A300C" w14:textId="77777777" w:rsidR="001734EB" w:rsidRPr="00C45D5A" w:rsidRDefault="001734EB" w:rsidP="00054D51">
            <w:pPr>
              <w:pStyle w:val="SingleTxtG"/>
              <w:spacing w:before="40" w:after="40" w:line="220" w:lineRule="exact"/>
              <w:ind w:left="113" w:right="0"/>
              <w:jc w:val="right"/>
              <w:rPr>
                <w:sz w:val="18"/>
                <w:lang w:val="es-VE"/>
              </w:rPr>
            </w:pPr>
            <w:r w:rsidRPr="00C45D5A">
              <w:rPr>
                <w:sz w:val="18"/>
                <w:lang w:val="es-VE"/>
              </w:rPr>
              <w:t>298</w:t>
            </w:r>
          </w:p>
        </w:tc>
        <w:tc>
          <w:tcPr>
            <w:tcW w:w="2302" w:type="dxa"/>
            <w:shd w:val="clear" w:color="auto" w:fill="auto"/>
            <w:vAlign w:val="bottom"/>
          </w:tcPr>
          <w:p w14:paraId="5EE23657" w14:textId="77777777" w:rsidR="001734EB" w:rsidRPr="00C45D5A" w:rsidRDefault="001734EB" w:rsidP="00054D51">
            <w:pPr>
              <w:pStyle w:val="SingleTxtG"/>
              <w:spacing w:before="40" w:after="40" w:line="220" w:lineRule="exact"/>
              <w:ind w:left="113" w:right="0"/>
              <w:jc w:val="right"/>
              <w:rPr>
                <w:sz w:val="18"/>
                <w:lang w:val="es-VE"/>
              </w:rPr>
            </w:pPr>
            <w:r w:rsidRPr="00C45D5A">
              <w:rPr>
                <w:sz w:val="18"/>
                <w:lang w:val="es-VE"/>
              </w:rPr>
              <w:t>1,75</w:t>
            </w:r>
          </w:p>
        </w:tc>
      </w:tr>
      <w:tr w:rsidR="00C45D5A" w:rsidRPr="00C45D5A" w14:paraId="1A001516" w14:textId="77777777" w:rsidTr="00054D51">
        <w:trPr>
          <w:trHeight w:val="240"/>
        </w:trPr>
        <w:tc>
          <w:tcPr>
            <w:tcW w:w="2585" w:type="dxa"/>
            <w:shd w:val="clear" w:color="auto" w:fill="auto"/>
          </w:tcPr>
          <w:p w14:paraId="1AC81504" w14:textId="77777777" w:rsidR="001734EB" w:rsidRPr="00C45D5A" w:rsidRDefault="001734EB" w:rsidP="00054D51">
            <w:pPr>
              <w:pStyle w:val="SingleTxtG"/>
              <w:spacing w:before="40" w:after="40" w:line="220" w:lineRule="exact"/>
              <w:ind w:left="0" w:right="0"/>
              <w:jc w:val="left"/>
              <w:rPr>
                <w:sz w:val="18"/>
                <w:lang w:val="es-VE"/>
              </w:rPr>
            </w:pPr>
            <w:r w:rsidRPr="00C45D5A">
              <w:rPr>
                <w:sz w:val="18"/>
                <w:lang w:val="es-VE"/>
              </w:rPr>
              <w:t>Trujillo</w:t>
            </w:r>
          </w:p>
        </w:tc>
        <w:tc>
          <w:tcPr>
            <w:tcW w:w="2483" w:type="dxa"/>
            <w:shd w:val="clear" w:color="auto" w:fill="auto"/>
            <w:vAlign w:val="bottom"/>
          </w:tcPr>
          <w:p w14:paraId="08DAE996" w14:textId="77777777" w:rsidR="001734EB" w:rsidRPr="00C45D5A" w:rsidRDefault="001734EB" w:rsidP="00054D51">
            <w:pPr>
              <w:pStyle w:val="SingleTxtG"/>
              <w:spacing w:before="40" w:after="40" w:line="220" w:lineRule="exact"/>
              <w:ind w:left="113" w:right="0"/>
              <w:jc w:val="right"/>
              <w:rPr>
                <w:sz w:val="18"/>
                <w:lang w:val="es-VE"/>
              </w:rPr>
            </w:pPr>
            <w:r w:rsidRPr="00C45D5A">
              <w:rPr>
                <w:sz w:val="18"/>
                <w:lang w:val="es-VE"/>
              </w:rPr>
              <w:t>288</w:t>
            </w:r>
          </w:p>
        </w:tc>
        <w:tc>
          <w:tcPr>
            <w:tcW w:w="2302" w:type="dxa"/>
            <w:shd w:val="clear" w:color="auto" w:fill="auto"/>
            <w:vAlign w:val="bottom"/>
          </w:tcPr>
          <w:p w14:paraId="513FDCA2" w14:textId="77777777" w:rsidR="001734EB" w:rsidRPr="00C45D5A" w:rsidRDefault="001734EB" w:rsidP="00054D51">
            <w:pPr>
              <w:pStyle w:val="SingleTxtG"/>
              <w:spacing w:before="40" w:after="40" w:line="220" w:lineRule="exact"/>
              <w:ind w:left="113" w:right="0"/>
              <w:jc w:val="right"/>
              <w:rPr>
                <w:sz w:val="18"/>
                <w:lang w:val="es-VE"/>
              </w:rPr>
            </w:pPr>
            <w:r w:rsidRPr="00C45D5A">
              <w:rPr>
                <w:sz w:val="18"/>
                <w:lang w:val="es-VE"/>
              </w:rPr>
              <w:t>1,69</w:t>
            </w:r>
          </w:p>
        </w:tc>
      </w:tr>
      <w:tr w:rsidR="00C45D5A" w:rsidRPr="00C45D5A" w14:paraId="4C781B87" w14:textId="77777777" w:rsidTr="00054D51">
        <w:trPr>
          <w:trHeight w:val="240"/>
        </w:trPr>
        <w:tc>
          <w:tcPr>
            <w:tcW w:w="2585" w:type="dxa"/>
            <w:shd w:val="clear" w:color="auto" w:fill="auto"/>
          </w:tcPr>
          <w:p w14:paraId="1035A57E" w14:textId="77777777" w:rsidR="001734EB" w:rsidRPr="00C45D5A" w:rsidRDefault="001734EB" w:rsidP="00054D51">
            <w:pPr>
              <w:pStyle w:val="SingleTxtG"/>
              <w:spacing w:before="40" w:after="40" w:line="220" w:lineRule="exact"/>
              <w:ind w:left="0" w:right="0"/>
              <w:jc w:val="left"/>
              <w:rPr>
                <w:sz w:val="18"/>
                <w:lang w:val="es-VE"/>
              </w:rPr>
            </w:pPr>
            <w:r w:rsidRPr="00C45D5A">
              <w:rPr>
                <w:sz w:val="18"/>
                <w:lang w:val="es-VE"/>
              </w:rPr>
              <w:t>Guárico</w:t>
            </w:r>
          </w:p>
        </w:tc>
        <w:tc>
          <w:tcPr>
            <w:tcW w:w="2483" w:type="dxa"/>
            <w:shd w:val="clear" w:color="auto" w:fill="auto"/>
            <w:vAlign w:val="bottom"/>
          </w:tcPr>
          <w:p w14:paraId="751A8499" w14:textId="77777777" w:rsidR="001734EB" w:rsidRPr="00C45D5A" w:rsidRDefault="001734EB" w:rsidP="00054D51">
            <w:pPr>
              <w:pStyle w:val="SingleTxtG"/>
              <w:spacing w:before="40" w:after="40" w:line="220" w:lineRule="exact"/>
              <w:ind w:left="113" w:right="0"/>
              <w:jc w:val="right"/>
              <w:rPr>
                <w:sz w:val="18"/>
                <w:lang w:val="es-VE"/>
              </w:rPr>
            </w:pPr>
            <w:r w:rsidRPr="00C45D5A">
              <w:rPr>
                <w:sz w:val="18"/>
                <w:lang w:val="es-VE"/>
              </w:rPr>
              <w:t>237</w:t>
            </w:r>
          </w:p>
        </w:tc>
        <w:tc>
          <w:tcPr>
            <w:tcW w:w="2302" w:type="dxa"/>
            <w:shd w:val="clear" w:color="auto" w:fill="auto"/>
            <w:vAlign w:val="bottom"/>
          </w:tcPr>
          <w:p w14:paraId="155DD9C5" w14:textId="77777777" w:rsidR="001734EB" w:rsidRPr="00C45D5A" w:rsidRDefault="001734EB" w:rsidP="00054D51">
            <w:pPr>
              <w:pStyle w:val="SingleTxtG"/>
              <w:spacing w:before="40" w:after="40" w:line="220" w:lineRule="exact"/>
              <w:ind w:left="113" w:right="0"/>
              <w:jc w:val="right"/>
              <w:rPr>
                <w:sz w:val="18"/>
                <w:lang w:val="es-VE"/>
              </w:rPr>
            </w:pPr>
            <w:r w:rsidRPr="00C45D5A">
              <w:rPr>
                <w:sz w:val="18"/>
                <w:lang w:val="es-VE"/>
              </w:rPr>
              <w:t>1,69</w:t>
            </w:r>
          </w:p>
        </w:tc>
      </w:tr>
      <w:tr w:rsidR="00C45D5A" w:rsidRPr="00C45D5A" w14:paraId="53F5A119" w14:textId="77777777" w:rsidTr="00054D51">
        <w:trPr>
          <w:trHeight w:val="240"/>
        </w:trPr>
        <w:tc>
          <w:tcPr>
            <w:tcW w:w="2585" w:type="dxa"/>
            <w:shd w:val="clear" w:color="auto" w:fill="auto"/>
          </w:tcPr>
          <w:p w14:paraId="36C4F664" w14:textId="77777777" w:rsidR="001734EB" w:rsidRPr="00C45D5A" w:rsidRDefault="001734EB" w:rsidP="00054D51">
            <w:pPr>
              <w:pStyle w:val="SingleTxtG"/>
              <w:spacing w:before="40" w:after="40" w:line="220" w:lineRule="exact"/>
              <w:ind w:left="0" w:right="0"/>
              <w:jc w:val="left"/>
              <w:rPr>
                <w:sz w:val="18"/>
                <w:lang w:val="es-VE"/>
              </w:rPr>
            </w:pPr>
            <w:r w:rsidRPr="00C45D5A">
              <w:rPr>
                <w:sz w:val="18"/>
                <w:lang w:val="es-VE"/>
              </w:rPr>
              <w:t>Vargas</w:t>
            </w:r>
          </w:p>
        </w:tc>
        <w:tc>
          <w:tcPr>
            <w:tcW w:w="2483" w:type="dxa"/>
            <w:shd w:val="clear" w:color="auto" w:fill="auto"/>
            <w:vAlign w:val="bottom"/>
          </w:tcPr>
          <w:p w14:paraId="3D2D26D5" w14:textId="77777777" w:rsidR="001734EB" w:rsidRPr="00C45D5A" w:rsidRDefault="001734EB" w:rsidP="00054D51">
            <w:pPr>
              <w:pStyle w:val="SingleTxtG"/>
              <w:spacing w:before="40" w:after="40" w:line="220" w:lineRule="exact"/>
              <w:ind w:left="113" w:right="0"/>
              <w:jc w:val="right"/>
              <w:rPr>
                <w:sz w:val="18"/>
                <w:lang w:val="es-VE"/>
              </w:rPr>
            </w:pPr>
            <w:r w:rsidRPr="00C45D5A">
              <w:rPr>
                <w:sz w:val="18"/>
                <w:lang w:val="es-VE"/>
              </w:rPr>
              <w:t>199</w:t>
            </w:r>
          </w:p>
        </w:tc>
        <w:tc>
          <w:tcPr>
            <w:tcW w:w="2302" w:type="dxa"/>
            <w:shd w:val="clear" w:color="auto" w:fill="auto"/>
            <w:vAlign w:val="bottom"/>
          </w:tcPr>
          <w:p w14:paraId="08377E51" w14:textId="77777777" w:rsidR="001734EB" w:rsidRPr="00C45D5A" w:rsidRDefault="001734EB" w:rsidP="00054D51">
            <w:pPr>
              <w:pStyle w:val="SingleTxtG"/>
              <w:spacing w:before="40" w:after="40" w:line="220" w:lineRule="exact"/>
              <w:ind w:left="113" w:right="0"/>
              <w:jc w:val="right"/>
              <w:rPr>
                <w:sz w:val="18"/>
                <w:lang w:val="es-VE"/>
              </w:rPr>
            </w:pPr>
            <w:r w:rsidRPr="00C45D5A">
              <w:rPr>
                <w:sz w:val="18"/>
                <w:lang w:val="es-VE"/>
              </w:rPr>
              <w:t>1,17</w:t>
            </w:r>
          </w:p>
        </w:tc>
      </w:tr>
      <w:tr w:rsidR="00C45D5A" w:rsidRPr="00C45D5A" w14:paraId="298974F4" w14:textId="77777777" w:rsidTr="00054D51">
        <w:trPr>
          <w:trHeight w:val="240"/>
        </w:trPr>
        <w:tc>
          <w:tcPr>
            <w:tcW w:w="2585" w:type="dxa"/>
            <w:shd w:val="clear" w:color="auto" w:fill="auto"/>
          </w:tcPr>
          <w:p w14:paraId="1132145A" w14:textId="77777777" w:rsidR="001734EB" w:rsidRPr="00C45D5A" w:rsidRDefault="001734EB" w:rsidP="00054D51">
            <w:pPr>
              <w:pStyle w:val="SingleTxtG"/>
              <w:spacing w:before="40" w:after="40" w:line="220" w:lineRule="exact"/>
              <w:ind w:left="0" w:right="0"/>
              <w:jc w:val="left"/>
              <w:rPr>
                <w:sz w:val="18"/>
                <w:lang w:val="es-VE"/>
              </w:rPr>
            </w:pPr>
            <w:r w:rsidRPr="00C45D5A">
              <w:rPr>
                <w:sz w:val="18"/>
                <w:lang w:val="es-VE"/>
              </w:rPr>
              <w:t>Carabobo</w:t>
            </w:r>
          </w:p>
        </w:tc>
        <w:tc>
          <w:tcPr>
            <w:tcW w:w="2483" w:type="dxa"/>
            <w:shd w:val="clear" w:color="auto" w:fill="auto"/>
            <w:vAlign w:val="bottom"/>
          </w:tcPr>
          <w:p w14:paraId="4943731F" w14:textId="77777777" w:rsidR="001734EB" w:rsidRPr="00C45D5A" w:rsidRDefault="001734EB" w:rsidP="00054D51">
            <w:pPr>
              <w:pStyle w:val="SingleTxtG"/>
              <w:spacing w:before="40" w:after="40" w:line="220" w:lineRule="exact"/>
              <w:ind w:left="113" w:right="0"/>
              <w:jc w:val="right"/>
              <w:rPr>
                <w:sz w:val="18"/>
                <w:lang w:val="es-VE"/>
              </w:rPr>
            </w:pPr>
            <w:r w:rsidRPr="00C45D5A">
              <w:rPr>
                <w:sz w:val="18"/>
                <w:lang w:val="es-VE"/>
              </w:rPr>
              <w:t>174</w:t>
            </w:r>
          </w:p>
        </w:tc>
        <w:tc>
          <w:tcPr>
            <w:tcW w:w="2302" w:type="dxa"/>
            <w:shd w:val="clear" w:color="auto" w:fill="auto"/>
            <w:vAlign w:val="bottom"/>
          </w:tcPr>
          <w:p w14:paraId="3BA44F78" w14:textId="77777777" w:rsidR="001734EB" w:rsidRPr="00C45D5A" w:rsidRDefault="001734EB" w:rsidP="00054D51">
            <w:pPr>
              <w:pStyle w:val="SingleTxtG"/>
              <w:spacing w:before="40" w:after="40" w:line="220" w:lineRule="exact"/>
              <w:ind w:left="113" w:right="0"/>
              <w:jc w:val="right"/>
              <w:rPr>
                <w:sz w:val="18"/>
                <w:lang w:val="es-VE"/>
              </w:rPr>
            </w:pPr>
            <w:r w:rsidRPr="00C45D5A">
              <w:rPr>
                <w:sz w:val="18"/>
                <w:lang w:val="es-VE"/>
              </w:rPr>
              <w:t>1,02</w:t>
            </w:r>
          </w:p>
        </w:tc>
      </w:tr>
      <w:tr w:rsidR="00C45D5A" w:rsidRPr="00C45D5A" w14:paraId="51869E61" w14:textId="77777777" w:rsidTr="00054D51">
        <w:trPr>
          <w:trHeight w:val="240"/>
        </w:trPr>
        <w:tc>
          <w:tcPr>
            <w:tcW w:w="2585" w:type="dxa"/>
            <w:shd w:val="clear" w:color="auto" w:fill="auto"/>
          </w:tcPr>
          <w:p w14:paraId="19587DA0" w14:textId="77777777" w:rsidR="001734EB" w:rsidRPr="00C45D5A" w:rsidRDefault="001734EB" w:rsidP="00054D51">
            <w:pPr>
              <w:pStyle w:val="SingleTxtG"/>
              <w:spacing w:before="40" w:after="40" w:line="220" w:lineRule="exact"/>
              <w:ind w:left="0" w:right="0"/>
              <w:jc w:val="left"/>
              <w:rPr>
                <w:sz w:val="18"/>
                <w:lang w:val="es-VE"/>
              </w:rPr>
            </w:pPr>
            <w:r w:rsidRPr="00C45D5A">
              <w:rPr>
                <w:sz w:val="18"/>
                <w:lang w:val="es-VE"/>
              </w:rPr>
              <w:t>Anzoátegui</w:t>
            </w:r>
          </w:p>
        </w:tc>
        <w:tc>
          <w:tcPr>
            <w:tcW w:w="2483" w:type="dxa"/>
            <w:shd w:val="clear" w:color="auto" w:fill="auto"/>
            <w:vAlign w:val="bottom"/>
          </w:tcPr>
          <w:p w14:paraId="72D81373" w14:textId="77777777" w:rsidR="001734EB" w:rsidRPr="00C45D5A" w:rsidRDefault="001734EB" w:rsidP="00054D51">
            <w:pPr>
              <w:pStyle w:val="SingleTxtG"/>
              <w:spacing w:before="40" w:after="40" w:line="220" w:lineRule="exact"/>
              <w:ind w:left="113" w:right="0"/>
              <w:jc w:val="right"/>
              <w:rPr>
                <w:sz w:val="18"/>
                <w:lang w:val="es-VE"/>
              </w:rPr>
            </w:pPr>
            <w:r w:rsidRPr="00C45D5A">
              <w:rPr>
                <w:sz w:val="18"/>
                <w:lang w:val="es-VE"/>
              </w:rPr>
              <w:t>172</w:t>
            </w:r>
          </w:p>
        </w:tc>
        <w:tc>
          <w:tcPr>
            <w:tcW w:w="2302" w:type="dxa"/>
            <w:shd w:val="clear" w:color="auto" w:fill="auto"/>
            <w:vAlign w:val="bottom"/>
          </w:tcPr>
          <w:p w14:paraId="666F290C" w14:textId="77777777" w:rsidR="001734EB" w:rsidRPr="00C45D5A" w:rsidRDefault="001734EB" w:rsidP="00054D51">
            <w:pPr>
              <w:pStyle w:val="SingleTxtG"/>
              <w:spacing w:before="40" w:after="40" w:line="220" w:lineRule="exact"/>
              <w:ind w:left="113" w:right="0"/>
              <w:jc w:val="right"/>
              <w:rPr>
                <w:sz w:val="18"/>
                <w:lang w:val="es-VE"/>
              </w:rPr>
            </w:pPr>
            <w:r w:rsidRPr="00C45D5A">
              <w:rPr>
                <w:sz w:val="18"/>
                <w:lang w:val="es-VE"/>
              </w:rPr>
              <w:t>1,01</w:t>
            </w:r>
          </w:p>
        </w:tc>
      </w:tr>
      <w:tr w:rsidR="00C45D5A" w:rsidRPr="00C45D5A" w14:paraId="39E4D6CC" w14:textId="77777777" w:rsidTr="00054D51">
        <w:trPr>
          <w:trHeight w:val="240"/>
        </w:trPr>
        <w:tc>
          <w:tcPr>
            <w:tcW w:w="2585" w:type="dxa"/>
            <w:shd w:val="clear" w:color="auto" w:fill="auto"/>
          </w:tcPr>
          <w:p w14:paraId="3476D418" w14:textId="77777777" w:rsidR="001734EB" w:rsidRPr="00C45D5A" w:rsidRDefault="001734EB" w:rsidP="00054D51">
            <w:pPr>
              <w:pStyle w:val="SingleTxtG"/>
              <w:spacing w:before="40" w:after="40" w:line="220" w:lineRule="exact"/>
              <w:ind w:left="0" w:right="0"/>
              <w:jc w:val="left"/>
              <w:rPr>
                <w:sz w:val="18"/>
                <w:lang w:val="es-VE"/>
              </w:rPr>
            </w:pPr>
            <w:r w:rsidRPr="00C45D5A">
              <w:rPr>
                <w:sz w:val="18"/>
                <w:lang w:val="es-VE"/>
              </w:rPr>
              <w:t>Cojedes</w:t>
            </w:r>
          </w:p>
        </w:tc>
        <w:tc>
          <w:tcPr>
            <w:tcW w:w="2483" w:type="dxa"/>
            <w:shd w:val="clear" w:color="auto" w:fill="auto"/>
            <w:vAlign w:val="bottom"/>
          </w:tcPr>
          <w:p w14:paraId="4DB362ED" w14:textId="77777777" w:rsidR="001734EB" w:rsidRPr="00C45D5A" w:rsidRDefault="001734EB" w:rsidP="00054D51">
            <w:pPr>
              <w:pStyle w:val="SingleTxtG"/>
              <w:spacing w:before="40" w:after="40" w:line="220" w:lineRule="exact"/>
              <w:ind w:left="113" w:right="0"/>
              <w:jc w:val="right"/>
              <w:rPr>
                <w:sz w:val="18"/>
                <w:lang w:val="es-VE"/>
              </w:rPr>
            </w:pPr>
            <w:r w:rsidRPr="00C45D5A">
              <w:rPr>
                <w:sz w:val="18"/>
                <w:lang w:val="es-VE"/>
              </w:rPr>
              <w:t>157</w:t>
            </w:r>
          </w:p>
        </w:tc>
        <w:tc>
          <w:tcPr>
            <w:tcW w:w="2302" w:type="dxa"/>
            <w:shd w:val="clear" w:color="auto" w:fill="auto"/>
            <w:vAlign w:val="bottom"/>
          </w:tcPr>
          <w:p w14:paraId="75E6FF80" w14:textId="77777777" w:rsidR="001734EB" w:rsidRPr="00C45D5A" w:rsidRDefault="001734EB" w:rsidP="00054D51">
            <w:pPr>
              <w:pStyle w:val="SingleTxtG"/>
              <w:spacing w:before="40" w:after="40" w:line="220" w:lineRule="exact"/>
              <w:ind w:left="113" w:right="0"/>
              <w:jc w:val="right"/>
              <w:rPr>
                <w:sz w:val="18"/>
                <w:lang w:val="es-VE"/>
              </w:rPr>
            </w:pPr>
            <w:r w:rsidRPr="00C45D5A">
              <w:rPr>
                <w:sz w:val="18"/>
                <w:lang w:val="es-VE"/>
              </w:rPr>
              <w:t>0,92</w:t>
            </w:r>
          </w:p>
        </w:tc>
      </w:tr>
      <w:tr w:rsidR="00C45D5A" w:rsidRPr="00C45D5A" w14:paraId="2B087406" w14:textId="77777777" w:rsidTr="00054D51">
        <w:trPr>
          <w:trHeight w:val="240"/>
        </w:trPr>
        <w:tc>
          <w:tcPr>
            <w:tcW w:w="2585" w:type="dxa"/>
            <w:shd w:val="clear" w:color="auto" w:fill="auto"/>
          </w:tcPr>
          <w:p w14:paraId="1B112F59" w14:textId="77777777" w:rsidR="001734EB" w:rsidRPr="00C45D5A" w:rsidRDefault="001734EB" w:rsidP="00054D51">
            <w:pPr>
              <w:pStyle w:val="SingleTxtG"/>
              <w:spacing w:before="40" w:after="40" w:line="220" w:lineRule="exact"/>
              <w:ind w:left="0" w:right="0"/>
              <w:jc w:val="left"/>
              <w:rPr>
                <w:sz w:val="18"/>
                <w:lang w:val="es-VE"/>
              </w:rPr>
            </w:pPr>
            <w:r w:rsidRPr="00C45D5A">
              <w:rPr>
                <w:sz w:val="18"/>
                <w:lang w:val="es-VE"/>
              </w:rPr>
              <w:t>Apure</w:t>
            </w:r>
          </w:p>
        </w:tc>
        <w:tc>
          <w:tcPr>
            <w:tcW w:w="2483" w:type="dxa"/>
            <w:shd w:val="clear" w:color="auto" w:fill="auto"/>
            <w:vAlign w:val="bottom"/>
          </w:tcPr>
          <w:p w14:paraId="7D5217A2" w14:textId="77777777" w:rsidR="001734EB" w:rsidRPr="00C45D5A" w:rsidRDefault="001734EB" w:rsidP="00054D51">
            <w:pPr>
              <w:pStyle w:val="SingleTxtG"/>
              <w:spacing w:before="40" w:after="40" w:line="220" w:lineRule="exact"/>
              <w:ind w:left="113" w:right="0"/>
              <w:jc w:val="right"/>
              <w:rPr>
                <w:sz w:val="18"/>
                <w:lang w:val="es-VE"/>
              </w:rPr>
            </w:pPr>
            <w:r w:rsidRPr="00C45D5A">
              <w:rPr>
                <w:sz w:val="18"/>
                <w:lang w:val="es-VE"/>
              </w:rPr>
              <w:t>143</w:t>
            </w:r>
          </w:p>
        </w:tc>
        <w:tc>
          <w:tcPr>
            <w:tcW w:w="2302" w:type="dxa"/>
            <w:shd w:val="clear" w:color="auto" w:fill="auto"/>
            <w:vAlign w:val="bottom"/>
          </w:tcPr>
          <w:p w14:paraId="5161ABCB" w14:textId="77777777" w:rsidR="001734EB" w:rsidRPr="00C45D5A" w:rsidRDefault="001734EB" w:rsidP="00054D51">
            <w:pPr>
              <w:pStyle w:val="SingleTxtG"/>
              <w:spacing w:before="40" w:after="40" w:line="220" w:lineRule="exact"/>
              <w:ind w:left="113" w:right="0"/>
              <w:jc w:val="right"/>
              <w:rPr>
                <w:sz w:val="18"/>
                <w:lang w:val="es-VE"/>
              </w:rPr>
            </w:pPr>
            <w:r w:rsidRPr="00C45D5A">
              <w:rPr>
                <w:sz w:val="18"/>
                <w:lang w:val="es-VE"/>
              </w:rPr>
              <w:t>0,84</w:t>
            </w:r>
          </w:p>
        </w:tc>
      </w:tr>
      <w:tr w:rsidR="00C45D5A" w:rsidRPr="00C45D5A" w14:paraId="65D6F50A" w14:textId="77777777" w:rsidTr="00054D51">
        <w:trPr>
          <w:trHeight w:val="240"/>
        </w:trPr>
        <w:tc>
          <w:tcPr>
            <w:tcW w:w="2585" w:type="dxa"/>
            <w:shd w:val="clear" w:color="auto" w:fill="auto"/>
          </w:tcPr>
          <w:p w14:paraId="7E57C585" w14:textId="77777777" w:rsidR="001734EB" w:rsidRPr="00C45D5A" w:rsidRDefault="001734EB" w:rsidP="00054D51">
            <w:pPr>
              <w:pStyle w:val="SingleTxtG"/>
              <w:spacing w:before="40" w:after="40" w:line="220" w:lineRule="exact"/>
              <w:ind w:left="0" w:right="0"/>
              <w:jc w:val="left"/>
              <w:rPr>
                <w:sz w:val="18"/>
                <w:lang w:val="es-VE"/>
              </w:rPr>
            </w:pPr>
            <w:r w:rsidRPr="00C45D5A">
              <w:rPr>
                <w:sz w:val="18"/>
                <w:lang w:val="es-VE"/>
              </w:rPr>
              <w:t>Amazonas</w:t>
            </w:r>
          </w:p>
        </w:tc>
        <w:tc>
          <w:tcPr>
            <w:tcW w:w="2483" w:type="dxa"/>
            <w:shd w:val="clear" w:color="auto" w:fill="auto"/>
            <w:vAlign w:val="bottom"/>
          </w:tcPr>
          <w:p w14:paraId="08417A21" w14:textId="77777777" w:rsidR="001734EB" w:rsidRPr="00C45D5A" w:rsidRDefault="001734EB" w:rsidP="00054D51">
            <w:pPr>
              <w:pStyle w:val="SingleTxtG"/>
              <w:spacing w:before="40" w:after="40" w:line="220" w:lineRule="exact"/>
              <w:ind w:left="113" w:right="0"/>
              <w:jc w:val="right"/>
              <w:rPr>
                <w:sz w:val="18"/>
                <w:lang w:val="es-VE"/>
              </w:rPr>
            </w:pPr>
            <w:r w:rsidRPr="00C45D5A">
              <w:rPr>
                <w:sz w:val="18"/>
                <w:lang w:val="es-VE"/>
              </w:rPr>
              <w:t>97</w:t>
            </w:r>
          </w:p>
        </w:tc>
        <w:tc>
          <w:tcPr>
            <w:tcW w:w="2302" w:type="dxa"/>
            <w:shd w:val="clear" w:color="auto" w:fill="auto"/>
            <w:vAlign w:val="bottom"/>
          </w:tcPr>
          <w:p w14:paraId="52F6EC60" w14:textId="77777777" w:rsidR="001734EB" w:rsidRPr="00C45D5A" w:rsidRDefault="001734EB" w:rsidP="00054D51">
            <w:pPr>
              <w:pStyle w:val="SingleTxtG"/>
              <w:spacing w:before="40" w:after="40" w:line="220" w:lineRule="exact"/>
              <w:ind w:left="113" w:right="0"/>
              <w:jc w:val="right"/>
              <w:rPr>
                <w:sz w:val="18"/>
                <w:lang w:val="es-VE"/>
              </w:rPr>
            </w:pPr>
            <w:r w:rsidRPr="00C45D5A">
              <w:rPr>
                <w:sz w:val="18"/>
                <w:lang w:val="es-VE"/>
              </w:rPr>
              <w:t>0,57</w:t>
            </w:r>
          </w:p>
        </w:tc>
      </w:tr>
      <w:tr w:rsidR="00C45D5A" w:rsidRPr="00C45D5A" w14:paraId="187DDB04" w14:textId="77777777" w:rsidTr="00054D51">
        <w:trPr>
          <w:trHeight w:val="240"/>
        </w:trPr>
        <w:tc>
          <w:tcPr>
            <w:tcW w:w="2585" w:type="dxa"/>
            <w:shd w:val="clear" w:color="auto" w:fill="auto"/>
          </w:tcPr>
          <w:p w14:paraId="02837C7E" w14:textId="77777777" w:rsidR="001734EB" w:rsidRPr="00C45D5A" w:rsidRDefault="001734EB" w:rsidP="00054D51">
            <w:pPr>
              <w:pStyle w:val="SingleTxtG"/>
              <w:spacing w:before="40" w:after="40" w:line="220" w:lineRule="exact"/>
              <w:ind w:left="0" w:right="0"/>
              <w:jc w:val="left"/>
              <w:rPr>
                <w:sz w:val="18"/>
                <w:lang w:val="es-VE"/>
              </w:rPr>
            </w:pPr>
            <w:r w:rsidRPr="00C45D5A">
              <w:rPr>
                <w:sz w:val="18"/>
                <w:lang w:val="es-VE"/>
              </w:rPr>
              <w:t>Delta Amacuro</w:t>
            </w:r>
          </w:p>
        </w:tc>
        <w:tc>
          <w:tcPr>
            <w:tcW w:w="2483" w:type="dxa"/>
            <w:shd w:val="clear" w:color="auto" w:fill="auto"/>
            <w:vAlign w:val="bottom"/>
          </w:tcPr>
          <w:p w14:paraId="094BAAEB" w14:textId="77777777" w:rsidR="001734EB" w:rsidRPr="00C45D5A" w:rsidRDefault="001734EB" w:rsidP="00054D51">
            <w:pPr>
              <w:pStyle w:val="SingleTxtG"/>
              <w:spacing w:before="40" w:after="40" w:line="220" w:lineRule="exact"/>
              <w:ind w:left="113" w:right="0"/>
              <w:jc w:val="right"/>
              <w:rPr>
                <w:sz w:val="18"/>
                <w:lang w:val="es-VE"/>
              </w:rPr>
            </w:pPr>
            <w:r w:rsidRPr="00C45D5A">
              <w:rPr>
                <w:sz w:val="18"/>
                <w:lang w:val="es-VE"/>
              </w:rPr>
              <w:t>45</w:t>
            </w:r>
          </w:p>
        </w:tc>
        <w:tc>
          <w:tcPr>
            <w:tcW w:w="2302" w:type="dxa"/>
            <w:shd w:val="clear" w:color="auto" w:fill="auto"/>
            <w:vAlign w:val="bottom"/>
          </w:tcPr>
          <w:p w14:paraId="36E8B53E" w14:textId="77777777" w:rsidR="001734EB" w:rsidRPr="00C45D5A" w:rsidRDefault="001734EB" w:rsidP="00054D51">
            <w:pPr>
              <w:pStyle w:val="SingleTxtG"/>
              <w:spacing w:before="40" w:after="40" w:line="220" w:lineRule="exact"/>
              <w:ind w:left="113" w:right="0"/>
              <w:jc w:val="right"/>
              <w:rPr>
                <w:sz w:val="18"/>
                <w:lang w:val="es-VE"/>
              </w:rPr>
            </w:pPr>
            <w:r w:rsidRPr="00C45D5A">
              <w:rPr>
                <w:sz w:val="18"/>
                <w:lang w:val="es-VE"/>
              </w:rPr>
              <w:t>0,26</w:t>
            </w:r>
          </w:p>
        </w:tc>
      </w:tr>
      <w:tr w:rsidR="00C45D5A" w:rsidRPr="00C45D5A" w14:paraId="73C028DA" w14:textId="77777777" w:rsidTr="00054D51">
        <w:trPr>
          <w:trHeight w:val="240"/>
        </w:trPr>
        <w:tc>
          <w:tcPr>
            <w:tcW w:w="2585" w:type="dxa"/>
            <w:tcBorders>
              <w:bottom w:val="single" w:sz="4" w:space="0" w:color="auto"/>
            </w:tcBorders>
            <w:shd w:val="clear" w:color="auto" w:fill="auto"/>
          </w:tcPr>
          <w:p w14:paraId="2F47E84B" w14:textId="77777777" w:rsidR="001734EB" w:rsidRPr="00C45D5A" w:rsidRDefault="001734EB" w:rsidP="00054D51">
            <w:pPr>
              <w:pStyle w:val="SingleTxtG"/>
              <w:spacing w:before="40" w:after="40" w:line="220" w:lineRule="exact"/>
              <w:ind w:left="0" w:right="0"/>
              <w:jc w:val="left"/>
              <w:rPr>
                <w:sz w:val="18"/>
                <w:lang w:val="es-VE"/>
              </w:rPr>
            </w:pPr>
            <w:r w:rsidRPr="00C45D5A">
              <w:rPr>
                <w:sz w:val="18"/>
                <w:lang w:val="es-VE"/>
              </w:rPr>
              <w:t>Embajadas</w:t>
            </w:r>
          </w:p>
        </w:tc>
        <w:tc>
          <w:tcPr>
            <w:tcW w:w="2483" w:type="dxa"/>
            <w:tcBorders>
              <w:bottom w:val="single" w:sz="4" w:space="0" w:color="auto"/>
            </w:tcBorders>
            <w:shd w:val="clear" w:color="auto" w:fill="auto"/>
            <w:vAlign w:val="bottom"/>
          </w:tcPr>
          <w:p w14:paraId="74A755CB" w14:textId="77777777" w:rsidR="001734EB" w:rsidRPr="00C45D5A" w:rsidRDefault="001734EB" w:rsidP="00054D51">
            <w:pPr>
              <w:pStyle w:val="SingleTxtG"/>
              <w:spacing w:before="40" w:after="40" w:line="220" w:lineRule="exact"/>
              <w:ind w:left="113" w:right="0"/>
              <w:jc w:val="right"/>
              <w:rPr>
                <w:sz w:val="18"/>
                <w:lang w:val="es-VE"/>
              </w:rPr>
            </w:pPr>
            <w:r w:rsidRPr="00C45D5A">
              <w:rPr>
                <w:sz w:val="18"/>
                <w:lang w:val="es-VE"/>
              </w:rPr>
              <w:t>3</w:t>
            </w:r>
          </w:p>
        </w:tc>
        <w:tc>
          <w:tcPr>
            <w:tcW w:w="2302" w:type="dxa"/>
            <w:tcBorders>
              <w:bottom w:val="single" w:sz="4" w:space="0" w:color="auto"/>
            </w:tcBorders>
            <w:shd w:val="clear" w:color="auto" w:fill="auto"/>
            <w:vAlign w:val="bottom"/>
          </w:tcPr>
          <w:p w14:paraId="529330B3" w14:textId="77777777" w:rsidR="001734EB" w:rsidRPr="00C45D5A" w:rsidRDefault="001734EB" w:rsidP="00054D51">
            <w:pPr>
              <w:pStyle w:val="SingleTxtG"/>
              <w:spacing w:before="40" w:after="40" w:line="220" w:lineRule="exact"/>
              <w:ind w:left="113" w:right="0"/>
              <w:jc w:val="right"/>
              <w:rPr>
                <w:sz w:val="18"/>
                <w:lang w:val="es-VE"/>
              </w:rPr>
            </w:pPr>
            <w:r w:rsidRPr="00C45D5A">
              <w:rPr>
                <w:sz w:val="18"/>
                <w:lang w:val="es-VE"/>
              </w:rPr>
              <w:t>9,02</w:t>
            </w:r>
          </w:p>
        </w:tc>
      </w:tr>
      <w:tr w:rsidR="00C45D5A" w:rsidRPr="00C45D5A" w14:paraId="479CA0C3" w14:textId="77777777" w:rsidTr="00054D51">
        <w:trPr>
          <w:trHeight w:val="240"/>
        </w:trPr>
        <w:tc>
          <w:tcPr>
            <w:tcW w:w="2585" w:type="dxa"/>
            <w:tcBorders>
              <w:top w:val="single" w:sz="4" w:space="0" w:color="auto"/>
              <w:bottom w:val="single" w:sz="12" w:space="0" w:color="auto"/>
            </w:tcBorders>
            <w:shd w:val="clear" w:color="auto" w:fill="auto"/>
          </w:tcPr>
          <w:p w14:paraId="2DEC2DA1" w14:textId="77777777" w:rsidR="001734EB" w:rsidRPr="004E5744" w:rsidRDefault="00C45D5A" w:rsidP="00054D51">
            <w:pPr>
              <w:pStyle w:val="SingleTxtG"/>
              <w:spacing w:before="80" w:after="80" w:line="220" w:lineRule="exact"/>
              <w:ind w:left="283" w:right="0"/>
              <w:jc w:val="left"/>
              <w:rPr>
                <w:b/>
                <w:sz w:val="18"/>
                <w:lang w:val="es-VE"/>
              </w:rPr>
            </w:pPr>
            <w:r w:rsidRPr="00054D51">
              <w:rPr>
                <w:b/>
                <w:sz w:val="18"/>
                <w:lang w:val="es-VE"/>
              </w:rPr>
              <w:t>Total</w:t>
            </w:r>
          </w:p>
        </w:tc>
        <w:tc>
          <w:tcPr>
            <w:tcW w:w="2483" w:type="dxa"/>
            <w:tcBorders>
              <w:top w:val="single" w:sz="4" w:space="0" w:color="auto"/>
              <w:bottom w:val="single" w:sz="12" w:space="0" w:color="auto"/>
            </w:tcBorders>
            <w:shd w:val="clear" w:color="auto" w:fill="auto"/>
            <w:vAlign w:val="bottom"/>
          </w:tcPr>
          <w:p w14:paraId="589F4BD5" w14:textId="77777777" w:rsidR="001734EB" w:rsidRPr="004E5744" w:rsidRDefault="001734EB" w:rsidP="00054D51">
            <w:pPr>
              <w:pStyle w:val="SingleTxtG"/>
              <w:spacing w:before="80" w:after="80" w:line="220" w:lineRule="exact"/>
              <w:ind w:left="0" w:right="0"/>
              <w:jc w:val="right"/>
              <w:rPr>
                <w:b/>
                <w:sz w:val="18"/>
                <w:lang w:val="es-VE"/>
              </w:rPr>
            </w:pPr>
            <w:r w:rsidRPr="004E5744">
              <w:rPr>
                <w:b/>
                <w:sz w:val="18"/>
                <w:lang w:val="es-VE"/>
              </w:rPr>
              <w:t>17</w:t>
            </w:r>
            <w:r w:rsidR="00C45D5A">
              <w:rPr>
                <w:b/>
                <w:sz w:val="18"/>
                <w:lang w:val="es-VE"/>
              </w:rPr>
              <w:t xml:space="preserve"> </w:t>
            </w:r>
            <w:r w:rsidRPr="004E5744">
              <w:rPr>
                <w:b/>
                <w:sz w:val="18"/>
                <w:lang w:val="es-VE"/>
              </w:rPr>
              <w:t>060</w:t>
            </w:r>
          </w:p>
        </w:tc>
        <w:tc>
          <w:tcPr>
            <w:tcW w:w="2302" w:type="dxa"/>
            <w:tcBorders>
              <w:top w:val="single" w:sz="4" w:space="0" w:color="auto"/>
              <w:bottom w:val="single" w:sz="12" w:space="0" w:color="auto"/>
            </w:tcBorders>
            <w:shd w:val="clear" w:color="auto" w:fill="auto"/>
            <w:vAlign w:val="bottom"/>
          </w:tcPr>
          <w:p w14:paraId="722D1C1E" w14:textId="77777777" w:rsidR="001734EB" w:rsidRPr="00C45D5A" w:rsidRDefault="001734EB" w:rsidP="00054D51">
            <w:pPr>
              <w:pStyle w:val="SingleTxtG"/>
              <w:spacing w:before="80" w:after="80" w:line="220" w:lineRule="exact"/>
              <w:ind w:left="0" w:right="0"/>
              <w:jc w:val="right"/>
              <w:rPr>
                <w:b/>
                <w:sz w:val="18"/>
                <w:lang w:val="es-VE"/>
              </w:rPr>
            </w:pPr>
            <w:r w:rsidRPr="00C45D5A">
              <w:rPr>
                <w:b/>
                <w:sz w:val="18"/>
                <w:lang w:val="es-VE"/>
              </w:rPr>
              <w:t>100,00</w:t>
            </w:r>
          </w:p>
        </w:tc>
      </w:tr>
    </w:tbl>
    <w:p w14:paraId="5ED0280A" w14:textId="77777777" w:rsidR="001734EB" w:rsidRPr="00077437" w:rsidRDefault="00C45D5A" w:rsidP="00054D51">
      <w:pPr>
        <w:pStyle w:val="SingleTxtG"/>
        <w:spacing w:before="240"/>
        <w:rPr>
          <w:lang w:val="es-VE"/>
        </w:rPr>
      </w:pPr>
      <w:r>
        <w:rPr>
          <w:lang w:val="es-VE"/>
        </w:rPr>
        <w:lastRenderedPageBreak/>
        <w:t>134.</w:t>
      </w:r>
      <w:r>
        <w:rPr>
          <w:lang w:val="es-VE"/>
        </w:rPr>
        <w:tab/>
      </w:r>
      <w:r w:rsidR="001734EB" w:rsidRPr="00077437">
        <w:rPr>
          <w:lang w:val="es-VE"/>
        </w:rPr>
        <w:t xml:space="preserve">La legislación de la </w:t>
      </w:r>
      <w:proofErr w:type="spellStart"/>
      <w:r w:rsidR="001734EB" w:rsidRPr="00077437">
        <w:rPr>
          <w:lang w:val="es-VE"/>
        </w:rPr>
        <w:t>RBV</w:t>
      </w:r>
      <w:proofErr w:type="spellEnd"/>
      <w:r w:rsidR="001734EB" w:rsidRPr="00077437">
        <w:rPr>
          <w:lang w:val="es-VE"/>
        </w:rPr>
        <w:t xml:space="preserve"> no impide a las </w:t>
      </w:r>
      <w:proofErr w:type="spellStart"/>
      <w:r w:rsidR="001734EB" w:rsidRPr="00077437">
        <w:rPr>
          <w:lang w:val="es-VE"/>
        </w:rPr>
        <w:t>PcD</w:t>
      </w:r>
      <w:proofErr w:type="spellEnd"/>
      <w:r w:rsidR="001734EB" w:rsidRPr="00077437">
        <w:rPr>
          <w:lang w:val="es-VE"/>
        </w:rPr>
        <w:t xml:space="preserve"> postularse para cargos de elección popular. En el proceso electoral para la escogencia de los integrantes de la ANC en el año</w:t>
      </w:r>
      <w:r>
        <w:rPr>
          <w:lang w:val="es-VE"/>
        </w:rPr>
        <w:t> </w:t>
      </w:r>
      <w:r w:rsidR="001734EB" w:rsidRPr="00077437">
        <w:rPr>
          <w:lang w:val="es-VE"/>
        </w:rPr>
        <w:t xml:space="preserve">2017 se postularon 77 personas con discapacidad. </w:t>
      </w:r>
    </w:p>
    <w:p w14:paraId="729CE13F" w14:textId="77777777" w:rsidR="001734EB" w:rsidRPr="00077437" w:rsidRDefault="00C45D5A" w:rsidP="00054D51">
      <w:pPr>
        <w:pStyle w:val="SingleTxtG"/>
        <w:rPr>
          <w:lang w:val="es-VE"/>
        </w:rPr>
      </w:pPr>
      <w:r>
        <w:rPr>
          <w:lang w:val="es-VE"/>
        </w:rPr>
        <w:t>135.</w:t>
      </w:r>
      <w:r>
        <w:rPr>
          <w:lang w:val="es-VE"/>
        </w:rPr>
        <w:tab/>
      </w:r>
      <w:r w:rsidR="001734EB" w:rsidRPr="00077437">
        <w:rPr>
          <w:lang w:val="es-VE"/>
        </w:rPr>
        <w:t xml:space="preserve">En el ámbito nacional 5 </w:t>
      </w:r>
      <w:proofErr w:type="spellStart"/>
      <w:r w:rsidR="001734EB" w:rsidRPr="00077437">
        <w:rPr>
          <w:lang w:val="es-VE"/>
        </w:rPr>
        <w:t>PcD</w:t>
      </w:r>
      <w:proofErr w:type="spellEnd"/>
      <w:r w:rsidR="001734EB" w:rsidRPr="00077437">
        <w:rPr>
          <w:lang w:val="es-VE"/>
        </w:rPr>
        <w:t xml:space="preserve"> fueron electas por votación directa y secreta para integrar la ANC. En el ámbito municipal existen 17 </w:t>
      </w:r>
      <w:proofErr w:type="spellStart"/>
      <w:r w:rsidR="001734EB" w:rsidRPr="00077437">
        <w:rPr>
          <w:lang w:val="es-VE"/>
        </w:rPr>
        <w:t>PcD</w:t>
      </w:r>
      <w:proofErr w:type="spellEnd"/>
      <w:r w:rsidR="001734EB" w:rsidRPr="00077437">
        <w:rPr>
          <w:lang w:val="es-VE"/>
        </w:rPr>
        <w:t xml:space="preserve"> electas para los cargos de concejales, siendo 3 en el estado Guárico, 2 en el estado Lara, 2 en Mérida, 3 en Falcón y 7 en el estado Cojedes. </w:t>
      </w:r>
    </w:p>
    <w:p w14:paraId="077A1105" w14:textId="77777777" w:rsidR="001734EB" w:rsidRPr="00077437" w:rsidRDefault="00C45D5A" w:rsidP="00054D51">
      <w:pPr>
        <w:pStyle w:val="SingleTxtG"/>
        <w:rPr>
          <w:lang w:val="es-VE"/>
        </w:rPr>
      </w:pPr>
      <w:r>
        <w:rPr>
          <w:lang w:val="es-VE"/>
        </w:rPr>
        <w:t>136.</w:t>
      </w:r>
      <w:r>
        <w:rPr>
          <w:lang w:val="es-VE"/>
        </w:rPr>
        <w:tab/>
      </w:r>
      <w:r w:rsidR="001734EB" w:rsidRPr="00077437">
        <w:rPr>
          <w:lang w:val="es-VE"/>
        </w:rPr>
        <w:t xml:space="preserve">En aplicación de la </w:t>
      </w:r>
      <w:proofErr w:type="spellStart"/>
      <w:r w:rsidR="001734EB" w:rsidRPr="00077437">
        <w:rPr>
          <w:lang w:val="es-VE"/>
        </w:rPr>
        <w:t>LPCD</w:t>
      </w:r>
      <w:proofErr w:type="spellEnd"/>
      <w:r w:rsidR="001734EB" w:rsidRPr="00077437">
        <w:rPr>
          <w:lang w:val="es-VE"/>
        </w:rPr>
        <w:t xml:space="preserve"> se promueve la creación de organizaciones de </w:t>
      </w:r>
      <w:proofErr w:type="spellStart"/>
      <w:r w:rsidR="001734EB" w:rsidRPr="00077437">
        <w:rPr>
          <w:lang w:val="es-VE"/>
        </w:rPr>
        <w:t>PcD</w:t>
      </w:r>
      <w:proofErr w:type="spellEnd"/>
      <w:r w:rsidR="001734EB" w:rsidRPr="00077437">
        <w:rPr>
          <w:lang w:val="es-VE"/>
        </w:rPr>
        <w:t xml:space="preserve">, entendiendo la importancia que reviste su participación e integración en todas las políticas y decisiones que les conciernen. Para facilitar este proceso de organización, la </w:t>
      </w:r>
      <w:proofErr w:type="spellStart"/>
      <w:r w:rsidR="001734EB" w:rsidRPr="00077437">
        <w:rPr>
          <w:lang w:val="es-VE"/>
        </w:rPr>
        <w:t>LPCD</w:t>
      </w:r>
      <w:proofErr w:type="spellEnd"/>
      <w:r w:rsidR="001734EB" w:rsidRPr="00077437">
        <w:rPr>
          <w:lang w:val="es-VE"/>
        </w:rPr>
        <w:t xml:space="preserve"> en su artículo 48, consagra la gratuidad de todos los trámites para la inscripción de las actas constitutivas, estatutos y actas de asamblea de las organizaciones de </w:t>
      </w:r>
      <w:proofErr w:type="spellStart"/>
      <w:r w:rsidR="001734EB" w:rsidRPr="00077437">
        <w:rPr>
          <w:lang w:val="es-VE"/>
        </w:rPr>
        <w:t>PcD</w:t>
      </w:r>
      <w:proofErr w:type="spellEnd"/>
      <w:r w:rsidR="001734EB" w:rsidRPr="00077437">
        <w:rPr>
          <w:lang w:val="es-VE"/>
        </w:rPr>
        <w:t>.</w:t>
      </w:r>
      <w:r w:rsidR="00223132">
        <w:rPr>
          <w:lang w:val="es-VE"/>
        </w:rPr>
        <w:t xml:space="preserve"> </w:t>
      </w:r>
    </w:p>
    <w:p w14:paraId="70EBAC47" w14:textId="77777777" w:rsidR="001734EB" w:rsidRPr="00077437" w:rsidRDefault="00C45D5A" w:rsidP="00054D51">
      <w:pPr>
        <w:pStyle w:val="H1G"/>
        <w:rPr>
          <w:lang w:val="es-VE"/>
        </w:rPr>
      </w:pPr>
      <w:r>
        <w:rPr>
          <w:lang w:val="es-VE"/>
        </w:rPr>
        <w:tab/>
      </w:r>
      <w:r>
        <w:rPr>
          <w:lang w:val="es-VE"/>
        </w:rPr>
        <w:tab/>
      </w:r>
      <w:r w:rsidR="001734EB" w:rsidRPr="00077437">
        <w:rPr>
          <w:lang w:val="es-VE"/>
        </w:rPr>
        <w:t>Recopilación de datos y estadísticas (art. 31)</w:t>
      </w:r>
    </w:p>
    <w:p w14:paraId="1C3D1A3A" w14:textId="77777777" w:rsidR="001734EB" w:rsidRPr="00077437" w:rsidRDefault="00C45D5A" w:rsidP="00054D51">
      <w:pPr>
        <w:pStyle w:val="H1G"/>
        <w:rPr>
          <w:lang w:val="es-VE"/>
        </w:rPr>
      </w:pPr>
      <w:r>
        <w:tab/>
      </w:r>
      <w:r>
        <w:tab/>
      </w:r>
      <w:r w:rsidR="00C154C7" w:rsidRPr="00F96454">
        <w:t xml:space="preserve">Respuesta </w:t>
      </w:r>
      <w:r w:rsidR="00C154C7">
        <w:t xml:space="preserve">a la </w:t>
      </w:r>
      <w:r w:rsidR="00C154C7">
        <w:rPr>
          <w:lang w:val="es-VE"/>
        </w:rPr>
        <w:t>c</w:t>
      </w:r>
      <w:r w:rsidR="001734EB" w:rsidRPr="00077437">
        <w:rPr>
          <w:lang w:val="es-VE"/>
        </w:rPr>
        <w:t>uestión 32</w:t>
      </w:r>
    </w:p>
    <w:p w14:paraId="6F23F56A" w14:textId="77777777" w:rsidR="001734EB" w:rsidRPr="00077437" w:rsidRDefault="00C45D5A" w:rsidP="00054D51">
      <w:pPr>
        <w:pStyle w:val="SingleTxtG"/>
        <w:rPr>
          <w:lang w:val="es-VE"/>
        </w:rPr>
      </w:pPr>
      <w:r>
        <w:rPr>
          <w:lang w:val="es-VE"/>
        </w:rPr>
        <w:t>137.</w:t>
      </w:r>
      <w:r>
        <w:rPr>
          <w:lang w:val="es-VE"/>
        </w:rPr>
        <w:tab/>
      </w:r>
      <w:r w:rsidR="001734EB" w:rsidRPr="00077437">
        <w:rPr>
          <w:lang w:val="es-VE"/>
        </w:rPr>
        <w:t xml:space="preserve">El </w:t>
      </w:r>
      <w:proofErr w:type="spellStart"/>
      <w:r w:rsidR="001734EB" w:rsidRPr="00077437">
        <w:rPr>
          <w:lang w:val="es-VE"/>
        </w:rPr>
        <w:t>CONAPDIS</w:t>
      </w:r>
      <w:proofErr w:type="spellEnd"/>
      <w:r w:rsidR="001734EB" w:rsidRPr="00077437">
        <w:rPr>
          <w:lang w:val="es-VE"/>
        </w:rPr>
        <w:t xml:space="preserve">, en el período 2015-2019, aplicó un instrumento para la captación y certificación de nuevas </w:t>
      </w:r>
      <w:proofErr w:type="spellStart"/>
      <w:r w:rsidR="001734EB" w:rsidRPr="00077437">
        <w:rPr>
          <w:lang w:val="es-VE"/>
        </w:rPr>
        <w:t>PcD</w:t>
      </w:r>
      <w:proofErr w:type="spellEnd"/>
      <w:r w:rsidR="001734EB" w:rsidRPr="00077437">
        <w:rPr>
          <w:lang w:val="es-VE"/>
        </w:rPr>
        <w:t xml:space="preserve">, a través de un sistema tecnológico llamado </w:t>
      </w:r>
      <w:r w:rsidR="001734EB" w:rsidRPr="00077437">
        <w:rPr>
          <w:i/>
          <w:lang w:val="es-VE"/>
        </w:rPr>
        <w:t xml:space="preserve">“Sistema </w:t>
      </w:r>
      <w:proofErr w:type="spellStart"/>
      <w:r w:rsidR="001734EB" w:rsidRPr="00077437">
        <w:rPr>
          <w:i/>
          <w:lang w:val="es-VE"/>
        </w:rPr>
        <w:t>CONAPDIS</w:t>
      </w:r>
      <w:proofErr w:type="spellEnd"/>
      <w:r w:rsidR="001734EB" w:rsidRPr="00077437">
        <w:rPr>
          <w:i/>
          <w:lang w:val="es-VE"/>
        </w:rPr>
        <w:t>”</w:t>
      </w:r>
      <w:r w:rsidR="001734EB" w:rsidRPr="00054D51">
        <w:rPr>
          <w:lang w:val="es-VE"/>
        </w:rPr>
        <w:t>,</w:t>
      </w:r>
      <w:r w:rsidR="001734EB" w:rsidRPr="004E5744">
        <w:rPr>
          <w:lang w:val="es-VE"/>
        </w:rPr>
        <w:t xml:space="preserve"> </w:t>
      </w:r>
      <w:r w:rsidR="001734EB" w:rsidRPr="00077437">
        <w:rPr>
          <w:lang w:val="es-VE"/>
        </w:rPr>
        <w:t xml:space="preserve">dando como resultado la cantidad de 281.752 nuevas </w:t>
      </w:r>
      <w:proofErr w:type="spellStart"/>
      <w:r w:rsidR="001734EB" w:rsidRPr="00077437">
        <w:rPr>
          <w:lang w:val="es-VE"/>
        </w:rPr>
        <w:t>PcD</w:t>
      </w:r>
      <w:proofErr w:type="spellEnd"/>
      <w:r w:rsidR="001734EB" w:rsidRPr="00077437">
        <w:rPr>
          <w:lang w:val="es-VE"/>
        </w:rPr>
        <w:t xml:space="preserve"> certificadas. </w:t>
      </w:r>
    </w:p>
    <w:p w14:paraId="518AD540" w14:textId="77777777" w:rsidR="001734EB" w:rsidRPr="001A10BF" w:rsidRDefault="001734EB" w:rsidP="00054D51">
      <w:pPr>
        <w:pStyle w:val="SingleTxtG"/>
        <w:spacing w:after="0"/>
      </w:pPr>
      <w:r w:rsidRPr="001A10BF">
        <w:t>Tabla 11</w:t>
      </w:r>
    </w:p>
    <w:p w14:paraId="5623C7E6" w14:textId="77777777" w:rsidR="001734EB" w:rsidRPr="003E12A0" w:rsidRDefault="00C45D5A" w:rsidP="00054D51">
      <w:pPr>
        <w:pStyle w:val="H23G"/>
        <w:spacing w:before="0"/>
        <w:rPr>
          <w:lang w:val="es-VE"/>
        </w:rPr>
      </w:pPr>
      <w:r>
        <w:rPr>
          <w:lang w:val="es-VE"/>
        </w:rPr>
        <w:tab/>
      </w:r>
      <w:r>
        <w:rPr>
          <w:lang w:val="es-VE"/>
        </w:rPr>
        <w:tab/>
      </w:r>
      <w:proofErr w:type="spellStart"/>
      <w:r w:rsidR="001734EB" w:rsidRPr="003E12A0">
        <w:rPr>
          <w:lang w:val="es-VE"/>
        </w:rPr>
        <w:t>PcD</w:t>
      </w:r>
      <w:proofErr w:type="spellEnd"/>
      <w:r w:rsidR="001734EB" w:rsidRPr="003E12A0">
        <w:rPr>
          <w:lang w:val="es-VE"/>
        </w:rPr>
        <w:t xml:space="preserve"> certificadas en el período 2015-2019</w:t>
      </w:r>
      <w:r w:rsidR="003E12A0" w:rsidRPr="003E12A0">
        <w:rPr>
          <w:lang w:val="es-VE"/>
        </w:rPr>
        <w:t xml:space="preserve"> </w:t>
      </w:r>
      <w:r>
        <w:rPr>
          <w:lang w:val="es-VE"/>
        </w:rPr>
        <w:t>—</w:t>
      </w:r>
      <w:r w:rsidR="001734EB" w:rsidRPr="003E12A0">
        <w:rPr>
          <w:lang w:val="es-VE"/>
        </w:rPr>
        <w:t>Grupo etario</w:t>
      </w:r>
      <w:r>
        <w:rPr>
          <w:lang w:val="es-VE"/>
        </w:rPr>
        <w:t>—</w:t>
      </w:r>
      <w:r w:rsidR="003E12A0" w:rsidRPr="003E12A0">
        <w:rPr>
          <w:lang w:val="es-VE"/>
        </w:rPr>
        <w:t xml:space="preserve"> </w:t>
      </w:r>
      <w:proofErr w:type="spellStart"/>
      <w:r w:rsidR="001734EB" w:rsidRPr="003E12A0">
        <w:rPr>
          <w:lang w:val="es-VE"/>
        </w:rPr>
        <w:t>CONAPDIS</w:t>
      </w:r>
      <w:proofErr w:type="spellEnd"/>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1855"/>
        <w:gridCol w:w="1827"/>
        <w:gridCol w:w="1861"/>
        <w:gridCol w:w="1827"/>
      </w:tblGrid>
      <w:tr w:rsidR="00C45D5A" w:rsidRPr="00C45D5A" w14:paraId="171CCD19" w14:textId="77777777" w:rsidTr="00054D51">
        <w:trPr>
          <w:trHeight w:val="240"/>
          <w:tblHeader/>
        </w:trPr>
        <w:tc>
          <w:tcPr>
            <w:tcW w:w="1855" w:type="dxa"/>
            <w:tcBorders>
              <w:top w:val="single" w:sz="4" w:space="0" w:color="auto"/>
              <w:bottom w:val="single" w:sz="12" w:space="0" w:color="auto"/>
            </w:tcBorders>
            <w:shd w:val="clear" w:color="auto" w:fill="auto"/>
            <w:vAlign w:val="bottom"/>
          </w:tcPr>
          <w:p w14:paraId="35B89F9E" w14:textId="77777777" w:rsidR="001734EB" w:rsidRPr="004E5744" w:rsidRDefault="001734EB" w:rsidP="00054D51">
            <w:pPr>
              <w:pStyle w:val="SingleTxtG"/>
              <w:spacing w:before="80" w:after="80" w:line="200" w:lineRule="exact"/>
              <w:ind w:left="0" w:right="0"/>
              <w:jc w:val="left"/>
              <w:rPr>
                <w:i/>
                <w:sz w:val="16"/>
                <w:lang w:val="es-VE"/>
              </w:rPr>
            </w:pPr>
            <w:r w:rsidRPr="004E5744">
              <w:rPr>
                <w:i/>
                <w:sz w:val="16"/>
                <w:lang w:val="es-VE"/>
              </w:rPr>
              <w:t>Grupo etario</w:t>
            </w:r>
          </w:p>
        </w:tc>
        <w:tc>
          <w:tcPr>
            <w:tcW w:w="1827" w:type="dxa"/>
            <w:tcBorders>
              <w:top w:val="single" w:sz="4" w:space="0" w:color="auto"/>
              <w:bottom w:val="single" w:sz="12" w:space="0" w:color="auto"/>
            </w:tcBorders>
            <w:shd w:val="clear" w:color="auto" w:fill="auto"/>
            <w:vAlign w:val="bottom"/>
          </w:tcPr>
          <w:p w14:paraId="06D03ACE" w14:textId="77777777" w:rsidR="001734EB" w:rsidRPr="004E5744" w:rsidRDefault="001734EB" w:rsidP="00054D51">
            <w:pPr>
              <w:pStyle w:val="SingleTxtG"/>
              <w:spacing w:before="80" w:after="80" w:line="200" w:lineRule="exact"/>
              <w:ind w:left="113" w:right="0"/>
              <w:jc w:val="right"/>
              <w:rPr>
                <w:i/>
                <w:sz w:val="16"/>
                <w:lang w:val="es-VE"/>
              </w:rPr>
            </w:pPr>
            <w:r w:rsidRPr="004E5744">
              <w:rPr>
                <w:i/>
                <w:sz w:val="16"/>
                <w:lang w:val="es-VE"/>
              </w:rPr>
              <w:t>Mujer</w:t>
            </w:r>
          </w:p>
        </w:tc>
        <w:tc>
          <w:tcPr>
            <w:tcW w:w="1861" w:type="dxa"/>
            <w:tcBorders>
              <w:top w:val="single" w:sz="4" w:space="0" w:color="auto"/>
              <w:bottom w:val="single" w:sz="12" w:space="0" w:color="auto"/>
            </w:tcBorders>
            <w:shd w:val="clear" w:color="auto" w:fill="auto"/>
            <w:vAlign w:val="bottom"/>
          </w:tcPr>
          <w:p w14:paraId="7D6CB278" w14:textId="77777777" w:rsidR="001734EB" w:rsidRPr="00C45D5A" w:rsidRDefault="001734EB" w:rsidP="00054D51">
            <w:pPr>
              <w:pStyle w:val="SingleTxtG"/>
              <w:spacing w:before="80" w:after="80" w:line="200" w:lineRule="exact"/>
              <w:ind w:left="113" w:right="0"/>
              <w:jc w:val="right"/>
              <w:rPr>
                <w:i/>
                <w:sz w:val="16"/>
                <w:lang w:val="es-VE"/>
              </w:rPr>
            </w:pPr>
            <w:r w:rsidRPr="00C45D5A">
              <w:rPr>
                <w:i/>
                <w:sz w:val="16"/>
                <w:lang w:val="es-VE"/>
              </w:rPr>
              <w:t>Hombre</w:t>
            </w:r>
          </w:p>
        </w:tc>
        <w:tc>
          <w:tcPr>
            <w:tcW w:w="1827" w:type="dxa"/>
            <w:tcBorders>
              <w:top w:val="single" w:sz="4" w:space="0" w:color="auto"/>
              <w:bottom w:val="single" w:sz="12" w:space="0" w:color="auto"/>
            </w:tcBorders>
            <w:shd w:val="clear" w:color="auto" w:fill="auto"/>
            <w:vAlign w:val="bottom"/>
          </w:tcPr>
          <w:p w14:paraId="4E07AA4B" w14:textId="77777777" w:rsidR="001734EB" w:rsidRPr="00054D51" w:rsidRDefault="001734EB" w:rsidP="00054D51">
            <w:pPr>
              <w:pStyle w:val="SingleTxtG"/>
              <w:spacing w:before="80" w:after="80" w:line="200" w:lineRule="exact"/>
              <w:ind w:left="113" w:right="0"/>
              <w:jc w:val="right"/>
              <w:rPr>
                <w:i/>
                <w:sz w:val="16"/>
                <w:lang w:val="es-VE"/>
              </w:rPr>
            </w:pPr>
            <w:r w:rsidRPr="00054D51">
              <w:rPr>
                <w:i/>
                <w:sz w:val="16"/>
                <w:lang w:val="es-VE"/>
              </w:rPr>
              <w:t>Total</w:t>
            </w:r>
          </w:p>
        </w:tc>
      </w:tr>
      <w:tr w:rsidR="00C45D5A" w:rsidRPr="00C45D5A" w14:paraId="55874557" w14:textId="77777777" w:rsidTr="00054D51">
        <w:trPr>
          <w:trHeight w:val="240"/>
        </w:trPr>
        <w:tc>
          <w:tcPr>
            <w:tcW w:w="1855" w:type="dxa"/>
            <w:tcBorders>
              <w:top w:val="single" w:sz="12" w:space="0" w:color="auto"/>
            </w:tcBorders>
            <w:shd w:val="clear" w:color="auto" w:fill="auto"/>
          </w:tcPr>
          <w:p w14:paraId="46F5075B" w14:textId="77777777" w:rsidR="001734EB" w:rsidRPr="004E5744" w:rsidRDefault="00C45D5A" w:rsidP="00054D51">
            <w:pPr>
              <w:pStyle w:val="SingleTxtG"/>
              <w:spacing w:before="40" w:after="40" w:line="220" w:lineRule="exact"/>
              <w:ind w:left="0" w:right="0"/>
              <w:jc w:val="left"/>
              <w:rPr>
                <w:sz w:val="18"/>
                <w:lang w:val="es-VE"/>
              </w:rPr>
            </w:pPr>
            <w:r>
              <w:rPr>
                <w:sz w:val="18"/>
                <w:lang w:val="es-VE"/>
              </w:rPr>
              <w:t xml:space="preserve">De </w:t>
            </w:r>
            <w:r w:rsidR="001734EB" w:rsidRPr="004E5744">
              <w:rPr>
                <w:sz w:val="18"/>
                <w:lang w:val="es-VE"/>
              </w:rPr>
              <w:t>0</w:t>
            </w:r>
            <w:r>
              <w:rPr>
                <w:sz w:val="18"/>
                <w:lang w:val="es-VE"/>
              </w:rPr>
              <w:t xml:space="preserve"> a </w:t>
            </w:r>
            <w:r w:rsidR="001734EB" w:rsidRPr="004E5744">
              <w:rPr>
                <w:sz w:val="18"/>
                <w:lang w:val="es-VE"/>
              </w:rPr>
              <w:t>12</w:t>
            </w:r>
            <w:r>
              <w:rPr>
                <w:sz w:val="18"/>
                <w:lang w:val="es-VE"/>
              </w:rPr>
              <w:t xml:space="preserve"> años</w:t>
            </w:r>
          </w:p>
        </w:tc>
        <w:tc>
          <w:tcPr>
            <w:tcW w:w="1827" w:type="dxa"/>
            <w:tcBorders>
              <w:top w:val="single" w:sz="12" w:space="0" w:color="auto"/>
            </w:tcBorders>
            <w:shd w:val="clear" w:color="auto" w:fill="auto"/>
            <w:vAlign w:val="bottom"/>
          </w:tcPr>
          <w:p w14:paraId="41280EA4" w14:textId="77777777" w:rsidR="001734EB" w:rsidRPr="004E5744" w:rsidRDefault="001734EB" w:rsidP="00054D51">
            <w:pPr>
              <w:pStyle w:val="SingleTxtG"/>
              <w:spacing w:before="40" w:after="40" w:line="220" w:lineRule="exact"/>
              <w:ind w:left="113" w:right="0"/>
              <w:jc w:val="right"/>
              <w:rPr>
                <w:sz w:val="18"/>
                <w:lang w:val="es-VE"/>
              </w:rPr>
            </w:pPr>
            <w:r w:rsidRPr="004E5744">
              <w:rPr>
                <w:sz w:val="18"/>
                <w:lang w:val="es-VE"/>
              </w:rPr>
              <w:t>9</w:t>
            </w:r>
            <w:r w:rsidR="00C45D5A">
              <w:rPr>
                <w:sz w:val="18"/>
                <w:lang w:val="es-VE"/>
              </w:rPr>
              <w:t xml:space="preserve"> </w:t>
            </w:r>
            <w:r w:rsidRPr="004E5744">
              <w:rPr>
                <w:sz w:val="18"/>
                <w:lang w:val="es-VE"/>
              </w:rPr>
              <w:t>381</w:t>
            </w:r>
          </w:p>
        </w:tc>
        <w:tc>
          <w:tcPr>
            <w:tcW w:w="1861" w:type="dxa"/>
            <w:tcBorders>
              <w:top w:val="single" w:sz="12" w:space="0" w:color="auto"/>
            </w:tcBorders>
            <w:shd w:val="clear" w:color="auto" w:fill="auto"/>
            <w:vAlign w:val="bottom"/>
          </w:tcPr>
          <w:p w14:paraId="38C68897" w14:textId="77777777" w:rsidR="001734EB" w:rsidRPr="004E5744" w:rsidRDefault="001734EB" w:rsidP="00054D51">
            <w:pPr>
              <w:pStyle w:val="SingleTxtG"/>
              <w:spacing w:before="40" w:after="40" w:line="220" w:lineRule="exact"/>
              <w:ind w:left="113" w:right="0"/>
              <w:jc w:val="right"/>
              <w:rPr>
                <w:sz w:val="18"/>
                <w:lang w:val="es-VE"/>
              </w:rPr>
            </w:pPr>
            <w:r w:rsidRPr="004E5744">
              <w:rPr>
                <w:sz w:val="18"/>
                <w:lang w:val="es-VE"/>
              </w:rPr>
              <w:t>15</w:t>
            </w:r>
            <w:r w:rsidR="00C45D5A">
              <w:rPr>
                <w:sz w:val="18"/>
                <w:lang w:val="es-VE"/>
              </w:rPr>
              <w:t xml:space="preserve"> </w:t>
            </w:r>
            <w:r w:rsidRPr="004E5744">
              <w:rPr>
                <w:sz w:val="18"/>
                <w:lang w:val="es-VE"/>
              </w:rPr>
              <w:t>928</w:t>
            </w:r>
          </w:p>
        </w:tc>
        <w:tc>
          <w:tcPr>
            <w:tcW w:w="1827" w:type="dxa"/>
            <w:tcBorders>
              <w:top w:val="single" w:sz="12" w:space="0" w:color="auto"/>
            </w:tcBorders>
            <w:shd w:val="clear" w:color="auto" w:fill="auto"/>
            <w:vAlign w:val="bottom"/>
          </w:tcPr>
          <w:p w14:paraId="3372C89F" w14:textId="77777777" w:rsidR="001734EB" w:rsidRPr="004E5744" w:rsidRDefault="001734EB" w:rsidP="00054D51">
            <w:pPr>
              <w:pStyle w:val="SingleTxtG"/>
              <w:spacing w:before="40" w:after="40" w:line="220" w:lineRule="exact"/>
              <w:ind w:left="113" w:right="0"/>
              <w:jc w:val="right"/>
              <w:rPr>
                <w:sz w:val="18"/>
                <w:lang w:val="es-VE"/>
              </w:rPr>
            </w:pPr>
            <w:r w:rsidRPr="004E5744">
              <w:rPr>
                <w:sz w:val="18"/>
                <w:lang w:val="es-VE"/>
              </w:rPr>
              <w:t>25</w:t>
            </w:r>
            <w:r w:rsidR="00C45D5A">
              <w:rPr>
                <w:sz w:val="18"/>
                <w:lang w:val="es-VE"/>
              </w:rPr>
              <w:t xml:space="preserve"> </w:t>
            </w:r>
            <w:r w:rsidRPr="004E5744">
              <w:rPr>
                <w:sz w:val="18"/>
                <w:lang w:val="es-VE"/>
              </w:rPr>
              <w:t>309</w:t>
            </w:r>
          </w:p>
        </w:tc>
      </w:tr>
      <w:tr w:rsidR="00C45D5A" w:rsidRPr="00C45D5A" w14:paraId="588095E0" w14:textId="77777777" w:rsidTr="00054D51">
        <w:trPr>
          <w:trHeight w:val="240"/>
        </w:trPr>
        <w:tc>
          <w:tcPr>
            <w:tcW w:w="1855" w:type="dxa"/>
            <w:shd w:val="clear" w:color="auto" w:fill="auto"/>
          </w:tcPr>
          <w:p w14:paraId="417C02AE" w14:textId="77777777" w:rsidR="001734EB" w:rsidRPr="004E5744" w:rsidRDefault="00C45D5A" w:rsidP="00054D51">
            <w:pPr>
              <w:pStyle w:val="SingleTxtG"/>
              <w:spacing w:before="40" w:after="40" w:line="220" w:lineRule="exact"/>
              <w:ind w:left="0" w:right="0"/>
              <w:jc w:val="left"/>
              <w:rPr>
                <w:sz w:val="18"/>
                <w:lang w:val="es-VE"/>
              </w:rPr>
            </w:pPr>
            <w:r>
              <w:rPr>
                <w:sz w:val="18"/>
                <w:lang w:val="es-VE"/>
              </w:rPr>
              <w:t xml:space="preserve">De </w:t>
            </w:r>
            <w:r w:rsidR="001734EB" w:rsidRPr="004E5744">
              <w:rPr>
                <w:sz w:val="18"/>
                <w:lang w:val="es-VE"/>
              </w:rPr>
              <w:t>13</w:t>
            </w:r>
            <w:r>
              <w:rPr>
                <w:sz w:val="18"/>
                <w:lang w:val="es-VE"/>
              </w:rPr>
              <w:t xml:space="preserve"> a </w:t>
            </w:r>
            <w:r w:rsidR="001734EB" w:rsidRPr="004E5744">
              <w:rPr>
                <w:sz w:val="18"/>
                <w:lang w:val="es-VE"/>
              </w:rPr>
              <w:t>18</w:t>
            </w:r>
            <w:r>
              <w:rPr>
                <w:sz w:val="18"/>
                <w:lang w:val="es-VE"/>
              </w:rPr>
              <w:t xml:space="preserve"> años</w:t>
            </w:r>
            <w:r w:rsidR="001734EB" w:rsidRPr="004E5744">
              <w:rPr>
                <w:sz w:val="18"/>
                <w:lang w:val="es-VE"/>
              </w:rPr>
              <w:t xml:space="preserve"> </w:t>
            </w:r>
          </w:p>
        </w:tc>
        <w:tc>
          <w:tcPr>
            <w:tcW w:w="1827" w:type="dxa"/>
            <w:shd w:val="clear" w:color="auto" w:fill="auto"/>
            <w:vAlign w:val="bottom"/>
          </w:tcPr>
          <w:p w14:paraId="4D7FB283" w14:textId="77777777" w:rsidR="001734EB" w:rsidRPr="004E5744" w:rsidRDefault="001734EB" w:rsidP="00054D51">
            <w:pPr>
              <w:pStyle w:val="SingleTxtG"/>
              <w:spacing w:before="40" w:after="40" w:line="220" w:lineRule="exact"/>
              <w:ind w:left="113" w:right="0"/>
              <w:jc w:val="right"/>
              <w:rPr>
                <w:sz w:val="18"/>
                <w:lang w:val="es-VE"/>
              </w:rPr>
            </w:pPr>
            <w:r w:rsidRPr="004E5744">
              <w:rPr>
                <w:sz w:val="18"/>
                <w:lang w:val="es-VE"/>
              </w:rPr>
              <w:t>6</w:t>
            </w:r>
            <w:r w:rsidR="00C45D5A">
              <w:rPr>
                <w:sz w:val="18"/>
                <w:lang w:val="es-VE"/>
              </w:rPr>
              <w:t xml:space="preserve"> </w:t>
            </w:r>
            <w:r w:rsidRPr="004E5744">
              <w:rPr>
                <w:sz w:val="18"/>
                <w:lang w:val="es-VE"/>
              </w:rPr>
              <w:t>443</w:t>
            </w:r>
          </w:p>
        </w:tc>
        <w:tc>
          <w:tcPr>
            <w:tcW w:w="1861" w:type="dxa"/>
            <w:shd w:val="clear" w:color="auto" w:fill="auto"/>
            <w:vAlign w:val="bottom"/>
          </w:tcPr>
          <w:p w14:paraId="36F03B9C" w14:textId="77777777" w:rsidR="001734EB" w:rsidRPr="004E5744" w:rsidRDefault="001734EB" w:rsidP="00054D51">
            <w:pPr>
              <w:pStyle w:val="SingleTxtG"/>
              <w:spacing w:before="40" w:after="40" w:line="220" w:lineRule="exact"/>
              <w:ind w:left="113" w:right="0"/>
              <w:jc w:val="right"/>
              <w:rPr>
                <w:sz w:val="18"/>
                <w:lang w:val="es-VE"/>
              </w:rPr>
            </w:pPr>
            <w:r w:rsidRPr="004E5744">
              <w:rPr>
                <w:sz w:val="18"/>
                <w:lang w:val="es-VE"/>
              </w:rPr>
              <w:t>10</w:t>
            </w:r>
            <w:r w:rsidR="00C45D5A">
              <w:rPr>
                <w:sz w:val="18"/>
                <w:lang w:val="es-VE"/>
              </w:rPr>
              <w:t xml:space="preserve"> </w:t>
            </w:r>
            <w:r w:rsidRPr="004E5744">
              <w:rPr>
                <w:sz w:val="18"/>
                <w:lang w:val="es-VE"/>
              </w:rPr>
              <w:t>538</w:t>
            </w:r>
          </w:p>
        </w:tc>
        <w:tc>
          <w:tcPr>
            <w:tcW w:w="1827" w:type="dxa"/>
            <w:shd w:val="clear" w:color="auto" w:fill="auto"/>
            <w:vAlign w:val="bottom"/>
          </w:tcPr>
          <w:p w14:paraId="392B985A" w14:textId="77777777" w:rsidR="001734EB" w:rsidRPr="004E5744" w:rsidRDefault="001734EB" w:rsidP="00054D51">
            <w:pPr>
              <w:pStyle w:val="SingleTxtG"/>
              <w:spacing w:before="40" w:after="40" w:line="220" w:lineRule="exact"/>
              <w:ind w:left="113" w:right="0"/>
              <w:jc w:val="right"/>
              <w:rPr>
                <w:sz w:val="18"/>
                <w:lang w:val="es-VE"/>
              </w:rPr>
            </w:pPr>
            <w:r w:rsidRPr="004E5744">
              <w:rPr>
                <w:sz w:val="18"/>
                <w:lang w:val="es-VE"/>
              </w:rPr>
              <w:t>16</w:t>
            </w:r>
            <w:r w:rsidR="00C45D5A">
              <w:rPr>
                <w:sz w:val="18"/>
                <w:lang w:val="es-VE"/>
              </w:rPr>
              <w:t xml:space="preserve"> </w:t>
            </w:r>
            <w:r w:rsidRPr="004E5744">
              <w:rPr>
                <w:sz w:val="18"/>
                <w:lang w:val="es-VE"/>
              </w:rPr>
              <w:t>981</w:t>
            </w:r>
          </w:p>
        </w:tc>
      </w:tr>
      <w:tr w:rsidR="00C45D5A" w:rsidRPr="00C45D5A" w14:paraId="1655E269" w14:textId="77777777" w:rsidTr="00054D51">
        <w:trPr>
          <w:trHeight w:val="240"/>
        </w:trPr>
        <w:tc>
          <w:tcPr>
            <w:tcW w:w="1855" w:type="dxa"/>
            <w:shd w:val="clear" w:color="auto" w:fill="auto"/>
          </w:tcPr>
          <w:p w14:paraId="5802A2C4" w14:textId="77777777" w:rsidR="001734EB" w:rsidRPr="004E5744" w:rsidRDefault="00C45D5A" w:rsidP="00054D51">
            <w:pPr>
              <w:pStyle w:val="SingleTxtG"/>
              <w:spacing w:before="40" w:after="40" w:line="220" w:lineRule="exact"/>
              <w:ind w:left="0" w:right="0"/>
              <w:jc w:val="left"/>
              <w:rPr>
                <w:sz w:val="18"/>
                <w:lang w:val="es-VE"/>
              </w:rPr>
            </w:pPr>
            <w:r>
              <w:rPr>
                <w:sz w:val="18"/>
                <w:lang w:val="es-VE"/>
              </w:rPr>
              <w:t xml:space="preserve">De </w:t>
            </w:r>
            <w:r w:rsidR="001734EB" w:rsidRPr="004E5744">
              <w:rPr>
                <w:sz w:val="18"/>
                <w:lang w:val="es-VE"/>
              </w:rPr>
              <w:t>19</w:t>
            </w:r>
            <w:r>
              <w:rPr>
                <w:sz w:val="18"/>
                <w:lang w:val="es-VE"/>
              </w:rPr>
              <w:t xml:space="preserve"> a </w:t>
            </w:r>
            <w:r w:rsidR="001734EB" w:rsidRPr="004E5744">
              <w:rPr>
                <w:sz w:val="18"/>
                <w:lang w:val="es-VE"/>
              </w:rPr>
              <w:t>24</w:t>
            </w:r>
            <w:r>
              <w:rPr>
                <w:sz w:val="18"/>
                <w:lang w:val="es-VE"/>
              </w:rPr>
              <w:t xml:space="preserve"> años</w:t>
            </w:r>
            <w:r w:rsidR="001734EB" w:rsidRPr="004E5744">
              <w:rPr>
                <w:sz w:val="18"/>
                <w:lang w:val="es-VE"/>
              </w:rPr>
              <w:t xml:space="preserve"> </w:t>
            </w:r>
          </w:p>
        </w:tc>
        <w:tc>
          <w:tcPr>
            <w:tcW w:w="1827" w:type="dxa"/>
            <w:shd w:val="clear" w:color="auto" w:fill="auto"/>
            <w:vAlign w:val="bottom"/>
          </w:tcPr>
          <w:p w14:paraId="782B24B9" w14:textId="77777777" w:rsidR="001734EB" w:rsidRPr="004E5744" w:rsidRDefault="001734EB" w:rsidP="00054D51">
            <w:pPr>
              <w:pStyle w:val="SingleTxtG"/>
              <w:spacing w:before="40" w:after="40" w:line="220" w:lineRule="exact"/>
              <w:ind w:left="113" w:right="0"/>
              <w:jc w:val="right"/>
              <w:rPr>
                <w:sz w:val="18"/>
                <w:lang w:val="es-VE"/>
              </w:rPr>
            </w:pPr>
            <w:r w:rsidRPr="004E5744">
              <w:rPr>
                <w:sz w:val="18"/>
                <w:lang w:val="es-VE"/>
              </w:rPr>
              <w:t>7</w:t>
            </w:r>
            <w:r w:rsidR="00C45D5A">
              <w:rPr>
                <w:sz w:val="18"/>
                <w:lang w:val="es-VE"/>
              </w:rPr>
              <w:t xml:space="preserve"> </w:t>
            </w:r>
            <w:r w:rsidRPr="004E5744">
              <w:rPr>
                <w:sz w:val="18"/>
                <w:lang w:val="es-VE"/>
              </w:rPr>
              <w:t>049</w:t>
            </w:r>
          </w:p>
        </w:tc>
        <w:tc>
          <w:tcPr>
            <w:tcW w:w="1861" w:type="dxa"/>
            <w:shd w:val="clear" w:color="auto" w:fill="auto"/>
            <w:vAlign w:val="bottom"/>
          </w:tcPr>
          <w:p w14:paraId="2A2CC026" w14:textId="77777777" w:rsidR="001734EB" w:rsidRPr="004E5744" w:rsidRDefault="001734EB" w:rsidP="00054D51">
            <w:pPr>
              <w:pStyle w:val="SingleTxtG"/>
              <w:spacing w:before="40" w:after="40" w:line="220" w:lineRule="exact"/>
              <w:ind w:left="113" w:right="0"/>
              <w:jc w:val="right"/>
              <w:rPr>
                <w:sz w:val="18"/>
                <w:lang w:val="es-VE"/>
              </w:rPr>
            </w:pPr>
            <w:r w:rsidRPr="004E5744">
              <w:rPr>
                <w:sz w:val="18"/>
                <w:lang w:val="es-VE"/>
              </w:rPr>
              <w:t>10</w:t>
            </w:r>
            <w:r w:rsidR="00C45D5A">
              <w:rPr>
                <w:sz w:val="18"/>
                <w:lang w:val="es-VE"/>
              </w:rPr>
              <w:t xml:space="preserve"> </w:t>
            </w:r>
            <w:r w:rsidRPr="004E5744">
              <w:rPr>
                <w:sz w:val="18"/>
                <w:lang w:val="es-VE"/>
              </w:rPr>
              <w:t>122</w:t>
            </w:r>
          </w:p>
        </w:tc>
        <w:tc>
          <w:tcPr>
            <w:tcW w:w="1827" w:type="dxa"/>
            <w:shd w:val="clear" w:color="auto" w:fill="auto"/>
            <w:vAlign w:val="bottom"/>
          </w:tcPr>
          <w:p w14:paraId="11D43DDC" w14:textId="77777777" w:rsidR="001734EB" w:rsidRPr="004E5744" w:rsidRDefault="001734EB" w:rsidP="00054D51">
            <w:pPr>
              <w:pStyle w:val="SingleTxtG"/>
              <w:spacing w:before="40" w:after="40" w:line="220" w:lineRule="exact"/>
              <w:ind w:left="113" w:right="0"/>
              <w:jc w:val="right"/>
              <w:rPr>
                <w:sz w:val="18"/>
                <w:lang w:val="es-VE"/>
              </w:rPr>
            </w:pPr>
            <w:r w:rsidRPr="004E5744">
              <w:rPr>
                <w:sz w:val="18"/>
                <w:lang w:val="es-VE"/>
              </w:rPr>
              <w:t>17</w:t>
            </w:r>
            <w:r w:rsidR="00C45D5A">
              <w:rPr>
                <w:sz w:val="18"/>
                <w:lang w:val="es-VE"/>
              </w:rPr>
              <w:t xml:space="preserve"> </w:t>
            </w:r>
            <w:r w:rsidRPr="004E5744">
              <w:rPr>
                <w:sz w:val="18"/>
                <w:lang w:val="es-VE"/>
              </w:rPr>
              <w:t>171</w:t>
            </w:r>
          </w:p>
        </w:tc>
      </w:tr>
      <w:tr w:rsidR="00C45D5A" w:rsidRPr="00C45D5A" w14:paraId="38D35EF1" w14:textId="77777777" w:rsidTr="00054D51">
        <w:trPr>
          <w:trHeight w:val="240"/>
        </w:trPr>
        <w:tc>
          <w:tcPr>
            <w:tcW w:w="1855" w:type="dxa"/>
            <w:shd w:val="clear" w:color="auto" w:fill="auto"/>
          </w:tcPr>
          <w:p w14:paraId="77DBA68A" w14:textId="77777777" w:rsidR="001734EB" w:rsidRPr="004E5744" w:rsidRDefault="00C45D5A" w:rsidP="00054D51">
            <w:pPr>
              <w:pStyle w:val="SingleTxtG"/>
              <w:spacing w:before="40" w:after="40" w:line="220" w:lineRule="exact"/>
              <w:ind w:left="0" w:right="0"/>
              <w:jc w:val="left"/>
              <w:rPr>
                <w:sz w:val="18"/>
                <w:lang w:val="es-VE"/>
              </w:rPr>
            </w:pPr>
            <w:r>
              <w:rPr>
                <w:sz w:val="18"/>
                <w:lang w:val="es-VE"/>
              </w:rPr>
              <w:t xml:space="preserve">De </w:t>
            </w:r>
            <w:r w:rsidR="001734EB" w:rsidRPr="004E5744">
              <w:rPr>
                <w:sz w:val="18"/>
                <w:lang w:val="es-VE"/>
              </w:rPr>
              <w:t>25</w:t>
            </w:r>
            <w:r>
              <w:rPr>
                <w:sz w:val="18"/>
                <w:lang w:val="es-VE"/>
              </w:rPr>
              <w:t xml:space="preserve"> a </w:t>
            </w:r>
            <w:r w:rsidR="001734EB" w:rsidRPr="004E5744">
              <w:rPr>
                <w:sz w:val="18"/>
                <w:lang w:val="es-VE"/>
              </w:rPr>
              <w:t xml:space="preserve">64 </w:t>
            </w:r>
            <w:r>
              <w:rPr>
                <w:sz w:val="18"/>
                <w:lang w:val="es-VE"/>
              </w:rPr>
              <w:t>años</w:t>
            </w:r>
          </w:p>
        </w:tc>
        <w:tc>
          <w:tcPr>
            <w:tcW w:w="1827" w:type="dxa"/>
            <w:shd w:val="clear" w:color="auto" w:fill="auto"/>
            <w:vAlign w:val="bottom"/>
          </w:tcPr>
          <w:p w14:paraId="4090F884" w14:textId="77777777" w:rsidR="001734EB" w:rsidRPr="004E5744" w:rsidRDefault="001734EB" w:rsidP="00054D51">
            <w:pPr>
              <w:pStyle w:val="SingleTxtG"/>
              <w:spacing w:before="40" w:after="40" w:line="220" w:lineRule="exact"/>
              <w:ind w:left="113" w:right="0"/>
              <w:jc w:val="right"/>
              <w:rPr>
                <w:sz w:val="18"/>
                <w:lang w:val="es-VE"/>
              </w:rPr>
            </w:pPr>
            <w:r w:rsidRPr="004E5744">
              <w:rPr>
                <w:sz w:val="18"/>
                <w:lang w:val="es-VE"/>
              </w:rPr>
              <w:t>72</w:t>
            </w:r>
            <w:r w:rsidR="00C45D5A">
              <w:rPr>
                <w:sz w:val="18"/>
                <w:lang w:val="es-VE"/>
              </w:rPr>
              <w:t xml:space="preserve"> </w:t>
            </w:r>
            <w:r w:rsidRPr="004E5744">
              <w:rPr>
                <w:sz w:val="18"/>
                <w:lang w:val="es-VE"/>
              </w:rPr>
              <w:t>220</w:t>
            </w:r>
          </w:p>
        </w:tc>
        <w:tc>
          <w:tcPr>
            <w:tcW w:w="1861" w:type="dxa"/>
            <w:shd w:val="clear" w:color="auto" w:fill="auto"/>
            <w:vAlign w:val="bottom"/>
          </w:tcPr>
          <w:p w14:paraId="149AA783" w14:textId="77777777" w:rsidR="001734EB" w:rsidRPr="004E5744" w:rsidRDefault="001734EB" w:rsidP="00054D51">
            <w:pPr>
              <w:pStyle w:val="SingleTxtG"/>
              <w:spacing w:before="40" w:after="40" w:line="220" w:lineRule="exact"/>
              <w:ind w:left="113" w:right="0"/>
              <w:jc w:val="right"/>
              <w:rPr>
                <w:sz w:val="18"/>
                <w:lang w:val="es-VE"/>
              </w:rPr>
            </w:pPr>
            <w:r w:rsidRPr="004E5744">
              <w:rPr>
                <w:sz w:val="18"/>
                <w:lang w:val="es-VE"/>
              </w:rPr>
              <w:t>88</w:t>
            </w:r>
            <w:r w:rsidR="00C45D5A">
              <w:rPr>
                <w:sz w:val="18"/>
                <w:lang w:val="es-VE"/>
              </w:rPr>
              <w:t xml:space="preserve"> </w:t>
            </w:r>
            <w:r w:rsidRPr="004E5744">
              <w:rPr>
                <w:sz w:val="18"/>
                <w:lang w:val="es-VE"/>
              </w:rPr>
              <w:t>767</w:t>
            </w:r>
          </w:p>
        </w:tc>
        <w:tc>
          <w:tcPr>
            <w:tcW w:w="1827" w:type="dxa"/>
            <w:shd w:val="clear" w:color="auto" w:fill="auto"/>
            <w:vAlign w:val="bottom"/>
          </w:tcPr>
          <w:p w14:paraId="0C1911FA" w14:textId="77777777" w:rsidR="001734EB" w:rsidRPr="004E5744" w:rsidRDefault="001734EB" w:rsidP="00054D51">
            <w:pPr>
              <w:pStyle w:val="SingleTxtG"/>
              <w:spacing w:before="40" w:after="40" w:line="220" w:lineRule="exact"/>
              <w:ind w:left="113" w:right="0"/>
              <w:jc w:val="right"/>
              <w:rPr>
                <w:sz w:val="18"/>
                <w:lang w:val="es-VE"/>
              </w:rPr>
            </w:pPr>
            <w:r w:rsidRPr="004E5744">
              <w:rPr>
                <w:sz w:val="18"/>
                <w:lang w:val="es-VE"/>
              </w:rPr>
              <w:t>160</w:t>
            </w:r>
            <w:r w:rsidR="00C45D5A">
              <w:rPr>
                <w:sz w:val="18"/>
                <w:lang w:val="es-VE"/>
              </w:rPr>
              <w:t xml:space="preserve"> </w:t>
            </w:r>
            <w:r w:rsidRPr="004E5744">
              <w:rPr>
                <w:sz w:val="18"/>
                <w:lang w:val="es-VE"/>
              </w:rPr>
              <w:t>987</w:t>
            </w:r>
          </w:p>
        </w:tc>
      </w:tr>
      <w:tr w:rsidR="00C45D5A" w:rsidRPr="00C45D5A" w14:paraId="27863ED3" w14:textId="77777777" w:rsidTr="00054D51">
        <w:trPr>
          <w:trHeight w:val="240"/>
        </w:trPr>
        <w:tc>
          <w:tcPr>
            <w:tcW w:w="1855" w:type="dxa"/>
            <w:tcBorders>
              <w:bottom w:val="single" w:sz="4" w:space="0" w:color="auto"/>
            </w:tcBorders>
            <w:shd w:val="clear" w:color="auto" w:fill="auto"/>
          </w:tcPr>
          <w:p w14:paraId="1FEE0318" w14:textId="77777777" w:rsidR="001734EB" w:rsidRPr="004E5744" w:rsidRDefault="00C45D5A" w:rsidP="00054D51">
            <w:pPr>
              <w:pStyle w:val="SingleTxtG"/>
              <w:spacing w:before="40" w:after="40" w:line="220" w:lineRule="exact"/>
              <w:ind w:left="0" w:right="0"/>
              <w:jc w:val="left"/>
              <w:rPr>
                <w:sz w:val="18"/>
                <w:lang w:val="es-VE"/>
              </w:rPr>
            </w:pPr>
            <w:r>
              <w:rPr>
                <w:sz w:val="18"/>
                <w:lang w:val="es-VE"/>
              </w:rPr>
              <w:t xml:space="preserve">De </w:t>
            </w:r>
            <w:r w:rsidR="001734EB" w:rsidRPr="004E5744">
              <w:rPr>
                <w:sz w:val="18"/>
                <w:lang w:val="es-VE"/>
              </w:rPr>
              <w:t>65 y más</w:t>
            </w:r>
            <w:r w:rsidR="00223132" w:rsidRPr="004E5744">
              <w:rPr>
                <w:sz w:val="18"/>
                <w:lang w:val="es-VE"/>
              </w:rPr>
              <w:t xml:space="preserve"> </w:t>
            </w:r>
          </w:p>
        </w:tc>
        <w:tc>
          <w:tcPr>
            <w:tcW w:w="1827" w:type="dxa"/>
            <w:tcBorders>
              <w:bottom w:val="single" w:sz="4" w:space="0" w:color="auto"/>
            </w:tcBorders>
            <w:shd w:val="clear" w:color="auto" w:fill="auto"/>
            <w:vAlign w:val="bottom"/>
          </w:tcPr>
          <w:p w14:paraId="08F96466" w14:textId="77777777" w:rsidR="001734EB" w:rsidRPr="004E5744" w:rsidRDefault="001734EB" w:rsidP="00054D51">
            <w:pPr>
              <w:pStyle w:val="SingleTxtG"/>
              <w:spacing w:before="40" w:after="40" w:line="220" w:lineRule="exact"/>
              <w:ind w:left="113" w:right="0"/>
              <w:jc w:val="right"/>
              <w:rPr>
                <w:sz w:val="18"/>
                <w:lang w:val="es-VE"/>
              </w:rPr>
            </w:pPr>
            <w:r w:rsidRPr="00C45D5A">
              <w:rPr>
                <w:sz w:val="18"/>
                <w:lang w:val="es-VE"/>
              </w:rPr>
              <w:t>31</w:t>
            </w:r>
            <w:r w:rsidR="00C45D5A">
              <w:rPr>
                <w:sz w:val="18"/>
                <w:lang w:val="es-VE"/>
              </w:rPr>
              <w:t xml:space="preserve"> </w:t>
            </w:r>
            <w:r w:rsidRPr="004E5744">
              <w:rPr>
                <w:sz w:val="18"/>
                <w:lang w:val="es-VE"/>
              </w:rPr>
              <w:t>402</w:t>
            </w:r>
          </w:p>
        </w:tc>
        <w:tc>
          <w:tcPr>
            <w:tcW w:w="1861" w:type="dxa"/>
            <w:tcBorders>
              <w:bottom w:val="single" w:sz="4" w:space="0" w:color="auto"/>
            </w:tcBorders>
            <w:shd w:val="clear" w:color="auto" w:fill="auto"/>
            <w:vAlign w:val="bottom"/>
          </w:tcPr>
          <w:p w14:paraId="628D44C4" w14:textId="77777777" w:rsidR="001734EB" w:rsidRPr="004E5744" w:rsidRDefault="001734EB" w:rsidP="00054D51">
            <w:pPr>
              <w:pStyle w:val="SingleTxtG"/>
              <w:spacing w:before="40" w:after="40" w:line="220" w:lineRule="exact"/>
              <w:ind w:left="113" w:right="0"/>
              <w:jc w:val="right"/>
              <w:rPr>
                <w:sz w:val="18"/>
                <w:lang w:val="es-VE"/>
              </w:rPr>
            </w:pPr>
            <w:r w:rsidRPr="004E5744">
              <w:rPr>
                <w:sz w:val="18"/>
                <w:lang w:val="es-VE"/>
              </w:rPr>
              <w:t>29</w:t>
            </w:r>
            <w:r w:rsidR="00C45D5A">
              <w:rPr>
                <w:sz w:val="18"/>
                <w:lang w:val="es-VE"/>
              </w:rPr>
              <w:t xml:space="preserve"> </w:t>
            </w:r>
            <w:r w:rsidRPr="004E5744">
              <w:rPr>
                <w:sz w:val="18"/>
                <w:lang w:val="es-VE"/>
              </w:rPr>
              <w:t>902</w:t>
            </w:r>
          </w:p>
        </w:tc>
        <w:tc>
          <w:tcPr>
            <w:tcW w:w="1827" w:type="dxa"/>
            <w:tcBorders>
              <w:bottom w:val="single" w:sz="4" w:space="0" w:color="auto"/>
            </w:tcBorders>
            <w:shd w:val="clear" w:color="auto" w:fill="auto"/>
            <w:vAlign w:val="bottom"/>
          </w:tcPr>
          <w:p w14:paraId="6093F761" w14:textId="77777777" w:rsidR="001734EB" w:rsidRPr="004E5744" w:rsidRDefault="001734EB" w:rsidP="00054D51">
            <w:pPr>
              <w:pStyle w:val="SingleTxtG"/>
              <w:spacing w:before="40" w:after="40" w:line="220" w:lineRule="exact"/>
              <w:ind w:left="113" w:right="0"/>
              <w:jc w:val="right"/>
              <w:rPr>
                <w:sz w:val="18"/>
                <w:lang w:val="es-VE"/>
              </w:rPr>
            </w:pPr>
            <w:r w:rsidRPr="004E5744">
              <w:rPr>
                <w:sz w:val="18"/>
                <w:lang w:val="es-VE"/>
              </w:rPr>
              <w:t>61</w:t>
            </w:r>
            <w:r w:rsidR="00C45D5A">
              <w:rPr>
                <w:sz w:val="18"/>
                <w:lang w:val="es-VE"/>
              </w:rPr>
              <w:t xml:space="preserve"> </w:t>
            </w:r>
            <w:r w:rsidRPr="004E5744">
              <w:rPr>
                <w:sz w:val="18"/>
                <w:lang w:val="es-VE"/>
              </w:rPr>
              <w:t>304</w:t>
            </w:r>
          </w:p>
        </w:tc>
      </w:tr>
      <w:tr w:rsidR="00C45D5A" w:rsidRPr="00C45D5A" w14:paraId="0EC79382" w14:textId="77777777" w:rsidTr="00054D51">
        <w:trPr>
          <w:trHeight w:val="240"/>
        </w:trPr>
        <w:tc>
          <w:tcPr>
            <w:tcW w:w="1855" w:type="dxa"/>
            <w:tcBorders>
              <w:top w:val="single" w:sz="4" w:space="0" w:color="auto"/>
              <w:bottom w:val="single" w:sz="12" w:space="0" w:color="auto"/>
            </w:tcBorders>
            <w:shd w:val="clear" w:color="auto" w:fill="auto"/>
          </w:tcPr>
          <w:p w14:paraId="6424DE6C" w14:textId="77777777" w:rsidR="001734EB" w:rsidRPr="004E5744" w:rsidRDefault="00C45D5A" w:rsidP="00054D51">
            <w:pPr>
              <w:pStyle w:val="SingleTxtG"/>
              <w:spacing w:before="80" w:after="80" w:line="220" w:lineRule="exact"/>
              <w:ind w:left="283" w:right="0"/>
              <w:jc w:val="left"/>
              <w:rPr>
                <w:b/>
                <w:sz w:val="18"/>
                <w:lang w:val="es-VE"/>
              </w:rPr>
            </w:pPr>
            <w:r w:rsidRPr="00054D51">
              <w:rPr>
                <w:b/>
                <w:sz w:val="18"/>
                <w:lang w:val="es-VE"/>
              </w:rPr>
              <w:t>Total</w:t>
            </w:r>
          </w:p>
        </w:tc>
        <w:tc>
          <w:tcPr>
            <w:tcW w:w="1827" w:type="dxa"/>
            <w:tcBorders>
              <w:top w:val="single" w:sz="4" w:space="0" w:color="auto"/>
              <w:bottom w:val="single" w:sz="12" w:space="0" w:color="auto"/>
            </w:tcBorders>
            <w:shd w:val="clear" w:color="auto" w:fill="auto"/>
            <w:vAlign w:val="bottom"/>
          </w:tcPr>
          <w:p w14:paraId="7575B0CB" w14:textId="77777777" w:rsidR="001734EB" w:rsidRPr="00054D51" w:rsidRDefault="001734EB" w:rsidP="00054D51">
            <w:pPr>
              <w:pStyle w:val="SingleTxtG"/>
              <w:spacing w:before="80" w:after="80" w:line="220" w:lineRule="exact"/>
              <w:ind w:left="0" w:right="0"/>
              <w:jc w:val="right"/>
              <w:rPr>
                <w:b/>
                <w:sz w:val="18"/>
                <w:lang w:val="es-VE"/>
              </w:rPr>
            </w:pPr>
            <w:r w:rsidRPr="00054D51">
              <w:rPr>
                <w:b/>
                <w:sz w:val="18"/>
                <w:lang w:val="es-VE"/>
              </w:rPr>
              <w:t>126</w:t>
            </w:r>
            <w:r w:rsidR="00C45D5A">
              <w:rPr>
                <w:b/>
                <w:sz w:val="18"/>
                <w:lang w:val="es-VE"/>
              </w:rPr>
              <w:t xml:space="preserve"> </w:t>
            </w:r>
            <w:r w:rsidRPr="00054D51">
              <w:rPr>
                <w:b/>
                <w:sz w:val="18"/>
                <w:lang w:val="es-VE"/>
              </w:rPr>
              <w:t>495</w:t>
            </w:r>
          </w:p>
        </w:tc>
        <w:tc>
          <w:tcPr>
            <w:tcW w:w="1861" w:type="dxa"/>
            <w:tcBorders>
              <w:top w:val="single" w:sz="4" w:space="0" w:color="auto"/>
              <w:bottom w:val="single" w:sz="12" w:space="0" w:color="auto"/>
            </w:tcBorders>
            <w:shd w:val="clear" w:color="auto" w:fill="auto"/>
            <w:vAlign w:val="bottom"/>
          </w:tcPr>
          <w:p w14:paraId="3F0C5A9A" w14:textId="77777777" w:rsidR="001734EB" w:rsidRPr="00054D51" w:rsidRDefault="001734EB" w:rsidP="00054D51">
            <w:pPr>
              <w:pStyle w:val="SingleTxtG"/>
              <w:spacing w:before="80" w:after="80" w:line="220" w:lineRule="exact"/>
              <w:ind w:left="0" w:right="0"/>
              <w:jc w:val="right"/>
              <w:rPr>
                <w:b/>
                <w:sz w:val="18"/>
                <w:lang w:val="es-VE"/>
              </w:rPr>
            </w:pPr>
            <w:r w:rsidRPr="00054D51">
              <w:rPr>
                <w:b/>
                <w:sz w:val="18"/>
                <w:lang w:val="es-VE"/>
              </w:rPr>
              <w:t>155</w:t>
            </w:r>
            <w:r w:rsidR="00C45D5A">
              <w:rPr>
                <w:b/>
                <w:sz w:val="18"/>
                <w:lang w:val="es-VE"/>
              </w:rPr>
              <w:t xml:space="preserve"> </w:t>
            </w:r>
            <w:r w:rsidRPr="00054D51">
              <w:rPr>
                <w:b/>
                <w:sz w:val="18"/>
                <w:lang w:val="es-VE"/>
              </w:rPr>
              <w:t>257</w:t>
            </w:r>
          </w:p>
        </w:tc>
        <w:tc>
          <w:tcPr>
            <w:tcW w:w="1827" w:type="dxa"/>
            <w:tcBorders>
              <w:top w:val="single" w:sz="4" w:space="0" w:color="auto"/>
              <w:bottom w:val="single" w:sz="12" w:space="0" w:color="auto"/>
            </w:tcBorders>
            <w:shd w:val="clear" w:color="auto" w:fill="auto"/>
            <w:vAlign w:val="bottom"/>
          </w:tcPr>
          <w:p w14:paraId="57FC8D5A" w14:textId="77777777" w:rsidR="001734EB" w:rsidRPr="004E5744" w:rsidRDefault="001734EB" w:rsidP="00054D51">
            <w:pPr>
              <w:pStyle w:val="SingleTxtG"/>
              <w:spacing w:before="80" w:after="80" w:line="220" w:lineRule="exact"/>
              <w:ind w:left="0" w:right="0"/>
              <w:jc w:val="right"/>
              <w:rPr>
                <w:b/>
                <w:sz w:val="18"/>
                <w:lang w:val="es-VE"/>
              </w:rPr>
            </w:pPr>
            <w:r w:rsidRPr="004E5744">
              <w:rPr>
                <w:b/>
                <w:sz w:val="18"/>
                <w:lang w:val="es-VE"/>
              </w:rPr>
              <w:t>281</w:t>
            </w:r>
            <w:r w:rsidR="00C45D5A">
              <w:rPr>
                <w:b/>
                <w:sz w:val="18"/>
                <w:lang w:val="es-VE"/>
              </w:rPr>
              <w:t xml:space="preserve"> </w:t>
            </w:r>
            <w:r w:rsidRPr="004E5744">
              <w:rPr>
                <w:b/>
                <w:sz w:val="18"/>
                <w:lang w:val="es-VE"/>
              </w:rPr>
              <w:t>752</w:t>
            </w:r>
          </w:p>
        </w:tc>
      </w:tr>
    </w:tbl>
    <w:p w14:paraId="1972A597" w14:textId="77777777" w:rsidR="001734EB" w:rsidRPr="000A0878" w:rsidRDefault="001734EB" w:rsidP="00054D51">
      <w:pPr>
        <w:pStyle w:val="Ttulo1"/>
        <w:spacing w:before="240"/>
      </w:pPr>
      <w:r w:rsidRPr="000A0878">
        <w:t>Tabla 12</w:t>
      </w:r>
    </w:p>
    <w:p w14:paraId="5E4750A5" w14:textId="77777777" w:rsidR="001734EB" w:rsidRPr="00223132" w:rsidRDefault="00C45D5A" w:rsidP="00054D51">
      <w:pPr>
        <w:pStyle w:val="H23G"/>
        <w:spacing w:before="0"/>
        <w:rPr>
          <w:lang w:val="es-VE"/>
        </w:rPr>
      </w:pPr>
      <w:r>
        <w:rPr>
          <w:lang w:val="es-VE"/>
        </w:rPr>
        <w:tab/>
      </w:r>
      <w:r>
        <w:rPr>
          <w:lang w:val="es-VE"/>
        </w:rPr>
        <w:tab/>
      </w:r>
      <w:proofErr w:type="spellStart"/>
      <w:r w:rsidR="001734EB" w:rsidRPr="00223132">
        <w:rPr>
          <w:lang w:val="es-VE"/>
        </w:rPr>
        <w:t>PcD</w:t>
      </w:r>
      <w:proofErr w:type="spellEnd"/>
      <w:r w:rsidR="001734EB" w:rsidRPr="00223132">
        <w:rPr>
          <w:lang w:val="es-VE"/>
        </w:rPr>
        <w:t xml:space="preserve"> certificadas en el período 2015-2019</w:t>
      </w:r>
      <w:r>
        <w:rPr>
          <w:lang w:val="es-VE"/>
        </w:rPr>
        <w:t xml:space="preserve"> —</w:t>
      </w:r>
      <w:r w:rsidR="001734EB" w:rsidRPr="00223132">
        <w:rPr>
          <w:lang w:val="es-VE"/>
        </w:rPr>
        <w:t>Tipo de discapacidad</w:t>
      </w:r>
      <w:r>
        <w:rPr>
          <w:lang w:val="es-VE"/>
        </w:rPr>
        <w:t>—</w:t>
      </w:r>
      <w:r w:rsidR="00223132" w:rsidRPr="00223132">
        <w:rPr>
          <w:lang w:val="es-VE"/>
        </w:rPr>
        <w:t xml:space="preserve"> </w:t>
      </w:r>
      <w:proofErr w:type="spellStart"/>
      <w:r w:rsidR="001734EB" w:rsidRPr="00223132">
        <w:rPr>
          <w:lang w:val="es-VE"/>
        </w:rPr>
        <w:t>CONAPDIS</w:t>
      </w:r>
      <w:proofErr w:type="spellEnd"/>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2065"/>
        <w:gridCol w:w="1757"/>
        <w:gridCol w:w="1791"/>
        <w:gridCol w:w="1757"/>
      </w:tblGrid>
      <w:tr w:rsidR="00C45D5A" w:rsidRPr="00C45D5A" w14:paraId="655907B7" w14:textId="77777777" w:rsidTr="00054D51">
        <w:trPr>
          <w:trHeight w:val="240"/>
          <w:tblHeader/>
        </w:trPr>
        <w:tc>
          <w:tcPr>
            <w:tcW w:w="2065" w:type="dxa"/>
            <w:tcBorders>
              <w:top w:val="single" w:sz="4" w:space="0" w:color="auto"/>
              <w:bottom w:val="single" w:sz="12" w:space="0" w:color="auto"/>
            </w:tcBorders>
            <w:shd w:val="clear" w:color="auto" w:fill="auto"/>
            <w:vAlign w:val="bottom"/>
          </w:tcPr>
          <w:p w14:paraId="70EDAC05" w14:textId="77777777" w:rsidR="001734EB" w:rsidRPr="004E5744" w:rsidRDefault="001734EB" w:rsidP="00054D51">
            <w:pPr>
              <w:pStyle w:val="SingleTxtG"/>
              <w:spacing w:before="80" w:after="80" w:line="200" w:lineRule="exact"/>
              <w:ind w:left="0" w:right="0"/>
              <w:jc w:val="left"/>
              <w:rPr>
                <w:i/>
                <w:sz w:val="16"/>
                <w:lang w:val="es-VE"/>
              </w:rPr>
            </w:pPr>
            <w:r w:rsidRPr="004E5744">
              <w:rPr>
                <w:i/>
                <w:sz w:val="16"/>
                <w:lang w:val="es-VE"/>
              </w:rPr>
              <w:t>Tipo discapacidad</w:t>
            </w:r>
          </w:p>
        </w:tc>
        <w:tc>
          <w:tcPr>
            <w:tcW w:w="1757" w:type="dxa"/>
            <w:tcBorders>
              <w:top w:val="single" w:sz="4" w:space="0" w:color="auto"/>
              <w:bottom w:val="single" w:sz="12" w:space="0" w:color="auto"/>
            </w:tcBorders>
            <w:shd w:val="clear" w:color="auto" w:fill="auto"/>
            <w:vAlign w:val="bottom"/>
          </w:tcPr>
          <w:p w14:paraId="68ED331A" w14:textId="77777777" w:rsidR="001734EB" w:rsidRPr="004E5744" w:rsidRDefault="001734EB" w:rsidP="00054D51">
            <w:pPr>
              <w:pStyle w:val="SingleTxtG"/>
              <w:spacing w:before="80" w:after="80" w:line="200" w:lineRule="exact"/>
              <w:ind w:left="113" w:right="0"/>
              <w:jc w:val="right"/>
              <w:rPr>
                <w:i/>
                <w:sz w:val="16"/>
                <w:lang w:val="es-VE"/>
              </w:rPr>
            </w:pPr>
            <w:r w:rsidRPr="004E5744">
              <w:rPr>
                <w:i/>
                <w:sz w:val="16"/>
                <w:lang w:val="es-VE"/>
              </w:rPr>
              <w:t>Mujer</w:t>
            </w:r>
          </w:p>
        </w:tc>
        <w:tc>
          <w:tcPr>
            <w:tcW w:w="1791" w:type="dxa"/>
            <w:tcBorders>
              <w:top w:val="single" w:sz="4" w:space="0" w:color="auto"/>
              <w:bottom w:val="single" w:sz="12" w:space="0" w:color="auto"/>
            </w:tcBorders>
            <w:shd w:val="clear" w:color="auto" w:fill="auto"/>
            <w:vAlign w:val="bottom"/>
          </w:tcPr>
          <w:p w14:paraId="6ECE4CE0" w14:textId="77777777" w:rsidR="001734EB" w:rsidRPr="00C45D5A" w:rsidRDefault="001734EB" w:rsidP="00054D51">
            <w:pPr>
              <w:pStyle w:val="SingleTxtG"/>
              <w:spacing w:before="80" w:after="80" w:line="200" w:lineRule="exact"/>
              <w:ind w:left="113" w:right="0"/>
              <w:jc w:val="right"/>
              <w:rPr>
                <w:i/>
                <w:sz w:val="16"/>
                <w:lang w:val="es-VE"/>
              </w:rPr>
            </w:pPr>
            <w:r w:rsidRPr="00C45D5A">
              <w:rPr>
                <w:i/>
                <w:sz w:val="16"/>
                <w:lang w:val="es-VE"/>
              </w:rPr>
              <w:t>Hombre</w:t>
            </w:r>
          </w:p>
        </w:tc>
        <w:tc>
          <w:tcPr>
            <w:tcW w:w="1757" w:type="dxa"/>
            <w:tcBorders>
              <w:top w:val="single" w:sz="4" w:space="0" w:color="auto"/>
              <w:bottom w:val="single" w:sz="12" w:space="0" w:color="auto"/>
            </w:tcBorders>
            <w:shd w:val="clear" w:color="auto" w:fill="auto"/>
            <w:vAlign w:val="bottom"/>
          </w:tcPr>
          <w:p w14:paraId="7B6824CF" w14:textId="77777777" w:rsidR="001734EB" w:rsidRPr="00054D51" w:rsidRDefault="001734EB" w:rsidP="00054D51">
            <w:pPr>
              <w:pStyle w:val="SingleTxtG"/>
              <w:spacing w:before="80" w:after="80" w:line="200" w:lineRule="exact"/>
              <w:ind w:left="113" w:right="0"/>
              <w:jc w:val="right"/>
              <w:rPr>
                <w:i/>
                <w:sz w:val="16"/>
                <w:lang w:val="es-VE"/>
              </w:rPr>
            </w:pPr>
            <w:r w:rsidRPr="00054D51">
              <w:rPr>
                <w:i/>
                <w:sz w:val="16"/>
                <w:lang w:val="es-VE"/>
              </w:rPr>
              <w:t>Total</w:t>
            </w:r>
          </w:p>
        </w:tc>
      </w:tr>
      <w:tr w:rsidR="00C45D5A" w:rsidRPr="00C45D5A" w14:paraId="52E026AE" w14:textId="77777777" w:rsidTr="00054D51">
        <w:trPr>
          <w:trHeight w:val="240"/>
        </w:trPr>
        <w:tc>
          <w:tcPr>
            <w:tcW w:w="2065" w:type="dxa"/>
            <w:tcBorders>
              <w:top w:val="single" w:sz="12" w:space="0" w:color="auto"/>
            </w:tcBorders>
            <w:shd w:val="clear" w:color="auto" w:fill="auto"/>
          </w:tcPr>
          <w:p w14:paraId="2389F4B0" w14:textId="77777777" w:rsidR="001734EB" w:rsidRPr="004E5744" w:rsidRDefault="001734EB" w:rsidP="00054D51">
            <w:pPr>
              <w:pStyle w:val="SingleTxtG"/>
              <w:spacing w:before="40" w:after="40" w:line="220" w:lineRule="exact"/>
              <w:ind w:left="0" w:right="0"/>
              <w:jc w:val="left"/>
              <w:rPr>
                <w:sz w:val="18"/>
                <w:lang w:val="es-VE"/>
              </w:rPr>
            </w:pPr>
            <w:r w:rsidRPr="004E5744">
              <w:rPr>
                <w:sz w:val="18"/>
                <w:lang w:val="es-VE"/>
              </w:rPr>
              <w:t>Auditiva</w:t>
            </w:r>
          </w:p>
        </w:tc>
        <w:tc>
          <w:tcPr>
            <w:tcW w:w="1757" w:type="dxa"/>
            <w:tcBorders>
              <w:top w:val="single" w:sz="12" w:space="0" w:color="auto"/>
            </w:tcBorders>
            <w:shd w:val="clear" w:color="auto" w:fill="auto"/>
            <w:vAlign w:val="bottom"/>
          </w:tcPr>
          <w:p w14:paraId="7E7CCB6A" w14:textId="77777777" w:rsidR="001734EB" w:rsidRPr="004E5744" w:rsidRDefault="001734EB" w:rsidP="00054D51">
            <w:pPr>
              <w:pStyle w:val="SingleTxtG"/>
              <w:spacing w:before="40" w:after="40" w:line="220" w:lineRule="exact"/>
              <w:ind w:left="113" w:right="0"/>
              <w:jc w:val="right"/>
              <w:rPr>
                <w:sz w:val="18"/>
                <w:lang w:val="es-VE"/>
              </w:rPr>
            </w:pPr>
            <w:r w:rsidRPr="004E5744">
              <w:rPr>
                <w:sz w:val="18"/>
                <w:lang w:val="es-VE"/>
              </w:rPr>
              <w:t>4</w:t>
            </w:r>
            <w:r w:rsidR="00C45D5A">
              <w:rPr>
                <w:sz w:val="18"/>
                <w:lang w:val="es-VE"/>
              </w:rPr>
              <w:t xml:space="preserve"> </w:t>
            </w:r>
            <w:r w:rsidRPr="004E5744">
              <w:rPr>
                <w:sz w:val="18"/>
                <w:lang w:val="es-VE"/>
              </w:rPr>
              <w:t>716</w:t>
            </w:r>
          </w:p>
        </w:tc>
        <w:tc>
          <w:tcPr>
            <w:tcW w:w="1791" w:type="dxa"/>
            <w:tcBorders>
              <w:top w:val="single" w:sz="12" w:space="0" w:color="auto"/>
            </w:tcBorders>
            <w:shd w:val="clear" w:color="auto" w:fill="auto"/>
            <w:vAlign w:val="bottom"/>
          </w:tcPr>
          <w:p w14:paraId="1494ACA7" w14:textId="77777777" w:rsidR="001734EB" w:rsidRPr="004E5744" w:rsidRDefault="001734EB" w:rsidP="00054D51">
            <w:pPr>
              <w:pStyle w:val="SingleTxtG"/>
              <w:spacing w:before="40" w:after="40" w:line="220" w:lineRule="exact"/>
              <w:ind w:left="113" w:right="0"/>
              <w:jc w:val="right"/>
              <w:rPr>
                <w:sz w:val="18"/>
                <w:lang w:val="es-VE"/>
              </w:rPr>
            </w:pPr>
            <w:r w:rsidRPr="004E5744">
              <w:rPr>
                <w:sz w:val="18"/>
                <w:lang w:val="es-VE"/>
              </w:rPr>
              <w:t>4</w:t>
            </w:r>
            <w:r w:rsidR="00C45D5A">
              <w:rPr>
                <w:sz w:val="18"/>
                <w:lang w:val="es-VE"/>
              </w:rPr>
              <w:t xml:space="preserve"> </w:t>
            </w:r>
            <w:r w:rsidRPr="004E5744">
              <w:rPr>
                <w:sz w:val="18"/>
                <w:lang w:val="es-VE"/>
              </w:rPr>
              <w:t>643</w:t>
            </w:r>
          </w:p>
        </w:tc>
        <w:tc>
          <w:tcPr>
            <w:tcW w:w="1757" w:type="dxa"/>
            <w:tcBorders>
              <w:top w:val="single" w:sz="12" w:space="0" w:color="auto"/>
            </w:tcBorders>
            <w:shd w:val="clear" w:color="auto" w:fill="auto"/>
            <w:vAlign w:val="bottom"/>
          </w:tcPr>
          <w:p w14:paraId="26B041FC" w14:textId="77777777" w:rsidR="001734EB" w:rsidRPr="004E5744" w:rsidRDefault="001734EB" w:rsidP="00054D51">
            <w:pPr>
              <w:pStyle w:val="SingleTxtG"/>
              <w:spacing w:before="40" w:after="40" w:line="220" w:lineRule="exact"/>
              <w:ind w:left="113" w:right="0"/>
              <w:jc w:val="right"/>
              <w:rPr>
                <w:sz w:val="18"/>
                <w:lang w:val="es-VE"/>
              </w:rPr>
            </w:pPr>
            <w:r w:rsidRPr="004E5744">
              <w:rPr>
                <w:sz w:val="18"/>
                <w:lang w:val="es-VE"/>
              </w:rPr>
              <w:t>9</w:t>
            </w:r>
            <w:r w:rsidR="00C45D5A">
              <w:rPr>
                <w:sz w:val="18"/>
                <w:lang w:val="es-VE"/>
              </w:rPr>
              <w:t xml:space="preserve"> </w:t>
            </w:r>
            <w:r w:rsidRPr="004E5744">
              <w:rPr>
                <w:sz w:val="18"/>
                <w:lang w:val="es-VE"/>
              </w:rPr>
              <w:t>359</w:t>
            </w:r>
          </w:p>
        </w:tc>
      </w:tr>
      <w:tr w:rsidR="00C45D5A" w:rsidRPr="00C45D5A" w14:paraId="0F9ACE0D" w14:textId="77777777" w:rsidTr="00054D51">
        <w:trPr>
          <w:trHeight w:val="240"/>
        </w:trPr>
        <w:tc>
          <w:tcPr>
            <w:tcW w:w="2065" w:type="dxa"/>
            <w:shd w:val="clear" w:color="auto" w:fill="auto"/>
          </w:tcPr>
          <w:p w14:paraId="7C38BBA5" w14:textId="77777777" w:rsidR="001734EB" w:rsidRPr="00C45D5A" w:rsidRDefault="001734EB" w:rsidP="00054D51">
            <w:pPr>
              <w:pStyle w:val="SingleTxtG"/>
              <w:spacing w:before="40" w:after="40" w:line="220" w:lineRule="exact"/>
              <w:ind w:left="0" w:right="0"/>
              <w:jc w:val="left"/>
              <w:rPr>
                <w:sz w:val="18"/>
                <w:lang w:val="es-VE"/>
              </w:rPr>
            </w:pPr>
            <w:r w:rsidRPr="00C45D5A">
              <w:rPr>
                <w:sz w:val="18"/>
                <w:lang w:val="es-VE"/>
              </w:rPr>
              <w:t>Cardiovascular</w:t>
            </w:r>
          </w:p>
        </w:tc>
        <w:tc>
          <w:tcPr>
            <w:tcW w:w="1757" w:type="dxa"/>
            <w:shd w:val="clear" w:color="auto" w:fill="auto"/>
            <w:vAlign w:val="bottom"/>
          </w:tcPr>
          <w:p w14:paraId="2783B25D" w14:textId="77777777" w:rsidR="001734EB" w:rsidRPr="00C45D5A" w:rsidRDefault="001734EB" w:rsidP="00054D51">
            <w:pPr>
              <w:pStyle w:val="SingleTxtG"/>
              <w:spacing w:before="40" w:after="40" w:line="220" w:lineRule="exact"/>
              <w:ind w:left="113" w:right="0"/>
              <w:jc w:val="right"/>
              <w:rPr>
                <w:sz w:val="18"/>
                <w:lang w:val="es-VE"/>
              </w:rPr>
            </w:pPr>
            <w:r w:rsidRPr="00C45D5A">
              <w:rPr>
                <w:sz w:val="18"/>
                <w:lang w:val="es-VE"/>
              </w:rPr>
              <w:t>947</w:t>
            </w:r>
          </w:p>
        </w:tc>
        <w:tc>
          <w:tcPr>
            <w:tcW w:w="1791" w:type="dxa"/>
            <w:shd w:val="clear" w:color="auto" w:fill="auto"/>
            <w:vAlign w:val="bottom"/>
          </w:tcPr>
          <w:p w14:paraId="025E525C" w14:textId="77777777" w:rsidR="001734EB" w:rsidRPr="004E5744" w:rsidRDefault="001734EB" w:rsidP="00054D51">
            <w:pPr>
              <w:pStyle w:val="SingleTxtG"/>
              <w:spacing w:before="40" w:after="40" w:line="220" w:lineRule="exact"/>
              <w:ind w:left="113" w:right="0"/>
              <w:jc w:val="right"/>
              <w:rPr>
                <w:sz w:val="18"/>
                <w:lang w:val="es-VE"/>
              </w:rPr>
            </w:pPr>
            <w:r w:rsidRPr="00C45D5A">
              <w:rPr>
                <w:sz w:val="18"/>
                <w:lang w:val="es-VE"/>
              </w:rPr>
              <w:t>1</w:t>
            </w:r>
            <w:r w:rsidR="00C45D5A">
              <w:rPr>
                <w:sz w:val="18"/>
                <w:lang w:val="es-VE"/>
              </w:rPr>
              <w:t xml:space="preserve"> </w:t>
            </w:r>
            <w:r w:rsidRPr="004E5744">
              <w:rPr>
                <w:sz w:val="18"/>
                <w:lang w:val="es-VE"/>
              </w:rPr>
              <w:t>093</w:t>
            </w:r>
          </w:p>
        </w:tc>
        <w:tc>
          <w:tcPr>
            <w:tcW w:w="1757" w:type="dxa"/>
            <w:shd w:val="clear" w:color="auto" w:fill="auto"/>
            <w:vAlign w:val="bottom"/>
          </w:tcPr>
          <w:p w14:paraId="778A4C37" w14:textId="77777777" w:rsidR="001734EB" w:rsidRPr="004E5744" w:rsidRDefault="001734EB" w:rsidP="00054D51">
            <w:pPr>
              <w:pStyle w:val="SingleTxtG"/>
              <w:spacing w:before="40" w:after="40" w:line="220" w:lineRule="exact"/>
              <w:ind w:left="113" w:right="0"/>
              <w:jc w:val="right"/>
              <w:rPr>
                <w:sz w:val="18"/>
                <w:lang w:val="es-VE"/>
              </w:rPr>
            </w:pPr>
            <w:r w:rsidRPr="004E5744">
              <w:rPr>
                <w:sz w:val="18"/>
                <w:lang w:val="es-VE"/>
              </w:rPr>
              <w:t>2</w:t>
            </w:r>
            <w:r w:rsidR="00C45D5A">
              <w:rPr>
                <w:sz w:val="18"/>
                <w:lang w:val="es-VE"/>
              </w:rPr>
              <w:t xml:space="preserve"> </w:t>
            </w:r>
            <w:r w:rsidRPr="004E5744">
              <w:rPr>
                <w:sz w:val="18"/>
                <w:lang w:val="es-VE"/>
              </w:rPr>
              <w:t>040</w:t>
            </w:r>
          </w:p>
        </w:tc>
      </w:tr>
      <w:tr w:rsidR="00C45D5A" w:rsidRPr="00C45D5A" w14:paraId="651065F4" w14:textId="77777777" w:rsidTr="00054D51">
        <w:trPr>
          <w:trHeight w:val="240"/>
        </w:trPr>
        <w:tc>
          <w:tcPr>
            <w:tcW w:w="2065" w:type="dxa"/>
            <w:shd w:val="clear" w:color="auto" w:fill="auto"/>
          </w:tcPr>
          <w:p w14:paraId="40DF7AB3" w14:textId="77777777" w:rsidR="001734EB" w:rsidRPr="00C45D5A" w:rsidRDefault="001734EB" w:rsidP="00054D51">
            <w:pPr>
              <w:pStyle w:val="SingleTxtG"/>
              <w:spacing w:before="40" w:after="40" w:line="220" w:lineRule="exact"/>
              <w:ind w:left="0" w:right="0"/>
              <w:jc w:val="left"/>
              <w:rPr>
                <w:sz w:val="18"/>
                <w:lang w:val="es-VE"/>
              </w:rPr>
            </w:pPr>
            <w:r w:rsidRPr="00C45D5A">
              <w:rPr>
                <w:sz w:val="18"/>
                <w:lang w:val="es-VE"/>
              </w:rPr>
              <w:t>Genitourinaria</w:t>
            </w:r>
          </w:p>
        </w:tc>
        <w:tc>
          <w:tcPr>
            <w:tcW w:w="1757" w:type="dxa"/>
            <w:shd w:val="clear" w:color="auto" w:fill="auto"/>
            <w:vAlign w:val="bottom"/>
          </w:tcPr>
          <w:p w14:paraId="587304C9" w14:textId="77777777" w:rsidR="001734EB" w:rsidRPr="004E5744" w:rsidRDefault="001734EB" w:rsidP="00054D51">
            <w:pPr>
              <w:pStyle w:val="SingleTxtG"/>
              <w:spacing w:before="40" w:after="40" w:line="220" w:lineRule="exact"/>
              <w:ind w:left="113" w:right="0"/>
              <w:jc w:val="right"/>
              <w:rPr>
                <w:sz w:val="18"/>
                <w:lang w:val="es-VE"/>
              </w:rPr>
            </w:pPr>
            <w:r w:rsidRPr="00C45D5A">
              <w:rPr>
                <w:sz w:val="18"/>
                <w:lang w:val="es-VE"/>
              </w:rPr>
              <w:t>1</w:t>
            </w:r>
            <w:r w:rsidR="00C45D5A">
              <w:rPr>
                <w:sz w:val="18"/>
                <w:lang w:val="es-VE"/>
              </w:rPr>
              <w:t xml:space="preserve"> </w:t>
            </w:r>
            <w:r w:rsidRPr="004E5744">
              <w:rPr>
                <w:sz w:val="18"/>
                <w:lang w:val="es-VE"/>
              </w:rPr>
              <w:t>916</w:t>
            </w:r>
          </w:p>
        </w:tc>
        <w:tc>
          <w:tcPr>
            <w:tcW w:w="1791" w:type="dxa"/>
            <w:shd w:val="clear" w:color="auto" w:fill="auto"/>
            <w:vAlign w:val="bottom"/>
          </w:tcPr>
          <w:p w14:paraId="4F8B721A" w14:textId="77777777" w:rsidR="001734EB" w:rsidRPr="004E5744" w:rsidRDefault="001734EB" w:rsidP="00054D51">
            <w:pPr>
              <w:pStyle w:val="SingleTxtG"/>
              <w:spacing w:before="40" w:after="40" w:line="220" w:lineRule="exact"/>
              <w:ind w:left="113" w:right="0"/>
              <w:jc w:val="right"/>
              <w:rPr>
                <w:sz w:val="18"/>
                <w:lang w:val="es-VE"/>
              </w:rPr>
            </w:pPr>
            <w:r w:rsidRPr="00C45D5A">
              <w:rPr>
                <w:sz w:val="18"/>
                <w:lang w:val="es-VE"/>
              </w:rPr>
              <w:t>2</w:t>
            </w:r>
            <w:r w:rsidR="00C45D5A">
              <w:rPr>
                <w:sz w:val="18"/>
                <w:lang w:val="es-VE"/>
              </w:rPr>
              <w:t xml:space="preserve"> </w:t>
            </w:r>
            <w:r w:rsidRPr="004E5744">
              <w:rPr>
                <w:sz w:val="18"/>
                <w:lang w:val="es-VE"/>
              </w:rPr>
              <w:t>771</w:t>
            </w:r>
          </w:p>
        </w:tc>
        <w:tc>
          <w:tcPr>
            <w:tcW w:w="1757" w:type="dxa"/>
            <w:shd w:val="clear" w:color="auto" w:fill="auto"/>
            <w:vAlign w:val="bottom"/>
          </w:tcPr>
          <w:p w14:paraId="33A53C8B" w14:textId="77777777" w:rsidR="001734EB" w:rsidRPr="004E5744" w:rsidRDefault="001734EB" w:rsidP="00054D51">
            <w:pPr>
              <w:pStyle w:val="SingleTxtG"/>
              <w:spacing w:before="40" w:after="40" w:line="220" w:lineRule="exact"/>
              <w:ind w:left="113" w:right="0"/>
              <w:jc w:val="right"/>
              <w:rPr>
                <w:sz w:val="18"/>
                <w:lang w:val="es-VE"/>
              </w:rPr>
            </w:pPr>
            <w:r w:rsidRPr="004E5744">
              <w:rPr>
                <w:sz w:val="18"/>
                <w:lang w:val="es-VE"/>
              </w:rPr>
              <w:t>4</w:t>
            </w:r>
            <w:r w:rsidR="00C45D5A">
              <w:rPr>
                <w:sz w:val="18"/>
                <w:lang w:val="es-VE"/>
              </w:rPr>
              <w:t xml:space="preserve"> </w:t>
            </w:r>
            <w:r w:rsidRPr="004E5744">
              <w:rPr>
                <w:sz w:val="18"/>
                <w:lang w:val="es-VE"/>
              </w:rPr>
              <w:t>687</w:t>
            </w:r>
          </w:p>
        </w:tc>
      </w:tr>
      <w:tr w:rsidR="00C45D5A" w:rsidRPr="00C45D5A" w14:paraId="17414813" w14:textId="77777777" w:rsidTr="00054D51">
        <w:trPr>
          <w:trHeight w:val="240"/>
        </w:trPr>
        <w:tc>
          <w:tcPr>
            <w:tcW w:w="2065" w:type="dxa"/>
            <w:shd w:val="clear" w:color="auto" w:fill="auto"/>
          </w:tcPr>
          <w:p w14:paraId="41242A17" w14:textId="77777777" w:rsidR="001734EB" w:rsidRPr="00C45D5A" w:rsidRDefault="001734EB" w:rsidP="00054D51">
            <w:pPr>
              <w:pStyle w:val="SingleTxtG"/>
              <w:spacing w:before="40" w:after="40" w:line="220" w:lineRule="exact"/>
              <w:ind w:left="0" w:right="0"/>
              <w:jc w:val="left"/>
              <w:rPr>
                <w:sz w:val="18"/>
                <w:lang w:val="es-VE"/>
              </w:rPr>
            </w:pPr>
            <w:r w:rsidRPr="00C45D5A">
              <w:rPr>
                <w:sz w:val="18"/>
                <w:lang w:val="es-VE"/>
              </w:rPr>
              <w:t>Mental intelectual</w:t>
            </w:r>
          </w:p>
        </w:tc>
        <w:tc>
          <w:tcPr>
            <w:tcW w:w="1757" w:type="dxa"/>
            <w:shd w:val="clear" w:color="auto" w:fill="auto"/>
            <w:vAlign w:val="bottom"/>
          </w:tcPr>
          <w:p w14:paraId="236F9624" w14:textId="77777777" w:rsidR="001734EB" w:rsidRPr="004E5744" w:rsidRDefault="001734EB" w:rsidP="00054D51">
            <w:pPr>
              <w:pStyle w:val="SingleTxtG"/>
              <w:spacing w:before="40" w:after="40" w:line="220" w:lineRule="exact"/>
              <w:ind w:left="113" w:right="0"/>
              <w:jc w:val="right"/>
              <w:rPr>
                <w:sz w:val="18"/>
                <w:lang w:val="es-VE"/>
              </w:rPr>
            </w:pPr>
            <w:r w:rsidRPr="00C45D5A">
              <w:rPr>
                <w:sz w:val="18"/>
                <w:lang w:val="es-VE"/>
              </w:rPr>
              <w:t>2</w:t>
            </w:r>
            <w:r w:rsidR="00C45D5A">
              <w:rPr>
                <w:sz w:val="18"/>
                <w:lang w:val="es-VE"/>
              </w:rPr>
              <w:t xml:space="preserve"> </w:t>
            </w:r>
            <w:r w:rsidRPr="004E5744">
              <w:rPr>
                <w:sz w:val="18"/>
                <w:lang w:val="es-VE"/>
              </w:rPr>
              <w:t>509</w:t>
            </w:r>
          </w:p>
        </w:tc>
        <w:tc>
          <w:tcPr>
            <w:tcW w:w="1791" w:type="dxa"/>
            <w:shd w:val="clear" w:color="auto" w:fill="auto"/>
            <w:vAlign w:val="bottom"/>
          </w:tcPr>
          <w:p w14:paraId="0ADF9822" w14:textId="77777777" w:rsidR="001734EB" w:rsidRPr="004E5744" w:rsidRDefault="001734EB" w:rsidP="00054D51">
            <w:pPr>
              <w:pStyle w:val="SingleTxtG"/>
              <w:spacing w:before="40" w:after="40" w:line="220" w:lineRule="exact"/>
              <w:ind w:left="113" w:right="0"/>
              <w:jc w:val="right"/>
              <w:rPr>
                <w:sz w:val="18"/>
                <w:lang w:val="es-VE"/>
              </w:rPr>
            </w:pPr>
            <w:r w:rsidRPr="004E5744">
              <w:rPr>
                <w:sz w:val="18"/>
                <w:lang w:val="es-VE"/>
              </w:rPr>
              <w:t>3</w:t>
            </w:r>
            <w:r w:rsidR="00C45D5A">
              <w:rPr>
                <w:sz w:val="18"/>
                <w:lang w:val="es-VE"/>
              </w:rPr>
              <w:t xml:space="preserve"> </w:t>
            </w:r>
            <w:r w:rsidRPr="004E5744">
              <w:rPr>
                <w:sz w:val="18"/>
                <w:lang w:val="es-VE"/>
              </w:rPr>
              <w:t>530</w:t>
            </w:r>
          </w:p>
        </w:tc>
        <w:tc>
          <w:tcPr>
            <w:tcW w:w="1757" w:type="dxa"/>
            <w:shd w:val="clear" w:color="auto" w:fill="auto"/>
            <w:vAlign w:val="bottom"/>
          </w:tcPr>
          <w:p w14:paraId="3EDBF48B" w14:textId="77777777" w:rsidR="001734EB" w:rsidRPr="004E5744" w:rsidRDefault="001734EB" w:rsidP="00054D51">
            <w:pPr>
              <w:pStyle w:val="SingleTxtG"/>
              <w:spacing w:before="40" w:after="40" w:line="220" w:lineRule="exact"/>
              <w:ind w:left="113" w:right="0"/>
              <w:jc w:val="right"/>
              <w:rPr>
                <w:sz w:val="18"/>
                <w:lang w:val="es-VE"/>
              </w:rPr>
            </w:pPr>
            <w:r w:rsidRPr="004E5744">
              <w:rPr>
                <w:sz w:val="18"/>
                <w:lang w:val="es-VE"/>
              </w:rPr>
              <w:t>6</w:t>
            </w:r>
            <w:r w:rsidR="00C45D5A">
              <w:rPr>
                <w:sz w:val="18"/>
                <w:lang w:val="es-VE"/>
              </w:rPr>
              <w:t xml:space="preserve"> </w:t>
            </w:r>
            <w:r w:rsidRPr="004E5744">
              <w:rPr>
                <w:sz w:val="18"/>
                <w:lang w:val="es-VE"/>
              </w:rPr>
              <w:t>039</w:t>
            </w:r>
          </w:p>
        </w:tc>
      </w:tr>
      <w:tr w:rsidR="00C45D5A" w:rsidRPr="00C45D5A" w14:paraId="6B068896" w14:textId="77777777" w:rsidTr="00054D51">
        <w:trPr>
          <w:trHeight w:val="240"/>
        </w:trPr>
        <w:tc>
          <w:tcPr>
            <w:tcW w:w="2065" w:type="dxa"/>
            <w:shd w:val="clear" w:color="auto" w:fill="auto"/>
          </w:tcPr>
          <w:p w14:paraId="3E76B0A2" w14:textId="77777777" w:rsidR="001734EB" w:rsidRPr="00C45D5A" w:rsidRDefault="001734EB" w:rsidP="00054D51">
            <w:pPr>
              <w:pStyle w:val="SingleTxtG"/>
              <w:spacing w:before="40" w:after="40" w:line="220" w:lineRule="exact"/>
              <w:ind w:left="0" w:right="0"/>
              <w:jc w:val="left"/>
              <w:rPr>
                <w:sz w:val="18"/>
                <w:lang w:val="es-VE"/>
              </w:rPr>
            </w:pPr>
            <w:r w:rsidRPr="00C45D5A">
              <w:rPr>
                <w:sz w:val="18"/>
                <w:lang w:val="es-VE"/>
              </w:rPr>
              <w:t>Mental psicosocial</w:t>
            </w:r>
          </w:p>
        </w:tc>
        <w:tc>
          <w:tcPr>
            <w:tcW w:w="1757" w:type="dxa"/>
            <w:shd w:val="clear" w:color="auto" w:fill="auto"/>
            <w:vAlign w:val="bottom"/>
          </w:tcPr>
          <w:p w14:paraId="6A630560" w14:textId="77777777" w:rsidR="001734EB" w:rsidRPr="004E5744" w:rsidRDefault="001734EB" w:rsidP="00054D51">
            <w:pPr>
              <w:pStyle w:val="SingleTxtG"/>
              <w:spacing w:before="40" w:after="40" w:line="220" w:lineRule="exact"/>
              <w:ind w:left="113" w:right="0"/>
              <w:jc w:val="right"/>
              <w:rPr>
                <w:sz w:val="18"/>
                <w:lang w:val="es-VE"/>
              </w:rPr>
            </w:pPr>
            <w:r w:rsidRPr="00C45D5A">
              <w:rPr>
                <w:sz w:val="18"/>
                <w:lang w:val="es-VE"/>
              </w:rPr>
              <w:t>1</w:t>
            </w:r>
            <w:r w:rsidR="00C45D5A">
              <w:rPr>
                <w:sz w:val="18"/>
                <w:lang w:val="es-VE"/>
              </w:rPr>
              <w:t xml:space="preserve"> </w:t>
            </w:r>
            <w:r w:rsidRPr="004E5744">
              <w:rPr>
                <w:sz w:val="18"/>
                <w:lang w:val="es-VE"/>
              </w:rPr>
              <w:t>497</w:t>
            </w:r>
          </w:p>
        </w:tc>
        <w:tc>
          <w:tcPr>
            <w:tcW w:w="1791" w:type="dxa"/>
            <w:shd w:val="clear" w:color="auto" w:fill="auto"/>
            <w:vAlign w:val="bottom"/>
          </w:tcPr>
          <w:p w14:paraId="73D21B7F" w14:textId="77777777" w:rsidR="001734EB" w:rsidRPr="004E5744" w:rsidRDefault="001734EB" w:rsidP="00054D51">
            <w:pPr>
              <w:pStyle w:val="SingleTxtG"/>
              <w:spacing w:before="40" w:after="40" w:line="220" w:lineRule="exact"/>
              <w:ind w:left="113" w:right="0"/>
              <w:jc w:val="right"/>
              <w:rPr>
                <w:sz w:val="18"/>
                <w:lang w:val="es-VE"/>
              </w:rPr>
            </w:pPr>
            <w:r w:rsidRPr="004E5744">
              <w:rPr>
                <w:sz w:val="18"/>
                <w:lang w:val="es-VE"/>
              </w:rPr>
              <w:t>2</w:t>
            </w:r>
            <w:r w:rsidR="00C45D5A">
              <w:rPr>
                <w:sz w:val="18"/>
                <w:lang w:val="es-VE"/>
              </w:rPr>
              <w:t xml:space="preserve"> </w:t>
            </w:r>
            <w:r w:rsidRPr="004E5744">
              <w:rPr>
                <w:sz w:val="18"/>
                <w:lang w:val="es-VE"/>
              </w:rPr>
              <w:t>461</w:t>
            </w:r>
          </w:p>
        </w:tc>
        <w:tc>
          <w:tcPr>
            <w:tcW w:w="1757" w:type="dxa"/>
            <w:shd w:val="clear" w:color="auto" w:fill="auto"/>
            <w:vAlign w:val="bottom"/>
          </w:tcPr>
          <w:p w14:paraId="5E75DF5B" w14:textId="77777777" w:rsidR="001734EB" w:rsidRPr="004E5744" w:rsidRDefault="001734EB" w:rsidP="00054D51">
            <w:pPr>
              <w:pStyle w:val="SingleTxtG"/>
              <w:spacing w:before="40" w:after="40" w:line="220" w:lineRule="exact"/>
              <w:ind w:left="113" w:right="0"/>
              <w:jc w:val="right"/>
              <w:rPr>
                <w:sz w:val="18"/>
                <w:lang w:val="es-VE"/>
              </w:rPr>
            </w:pPr>
            <w:r w:rsidRPr="004E5744">
              <w:rPr>
                <w:sz w:val="18"/>
                <w:lang w:val="es-VE"/>
              </w:rPr>
              <w:t>3</w:t>
            </w:r>
            <w:r w:rsidR="00C45D5A">
              <w:rPr>
                <w:sz w:val="18"/>
                <w:lang w:val="es-VE"/>
              </w:rPr>
              <w:t xml:space="preserve"> </w:t>
            </w:r>
            <w:r w:rsidRPr="004E5744">
              <w:rPr>
                <w:sz w:val="18"/>
                <w:lang w:val="es-VE"/>
              </w:rPr>
              <w:t>958</w:t>
            </w:r>
          </w:p>
        </w:tc>
      </w:tr>
      <w:tr w:rsidR="00C45D5A" w:rsidRPr="00C45D5A" w14:paraId="4FD6A061" w14:textId="77777777" w:rsidTr="00054D51">
        <w:trPr>
          <w:trHeight w:val="240"/>
        </w:trPr>
        <w:tc>
          <w:tcPr>
            <w:tcW w:w="2065" w:type="dxa"/>
            <w:shd w:val="clear" w:color="auto" w:fill="auto"/>
          </w:tcPr>
          <w:p w14:paraId="74B2DD39" w14:textId="77777777" w:rsidR="001734EB" w:rsidRPr="00C45D5A" w:rsidRDefault="001734EB" w:rsidP="00054D51">
            <w:pPr>
              <w:pStyle w:val="SingleTxtG"/>
              <w:spacing w:before="40" w:after="40" w:line="220" w:lineRule="exact"/>
              <w:ind w:left="0" w:right="0"/>
              <w:jc w:val="left"/>
              <w:rPr>
                <w:sz w:val="18"/>
                <w:lang w:val="es-VE"/>
              </w:rPr>
            </w:pPr>
            <w:r w:rsidRPr="00C45D5A">
              <w:rPr>
                <w:sz w:val="18"/>
                <w:lang w:val="es-VE"/>
              </w:rPr>
              <w:t>Metabólica</w:t>
            </w:r>
          </w:p>
        </w:tc>
        <w:tc>
          <w:tcPr>
            <w:tcW w:w="1757" w:type="dxa"/>
            <w:shd w:val="clear" w:color="auto" w:fill="auto"/>
            <w:vAlign w:val="bottom"/>
          </w:tcPr>
          <w:p w14:paraId="0CDDC1EE" w14:textId="77777777" w:rsidR="001734EB" w:rsidRPr="00C45D5A" w:rsidRDefault="001734EB" w:rsidP="00054D51">
            <w:pPr>
              <w:pStyle w:val="SingleTxtG"/>
              <w:spacing w:before="40" w:after="40" w:line="220" w:lineRule="exact"/>
              <w:ind w:left="113" w:right="0"/>
              <w:jc w:val="right"/>
              <w:rPr>
                <w:sz w:val="18"/>
                <w:lang w:val="es-VE"/>
              </w:rPr>
            </w:pPr>
            <w:r w:rsidRPr="00C45D5A">
              <w:rPr>
                <w:sz w:val="18"/>
                <w:lang w:val="es-VE"/>
              </w:rPr>
              <w:t>115</w:t>
            </w:r>
          </w:p>
        </w:tc>
        <w:tc>
          <w:tcPr>
            <w:tcW w:w="1791" w:type="dxa"/>
            <w:shd w:val="clear" w:color="auto" w:fill="auto"/>
            <w:vAlign w:val="bottom"/>
          </w:tcPr>
          <w:p w14:paraId="3265826E" w14:textId="77777777" w:rsidR="001734EB" w:rsidRPr="00C45D5A" w:rsidRDefault="001734EB" w:rsidP="00054D51">
            <w:pPr>
              <w:pStyle w:val="SingleTxtG"/>
              <w:spacing w:before="40" w:after="40" w:line="220" w:lineRule="exact"/>
              <w:ind w:left="113" w:right="0"/>
              <w:jc w:val="right"/>
              <w:rPr>
                <w:sz w:val="18"/>
                <w:lang w:val="es-VE"/>
              </w:rPr>
            </w:pPr>
            <w:r w:rsidRPr="00C45D5A">
              <w:rPr>
                <w:sz w:val="18"/>
                <w:lang w:val="es-VE"/>
              </w:rPr>
              <w:t>103</w:t>
            </w:r>
          </w:p>
        </w:tc>
        <w:tc>
          <w:tcPr>
            <w:tcW w:w="1757" w:type="dxa"/>
            <w:shd w:val="clear" w:color="auto" w:fill="auto"/>
            <w:vAlign w:val="bottom"/>
          </w:tcPr>
          <w:p w14:paraId="7B498DEC" w14:textId="77777777" w:rsidR="001734EB" w:rsidRPr="00C45D5A" w:rsidRDefault="001734EB" w:rsidP="00054D51">
            <w:pPr>
              <w:pStyle w:val="SingleTxtG"/>
              <w:spacing w:before="40" w:after="40" w:line="220" w:lineRule="exact"/>
              <w:ind w:left="113" w:right="0"/>
              <w:jc w:val="right"/>
              <w:rPr>
                <w:sz w:val="18"/>
                <w:lang w:val="es-VE"/>
              </w:rPr>
            </w:pPr>
            <w:r w:rsidRPr="00C45D5A">
              <w:rPr>
                <w:sz w:val="18"/>
                <w:lang w:val="es-VE"/>
              </w:rPr>
              <w:t>218</w:t>
            </w:r>
          </w:p>
        </w:tc>
      </w:tr>
      <w:tr w:rsidR="00C45D5A" w:rsidRPr="00C45D5A" w14:paraId="0DF3B6C7" w14:textId="77777777" w:rsidTr="00054D51">
        <w:trPr>
          <w:trHeight w:val="240"/>
        </w:trPr>
        <w:tc>
          <w:tcPr>
            <w:tcW w:w="2065" w:type="dxa"/>
            <w:shd w:val="clear" w:color="auto" w:fill="auto"/>
          </w:tcPr>
          <w:p w14:paraId="77D376A3" w14:textId="77777777" w:rsidR="001734EB" w:rsidRPr="00C45D5A" w:rsidRDefault="001734EB" w:rsidP="00054D51">
            <w:pPr>
              <w:pStyle w:val="SingleTxtG"/>
              <w:spacing w:before="40" w:after="40" w:line="220" w:lineRule="exact"/>
              <w:ind w:left="0" w:right="0"/>
              <w:jc w:val="left"/>
              <w:rPr>
                <w:sz w:val="18"/>
                <w:lang w:val="es-VE"/>
              </w:rPr>
            </w:pPr>
            <w:r w:rsidRPr="00C45D5A">
              <w:rPr>
                <w:sz w:val="18"/>
                <w:lang w:val="es-VE"/>
              </w:rPr>
              <w:t>Múltiple</w:t>
            </w:r>
          </w:p>
        </w:tc>
        <w:tc>
          <w:tcPr>
            <w:tcW w:w="1757" w:type="dxa"/>
            <w:shd w:val="clear" w:color="auto" w:fill="auto"/>
            <w:vAlign w:val="bottom"/>
          </w:tcPr>
          <w:p w14:paraId="067B3D69" w14:textId="77777777" w:rsidR="001734EB" w:rsidRPr="004E5744" w:rsidRDefault="001734EB" w:rsidP="00054D51">
            <w:pPr>
              <w:pStyle w:val="SingleTxtG"/>
              <w:spacing w:before="40" w:after="40" w:line="220" w:lineRule="exact"/>
              <w:ind w:left="113" w:right="0"/>
              <w:jc w:val="right"/>
              <w:rPr>
                <w:sz w:val="18"/>
                <w:lang w:val="es-VE"/>
              </w:rPr>
            </w:pPr>
            <w:r w:rsidRPr="00C45D5A">
              <w:rPr>
                <w:sz w:val="18"/>
                <w:lang w:val="es-VE"/>
              </w:rPr>
              <w:t>63</w:t>
            </w:r>
            <w:r w:rsidR="00C45D5A">
              <w:rPr>
                <w:sz w:val="18"/>
                <w:lang w:val="es-VE"/>
              </w:rPr>
              <w:t xml:space="preserve"> </w:t>
            </w:r>
            <w:r w:rsidRPr="004E5744">
              <w:rPr>
                <w:sz w:val="18"/>
                <w:lang w:val="es-VE"/>
              </w:rPr>
              <w:t>562</w:t>
            </w:r>
          </w:p>
        </w:tc>
        <w:tc>
          <w:tcPr>
            <w:tcW w:w="1791" w:type="dxa"/>
            <w:shd w:val="clear" w:color="auto" w:fill="auto"/>
            <w:vAlign w:val="bottom"/>
          </w:tcPr>
          <w:p w14:paraId="40EF91BA" w14:textId="77777777" w:rsidR="001734EB" w:rsidRPr="004E5744" w:rsidRDefault="001734EB" w:rsidP="00054D51">
            <w:pPr>
              <w:pStyle w:val="SingleTxtG"/>
              <w:spacing w:before="40" w:after="40" w:line="220" w:lineRule="exact"/>
              <w:ind w:left="113" w:right="0"/>
              <w:jc w:val="right"/>
              <w:rPr>
                <w:sz w:val="18"/>
                <w:lang w:val="es-VE"/>
              </w:rPr>
            </w:pPr>
            <w:r w:rsidRPr="004E5744">
              <w:rPr>
                <w:sz w:val="18"/>
                <w:lang w:val="es-VE"/>
              </w:rPr>
              <w:t>80</w:t>
            </w:r>
            <w:r w:rsidR="00C45D5A">
              <w:rPr>
                <w:sz w:val="18"/>
                <w:lang w:val="es-VE"/>
              </w:rPr>
              <w:t xml:space="preserve"> </w:t>
            </w:r>
            <w:r w:rsidRPr="004E5744">
              <w:rPr>
                <w:sz w:val="18"/>
                <w:lang w:val="es-VE"/>
              </w:rPr>
              <w:t>479</w:t>
            </w:r>
          </w:p>
        </w:tc>
        <w:tc>
          <w:tcPr>
            <w:tcW w:w="1757" w:type="dxa"/>
            <w:shd w:val="clear" w:color="auto" w:fill="auto"/>
            <w:vAlign w:val="bottom"/>
          </w:tcPr>
          <w:p w14:paraId="41B66955" w14:textId="77777777" w:rsidR="001734EB" w:rsidRPr="004E5744" w:rsidRDefault="001734EB" w:rsidP="00054D51">
            <w:pPr>
              <w:pStyle w:val="SingleTxtG"/>
              <w:spacing w:before="40" w:after="40" w:line="220" w:lineRule="exact"/>
              <w:ind w:left="113" w:right="0"/>
              <w:jc w:val="right"/>
              <w:rPr>
                <w:sz w:val="18"/>
                <w:lang w:val="es-VE"/>
              </w:rPr>
            </w:pPr>
            <w:r w:rsidRPr="004E5744">
              <w:rPr>
                <w:sz w:val="18"/>
                <w:lang w:val="es-VE"/>
              </w:rPr>
              <w:t>144</w:t>
            </w:r>
            <w:r w:rsidR="00C45D5A">
              <w:rPr>
                <w:sz w:val="18"/>
                <w:lang w:val="es-VE"/>
              </w:rPr>
              <w:t xml:space="preserve"> </w:t>
            </w:r>
            <w:r w:rsidRPr="004E5744">
              <w:rPr>
                <w:sz w:val="18"/>
                <w:lang w:val="es-VE"/>
              </w:rPr>
              <w:t>041</w:t>
            </w:r>
          </w:p>
        </w:tc>
      </w:tr>
      <w:tr w:rsidR="00C45D5A" w:rsidRPr="00C45D5A" w14:paraId="6A945E43" w14:textId="77777777" w:rsidTr="00054D51">
        <w:trPr>
          <w:trHeight w:val="240"/>
        </w:trPr>
        <w:tc>
          <w:tcPr>
            <w:tcW w:w="2065" w:type="dxa"/>
            <w:shd w:val="clear" w:color="auto" w:fill="auto"/>
          </w:tcPr>
          <w:p w14:paraId="59B79C0D" w14:textId="77777777" w:rsidR="001734EB" w:rsidRPr="00C45D5A" w:rsidRDefault="001734EB" w:rsidP="00054D51">
            <w:pPr>
              <w:pStyle w:val="SingleTxtG"/>
              <w:spacing w:before="40" w:after="40" w:line="220" w:lineRule="exact"/>
              <w:ind w:left="0" w:right="0"/>
              <w:jc w:val="left"/>
              <w:rPr>
                <w:sz w:val="18"/>
                <w:lang w:val="es-VE"/>
              </w:rPr>
            </w:pPr>
            <w:r w:rsidRPr="00C45D5A">
              <w:rPr>
                <w:sz w:val="18"/>
                <w:lang w:val="es-VE"/>
              </w:rPr>
              <w:t>Musculo esquelética</w:t>
            </w:r>
          </w:p>
        </w:tc>
        <w:tc>
          <w:tcPr>
            <w:tcW w:w="1757" w:type="dxa"/>
            <w:shd w:val="clear" w:color="auto" w:fill="auto"/>
            <w:vAlign w:val="bottom"/>
          </w:tcPr>
          <w:p w14:paraId="73EA7B8E" w14:textId="77777777" w:rsidR="001734EB" w:rsidRPr="004E5744" w:rsidRDefault="001734EB" w:rsidP="00054D51">
            <w:pPr>
              <w:pStyle w:val="SingleTxtG"/>
              <w:spacing w:before="40" w:after="40" w:line="220" w:lineRule="exact"/>
              <w:ind w:left="113" w:right="0"/>
              <w:jc w:val="right"/>
              <w:rPr>
                <w:sz w:val="18"/>
                <w:lang w:val="es-VE"/>
              </w:rPr>
            </w:pPr>
            <w:r w:rsidRPr="00C45D5A">
              <w:rPr>
                <w:sz w:val="18"/>
                <w:lang w:val="es-VE"/>
              </w:rPr>
              <w:t>37</w:t>
            </w:r>
            <w:r w:rsidR="00C45D5A">
              <w:rPr>
                <w:sz w:val="18"/>
                <w:lang w:val="es-VE"/>
              </w:rPr>
              <w:t xml:space="preserve"> </w:t>
            </w:r>
            <w:r w:rsidRPr="004E5744">
              <w:rPr>
                <w:sz w:val="18"/>
                <w:lang w:val="es-VE"/>
              </w:rPr>
              <w:t>968</w:t>
            </w:r>
          </w:p>
        </w:tc>
        <w:tc>
          <w:tcPr>
            <w:tcW w:w="1791" w:type="dxa"/>
            <w:shd w:val="clear" w:color="auto" w:fill="auto"/>
            <w:vAlign w:val="bottom"/>
          </w:tcPr>
          <w:p w14:paraId="0592F8D1" w14:textId="77777777" w:rsidR="001734EB" w:rsidRPr="004E5744" w:rsidRDefault="001734EB" w:rsidP="00054D51">
            <w:pPr>
              <w:pStyle w:val="SingleTxtG"/>
              <w:spacing w:before="40" w:after="40" w:line="220" w:lineRule="exact"/>
              <w:ind w:left="113" w:right="0"/>
              <w:jc w:val="right"/>
              <w:rPr>
                <w:sz w:val="18"/>
                <w:lang w:val="es-VE"/>
              </w:rPr>
            </w:pPr>
            <w:r w:rsidRPr="004E5744">
              <w:rPr>
                <w:sz w:val="18"/>
                <w:lang w:val="es-VE"/>
              </w:rPr>
              <w:t>40</w:t>
            </w:r>
            <w:r w:rsidR="00C45D5A">
              <w:rPr>
                <w:sz w:val="18"/>
                <w:lang w:val="es-VE"/>
              </w:rPr>
              <w:t xml:space="preserve"> </w:t>
            </w:r>
            <w:r w:rsidRPr="004E5744">
              <w:rPr>
                <w:sz w:val="18"/>
                <w:lang w:val="es-VE"/>
              </w:rPr>
              <w:t>970</w:t>
            </w:r>
          </w:p>
        </w:tc>
        <w:tc>
          <w:tcPr>
            <w:tcW w:w="1757" w:type="dxa"/>
            <w:shd w:val="clear" w:color="auto" w:fill="auto"/>
            <w:vAlign w:val="bottom"/>
          </w:tcPr>
          <w:p w14:paraId="726011B6" w14:textId="77777777" w:rsidR="001734EB" w:rsidRPr="004E5744" w:rsidRDefault="001734EB" w:rsidP="00054D51">
            <w:pPr>
              <w:pStyle w:val="SingleTxtG"/>
              <w:spacing w:before="40" w:after="40" w:line="220" w:lineRule="exact"/>
              <w:ind w:left="113" w:right="0"/>
              <w:jc w:val="right"/>
              <w:rPr>
                <w:sz w:val="18"/>
                <w:lang w:val="es-VE"/>
              </w:rPr>
            </w:pPr>
            <w:r w:rsidRPr="004E5744">
              <w:rPr>
                <w:sz w:val="18"/>
                <w:lang w:val="es-VE"/>
              </w:rPr>
              <w:t>78</w:t>
            </w:r>
            <w:r w:rsidR="00C45D5A">
              <w:rPr>
                <w:sz w:val="18"/>
                <w:lang w:val="es-VE"/>
              </w:rPr>
              <w:t xml:space="preserve"> </w:t>
            </w:r>
            <w:r w:rsidRPr="004E5744">
              <w:rPr>
                <w:sz w:val="18"/>
                <w:lang w:val="es-VE"/>
              </w:rPr>
              <w:t>938</w:t>
            </w:r>
          </w:p>
        </w:tc>
      </w:tr>
      <w:tr w:rsidR="00C45D5A" w:rsidRPr="00C45D5A" w14:paraId="56392DF2" w14:textId="77777777" w:rsidTr="00054D51">
        <w:trPr>
          <w:trHeight w:val="240"/>
        </w:trPr>
        <w:tc>
          <w:tcPr>
            <w:tcW w:w="2065" w:type="dxa"/>
            <w:shd w:val="clear" w:color="auto" w:fill="auto"/>
          </w:tcPr>
          <w:p w14:paraId="58F126F3" w14:textId="77777777" w:rsidR="001734EB" w:rsidRPr="00C45D5A" w:rsidRDefault="001734EB" w:rsidP="00054D51">
            <w:pPr>
              <w:pStyle w:val="SingleTxtG"/>
              <w:spacing w:before="40" w:after="40" w:line="220" w:lineRule="exact"/>
              <w:ind w:left="0" w:right="0"/>
              <w:jc w:val="left"/>
              <w:rPr>
                <w:sz w:val="18"/>
                <w:lang w:val="es-VE"/>
              </w:rPr>
            </w:pPr>
            <w:r w:rsidRPr="00C45D5A">
              <w:rPr>
                <w:sz w:val="18"/>
                <w:lang w:val="es-VE"/>
              </w:rPr>
              <w:t>Neurológico</w:t>
            </w:r>
          </w:p>
        </w:tc>
        <w:tc>
          <w:tcPr>
            <w:tcW w:w="1757" w:type="dxa"/>
            <w:shd w:val="clear" w:color="auto" w:fill="auto"/>
            <w:vAlign w:val="bottom"/>
          </w:tcPr>
          <w:p w14:paraId="367026B9" w14:textId="77777777" w:rsidR="001734EB" w:rsidRPr="004E5744" w:rsidRDefault="001734EB" w:rsidP="00054D51">
            <w:pPr>
              <w:pStyle w:val="SingleTxtG"/>
              <w:spacing w:before="40" w:after="40" w:line="220" w:lineRule="exact"/>
              <w:ind w:left="113" w:right="0"/>
              <w:jc w:val="right"/>
              <w:rPr>
                <w:sz w:val="18"/>
                <w:lang w:val="es-VE"/>
              </w:rPr>
            </w:pPr>
            <w:r w:rsidRPr="00C45D5A">
              <w:rPr>
                <w:sz w:val="18"/>
                <w:lang w:val="es-VE"/>
              </w:rPr>
              <w:t>2</w:t>
            </w:r>
            <w:r w:rsidR="00C45D5A">
              <w:rPr>
                <w:sz w:val="18"/>
                <w:lang w:val="es-VE"/>
              </w:rPr>
              <w:t xml:space="preserve"> </w:t>
            </w:r>
            <w:r w:rsidRPr="004E5744">
              <w:rPr>
                <w:sz w:val="18"/>
                <w:lang w:val="es-VE"/>
              </w:rPr>
              <w:t>154</w:t>
            </w:r>
          </w:p>
        </w:tc>
        <w:tc>
          <w:tcPr>
            <w:tcW w:w="1791" w:type="dxa"/>
            <w:shd w:val="clear" w:color="auto" w:fill="auto"/>
            <w:vAlign w:val="bottom"/>
          </w:tcPr>
          <w:p w14:paraId="078A5702" w14:textId="77777777" w:rsidR="001734EB" w:rsidRPr="004E5744" w:rsidRDefault="001734EB" w:rsidP="00054D51">
            <w:pPr>
              <w:pStyle w:val="SingleTxtG"/>
              <w:spacing w:before="40" w:after="40" w:line="220" w:lineRule="exact"/>
              <w:ind w:left="113" w:right="0"/>
              <w:jc w:val="right"/>
              <w:rPr>
                <w:sz w:val="18"/>
                <w:lang w:val="es-VE"/>
              </w:rPr>
            </w:pPr>
            <w:r w:rsidRPr="004E5744">
              <w:rPr>
                <w:sz w:val="18"/>
                <w:lang w:val="es-VE"/>
              </w:rPr>
              <w:t>2</w:t>
            </w:r>
            <w:r w:rsidR="00C45D5A">
              <w:rPr>
                <w:sz w:val="18"/>
                <w:lang w:val="es-VE"/>
              </w:rPr>
              <w:t xml:space="preserve"> </w:t>
            </w:r>
            <w:r w:rsidRPr="004E5744">
              <w:rPr>
                <w:sz w:val="18"/>
                <w:lang w:val="es-VE"/>
              </w:rPr>
              <w:t>311</w:t>
            </w:r>
          </w:p>
        </w:tc>
        <w:tc>
          <w:tcPr>
            <w:tcW w:w="1757" w:type="dxa"/>
            <w:shd w:val="clear" w:color="auto" w:fill="auto"/>
            <w:vAlign w:val="bottom"/>
          </w:tcPr>
          <w:p w14:paraId="6138AC5C" w14:textId="77777777" w:rsidR="001734EB" w:rsidRPr="004E5744" w:rsidRDefault="001734EB" w:rsidP="00054D51">
            <w:pPr>
              <w:pStyle w:val="SingleTxtG"/>
              <w:spacing w:before="40" w:after="40" w:line="220" w:lineRule="exact"/>
              <w:ind w:left="113" w:right="0"/>
              <w:jc w:val="right"/>
              <w:rPr>
                <w:sz w:val="18"/>
                <w:lang w:val="es-VE"/>
              </w:rPr>
            </w:pPr>
            <w:r w:rsidRPr="004E5744">
              <w:rPr>
                <w:sz w:val="18"/>
                <w:lang w:val="es-VE"/>
              </w:rPr>
              <w:t>4</w:t>
            </w:r>
            <w:r w:rsidR="00C45D5A">
              <w:rPr>
                <w:sz w:val="18"/>
                <w:lang w:val="es-VE"/>
              </w:rPr>
              <w:t xml:space="preserve"> </w:t>
            </w:r>
            <w:r w:rsidRPr="004E5744">
              <w:rPr>
                <w:sz w:val="18"/>
                <w:lang w:val="es-VE"/>
              </w:rPr>
              <w:t>465</w:t>
            </w:r>
          </w:p>
        </w:tc>
      </w:tr>
      <w:tr w:rsidR="00C45D5A" w:rsidRPr="00C45D5A" w14:paraId="540853B2" w14:textId="77777777" w:rsidTr="00054D51">
        <w:trPr>
          <w:trHeight w:val="240"/>
        </w:trPr>
        <w:tc>
          <w:tcPr>
            <w:tcW w:w="2065" w:type="dxa"/>
            <w:shd w:val="clear" w:color="auto" w:fill="auto"/>
          </w:tcPr>
          <w:p w14:paraId="6AA485A9" w14:textId="77777777" w:rsidR="001734EB" w:rsidRPr="00C45D5A" w:rsidRDefault="001734EB" w:rsidP="00054D51">
            <w:pPr>
              <w:pStyle w:val="SingleTxtG"/>
              <w:spacing w:before="40" w:after="40" w:line="220" w:lineRule="exact"/>
              <w:ind w:left="0" w:right="0"/>
              <w:jc w:val="left"/>
              <w:rPr>
                <w:sz w:val="18"/>
                <w:lang w:val="es-VE"/>
              </w:rPr>
            </w:pPr>
            <w:r w:rsidRPr="00C45D5A">
              <w:rPr>
                <w:sz w:val="18"/>
                <w:lang w:val="es-VE"/>
              </w:rPr>
              <w:t>Respiratoria</w:t>
            </w:r>
          </w:p>
        </w:tc>
        <w:tc>
          <w:tcPr>
            <w:tcW w:w="1757" w:type="dxa"/>
            <w:shd w:val="clear" w:color="auto" w:fill="auto"/>
            <w:vAlign w:val="bottom"/>
          </w:tcPr>
          <w:p w14:paraId="44A8A20D" w14:textId="77777777" w:rsidR="001734EB" w:rsidRPr="00C45D5A" w:rsidRDefault="001734EB" w:rsidP="00054D51">
            <w:pPr>
              <w:pStyle w:val="SingleTxtG"/>
              <w:spacing w:before="40" w:after="40" w:line="220" w:lineRule="exact"/>
              <w:ind w:left="113" w:right="0"/>
              <w:jc w:val="right"/>
              <w:rPr>
                <w:sz w:val="18"/>
                <w:lang w:val="es-VE"/>
              </w:rPr>
            </w:pPr>
            <w:r w:rsidRPr="00C45D5A">
              <w:rPr>
                <w:sz w:val="18"/>
                <w:lang w:val="es-VE"/>
              </w:rPr>
              <w:t>515</w:t>
            </w:r>
          </w:p>
        </w:tc>
        <w:tc>
          <w:tcPr>
            <w:tcW w:w="1791" w:type="dxa"/>
            <w:shd w:val="clear" w:color="auto" w:fill="auto"/>
            <w:vAlign w:val="bottom"/>
          </w:tcPr>
          <w:p w14:paraId="145D97A7" w14:textId="77777777" w:rsidR="001734EB" w:rsidRPr="00C45D5A" w:rsidRDefault="001734EB" w:rsidP="00054D51">
            <w:pPr>
              <w:pStyle w:val="SingleTxtG"/>
              <w:spacing w:before="40" w:after="40" w:line="220" w:lineRule="exact"/>
              <w:ind w:left="113" w:right="0"/>
              <w:jc w:val="right"/>
              <w:rPr>
                <w:sz w:val="18"/>
                <w:lang w:val="es-VE"/>
              </w:rPr>
            </w:pPr>
            <w:r w:rsidRPr="00C45D5A">
              <w:rPr>
                <w:sz w:val="18"/>
                <w:lang w:val="es-VE"/>
              </w:rPr>
              <w:t>503</w:t>
            </w:r>
          </w:p>
        </w:tc>
        <w:tc>
          <w:tcPr>
            <w:tcW w:w="1757" w:type="dxa"/>
            <w:shd w:val="clear" w:color="auto" w:fill="auto"/>
            <w:vAlign w:val="bottom"/>
          </w:tcPr>
          <w:p w14:paraId="658FADB8" w14:textId="77777777" w:rsidR="001734EB" w:rsidRPr="004E5744" w:rsidRDefault="001734EB" w:rsidP="00054D51">
            <w:pPr>
              <w:pStyle w:val="SingleTxtG"/>
              <w:spacing w:before="40" w:after="40" w:line="220" w:lineRule="exact"/>
              <w:ind w:left="113" w:right="0"/>
              <w:jc w:val="right"/>
              <w:rPr>
                <w:sz w:val="18"/>
                <w:lang w:val="es-VE"/>
              </w:rPr>
            </w:pPr>
            <w:r w:rsidRPr="00C45D5A">
              <w:rPr>
                <w:sz w:val="18"/>
                <w:lang w:val="es-VE"/>
              </w:rPr>
              <w:t>1</w:t>
            </w:r>
            <w:r w:rsidR="00C45D5A">
              <w:rPr>
                <w:sz w:val="18"/>
                <w:lang w:val="es-VE"/>
              </w:rPr>
              <w:t xml:space="preserve"> </w:t>
            </w:r>
            <w:r w:rsidRPr="004E5744">
              <w:rPr>
                <w:sz w:val="18"/>
                <w:lang w:val="es-VE"/>
              </w:rPr>
              <w:t>018</w:t>
            </w:r>
          </w:p>
        </w:tc>
      </w:tr>
      <w:tr w:rsidR="00C45D5A" w:rsidRPr="00C45D5A" w14:paraId="6AD5DBAB" w14:textId="77777777" w:rsidTr="00054D51">
        <w:trPr>
          <w:trHeight w:val="240"/>
        </w:trPr>
        <w:tc>
          <w:tcPr>
            <w:tcW w:w="2065" w:type="dxa"/>
            <w:shd w:val="clear" w:color="auto" w:fill="auto"/>
          </w:tcPr>
          <w:p w14:paraId="5E7FA410" w14:textId="77777777" w:rsidR="001734EB" w:rsidRPr="00C45D5A" w:rsidRDefault="001734EB" w:rsidP="00054D51">
            <w:pPr>
              <w:pStyle w:val="SingleTxtG"/>
              <w:spacing w:before="40" w:after="40" w:line="220" w:lineRule="exact"/>
              <w:ind w:left="0" w:right="0"/>
              <w:jc w:val="left"/>
              <w:rPr>
                <w:sz w:val="18"/>
                <w:lang w:val="es-VE"/>
              </w:rPr>
            </w:pPr>
            <w:r w:rsidRPr="00C45D5A">
              <w:rPr>
                <w:sz w:val="18"/>
                <w:lang w:val="es-VE"/>
              </w:rPr>
              <w:t>Sensitiva</w:t>
            </w:r>
          </w:p>
        </w:tc>
        <w:tc>
          <w:tcPr>
            <w:tcW w:w="1757" w:type="dxa"/>
            <w:shd w:val="clear" w:color="auto" w:fill="auto"/>
            <w:vAlign w:val="bottom"/>
          </w:tcPr>
          <w:p w14:paraId="61C5CFD4" w14:textId="77777777" w:rsidR="001734EB" w:rsidRPr="00C45D5A" w:rsidRDefault="001734EB" w:rsidP="00054D51">
            <w:pPr>
              <w:pStyle w:val="SingleTxtG"/>
              <w:spacing w:before="40" w:after="40" w:line="220" w:lineRule="exact"/>
              <w:ind w:left="113" w:right="0"/>
              <w:jc w:val="right"/>
              <w:rPr>
                <w:sz w:val="18"/>
                <w:lang w:val="es-VE"/>
              </w:rPr>
            </w:pPr>
            <w:r w:rsidRPr="00C45D5A">
              <w:rPr>
                <w:sz w:val="18"/>
                <w:lang w:val="es-VE"/>
              </w:rPr>
              <w:t>146</w:t>
            </w:r>
          </w:p>
        </w:tc>
        <w:tc>
          <w:tcPr>
            <w:tcW w:w="1791" w:type="dxa"/>
            <w:shd w:val="clear" w:color="auto" w:fill="auto"/>
            <w:vAlign w:val="bottom"/>
          </w:tcPr>
          <w:p w14:paraId="7CC2E5EF" w14:textId="77777777" w:rsidR="001734EB" w:rsidRPr="00C45D5A" w:rsidRDefault="001734EB" w:rsidP="00054D51">
            <w:pPr>
              <w:pStyle w:val="SingleTxtG"/>
              <w:spacing w:before="40" w:after="40" w:line="220" w:lineRule="exact"/>
              <w:ind w:left="113" w:right="0"/>
              <w:jc w:val="right"/>
              <w:rPr>
                <w:sz w:val="18"/>
                <w:lang w:val="es-VE"/>
              </w:rPr>
            </w:pPr>
            <w:r w:rsidRPr="00C45D5A">
              <w:rPr>
                <w:sz w:val="18"/>
                <w:lang w:val="es-VE"/>
              </w:rPr>
              <w:t>112</w:t>
            </w:r>
          </w:p>
        </w:tc>
        <w:tc>
          <w:tcPr>
            <w:tcW w:w="1757" w:type="dxa"/>
            <w:shd w:val="clear" w:color="auto" w:fill="auto"/>
            <w:vAlign w:val="bottom"/>
          </w:tcPr>
          <w:p w14:paraId="5BFBED92" w14:textId="77777777" w:rsidR="001734EB" w:rsidRPr="00C45D5A" w:rsidRDefault="001734EB" w:rsidP="00054D51">
            <w:pPr>
              <w:pStyle w:val="SingleTxtG"/>
              <w:spacing w:before="40" w:after="40" w:line="220" w:lineRule="exact"/>
              <w:ind w:left="113" w:right="0"/>
              <w:jc w:val="right"/>
              <w:rPr>
                <w:sz w:val="18"/>
                <w:lang w:val="es-VE"/>
              </w:rPr>
            </w:pPr>
            <w:r w:rsidRPr="00C45D5A">
              <w:rPr>
                <w:sz w:val="18"/>
                <w:lang w:val="es-VE"/>
              </w:rPr>
              <w:t>258</w:t>
            </w:r>
          </w:p>
        </w:tc>
      </w:tr>
      <w:tr w:rsidR="00C45D5A" w:rsidRPr="00C45D5A" w14:paraId="60FC270E" w14:textId="77777777" w:rsidTr="00054D51">
        <w:trPr>
          <w:trHeight w:val="240"/>
        </w:trPr>
        <w:tc>
          <w:tcPr>
            <w:tcW w:w="2065" w:type="dxa"/>
            <w:shd w:val="clear" w:color="auto" w:fill="auto"/>
          </w:tcPr>
          <w:p w14:paraId="295922F6" w14:textId="77777777" w:rsidR="001734EB" w:rsidRPr="00C45D5A" w:rsidRDefault="001734EB" w:rsidP="00054D51">
            <w:pPr>
              <w:pStyle w:val="SingleTxtG"/>
              <w:spacing w:before="40" w:after="40" w:line="220" w:lineRule="exact"/>
              <w:ind w:left="0" w:right="0"/>
              <w:jc w:val="left"/>
              <w:rPr>
                <w:sz w:val="18"/>
                <w:lang w:val="es-VE"/>
              </w:rPr>
            </w:pPr>
            <w:r w:rsidRPr="00C45D5A">
              <w:rPr>
                <w:sz w:val="18"/>
                <w:lang w:val="es-VE"/>
              </w:rPr>
              <w:t>Visual</w:t>
            </w:r>
          </w:p>
        </w:tc>
        <w:tc>
          <w:tcPr>
            <w:tcW w:w="1757" w:type="dxa"/>
            <w:shd w:val="clear" w:color="auto" w:fill="auto"/>
            <w:vAlign w:val="bottom"/>
          </w:tcPr>
          <w:p w14:paraId="5B9F0A50" w14:textId="77777777" w:rsidR="001734EB" w:rsidRPr="004E5744" w:rsidRDefault="001734EB" w:rsidP="00054D51">
            <w:pPr>
              <w:pStyle w:val="SingleTxtG"/>
              <w:spacing w:before="40" w:after="40" w:line="220" w:lineRule="exact"/>
              <w:ind w:left="113" w:right="0"/>
              <w:jc w:val="right"/>
              <w:rPr>
                <w:sz w:val="18"/>
                <w:lang w:val="es-VE"/>
              </w:rPr>
            </w:pPr>
            <w:r w:rsidRPr="00C45D5A">
              <w:rPr>
                <w:sz w:val="18"/>
                <w:lang w:val="es-VE"/>
              </w:rPr>
              <w:t>10</w:t>
            </w:r>
            <w:r w:rsidR="00C45D5A">
              <w:rPr>
                <w:sz w:val="18"/>
                <w:lang w:val="es-VE"/>
              </w:rPr>
              <w:t xml:space="preserve"> </w:t>
            </w:r>
            <w:r w:rsidRPr="004E5744">
              <w:rPr>
                <w:sz w:val="18"/>
                <w:lang w:val="es-VE"/>
              </w:rPr>
              <w:t>174</w:t>
            </w:r>
          </w:p>
        </w:tc>
        <w:tc>
          <w:tcPr>
            <w:tcW w:w="1791" w:type="dxa"/>
            <w:shd w:val="clear" w:color="auto" w:fill="auto"/>
            <w:vAlign w:val="bottom"/>
          </w:tcPr>
          <w:p w14:paraId="7F5B7BD2" w14:textId="77777777" w:rsidR="001734EB" w:rsidRPr="004E5744" w:rsidRDefault="001734EB" w:rsidP="00054D51">
            <w:pPr>
              <w:pStyle w:val="SingleTxtG"/>
              <w:spacing w:before="40" w:after="40" w:line="220" w:lineRule="exact"/>
              <w:ind w:left="113" w:right="0"/>
              <w:jc w:val="right"/>
              <w:rPr>
                <w:sz w:val="18"/>
                <w:lang w:val="es-VE"/>
              </w:rPr>
            </w:pPr>
            <w:r w:rsidRPr="004E5744">
              <w:rPr>
                <w:sz w:val="18"/>
                <w:lang w:val="es-VE"/>
              </w:rPr>
              <w:t>15</w:t>
            </w:r>
            <w:r w:rsidR="00C45D5A">
              <w:rPr>
                <w:sz w:val="18"/>
                <w:lang w:val="es-VE"/>
              </w:rPr>
              <w:t xml:space="preserve"> </w:t>
            </w:r>
            <w:r w:rsidRPr="004E5744">
              <w:rPr>
                <w:sz w:val="18"/>
                <w:lang w:val="es-VE"/>
              </w:rPr>
              <w:t>791</w:t>
            </w:r>
          </w:p>
        </w:tc>
        <w:tc>
          <w:tcPr>
            <w:tcW w:w="1757" w:type="dxa"/>
            <w:shd w:val="clear" w:color="auto" w:fill="auto"/>
            <w:vAlign w:val="bottom"/>
          </w:tcPr>
          <w:p w14:paraId="73AA228B" w14:textId="77777777" w:rsidR="001734EB" w:rsidRPr="004E5744" w:rsidRDefault="001734EB" w:rsidP="00054D51">
            <w:pPr>
              <w:pStyle w:val="SingleTxtG"/>
              <w:spacing w:before="40" w:after="40" w:line="220" w:lineRule="exact"/>
              <w:ind w:left="113" w:right="0"/>
              <w:jc w:val="right"/>
              <w:rPr>
                <w:sz w:val="18"/>
                <w:lang w:val="es-VE"/>
              </w:rPr>
            </w:pPr>
            <w:r w:rsidRPr="004E5744">
              <w:rPr>
                <w:sz w:val="18"/>
                <w:lang w:val="es-VE"/>
              </w:rPr>
              <w:t>25</w:t>
            </w:r>
            <w:r w:rsidR="00C45D5A">
              <w:rPr>
                <w:sz w:val="18"/>
                <w:lang w:val="es-VE"/>
              </w:rPr>
              <w:t xml:space="preserve"> </w:t>
            </w:r>
            <w:r w:rsidRPr="004E5744">
              <w:rPr>
                <w:sz w:val="18"/>
                <w:lang w:val="es-VE"/>
              </w:rPr>
              <w:t>965</w:t>
            </w:r>
          </w:p>
        </w:tc>
      </w:tr>
      <w:tr w:rsidR="00C45D5A" w:rsidRPr="00C45D5A" w14:paraId="37AAD3A2" w14:textId="77777777" w:rsidTr="00054D51">
        <w:trPr>
          <w:trHeight w:val="240"/>
        </w:trPr>
        <w:tc>
          <w:tcPr>
            <w:tcW w:w="2065" w:type="dxa"/>
            <w:tcBorders>
              <w:bottom w:val="single" w:sz="4" w:space="0" w:color="auto"/>
            </w:tcBorders>
            <w:shd w:val="clear" w:color="auto" w:fill="auto"/>
          </w:tcPr>
          <w:p w14:paraId="447327F7" w14:textId="77777777" w:rsidR="001734EB" w:rsidRPr="00C45D5A" w:rsidRDefault="001734EB" w:rsidP="00054D51">
            <w:pPr>
              <w:pStyle w:val="SingleTxtG"/>
              <w:spacing w:before="40" w:after="40" w:line="220" w:lineRule="exact"/>
              <w:ind w:left="0" w:right="0"/>
              <w:jc w:val="left"/>
              <w:rPr>
                <w:sz w:val="18"/>
                <w:lang w:val="es-VE"/>
              </w:rPr>
            </w:pPr>
            <w:r w:rsidRPr="00C45D5A">
              <w:rPr>
                <w:sz w:val="18"/>
                <w:lang w:val="es-VE"/>
              </w:rPr>
              <w:t>Voz y habla</w:t>
            </w:r>
          </w:p>
        </w:tc>
        <w:tc>
          <w:tcPr>
            <w:tcW w:w="1757" w:type="dxa"/>
            <w:tcBorders>
              <w:bottom w:val="single" w:sz="4" w:space="0" w:color="auto"/>
            </w:tcBorders>
            <w:shd w:val="clear" w:color="auto" w:fill="auto"/>
            <w:vAlign w:val="bottom"/>
          </w:tcPr>
          <w:p w14:paraId="10D10D71" w14:textId="77777777" w:rsidR="001734EB" w:rsidRPr="00C45D5A" w:rsidRDefault="001734EB" w:rsidP="00054D51">
            <w:pPr>
              <w:pStyle w:val="SingleTxtG"/>
              <w:spacing w:before="40" w:after="40" w:line="220" w:lineRule="exact"/>
              <w:ind w:left="113" w:right="0"/>
              <w:jc w:val="right"/>
              <w:rPr>
                <w:sz w:val="18"/>
                <w:lang w:val="es-VE"/>
              </w:rPr>
            </w:pPr>
            <w:r w:rsidRPr="00C45D5A">
              <w:rPr>
                <w:sz w:val="18"/>
                <w:lang w:val="es-VE"/>
              </w:rPr>
              <w:t>276</w:t>
            </w:r>
          </w:p>
        </w:tc>
        <w:tc>
          <w:tcPr>
            <w:tcW w:w="1791" w:type="dxa"/>
            <w:tcBorders>
              <w:bottom w:val="single" w:sz="4" w:space="0" w:color="auto"/>
            </w:tcBorders>
            <w:shd w:val="clear" w:color="auto" w:fill="auto"/>
            <w:vAlign w:val="bottom"/>
          </w:tcPr>
          <w:p w14:paraId="3EFD724E" w14:textId="77777777" w:rsidR="001734EB" w:rsidRPr="00C45D5A" w:rsidRDefault="001734EB" w:rsidP="00054D51">
            <w:pPr>
              <w:pStyle w:val="SingleTxtG"/>
              <w:spacing w:before="40" w:after="40" w:line="220" w:lineRule="exact"/>
              <w:ind w:left="113" w:right="0"/>
              <w:jc w:val="right"/>
              <w:rPr>
                <w:sz w:val="18"/>
                <w:lang w:val="es-VE"/>
              </w:rPr>
            </w:pPr>
            <w:r w:rsidRPr="00C45D5A">
              <w:rPr>
                <w:sz w:val="18"/>
                <w:lang w:val="es-VE"/>
              </w:rPr>
              <w:t>490</w:t>
            </w:r>
          </w:p>
        </w:tc>
        <w:tc>
          <w:tcPr>
            <w:tcW w:w="1757" w:type="dxa"/>
            <w:tcBorders>
              <w:bottom w:val="single" w:sz="4" w:space="0" w:color="auto"/>
            </w:tcBorders>
            <w:shd w:val="clear" w:color="auto" w:fill="auto"/>
            <w:vAlign w:val="bottom"/>
          </w:tcPr>
          <w:p w14:paraId="1C16F467" w14:textId="77777777" w:rsidR="001734EB" w:rsidRPr="00C45D5A" w:rsidRDefault="001734EB" w:rsidP="00054D51">
            <w:pPr>
              <w:pStyle w:val="SingleTxtG"/>
              <w:spacing w:before="40" w:after="40" w:line="220" w:lineRule="exact"/>
              <w:ind w:left="113" w:right="0"/>
              <w:jc w:val="right"/>
              <w:rPr>
                <w:sz w:val="18"/>
                <w:lang w:val="es-VE"/>
              </w:rPr>
            </w:pPr>
            <w:r w:rsidRPr="00C45D5A">
              <w:rPr>
                <w:sz w:val="18"/>
                <w:lang w:val="es-VE"/>
              </w:rPr>
              <w:t>766</w:t>
            </w:r>
          </w:p>
        </w:tc>
      </w:tr>
      <w:tr w:rsidR="00C45D5A" w:rsidRPr="00C45D5A" w14:paraId="3914B11B" w14:textId="77777777" w:rsidTr="00054D51">
        <w:trPr>
          <w:trHeight w:val="240"/>
        </w:trPr>
        <w:tc>
          <w:tcPr>
            <w:tcW w:w="2065" w:type="dxa"/>
            <w:tcBorders>
              <w:top w:val="single" w:sz="4" w:space="0" w:color="auto"/>
              <w:bottom w:val="single" w:sz="12" w:space="0" w:color="auto"/>
            </w:tcBorders>
            <w:shd w:val="clear" w:color="auto" w:fill="auto"/>
          </w:tcPr>
          <w:p w14:paraId="2F85BAE1" w14:textId="77777777" w:rsidR="001734EB" w:rsidRPr="004E5744" w:rsidRDefault="00C45D5A" w:rsidP="00054D51">
            <w:pPr>
              <w:pStyle w:val="SingleTxtG"/>
              <w:spacing w:before="80" w:after="80" w:line="220" w:lineRule="exact"/>
              <w:ind w:left="283" w:right="0"/>
              <w:jc w:val="left"/>
              <w:rPr>
                <w:b/>
                <w:sz w:val="18"/>
                <w:lang w:val="es-VE"/>
              </w:rPr>
            </w:pPr>
            <w:r w:rsidRPr="00054D51">
              <w:rPr>
                <w:b/>
                <w:sz w:val="18"/>
                <w:lang w:val="es-VE"/>
              </w:rPr>
              <w:t>Total</w:t>
            </w:r>
          </w:p>
        </w:tc>
        <w:tc>
          <w:tcPr>
            <w:tcW w:w="1757" w:type="dxa"/>
            <w:tcBorders>
              <w:top w:val="single" w:sz="4" w:space="0" w:color="auto"/>
              <w:bottom w:val="single" w:sz="12" w:space="0" w:color="auto"/>
            </w:tcBorders>
            <w:shd w:val="clear" w:color="auto" w:fill="auto"/>
            <w:vAlign w:val="bottom"/>
          </w:tcPr>
          <w:p w14:paraId="385F1917" w14:textId="77777777" w:rsidR="001734EB" w:rsidRPr="00054D51" w:rsidRDefault="001734EB" w:rsidP="00054D51">
            <w:pPr>
              <w:pStyle w:val="SingleTxtG"/>
              <w:spacing w:before="80" w:after="80" w:line="220" w:lineRule="exact"/>
              <w:ind w:left="0" w:right="0"/>
              <w:jc w:val="right"/>
              <w:rPr>
                <w:b/>
                <w:sz w:val="18"/>
                <w:lang w:val="es-VE"/>
              </w:rPr>
            </w:pPr>
            <w:r w:rsidRPr="00054D51">
              <w:rPr>
                <w:b/>
                <w:sz w:val="18"/>
                <w:lang w:val="es-VE"/>
              </w:rPr>
              <w:t>126</w:t>
            </w:r>
            <w:r w:rsidR="00C45D5A">
              <w:rPr>
                <w:b/>
                <w:sz w:val="18"/>
                <w:lang w:val="es-VE"/>
              </w:rPr>
              <w:t xml:space="preserve"> </w:t>
            </w:r>
            <w:r w:rsidRPr="00054D51">
              <w:rPr>
                <w:b/>
                <w:sz w:val="18"/>
                <w:lang w:val="es-VE"/>
              </w:rPr>
              <w:t>495</w:t>
            </w:r>
          </w:p>
        </w:tc>
        <w:tc>
          <w:tcPr>
            <w:tcW w:w="1791" w:type="dxa"/>
            <w:tcBorders>
              <w:top w:val="single" w:sz="4" w:space="0" w:color="auto"/>
              <w:bottom w:val="single" w:sz="12" w:space="0" w:color="auto"/>
            </w:tcBorders>
            <w:shd w:val="clear" w:color="auto" w:fill="auto"/>
            <w:vAlign w:val="bottom"/>
          </w:tcPr>
          <w:p w14:paraId="3352488B" w14:textId="77777777" w:rsidR="001734EB" w:rsidRPr="00054D51" w:rsidRDefault="001734EB" w:rsidP="00054D51">
            <w:pPr>
              <w:pStyle w:val="SingleTxtG"/>
              <w:spacing w:before="80" w:after="80" w:line="220" w:lineRule="exact"/>
              <w:ind w:left="0" w:right="0"/>
              <w:jc w:val="right"/>
              <w:rPr>
                <w:b/>
                <w:sz w:val="18"/>
                <w:lang w:val="es-VE"/>
              </w:rPr>
            </w:pPr>
            <w:r w:rsidRPr="00054D51">
              <w:rPr>
                <w:b/>
                <w:sz w:val="18"/>
                <w:lang w:val="es-VE"/>
              </w:rPr>
              <w:t>155</w:t>
            </w:r>
            <w:r w:rsidR="00C45D5A">
              <w:rPr>
                <w:b/>
                <w:sz w:val="18"/>
                <w:lang w:val="es-VE"/>
              </w:rPr>
              <w:t xml:space="preserve"> </w:t>
            </w:r>
            <w:r w:rsidRPr="00054D51">
              <w:rPr>
                <w:b/>
                <w:sz w:val="18"/>
                <w:lang w:val="es-VE"/>
              </w:rPr>
              <w:t>257</w:t>
            </w:r>
          </w:p>
        </w:tc>
        <w:tc>
          <w:tcPr>
            <w:tcW w:w="1757" w:type="dxa"/>
            <w:tcBorders>
              <w:top w:val="single" w:sz="4" w:space="0" w:color="auto"/>
              <w:bottom w:val="single" w:sz="12" w:space="0" w:color="auto"/>
            </w:tcBorders>
            <w:shd w:val="clear" w:color="auto" w:fill="auto"/>
            <w:vAlign w:val="bottom"/>
          </w:tcPr>
          <w:p w14:paraId="76B5D762" w14:textId="77777777" w:rsidR="001734EB" w:rsidRPr="004E5744" w:rsidRDefault="001734EB" w:rsidP="00054D51">
            <w:pPr>
              <w:pStyle w:val="SingleTxtG"/>
              <w:spacing w:before="80" w:after="80" w:line="220" w:lineRule="exact"/>
              <w:ind w:left="0" w:right="0"/>
              <w:jc w:val="right"/>
              <w:rPr>
                <w:b/>
                <w:sz w:val="18"/>
                <w:lang w:val="es-VE"/>
              </w:rPr>
            </w:pPr>
            <w:r w:rsidRPr="004E5744">
              <w:rPr>
                <w:b/>
                <w:sz w:val="18"/>
                <w:lang w:val="es-VE"/>
              </w:rPr>
              <w:t>281</w:t>
            </w:r>
            <w:r w:rsidR="00C45D5A">
              <w:rPr>
                <w:b/>
                <w:sz w:val="18"/>
                <w:lang w:val="es-VE"/>
              </w:rPr>
              <w:t xml:space="preserve"> </w:t>
            </w:r>
            <w:r w:rsidRPr="004E5744">
              <w:rPr>
                <w:b/>
                <w:sz w:val="18"/>
                <w:lang w:val="es-VE"/>
              </w:rPr>
              <w:t>752</w:t>
            </w:r>
          </w:p>
        </w:tc>
      </w:tr>
    </w:tbl>
    <w:p w14:paraId="69DB1EDD" w14:textId="77777777" w:rsidR="001734EB" w:rsidRPr="00077437" w:rsidRDefault="00C45D5A" w:rsidP="00054D51">
      <w:pPr>
        <w:pStyle w:val="SingleTxtG"/>
        <w:spacing w:before="240"/>
        <w:rPr>
          <w:lang w:val="es-VE"/>
        </w:rPr>
      </w:pPr>
      <w:r>
        <w:rPr>
          <w:lang w:val="es-VE"/>
        </w:rPr>
        <w:lastRenderedPageBreak/>
        <w:t>138.</w:t>
      </w:r>
      <w:r>
        <w:rPr>
          <w:lang w:val="es-VE"/>
        </w:rPr>
        <w:tab/>
      </w:r>
      <w:r w:rsidR="001734EB" w:rsidRPr="00077437">
        <w:rPr>
          <w:lang w:val="es-VE"/>
        </w:rPr>
        <w:t xml:space="preserve">En total, desde el año 2008 hasta el 2019 se registraron 424.141 </w:t>
      </w:r>
      <w:proofErr w:type="spellStart"/>
      <w:r w:rsidR="001734EB" w:rsidRPr="00077437">
        <w:rPr>
          <w:lang w:val="es-VE"/>
        </w:rPr>
        <w:t>PcD</w:t>
      </w:r>
      <w:proofErr w:type="spellEnd"/>
      <w:r w:rsidR="001734EB" w:rsidRPr="00077437">
        <w:rPr>
          <w:lang w:val="es-VE"/>
        </w:rPr>
        <w:t xml:space="preserve"> certificadas. En el año 2019 se inició un nuevo censo nacional de población y vivienda que culminará en el año 2020. </w:t>
      </w:r>
    </w:p>
    <w:p w14:paraId="163BFE1F" w14:textId="77777777" w:rsidR="001734EB" w:rsidRPr="00077437" w:rsidRDefault="00C45D5A" w:rsidP="00054D51">
      <w:pPr>
        <w:pStyle w:val="H1G"/>
        <w:rPr>
          <w:lang w:val="es-VE"/>
        </w:rPr>
      </w:pPr>
      <w:r>
        <w:rPr>
          <w:lang w:val="es-VE"/>
        </w:rPr>
        <w:tab/>
      </w:r>
      <w:r>
        <w:rPr>
          <w:lang w:val="es-VE"/>
        </w:rPr>
        <w:tab/>
      </w:r>
      <w:r w:rsidR="001734EB" w:rsidRPr="00077437">
        <w:rPr>
          <w:lang w:val="es-VE"/>
        </w:rPr>
        <w:t xml:space="preserve">Cooperación internacional (art. 32) </w:t>
      </w:r>
    </w:p>
    <w:p w14:paraId="1690AC14" w14:textId="77777777" w:rsidR="001734EB" w:rsidRPr="00077437" w:rsidRDefault="00C45D5A" w:rsidP="00054D51">
      <w:pPr>
        <w:pStyle w:val="H1G"/>
        <w:rPr>
          <w:lang w:val="es-VE"/>
        </w:rPr>
      </w:pPr>
      <w:r>
        <w:tab/>
      </w:r>
      <w:r>
        <w:tab/>
      </w:r>
      <w:r w:rsidR="00C154C7" w:rsidRPr="00F96454">
        <w:t xml:space="preserve">Respuesta </w:t>
      </w:r>
      <w:r w:rsidR="00C154C7">
        <w:t xml:space="preserve">a la </w:t>
      </w:r>
      <w:r w:rsidR="00C154C7">
        <w:rPr>
          <w:lang w:val="es-VE"/>
        </w:rPr>
        <w:t>c</w:t>
      </w:r>
      <w:r w:rsidR="001734EB" w:rsidRPr="00077437">
        <w:rPr>
          <w:lang w:val="es-VE"/>
        </w:rPr>
        <w:t>uestión 33</w:t>
      </w:r>
    </w:p>
    <w:p w14:paraId="47263350" w14:textId="77777777" w:rsidR="001734EB" w:rsidRPr="00077437" w:rsidRDefault="00C45D5A" w:rsidP="00054D51">
      <w:pPr>
        <w:pStyle w:val="SingleTxtG"/>
        <w:rPr>
          <w:lang w:val="es-VE"/>
        </w:rPr>
      </w:pPr>
      <w:r>
        <w:rPr>
          <w:lang w:val="es-VE"/>
        </w:rPr>
        <w:t>139.</w:t>
      </w:r>
      <w:r>
        <w:rPr>
          <w:lang w:val="es-VE"/>
        </w:rPr>
        <w:tab/>
      </w:r>
      <w:r w:rsidR="001734EB" w:rsidRPr="00077437">
        <w:rPr>
          <w:lang w:val="es-VE"/>
        </w:rPr>
        <w:t>La construcción del Centro Integral Humanista para Personas con Discapacidad, ubicado en el municipio San Francisco del estado Zulia, cuenta con un avance físico del 70</w:t>
      </w:r>
      <w:r w:rsidR="001F2819">
        <w:rPr>
          <w:lang w:val="es-VE"/>
        </w:rPr>
        <w:t> </w:t>
      </w:r>
      <w:r w:rsidR="001734EB" w:rsidRPr="00077437">
        <w:rPr>
          <w:lang w:val="es-VE"/>
        </w:rPr>
        <w:t>%. En paralelo, se construyó el Centro Trujillano de Atención Integral a niños y niñas, adolescentes y adultos con autismo, ubicado en el municipio Valera del estado Trujillo con un avance físico del 61,23</w:t>
      </w:r>
      <w:r w:rsidR="001F2819">
        <w:rPr>
          <w:lang w:val="es-VE"/>
        </w:rPr>
        <w:t xml:space="preserve"> </w:t>
      </w:r>
      <w:r w:rsidR="001734EB" w:rsidRPr="00077437">
        <w:rPr>
          <w:lang w:val="es-VE"/>
        </w:rPr>
        <w:t xml:space="preserve">%. Ambos proyectos fueron ejecutados con recursos propios de la </w:t>
      </w:r>
      <w:proofErr w:type="spellStart"/>
      <w:r w:rsidR="001734EB" w:rsidRPr="00077437">
        <w:rPr>
          <w:lang w:val="es-VE"/>
        </w:rPr>
        <w:t>RBV</w:t>
      </w:r>
      <w:proofErr w:type="spellEnd"/>
      <w:r w:rsidR="001734EB" w:rsidRPr="00077437">
        <w:rPr>
          <w:lang w:val="es-VE"/>
        </w:rPr>
        <w:t>. La propuesta para la construcción de una empresa para la fabricación de ayudas técnicas en el marco del MERCOSUR no se concretó.</w:t>
      </w:r>
    </w:p>
    <w:p w14:paraId="1F8B58CF" w14:textId="77777777" w:rsidR="001734EB" w:rsidRPr="00077437" w:rsidRDefault="00C45D5A" w:rsidP="00054D51">
      <w:pPr>
        <w:pStyle w:val="H1G"/>
        <w:rPr>
          <w:lang w:val="es-VE"/>
        </w:rPr>
      </w:pPr>
      <w:r>
        <w:rPr>
          <w:lang w:val="es-VE"/>
        </w:rPr>
        <w:tab/>
      </w:r>
      <w:r>
        <w:rPr>
          <w:lang w:val="es-VE"/>
        </w:rPr>
        <w:tab/>
      </w:r>
      <w:r w:rsidR="001734EB" w:rsidRPr="00077437">
        <w:rPr>
          <w:lang w:val="es-VE"/>
        </w:rPr>
        <w:t>Aplicación y seguimiento nacionales (art. 33)</w:t>
      </w:r>
    </w:p>
    <w:p w14:paraId="3FDAC162" w14:textId="77777777" w:rsidR="001734EB" w:rsidRPr="00077437" w:rsidRDefault="00C45D5A" w:rsidP="00054D51">
      <w:pPr>
        <w:pStyle w:val="H1G"/>
        <w:rPr>
          <w:lang w:val="es-VE"/>
        </w:rPr>
      </w:pPr>
      <w:r>
        <w:tab/>
      </w:r>
      <w:r>
        <w:tab/>
      </w:r>
      <w:r w:rsidR="00C154C7" w:rsidRPr="00F96454">
        <w:t xml:space="preserve">Respuesta </w:t>
      </w:r>
      <w:r w:rsidR="00C154C7">
        <w:t xml:space="preserve">a la </w:t>
      </w:r>
      <w:r w:rsidR="00C154C7">
        <w:rPr>
          <w:lang w:val="es-VE"/>
        </w:rPr>
        <w:t>c</w:t>
      </w:r>
      <w:r w:rsidR="001734EB" w:rsidRPr="00077437">
        <w:rPr>
          <w:lang w:val="es-VE"/>
        </w:rPr>
        <w:t>uestión 34</w:t>
      </w:r>
    </w:p>
    <w:p w14:paraId="4639B1AE" w14:textId="77777777" w:rsidR="001734EB" w:rsidRPr="00077437" w:rsidRDefault="00C45D5A" w:rsidP="00054D51">
      <w:pPr>
        <w:pStyle w:val="SingleTxtG"/>
        <w:rPr>
          <w:lang w:val="es-VE"/>
        </w:rPr>
      </w:pPr>
      <w:r>
        <w:rPr>
          <w:lang w:val="es-VE"/>
        </w:rPr>
        <w:t>140.</w:t>
      </w:r>
      <w:r>
        <w:rPr>
          <w:lang w:val="es-VE"/>
        </w:rPr>
        <w:tab/>
      </w:r>
      <w:r w:rsidR="001734EB" w:rsidRPr="00077437">
        <w:rPr>
          <w:lang w:val="es-VE"/>
        </w:rPr>
        <w:t xml:space="preserve">La </w:t>
      </w:r>
      <w:proofErr w:type="spellStart"/>
      <w:r w:rsidR="001734EB" w:rsidRPr="00077437">
        <w:rPr>
          <w:lang w:val="es-VE"/>
        </w:rPr>
        <w:t>RBV</w:t>
      </w:r>
      <w:proofErr w:type="spellEnd"/>
      <w:r w:rsidR="001734EB" w:rsidRPr="00077437">
        <w:rPr>
          <w:lang w:val="es-VE"/>
        </w:rPr>
        <w:t xml:space="preserve"> ha dado un marco constitucional sólido a las relaciones internacionales y reconoce la validez de todos los tratados internacionales que ha suscrito y ratificado. El artículo 23 de la </w:t>
      </w:r>
      <w:proofErr w:type="spellStart"/>
      <w:r w:rsidR="001734EB" w:rsidRPr="00077437">
        <w:rPr>
          <w:lang w:val="es-VE"/>
        </w:rPr>
        <w:t>CRBV</w:t>
      </w:r>
      <w:proofErr w:type="spellEnd"/>
      <w:r w:rsidR="001734EB" w:rsidRPr="00077437">
        <w:rPr>
          <w:lang w:val="es-VE"/>
        </w:rPr>
        <w:t xml:space="preserve"> señala que los tratados, pactos y convenciones relativos a derechos humanos, suscritos y ratificados por Venezuela tienen jerarquía constitucional y prevalecen en el orden interno, en la medida en que contengan normas sobre su goce y ejercicio más favorables a las establecidas por la Constitución y en las leyes de la República y son de aplicación inmediata y directa por los tribunales y demás órganos del Poder Público. </w:t>
      </w:r>
    </w:p>
    <w:p w14:paraId="2E623B53" w14:textId="77777777" w:rsidR="001734EB" w:rsidRPr="00077437" w:rsidRDefault="00C45D5A" w:rsidP="00054D51">
      <w:pPr>
        <w:pStyle w:val="SingleTxtG"/>
        <w:rPr>
          <w:lang w:val="es-VE"/>
        </w:rPr>
      </w:pPr>
      <w:r>
        <w:rPr>
          <w:lang w:val="es-VE"/>
        </w:rPr>
        <w:t>141.</w:t>
      </w:r>
      <w:r>
        <w:rPr>
          <w:lang w:val="es-VE"/>
        </w:rPr>
        <w:tab/>
      </w:r>
      <w:r w:rsidR="001734EB" w:rsidRPr="00077437">
        <w:rPr>
          <w:lang w:val="es-VE"/>
        </w:rPr>
        <w:t>En Venezuela, corresponde a la Defensoría del Pueblo como Institución Nacional de Derechos Humanos (</w:t>
      </w:r>
      <w:proofErr w:type="spellStart"/>
      <w:r w:rsidR="001734EB" w:rsidRPr="00077437">
        <w:rPr>
          <w:lang w:val="es-VE"/>
        </w:rPr>
        <w:t>INDH</w:t>
      </w:r>
      <w:proofErr w:type="spellEnd"/>
      <w:r w:rsidR="001734EB" w:rsidRPr="00077437">
        <w:rPr>
          <w:lang w:val="es-VE"/>
        </w:rPr>
        <w:t xml:space="preserve">), velar por la promoción, defensa y vigilancia de los derechos y garantías establecidos en la </w:t>
      </w:r>
      <w:proofErr w:type="spellStart"/>
      <w:r w:rsidR="001734EB" w:rsidRPr="00077437">
        <w:rPr>
          <w:lang w:val="es-VE"/>
        </w:rPr>
        <w:t>CRBV</w:t>
      </w:r>
      <w:proofErr w:type="spellEnd"/>
      <w:r w:rsidR="001734EB" w:rsidRPr="00077437">
        <w:rPr>
          <w:lang w:val="es-VE"/>
        </w:rPr>
        <w:t xml:space="preserve"> y en los instrumentos internacionales sobre derechos humanos, incluida la </w:t>
      </w:r>
      <w:proofErr w:type="spellStart"/>
      <w:r w:rsidR="001734EB" w:rsidRPr="00077437">
        <w:rPr>
          <w:lang w:val="es-VE"/>
        </w:rPr>
        <w:t>CDPD</w:t>
      </w:r>
      <w:proofErr w:type="spellEnd"/>
      <w:r w:rsidR="001734EB" w:rsidRPr="00077437">
        <w:rPr>
          <w:lang w:val="es-VE"/>
        </w:rPr>
        <w:t>, además de los intereses, legítimos, colectivos y difusos de los ciudadanos dentro del territorio y de éstos cuando estén sujetos a la jurisdicción de la República en el exterior.</w:t>
      </w:r>
    </w:p>
    <w:p w14:paraId="098AB433" w14:textId="77777777" w:rsidR="001734EB" w:rsidRPr="00077437" w:rsidRDefault="00C45D5A" w:rsidP="00054D51">
      <w:pPr>
        <w:pStyle w:val="SingleTxtG"/>
        <w:rPr>
          <w:lang w:val="es-VE"/>
        </w:rPr>
      </w:pPr>
      <w:r>
        <w:rPr>
          <w:lang w:val="es-VE"/>
        </w:rPr>
        <w:t>142.</w:t>
      </w:r>
      <w:r>
        <w:rPr>
          <w:lang w:val="es-VE"/>
        </w:rPr>
        <w:tab/>
      </w:r>
      <w:r w:rsidR="001734EB" w:rsidRPr="00077437">
        <w:rPr>
          <w:lang w:val="es-VE"/>
        </w:rPr>
        <w:t xml:space="preserve">En abril de 2014 se creó el Consejo Nacional de Derechos Humanos (CNDH) con la misión de coordinar, apoyar e impulsar las políticas públicas del Estado venezolano en materia de derechos humanos. El CNDH tiene entre sus atribuciones: i) Contribuir en el diseño, planificación y formulación de las políticas públicas y estrategias del gobierno nacional en materia de derechos humanos y </w:t>
      </w:r>
      <w:proofErr w:type="spellStart"/>
      <w:r w:rsidR="001734EB" w:rsidRPr="00077437">
        <w:rPr>
          <w:lang w:val="es-VE"/>
        </w:rPr>
        <w:t>ii</w:t>
      </w:r>
      <w:proofErr w:type="spellEnd"/>
      <w:r w:rsidR="001734EB" w:rsidRPr="00077437">
        <w:rPr>
          <w:lang w:val="es-VE"/>
        </w:rPr>
        <w:t>) Prestar apoyo a los organismos competentes del Poder Público en su función de monitoreo nacional de la situación de los derechos humanos en Venezuela.</w:t>
      </w:r>
    </w:p>
    <w:p w14:paraId="292FC239" w14:textId="77777777" w:rsidR="001734EB" w:rsidRPr="00077437" w:rsidRDefault="00C45D5A" w:rsidP="00054D51">
      <w:pPr>
        <w:pStyle w:val="SingleTxtG"/>
        <w:rPr>
          <w:lang w:val="es-VE"/>
        </w:rPr>
      </w:pPr>
      <w:r>
        <w:rPr>
          <w:lang w:val="es-VE"/>
        </w:rPr>
        <w:t>143.</w:t>
      </w:r>
      <w:r>
        <w:rPr>
          <w:lang w:val="es-VE"/>
        </w:rPr>
        <w:tab/>
      </w:r>
      <w:r w:rsidR="001734EB" w:rsidRPr="00077437">
        <w:rPr>
          <w:lang w:val="es-VE"/>
        </w:rPr>
        <w:t xml:space="preserve">El CNDH es presidido por la Vicepresidenta Ejecutiva y lo integran las diversas instituciones del Estado con competencia en materia de derechos humanos, así como tres organizaciones no gubernamentales de derechos humanos. El CNDH elaboró el Plan Nacional de Derechos Humanos 2016-2019 y trabaja actualmente en la elaboración de un nuevo plan para el período 2020-2025. </w:t>
      </w:r>
    </w:p>
    <w:p w14:paraId="283AD94E" w14:textId="77777777" w:rsidR="001734EB" w:rsidRPr="00077437" w:rsidRDefault="00C45D5A" w:rsidP="00054D51">
      <w:pPr>
        <w:pStyle w:val="SingleTxtG"/>
        <w:rPr>
          <w:lang w:val="es-VE"/>
        </w:rPr>
      </w:pPr>
      <w:r>
        <w:rPr>
          <w:lang w:val="es-VE"/>
        </w:rPr>
        <w:t>144.</w:t>
      </w:r>
      <w:r>
        <w:rPr>
          <w:lang w:val="es-VE"/>
        </w:rPr>
        <w:tab/>
      </w:r>
      <w:r w:rsidR="001734EB" w:rsidRPr="00077437">
        <w:rPr>
          <w:lang w:val="es-VE"/>
        </w:rPr>
        <w:t>El Ministerio del Poder Popular para Relaciones Exteriores (</w:t>
      </w:r>
      <w:proofErr w:type="spellStart"/>
      <w:r w:rsidR="001734EB" w:rsidRPr="00077437">
        <w:rPr>
          <w:lang w:val="es-VE"/>
        </w:rPr>
        <w:t>MPPRE</w:t>
      </w:r>
      <w:proofErr w:type="spellEnd"/>
      <w:r w:rsidR="001734EB" w:rsidRPr="00077437">
        <w:rPr>
          <w:lang w:val="es-VE"/>
        </w:rPr>
        <w:t>) y el Instituto Nacional de Estadística (INE), con el apoyo del PNUD, implementaron el</w:t>
      </w:r>
      <w:r w:rsidR="001734EB" w:rsidRPr="00077437">
        <w:rPr>
          <w:i/>
          <w:lang w:val="es-VE"/>
        </w:rPr>
        <w:t xml:space="preserve"> “Sistema Nacional de Seguimiento a los Instrumentos Internacionales sobre Derechos Humanos ratificados por la República Bolivariana de Venezuela” </w:t>
      </w:r>
      <w:r w:rsidR="001734EB" w:rsidRPr="00077437">
        <w:rPr>
          <w:lang w:val="es-VE"/>
        </w:rPr>
        <w:t xml:space="preserve">denominado </w:t>
      </w:r>
      <w:proofErr w:type="spellStart"/>
      <w:r w:rsidR="001734EB" w:rsidRPr="00077437">
        <w:rPr>
          <w:lang w:val="es-VE"/>
        </w:rPr>
        <w:t>DDHHInfo</w:t>
      </w:r>
      <w:proofErr w:type="spellEnd"/>
      <w:r w:rsidR="001734EB" w:rsidRPr="00077437">
        <w:rPr>
          <w:lang w:val="es-VE"/>
        </w:rPr>
        <w:t xml:space="preserve">, que permita sistematizar los indicadores, tanto cualitativos como cuantitativos, que se requieran para la vigilancia del cumplimiento de los derechos humanos, incluyendo los derechos de las </w:t>
      </w:r>
      <w:proofErr w:type="spellStart"/>
      <w:r w:rsidR="001734EB" w:rsidRPr="00077437">
        <w:rPr>
          <w:lang w:val="es-VE"/>
        </w:rPr>
        <w:t>PcD</w:t>
      </w:r>
      <w:proofErr w:type="spellEnd"/>
      <w:r w:rsidR="001734EB" w:rsidRPr="00077437">
        <w:rPr>
          <w:lang w:val="es-VE"/>
        </w:rPr>
        <w:t>.</w:t>
      </w:r>
    </w:p>
    <w:p w14:paraId="74AF3B95" w14:textId="77777777" w:rsidR="001734EB" w:rsidRDefault="00C45D5A" w:rsidP="00C45D5A">
      <w:pPr>
        <w:pStyle w:val="SingleTxtG"/>
        <w:rPr>
          <w:u w:val="single"/>
          <w:lang w:val="es-VE"/>
        </w:rPr>
      </w:pPr>
      <w:r>
        <w:rPr>
          <w:lang w:val="es-VE"/>
        </w:rPr>
        <w:t>145.</w:t>
      </w:r>
      <w:r>
        <w:rPr>
          <w:lang w:val="es-VE"/>
        </w:rPr>
        <w:tab/>
      </w:r>
      <w:r w:rsidR="001734EB" w:rsidRPr="00077437">
        <w:rPr>
          <w:lang w:val="es-VE"/>
        </w:rPr>
        <w:t xml:space="preserve">En el marco de la Carta de Entendimiento suscrita con la Oficina del Alto Comisionado de las Naciones Unidas para los Derechos Humanos en septiembre de 2019, </w:t>
      </w:r>
      <w:r w:rsidR="001734EB" w:rsidRPr="00077437">
        <w:rPr>
          <w:lang w:val="es-VE"/>
        </w:rPr>
        <w:lastRenderedPageBreak/>
        <w:t xml:space="preserve">se prevé la conformación de un mecanismo nacional de seguimiento a las recomendaciones internacionales en materia de derechos humanos, incluyendo las relacionadas con los derechos de las </w:t>
      </w:r>
      <w:proofErr w:type="spellStart"/>
      <w:r w:rsidR="001734EB" w:rsidRPr="00077437">
        <w:rPr>
          <w:lang w:val="es-VE"/>
        </w:rPr>
        <w:t>PcD</w:t>
      </w:r>
      <w:proofErr w:type="spellEnd"/>
      <w:r w:rsidR="001734EB" w:rsidRPr="00077437">
        <w:rPr>
          <w:lang w:val="es-VE"/>
        </w:rPr>
        <w:t>. Este proyecto incluye la designación de puntos focales en cada una de las instituciones responsables de la aplicación de las recomendaciones y de los tratados inter</w:t>
      </w:r>
      <w:r w:rsidR="00223132">
        <w:rPr>
          <w:lang w:val="es-VE"/>
        </w:rPr>
        <w:t>nacionales de derechos humanos.</w:t>
      </w:r>
    </w:p>
    <w:p w14:paraId="018DB074" w14:textId="00E00020" w:rsidR="00C45D5A" w:rsidRPr="00054D51" w:rsidRDefault="00C45D5A" w:rsidP="004E5744">
      <w:pPr>
        <w:pStyle w:val="SingleTxtG"/>
        <w:suppressAutoHyphens/>
        <w:spacing w:before="240" w:after="0"/>
        <w:jc w:val="center"/>
        <w:rPr>
          <w:u w:val="single"/>
          <w:lang w:val="es-VE"/>
        </w:rPr>
      </w:pPr>
      <w:r>
        <w:rPr>
          <w:u w:val="single"/>
          <w:lang w:val="es-VE"/>
        </w:rPr>
        <w:tab/>
      </w:r>
      <w:r>
        <w:rPr>
          <w:u w:val="single"/>
          <w:lang w:val="es-VE"/>
        </w:rPr>
        <w:tab/>
      </w:r>
      <w:r>
        <w:rPr>
          <w:u w:val="single"/>
          <w:lang w:val="es-VE"/>
        </w:rPr>
        <w:tab/>
      </w:r>
      <w:bookmarkStart w:id="26" w:name="_GoBack"/>
      <w:bookmarkEnd w:id="26"/>
    </w:p>
    <w:sectPr w:rsidR="00C45D5A" w:rsidRPr="00054D51" w:rsidSect="00E56EE3">
      <w:headerReference w:type="even" r:id="rId9"/>
      <w:headerReference w:type="default" r:id="rId10"/>
      <w:footerReference w:type="even" r:id="rId11"/>
      <w:footerReference w:type="default" r:id="rId12"/>
      <w:headerReference w:type="first" r:id="rId13"/>
      <w:footerReference w:type="first" r:id="rId14"/>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14FB7E" w14:textId="77777777" w:rsidR="00E5009D" w:rsidRDefault="00E5009D">
      <w:pPr>
        <w:spacing w:line="240" w:lineRule="auto"/>
      </w:pPr>
      <w:r>
        <w:separator/>
      </w:r>
    </w:p>
  </w:endnote>
  <w:endnote w:type="continuationSeparator" w:id="0">
    <w:p w14:paraId="739526FD" w14:textId="77777777" w:rsidR="00E5009D" w:rsidRDefault="00E500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DejaVu Sans">
    <w:charset w:val="00"/>
    <w:family w:val="swiss"/>
    <w:pitch w:val="variable"/>
    <w:sig w:usb0="E7002EFF" w:usb1="D200FDFF" w:usb2="0A246029" w:usb3="00000000" w:csb0="000001FF" w:csb1="00000000"/>
  </w:font>
  <w:font w:name="Liberation Serif">
    <w:charset w:val="00"/>
    <w:family w:val="roman"/>
    <w:pitch w:val="variable"/>
    <w:sig w:usb0="E0000AFF" w:usb1="500078FF" w:usb2="00000021" w:usb3="00000000" w:csb0="000001BF" w:csb1="00000000"/>
  </w:font>
  <w:font w:name="FreeSans">
    <w:altName w:val="Times New Roman"/>
    <w:charset w:val="01"/>
    <w:family w:val="auto"/>
    <w:pitch w:val="variable"/>
  </w:font>
  <w:font w:name="Arial Unicode MS">
    <w:panose1 w:val="020B0604020202020204"/>
    <w:charset w:val="00"/>
    <w:family w:val="roman"/>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5200A" w14:textId="77777777" w:rsidR="00E5009D" w:rsidRPr="001A4396" w:rsidRDefault="00E5009D" w:rsidP="00935A0B">
    <w:pPr>
      <w:pStyle w:val="Piedepgina"/>
      <w:tabs>
        <w:tab w:val="right" w:pos="9638"/>
      </w:tabs>
      <w:spacing w:line="240" w:lineRule="auto"/>
    </w:pPr>
    <w:r w:rsidRPr="001A4396">
      <w:rPr>
        <w:b/>
        <w:sz w:val="18"/>
      </w:rPr>
      <w:fldChar w:fldCharType="begin"/>
    </w:r>
    <w:r w:rsidRPr="001A4396">
      <w:rPr>
        <w:b/>
        <w:sz w:val="18"/>
      </w:rPr>
      <w:instrText xml:space="preserve"> PAGE  \* MERGEFORMAT </w:instrText>
    </w:r>
    <w:r w:rsidRPr="001A4396">
      <w:rPr>
        <w:b/>
        <w:sz w:val="18"/>
      </w:rPr>
      <w:fldChar w:fldCharType="separate"/>
    </w:r>
    <w:r>
      <w:rPr>
        <w:b/>
        <w:noProof/>
        <w:sz w:val="18"/>
      </w:rPr>
      <w:t>18</w:t>
    </w:r>
    <w:r w:rsidRPr="001A4396">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ECAF9" w14:textId="77777777" w:rsidR="00E5009D" w:rsidRPr="001A4396" w:rsidRDefault="00E5009D" w:rsidP="00935A0B">
    <w:pPr>
      <w:pStyle w:val="Piedepgina"/>
      <w:tabs>
        <w:tab w:val="right" w:pos="9638"/>
      </w:tabs>
      <w:spacing w:line="240" w:lineRule="auto"/>
      <w:rPr>
        <w:b/>
        <w:sz w:val="18"/>
      </w:rPr>
    </w:pPr>
    <w:r>
      <w:tab/>
    </w:r>
    <w:r w:rsidRPr="001A4396">
      <w:rPr>
        <w:b/>
        <w:sz w:val="18"/>
      </w:rPr>
      <w:fldChar w:fldCharType="begin"/>
    </w:r>
    <w:r w:rsidRPr="001A4396">
      <w:rPr>
        <w:b/>
        <w:sz w:val="18"/>
      </w:rPr>
      <w:instrText xml:space="preserve"> PAGE  \* MERGEFORMAT </w:instrText>
    </w:r>
    <w:r w:rsidRPr="001A4396">
      <w:rPr>
        <w:b/>
        <w:sz w:val="18"/>
      </w:rPr>
      <w:fldChar w:fldCharType="separate"/>
    </w:r>
    <w:r>
      <w:rPr>
        <w:b/>
        <w:noProof/>
        <w:sz w:val="18"/>
      </w:rPr>
      <w:t>19</w:t>
    </w:r>
    <w:r w:rsidRPr="001A439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80339" w14:textId="77777777" w:rsidR="00E5009D" w:rsidRPr="00E5009D" w:rsidRDefault="00E5009D" w:rsidP="00E5009D">
    <w:pPr>
      <w:pStyle w:val="Piedepgina"/>
      <w:spacing w:before="120" w:line="240" w:lineRule="auto"/>
      <w:rPr>
        <w:sz w:val="20"/>
      </w:rPr>
    </w:pPr>
    <w:proofErr w:type="spellStart"/>
    <w:r>
      <w:rPr>
        <w:sz w:val="20"/>
      </w:rPr>
      <w:t>GE.19</w:t>
    </w:r>
    <w:proofErr w:type="spellEnd"/>
    <w:r>
      <w:rPr>
        <w:sz w:val="20"/>
      </w:rPr>
      <w:t>-</w:t>
    </w:r>
    <w:proofErr w:type="gramStart"/>
    <w:r>
      <w:rPr>
        <w:sz w:val="20"/>
      </w:rPr>
      <w:t>22634  (</w:t>
    </w:r>
    <w:proofErr w:type="gramEnd"/>
    <w:r>
      <w:rPr>
        <w:sz w:val="20"/>
      </w:rPr>
      <w:t>S)</w:t>
    </w:r>
    <w:r>
      <w:rPr>
        <w:sz w:val="20"/>
      </w:rPr>
      <w:br/>
    </w:r>
    <w:r w:rsidRPr="00E5009D">
      <w:rPr>
        <w:rFonts w:ascii="C39T30Lfz" w:hAnsi="C39T30Lfz"/>
        <w:sz w:val="56"/>
      </w:rPr>
      <w:t></w:t>
    </w:r>
    <w:r w:rsidRPr="00E5009D">
      <w:rPr>
        <w:rFonts w:ascii="C39T30Lfz" w:hAnsi="C39T30Lfz"/>
        <w:sz w:val="56"/>
      </w:rPr>
      <w:t></w:t>
    </w:r>
    <w:r w:rsidRPr="00E5009D">
      <w:rPr>
        <w:rFonts w:ascii="C39T30Lfz" w:hAnsi="C39T30Lfz"/>
        <w:sz w:val="56"/>
      </w:rPr>
      <w:t></w:t>
    </w:r>
    <w:r w:rsidRPr="00E5009D">
      <w:rPr>
        <w:rFonts w:ascii="C39T30Lfz" w:hAnsi="C39T30Lfz"/>
        <w:sz w:val="56"/>
      </w:rPr>
      <w:t></w:t>
    </w:r>
    <w:r w:rsidRPr="00E5009D">
      <w:rPr>
        <w:rFonts w:ascii="C39T30Lfz" w:hAnsi="C39T30Lfz"/>
        <w:sz w:val="56"/>
      </w:rPr>
      <w:t></w:t>
    </w:r>
    <w:r w:rsidRPr="00E5009D">
      <w:rPr>
        <w:rFonts w:ascii="C39T30Lfz" w:hAnsi="C39T30Lfz"/>
        <w:sz w:val="56"/>
      </w:rPr>
      <w:t></w:t>
    </w:r>
    <w:r w:rsidRPr="00E5009D">
      <w:rPr>
        <w:rFonts w:ascii="C39T30Lfz" w:hAnsi="C39T30Lfz"/>
        <w:sz w:val="56"/>
      </w:rPr>
      <w:t></w:t>
    </w:r>
    <w:r w:rsidRPr="00E5009D">
      <w:rPr>
        <w:rFonts w:ascii="C39T30Lfz" w:hAnsi="C39T30Lfz"/>
        <w:sz w:val="56"/>
      </w:rPr>
      <w:t></w:t>
    </w:r>
    <w:r w:rsidRPr="00E5009D">
      <w:rPr>
        <w:rFonts w:ascii="C39T30Lfz" w:hAnsi="C39T30Lfz"/>
        <w:sz w:val="56"/>
      </w:rPr>
      <w:t></w:t>
    </w:r>
    <w:r w:rsidRPr="00E5009D">
      <w:rPr>
        <w:rFonts w:ascii="C39T30Lfz" w:hAnsi="C39T30Lfz"/>
        <w:noProof/>
        <w:sz w:val="56"/>
        <w:lang w:val="fr-CH" w:eastAsia="zh-CN"/>
      </w:rPr>
      <w:drawing>
        <wp:anchor distT="0" distB="0" distL="114300" distR="114300" simplePos="0" relativeHeight="251660288" behindDoc="0" locked="1" layoutInCell="1" allowOverlap="1" wp14:anchorId="5BDD0364" wp14:editId="48D7E9CC">
          <wp:simplePos x="0" y="0"/>
          <wp:positionH relativeFrom="margin">
            <wp:posOffset>4319905</wp:posOffset>
          </wp:positionH>
          <wp:positionV relativeFrom="margin">
            <wp:posOffset>9145270</wp:posOffset>
          </wp:positionV>
          <wp:extent cx="1087200" cy="230400"/>
          <wp:effectExtent l="0" t="0" r="0" b="0"/>
          <wp:wrapNone/>
          <wp:docPr id="4" name="Imagen 4"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00" cy="230400"/>
                  </a:xfrm>
                  <a:prstGeom prst="rect">
                    <a:avLst/>
                  </a:prstGeom>
                  <a:noFill/>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58240" behindDoc="0" locked="0" layoutInCell="1" allowOverlap="1" wp14:anchorId="1E31021D" wp14:editId="592AE58E">
          <wp:simplePos x="0" y="0"/>
          <wp:positionH relativeFrom="margin">
            <wp:posOffset>5489575</wp:posOffset>
          </wp:positionH>
          <wp:positionV relativeFrom="margin">
            <wp:posOffset>8891905</wp:posOffset>
          </wp:positionV>
          <wp:extent cx="561975" cy="561975"/>
          <wp:effectExtent l="0" t="0" r="9525" b="9525"/>
          <wp:wrapNone/>
          <wp:docPr id="1" name="Imagen 1" descr="https://undocs.org/m2/QRCode.ashx?DS=CRPD/C/VEN/RQ/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VEN/RQ/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97C7E5" w14:textId="77777777" w:rsidR="00E5009D" w:rsidRPr="001075E9" w:rsidRDefault="00E5009D" w:rsidP="001075E9">
      <w:pPr>
        <w:tabs>
          <w:tab w:val="right" w:pos="2155"/>
        </w:tabs>
        <w:spacing w:after="80" w:line="240" w:lineRule="auto"/>
        <w:ind w:left="680"/>
        <w:rPr>
          <w:u w:val="single"/>
        </w:rPr>
      </w:pPr>
      <w:r>
        <w:rPr>
          <w:u w:val="single"/>
        </w:rPr>
        <w:tab/>
      </w:r>
    </w:p>
  </w:footnote>
  <w:footnote w:type="continuationSeparator" w:id="0">
    <w:p w14:paraId="4A88ECFB" w14:textId="77777777" w:rsidR="00E5009D" w:rsidRDefault="00E5009D" w:rsidP="00407B78">
      <w:pPr>
        <w:tabs>
          <w:tab w:val="right" w:pos="2155"/>
        </w:tabs>
        <w:spacing w:after="80"/>
        <w:ind w:left="680"/>
        <w:rPr>
          <w:u w:val="single"/>
        </w:rPr>
      </w:pPr>
      <w:r>
        <w:rPr>
          <w:u w:val="single"/>
        </w:rPr>
        <w:tab/>
      </w:r>
    </w:p>
  </w:footnote>
  <w:footnote w:id="1">
    <w:p w14:paraId="5DB55C50" w14:textId="77777777" w:rsidR="00E5009D" w:rsidRPr="00054D51" w:rsidRDefault="00E5009D">
      <w:pPr>
        <w:pStyle w:val="Textonotapie"/>
        <w:rPr>
          <w:sz w:val="20"/>
        </w:rPr>
      </w:pPr>
      <w:r>
        <w:tab/>
      </w:r>
      <w:r w:rsidRPr="00054D51">
        <w:rPr>
          <w:rStyle w:val="Refdenotaalpie"/>
          <w:sz w:val="20"/>
          <w:vertAlign w:val="baseline"/>
        </w:rPr>
        <w:t>*</w:t>
      </w:r>
      <w:r w:rsidRPr="00054D51">
        <w:rPr>
          <w:rStyle w:val="Refdenotaalpie"/>
          <w:vertAlign w:val="baseline"/>
        </w:rPr>
        <w:tab/>
      </w:r>
      <w:r w:rsidRPr="002B2815">
        <w:t>El presente documento se publica sin haber sido objeto de revisión editorial oficial.</w:t>
      </w:r>
    </w:p>
  </w:footnote>
  <w:footnote w:id="2">
    <w:p w14:paraId="11A36034" w14:textId="77777777" w:rsidR="00E5009D" w:rsidRPr="00560B60" w:rsidRDefault="00E5009D" w:rsidP="003E12A0">
      <w:pPr>
        <w:pStyle w:val="Textonotapie"/>
      </w:pPr>
      <w:r>
        <w:tab/>
      </w:r>
      <w:r w:rsidRPr="00560B60">
        <w:rPr>
          <w:rStyle w:val="Refdenotaalpie"/>
          <w:sz w:val="16"/>
          <w:szCs w:val="16"/>
        </w:rPr>
        <w:footnoteRef/>
      </w:r>
      <w:r w:rsidRPr="00560B60">
        <w:t xml:space="preserve"> </w:t>
      </w:r>
      <w:r>
        <w:tab/>
      </w:r>
      <w:r w:rsidRPr="003E12A0">
        <w:rPr>
          <w:sz w:val="16"/>
          <w:szCs w:val="16"/>
        </w:rPr>
        <w:t>Informe A/</w:t>
      </w:r>
      <w:proofErr w:type="spellStart"/>
      <w:r w:rsidRPr="003E12A0">
        <w:rPr>
          <w:sz w:val="16"/>
          <w:szCs w:val="16"/>
        </w:rPr>
        <w:t>HRC</w:t>
      </w:r>
      <w:proofErr w:type="spellEnd"/>
      <w:r w:rsidRPr="003E12A0">
        <w:rPr>
          <w:sz w:val="16"/>
          <w:szCs w:val="16"/>
        </w:rPr>
        <w:t xml:space="preserve">/42/46, de fecha 5 de julio de 2019, presentado en la 42° sesión del Consejo de Derechos Humanos, párr. 6 y Sección C párr. 16 </w:t>
      </w:r>
      <w:r>
        <w:rPr>
          <w:sz w:val="16"/>
          <w:szCs w:val="16"/>
        </w:rPr>
        <w:t>–</w:t>
      </w:r>
      <w:r w:rsidRPr="003E12A0">
        <w:rPr>
          <w:sz w:val="16"/>
          <w:szCs w:val="16"/>
        </w:rPr>
        <w:t xml:space="preserve"> 35</w:t>
      </w:r>
      <w:r>
        <w:rPr>
          <w:sz w:val="16"/>
          <w:szCs w:val="16"/>
        </w:rPr>
        <w:t>.</w:t>
      </w:r>
    </w:p>
  </w:footnote>
  <w:footnote w:id="3">
    <w:p w14:paraId="43AE5706" w14:textId="77777777" w:rsidR="00E5009D" w:rsidRPr="000E3AFB" w:rsidRDefault="00E5009D" w:rsidP="003E12A0">
      <w:pPr>
        <w:pStyle w:val="Textonotapie"/>
        <w:rPr>
          <w:sz w:val="16"/>
          <w:szCs w:val="16"/>
        </w:rPr>
      </w:pPr>
      <w:r>
        <w:rPr>
          <w:sz w:val="16"/>
          <w:szCs w:val="16"/>
        </w:rPr>
        <w:tab/>
      </w:r>
      <w:r w:rsidRPr="000E3AFB">
        <w:rPr>
          <w:rStyle w:val="Refdenotaalpie"/>
          <w:sz w:val="16"/>
          <w:szCs w:val="16"/>
        </w:rPr>
        <w:footnoteRef/>
      </w:r>
      <w:r w:rsidRPr="000E3AFB">
        <w:rPr>
          <w:sz w:val="16"/>
          <w:szCs w:val="16"/>
        </w:rPr>
        <w:t xml:space="preserve"> </w:t>
      </w:r>
      <w:r>
        <w:rPr>
          <w:sz w:val="16"/>
          <w:szCs w:val="16"/>
        </w:rPr>
        <w:tab/>
      </w:r>
      <w:r w:rsidRPr="000E3AFB">
        <w:rPr>
          <w:sz w:val="16"/>
          <w:szCs w:val="16"/>
        </w:rPr>
        <w:t>Informe</w:t>
      </w:r>
      <w:r>
        <w:rPr>
          <w:sz w:val="16"/>
          <w:szCs w:val="16"/>
        </w:rPr>
        <w:t xml:space="preserve"> </w:t>
      </w:r>
      <w:r w:rsidRPr="000E3AFB">
        <w:rPr>
          <w:sz w:val="16"/>
          <w:szCs w:val="16"/>
        </w:rPr>
        <w:t>A/</w:t>
      </w:r>
      <w:proofErr w:type="spellStart"/>
      <w:r w:rsidRPr="000E3AFB">
        <w:rPr>
          <w:sz w:val="16"/>
          <w:szCs w:val="16"/>
        </w:rPr>
        <w:t>HRC</w:t>
      </w:r>
      <w:proofErr w:type="spellEnd"/>
      <w:r w:rsidRPr="000E3AFB">
        <w:rPr>
          <w:sz w:val="16"/>
          <w:szCs w:val="16"/>
        </w:rPr>
        <w:t>/39/47/</w:t>
      </w:r>
      <w:proofErr w:type="spellStart"/>
      <w:r w:rsidRPr="000E3AFB">
        <w:rPr>
          <w:sz w:val="16"/>
          <w:szCs w:val="16"/>
        </w:rPr>
        <w:t>Add.1</w:t>
      </w:r>
      <w:proofErr w:type="spellEnd"/>
      <w:r>
        <w:rPr>
          <w:sz w:val="16"/>
          <w:szCs w:val="16"/>
        </w:rPr>
        <w:t xml:space="preserve">, de fecha 3 agosto de 2018, de visita a Venezuela </w:t>
      </w:r>
      <w:r w:rsidRPr="000E3AFB">
        <w:rPr>
          <w:sz w:val="16"/>
          <w:szCs w:val="16"/>
        </w:rPr>
        <w:t>presentado</w:t>
      </w:r>
      <w:r>
        <w:rPr>
          <w:sz w:val="16"/>
          <w:szCs w:val="16"/>
        </w:rPr>
        <w:t xml:space="preserve"> en la</w:t>
      </w:r>
      <w:r w:rsidRPr="000E3AFB">
        <w:rPr>
          <w:sz w:val="16"/>
          <w:szCs w:val="16"/>
        </w:rPr>
        <w:t xml:space="preserve"> </w:t>
      </w:r>
      <w:r>
        <w:rPr>
          <w:sz w:val="16"/>
          <w:szCs w:val="16"/>
        </w:rPr>
        <w:t>39</w:t>
      </w:r>
      <w:r w:rsidRPr="000E3AFB">
        <w:rPr>
          <w:sz w:val="16"/>
          <w:szCs w:val="16"/>
        </w:rPr>
        <w:t>° sesión del Consejo de Derechos Humanos</w:t>
      </w:r>
      <w:r>
        <w:rPr>
          <w:sz w:val="16"/>
          <w:szCs w:val="16"/>
        </w:rPr>
        <w:t xml:space="preserve">. </w:t>
      </w:r>
    </w:p>
  </w:footnote>
  <w:footnote w:id="4">
    <w:p w14:paraId="124D5A7F" w14:textId="77777777" w:rsidR="00E5009D" w:rsidRPr="00233B0B" w:rsidRDefault="00E5009D" w:rsidP="003E12A0">
      <w:pPr>
        <w:pStyle w:val="Textonotapie"/>
        <w:rPr>
          <w:i/>
          <w:sz w:val="16"/>
          <w:szCs w:val="16"/>
        </w:rPr>
      </w:pPr>
      <w:r>
        <w:rPr>
          <w:sz w:val="16"/>
          <w:szCs w:val="16"/>
        </w:rPr>
        <w:tab/>
      </w:r>
      <w:r w:rsidRPr="00533873">
        <w:rPr>
          <w:rStyle w:val="Refdenotaalpie"/>
          <w:sz w:val="16"/>
          <w:szCs w:val="16"/>
        </w:rPr>
        <w:footnoteRef/>
      </w:r>
      <w:r w:rsidRPr="00533873">
        <w:rPr>
          <w:sz w:val="16"/>
          <w:szCs w:val="16"/>
        </w:rPr>
        <w:t xml:space="preserve"> </w:t>
      </w:r>
      <w:r>
        <w:rPr>
          <w:sz w:val="16"/>
          <w:szCs w:val="16"/>
        </w:rPr>
        <w:tab/>
        <w:t xml:space="preserve">Declaración </w:t>
      </w:r>
      <w:r w:rsidRPr="00533873">
        <w:rPr>
          <w:sz w:val="16"/>
          <w:szCs w:val="16"/>
        </w:rPr>
        <w:t>de la Alta Comisionada de Naciones Unidas para los Derechos Humanos Michelle Bachelet 21 de junio de 2019</w:t>
      </w:r>
      <w:r>
        <w:rPr>
          <w:sz w:val="16"/>
          <w:szCs w:val="16"/>
        </w:rPr>
        <w:t xml:space="preserve">, con relación a su visita a Venezuela </w:t>
      </w:r>
      <w:r w:rsidRPr="00533873">
        <w:rPr>
          <w:i/>
          <w:sz w:val="16"/>
          <w:szCs w:val="16"/>
        </w:rPr>
        <w:t>“Me preocupa que las sanciones impuestas este año por Estados Unidos sobre las exportaciones de petróleo y el comercio de oro están exacerbando y agravando la preexistente crisis económica.”</w:t>
      </w:r>
      <w:r>
        <w:rPr>
          <w:i/>
          <w:sz w:val="16"/>
          <w:szCs w:val="16"/>
        </w:rPr>
        <w:t xml:space="preserve"> </w:t>
      </w:r>
      <w:r w:rsidRPr="00FB4E96">
        <w:rPr>
          <w:sz w:val="16"/>
          <w:szCs w:val="16"/>
        </w:rPr>
        <w:t>Actualización oral sobre la situación de los derechos humanos en Venezuela</w:t>
      </w:r>
      <w:r>
        <w:rPr>
          <w:sz w:val="16"/>
          <w:szCs w:val="16"/>
        </w:rPr>
        <w:t xml:space="preserve"> por parte de la Alta Comisionada en la </w:t>
      </w:r>
      <w:r w:rsidRPr="00FB4E96">
        <w:rPr>
          <w:sz w:val="16"/>
          <w:szCs w:val="16"/>
        </w:rPr>
        <w:t>42</w:t>
      </w:r>
      <w:r>
        <w:rPr>
          <w:sz w:val="16"/>
          <w:szCs w:val="16"/>
        </w:rPr>
        <w:t>°</w:t>
      </w:r>
      <w:r w:rsidRPr="00FB4E96">
        <w:rPr>
          <w:sz w:val="16"/>
          <w:szCs w:val="16"/>
        </w:rPr>
        <w:t xml:space="preserve"> sesión del Consejo de Derechos Humanos</w:t>
      </w:r>
      <w:r>
        <w:rPr>
          <w:sz w:val="16"/>
          <w:szCs w:val="16"/>
        </w:rPr>
        <w:t xml:space="preserve">, 9 de septiembre de 2019. </w:t>
      </w:r>
      <w:r w:rsidRPr="00FB4E96">
        <w:rPr>
          <w:i/>
          <w:sz w:val="16"/>
          <w:szCs w:val="16"/>
        </w:rPr>
        <w:t>“(…) el 8 de agosto pasado expresé mi preocupación por el impacto potencialmente severo en los derechos humanos del nuevo conjunto de sanciones impuestas por el Gobierno d</w:t>
      </w:r>
      <w:r>
        <w:rPr>
          <w:i/>
          <w:sz w:val="16"/>
          <w:szCs w:val="16"/>
        </w:rPr>
        <w:t>e los Estados Unidos de América</w:t>
      </w:r>
      <w:r w:rsidRPr="00FB4E96">
        <w:rPr>
          <w:i/>
          <w:sz w:val="16"/>
          <w:szCs w:val="16"/>
        </w:rPr>
        <w:t>.”</w:t>
      </w:r>
      <w:r>
        <w:rPr>
          <w:i/>
          <w:sz w:val="16"/>
          <w:szCs w:val="16"/>
        </w:rPr>
        <w:t>.</w:t>
      </w:r>
    </w:p>
  </w:footnote>
  <w:footnote w:id="5">
    <w:p w14:paraId="3C958165" w14:textId="77777777" w:rsidR="00E5009D" w:rsidRPr="00FD13C2" w:rsidRDefault="00E5009D" w:rsidP="003E12A0">
      <w:pPr>
        <w:pStyle w:val="Textonotapie"/>
        <w:rPr>
          <w:sz w:val="16"/>
          <w:szCs w:val="16"/>
        </w:rPr>
      </w:pPr>
      <w:r>
        <w:rPr>
          <w:sz w:val="16"/>
          <w:szCs w:val="16"/>
        </w:rPr>
        <w:tab/>
      </w:r>
      <w:r w:rsidRPr="00FD13C2">
        <w:rPr>
          <w:rStyle w:val="Refdenotaalpie"/>
          <w:sz w:val="16"/>
          <w:szCs w:val="16"/>
        </w:rPr>
        <w:footnoteRef/>
      </w:r>
      <w:r w:rsidRPr="00FD13C2">
        <w:rPr>
          <w:sz w:val="16"/>
          <w:szCs w:val="16"/>
        </w:rPr>
        <w:t xml:space="preserve"> </w:t>
      </w:r>
      <w:r>
        <w:rPr>
          <w:sz w:val="16"/>
          <w:szCs w:val="16"/>
        </w:rPr>
        <w:tab/>
      </w:r>
      <w:r w:rsidRPr="00FD13C2">
        <w:rPr>
          <w:sz w:val="16"/>
          <w:szCs w:val="16"/>
        </w:rPr>
        <w:t xml:space="preserve">Artículo 81 de la </w:t>
      </w:r>
      <w:proofErr w:type="spellStart"/>
      <w:r w:rsidRPr="00FD13C2">
        <w:rPr>
          <w:sz w:val="16"/>
          <w:szCs w:val="16"/>
        </w:rPr>
        <w:t>CBRV</w:t>
      </w:r>
      <w:proofErr w:type="spellEnd"/>
      <w:r>
        <w:rPr>
          <w:sz w:val="16"/>
          <w:szCs w:val="16"/>
        </w:rPr>
        <w:t xml:space="preserve"> </w:t>
      </w:r>
      <w:r w:rsidRPr="00E25899">
        <w:rPr>
          <w:i/>
          <w:sz w:val="16"/>
          <w:szCs w:val="16"/>
        </w:rPr>
        <w:t>“Toda persona con discapacidad o necesidades especiales tiene derecho al ejercicio pleno y autónomo de sus capacidades y a su integración familiar y comunitaria. El Estado, con la participación solidaria de las familias y la sociedad, le garantizará el respeto a su dignidad humana, la equiparación de oportunidades, condiciones laborales satisfactorias, y promueve su formación, capacitación y acceso al empleo acorde con sus condiciones, de conformidad con la ley. Se les reconoce a las personas sordas o mudas el derecho a expresarse y comunicarse a través de la lengua de señas.</w:t>
      </w:r>
      <w:r>
        <w:rPr>
          <w:i/>
          <w:sz w:val="16"/>
          <w:szCs w:val="16"/>
        </w:rPr>
        <w:t>”.</w:t>
      </w:r>
    </w:p>
  </w:footnote>
  <w:footnote w:id="6">
    <w:p w14:paraId="4E91CF90" w14:textId="77777777" w:rsidR="00E5009D" w:rsidRPr="00233B0B" w:rsidRDefault="00E5009D" w:rsidP="003E12A0">
      <w:pPr>
        <w:pStyle w:val="Textonotapie"/>
      </w:pPr>
      <w:r>
        <w:tab/>
      </w:r>
      <w:r w:rsidRPr="00233B0B">
        <w:rPr>
          <w:rStyle w:val="Refdenotaalpie"/>
        </w:rPr>
        <w:footnoteRef/>
      </w:r>
      <w:r w:rsidRPr="00233B0B">
        <w:t xml:space="preserve"> </w:t>
      </w:r>
      <w:r>
        <w:tab/>
      </w:r>
      <w:r w:rsidRPr="00233B0B">
        <w:rPr>
          <w:sz w:val="16"/>
          <w:szCs w:val="16"/>
        </w:rPr>
        <w:t xml:space="preserve">Publicado en Gaceta Oficial </w:t>
      </w:r>
      <w:r>
        <w:rPr>
          <w:sz w:val="16"/>
          <w:szCs w:val="16"/>
        </w:rPr>
        <w:t xml:space="preserve">núm. </w:t>
      </w:r>
      <w:r w:rsidRPr="00233B0B">
        <w:rPr>
          <w:sz w:val="16"/>
          <w:szCs w:val="16"/>
        </w:rPr>
        <w:t>351.796 del 5 de enero de 2007</w:t>
      </w:r>
      <w:r>
        <w:rPr>
          <w:sz w:val="16"/>
          <w:szCs w:val="16"/>
        </w:rPr>
        <w:t>.</w:t>
      </w:r>
    </w:p>
  </w:footnote>
  <w:footnote w:id="7">
    <w:p w14:paraId="4AD4B947" w14:textId="77777777" w:rsidR="00E5009D" w:rsidRPr="00233B0B" w:rsidRDefault="00E5009D" w:rsidP="003E12A0">
      <w:pPr>
        <w:pStyle w:val="Textonotapie"/>
      </w:pPr>
      <w:r>
        <w:tab/>
      </w:r>
      <w:r w:rsidRPr="00233B0B">
        <w:rPr>
          <w:rStyle w:val="Refdenotaalpie"/>
        </w:rPr>
        <w:footnoteRef/>
      </w:r>
      <w:r w:rsidRPr="00233B0B">
        <w:t xml:space="preserve"> </w:t>
      </w:r>
      <w:r>
        <w:tab/>
      </w:r>
      <w:r w:rsidRPr="00233B0B">
        <w:rPr>
          <w:sz w:val="16"/>
          <w:szCs w:val="16"/>
        </w:rPr>
        <w:t xml:space="preserve">Publicado en Gaceta Oficial Extraordinaria </w:t>
      </w:r>
      <w:r>
        <w:rPr>
          <w:sz w:val="16"/>
          <w:szCs w:val="16"/>
        </w:rPr>
        <w:t>núm.</w:t>
      </w:r>
      <w:r w:rsidRPr="00233B0B">
        <w:rPr>
          <w:sz w:val="16"/>
          <w:szCs w:val="16"/>
        </w:rPr>
        <w:t xml:space="preserve"> 2.990 del 26 de julio de 1982</w:t>
      </w:r>
      <w:r>
        <w:rPr>
          <w:sz w:val="16"/>
          <w:szCs w:val="16"/>
        </w:rPr>
        <w:t>.</w:t>
      </w:r>
    </w:p>
  </w:footnote>
  <w:footnote w:id="8">
    <w:p w14:paraId="5DD4BD32" w14:textId="77777777" w:rsidR="00E5009D" w:rsidRPr="00233B0B" w:rsidRDefault="00E5009D" w:rsidP="003E12A0">
      <w:pPr>
        <w:pStyle w:val="Textonotapie"/>
        <w:rPr>
          <w:sz w:val="16"/>
          <w:szCs w:val="16"/>
        </w:rPr>
      </w:pPr>
      <w:r>
        <w:rPr>
          <w:sz w:val="16"/>
          <w:szCs w:val="16"/>
        </w:rPr>
        <w:tab/>
      </w:r>
      <w:r w:rsidRPr="00233B0B">
        <w:rPr>
          <w:rStyle w:val="Refdenotaalpie"/>
          <w:sz w:val="16"/>
          <w:szCs w:val="16"/>
        </w:rPr>
        <w:footnoteRef/>
      </w:r>
      <w:r w:rsidRPr="00233B0B">
        <w:rPr>
          <w:sz w:val="16"/>
          <w:szCs w:val="16"/>
        </w:rPr>
        <w:t xml:space="preserve"> </w:t>
      </w:r>
      <w:r>
        <w:rPr>
          <w:sz w:val="16"/>
          <w:szCs w:val="16"/>
        </w:rPr>
        <w:tab/>
      </w:r>
      <w:r w:rsidRPr="00233B0B">
        <w:rPr>
          <w:sz w:val="16"/>
          <w:szCs w:val="16"/>
        </w:rPr>
        <w:t xml:space="preserve">Publicado en Gaceta Oficial </w:t>
      </w:r>
      <w:proofErr w:type="spellStart"/>
      <w:r w:rsidRPr="00233B0B">
        <w:rPr>
          <w:sz w:val="16"/>
          <w:szCs w:val="16"/>
        </w:rPr>
        <w:t>Nº</w:t>
      </w:r>
      <w:proofErr w:type="spellEnd"/>
      <w:r w:rsidRPr="00233B0B">
        <w:rPr>
          <w:sz w:val="16"/>
          <w:szCs w:val="16"/>
        </w:rPr>
        <w:t xml:space="preserve"> 6.207 Extraordinario del</w:t>
      </w:r>
      <w:r>
        <w:rPr>
          <w:sz w:val="16"/>
          <w:szCs w:val="16"/>
        </w:rPr>
        <w:t xml:space="preserve"> 28 de diciembre del 2015.</w:t>
      </w:r>
    </w:p>
  </w:footnote>
  <w:footnote w:id="9">
    <w:p w14:paraId="456B104A" w14:textId="77777777" w:rsidR="00E5009D" w:rsidRPr="00233B0B" w:rsidRDefault="00E5009D" w:rsidP="003E12A0">
      <w:pPr>
        <w:pStyle w:val="Textonotapie"/>
        <w:rPr>
          <w:sz w:val="16"/>
          <w:szCs w:val="16"/>
        </w:rPr>
      </w:pPr>
      <w:r>
        <w:rPr>
          <w:sz w:val="16"/>
          <w:szCs w:val="16"/>
        </w:rPr>
        <w:tab/>
      </w:r>
      <w:r w:rsidRPr="00233B0B">
        <w:rPr>
          <w:rStyle w:val="Refdenotaalpie"/>
          <w:sz w:val="16"/>
          <w:szCs w:val="16"/>
        </w:rPr>
        <w:footnoteRef/>
      </w:r>
      <w:r w:rsidRPr="00233B0B">
        <w:rPr>
          <w:sz w:val="16"/>
          <w:szCs w:val="16"/>
        </w:rPr>
        <w:t xml:space="preserve"> </w:t>
      </w:r>
      <w:r>
        <w:rPr>
          <w:sz w:val="16"/>
          <w:szCs w:val="16"/>
        </w:rPr>
        <w:tab/>
      </w:r>
      <w:r w:rsidRPr="00233B0B">
        <w:rPr>
          <w:sz w:val="16"/>
          <w:szCs w:val="16"/>
        </w:rPr>
        <w:t xml:space="preserve">Publicado en Gaceta Oficial </w:t>
      </w:r>
      <w:proofErr w:type="spellStart"/>
      <w:r w:rsidRPr="00233B0B">
        <w:rPr>
          <w:sz w:val="16"/>
          <w:szCs w:val="16"/>
        </w:rPr>
        <w:t>N°</w:t>
      </w:r>
      <w:proofErr w:type="spellEnd"/>
      <w:r w:rsidRPr="00233B0B">
        <w:rPr>
          <w:sz w:val="16"/>
          <w:szCs w:val="16"/>
        </w:rPr>
        <w:t xml:space="preserve"> 36.975 del 19 de junio del 2000</w:t>
      </w:r>
      <w:r>
        <w:rPr>
          <w:sz w:val="16"/>
          <w:szCs w:val="16"/>
        </w:rPr>
        <w:t>.</w:t>
      </w:r>
    </w:p>
  </w:footnote>
  <w:footnote w:id="10">
    <w:p w14:paraId="375CBAA7" w14:textId="77777777" w:rsidR="00E5009D" w:rsidRDefault="00E5009D" w:rsidP="003E12A0">
      <w:pPr>
        <w:pStyle w:val="Textonotapie"/>
      </w:pPr>
      <w:r>
        <w:tab/>
      </w:r>
      <w:r w:rsidRPr="00233B0B">
        <w:rPr>
          <w:rStyle w:val="Refdenotaalpie"/>
        </w:rPr>
        <w:footnoteRef/>
      </w:r>
      <w:r w:rsidRPr="00233B0B">
        <w:t xml:space="preserve"> </w:t>
      </w:r>
      <w:r>
        <w:tab/>
      </w:r>
      <w:r w:rsidRPr="00233B0B">
        <w:rPr>
          <w:sz w:val="16"/>
          <w:szCs w:val="16"/>
        </w:rPr>
        <w:t xml:space="preserve">Artículo 347 de la </w:t>
      </w:r>
      <w:proofErr w:type="spellStart"/>
      <w:r w:rsidRPr="00233B0B">
        <w:rPr>
          <w:sz w:val="16"/>
          <w:szCs w:val="16"/>
        </w:rPr>
        <w:t>CRBV</w:t>
      </w:r>
      <w:proofErr w:type="spellEnd"/>
      <w:r>
        <w:rPr>
          <w:sz w:val="16"/>
          <w:szCs w:val="16"/>
        </w:rPr>
        <w:t>.</w:t>
      </w:r>
    </w:p>
  </w:footnote>
  <w:footnote w:id="11">
    <w:p w14:paraId="7B71755A" w14:textId="77777777" w:rsidR="00E5009D" w:rsidRPr="009E5464" w:rsidRDefault="00E5009D" w:rsidP="003E12A0">
      <w:pPr>
        <w:pStyle w:val="Textonotapie"/>
        <w:rPr>
          <w:sz w:val="16"/>
          <w:szCs w:val="16"/>
        </w:rPr>
      </w:pPr>
      <w:r>
        <w:rPr>
          <w:sz w:val="16"/>
          <w:szCs w:val="16"/>
        </w:rPr>
        <w:tab/>
      </w:r>
      <w:r w:rsidRPr="009E5464">
        <w:rPr>
          <w:rStyle w:val="Refdenotaalpie"/>
          <w:sz w:val="16"/>
          <w:szCs w:val="16"/>
        </w:rPr>
        <w:footnoteRef/>
      </w:r>
      <w:r w:rsidRPr="009E5464">
        <w:rPr>
          <w:sz w:val="16"/>
          <w:szCs w:val="16"/>
        </w:rPr>
        <w:t xml:space="preserve"> </w:t>
      </w:r>
      <w:r>
        <w:rPr>
          <w:sz w:val="16"/>
          <w:szCs w:val="16"/>
        </w:rPr>
        <w:tab/>
        <w:t>L</w:t>
      </w:r>
      <w:r w:rsidRPr="009E5464">
        <w:rPr>
          <w:sz w:val="16"/>
          <w:szCs w:val="16"/>
        </w:rPr>
        <w:t xml:space="preserve">a </w:t>
      </w:r>
      <w:r>
        <w:rPr>
          <w:sz w:val="16"/>
          <w:szCs w:val="16"/>
        </w:rPr>
        <w:t xml:space="preserve">ANC, </w:t>
      </w:r>
      <w:r w:rsidRPr="009E5464">
        <w:rPr>
          <w:sz w:val="16"/>
          <w:szCs w:val="16"/>
        </w:rPr>
        <w:t>a través de la Comisión Permanente para las Personas con Discapacidad</w:t>
      </w:r>
      <w:r>
        <w:rPr>
          <w:sz w:val="16"/>
          <w:szCs w:val="16"/>
        </w:rPr>
        <w:t>,</w:t>
      </w:r>
      <w:r w:rsidRPr="009E5464">
        <w:rPr>
          <w:sz w:val="16"/>
          <w:szCs w:val="16"/>
        </w:rPr>
        <w:t xml:space="preserve"> </w:t>
      </w:r>
      <w:r>
        <w:rPr>
          <w:sz w:val="16"/>
          <w:szCs w:val="16"/>
        </w:rPr>
        <w:t>constituyó</w:t>
      </w:r>
      <w:r w:rsidRPr="009E5464">
        <w:rPr>
          <w:sz w:val="16"/>
          <w:szCs w:val="16"/>
        </w:rPr>
        <w:t xml:space="preserve"> una comisión técnica para impulsar el proceso pa</w:t>
      </w:r>
      <w:r>
        <w:rPr>
          <w:sz w:val="16"/>
          <w:szCs w:val="16"/>
        </w:rPr>
        <w:t>rticipativo de elaboración del Proyecto de Ley C</w:t>
      </w:r>
      <w:r w:rsidRPr="009E5464">
        <w:rPr>
          <w:sz w:val="16"/>
          <w:szCs w:val="16"/>
        </w:rPr>
        <w:t xml:space="preserve">onstitucional para las </w:t>
      </w:r>
      <w:proofErr w:type="spellStart"/>
      <w:r>
        <w:rPr>
          <w:sz w:val="16"/>
          <w:szCs w:val="16"/>
        </w:rPr>
        <w:t>PcD</w:t>
      </w:r>
      <w:proofErr w:type="spellEnd"/>
      <w:r w:rsidRPr="009E5464">
        <w:rPr>
          <w:sz w:val="16"/>
          <w:szCs w:val="16"/>
        </w:rPr>
        <w:t xml:space="preserve"> con enfoque biopsi</w:t>
      </w:r>
      <w:r>
        <w:rPr>
          <w:sz w:val="16"/>
          <w:szCs w:val="16"/>
        </w:rPr>
        <w:t>co</w:t>
      </w:r>
      <w:r w:rsidRPr="009E5464">
        <w:rPr>
          <w:sz w:val="16"/>
          <w:szCs w:val="16"/>
        </w:rPr>
        <w:t xml:space="preserve">social, </w:t>
      </w:r>
      <w:r>
        <w:rPr>
          <w:sz w:val="16"/>
          <w:szCs w:val="16"/>
        </w:rPr>
        <w:t>con</w:t>
      </w:r>
      <w:r w:rsidRPr="009E5464">
        <w:rPr>
          <w:sz w:val="16"/>
          <w:szCs w:val="16"/>
        </w:rPr>
        <w:t xml:space="preserve"> base </w:t>
      </w:r>
      <w:r>
        <w:rPr>
          <w:sz w:val="16"/>
          <w:szCs w:val="16"/>
        </w:rPr>
        <w:t>en</w:t>
      </w:r>
      <w:r w:rsidRPr="009E5464">
        <w:rPr>
          <w:sz w:val="16"/>
          <w:szCs w:val="16"/>
        </w:rPr>
        <w:t xml:space="preserve"> la </w:t>
      </w:r>
      <w:proofErr w:type="spellStart"/>
      <w:r>
        <w:rPr>
          <w:sz w:val="16"/>
          <w:szCs w:val="16"/>
        </w:rPr>
        <w:t>CDPD</w:t>
      </w:r>
      <w:proofErr w:type="spellEnd"/>
      <w:r>
        <w:rPr>
          <w:sz w:val="16"/>
          <w:szCs w:val="16"/>
        </w:rPr>
        <w:t xml:space="preserve"> que permita al Estado venezolano </w:t>
      </w:r>
      <w:r w:rsidRPr="009E5464">
        <w:rPr>
          <w:sz w:val="16"/>
          <w:szCs w:val="16"/>
        </w:rPr>
        <w:t xml:space="preserve">garantizar los derechos humanos </w:t>
      </w:r>
      <w:r>
        <w:rPr>
          <w:sz w:val="16"/>
          <w:szCs w:val="16"/>
        </w:rPr>
        <w:t>de esta población</w:t>
      </w:r>
      <w:r w:rsidRPr="009E5464">
        <w:rPr>
          <w:sz w:val="16"/>
          <w:szCs w:val="16"/>
        </w:rPr>
        <w:t xml:space="preserve">. </w:t>
      </w:r>
    </w:p>
  </w:footnote>
  <w:footnote w:id="12">
    <w:p w14:paraId="4AAFF1FC" w14:textId="77777777" w:rsidR="00E5009D" w:rsidRPr="00F13230" w:rsidRDefault="00E5009D" w:rsidP="003E12A0">
      <w:pPr>
        <w:pStyle w:val="Textonotapie"/>
        <w:rPr>
          <w:sz w:val="16"/>
          <w:szCs w:val="16"/>
        </w:rPr>
      </w:pPr>
      <w:r>
        <w:rPr>
          <w:sz w:val="16"/>
          <w:szCs w:val="16"/>
        </w:rPr>
        <w:tab/>
      </w:r>
      <w:r w:rsidRPr="009E5464">
        <w:rPr>
          <w:rStyle w:val="Refdenotaalpie"/>
          <w:sz w:val="16"/>
          <w:szCs w:val="16"/>
        </w:rPr>
        <w:footnoteRef/>
      </w:r>
      <w:r w:rsidRPr="009E5464">
        <w:rPr>
          <w:sz w:val="16"/>
          <w:szCs w:val="16"/>
        </w:rPr>
        <w:t xml:space="preserve"> </w:t>
      </w:r>
      <w:r>
        <w:rPr>
          <w:sz w:val="16"/>
          <w:szCs w:val="16"/>
        </w:rPr>
        <w:tab/>
      </w:r>
      <w:r w:rsidRPr="009E5464">
        <w:rPr>
          <w:sz w:val="16"/>
          <w:szCs w:val="16"/>
        </w:rPr>
        <w:t xml:space="preserve">Artículo 23 de la </w:t>
      </w:r>
      <w:proofErr w:type="spellStart"/>
      <w:r>
        <w:rPr>
          <w:sz w:val="16"/>
          <w:szCs w:val="16"/>
        </w:rPr>
        <w:t>CRBV</w:t>
      </w:r>
      <w:proofErr w:type="spellEnd"/>
      <w:r w:rsidRPr="00F13230">
        <w:rPr>
          <w:sz w:val="16"/>
          <w:szCs w:val="16"/>
        </w:rPr>
        <w:t xml:space="preserve"> </w:t>
      </w:r>
      <w:r w:rsidRPr="00CE704E">
        <w:rPr>
          <w:i/>
          <w:sz w:val="16"/>
          <w:szCs w:val="16"/>
        </w:rPr>
        <w:t>“Los tratados, pactos y convenciones relativos a derechos humanos, suscritos y ratificados por Venezuela, tienen jerarquía constitucional y prevalecen en el orden interno, en la medida en que contengan normas sobre su goce y ejercicio más favorables a las establecidas por esta Constitución y la ley de la República, y son de aplicación inmediata y directa por los tribunales y demás órganos del Poder Público.”</w:t>
      </w:r>
      <w:r>
        <w:rPr>
          <w:i/>
          <w:sz w:val="16"/>
          <w:szCs w:val="16"/>
        </w:rPr>
        <w:t>.</w:t>
      </w:r>
    </w:p>
  </w:footnote>
  <w:footnote w:id="13">
    <w:p w14:paraId="5AE326CA" w14:textId="77777777" w:rsidR="00E5009D" w:rsidRDefault="00E5009D" w:rsidP="003E12A0">
      <w:pPr>
        <w:pStyle w:val="Textonotapie"/>
      </w:pPr>
      <w:r>
        <w:rPr>
          <w:sz w:val="16"/>
          <w:szCs w:val="16"/>
        </w:rPr>
        <w:tab/>
      </w:r>
      <w:r w:rsidRPr="00F13230">
        <w:rPr>
          <w:rStyle w:val="Refdenotaalpie"/>
          <w:sz w:val="16"/>
          <w:szCs w:val="16"/>
        </w:rPr>
        <w:footnoteRef/>
      </w:r>
      <w:r w:rsidRPr="00F13230">
        <w:rPr>
          <w:sz w:val="16"/>
          <w:szCs w:val="16"/>
        </w:rPr>
        <w:t xml:space="preserve"> </w:t>
      </w:r>
      <w:r>
        <w:rPr>
          <w:sz w:val="16"/>
          <w:szCs w:val="16"/>
        </w:rPr>
        <w:tab/>
      </w:r>
      <w:r w:rsidRPr="00F13230">
        <w:rPr>
          <w:sz w:val="16"/>
          <w:szCs w:val="16"/>
        </w:rPr>
        <w:t xml:space="preserve">Publicado Gaceta Oficial extraordinaria </w:t>
      </w:r>
      <w:proofErr w:type="spellStart"/>
      <w:r>
        <w:rPr>
          <w:sz w:val="16"/>
          <w:szCs w:val="16"/>
        </w:rPr>
        <w:t>N°</w:t>
      </w:r>
      <w:proofErr w:type="spellEnd"/>
      <w:r>
        <w:rPr>
          <w:sz w:val="16"/>
          <w:szCs w:val="16"/>
        </w:rPr>
        <w:t xml:space="preserve"> </w:t>
      </w:r>
      <w:r w:rsidRPr="00F13230">
        <w:rPr>
          <w:sz w:val="16"/>
          <w:szCs w:val="16"/>
        </w:rPr>
        <w:t>6442 del 3 de abril de 2019</w:t>
      </w:r>
      <w:r>
        <w:rPr>
          <w:sz w:val="16"/>
          <w:szCs w:val="16"/>
        </w:rPr>
        <w:t>.</w:t>
      </w:r>
    </w:p>
  </w:footnote>
  <w:footnote w:id="14">
    <w:p w14:paraId="5753EFD8" w14:textId="77777777" w:rsidR="00E5009D" w:rsidRPr="008E0484" w:rsidRDefault="00E5009D" w:rsidP="003E12A0">
      <w:pPr>
        <w:pStyle w:val="Textonotapie"/>
        <w:rPr>
          <w:sz w:val="16"/>
          <w:szCs w:val="16"/>
        </w:rPr>
      </w:pPr>
      <w:r>
        <w:rPr>
          <w:sz w:val="16"/>
          <w:szCs w:val="16"/>
        </w:rPr>
        <w:tab/>
      </w:r>
      <w:r w:rsidRPr="002B166A">
        <w:rPr>
          <w:rStyle w:val="Refdenotaalpie"/>
          <w:sz w:val="16"/>
          <w:szCs w:val="16"/>
        </w:rPr>
        <w:footnoteRef/>
      </w:r>
      <w:r>
        <w:rPr>
          <w:sz w:val="16"/>
          <w:szCs w:val="16"/>
        </w:rPr>
        <w:t xml:space="preserve"> </w:t>
      </w:r>
      <w:r>
        <w:rPr>
          <w:sz w:val="16"/>
          <w:szCs w:val="16"/>
        </w:rPr>
        <w:tab/>
        <w:t>P</w:t>
      </w:r>
      <w:r w:rsidRPr="008E0484">
        <w:rPr>
          <w:sz w:val="16"/>
          <w:szCs w:val="16"/>
        </w:rPr>
        <w:t>ublicado en la Gaceta Oficial extraordinaria numero 6.217</w:t>
      </w:r>
      <w:r>
        <w:rPr>
          <w:sz w:val="16"/>
          <w:szCs w:val="16"/>
        </w:rPr>
        <w:t xml:space="preserve"> Extraordinario</w:t>
      </w:r>
      <w:r w:rsidRPr="008E0484">
        <w:rPr>
          <w:sz w:val="16"/>
          <w:szCs w:val="16"/>
        </w:rPr>
        <w:t xml:space="preserve">, </w:t>
      </w:r>
      <w:r>
        <w:rPr>
          <w:sz w:val="16"/>
          <w:szCs w:val="16"/>
        </w:rPr>
        <w:t>del</w:t>
      </w:r>
      <w:r w:rsidRPr="008E0484">
        <w:rPr>
          <w:sz w:val="16"/>
          <w:szCs w:val="16"/>
        </w:rPr>
        <w:t xml:space="preserve"> 2 de marzo de 2016.</w:t>
      </w:r>
    </w:p>
  </w:footnote>
  <w:footnote w:id="15">
    <w:p w14:paraId="4A2510DA" w14:textId="77777777" w:rsidR="00E5009D" w:rsidRPr="009357E9" w:rsidRDefault="00E5009D" w:rsidP="003E12A0">
      <w:pPr>
        <w:pStyle w:val="Textonotapie"/>
        <w:rPr>
          <w:i/>
          <w:sz w:val="16"/>
          <w:szCs w:val="16"/>
        </w:rPr>
      </w:pPr>
      <w:r>
        <w:rPr>
          <w:sz w:val="16"/>
          <w:szCs w:val="16"/>
        </w:rPr>
        <w:tab/>
      </w:r>
      <w:r w:rsidRPr="009357E9">
        <w:rPr>
          <w:rStyle w:val="Refdenotaalpie"/>
          <w:sz w:val="16"/>
          <w:szCs w:val="16"/>
        </w:rPr>
        <w:footnoteRef/>
      </w:r>
      <w:r w:rsidRPr="009357E9">
        <w:rPr>
          <w:sz w:val="16"/>
          <w:szCs w:val="16"/>
        </w:rPr>
        <w:t xml:space="preserve"> </w:t>
      </w:r>
      <w:r>
        <w:rPr>
          <w:sz w:val="16"/>
          <w:szCs w:val="16"/>
        </w:rPr>
        <w:tab/>
      </w:r>
      <w:r w:rsidRPr="009357E9">
        <w:rPr>
          <w:sz w:val="16"/>
          <w:szCs w:val="16"/>
        </w:rPr>
        <w:t xml:space="preserve">Artículo 62 de la </w:t>
      </w:r>
      <w:proofErr w:type="spellStart"/>
      <w:r w:rsidRPr="009357E9">
        <w:rPr>
          <w:sz w:val="16"/>
          <w:szCs w:val="16"/>
        </w:rPr>
        <w:t>CRBV</w:t>
      </w:r>
      <w:proofErr w:type="spellEnd"/>
      <w:r w:rsidRPr="009357E9">
        <w:rPr>
          <w:sz w:val="16"/>
          <w:szCs w:val="16"/>
        </w:rPr>
        <w:t xml:space="preserve"> </w:t>
      </w:r>
      <w:r w:rsidRPr="009357E9">
        <w:rPr>
          <w:i/>
          <w:sz w:val="16"/>
          <w:szCs w:val="16"/>
        </w:rPr>
        <w:t>“Todos los ciudadanos y ciudadanas tienen el derecho de participar libremente en los asuntos públicos, directamente o por medio de sus representantes elegidos o elegidas. La participación del pueblo en la formación, ejecución y control de la gestión pública es el medio necesario para lograr el protagonismo que garantice su completo desarrollo, tanto individual como colectivo. Es obligación del Estado y deber de la sociedad facilitar la generación de las condiciones más favorables para su práctica.”</w:t>
      </w:r>
      <w:r>
        <w:rPr>
          <w:i/>
          <w:sz w:val="16"/>
          <w:szCs w:val="16"/>
        </w:rPr>
        <w:t>.</w:t>
      </w:r>
    </w:p>
  </w:footnote>
  <w:footnote w:id="16">
    <w:p w14:paraId="0B045DCE" w14:textId="77777777" w:rsidR="00E5009D" w:rsidRDefault="00E5009D" w:rsidP="00223132">
      <w:pPr>
        <w:pStyle w:val="Textonotapie"/>
        <w:tabs>
          <w:tab w:val="clear" w:pos="1021"/>
        </w:tabs>
        <w:spacing w:line="240" w:lineRule="auto"/>
        <w:ind w:firstLine="0"/>
        <w:jc w:val="both"/>
      </w:pPr>
      <w:r w:rsidRPr="003F5541">
        <w:rPr>
          <w:rStyle w:val="Refdenotaalpie"/>
        </w:rPr>
        <w:footnoteRef/>
      </w:r>
      <w:r w:rsidRPr="003F5541">
        <w:t xml:space="preserve"> </w:t>
      </w:r>
      <w:r>
        <w:rPr>
          <w:sz w:val="16"/>
          <w:szCs w:val="16"/>
        </w:rPr>
        <w:t>P</w:t>
      </w:r>
      <w:r w:rsidRPr="008E0484">
        <w:rPr>
          <w:sz w:val="16"/>
          <w:szCs w:val="16"/>
        </w:rPr>
        <w:t xml:space="preserve">ublicado en la Gaceta Oficial extraordinaria número </w:t>
      </w:r>
      <w:r>
        <w:rPr>
          <w:sz w:val="16"/>
          <w:szCs w:val="16"/>
        </w:rPr>
        <w:t>40.571 del</w:t>
      </w:r>
      <w:r w:rsidRPr="008E0484">
        <w:rPr>
          <w:sz w:val="16"/>
          <w:szCs w:val="16"/>
        </w:rPr>
        <w:t xml:space="preserve"> </w:t>
      </w:r>
      <w:r>
        <w:rPr>
          <w:sz w:val="16"/>
          <w:szCs w:val="16"/>
        </w:rPr>
        <w:t>30</w:t>
      </w:r>
      <w:r w:rsidRPr="008E0484">
        <w:rPr>
          <w:sz w:val="16"/>
          <w:szCs w:val="16"/>
        </w:rPr>
        <w:t xml:space="preserve"> de </w:t>
      </w:r>
      <w:r>
        <w:rPr>
          <w:sz w:val="16"/>
          <w:szCs w:val="16"/>
        </w:rPr>
        <w:t>diciembre de 2014.</w:t>
      </w:r>
    </w:p>
  </w:footnote>
  <w:footnote w:id="17">
    <w:p w14:paraId="418F5CCF" w14:textId="77777777" w:rsidR="00E5009D" w:rsidRPr="000F56FE" w:rsidRDefault="00E5009D" w:rsidP="003E12A0">
      <w:pPr>
        <w:pStyle w:val="Textonotapie"/>
        <w:rPr>
          <w:sz w:val="16"/>
          <w:szCs w:val="16"/>
        </w:rPr>
      </w:pPr>
      <w:r>
        <w:rPr>
          <w:sz w:val="16"/>
          <w:szCs w:val="16"/>
        </w:rPr>
        <w:tab/>
      </w:r>
      <w:r w:rsidRPr="000F56FE">
        <w:rPr>
          <w:rStyle w:val="Refdenotaalpie"/>
          <w:sz w:val="16"/>
          <w:szCs w:val="16"/>
        </w:rPr>
        <w:footnoteRef/>
      </w:r>
      <w:r w:rsidRPr="000F56FE">
        <w:rPr>
          <w:sz w:val="16"/>
          <w:szCs w:val="16"/>
        </w:rPr>
        <w:t xml:space="preserve"> </w:t>
      </w:r>
      <w:r>
        <w:rPr>
          <w:sz w:val="16"/>
          <w:szCs w:val="16"/>
        </w:rPr>
        <w:tab/>
      </w:r>
      <w:r w:rsidRPr="000F56FE">
        <w:rPr>
          <w:sz w:val="16"/>
          <w:szCs w:val="16"/>
        </w:rPr>
        <w:t xml:space="preserve">Madres del Barrio se crea a través del Decreto Presidencial </w:t>
      </w:r>
      <w:proofErr w:type="spellStart"/>
      <w:r w:rsidRPr="000F56FE">
        <w:rPr>
          <w:sz w:val="16"/>
          <w:szCs w:val="16"/>
        </w:rPr>
        <w:t>Nº</w:t>
      </w:r>
      <w:proofErr w:type="spellEnd"/>
      <w:r w:rsidRPr="000F56FE">
        <w:rPr>
          <w:sz w:val="16"/>
          <w:szCs w:val="16"/>
        </w:rPr>
        <w:t xml:space="preserve"> 4.342, publicado en Gaceta Oficial </w:t>
      </w:r>
      <w:proofErr w:type="spellStart"/>
      <w:r w:rsidRPr="000F56FE">
        <w:rPr>
          <w:sz w:val="16"/>
          <w:szCs w:val="16"/>
        </w:rPr>
        <w:t>Nº</w:t>
      </w:r>
      <w:proofErr w:type="spellEnd"/>
      <w:r w:rsidRPr="000F56FE">
        <w:rPr>
          <w:sz w:val="16"/>
          <w:szCs w:val="16"/>
        </w:rPr>
        <w:t xml:space="preserve"> 38.404, del 23 de marzo de 2006.</w:t>
      </w:r>
    </w:p>
  </w:footnote>
  <w:footnote w:id="18">
    <w:p w14:paraId="33E85B26" w14:textId="77777777" w:rsidR="00E5009D" w:rsidRPr="00F11165" w:rsidRDefault="00E5009D" w:rsidP="003E12A0">
      <w:pPr>
        <w:pStyle w:val="Textonotapie"/>
        <w:rPr>
          <w:sz w:val="16"/>
          <w:szCs w:val="16"/>
        </w:rPr>
      </w:pPr>
      <w:r>
        <w:rPr>
          <w:sz w:val="16"/>
          <w:szCs w:val="16"/>
        </w:rPr>
        <w:tab/>
      </w:r>
      <w:r w:rsidRPr="00F11165">
        <w:rPr>
          <w:rStyle w:val="Refdenotaalpie"/>
          <w:sz w:val="16"/>
          <w:szCs w:val="16"/>
        </w:rPr>
        <w:footnoteRef/>
      </w:r>
      <w:r w:rsidRPr="00F11165">
        <w:rPr>
          <w:sz w:val="16"/>
          <w:szCs w:val="16"/>
        </w:rPr>
        <w:t xml:space="preserve"> </w:t>
      </w:r>
      <w:r>
        <w:rPr>
          <w:sz w:val="16"/>
          <w:szCs w:val="16"/>
        </w:rPr>
        <w:tab/>
      </w:r>
      <w:r w:rsidRPr="00F11165">
        <w:rPr>
          <w:sz w:val="16"/>
          <w:szCs w:val="16"/>
        </w:rPr>
        <w:t xml:space="preserve">Acuerdo de Sala Plena del </w:t>
      </w:r>
      <w:proofErr w:type="spellStart"/>
      <w:r w:rsidRPr="00F11165">
        <w:rPr>
          <w:sz w:val="16"/>
          <w:szCs w:val="16"/>
        </w:rPr>
        <w:t>TSJ</w:t>
      </w:r>
      <w:proofErr w:type="spellEnd"/>
      <w:r w:rsidRPr="00F11165">
        <w:rPr>
          <w:sz w:val="16"/>
          <w:szCs w:val="16"/>
        </w:rPr>
        <w:t xml:space="preserve"> del 25 de abril de 2007.</w:t>
      </w:r>
    </w:p>
  </w:footnote>
  <w:footnote w:id="19">
    <w:p w14:paraId="73FD947F" w14:textId="77777777" w:rsidR="00E5009D" w:rsidRPr="00725E66" w:rsidRDefault="00E5009D" w:rsidP="003E12A0">
      <w:pPr>
        <w:pStyle w:val="Textonotapie"/>
        <w:rPr>
          <w:sz w:val="16"/>
          <w:szCs w:val="16"/>
          <w:highlight w:val="yellow"/>
        </w:rPr>
      </w:pPr>
      <w:r>
        <w:rPr>
          <w:sz w:val="16"/>
          <w:szCs w:val="16"/>
        </w:rPr>
        <w:tab/>
      </w:r>
      <w:r w:rsidRPr="00725E66">
        <w:rPr>
          <w:rStyle w:val="Refdenotaalpie"/>
          <w:sz w:val="16"/>
          <w:szCs w:val="16"/>
        </w:rPr>
        <w:footnoteRef/>
      </w:r>
      <w:r w:rsidRPr="00725E66">
        <w:rPr>
          <w:sz w:val="16"/>
          <w:szCs w:val="16"/>
        </w:rPr>
        <w:t xml:space="preserve"> </w:t>
      </w:r>
      <w:r>
        <w:rPr>
          <w:sz w:val="16"/>
          <w:szCs w:val="16"/>
        </w:rPr>
        <w:tab/>
      </w:r>
      <w:r w:rsidRPr="00725E66">
        <w:rPr>
          <w:sz w:val="16"/>
          <w:szCs w:val="16"/>
        </w:rPr>
        <w:t xml:space="preserve">Publicada en </w:t>
      </w:r>
      <w:r w:rsidRPr="00054D51">
        <w:rPr>
          <w:i/>
          <w:sz w:val="16"/>
          <w:szCs w:val="16"/>
        </w:rPr>
        <w:t>Gaceta Oficial</w:t>
      </w:r>
      <w:r w:rsidRPr="00725E66">
        <w:rPr>
          <w:sz w:val="16"/>
          <w:szCs w:val="16"/>
        </w:rPr>
        <w:t xml:space="preserve"> </w:t>
      </w:r>
      <w:proofErr w:type="spellStart"/>
      <w:r w:rsidRPr="00725E66">
        <w:rPr>
          <w:sz w:val="16"/>
          <w:szCs w:val="16"/>
        </w:rPr>
        <w:t>Nº</w:t>
      </w:r>
      <w:proofErr w:type="spellEnd"/>
      <w:r w:rsidRPr="00725E66">
        <w:rPr>
          <w:sz w:val="16"/>
          <w:szCs w:val="16"/>
        </w:rPr>
        <w:t xml:space="preserve"> 39.610, del 7 de febrero de 2011.</w:t>
      </w:r>
    </w:p>
  </w:footnote>
  <w:footnote w:id="20">
    <w:p w14:paraId="6236C837" w14:textId="77777777" w:rsidR="00E5009D" w:rsidRDefault="00E5009D" w:rsidP="003E12A0">
      <w:pPr>
        <w:pStyle w:val="Textonotapie"/>
      </w:pPr>
      <w:r>
        <w:rPr>
          <w:sz w:val="16"/>
          <w:szCs w:val="16"/>
        </w:rPr>
        <w:tab/>
      </w:r>
      <w:r w:rsidRPr="00725E66">
        <w:rPr>
          <w:rStyle w:val="Refdenotaalpie"/>
          <w:sz w:val="16"/>
          <w:szCs w:val="16"/>
        </w:rPr>
        <w:footnoteRef/>
      </w:r>
      <w:r w:rsidRPr="00725E66">
        <w:rPr>
          <w:sz w:val="16"/>
          <w:szCs w:val="16"/>
        </w:rPr>
        <w:t xml:space="preserve"> </w:t>
      </w:r>
      <w:r>
        <w:rPr>
          <w:sz w:val="16"/>
          <w:szCs w:val="16"/>
        </w:rPr>
        <w:tab/>
      </w:r>
      <w:r w:rsidRPr="00725E66">
        <w:rPr>
          <w:sz w:val="16"/>
          <w:szCs w:val="16"/>
        </w:rPr>
        <w:t xml:space="preserve">Publicada en </w:t>
      </w:r>
      <w:r w:rsidRPr="00054D51">
        <w:rPr>
          <w:i/>
          <w:sz w:val="16"/>
          <w:szCs w:val="16"/>
        </w:rPr>
        <w:t>Gaceta Oficial</w:t>
      </w:r>
      <w:r w:rsidRPr="00725E66">
        <w:rPr>
          <w:sz w:val="16"/>
          <w:szCs w:val="16"/>
        </w:rPr>
        <w:t xml:space="preserve"> </w:t>
      </w:r>
      <w:proofErr w:type="spellStart"/>
      <w:r w:rsidRPr="00725E66">
        <w:rPr>
          <w:sz w:val="16"/>
          <w:szCs w:val="16"/>
        </w:rPr>
        <w:t>Nº</w:t>
      </w:r>
      <w:proofErr w:type="spellEnd"/>
      <w:r w:rsidRPr="00725E66">
        <w:rPr>
          <w:sz w:val="16"/>
          <w:szCs w:val="16"/>
        </w:rPr>
        <w:t xml:space="preserve"> 41.533 del 27 de noviembre de 2018.</w:t>
      </w:r>
    </w:p>
  </w:footnote>
  <w:footnote w:id="21">
    <w:p w14:paraId="6AABDE63" w14:textId="77777777" w:rsidR="00E5009D" w:rsidRPr="003D6E22" w:rsidRDefault="00E5009D" w:rsidP="003E12A0">
      <w:pPr>
        <w:pStyle w:val="Textonotapie"/>
        <w:rPr>
          <w:sz w:val="16"/>
          <w:szCs w:val="16"/>
        </w:rPr>
      </w:pPr>
      <w:r>
        <w:rPr>
          <w:sz w:val="16"/>
          <w:szCs w:val="16"/>
        </w:rPr>
        <w:tab/>
      </w:r>
      <w:r w:rsidRPr="003D6E22">
        <w:rPr>
          <w:rStyle w:val="Refdenotaalpie"/>
          <w:sz w:val="16"/>
          <w:szCs w:val="16"/>
        </w:rPr>
        <w:footnoteRef/>
      </w:r>
      <w:r w:rsidRPr="003D6E22">
        <w:rPr>
          <w:sz w:val="16"/>
          <w:szCs w:val="16"/>
        </w:rPr>
        <w:t xml:space="preserve"> </w:t>
      </w:r>
      <w:r>
        <w:rPr>
          <w:sz w:val="16"/>
          <w:szCs w:val="16"/>
        </w:rPr>
        <w:tab/>
      </w:r>
      <w:r w:rsidRPr="003D6E22">
        <w:rPr>
          <w:sz w:val="16"/>
          <w:szCs w:val="16"/>
        </w:rPr>
        <w:t xml:space="preserve">Publicado en la Gaceta Oficial de la República Bolivariana de Venezuela </w:t>
      </w:r>
      <w:proofErr w:type="spellStart"/>
      <w:r w:rsidRPr="003D6E22">
        <w:rPr>
          <w:sz w:val="16"/>
          <w:szCs w:val="16"/>
        </w:rPr>
        <w:t>N°</w:t>
      </w:r>
      <w:proofErr w:type="spellEnd"/>
      <w:r w:rsidRPr="003D6E22">
        <w:rPr>
          <w:sz w:val="16"/>
          <w:szCs w:val="16"/>
        </w:rPr>
        <w:t xml:space="preserve"> 41.376 de fecha 12 de abril de 2018.</w:t>
      </w:r>
    </w:p>
  </w:footnote>
  <w:footnote w:id="22">
    <w:p w14:paraId="5E7F7832" w14:textId="77777777" w:rsidR="00E5009D" w:rsidRPr="00F84BD1" w:rsidRDefault="00E5009D" w:rsidP="003E12A0">
      <w:pPr>
        <w:pStyle w:val="Textonotapie"/>
        <w:rPr>
          <w:sz w:val="16"/>
          <w:szCs w:val="16"/>
        </w:rPr>
      </w:pPr>
      <w:r>
        <w:rPr>
          <w:sz w:val="16"/>
          <w:szCs w:val="16"/>
        </w:rPr>
        <w:tab/>
      </w:r>
      <w:r w:rsidRPr="00042D0A">
        <w:rPr>
          <w:rStyle w:val="Refdenotaalpie"/>
          <w:sz w:val="16"/>
          <w:szCs w:val="16"/>
        </w:rPr>
        <w:footnoteRef/>
      </w:r>
      <w:r w:rsidRPr="00042D0A">
        <w:rPr>
          <w:sz w:val="16"/>
          <w:szCs w:val="16"/>
        </w:rPr>
        <w:t xml:space="preserve"> </w:t>
      </w:r>
      <w:r>
        <w:rPr>
          <w:sz w:val="16"/>
          <w:szCs w:val="16"/>
        </w:rPr>
        <w:tab/>
      </w:r>
      <w:r w:rsidRPr="00042D0A">
        <w:rPr>
          <w:sz w:val="16"/>
          <w:szCs w:val="16"/>
        </w:rPr>
        <w:t>Artículo 7</w:t>
      </w:r>
      <w:r w:rsidRPr="00F84BD1">
        <w:rPr>
          <w:sz w:val="16"/>
          <w:szCs w:val="16"/>
        </w:rPr>
        <w:t xml:space="preserve"> </w:t>
      </w:r>
      <w:r w:rsidRPr="008828C2">
        <w:rPr>
          <w:i/>
          <w:sz w:val="16"/>
          <w:szCs w:val="16"/>
        </w:rPr>
        <w:t>“Durante la gestación, el trabajo de parto, el parto, el nacimiento y el posparto, las madres, el padre y las familias tienen derecho a un trato en condiciones de igualdad y a no ser discriminados por motivos de origen nacional, étnico o social, rasgos de fenotipo, cultura, religión, edad, idioma, grupo etario, situación de discapacidad, condición de salud, orientación sexual, identidad de género o expresión de género, opinión política o cualquier otra circunstancia personal, jurídica o social, que tenga por resultado anular o menoscabar, directa o indirectamente, el reconocimiento goce o ejercicio, en condiciones de igualdad de los derechos humanos.”</w:t>
      </w:r>
      <w:r>
        <w:rPr>
          <w:i/>
          <w:sz w:val="16"/>
          <w:szCs w:val="16"/>
        </w:rPr>
        <w:t>.</w:t>
      </w:r>
    </w:p>
  </w:footnote>
  <w:footnote w:id="23">
    <w:p w14:paraId="5B32F625" w14:textId="77777777" w:rsidR="00E5009D" w:rsidRPr="00B92309" w:rsidRDefault="00E5009D" w:rsidP="003E12A0">
      <w:pPr>
        <w:pStyle w:val="Textonotapie"/>
        <w:rPr>
          <w:sz w:val="16"/>
          <w:szCs w:val="16"/>
          <w:highlight w:val="yellow"/>
        </w:rPr>
      </w:pPr>
      <w:r>
        <w:rPr>
          <w:sz w:val="16"/>
          <w:szCs w:val="16"/>
        </w:rPr>
        <w:tab/>
      </w:r>
      <w:r w:rsidRPr="00B92309">
        <w:rPr>
          <w:rStyle w:val="Refdenotaalpie"/>
          <w:sz w:val="16"/>
          <w:szCs w:val="16"/>
        </w:rPr>
        <w:footnoteRef/>
      </w:r>
      <w:r w:rsidRPr="00B92309">
        <w:rPr>
          <w:sz w:val="16"/>
          <w:szCs w:val="16"/>
        </w:rPr>
        <w:t xml:space="preserve"> </w:t>
      </w:r>
      <w:r>
        <w:rPr>
          <w:sz w:val="16"/>
          <w:szCs w:val="16"/>
        </w:rPr>
        <w:tab/>
      </w:r>
      <w:r w:rsidRPr="000E3AFB">
        <w:rPr>
          <w:sz w:val="16"/>
          <w:szCs w:val="16"/>
        </w:rPr>
        <w:t>Informe</w:t>
      </w:r>
      <w:r>
        <w:rPr>
          <w:sz w:val="16"/>
          <w:szCs w:val="16"/>
        </w:rPr>
        <w:t xml:space="preserve"> </w:t>
      </w:r>
      <w:r w:rsidRPr="000E3AFB">
        <w:rPr>
          <w:sz w:val="16"/>
          <w:szCs w:val="16"/>
        </w:rPr>
        <w:t>A/</w:t>
      </w:r>
      <w:proofErr w:type="spellStart"/>
      <w:r w:rsidRPr="000E3AFB">
        <w:rPr>
          <w:sz w:val="16"/>
          <w:szCs w:val="16"/>
        </w:rPr>
        <w:t>HRC</w:t>
      </w:r>
      <w:proofErr w:type="spellEnd"/>
      <w:r w:rsidRPr="000E3AFB">
        <w:rPr>
          <w:sz w:val="16"/>
          <w:szCs w:val="16"/>
        </w:rPr>
        <w:t>/39/47/</w:t>
      </w:r>
      <w:proofErr w:type="spellStart"/>
      <w:r w:rsidRPr="000E3AFB">
        <w:rPr>
          <w:sz w:val="16"/>
          <w:szCs w:val="16"/>
        </w:rPr>
        <w:t>Add.1</w:t>
      </w:r>
      <w:proofErr w:type="spellEnd"/>
      <w:r>
        <w:rPr>
          <w:sz w:val="16"/>
          <w:szCs w:val="16"/>
        </w:rPr>
        <w:t>, de fecha 3 de agosto de 2018, de visita a Venezuela</w:t>
      </w:r>
      <w:r w:rsidRPr="000E3AFB">
        <w:rPr>
          <w:sz w:val="16"/>
          <w:szCs w:val="16"/>
        </w:rPr>
        <w:t xml:space="preserve"> presentado</w:t>
      </w:r>
      <w:r>
        <w:rPr>
          <w:sz w:val="16"/>
          <w:szCs w:val="16"/>
        </w:rPr>
        <w:t xml:space="preserve"> en la</w:t>
      </w:r>
      <w:r w:rsidRPr="000E3AFB">
        <w:rPr>
          <w:sz w:val="16"/>
          <w:szCs w:val="16"/>
        </w:rPr>
        <w:t xml:space="preserve"> </w:t>
      </w:r>
      <w:r>
        <w:rPr>
          <w:sz w:val="16"/>
          <w:szCs w:val="16"/>
        </w:rPr>
        <w:t>39</w:t>
      </w:r>
      <w:r w:rsidRPr="000E3AFB">
        <w:rPr>
          <w:sz w:val="16"/>
          <w:szCs w:val="16"/>
        </w:rPr>
        <w:t>° sesión del Consejo de Derechos Humanos</w:t>
      </w:r>
      <w:r>
        <w:rPr>
          <w:sz w:val="16"/>
          <w:szCs w:val="16"/>
        </w:rPr>
        <w:t xml:space="preserve">. </w:t>
      </w:r>
    </w:p>
  </w:footnote>
  <w:footnote w:id="24">
    <w:p w14:paraId="4D19DD6E" w14:textId="77777777" w:rsidR="00E5009D" w:rsidRPr="004B42BE" w:rsidRDefault="00E5009D" w:rsidP="003E12A0">
      <w:pPr>
        <w:pStyle w:val="Textonotapie"/>
        <w:rPr>
          <w:sz w:val="16"/>
          <w:szCs w:val="16"/>
        </w:rPr>
      </w:pPr>
      <w:r>
        <w:rPr>
          <w:sz w:val="16"/>
          <w:szCs w:val="16"/>
        </w:rPr>
        <w:tab/>
      </w:r>
      <w:r w:rsidRPr="004B42BE">
        <w:rPr>
          <w:rStyle w:val="Refdenotaalpie"/>
          <w:sz w:val="16"/>
          <w:szCs w:val="16"/>
        </w:rPr>
        <w:footnoteRef/>
      </w:r>
      <w:r w:rsidRPr="004B42BE">
        <w:rPr>
          <w:sz w:val="16"/>
          <w:szCs w:val="16"/>
        </w:rPr>
        <w:t xml:space="preserve"> </w:t>
      </w:r>
      <w:r>
        <w:rPr>
          <w:sz w:val="16"/>
          <w:szCs w:val="16"/>
        </w:rPr>
        <w:tab/>
        <w:t xml:space="preserve">Comunicados del Relator Especial sobre el impacto negativo de las medidas coercitivas unilaterales en el disfrute de los derechos humanos de las Naciones Unidas, de fecha 11 de agosto de 2017; y de fecha 31 de enero de 2019, </w:t>
      </w:r>
      <w:r w:rsidRPr="004B42BE">
        <w:rPr>
          <w:i/>
          <w:sz w:val="16"/>
          <w:szCs w:val="16"/>
        </w:rPr>
        <w:t>“Las sanciones contra Venezuela agravarían el sufrimiento de su pueblo, advierte un experto de Naciones Unidas”</w:t>
      </w:r>
      <w:r>
        <w:rPr>
          <w:sz w:val="16"/>
          <w:szCs w:val="16"/>
        </w:rPr>
        <w:t xml:space="preserve">. </w:t>
      </w:r>
      <w:r w:rsidRPr="004B42BE">
        <w:rPr>
          <w:i/>
          <w:sz w:val="16"/>
          <w:szCs w:val="16"/>
        </w:rPr>
        <w:t>“Las sanciones a Venezuela producen daños a derechos humanos de personas inocentes, advierte experto de la ONU”</w:t>
      </w:r>
      <w:r>
        <w:rPr>
          <w:sz w:val="16"/>
          <w:szCs w:val="16"/>
        </w:rPr>
        <w:t xml:space="preserve">. </w:t>
      </w:r>
    </w:p>
  </w:footnote>
  <w:footnote w:id="25">
    <w:p w14:paraId="7450A5B1" w14:textId="77777777" w:rsidR="00E5009D" w:rsidRPr="009D7800" w:rsidRDefault="00E5009D" w:rsidP="003E12A0">
      <w:pPr>
        <w:pStyle w:val="Textonotapie"/>
        <w:rPr>
          <w:sz w:val="16"/>
          <w:szCs w:val="16"/>
        </w:rPr>
      </w:pPr>
      <w:r>
        <w:rPr>
          <w:sz w:val="16"/>
          <w:szCs w:val="16"/>
        </w:rPr>
        <w:tab/>
      </w:r>
      <w:r w:rsidRPr="009D7800">
        <w:rPr>
          <w:rStyle w:val="Refdenotaalpie"/>
          <w:sz w:val="16"/>
          <w:szCs w:val="16"/>
        </w:rPr>
        <w:footnoteRef/>
      </w:r>
      <w:r w:rsidRPr="009D7800">
        <w:rPr>
          <w:sz w:val="16"/>
          <w:szCs w:val="16"/>
        </w:rPr>
        <w:t xml:space="preserve"> </w:t>
      </w:r>
      <w:r>
        <w:rPr>
          <w:sz w:val="16"/>
          <w:szCs w:val="16"/>
        </w:rPr>
        <w:tab/>
      </w:r>
      <w:r w:rsidRPr="009D7800">
        <w:rPr>
          <w:sz w:val="16"/>
          <w:szCs w:val="16"/>
        </w:rPr>
        <w:t xml:space="preserve">Resolución 40/3 del Consejo de Derechos Humanos </w:t>
      </w:r>
      <w:proofErr w:type="spellStart"/>
      <w:r w:rsidRPr="009D7800">
        <w:rPr>
          <w:sz w:val="16"/>
          <w:szCs w:val="16"/>
        </w:rPr>
        <w:t>Pfo</w:t>
      </w:r>
      <w:proofErr w:type="spellEnd"/>
      <w:r w:rsidRPr="009D7800">
        <w:rPr>
          <w:sz w:val="16"/>
          <w:szCs w:val="16"/>
        </w:rPr>
        <w:t xml:space="preserve">. </w:t>
      </w:r>
      <w:r w:rsidRPr="00B430CC">
        <w:rPr>
          <w:i/>
          <w:sz w:val="16"/>
          <w:szCs w:val="16"/>
        </w:rPr>
        <w:t xml:space="preserve">7 “Expresa también su gran preocupación porque, en algunos países, las condiciones socioeconómicas de los miembros de la familia, especialmente las mujeres y los niños, resultan perjudicadas por la aplicación de medidas coercitivas unilaterales, impuestas y mantenidas en contravención del derecho internacional y de la Carta, que crean obstáculos a las relaciones comerciales entre los Estados, restringen la circulación en los diversos medios de transporte, impiden el pleno desarrollo social y económico y menoscaban el bienestar de la población de los países afectados, con consecuencias especialmente negativas para las mujeres, los niños, incluidos los adolescentes, los ancianos y </w:t>
      </w:r>
      <w:r w:rsidRPr="000A0878">
        <w:rPr>
          <w:i/>
          <w:sz w:val="16"/>
          <w:szCs w:val="16"/>
        </w:rPr>
        <w:t>las personas con discapacidad.”</w:t>
      </w:r>
      <w:r>
        <w:rPr>
          <w:b/>
          <w:sz w:val="16"/>
          <w:szCs w:val="16"/>
        </w:rPr>
        <w:t xml:space="preserve"> </w:t>
      </w:r>
      <w:r>
        <w:rPr>
          <w:sz w:val="16"/>
          <w:szCs w:val="16"/>
        </w:rPr>
        <w:t>(Destacado añadido).</w:t>
      </w:r>
    </w:p>
  </w:footnote>
  <w:footnote w:id="26">
    <w:p w14:paraId="54F1643F" w14:textId="77777777" w:rsidR="00E5009D" w:rsidRPr="009F7D2A" w:rsidRDefault="00E5009D" w:rsidP="003E12A0">
      <w:pPr>
        <w:pStyle w:val="Textonotapie"/>
        <w:rPr>
          <w:sz w:val="16"/>
          <w:szCs w:val="16"/>
        </w:rPr>
      </w:pPr>
      <w:r>
        <w:rPr>
          <w:sz w:val="16"/>
          <w:szCs w:val="16"/>
        </w:rPr>
        <w:tab/>
      </w:r>
      <w:r w:rsidRPr="000D088F">
        <w:rPr>
          <w:rStyle w:val="Refdenotaalpie"/>
          <w:sz w:val="16"/>
          <w:szCs w:val="16"/>
        </w:rPr>
        <w:footnoteRef/>
      </w:r>
      <w:r w:rsidRPr="000D088F">
        <w:rPr>
          <w:sz w:val="16"/>
          <w:szCs w:val="16"/>
        </w:rPr>
        <w:t xml:space="preserve"> </w:t>
      </w:r>
      <w:r>
        <w:rPr>
          <w:sz w:val="16"/>
          <w:szCs w:val="16"/>
        </w:rPr>
        <w:tab/>
      </w:r>
      <w:r w:rsidRPr="009F7D2A">
        <w:rPr>
          <w:sz w:val="16"/>
          <w:szCs w:val="16"/>
        </w:rPr>
        <w:t xml:space="preserve">Acuerdo de Sala Plena del </w:t>
      </w:r>
      <w:proofErr w:type="spellStart"/>
      <w:r w:rsidRPr="009F7D2A">
        <w:rPr>
          <w:sz w:val="16"/>
          <w:szCs w:val="16"/>
        </w:rPr>
        <w:t>TSJ</w:t>
      </w:r>
      <w:proofErr w:type="spellEnd"/>
      <w:r w:rsidRPr="009F7D2A">
        <w:rPr>
          <w:sz w:val="16"/>
          <w:szCs w:val="16"/>
        </w:rPr>
        <w:t xml:space="preserve"> del 3 de abril de 2013.</w:t>
      </w:r>
    </w:p>
  </w:footnote>
  <w:footnote w:id="27">
    <w:p w14:paraId="4B9FA2EC" w14:textId="77777777" w:rsidR="00E5009D" w:rsidRPr="002C498F" w:rsidRDefault="00E5009D" w:rsidP="003E12A0">
      <w:pPr>
        <w:pStyle w:val="Textonotapie"/>
        <w:rPr>
          <w:sz w:val="16"/>
          <w:szCs w:val="16"/>
          <w:lang w:val="es-ES_tradnl"/>
        </w:rPr>
      </w:pPr>
      <w:r>
        <w:rPr>
          <w:sz w:val="16"/>
          <w:szCs w:val="16"/>
        </w:rPr>
        <w:tab/>
      </w:r>
      <w:r w:rsidRPr="002C498F">
        <w:rPr>
          <w:rStyle w:val="Refdenotaalpie"/>
          <w:sz w:val="16"/>
          <w:szCs w:val="16"/>
        </w:rPr>
        <w:footnoteRef/>
      </w:r>
      <w:r w:rsidRPr="002C498F">
        <w:rPr>
          <w:sz w:val="16"/>
          <w:szCs w:val="16"/>
        </w:rPr>
        <w:t xml:space="preserve"> </w:t>
      </w:r>
      <w:r>
        <w:rPr>
          <w:sz w:val="16"/>
          <w:szCs w:val="16"/>
        </w:rPr>
        <w:tab/>
      </w:r>
      <w:r w:rsidRPr="002C498F">
        <w:rPr>
          <w:sz w:val="16"/>
          <w:szCs w:val="16"/>
        </w:rPr>
        <w:t xml:space="preserve">Publicado en la </w:t>
      </w:r>
      <w:r w:rsidRPr="00054D51">
        <w:rPr>
          <w:i/>
          <w:sz w:val="16"/>
          <w:szCs w:val="16"/>
          <w:lang w:val="es-ES_tradnl"/>
        </w:rPr>
        <w:t>Gaceta Oficial</w:t>
      </w:r>
      <w:r w:rsidRPr="002C498F">
        <w:rPr>
          <w:sz w:val="16"/>
          <w:szCs w:val="16"/>
          <w:lang w:val="es-ES_tradnl"/>
        </w:rPr>
        <w:t xml:space="preserve"> </w:t>
      </w:r>
      <w:proofErr w:type="spellStart"/>
      <w:r w:rsidRPr="002C498F">
        <w:rPr>
          <w:sz w:val="16"/>
          <w:szCs w:val="16"/>
          <w:lang w:val="es-ES_tradnl"/>
        </w:rPr>
        <w:t>Nº</w:t>
      </w:r>
      <w:proofErr w:type="spellEnd"/>
      <w:r w:rsidRPr="002C498F">
        <w:rPr>
          <w:sz w:val="16"/>
          <w:szCs w:val="16"/>
          <w:lang w:val="es-ES_tradnl"/>
        </w:rPr>
        <w:t xml:space="preserve"> 40.212 de fecha 22 de julio de 2013.</w:t>
      </w:r>
    </w:p>
  </w:footnote>
  <w:footnote w:id="28">
    <w:p w14:paraId="463A1000" w14:textId="77777777" w:rsidR="00E5009D" w:rsidRPr="00B14212" w:rsidRDefault="00E5009D" w:rsidP="003E12A0">
      <w:pPr>
        <w:pStyle w:val="Textonotapie"/>
        <w:rPr>
          <w:sz w:val="16"/>
          <w:szCs w:val="16"/>
        </w:rPr>
      </w:pPr>
      <w:r>
        <w:rPr>
          <w:sz w:val="16"/>
          <w:szCs w:val="16"/>
        </w:rPr>
        <w:tab/>
      </w:r>
      <w:r w:rsidRPr="00B14212">
        <w:rPr>
          <w:rStyle w:val="Refdenotaalpie"/>
          <w:sz w:val="16"/>
          <w:szCs w:val="16"/>
        </w:rPr>
        <w:footnoteRef/>
      </w:r>
      <w:r w:rsidRPr="00B14212">
        <w:rPr>
          <w:sz w:val="16"/>
          <w:szCs w:val="16"/>
        </w:rPr>
        <w:t xml:space="preserve"> </w:t>
      </w:r>
      <w:r>
        <w:rPr>
          <w:sz w:val="16"/>
          <w:szCs w:val="16"/>
        </w:rPr>
        <w:tab/>
      </w:r>
      <w:r w:rsidRPr="00B14212">
        <w:rPr>
          <w:sz w:val="16"/>
          <w:szCs w:val="16"/>
        </w:rPr>
        <w:t>Providencia Administrativa Comisión Nacional de Telecomunicaciones de fecha 1 de septiembre de 2006</w:t>
      </w:r>
      <w:r>
        <w:rPr>
          <w:sz w:val="16"/>
          <w:szCs w:val="16"/>
        </w:rPr>
        <w:t>.</w:t>
      </w:r>
    </w:p>
  </w:footnote>
  <w:footnote w:id="29">
    <w:p w14:paraId="3C84A8CA" w14:textId="77777777" w:rsidR="00E5009D" w:rsidRPr="004B2D16" w:rsidRDefault="00E5009D" w:rsidP="007B47F6">
      <w:pPr>
        <w:pStyle w:val="Textonotapie"/>
        <w:rPr>
          <w:sz w:val="16"/>
          <w:szCs w:val="16"/>
        </w:rPr>
      </w:pPr>
      <w:r>
        <w:rPr>
          <w:sz w:val="16"/>
          <w:szCs w:val="16"/>
        </w:rPr>
        <w:tab/>
      </w:r>
      <w:r w:rsidRPr="00AA1F57">
        <w:rPr>
          <w:rStyle w:val="Refdenotaalpie"/>
          <w:sz w:val="16"/>
          <w:szCs w:val="16"/>
        </w:rPr>
        <w:footnoteRef/>
      </w:r>
      <w:r w:rsidRPr="00AA1F57">
        <w:rPr>
          <w:sz w:val="16"/>
          <w:szCs w:val="16"/>
        </w:rPr>
        <w:t xml:space="preserve"> </w:t>
      </w:r>
      <w:r>
        <w:rPr>
          <w:sz w:val="16"/>
          <w:szCs w:val="16"/>
        </w:rPr>
        <w:tab/>
      </w:r>
      <w:r w:rsidRPr="00AA1F57">
        <w:rPr>
          <w:sz w:val="16"/>
          <w:szCs w:val="16"/>
        </w:rPr>
        <w:t>Publicad</w:t>
      </w:r>
      <w:r>
        <w:rPr>
          <w:sz w:val="16"/>
          <w:szCs w:val="16"/>
        </w:rPr>
        <w:t>a</w:t>
      </w:r>
      <w:r w:rsidRPr="00AA1F57">
        <w:rPr>
          <w:sz w:val="16"/>
          <w:szCs w:val="16"/>
        </w:rPr>
        <w:t xml:space="preserve"> en la Gaceta Oficial de la República Bolivariana de Venezuela </w:t>
      </w:r>
      <w:proofErr w:type="spellStart"/>
      <w:r w:rsidRPr="00AA1F57">
        <w:rPr>
          <w:sz w:val="16"/>
          <w:szCs w:val="16"/>
        </w:rPr>
        <w:t>N°</w:t>
      </w:r>
      <w:proofErr w:type="spellEnd"/>
      <w:r w:rsidRPr="00AA1F57">
        <w:rPr>
          <w:sz w:val="16"/>
          <w:szCs w:val="16"/>
        </w:rPr>
        <w:t xml:space="preserve"> 39.264, de fecha 15 de septiembre </w:t>
      </w:r>
      <w:proofErr w:type="gramStart"/>
      <w:r w:rsidRPr="00AA1F57">
        <w:rPr>
          <w:sz w:val="16"/>
          <w:szCs w:val="16"/>
        </w:rPr>
        <w:t>de</w:t>
      </w:r>
      <w:r>
        <w:rPr>
          <w:sz w:val="16"/>
          <w:szCs w:val="16"/>
        </w:rPr>
        <w:t> </w:t>
      </w:r>
      <w:r w:rsidRPr="00AA1F57">
        <w:rPr>
          <w:sz w:val="16"/>
          <w:szCs w:val="16"/>
        </w:rPr>
        <w:t xml:space="preserve"> 2009</w:t>
      </w:r>
      <w:proofErr w:type="gramEnd"/>
      <w:r>
        <w:rPr>
          <w:sz w:val="16"/>
          <w:szCs w:val="16"/>
        </w:rPr>
        <w:t>.</w:t>
      </w:r>
    </w:p>
  </w:footnote>
  <w:footnote w:id="30">
    <w:p w14:paraId="484C3096" w14:textId="77777777" w:rsidR="00E5009D" w:rsidRPr="00CD20EF" w:rsidRDefault="00E5009D" w:rsidP="003E12A0">
      <w:pPr>
        <w:pStyle w:val="Textonotapie"/>
        <w:rPr>
          <w:sz w:val="16"/>
          <w:szCs w:val="16"/>
        </w:rPr>
      </w:pPr>
      <w:r>
        <w:rPr>
          <w:sz w:val="16"/>
          <w:szCs w:val="16"/>
        </w:rPr>
        <w:tab/>
      </w:r>
      <w:r w:rsidRPr="00CA43DC">
        <w:rPr>
          <w:rStyle w:val="Refdenotaalpie"/>
          <w:sz w:val="16"/>
          <w:szCs w:val="16"/>
        </w:rPr>
        <w:footnoteRef/>
      </w:r>
      <w:r w:rsidRPr="00CA43DC">
        <w:rPr>
          <w:sz w:val="16"/>
          <w:szCs w:val="16"/>
        </w:rPr>
        <w:t xml:space="preserve"> </w:t>
      </w:r>
      <w:r>
        <w:rPr>
          <w:sz w:val="16"/>
          <w:szCs w:val="16"/>
        </w:rPr>
        <w:tab/>
        <w:t>Publi</w:t>
      </w:r>
      <w:r w:rsidRPr="00CD20EF">
        <w:rPr>
          <w:sz w:val="16"/>
          <w:szCs w:val="16"/>
        </w:rPr>
        <w:t xml:space="preserve">cado en </w:t>
      </w:r>
      <w:r w:rsidRPr="00054D51">
        <w:rPr>
          <w:i/>
          <w:sz w:val="16"/>
          <w:szCs w:val="16"/>
        </w:rPr>
        <w:t>Gaceta Oficial</w:t>
      </w:r>
      <w:r w:rsidRPr="00CD20EF">
        <w:rPr>
          <w:sz w:val="16"/>
          <w:szCs w:val="16"/>
        </w:rPr>
        <w:t xml:space="preserve"> </w:t>
      </w:r>
      <w:proofErr w:type="spellStart"/>
      <w:r w:rsidRPr="00CD20EF">
        <w:rPr>
          <w:sz w:val="16"/>
          <w:szCs w:val="16"/>
        </w:rPr>
        <w:t>N°</w:t>
      </w:r>
      <w:proofErr w:type="spellEnd"/>
      <w:r w:rsidRPr="00CD20EF">
        <w:rPr>
          <w:sz w:val="16"/>
          <w:szCs w:val="16"/>
        </w:rPr>
        <w:t xml:space="preserve"> 41.221 del 24 de agosto de 2017</w:t>
      </w:r>
      <w:r>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378A3" w14:textId="77777777" w:rsidR="00E5009D" w:rsidRPr="001A4396" w:rsidRDefault="00E5009D">
    <w:pPr>
      <w:pStyle w:val="Encabezado"/>
    </w:pPr>
    <w:proofErr w:type="spellStart"/>
    <w:r>
      <w:t>CRPD</w:t>
    </w:r>
    <w:proofErr w:type="spellEnd"/>
    <w:r>
      <w:t>/C/VEN/</w:t>
    </w:r>
    <w:proofErr w:type="spellStart"/>
    <w:r>
      <w:t>RQ</w:t>
    </w:r>
    <w:proofErr w:type="spellEnd"/>
    <w: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C7381" w14:textId="77777777" w:rsidR="00E5009D" w:rsidRPr="00935A0B" w:rsidRDefault="00E5009D" w:rsidP="00935A0B">
    <w:pPr>
      <w:pStyle w:val="Encabezado"/>
      <w:jc w:val="right"/>
      <w:rPr>
        <w:u w:val="double"/>
      </w:rPr>
    </w:pPr>
    <w:proofErr w:type="spellStart"/>
    <w:r>
      <w:t>CRPD</w:t>
    </w:r>
    <w:proofErr w:type="spellEnd"/>
    <w:r>
      <w:t>/C/VEN/</w:t>
    </w:r>
    <w:proofErr w:type="spellStart"/>
    <w:r>
      <w:t>RQ</w:t>
    </w:r>
    <w:proofErr w:type="spellEnd"/>
    <w: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BCAD0" w14:textId="77777777" w:rsidR="00E5009D" w:rsidRDefault="00E5009D" w:rsidP="00A711FB">
    <w:pPr>
      <w:pStyle w:val="Encabezado"/>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0000003"/>
    <w:multiLevelType w:val="multilevel"/>
    <w:tmpl w:val="00000003"/>
    <w:name w:val="WWNum6"/>
    <w:lvl w:ilvl="0">
      <w:start w:val="1"/>
      <w:numFmt w:val="decimal"/>
      <w:lvlText w:val="%1."/>
      <w:lvlJc w:val="left"/>
      <w:pPr>
        <w:tabs>
          <w:tab w:val="num" w:pos="0"/>
        </w:tabs>
        <w:ind w:left="720" w:hanging="360"/>
      </w:pPr>
      <w:rPr>
        <w:rFonts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15:restartNumberingAfterBreak="0">
    <w:nsid w:val="00000004"/>
    <w:multiLevelType w:val="multilevel"/>
    <w:tmpl w:val="00000004"/>
    <w:name w:val="WWNum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15:restartNumberingAfterBreak="0">
    <w:nsid w:val="00000005"/>
    <w:multiLevelType w:val="multilevel"/>
    <w:tmpl w:val="4AFC3886"/>
    <w:name w:val="WW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15:restartNumberingAfterBreak="0">
    <w:nsid w:val="00000006"/>
    <w:multiLevelType w:val="multilevel"/>
    <w:tmpl w:val="888257D6"/>
    <w:name w:val="WW8Num6"/>
    <w:lvl w:ilvl="0">
      <w:start w:val="1"/>
      <w:numFmt w:val="decimal"/>
      <w:lvlText w:val="%1."/>
      <w:lvlJc w:val="left"/>
      <w:pPr>
        <w:tabs>
          <w:tab w:val="num" w:pos="777"/>
        </w:tabs>
        <w:ind w:left="777" w:hanging="360"/>
      </w:pPr>
      <w:rPr>
        <w:rFonts w:ascii="Symbol" w:hAnsi="Symbol" w:cs="OpenSymbol" w:hint="default"/>
        <w:b w:val="0"/>
        <w:bCs w:val="0"/>
        <w:i w:val="0"/>
        <w:iCs w:val="0"/>
        <w:color w:val="000000"/>
        <w:sz w:val="24"/>
        <w:szCs w:val="24"/>
        <w:lang w:val="es-ES" w:eastAsia="es-VE"/>
      </w:rPr>
    </w:lvl>
    <w:lvl w:ilvl="1">
      <w:start w:val="1"/>
      <w:numFmt w:val="decimal"/>
      <w:lvlText w:val="%2."/>
      <w:lvlJc w:val="left"/>
      <w:pPr>
        <w:tabs>
          <w:tab w:val="num" w:pos="1137"/>
        </w:tabs>
        <w:ind w:left="1137" w:hanging="360"/>
      </w:pPr>
      <w:rPr>
        <w:rFonts w:ascii="OpenSymbol" w:hAnsi="OpenSymbol" w:cs="OpenSymbol"/>
      </w:rPr>
    </w:lvl>
    <w:lvl w:ilvl="2">
      <w:start w:val="1"/>
      <w:numFmt w:val="decimal"/>
      <w:lvlText w:val="%3."/>
      <w:lvlJc w:val="left"/>
      <w:pPr>
        <w:tabs>
          <w:tab w:val="num" w:pos="1497"/>
        </w:tabs>
        <w:ind w:left="1497" w:hanging="360"/>
      </w:pPr>
      <w:rPr>
        <w:rFonts w:ascii="Wingdings" w:hAnsi="Wingdings" w:cs="Wingdings"/>
      </w:rPr>
    </w:lvl>
    <w:lvl w:ilvl="3">
      <w:start w:val="1"/>
      <w:numFmt w:val="decimal"/>
      <w:lvlText w:val="%4."/>
      <w:lvlJc w:val="left"/>
      <w:pPr>
        <w:tabs>
          <w:tab w:val="num" w:pos="1857"/>
        </w:tabs>
        <w:ind w:left="1857" w:hanging="360"/>
      </w:pPr>
    </w:lvl>
    <w:lvl w:ilvl="4">
      <w:start w:val="1"/>
      <w:numFmt w:val="decimal"/>
      <w:lvlText w:val="%5."/>
      <w:lvlJc w:val="left"/>
      <w:pPr>
        <w:tabs>
          <w:tab w:val="num" w:pos="2217"/>
        </w:tabs>
        <w:ind w:left="2217" w:hanging="360"/>
      </w:pPr>
    </w:lvl>
    <w:lvl w:ilvl="5">
      <w:start w:val="1"/>
      <w:numFmt w:val="decimal"/>
      <w:lvlText w:val="%6."/>
      <w:lvlJc w:val="left"/>
      <w:pPr>
        <w:tabs>
          <w:tab w:val="num" w:pos="2577"/>
        </w:tabs>
        <w:ind w:left="2577" w:hanging="360"/>
      </w:pPr>
    </w:lvl>
    <w:lvl w:ilvl="6">
      <w:start w:val="1"/>
      <w:numFmt w:val="decimal"/>
      <w:lvlText w:val="%7."/>
      <w:lvlJc w:val="left"/>
      <w:pPr>
        <w:tabs>
          <w:tab w:val="num" w:pos="2937"/>
        </w:tabs>
        <w:ind w:left="2937" w:hanging="360"/>
      </w:pPr>
    </w:lvl>
    <w:lvl w:ilvl="7">
      <w:start w:val="1"/>
      <w:numFmt w:val="decimal"/>
      <w:lvlText w:val="%8."/>
      <w:lvlJc w:val="left"/>
      <w:pPr>
        <w:tabs>
          <w:tab w:val="num" w:pos="3297"/>
        </w:tabs>
        <w:ind w:left="3297" w:hanging="360"/>
      </w:pPr>
    </w:lvl>
    <w:lvl w:ilvl="8">
      <w:start w:val="1"/>
      <w:numFmt w:val="decimal"/>
      <w:lvlText w:val="%9."/>
      <w:lvlJc w:val="left"/>
      <w:pPr>
        <w:tabs>
          <w:tab w:val="num" w:pos="3657"/>
        </w:tabs>
        <w:ind w:left="3657" w:hanging="360"/>
      </w:pPr>
    </w:lvl>
  </w:abstractNum>
  <w:abstractNum w:abstractNumId="14" w15:restartNumberingAfterBreak="0">
    <w:nsid w:val="00000008"/>
    <w:multiLevelType w:val="multilevel"/>
    <w:tmpl w:val="00000008"/>
    <w:name w:val="WW8Num8"/>
    <w:lvl w:ilvl="0">
      <w:start w:val="1"/>
      <w:numFmt w:val="bullet"/>
      <w:lvlText w:val=""/>
      <w:lvlJc w:val="left"/>
      <w:pPr>
        <w:tabs>
          <w:tab w:val="num" w:pos="777"/>
        </w:tabs>
        <w:ind w:left="777" w:hanging="360"/>
      </w:pPr>
      <w:rPr>
        <w:rFonts w:ascii="Symbol" w:hAnsi="Symbol" w:cs="OpenSymbol"/>
        <w:sz w:val="24"/>
        <w:szCs w:val="24"/>
        <w:lang w:val="es-ES" w:eastAsia="es-VE"/>
      </w:rPr>
    </w:lvl>
    <w:lvl w:ilvl="1">
      <w:start w:val="1"/>
      <w:numFmt w:val="bullet"/>
      <w:lvlText w:val="◦"/>
      <w:lvlJc w:val="left"/>
      <w:pPr>
        <w:tabs>
          <w:tab w:val="num" w:pos="1137"/>
        </w:tabs>
        <w:ind w:left="1137" w:hanging="360"/>
      </w:pPr>
      <w:rPr>
        <w:rFonts w:ascii="OpenSymbol" w:hAnsi="OpenSymbol"/>
      </w:rPr>
    </w:lvl>
    <w:lvl w:ilvl="2">
      <w:start w:val="1"/>
      <w:numFmt w:val="bullet"/>
      <w:lvlText w:val="▪"/>
      <w:lvlJc w:val="left"/>
      <w:pPr>
        <w:tabs>
          <w:tab w:val="num" w:pos="1497"/>
        </w:tabs>
        <w:ind w:left="1497" w:hanging="360"/>
      </w:pPr>
      <w:rPr>
        <w:rFonts w:ascii="OpenSymbol" w:hAnsi="OpenSymbol"/>
      </w:rPr>
    </w:lvl>
    <w:lvl w:ilvl="3">
      <w:start w:val="1"/>
      <w:numFmt w:val="bullet"/>
      <w:lvlText w:val=""/>
      <w:lvlJc w:val="left"/>
      <w:pPr>
        <w:tabs>
          <w:tab w:val="num" w:pos="1857"/>
        </w:tabs>
        <w:ind w:left="1857" w:hanging="360"/>
      </w:pPr>
      <w:rPr>
        <w:rFonts w:ascii="Symbol" w:hAnsi="Symbol" w:cs="OpenSymbol"/>
        <w:sz w:val="24"/>
        <w:szCs w:val="24"/>
        <w:lang w:val="es-ES" w:eastAsia="es-VE"/>
      </w:rPr>
    </w:lvl>
    <w:lvl w:ilvl="4">
      <w:start w:val="1"/>
      <w:numFmt w:val="bullet"/>
      <w:lvlText w:val="◦"/>
      <w:lvlJc w:val="left"/>
      <w:pPr>
        <w:tabs>
          <w:tab w:val="num" w:pos="2217"/>
        </w:tabs>
        <w:ind w:left="2217" w:hanging="360"/>
      </w:pPr>
      <w:rPr>
        <w:rFonts w:ascii="OpenSymbol" w:hAnsi="OpenSymbol"/>
      </w:rPr>
    </w:lvl>
    <w:lvl w:ilvl="5">
      <w:start w:val="1"/>
      <w:numFmt w:val="bullet"/>
      <w:lvlText w:val="▪"/>
      <w:lvlJc w:val="left"/>
      <w:pPr>
        <w:tabs>
          <w:tab w:val="num" w:pos="2577"/>
        </w:tabs>
        <w:ind w:left="2577" w:hanging="360"/>
      </w:pPr>
      <w:rPr>
        <w:rFonts w:ascii="OpenSymbol" w:hAnsi="OpenSymbol"/>
      </w:rPr>
    </w:lvl>
    <w:lvl w:ilvl="6">
      <w:start w:val="1"/>
      <w:numFmt w:val="bullet"/>
      <w:lvlText w:val=""/>
      <w:lvlJc w:val="left"/>
      <w:pPr>
        <w:tabs>
          <w:tab w:val="num" w:pos="2937"/>
        </w:tabs>
        <w:ind w:left="2937" w:hanging="360"/>
      </w:pPr>
      <w:rPr>
        <w:rFonts w:ascii="Symbol" w:hAnsi="Symbol" w:cs="OpenSymbol"/>
        <w:sz w:val="24"/>
        <w:szCs w:val="24"/>
        <w:lang w:val="es-ES" w:eastAsia="es-VE"/>
      </w:rPr>
    </w:lvl>
    <w:lvl w:ilvl="7">
      <w:start w:val="1"/>
      <w:numFmt w:val="bullet"/>
      <w:lvlText w:val="◦"/>
      <w:lvlJc w:val="left"/>
      <w:pPr>
        <w:tabs>
          <w:tab w:val="num" w:pos="3297"/>
        </w:tabs>
        <w:ind w:left="3297" w:hanging="360"/>
      </w:pPr>
      <w:rPr>
        <w:rFonts w:ascii="OpenSymbol" w:hAnsi="OpenSymbol"/>
      </w:rPr>
    </w:lvl>
    <w:lvl w:ilvl="8">
      <w:start w:val="1"/>
      <w:numFmt w:val="bullet"/>
      <w:lvlText w:val="▪"/>
      <w:lvlJc w:val="left"/>
      <w:pPr>
        <w:tabs>
          <w:tab w:val="num" w:pos="3657"/>
        </w:tabs>
        <w:ind w:left="3657" w:hanging="360"/>
      </w:pPr>
      <w:rPr>
        <w:rFonts w:ascii="OpenSymbol" w:hAnsi="OpenSymbol"/>
      </w:rPr>
    </w:lvl>
  </w:abstractNum>
  <w:abstractNum w:abstractNumId="15" w15:restartNumberingAfterBreak="0">
    <w:nsid w:val="00000009"/>
    <w:multiLevelType w:val="multilevel"/>
    <w:tmpl w:val="00000009"/>
    <w:name w:val="WW8Num9"/>
    <w:lvl w:ilvl="0">
      <w:start w:val="1"/>
      <w:numFmt w:val="bullet"/>
      <w:lvlText w:val=""/>
      <w:lvlJc w:val="left"/>
      <w:pPr>
        <w:tabs>
          <w:tab w:val="num" w:pos="777"/>
        </w:tabs>
        <w:ind w:left="777" w:hanging="360"/>
      </w:pPr>
      <w:rPr>
        <w:rFonts w:ascii="Symbol" w:hAnsi="Symbol" w:cs="OpenSymbol"/>
        <w:bCs/>
        <w:i/>
        <w:iCs/>
        <w:sz w:val="20"/>
        <w:szCs w:val="20"/>
        <w:lang w:eastAsia="es-VE"/>
      </w:rPr>
    </w:lvl>
    <w:lvl w:ilvl="1">
      <w:start w:val="1"/>
      <w:numFmt w:val="bullet"/>
      <w:lvlText w:val="◦"/>
      <w:lvlJc w:val="left"/>
      <w:pPr>
        <w:tabs>
          <w:tab w:val="num" w:pos="1137"/>
        </w:tabs>
        <w:ind w:left="1137" w:hanging="360"/>
      </w:pPr>
      <w:rPr>
        <w:rFonts w:ascii="OpenSymbol" w:hAnsi="OpenSymbol"/>
      </w:rPr>
    </w:lvl>
    <w:lvl w:ilvl="2">
      <w:start w:val="1"/>
      <w:numFmt w:val="bullet"/>
      <w:lvlText w:val="▪"/>
      <w:lvlJc w:val="left"/>
      <w:pPr>
        <w:tabs>
          <w:tab w:val="num" w:pos="1497"/>
        </w:tabs>
        <w:ind w:left="1497" w:hanging="360"/>
      </w:pPr>
      <w:rPr>
        <w:rFonts w:ascii="OpenSymbol" w:hAnsi="OpenSymbol"/>
      </w:rPr>
    </w:lvl>
    <w:lvl w:ilvl="3">
      <w:start w:val="1"/>
      <w:numFmt w:val="bullet"/>
      <w:lvlText w:val=""/>
      <w:lvlJc w:val="left"/>
      <w:pPr>
        <w:tabs>
          <w:tab w:val="num" w:pos="1857"/>
        </w:tabs>
        <w:ind w:left="1857" w:hanging="360"/>
      </w:pPr>
      <w:rPr>
        <w:rFonts w:ascii="Symbol" w:hAnsi="Symbol" w:cs="OpenSymbol"/>
        <w:bCs/>
        <w:i/>
        <w:iCs/>
        <w:sz w:val="20"/>
        <w:szCs w:val="20"/>
        <w:lang w:eastAsia="es-VE"/>
      </w:rPr>
    </w:lvl>
    <w:lvl w:ilvl="4">
      <w:start w:val="1"/>
      <w:numFmt w:val="bullet"/>
      <w:lvlText w:val="◦"/>
      <w:lvlJc w:val="left"/>
      <w:pPr>
        <w:tabs>
          <w:tab w:val="num" w:pos="2217"/>
        </w:tabs>
        <w:ind w:left="2217" w:hanging="360"/>
      </w:pPr>
      <w:rPr>
        <w:rFonts w:ascii="OpenSymbol" w:hAnsi="OpenSymbol"/>
      </w:rPr>
    </w:lvl>
    <w:lvl w:ilvl="5">
      <w:start w:val="1"/>
      <w:numFmt w:val="bullet"/>
      <w:lvlText w:val="▪"/>
      <w:lvlJc w:val="left"/>
      <w:pPr>
        <w:tabs>
          <w:tab w:val="num" w:pos="2577"/>
        </w:tabs>
        <w:ind w:left="2577" w:hanging="360"/>
      </w:pPr>
      <w:rPr>
        <w:rFonts w:ascii="OpenSymbol" w:hAnsi="OpenSymbol"/>
      </w:rPr>
    </w:lvl>
    <w:lvl w:ilvl="6">
      <w:start w:val="1"/>
      <w:numFmt w:val="bullet"/>
      <w:lvlText w:val=""/>
      <w:lvlJc w:val="left"/>
      <w:pPr>
        <w:tabs>
          <w:tab w:val="num" w:pos="2937"/>
        </w:tabs>
        <w:ind w:left="2937" w:hanging="360"/>
      </w:pPr>
      <w:rPr>
        <w:rFonts w:ascii="Symbol" w:hAnsi="Symbol" w:cs="OpenSymbol"/>
        <w:bCs/>
        <w:i/>
        <w:iCs/>
        <w:sz w:val="20"/>
        <w:szCs w:val="20"/>
        <w:lang w:eastAsia="es-VE"/>
      </w:rPr>
    </w:lvl>
    <w:lvl w:ilvl="7">
      <w:start w:val="1"/>
      <w:numFmt w:val="bullet"/>
      <w:lvlText w:val="◦"/>
      <w:lvlJc w:val="left"/>
      <w:pPr>
        <w:tabs>
          <w:tab w:val="num" w:pos="3297"/>
        </w:tabs>
        <w:ind w:left="3297" w:hanging="360"/>
      </w:pPr>
      <w:rPr>
        <w:rFonts w:ascii="OpenSymbol" w:hAnsi="OpenSymbol"/>
      </w:rPr>
    </w:lvl>
    <w:lvl w:ilvl="8">
      <w:start w:val="1"/>
      <w:numFmt w:val="bullet"/>
      <w:lvlText w:val="▪"/>
      <w:lvlJc w:val="left"/>
      <w:pPr>
        <w:tabs>
          <w:tab w:val="num" w:pos="3657"/>
        </w:tabs>
        <w:ind w:left="3657" w:hanging="360"/>
      </w:pPr>
      <w:rPr>
        <w:rFonts w:ascii="OpenSymbol" w:hAnsi="OpenSymbol"/>
      </w:rPr>
    </w:lvl>
  </w:abstractNum>
  <w:abstractNum w:abstractNumId="16" w15:restartNumberingAfterBreak="0">
    <w:nsid w:val="0000000A"/>
    <w:multiLevelType w:val="multilevel"/>
    <w:tmpl w:val="0000000A"/>
    <w:name w:val="WW8Num10"/>
    <w:lvl w:ilvl="0">
      <w:start w:val="1"/>
      <w:numFmt w:val="bullet"/>
      <w:lvlText w:val=""/>
      <w:lvlJc w:val="left"/>
      <w:pPr>
        <w:tabs>
          <w:tab w:val="num" w:pos="777"/>
        </w:tabs>
        <w:ind w:left="777" w:hanging="360"/>
      </w:pPr>
      <w:rPr>
        <w:rFonts w:ascii="Symbol" w:hAnsi="Symbol" w:cs="OpenSymbol"/>
        <w:color w:val="000000"/>
        <w:sz w:val="20"/>
        <w:szCs w:val="20"/>
        <w:lang w:eastAsia="es-VE"/>
      </w:rPr>
    </w:lvl>
    <w:lvl w:ilvl="1">
      <w:start w:val="1"/>
      <w:numFmt w:val="bullet"/>
      <w:lvlText w:val="◦"/>
      <w:lvlJc w:val="left"/>
      <w:pPr>
        <w:tabs>
          <w:tab w:val="num" w:pos="1137"/>
        </w:tabs>
        <w:ind w:left="1137" w:hanging="360"/>
      </w:pPr>
      <w:rPr>
        <w:rFonts w:ascii="OpenSymbol" w:hAnsi="OpenSymbol"/>
      </w:rPr>
    </w:lvl>
    <w:lvl w:ilvl="2">
      <w:start w:val="1"/>
      <w:numFmt w:val="bullet"/>
      <w:lvlText w:val="▪"/>
      <w:lvlJc w:val="left"/>
      <w:pPr>
        <w:tabs>
          <w:tab w:val="num" w:pos="1497"/>
        </w:tabs>
        <w:ind w:left="1497" w:hanging="360"/>
      </w:pPr>
      <w:rPr>
        <w:rFonts w:ascii="OpenSymbol" w:hAnsi="OpenSymbol"/>
      </w:rPr>
    </w:lvl>
    <w:lvl w:ilvl="3">
      <w:start w:val="1"/>
      <w:numFmt w:val="bullet"/>
      <w:lvlText w:val=""/>
      <w:lvlJc w:val="left"/>
      <w:pPr>
        <w:tabs>
          <w:tab w:val="num" w:pos="1857"/>
        </w:tabs>
        <w:ind w:left="1857" w:hanging="360"/>
      </w:pPr>
      <w:rPr>
        <w:rFonts w:ascii="Symbol" w:hAnsi="Symbol" w:cs="OpenSymbol"/>
        <w:color w:val="000000"/>
        <w:sz w:val="20"/>
        <w:szCs w:val="20"/>
        <w:lang w:eastAsia="es-VE"/>
      </w:rPr>
    </w:lvl>
    <w:lvl w:ilvl="4">
      <w:start w:val="1"/>
      <w:numFmt w:val="bullet"/>
      <w:lvlText w:val="◦"/>
      <w:lvlJc w:val="left"/>
      <w:pPr>
        <w:tabs>
          <w:tab w:val="num" w:pos="2217"/>
        </w:tabs>
        <w:ind w:left="2217" w:hanging="360"/>
      </w:pPr>
      <w:rPr>
        <w:rFonts w:ascii="OpenSymbol" w:hAnsi="OpenSymbol"/>
      </w:rPr>
    </w:lvl>
    <w:lvl w:ilvl="5">
      <w:start w:val="1"/>
      <w:numFmt w:val="bullet"/>
      <w:lvlText w:val="▪"/>
      <w:lvlJc w:val="left"/>
      <w:pPr>
        <w:tabs>
          <w:tab w:val="num" w:pos="2577"/>
        </w:tabs>
        <w:ind w:left="2577" w:hanging="360"/>
      </w:pPr>
      <w:rPr>
        <w:rFonts w:ascii="OpenSymbol" w:hAnsi="OpenSymbol"/>
      </w:rPr>
    </w:lvl>
    <w:lvl w:ilvl="6">
      <w:start w:val="1"/>
      <w:numFmt w:val="bullet"/>
      <w:lvlText w:val=""/>
      <w:lvlJc w:val="left"/>
      <w:pPr>
        <w:tabs>
          <w:tab w:val="num" w:pos="2937"/>
        </w:tabs>
        <w:ind w:left="2937" w:hanging="360"/>
      </w:pPr>
      <w:rPr>
        <w:rFonts w:ascii="Symbol" w:hAnsi="Symbol" w:cs="OpenSymbol"/>
        <w:color w:val="000000"/>
        <w:sz w:val="20"/>
        <w:szCs w:val="20"/>
        <w:lang w:eastAsia="es-VE"/>
      </w:rPr>
    </w:lvl>
    <w:lvl w:ilvl="7">
      <w:start w:val="1"/>
      <w:numFmt w:val="bullet"/>
      <w:lvlText w:val="◦"/>
      <w:lvlJc w:val="left"/>
      <w:pPr>
        <w:tabs>
          <w:tab w:val="num" w:pos="3297"/>
        </w:tabs>
        <w:ind w:left="3297" w:hanging="360"/>
      </w:pPr>
      <w:rPr>
        <w:rFonts w:ascii="OpenSymbol" w:hAnsi="OpenSymbol"/>
      </w:rPr>
    </w:lvl>
    <w:lvl w:ilvl="8">
      <w:start w:val="1"/>
      <w:numFmt w:val="bullet"/>
      <w:lvlText w:val="▪"/>
      <w:lvlJc w:val="left"/>
      <w:pPr>
        <w:tabs>
          <w:tab w:val="num" w:pos="3657"/>
        </w:tabs>
        <w:ind w:left="3657" w:hanging="360"/>
      </w:pPr>
      <w:rPr>
        <w:rFonts w:ascii="OpenSymbol" w:hAnsi="OpenSymbol"/>
      </w:rPr>
    </w:lvl>
  </w:abstractNum>
  <w:abstractNum w:abstractNumId="17" w15:restartNumberingAfterBreak="0">
    <w:nsid w:val="0000000B"/>
    <w:multiLevelType w:val="multilevel"/>
    <w:tmpl w:val="0000000B"/>
    <w:name w:val="WW8Num11"/>
    <w:lvl w:ilvl="0">
      <w:start w:val="1"/>
      <w:numFmt w:val="decimal"/>
      <w:lvlText w:val="%1."/>
      <w:lvlJc w:val="left"/>
      <w:pPr>
        <w:tabs>
          <w:tab w:val="num" w:pos="720"/>
        </w:tabs>
        <w:ind w:left="720" w:hanging="360"/>
      </w:pPr>
      <w:rPr>
        <w:rFonts w:ascii="Symbol" w:hAnsi="Symbol" w:cs="OpenSymbol"/>
        <w:b w:val="0"/>
        <w:bCs w:val="0"/>
        <w:i w:val="0"/>
        <w:iCs w:val="0"/>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7340317"/>
    <w:multiLevelType w:val="multilevel"/>
    <w:tmpl w:val="542ED8F2"/>
    <w:lvl w:ilvl="0">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9" w15:restartNumberingAfterBreak="0">
    <w:nsid w:val="0D954887"/>
    <w:multiLevelType w:val="hybridMultilevel"/>
    <w:tmpl w:val="5A48E46A"/>
    <w:lvl w:ilvl="0" w:tplc="63D68F5E">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B282C982" w:tentative="1">
      <w:start w:val="1"/>
      <w:numFmt w:val="lowerLetter"/>
      <w:lvlText w:val="%2."/>
      <w:lvlJc w:val="left"/>
      <w:pPr>
        <w:tabs>
          <w:tab w:val="num" w:pos="1440"/>
        </w:tabs>
        <w:ind w:left="1440" w:hanging="360"/>
      </w:pPr>
    </w:lvl>
    <w:lvl w:ilvl="2" w:tplc="21C26AB8" w:tentative="1">
      <w:start w:val="1"/>
      <w:numFmt w:val="lowerRoman"/>
      <w:lvlText w:val="%3."/>
      <w:lvlJc w:val="right"/>
      <w:pPr>
        <w:tabs>
          <w:tab w:val="num" w:pos="2160"/>
        </w:tabs>
        <w:ind w:left="2160" w:hanging="180"/>
      </w:pPr>
    </w:lvl>
    <w:lvl w:ilvl="3" w:tplc="AA20042A" w:tentative="1">
      <w:start w:val="1"/>
      <w:numFmt w:val="decimal"/>
      <w:lvlText w:val="%4."/>
      <w:lvlJc w:val="left"/>
      <w:pPr>
        <w:tabs>
          <w:tab w:val="num" w:pos="2880"/>
        </w:tabs>
        <w:ind w:left="2880" w:hanging="360"/>
      </w:pPr>
    </w:lvl>
    <w:lvl w:ilvl="4" w:tplc="2DEC2C96" w:tentative="1">
      <w:start w:val="1"/>
      <w:numFmt w:val="lowerLetter"/>
      <w:lvlText w:val="%5."/>
      <w:lvlJc w:val="left"/>
      <w:pPr>
        <w:tabs>
          <w:tab w:val="num" w:pos="3600"/>
        </w:tabs>
        <w:ind w:left="3600" w:hanging="360"/>
      </w:pPr>
    </w:lvl>
    <w:lvl w:ilvl="5" w:tplc="00CC1012" w:tentative="1">
      <w:start w:val="1"/>
      <w:numFmt w:val="lowerRoman"/>
      <w:lvlText w:val="%6."/>
      <w:lvlJc w:val="right"/>
      <w:pPr>
        <w:tabs>
          <w:tab w:val="num" w:pos="4320"/>
        </w:tabs>
        <w:ind w:left="4320" w:hanging="180"/>
      </w:pPr>
    </w:lvl>
    <w:lvl w:ilvl="6" w:tplc="EFC63E8E" w:tentative="1">
      <w:start w:val="1"/>
      <w:numFmt w:val="decimal"/>
      <w:lvlText w:val="%7."/>
      <w:lvlJc w:val="left"/>
      <w:pPr>
        <w:tabs>
          <w:tab w:val="num" w:pos="5040"/>
        </w:tabs>
        <w:ind w:left="5040" w:hanging="360"/>
      </w:pPr>
    </w:lvl>
    <w:lvl w:ilvl="7" w:tplc="283CEAC8" w:tentative="1">
      <w:start w:val="1"/>
      <w:numFmt w:val="lowerLetter"/>
      <w:lvlText w:val="%8."/>
      <w:lvlJc w:val="left"/>
      <w:pPr>
        <w:tabs>
          <w:tab w:val="num" w:pos="5760"/>
        </w:tabs>
        <w:ind w:left="5760" w:hanging="360"/>
      </w:pPr>
    </w:lvl>
    <w:lvl w:ilvl="8" w:tplc="ABA8D0C8" w:tentative="1">
      <w:start w:val="1"/>
      <w:numFmt w:val="lowerRoman"/>
      <w:lvlText w:val="%9."/>
      <w:lvlJc w:val="right"/>
      <w:pPr>
        <w:tabs>
          <w:tab w:val="num" w:pos="6480"/>
        </w:tabs>
        <w:ind w:left="6480" w:hanging="180"/>
      </w:pPr>
    </w:lvl>
  </w:abstractNum>
  <w:abstractNum w:abstractNumId="20" w15:restartNumberingAfterBreak="0">
    <w:nsid w:val="108749FB"/>
    <w:multiLevelType w:val="hybridMultilevel"/>
    <w:tmpl w:val="DB84E38C"/>
    <w:lvl w:ilvl="0" w:tplc="22D25A7A">
      <w:start w:val="1"/>
      <w:numFmt w:val="decimal"/>
      <w:lvlText w:val="%1."/>
      <w:lvlJc w:val="left"/>
      <w:pPr>
        <w:ind w:left="786" w:hanging="360"/>
      </w:pPr>
      <w:rPr>
        <w:rFonts w:ascii="Times New Roman" w:hAnsi="Times New Roman" w:cs="Times New Roman" w:hint="default"/>
        <w:b w:val="0"/>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1" w15:restartNumberingAfterBreak="0">
    <w:nsid w:val="36A7743B"/>
    <w:multiLevelType w:val="hybridMultilevel"/>
    <w:tmpl w:val="165289D8"/>
    <w:lvl w:ilvl="0" w:tplc="9D1605BA">
      <w:start w:val="1"/>
      <w:numFmt w:val="bullet"/>
      <w:pStyle w:val="Bullet2G"/>
      <w:lvlText w:val="•"/>
      <w:lvlJc w:val="left"/>
      <w:pPr>
        <w:tabs>
          <w:tab w:val="num" w:pos="2268"/>
        </w:tabs>
        <w:ind w:left="2268" w:hanging="170"/>
      </w:pPr>
      <w:rPr>
        <w:rFonts w:ascii="Times New Roman" w:hAnsi="Times New Roman" w:cs="Times New Roman" w:hint="default"/>
      </w:rPr>
    </w:lvl>
    <w:lvl w:ilvl="1" w:tplc="1880464A" w:tentative="1">
      <w:start w:val="1"/>
      <w:numFmt w:val="bullet"/>
      <w:lvlText w:val="o"/>
      <w:lvlJc w:val="left"/>
      <w:pPr>
        <w:tabs>
          <w:tab w:val="num" w:pos="1440"/>
        </w:tabs>
        <w:ind w:left="1440" w:hanging="360"/>
      </w:pPr>
      <w:rPr>
        <w:rFonts w:ascii="Courier New" w:hAnsi="Courier New" w:hint="default"/>
      </w:rPr>
    </w:lvl>
    <w:lvl w:ilvl="2" w:tplc="002C19AC" w:tentative="1">
      <w:start w:val="1"/>
      <w:numFmt w:val="bullet"/>
      <w:lvlText w:val=""/>
      <w:lvlJc w:val="left"/>
      <w:pPr>
        <w:tabs>
          <w:tab w:val="num" w:pos="2160"/>
        </w:tabs>
        <w:ind w:left="2160" w:hanging="360"/>
      </w:pPr>
      <w:rPr>
        <w:rFonts w:ascii="Wingdings" w:hAnsi="Wingdings" w:hint="default"/>
      </w:rPr>
    </w:lvl>
    <w:lvl w:ilvl="3" w:tplc="1C380DE6" w:tentative="1">
      <w:start w:val="1"/>
      <w:numFmt w:val="bullet"/>
      <w:lvlText w:val=""/>
      <w:lvlJc w:val="left"/>
      <w:pPr>
        <w:tabs>
          <w:tab w:val="num" w:pos="2880"/>
        </w:tabs>
        <w:ind w:left="2880" w:hanging="360"/>
      </w:pPr>
      <w:rPr>
        <w:rFonts w:ascii="Symbol" w:hAnsi="Symbol" w:hint="default"/>
      </w:rPr>
    </w:lvl>
    <w:lvl w:ilvl="4" w:tplc="ACFA6AD2" w:tentative="1">
      <w:start w:val="1"/>
      <w:numFmt w:val="bullet"/>
      <w:lvlText w:val="o"/>
      <w:lvlJc w:val="left"/>
      <w:pPr>
        <w:tabs>
          <w:tab w:val="num" w:pos="3600"/>
        </w:tabs>
        <w:ind w:left="3600" w:hanging="360"/>
      </w:pPr>
      <w:rPr>
        <w:rFonts w:ascii="Courier New" w:hAnsi="Courier New" w:hint="default"/>
      </w:rPr>
    </w:lvl>
    <w:lvl w:ilvl="5" w:tplc="6838CB5E" w:tentative="1">
      <w:start w:val="1"/>
      <w:numFmt w:val="bullet"/>
      <w:lvlText w:val=""/>
      <w:lvlJc w:val="left"/>
      <w:pPr>
        <w:tabs>
          <w:tab w:val="num" w:pos="4320"/>
        </w:tabs>
        <w:ind w:left="4320" w:hanging="360"/>
      </w:pPr>
      <w:rPr>
        <w:rFonts w:ascii="Wingdings" w:hAnsi="Wingdings" w:hint="default"/>
      </w:rPr>
    </w:lvl>
    <w:lvl w:ilvl="6" w:tplc="6E368858" w:tentative="1">
      <w:start w:val="1"/>
      <w:numFmt w:val="bullet"/>
      <w:lvlText w:val=""/>
      <w:lvlJc w:val="left"/>
      <w:pPr>
        <w:tabs>
          <w:tab w:val="num" w:pos="5040"/>
        </w:tabs>
        <w:ind w:left="5040" w:hanging="360"/>
      </w:pPr>
      <w:rPr>
        <w:rFonts w:ascii="Symbol" w:hAnsi="Symbol" w:hint="default"/>
      </w:rPr>
    </w:lvl>
    <w:lvl w:ilvl="7" w:tplc="FEE2E036" w:tentative="1">
      <w:start w:val="1"/>
      <w:numFmt w:val="bullet"/>
      <w:lvlText w:val="o"/>
      <w:lvlJc w:val="left"/>
      <w:pPr>
        <w:tabs>
          <w:tab w:val="num" w:pos="5760"/>
        </w:tabs>
        <w:ind w:left="5760" w:hanging="360"/>
      </w:pPr>
      <w:rPr>
        <w:rFonts w:ascii="Courier New" w:hAnsi="Courier New" w:hint="default"/>
      </w:rPr>
    </w:lvl>
    <w:lvl w:ilvl="8" w:tplc="0088DAD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6AFD3DE4"/>
    <w:multiLevelType w:val="hybridMultilevel"/>
    <w:tmpl w:val="569E52D4"/>
    <w:lvl w:ilvl="0" w:tplc="3BF0B760">
      <w:start w:val="1"/>
      <w:numFmt w:val="bullet"/>
      <w:pStyle w:val="Bullet1G"/>
      <w:lvlText w:val="•"/>
      <w:lvlJc w:val="left"/>
      <w:pPr>
        <w:tabs>
          <w:tab w:val="num" w:pos="1701"/>
        </w:tabs>
        <w:ind w:left="1701" w:hanging="170"/>
      </w:pPr>
      <w:rPr>
        <w:rFonts w:ascii="Times New Roman" w:hAnsi="Times New Roman" w:cs="Times New Roman" w:hint="default"/>
      </w:rPr>
    </w:lvl>
    <w:lvl w:ilvl="1" w:tplc="71486C3C" w:tentative="1">
      <w:start w:val="1"/>
      <w:numFmt w:val="bullet"/>
      <w:lvlText w:val="o"/>
      <w:lvlJc w:val="left"/>
      <w:pPr>
        <w:tabs>
          <w:tab w:val="num" w:pos="1440"/>
        </w:tabs>
        <w:ind w:left="1440" w:hanging="360"/>
      </w:pPr>
      <w:rPr>
        <w:rFonts w:ascii="Courier New" w:hAnsi="Courier New" w:hint="default"/>
      </w:rPr>
    </w:lvl>
    <w:lvl w:ilvl="2" w:tplc="D2CC5C16" w:tentative="1">
      <w:start w:val="1"/>
      <w:numFmt w:val="bullet"/>
      <w:lvlText w:val=""/>
      <w:lvlJc w:val="left"/>
      <w:pPr>
        <w:tabs>
          <w:tab w:val="num" w:pos="2160"/>
        </w:tabs>
        <w:ind w:left="2160" w:hanging="360"/>
      </w:pPr>
      <w:rPr>
        <w:rFonts w:ascii="Wingdings" w:hAnsi="Wingdings" w:hint="default"/>
      </w:rPr>
    </w:lvl>
    <w:lvl w:ilvl="3" w:tplc="23E44918" w:tentative="1">
      <w:start w:val="1"/>
      <w:numFmt w:val="bullet"/>
      <w:lvlText w:val=""/>
      <w:lvlJc w:val="left"/>
      <w:pPr>
        <w:tabs>
          <w:tab w:val="num" w:pos="2880"/>
        </w:tabs>
        <w:ind w:left="2880" w:hanging="360"/>
      </w:pPr>
      <w:rPr>
        <w:rFonts w:ascii="Symbol" w:hAnsi="Symbol" w:hint="default"/>
      </w:rPr>
    </w:lvl>
    <w:lvl w:ilvl="4" w:tplc="AE322EA4" w:tentative="1">
      <w:start w:val="1"/>
      <w:numFmt w:val="bullet"/>
      <w:lvlText w:val="o"/>
      <w:lvlJc w:val="left"/>
      <w:pPr>
        <w:tabs>
          <w:tab w:val="num" w:pos="3600"/>
        </w:tabs>
        <w:ind w:left="3600" w:hanging="360"/>
      </w:pPr>
      <w:rPr>
        <w:rFonts w:ascii="Courier New" w:hAnsi="Courier New" w:hint="default"/>
      </w:rPr>
    </w:lvl>
    <w:lvl w:ilvl="5" w:tplc="9D48458C" w:tentative="1">
      <w:start w:val="1"/>
      <w:numFmt w:val="bullet"/>
      <w:lvlText w:val=""/>
      <w:lvlJc w:val="left"/>
      <w:pPr>
        <w:tabs>
          <w:tab w:val="num" w:pos="4320"/>
        </w:tabs>
        <w:ind w:left="4320" w:hanging="360"/>
      </w:pPr>
      <w:rPr>
        <w:rFonts w:ascii="Wingdings" w:hAnsi="Wingdings" w:hint="default"/>
      </w:rPr>
    </w:lvl>
    <w:lvl w:ilvl="6" w:tplc="820A4924" w:tentative="1">
      <w:start w:val="1"/>
      <w:numFmt w:val="bullet"/>
      <w:lvlText w:val=""/>
      <w:lvlJc w:val="left"/>
      <w:pPr>
        <w:tabs>
          <w:tab w:val="num" w:pos="5040"/>
        </w:tabs>
        <w:ind w:left="5040" w:hanging="360"/>
      </w:pPr>
      <w:rPr>
        <w:rFonts w:ascii="Symbol" w:hAnsi="Symbol" w:hint="default"/>
      </w:rPr>
    </w:lvl>
    <w:lvl w:ilvl="7" w:tplc="75907D68" w:tentative="1">
      <w:start w:val="1"/>
      <w:numFmt w:val="bullet"/>
      <w:lvlText w:val="o"/>
      <w:lvlJc w:val="left"/>
      <w:pPr>
        <w:tabs>
          <w:tab w:val="num" w:pos="5760"/>
        </w:tabs>
        <w:ind w:left="5760" w:hanging="360"/>
      </w:pPr>
      <w:rPr>
        <w:rFonts w:ascii="Courier New" w:hAnsi="Courier New" w:hint="default"/>
      </w:rPr>
    </w:lvl>
    <w:lvl w:ilvl="8" w:tplc="7E8EA84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5"/>
  </w:num>
  <w:num w:numId="2">
    <w:abstractNumId w:val="24"/>
  </w:num>
  <w:num w:numId="3">
    <w:abstractNumId w:val="22"/>
  </w:num>
  <w:num w:numId="4">
    <w:abstractNumId w:val="19"/>
  </w:num>
  <w:num w:numId="5">
    <w:abstractNumId w:val="23"/>
  </w:num>
  <w:num w:numId="6">
    <w:abstractNumId w:val="21"/>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8"/>
  </w:num>
  <w:num w:numId="18">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F80"/>
    <w:rsid w:val="000107AA"/>
    <w:rsid w:val="00033EE1"/>
    <w:rsid w:val="00042A57"/>
    <w:rsid w:val="00042B72"/>
    <w:rsid w:val="0004528E"/>
    <w:rsid w:val="00053EA6"/>
    <w:rsid w:val="00054D51"/>
    <w:rsid w:val="000558BD"/>
    <w:rsid w:val="0006499A"/>
    <w:rsid w:val="00077437"/>
    <w:rsid w:val="000A0878"/>
    <w:rsid w:val="000B57E7"/>
    <w:rsid w:val="000B6373"/>
    <w:rsid w:val="000D3664"/>
    <w:rsid w:val="000F09DF"/>
    <w:rsid w:val="000F61B2"/>
    <w:rsid w:val="001075E9"/>
    <w:rsid w:val="001734EB"/>
    <w:rsid w:val="00180183"/>
    <w:rsid w:val="0018024D"/>
    <w:rsid w:val="001813C8"/>
    <w:rsid w:val="0018649F"/>
    <w:rsid w:val="0019429F"/>
    <w:rsid w:val="00196389"/>
    <w:rsid w:val="001A10BF"/>
    <w:rsid w:val="001A4396"/>
    <w:rsid w:val="001B3EF6"/>
    <w:rsid w:val="001C7A89"/>
    <w:rsid w:val="001D1C2F"/>
    <w:rsid w:val="001E1E75"/>
    <w:rsid w:val="001F2819"/>
    <w:rsid w:val="00210ABB"/>
    <w:rsid w:val="00217D6C"/>
    <w:rsid w:val="00223132"/>
    <w:rsid w:val="00251A06"/>
    <w:rsid w:val="002A02C6"/>
    <w:rsid w:val="002A2EFC"/>
    <w:rsid w:val="002B2815"/>
    <w:rsid w:val="002C0E18"/>
    <w:rsid w:val="002C3864"/>
    <w:rsid w:val="002D4172"/>
    <w:rsid w:val="002D4B30"/>
    <w:rsid w:val="002D5AAC"/>
    <w:rsid w:val="002D7768"/>
    <w:rsid w:val="002F405F"/>
    <w:rsid w:val="00301299"/>
    <w:rsid w:val="00307FB6"/>
    <w:rsid w:val="00317339"/>
    <w:rsid w:val="00322004"/>
    <w:rsid w:val="003402C2"/>
    <w:rsid w:val="00376E4E"/>
    <w:rsid w:val="00380F32"/>
    <w:rsid w:val="00381C24"/>
    <w:rsid w:val="003958D0"/>
    <w:rsid w:val="003A3CE4"/>
    <w:rsid w:val="003B00E5"/>
    <w:rsid w:val="003B4D5D"/>
    <w:rsid w:val="003C43C2"/>
    <w:rsid w:val="003D3526"/>
    <w:rsid w:val="003E0332"/>
    <w:rsid w:val="003E12A0"/>
    <w:rsid w:val="003F43D1"/>
    <w:rsid w:val="003F6FF0"/>
    <w:rsid w:val="004070CA"/>
    <w:rsid w:val="00407B78"/>
    <w:rsid w:val="00424203"/>
    <w:rsid w:val="00426D34"/>
    <w:rsid w:val="00435DA5"/>
    <w:rsid w:val="004452DE"/>
    <w:rsid w:val="00454E07"/>
    <w:rsid w:val="00471414"/>
    <w:rsid w:val="004A0E18"/>
    <w:rsid w:val="004B6CC2"/>
    <w:rsid w:val="004D1828"/>
    <w:rsid w:val="004E5744"/>
    <w:rsid w:val="004E715A"/>
    <w:rsid w:val="0050108D"/>
    <w:rsid w:val="00513081"/>
    <w:rsid w:val="005172CB"/>
    <w:rsid w:val="00517901"/>
    <w:rsid w:val="00521DC1"/>
    <w:rsid w:val="00526683"/>
    <w:rsid w:val="005709E0"/>
    <w:rsid w:val="00572E19"/>
    <w:rsid w:val="005961C8"/>
    <w:rsid w:val="005A65A1"/>
    <w:rsid w:val="005B4B9E"/>
    <w:rsid w:val="005D3854"/>
    <w:rsid w:val="005D7914"/>
    <w:rsid w:val="005F0B42"/>
    <w:rsid w:val="00615628"/>
    <w:rsid w:val="00621949"/>
    <w:rsid w:val="006551F6"/>
    <w:rsid w:val="00660281"/>
    <w:rsid w:val="00672ADD"/>
    <w:rsid w:val="00681A10"/>
    <w:rsid w:val="0069292B"/>
    <w:rsid w:val="006C2031"/>
    <w:rsid w:val="006C461A"/>
    <w:rsid w:val="006D317E"/>
    <w:rsid w:val="006D461A"/>
    <w:rsid w:val="006F35EE"/>
    <w:rsid w:val="007021FF"/>
    <w:rsid w:val="00703456"/>
    <w:rsid w:val="00712895"/>
    <w:rsid w:val="00747997"/>
    <w:rsid w:val="00754B77"/>
    <w:rsid w:val="00757357"/>
    <w:rsid w:val="00773B6B"/>
    <w:rsid w:val="007913C6"/>
    <w:rsid w:val="0079691C"/>
    <w:rsid w:val="007B47F6"/>
    <w:rsid w:val="007C333F"/>
    <w:rsid w:val="007E072F"/>
    <w:rsid w:val="007E2C6D"/>
    <w:rsid w:val="00805D1C"/>
    <w:rsid w:val="00825F8D"/>
    <w:rsid w:val="00834B71"/>
    <w:rsid w:val="00841CBA"/>
    <w:rsid w:val="00860A3E"/>
    <w:rsid w:val="0086445C"/>
    <w:rsid w:val="00894693"/>
    <w:rsid w:val="008A08D7"/>
    <w:rsid w:val="008A1078"/>
    <w:rsid w:val="008A3C0A"/>
    <w:rsid w:val="008B6909"/>
    <w:rsid w:val="008D3F2A"/>
    <w:rsid w:val="009063C3"/>
    <w:rsid w:val="00906890"/>
    <w:rsid w:val="00911778"/>
    <w:rsid w:val="00911BE4"/>
    <w:rsid w:val="00935A0B"/>
    <w:rsid w:val="009420E0"/>
    <w:rsid w:val="00950D81"/>
    <w:rsid w:val="00951972"/>
    <w:rsid w:val="00953B31"/>
    <w:rsid w:val="009608F3"/>
    <w:rsid w:val="009713BE"/>
    <w:rsid w:val="009874BF"/>
    <w:rsid w:val="0099696A"/>
    <w:rsid w:val="009B5694"/>
    <w:rsid w:val="009C65AA"/>
    <w:rsid w:val="00A07F47"/>
    <w:rsid w:val="00A27241"/>
    <w:rsid w:val="00A32382"/>
    <w:rsid w:val="00A44B2D"/>
    <w:rsid w:val="00A56A9C"/>
    <w:rsid w:val="00A711FB"/>
    <w:rsid w:val="00A84021"/>
    <w:rsid w:val="00A86F80"/>
    <w:rsid w:val="00A90C2B"/>
    <w:rsid w:val="00A91137"/>
    <w:rsid w:val="00A917B3"/>
    <w:rsid w:val="00A93561"/>
    <w:rsid w:val="00AB0964"/>
    <w:rsid w:val="00AB4B51"/>
    <w:rsid w:val="00AC7B31"/>
    <w:rsid w:val="00AD676C"/>
    <w:rsid w:val="00AE5F3B"/>
    <w:rsid w:val="00B04937"/>
    <w:rsid w:val="00B10CC7"/>
    <w:rsid w:val="00B2798A"/>
    <w:rsid w:val="00B52D11"/>
    <w:rsid w:val="00B539E7"/>
    <w:rsid w:val="00B563EB"/>
    <w:rsid w:val="00B62458"/>
    <w:rsid w:val="00B80A93"/>
    <w:rsid w:val="00BD33EE"/>
    <w:rsid w:val="00BF2E5C"/>
    <w:rsid w:val="00C106D6"/>
    <w:rsid w:val="00C154C7"/>
    <w:rsid w:val="00C42365"/>
    <w:rsid w:val="00C45D5A"/>
    <w:rsid w:val="00C60F0C"/>
    <w:rsid w:val="00C761DE"/>
    <w:rsid w:val="00C805C9"/>
    <w:rsid w:val="00C856EC"/>
    <w:rsid w:val="00C87385"/>
    <w:rsid w:val="00C92939"/>
    <w:rsid w:val="00C97D2B"/>
    <w:rsid w:val="00CA1679"/>
    <w:rsid w:val="00CB151C"/>
    <w:rsid w:val="00CB242B"/>
    <w:rsid w:val="00CC3501"/>
    <w:rsid w:val="00CE5A1A"/>
    <w:rsid w:val="00CF55F6"/>
    <w:rsid w:val="00CF6D5C"/>
    <w:rsid w:val="00D04407"/>
    <w:rsid w:val="00D33D63"/>
    <w:rsid w:val="00D46FF5"/>
    <w:rsid w:val="00D4778E"/>
    <w:rsid w:val="00D65EF3"/>
    <w:rsid w:val="00D7481B"/>
    <w:rsid w:val="00D82740"/>
    <w:rsid w:val="00D90138"/>
    <w:rsid w:val="00DC6C66"/>
    <w:rsid w:val="00E26E90"/>
    <w:rsid w:val="00E31CF9"/>
    <w:rsid w:val="00E5009D"/>
    <w:rsid w:val="00E56EE3"/>
    <w:rsid w:val="00E73F76"/>
    <w:rsid w:val="00E86371"/>
    <w:rsid w:val="00EA2C9F"/>
    <w:rsid w:val="00ED0BDA"/>
    <w:rsid w:val="00ED3749"/>
    <w:rsid w:val="00EE7654"/>
    <w:rsid w:val="00EF1360"/>
    <w:rsid w:val="00EF3220"/>
    <w:rsid w:val="00F30DC8"/>
    <w:rsid w:val="00F37BF0"/>
    <w:rsid w:val="00F43810"/>
    <w:rsid w:val="00F63772"/>
    <w:rsid w:val="00F76A49"/>
    <w:rsid w:val="00F9377E"/>
    <w:rsid w:val="00F94155"/>
    <w:rsid w:val="00FA7E8E"/>
    <w:rsid w:val="00FC7DEC"/>
    <w:rsid w:val="00FD234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5A8CB10F"/>
  <w15:docId w15:val="{D7B0DF0C-E0E8-4320-A64F-A560AA13F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7481B"/>
    <w:pPr>
      <w:spacing w:line="240" w:lineRule="atLeast"/>
    </w:pPr>
    <w:rPr>
      <w:rFonts w:eastAsiaTheme="minorEastAsia"/>
      <w:lang w:val="es-ES" w:eastAsia="es-ES"/>
    </w:rPr>
  </w:style>
  <w:style w:type="paragraph" w:styleId="Ttulo1">
    <w:name w:val="heading 1"/>
    <w:aliases w:val="Cuadro_G"/>
    <w:basedOn w:val="SingleTxtG"/>
    <w:next w:val="SingleTxtG"/>
    <w:link w:val="Ttulo1Car"/>
    <w:qFormat/>
    <w:rsid w:val="00C42365"/>
    <w:pPr>
      <w:keepNext/>
      <w:keepLines/>
      <w:suppressAutoHyphens/>
      <w:kinsoku w:val="0"/>
      <w:overflowPunct w:val="0"/>
      <w:autoSpaceDE w:val="0"/>
      <w:autoSpaceDN w:val="0"/>
      <w:adjustRightInd w:val="0"/>
      <w:snapToGrid w:val="0"/>
      <w:spacing w:before="120" w:after="0" w:line="240" w:lineRule="auto"/>
      <w:ind w:right="0"/>
      <w:jc w:val="left"/>
      <w:outlineLvl w:val="0"/>
    </w:pPr>
    <w:rPr>
      <w:lang w:eastAsia="en-US"/>
    </w:rPr>
  </w:style>
  <w:style w:type="paragraph" w:styleId="Ttulo2">
    <w:name w:val="heading 2"/>
    <w:basedOn w:val="Normal"/>
    <w:next w:val="Normal"/>
    <w:semiHidden/>
    <w:rsid w:val="00D7481B"/>
    <w:pPr>
      <w:keepNext/>
      <w:outlineLvl w:val="1"/>
    </w:pPr>
    <w:rPr>
      <w:rFonts w:cs="Arial"/>
      <w:bCs/>
      <w:iCs/>
      <w:szCs w:val="28"/>
    </w:rPr>
  </w:style>
  <w:style w:type="paragraph" w:styleId="Ttulo3">
    <w:name w:val="heading 3"/>
    <w:basedOn w:val="Normal"/>
    <w:next w:val="Normal"/>
    <w:semiHidden/>
    <w:rsid w:val="00D7481B"/>
    <w:pPr>
      <w:keepNext/>
      <w:spacing w:before="240" w:after="60"/>
      <w:outlineLvl w:val="2"/>
    </w:pPr>
    <w:rPr>
      <w:rFonts w:ascii="Arial" w:hAnsi="Arial" w:cs="Arial"/>
      <w:b/>
      <w:bCs/>
      <w:sz w:val="26"/>
      <w:szCs w:val="26"/>
    </w:rPr>
  </w:style>
  <w:style w:type="paragraph" w:styleId="Ttulo4">
    <w:name w:val="heading 4"/>
    <w:basedOn w:val="Normal"/>
    <w:next w:val="Normal"/>
    <w:semiHidden/>
    <w:rsid w:val="00D7481B"/>
    <w:pPr>
      <w:keepNext/>
      <w:spacing w:before="240" w:after="60"/>
      <w:outlineLvl w:val="3"/>
    </w:pPr>
    <w:rPr>
      <w:b/>
      <w:bCs/>
      <w:sz w:val="28"/>
      <w:szCs w:val="28"/>
    </w:rPr>
  </w:style>
  <w:style w:type="paragraph" w:styleId="Ttulo5">
    <w:name w:val="heading 5"/>
    <w:basedOn w:val="Normal"/>
    <w:next w:val="Normal"/>
    <w:semiHidden/>
    <w:rsid w:val="00D7481B"/>
    <w:pPr>
      <w:spacing w:before="240" w:after="60"/>
      <w:outlineLvl w:val="4"/>
    </w:pPr>
    <w:rPr>
      <w:b/>
      <w:bCs/>
      <w:i/>
      <w:iCs/>
      <w:sz w:val="26"/>
      <w:szCs w:val="26"/>
    </w:rPr>
  </w:style>
  <w:style w:type="paragraph" w:styleId="Ttulo6">
    <w:name w:val="heading 6"/>
    <w:basedOn w:val="Normal"/>
    <w:next w:val="Normal"/>
    <w:semiHidden/>
    <w:rsid w:val="00D7481B"/>
    <w:pPr>
      <w:spacing w:before="240" w:after="60"/>
      <w:outlineLvl w:val="5"/>
    </w:pPr>
    <w:rPr>
      <w:b/>
      <w:bCs/>
      <w:sz w:val="22"/>
      <w:szCs w:val="22"/>
    </w:rPr>
  </w:style>
  <w:style w:type="paragraph" w:styleId="Ttulo7">
    <w:name w:val="heading 7"/>
    <w:basedOn w:val="Normal"/>
    <w:next w:val="Normal"/>
    <w:semiHidden/>
    <w:rsid w:val="00D7481B"/>
    <w:pPr>
      <w:spacing w:before="240" w:after="60"/>
      <w:outlineLvl w:val="6"/>
    </w:pPr>
    <w:rPr>
      <w:sz w:val="24"/>
      <w:szCs w:val="24"/>
    </w:rPr>
  </w:style>
  <w:style w:type="paragraph" w:styleId="Ttulo8">
    <w:name w:val="heading 8"/>
    <w:basedOn w:val="Normal"/>
    <w:next w:val="Normal"/>
    <w:semiHidden/>
    <w:rsid w:val="00D7481B"/>
    <w:pPr>
      <w:spacing w:before="240" w:after="60"/>
      <w:outlineLvl w:val="7"/>
    </w:pPr>
    <w:rPr>
      <w:i/>
      <w:iCs/>
      <w:sz w:val="24"/>
      <w:szCs w:val="24"/>
    </w:rPr>
  </w:style>
  <w:style w:type="paragraph" w:styleId="Ttulo9">
    <w:name w:val="heading 9"/>
    <w:basedOn w:val="Normal"/>
    <w:next w:val="Normal"/>
    <w:semiHidden/>
    <w:rsid w:val="00D7481B"/>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16 Point,4_G,BVI fnr,Footnote,Footnote Refernece,Footnote symbol,Fußnotenzeichen_Raxen,Superscript 6 Point,Texto de nota al pie,ftref,Footnotes refss,Footnote Ref,Appel note de bas de p.,SUPERS,E FNZ,-E Fußnotenzeichen,Footnote#,FZ,f"/>
    <w:qFormat/>
    <w:rsid w:val="00D7481B"/>
    <w:rPr>
      <w:rFonts w:ascii="Times New Roman" w:hAnsi="Times New Roman"/>
      <w:sz w:val="18"/>
      <w:vertAlign w:val="superscript"/>
    </w:rPr>
  </w:style>
  <w:style w:type="paragraph" w:customStyle="1" w:styleId="HMG">
    <w:name w:val="_ H __M_G"/>
    <w:basedOn w:val="Normal"/>
    <w:next w:val="Normal"/>
    <w:link w:val="HMGChar"/>
    <w:qFormat/>
    <w:rsid w:val="00D7481B"/>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link w:val="HChGChar"/>
    <w:uiPriority w:val="99"/>
    <w:qFormat/>
    <w:rsid w:val="00D7481B"/>
    <w:pPr>
      <w:keepNext/>
      <w:keepLines/>
      <w:tabs>
        <w:tab w:val="right" w:pos="851"/>
      </w:tabs>
      <w:suppressAutoHyphens/>
      <w:spacing w:before="360" w:after="240" w:line="300" w:lineRule="exact"/>
      <w:ind w:left="1134" w:right="1134" w:hanging="1134"/>
    </w:pPr>
    <w:rPr>
      <w:b/>
      <w:sz w:val="28"/>
    </w:rPr>
  </w:style>
  <w:style w:type="character" w:customStyle="1" w:styleId="HMGChar">
    <w:name w:val="_ H __M_G Char"/>
    <w:link w:val="HMG"/>
    <w:rsid w:val="001A4396"/>
    <w:rPr>
      <w:rFonts w:eastAsiaTheme="minorEastAsia"/>
      <w:b/>
      <w:sz w:val="34"/>
      <w:lang w:val="es-ES" w:eastAsia="es-ES"/>
    </w:rPr>
  </w:style>
  <w:style w:type="character" w:customStyle="1" w:styleId="HChGChar">
    <w:name w:val="_ H _Ch_G Char"/>
    <w:link w:val="HChG"/>
    <w:rsid w:val="001A4396"/>
    <w:rPr>
      <w:rFonts w:eastAsiaTheme="minorEastAsia"/>
      <w:b/>
      <w:sz w:val="28"/>
      <w:lang w:val="es-ES" w:eastAsia="es-ES"/>
    </w:rPr>
  </w:style>
  <w:style w:type="paragraph" w:customStyle="1" w:styleId="H1G">
    <w:name w:val="_ H_1_G"/>
    <w:basedOn w:val="Normal"/>
    <w:next w:val="Normal"/>
    <w:qFormat/>
    <w:rsid w:val="00D7481B"/>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D7481B"/>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D7481B"/>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D7481B"/>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uiPriority w:val="99"/>
    <w:qFormat/>
    <w:rsid w:val="00D7481B"/>
    <w:pPr>
      <w:pBdr>
        <w:bottom w:val="single" w:sz="4" w:space="4" w:color="auto"/>
      </w:pBdr>
      <w:spacing w:line="240" w:lineRule="auto"/>
    </w:pPr>
    <w:rPr>
      <w:b/>
      <w:sz w:val="18"/>
    </w:rPr>
  </w:style>
  <w:style w:type="paragraph" w:customStyle="1" w:styleId="SingleTxtG">
    <w:name w:val="_ Single Txt_G"/>
    <w:basedOn w:val="Normal"/>
    <w:link w:val="SingleTxtGChar"/>
    <w:qFormat/>
    <w:rsid w:val="00D7481B"/>
    <w:pPr>
      <w:spacing w:after="120"/>
      <w:ind w:left="1134" w:right="1134"/>
      <w:jc w:val="both"/>
    </w:pPr>
  </w:style>
  <w:style w:type="paragraph" w:customStyle="1" w:styleId="SMG">
    <w:name w:val="__S_M_G"/>
    <w:basedOn w:val="Normal"/>
    <w:next w:val="Normal"/>
    <w:rsid w:val="00D7481B"/>
    <w:pPr>
      <w:keepNext/>
      <w:keepLines/>
      <w:suppressAutoHyphens/>
      <w:spacing w:before="240" w:after="240" w:line="420" w:lineRule="exact"/>
      <w:ind w:left="1134" w:right="1134"/>
    </w:pPr>
    <w:rPr>
      <w:b/>
      <w:sz w:val="40"/>
    </w:rPr>
  </w:style>
  <w:style w:type="paragraph" w:customStyle="1" w:styleId="SLG">
    <w:name w:val="__S_L_G"/>
    <w:basedOn w:val="Normal"/>
    <w:next w:val="Normal"/>
    <w:rsid w:val="00D7481B"/>
    <w:pPr>
      <w:keepNext/>
      <w:keepLines/>
      <w:spacing w:before="240" w:after="240" w:line="580" w:lineRule="exact"/>
      <w:ind w:left="1134" w:right="1134"/>
    </w:pPr>
    <w:rPr>
      <w:b/>
      <w:sz w:val="56"/>
    </w:rPr>
  </w:style>
  <w:style w:type="paragraph" w:customStyle="1" w:styleId="SSG">
    <w:name w:val="__S_S_G"/>
    <w:basedOn w:val="Normal"/>
    <w:next w:val="Normal"/>
    <w:rsid w:val="00D7481B"/>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99"/>
    <w:qFormat/>
    <w:rsid w:val="00D7481B"/>
    <w:rPr>
      <w:sz w:val="16"/>
    </w:rPr>
  </w:style>
  <w:style w:type="paragraph" w:customStyle="1" w:styleId="XLargeG">
    <w:name w:val="__XLarge_G"/>
    <w:basedOn w:val="Normal"/>
    <w:next w:val="Normal"/>
    <w:rsid w:val="00D7481B"/>
    <w:pPr>
      <w:keepNext/>
      <w:keepLines/>
      <w:spacing w:before="240" w:after="240" w:line="420" w:lineRule="exact"/>
      <w:ind w:left="1134" w:right="1134"/>
    </w:pPr>
    <w:rPr>
      <w:b/>
      <w:sz w:val="40"/>
    </w:rPr>
  </w:style>
  <w:style w:type="paragraph" w:styleId="Textonotapie">
    <w:name w:val="footnote text"/>
    <w:aliases w:val="5_G,Footnote Text Char Char1,Footnote Text Char Char1 Char Char,Footnote Text Char1,Footnote Text Char1 Char Char1,Footnote Text Char1 Char Char1 Char Char,Geneva 9 Char Char Char Char Char,ft,ft Char Char Char Char Char,single space"/>
    <w:basedOn w:val="Normal"/>
    <w:link w:val="TextonotapieCar"/>
    <w:qFormat/>
    <w:rsid w:val="00D7481B"/>
    <w:pPr>
      <w:tabs>
        <w:tab w:val="right" w:pos="1021"/>
      </w:tabs>
      <w:spacing w:line="220" w:lineRule="exact"/>
      <w:ind w:left="1134" w:right="1134" w:hanging="1134"/>
    </w:pPr>
    <w:rPr>
      <w:sz w:val="18"/>
    </w:rPr>
  </w:style>
  <w:style w:type="table" w:styleId="Tablaconcuadrcula">
    <w:name w:val="Table Grid"/>
    <w:basedOn w:val="Tablanormal"/>
    <w:uiPriority w:val="59"/>
    <w:rsid w:val="00D7481B"/>
    <w:pPr>
      <w:spacing w:line="240" w:lineRule="atLeast"/>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D7481B"/>
    <w:pPr>
      <w:numPr>
        <w:numId w:val="1"/>
      </w:numPr>
    </w:pPr>
  </w:style>
  <w:style w:type="numbering" w:styleId="1ai">
    <w:name w:val="Outline List 1"/>
    <w:basedOn w:val="Sinlista"/>
    <w:semiHidden/>
    <w:rsid w:val="00D7481B"/>
    <w:pPr>
      <w:numPr>
        <w:numId w:val="2"/>
      </w:numPr>
    </w:pPr>
  </w:style>
  <w:style w:type="character" w:styleId="AcrnimoHTML">
    <w:name w:val="HTML Acronym"/>
    <w:basedOn w:val="Fuentedeprrafopredeter"/>
    <w:semiHidden/>
    <w:rsid w:val="00D7481B"/>
  </w:style>
  <w:style w:type="numbering" w:styleId="ArtculoSeccin">
    <w:name w:val="Outline List 3"/>
    <w:basedOn w:val="Sinlista"/>
    <w:semiHidden/>
    <w:rsid w:val="00D7481B"/>
    <w:pPr>
      <w:numPr>
        <w:numId w:val="3"/>
      </w:numPr>
    </w:pPr>
  </w:style>
  <w:style w:type="paragraph" w:styleId="Cierre">
    <w:name w:val="Closing"/>
    <w:basedOn w:val="Normal"/>
    <w:semiHidden/>
    <w:rsid w:val="00D7481B"/>
    <w:pPr>
      <w:ind w:left="4252"/>
    </w:pPr>
  </w:style>
  <w:style w:type="character" w:styleId="CitaHTML">
    <w:name w:val="HTML Cite"/>
    <w:semiHidden/>
    <w:rsid w:val="00D7481B"/>
    <w:rPr>
      <w:i/>
      <w:iCs/>
    </w:rPr>
  </w:style>
  <w:style w:type="character" w:styleId="CdigoHTML">
    <w:name w:val="HTML Code"/>
    <w:semiHidden/>
    <w:rsid w:val="00D7481B"/>
    <w:rPr>
      <w:rFonts w:ascii="Courier New" w:hAnsi="Courier New" w:cs="Courier New"/>
      <w:sz w:val="20"/>
      <w:szCs w:val="20"/>
    </w:rPr>
  </w:style>
  <w:style w:type="paragraph" w:styleId="Continuarlista">
    <w:name w:val="List Continue"/>
    <w:basedOn w:val="Normal"/>
    <w:semiHidden/>
    <w:rsid w:val="00D7481B"/>
    <w:pPr>
      <w:spacing w:after="120"/>
      <w:ind w:left="283"/>
    </w:pPr>
  </w:style>
  <w:style w:type="paragraph" w:styleId="Continuarlista2">
    <w:name w:val="List Continue 2"/>
    <w:basedOn w:val="Normal"/>
    <w:semiHidden/>
    <w:rsid w:val="00D7481B"/>
    <w:pPr>
      <w:spacing w:after="120"/>
      <w:ind w:left="566"/>
    </w:pPr>
  </w:style>
  <w:style w:type="paragraph" w:styleId="Continuarlista3">
    <w:name w:val="List Continue 3"/>
    <w:basedOn w:val="Normal"/>
    <w:semiHidden/>
    <w:rsid w:val="00D7481B"/>
    <w:pPr>
      <w:spacing w:after="120"/>
      <w:ind w:left="849"/>
    </w:pPr>
  </w:style>
  <w:style w:type="paragraph" w:styleId="Continuarlista4">
    <w:name w:val="List Continue 4"/>
    <w:basedOn w:val="Normal"/>
    <w:semiHidden/>
    <w:rsid w:val="00D7481B"/>
    <w:pPr>
      <w:spacing w:after="120"/>
      <w:ind w:left="1132"/>
    </w:pPr>
  </w:style>
  <w:style w:type="paragraph" w:styleId="Continuarlista5">
    <w:name w:val="List Continue 5"/>
    <w:basedOn w:val="Normal"/>
    <w:semiHidden/>
    <w:rsid w:val="00D7481B"/>
    <w:pPr>
      <w:spacing w:after="120"/>
      <w:ind w:left="1415"/>
    </w:pPr>
  </w:style>
  <w:style w:type="character" w:styleId="DefinicinHTML">
    <w:name w:val="HTML Definition"/>
    <w:semiHidden/>
    <w:rsid w:val="00D7481B"/>
    <w:rPr>
      <w:i/>
      <w:iCs/>
    </w:rPr>
  </w:style>
  <w:style w:type="paragraph" w:styleId="DireccinHTML">
    <w:name w:val="HTML Address"/>
    <w:basedOn w:val="Normal"/>
    <w:semiHidden/>
    <w:rsid w:val="00D7481B"/>
    <w:rPr>
      <w:i/>
      <w:iCs/>
    </w:rPr>
  </w:style>
  <w:style w:type="paragraph" w:styleId="Direccinsobre">
    <w:name w:val="envelope address"/>
    <w:basedOn w:val="Normal"/>
    <w:semiHidden/>
    <w:rsid w:val="00D7481B"/>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D7481B"/>
    <w:rPr>
      <w:rFonts w:ascii="Courier New" w:hAnsi="Courier New" w:cs="Courier New"/>
    </w:rPr>
  </w:style>
  <w:style w:type="paragraph" w:styleId="Encabezadodemensaje">
    <w:name w:val="Message Header"/>
    <w:basedOn w:val="Normal"/>
    <w:semiHidden/>
    <w:rsid w:val="00D7481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D7481B"/>
  </w:style>
  <w:style w:type="character" w:styleId="nfasis">
    <w:name w:val="Emphasis"/>
    <w:qFormat/>
    <w:rsid w:val="00D7481B"/>
    <w:rPr>
      <w:i/>
      <w:iCs/>
    </w:rPr>
  </w:style>
  <w:style w:type="paragraph" w:styleId="Fecha">
    <w:name w:val="Date"/>
    <w:basedOn w:val="Normal"/>
    <w:next w:val="Normal"/>
    <w:semiHidden/>
    <w:rsid w:val="00D7481B"/>
  </w:style>
  <w:style w:type="paragraph" w:styleId="Firma">
    <w:name w:val="Signature"/>
    <w:basedOn w:val="Normal"/>
    <w:semiHidden/>
    <w:rsid w:val="00D7481B"/>
    <w:pPr>
      <w:ind w:left="4252"/>
    </w:pPr>
  </w:style>
  <w:style w:type="paragraph" w:styleId="Firmadecorreoelectrnico">
    <w:name w:val="E-mail Signature"/>
    <w:basedOn w:val="Normal"/>
    <w:semiHidden/>
    <w:rsid w:val="00D7481B"/>
  </w:style>
  <w:style w:type="character" w:styleId="Hipervnculo">
    <w:name w:val="Hyperlink"/>
    <w:uiPriority w:val="99"/>
    <w:rsid w:val="00D7481B"/>
    <w:rPr>
      <w:color w:val="0000FF"/>
      <w:u w:val="none"/>
    </w:rPr>
  </w:style>
  <w:style w:type="character" w:styleId="Hipervnculovisitado">
    <w:name w:val="FollowedHyperlink"/>
    <w:rsid w:val="00D7481B"/>
    <w:rPr>
      <w:color w:val="0000FF"/>
      <w:u w:val="none"/>
    </w:rPr>
  </w:style>
  <w:style w:type="paragraph" w:styleId="HTMLconformatoprevio">
    <w:name w:val="HTML Preformatted"/>
    <w:basedOn w:val="Normal"/>
    <w:semiHidden/>
    <w:rsid w:val="00D7481B"/>
    <w:rPr>
      <w:rFonts w:ascii="Courier New" w:hAnsi="Courier New" w:cs="Courier New"/>
    </w:rPr>
  </w:style>
  <w:style w:type="paragraph" w:styleId="Lista">
    <w:name w:val="List"/>
    <w:basedOn w:val="Normal"/>
    <w:semiHidden/>
    <w:rsid w:val="00D7481B"/>
    <w:pPr>
      <w:ind w:left="283" w:hanging="283"/>
    </w:pPr>
  </w:style>
  <w:style w:type="paragraph" w:styleId="Lista2">
    <w:name w:val="List 2"/>
    <w:basedOn w:val="Normal"/>
    <w:semiHidden/>
    <w:rsid w:val="00D7481B"/>
    <w:pPr>
      <w:ind w:left="566" w:hanging="283"/>
    </w:pPr>
  </w:style>
  <w:style w:type="paragraph" w:styleId="Lista3">
    <w:name w:val="List 3"/>
    <w:basedOn w:val="Normal"/>
    <w:semiHidden/>
    <w:rsid w:val="00D7481B"/>
    <w:pPr>
      <w:ind w:left="849" w:hanging="283"/>
    </w:pPr>
  </w:style>
  <w:style w:type="paragraph" w:styleId="Lista4">
    <w:name w:val="List 4"/>
    <w:basedOn w:val="Normal"/>
    <w:semiHidden/>
    <w:rsid w:val="00D7481B"/>
    <w:pPr>
      <w:ind w:left="1132" w:hanging="283"/>
    </w:pPr>
  </w:style>
  <w:style w:type="paragraph" w:styleId="Lista5">
    <w:name w:val="List 5"/>
    <w:basedOn w:val="Normal"/>
    <w:semiHidden/>
    <w:rsid w:val="00D7481B"/>
    <w:pPr>
      <w:ind w:left="1415" w:hanging="283"/>
    </w:pPr>
  </w:style>
  <w:style w:type="paragraph" w:styleId="Listaconnmeros">
    <w:name w:val="List Number"/>
    <w:basedOn w:val="Normal"/>
    <w:semiHidden/>
    <w:rsid w:val="00D7481B"/>
    <w:pPr>
      <w:numPr>
        <w:numId w:val="12"/>
      </w:numPr>
    </w:pPr>
  </w:style>
  <w:style w:type="paragraph" w:styleId="Listaconnmeros2">
    <w:name w:val="List Number 2"/>
    <w:basedOn w:val="Normal"/>
    <w:semiHidden/>
    <w:rsid w:val="00D7481B"/>
    <w:pPr>
      <w:numPr>
        <w:numId w:val="13"/>
      </w:numPr>
    </w:pPr>
  </w:style>
  <w:style w:type="paragraph" w:styleId="Listaconnmeros3">
    <w:name w:val="List Number 3"/>
    <w:basedOn w:val="Normal"/>
    <w:semiHidden/>
    <w:rsid w:val="00D7481B"/>
    <w:pPr>
      <w:numPr>
        <w:numId w:val="14"/>
      </w:numPr>
    </w:pPr>
  </w:style>
  <w:style w:type="paragraph" w:styleId="Listaconnmeros4">
    <w:name w:val="List Number 4"/>
    <w:basedOn w:val="Normal"/>
    <w:semiHidden/>
    <w:rsid w:val="00D7481B"/>
    <w:pPr>
      <w:numPr>
        <w:numId w:val="15"/>
      </w:numPr>
    </w:pPr>
  </w:style>
  <w:style w:type="paragraph" w:styleId="Listaconnmeros5">
    <w:name w:val="List Number 5"/>
    <w:basedOn w:val="Normal"/>
    <w:semiHidden/>
    <w:rsid w:val="00D7481B"/>
    <w:pPr>
      <w:numPr>
        <w:numId w:val="16"/>
      </w:numPr>
    </w:pPr>
  </w:style>
  <w:style w:type="paragraph" w:styleId="Listaconvietas">
    <w:name w:val="List Bullet"/>
    <w:basedOn w:val="Normal"/>
    <w:semiHidden/>
    <w:rsid w:val="00D7481B"/>
    <w:pPr>
      <w:numPr>
        <w:numId w:val="7"/>
      </w:numPr>
    </w:pPr>
  </w:style>
  <w:style w:type="paragraph" w:styleId="Listaconvietas2">
    <w:name w:val="List Bullet 2"/>
    <w:basedOn w:val="Normal"/>
    <w:semiHidden/>
    <w:rsid w:val="00D7481B"/>
    <w:pPr>
      <w:numPr>
        <w:numId w:val="8"/>
      </w:numPr>
    </w:pPr>
  </w:style>
  <w:style w:type="paragraph" w:styleId="Listaconvietas3">
    <w:name w:val="List Bullet 3"/>
    <w:basedOn w:val="Normal"/>
    <w:semiHidden/>
    <w:rsid w:val="00D7481B"/>
    <w:pPr>
      <w:numPr>
        <w:numId w:val="9"/>
      </w:numPr>
    </w:pPr>
  </w:style>
  <w:style w:type="paragraph" w:styleId="Listaconvietas4">
    <w:name w:val="List Bullet 4"/>
    <w:basedOn w:val="Normal"/>
    <w:semiHidden/>
    <w:rsid w:val="00D7481B"/>
    <w:pPr>
      <w:numPr>
        <w:numId w:val="10"/>
      </w:numPr>
    </w:pPr>
  </w:style>
  <w:style w:type="paragraph" w:styleId="Listaconvietas5">
    <w:name w:val="List Bullet 5"/>
    <w:basedOn w:val="Normal"/>
    <w:semiHidden/>
    <w:rsid w:val="00D7481B"/>
    <w:pPr>
      <w:numPr>
        <w:numId w:val="11"/>
      </w:numPr>
    </w:pPr>
  </w:style>
  <w:style w:type="character" w:styleId="MquinadeescribirHTML">
    <w:name w:val="HTML Typewriter"/>
    <w:semiHidden/>
    <w:rsid w:val="00D7481B"/>
    <w:rPr>
      <w:rFonts w:ascii="Courier New" w:hAnsi="Courier New" w:cs="Courier New"/>
      <w:sz w:val="20"/>
      <w:szCs w:val="20"/>
    </w:rPr>
  </w:style>
  <w:style w:type="paragraph" w:styleId="NormalWeb">
    <w:name w:val="Normal (Web)"/>
    <w:basedOn w:val="Normal"/>
    <w:uiPriority w:val="99"/>
    <w:qFormat/>
    <w:rsid w:val="00D7481B"/>
    <w:rPr>
      <w:sz w:val="24"/>
      <w:szCs w:val="24"/>
    </w:rPr>
  </w:style>
  <w:style w:type="character" w:styleId="Nmerodelnea">
    <w:name w:val="line number"/>
    <w:basedOn w:val="Fuentedeprrafopredeter"/>
    <w:semiHidden/>
    <w:rsid w:val="00D7481B"/>
  </w:style>
  <w:style w:type="character" w:styleId="Nmerodepgina">
    <w:name w:val="page number"/>
    <w:aliases w:val="7_G"/>
    <w:qFormat/>
    <w:rsid w:val="00D7481B"/>
    <w:rPr>
      <w:b/>
      <w:sz w:val="18"/>
    </w:rPr>
  </w:style>
  <w:style w:type="character" w:styleId="Refdenotaalfinal">
    <w:name w:val="endnote reference"/>
    <w:aliases w:val="1_G"/>
    <w:qFormat/>
    <w:rsid w:val="00D7481B"/>
    <w:rPr>
      <w:rFonts w:ascii="Times New Roman" w:hAnsi="Times New Roman"/>
      <w:sz w:val="18"/>
      <w:vertAlign w:val="superscript"/>
    </w:rPr>
  </w:style>
  <w:style w:type="paragraph" w:styleId="Remitedesobre">
    <w:name w:val="envelope return"/>
    <w:basedOn w:val="Normal"/>
    <w:semiHidden/>
    <w:rsid w:val="00D7481B"/>
    <w:rPr>
      <w:rFonts w:ascii="Arial" w:hAnsi="Arial" w:cs="Arial"/>
    </w:rPr>
  </w:style>
  <w:style w:type="paragraph" w:styleId="Saludo">
    <w:name w:val="Salutation"/>
    <w:basedOn w:val="Normal"/>
    <w:next w:val="Normal"/>
    <w:semiHidden/>
    <w:rsid w:val="00D7481B"/>
  </w:style>
  <w:style w:type="paragraph" w:styleId="Sangra2detindependiente">
    <w:name w:val="Body Text Indent 2"/>
    <w:basedOn w:val="Normal"/>
    <w:semiHidden/>
    <w:rsid w:val="00D7481B"/>
    <w:pPr>
      <w:spacing w:after="120" w:line="480" w:lineRule="auto"/>
      <w:ind w:left="283"/>
    </w:pPr>
  </w:style>
  <w:style w:type="paragraph" w:styleId="Sangra3detindependiente">
    <w:name w:val="Body Text Indent 3"/>
    <w:basedOn w:val="Normal"/>
    <w:semiHidden/>
    <w:rsid w:val="00D7481B"/>
    <w:pPr>
      <w:spacing w:after="120"/>
      <w:ind w:left="283"/>
    </w:pPr>
    <w:rPr>
      <w:sz w:val="16"/>
      <w:szCs w:val="16"/>
    </w:rPr>
  </w:style>
  <w:style w:type="paragraph" w:styleId="Sangradetextonormal">
    <w:name w:val="Body Text Indent"/>
    <w:basedOn w:val="Normal"/>
    <w:semiHidden/>
    <w:rsid w:val="00D7481B"/>
    <w:pPr>
      <w:spacing w:after="120"/>
      <w:ind w:left="283"/>
    </w:pPr>
  </w:style>
  <w:style w:type="paragraph" w:styleId="Sangranormal">
    <w:name w:val="Normal Indent"/>
    <w:basedOn w:val="Normal"/>
    <w:semiHidden/>
    <w:rsid w:val="00D7481B"/>
    <w:pPr>
      <w:ind w:left="567"/>
    </w:pPr>
  </w:style>
  <w:style w:type="paragraph" w:styleId="Subttulo">
    <w:name w:val="Subtitle"/>
    <w:basedOn w:val="Normal"/>
    <w:semiHidden/>
    <w:rsid w:val="00D7481B"/>
    <w:pPr>
      <w:spacing w:after="60"/>
      <w:jc w:val="center"/>
      <w:outlineLvl w:val="1"/>
    </w:pPr>
    <w:rPr>
      <w:rFonts w:ascii="Arial" w:hAnsi="Arial" w:cs="Arial"/>
      <w:sz w:val="24"/>
      <w:szCs w:val="24"/>
    </w:rPr>
  </w:style>
  <w:style w:type="table" w:styleId="Tablabsica1">
    <w:name w:val="Table Simple 1"/>
    <w:basedOn w:val="Tablanormal"/>
    <w:semiHidden/>
    <w:rsid w:val="00D7481B"/>
    <w:pPr>
      <w:spacing w:line="240" w:lineRule="atLeast"/>
    </w:pPr>
    <w:rPr>
      <w:rFonts w:eastAsiaTheme="minorEastAsia"/>
      <w:lang w:val="en-US"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D7481B"/>
    <w:pPr>
      <w:spacing w:line="240" w:lineRule="atLeast"/>
    </w:pPr>
    <w:rPr>
      <w:rFonts w:eastAsiaTheme="minorEastAsia"/>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D7481B"/>
    <w:pPr>
      <w:spacing w:line="240" w:lineRule="atLeast"/>
    </w:pPr>
    <w:rPr>
      <w:rFonts w:eastAsiaTheme="minorEastAsia"/>
      <w:lang w:val="en-US"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D7481B"/>
    <w:pPr>
      <w:spacing w:line="240" w:lineRule="atLeast"/>
    </w:pPr>
    <w:rPr>
      <w:rFonts w:eastAsiaTheme="minorEastAsia"/>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D7481B"/>
    <w:pPr>
      <w:spacing w:line="240" w:lineRule="atLeast"/>
    </w:pPr>
    <w:rPr>
      <w:rFonts w:eastAsiaTheme="minorEastAsia"/>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D7481B"/>
    <w:pPr>
      <w:spacing w:line="240" w:lineRule="atLeast"/>
    </w:pPr>
    <w:rPr>
      <w:rFonts w:eastAsiaTheme="minorEastAsia"/>
      <w:color w:val="000080"/>
      <w:lang w:val="en-US"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D7481B"/>
    <w:pPr>
      <w:spacing w:line="240" w:lineRule="atLeast"/>
    </w:pPr>
    <w:rPr>
      <w:rFonts w:eastAsiaTheme="minorEastAsia"/>
      <w:lang w:val="en-US"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D7481B"/>
    <w:pPr>
      <w:spacing w:line="240" w:lineRule="atLeast"/>
    </w:pPr>
    <w:rPr>
      <w:rFonts w:eastAsiaTheme="minorEastAsia"/>
      <w:b/>
      <w:bCs/>
      <w:lang w:val="en-US"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D7481B"/>
    <w:pPr>
      <w:spacing w:line="240" w:lineRule="atLeast"/>
    </w:pPr>
    <w:rPr>
      <w:rFonts w:eastAsiaTheme="minorEastAsia"/>
      <w:b/>
      <w:bCs/>
      <w:lang w:val="en-US"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D7481B"/>
    <w:pPr>
      <w:spacing w:line="240" w:lineRule="atLeast"/>
    </w:pPr>
    <w:rPr>
      <w:rFonts w:eastAsiaTheme="minorEastAsia"/>
      <w:b/>
      <w:bCs/>
      <w:lang w:val="en-US"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D7481B"/>
    <w:pPr>
      <w:spacing w:line="240" w:lineRule="atLeast"/>
    </w:pPr>
    <w:rPr>
      <w:rFonts w:eastAsiaTheme="minorEastAsia"/>
      <w:lang w:val="en-US"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D7481B"/>
    <w:pPr>
      <w:spacing w:line="240" w:lineRule="atLeast"/>
    </w:pPr>
    <w:rPr>
      <w:rFonts w:eastAsiaTheme="minorEastAsia"/>
      <w:lang w:val="en-US"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D7481B"/>
    <w:pPr>
      <w:spacing w:line="240" w:lineRule="atLeast"/>
    </w:pPr>
    <w:rPr>
      <w:rFonts w:eastAsiaTheme="minorEastAsia"/>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D7481B"/>
    <w:pPr>
      <w:spacing w:line="240" w:lineRule="atLeast"/>
    </w:pPr>
    <w:rPr>
      <w:rFonts w:eastAsiaTheme="minorEastAsia"/>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D7481B"/>
    <w:pPr>
      <w:spacing w:line="240" w:lineRule="atLeast"/>
    </w:pPr>
    <w:rPr>
      <w:rFonts w:eastAsiaTheme="minorEastAsia"/>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D7481B"/>
    <w:pPr>
      <w:spacing w:line="240" w:lineRule="atLeast"/>
    </w:pPr>
    <w:rPr>
      <w:rFonts w:eastAsiaTheme="minorEastAsia"/>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D7481B"/>
    <w:pPr>
      <w:spacing w:line="240" w:lineRule="atLeast"/>
    </w:pPr>
    <w:rPr>
      <w:rFonts w:eastAsiaTheme="minorEastAsia"/>
      <w:lang w:val="en-US"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D7481B"/>
    <w:pPr>
      <w:spacing w:line="240" w:lineRule="atLeast"/>
    </w:pPr>
    <w:rPr>
      <w:rFonts w:eastAsiaTheme="minorEastAsia"/>
      <w:lang w:val="en-US"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D7481B"/>
    <w:pPr>
      <w:spacing w:line="240" w:lineRule="atLeast"/>
    </w:pPr>
    <w:rPr>
      <w:rFonts w:eastAsiaTheme="minorEastAsia"/>
      <w:b/>
      <w:bCs/>
      <w:lang w:val="en-US"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D7481B"/>
    <w:pPr>
      <w:spacing w:line="240" w:lineRule="atLeast"/>
    </w:pPr>
    <w:rPr>
      <w:rFonts w:eastAsiaTheme="minorEastAsia"/>
      <w:lang w:val="en-US"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D7481B"/>
    <w:pPr>
      <w:spacing w:line="240" w:lineRule="atLeast"/>
    </w:pPr>
    <w:rPr>
      <w:rFonts w:eastAsiaTheme="minorEastAsia"/>
      <w:lang w:val="en-US"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D7481B"/>
    <w:pPr>
      <w:spacing w:line="240" w:lineRule="atLeast"/>
    </w:pPr>
    <w:rPr>
      <w:rFonts w:eastAsiaTheme="minorEastAsia"/>
      <w:lang w:val="en-US"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D7481B"/>
    <w:pPr>
      <w:spacing w:line="240" w:lineRule="atLeast"/>
    </w:pPr>
    <w:rPr>
      <w:rFonts w:eastAsiaTheme="minorEastAsia"/>
      <w:lang w:val="en-US"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D7481B"/>
    <w:pPr>
      <w:spacing w:line="240" w:lineRule="atLeast"/>
    </w:pPr>
    <w:rPr>
      <w:rFonts w:eastAsiaTheme="minorEastAsia"/>
      <w:lang w:val="en-US"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D7481B"/>
    <w:pPr>
      <w:spacing w:line="240" w:lineRule="atLeast"/>
    </w:pPr>
    <w:rPr>
      <w:rFonts w:eastAsiaTheme="minorEastAsia"/>
      <w:lang w:val="en-US"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D7481B"/>
    <w:pPr>
      <w:spacing w:line="240" w:lineRule="atLeast"/>
    </w:pPr>
    <w:rPr>
      <w:rFonts w:eastAsiaTheme="minorEastAsia"/>
      <w:lang w:val="en-US"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D7481B"/>
    <w:pPr>
      <w:spacing w:line="240" w:lineRule="atLeast"/>
    </w:pPr>
    <w:rPr>
      <w:rFonts w:eastAsiaTheme="minorEastAsia"/>
      <w:lang w:val="en-US"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D7481B"/>
    <w:pPr>
      <w:spacing w:line="240" w:lineRule="atLeast"/>
    </w:pPr>
    <w:rPr>
      <w:rFonts w:eastAsiaTheme="minorEastAsia"/>
      <w:lang w:val="en-US"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D7481B"/>
    <w:pPr>
      <w:spacing w:line="240" w:lineRule="atLeast"/>
    </w:pPr>
    <w:rPr>
      <w:rFonts w:eastAsiaTheme="minorEastAsia"/>
      <w:lang w:val="en-US"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D7481B"/>
    <w:pPr>
      <w:spacing w:line="240" w:lineRule="atLeast"/>
    </w:pPr>
    <w:rPr>
      <w:rFonts w:eastAsiaTheme="minorEastAsia"/>
      <w:lang w:val="en-US"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D7481B"/>
    <w:pPr>
      <w:spacing w:line="240" w:lineRule="atLeast"/>
    </w:pPr>
    <w:rPr>
      <w:rFonts w:eastAsiaTheme="minorEastAsia"/>
      <w:lang w:val="en-US"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D7481B"/>
    <w:pPr>
      <w:spacing w:line="240" w:lineRule="atLeast"/>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D7481B"/>
    <w:pPr>
      <w:spacing w:line="240" w:lineRule="atLeast"/>
    </w:pPr>
    <w:rPr>
      <w:rFonts w:eastAsiaTheme="minorEastAsia"/>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D7481B"/>
    <w:pPr>
      <w:spacing w:line="240" w:lineRule="atLeast"/>
    </w:pPr>
    <w:rPr>
      <w:rFonts w:eastAsiaTheme="minorEastAsia"/>
      <w:lang w:val="en-US"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D7481B"/>
    <w:pPr>
      <w:spacing w:line="240" w:lineRule="atLeast"/>
    </w:pPr>
    <w:rPr>
      <w:rFonts w:eastAsiaTheme="minorEastAsia"/>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D7481B"/>
    <w:pPr>
      <w:spacing w:line="240" w:lineRule="atLeast"/>
    </w:pPr>
    <w:rPr>
      <w:rFonts w:eastAsiaTheme="minorEastAsia"/>
      <w:lang w:val="en-US"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D7481B"/>
    <w:pPr>
      <w:spacing w:line="240" w:lineRule="atLeast"/>
    </w:pPr>
    <w:rPr>
      <w:rFonts w:eastAsiaTheme="minorEastAsia"/>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D7481B"/>
    <w:pPr>
      <w:spacing w:line="240" w:lineRule="atLeast"/>
    </w:pPr>
    <w:rPr>
      <w:rFonts w:eastAsiaTheme="minorEastAsia"/>
      <w:color w:val="FFFFFF"/>
      <w:lang w:val="en-US"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D7481B"/>
    <w:pPr>
      <w:spacing w:line="240" w:lineRule="atLeast"/>
    </w:pPr>
    <w:rPr>
      <w:rFonts w:eastAsiaTheme="minorEastAsia"/>
      <w:lang w:val="en-US"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D7481B"/>
    <w:pPr>
      <w:spacing w:line="240" w:lineRule="atLeast"/>
    </w:pPr>
    <w:rPr>
      <w:rFonts w:eastAsiaTheme="minorEastAsia"/>
      <w:lang w:val="en-US"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D7481B"/>
    <w:pPr>
      <w:spacing w:line="240" w:lineRule="atLeast"/>
    </w:pPr>
    <w:rPr>
      <w:rFonts w:eastAsiaTheme="minorEastAsia"/>
      <w:lang w:val="en-US"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D7481B"/>
    <w:pPr>
      <w:spacing w:line="240" w:lineRule="atLeast"/>
    </w:pPr>
    <w:rPr>
      <w:rFonts w:eastAsiaTheme="minorEastAsia"/>
      <w:lang w:val="en-US"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D7481B"/>
    <w:pPr>
      <w:spacing w:line="240" w:lineRule="atLeast"/>
    </w:pPr>
    <w:rPr>
      <w:rFonts w:eastAsiaTheme="minorEastAsia"/>
      <w:lang w:val="en-US"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D7481B"/>
    <w:rPr>
      <w:rFonts w:ascii="Courier New" w:hAnsi="Courier New" w:cs="Courier New"/>
      <w:sz w:val="20"/>
      <w:szCs w:val="20"/>
    </w:rPr>
  </w:style>
  <w:style w:type="paragraph" w:styleId="Textodebloque">
    <w:name w:val="Block Text"/>
    <w:basedOn w:val="Normal"/>
    <w:semiHidden/>
    <w:rsid w:val="00D7481B"/>
    <w:pPr>
      <w:spacing w:after="120"/>
      <w:ind w:left="1440" w:right="1440"/>
    </w:pPr>
  </w:style>
  <w:style w:type="character" w:styleId="Textoennegrita">
    <w:name w:val="Strong"/>
    <w:uiPriority w:val="22"/>
    <w:qFormat/>
    <w:rsid w:val="00D7481B"/>
    <w:rPr>
      <w:b/>
      <w:bCs/>
    </w:rPr>
  </w:style>
  <w:style w:type="paragraph" w:styleId="Textoindependiente">
    <w:name w:val="Body Text"/>
    <w:basedOn w:val="Normal"/>
    <w:link w:val="TextoindependienteCar"/>
    <w:qFormat/>
    <w:rsid w:val="00D7481B"/>
    <w:pPr>
      <w:spacing w:after="120"/>
    </w:pPr>
  </w:style>
  <w:style w:type="paragraph" w:styleId="Textoindependiente2">
    <w:name w:val="Body Text 2"/>
    <w:basedOn w:val="Normal"/>
    <w:semiHidden/>
    <w:rsid w:val="00D7481B"/>
    <w:pPr>
      <w:spacing w:after="120" w:line="480" w:lineRule="auto"/>
    </w:pPr>
  </w:style>
  <w:style w:type="paragraph" w:styleId="Textoindependiente3">
    <w:name w:val="Body Text 3"/>
    <w:basedOn w:val="Normal"/>
    <w:semiHidden/>
    <w:rsid w:val="00D7481B"/>
    <w:pPr>
      <w:spacing w:after="120"/>
    </w:pPr>
    <w:rPr>
      <w:sz w:val="16"/>
      <w:szCs w:val="16"/>
    </w:rPr>
  </w:style>
  <w:style w:type="paragraph" w:styleId="Textoindependienteprimerasangra">
    <w:name w:val="Body Text First Indent"/>
    <w:basedOn w:val="Textoindependiente"/>
    <w:semiHidden/>
    <w:rsid w:val="00D7481B"/>
    <w:pPr>
      <w:ind w:firstLine="210"/>
    </w:pPr>
  </w:style>
  <w:style w:type="paragraph" w:styleId="Textoindependienteprimerasangra2">
    <w:name w:val="Body Text First Indent 2"/>
    <w:basedOn w:val="Sangradetextonormal"/>
    <w:semiHidden/>
    <w:rsid w:val="00D7481B"/>
    <w:pPr>
      <w:ind w:firstLine="210"/>
    </w:pPr>
  </w:style>
  <w:style w:type="paragraph" w:styleId="Textonotaalfinal">
    <w:name w:val="endnote text"/>
    <w:aliases w:val="2_G"/>
    <w:basedOn w:val="Textonotapie"/>
    <w:qFormat/>
    <w:rsid w:val="00D7481B"/>
  </w:style>
  <w:style w:type="paragraph" w:styleId="Textosinformato">
    <w:name w:val="Plain Text"/>
    <w:basedOn w:val="Normal"/>
    <w:semiHidden/>
    <w:rsid w:val="00D7481B"/>
    <w:rPr>
      <w:rFonts w:ascii="Courier New" w:hAnsi="Courier New" w:cs="Courier New"/>
    </w:rPr>
  </w:style>
  <w:style w:type="paragraph" w:styleId="Ttulo">
    <w:name w:val="Title"/>
    <w:basedOn w:val="Normal"/>
    <w:semiHidden/>
    <w:rsid w:val="00D7481B"/>
    <w:pPr>
      <w:spacing w:before="240" w:after="60"/>
      <w:jc w:val="center"/>
      <w:outlineLvl w:val="0"/>
    </w:pPr>
    <w:rPr>
      <w:rFonts w:ascii="Arial" w:hAnsi="Arial" w:cs="Arial"/>
      <w:b/>
      <w:bCs/>
      <w:kern w:val="28"/>
      <w:sz w:val="32"/>
      <w:szCs w:val="32"/>
    </w:rPr>
  </w:style>
  <w:style w:type="character" w:styleId="VariableHTML">
    <w:name w:val="HTML Variable"/>
    <w:semiHidden/>
    <w:rsid w:val="00D7481B"/>
    <w:rPr>
      <w:i/>
      <w:iCs/>
    </w:rPr>
  </w:style>
  <w:style w:type="paragraph" w:customStyle="1" w:styleId="Bullet1G">
    <w:name w:val="_Bullet 1_G"/>
    <w:basedOn w:val="Normal"/>
    <w:qFormat/>
    <w:rsid w:val="00D7481B"/>
    <w:pPr>
      <w:numPr>
        <w:numId w:val="5"/>
      </w:numPr>
      <w:spacing w:after="120"/>
      <w:ind w:right="1134"/>
      <w:jc w:val="both"/>
    </w:pPr>
    <w:rPr>
      <w:lang w:eastAsia="en-US"/>
    </w:rPr>
  </w:style>
  <w:style w:type="paragraph" w:customStyle="1" w:styleId="Bullet2G">
    <w:name w:val="_Bullet 2_G"/>
    <w:basedOn w:val="Normal"/>
    <w:qFormat/>
    <w:rsid w:val="00D7481B"/>
    <w:pPr>
      <w:numPr>
        <w:numId w:val="6"/>
      </w:numPr>
      <w:spacing w:after="120"/>
      <w:ind w:right="1134"/>
      <w:jc w:val="both"/>
    </w:pPr>
  </w:style>
  <w:style w:type="paragraph" w:styleId="Textodeglobo">
    <w:name w:val="Balloon Text"/>
    <w:basedOn w:val="Normal"/>
    <w:link w:val="TextodegloboCar"/>
    <w:uiPriority w:val="99"/>
    <w:semiHidden/>
    <w:rsid w:val="00A44B2D"/>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21DC1"/>
    <w:rPr>
      <w:rFonts w:ascii="Tahoma" w:hAnsi="Tahoma" w:cs="Tahoma"/>
      <w:sz w:val="16"/>
      <w:szCs w:val="16"/>
      <w:lang w:val="es-ES" w:eastAsia="es-ES"/>
    </w:rPr>
  </w:style>
  <w:style w:type="paragraph" w:styleId="Citadestacada">
    <w:name w:val="Intense Quote"/>
    <w:basedOn w:val="Normal"/>
    <w:next w:val="Normal"/>
    <w:link w:val="CitadestacadaCar"/>
    <w:uiPriority w:val="30"/>
    <w:semiHidden/>
    <w:rsid w:val="00D7481B"/>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semiHidden/>
    <w:rsid w:val="00D7481B"/>
    <w:rPr>
      <w:rFonts w:eastAsiaTheme="minorEastAsia"/>
      <w:b/>
      <w:bCs/>
      <w:i/>
      <w:iCs/>
      <w:color w:val="4F81BD"/>
      <w:lang w:val="es-ES" w:eastAsia="es-ES"/>
    </w:rPr>
  </w:style>
  <w:style w:type="character" w:styleId="nfasisintenso">
    <w:name w:val="Intense Emphasis"/>
    <w:uiPriority w:val="21"/>
    <w:semiHidden/>
    <w:rsid w:val="00D7481B"/>
    <w:rPr>
      <w:b/>
      <w:bCs/>
      <w:i/>
      <w:iCs/>
      <w:color w:val="4F81BD"/>
    </w:rPr>
  </w:style>
  <w:style w:type="character" w:customStyle="1" w:styleId="Ttulo1Car">
    <w:name w:val="Título 1 Car"/>
    <w:aliases w:val="Cuadro_G Car"/>
    <w:basedOn w:val="Fuentedeprrafopredeter"/>
    <w:link w:val="Ttulo1"/>
    <w:rsid w:val="00C42365"/>
    <w:rPr>
      <w:rFonts w:eastAsiaTheme="minorEastAsia"/>
      <w:lang w:val="es-ES" w:eastAsia="en-US"/>
    </w:rPr>
  </w:style>
  <w:style w:type="table" w:customStyle="1" w:styleId="Tablaconcuadrcula10">
    <w:name w:val="Tabla con cuadrícula1"/>
    <w:basedOn w:val="Tablanormal"/>
    <w:rsid w:val="002D4172"/>
    <w:pPr>
      <w:suppressAutoHyphens/>
      <w:spacing w:line="240" w:lineRule="atLeast"/>
    </w:pPr>
    <w:rPr>
      <w:rFonts w:eastAsiaTheme="minorHAnsi"/>
      <w:lang w:val="fr-CH"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ParNoG">
    <w:name w:val="_ParNo_G"/>
    <w:basedOn w:val="Normal"/>
    <w:qFormat/>
    <w:rsid w:val="002D4172"/>
    <w:pPr>
      <w:numPr>
        <w:numId w:val="4"/>
      </w:numPr>
      <w:tabs>
        <w:tab w:val="clear" w:pos="1701"/>
      </w:tabs>
      <w:suppressAutoHyphens/>
      <w:kinsoku w:val="0"/>
      <w:overflowPunct w:val="0"/>
      <w:autoSpaceDE w:val="0"/>
      <w:autoSpaceDN w:val="0"/>
      <w:adjustRightInd w:val="0"/>
      <w:snapToGrid w:val="0"/>
      <w:spacing w:after="120"/>
      <w:ind w:right="1134"/>
      <w:jc w:val="both"/>
    </w:pPr>
    <w:rPr>
      <w:rFonts w:eastAsiaTheme="minorHAnsi"/>
      <w:lang w:val="fr-CH" w:eastAsia="en-US"/>
    </w:rPr>
  </w:style>
  <w:style w:type="character" w:customStyle="1" w:styleId="SingleTxtGChar">
    <w:name w:val="_ Single Txt_G Char"/>
    <w:link w:val="SingleTxtG"/>
    <w:rsid w:val="0099696A"/>
    <w:rPr>
      <w:rFonts w:eastAsiaTheme="minorEastAsia"/>
      <w:lang w:val="es-ES" w:eastAsia="es-ES"/>
    </w:rPr>
  </w:style>
  <w:style w:type="character" w:customStyle="1" w:styleId="TextonotapieCar">
    <w:name w:val="Texto nota pie Car"/>
    <w:aliases w:val="5_G Car,Footnote Text Char Char1 Car,Footnote Text Char Char1 Char Char Car,Footnote Text Char1 Car,Footnote Text Char1 Char Char1 Car,Footnote Text Char1 Char Char1 Char Char Car,Geneva 9 Char Char Char Char Char Car,ft Car"/>
    <w:link w:val="Textonotapie"/>
    <w:qFormat/>
    <w:locked/>
    <w:rsid w:val="0019429F"/>
    <w:rPr>
      <w:rFonts w:eastAsiaTheme="minorEastAsia"/>
      <w:sz w:val="18"/>
      <w:lang w:val="es-ES" w:eastAsia="es-ES"/>
    </w:rPr>
  </w:style>
  <w:style w:type="character" w:customStyle="1" w:styleId="TextoindependienteCar">
    <w:name w:val="Texto independiente Car"/>
    <w:link w:val="Textoindependiente"/>
    <w:rsid w:val="001734EB"/>
    <w:rPr>
      <w:rFonts w:eastAsiaTheme="minorEastAsia"/>
      <w:lang w:val="es-ES" w:eastAsia="es-ES"/>
    </w:rPr>
  </w:style>
  <w:style w:type="paragraph" w:customStyle="1" w:styleId="FirstParagraph">
    <w:name w:val="First Paragraph"/>
    <w:basedOn w:val="Textoindependiente"/>
    <w:next w:val="Textoindependiente"/>
    <w:qFormat/>
    <w:rsid w:val="001734EB"/>
    <w:pPr>
      <w:spacing w:before="180" w:after="180" w:line="240" w:lineRule="auto"/>
    </w:pPr>
    <w:rPr>
      <w:rFonts w:ascii="Calibri" w:eastAsia="Times New Roman" w:hAnsi="Calibri"/>
      <w:sz w:val="24"/>
      <w:szCs w:val="24"/>
      <w:lang w:val="en-US" w:eastAsia="es-VE"/>
    </w:rPr>
  </w:style>
  <w:style w:type="paragraph" w:customStyle="1" w:styleId="Compact">
    <w:name w:val="Compact"/>
    <w:basedOn w:val="Textoindependiente"/>
    <w:qFormat/>
    <w:rsid w:val="001734EB"/>
    <w:pPr>
      <w:spacing w:before="36" w:after="36" w:line="240" w:lineRule="auto"/>
    </w:pPr>
    <w:rPr>
      <w:rFonts w:ascii="Calibri" w:eastAsia="Times New Roman" w:hAnsi="Calibri"/>
      <w:sz w:val="24"/>
      <w:szCs w:val="24"/>
      <w:lang w:val="en-US" w:eastAsia="es-VE"/>
    </w:rPr>
  </w:style>
  <w:style w:type="paragraph" w:styleId="Prrafodelista">
    <w:name w:val="List Paragraph"/>
    <w:basedOn w:val="Normal"/>
    <w:link w:val="PrrafodelistaCar"/>
    <w:uiPriority w:val="34"/>
    <w:qFormat/>
    <w:rsid w:val="001734EB"/>
    <w:pPr>
      <w:spacing w:after="200" w:line="276" w:lineRule="auto"/>
      <w:ind w:left="720"/>
      <w:contextualSpacing/>
    </w:pPr>
    <w:rPr>
      <w:rFonts w:ascii="Calibri" w:eastAsia="Times New Roman" w:hAnsi="Calibri"/>
      <w:sz w:val="22"/>
      <w:szCs w:val="22"/>
      <w:lang w:val="es-VE" w:eastAsia="es-VE"/>
    </w:rPr>
  </w:style>
  <w:style w:type="paragraph" w:customStyle="1" w:styleId="style1">
    <w:name w:val="style1"/>
    <w:basedOn w:val="Normal"/>
    <w:rsid w:val="001734EB"/>
    <w:pPr>
      <w:spacing w:before="100" w:beforeAutospacing="1" w:after="100" w:afterAutospacing="1" w:line="240" w:lineRule="auto"/>
    </w:pPr>
    <w:rPr>
      <w:rFonts w:ascii="Verdana" w:eastAsia="Times New Roman" w:hAnsi="Verdana"/>
      <w:sz w:val="15"/>
      <w:szCs w:val="15"/>
      <w:lang w:val="es-VE" w:eastAsia="es-VE"/>
    </w:rPr>
  </w:style>
  <w:style w:type="paragraph" w:customStyle="1" w:styleId="contenido-del-marco-western">
    <w:name w:val="contenido-del-marco-western"/>
    <w:basedOn w:val="Normal"/>
    <w:qFormat/>
    <w:rsid w:val="001734EB"/>
    <w:pPr>
      <w:spacing w:before="100" w:beforeAutospacing="1" w:after="119" w:line="240" w:lineRule="auto"/>
    </w:pPr>
    <w:rPr>
      <w:rFonts w:eastAsia="Times New Roman"/>
      <w:color w:val="000000"/>
      <w:sz w:val="24"/>
      <w:szCs w:val="24"/>
    </w:rPr>
  </w:style>
  <w:style w:type="paragraph" w:customStyle="1" w:styleId="Predeterminado">
    <w:name w:val="Predeterminado"/>
    <w:rsid w:val="001734EB"/>
    <w:pPr>
      <w:tabs>
        <w:tab w:val="left" w:pos="708"/>
      </w:tabs>
      <w:suppressAutoHyphens/>
      <w:spacing w:after="160" w:line="252" w:lineRule="atLeast"/>
    </w:pPr>
    <w:rPr>
      <w:rFonts w:ascii="Calibri" w:eastAsia="DejaVu Sans" w:hAnsi="Calibri" w:cs="Calibri"/>
      <w:color w:val="00000A"/>
      <w:sz w:val="24"/>
      <w:szCs w:val="24"/>
      <w:lang w:val="es-VE" w:eastAsia="es-VE" w:bidi="hi-IN"/>
    </w:rPr>
  </w:style>
  <w:style w:type="paragraph" w:customStyle="1" w:styleId="Prrafodelista1">
    <w:name w:val="Párrafo de lista1"/>
    <w:basedOn w:val="Normal"/>
    <w:rsid w:val="001734EB"/>
    <w:pPr>
      <w:suppressAutoHyphens/>
      <w:spacing w:after="160" w:line="256" w:lineRule="auto"/>
      <w:ind w:left="720"/>
      <w:contextualSpacing/>
    </w:pPr>
    <w:rPr>
      <w:rFonts w:ascii="Calibri" w:eastAsia="DejaVu Sans" w:hAnsi="Calibri" w:cs="Calibri"/>
      <w:kern w:val="1"/>
      <w:sz w:val="22"/>
      <w:szCs w:val="22"/>
      <w:lang w:val="es-VE" w:eastAsia="es-VE"/>
    </w:rPr>
  </w:style>
  <w:style w:type="paragraph" w:customStyle="1" w:styleId="Contenidodelatabla">
    <w:name w:val="Contenido de la tabla"/>
    <w:basedOn w:val="Normal"/>
    <w:rsid w:val="001734EB"/>
    <w:pPr>
      <w:suppressLineNumbers/>
      <w:suppressAutoHyphens/>
      <w:spacing w:after="160" w:line="256" w:lineRule="auto"/>
    </w:pPr>
    <w:rPr>
      <w:rFonts w:ascii="Calibri" w:eastAsia="DejaVu Sans" w:hAnsi="Calibri" w:cs="Calibri"/>
      <w:kern w:val="1"/>
      <w:sz w:val="22"/>
      <w:szCs w:val="22"/>
      <w:lang w:val="es-VE" w:eastAsia="es-VE"/>
    </w:rPr>
  </w:style>
  <w:style w:type="paragraph" w:customStyle="1" w:styleId="WW-Predeterminado">
    <w:name w:val="WW-Predeterminado"/>
    <w:rsid w:val="001734EB"/>
    <w:pPr>
      <w:tabs>
        <w:tab w:val="left" w:pos="708"/>
      </w:tabs>
      <w:suppressAutoHyphens/>
      <w:spacing w:after="200" w:line="276" w:lineRule="auto"/>
    </w:pPr>
    <w:rPr>
      <w:rFonts w:ascii="Liberation Serif" w:eastAsia="DejaVu Sans" w:hAnsi="Liberation Serif" w:cs="FreeSans"/>
      <w:color w:val="00000A"/>
      <w:kern w:val="1"/>
      <w:sz w:val="24"/>
      <w:szCs w:val="24"/>
      <w:lang w:val="es-VE" w:eastAsia="zh-CN" w:bidi="hi-IN"/>
    </w:rPr>
  </w:style>
  <w:style w:type="paragraph" w:customStyle="1" w:styleId="Default">
    <w:name w:val="Default"/>
    <w:rsid w:val="001734EB"/>
    <w:pPr>
      <w:suppressAutoHyphens/>
      <w:autoSpaceDE w:val="0"/>
    </w:pPr>
    <w:rPr>
      <w:rFonts w:ascii="Arial" w:hAnsi="Arial" w:cs="Arial"/>
      <w:color w:val="000000"/>
      <w:sz w:val="24"/>
      <w:szCs w:val="24"/>
      <w:lang w:val="es-VE" w:eastAsia="zh-CN"/>
    </w:rPr>
  </w:style>
  <w:style w:type="paragraph" w:customStyle="1" w:styleId="western">
    <w:name w:val="western"/>
    <w:basedOn w:val="Normal"/>
    <w:rsid w:val="001734EB"/>
    <w:pPr>
      <w:spacing w:before="100" w:beforeAutospacing="1" w:after="119" w:line="240" w:lineRule="auto"/>
    </w:pPr>
    <w:rPr>
      <w:rFonts w:eastAsia="Times New Roman"/>
      <w:color w:val="000000"/>
      <w:sz w:val="24"/>
      <w:szCs w:val="24"/>
    </w:rPr>
  </w:style>
  <w:style w:type="character" w:customStyle="1" w:styleId="EncabezadoCar">
    <w:name w:val="Encabezado Car"/>
    <w:aliases w:val="6_G Car"/>
    <w:basedOn w:val="Fuentedeprrafopredeter"/>
    <w:link w:val="Encabezado"/>
    <w:uiPriority w:val="99"/>
    <w:rsid w:val="001734EB"/>
    <w:rPr>
      <w:rFonts w:eastAsiaTheme="minorEastAsia"/>
      <w:b/>
      <w:sz w:val="18"/>
      <w:lang w:val="es-ES" w:eastAsia="es-ES"/>
    </w:rPr>
  </w:style>
  <w:style w:type="character" w:customStyle="1" w:styleId="PiedepginaCar">
    <w:name w:val="Pie de página Car"/>
    <w:aliases w:val="3_G Car"/>
    <w:basedOn w:val="Fuentedeprrafopredeter"/>
    <w:link w:val="Piedepgina"/>
    <w:uiPriority w:val="99"/>
    <w:rsid w:val="001734EB"/>
    <w:rPr>
      <w:rFonts w:eastAsiaTheme="minorEastAsia"/>
      <w:sz w:val="16"/>
      <w:lang w:val="es-ES" w:eastAsia="es-ES"/>
    </w:rPr>
  </w:style>
  <w:style w:type="paragraph" w:customStyle="1" w:styleId="Textbody">
    <w:name w:val="Text body"/>
    <w:basedOn w:val="Normal"/>
    <w:rsid w:val="001734EB"/>
    <w:pPr>
      <w:widowControl w:val="0"/>
      <w:suppressAutoHyphens/>
      <w:autoSpaceDN w:val="0"/>
      <w:spacing w:after="120" w:line="240" w:lineRule="auto"/>
      <w:textAlignment w:val="baseline"/>
    </w:pPr>
    <w:rPr>
      <w:rFonts w:ascii="Liberation Serif" w:eastAsia="DejaVu Sans" w:hAnsi="Liberation Serif" w:cs="FreeSans"/>
      <w:kern w:val="3"/>
      <w:sz w:val="24"/>
      <w:szCs w:val="24"/>
      <w:lang w:val="es-VE" w:eastAsia="zh-CN" w:bidi="hi-IN"/>
    </w:rPr>
  </w:style>
  <w:style w:type="character" w:customStyle="1" w:styleId="PrrafodelistaCar">
    <w:name w:val="Párrafo de lista Car"/>
    <w:link w:val="Prrafodelista"/>
    <w:uiPriority w:val="34"/>
    <w:locked/>
    <w:rsid w:val="001734EB"/>
    <w:rPr>
      <w:rFonts w:ascii="Calibri" w:hAnsi="Calibri"/>
      <w:sz w:val="22"/>
      <w:szCs w:val="22"/>
      <w:lang w:val="es-VE" w:eastAsia="es-VE"/>
    </w:rPr>
  </w:style>
  <w:style w:type="character" w:customStyle="1" w:styleId="st">
    <w:name w:val="st"/>
    <w:rsid w:val="001734EB"/>
  </w:style>
  <w:style w:type="character" w:customStyle="1" w:styleId="object">
    <w:name w:val="object"/>
    <w:rsid w:val="001734EB"/>
  </w:style>
  <w:style w:type="paragraph" w:customStyle="1" w:styleId="Style17">
    <w:name w:val="Style17"/>
    <w:basedOn w:val="Normal"/>
    <w:uiPriority w:val="99"/>
    <w:rsid w:val="001734EB"/>
    <w:pPr>
      <w:widowControl w:val="0"/>
      <w:autoSpaceDE w:val="0"/>
      <w:autoSpaceDN w:val="0"/>
      <w:adjustRightInd w:val="0"/>
      <w:spacing w:line="317" w:lineRule="exact"/>
      <w:jc w:val="both"/>
    </w:pPr>
    <w:rPr>
      <w:rFonts w:ascii="Arial" w:eastAsia="Times New Roman" w:hAnsi="Arial" w:cs="Arial"/>
      <w:sz w:val="24"/>
      <w:szCs w:val="24"/>
      <w:lang w:val="es-VE" w:eastAsia="es-VE"/>
    </w:rPr>
  </w:style>
  <w:style w:type="paragraph" w:customStyle="1" w:styleId="Style18">
    <w:name w:val="Style18"/>
    <w:basedOn w:val="Normal"/>
    <w:uiPriority w:val="99"/>
    <w:rsid w:val="001734EB"/>
    <w:pPr>
      <w:widowControl w:val="0"/>
      <w:autoSpaceDE w:val="0"/>
      <w:autoSpaceDN w:val="0"/>
      <w:adjustRightInd w:val="0"/>
      <w:spacing w:line="317" w:lineRule="exact"/>
      <w:ind w:firstLine="374"/>
      <w:jc w:val="both"/>
    </w:pPr>
    <w:rPr>
      <w:rFonts w:ascii="Arial" w:eastAsia="Times New Roman" w:hAnsi="Arial" w:cs="Arial"/>
      <w:sz w:val="24"/>
      <w:szCs w:val="24"/>
      <w:lang w:val="es-VE" w:eastAsia="es-VE"/>
    </w:rPr>
  </w:style>
  <w:style w:type="paragraph" w:customStyle="1" w:styleId="Style19">
    <w:name w:val="Style19"/>
    <w:basedOn w:val="Normal"/>
    <w:uiPriority w:val="99"/>
    <w:rsid w:val="001734EB"/>
    <w:pPr>
      <w:widowControl w:val="0"/>
      <w:autoSpaceDE w:val="0"/>
      <w:autoSpaceDN w:val="0"/>
      <w:adjustRightInd w:val="0"/>
      <w:spacing w:line="315" w:lineRule="exact"/>
      <w:ind w:hanging="346"/>
      <w:jc w:val="both"/>
    </w:pPr>
    <w:rPr>
      <w:rFonts w:ascii="Arial" w:eastAsia="Times New Roman" w:hAnsi="Arial" w:cs="Arial"/>
      <w:sz w:val="24"/>
      <w:szCs w:val="24"/>
      <w:lang w:val="es-VE" w:eastAsia="es-VE"/>
    </w:rPr>
  </w:style>
  <w:style w:type="character" w:customStyle="1" w:styleId="FontStyle68">
    <w:name w:val="Font Style68"/>
    <w:uiPriority w:val="99"/>
    <w:rsid w:val="001734EB"/>
    <w:rPr>
      <w:rFonts w:ascii="Arial" w:hAnsi="Arial" w:cs="Arial"/>
      <w:b/>
      <w:bCs/>
      <w:i/>
      <w:iCs/>
      <w:sz w:val="22"/>
      <w:szCs w:val="22"/>
    </w:rPr>
  </w:style>
  <w:style w:type="character" w:customStyle="1" w:styleId="FontStyle69">
    <w:name w:val="Font Style69"/>
    <w:uiPriority w:val="99"/>
    <w:rsid w:val="001734EB"/>
    <w:rPr>
      <w:rFonts w:ascii="Arial Unicode MS" w:eastAsia="Arial Unicode MS" w:cs="Arial Unicode MS"/>
      <w:i/>
      <w:iCs/>
      <w:sz w:val="22"/>
      <w:szCs w:val="22"/>
    </w:rPr>
  </w:style>
  <w:style w:type="character" w:customStyle="1" w:styleId="FontStyle71">
    <w:name w:val="Font Style71"/>
    <w:uiPriority w:val="99"/>
    <w:rsid w:val="001734EB"/>
    <w:rPr>
      <w:rFonts w:ascii="Arial" w:hAnsi="Arial" w:cs="Arial"/>
      <w:sz w:val="22"/>
      <w:szCs w:val="22"/>
    </w:rPr>
  </w:style>
  <w:style w:type="paragraph" w:customStyle="1" w:styleId="Style16">
    <w:name w:val="Style16"/>
    <w:basedOn w:val="Normal"/>
    <w:uiPriority w:val="99"/>
    <w:rsid w:val="001734EB"/>
    <w:pPr>
      <w:widowControl w:val="0"/>
      <w:autoSpaceDE w:val="0"/>
      <w:autoSpaceDN w:val="0"/>
      <w:adjustRightInd w:val="0"/>
      <w:spacing w:line="317" w:lineRule="exact"/>
      <w:jc w:val="both"/>
    </w:pPr>
    <w:rPr>
      <w:rFonts w:ascii="Arial" w:eastAsia="Times New Roman" w:hAnsi="Arial" w:cs="Arial"/>
      <w:sz w:val="24"/>
      <w:szCs w:val="24"/>
      <w:lang w:val="es-VE" w:eastAsia="es-VE"/>
    </w:rPr>
  </w:style>
  <w:style w:type="paragraph" w:customStyle="1" w:styleId="Style35">
    <w:name w:val="Style35"/>
    <w:basedOn w:val="Normal"/>
    <w:uiPriority w:val="99"/>
    <w:rsid w:val="001734EB"/>
    <w:pPr>
      <w:widowControl w:val="0"/>
      <w:autoSpaceDE w:val="0"/>
      <w:autoSpaceDN w:val="0"/>
      <w:adjustRightInd w:val="0"/>
      <w:spacing w:line="240" w:lineRule="auto"/>
    </w:pPr>
    <w:rPr>
      <w:rFonts w:ascii="Arial" w:eastAsia="Times New Roman" w:hAnsi="Arial" w:cs="Arial"/>
      <w:sz w:val="24"/>
      <w:szCs w:val="24"/>
      <w:lang w:val="es-VE" w:eastAsia="es-VE"/>
    </w:rPr>
  </w:style>
  <w:style w:type="character" w:customStyle="1" w:styleId="FontStyle70">
    <w:name w:val="Font Style70"/>
    <w:uiPriority w:val="99"/>
    <w:rsid w:val="001734EB"/>
    <w:rPr>
      <w:rFonts w:ascii="Arial" w:hAnsi="Arial" w:cs="Arial"/>
      <w:b/>
      <w:bCs/>
      <w:sz w:val="22"/>
      <w:szCs w:val="22"/>
    </w:rPr>
  </w:style>
  <w:style w:type="character" w:customStyle="1" w:styleId="FontStyle67">
    <w:name w:val="Font Style67"/>
    <w:uiPriority w:val="99"/>
    <w:rsid w:val="001734EB"/>
    <w:rPr>
      <w:rFonts w:ascii="Arial" w:hAnsi="Arial" w:cs="Arial"/>
      <w:b/>
      <w:bCs/>
      <w:sz w:val="28"/>
      <w:szCs w:val="28"/>
    </w:rPr>
  </w:style>
  <w:style w:type="character" w:styleId="Refdecomentario">
    <w:name w:val="annotation reference"/>
    <w:uiPriority w:val="99"/>
    <w:semiHidden/>
    <w:unhideWhenUsed/>
    <w:rsid w:val="001734EB"/>
    <w:rPr>
      <w:sz w:val="16"/>
      <w:szCs w:val="16"/>
    </w:rPr>
  </w:style>
  <w:style w:type="paragraph" w:styleId="Textocomentario">
    <w:name w:val="annotation text"/>
    <w:basedOn w:val="Normal"/>
    <w:link w:val="TextocomentarioCar"/>
    <w:uiPriority w:val="99"/>
    <w:semiHidden/>
    <w:unhideWhenUsed/>
    <w:rsid w:val="001734EB"/>
    <w:pPr>
      <w:spacing w:after="200" w:line="276" w:lineRule="auto"/>
    </w:pPr>
    <w:rPr>
      <w:rFonts w:ascii="Calibri" w:eastAsia="Times New Roman" w:hAnsi="Calibri"/>
      <w:lang w:val="es-VE" w:eastAsia="es-VE"/>
    </w:rPr>
  </w:style>
  <w:style w:type="character" w:customStyle="1" w:styleId="TextocomentarioCar">
    <w:name w:val="Texto comentario Car"/>
    <w:basedOn w:val="Fuentedeprrafopredeter"/>
    <w:link w:val="Textocomentario"/>
    <w:uiPriority w:val="99"/>
    <w:semiHidden/>
    <w:rsid w:val="001734EB"/>
    <w:rPr>
      <w:rFonts w:ascii="Calibri" w:hAnsi="Calibri"/>
      <w:lang w:val="es-VE" w:eastAsia="es-VE"/>
    </w:rPr>
  </w:style>
  <w:style w:type="paragraph" w:styleId="Asuntodelcomentario">
    <w:name w:val="annotation subject"/>
    <w:basedOn w:val="Textocomentario"/>
    <w:next w:val="Textocomentario"/>
    <w:link w:val="AsuntodelcomentarioCar"/>
    <w:uiPriority w:val="99"/>
    <w:semiHidden/>
    <w:unhideWhenUsed/>
    <w:rsid w:val="001734EB"/>
    <w:rPr>
      <w:b/>
      <w:bCs/>
    </w:rPr>
  </w:style>
  <w:style w:type="character" w:customStyle="1" w:styleId="AsuntodelcomentarioCar">
    <w:name w:val="Asunto del comentario Car"/>
    <w:basedOn w:val="TextocomentarioCar"/>
    <w:link w:val="Asuntodelcomentario"/>
    <w:uiPriority w:val="99"/>
    <w:semiHidden/>
    <w:rsid w:val="001734EB"/>
    <w:rPr>
      <w:rFonts w:ascii="Calibri" w:hAnsi="Calibri"/>
      <w:b/>
      <w:bCs/>
      <w:lang w:val="es-VE" w:eastAsia="es-V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86181-FF80-4BA2-9FD3-C0C1AEF50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9422</Words>
  <Characters>51826</Characters>
  <Application>Microsoft Office Word</Application>
  <DocSecurity>0</DocSecurity>
  <Lines>431</Lines>
  <Paragraphs>122</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CRPD/C/VEN/RQ/1</vt:lpstr>
      <vt:lpstr>CRPD/C/VEN/Q/1/Add.1</vt:lpstr>
      <vt:lpstr>CAT/C/XXX/Y</vt:lpstr>
    </vt:vector>
  </TitlesOfParts>
  <Company>DCM</Company>
  <LinksUpToDate>false</LinksUpToDate>
  <CharactersWithSpaces>61126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CRPD/C/VEN/RQ/1</dc:title>
  <dc:subject/>
  <dc:creator>Gloria</dc:creator>
  <cp:keywords/>
  <dc:description/>
  <cp:lastModifiedBy>Maria De La Plaza</cp:lastModifiedBy>
  <cp:revision>3</cp:revision>
  <cp:lastPrinted>2019-12-30T14:57:00Z</cp:lastPrinted>
  <dcterms:created xsi:type="dcterms:W3CDTF">2019-12-30T14:57:00Z</dcterms:created>
  <dcterms:modified xsi:type="dcterms:W3CDTF">2019-12-30T14:58:00Z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[NUMBER]</vt:lpwstr>
  </property>
  <property fmtid="{D5CDD505-2E9C-101B-9397-08002B2CF9AE}" pid="3" name="atitle">
    <vt:lpwstr>[Title]</vt:lpwstr>
  </property>
  <property fmtid="{D5CDD505-2E9C-101B-9397-08002B2CF9AE}" pid="4" name="Author">
    <vt:lpwstr/>
  </property>
  <property fmtid="{D5CDD505-2E9C-101B-9397-08002B2CF9AE}" pid="5" name="bar">
    <vt:lpwstr/>
  </property>
  <property fmtid="{D5CDD505-2E9C-101B-9397-08002B2CF9AE}" pid="6" name="category">
    <vt:lpwstr>CRPD</vt:lpwstr>
  </property>
  <property fmtid="{D5CDD505-2E9C-101B-9397-08002B2CF9AE}" pid="7" name="count">
    <vt:lpwstr>de la República Bolivariana de Venezuela</vt:lpwstr>
  </property>
  <property fmtid="{D5CDD505-2E9C-101B-9397-08002B2CF9AE}" pid="8" name="countw">
    <vt:lpwstr>República Bolivariana de Venezuela</vt:lpwstr>
  </property>
  <property fmtid="{D5CDD505-2E9C-101B-9397-08002B2CF9AE}" pid="9" name="countwd">
    <vt:lpwstr>la República Bolivariana de Venezuela</vt:lpwstr>
  </property>
  <property fmtid="{D5CDD505-2E9C-101B-9397-08002B2CF9AE}" pid="10" name="date">
    <vt:lpwstr>19 de diciembre de 2019</vt:lpwstr>
  </property>
  <property fmtid="{D5CDD505-2E9C-101B-9397-08002B2CF9AE}" pid="11" name="Date-Generated">
    <vt:filetime>2019-12-19T16:19:07Z</vt:filetime>
  </property>
  <property fmtid="{D5CDD505-2E9C-101B-9397-08002B2CF9AE}" pid="12" name="dist">
    <vt:lpwstr>general</vt:lpwstr>
  </property>
  <property fmtid="{D5CDD505-2E9C-101B-9397-08002B2CF9AE}" pid="13" name="doctype">
    <vt:lpwstr>Final</vt:lpwstr>
  </property>
  <property fmtid="{D5CDD505-2E9C-101B-9397-08002B2CF9AE}" pid="14" name="Entity">
    <vt:lpwstr>List of Issues - Replies</vt:lpwstr>
  </property>
  <property fmtid="{D5CDD505-2E9C-101B-9397-08002B2CF9AE}" pid="15" name="gdoc">
    <vt:lpwstr/>
  </property>
  <property fmtid="{D5CDD505-2E9C-101B-9397-08002B2CF9AE}" pid="16" name="gdocf">
    <vt:lpwstr/>
  </property>
  <property fmtid="{D5CDD505-2E9C-101B-9397-08002B2CF9AE}" pid="17" name="gdocs">
    <vt:lpwstr>gdocs</vt:lpwstr>
  </property>
  <property fmtid="{D5CDD505-2E9C-101B-9397-08002B2CF9AE}" pid="18" name="olang">
    <vt:lpwstr>español</vt:lpwstr>
  </property>
  <property fmtid="{D5CDD505-2E9C-101B-9397-08002B2CF9AE}" pid="19" name="Org">
    <vt:lpwstr>OHCHR</vt:lpwstr>
  </property>
  <property fmtid="{D5CDD505-2E9C-101B-9397-08002B2CF9AE}" pid="20" name="prep">
    <vt:lpwstr>al informe inicial de la República Bolivariana de Venezuela</vt:lpwstr>
  </property>
  <property fmtid="{D5CDD505-2E9C-101B-9397-08002B2CF9AE}" pid="21" name="preps">
    <vt:lpwstr>informe inicial de la República Bolivariana de Venezuela</vt:lpwstr>
  </property>
  <property fmtid="{D5CDD505-2E9C-101B-9397-08002B2CF9AE}" pid="22" name="prepw">
    <vt:lpwstr>al informe inicial </vt:lpwstr>
  </property>
  <property fmtid="{D5CDD505-2E9C-101B-9397-08002B2CF9AE}" pid="23" name="prepwc">
    <vt:lpwstr>Informe inicial </vt:lpwstr>
  </property>
  <property fmtid="{D5CDD505-2E9C-101B-9397-08002B2CF9AE}" pid="24" name="prepws">
    <vt:lpwstr>informe inicial</vt:lpwstr>
  </property>
  <property fmtid="{D5CDD505-2E9C-101B-9397-08002B2CF9AE}" pid="25" name="sdate">
    <vt:lpwstr>[Start-End Dates]</vt:lpwstr>
  </property>
  <property fmtid="{D5CDD505-2E9C-101B-9397-08002B2CF9AE}" pid="26" name="snum">
    <vt:lpwstr>[NUMBER]</vt:lpwstr>
  </property>
  <property fmtid="{D5CDD505-2E9C-101B-9397-08002B2CF9AE}" pid="27" name="stitle">
    <vt:lpwstr>[Title]</vt:lpwstr>
  </property>
  <property fmtid="{D5CDD505-2E9C-101B-9397-08002B2CF9AE}" pid="28" name="sym1">
    <vt:lpwstr>C/VEN/Q/1/Add.1</vt:lpwstr>
  </property>
  <property fmtid="{D5CDD505-2E9C-101B-9397-08002B2CF9AE}" pid="29" name="symh">
    <vt:lpwstr>CRPD/C/VEN/Q/1/Add.1</vt:lpwstr>
  </property>
  <property fmtid="{D5CDD505-2E9C-101B-9397-08002B2CF9AE}" pid="30" name="Title">
    <vt:lpwstr>CRPD/C/VEN/Q/1/Add.1</vt:lpwstr>
  </property>
  <property fmtid="{D5CDD505-2E9C-101B-9397-08002B2CF9AE}" pid="31" name="tlang">
    <vt:lpwstr/>
  </property>
  <property fmtid="{D5CDD505-2E9C-101B-9397-08002B2CF9AE}" pid="32" name="virs">
    <vt:lpwstr>Español, inglés y ruso únicamente</vt:lpwstr>
  </property>
</Properties>
</file>