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3164E0">
                <w:t>C/BIH/CO/2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3164E0">
              <w:rPr>
                <w:lang w:val="en-US"/>
              </w:rPr>
              <w:fldChar w:fldCharType="separate"/>
            </w:r>
            <w:r w:rsidR="003164E0">
              <w:rPr>
                <w:lang w:val="en-US"/>
              </w:rPr>
              <w:t>13 November 2012</w:t>
            </w:r>
            <w:r w:rsidR="003164E0">
              <w:rPr>
                <w:lang w:val="en-US"/>
              </w:rPr>
              <w:br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F40CD9" w:rsidRPr="00F40CD9" w:rsidRDefault="00F40CD9" w:rsidP="00F40CD9">
      <w:pPr>
        <w:pStyle w:val="SingleTxtGR"/>
        <w:tabs>
          <w:tab w:val="clear" w:pos="1701"/>
        </w:tabs>
        <w:spacing w:before="120"/>
        <w:ind w:left="0"/>
        <w:rPr>
          <w:b/>
          <w:bCs/>
          <w:sz w:val="24"/>
          <w:szCs w:val="24"/>
        </w:rPr>
      </w:pPr>
      <w:r w:rsidRPr="00F40CD9">
        <w:rPr>
          <w:b/>
          <w:bCs/>
          <w:sz w:val="24"/>
          <w:szCs w:val="24"/>
        </w:rPr>
        <w:t>Комитет по правам человека</w:t>
      </w:r>
    </w:p>
    <w:p w:rsidR="00F40CD9" w:rsidRPr="00F40CD9" w:rsidRDefault="00F40CD9" w:rsidP="00991B22">
      <w:pPr>
        <w:pStyle w:val="HChGR"/>
      </w:pPr>
      <w:r w:rsidRPr="00F40CD9">
        <w:tab/>
      </w:r>
      <w:r w:rsidRPr="00F40CD9">
        <w:tab/>
        <w:t>Заключительные замечания по второму периодическому докладу Боснии и Герцеговины,</w:t>
      </w:r>
      <w:r w:rsidR="002001A8">
        <w:t xml:space="preserve"> принятые Комитетом на его сто шестой</w:t>
      </w:r>
      <w:r w:rsidRPr="00F40CD9">
        <w:t xml:space="preserve"> сессии (15</w:t>
      </w:r>
      <w:r w:rsidR="00991B22">
        <w:rPr>
          <w:lang w:val="en-US"/>
        </w:rPr>
        <w:t> </w:t>
      </w:r>
      <w:r w:rsidRPr="00F40CD9">
        <w:t>октября</w:t>
      </w:r>
      <w:r w:rsidR="002001A8">
        <w:t xml:space="preserve"> </w:t>
      </w:r>
      <w:r w:rsidRPr="00F40CD9">
        <w:t>−</w:t>
      </w:r>
      <w:r w:rsidR="002001A8">
        <w:t xml:space="preserve"> </w:t>
      </w:r>
      <w:r w:rsidRPr="00F40CD9">
        <w:t>2 ноября 2012 года)</w:t>
      </w:r>
    </w:p>
    <w:p w:rsidR="00F40CD9" w:rsidRPr="00F40CD9" w:rsidRDefault="00DD18C8" w:rsidP="00F40CD9">
      <w:pPr>
        <w:pStyle w:val="SingleTxtGR"/>
      </w:pPr>
      <w:r>
        <w:t>1.</w:t>
      </w:r>
      <w:r>
        <w:tab/>
      </w:r>
      <w:r w:rsidR="00F40CD9" w:rsidRPr="00F40CD9">
        <w:t>Комитет рассмотрел второй периодический доклад, представленный Бо</w:t>
      </w:r>
      <w:r w:rsidR="00F40CD9" w:rsidRPr="00F40CD9">
        <w:t>с</w:t>
      </w:r>
      <w:r w:rsidR="00F40CD9" w:rsidRPr="00F40CD9">
        <w:t>нией и Герцеговиной (CCPR/C/</w:t>
      </w:r>
      <w:r w:rsidR="00F40CD9" w:rsidRPr="00F40CD9">
        <w:rPr>
          <w:lang w:val="en-US"/>
        </w:rPr>
        <w:t>BIH</w:t>
      </w:r>
      <w:r w:rsidR="002001A8">
        <w:t>/2), на своих 2934</w:t>
      </w:r>
      <w:r w:rsidR="00F40CD9" w:rsidRPr="00F40CD9">
        <w:t xml:space="preserve"> и 2935-м заседаниях (CCPR/C/SR.2934 и 2935), состоявшихся 22 и 23 октября 2012 года. На своем 2945-м заседании (CCPR/C/SR.2945), состоявшемся 31 октября 2012 года, К</w:t>
      </w:r>
      <w:r w:rsidR="00F40CD9" w:rsidRPr="00F40CD9">
        <w:t>о</w:t>
      </w:r>
      <w:r w:rsidR="00F40CD9" w:rsidRPr="00F40CD9">
        <w:t>митет принял нижеследующие заключительные замечания.</w:t>
      </w:r>
    </w:p>
    <w:p w:rsidR="00F40CD9" w:rsidRPr="00F40CD9" w:rsidRDefault="00DD18C8" w:rsidP="00DD18C8">
      <w:pPr>
        <w:pStyle w:val="H1GR"/>
      </w:pPr>
      <w:r>
        <w:rPr>
          <w:lang w:val="en-US"/>
        </w:rPr>
        <w:tab/>
      </w:r>
      <w:r w:rsidR="00F40CD9" w:rsidRPr="00F40CD9">
        <w:t>А.</w:t>
      </w:r>
      <w:r w:rsidR="00F40CD9" w:rsidRPr="00F40CD9">
        <w:tab/>
        <w:t>Введение</w:t>
      </w:r>
    </w:p>
    <w:p w:rsidR="00F40CD9" w:rsidRPr="00F40CD9" w:rsidRDefault="0025081D" w:rsidP="0025081D">
      <w:pPr>
        <w:pStyle w:val="SingleTxtGR"/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="00F40CD9" w:rsidRPr="00F40CD9">
        <w:rPr>
          <w:bCs/>
        </w:rPr>
        <w:t xml:space="preserve">Комитет приветствует представление второго периодического доклада </w:t>
      </w:r>
      <w:r w:rsidR="00F40CD9" w:rsidRPr="0025081D">
        <w:t>Боснии</w:t>
      </w:r>
      <w:r w:rsidR="00F40CD9" w:rsidRPr="00F40CD9">
        <w:rPr>
          <w:bCs/>
        </w:rPr>
        <w:t xml:space="preserve"> и Герцеговины и содержащуюся в нем информацию. Он выражает удо</w:t>
      </w:r>
      <w:r w:rsidR="00F40CD9" w:rsidRPr="00F40CD9">
        <w:rPr>
          <w:bCs/>
        </w:rPr>
        <w:t>в</w:t>
      </w:r>
      <w:r w:rsidR="00F40CD9" w:rsidRPr="00F40CD9">
        <w:rPr>
          <w:bCs/>
        </w:rPr>
        <w:t>летворение в связи с возможностью возобновить конструктивный диалог с д</w:t>
      </w:r>
      <w:r w:rsidR="00F40CD9" w:rsidRPr="00F40CD9">
        <w:rPr>
          <w:bCs/>
        </w:rPr>
        <w:t>е</w:t>
      </w:r>
      <w:r w:rsidR="00F40CD9" w:rsidRPr="00F40CD9">
        <w:rPr>
          <w:bCs/>
        </w:rPr>
        <w:t>легацией высокого уровня государства-участника по вопросу о мерах, прин</w:t>
      </w:r>
      <w:r w:rsidR="00F40CD9" w:rsidRPr="00F40CD9">
        <w:rPr>
          <w:bCs/>
        </w:rPr>
        <w:t>я</w:t>
      </w:r>
      <w:r w:rsidR="00F40CD9" w:rsidRPr="00F40CD9">
        <w:rPr>
          <w:bCs/>
        </w:rPr>
        <w:t>тых государством-участником за отчетный период с целью осуществления полож</w:t>
      </w:r>
      <w:r w:rsidR="00F40CD9" w:rsidRPr="00F40CD9">
        <w:rPr>
          <w:bCs/>
        </w:rPr>
        <w:t>е</w:t>
      </w:r>
      <w:r w:rsidR="00F40CD9" w:rsidRPr="00F40CD9">
        <w:rPr>
          <w:bCs/>
        </w:rPr>
        <w:t>ний Пакта. Комитет благодарит государство-участник за его письменные ответы на перечень вопросов (CCPR/</w:t>
      </w:r>
      <w:r w:rsidR="00F40CD9" w:rsidRPr="00F40CD9">
        <w:rPr>
          <w:bCs/>
          <w:lang w:val="en-US"/>
        </w:rPr>
        <w:t>BIH</w:t>
      </w:r>
      <w:r w:rsidR="00F40CD9" w:rsidRPr="00F40CD9">
        <w:rPr>
          <w:bCs/>
        </w:rPr>
        <w:t>/Q/2/Add.1), которые были дополнены устн</w:t>
      </w:r>
      <w:r w:rsidR="00F40CD9" w:rsidRPr="00F40CD9">
        <w:rPr>
          <w:bCs/>
        </w:rPr>
        <w:t>ы</w:t>
      </w:r>
      <w:r w:rsidR="00F40CD9" w:rsidRPr="00F40CD9">
        <w:rPr>
          <w:bCs/>
        </w:rPr>
        <w:t>ми ответами д</w:t>
      </w:r>
      <w:r w:rsidR="00F40CD9" w:rsidRPr="00F40CD9">
        <w:rPr>
          <w:bCs/>
        </w:rPr>
        <w:t>е</w:t>
      </w:r>
      <w:r w:rsidR="00F40CD9" w:rsidRPr="00F40CD9">
        <w:rPr>
          <w:bCs/>
        </w:rPr>
        <w:t>легации.</w:t>
      </w:r>
    </w:p>
    <w:p w:rsidR="00F40CD9" w:rsidRPr="0025081D" w:rsidRDefault="0025081D" w:rsidP="0025081D">
      <w:pPr>
        <w:pStyle w:val="H1GR"/>
      </w:pPr>
      <w:r>
        <w:rPr>
          <w:lang w:val="en-US"/>
        </w:rPr>
        <w:tab/>
      </w:r>
      <w:r w:rsidR="00F40CD9" w:rsidRPr="0025081D">
        <w:t>В.</w:t>
      </w:r>
      <w:r w:rsidRPr="0025081D">
        <w:tab/>
      </w:r>
      <w:r w:rsidR="00F40CD9" w:rsidRPr="0025081D">
        <w:t>Позитивные аспекты</w:t>
      </w:r>
    </w:p>
    <w:p w:rsidR="00F40CD9" w:rsidRPr="00F40CD9" w:rsidRDefault="00FE3E05" w:rsidP="00F40CD9">
      <w:pPr>
        <w:pStyle w:val="SingleTxtGR"/>
      </w:pPr>
      <w:r>
        <w:t>3.</w:t>
      </w:r>
      <w:r>
        <w:tab/>
      </w:r>
      <w:r w:rsidR="00F40CD9" w:rsidRPr="00F40CD9">
        <w:t>Комитет приветствует принятые государством-участником следующие з</w:t>
      </w:r>
      <w:r w:rsidR="00F40CD9" w:rsidRPr="00F40CD9">
        <w:t>а</w:t>
      </w:r>
      <w:r w:rsidR="00F40CD9" w:rsidRPr="00F40CD9">
        <w:t>конодательные и другие меры:</w:t>
      </w:r>
    </w:p>
    <w:p w:rsidR="00F40CD9" w:rsidRPr="00F40CD9" w:rsidRDefault="003E5A85" w:rsidP="00F40CD9">
      <w:pPr>
        <w:pStyle w:val="SingleTxtGR"/>
      </w:pPr>
      <w:r>
        <w:tab/>
      </w:r>
      <w:r w:rsidR="00F40CD9" w:rsidRPr="00F40CD9">
        <w:rPr>
          <w:lang w:val="en-US"/>
        </w:rPr>
        <w:t>a</w:t>
      </w:r>
      <w:r w:rsidR="00F40CD9" w:rsidRPr="00F40CD9">
        <w:t>)</w:t>
      </w:r>
      <w:r w:rsidR="00F40CD9" w:rsidRPr="00F40CD9">
        <w:tab/>
        <w:t>принятие Закона о запрещении дискриминации в 2009 году;</w:t>
      </w:r>
    </w:p>
    <w:p w:rsidR="00F40CD9" w:rsidRPr="00F40CD9" w:rsidRDefault="003E5A85" w:rsidP="00F40CD9">
      <w:pPr>
        <w:pStyle w:val="SingleTxtGR"/>
      </w:pPr>
      <w:r>
        <w:tab/>
      </w:r>
      <w:r w:rsidR="00F40CD9" w:rsidRPr="00F40CD9">
        <w:rPr>
          <w:lang w:val="en-US"/>
        </w:rPr>
        <w:t>b</w:t>
      </w:r>
      <w:r w:rsidR="00F40CD9" w:rsidRPr="00F40CD9">
        <w:t>)</w:t>
      </w:r>
      <w:r w:rsidR="00F40CD9" w:rsidRPr="00F40CD9">
        <w:tab/>
        <w:t>принятие в 2008 году Пар</w:t>
      </w:r>
      <w:r w:rsidR="002753D2">
        <w:t>ламентской ассамблеей резолюции</w:t>
      </w:r>
      <w:r w:rsidR="002753D2">
        <w:br/>
      </w:r>
      <w:r w:rsidR="00F40CD9" w:rsidRPr="00F40CD9">
        <w:t>о борьбе с насилием в семье (Официальные ведомости Боснии и Герцеговины, №</w:t>
      </w:r>
      <w:r>
        <w:rPr>
          <w:lang w:val="en-US"/>
        </w:rPr>
        <w:t> </w:t>
      </w:r>
      <w:r w:rsidR="00F40CD9" w:rsidRPr="00F40CD9">
        <w:t>15/08);</w:t>
      </w:r>
    </w:p>
    <w:p w:rsidR="00F40CD9" w:rsidRPr="00F40CD9" w:rsidRDefault="00944347" w:rsidP="00F40CD9">
      <w:pPr>
        <w:pStyle w:val="SingleTxtGR"/>
      </w:pPr>
      <w:r>
        <w:tab/>
      </w:r>
      <w:r w:rsidR="00F40CD9" w:rsidRPr="00F40CD9">
        <w:rPr>
          <w:lang w:val="en-US"/>
        </w:rPr>
        <w:t>c</w:t>
      </w:r>
      <w:r w:rsidR="00F40CD9" w:rsidRPr="00F40CD9">
        <w:t>)</w:t>
      </w:r>
      <w:r w:rsidR="00F40CD9" w:rsidRPr="00F40CD9">
        <w:tab/>
        <w:t>принятие в 2008 году Национальной стратегии преследования за военные преступления;</w:t>
      </w:r>
    </w:p>
    <w:p w:rsidR="00F40CD9" w:rsidRPr="00F40CD9" w:rsidRDefault="00944347" w:rsidP="00F40CD9">
      <w:pPr>
        <w:pStyle w:val="SingleTxtGR"/>
      </w:pPr>
      <w:r>
        <w:tab/>
      </w:r>
      <w:r w:rsidR="00F40CD9" w:rsidRPr="00F40CD9">
        <w:rPr>
          <w:lang w:val="en-US"/>
        </w:rPr>
        <w:t>d</w:t>
      </w:r>
      <w:r w:rsidR="00F40CD9" w:rsidRPr="00F40CD9">
        <w:t>)</w:t>
      </w:r>
      <w:r w:rsidR="00F40CD9" w:rsidRPr="00F40CD9">
        <w:tab/>
        <w:t>принятие в 2010 году пересмотренной стратегии осуществления приложения 7 (Рамочная программа возвращения беженцев и внутренне пер</w:t>
      </w:r>
      <w:r w:rsidR="00F40CD9" w:rsidRPr="00F40CD9">
        <w:t>е</w:t>
      </w:r>
      <w:r w:rsidR="00F40CD9" w:rsidRPr="00F40CD9">
        <w:t>мещенных лиц).</w:t>
      </w:r>
    </w:p>
    <w:p w:rsidR="00F40CD9" w:rsidRPr="00F40CD9" w:rsidRDefault="00944347" w:rsidP="00F40CD9">
      <w:pPr>
        <w:pStyle w:val="SingleTxtGR"/>
      </w:pPr>
      <w:r>
        <w:t>4.</w:t>
      </w:r>
      <w:r>
        <w:tab/>
      </w:r>
      <w:r w:rsidR="00F40CD9" w:rsidRPr="00F40CD9">
        <w:t>Комитет приветствует ратификацию государством-участником следу</w:t>
      </w:r>
      <w:r w:rsidR="00F40CD9" w:rsidRPr="00F40CD9">
        <w:t>ю</w:t>
      </w:r>
      <w:r w:rsidR="00F40CD9" w:rsidRPr="00F40CD9">
        <w:t>щих международных договоров:</w:t>
      </w:r>
    </w:p>
    <w:p w:rsidR="00F40CD9" w:rsidRPr="00F40CD9" w:rsidRDefault="00F40CD9" w:rsidP="00F40CD9">
      <w:pPr>
        <w:pStyle w:val="SingleTxtGR"/>
      </w:pPr>
      <w:r w:rsidRPr="00F40CD9">
        <w:tab/>
      </w:r>
      <w:r w:rsidRPr="00F40CD9">
        <w:rPr>
          <w:lang w:val="en-US"/>
        </w:rPr>
        <w:t>a</w:t>
      </w:r>
      <w:r w:rsidRPr="00F40CD9">
        <w:t>)</w:t>
      </w:r>
      <w:r w:rsidRPr="00F40CD9">
        <w:tab/>
        <w:t>Международной конвенции для защиты всех лиц от насильстве</w:t>
      </w:r>
      <w:r w:rsidRPr="00F40CD9">
        <w:t>н</w:t>
      </w:r>
      <w:r w:rsidRPr="00F40CD9">
        <w:t>ных исчезновений 30 марта 2012 года;</w:t>
      </w:r>
    </w:p>
    <w:p w:rsidR="00F40CD9" w:rsidRPr="00F40CD9" w:rsidRDefault="00F40CD9" w:rsidP="00F40CD9">
      <w:pPr>
        <w:pStyle w:val="SingleTxtGR"/>
      </w:pPr>
      <w:r w:rsidRPr="00F40CD9">
        <w:tab/>
      </w:r>
      <w:r w:rsidRPr="00F40CD9">
        <w:rPr>
          <w:lang w:val="en-US"/>
        </w:rPr>
        <w:t>b</w:t>
      </w:r>
      <w:r w:rsidRPr="00F40CD9">
        <w:t>)</w:t>
      </w:r>
      <w:r w:rsidRPr="00F40CD9">
        <w:tab/>
        <w:t>Конвенции о правах инвалидов и Факультативного протокола к ней 12 марта 2010 года;</w:t>
      </w:r>
    </w:p>
    <w:p w:rsidR="00F40CD9" w:rsidRPr="00F40CD9" w:rsidRDefault="00F40CD9" w:rsidP="00F40CD9">
      <w:pPr>
        <w:pStyle w:val="SingleTxtGR"/>
      </w:pPr>
      <w:r w:rsidRPr="00F40CD9">
        <w:tab/>
        <w:t>с)</w:t>
      </w:r>
      <w:r w:rsidRPr="00F40CD9">
        <w:tab/>
        <w:t>Факультативного протокола к Международному пакту об эконом</w:t>
      </w:r>
      <w:r w:rsidRPr="00F40CD9">
        <w:t>и</w:t>
      </w:r>
      <w:r w:rsidRPr="00F40CD9">
        <w:t>ческих, социальных и культурных правах 18 января 2012 года; и</w:t>
      </w:r>
    </w:p>
    <w:p w:rsidR="00F40CD9" w:rsidRPr="00F40CD9" w:rsidRDefault="00F40CD9" w:rsidP="00F40CD9">
      <w:pPr>
        <w:pStyle w:val="SingleTxtGR"/>
      </w:pPr>
      <w:r w:rsidRPr="00F40CD9">
        <w:tab/>
      </w:r>
      <w:r w:rsidRPr="00F40CD9">
        <w:rPr>
          <w:lang w:val="en-US"/>
        </w:rPr>
        <w:t>d</w:t>
      </w:r>
      <w:r w:rsidRPr="00F40CD9">
        <w:t>)</w:t>
      </w:r>
      <w:r w:rsidRPr="00F40CD9">
        <w:tab/>
        <w:t>Факультативного протокола к Конвенции против пыток и других жестоких, бесчеловечных или унижающих достоинство видах обращения и н</w:t>
      </w:r>
      <w:r w:rsidRPr="00F40CD9">
        <w:t>а</w:t>
      </w:r>
      <w:r w:rsidRPr="00F40CD9">
        <w:t>казания 24 октября 2008 года.</w:t>
      </w:r>
    </w:p>
    <w:p w:rsidR="00F40CD9" w:rsidRPr="00F40CD9" w:rsidRDefault="00944347" w:rsidP="00944347">
      <w:pPr>
        <w:pStyle w:val="H1GR"/>
      </w:pPr>
      <w:r>
        <w:rPr>
          <w:lang w:val="en-US"/>
        </w:rPr>
        <w:tab/>
      </w:r>
      <w:r w:rsidR="00F40CD9" w:rsidRPr="00F40CD9">
        <w:t>С.</w:t>
      </w:r>
      <w:r w:rsidR="00F40CD9" w:rsidRPr="00F40CD9">
        <w:tab/>
        <w:t>Основные вопросы, вызывающие озабоченность, и</w:t>
      </w:r>
      <w:r>
        <w:rPr>
          <w:lang w:val="en-US"/>
        </w:rPr>
        <w:t> </w:t>
      </w:r>
      <w:r w:rsidR="00F40CD9" w:rsidRPr="00F40CD9">
        <w:t>рекомендации</w:t>
      </w:r>
    </w:p>
    <w:p w:rsidR="00F40CD9" w:rsidRPr="00F40CD9" w:rsidRDefault="00944347" w:rsidP="00F40CD9">
      <w:pPr>
        <w:pStyle w:val="SingleTxtGR"/>
      </w:pPr>
      <w:r>
        <w:t>5.</w:t>
      </w:r>
      <w:r>
        <w:tab/>
      </w:r>
      <w:r w:rsidR="00F40CD9" w:rsidRPr="00F40CD9">
        <w:t>Отмечая, что Управление Омбудсмена было аккредитовано со ст</w:t>
      </w:r>
      <w:r w:rsidR="00F40CD9" w:rsidRPr="00F40CD9">
        <w:t>а</w:t>
      </w:r>
      <w:r w:rsidR="00F40CD9" w:rsidRPr="00F40CD9">
        <w:t>тусом А Международным координационным комитетом национальных учреждений по поощрению и защите прав человека и что государство-участник намеревается назначить его национальным механизмом по предупреждению пыток в соотве</w:t>
      </w:r>
      <w:r w:rsidR="00F40CD9" w:rsidRPr="00F40CD9">
        <w:t>т</w:t>
      </w:r>
      <w:r w:rsidR="00F40CD9" w:rsidRPr="00F40CD9">
        <w:t>ствии с Факультативным протоколом к Конвенции против пыток, Ком</w:t>
      </w:r>
      <w:r w:rsidR="00F40CD9" w:rsidRPr="00F40CD9">
        <w:t>и</w:t>
      </w:r>
      <w:r w:rsidR="00F40CD9" w:rsidRPr="00F40CD9">
        <w:t>тет в то же время испытывает озабоченность по поводу отсутствия у него финансовой автономии и по поводу недавнего сокращения бюджета, что ставит под угрозу возможность исполнения им в полной м</w:t>
      </w:r>
      <w:r w:rsidR="002753D2">
        <w:t>ере своего мандата по поощрению</w:t>
      </w:r>
      <w:r w:rsidR="002753D2">
        <w:br/>
      </w:r>
      <w:r w:rsidR="00F40CD9" w:rsidRPr="00F40CD9">
        <w:t>и з</w:t>
      </w:r>
      <w:r w:rsidR="00F40CD9" w:rsidRPr="00F40CD9">
        <w:t>а</w:t>
      </w:r>
      <w:r w:rsidR="00F40CD9" w:rsidRPr="00F40CD9">
        <w:t>щите прав человека в государстве-участнике (статья 2).</w:t>
      </w:r>
    </w:p>
    <w:p w:rsidR="00F40CD9" w:rsidRPr="00F40CD9" w:rsidRDefault="00F40CD9" w:rsidP="00F40CD9">
      <w:pPr>
        <w:pStyle w:val="SingleTxtGR"/>
        <w:rPr>
          <w:b/>
        </w:rPr>
      </w:pPr>
      <w:r w:rsidRPr="00F40CD9">
        <w:rPr>
          <w:b/>
        </w:rPr>
        <w:t>Государству-участнику следует умножить свои усилия, имеющие целью обеспечить Управлению Омбудсмена финансовую автономию и выделение ему достаточных финансовых и людских ресурсов, соразмерных с поруче</w:t>
      </w:r>
      <w:r w:rsidRPr="00F40CD9">
        <w:rPr>
          <w:b/>
        </w:rPr>
        <w:t>н</w:t>
      </w:r>
      <w:r w:rsidRPr="00F40CD9">
        <w:rPr>
          <w:b/>
        </w:rPr>
        <w:t>ными ему дополнительными функциями.</w:t>
      </w:r>
    </w:p>
    <w:p w:rsidR="00F40CD9" w:rsidRPr="00F40CD9" w:rsidRDefault="00944347" w:rsidP="00F40CD9">
      <w:pPr>
        <w:pStyle w:val="SingleTxtGR"/>
      </w:pPr>
      <w:r>
        <w:t>6.</w:t>
      </w:r>
      <w:r w:rsidR="00F40CD9" w:rsidRPr="00F40CD9">
        <w:tab/>
        <w:t>Комитет напоминает о своей предыдущей рекомендации (</w:t>
      </w:r>
      <w:r w:rsidR="00F40CD9" w:rsidRPr="00F40CD9">
        <w:rPr>
          <w:lang w:val="en-US"/>
        </w:rPr>
        <w:t>CCPR</w:t>
      </w:r>
      <w:r w:rsidR="00F40CD9" w:rsidRPr="00F40CD9">
        <w:t>/</w:t>
      </w:r>
      <w:r w:rsidR="00F40CD9" w:rsidRPr="00F40CD9">
        <w:rPr>
          <w:lang w:val="en-US"/>
        </w:rPr>
        <w:t>C</w:t>
      </w:r>
      <w:r w:rsidR="00F40CD9" w:rsidRPr="00F40CD9">
        <w:t>/</w:t>
      </w:r>
      <w:r w:rsidR="00F40CD9" w:rsidRPr="00F40CD9">
        <w:rPr>
          <w:lang w:val="en-US"/>
        </w:rPr>
        <w:t>BIH</w:t>
      </w:r>
      <w:r w:rsidR="00F40CD9" w:rsidRPr="00F40CD9">
        <w:t>/</w:t>
      </w:r>
      <w:r w:rsidR="00F40CD9" w:rsidRPr="00F40CD9">
        <w:rPr>
          <w:lang w:val="en-US"/>
        </w:rPr>
        <w:t>CO</w:t>
      </w:r>
      <w:r w:rsidR="00F40CD9" w:rsidRPr="00F40CD9">
        <w:t>/1, пункт 8) и выражает сожаление в связи с тем, что в соо</w:t>
      </w:r>
      <w:r w:rsidR="00F40CD9" w:rsidRPr="00F40CD9">
        <w:t>т</w:t>
      </w:r>
      <w:r w:rsidR="00F40CD9" w:rsidRPr="00F40CD9">
        <w:t xml:space="preserve">ветствии с Конституцией и Законом о выборах лица, не принадлежащие к числу одного из "государствообразующих народов", а именно, к боснякам, хорватам и сербам, по-прежнему не могут избираться в Палату народов и трехсторонний Президиум Боснии и Герцеговины. Комитет выражает особое сожаление в связи с тем, что, несмотря на его предыдущие рекомендации и решение Европейского суда по правам человека по делу </w:t>
      </w:r>
      <w:r w:rsidR="00F40CD9" w:rsidRPr="00F40CD9">
        <w:rPr>
          <w:i/>
        </w:rPr>
        <w:t>Дерво Сейдича и Якоба Финци</w:t>
      </w:r>
      <w:r w:rsidR="002001A8">
        <w:t>, заявл</w:t>
      </w:r>
      <w:r w:rsidR="002001A8">
        <w:t>е</w:t>
      </w:r>
      <w:r w:rsidR="002001A8">
        <w:t>ния</w:t>
      </w:r>
      <w:r w:rsidR="002001A8">
        <w:rPr>
          <w:lang w:val="en-US"/>
        </w:rPr>
        <w:t> </w:t>
      </w:r>
      <w:r>
        <w:t>№</w:t>
      </w:r>
      <w:r>
        <w:rPr>
          <w:lang w:val="en-US"/>
        </w:rPr>
        <w:t> </w:t>
      </w:r>
      <w:r w:rsidR="00F40CD9" w:rsidRPr="00F40CD9">
        <w:t xml:space="preserve">27996/06 и </w:t>
      </w:r>
      <w:r>
        <w:t>№</w:t>
      </w:r>
      <w:r>
        <w:rPr>
          <w:lang w:val="en-US"/>
        </w:rPr>
        <w:t> </w:t>
      </w:r>
      <w:r w:rsidR="00F40CD9" w:rsidRPr="00F40CD9">
        <w:t>34836/06, вынесенное 22 декабря 2009 года, усилия, н</w:t>
      </w:r>
      <w:r w:rsidR="00F40CD9" w:rsidRPr="00F40CD9">
        <w:t>а</w:t>
      </w:r>
      <w:r w:rsidR="00F40CD9" w:rsidRPr="00F40CD9">
        <w:t>правленные на внесение поправки в Конституцию, застопорились и что согла</w:t>
      </w:r>
      <w:r w:rsidR="00F40CD9" w:rsidRPr="00F40CD9">
        <w:t>с</w:t>
      </w:r>
      <w:r w:rsidR="00F40CD9" w:rsidRPr="00F40CD9">
        <w:t>но закону определенные группы граждан по-прежнему не смогли принять уч</w:t>
      </w:r>
      <w:r w:rsidR="00F40CD9" w:rsidRPr="00F40CD9">
        <w:t>а</w:t>
      </w:r>
      <w:r w:rsidR="00F40CD9" w:rsidRPr="00F40CD9">
        <w:t>стие в в</w:t>
      </w:r>
      <w:r w:rsidR="00F40CD9" w:rsidRPr="00F40CD9">
        <w:t>ы</w:t>
      </w:r>
      <w:r w:rsidR="00F40CD9" w:rsidRPr="00F40CD9">
        <w:t>борах, состоявшихся в 2010 году (статьи 2, 25 и 26).</w:t>
      </w:r>
    </w:p>
    <w:p w:rsidR="00F40CD9" w:rsidRPr="00F40CD9" w:rsidRDefault="00F40CD9" w:rsidP="00F40CD9">
      <w:pPr>
        <w:pStyle w:val="SingleTxtGR"/>
        <w:rPr>
          <w:b/>
          <w:bCs/>
        </w:rPr>
      </w:pPr>
      <w:r w:rsidRPr="00F40CD9">
        <w:rPr>
          <w:b/>
          <w:bCs/>
        </w:rPr>
        <w:t xml:space="preserve">Комитет подтверждает свои предыдущие заключительные замечания </w:t>
      </w:r>
      <w:r w:rsidRPr="00F40CD9">
        <w:rPr>
          <w:b/>
        </w:rPr>
        <w:t>(</w:t>
      </w:r>
      <w:r w:rsidRPr="00F40CD9">
        <w:rPr>
          <w:b/>
          <w:lang w:val="en-US"/>
        </w:rPr>
        <w:t>CCPR</w:t>
      </w:r>
      <w:r w:rsidRPr="00F40CD9">
        <w:rPr>
          <w:b/>
        </w:rPr>
        <w:t>/</w:t>
      </w:r>
      <w:r w:rsidRPr="00F40CD9">
        <w:rPr>
          <w:b/>
          <w:lang w:val="en-US"/>
        </w:rPr>
        <w:t>C</w:t>
      </w:r>
      <w:r w:rsidRPr="00F40CD9">
        <w:rPr>
          <w:b/>
        </w:rPr>
        <w:t>/</w:t>
      </w:r>
      <w:r w:rsidRPr="00F40CD9">
        <w:rPr>
          <w:b/>
          <w:lang w:val="en-US"/>
        </w:rPr>
        <w:t>BIH</w:t>
      </w:r>
      <w:r w:rsidRPr="00F40CD9">
        <w:rPr>
          <w:b/>
        </w:rPr>
        <w:t>/</w:t>
      </w:r>
      <w:r w:rsidRPr="00F40CD9">
        <w:rPr>
          <w:b/>
          <w:lang w:val="en-US"/>
        </w:rPr>
        <w:t>CO</w:t>
      </w:r>
      <w:r w:rsidRPr="00F40CD9">
        <w:rPr>
          <w:b/>
        </w:rPr>
        <w:t xml:space="preserve">/1, пункт 8), согласно которым государству-участнику </w:t>
      </w:r>
      <w:r w:rsidRPr="00F40CD9">
        <w:rPr>
          <w:b/>
          <w:bCs/>
        </w:rPr>
        <w:t>следует принять избирательную систему, которая гарантировала бы ра</w:t>
      </w:r>
      <w:r w:rsidRPr="00F40CD9">
        <w:rPr>
          <w:b/>
          <w:bCs/>
        </w:rPr>
        <w:t>в</w:t>
      </w:r>
      <w:r w:rsidRPr="00F40CD9">
        <w:rPr>
          <w:b/>
          <w:bCs/>
        </w:rPr>
        <w:t>ное осуществление всеми гражданами прав, предусмотренных статьей 25 Пакта, независимо от их этнической принадлежности. В связи с этим К</w:t>
      </w:r>
      <w:r w:rsidRPr="00F40CD9">
        <w:rPr>
          <w:b/>
          <w:bCs/>
        </w:rPr>
        <w:t>о</w:t>
      </w:r>
      <w:r w:rsidRPr="00F40CD9">
        <w:rPr>
          <w:b/>
          <w:bCs/>
        </w:rPr>
        <w:t>митет рекомендует государству-участнику в безотлагательном порядке внести поправки в Конституцию и Закон о выборах, чтобы исключить п</w:t>
      </w:r>
      <w:r w:rsidRPr="00F40CD9">
        <w:rPr>
          <w:b/>
          <w:bCs/>
        </w:rPr>
        <w:t>о</w:t>
      </w:r>
      <w:r w:rsidRPr="00F40CD9">
        <w:rPr>
          <w:b/>
          <w:bCs/>
        </w:rPr>
        <w:t>ложения, которые являются дискриминационными по отношению к нек</w:t>
      </w:r>
      <w:r w:rsidRPr="00F40CD9">
        <w:rPr>
          <w:b/>
          <w:bCs/>
        </w:rPr>
        <w:t>о</w:t>
      </w:r>
      <w:r w:rsidRPr="00F40CD9">
        <w:rPr>
          <w:b/>
          <w:bCs/>
        </w:rPr>
        <w:t>торым этническим группам, поскольку не позволяют им принимать уч</w:t>
      </w:r>
      <w:r w:rsidRPr="00F40CD9">
        <w:rPr>
          <w:b/>
          <w:bCs/>
        </w:rPr>
        <w:t>а</w:t>
      </w:r>
      <w:r w:rsidRPr="00F40CD9">
        <w:rPr>
          <w:b/>
          <w:bCs/>
        </w:rPr>
        <w:t>стие в выборах</w:t>
      </w:r>
    </w:p>
    <w:p w:rsidR="00F40CD9" w:rsidRPr="00F40CD9" w:rsidRDefault="00944347" w:rsidP="00F40CD9">
      <w:pPr>
        <w:pStyle w:val="SingleTxtGR"/>
      </w:pPr>
      <w:r>
        <w:t>7.</w:t>
      </w:r>
      <w:r>
        <w:tab/>
      </w:r>
      <w:r w:rsidR="00F40CD9" w:rsidRPr="00F40CD9">
        <w:t>Отдавая должное усилиям, направленным на решение пробл</w:t>
      </w:r>
      <w:r w:rsidR="002001A8">
        <w:t>емы военных преступлений, таким</w:t>
      </w:r>
      <w:r w:rsidR="00F40CD9" w:rsidRPr="00F40CD9">
        <w:t xml:space="preserve"> как претворение в жизнь Национальной стратегии пр</w:t>
      </w:r>
      <w:r w:rsidR="00F40CD9" w:rsidRPr="00F40CD9">
        <w:t>е</w:t>
      </w:r>
      <w:r w:rsidR="00F40CD9" w:rsidRPr="00F40CD9">
        <w:t>следования за военные преступления, Комитет в то же время по-прежнему и</w:t>
      </w:r>
      <w:r w:rsidR="00F40CD9" w:rsidRPr="00F40CD9">
        <w:t>с</w:t>
      </w:r>
      <w:r w:rsidR="00F40CD9" w:rsidRPr="00F40CD9">
        <w:t>пытывает озабоченность по поводу медлительности в судебном преследовании виновных, особенно когда речь идет о сексуальном насилии, и в связи с неок</w:t>
      </w:r>
      <w:r w:rsidR="00F40CD9" w:rsidRPr="00F40CD9">
        <w:t>а</w:t>
      </w:r>
      <w:r w:rsidR="00F40CD9" w:rsidRPr="00F40CD9">
        <w:t>занием поддержки жертвам таких преступлений. Комитет также обеспокоен н</w:t>
      </w:r>
      <w:r w:rsidR="00F40CD9" w:rsidRPr="00F40CD9">
        <w:t>е</w:t>
      </w:r>
      <w:r w:rsidR="00F40CD9" w:rsidRPr="00F40CD9">
        <w:t>принятием мер по согласованию между административно-территориальными образованиями (энтитетами) юриспруденции по военным преступлениям и тем, что их суды используют архаичный Уголовный кодекс бывшей Социалистич</w:t>
      </w:r>
      <w:r w:rsidR="00F40CD9" w:rsidRPr="00F40CD9">
        <w:t>е</w:t>
      </w:r>
      <w:r w:rsidR="00F40CD9" w:rsidRPr="00F40CD9">
        <w:t>ской Федеративной Республики Югославии, в котором, в частности, не соде</w:t>
      </w:r>
      <w:r w:rsidR="00F40CD9" w:rsidRPr="00F40CD9">
        <w:t>р</w:t>
      </w:r>
      <w:r w:rsidR="00F40CD9" w:rsidRPr="00F40CD9">
        <w:t>жится определений таких понятий, как преступления против человечности, о</w:t>
      </w:r>
      <w:r w:rsidR="00F40CD9" w:rsidRPr="00F40CD9">
        <w:t>т</w:t>
      </w:r>
      <w:r w:rsidR="00F40CD9" w:rsidRPr="00F40CD9">
        <w:t>ветственность командования, сексуальное рабство и принудительная береме</w:t>
      </w:r>
      <w:r w:rsidR="00F40CD9" w:rsidRPr="00F40CD9">
        <w:t>н</w:t>
      </w:r>
      <w:r w:rsidR="00F40CD9" w:rsidRPr="00F40CD9">
        <w:t>ность. Комитет обеспокоен тем, что это может сказываться на последовательн</w:t>
      </w:r>
      <w:r w:rsidR="00F40CD9" w:rsidRPr="00F40CD9">
        <w:t>о</w:t>
      </w:r>
      <w:r w:rsidR="00F40CD9" w:rsidRPr="00F40CD9">
        <w:t>сти в вынесении приговоров судами энтитетов (статьи 2 и 14).</w:t>
      </w:r>
    </w:p>
    <w:p w:rsidR="00F40CD9" w:rsidRPr="00F40CD9" w:rsidRDefault="00F40CD9" w:rsidP="00F40CD9">
      <w:pPr>
        <w:pStyle w:val="SingleTxtGR"/>
      </w:pPr>
      <w:r w:rsidRPr="00F40CD9">
        <w:rPr>
          <w:b/>
        </w:rPr>
        <w:t>Государству-участнику следует ускори</w:t>
      </w:r>
      <w:r w:rsidR="002753D2">
        <w:rPr>
          <w:b/>
        </w:rPr>
        <w:t>ть судебное разбирательство дел</w:t>
      </w:r>
      <w:r w:rsidR="002753D2">
        <w:rPr>
          <w:b/>
        </w:rPr>
        <w:br/>
      </w:r>
      <w:r w:rsidRPr="00F40CD9">
        <w:rPr>
          <w:b/>
        </w:rPr>
        <w:t>о военных преступлениях. Государству-участнику следует также и впредь оказывать надлежащую психологическую поддержку жертвам сексуальн</w:t>
      </w:r>
      <w:r w:rsidRPr="00F40CD9">
        <w:rPr>
          <w:b/>
        </w:rPr>
        <w:t>о</w:t>
      </w:r>
      <w:r w:rsidRPr="00F40CD9">
        <w:rPr>
          <w:b/>
        </w:rPr>
        <w:t>го насилия, особенно в ходе судебных процессов. Кроме того, государству-участнику следует обеспечить, чтобы судебные органы во всех энтитетах приняли решительные меры к тому, чтобы согласовать юриспруденцию по военным преступлениям и чтобы обвинения, касающиеся военных прест</w:t>
      </w:r>
      <w:r w:rsidRPr="00F40CD9">
        <w:rPr>
          <w:b/>
        </w:rPr>
        <w:t>у</w:t>
      </w:r>
      <w:r w:rsidRPr="00F40CD9">
        <w:rPr>
          <w:b/>
        </w:rPr>
        <w:t>плений, не основывались на архаичном Уголовном кодексе бывшей С</w:t>
      </w:r>
      <w:r w:rsidRPr="00F40CD9">
        <w:rPr>
          <w:b/>
        </w:rPr>
        <w:t>о</w:t>
      </w:r>
      <w:r w:rsidRPr="00F40CD9">
        <w:rPr>
          <w:b/>
        </w:rPr>
        <w:t>циалистической Федеративной Респу</w:t>
      </w:r>
      <w:r w:rsidR="002753D2">
        <w:rPr>
          <w:b/>
        </w:rPr>
        <w:t>блики Югославии, в соответствии</w:t>
      </w:r>
      <w:r w:rsidR="002753D2">
        <w:rPr>
          <w:b/>
        </w:rPr>
        <w:br/>
      </w:r>
      <w:r w:rsidRPr="00F40CD9">
        <w:rPr>
          <w:b/>
        </w:rPr>
        <w:t>с которым некоторые правонарушения не считаются преступлениями пр</w:t>
      </w:r>
      <w:r w:rsidRPr="00F40CD9">
        <w:rPr>
          <w:b/>
        </w:rPr>
        <w:t>о</w:t>
      </w:r>
      <w:r w:rsidRPr="00F40CD9">
        <w:rPr>
          <w:b/>
        </w:rPr>
        <w:t>тив человечности.</w:t>
      </w:r>
    </w:p>
    <w:p w:rsidR="00F40CD9" w:rsidRPr="00F40CD9" w:rsidRDefault="009E350A" w:rsidP="00F40CD9">
      <w:pPr>
        <w:pStyle w:val="SingleTxtGR"/>
      </w:pPr>
      <w:r>
        <w:t>8.</w:t>
      </w:r>
      <w:r>
        <w:tab/>
      </w:r>
      <w:r w:rsidR="00F40CD9" w:rsidRPr="00F40CD9">
        <w:t>Комитет обеспокоен тем, что стратегия правосудия переходного периода, имеющая целью обеспечить доступ к правосудию и репарациям всем гражда</w:t>
      </w:r>
      <w:r w:rsidR="00F40CD9" w:rsidRPr="00F40CD9">
        <w:t>н</w:t>
      </w:r>
      <w:r w:rsidR="00F40CD9" w:rsidRPr="00F40CD9">
        <w:t>ским жертвам войны, включая тех, кто пережил сексуальное насилие, пока не была принята. Комитет также обеспокоен тем, что законопроект о пр</w:t>
      </w:r>
      <w:r w:rsidR="00F40CD9" w:rsidRPr="00F40CD9">
        <w:t>а</w:t>
      </w:r>
      <w:r w:rsidR="00F40CD9" w:rsidRPr="00F40CD9">
        <w:t>вах жертв пыток и гражданских жертв войны, имеющий целью обеспечить всем гражда</w:t>
      </w:r>
      <w:r w:rsidR="00F40CD9" w:rsidRPr="00F40CD9">
        <w:t>н</w:t>
      </w:r>
      <w:r w:rsidR="00F40CD9" w:rsidRPr="00F40CD9">
        <w:t>ским жертвам войны в государстве-участнике равный доступ к социальным п</w:t>
      </w:r>
      <w:r w:rsidR="00F40CD9" w:rsidRPr="00F40CD9">
        <w:t>о</w:t>
      </w:r>
      <w:r w:rsidR="00F40CD9" w:rsidRPr="00F40CD9">
        <w:t>собиям, пока не принят. Комитет далее напоминает о своей предыдущей рек</w:t>
      </w:r>
      <w:r w:rsidR="00F40CD9" w:rsidRPr="00F40CD9">
        <w:t>о</w:t>
      </w:r>
      <w:r w:rsidR="00F40CD9" w:rsidRPr="00F40CD9">
        <w:t>мендации (</w:t>
      </w:r>
      <w:r w:rsidR="00F40CD9" w:rsidRPr="00F40CD9">
        <w:rPr>
          <w:lang w:val="en-US"/>
        </w:rPr>
        <w:t>CCPR</w:t>
      </w:r>
      <w:r w:rsidR="00F40CD9" w:rsidRPr="00F40CD9">
        <w:t>/</w:t>
      </w:r>
      <w:r w:rsidR="00F40CD9" w:rsidRPr="00F40CD9">
        <w:rPr>
          <w:lang w:val="en-US"/>
        </w:rPr>
        <w:t>C</w:t>
      </w:r>
      <w:r w:rsidR="00F40CD9" w:rsidRPr="00F40CD9">
        <w:t>/</w:t>
      </w:r>
      <w:r w:rsidR="00F40CD9" w:rsidRPr="00F40CD9">
        <w:rPr>
          <w:lang w:val="en-US"/>
        </w:rPr>
        <w:t>BIH</w:t>
      </w:r>
      <w:r w:rsidR="00F40CD9" w:rsidRPr="00F40CD9">
        <w:t>/</w:t>
      </w:r>
      <w:r w:rsidR="00F40CD9" w:rsidRPr="00F40CD9">
        <w:rPr>
          <w:lang w:val="en-US"/>
        </w:rPr>
        <w:t>CO</w:t>
      </w:r>
      <w:r w:rsidR="00F40CD9" w:rsidRPr="00F40CD9">
        <w:t>/1, пункт 15) и подтверждает свою оз</w:t>
      </w:r>
      <w:r w:rsidR="00F40CD9" w:rsidRPr="00F40CD9">
        <w:t>а</w:t>
      </w:r>
      <w:r w:rsidR="00F40CD9" w:rsidRPr="00F40CD9">
        <w:t>боченность по поводу того, что размер индивидуальных пособий по инвалидности, получа</w:t>
      </w:r>
      <w:r w:rsidR="00F40CD9" w:rsidRPr="00F40CD9">
        <w:t>е</w:t>
      </w:r>
      <w:r w:rsidR="00F40CD9" w:rsidRPr="00F40CD9">
        <w:t>мых гражданскими жертвами войны, является гораздо более низким, чем ра</w:t>
      </w:r>
      <w:r w:rsidR="00F40CD9" w:rsidRPr="00F40CD9">
        <w:t>з</w:t>
      </w:r>
      <w:r w:rsidR="00F40CD9" w:rsidRPr="00F40CD9">
        <w:t>мер пособий, выплачиваемых ветеранам войны в энтитетах и в соответству</w:t>
      </w:r>
      <w:r w:rsidR="00F40CD9" w:rsidRPr="00F40CD9">
        <w:t>ю</w:t>
      </w:r>
      <w:r w:rsidR="00F40CD9" w:rsidRPr="00F40CD9">
        <w:t>щих кантонах (статьи 2, 7 и 26).</w:t>
      </w:r>
    </w:p>
    <w:p w:rsidR="00F40CD9" w:rsidRPr="00F40CD9" w:rsidRDefault="00F40CD9" w:rsidP="00F40CD9">
      <w:pPr>
        <w:pStyle w:val="SingleTxtGR"/>
        <w:rPr>
          <w:b/>
        </w:rPr>
      </w:pPr>
      <w:r w:rsidRPr="00F40CD9">
        <w:rPr>
          <w:b/>
        </w:rPr>
        <w:t>Государству-участнику следует принять практические меры к тому, чтобы жертвы сексуального насилия и пыток имели доступ к правосудию и реп</w:t>
      </w:r>
      <w:r w:rsidRPr="00F40CD9">
        <w:rPr>
          <w:b/>
        </w:rPr>
        <w:t>а</w:t>
      </w:r>
      <w:r w:rsidRPr="00F40CD9">
        <w:rPr>
          <w:b/>
        </w:rPr>
        <w:t>рациям. Кроме того, Комитет подтверждает свою предыдущую рекоменд</w:t>
      </w:r>
      <w:r w:rsidRPr="00F40CD9">
        <w:rPr>
          <w:b/>
        </w:rPr>
        <w:t>а</w:t>
      </w:r>
      <w:r w:rsidRPr="00F40CD9">
        <w:rPr>
          <w:b/>
        </w:rPr>
        <w:t>цию (</w:t>
      </w:r>
      <w:r w:rsidRPr="00F40CD9">
        <w:rPr>
          <w:b/>
          <w:lang w:val="en-US"/>
        </w:rPr>
        <w:t>CCPR</w:t>
      </w:r>
      <w:r w:rsidRPr="00F40CD9">
        <w:rPr>
          <w:b/>
        </w:rPr>
        <w:t>/</w:t>
      </w:r>
      <w:r w:rsidRPr="00F40CD9">
        <w:rPr>
          <w:b/>
          <w:lang w:val="en-US"/>
        </w:rPr>
        <w:t>C</w:t>
      </w:r>
      <w:r w:rsidRPr="00F40CD9">
        <w:rPr>
          <w:b/>
        </w:rPr>
        <w:t>/</w:t>
      </w:r>
      <w:r w:rsidRPr="00F40CD9">
        <w:rPr>
          <w:b/>
          <w:lang w:val="en-US"/>
        </w:rPr>
        <w:t>BIH</w:t>
      </w:r>
      <w:r w:rsidRPr="00F40CD9">
        <w:rPr>
          <w:b/>
        </w:rPr>
        <w:t>/</w:t>
      </w:r>
      <w:r w:rsidRPr="00F40CD9">
        <w:rPr>
          <w:b/>
          <w:lang w:val="en-US"/>
        </w:rPr>
        <w:t>CO</w:t>
      </w:r>
      <w:r w:rsidRPr="00F40CD9">
        <w:rPr>
          <w:b/>
        </w:rPr>
        <w:t>/1, пункт 15) и настоятельно призывает государство-участник обеспечить согласование пособий по инвалидности между энт</w:t>
      </w:r>
      <w:r w:rsidRPr="00F40CD9">
        <w:rPr>
          <w:b/>
        </w:rPr>
        <w:t>и</w:t>
      </w:r>
      <w:r w:rsidRPr="00F40CD9">
        <w:rPr>
          <w:b/>
        </w:rPr>
        <w:t>тетами и кантонами, с тем чтобы размер индивидуальных пособий по и</w:t>
      </w:r>
      <w:r w:rsidRPr="00F40CD9">
        <w:rPr>
          <w:b/>
        </w:rPr>
        <w:t>н</w:t>
      </w:r>
      <w:r w:rsidRPr="00F40CD9">
        <w:rPr>
          <w:b/>
        </w:rPr>
        <w:t>валидности, получаемых гражданскими жертвами войны, был скоррект</w:t>
      </w:r>
      <w:r w:rsidRPr="00F40CD9">
        <w:rPr>
          <w:b/>
        </w:rPr>
        <w:t>и</w:t>
      </w:r>
      <w:r w:rsidRPr="00F40CD9">
        <w:rPr>
          <w:b/>
        </w:rPr>
        <w:t>рован и соответствовал индивидуальным пособиям по инвалидности, в</w:t>
      </w:r>
      <w:r w:rsidRPr="00F40CD9">
        <w:rPr>
          <w:b/>
        </w:rPr>
        <w:t>ы</w:t>
      </w:r>
      <w:r w:rsidRPr="00F40CD9">
        <w:rPr>
          <w:b/>
        </w:rPr>
        <w:t>плачиваемым ветеранам войны.</w:t>
      </w:r>
    </w:p>
    <w:p w:rsidR="00F40CD9" w:rsidRPr="00F40CD9" w:rsidRDefault="009E350A" w:rsidP="00F40CD9">
      <w:pPr>
        <w:pStyle w:val="SingleTxtGR"/>
        <w:rPr>
          <w:bCs/>
        </w:rPr>
      </w:pPr>
      <w:r>
        <w:t>9.</w:t>
      </w:r>
      <w:r>
        <w:tab/>
      </w:r>
      <w:r w:rsidR="00F40CD9" w:rsidRPr="00F40CD9">
        <w:t>Комитет напоминает о своих предыдущих рекомендациях (</w:t>
      </w:r>
      <w:r w:rsidR="00F40CD9" w:rsidRPr="00F40CD9">
        <w:rPr>
          <w:lang w:val="en-US"/>
        </w:rPr>
        <w:t>CCPR</w:t>
      </w:r>
      <w:r w:rsidR="00F40CD9" w:rsidRPr="00F40CD9">
        <w:t>/</w:t>
      </w:r>
      <w:r w:rsidR="00F40CD9" w:rsidRPr="00F40CD9">
        <w:rPr>
          <w:lang w:val="en-US"/>
        </w:rPr>
        <w:t>C</w:t>
      </w:r>
      <w:r w:rsidR="00F40CD9" w:rsidRPr="00F40CD9">
        <w:t>/</w:t>
      </w:r>
      <w:r w:rsidR="00F40CD9" w:rsidRPr="00F40CD9">
        <w:rPr>
          <w:lang w:val="en-US"/>
        </w:rPr>
        <w:t>BIH</w:t>
      </w:r>
      <w:r w:rsidR="00F40CD9" w:rsidRPr="00F40CD9">
        <w:t>/</w:t>
      </w:r>
      <w:r w:rsidR="00F40CD9" w:rsidRPr="00F40CD9">
        <w:rPr>
          <w:lang w:val="en-US"/>
        </w:rPr>
        <w:t>CO</w:t>
      </w:r>
      <w:r w:rsidR="00F40CD9" w:rsidRPr="00F40CD9">
        <w:t>/1, пункт 14) и выражает сожаление по поводу медленного прогресса в деле выяснения местонахождения людей, пропавших без вести в период вооруженного конфликта 199</w:t>
      </w:r>
      <w:r w:rsidR="002001A8">
        <w:t>2–</w:t>
      </w:r>
      <w:r w:rsidR="00F40CD9" w:rsidRPr="00F40CD9">
        <w:t xml:space="preserve">1995 годов. Комитет также испытывает озабоченность по поводу сокращения бюджетных ассигнований Институту по </w:t>
      </w:r>
      <w:r w:rsidR="00F40CD9" w:rsidRPr="00F40CD9">
        <w:rPr>
          <w:bCs/>
        </w:rPr>
        <w:t>пропавшим без вести лицам, что отрицательно сказывается на выполнении им своего мандата (статьи 2, 6 и 7).</w:t>
      </w:r>
    </w:p>
    <w:p w:rsidR="00F40CD9" w:rsidRPr="00F40CD9" w:rsidRDefault="00F40CD9" w:rsidP="00F40CD9">
      <w:pPr>
        <w:pStyle w:val="SingleTxtGR"/>
        <w:rPr>
          <w:bCs/>
        </w:rPr>
      </w:pPr>
      <w:r w:rsidRPr="00F40CD9">
        <w:rPr>
          <w:b/>
          <w:bCs/>
        </w:rPr>
        <w:t xml:space="preserve">Комитет подтверждает свои предыдущие заключительные замечания </w:t>
      </w:r>
      <w:r w:rsidRPr="00F40CD9">
        <w:rPr>
          <w:b/>
        </w:rPr>
        <w:t>(</w:t>
      </w:r>
      <w:r w:rsidRPr="00F40CD9">
        <w:rPr>
          <w:b/>
          <w:lang w:val="en-US"/>
        </w:rPr>
        <w:t>CCPR</w:t>
      </w:r>
      <w:r w:rsidRPr="00F40CD9">
        <w:rPr>
          <w:b/>
        </w:rPr>
        <w:t>/</w:t>
      </w:r>
      <w:r w:rsidRPr="00F40CD9">
        <w:rPr>
          <w:b/>
          <w:lang w:val="en-US"/>
        </w:rPr>
        <w:t>C</w:t>
      </w:r>
      <w:r w:rsidRPr="00F40CD9">
        <w:rPr>
          <w:b/>
        </w:rPr>
        <w:t>/</w:t>
      </w:r>
      <w:r w:rsidRPr="00F40CD9">
        <w:rPr>
          <w:b/>
          <w:lang w:val="en-US"/>
        </w:rPr>
        <w:t>BIH</w:t>
      </w:r>
      <w:r w:rsidRPr="00F40CD9">
        <w:rPr>
          <w:b/>
        </w:rPr>
        <w:t>/</w:t>
      </w:r>
      <w:r w:rsidRPr="00F40CD9">
        <w:rPr>
          <w:b/>
          <w:lang w:val="en-US"/>
        </w:rPr>
        <w:t>CO</w:t>
      </w:r>
      <w:r w:rsidRPr="00F40CD9">
        <w:rPr>
          <w:b/>
        </w:rPr>
        <w:t>/1, пункт 14) и рекомендует государству-участнику уск</w:t>
      </w:r>
      <w:r w:rsidRPr="00F40CD9">
        <w:rPr>
          <w:b/>
        </w:rPr>
        <w:t>о</w:t>
      </w:r>
      <w:r w:rsidRPr="00F40CD9">
        <w:rPr>
          <w:b/>
        </w:rPr>
        <w:t xml:space="preserve">рить </w:t>
      </w:r>
      <w:r w:rsidRPr="00F40CD9">
        <w:rPr>
          <w:b/>
          <w:bCs/>
        </w:rPr>
        <w:t>расследование всех неразрешенных дел о пропавших без вести лицах. Кроме того, государству-участнику следует принять все необходимые меры с целью обеспечить адекватное финансирование Института по пропавшим без вести лицам, чтобы он мог в полн</w:t>
      </w:r>
      <w:r w:rsidR="002753D2">
        <w:rPr>
          <w:b/>
          <w:bCs/>
        </w:rPr>
        <w:t>ом объеме исполнять свой мандат</w:t>
      </w:r>
      <w:r w:rsidR="002753D2">
        <w:rPr>
          <w:b/>
          <w:bCs/>
        </w:rPr>
        <w:br/>
      </w:r>
      <w:r w:rsidRPr="00F40CD9">
        <w:rPr>
          <w:b/>
          <w:bCs/>
        </w:rPr>
        <w:t>и как можно скорее завершить работу по разрешению этих дел. Государс</w:t>
      </w:r>
      <w:r w:rsidRPr="00F40CD9">
        <w:rPr>
          <w:b/>
          <w:bCs/>
        </w:rPr>
        <w:t>т</w:t>
      </w:r>
      <w:r w:rsidRPr="00F40CD9">
        <w:rPr>
          <w:b/>
          <w:bCs/>
        </w:rPr>
        <w:t>ву-участнику следует также и далее оказывать при проведении эксгумаций психологическую поддержку семьям пропавших без вести лиц.</w:t>
      </w:r>
    </w:p>
    <w:p w:rsidR="00F40CD9" w:rsidRPr="00F40CD9" w:rsidRDefault="009E350A" w:rsidP="00F40CD9">
      <w:pPr>
        <w:pStyle w:val="SingleTxtGR"/>
      </w:pPr>
      <w:r>
        <w:rPr>
          <w:bCs/>
        </w:rPr>
        <w:t>10.</w:t>
      </w:r>
      <w:r>
        <w:rPr>
          <w:bCs/>
        </w:rPr>
        <w:tab/>
      </w:r>
      <w:r w:rsidR="00F40CD9" w:rsidRPr="00F40CD9">
        <w:rPr>
          <w:bCs/>
        </w:rPr>
        <w:t xml:space="preserve">Комитет напоминает о своих предыдущих рекомендациях </w:t>
      </w:r>
      <w:r w:rsidR="00F40CD9" w:rsidRPr="00F40CD9">
        <w:t>(</w:t>
      </w:r>
      <w:r w:rsidR="00F40CD9" w:rsidRPr="00F40CD9">
        <w:rPr>
          <w:lang w:val="en-US"/>
        </w:rPr>
        <w:t>CCPR</w:t>
      </w:r>
      <w:r w:rsidR="00F40CD9" w:rsidRPr="00F40CD9">
        <w:t>/</w:t>
      </w:r>
      <w:r w:rsidR="00F40CD9" w:rsidRPr="00F40CD9">
        <w:rPr>
          <w:lang w:val="en-US"/>
        </w:rPr>
        <w:t>C</w:t>
      </w:r>
      <w:r w:rsidR="00F40CD9" w:rsidRPr="00F40CD9">
        <w:t>/</w:t>
      </w:r>
      <w:r w:rsidR="00F40CD9" w:rsidRPr="00F40CD9">
        <w:rPr>
          <w:lang w:val="en-US"/>
        </w:rPr>
        <w:t>BIH</w:t>
      </w:r>
      <w:r w:rsidR="00F40CD9" w:rsidRPr="00F40CD9">
        <w:t>/</w:t>
      </w:r>
      <w:r w:rsidR="00F40CD9" w:rsidRPr="00F40CD9">
        <w:rPr>
          <w:lang w:val="en-US"/>
        </w:rPr>
        <w:t>CO</w:t>
      </w:r>
      <w:r w:rsidR="00F40CD9" w:rsidRPr="00F40CD9">
        <w:t>/1, пункт 11)</w:t>
      </w:r>
      <w:r w:rsidR="00F40CD9" w:rsidRPr="00F40CD9">
        <w:rPr>
          <w:bCs/>
        </w:rPr>
        <w:t xml:space="preserve"> </w:t>
      </w:r>
      <w:r w:rsidR="00F40CD9" w:rsidRPr="00F40CD9">
        <w:t>и выражает сожаление по поводу того, что, н</w:t>
      </w:r>
      <w:r w:rsidR="00F40CD9" w:rsidRPr="00F40CD9">
        <w:t>е</w:t>
      </w:r>
      <w:r w:rsidR="00F40CD9" w:rsidRPr="00F40CD9">
        <w:t>смотря на введение в соответствии с Законом о выборах системы квот, согласно которой политические партии должны выдвигать кандидатами не менее 30% женщин, и стимулов в виде парламентского финансирования политических партий, имеющих женщин в составе представителей в Парламентской ассам</w:t>
      </w:r>
      <w:r w:rsidR="00F40CD9" w:rsidRPr="00F40CD9">
        <w:t>б</w:t>
      </w:r>
      <w:r w:rsidR="00F40CD9" w:rsidRPr="00F40CD9">
        <w:t>лее, женщины по-прежнему недостаточно представлены в органах законод</w:t>
      </w:r>
      <w:r w:rsidR="00F40CD9" w:rsidRPr="00F40CD9">
        <w:t>а</w:t>
      </w:r>
      <w:r w:rsidR="00F40CD9" w:rsidRPr="00F40CD9">
        <w:t>тельной и исполнительной власти всех уровней (статьи 2, 3 и 26).</w:t>
      </w:r>
    </w:p>
    <w:p w:rsidR="00F40CD9" w:rsidRPr="00F40CD9" w:rsidRDefault="00F40CD9" w:rsidP="00F40CD9">
      <w:pPr>
        <w:pStyle w:val="SingleTxtGR"/>
      </w:pPr>
      <w:r w:rsidRPr="00F40CD9">
        <w:rPr>
          <w:b/>
        </w:rPr>
        <w:t>Комитет подтверждает свои предыдущие заключительные замечания (</w:t>
      </w:r>
      <w:r w:rsidRPr="00F40CD9">
        <w:rPr>
          <w:b/>
          <w:lang w:val="en-US"/>
        </w:rPr>
        <w:t>CCPR</w:t>
      </w:r>
      <w:r w:rsidRPr="00F40CD9">
        <w:rPr>
          <w:b/>
        </w:rPr>
        <w:t>/</w:t>
      </w:r>
      <w:r w:rsidRPr="00F40CD9">
        <w:rPr>
          <w:b/>
          <w:lang w:val="en-US"/>
        </w:rPr>
        <w:t>C</w:t>
      </w:r>
      <w:r w:rsidRPr="00F40CD9">
        <w:rPr>
          <w:b/>
        </w:rPr>
        <w:t>/</w:t>
      </w:r>
      <w:r w:rsidRPr="00F40CD9">
        <w:rPr>
          <w:b/>
          <w:lang w:val="en-US"/>
        </w:rPr>
        <w:t>BIH</w:t>
      </w:r>
      <w:r w:rsidRPr="00F40CD9">
        <w:rPr>
          <w:b/>
        </w:rPr>
        <w:t>/</w:t>
      </w:r>
      <w:r w:rsidRPr="00F40CD9">
        <w:rPr>
          <w:b/>
          <w:lang w:val="en-US"/>
        </w:rPr>
        <w:t>CO</w:t>
      </w:r>
      <w:r w:rsidRPr="00F40CD9">
        <w:rPr>
          <w:b/>
        </w:rPr>
        <w:t>/1, пункт 11) относительно необходимости</w:t>
      </w:r>
      <w:r w:rsidRPr="00F40CD9">
        <w:t xml:space="preserve"> </w:t>
      </w:r>
      <w:r w:rsidRPr="00F40CD9">
        <w:rPr>
          <w:b/>
        </w:rPr>
        <w:t>активизировать усилия по расширению участия женщин в публичном секторе за счет пр</w:t>
      </w:r>
      <w:r w:rsidRPr="00F40CD9">
        <w:rPr>
          <w:b/>
        </w:rPr>
        <w:t>и</w:t>
      </w:r>
      <w:r w:rsidRPr="00F40CD9">
        <w:rPr>
          <w:b/>
        </w:rPr>
        <w:t>нятия надлежащих временных специальных мер в порядке реализации п</w:t>
      </w:r>
      <w:r w:rsidRPr="00F40CD9">
        <w:rPr>
          <w:b/>
        </w:rPr>
        <w:t>о</w:t>
      </w:r>
      <w:r w:rsidRPr="00F40CD9">
        <w:rPr>
          <w:b/>
        </w:rPr>
        <w:t>ложений Пакта.</w:t>
      </w:r>
    </w:p>
    <w:p w:rsidR="00F40CD9" w:rsidRPr="00F40CD9" w:rsidRDefault="009E350A" w:rsidP="00F40CD9">
      <w:pPr>
        <w:pStyle w:val="SingleTxtGR"/>
      </w:pPr>
      <w:r>
        <w:rPr>
          <w:bCs/>
        </w:rPr>
        <w:t>11.</w:t>
      </w:r>
      <w:r>
        <w:rPr>
          <w:bCs/>
        </w:rPr>
        <w:tab/>
      </w:r>
      <w:r w:rsidR="00F40CD9" w:rsidRPr="00F40CD9">
        <w:rPr>
          <w:bCs/>
        </w:rPr>
        <w:t>Отмечая усилия государства-участника по реконструкции и ремо</w:t>
      </w:r>
      <w:r w:rsidR="00F40CD9" w:rsidRPr="00F40CD9">
        <w:rPr>
          <w:bCs/>
        </w:rPr>
        <w:t>н</w:t>
      </w:r>
      <w:r w:rsidR="00F40CD9" w:rsidRPr="00F40CD9">
        <w:rPr>
          <w:bCs/>
        </w:rPr>
        <w:t>ту мест лишения свободы в целях улучшения в них условий содержания закл</w:t>
      </w:r>
      <w:r w:rsidR="00F40CD9" w:rsidRPr="00F40CD9">
        <w:rPr>
          <w:bCs/>
        </w:rPr>
        <w:t>ю</w:t>
      </w:r>
      <w:r w:rsidR="00F40CD9" w:rsidRPr="00F40CD9">
        <w:rPr>
          <w:bCs/>
        </w:rPr>
        <w:t xml:space="preserve">ченных, Комитет в то же время </w:t>
      </w:r>
      <w:r w:rsidR="00F40CD9" w:rsidRPr="00F40CD9">
        <w:t>обеспокоен тем, что переполненность центров содерж</w:t>
      </w:r>
      <w:r w:rsidR="00F40CD9" w:rsidRPr="00F40CD9">
        <w:t>а</w:t>
      </w:r>
      <w:r w:rsidR="00F40CD9" w:rsidRPr="00F40CD9">
        <w:t>ния под стражей и тюрем по-прежнему является проблемой в госуда</w:t>
      </w:r>
      <w:r w:rsidR="00F40CD9" w:rsidRPr="00F40CD9">
        <w:t>р</w:t>
      </w:r>
      <w:r w:rsidR="00F40CD9" w:rsidRPr="00F40CD9">
        <w:t>стве-участнике. Комитет также испытывает обеспокоенность по поводу соо</w:t>
      </w:r>
      <w:r w:rsidR="00F40CD9" w:rsidRPr="00F40CD9">
        <w:t>б</w:t>
      </w:r>
      <w:r w:rsidR="00F40CD9" w:rsidRPr="00F40CD9">
        <w:t>щений о случаях насилия среди заключенных в тюрьмах (статьи 6 и 10).</w:t>
      </w:r>
    </w:p>
    <w:p w:rsidR="00F40CD9" w:rsidRPr="00F40CD9" w:rsidRDefault="00F40CD9" w:rsidP="00F40CD9">
      <w:pPr>
        <w:pStyle w:val="SingleTxtGR"/>
      </w:pPr>
      <w:r w:rsidRPr="00F40CD9">
        <w:rPr>
          <w:b/>
        </w:rPr>
        <w:t>Государству-участнику следует принять срочные меры для решения пр</w:t>
      </w:r>
      <w:r w:rsidRPr="00F40CD9">
        <w:rPr>
          <w:b/>
        </w:rPr>
        <w:t>о</w:t>
      </w:r>
      <w:r w:rsidRPr="00F40CD9">
        <w:rPr>
          <w:b/>
        </w:rPr>
        <w:t>блемы переполненности мест содержания под стражей и тюрем, в том чи</w:t>
      </w:r>
      <w:r w:rsidRPr="00F40CD9">
        <w:rPr>
          <w:b/>
        </w:rPr>
        <w:t>с</w:t>
      </w:r>
      <w:r w:rsidRPr="00F40CD9">
        <w:rPr>
          <w:b/>
        </w:rPr>
        <w:t>ле путем более широкого применения альте</w:t>
      </w:r>
      <w:r w:rsidR="002001A8">
        <w:rPr>
          <w:b/>
        </w:rPr>
        <w:t>рнативных форм наказания, таких</w:t>
      </w:r>
      <w:r w:rsidRPr="00F40CD9">
        <w:rPr>
          <w:b/>
        </w:rPr>
        <w:t xml:space="preserve"> как электронный контроль, условно-досрочное освобождение и н</w:t>
      </w:r>
      <w:r w:rsidRPr="00F40CD9">
        <w:rPr>
          <w:b/>
        </w:rPr>
        <w:t>а</w:t>
      </w:r>
      <w:r w:rsidRPr="00F40CD9">
        <w:rPr>
          <w:b/>
        </w:rPr>
        <w:t>значение общественных работ. Государству-участнику следует принять практические меры по предупреждению насилия среди заключенных. В</w:t>
      </w:r>
      <w:r w:rsidR="008B4C09">
        <w:rPr>
          <w:b/>
          <w:lang w:val="en-US"/>
        </w:rPr>
        <w:t> </w:t>
      </w:r>
      <w:r w:rsidRPr="00F40CD9">
        <w:rPr>
          <w:b/>
        </w:rPr>
        <w:t>этом отношении государству-участнику следует обеспечивать, чтобы все случаи насилия среди заключенных, особенно насилия со смертельным и</w:t>
      </w:r>
      <w:r w:rsidRPr="00F40CD9">
        <w:rPr>
          <w:b/>
        </w:rPr>
        <w:t>с</w:t>
      </w:r>
      <w:r w:rsidRPr="00F40CD9">
        <w:rPr>
          <w:b/>
        </w:rPr>
        <w:t>ходом, тщательно расследовались, а виновные привлекались к ответстве</w:t>
      </w:r>
      <w:r w:rsidRPr="00F40CD9">
        <w:rPr>
          <w:b/>
        </w:rPr>
        <w:t>н</w:t>
      </w:r>
      <w:r w:rsidRPr="00F40CD9">
        <w:rPr>
          <w:b/>
        </w:rPr>
        <w:t>ности и подвергались соответствующему наказанию.</w:t>
      </w:r>
    </w:p>
    <w:p w:rsidR="00F40CD9" w:rsidRPr="00F40CD9" w:rsidRDefault="008B4C09" w:rsidP="00F40CD9">
      <w:pPr>
        <w:pStyle w:val="SingleTxtGR"/>
      </w:pPr>
      <w:r>
        <w:t>12.</w:t>
      </w:r>
      <w:r>
        <w:tab/>
      </w:r>
      <w:r w:rsidR="00F40CD9" w:rsidRPr="00F40CD9">
        <w:t>Комитет испытывает озабоченность в связи с тем, что согласно ст</w:t>
      </w:r>
      <w:r w:rsidR="00F40CD9" w:rsidRPr="00F40CD9">
        <w:t>а</w:t>
      </w:r>
      <w:r w:rsidR="00F40CD9" w:rsidRPr="00F40CD9">
        <w:t>тье 21 Закона о правах защитников и членов их семей, применимого в Федерации Бо</w:t>
      </w:r>
      <w:r w:rsidR="00F40CD9" w:rsidRPr="00F40CD9">
        <w:t>с</w:t>
      </w:r>
      <w:r w:rsidR="00F40CD9" w:rsidRPr="00F40CD9">
        <w:t>нии и Герцеговины, члены семей пропавших без вести лиц, чтобы п</w:t>
      </w:r>
      <w:r w:rsidR="00F40CD9" w:rsidRPr="00F40CD9">
        <w:t>о</w:t>
      </w:r>
      <w:r w:rsidR="00F40CD9" w:rsidRPr="00F40CD9">
        <w:t>лучить или сохранить право на ежемесячную пенсию, должны в течение двух лет со дня вступления закона в силу инициировать разбирательство на предмет объявл</w:t>
      </w:r>
      <w:r w:rsidR="00F40CD9" w:rsidRPr="00F40CD9">
        <w:t>е</w:t>
      </w:r>
      <w:r w:rsidR="00F40CD9" w:rsidRPr="00F40CD9">
        <w:t>ния пропавшего без вести лица умершим. Кроме того, Комитет  обесп</w:t>
      </w:r>
      <w:r w:rsidR="00F40CD9" w:rsidRPr="00F40CD9">
        <w:t>о</w:t>
      </w:r>
      <w:r w:rsidR="00F40CD9" w:rsidRPr="00F40CD9">
        <w:t>коен тем, что в Республике Сербской муниципальные суды требуют от членов семей предъявления свидетельства о смерти в качестве доказательства того, что их родственник являлся жертвой насильственного исчезновения, при оценке ход</w:t>
      </w:r>
      <w:r w:rsidR="00F40CD9" w:rsidRPr="00F40CD9">
        <w:t>а</w:t>
      </w:r>
      <w:r w:rsidR="00F40CD9" w:rsidRPr="00F40CD9">
        <w:t>тайства о предоставлении пенсии по нетрудо</w:t>
      </w:r>
      <w:r w:rsidR="002753D2">
        <w:t>способности на основании ст</w:t>
      </w:r>
      <w:r w:rsidR="002753D2">
        <w:t>а</w:t>
      </w:r>
      <w:r w:rsidR="002753D2">
        <w:t>тьи</w:t>
      </w:r>
      <w:r w:rsidR="002753D2">
        <w:rPr>
          <w:lang w:val="en-US"/>
        </w:rPr>
        <w:t> </w:t>
      </w:r>
      <w:r w:rsidR="00F40CD9" w:rsidRPr="00F40CD9">
        <w:t>25 Закона о защите гражданских жертв войны и статьи 190 Закона об адм</w:t>
      </w:r>
      <w:r w:rsidR="00F40CD9" w:rsidRPr="00F40CD9">
        <w:t>и</w:t>
      </w:r>
      <w:r w:rsidR="00F40CD9" w:rsidRPr="00F40CD9">
        <w:t>нистративной процедуре. Комитет обеспокоен тем, что такая практика выз</w:t>
      </w:r>
      <w:r w:rsidR="00F40CD9" w:rsidRPr="00F40CD9">
        <w:t>ы</w:t>
      </w:r>
      <w:r w:rsidR="00F40CD9" w:rsidRPr="00F40CD9">
        <w:t>вает вопросы с учетом статей 2, 6 и 7 Пакта, поскольку пропавшие без вести и н</w:t>
      </w:r>
      <w:r w:rsidR="00F40CD9" w:rsidRPr="00F40CD9">
        <w:t>а</w:t>
      </w:r>
      <w:r w:rsidR="00F40CD9" w:rsidRPr="00F40CD9">
        <w:t>сильственно исчезнувшие лица, пока ведется их розыск, считаются поги</w:t>
      </w:r>
      <w:r w:rsidR="00F40CD9" w:rsidRPr="00F40CD9">
        <w:t>б</w:t>
      </w:r>
      <w:r w:rsidR="00F40CD9" w:rsidRPr="00F40CD9">
        <w:t>шими (статьи 2, 6 и 7).</w:t>
      </w:r>
    </w:p>
    <w:p w:rsidR="00F40CD9" w:rsidRPr="00F40CD9" w:rsidRDefault="00F40CD9" w:rsidP="00F40CD9">
      <w:pPr>
        <w:pStyle w:val="SingleTxtGR"/>
        <w:rPr>
          <w:b/>
        </w:rPr>
      </w:pPr>
      <w:r w:rsidRPr="00F40CD9">
        <w:rPr>
          <w:b/>
          <w:bCs/>
        </w:rPr>
        <w:t>Государству-участнику следует</w:t>
      </w:r>
      <w:r w:rsidRPr="00F40CD9">
        <w:rPr>
          <w:bCs/>
        </w:rPr>
        <w:t xml:space="preserve"> </w:t>
      </w:r>
      <w:r w:rsidRPr="00F40CD9">
        <w:rPr>
          <w:b/>
        </w:rPr>
        <w:t>отменить в случаях исчезновений действие требования, ставящего осуществлени</w:t>
      </w:r>
      <w:r w:rsidR="002753D2">
        <w:rPr>
          <w:b/>
        </w:rPr>
        <w:t>е права на получение возмещения</w:t>
      </w:r>
      <w:r w:rsidR="002753D2">
        <w:rPr>
          <w:b/>
        </w:rPr>
        <w:br/>
      </w:r>
      <w:r w:rsidRPr="00F40CD9">
        <w:rPr>
          <w:b/>
        </w:rPr>
        <w:t>в зависимость от готовности семьи признать смерть члена семьи. Госуда</w:t>
      </w:r>
      <w:r w:rsidRPr="00F40CD9">
        <w:rPr>
          <w:b/>
        </w:rPr>
        <w:t>р</w:t>
      </w:r>
      <w:r w:rsidRPr="00F40CD9">
        <w:rPr>
          <w:b/>
        </w:rPr>
        <w:t>ству-участнику следует обеспечить, чтобы любое возмещение или другая форма компенсации надлежащим образом отражали серьезность наруш</w:t>
      </w:r>
      <w:r w:rsidRPr="00F40CD9">
        <w:rPr>
          <w:b/>
        </w:rPr>
        <w:t>е</w:t>
      </w:r>
      <w:r w:rsidRPr="00F40CD9">
        <w:rPr>
          <w:b/>
        </w:rPr>
        <w:t>ния и характер причиненного вреда.</w:t>
      </w:r>
    </w:p>
    <w:p w:rsidR="00F40CD9" w:rsidRPr="00F40CD9" w:rsidRDefault="008B4C09" w:rsidP="00F40CD9">
      <w:pPr>
        <w:pStyle w:val="SingleTxtGR"/>
      </w:pPr>
      <w:r>
        <w:t>13.</w:t>
      </w:r>
      <w:r>
        <w:tab/>
      </w:r>
      <w:r w:rsidR="00F40CD9" w:rsidRPr="00F40CD9">
        <w:t>Принимая к сведению усилия государства-участника, направленные на защиту свидетелей военных преступлений, как, например, создание в Прокур</w:t>
      </w:r>
      <w:r w:rsidR="00F40CD9" w:rsidRPr="00F40CD9">
        <w:t>а</w:t>
      </w:r>
      <w:r w:rsidR="00F40CD9" w:rsidRPr="00F40CD9">
        <w:t>туре отделения по защите свидетелей, Комитет в то же время обеспокоен сущ</w:t>
      </w:r>
      <w:r w:rsidR="00F40CD9" w:rsidRPr="00F40CD9">
        <w:t>е</w:t>
      </w:r>
      <w:r w:rsidR="00F40CD9" w:rsidRPr="00F40CD9">
        <w:t>ственными недостатками в осуществлении программы защиты свидетелей в э</w:t>
      </w:r>
      <w:r w:rsidR="00F40CD9" w:rsidRPr="00F40CD9">
        <w:t>н</w:t>
      </w:r>
      <w:r w:rsidR="00F40CD9" w:rsidRPr="00F40CD9">
        <w:t>титетах, которым были переданы дела о военных преступлениях, такими, как отсутствие надлежащей психологической поддержки, и тем, что свидетелей в</w:t>
      </w:r>
      <w:r w:rsidR="00F40CD9" w:rsidRPr="00F40CD9">
        <w:t>ы</w:t>
      </w:r>
      <w:r w:rsidR="00F40CD9" w:rsidRPr="00F40CD9">
        <w:t>нуждают встречаться с обвиняемыми в суде и за пределами суда.  К</w:t>
      </w:r>
      <w:r w:rsidR="00F40CD9" w:rsidRPr="00F40CD9">
        <w:t>о</w:t>
      </w:r>
      <w:r w:rsidR="00F40CD9" w:rsidRPr="00F40CD9">
        <w:t>митет обеспокоен тем, что это может сказываться на готовности свидетелей давать показания в ходе судебного процесса.</w:t>
      </w:r>
    </w:p>
    <w:p w:rsidR="00F40CD9" w:rsidRPr="00F40CD9" w:rsidRDefault="00F40CD9" w:rsidP="00F40CD9">
      <w:pPr>
        <w:pStyle w:val="SingleTxtGR"/>
      </w:pPr>
      <w:r w:rsidRPr="00F40CD9">
        <w:rPr>
          <w:b/>
        </w:rPr>
        <w:t>Государству-участнику следует принять практические меры к тому, чтобы повысить эффективность программы защиты свидетелей с целью обесп</w:t>
      </w:r>
      <w:r w:rsidRPr="00F40CD9">
        <w:rPr>
          <w:b/>
        </w:rPr>
        <w:t>е</w:t>
      </w:r>
      <w:r w:rsidRPr="00F40CD9">
        <w:rPr>
          <w:b/>
        </w:rPr>
        <w:t>чить свидетелям полную защиту. Государству-участнику следует также обеспечить, чтобы свидетелям по-прежнему оказывалась психологическая поддержка в энтитетах, которым были переданы дела о военных престу</w:t>
      </w:r>
      <w:r w:rsidRPr="00F40CD9">
        <w:rPr>
          <w:b/>
        </w:rPr>
        <w:t>п</w:t>
      </w:r>
      <w:r w:rsidRPr="00F40CD9">
        <w:rPr>
          <w:b/>
        </w:rPr>
        <w:t>лениях. Государству-участнику следует далее обеспечить всестороннее пр</w:t>
      </w:r>
      <w:r w:rsidRPr="00F40CD9">
        <w:rPr>
          <w:b/>
        </w:rPr>
        <w:t>о</w:t>
      </w:r>
      <w:r w:rsidRPr="00F40CD9">
        <w:rPr>
          <w:b/>
        </w:rPr>
        <w:t>ведение властями расследования подозрений на запугивание свидетелей, с тем чтобы положить конец атмосфере страха, которая крайне отрицател</w:t>
      </w:r>
      <w:r w:rsidRPr="00F40CD9">
        <w:rPr>
          <w:b/>
        </w:rPr>
        <w:t>ь</w:t>
      </w:r>
      <w:r w:rsidRPr="00F40CD9">
        <w:rPr>
          <w:b/>
        </w:rPr>
        <w:t>но сказывается на усилиях, направленных на осуществление судебного преследования военных преступлений на уровне энтитетов государства-участника.</w:t>
      </w:r>
    </w:p>
    <w:p w:rsidR="00F40CD9" w:rsidRPr="002753D2" w:rsidRDefault="008B4C09" w:rsidP="00F40CD9">
      <w:pPr>
        <w:pStyle w:val="SingleTxtGR"/>
      </w:pPr>
      <w:r>
        <w:t>14.</w:t>
      </w:r>
      <w:r>
        <w:tab/>
      </w:r>
      <w:r w:rsidR="00F40CD9" w:rsidRPr="00F40CD9">
        <w:t>Отдавая должное усилиям государства-участника по защите права лиц не подвергаться принудительному возвращению, Комитет в то же время обеспок</w:t>
      </w:r>
      <w:r w:rsidR="00F40CD9" w:rsidRPr="00F40CD9">
        <w:t>о</w:t>
      </w:r>
      <w:r w:rsidR="00F40CD9" w:rsidRPr="00F40CD9">
        <w:t>ен тем, что лица, подлежащие высылке по соображениям государс</w:t>
      </w:r>
      <w:r w:rsidR="00F40CD9" w:rsidRPr="00F40CD9">
        <w:t>т</w:t>
      </w:r>
      <w:r w:rsidR="00F40CD9" w:rsidRPr="00F40CD9">
        <w:t>венной безопасности, могут бессрочно содержаться под стражей лишь на основании дискреционных решений органов безопасности государства-участника. Комитет также обеспокоен тем, что обжалования, поданные в суды просителями убеж</w:t>
      </w:r>
      <w:r w:rsidR="00F40CD9" w:rsidRPr="00F40CD9">
        <w:t>и</w:t>
      </w:r>
      <w:r w:rsidR="00F40CD9" w:rsidRPr="00F40CD9">
        <w:t>ща на решения административных органов, не имеют приостанавливающего действия и что информация о странах происхождения, предоставленная соо</w:t>
      </w:r>
      <w:r w:rsidR="00F40CD9" w:rsidRPr="00F40CD9">
        <w:t>т</w:t>
      </w:r>
      <w:r w:rsidR="00F40CD9" w:rsidRPr="00F40CD9">
        <w:t>ветствующими международными организациями и учреждениями, не всегда в достаточной мере принимается во внимание (статьи 7, 9 и 10)</w:t>
      </w:r>
      <w:r w:rsidR="002753D2" w:rsidRPr="002753D2">
        <w:t>7</w:t>
      </w:r>
    </w:p>
    <w:p w:rsidR="00F40CD9" w:rsidRPr="00F40CD9" w:rsidRDefault="00F40CD9" w:rsidP="00F40CD9">
      <w:pPr>
        <w:pStyle w:val="SingleTxtGR"/>
        <w:rPr>
          <w:b/>
        </w:rPr>
      </w:pPr>
      <w:r w:rsidRPr="00F40CD9">
        <w:rPr>
          <w:b/>
        </w:rPr>
        <w:t>Государству-участнику следует пересмотреть закон, предусматривающий содержание под стражей лиц, подлежащих высылке по соображениям гос</w:t>
      </w:r>
      <w:r w:rsidRPr="00F40CD9">
        <w:rPr>
          <w:b/>
        </w:rPr>
        <w:t>у</w:t>
      </w:r>
      <w:r w:rsidR="002753D2">
        <w:rPr>
          <w:b/>
        </w:rPr>
        <w:t>дарственной безопасности, с тем</w:t>
      </w:r>
      <w:r w:rsidRPr="00F40CD9">
        <w:rPr>
          <w:b/>
        </w:rPr>
        <w:t xml:space="preserve"> чтобы гарантировать таким лицам по</w:t>
      </w:r>
      <w:r w:rsidRPr="00F40CD9">
        <w:rPr>
          <w:b/>
        </w:rPr>
        <w:t>л</w:t>
      </w:r>
      <w:r w:rsidRPr="00F40CD9">
        <w:rPr>
          <w:b/>
        </w:rPr>
        <w:t>ную юридическую безопасность и чтобы они не содержались под стражей неограниченное количество времени. В связи с этим государству-участнику следует также рассмотреть возможность внедрения других методов осущ</w:t>
      </w:r>
      <w:r w:rsidRPr="00F40CD9">
        <w:rPr>
          <w:b/>
        </w:rPr>
        <w:t>е</w:t>
      </w:r>
      <w:r w:rsidRPr="00F40CD9">
        <w:rPr>
          <w:b/>
        </w:rPr>
        <w:t>ствления надзора взамен бессрочного содержания под стражей. Государс</w:t>
      </w:r>
      <w:r w:rsidRPr="00F40CD9">
        <w:rPr>
          <w:b/>
        </w:rPr>
        <w:t>т</w:t>
      </w:r>
      <w:r w:rsidRPr="00F40CD9">
        <w:rPr>
          <w:b/>
        </w:rPr>
        <w:t>ву-участнику следует также обеспечить, чтобы во всех случаях, касающи</w:t>
      </w:r>
      <w:r w:rsidRPr="00F40CD9">
        <w:rPr>
          <w:b/>
        </w:rPr>
        <w:t>х</w:t>
      </w:r>
      <w:r w:rsidRPr="00F40CD9">
        <w:rPr>
          <w:b/>
        </w:rPr>
        <w:t>ся принудительного возвращения, все обжалования в судах решений о в</w:t>
      </w:r>
      <w:r w:rsidRPr="00F40CD9">
        <w:rPr>
          <w:b/>
        </w:rPr>
        <w:t>ы</w:t>
      </w:r>
      <w:r w:rsidRPr="00F40CD9">
        <w:rPr>
          <w:b/>
        </w:rPr>
        <w:t>сылке имели приостанавливающее действие, а вся соответствующая и</w:t>
      </w:r>
      <w:r w:rsidRPr="00F40CD9">
        <w:rPr>
          <w:b/>
        </w:rPr>
        <w:t>н</w:t>
      </w:r>
      <w:r w:rsidRPr="00F40CD9">
        <w:rPr>
          <w:b/>
        </w:rPr>
        <w:t>формация о положении в странах происхождения должным образом пр</w:t>
      </w:r>
      <w:r w:rsidRPr="00F40CD9">
        <w:rPr>
          <w:b/>
        </w:rPr>
        <w:t>и</w:t>
      </w:r>
      <w:r w:rsidRPr="00F40CD9">
        <w:rPr>
          <w:b/>
        </w:rPr>
        <w:t>нималась во внимание компетентными административными и судебными органами.</w:t>
      </w:r>
    </w:p>
    <w:p w:rsidR="00F40CD9" w:rsidRPr="00F40CD9" w:rsidRDefault="008B4C09" w:rsidP="00F40CD9">
      <w:pPr>
        <w:pStyle w:val="SingleTxtGR"/>
      </w:pPr>
      <w:r>
        <w:t>15.</w:t>
      </w:r>
      <w:r>
        <w:tab/>
      </w:r>
      <w:r w:rsidR="00F40CD9" w:rsidRPr="00F40CD9">
        <w:t>Комитет напоминает о своей предыдущей рекомендации (</w:t>
      </w:r>
      <w:r w:rsidR="00F40CD9" w:rsidRPr="00F40CD9">
        <w:rPr>
          <w:lang w:val="en-US"/>
        </w:rPr>
        <w:t>CCPR</w:t>
      </w:r>
      <w:r w:rsidR="00F40CD9" w:rsidRPr="00F40CD9">
        <w:t>/</w:t>
      </w:r>
      <w:r w:rsidR="00F40CD9" w:rsidRPr="00F40CD9">
        <w:rPr>
          <w:lang w:val="en-US"/>
        </w:rPr>
        <w:t>C</w:t>
      </w:r>
      <w:r w:rsidR="00F40CD9" w:rsidRPr="00F40CD9">
        <w:t>/</w:t>
      </w:r>
      <w:r w:rsidR="002753D2" w:rsidRPr="002753D2">
        <w:t xml:space="preserve"> </w:t>
      </w:r>
      <w:r w:rsidR="00F40CD9" w:rsidRPr="00F40CD9">
        <w:rPr>
          <w:lang w:val="en-US"/>
        </w:rPr>
        <w:t>BIH</w:t>
      </w:r>
      <w:r w:rsidR="00F40CD9" w:rsidRPr="00F40CD9">
        <w:t>/</w:t>
      </w:r>
      <w:r w:rsidR="00F40CD9" w:rsidRPr="00F40CD9">
        <w:rPr>
          <w:lang w:val="en-US"/>
        </w:rPr>
        <w:t>CO</w:t>
      </w:r>
      <w:r w:rsidR="00F40CD9" w:rsidRPr="00F40CD9">
        <w:t>/1, пункт 18) и по-прежнему обеспокоен тем, что</w:t>
      </w:r>
      <w:r w:rsidR="00F40CD9" w:rsidRPr="00F40CD9">
        <w:rPr>
          <w:b/>
          <w:bCs/>
        </w:rPr>
        <w:t xml:space="preserve"> </w:t>
      </w:r>
      <w:r w:rsidR="00F40CD9" w:rsidRPr="00F40CD9">
        <w:t>до сих пор из Уголо</w:t>
      </w:r>
      <w:r w:rsidR="00F40CD9" w:rsidRPr="00F40CD9">
        <w:t>в</w:t>
      </w:r>
      <w:r w:rsidR="00F40CD9" w:rsidRPr="00F40CD9">
        <w:t>но-процессуального кодекса не исключена статья 132 d), согласно кот</w:t>
      </w:r>
      <w:r w:rsidR="00F40CD9" w:rsidRPr="00F40CD9">
        <w:t>о</w:t>
      </w:r>
      <w:r w:rsidR="00F40CD9" w:rsidRPr="00F40CD9">
        <w:t>рой лица, подозреваемые в совершении уголовного преступления, могут закл</w:t>
      </w:r>
      <w:r w:rsidR="00F40CD9" w:rsidRPr="00F40CD9">
        <w:t>ю</w:t>
      </w:r>
      <w:r w:rsidR="00F40CD9" w:rsidRPr="00F40CD9">
        <w:t>чаться под стражу в досудебном производстве, если за соответствующее преступление м</w:t>
      </w:r>
      <w:r w:rsidR="00F40CD9" w:rsidRPr="00F40CD9">
        <w:t>о</w:t>
      </w:r>
      <w:r w:rsidR="00F40CD9" w:rsidRPr="00F40CD9">
        <w:t>жет выноситься наказание в виде тюремного заключения сроком более 10 лет, лишь на том основании, что, по мнению судьи, такое содержание под стражей оправдывается соображениями государственной безопасности или безопасн</w:t>
      </w:r>
      <w:r w:rsidR="00F40CD9" w:rsidRPr="00F40CD9">
        <w:t>о</w:t>
      </w:r>
      <w:r w:rsidR="00F40CD9" w:rsidRPr="00F40CD9">
        <w:t>сти имущества (статья 9).</w:t>
      </w:r>
    </w:p>
    <w:p w:rsidR="00F40CD9" w:rsidRPr="00F40CD9" w:rsidRDefault="00F40CD9" w:rsidP="00F40CD9">
      <w:pPr>
        <w:pStyle w:val="SingleTxtGR"/>
        <w:rPr>
          <w:bCs/>
        </w:rPr>
      </w:pPr>
      <w:r w:rsidRPr="00F40CD9">
        <w:rPr>
          <w:b/>
        </w:rPr>
        <w:t>Комитет подтверждает свои предыдущие заключительные замечания (</w:t>
      </w:r>
      <w:r w:rsidRPr="00F40CD9">
        <w:rPr>
          <w:b/>
          <w:lang w:val="en-US"/>
        </w:rPr>
        <w:t>CCPR</w:t>
      </w:r>
      <w:r w:rsidRPr="00F40CD9">
        <w:rPr>
          <w:b/>
        </w:rPr>
        <w:t>/</w:t>
      </w:r>
      <w:r w:rsidRPr="00F40CD9">
        <w:rPr>
          <w:b/>
          <w:lang w:val="en-US"/>
        </w:rPr>
        <w:t>C</w:t>
      </w:r>
      <w:r w:rsidRPr="00F40CD9">
        <w:rPr>
          <w:b/>
        </w:rPr>
        <w:t>/</w:t>
      </w:r>
      <w:r w:rsidRPr="00F40CD9">
        <w:rPr>
          <w:b/>
          <w:lang w:val="en-US"/>
        </w:rPr>
        <w:t>BIH</w:t>
      </w:r>
      <w:r w:rsidRPr="00F40CD9">
        <w:rPr>
          <w:b/>
        </w:rPr>
        <w:t>/</w:t>
      </w:r>
      <w:r w:rsidRPr="00F40CD9">
        <w:rPr>
          <w:b/>
          <w:lang w:val="en-US"/>
        </w:rPr>
        <w:t>CO</w:t>
      </w:r>
      <w:r w:rsidRPr="00F40CD9">
        <w:rPr>
          <w:b/>
        </w:rPr>
        <w:t>/1, пункт 18) и рекомендует государству-участнику</w:t>
      </w:r>
      <w:r w:rsidRPr="00F40CD9">
        <w:t xml:space="preserve"> </w:t>
      </w:r>
      <w:r w:rsidRPr="00F40CD9">
        <w:rPr>
          <w:b/>
          <w:bCs/>
        </w:rPr>
        <w:t>ра</w:t>
      </w:r>
      <w:r w:rsidRPr="00F40CD9">
        <w:rPr>
          <w:b/>
          <w:bCs/>
        </w:rPr>
        <w:t>с</w:t>
      </w:r>
      <w:r w:rsidRPr="00F40CD9">
        <w:rPr>
          <w:b/>
          <w:bCs/>
        </w:rPr>
        <w:t>смотреть вопрос об исключении из Уголовно-процессуального кодекса г</w:t>
      </w:r>
      <w:r w:rsidRPr="00F40CD9">
        <w:rPr>
          <w:b/>
          <w:bCs/>
        </w:rPr>
        <w:t>о</w:t>
      </w:r>
      <w:r w:rsidRPr="00F40CD9">
        <w:rPr>
          <w:b/>
          <w:bCs/>
        </w:rPr>
        <w:t>сударства-участника плохо сформулированной концепции государственной безопасности или безопасности имущества в качестве основания для ра</w:t>
      </w:r>
      <w:r w:rsidRPr="00F40CD9">
        <w:rPr>
          <w:b/>
          <w:bCs/>
        </w:rPr>
        <w:t>с</w:t>
      </w:r>
      <w:r w:rsidRPr="00F40CD9">
        <w:rPr>
          <w:b/>
          <w:bCs/>
        </w:rPr>
        <w:t>поряжения о досудебном содержании под стражей лиц, которые рассматр</w:t>
      </w:r>
      <w:r w:rsidRPr="00F40CD9">
        <w:rPr>
          <w:b/>
          <w:bCs/>
        </w:rPr>
        <w:t>и</w:t>
      </w:r>
      <w:r w:rsidRPr="00F40CD9">
        <w:rPr>
          <w:b/>
          <w:bCs/>
        </w:rPr>
        <w:t>ваются как несущие угрозу государственной безопасности или безопасн</w:t>
      </w:r>
      <w:r w:rsidRPr="00F40CD9">
        <w:rPr>
          <w:b/>
          <w:bCs/>
        </w:rPr>
        <w:t>о</w:t>
      </w:r>
      <w:r w:rsidRPr="00F40CD9">
        <w:rPr>
          <w:b/>
          <w:bCs/>
        </w:rPr>
        <w:t>сти имущества.</w:t>
      </w:r>
    </w:p>
    <w:p w:rsidR="00F40CD9" w:rsidRPr="00F40CD9" w:rsidRDefault="008B4C09" w:rsidP="00F40CD9">
      <w:pPr>
        <w:pStyle w:val="SingleTxtGR"/>
      </w:pPr>
      <w:r>
        <w:rPr>
          <w:bCs/>
        </w:rPr>
        <w:t>16.</w:t>
      </w:r>
      <w:r>
        <w:rPr>
          <w:bCs/>
        </w:rPr>
        <w:tab/>
      </w:r>
      <w:r w:rsidR="00F40CD9" w:rsidRPr="00F40CD9">
        <w:rPr>
          <w:bCs/>
        </w:rPr>
        <w:t xml:space="preserve">Комитет напоминает о своих предыдущих замечаниях </w:t>
      </w:r>
      <w:r w:rsidR="00F40CD9" w:rsidRPr="00F40CD9">
        <w:t>(</w:t>
      </w:r>
      <w:r w:rsidR="00F40CD9" w:rsidRPr="00F40CD9">
        <w:rPr>
          <w:lang w:val="en-US"/>
        </w:rPr>
        <w:t>CCPR</w:t>
      </w:r>
      <w:r w:rsidR="00F40CD9" w:rsidRPr="00F40CD9">
        <w:t>/</w:t>
      </w:r>
      <w:r w:rsidR="00F40CD9" w:rsidRPr="00F40CD9">
        <w:rPr>
          <w:lang w:val="en-US"/>
        </w:rPr>
        <w:t>C</w:t>
      </w:r>
      <w:r w:rsidR="00F40CD9" w:rsidRPr="00F40CD9">
        <w:t>/</w:t>
      </w:r>
      <w:r w:rsidR="002753D2" w:rsidRPr="002753D2">
        <w:t xml:space="preserve"> </w:t>
      </w:r>
      <w:r w:rsidR="00F40CD9" w:rsidRPr="00F40CD9">
        <w:rPr>
          <w:lang w:val="en-US"/>
        </w:rPr>
        <w:t>BIH</w:t>
      </w:r>
      <w:r w:rsidR="00F40CD9" w:rsidRPr="00F40CD9">
        <w:t>/</w:t>
      </w:r>
      <w:r w:rsidR="00F40CD9" w:rsidRPr="00F40CD9">
        <w:rPr>
          <w:lang w:val="en-US"/>
        </w:rPr>
        <w:t>CO</w:t>
      </w:r>
      <w:r w:rsidR="00F40CD9" w:rsidRPr="00F40CD9">
        <w:t>/1, пункты 20 и 21) и по-прежнему испытывает озабоченность в связи с тем, что значительное число беженцев, возвращенцев и внутренне перемеще</w:t>
      </w:r>
      <w:r w:rsidR="00F40CD9" w:rsidRPr="00F40CD9">
        <w:t>н</w:t>
      </w:r>
      <w:r w:rsidR="00F40CD9" w:rsidRPr="00F40CD9">
        <w:t>ных лиц до сих пор не были переселены и все еще находятся в коллективных центрах (статья 12).</w:t>
      </w:r>
    </w:p>
    <w:p w:rsidR="00F40CD9" w:rsidRPr="00F40CD9" w:rsidRDefault="00F40CD9" w:rsidP="00F40CD9">
      <w:pPr>
        <w:pStyle w:val="SingleTxtGR"/>
      </w:pPr>
      <w:r w:rsidRPr="00F40CD9">
        <w:rPr>
          <w:b/>
          <w:bCs/>
        </w:rPr>
        <w:t xml:space="preserve">Комитет подтверждает свои предыдущие рекомендации </w:t>
      </w:r>
      <w:r w:rsidRPr="00F40CD9">
        <w:rPr>
          <w:b/>
        </w:rPr>
        <w:t>(</w:t>
      </w:r>
      <w:r w:rsidRPr="00F40CD9">
        <w:rPr>
          <w:b/>
          <w:lang w:val="en-US"/>
        </w:rPr>
        <w:t>CCPR</w:t>
      </w:r>
      <w:r w:rsidRPr="00F40CD9">
        <w:rPr>
          <w:b/>
        </w:rPr>
        <w:t>/</w:t>
      </w:r>
      <w:r w:rsidRPr="00F40CD9">
        <w:rPr>
          <w:b/>
          <w:lang w:val="en-US"/>
        </w:rPr>
        <w:t>C</w:t>
      </w:r>
      <w:r w:rsidRPr="00F40CD9">
        <w:rPr>
          <w:b/>
        </w:rPr>
        <w:t>/</w:t>
      </w:r>
      <w:r w:rsidR="002753D2" w:rsidRPr="002753D2">
        <w:rPr>
          <w:b/>
        </w:rPr>
        <w:t xml:space="preserve"> </w:t>
      </w:r>
      <w:r w:rsidRPr="00F40CD9">
        <w:rPr>
          <w:b/>
          <w:lang w:val="en-US"/>
        </w:rPr>
        <w:t>BIH</w:t>
      </w:r>
      <w:r w:rsidRPr="00F40CD9">
        <w:rPr>
          <w:b/>
        </w:rPr>
        <w:t>/</w:t>
      </w:r>
      <w:r w:rsidRPr="00F40CD9">
        <w:rPr>
          <w:b/>
          <w:lang w:val="en-US"/>
        </w:rPr>
        <w:t>CO</w:t>
      </w:r>
      <w:r w:rsidRPr="00F40CD9">
        <w:rPr>
          <w:b/>
        </w:rPr>
        <w:t>/1, пункты 20 и 21) и рекомендует государству-участнику актив</w:t>
      </w:r>
      <w:r w:rsidRPr="00F40CD9">
        <w:rPr>
          <w:b/>
        </w:rPr>
        <w:t>и</w:t>
      </w:r>
      <w:r w:rsidRPr="00F40CD9">
        <w:rPr>
          <w:b/>
        </w:rPr>
        <w:t>зировать усилия по переселению и возвращению беженцев, возвр</w:t>
      </w:r>
      <w:r w:rsidRPr="00F40CD9">
        <w:rPr>
          <w:b/>
        </w:rPr>
        <w:t>а</w:t>
      </w:r>
      <w:r w:rsidRPr="00F40CD9">
        <w:rPr>
          <w:b/>
        </w:rPr>
        <w:t>щенцев и внутренне перемещенных лиц с целью завершения процесса л</w:t>
      </w:r>
      <w:r w:rsidRPr="00F40CD9">
        <w:rPr>
          <w:b/>
        </w:rPr>
        <w:t>и</w:t>
      </w:r>
      <w:r w:rsidRPr="00F40CD9">
        <w:rPr>
          <w:b/>
        </w:rPr>
        <w:t>квидации коллективных центров. В этой связи государству-участнику следует и д</w:t>
      </w:r>
      <w:r w:rsidRPr="00F40CD9">
        <w:rPr>
          <w:b/>
        </w:rPr>
        <w:t>а</w:t>
      </w:r>
      <w:r w:rsidRPr="00F40CD9">
        <w:rPr>
          <w:b/>
        </w:rPr>
        <w:t>лее принимать практические меры, направленные на предоставление л</w:t>
      </w:r>
      <w:r w:rsidRPr="00F40CD9">
        <w:rPr>
          <w:b/>
        </w:rPr>
        <w:t>и</w:t>
      </w:r>
      <w:r w:rsidRPr="00F40CD9">
        <w:rPr>
          <w:b/>
        </w:rPr>
        <w:t>цам, находящимся в коллективных центрах, адекватного альте</w:t>
      </w:r>
      <w:r w:rsidRPr="00F40CD9">
        <w:rPr>
          <w:b/>
        </w:rPr>
        <w:t>р</w:t>
      </w:r>
      <w:r w:rsidRPr="00F40CD9">
        <w:rPr>
          <w:b/>
        </w:rPr>
        <w:t>нативного жилья и создание необходимых условий для их окончательного возвращ</w:t>
      </w:r>
      <w:r w:rsidRPr="00F40CD9">
        <w:rPr>
          <w:b/>
        </w:rPr>
        <w:t>е</w:t>
      </w:r>
      <w:r w:rsidRPr="00F40CD9">
        <w:rPr>
          <w:b/>
        </w:rPr>
        <w:t>ния и переселения.</w:t>
      </w:r>
    </w:p>
    <w:p w:rsidR="00F40CD9" w:rsidRPr="00F40CD9" w:rsidRDefault="008B4C09" w:rsidP="00F40CD9">
      <w:pPr>
        <w:pStyle w:val="SingleTxtGR"/>
      </w:pPr>
      <w:r>
        <w:t>17.</w:t>
      </w:r>
      <w:r>
        <w:tab/>
      </w:r>
      <w:r w:rsidR="00F40CD9" w:rsidRPr="00F40CD9">
        <w:t>Комитет напоминает о своих предыдущих замечаниях (</w:t>
      </w:r>
      <w:r w:rsidR="00F40CD9" w:rsidRPr="00F40CD9">
        <w:rPr>
          <w:lang w:val="en-US"/>
        </w:rPr>
        <w:t>CCPR</w:t>
      </w:r>
      <w:r w:rsidR="00F40CD9" w:rsidRPr="00F40CD9">
        <w:t>/</w:t>
      </w:r>
      <w:r w:rsidR="00F40CD9" w:rsidRPr="00F40CD9">
        <w:rPr>
          <w:lang w:val="en-US"/>
        </w:rPr>
        <w:t>C</w:t>
      </w:r>
      <w:r w:rsidR="00F40CD9" w:rsidRPr="00F40CD9">
        <w:t>/</w:t>
      </w:r>
      <w:r w:rsidR="00F40CD9" w:rsidRPr="00F40CD9">
        <w:rPr>
          <w:lang w:val="en-US"/>
        </w:rPr>
        <w:t>BIH</w:t>
      </w:r>
      <w:r w:rsidR="00F40CD9" w:rsidRPr="00F40CD9">
        <w:t>/</w:t>
      </w:r>
      <w:r w:rsidR="00F40CD9" w:rsidRPr="00F40CD9">
        <w:rPr>
          <w:lang w:val="en-US"/>
        </w:rPr>
        <w:t>CO</w:t>
      </w:r>
      <w:r w:rsidR="00F40CD9" w:rsidRPr="00F40CD9">
        <w:t>/1, пункт 22) и с озабоченностью отмечает серьезные пробл</w:t>
      </w:r>
      <w:r w:rsidR="00F40CD9" w:rsidRPr="00F40CD9">
        <w:t>е</w:t>
      </w:r>
      <w:r w:rsidR="00F40CD9" w:rsidRPr="00F40CD9">
        <w:t>мы в деле регистрации рождений и выдачи свидетельств о рождении, особенно членам общины рома, что отрицательно сказывается на их доступе к медици</w:t>
      </w:r>
      <w:r w:rsidR="00F40CD9" w:rsidRPr="00F40CD9">
        <w:t>н</w:t>
      </w:r>
      <w:r w:rsidR="00F40CD9" w:rsidRPr="00F40CD9">
        <w:t>скому страхованию, социальному обеспечению, образованию и на реализации других основных прав (статьи 16 и 24).</w:t>
      </w:r>
    </w:p>
    <w:p w:rsidR="00F40CD9" w:rsidRPr="00F40CD9" w:rsidRDefault="00F40CD9" w:rsidP="00F40CD9">
      <w:pPr>
        <w:pStyle w:val="SingleTxtGR"/>
        <w:rPr>
          <w:bCs/>
        </w:rPr>
      </w:pPr>
      <w:r w:rsidRPr="00F40CD9">
        <w:rPr>
          <w:b/>
          <w:bCs/>
        </w:rPr>
        <w:t xml:space="preserve">Комитет подтверждает свои предыдущие заключительные замечания </w:t>
      </w:r>
      <w:r w:rsidRPr="00F40CD9">
        <w:rPr>
          <w:b/>
        </w:rPr>
        <w:t>(</w:t>
      </w:r>
      <w:r w:rsidRPr="00F40CD9">
        <w:rPr>
          <w:b/>
          <w:lang w:val="en-US"/>
        </w:rPr>
        <w:t>CCPR</w:t>
      </w:r>
      <w:r w:rsidRPr="00F40CD9">
        <w:rPr>
          <w:b/>
        </w:rPr>
        <w:t>/</w:t>
      </w:r>
      <w:r w:rsidRPr="00F40CD9">
        <w:rPr>
          <w:b/>
          <w:lang w:val="en-US"/>
        </w:rPr>
        <w:t>C</w:t>
      </w:r>
      <w:r w:rsidRPr="00F40CD9">
        <w:rPr>
          <w:b/>
        </w:rPr>
        <w:t>/</w:t>
      </w:r>
      <w:r w:rsidRPr="00F40CD9">
        <w:rPr>
          <w:b/>
          <w:lang w:val="en-US"/>
        </w:rPr>
        <w:t>BIH</w:t>
      </w:r>
      <w:r w:rsidRPr="00F40CD9">
        <w:rPr>
          <w:b/>
        </w:rPr>
        <w:t>/</w:t>
      </w:r>
      <w:r w:rsidRPr="00F40CD9">
        <w:rPr>
          <w:b/>
          <w:lang w:val="en-US"/>
        </w:rPr>
        <w:t>CO</w:t>
      </w:r>
      <w:r w:rsidRPr="00F40CD9">
        <w:rPr>
          <w:b/>
        </w:rPr>
        <w:t>/1, пункт 22) и рекомендует государству-участнику ра</w:t>
      </w:r>
      <w:r w:rsidRPr="00F40CD9">
        <w:rPr>
          <w:b/>
        </w:rPr>
        <w:t>с</w:t>
      </w:r>
      <w:r w:rsidRPr="00F40CD9">
        <w:rPr>
          <w:b/>
        </w:rPr>
        <w:t>ширить свои усилия, имеющие целью улучшить регистрацию рождений и выдачу свидетельств о рождении, особенно среди рома, за счет проведения соо</w:t>
      </w:r>
      <w:r w:rsidR="002753D2">
        <w:rPr>
          <w:b/>
        </w:rPr>
        <w:t>тветствующих мероприятий, таких</w:t>
      </w:r>
      <w:r w:rsidRPr="00F40CD9">
        <w:rPr>
          <w:b/>
        </w:rPr>
        <w:t xml:space="preserve"> как информационно-просветительские программы, направленные на изменение бытующих умонастроений в том, что касается необходимости регистрировать рожд</w:t>
      </w:r>
      <w:r w:rsidRPr="00F40CD9">
        <w:rPr>
          <w:b/>
        </w:rPr>
        <w:t>е</w:t>
      </w:r>
      <w:r w:rsidRPr="00F40CD9">
        <w:rPr>
          <w:b/>
        </w:rPr>
        <w:t>ния и получать свидетельства о рождении.</w:t>
      </w:r>
    </w:p>
    <w:p w:rsidR="00F40CD9" w:rsidRPr="00F40CD9" w:rsidRDefault="008B4C09" w:rsidP="00F40CD9">
      <w:pPr>
        <w:pStyle w:val="SingleTxtGR"/>
        <w:rPr>
          <w:bCs/>
        </w:rPr>
      </w:pPr>
      <w:r>
        <w:rPr>
          <w:bCs/>
        </w:rPr>
        <w:t>18.</w:t>
      </w:r>
      <w:r>
        <w:rPr>
          <w:bCs/>
        </w:rPr>
        <w:tab/>
      </w:r>
      <w:r w:rsidR="00F40CD9" w:rsidRPr="00F40CD9">
        <w:rPr>
          <w:bCs/>
        </w:rPr>
        <w:t>Комитет выражает сожаление по поводу сообщений о том, что, как это признает и государство-участник, Орган по регулированию сферы массовых коммуникаций, который, в частности, уполномочен проводить расследования в случаях неподобающего поведения в средствах массовой информации и пр</w:t>
      </w:r>
      <w:r w:rsidR="00F40CD9" w:rsidRPr="00F40CD9">
        <w:rPr>
          <w:bCs/>
        </w:rPr>
        <w:t>о</w:t>
      </w:r>
      <w:r w:rsidR="00F40CD9" w:rsidRPr="00F40CD9">
        <w:rPr>
          <w:bCs/>
        </w:rPr>
        <w:t>диктованных ненавистью высказываний, не является независимым, поскольку на него оказывается экономическое и политическое давление (статья 19).</w:t>
      </w:r>
    </w:p>
    <w:p w:rsidR="00F40CD9" w:rsidRPr="00F40CD9" w:rsidRDefault="00F40CD9" w:rsidP="00F40CD9">
      <w:pPr>
        <w:pStyle w:val="SingleTxtGR"/>
        <w:rPr>
          <w:bCs/>
        </w:rPr>
      </w:pPr>
      <w:r w:rsidRPr="00F40CD9">
        <w:rPr>
          <w:b/>
          <w:bCs/>
        </w:rPr>
        <w:t>Комитет напоминает о своем замечании общего порядка № 34 (2011) о св</w:t>
      </w:r>
      <w:r w:rsidRPr="00F40CD9">
        <w:rPr>
          <w:b/>
          <w:bCs/>
        </w:rPr>
        <w:t>о</w:t>
      </w:r>
      <w:r w:rsidRPr="00F40CD9">
        <w:rPr>
          <w:b/>
          <w:bCs/>
        </w:rPr>
        <w:t>боде мнений и их выражения и настоятельно призывает государство-участник обеспечить всемерное уважение независимости Органа по рег</w:t>
      </w:r>
      <w:r w:rsidRPr="00F40CD9">
        <w:rPr>
          <w:b/>
          <w:bCs/>
        </w:rPr>
        <w:t>у</w:t>
      </w:r>
      <w:r w:rsidRPr="00F40CD9">
        <w:rPr>
          <w:b/>
          <w:bCs/>
        </w:rPr>
        <w:t>лированию сферы массовых коммуникаций. Поэтому государству-участнику следует воздерживаться от любых действий по оказанию вли</w:t>
      </w:r>
      <w:r w:rsidRPr="00F40CD9">
        <w:rPr>
          <w:b/>
          <w:bCs/>
        </w:rPr>
        <w:t>я</w:t>
      </w:r>
      <w:r w:rsidRPr="00F40CD9">
        <w:rPr>
          <w:b/>
          <w:bCs/>
        </w:rPr>
        <w:t>ния на деятельность Органа по регулированию сферы массовых коммун</w:t>
      </w:r>
      <w:r w:rsidRPr="00F40CD9">
        <w:rPr>
          <w:b/>
          <w:bCs/>
        </w:rPr>
        <w:t>и</w:t>
      </w:r>
      <w:r w:rsidRPr="00F40CD9">
        <w:rPr>
          <w:b/>
          <w:bCs/>
        </w:rPr>
        <w:t>каций</w:t>
      </w:r>
      <w:r w:rsidR="002753D2">
        <w:rPr>
          <w:b/>
          <w:bCs/>
        </w:rPr>
        <w:t>, с тем</w:t>
      </w:r>
      <w:r w:rsidRPr="00F40CD9">
        <w:rPr>
          <w:b/>
          <w:bCs/>
        </w:rPr>
        <w:t xml:space="preserve"> чтобы обеспечить независимое исполнение им своего манд</w:t>
      </w:r>
      <w:r w:rsidRPr="00F40CD9">
        <w:rPr>
          <w:b/>
          <w:bCs/>
        </w:rPr>
        <w:t>а</w:t>
      </w:r>
      <w:r w:rsidRPr="00F40CD9">
        <w:rPr>
          <w:b/>
          <w:bCs/>
        </w:rPr>
        <w:t>та без какого бы то ни было внешнего вмешательства со стороны любого л</w:t>
      </w:r>
      <w:r w:rsidRPr="00F40CD9">
        <w:rPr>
          <w:b/>
          <w:bCs/>
        </w:rPr>
        <w:t>и</w:t>
      </w:r>
      <w:r w:rsidRPr="00F40CD9">
        <w:rPr>
          <w:b/>
          <w:bCs/>
        </w:rPr>
        <w:t>ца или органа.</w:t>
      </w:r>
    </w:p>
    <w:p w:rsidR="00F40CD9" w:rsidRPr="00F40CD9" w:rsidRDefault="008B4C09" w:rsidP="00F40CD9">
      <w:pPr>
        <w:pStyle w:val="SingleTxtGR"/>
        <w:rPr>
          <w:bCs/>
        </w:rPr>
      </w:pPr>
      <w:r>
        <w:rPr>
          <w:bCs/>
        </w:rPr>
        <w:t>19.</w:t>
      </w:r>
      <w:r>
        <w:rPr>
          <w:bCs/>
        </w:rPr>
        <w:tab/>
      </w:r>
      <w:r w:rsidR="00F40CD9" w:rsidRPr="00F40CD9">
        <w:rPr>
          <w:bCs/>
        </w:rPr>
        <w:t>Комитет выражает озабоченность в связи с ограничениями свободы в</w:t>
      </w:r>
      <w:r w:rsidR="00F40CD9" w:rsidRPr="00F40CD9">
        <w:rPr>
          <w:bCs/>
        </w:rPr>
        <w:t>ы</w:t>
      </w:r>
      <w:r w:rsidR="00F40CD9" w:rsidRPr="00F40CD9">
        <w:rPr>
          <w:bCs/>
        </w:rPr>
        <w:t>ражения мнений и свободы собраний в городе Приедоре, где 9 мая 2012 года мэр запретил проведение организованных местными неправительственными организациями памятных общественных мероприятий по случаю двадцатой г</w:t>
      </w:r>
      <w:r w:rsidR="00F40CD9" w:rsidRPr="00F40CD9">
        <w:rPr>
          <w:bCs/>
        </w:rPr>
        <w:t>о</w:t>
      </w:r>
      <w:r w:rsidR="00F40CD9" w:rsidRPr="00F40CD9">
        <w:rPr>
          <w:bCs/>
        </w:rPr>
        <w:t>довщины массовых злодеяний. Комитет испытывает обеспокоенность по пов</w:t>
      </w:r>
      <w:r w:rsidR="00F40CD9" w:rsidRPr="00F40CD9">
        <w:rPr>
          <w:bCs/>
        </w:rPr>
        <w:t>о</w:t>
      </w:r>
      <w:r w:rsidR="00F40CD9" w:rsidRPr="00F40CD9">
        <w:rPr>
          <w:bCs/>
        </w:rPr>
        <w:t>ду сообщений, согласно которым было публично объявлено, что любое нар</w:t>
      </w:r>
      <w:r w:rsidR="00F40CD9" w:rsidRPr="00F40CD9">
        <w:rPr>
          <w:bCs/>
        </w:rPr>
        <w:t>у</w:t>
      </w:r>
      <w:r w:rsidR="00F40CD9" w:rsidRPr="00F40CD9">
        <w:rPr>
          <w:bCs/>
        </w:rPr>
        <w:t>шение этого запрета и использов</w:t>
      </w:r>
      <w:r w:rsidR="002753D2">
        <w:rPr>
          <w:bCs/>
        </w:rPr>
        <w:t>ание термина "геноцид"</w:t>
      </w:r>
      <w:r w:rsidR="00F40CD9" w:rsidRPr="00F40CD9">
        <w:rPr>
          <w:bCs/>
        </w:rPr>
        <w:t xml:space="preserve"> со ссылкой на прест</w:t>
      </w:r>
      <w:r w:rsidR="00F40CD9" w:rsidRPr="00F40CD9">
        <w:rPr>
          <w:bCs/>
        </w:rPr>
        <w:t>у</w:t>
      </w:r>
      <w:r w:rsidR="00F40CD9" w:rsidRPr="00F40CD9">
        <w:rPr>
          <w:bCs/>
        </w:rPr>
        <w:t>пления, совершенные в Омарске, будут преследоваться в судебном порядке (статьи 19 и 21).</w:t>
      </w:r>
    </w:p>
    <w:p w:rsidR="00F40CD9" w:rsidRPr="00F40CD9" w:rsidRDefault="00F40CD9" w:rsidP="00F40CD9">
      <w:pPr>
        <w:pStyle w:val="SingleTxtGR"/>
        <w:rPr>
          <w:b/>
          <w:bCs/>
        </w:rPr>
      </w:pPr>
      <w:r w:rsidRPr="00F40CD9">
        <w:rPr>
          <w:b/>
          <w:bCs/>
        </w:rPr>
        <w:t>Государству-участнику следует обеспечить, чтобы ограничения свободы выражения мнений и свободы собраний вводились с соблюдением строгих требований, предусмотренных соответственно статьями 19 и 21 Пакта. В</w:t>
      </w:r>
      <w:r w:rsidR="008B4C09">
        <w:rPr>
          <w:b/>
          <w:bCs/>
          <w:lang w:val="en-US"/>
        </w:rPr>
        <w:t> </w:t>
      </w:r>
      <w:r w:rsidRPr="00F40CD9">
        <w:rPr>
          <w:b/>
          <w:bCs/>
        </w:rPr>
        <w:t>связи с этим государству-участнику следует провести расследование о</w:t>
      </w:r>
      <w:r w:rsidRPr="00F40CD9">
        <w:rPr>
          <w:b/>
          <w:bCs/>
        </w:rPr>
        <w:t>т</w:t>
      </w:r>
      <w:r w:rsidRPr="00F40CD9">
        <w:rPr>
          <w:b/>
          <w:bCs/>
        </w:rPr>
        <w:t xml:space="preserve">носительно законности запрета на </w:t>
      </w:r>
      <w:r w:rsidR="002753D2">
        <w:rPr>
          <w:b/>
          <w:bCs/>
        </w:rPr>
        <w:t>проведение памятных мероприятий</w:t>
      </w:r>
      <w:r w:rsidR="002753D2">
        <w:rPr>
          <w:b/>
          <w:bCs/>
        </w:rPr>
        <w:br/>
      </w:r>
      <w:r w:rsidRPr="00F40CD9">
        <w:rPr>
          <w:b/>
          <w:bCs/>
        </w:rPr>
        <w:t xml:space="preserve">в городе </w:t>
      </w:r>
      <w:proofErr w:type="spellStart"/>
      <w:r w:rsidRPr="00F40CD9">
        <w:rPr>
          <w:b/>
          <w:bCs/>
        </w:rPr>
        <w:t>Приедоре</w:t>
      </w:r>
      <w:proofErr w:type="spellEnd"/>
      <w:r w:rsidRPr="00F40CD9">
        <w:rPr>
          <w:b/>
          <w:bCs/>
        </w:rPr>
        <w:t xml:space="preserve"> в мае 2012 года.</w:t>
      </w:r>
    </w:p>
    <w:p w:rsidR="00F40CD9" w:rsidRPr="00F40CD9" w:rsidRDefault="007E63C1" w:rsidP="00F40CD9">
      <w:pPr>
        <w:pStyle w:val="SingleTxtGR"/>
        <w:rPr>
          <w:bCs/>
        </w:rPr>
      </w:pPr>
      <w:r>
        <w:rPr>
          <w:bCs/>
        </w:rPr>
        <w:t>20.</w:t>
      </w:r>
      <w:r>
        <w:rPr>
          <w:bCs/>
        </w:rPr>
        <w:tab/>
      </w:r>
      <w:r w:rsidR="00F40CD9" w:rsidRPr="00F40CD9">
        <w:rPr>
          <w:bCs/>
        </w:rPr>
        <w:t>Приветствуя усилия государства-участника, направленные на осущест</w:t>
      </w:r>
      <w:r w:rsidR="00F40CD9" w:rsidRPr="00F40CD9">
        <w:rPr>
          <w:bCs/>
        </w:rPr>
        <w:t>в</w:t>
      </w:r>
      <w:r w:rsidR="00F40CD9" w:rsidRPr="00F40CD9">
        <w:rPr>
          <w:bCs/>
        </w:rPr>
        <w:t>ление судебного преследования за высказывания, разжигающие нен</w:t>
      </w:r>
      <w:r w:rsidR="00F40CD9" w:rsidRPr="00F40CD9">
        <w:rPr>
          <w:bCs/>
        </w:rPr>
        <w:t>а</w:t>
      </w:r>
      <w:r w:rsidR="00F40CD9" w:rsidRPr="00F40CD9">
        <w:rPr>
          <w:bCs/>
        </w:rPr>
        <w:t>висть, и за совершение расистских нападений, особенно в отношении рома, Комитет в то же время обеспокоен непрекращающимися сообщениями о расистских напад</w:t>
      </w:r>
      <w:r w:rsidR="00F40CD9" w:rsidRPr="00F40CD9">
        <w:rPr>
          <w:bCs/>
        </w:rPr>
        <w:t>е</w:t>
      </w:r>
      <w:r w:rsidR="00F40CD9" w:rsidRPr="00F40CD9">
        <w:rPr>
          <w:bCs/>
        </w:rPr>
        <w:t>ниях. Комитет также испытывает озабоченность по поводу отсутствия конкре</w:t>
      </w:r>
      <w:r w:rsidR="00F40CD9" w:rsidRPr="00F40CD9">
        <w:rPr>
          <w:bCs/>
        </w:rPr>
        <w:t>т</w:t>
      </w:r>
      <w:r w:rsidR="00F40CD9" w:rsidRPr="00F40CD9">
        <w:rPr>
          <w:bCs/>
        </w:rPr>
        <w:t>ного закона, запрещающего создание ассоциаций, разжигающих ненависть и ведущих расистскую пропаганду (статьи 2, 19, 20, 22 и 27).</w:t>
      </w:r>
    </w:p>
    <w:p w:rsidR="00F40CD9" w:rsidRPr="00F40CD9" w:rsidRDefault="00F40CD9" w:rsidP="00F40CD9">
      <w:pPr>
        <w:pStyle w:val="SingleTxtGR"/>
        <w:rPr>
          <w:b/>
        </w:rPr>
      </w:pPr>
      <w:r w:rsidRPr="00F40CD9">
        <w:rPr>
          <w:b/>
        </w:rPr>
        <w:t>Государству-участнику следует актив</w:t>
      </w:r>
      <w:r w:rsidR="002753D2">
        <w:rPr>
          <w:b/>
        </w:rPr>
        <w:t>изировать свои усилия по борьбе</w:t>
      </w:r>
      <w:r w:rsidR="002753D2">
        <w:rPr>
          <w:b/>
        </w:rPr>
        <w:br/>
      </w:r>
      <w:r w:rsidRPr="00F40CD9">
        <w:rPr>
          <w:b/>
        </w:rPr>
        <w:t>с разжигающими ненависть высказываниями и расистскими нападениями, особенно в отношении рома, за счет проведения, в частности, информац</w:t>
      </w:r>
      <w:r w:rsidRPr="00F40CD9">
        <w:rPr>
          <w:b/>
        </w:rPr>
        <w:t>и</w:t>
      </w:r>
      <w:r w:rsidRPr="00F40CD9">
        <w:rPr>
          <w:b/>
        </w:rPr>
        <w:t>онно-просветительских кампаний, направленных на поощрение уважения прав человека и терпимости к культурному разнообразию. Государству-участнику следует также активизировать свои усилия, имеющие целью обеспечить, чтобы в отношении лиц, заподозренных в совершении расис</w:t>
      </w:r>
      <w:r w:rsidRPr="00F40CD9">
        <w:rPr>
          <w:b/>
        </w:rPr>
        <w:t>т</w:t>
      </w:r>
      <w:r w:rsidRPr="00F40CD9">
        <w:rPr>
          <w:b/>
        </w:rPr>
        <w:t>ских нападений, проводилось тщательное расследование с привлечением их к ответственности и в случае осуждения к ним применялось соответс</w:t>
      </w:r>
      <w:r w:rsidRPr="00F40CD9">
        <w:rPr>
          <w:b/>
        </w:rPr>
        <w:t>т</w:t>
      </w:r>
      <w:r w:rsidRPr="00F40CD9">
        <w:rPr>
          <w:b/>
        </w:rPr>
        <w:t>вующее наказание, а жертвы получили надлежащую компенсацию. Кроме того, государству-участнику следует принять закон, запрещающий созд</w:t>
      </w:r>
      <w:r w:rsidRPr="00F40CD9">
        <w:rPr>
          <w:b/>
        </w:rPr>
        <w:t>а</w:t>
      </w:r>
      <w:r w:rsidRPr="00F40CD9">
        <w:rPr>
          <w:b/>
        </w:rPr>
        <w:t>ние ассоциаций, основанных на пропаганде и распространении, в частн</w:t>
      </w:r>
      <w:r w:rsidRPr="00F40CD9">
        <w:rPr>
          <w:b/>
        </w:rPr>
        <w:t>о</w:t>
      </w:r>
      <w:r w:rsidR="002753D2">
        <w:rPr>
          <w:b/>
        </w:rPr>
        <w:t>сти</w:t>
      </w:r>
      <w:r w:rsidRPr="00F40CD9">
        <w:rPr>
          <w:b/>
        </w:rPr>
        <w:t xml:space="preserve"> ненависти и расистских воззрений.</w:t>
      </w:r>
    </w:p>
    <w:p w:rsidR="00F40CD9" w:rsidRPr="00F40CD9" w:rsidRDefault="007E63C1" w:rsidP="00F40CD9">
      <w:pPr>
        <w:pStyle w:val="SingleTxtGR"/>
      </w:pPr>
      <w:r>
        <w:t>21.</w:t>
      </w:r>
      <w:r>
        <w:tab/>
      </w:r>
      <w:r w:rsidR="00F40CD9" w:rsidRPr="00F40CD9">
        <w:t>Комитет напоминает о своих предыдущих рекомендациях (</w:t>
      </w:r>
      <w:r w:rsidR="00F40CD9" w:rsidRPr="00F40CD9">
        <w:rPr>
          <w:lang w:val="en-US"/>
        </w:rPr>
        <w:t>CCPR</w:t>
      </w:r>
      <w:r w:rsidR="00F40CD9" w:rsidRPr="00F40CD9">
        <w:t>/</w:t>
      </w:r>
      <w:r w:rsidR="00F40CD9" w:rsidRPr="00F40CD9">
        <w:rPr>
          <w:lang w:val="en-US"/>
        </w:rPr>
        <w:t>C</w:t>
      </w:r>
      <w:r w:rsidR="00F40CD9" w:rsidRPr="00F40CD9">
        <w:t>/</w:t>
      </w:r>
      <w:r w:rsidR="00F40CD9" w:rsidRPr="00F40CD9">
        <w:rPr>
          <w:lang w:val="en-US"/>
        </w:rPr>
        <w:t>BIH</w:t>
      </w:r>
      <w:r w:rsidR="00F40CD9" w:rsidRPr="00F40CD9">
        <w:t>/</w:t>
      </w:r>
      <w:r w:rsidR="00F40CD9" w:rsidRPr="00F40CD9">
        <w:rPr>
          <w:lang w:val="en-US"/>
        </w:rPr>
        <w:t>CO</w:t>
      </w:r>
      <w:r w:rsidR="00F40CD9" w:rsidRPr="00F40CD9">
        <w:t>/1, пункт 24) и подтверждает свою обеспокоенность по поводу фактической дискриминации в отношении рома. Комитет особенно обеспокоен сегрегационной системой обучения детей рома в моноэтнических школах и тем, что они не имеют возможности получать образование на своем родном языке. Комитет также обеспокоен низкими показателями положения рома в том, что касается, в частности, доступа к жилью, охраны здоровья, занятости и участия в ведении государственных дел (статьи 26 и 27).</w:t>
      </w:r>
    </w:p>
    <w:p w:rsidR="00F40CD9" w:rsidRPr="00F40CD9" w:rsidRDefault="00F40CD9" w:rsidP="00F40CD9">
      <w:pPr>
        <w:pStyle w:val="SingleTxtGR"/>
        <w:rPr>
          <w:b/>
          <w:bCs/>
        </w:rPr>
      </w:pPr>
      <w:r w:rsidRPr="00F40CD9">
        <w:rPr>
          <w:b/>
        </w:rPr>
        <w:t>Комитет подтверждает свои предыдущие заключительные замечания (</w:t>
      </w:r>
      <w:r w:rsidRPr="00F40CD9">
        <w:rPr>
          <w:b/>
          <w:lang w:val="en-US"/>
        </w:rPr>
        <w:t>CCPR</w:t>
      </w:r>
      <w:r w:rsidRPr="00F40CD9">
        <w:rPr>
          <w:b/>
        </w:rPr>
        <w:t>/</w:t>
      </w:r>
      <w:r w:rsidRPr="00F40CD9">
        <w:rPr>
          <w:b/>
          <w:lang w:val="en-US"/>
        </w:rPr>
        <w:t>C</w:t>
      </w:r>
      <w:r w:rsidRPr="00F40CD9">
        <w:rPr>
          <w:b/>
        </w:rPr>
        <w:t>/</w:t>
      </w:r>
      <w:r w:rsidRPr="00F40CD9">
        <w:rPr>
          <w:b/>
          <w:lang w:val="en-US"/>
        </w:rPr>
        <w:t>BIH</w:t>
      </w:r>
      <w:r w:rsidRPr="00F40CD9">
        <w:rPr>
          <w:b/>
        </w:rPr>
        <w:t>/</w:t>
      </w:r>
      <w:r w:rsidRPr="00F40CD9">
        <w:rPr>
          <w:b/>
          <w:lang w:val="en-US"/>
        </w:rPr>
        <w:t>CO</w:t>
      </w:r>
      <w:r w:rsidRPr="00F40CD9">
        <w:rPr>
          <w:b/>
        </w:rPr>
        <w:t>/1, пункт 24), согласно которым государству-участнику следует принять необходимые меры к тому, чтобы гарантировать</w:t>
      </w:r>
      <w:r w:rsidRPr="00F40CD9">
        <w:rPr>
          <w:b/>
          <w:bCs/>
        </w:rPr>
        <w:t xml:space="preserve"> язык</w:t>
      </w:r>
      <w:r w:rsidRPr="00F40CD9">
        <w:rPr>
          <w:b/>
          <w:bCs/>
        </w:rPr>
        <w:t>о</w:t>
      </w:r>
      <w:r w:rsidRPr="00F40CD9">
        <w:rPr>
          <w:b/>
          <w:bCs/>
        </w:rPr>
        <w:t>вые и образовательные права рома, которые защищаются Законом о защ</w:t>
      </w:r>
      <w:r w:rsidRPr="00F40CD9">
        <w:rPr>
          <w:b/>
          <w:bCs/>
        </w:rPr>
        <w:t>и</w:t>
      </w:r>
      <w:r w:rsidRPr="00F40CD9">
        <w:rPr>
          <w:b/>
          <w:bCs/>
        </w:rPr>
        <w:t>те прав лиц, принадлежащих к национальным меньшинствам. Государс</w:t>
      </w:r>
      <w:r w:rsidRPr="00F40CD9">
        <w:rPr>
          <w:b/>
          <w:bCs/>
        </w:rPr>
        <w:t>т</w:t>
      </w:r>
      <w:r w:rsidRPr="00F40CD9">
        <w:rPr>
          <w:b/>
          <w:bCs/>
        </w:rPr>
        <w:t>во-участник должно активизировать свои усилия, имеющие целью обесп</w:t>
      </w:r>
      <w:r w:rsidRPr="00F40CD9">
        <w:rPr>
          <w:b/>
          <w:bCs/>
        </w:rPr>
        <w:t>е</w:t>
      </w:r>
      <w:r w:rsidRPr="00F40CD9">
        <w:rPr>
          <w:b/>
          <w:bCs/>
        </w:rPr>
        <w:t>чить получение детьми рома образования на своем родном языке. Госуда</w:t>
      </w:r>
      <w:r w:rsidRPr="00F40CD9">
        <w:rPr>
          <w:b/>
          <w:bCs/>
        </w:rPr>
        <w:t>р</w:t>
      </w:r>
      <w:r w:rsidRPr="00F40CD9">
        <w:rPr>
          <w:b/>
          <w:bCs/>
        </w:rPr>
        <w:t>ству-участнику следует также принять практические меры, направленные на улучшение положения дел в вопросах прав рома в том, что касается доступа к жилью, охраны здоровья, занятости и участия в ведении госуда</w:t>
      </w:r>
      <w:r w:rsidRPr="00F40CD9">
        <w:rPr>
          <w:b/>
          <w:bCs/>
        </w:rPr>
        <w:t>р</w:t>
      </w:r>
      <w:r w:rsidRPr="00F40CD9">
        <w:rPr>
          <w:b/>
          <w:bCs/>
        </w:rPr>
        <w:t>ственных дел.</w:t>
      </w:r>
    </w:p>
    <w:p w:rsidR="00F40CD9" w:rsidRPr="00F40CD9" w:rsidRDefault="007E63C1" w:rsidP="00F40CD9">
      <w:pPr>
        <w:pStyle w:val="SingleTxtGR"/>
      </w:pPr>
      <w:r>
        <w:rPr>
          <w:bCs/>
        </w:rPr>
        <w:t>22.</w:t>
      </w:r>
      <w:r>
        <w:rPr>
          <w:bCs/>
        </w:rPr>
        <w:tab/>
      </w:r>
      <w:r w:rsidR="00F40CD9" w:rsidRPr="00F40CD9">
        <w:t>Государству-участнику следует широко распространять информацию о Пакте, двух Факультативных протоколов к нему, текст второго период</w:t>
      </w:r>
      <w:r w:rsidR="00F40CD9" w:rsidRPr="00F40CD9">
        <w:t>и</w:t>
      </w:r>
      <w:r w:rsidR="00F40CD9" w:rsidRPr="00F40CD9">
        <w:t>ческого доклада, письменные ответы, данные им на перечень вопросов, составленный Комитетом, и настоящие заключительные замечания, с тем чтобы расширять осведомленность по этим вопросам судебных, законодательных и администр</w:t>
      </w:r>
      <w:r w:rsidR="00F40CD9" w:rsidRPr="00F40CD9">
        <w:t>а</w:t>
      </w:r>
      <w:r w:rsidR="00F40CD9" w:rsidRPr="00F40CD9">
        <w:t>тивных органов, гражданского общества и неправительственных организаций, действующих в стране, а также общественности в целом. Комитет также пре</w:t>
      </w:r>
      <w:r w:rsidR="00F40CD9" w:rsidRPr="00F40CD9">
        <w:t>д</w:t>
      </w:r>
      <w:r w:rsidR="00F40CD9" w:rsidRPr="00F40CD9">
        <w:t>лагает перевести доклад и настоящие заключительные замечания на другой официальный язык государства-участника. Комитет также просит государство-участник при подготовке своего третьего периодического доклада провести широкие консультации с организациями гражданского общества и неправител</w:t>
      </w:r>
      <w:r w:rsidR="00F40CD9" w:rsidRPr="00F40CD9">
        <w:t>ь</w:t>
      </w:r>
      <w:r w:rsidR="00F40CD9" w:rsidRPr="00F40CD9">
        <w:t>ственными организациями.</w:t>
      </w:r>
    </w:p>
    <w:p w:rsidR="00F40CD9" w:rsidRPr="00F40CD9" w:rsidRDefault="007E63C1" w:rsidP="00F40CD9">
      <w:pPr>
        <w:pStyle w:val="SingleTxtGR"/>
      </w:pPr>
      <w:r>
        <w:t>23.</w:t>
      </w:r>
      <w:r>
        <w:tab/>
      </w:r>
      <w:r w:rsidR="00F40CD9" w:rsidRPr="00F40CD9">
        <w:t>В соответствии с пунктом 5 правила 71 правил процедуры Комитета г</w:t>
      </w:r>
      <w:r w:rsidR="00F40CD9" w:rsidRPr="00F40CD9">
        <w:t>о</w:t>
      </w:r>
      <w:r w:rsidR="00F40CD9" w:rsidRPr="00F40CD9">
        <w:t>сударству-участнику следует представить в течение одного года соответству</w:t>
      </w:r>
      <w:r w:rsidR="00F40CD9" w:rsidRPr="00F40CD9">
        <w:t>ю</w:t>
      </w:r>
      <w:r w:rsidR="00F40CD9" w:rsidRPr="00F40CD9">
        <w:t>щую информацию о выполнении им рекомендаций Комитета, соде</w:t>
      </w:r>
      <w:r w:rsidR="002753D2">
        <w:t>ржащихся</w:t>
      </w:r>
      <w:r w:rsidR="002753D2">
        <w:br/>
      </w:r>
      <w:r w:rsidR="00F40CD9" w:rsidRPr="00F40CD9">
        <w:t>в пунктах 6, 7 и 12 выше.</w:t>
      </w:r>
    </w:p>
    <w:p w:rsidR="0046580A" w:rsidRPr="002753D2" w:rsidRDefault="002753D2" w:rsidP="00F40CD9">
      <w:pPr>
        <w:pStyle w:val="SingleTxtGR"/>
      </w:pPr>
      <w:r>
        <w:t>24.</w:t>
      </w:r>
      <w:r>
        <w:tab/>
      </w:r>
      <w:r w:rsidR="00F40CD9" w:rsidRPr="00F40CD9">
        <w:t>Комитет просит государство-участник включить в свой следующий п</w:t>
      </w:r>
      <w:r w:rsidR="00F40CD9" w:rsidRPr="00F40CD9">
        <w:t>е</w:t>
      </w:r>
      <w:r w:rsidR="00F40CD9" w:rsidRPr="00F40CD9">
        <w:t>риодический доклад, подлежащий представлению 31 октября 2016 года, ко</w:t>
      </w:r>
      <w:r w:rsidR="00F40CD9" w:rsidRPr="00F40CD9">
        <w:t>н</w:t>
      </w:r>
      <w:r w:rsidR="00F40CD9" w:rsidRPr="00F40CD9">
        <w:t>кретную обновленную информацию обо в</w:t>
      </w:r>
      <w:r>
        <w:t>сех его рекомендациях и о Пакте</w:t>
      </w:r>
      <w:r>
        <w:br/>
      </w:r>
      <w:r w:rsidR="00F40CD9" w:rsidRPr="00F40CD9">
        <w:t>в ц</w:t>
      </w:r>
      <w:r w:rsidR="00F40CD9" w:rsidRPr="00F40CD9">
        <w:t>е</w:t>
      </w:r>
      <w:r w:rsidR="00F40CD9" w:rsidRPr="00F40CD9">
        <w:t>лом.</w:t>
      </w:r>
    </w:p>
    <w:p w:rsidR="007E63C1" w:rsidRPr="002753D2" w:rsidRDefault="007E63C1" w:rsidP="007E63C1">
      <w:pPr>
        <w:spacing w:before="240"/>
        <w:jc w:val="center"/>
        <w:rPr>
          <w:u w:val="single"/>
        </w:rPr>
      </w:pPr>
      <w:r w:rsidRPr="002753D2">
        <w:rPr>
          <w:u w:val="single"/>
        </w:rPr>
        <w:tab/>
      </w:r>
      <w:r w:rsidRPr="002753D2">
        <w:rPr>
          <w:u w:val="single"/>
        </w:rPr>
        <w:tab/>
      </w:r>
      <w:r w:rsidRPr="002753D2">
        <w:rPr>
          <w:u w:val="single"/>
        </w:rPr>
        <w:tab/>
      </w:r>
    </w:p>
    <w:sectPr w:rsidR="007E63C1" w:rsidRPr="002753D2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727" w:rsidRDefault="00B17727">
      <w:r>
        <w:rPr>
          <w:lang w:val="en-US"/>
        </w:rPr>
        <w:tab/>
      </w:r>
      <w:r>
        <w:separator/>
      </w:r>
    </w:p>
  </w:endnote>
  <w:endnote w:type="continuationSeparator" w:id="0">
    <w:p w:rsidR="00B17727" w:rsidRDefault="00B1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27" w:rsidRPr="005F0588" w:rsidRDefault="00B17727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723E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  <w:t>GE.12-47621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27" w:rsidRPr="005F0588" w:rsidRDefault="00B17727">
    <w:pPr>
      <w:pStyle w:val="Footer"/>
      <w:rPr>
        <w:lang w:val="en-US"/>
      </w:rPr>
    </w:pPr>
    <w:r>
      <w:rPr>
        <w:lang w:val="en-US"/>
      </w:rPr>
      <w:t>GE.12-47621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27" w:rsidRPr="007B2C3F" w:rsidRDefault="00B17727">
    <w:pPr>
      <w:pStyle w:val="Footer"/>
      <w:rPr>
        <w:sz w:val="20"/>
        <w:lang w:val="en-US"/>
      </w:rPr>
    </w:pPr>
    <w:r>
      <w:rPr>
        <w:sz w:val="20"/>
        <w:lang w:val="en-US"/>
      </w:rPr>
      <w:t>GE.12-47621  (R)  081212  101212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727" w:rsidRPr="00F71F63" w:rsidRDefault="00B1772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B17727" w:rsidRPr="00F71F63" w:rsidRDefault="00B1772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B17727" w:rsidRPr="00635E86" w:rsidRDefault="00B17727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27" w:rsidRPr="005F0588" w:rsidRDefault="00B17727">
    <w:pPr>
      <w:pStyle w:val="Header"/>
      <w:rPr>
        <w:lang w:val="en-US"/>
      </w:rPr>
    </w:pPr>
    <w:r>
      <w:rPr>
        <w:lang w:val="en-US"/>
      </w:rPr>
      <w:t>CCPR/C/BIH/CO/2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27" w:rsidRPr="005F0588" w:rsidRDefault="00B17727">
    <w:pPr>
      <w:pStyle w:val="Header"/>
      <w:rPr>
        <w:lang w:val="en-US"/>
      </w:rPr>
    </w:pPr>
    <w:r>
      <w:rPr>
        <w:lang w:val="en-US"/>
      </w:rPr>
      <w:tab/>
      <w:t>CCPR/C/BIH/CO/2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4E0"/>
    <w:rsid w:val="000033D8"/>
    <w:rsid w:val="00005C1C"/>
    <w:rsid w:val="00015DED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F410F"/>
    <w:rsid w:val="00117AEE"/>
    <w:rsid w:val="001463F7"/>
    <w:rsid w:val="0015769C"/>
    <w:rsid w:val="001755A4"/>
    <w:rsid w:val="00180752"/>
    <w:rsid w:val="00185076"/>
    <w:rsid w:val="0018543C"/>
    <w:rsid w:val="00190231"/>
    <w:rsid w:val="00192ABD"/>
    <w:rsid w:val="001A75D5"/>
    <w:rsid w:val="001A7D40"/>
    <w:rsid w:val="001B49AC"/>
    <w:rsid w:val="001D07F7"/>
    <w:rsid w:val="001D7B8F"/>
    <w:rsid w:val="001E48EE"/>
    <w:rsid w:val="001F2D04"/>
    <w:rsid w:val="002001A8"/>
    <w:rsid w:val="0020059C"/>
    <w:rsid w:val="002019BD"/>
    <w:rsid w:val="00232D42"/>
    <w:rsid w:val="00237334"/>
    <w:rsid w:val="002444F4"/>
    <w:rsid w:val="0025081D"/>
    <w:rsid w:val="002629A0"/>
    <w:rsid w:val="002753D2"/>
    <w:rsid w:val="0028492B"/>
    <w:rsid w:val="00291C8F"/>
    <w:rsid w:val="002A4C4D"/>
    <w:rsid w:val="002C5036"/>
    <w:rsid w:val="002C6A71"/>
    <w:rsid w:val="002C6D5F"/>
    <w:rsid w:val="002D15EA"/>
    <w:rsid w:val="002D6C07"/>
    <w:rsid w:val="002E0CE6"/>
    <w:rsid w:val="002E1163"/>
    <w:rsid w:val="002E43F3"/>
    <w:rsid w:val="00300ABF"/>
    <w:rsid w:val="003164E0"/>
    <w:rsid w:val="003215F5"/>
    <w:rsid w:val="00332891"/>
    <w:rsid w:val="00353EBF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E5A85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6580A"/>
    <w:rsid w:val="00474F42"/>
    <w:rsid w:val="004765DB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4F2B74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675F0"/>
    <w:rsid w:val="00781ACB"/>
    <w:rsid w:val="007A79EB"/>
    <w:rsid w:val="007D4CA0"/>
    <w:rsid w:val="007D7A23"/>
    <w:rsid w:val="007E38C3"/>
    <w:rsid w:val="007E549E"/>
    <w:rsid w:val="007E63C1"/>
    <w:rsid w:val="007E71C9"/>
    <w:rsid w:val="007F7553"/>
    <w:rsid w:val="0080755E"/>
    <w:rsid w:val="008120D4"/>
    <w:rsid w:val="008139A5"/>
    <w:rsid w:val="00814490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47DED"/>
    <w:rsid w:val="00861C52"/>
    <w:rsid w:val="008727A1"/>
    <w:rsid w:val="00886B0F"/>
    <w:rsid w:val="00887A27"/>
    <w:rsid w:val="00891C08"/>
    <w:rsid w:val="008A3879"/>
    <w:rsid w:val="008A5FA8"/>
    <w:rsid w:val="008A7575"/>
    <w:rsid w:val="008B4C09"/>
    <w:rsid w:val="008B5F47"/>
    <w:rsid w:val="008C7B87"/>
    <w:rsid w:val="008D65E7"/>
    <w:rsid w:val="008D6A7A"/>
    <w:rsid w:val="008E3E87"/>
    <w:rsid w:val="008E7F13"/>
    <w:rsid w:val="008F3185"/>
    <w:rsid w:val="00915B0A"/>
    <w:rsid w:val="00926904"/>
    <w:rsid w:val="009372F0"/>
    <w:rsid w:val="00944347"/>
    <w:rsid w:val="00955022"/>
    <w:rsid w:val="00957B4D"/>
    <w:rsid w:val="00964EEA"/>
    <w:rsid w:val="00980C86"/>
    <w:rsid w:val="00985798"/>
    <w:rsid w:val="00991B22"/>
    <w:rsid w:val="009B1D9B"/>
    <w:rsid w:val="009B4074"/>
    <w:rsid w:val="009C30BB"/>
    <w:rsid w:val="009C60BE"/>
    <w:rsid w:val="009E350A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17727"/>
    <w:rsid w:val="00B30A3C"/>
    <w:rsid w:val="00B81305"/>
    <w:rsid w:val="00BB17DC"/>
    <w:rsid w:val="00BB1AF9"/>
    <w:rsid w:val="00BB4C4A"/>
    <w:rsid w:val="00BC7F12"/>
    <w:rsid w:val="00BD18A4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E7DD2"/>
    <w:rsid w:val="00CF0042"/>
    <w:rsid w:val="00CF262F"/>
    <w:rsid w:val="00D025D5"/>
    <w:rsid w:val="00D26B13"/>
    <w:rsid w:val="00D26CC1"/>
    <w:rsid w:val="00D30662"/>
    <w:rsid w:val="00D32A0B"/>
    <w:rsid w:val="00D5723E"/>
    <w:rsid w:val="00D6236B"/>
    <w:rsid w:val="00D76358"/>
    <w:rsid w:val="00D809D1"/>
    <w:rsid w:val="00D847CE"/>
    <w:rsid w:val="00D84ECF"/>
    <w:rsid w:val="00DA07FC"/>
    <w:rsid w:val="00DA2851"/>
    <w:rsid w:val="00DA2B7C"/>
    <w:rsid w:val="00DA5686"/>
    <w:rsid w:val="00DB2FC0"/>
    <w:rsid w:val="00DD18C8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60A15"/>
    <w:rsid w:val="00E62C69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AB2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0CD9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E3E05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8</Pages>
  <Words>3548</Words>
  <Characters>20226</Characters>
  <Application>Microsoft Office Word</Application>
  <DocSecurity>4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Ольга Новикова</dc:creator>
  <cp:keywords/>
  <dc:description/>
  <cp:lastModifiedBy>Анна Киселева</cp:lastModifiedBy>
  <cp:revision>2</cp:revision>
  <cp:lastPrinted>1601-01-01T00:00:00Z</cp:lastPrinted>
  <dcterms:created xsi:type="dcterms:W3CDTF">2012-12-10T12:36:00Z</dcterms:created>
  <dcterms:modified xsi:type="dcterms:W3CDTF">2012-12-10T12:36:00Z</dcterms:modified>
</cp:coreProperties>
</file>