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50D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50D9D" w:rsidP="00B50D9D">
            <w:pPr>
              <w:jc w:val="right"/>
            </w:pPr>
            <w:r w:rsidRPr="00B50D9D">
              <w:rPr>
                <w:sz w:val="40"/>
              </w:rPr>
              <w:t>CCPR</w:t>
            </w:r>
            <w:r>
              <w:t>/C/BIH/CO/3</w:t>
            </w:r>
          </w:p>
        </w:tc>
      </w:tr>
      <w:tr w:rsidR="002D5AAC" w:rsidRPr="00B50D9D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8B616F" wp14:editId="41259C9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50D9D" w:rsidRDefault="00B50D9D" w:rsidP="00BC3629">
            <w:pPr>
              <w:spacing w:before="240"/>
              <w:rPr>
                <w:lang w:val="en-US"/>
              </w:rPr>
            </w:pPr>
            <w:r w:rsidRPr="00B50D9D">
              <w:rPr>
                <w:lang w:val="en-US"/>
              </w:rPr>
              <w:t>Distr.: General</w:t>
            </w:r>
          </w:p>
          <w:p w:rsidR="00B50D9D" w:rsidRPr="00B50D9D" w:rsidRDefault="00B50D9D" w:rsidP="00B50D9D">
            <w:pPr>
              <w:spacing w:line="240" w:lineRule="exact"/>
              <w:rPr>
                <w:lang w:val="en-US"/>
              </w:rPr>
            </w:pPr>
            <w:r w:rsidRPr="00B50D9D">
              <w:rPr>
                <w:lang w:val="en-US"/>
              </w:rPr>
              <w:t>13 April 2017</w:t>
            </w:r>
          </w:p>
          <w:p w:rsidR="00B50D9D" w:rsidRPr="00B50D9D" w:rsidRDefault="00B50D9D" w:rsidP="00B50D9D">
            <w:pPr>
              <w:spacing w:line="240" w:lineRule="exact"/>
              <w:rPr>
                <w:lang w:val="en-US"/>
              </w:rPr>
            </w:pPr>
            <w:r w:rsidRPr="00B50D9D">
              <w:rPr>
                <w:lang w:val="en-US"/>
              </w:rPr>
              <w:t>Russian</w:t>
            </w:r>
          </w:p>
          <w:p w:rsidR="00B50D9D" w:rsidRPr="00B50D9D" w:rsidRDefault="00B50D9D" w:rsidP="00B50D9D">
            <w:pPr>
              <w:spacing w:line="240" w:lineRule="exact"/>
              <w:rPr>
                <w:lang w:val="en-US"/>
              </w:rPr>
            </w:pPr>
            <w:r w:rsidRPr="00B50D9D">
              <w:rPr>
                <w:lang w:val="en-US"/>
              </w:rPr>
              <w:t>Original: English</w:t>
            </w:r>
          </w:p>
        </w:tc>
      </w:tr>
    </w:tbl>
    <w:p w:rsidR="00B50D9D" w:rsidRPr="00B50D9D" w:rsidRDefault="00B50D9D" w:rsidP="00B50D9D">
      <w:pPr>
        <w:spacing w:before="120"/>
        <w:rPr>
          <w:sz w:val="24"/>
          <w:szCs w:val="24"/>
          <w:lang w:val="en-US"/>
        </w:rPr>
      </w:pPr>
      <w:r w:rsidRPr="00B50D9D">
        <w:rPr>
          <w:b/>
          <w:bCs/>
          <w:sz w:val="24"/>
          <w:szCs w:val="24"/>
        </w:rPr>
        <w:t>Комитет по правам человека</w:t>
      </w:r>
    </w:p>
    <w:p w:rsidR="00B50D9D" w:rsidRPr="00B50D9D" w:rsidRDefault="00B50D9D" w:rsidP="00B50D9D">
      <w:pPr>
        <w:pStyle w:val="HChGR"/>
      </w:pPr>
      <w:r w:rsidRPr="00B50D9D">
        <w:tab/>
      </w:r>
      <w:r w:rsidRPr="00B50D9D">
        <w:tab/>
        <w:t>Заключительные замечания по третьему периодическому д</w:t>
      </w:r>
      <w:r w:rsidRPr="00B50D9D">
        <w:t>о</w:t>
      </w:r>
      <w:r w:rsidRPr="00B50D9D">
        <w:t>кладу Боснии и Герцеговины</w:t>
      </w:r>
      <w:r w:rsidRPr="00B50D9D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B50D9D" w:rsidRPr="00B50D9D" w:rsidRDefault="00B50D9D" w:rsidP="00B50D9D">
      <w:pPr>
        <w:pStyle w:val="SingleTxtGR"/>
      </w:pPr>
      <w:r w:rsidRPr="00B50D9D">
        <w:t>1.</w:t>
      </w:r>
      <w:r w:rsidRPr="00B50D9D">
        <w:tab/>
        <w:t>Комитет рассмотрел третий периодический доклад, представленный Бо</w:t>
      </w:r>
      <w:r w:rsidRPr="00B50D9D">
        <w:t>с</w:t>
      </w:r>
      <w:r w:rsidRPr="00B50D9D">
        <w:t>нией и Герцеговиной (CCPR/C/BIH/3), на своих 3351-м и 3352-м заседаниях (см. CCPR/C/SR.3351 и 3352), состоявшихся 14 и 15</w:t>
      </w:r>
      <w:r>
        <w:t xml:space="preserve"> марта 2017 года. На своем 3364</w:t>
      </w:r>
      <w:r w:rsidRPr="00B50D9D">
        <w:t>-м заседании, состоявшемся 23 марта 2017 года, он принял настоящие з</w:t>
      </w:r>
      <w:r w:rsidRPr="00B50D9D">
        <w:t>а</w:t>
      </w:r>
      <w:r w:rsidRPr="00B50D9D">
        <w:t>ключительные замечания.</w:t>
      </w:r>
    </w:p>
    <w:p w:rsidR="00B50D9D" w:rsidRPr="00B50D9D" w:rsidRDefault="00B50D9D" w:rsidP="00B50D9D">
      <w:pPr>
        <w:pStyle w:val="H1GR"/>
      </w:pPr>
      <w:r w:rsidRPr="00B50D9D">
        <w:tab/>
        <w:t>A.</w:t>
      </w:r>
      <w:r w:rsidRPr="00B50D9D">
        <w:tab/>
        <w:t>Введение</w:t>
      </w:r>
    </w:p>
    <w:p w:rsidR="00B50D9D" w:rsidRPr="00B50D9D" w:rsidRDefault="00B50D9D" w:rsidP="00B50D9D">
      <w:pPr>
        <w:pStyle w:val="SingleTxtGR"/>
      </w:pPr>
      <w:r w:rsidRPr="00B50D9D">
        <w:t>2.</w:t>
      </w:r>
      <w:r w:rsidRPr="00B50D9D">
        <w:tab/>
        <w:t xml:space="preserve">Комитет признателен государству-участнику за согласие </w:t>
      </w:r>
      <w:proofErr w:type="gramStart"/>
      <w:r>
        <w:t>использовать</w:t>
      </w:r>
      <w:proofErr w:type="gramEnd"/>
      <w:r>
        <w:t xml:space="preserve"> </w:t>
      </w:r>
      <w:r w:rsidRPr="00B50D9D">
        <w:t xml:space="preserve"> упрощен</w:t>
      </w:r>
      <w:r>
        <w:t>ную процедуру</w:t>
      </w:r>
      <w:r w:rsidRPr="00B50D9D">
        <w:t xml:space="preserve"> представления докладов и</w:t>
      </w:r>
      <w:r>
        <w:t xml:space="preserve"> за</w:t>
      </w:r>
      <w:r w:rsidRPr="00B50D9D">
        <w:t xml:space="preserve"> представление своего третьего периодического доклада в ответ н</w:t>
      </w:r>
      <w:r>
        <w:t>а препровожденный</w:t>
      </w:r>
      <w:r w:rsidRPr="00B50D9D">
        <w:t xml:space="preserve"> до представл</w:t>
      </w:r>
      <w:r w:rsidRPr="00B50D9D">
        <w:t>е</w:t>
      </w:r>
      <w:r w:rsidRPr="00B50D9D">
        <w:t>ния доклада</w:t>
      </w:r>
      <w:r>
        <w:t xml:space="preserve"> перечень вопросов</w:t>
      </w:r>
      <w:r w:rsidRPr="00B50D9D">
        <w:t>, который был подготовлен в рамках этой проц</w:t>
      </w:r>
      <w:r w:rsidRPr="00B50D9D">
        <w:t>е</w:t>
      </w:r>
      <w:r w:rsidRPr="00B50D9D">
        <w:t>дуры (CCPR/C/BIH/QPR/3). Он выражает удовлетворение в связи с возможн</w:t>
      </w:r>
      <w:r w:rsidRPr="00B50D9D">
        <w:t>о</w:t>
      </w:r>
      <w:r w:rsidRPr="00B50D9D">
        <w:t>стью возобновить конструктивный диалог с делегацией государства-участника по вопросу о мерах, принятых за отчетный период с целью осуществления п</w:t>
      </w:r>
      <w:r w:rsidRPr="00B50D9D">
        <w:t>о</w:t>
      </w:r>
      <w:r w:rsidRPr="00B50D9D">
        <w:t>ложений Пакта. Комитет благодарит государство-участник за устные ответы д</w:t>
      </w:r>
      <w:r w:rsidRPr="00B50D9D">
        <w:t>е</w:t>
      </w:r>
      <w:r w:rsidRPr="00B50D9D">
        <w:t>легации, а также за представленную ему в письменном виде дополнительную информацию.</w:t>
      </w:r>
    </w:p>
    <w:p w:rsidR="00B50D9D" w:rsidRPr="00B50D9D" w:rsidRDefault="00B50D9D" w:rsidP="00B50D9D">
      <w:pPr>
        <w:pStyle w:val="H1GR"/>
      </w:pPr>
      <w:r w:rsidRPr="00B50D9D">
        <w:tab/>
        <w:t>B.</w:t>
      </w:r>
      <w:r w:rsidRPr="00B50D9D">
        <w:tab/>
        <w:t>Позитивные аспекты</w:t>
      </w:r>
    </w:p>
    <w:p w:rsidR="00B50D9D" w:rsidRPr="00B50D9D" w:rsidRDefault="00B50D9D" w:rsidP="00B50D9D">
      <w:pPr>
        <w:pStyle w:val="SingleTxtGR"/>
      </w:pPr>
      <w:r w:rsidRPr="00B50D9D">
        <w:t>3.</w:t>
      </w:r>
      <w:r w:rsidRPr="00B50D9D">
        <w:tab/>
        <w:t>Комитет приветствует следующие законодательные меры, принятые гос</w:t>
      </w:r>
      <w:r w:rsidRPr="00B50D9D">
        <w:t>у</w:t>
      </w:r>
      <w:r w:rsidRPr="00B50D9D">
        <w:t>дарством-участником:</w:t>
      </w:r>
    </w:p>
    <w:p w:rsidR="00B50D9D" w:rsidRPr="00B50D9D" w:rsidRDefault="00B50D9D" w:rsidP="00B50D9D">
      <w:pPr>
        <w:pStyle w:val="SingleTxtGR"/>
      </w:pPr>
      <w:r w:rsidRPr="00B50D9D">
        <w:tab/>
        <w:t>a)</w:t>
      </w:r>
      <w:r w:rsidRPr="00B50D9D">
        <w:tab/>
        <w:t>принятие в 2016 году Закона о внесении поправок в Закон о запр</w:t>
      </w:r>
      <w:r w:rsidRPr="00B50D9D">
        <w:t>е</w:t>
      </w:r>
      <w:r w:rsidRPr="00B50D9D">
        <w:t>щении дискриминации;</w:t>
      </w:r>
    </w:p>
    <w:p w:rsidR="00B50D9D" w:rsidRPr="00B50D9D" w:rsidRDefault="00B50D9D" w:rsidP="00B50D9D">
      <w:pPr>
        <w:pStyle w:val="SingleTxtGR"/>
      </w:pPr>
      <w:r w:rsidRPr="00B50D9D">
        <w:tab/>
        <w:t>b)</w:t>
      </w:r>
      <w:r w:rsidRPr="00B50D9D">
        <w:tab/>
        <w:t>принятие в 2015 году Закона об иностранцах;</w:t>
      </w:r>
    </w:p>
    <w:p w:rsidR="00B50D9D" w:rsidRPr="00B50D9D" w:rsidRDefault="00B50D9D" w:rsidP="00B50D9D">
      <w:pPr>
        <w:pStyle w:val="SingleTxtGR"/>
      </w:pPr>
      <w:r w:rsidRPr="00B50D9D">
        <w:tab/>
        <w:t>c)</w:t>
      </w:r>
      <w:r w:rsidRPr="00B50D9D">
        <w:tab/>
        <w:t>принятие в 2016 году Закона о предоставлении убежища;</w:t>
      </w:r>
    </w:p>
    <w:p w:rsidR="00B50D9D" w:rsidRPr="00B50D9D" w:rsidRDefault="00B50D9D" w:rsidP="00B50D9D">
      <w:pPr>
        <w:pStyle w:val="SingleTxtGR"/>
      </w:pPr>
      <w:r w:rsidRPr="00B50D9D">
        <w:tab/>
        <w:t>d)</w:t>
      </w:r>
      <w:r w:rsidRPr="00B50D9D">
        <w:tab/>
        <w:t>принятие в 2015 году Закона о внесении поправок в Уголовный к</w:t>
      </w:r>
      <w:r w:rsidRPr="00B50D9D">
        <w:t>о</w:t>
      </w:r>
      <w:r w:rsidRPr="00B50D9D">
        <w:t>декс Боснии и Герцеговины;</w:t>
      </w:r>
    </w:p>
    <w:p w:rsidR="00B50D9D" w:rsidRPr="00B50D9D" w:rsidRDefault="00B50D9D" w:rsidP="00B50D9D">
      <w:pPr>
        <w:pStyle w:val="SingleTxtGR"/>
      </w:pPr>
      <w:r>
        <w:tab/>
        <w:t>e)</w:t>
      </w:r>
      <w:r>
        <w:tab/>
        <w:t>п</w:t>
      </w:r>
      <w:r w:rsidRPr="00B50D9D">
        <w:t>ринятие в 2016 году Закона об оказании правовой помощи.</w:t>
      </w:r>
    </w:p>
    <w:p w:rsidR="00B50D9D" w:rsidRPr="00B50D9D" w:rsidRDefault="00B50D9D" w:rsidP="00B50D9D">
      <w:pPr>
        <w:pStyle w:val="SingleTxtGR"/>
      </w:pPr>
      <w:r w:rsidRPr="00B50D9D">
        <w:t>4.</w:t>
      </w:r>
      <w:r w:rsidRPr="00B50D9D">
        <w:tab/>
        <w:t>Комитет также приветствует принятие процедуры рассмотрения индив</w:t>
      </w:r>
      <w:r w:rsidRPr="00B50D9D">
        <w:t>и</w:t>
      </w:r>
      <w:r>
        <w:t>дуальных жалоб в соответствии с Международной конвенцией</w:t>
      </w:r>
      <w:r w:rsidRPr="00B50D9D">
        <w:t xml:space="preserve"> для защиты всех лиц от насиль</w:t>
      </w:r>
      <w:r>
        <w:t xml:space="preserve">ственных исчезновений </w:t>
      </w:r>
      <w:r w:rsidRPr="00B50D9D">
        <w:t>12 декабря 2012 года.</w:t>
      </w:r>
    </w:p>
    <w:p w:rsidR="00B50D9D" w:rsidRPr="00B50D9D" w:rsidRDefault="00B50D9D" w:rsidP="00B50D9D">
      <w:pPr>
        <w:pStyle w:val="H1GR"/>
      </w:pPr>
      <w:r w:rsidRPr="00B50D9D">
        <w:lastRenderedPageBreak/>
        <w:tab/>
        <w:t>C.</w:t>
      </w:r>
      <w:r w:rsidRPr="00B50D9D">
        <w:tab/>
        <w:t>Основные вопро</w:t>
      </w:r>
      <w:r>
        <w:t>сы, вызывающие обеспокоенность,</w:t>
      </w:r>
      <w:r>
        <w:br/>
      </w:r>
      <w:r w:rsidRPr="00B50D9D">
        <w:t>и рекомендации</w:t>
      </w:r>
    </w:p>
    <w:p w:rsidR="00B50D9D" w:rsidRPr="00B50D9D" w:rsidRDefault="00B50D9D" w:rsidP="00B50D9D">
      <w:pPr>
        <w:pStyle w:val="H23GR"/>
      </w:pPr>
      <w:r w:rsidRPr="00B50D9D">
        <w:tab/>
      </w:r>
      <w:r w:rsidRPr="00B50D9D">
        <w:tab/>
        <w:t>Конституционная и законодательная основа</w:t>
      </w:r>
    </w:p>
    <w:p w:rsidR="00B50D9D" w:rsidRPr="00B50D9D" w:rsidRDefault="00B50D9D" w:rsidP="00B50D9D">
      <w:pPr>
        <w:pStyle w:val="SingleTxtGR"/>
      </w:pPr>
      <w:r w:rsidRPr="00B50D9D">
        <w:t>5.</w:t>
      </w:r>
      <w:r w:rsidRPr="00B50D9D">
        <w:tab/>
      </w:r>
      <w:proofErr w:type="gramStart"/>
      <w:r w:rsidRPr="00B50D9D">
        <w:t>Комитет обеспокоен тем, что полное осуществление</w:t>
      </w:r>
      <w:r w:rsidR="00482159">
        <w:t>,</w:t>
      </w:r>
      <w:r w:rsidRPr="00B50D9D">
        <w:t xml:space="preserve"> как на законод</w:t>
      </w:r>
      <w:r w:rsidRPr="00B50D9D">
        <w:t>а</w:t>
      </w:r>
      <w:r w:rsidRPr="00B50D9D">
        <w:t>тельном, так и на административном уровнях, провозглашенных в Пакте прав на всей территории государства-участника затруднено ввиду сложности конст</w:t>
      </w:r>
      <w:r w:rsidRPr="00B50D9D">
        <w:t>и</w:t>
      </w:r>
      <w:r w:rsidRPr="00B50D9D">
        <w:t>туционной структуры государства-участника и трудностей, с которыми це</w:t>
      </w:r>
      <w:r w:rsidRPr="00B50D9D">
        <w:t>н</w:t>
      </w:r>
      <w:r w:rsidRPr="00B50D9D">
        <w:t>тральное правительство сталкивается в проведении правовых реформ в некот</w:t>
      </w:r>
      <w:r w:rsidRPr="00B50D9D">
        <w:t>о</w:t>
      </w:r>
      <w:r w:rsidRPr="00B50D9D">
        <w:t>рых частях государства-участника (</w:t>
      </w:r>
      <w:r>
        <w:t>статьи</w:t>
      </w:r>
      <w:r w:rsidRPr="00B50D9D">
        <w:t xml:space="preserve"> 2 и 50).</w:t>
      </w:r>
      <w:proofErr w:type="gramEnd"/>
    </w:p>
    <w:p w:rsidR="00B50D9D" w:rsidRPr="00B50D9D" w:rsidRDefault="00B50D9D" w:rsidP="00B50D9D">
      <w:pPr>
        <w:pStyle w:val="SingleTxtGR"/>
        <w:rPr>
          <w:b/>
        </w:rPr>
      </w:pPr>
      <w:r w:rsidRPr="00B50D9D">
        <w:t>6.</w:t>
      </w:r>
      <w:r w:rsidRPr="00B50D9D">
        <w:tab/>
      </w:r>
      <w:r w:rsidRPr="00B50D9D">
        <w:rPr>
          <w:b/>
          <w:bCs/>
        </w:rPr>
        <w:t>Государству-участнику следует обеспечить, чтобы положения Пакта осуществлялись во всех частях федеративного государства</w:t>
      </w:r>
      <w:r w:rsidR="00482159">
        <w:rPr>
          <w:b/>
          <w:bCs/>
        </w:rPr>
        <w:t xml:space="preserve"> и в пределах его юрисдикции</w:t>
      </w:r>
      <w:r w:rsidRPr="00B50D9D">
        <w:rPr>
          <w:b/>
          <w:bCs/>
        </w:rPr>
        <w:t xml:space="preserve"> без каких-</w:t>
      </w:r>
      <w:r w:rsidR="00482159">
        <w:rPr>
          <w:b/>
          <w:bCs/>
        </w:rPr>
        <w:t>либо ограничений или исключений</w:t>
      </w:r>
      <w:r w:rsidRPr="00B50D9D">
        <w:rPr>
          <w:b/>
          <w:bCs/>
        </w:rPr>
        <w:t xml:space="preserve"> в соответствии со статьями 2 и 50 Пакта и замечанием общего порядка № 31 (2004) о х</w:t>
      </w:r>
      <w:r w:rsidRPr="00B50D9D">
        <w:rPr>
          <w:b/>
          <w:bCs/>
        </w:rPr>
        <w:t>а</w:t>
      </w:r>
      <w:r w:rsidRPr="00B50D9D">
        <w:rPr>
          <w:b/>
          <w:bCs/>
        </w:rPr>
        <w:t>рактере общего юридического обязательства, налагаемого на государства</w:t>
      </w:r>
      <w:r w:rsidR="00482159">
        <w:rPr>
          <w:b/>
          <w:bCs/>
        </w:rPr>
        <w:t xml:space="preserve"> – </w:t>
      </w:r>
      <w:r w:rsidRPr="00B50D9D">
        <w:rPr>
          <w:b/>
          <w:bCs/>
        </w:rPr>
        <w:t xml:space="preserve">участники Пакта. </w:t>
      </w:r>
      <w:proofErr w:type="gramStart"/>
      <w:r w:rsidRPr="00B50D9D">
        <w:rPr>
          <w:b/>
          <w:bCs/>
        </w:rPr>
        <w:t xml:space="preserve">Ему следует во взаимодействии с заинтересованными сторонами на всех уровнях определить пути повышения эффективности применения Пакта на федеральном уровне, уровне </w:t>
      </w:r>
      <w:r>
        <w:rPr>
          <w:b/>
          <w:bCs/>
        </w:rPr>
        <w:t>образований</w:t>
      </w:r>
      <w:r w:rsidRPr="00B50D9D">
        <w:rPr>
          <w:b/>
          <w:bCs/>
        </w:rPr>
        <w:t xml:space="preserve"> и муниц</w:t>
      </w:r>
      <w:r w:rsidRPr="00B50D9D">
        <w:rPr>
          <w:b/>
          <w:bCs/>
        </w:rPr>
        <w:t>и</w:t>
      </w:r>
      <w:r w:rsidRPr="00B50D9D">
        <w:rPr>
          <w:b/>
          <w:bCs/>
        </w:rPr>
        <w:t>пальном уровне, принимая во внимание, что обязательства по Пакту им</w:t>
      </w:r>
      <w:r w:rsidRPr="00B50D9D">
        <w:rPr>
          <w:b/>
          <w:bCs/>
        </w:rPr>
        <w:t>е</w:t>
      </w:r>
      <w:r w:rsidRPr="00B50D9D">
        <w:rPr>
          <w:b/>
          <w:bCs/>
        </w:rPr>
        <w:t>ют обязательную юридическую</w:t>
      </w:r>
      <w:r w:rsidR="00482159">
        <w:rPr>
          <w:b/>
          <w:bCs/>
        </w:rPr>
        <w:t xml:space="preserve"> силу для государства-участника в целом</w:t>
      </w:r>
      <w:r w:rsidR="00482159">
        <w:rPr>
          <w:b/>
          <w:bCs/>
        </w:rPr>
        <w:br/>
      </w:r>
      <w:r w:rsidRPr="00B50D9D">
        <w:rPr>
          <w:b/>
          <w:bCs/>
        </w:rPr>
        <w:t>и что действия всех ветвей власти и других государственных и админ</w:t>
      </w:r>
      <w:r w:rsidRPr="00B50D9D">
        <w:rPr>
          <w:b/>
          <w:bCs/>
        </w:rPr>
        <w:t>и</w:t>
      </w:r>
      <w:r w:rsidRPr="00B50D9D">
        <w:rPr>
          <w:b/>
          <w:bCs/>
        </w:rPr>
        <w:t>стративных учреждений любого уровня могут повлечь за собой отве</w:t>
      </w:r>
      <w:r w:rsidRPr="00B50D9D">
        <w:rPr>
          <w:b/>
          <w:bCs/>
        </w:rPr>
        <w:t>т</w:t>
      </w:r>
      <w:r w:rsidRPr="00B50D9D">
        <w:rPr>
          <w:b/>
          <w:bCs/>
        </w:rPr>
        <w:t>ственность гос</w:t>
      </w:r>
      <w:r w:rsidRPr="00B50D9D">
        <w:rPr>
          <w:b/>
          <w:bCs/>
        </w:rPr>
        <w:t>у</w:t>
      </w:r>
      <w:r w:rsidRPr="00B50D9D">
        <w:rPr>
          <w:b/>
          <w:bCs/>
        </w:rPr>
        <w:t>дарства-участника.</w:t>
      </w:r>
      <w:proofErr w:type="gramEnd"/>
    </w:p>
    <w:p w:rsidR="00B50D9D" w:rsidRPr="00B50D9D" w:rsidRDefault="00B50D9D" w:rsidP="00B50D9D">
      <w:pPr>
        <w:pStyle w:val="H23GR"/>
      </w:pPr>
      <w:r>
        <w:tab/>
      </w:r>
      <w:r>
        <w:tab/>
        <w:t>Осуществление Пакта</w:t>
      </w:r>
    </w:p>
    <w:p w:rsidR="00B50D9D" w:rsidRPr="00B50D9D" w:rsidRDefault="00B50D9D" w:rsidP="00B50D9D">
      <w:pPr>
        <w:pStyle w:val="SingleTxtGR"/>
      </w:pPr>
      <w:r w:rsidRPr="00B50D9D">
        <w:t>7.</w:t>
      </w:r>
      <w:r w:rsidRPr="00B50D9D">
        <w:tab/>
        <w:t>Комитет выражает обеспокоенность тем, что государство-участник не р</w:t>
      </w:r>
      <w:r w:rsidRPr="00B50D9D">
        <w:t>е</w:t>
      </w:r>
      <w:r>
        <w:t>ализовало С</w:t>
      </w:r>
      <w:r w:rsidRPr="00B50D9D">
        <w:t>ообр</w:t>
      </w:r>
      <w:r w:rsidR="00165D4D">
        <w:t>ажения Комитета по Факультативно</w:t>
      </w:r>
      <w:r w:rsidR="00482159">
        <w:t>му протоколу к Пакту,</w:t>
      </w:r>
      <w:r w:rsidR="00482159">
        <w:br/>
      </w:r>
      <w:r w:rsidRPr="00B50D9D">
        <w:t>а также отсутствием в государстве-учас</w:t>
      </w:r>
      <w:r>
        <w:t>тнике механизма для реализации С</w:t>
      </w:r>
      <w:r w:rsidRPr="00B50D9D">
        <w:t>оо</w:t>
      </w:r>
      <w:r w:rsidRPr="00B50D9D">
        <w:t>б</w:t>
      </w:r>
      <w:r w:rsidRPr="00B50D9D">
        <w:t>ражений и рекомендаций Комитета (</w:t>
      </w:r>
      <w:r w:rsidR="00482159">
        <w:t>статья</w:t>
      </w:r>
      <w:r w:rsidRPr="00B50D9D">
        <w:t xml:space="preserve"> 2).</w:t>
      </w:r>
    </w:p>
    <w:p w:rsidR="00B50D9D" w:rsidRPr="00B50D9D" w:rsidRDefault="00B50D9D" w:rsidP="00B50D9D">
      <w:pPr>
        <w:pStyle w:val="SingleTxtGR"/>
        <w:rPr>
          <w:b/>
        </w:rPr>
      </w:pPr>
      <w:r w:rsidRPr="00B50D9D">
        <w:t>8.</w:t>
      </w:r>
      <w:r w:rsidRPr="00B50D9D">
        <w:tab/>
      </w:r>
      <w:r w:rsidRPr="00B50D9D">
        <w:rPr>
          <w:b/>
          <w:bCs/>
        </w:rPr>
        <w:t>Государству-участнику следует принять все необходимые институц</w:t>
      </w:r>
      <w:r w:rsidRPr="00B50D9D">
        <w:rPr>
          <w:b/>
          <w:bCs/>
        </w:rPr>
        <w:t>и</w:t>
      </w:r>
      <w:r w:rsidRPr="00B50D9D">
        <w:rPr>
          <w:b/>
          <w:bCs/>
        </w:rPr>
        <w:t>ональные и законодательные меры для обеспечения полной</w:t>
      </w:r>
      <w:r>
        <w:rPr>
          <w:b/>
          <w:bCs/>
        </w:rPr>
        <w:t xml:space="preserve"> реализации принятых Комитетом С</w:t>
      </w:r>
      <w:r w:rsidRPr="00B50D9D">
        <w:rPr>
          <w:b/>
          <w:bCs/>
        </w:rPr>
        <w:t>оображений, с тем чтобы гарантировать право жертв на эффективную прав</w:t>
      </w:r>
      <w:r>
        <w:rPr>
          <w:b/>
          <w:bCs/>
        </w:rPr>
        <w:t>овую защиту, а также</w:t>
      </w:r>
      <w:r w:rsidRPr="00B50D9D">
        <w:rPr>
          <w:b/>
          <w:bCs/>
        </w:rPr>
        <w:t xml:space="preserve"> учредить эффективный национальный меха</w:t>
      </w:r>
      <w:r>
        <w:rPr>
          <w:b/>
          <w:bCs/>
        </w:rPr>
        <w:t>низм выполнения рекомендаций и С</w:t>
      </w:r>
      <w:r w:rsidRPr="00B50D9D">
        <w:rPr>
          <w:b/>
          <w:bCs/>
        </w:rPr>
        <w:t>оображений Ком</w:t>
      </w:r>
      <w:r w:rsidRPr="00B50D9D">
        <w:rPr>
          <w:b/>
          <w:bCs/>
        </w:rPr>
        <w:t>и</w:t>
      </w:r>
      <w:r w:rsidRPr="00B50D9D">
        <w:rPr>
          <w:b/>
          <w:bCs/>
        </w:rPr>
        <w:t>тета.</w:t>
      </w:r>
    </w:p>
    <w:p w:rsidR="00B50D9D" w:rsidRPr="00B50D9D" w:rsidRDefault="00B50D9D" w:rsidP="00B50D9D">
      <w:pPr>
        <w:pStyle w:val="H23GR"/>
      </w:pPr>
      <w:r w:rsidRPr="00B50D9D">
        <w:tab/>
      </w:r>
      <w:r w:rsidRPr="00B50D9D">
        <w:tab/>
        <w:t>Национальное правозащитное учреждение</w:t>
      </w:r>
    </w:p>
    <w:p w:rsidR="00B50D9D" w:rsidRPr="00B50D9D" w:rsidRDefault="00B50D9D" w:rsidP="00B50D9D">
      <w:pPr>
        <w:pStyle w:val="SingleTxtGR"/>
      </w:pPr>
      <w:r w:rsidRPr="00B50D9D">
        <w:t>9.</w:t>
      </w:r>
      <w:r w:rsidRPr="00B50D9D">
        <w:tab/>
      </w:r>
      <w:proofErr w:type="gramStart"/>
      <w:r w:rsidRPr="00B50D9D">
        <w:t>Комитет сожалеет о том, что, несмотря на усилия правительства, напра</w:t>
      </w:r>
      <w:r w:rsidRPr="00B50D9D">
        <w:t>в</w:t>
      </w:r>
      <w:r w:rsidRPr="00B50D9D">
        <w:t xml:space="preserve">ленные на приведение </w:t>
      </w:r>
      <w:r>
        <w:t>Закона</w:t>
      </w:r>
      <w:r w:rsidRPr="00B50D9D">
        <w:t xml:space="preserve"> об Уполномоченном по правам человека в соо</w:t>
      </w:r>
      <w:r w:rsidRPr="00B50D9D">
        <w:t>т</w:t>
      </w:r>
      <w:r w:rsidRPr="00B50D9D">
        <w:t>ветствие с принципами, касающимися статуса национальных учреждений</w:t>
      </w:r>
      <w:r>
        <w:t>, з</w:t>
      </w:r>
      <w:r>
        <w:t>а</w:t>
      </w:r>
      <w:r>
        <w:t>нимающихся поощрением и защитой прав человека</w:t>
      </w:r>
      <w:r w:rsidR="00482159">
        <w:t xml:space="preserve"> (Парижские принципы),</w:t>
      </w:r>
      <w:r w:rsidR="00482159">
        <w:br/>
      </w:r>
      <w:r w:rsidRPr="00B50D9D">
        <w:t>и учреждение его мандата в качестве национального превентивного механизма по Факультативному протоколу к Конвенции против пыток и других жестоких, бесчеловечных или унижающих достоинство видов обращения и</w:t>
      </w:r>
      <w:proofErr w:type="gramEnd"/>
      <w:r w:rsidRPr="00B50D9D">
        <w:t xml:space="preserve"> наказания, проект поправок к этому закону не был утвержден Парламентской ассамблеей. Комитет обеспокоен тем, что отсутствие финансовой самостоятельности и н</w:t>
      </w:r>
      <w:r w:rsidRPr="00B50D9D">
        <w:t>е</w:t>
      </w:r>
      <w:r w:rsidRPr="00B50D9D">
        <w:t xml:space="preserve">зависимости </w:t>
      </w:r>
      <w:r>
        <w:t>Управления</w:t>
      </w:r>
      <w:r w:rsidRPr="00B50D9D">
        <w:t xml:space="preserve"> Уполномоченного препятствует полному осуществл</w:t>
      </w:r>
      <w:r w:rsidRPr="00B50D9D">
        <w:t>е</w:t>
      </w:r>
      <w:r w:rsidRPr="00B50D9D">
        <w:t xml:space="preserve">нию мандата </w:t>
      </w:r>
      <w:r>
        <w:t>Управления</w:t>
      </w:r>
      <w:r w:rsidRPr="00B50D9D">
        <w:t xml:space="preserve"> в деле поощрения и защиты прав человека в госуда</w:t>
      </w:r>
      <w:r w:rsidRPr="00B50D9D">
        <w:t>р</w:t>
      </w:r>
      <w:r w:rsidRPr="00B50D9D">
        <w:t>стве-участнике (</w:t>
      </w:r>
      <w:r>
        <w:t>ст</w:t>
      </w:r>
      <w:r>
        <w:t>а</w:t>
      </w:r>
      <w:r w:rsidR="00482159">
        <w:t>тья</w:t>
      </w:r>
      <w:r w:rsidRPr="00B50D9D">
        <w:t xml:space="preserve"> 2).</w:t>
      </w:r>
    </w:p>
    <w:p w:rsidR="00B50D9D" w:rsidRPr="00B50D9D" w:rsidRDefault="00B50D9D" w:rsidP="00B50D9D">
      <w:pPr>
        <w:pStyle w:val="SingleTxtGR"/>
        <w:rPr>
          <w:b/>
        </w:rPr>
      </w:pPr>
      <w:r w:rsidRPr="00B50D9D">
        <w:t>10.</w:t>
      </w:r>
      <w:r w:rsidRPr="00B50D9D">
        <w:tab/>
      </w:r>
      <w:r w:rsidRPr="00B50D9D">
        <w:rPr>
          <w:b/>
          <w:bCs/>
        </w:rPr>
        <w:t>Государству-участнику следует активизировать свои усилия по обе</w:t>
      </w:r>
      <w:r w:rsidRPr="00B50D9D">
        <w:rPr>
          <w:b/>
          <w:bCs/>
        </w:rPr>
        <w:t>с</w:t>
      </w:r>
      <w:r w:rsidRPr="00B50D9D">
        <w:rPr>
          <w:b/>
          <w:bCs/>
        </w:rPr>
        <w:t xml:space="preserve">печению того, чтобы </w:t>
      </w:r>
      <w:r>
        <w:rPr>
          <w:b/>
          <w:bCs/>
        </w:rPr>
        <w:t>Управление Уполномоченного пользовало</w:t>
      </w:r>
      <w:r w:rsidRPr="00B50D9D">
        <w:rPr>
          <w:b/>
          <w:bCs/>
        </w:rPr>
        <w:t>сь финанс</w:t>
      </w:r>
      <w:r w:rsidRPr="00B50D9D">
        <w:rPr>
          <w:b/>
          <w:bCs/>
        </w:rPr>
        <w:t>о</w:t>
      </w:r>
      <w:r w:rsidRPr="00B50D9D">
        <w:rPr>
          <w:b/>
          <w:bCs/>
        </w:rPr>
        <w:t>вой авто</w:t>
      </w:r>
      <w:r>
        <w:rPr>
          <w:b/>
          <w:bCs/>
        </w:rPr>
        <w:t>номией и располагало</w:t>
      </w:r>
      <w:r w:rsidRPr="00B50D9D">
        <w:rPr>
          <w:b/>
          <w:bCs/>
        </w:rPr>
        <w:t xml:space="preserve"> достаточными финансовыми и людскими ресурсами, чтобы эффективно выполнять свои функции в соответствии с Парижскими принципами.</w:t>
      </w:r>
    </w:p>
    <w:p w:rsidR="00B50D9D" w:rsidRPr="00B50D9D" w:rsidRDefault="00B50D9D" w:rsidP="00B50D9D">
      <w:pPr>
        <w:pStyle w:val="H23GR"/>
      </w:pPr>
      <w:r w:rsidRPr="00B50D9D">
        <w:lastRenderedPageBreak/>
        <w:tab/>
      </w:r>
      <w:r w:rsidRPr="00B50D9D">
        <w:tab/>
        <w:t>Участие в общественной жизни</w:t>
      </w:r>
    </w:p>
    <w:p w:rsidR="00B50D9D" w:rsidRPr="00B50D9D" w:rsidRDefault="00B50D9D" w:rsidP="00B50D9D">
      <w:pPr>
        <w:pStyle w:val="SingleTxtGR"/>
      </w:pPr>
      <w:r w:rsidRPr="00B50D9D">
        <w:t>11.</w:t>
      </w:r>
      <w:r w:rsidRPr="00B50D9D">
        <w:tab/>
      </w:r>
      <w:proofErr w:type="gramStart"/>
      <w:r w:rsidRPr="00B50D9D">
        <w:t>Комитет напоминает о своих предыдущих рекомендациях (см. CCPR/C/</w:t>
      </w:r>
      <w:r w:rsidR="00482159">
        <w:t xml:space="preserve"> </w:t>
      </w:r>
      <w:r w:rsidRPr="00B50D9D">
        <w:t>BIH/CO/1, пункт 8, и CCPR/C/BIH/CO/2, пункт 6) и вновь выражает обеспок</w:t>
      </w:r>
      <w:r w:rsidRPr="00B50D9D">
        <w:t>о</w:t>
      </w:r>
      <w:r w:rsidRPr="00B50D9D">
        <w:t xml:space="preserve">енность тем, что по Конституции и Закону о выборах государства-участника лица, не принадлежащие к одному из </w:t>
      </w:r>
      <w:r w:rsidR="00165D4D">
        <w:t>«</w:t>
      </w:r>
      <w:r w:rsidRPr="00B50D9D">
        <w:t>государствообразующих народов</w:t>
      </w:r>
      <w:r w:rsidR="00165D4D">
        <w:t>»</w:t>
      </w:r>
      <w:r w:rsidRPr="00B50D9D">
        <w:t xml:space="preserve"> (бо</w:t>
      </w:r>
      <w:r w:rsidRPr="00B50D9D">
        <w:t>с</w:t>
      </w:r>
      <w:r w:rsidRPr="00B50D9D">
        <w:t>няки, хорваты и сербы), по-прежнему не могут избираться в Па</w:t>
      </w:r>
      <w:r w:rsidR="00482159">
        <w:t>лату народов</w:t>
      </w:r>
      <w:r w:rsidR="00482159">
        <w:br/>
      </w:r>
      <w:r w:rsidRPr="00B50D9D">
        <w:t>и Президиум Боснии и Герцеговины, состоящий</w:t>
      </w:r>
      <w:proofErr w:type="gramEnd"/>
      <w:r w:rsidRPr="00B50D9D">
        <w:t xml:space="preserve"> из трех членов. Комитет сож</w:t>
      </w:r>
      <w:r w:rsidRPr="00B50D9D">
        <w:t>а</w:t>
      </w:r>
      <w:r w:rsidRPr="00B50D9D">
        <w:t>леет о том, что, несмотря на его предыдущие рекомендации и решения Евр</w:t>
      </w:r>
      <w:r w:rsidRPr="00B50D9D">
        <w:t>о</w:t>
      </w:r>
      <w:r w:rsidRPr="00B50D9D">
        <w:t>пейского суда по правам человека, законодательные меры по изменению изб</w:t>
      </w:r>
      <w:r w:rsidRPr="00B50D9D">
        <w:t>и</w:t>
      </w:r>
      <w:r w:rsidRPr="00B50D9D">
        <w:t>рательной системы государства-участника продолжают пробуксовывать. Ком</w:t>
      </w:r>
      <w:r w:rsidRPr="00B50D9D">
        <w:t>и</w:t>
      </w:r>
      <w:r w:rsidRPr="00B50D9D">
        <w:t>тет обеспокоен также сообщениями о широко распространенной коррупции и безнаказанности среди государственных должностных лиц, что препятствует эффективному участию в общественной жизни (</w:t>
      </w:r>
      <w:r>
        <w:t>статьи</w:t>
      </w:r>
      <w:r w:rsidRPr="00B50D9D">
        <w:t xml:space="preserve"> 2, 25 и 26).</w:t>
      </w:r>
    </w:p>
    <w:p w:rsidR="00B50D9D" w:rsidRPr="00B50D9D" w:rsidRDefault="00B50D9D" w:rsidP="00B50D9D">
      <w:pPr>
        <w:pStyle w:val="SingleTxtGR"/>
        <w:rPr>
          <w:b/>
        </w:rPr>
      </w:pPr>
      <w:r w:rsidRPr="00B50D9D">
        <w:t>12.</w:t>
      </w:r>
      <w:r w:rsidRPr="00B50D9D">
        <w:tab/>
      </w:r>
      <w:r w:rsidRPr="00B50D9D">
        <w:rPr>
          <w:b/>
          <w:bCs/>
        </w:rPr>
        <w:t>Государству-участнику следует принять такую избирательную сист</w:t>
      </w:r>
      <w:r w:rsidRPr="00B50D9D">
        <w:rPr>
          <w:b/>
          <w:bCs/>
        </w:rPr>
        <w:t>е</w:t>
      </w:r>
      <w:r w:rsidRPr="00B50D9D">
        <w:rPr>
          <w:b/>
          <w:bCs/>
        </w:rPr>
        <w:t>му, которая гарантировала бы равное осуществление прав всех граждан в соответствии со статьей 25 Пакта, независимо от их этнической прина</w:t>
      </w:r>
      <w:r w:rsidRPr="00B50D9D">
        <w:rPr>
          <w:b/>
          <w:bCs/>
        </w:rPr>
        <w:t>д</w:t>
      </w:r>
      <w:r w:rsidRPr="00B50D9D">
        <w:rPr>
          <w:b/>
          <w:bCs/>
        </w:rPr>
        <w:t>лежности. В связи с этим государству-участнику следует в безотлагател</w:t>
      </w:r>
      <w:r w:rsidRPr="00B50D9D">
        <w:rPr>
          <w:b/>
          <w:bCs/>
        </w:rPr>
        <w:t>ь</w:t>
      </w:r>
      <w:r w:rsidRPr="00B50D9D">
        <w:rPr>
          <w:b/>
          <w:bCs/>
        </w:rPr>
        <w:t>ном порядке внести поправки в свои Конституцию и Закон о выборах, чт</w:t>
      </w:r>
      <w:r w:rsidRPr="00B50D9D">
        <w:rPr>
          <w:b/>
          <w:bCs/>
        </w:rPr>
        <w:t>о</w:t>
      </w:r>
      <w:r w:rsidRPr="00B50D9D">
        <w:rPr>
          <w:b/>
          <w:bCs/>
        </w:rPr>
        <w:t>бы исключить положения, которые являются дискриминационными по отношению к гражданам</w:t>
      </w:r>
      <w:r>
        <w:rPr>
          <w:b/>
          <w:bCs/>
        </w:rPr>
        <w:t xml:space="preserve"> из</w:t>
      </w:r>
      <w:r w:rsidRPr="00B50D9D">
        <w:rPr>
          <w:b/>
          <w:bCs/>
        </w:rPr>
        <w:t xml:space="preserve"> некоторых этнических групп, поскольку не позволяют им принимать полноценное участие в выборах. Государству-участнику следует активизировать усилия по борьбе с коррупцией, в час</w:t>
      </w:r>
      <w:r w:rsidRPr="00B50D9D">
        <w:rPr>
          <w:b/>
          <w:bCs/>
        </w:rPr>
        <w:t>т</w:t>
      </w:r>
      <w:r w:rsidRPr="00B50D9D">
        <w:rPr>
          <w:b/>
          <w:bCs/>
        </w:rPr>
        <w:t>ности среди государственных деятелей, для обеспечения эффективного участия в общественной жизни.</w:t>
      </w:r>
    </w:p>
    <w:p w:rsidR="00B50D9D" w:rsidRPr="00B50D9D" w:rsidRDefault="00B50D9D" w:rsidP="00B50D9D">
      <w:pPr>
        <w:pStyle w:val="H23GR"/>
      </w:pPr>
      <w:r w:rsidRPr="00B50D9D">
        <w:tab/>
      </w:r>
      <w:r w:rsidRPr="00B50D9D">
        <w:tab/>
        <w:t>Преследование за совершение преступлений против человечн</w:t>
      </w:r>
      <w:r w:rsidRPr="00B50D9D">
        <w:t>о</w:t>
      </w:r>
      <w:r w:rsidRPr="00B50D9D">
        <w:t>сти и других международных преступлений и защита жертв и свидетелей</w:t>
      </w:r>
    </w:p>
    <w:p w:rsidR="00B50D9D" w:rsidRPr="00B50D9D" w:rsidRDefault="00B50D9D" w:rsidP="00B50D9D">
      <w:pPr>
        <w:pStyle w:val="SingleTxtGR"/>
      </w:pPr>
      <w:r w:rsidRPr="00B50D9D">
        <w:t>13.</w:t>
      </w:r>
      <w:r w:rsidRPr="00B50D9D">
        <w:tab/>
        <w:t xml:space="preserve">Комитет </w:t>
      </w:r>
      <w:r>
        <w:t>подтверждает</w:t>
      </w:r>
      <w:r w:rsidRPr="00B50D9D">
        <w:t xml:space="preserve"> обеспокоенность, высказанную в предыдущих з</w:t>
      </w:r>
      <w:r w:rsidRPr="00B50D9D">
        <w:t>а</w:t>
      </w:r>
      <w:r w:rsidRPr="00B50D9D">
        <w:t>ключительных замечаниях (см. CCPR/C/BIH/CO/2, пункт 7), по поводу медл</w:t>
      </w:r>
      <w:r w:rsidRPr="00B50D9D">
        <w:t>и</w:t>
      </w:r>
      <w:r w:rsidRPr="00B50D9D">
        <w:t>тельности в судебном преследовании за международные преступления, сове</w:t>
      </w:r>
      <w:r w:rsidRPr="00B50D9D">
        <w:t>р</w:t>
      </w:r>
      <w:r w:rsidRPr="00B50D9D">
        <w:t>шенные в ходе конфликта. Комитет отмечает, что цель завершения расследов</w:t>
      </w:r>
      <w:r w:rsidRPr="00B50D9D">
        <w:t>а</w:t>
      </w:r>
      <w:r w:rsidRPr="00B50D9D">
        <w:t>ния и преследования по наиболее сложным делам к концу 2015 года, как это предусмотрено в Национальной стратегии преследования за военные престу</w:t>
      </w:r>
      <w:r w:rsidRPr="00B50D9D">
        <w:t>п</w:t>
      </w:r>
      <w:r w:rsidRPr="00B50D9D">
        <w:t>ления, не была д</w:t>
      </w:r>
      <w:r w:rsidRPr="00B50D9D">
        <w:t>о</w:t>
      </w:r>
      <w:r w:rsidRPr="00B50D9D">
        <w:t>стигнута (</w:t>
      </w:r>
      <w:r>
        <w:t>статьи</w:t>
      </w:r>
      <w:r w:rsidRPr="00B50D9D">
        <w:t xml:space="preserve"> 2, 6, 7 и 14).</w:t>
      </w:r>
    </w:p>
    <w:p w:rsidR="00B50D9D" w:rsidRPr="00B50D9D" w:rsidRDefault="00B50D9D" w:rsidP="00B50D9D">
      <w:pPr>
        <w:pStyle w:val="SingleTxtGR"/>
        <w:rPr>
          <w:b/>
        </w:rPr>
      </w:pPr>
      <w:r w:rsidRPr="00B50D9D">
        <w:t>14.</w:t>
      </w:r>
      <w:r w:rsidRPr="00B50D9D">
        <w:tab/>
      </w:r>
      <w:r w:rsidRPr="00B50D9D">
        <w:rPr>
          <w:b/>
          <w:bCs/>
        </w:rPr>
        <w:t>Государству-участнику следует ускорить судебное преследование за совершение преступлений против человечности и других международных преступлений и продолжать оказывать надлежащую поддержку, включая психологическую поддержку, и предоставлять защиту жертвам и свидет</w:t>
      </w:r>
      <w:r w:rsidRPr="00B50D9D">
        <w:rPr>
          <w:b/>
          <w:bCs/>
        </w:rPr>
        <w:t>е</w:t>
      </w:r>
      <w:r w:rsidRPr="00B50D9D">
        <w:rPr>
          <w:b/>
          <w:bCs/>
        </w:rPr>
        <w:t>лям этих преступлений, особенно связанных с сексуальным насилием. Кроме того, государству-участнику следует в полном объеме задействовать систему бесплатной юридической помощи на всей своей территории и сд</w:t>
      </w:r>
      <w:r w:rsidRPr="00B50D9D">
        <w:rPr>
          <w:b/>
          <w:bCs/>
        </w:rPr>
        <w:t>е</w:t>
      </w:r>
      <w:r w:rsidRPr="00B50D9D">
        <w:rPr>
          <w:b/>
          <w:bCs/>
        </w:rPr>
        <w:t>лать ее доступной для всех уязвимых граждан, включая жертв сексуальн</w:t>
      </w:r>
      <w:r w:rsidRPr="00B50D9D">
        <w:rPr>
          <w:b/>
          <w:bCs/>
        </w:rPr>
        <w:t>о</w:t>
      </w:r>
      <w:r w:rsidRPr="00B50D9D">
        <w:rPr>
          <w:b/>
          <w:bCs/>
        </w:rPr>
        <w:t>го насилия во время войны, и предусмотреть эффективную программу з</w:t>
      </w:r>
      <w:r w:rsidRPr="00B50D9D">
        <w:rPr>
          <w:b/>
          <w:bCs/>
        </w:rPr>
        <w:t>а</w:t>
      </w:r>
      <w:r w:rsidRPr="00B50D9D">
        <w:rPr>
          <w:b/>
          <w:bCs/>
        </w:rPr>
        <w:t>щиты жертв и свидетелей.</w:t>
      </w:r>
    </w:p>
    <w:p w:rsidR="00B50D9D" w:rsidRPr="00B50D9D" w:rsidRDefault="00B50D9D" w:rsidP="00B50D9D">
      <w:pPr>
        <w:pStyle w:val="SingleTxtGR"/>
      </w:pPr>
      <w:r w:rsidRPr="00B50D9D">
        <w:t>15.</w:t>
      </w:r>
      <w:r w:rsidRPr="00B50D9D">
        <w:tab/>
      </w:r>
      <w:proofErr w:type="gramStart"/>
      <w:r w:rsidRPr="00B50D9D">
        <w:t>Приветствуя принятие поправок к Уголовному кодексу Боснии и Герцег</w:t>
      </w:r>
      <w:r w:rsidRPr="00B50D9D">
        <w:t>о</w:t>
      </w:r>
      <w:r w:rsidRPr="00B50D9D">
        <w:t>вины, направленных на приведение определений пыток и других междунаро</w:t>
      </w:r>
      <w:r w:rsidRPr="00B50D9D">
        <w:t>д</w:t>
      </w:r>
      <w:r w:rsidRPr="00B50D9D">
        <w:t>ных преступлений в соответствие с международными стандартами, установл</w:t>
      </w:r>
      <w:r w:rsidRPr="00B50D9D">
        <w:t>е</w:t>
      </w:r>
      <w:r w:rsidRPr="00B50D9D">
        <w:t>ние нового отдельного преступления насильственного исчезновения и поощр</w:t>
      </w:r>
      <w:r w:rsidRPr="00B50D9D">
        <w:t>е</w:t>
      </w:r>
      <w:r w:rsidRPr="00B50D9D">
        <w:t>ние планируемых поправок в целях отмены амнистии за совершение междун</w:t>
      </w:r>
      <w:r w:rsidRPr="00B50D9D">
        <w:t>а</w:t>
      </w:r>
      <w:r w:rsidRPr="00B50D9D">
        <w:t>родных преступлений, Комитет выражает обеспокоенность тем, что в ходе с</w:t>
      </w:r>
      <w:r w:rsidRPr="00B50D9D">
        <w:t>у</w:t>
      </w:r>
      <w:r w:rsidRPr="00B50D9D">
        <w:t>дебного преследования за преступления, совершенные в период конфликта, с</w:t>
      </w:r>
      <w:r w:rsidRPr="00B50D9D">
        <w:t>у</w:t>
      </w:r>
      <w:r w:rsidRPr="00B50D9D">
        <w:t xml:space="preserve">ды на уровне </w:t>
      </w:r>
      <w:r>
        <w:t>образований</w:t>
      </w:r>
      <w:proofErr w:type="gramEnd"/>
      <w:r w:rsidRPr="00B50D9D">
        <w:t xml:space="preserve"> и суд округа Брчко по-прежнему </w:t>
      </w:r>
      <w:r>
        <w:t>опираются</w:t>
      </w:r>
      <w:r w:rsidRPr="00B50D9D">
        <w:t xml:space="preserve"> на Уг</w:t>
      </w:r>
      <w:r w:rsidRPr="00B50D9D">
        <w:t>о</w:t>
      </w:r>
      <w:r w:rsidRPr="00B50D9D">
        <w:t>ловный кодекс бывшей Социалистической Федеративной Республики Югосл</w:t>
      </w:r>
      <w:r w:rsidRPr="00B50D9D">
        <w:t>а</w:t>
      </w:r>
      <w:r w:rsidR="00482159">
        <w:t>вия</w:t>
      </w:r>
      <w:r w:rsidRPr="00B50D9D">
        <w:t>, в котором не содержатся определения преступлений против человечности, сексуального рабства, принудительной беременности и ответственности кома</w:t>
      </w:r>
      <w:r w:rsidRPr="00B50D9D">
        <w:t>н</w:t>
      </w:r>
      <w:r w:rsidRPr="00B50D9D">
        <w:t>дования (</w:t>
      </w:r>
      <w:r>
        <w:t>статьи</w:t>
      </w:r>
      <w:r w:rsidRPr="00B50D9D">
        <w:t xml:space="preserve"> 2, 6 и 7).</w:t>
      </w:r>
    </w:p>
    <w:p w:rsidR="00B50D9D" w:rsidRPr="00B50D9D" w:rsidRDefault="00B50D9D" w:rsidP="00B50D9D">
      <w:pPr>
        <w:pStyle w:val="SingleTxtGR"/>
        <w:rPr>
          <w:b/>
        </w:rPr>
      </w:pPr>
      <w:r w:rsidRPr="00B50D9D">
        <w:lastRenderedPageBreak/>
        <w:t>16.</w:t>
      </w:r>
      <w:r w:rsidRPr="00B50D9D">
        <w:tab/>
      </w:r>
      <w:r w:rsidRPr="00B50D9D">
        <w:rPr>
          <w:b/>
          <w:bCs/>
        </w:rPr>
        <w:t>Государству-участнику следует принять меры к тому, чтобы не доп</w:t>
      </w:r>
      <w:r w:rsidRPr="00B50D9D">
        <w:rPr>
          <w:b/>
          <w:bCs/>
        </w:rPr>
        <w:t>у</w:t>
      </w:r>
      <w:r w:rsidRPr="00B50D9D">
        <w:rPr>
          <w:b/>
          <w:bCs/>
        </w:rPr>
        <w:t>стить безнаказанности за международные преступления. Ему следует та</w:t>
      </w:r>
      <w:r w:rsidRPr="00B50D9D">
        <w:rPr>
          <w:b/>
          <w:bCs/>
        </w:rPr>
        <w:t>к</w:t>
      </w:r>
      <w:r w:rsidRPr="00B50D9D">
        <w:rPr>
          <w:b/>
          <w:bCs/>
        </w:rPr>
        <w:t xml:space="preserve">же обеспечивать, чтобы судебные органы во всех </w:t>
      </w:r>
      <w:r>
        <w:rPr>
          <w:b/>
          <w:bCs/>
        </w:rPr>
        <w:t>образованиях</w:t>
      </w:r>
      <w:r w:rsidRPr="00B50D9D">
        <w:rPr>
          <w:b/>
          <w:bCs/>
        </w:rPr>
        <w:t xml:space="preserve"> продолжали усилия, направленные на унификацию судебной практики в отношении преступлений, совершенных в ходе конфликта, и применяли закон в соо</w:t>
      </w:r>
      <w:r w:rsidRPr="00B50D9D">
        <w:rPr>
          <w:b/>
          <w:bCs/>
        </w:rPr>
        <w:t>т</w:t>
      </w:r>
      <w:r w:rsidRPr="00B50D9D">
        <w:rPr>
          <w:b/>
          <w:bCs/>
        </w:rPr>
        <w:t>ветствии с применимыми международно-правовыми стандартами.</w:t>
      </w:r>
    </w:p>
    <w:p w:rsidR="00B50D9D" w:rsidRPr="00B50D9D" w:rsidRDefault="00B50D9D" w:rsidP="00B50D9D">
      <w:pPr>
        <w:pStyle w:val="H23GR"/>
      </w:pPr>
      <w:r w:rsidRPr="00B50D9D">
        <w:tab/>
      </w:r>
      <w:r w:rsidRPr="00B50D9D">
        <w:tab/>
        <w:t xml:space="preserve">Доступ к правосудию и </w:t>
      </w:r>
      <w:r>
        <w:t>возмещение ущерба жертвам войны</w:t>
      </w:r>
    </w:p>
    <w:p w:rsidR="00B50D9D" w:rsidRPr="00B50D9D" w:rsidRDefault="00B50D9D" w:rsidP="00B50D9D">
      <w:pPr>
        <w:pStyle w:val="SingleTxtGR"/>
      </w:pPr>
      <w:r w:rsidRPr="00B50D9D">
        <w:t>17.</w:t>
      </w:r>
      <w:r w:rsidRPr="00B50D9D">
        <w:tab/>
        <w:t xml:space="preserve">Приветствуя недавние решения судов государства-участника, принятые в рамках уголовного судопроизводства, о выплате финансового возмещения </w:t>
      </w:r>
      <w:proofErr w:type="gramStart"/>
      <w:r w:rsidRPr="00B50D9D">
        <w:t>жерт</w:t>
      </w:r>
      <w:r w:rsidR="00482159">
        <w:t>-</w:t>
      </w:r>
      <w:r w:rsidRPr="00B50D9D">
        <w:t>вам</w:t>
      </w:r>
      <w:proofErr w:type="gramEnd"/>
      <w:r w:rsidRPr="00B50D9D">
        <w:t xml:space="preserve"> сексуального насилия в военное время, Комитет выражает обеспок</w:t>
      </w:r>
      <w:r w:rsidRPr="00B50D9D">
        <w:t>о</w:t>
      </w:r>
      <w:r>
        <w:t>енность по поводу заключений</w:t>
      </w:r>
      <w:r w:rsidRPr="00B50D9D">
        <w:t xml:space="preserve"> Конститу</w:t>
      </w:r>
      <w:r>
        <w:t>ционного суда, согласно которым</w:t>
      </w:r>
      <w:r w:rsidRPr="00B50D9D">
        <w:t xml:space="preserve"> в о</w:t>
      </w:r>
      <w:r w:rsidRPr="00B50D9D">
        <w:t>т</w:t>
      </w:r>
      <w:r w:rsidRPr="00B50D9D">
        <w:t>ношении возмещения за нематериальный ущерб может применяться срок давности и, т</w:t>
      </w:r>
      <w:r w:rsidRPr="00B50D9D">
        <w:t>а</w:t>
      </w:r>
      <w:r w:rsidRPr="00B50D9D">
        <w:t xml:space="preserve">ким образом, ограничивать способность жертв </w:t>
      </w:r>
      <w:r>
        <w:t xml:space="preserve">действенно </w:t>
      </w:r>
      <w:r w:rsidRPr="00B50D9D">
        <w:t>требовать возмещ</w:t>
      </w:r>
      <w:r w:rsidRPr="00B50D9D">
        <w:t>е</w:t>
      </w:r>
      <w:r w:rsidRPr="00B50D9D">
        <w:t>ния. Он также обеспокоен тем, что большинство жертв должны требовать во</w:t>
      </w:r>
      <w:r w:rsidRPr="00B50D9D">
        <w:t>з</w:t>
      </w:r>
      <w:r w:rsidRPr="00B50D9D">
        <w:t xml:space="preserve">мещения в порядке гражданского судопроизводства без надлежащей защиты. </w:t>
      </w:r>
      <w:proofErr w:type="gramStart"/>
      <w:r w:rsidRPr="00B50D9D">
        <w:t>Он далее выражает обеспокоенность по поводу неисполнения госуда</w:t>
      </w:r>
      <w:r w:rsidRPr="00B50D9D">
        <w:t>р</w:t>
      </w:r>
      <w:r w:rsidRPr="00B50D9D">
        <w:t xml:space="preserve">ством-участником обязательств принять законопроект о правах жертв пыток, проект программы для женщин, ставших </w:t>
      </w:r>
      <w:r w:rsidR="00165D4D">
        <w:t>жертвами совершенных в военное время и</w:t>
      </w:r>
      <w:r w:rsidR="00165D4D">
        <w:t>з</w:t>
      </w:r>
      <w:r w:rsidR="00165D4D">
        <w:t xml:space="preserve">насилований, </w:t>
      </w:r>
      <w:r w:rsidRPr="00B50D9D">
        <w:t>сексуальных надругательств и пыток, проект программы для жертв сексуального насилия, а также стратегии в области правосудия перехо</w:t>
      </w:r>
      <w:r w:rsidRPr="00B50D9D">
        <w:t>д</w:t>
      </w:r>
      <w:r w:rsidRPr="00B50D9D">
        <w:t xml:space="preserve">ного периода, которые </w:t>
      </w:r>
      <w:r w:rsidR="00165D4D">
        <w:t>создают</w:t>
      </w:r>
      <w:r w:rsidRPr="00B50D9D">
        <w:t xml:space="preserve"> всеобъемлющую основу для обеспечения э</w:t>
      </w:r>
      <w:r w:rsidRPr="00B50D9D">
        <w:t>ф</w:t>
      </w:r>
      <w:r w:rsidRPr="00B50D9D">
        <w:t>фективного доступа к средствам правовой защиты для всех жертв войны</w:t>
      </w:r>
      <w:proofErr w:type="gramEnd"/>
      <w:r w:rsidRPr="00B50D9D">
        <w:t xml:space="preserve"> из числа гражданского населения. Комитет по-прежнему обеспокоен тем, что ра</w:t>
      </w:r>
      <w:r w:rsidRPr="00B50D9D">
        <w:t>з</w:t>
      </w:r>
      <w:r w:rsidRPr="00B50D9D">
        <w:t>мер индивидуальных пособий по инвалидности, получаемых гражданскими л</w:t>
      </w:r>
      <w:r w:rsidRPr="00B50D9D">
        <w:t>и</w:t>
      </w:r>
      <w:r w:rsidRPr="00B50D9D">
        <w:t>цами</w:t>
      </w:r>
      <w:r w:rsidR="00482159">
        <w:t xml:space="preserve"> – </w:t>
      </w:r>
      <w:r w:rsidRPr="00B50D9D">
        <w:t>жертвами войны, остается</w:t>
      </w:r>
      <w:r w:rsidR="00165D4D">
        <w:t xml:space="preserve"> значительно меньше по сравнению с пособ</w:t>
      </w:r>
      <w:r w:rsidR="00165D4D">
        <w:t>и</w:t>
      </w:r>
      <w:r w:rsidR="00165D4D">
        <w:t>ями</w:t>
      </w:r>
      <w:r w:rsidR="00482159">
        <w:t xml:space="preserve"> ветеранам войны</w:t>
      </w:r>
      <w:r w:rsidRPr="00B50D9D">
        <w:t xml:space="preserve"> и что еще большее неравенство существует между вет</w:t>
      </w:r>
      <w:r w:rsidRPr="00B50D9D">
        <w:t>е</w:t>
      </w:r>
      <w:r w:rsidRPr="00B50D9D">
        <w:t xml:space="preserve">ранами в различных </w:t>
      </w:r>
      <w:r w:rsidR="00165D4D">
        <w:t>образованиях</w:t>
      </w:r>
      <w:r w:rsidRPr="00B50D9D">
        <w:t xml:space="preserve"> и муниципалит</w:t>
      </w:r>
      <w:r w:rsidRPr="00B50D9D">
        <w:t>е</w:t>
      </w:r>
      <w:r w:rsidRPr="00B50D9D">
        <w:t>тах (</w:t>
      </w:r>
      <w:r>
        <w:t>статьи</w:t>
      </w:r>
      <w:r w:rsidRPr="00B50D9D">
        <w:t xml:space="preserve"> 2, 7 и 26).</w:t>
      </w:r>
    </w:p>
    <w:p w:rsidR="00B50D9D" w:rsidRPr="00B50D9D" w:rsidRDefault="00B50D9D" w:rsidP="00B50D9D">
      <w:pPr>
        <w:pStyle w:val="SingleTxtGR"/>
        <w:rPr>
          <w:b/>
        </w:rPr>
      </w:pPr>
      <w:r w:rsidRPr="00B50D9D">
        <w:t>18.</w:t>
      </w:r>
      <w:r w:rsidRPr="00B50D9D">
        <w:tab/>
      </w:r>
      <w:r w:rsidRPr="00B50D9D">
        <w:rPr>
          <w:b/>
          <w:bCs/>
        </w:rPr>
        <w:t>Государству-участнику следует в срочном порядке принять законод</w:t>
      </w:r>
      <w:r w:rsidRPr="00B50D9D">
        <w:rPr>
          <w:b/>
          <w:bCs/>
        </w:rPr>
        <w:t>а</w:t>
      </w:r>
      <w:r w:rsidRPr="00B50D9D">
        <w:rPr>
          <w:b/>
          <w:bCs/>
        </w:rPr>
        <w:t>тельные и практические меры для обеспечения того, чтобы лица, пер</w:t>
      </w:r>
      <w:r w:rsidRPr="00B50D9D">
        <w:rPr>
          <w:b/>
          <w:bCs/>
        </w:rPr>
        <w:t>е</w:t>
      </w:r>
      <w:r w:rsidRPr="00B50D9D">
        <w:rPr>
          <w:b/>
          <w:bCs/>
        </w:rPr>
        <w:t>жившие пытки и сексуальное насилие, имели доступ к эффективным сре</w:t>
      </w:r>
      <w:r w:rsidRPr="00B50D9D">
        <w:rPr>
          <w:b/>
          <w:bCs/>
        </w:rPr>
        <w:t>д</w:t>
      </w:r>
      <w:r w:rsidRPr="00B50D9D">
        <w:rPr>
          <w:b/>
          <w:bCs/>
        </w:rPr>
        <w:t xml:space="preserve">ствам правовой защиты. Ему также следует согласовать размеры пособий по инвалидности между </w:t>
      </w:r>
      <w:r w:rsidR="00165D4D">
        <w:rPr>
          <w:b/>
          <w:bCs/>
        </w:rPr>
        <w:t>образованиями</w:t>
      </w:r>
      <w:r w:rsidRPr="00B50D9D">
        <w:rPr>
          <w:b/>
          <w:bCs/>
        </w:rPr>
        <w:t xml:space="preserve"> и муниципалитетами, с </w:t>
      </w:r>
      <w:proofErr w:type="gramStart"/>
      <w:r w:rsidRPr="00B50D9D">
        <w:rPr>
          <w:b/>
          <w:bCs/>
        </w:rPr>
        <w:t>тем</w:t>
      </w:r>
      <w:proofErr w:type="gramEnd"/>
      <w:r w:rsidRPr="00B50D9D">
        <w:rPr>
          <w:b/>
          <w:bCs/>
        </w:rPr>
        <w:t xml:space="preserve"> чтобы индивидуальные пособия по инвалидности, получаемые гражданскими жертвами, были сопоставимы с индивидуальными пособиями по инвали</w:t>
      </w:r>
      <w:r w:rsidRPr="00B50D9D">
        <w:rPr>
          <w:b/>
          <w:bCs/>
        </w:rPr>
        <w:t>д</w:t>
      </w:r>
      <w:r w:rsidRPr="00B50D9D">
        <w:rPr>
          <w:b/>
          <w:bCs/>
        </w:rPr>
        <w:t>ности вет</w:t>
      </w:r>
      <w:r w:rsidRPr="00B50D9D">
        <w:rPr>
          <w:b/>
          <w:bCs/>
        </w:rPr>
        <w:t>е</w:t>
      </w:r>
      <w:r w:rsidRPr="00B50D9D">
        <w:rPr>
          <w:b/>
          <w:bCs/>
        </w:rPr>
        <w:t>ранам войны.</w:t>
      </w:r>
    </w:p>
    <w:p w:rsidR="00B50D9D" w:rsidRPr="00B50D9D" w:rsidRDefault="00B50D9D" w:rsidP="00165D4D">
      <w:pPr>
        <w:pStyle w:val="H23GR"/>
      </w:pPr>
      <w:r w:rsidRPr="00B50D9D">
        <w:tab/>
      </w:r>
      <w:r w:rsidRPr="00B50D9D">
        <w:tab/>
        <w:t>Насильственное исчезновение людей и пропавшие без вести лица</w:t>
      </w:r>
    </w:p>
    <w:p w:rsidR="00B50D9D" w:rsidRPr="00B50D9D" w:rsidRDefault="00B50D9D" w:rsidP="00B50D9D">
      <w:pPr>
        <w:pStyle w:val="SingleTxtGR"/>
      </w:pPr>
      <w:r w:rsidRPr="00B50D9D">
        <w:t>19.</w:t>
      </w:r>
      <w:r w:rsidRPr="00B50D9D">
        <w:tab/>
        <w:t>Приветствуя создание центрального реестра лиц, пропавших без вести, Комитет выражает сожаление по поводу того, что процесс проверки не был з</w:t>
      </w:r>
      <w:r w:rsidRPr="00B50D9D">
        <w:t>а</w:t>
      </w:r>
      <w:r w:rsidRPr="00B50D9D">
        <w:t>вершен в сроки, определенные в соответствии с Законом о пропавших без вести лицах. Он также обеспокоен сокращениями бюджетных ассигнований Инстит</w:t>
      </w:r>
      <w:r w:rsidRPr="00B50D9D">
        <w:t>у</w:t>
      </w:r>
      <w:r w:rsidRPr="00B50D9D">
        <w:t>ту по делам пропавших без вести лиц. Комитет далее обеспокоен отсутствием успеха в создании фонда поддержки семей пропавших без вести лиц, несмотря на многочисленные решения Конституционного суда по этому вопросу (</w:t>
      </w:r>
      <w:r>
        <w:t>ст</w:t>
      </w:r>
      <w:r>
        <w:t>а</w:t>
      </w:r>
      <w:r>
        <w:t>тьи</w:t>
      </w:r>
      <w:r w:rsidR="00165D4D">
        <w:t> </w:t>
      </w:r>
      <w:r w:rsidRPr="00B50D9D">
        <w:t>2, 6 и 7).</w:t>
      </w:r>
    </w:p>
    <w:p w:rsidR="00B50D9D" w:rsidRPr="00B50D9D" w:rsidRDefault="00B50D9D" w:rsidP="00B50D9D">
      <w:pPr>
        <w:pStyle w:val="SingleTxtGR"/>
        <w:rPr>
          <w:b/>
        </w:rPr>
      </w:pPr>
      <w:r w:rsidRPr="00B50D9D">
        <w:t>20.</w:t>
      </w:r>
      <w:r w:rsidRPr="00B50D9D">
        <w:tab/>
      </w:r>
      <w:r w:rsidRPr="00B50D9D">
        <w:rPr>
          <w:b/>
          <w:bCs/>
        </w:rPr>
        <w:t>Государству-участнику следует ускорить расследование всех нера</w:t>
      </w:r>
      <w:r w:rsidRPr="00B50D9D">
        <w:rPr>
          <w:b/>
          <w:bCs/>
        </w:rPr>
        <w:t>з</w:t>
      </w:r>
      <w:r w:rsidRPr="00B50D9D">
        <w:rPr>
          <w:b/>
          <w:bCs/>
        </w:rPr>
        <w:t>решенных дел о пропавших без вести лицах. Кроме того, ему следует пр</w:t>
      </w:r>
      <w:r w:rsidRPr="00B50D9D">
        <w:rPr>
          <w:b/>
          <w:bCs/>
        </w:rPr>
        <w:t>и</w:t>
      </w:r>
      <w:r w:rsidRPr="00B50D9D">
        <w:rPr>
          <w:b/>
          <w:bCs/>
        </w:rPr>
        <w:t>нять все необходимые меры для обеспечения соответствующего финанс</w:t>
      </w:r>
      <w:r w:rsidRPr="00B50D9D">
        <w:rPr>
          <w:b/>
          <w:bCs/>
        </w:rPr>
        <w:t>и</w:t>
      </w:r>
      <w:r w:rsidRPr="00B50D9D">
        <w:rPr>
          <w:b/>
          <w:bCs/>
        </w:rPr>
        <w:t xml:space="preserve">рования Института по делам пропавших без вести лиц и его способности в полной мере осуществлять свой мандат с целью </w:t>
      </w:r>
      <w:r w:rsidR="00165D4D">
        <w:rPr>
          <w:b/>
          <w:bCs/>
        </w:rPr>
        <w:t>разрешения</w:t>
      </w:r>
      <w:r w:rsidRPr="00B50D9D">
        <w:rPr>
          <w:b/>
          <w:bCs/>
        </w:rPr>
        <w:t xml:space="preserve"> этих дел, как это предусмотрено в Законе о пропавших без вести лицах. Государству-участнику следует в срочном порядке учредить фонд поддержки семей пропавших без вести лиц с целью оказания соответствующей поддержки семьям пропа</w:t>
      </w:r>
      <w:r w:rsidRPr="00B50D9D">
        <w:rPr>
          <w:b/>
          <w:bCs/>
        </w:rPr>
        <w:t>в</w:t>
      </w:r>
      <w:r w:rsidRPr="00B50D9D">
        <w:rPr>
          <w:b/>
          <w:bCs/>
        </w:rPr>
        <w:t>ших без вести лиц.</w:t>
      </w:r>
    </w:p>
    <w:p w:rsidR="00B50D9D" w:rsidRPr="00B50D9D" w:rsidRDefault="00B50D9D" w:rsidP="00165D4D">
      <w:pPr>
        <w:pStyle w:val="H23GR"/>
      </w:pPr>
      <w:r w:rsidRPr="00B50D9D">
        <w:lastRenderedPageBreak/>
        <w:tab/>
      </w:r>
      <w:r w:rsidRPr="00B50D9D">
        <w:tab/>
        <w:t>Преступления на почве ненависти и ненавистнические выск</w:t>
      </w:r>
      <w:r w:rsidRPr="00B50D9D">
        <w:t>а</w:t>
      </w:r>
      <w:r w:rsidRPr="00B50D9D">
        <w:t>зывания</w:t>
      </w:r>
    </w:p>
    <w:p w:rsidR="00B50D9D" w:rsidRPr="00B50D9D" w:rsidRDefault="00B50D9D" w:rsidP="00B50D9D">
      <w:pPr>
        <w:pStyle w:val="SingleTxtGR"/>
      </w:pPr>
      <w:r w:rsidRPr="00B50D9D">
        <w:t>21.</w:t>
      </w:r>
      <w:r w:rsidRPr="00B50D9D">
        <w:tab/>
        <w:t>Комитет по-прежнему обеспокоен сообщениями о расово мотивирова</w:t>
      </w:r>
      <w:r w:rsidRPr="00B50D9D">
        <w:t>н</w:t>
      </w:r>
      <w:r w:rsidRPr="00B50D9D">
        <w:t xml:space="preserve">ных словесных оскорблениях представителей этнических групп и религиозных и национальных меньшинств и совершаемых на них физических нападениях. Он также обеспокоен сообщениями о повсеместно </w:t>
      </w:r>
      <w:r w:rsidR="00165D4D">
        <w:t>распространенных</w:t>
      </w:r>
      <w:r w:rsidRPr="00B50D9D">
        <w:t xml:space="preserve"> нен</w:t>
      </w:r>
      <w:r w:rsidRPr="00B50D9D">
        <w:t>а</w:t>
      </w:r>
      <w:r w:rsidRPr="00B50D9D">
        <w:t xml:space="preserve">вистнических высказываниях, особенно </w:t>
      </w:r>
      <w:r w:rsidR="00482159">
        <w:t>в средствах массовой информации</w:t>
      </w:r>
      <w:r w:rsidR="00482159">
        <w:br/>
      </w:r>
      <w:r w:rsidRPr="00B50D9D">
        <w:t>и Интернете. Он сожалеет о том, что в действующем законодательстве не охв</w:t>
      </w:r>
      <w:r w:rsidRPr="00B50D9D">
        <w:t>а</w:t>
      </w:r>
      <w:r w:rsidRPr="00B50D9D">
        <w:t>чены все основания дискриминации и конкретно не рассматриваетс</w:t>
      </w:r>
      <w:r w:rsidR="00482159">
        <w:t>я вопрос</w:t>
      </w:r>
      <w:r w:rsidR="00482159">
        <w:br/>
      </w:r>
      <w:r w:rsidRPr="00B50D9D">
        <w:t>о ненавистнических высказываниях в Интернете. Он также выражает сожал</w:t>
      </w:r>
      <w:r w:rsidRPr="00B50D9D">
        <w:t>е</w:t>
      </w:r>
      <w:r w:rsidRPr="00B50D9D">
        <w:t>ние в связи с тем, что ли</w:t>
      </w:r>
      <w:bookmarkStart w:id="0" w:name="_GoBack"/>
      <w:bookmarkEnd w:id="0"/>
      <w:r w:rsidRPr="00B50D9D">
        <w:t>шь в отношении небольшого числа преступлений на почве ненависти проводилось эффективное судебное преследование (</w:t>
      </w:r>
      <w:r>
        <w:t>статьи</w:t>
      </w:r>
      <w:r w:rsidR="00482159">
        <w:t xml:space="preserve"> 2, 20</w:t>
      </w:r>
      <w:r w:rsidR="000D5C9D">
        <w:t xml:space="preserve"> </w:t>
      </w:r>
      <w:r w:rsidRPr="00B50D9D">
        <w:t>и 26).</w:t>
      </w:r>
    </w:p>
    <w:p w:rsidR="00B50D9D" w:rsidRPr="00B50D9D" w:rsidRDefault="00B50D9D" w:rsidP="00B50D9D">
      <w:pPr>
        <w:pStyle w:val="SingleTxtGR"/>
        <w:rPr>
          <w:b/>
        </w:rPr>
      </w:pPr>
      <w:r w:rsidRPr="00B50D9D">
        <w:t>22.</w:t>
      </w:r>
      <w:r w:rsidRPr="00B50D9D">
        <w:tab/>
      </w:r>
      <w:r w:rsidRPr="00B50D9D">
        <w:rPr>
          <w:b/>
          <w:bCs/>
        </w:rPr>
        <w:t>Государству-участнику следует укрепить усилия в борьбе с актами расовой или религиозной ненависти. Ему следует удвоить усилия в борьбе с пропагандой ненависти, в том числе в Интернете, в соответствии со ст</w:t>
      </w:r>
      <w:r w:rsidRPr="00B50D9D">
        <w:rPr>
          <w:b/>
          <w:bCs/>
        </w:rPr>
        <w:t>а</w:t>
      </w:r>
      <w:r w:rsidRPr="00B50D9D">
        <w:rPr>
          <w:b/>
          <w:bCs/>
        </w:rPr>
        <w:t>тьями 19 и 20 Пакта и принятым Коми</w:t>
      </w:r>
      <w:r w:rsidR="00165D4D">
        <w:rPr>
          <w:b/>
          <w:bCs/>
        </w:rPr>
        <w:t>тетом замечанием общего поря</w:t>
      </w:r>
      <w:r w:rsidR="00165D4D">
        <w:rPr>
          <w:b/>
          <w:bCs/>
        </w:rPr>
        <w:t>д</w:t>
      </w:r>
      <w:r w:rsidR="00165D4D">
        <w:rPr>
          <w:b/>
          <w:bCs/>
        </w:rPr>
        <w:t>ка </w:t>
      </w:r>
      <w:r w:rsidRPr="00B50D9D">
        <w:rPr>
          <w:b/>
          <w:bCs/>
        </w:rPr>
        <w:t>№ 34 (2011) о свободе мнений и их выражения. Государству-участнику также следует внести поправки в свое законодательство по вопросу о нен</w:t>
      </w:r>
      <w:r w:rsidRPr="00B50D9D">
        <w:rPr>
          <w:b/>
          <w:bCs/>
        </w:rPr>
        <w:t>а</w:t>
      </w:r>
      <w:r w:rsidRPr="00B50D9D">
        <w:rPr>
          <w:b/>
          <w:bCs/>
        </w:rPr>
        <w:t xml:space="preserve">вистнических высказываниях, с </w:t>
      </w:r>
      <w:proofErr w:type="gramStart"/>
      <w:r w:rsidRPr="00B50D9D">
        <w:rPr>
          <w:b/>
          <w:bCs/>
        </w:rPr>
        <w:t>тем</w:t>
      </w:r>
      <w:proofErr w:type="gramEnd"/>
      <w:r w:rsidRPr="00B50D9D">
        <w:rPr>
          <w:b/>
          <w:bCs/>
        </w:rPr>
        <w:t xml:space="preserve"> чтобы включить в него все основания дискриминации в соответствии с Пактом. Кроме того, ему следует рассл</w:t>
      </w:r>
      <w:r w:rsidRPr="00B50D9D">
        <w:rPr>
          <w:b/>
          <w:bCs/>
        </w:rPr>
        <w:t>е</w:t>
      </w:r>
      <w:r w:rsidRPr="00B50D9D">
        <w:rPr>
          <w:b/>
          <w:bCs/>
        </w:rPr>
        <w:t xml:space="preserve">довать преступления на почве ненависти и обеспечить, чтобы виновные </w:t>
      </w:r>
      <w:proofErr w:type="gramStart"/>
      <w:r w:rsidRPr="00B50D9D">
        <w:rPr>
          <w:b/>
          <w:bCs/>
        </w:rPr>
        <w:t>п</w:t>
      </w:r>
      <w:r w:rsidR="00482159">
        <w:rPr>
          <w:b/>
          <w:bCs/>
        </w:rPr>
        <w:t>ривлекались к ответственности и в случае осуждения</w:t>
      </w:r>
      <w:r w:rsidRPr="00B50D9D">
        <w:rPr>
          <w:b/>
          <w:bCs/>
        </w:rPr>
        <w:t xml:space="preserve"> к ним примен</w:t>
      </w:r>
      <w:r w:rsidRPr="00B50D9D">
        <w:rPr>
          <w:b/>
          <w:bCs/>
        </w:rPr>
        <w:t>я</w:t>
      </w:r>
      <w:r w:rsidRPr="00B50D9D">
        <w:rPr>
          <w:b/>
          <w:bCs/>
        </w:rPr>
        <w:t>лось</w:t>
      </w:r>
      <w:proofErr w:type="gramEnd"/>
      <w:r w:rsidRPr="00B50D9D">
        <w:rPr>
          <w:b/>
          <w:bCs/>
        </w:rPr>
        <w:t xml:space="preserve"> соответствующее наказание, а жертвы получали необходимые средства правовой защиты.</w:t>
      </w:r>
    </w:p>
    <w:p w:rsidR="00B50D9D" w:rsidRPr="00B50D9D" w:rsidRDefault="00B50D9D" w:rsidP="00165D4D">
      <w:pPr>
        <w:pStyle w:val="H23GR"/>
      </w:pPr>
      <w:r w:rsidRPr="00B50D9D">
        <w:tab/>
      </w:r>
      <w:r w:rsidRPr="00B50D9D">
        <w:tab/>
        <w:t>Сегрегация в школах по этническому признаку</w:t>
      </w:r>
    </w:p>
    <w:p w:rsidR="00B50D9D" w:rsidRPr="00B50D9D" w:rsidRDefault="00B50D9D" w:rsidP="00B50D9D">
      <w:pPr>
        <w:pStyle w:val="SingleTxtGR"/>
      </w:pPr>
      <w:r w:rsidRPr="00B50D9D">
        <w:t>23.</w:t>
      </w:r>
      <w:r w:rsidRPr="00B50D9D">
        <w:tab/>
        <w:t>Комитет с озабоченностью отмечает, что, несмотря на некоторый пр</w:t>
      </w:r>
      <w:r w:rsidRPr="00B50D9D">
        <w:t>о</w:t>
      </w:r>
      <w:r w:rsidRPr="00B50D9D">
        <w:t xml:space="preserve">гресс, практика </w:t>
      </w:r>
      <w:r w:rsidR="00165D4D">
        <w:t>«</w:t>
      </w:r>
      <w:r w:rsidRPr="00B50D9D">
        <w:t>двух школ под одной крышей</w:t>
      </w:r>
      <w:r w:rsidR="00165D4D">
        <w:t>»</w:t>
      </w:r>
      <w:r w:rsidRPr="00B50D9D">
        <w:t xml:space="preserve"> и моноэтнических школ все еще существует в некоторых частях государства-участника, </w:t>
      </w:r>
      <w:r w:rsidR="00165D4D">
        <w:t>увековечивая</w:t>
      </w:r>
      <w:r w:rsidRPr="00B50D9D">
        <w:t xml:space="preserve"> этн</w:t>
      </w:r>
      <w:r w:rsidRPr="00B50D9D">
        <w:t>и</w:t>
      </w:r>
      <w:r w:rsidRPr="00B50D9D">
        <w:t>ческую сегрегацию и дискриминацию в системе образования и подрывая ус</w:t>
      </w:r>
      <w:r w:rsidRPr="00B50D9D">
        <w:t>и</w:t>
      </w:r>
      <w:r w:rsidRPr="00B50D9D">
        <w:t>лия по д</w:t>
      </w:r>
      <w:r w:rsidRPr="00B50D9D">
        <w:t>о</w:t>
      </w:r>
      <w:r w:rsidRPr="00B50D9D">
        <w:t>стижению примирения (</w:t>
      </w:r>
      <w:r>
        <w:t>статьи</w:t>
      </w:r>
      <w:r w:rsidRPr="00B50D9D">
        <w:t xml:space="preserve"> 2 и 26).</w:t>
      </w:r>
    </w:p>
    <w:p w:rsidR="00B50D9D" w:rsidRPr="00B50D9D" w:rsidRDefault="00B50D9D" w:rsidP="00B50D9D">
      <w:pPr>
        <w:pStyle w:val="SingleTxtGR"/>
        <w:rPr>
          <w:b/>
        </w:rPr>
      </w:pPr>
      <w:r w:rsidRPr="00B50D9D">
        <w:t>24.</w:t>
      </w:r>
      <w:r w:rsidRPr="00B50D9D">
        <w:tab/>
      </w:r>
      <w:r w:rsidRPr="00B50D9D">
        <w:rPr>
          <w:b/>
          <w:bCs/>
        </w:rPr>
        <w:t>Государству-участнику следует продолжать усилия по обеспечению функционирования системы инклюзивного образования без какой-либо дискриминации и сегрегации на практике, в том числе по признаку этн</w:t>
      </w:r>
      <w:r w:rsidRPr="00B50D9D">
        <w:rPr>
          <w:b/>
          <w:bCs/>
        </w:rPr>
        <w:t>и</w:t>
      </w:r>
      <w:r w:rsidRPr="00B50D9D">
        <w:rPr>
          <w:b/>
          <w:bCs/>
        </w:rPr>
        <w:t>ческой или религиозной принадлежности.</w:t>
      </w:r>
    </w:p>
    <w:p w:rsidR="00B50D9D" w:rsidRPr="00B50D9D" w:rsidRDefault="00B50D9D" w:rsidP="00165D4D">
      <w:pPr>
        <w:pStyle w:val="H23GR"/>
      </w:pPr>
      <w:r w:rsidRPr="00B50D9D">
        <w:tab/>
      </w:r>
      <w:r w:rsidRPr="00B50D9D">
        <w:tab/>
        <w:t>Дискриминация по гендерному признаку</w:t>
      </w:r>
    </w:p>
    <w:p w:rsidR="00B50D9D" w:rsidRPr="00B50D9D" w:rsidRDefault="00B50D9D" w:rsidP="00B50D9D">
      <w:pPr>
        <w:pStyle w:val="SingleTxtGR"/>
      </w:pPr>
      <w:r w:rsidRPr="00B50D9D">
        <w:t>25.</w:t>
      </w:r>
      <w:r w:rsidRPr="00B50D9D">
        <w:tab/>
        <w:t>Приветствуя принятие поправок к Закону о запрещении дискриминации и ежегодного плана реализации плана действий по гендерным вопросам, Комитет выражает обеспокоенность в связи с сохраняющимся низким уровнем участия женщин в политической жизни и на рынке труда. Он также обеспокоен сообщ</w:t>
      </w:r>
      <w:r w:rsidRPr="00B50D9D">
        <w:t>е</w:t>
      </w:r>
      <w:r w:rsidRPr="00B50D9D">
        <w:t xml:space="preserve">ниями о том, что сотрудники полиции не расследуют нападения на лесбиянок, </w:t>
      </w:r>
      <w:r w:rsidR="00165D4D">
        <w:t>геев</w:t>
      </w:r>
      <w:r w:rsidRPr="00B50D9D">
        <w:t>, бисексуалов и трансгендеров, особенно во время публичных собраний (</w:t>
      </w:r>
      <w:r>
        <w:t>статьи</w:t>
      </w:r>
      <w:r w:rsidRPr="00B50D9D">
        <w:t xml:space="preserve"> 2, 3 и 26).</w:t>
      </w:r>
    </w:p>
    <w:p w:rsidR="00B50D9D" w:rsidRPr="00B50D9D" w:rsidRDefault="00B50D9D" w:rsidP="00B50D9D">
      <w:pPr>
        <w:pStyle w:val="SingleTxtGR"/>
        <w:rPr>
          <w:b/>
        </w:rPr>
      </w:pPr>
      <w:r w:rsidRPr="00B50D9D">
        <w:t>26.</w:t>
      </w:r>
      <w:r w:rsidRPr="00B50D9D">
        <w:tab/>
      </w:r>
      <w:r w:rsidRPr="00B50D9D">
        <w:rPr>
          <w:b/>
          <w:bCs/>
        </w:rPr>
        <w:t xml:space="preserve">Государству-участнику следует удвоить усилия в целях повышения представленности женщин в политической жизни и их полной интеграции на рынке труда. </w:t>
      </w:r>
      <w:proofErr w:type="gramStart"/>
      <w:r w:rsidRPr="00B50D9D">
        <w:rPr>
          <w:b/>
          <w:bCs/>
        </w:rPr>
        <w:t>Ему также следует обеспечить эффективное выявление актов насилия на почве сексуальной ориентации или гендерной иденти</w:t>
      </w:r>
      <w:r w:rsidRPr="00B50D9D">
        <w:rPr>
          <w:b/>
          <w:bCs/>
        </w:rPr>
        <w:t>ч</w:t>
      </w:r>
      <w:r w:rsidRPr="00B50D9D">
        <w:rPr>
          <w:b/>
          <w:bCs/>
        </w:rPr>
        <w:t>ности жертв, их регистрацию, расследование и судебное преследование и соответствующее наказание за их совершение, а также активизировать усилия по борьбе со стереотипами и предрассудками в отношении лесби</w:t>
      </w:r>
      <w:r w:rsidRPr="00B50D9D">
        <w:rPr>
          <w:b/>
          <w:bCs/>
        </w:rPr>
        <w:t>я</w:t>
      </w:r>
      <w:r w:rsidRPr="00B50D9D">
        <w:rPr>
          <w:b/>
          <w:bCs/>
        </w:rPr>
        <w:t xml:space="preserve">нок, </w:t>
      </w:r>
      <w:r w:rsidR="00165D4D">
        <w:rPr>
          <w:b/>
          <w:bCs/>
        </w:rPr>
        <w:t>геев</w:t>
      </w:r>
      <w:r w:rsidRPr="00B50D9D">
        <w:rPr>
          <w:b/>
          <w:bCs/>
        </w:rPr>
        <w:t>, бисексуалов и трансгендеров, в том числе посредством подгото</w:t>
      </w:r>
      <w:r w:rsidRPr="00B50D9D">
        <w:rPr>
          <w:b/>
          <w:bCs/>
        </w:rPr>
        <w:t>в</w:t>
      </w:r>
      <w:r w:rsidRPr="00B50D9D">
        <w:rPr>
          <w:b/>
          <w:bCs/>
        </w:rPr>
        <w:t>ки сотрудников правоохранительных органов.</w:t>
      </w:r>
      <w:proofErr w:type="gramEnd"/>
    </w:p>
    <w:p w:rsidR="00B50D9D" w:rsidRPr="00B50D9D" w:rsidRDefault="00B50D9D" w:rsidP="00165D4D">
      <w:pPr>
        <w:pStyle w:val="H23GR"/>
      </w:pPr>
      <w:r w:rsidRPr="00B50D9D">
        <w:lastRenderedPageBreak/>
        <w:tab/>
      </w:r>
      <w:r w:rsidRPr="00B50D9D">
        <w:tab/>
        <w:t>Насилие в семье</w:t>
      </w:r>
    </w:p>
    <w:p w:rsidR="00B50D9D" w:rsidRPr="00B50D9D" w:rsidRDefault="00B50D9D" w:rsidP="00B50D9D">
      <w:pPr>
        <w:pStyle w:val="SingleTxtGR"/>
      </w:pPr>
      <w:r w:rsidRPr="00B50D9D">
        <w:t>27.</w:t>
      </w:r>
      <w:r w:rsidRPr="00B50D9D">
        <w:tab/>
      </w:r>
      <w:proofErr w:type="gramStart"/>
      <w:r w:rsidRPr="00B50D9D">
        <w:t>Комитет обеспокоен сообщениями о том, что насилие в семье является хронической проблемой, о котор</w:t>
      </w:r>
      <w:r w:rsidR="003710CF">
        <w:t>о</w:t>
      </w:r>
      <w:r w:rsidRPr="00B50D9D">
        <w:t>й зачастую не сообщается, что сбор данных недостаточен, что реагирование полиции на случаи насилия в семье и механи</w:t>
      </w:r>
      <w:r w:rsidRPr="00B50D9D">
        <w:t>з</w:t>
      </w:r>
      <w:r w:rsidRPr="00B50D9D">
        <w:t>мы защиты и поддержки жертв являются недостаточными и что не хватает д</w:t>
      </w:r>
      <w:r w:rsidRPr="00B50D9D">
        <w:t>о</w:t>
      </w:r>
      <w:r w:rsidRPr="00B50D9D">
        <w:t>ступа к приютам на местном уровне (</w:t>
      </w:r>
      <w:r>
        <w:t>статьи</w:t>
      </w:r>
      <w:r w:rsidRPr="00B50D9D">
        <w:t xml:space="preserve"> 2, 3, 7 и 26).</w:t>
      </w:r>
      <w:proofErr w:type="gramEnd"/>
    </w:p>
    <w:p w:rsidR="00B50D9D" w:rsidRPr="00B50D9D" w:rsidRDefault="00B50D9D" w:rsidP="00B50D9D">
      <w:pPr>
        <w:pStyle w:val="SingleTxtGR"/>
        <w:rPr>
          <w:b/>
        </w:rPr>
      </w:pPr>
      <w:r w:rsidRPr="00B50D9D">
        <w:t>28.</w:t>
      </w:r>
      <w:r w:rsidRPr="00B50D9D">
        <w:tab/>
      </w:r>
      <w:r w:rsidRPr="00B50D9D">
        <w:rPr>
          <w:b/>
          <w:bCs/>
        </w:rPr>
        <w:t>Государству-участнику следует обеспечивать регистрацию и тщ</w:t>
      </w:r>
      <w:r w:rsidRPr="00B50D9D">
        <w:rPr>
          <w:b/>
          <w:bCs/>
        </w:rPr>
        <w:t>а</w:t>
      </w:r>
      <w:r w:rsidRPr="00B50D9D">
        <w:rPr>
          <w:b/>
          <w:bCs/>
        </w:rPr>
        <w:t>тельное расследование случаев насилия в семье, привлечение к уголовной ответственно</w:t>
      </w:r>
      <w:r w:rsidR="00482159">
        <w:rPr>
          <w:b/>
          <w:bCs/>
        </w:rPr>
        <w:t>сти виновных и применение к ним в случае осуждения</w:t>
      </w:r>
      <w:r w:rsidRPr="00B50D9D">
        <w:rPr>
          <w:b/>
          <w:bCs/>
        </w:rPr>
        <w:t xml:space="preserve"> соо</w:t>
      </w:r>
      <w:r w:rsidRPr="00B50D9D">
        <w:rPr>
          <w:b/>
          <w:bCs/>
        </w:rPr>
        <w:t>т</w:t>
      </w:r>
      <w:r w:rsidRPr="00B50D9D">
        <w:rPr>
          <w:b/>
          <w:bCs/>
        </w:rPr>
        <w:t>ветствующих мер наказания, а также предоставление пострадавшим д</w:t>
      </w:r>
      <w:r w:rsidRPr="00B50D9D">
        <w:rPr>
          <w:b/>
          <w:bCs/>
        </w:rPr>
        <w:t>о</w:t>
      </w:r>
      <w:r w:rsidRPr="00B50D9D">
        <w:rPr>
          <w:b/>
          <w:bCs/>
        </w:rPr>
        <w:t>ступа к эффективным средствам правовой защиты и средствам обеспеч</w:t>
      </w:r>
      <w:r w:rsidRPr="00B50D9D">
        <w:rPr>
          <w:b/>
          <w:bCs/>
        </w:rPr>
        <w:t>е</w:t>
      </w:r>
      <w:r w:rsidRPr="00B50D9D">
        <w:rPr>
          <w:b/>
          <w:bCs/>
        </w:rPr>
        <w:t>ния их безопасности, включая достаточное количество приютов во всех ч</w:t>
      </w:r>
      <w:r w:rsidRPr="00B50D9D">
        <w:rPr>
          <w:b/>
          <w:bCs/>
        </w:rPr>
        <w:t>а</w:t>
      </w:r>
      <w:r w:rsidRPr="00B50D9D">
        <w:rPr>
          <w:b/>
          <w:bCs/>
        </w:rPr>
        <w:t>стях страны. Кроме того, государству-участнику следует обеспечить, чтобы сотрудники полиции, прокуроры и</w:t>
      </w:r>
      <w:r w:rsidR="003710CF">
        <w:rPr>
          <w:b/>
          <w:bCs/>
        </w:rPr>
        <w:t xml:space="preserve"> судьи</w:t>
      </w:r>
      <w:r w:rsidRPr="00B50D9D">
        <w:rPr>
          <w:b/>
          <w:bCs/>
        </w:rPr>
        <w:t xml:space="preserve"> проходили надлежащую профе</w:t>
      </w:r>
      <w:r w:rsidRPr="00B50D9D">
        <w:rPr>
          <w:b/>
          <w:bCs/>
        </w:rPr>
        <w:t>с</w:t>
      </w:r>
      <w:r w:rsidRPr="00B50D9D">
        <w:rPr>
          <w:b/>
          <w:bCs/>
        </w:rPr>
        <w:t>сиональную подготовку для эффективного судебного рассмотрения дел о насилии в семье.</w:t>
      </w:r>
    </w:p>
    <w:p w:rsidR="00B50D9D" w:rsidRPr="00B50D9D" w:rsidRDefault="00B50D9D" w:rsidP="003710CF">
      <w:pPr>
        <w:pStyle w:val="H23GR"/>
      </w:pPr>
      <w:r w:rsidRPr="00B50D9D">
        <w:tab/>
      </w:r>
      <w:r w:rsidRPr="00B50D9D">
        <w:tab/>
        <w:t>Свобода и личная неприкосновенность</w:t>
      </w:r>
    </w:p>
    <w:p w:rsidR="00B50D9D" w:rsidRPr="00B50D9D" w:rsidRDefault="00B50D9D" w:rsidP="00B50D9D">
      <w:pPr>
        <w:pStyle w:val="SingleTxtGR"/>
      </w:pPr>
      <w:r w:rsidRPr="00B50D9D">
        <w:t>29.</w:t>
      </w:r>
      <w:r w:rsidRPr="00B50D9D">
        <w:tab/>
      </w:r>
      <w:proofErr w:type="gramStart"/>
      <w:r w:rsidRPr="00B50D9D">
        <w:t xml:space="preserve">Приветствуя </w:t>
      </w:r>
      <w:r w:rsidR="003710CF">
        <w:t>новые подвижки</w:t>
      </w:r>
      <w:r w:rsidRPr="00B50D9D">
        <w:t xml:space="preserve"> в области содержания под стражей, в том числе принятие Закона об инос</w:t>
      </w:r>
      <w:r w:rsidR="003710CF">
        <w:t>транцах и учреждение И</w:t>
      </w:r>
      <w:r w:rsidRPr="00B50D9D">
        <w:t>нститута судебной пс</w:t>
      </w:r>
      <w:r w:rsidRPr="00B50D9D">
        <w:t>и</w:t>
      </w:r>
      <w:r w:rsidRPr="00B50D9D">
        <w:t xml:space="preserve">хиатрии, Комитет по-прежнему выражает озабоченность в связи с сообщениями о </w:t>
      </w:r>
      <w:r w:rsidR="003710CF">
        <w:t>неправомерном</w:t>
      </w:r>
      <w:r w:rsidRPr="00B50D9D">
        <w:t xml:space="preserve"> обращении и тяжелых условиях в некоторых полицейских участках и местах содержания под стражей и отсутствием отделений для нес</w:t>
      </w:r>
      <w:r w:rsidRPr="00B50D9D">
        <w:t>о</w:t>
      </w:r>
      <w:r w:rsidRPr="00B50D9D">
        <w:t>вершеннолетних, находящихся в предв</w:t>
      </w:r>
      <w:r w:rsidR="003710CF">
        <w:t>арительном заключении.</w:t>
      </w:r>
      <w:proofErr w:type="gramEnd"/>
      <w:r w:rsidR="003710CF">
        <w:t xml:space="preserve"> Он также</w:t>
      </w:r>
      <w:r w:rsidR="003710CF">
        <w:br/>
      </w:r>
      <w:r w:rsidRPr="00B50D9D">
        <w:t xml:space="preserve">сожалеет об отсутствии информации, касающейся утверждений о </w:t>
      </w:r>
      <w:r w:rsidR="003710CF">
        <w:t>неправоме</w:t>
      </w:r>
      <w:r w:rsidR="003710CF">
        <w:t>р</w:t>
      </w:r>
      <w:r w:rsidR="003710CF">
        <w:t>ном</w:t>
      </w:r>
      <w:r w:rsidRPr="00B50D9D">
        <w:t xml:space="preserve"> обращении с лицами, содержащимися под стражей после демонстраций в феврале 2014 года. </w:t>
      </w:r>
      <w:r w:rsidR="003710CF">
        <w:t xml:space="preserve">Кроме того, </w:t>
      </w:r>
      <w:r w:rsidRPr="00B50D9D">
        <w:t xml:space="preserve">Комитет </w:t>
      </w:r>
      <w:r w:rsidR="003710CF">
        <w:t>испытывает обеспокоенность по пов</w:t>
      </w:r>
      <w:r w:rsidR="003710CF">
        <w:t>о</w:t>
      </w:r>
      <w:r w:rsidR="003710CF">
        <w:t>ду</w:t>
      </w:r>
      <w:r w:rsidRPr="00B50D9D">
        <w:t xml:space="preserve"> действующи</w:t>
      </w:r>
      <w:r w:rsidR="003710CF">
        <w:t>х</w:t>
      </w:r>
      <w:r w:rsidRPr="00B50D9D">
        <w:t xml:space="preserve"> ограничен</w:t>
      </w:r>
      <w:r w:rsidR="003710CF">
        <w:t>ий</w:t>
      </w:r>
      <w:r w:rsidRPr="00B50D9D">
        <w:t>, которые были нало</w:t>
      </w:r>
      <w:r w:rsidR="003710CF">
        <w:t>жены на Имада Аль-Хусина</w:t>
      </w:r>
      <w:r w:rsidR="003710CF">
        <w:br/>
      </w:r>
      <w:r w:rsidRPr="00B50D9D">
        <w:t>и Зеяда Халаф Хамади Аль-Гертани после их произвольного задержа</w:t>
      </w:r>
      <w:r w:rsidR="003710CF">
        <w:t>ния,</w:t>
      </w:r>
      <w:r w:rsidR="003710CF">
        <w:br/>
        <w:t>а также</w:t>
      </w:r>
      <w:r w:rsidRPr="00B50D9D">
        <w:t xml:space="preserve"> отказа от предоставления возмещения обоим лицам (см. сообщ</w:t>
      </w:r>
      <w:r w:rsidRPr="00B50D9D">
        <w:t>е</w:t>
      </w:r>
      <w:r w:rsidR="003710CF">
        <w:t>ние № </w:t>
      </w:r>
      <w:r w:rsidRPr="00B50D9D">
        <w:t>1955/2010 в отношении г-на Аль-Гертани) (</w:t>
      </w:r>
      <w:r>
        <w:t>статьи</w:t>
      </w:r>
      <w:r w:rsidRPr="00B50D9D">
        <w:t xml:space="preserve"> 7, 9, 10 и 12).</w:t>
      </w:r>
    </w:p>
    <w:p w:rsidR="00B50D9D" w:rsidRPr="00B50D9D" w:rsidRDefault="00B50D9D" w:rsidP="00B50D9D">
      <w:pPr>
        <w:pStyle w:val="SingleTxtGR"/>
        <w:rPr>
          <w:b/>
        </w:rPr>
      </w:pPr>
      <w:r w:rsidRPr="00B50D9D">
        <w:t>30.</w:t>
      </w:r>
      <w:r w:rsidRPr="00B50D9D">
        <w:tab/>
      </w:r>
      <w:r w:rsidRPr="00B50D9D">
        <w:rPr>
          <w:b/>
          <w:bCs/>
        </w:rPr>
        <w:t xml:space="preserve">Государству-участнику следует активизировать усилия в целях </w:t>
      </w:r>
      <w:proofErr w:type="gramStart"/>
      <w:r w:rsidRPr="00B50D9D">
        <w:rPr>
          <w:b/>
          <w:bCs/>
        </w:rPr>
        <w:t>улуч</w:t>
      </w:r>
      <w:r w:rsidR="00482159">
        <w:rPr>
          <w:b/>
          <w:bCs/>
        </w:rPr>
        <w:t>-</w:t>
      </w:r>
      <w:r w:rsidRPr="00B50D9D">
        <w:rPr>
          <w:b/>
          <w:bCs/>
        </w:rPr>
        <w:t>шения</w:t>
      </w:r>
      <w:proofErr w:type="gramEnd"/>
      <w:r w:rsidRPr="00B50D9D">
        <w:rPr>
          <w:b/>
          <w:bCs/>
        </w:rPr>
        <w:t xml:space="preserve"> обращения с лицами, лишенными свободы, и условий содержания под стражей и содействовать применению мер, альтернативных содерж</w:t>
      </w:r>
      <w:r w:rsidRPr="00B50D9D">
        <w:rPr>
          <w:b/>
          <w:bCs/>
        </w:rPr>
        <w:t>а</w:t>
      </w:r>
      <w:r w:rsidRPr="00B50D9D">
        <w:rPr>
          <w:b/>
          <w:bCs/>
        </w:rPr>
        <w:t>нию под</w:t>
      </w:r>
      <w:r w:rsidR="003710CF">
        <w:rPr>
          <w:b/>
          <w:bCs/>
        </w:rPr>
        <w:t xml:space="preserve"> стражей. Ему следует обеспечи</w:t>
      </w:r>
      <w:r w:rsidRPr="00B50D9D">
        <w:rPr>
          <w:b/>
          <w:bCs/>
        </w:rPr>
        <w:t>ть, чтобы у всех лишенных св</w:t>
      </w:r>
      <w:r w:rsidRPr="00B50D9D">
        <w:rPr>
          <w:b/>
          <w:bCs/>
        </w:rPr>
        <w:t>о</w:t>
      </w:r>
      <w:r w:rsidRPr="00B50D9D">
        <w:rPr>
          <w:b/>
          <w:bCs/>
        </w:rPr>
        <w:t xml:space="preserve">боды лиц имелся реальный доступ к процедурам подачи жалоб, чтобы в связи с жалобами на </w:t>
      </w:r>
      <w:r w:rsidR="003710CF">
        <w:rPr>
          <w:b/>
          <w:bCs/>
        </w:rPr>
        <w:t>неправомерное</w:t>
      </w:r>
      <w:r w:rsidRPr="00B50D9D">
        <w:rPr>
          <w:b/>
          <w:bCs/>
        </w:rPr>
        <w:t xml:space="preserve"> обращение проводилось эффективное рассл</w:t>
      </w:r>
      <w:r w:rsidRPr="00B50D9D">
        <w:rPr>
          <w:b/>
          <w:bCs/>
        </w:rPr>
        <w:t>е</w:t>
      </w:r>
      <w:r w:rsidRPr="00B50D9D">
        <w:rPr>
          <w:b/>
          <w:bCs/>
        </w:rPr>
        <w:t>дование и судебное преследование в отношении предполагаемых в</w:t>
      </w:r>
      <w:r w:rsidRPr="00B50D9D">
        <w:rPr>
          <w:b/>
          <w:bCs/>
        </w:rPr>
        <w:t>и</w:t>
      </w:r>
      <w:r w:rsidRPr="00B50D9D">
        <w:rPr>
          <w:b/>
          <w:bCs/>
        </w:rPr>
        <w:t>нов</w:t>
      </w:r>
      <w:r w:rsidR="00482159">
        <w:rPr>
          <w:b/>
          <w:bCs/>
        </w:rPr>
        <w:t>ных лиц, а также в случае их осуждения</w:t>
      </w:r>
      <w:r w:rsidRPr="00B50D9D">
        <w:rPr>
          <w:b/>
          <w:bCs/>
        </w:rPr>
        <w:t xml:space="preserve"> применялись соответствующие меры наказания, а жертвам предоставлялось надлежащее возмещение. Госуда</w:t>
      </w:r>
      <w:r w:rsidRPr="00B50D9D">
        <w:rPr>
          <w:b/>
          <w:bCs/>
        </w:rPr>
        <w:t>р</w:t>
      </w:r>
      <w:r w:rsidRPr="00B50D9D">
        <w:rPr>
          <w:b/>
          <w:bCs/>
        </w:rPr>
        <w:t>ству-участнику следует также обеспечить раздельное содержание несове</w:t>
      </w:r>
      <w:r w:rsidRPr="00B50D9D">
        <w:rPr>
          <w:b/>
          <w:bCs/>
        </w:rPr>
        <w:t>р</w:t>
      </w:r>
      <w:r w:rsidRPr="00B50D9D">
        <w:rPr>
          <w:b/>
          <w:bCs/>
        </w:rPr>
        <w:t>шеннолетних и взрослых заключенных на протяжении всех сроков лиш</w:t>
      </w:r>
      <w:r w:rsidRPr="00B50D9D">
        <w:rPr>
          <w:b/>
          <w:bCs/>
        </w:rPr>
        <w:t>е</w:t>
      </w:r>
      <w:r w:rsidRPr="00B50D9D">
        <w:rPr>
          <w:b/>
          <w:bCs/>
        </w:rPr>
        <w:t>ния свободы. Кроме того, государству-участнику следует обеспечить, чтобы отдельные лица не подвергались неоправданно жестким ограничениям в праве на свободу передвижения и получали возмещение за периоды прои</w:t>
      </w:r>
      <w:r w:rsidRPr="00B50D9D">
        <w:rPr>
          <w:b/>
          <w:bCs/>
        </w:rPr>
        <w:t>з</w:t>
      </w:r>
      <w:r w:rsidRPr="00B50D9D">
        <w:rPr>
          <w:b/>
          <w:bCs/>
        </w:rPr>
        <w:t>вольного задержания.</w:t>
      </w:r>
    </w:p>
    <w:p w:rsidR="00B50D9D" w:rsidRPr="00B50D9D" w:rsidRDefault="00B50D9D" w:rsidP="003710CF">
      <w:pPr>
        <w:pStyle w:val="H23GR"/>
      </w:pPr>
      <w:r w:rsidRPr="00B50D9D">
        <w:tab/>
      </w:r>
      <w:r w:rsidRPr="00B50D9D">
        <w:tab/>
        <w:t>Защита несовершеннолетних и права ребенка</w:t>
      </w:r>
    </w:p>
    <w:p w:rsidR="00B50D9D" w:rsidRPr="00B50D9D" w:rsidRDefault="00B50D9D" w:rsidP="00B50D9D">
      <w:pPr>
        <w:pStyle w:val="SingleTxtGR"/>
      </w:pPr>
      <w:r w:rsidRPr="00B50D9D">
        <w:t>31.</w:t>
      </w:r>
      <w:r w:rsidRPr="00B50D9D">
        <w:tab/>
        <w:t>Отмечая, что в Плане действий в интересах д</w:t>
      </w:r>
      <w:r w:rsidR="00482159">
        <w:t>етей Боснии и Герцеговины (2015–</w:t>
      </w:r>
      <w:r w:rsidRPr="00B50D9D">
        <w:t>2018 годы) предусматривается принятие законов, запрещающих телесные наказания детей в любых обстоятельствах, Комитет обеспокоен продолжением практики телесных наказаний, особенно в семье. Комитет также обеспокоен с</w:t>
      </w:r>
      <w:r w:rsidRPr="00B50D9D">
        <w:t>о</w:t>
      </w:r>
      <w:r w:rsidRPr="00B50D9D">
        <w:t>общениями о том, что некоторые дети-инвалиды полностью остаются вне с</w:t>
      </w:r>
      <w:r w:rsidRPr="00B50D9D">
        <w:t>и</w:t>
      </w:r>
      <w:r w:rsidRPr="00B50D9D">
        <w:t>стемы образования (</w:t>
      </w:r>
      <w:r>
        <w:t>статьи</w:t>
      </w:r>
      <w:r w:rsidRPr="00B50D9D">
        <w:t xml:space="preserve"> 6, 24 и 26).</w:t>
      </w:r>
    </w:p>
    <w:p w:rsidR="00B50D9D" w:rsidRPr="00B50D9D" w:rsidRDefault="00B50D9D" w:rsidP="00B50D9D">
      <w:pPr>
        <w:pStyle w:val="SingleTxtGR"/>
        <w:rPr>
          <w:b/>
        </w:rPr>
      </w:pPr>
      <w:r w:rsidRPr="00B50D9D">
        <w:t>32.</w:t>
      </w:r>
      <w:r w:rsidRPr="00B50D9D">
        <w:tab/>
      </w:r>
      <w:r w:rsidRPr="00B50D9D">
        <w:rPr>
          <w:b/>
          <w:bCs/>
        </w:rPr>
        <w:t xml:space="preserve">Государству-участнику следует принять практические меры, в том числе на законодательном уровне, с целью положить конец применению </w:t>
      </w:r>
      <w:r w:rsidRPr="00B50D9D">
        <w:rPr>
          <w:b/>
          <w:bCs/>
        </w:rPr>
        <w:lastRenderedPageBreak/>
        <w:t>телесных наказаний в любых обстоятельствах. Ему следует поощрять н</w:t>
      </w:r>
      <w:r w:rsidRPr="00B50D9D">
        <w:rPr>
          <w:b/>
          <w:bCs/>
        </w:rPr>
        <w:t>е</w:t>
      </w:r>
      <w:r w:rsidRPr="00B50D9D">
        <w:rPr>
          <w:b/>
          <w:bCs/>
        </w:rPr>
        <w:t xml:space="preserve">насильственные формы </w:t>
      </w:r>
      <w:r w:rsidR="003710CF">
        <w:rPr>
          <w:b/>
          <w:bCs/>
        </w:rPr>
        <w:t>поддержания</w:t>
      </w:r>
      <w:r w:rsidRPr="00B50D9D">
        <w:rPr>
          <w:b/>
          <w:bCs/>
        </w:rPr>
        <w:t xml:space="preserve"> дисциплины в качестве альтернатив телесному наказанию и проводить информационно-просветительские ка</w:t>
      </w:r>
      <w:r w:rsidRPr="00B50D9D">
        <w:rPr>
          <w:b/>
          <w:bCs/>
        </w:rPr>
        <w:t>м</w:t>
      </w:r>
      <w:r w:rsidRPr="00B50D9D">
        <w:rPr>
          <w:b/>
          <w:bCs/>
        </w:rPr>
        <w:t>пании с целью повышения уровня осведомленности о его пагубных после</w:t>
      </w:r>
      <w:r w:rsidRPr="00B50D9D">
        <w:rPr>
          <w:b/>
          <w:bCs/>
        </w:rPr>
        <w:t>д</w:t>
      </w:r>
      <w:r w:rsidRPr="00B50D9D">
        <w:rPr>
          <w:b/>
          <w:bCs/>
        </w:rPr>
        <w:t>ствиях. Особые усилия должны быть направлены на интеграцию всех д</w:t>
      </w:r>
      <w:r w:rsidRPr="00B50D9D">
        <w:rPr>
          <w:b/>
          <w:bCs/>
        </w:rPr>
        <w:t>е</w:t>
      </w:r>
      <w:r w:rsidRPr="00B50D9D">
        <w:rPr>
          <w:b/>
          <w:bCs/>
        </w:rPr>
        <w:t>тей-инвалидов в обычные школы, а в тех случаях, когда это абсолютно необходимо, в специальные школы.</w:t>
      </w:r>
    </w:p>
    <w:p w:rsidR="00B50D9D" w:rsidRPr="00B50D9D" w:rsidRDefault="00B50D9D" w:rsidP="00B50D9D">
      <w:pPr>
        <w:pStyle w:val="SingleTxtGR"/>
      </w:pPr>
      <w:r w:rsidRPr="00B50D9D">
        <w:t>33.</w:t>
      </w:r>
      <w:r w:rsidRPr="00B50D9D">
        <w:tab/>
        <w:t>Комитет обеспокоен практикой договорных браков, в том числе с нес</w:t>
      </w:r>
      <w:r w:rsidRPr="00B50D9D">
        <w:t>о</w:t>
      </w:r>
      <w:r w:rsidRPr="00B50D9D">
        <w:t>вершеннолетними рома в возрасте от 12 до 14 лет, и нежеланием прокуратуры расследовать дела, которые, возможно, связаны с торговлей детьми, и привл</w:t>
      </w:r>
      <w:r w:rsidRPr="00B50D9D">
        <w:t>е</w:t>
      </w:r>
      <w:r w:rsidRPr="00B50D9D">
        <w:t>кать виновных к уголовной ответственности (</w:t>
      </w:r>
      <w:r>
        <w:t>статьи</w:t>
      </w:r>
      <w:r w:rsidRPr="00B50D9D">
        <w:t xml:space="preserve"> 8 и 24).</w:t>
      </w:r>
    </w:p>
    <w:p w:rsidR="00B50D9D" w:rsidRPr="00B50D9D" w:rsidRDefault="00B50D9D" w:rsidP="00B50D9D">
      <w:pPr>
        <w:pStyle w:val="SingleTxtGR"/>
        <w:rPr>
          <w:b/>
        </w:rPr>
      </w:pPr>
      <w:r w:rsidRPr="00B50D9D">
        <w:t>34.</w:t>
      </w:r>
      <w:r w:rsidRPr="00B50D9D">
        <w:tab/>
      </w:r>
      <w:r w:rsidRPr="00B50D9D">
        <w:rPr>
          <w:b/>
          <w:bCs/>
        </w:rPr>
        <w:t>Государству-участнику следует осуществлять программы, специал</w:t>
      </w:r>
      <w:r w:rsidRPr="00B50D9D">
        <w:rPr>
          <w:b/>
          <w:bCs/>
        </w:rPr>
        <w:t>ь</w:t>
      </w:r>
      <w:r w:rsidRPr="00B50D9D">
        <w:rPr>
          <w:b/>
          <w:bCs/>
        </w:rPr>
        <w:t>но разработанные в целях сокращения числа детских браков и подготовки прокуроров к расследованию случаев вступления в брак в раннем во</w:t>
      </w:r>
      <w:r w:rsidRPr="00B50D9D">
        <w:rPr>
          <w:b/>
          <w:bCs/>
        </w:rPr>
        <w:t>з</w:t>
      </w:r>
      <w:r w:rsidRPr="00B50D9D">
        <w:rPr>
          <w:b/>
          <w:bCs/>
        </w:rPr>
        <w:t>расте, связанных с торговлей людьми.</w:t>
      </w:r>
    </w:p>
    <w:p w:rsidR="00B50D9D" w:rsidRPr="00B50D9D" w:rsidRDefault="00B50D9D" w:rsidP="003710CF">
      <w:pPr>
        <w:pStyle w:val="H23GR"/>
      </w:pPr>
      <w:r w:rsidRPr="00B50D9D">
        <w:tab/>
      </w:r>
      <w:r w:rsidRPr="00B50D9D">
        <w:tab/>
        <w:t>Беженцы и перемещенные лица</w:t>
      </w:r>
    </w:p>
    <w:p w:rsidR="00B50D9D" w:rsidRPr="00B50D9D" w:rsidRDefault="00B50D9D" w:rsidP="00B50D9D">
      <w:pPr>
        <w:pStyle w:val="SingleTxtGR"/>
      </w:pPr>
      <w:r w:rsidRPr="00B50D9D">
        <w:t>35.</w:t>
      </w:r>
      <w:r w:rsidRPr="00B50D9D">
        <w:tab/>
        <w:t>Приветствуя усилия, прилагаемые государством-участником в деле з</w:t>
      </w:r>
      <w:r w:rsidRPr="00B50D9D">
        <w:t>а</w:t>
      </w:r>
      <w:r w:rsidRPr="00B50D9D">
        <w:t>крытия коллективных центров для внутренне перемещенных лиц и предоста</w:t>
      </w:r>
      <w:r w:rsidRPr="00B50D9D">
        <w:t>в</w:t>
      </w:r>
      <w:r w:rsidRPr="00B50D9D">
        <w:t xml:space="preserve">ления им альтернативного жилья, Комитет по-прежнему обеспокоен тем, что </w:t>
      </w:r>
      <w:r w:rsidR="003710CF">
        <w:t>возвращенцы</w:t>
      </w:r>
      <w:r w:rsidRPr="00B50D9D">
        <w:t xml:space="preserve"> и внутренне перемещенные лица продолжают сталкиваться с ди</w:t>
      </w:r>
      <w:r w:rsidRPr="00B50D9D">
        <w:t>с</w:t>
      </w:r>
      <w:r w:rsidRPr="00B50D9D">
        <w:t xml:space="preserve">криминацией, в том числе в сфере занятости и образования, что препятствует их реинтеграции в общество. Он </w:t>
      </w:r>
      <w:r w:rsidR="003710CF">
        <w:t>далее</w:t>
      </w:r>
      <w:r w:rsidRPr="00B50D9D">
        <w:t xml:space="preserve"> обеспокоен сообщениями о том, что л</w:t>
      </w:r>
      <w:r w:rsidRPr="00B50D9D">
        <w:t>и</w:t>
      </w:r>
      <w:r w:rsidRPr="00B50D9D">
        <w:t xml:space="preserve">ца, </w:t>
      </w:r>
      <w:r w:rsidR="003710CF">
        <w:t>которым была предоставлена дополнительная международная защита</w:t>
      </w:r>
      <w:r w:rsidR="00482159">
        <w:t>,</w:t>
      </w:r>
      <w:r w:rsidR="00482159">
        <w:br/>
      </w:r>
      <w:r w:rsidRPr="00B50D9D">
        <w:t>не п</w:t>
      </w:r>
      <w:r w:rsidRPr="00B50D9D">
        <w:t>о</w:t>
      </w:r>
      <w:r w:rsidRPr="00B50D9D">
        <w:t>лучают доступа к услугам на равной основе с беженцами (</w:t>
      </w:r>
      <w:r>
        <w:t>статьи</w:t>
      </w:r>
      <w:r w:rsidRPr="00B50D9D">
        <w:t xml:space="preserve"> 12 и 26).</w:t>
      </w:r>
    </w:p>
    <w:p w:rsidR="00B50D9D" w:rsidRPr="00B50D9D" w:rsidRDefault="00B50D9D" w:rsidP="00B50D9D">
      <w:pPr>
        <w:pStyle w:val="SingleTxtGR"/>
        <w:rPr>
          <w:b/>
        </w:rPr>
      </w:pPr>
      <w:r w:rsidRPr="00B50D9D">
        <w:t>36.</w:t>
      </w:r>
      <w:r w:rsidRPr="00B50D9D">
        <w:tab/>
      </w:r>
      <w:r w:rsidRPr="00B50D9D">
        <w:rPr>
          <w:b/>
          <w:bCs/>
        </w:rPr>
        <w:t xml:space="preserve">Государству-участнику следует </w:t>
      </w:r>
      <w:r w:rsidR="003710CF">
        <w:rPr>
          <w:b/>
          <w:bCs/>
        </w:rPr>
        <w:t>укрепить усилия</w:t>
      </w:r>
      <w:r w:rsidRPr="00B50D9D">
        <w:rPr>
          <w:b/>
          <w:bCs/>
        </w:rPr>
        <w:t xml:space="preserve"> с целью полного </w:t>
      </w:r>
      <w:proofErr w:type="gramStart"/>
      <w:r w:rsidRPr="00B50D9D">
        <w:rPr>
          <w:b/>
          <w:bCs/>
        </w:rPr>
        <w:t>осу</w:t>
      </w:r>
      <w:r w:rsidR="00482159">
        <w:rPr>
          <w:b/>
          <w:bCs/>
        </w:rPr>
        <w:t>-</w:t>
      </w:r>
      <w:r w:rsidRPr="00B50D9D">
        <w:rPr>
          <w:b/>
          <w:bCs/>
        </w:rPr>
        <w:t>ществления</w:t>
      </w:r>
      <w:proofErr w:type="gramEnd"/>
      <w:r w:rsidRPr="00B50D9D">
        <w:rPr>
          <w:b/>
          <w:bCs/>
        </w:rPr>
        <w:t xml:space="preserve"> пересмотренной стратегии реализации приложения VII к Де</w:t>
      </w:r>
      <w:r w:rsidRPr="00B50D9D">
        <w:rPr>
          <w:b/>
          <w:bCs/>
        </w:rPr>
        <w:t>й</w:t>
      </w:r>
      <w:r w:rsidRPr="00B50D9D">
        <w:rPr>
          <w:b/>
          <w:bCs/>
        </w:rPr>
        <w:t xml:space="preserve">тонскому мирному соглашению для содействия реинтеграции </w:t>
      </w:r>
      <w:r w:rsidR="003710CF">
        <w:rPr>
          <w:b/>
          <w:bCs/>
        </w:rPr>
        <w:t>возвраще</w:t>
      </w:r>
      <w:r w:rsidR="003710CF">
        <w:rPr>
          <w:b/>
          <w:bCs/>
        </w:rPr>
        <w:t>н</w:t>
      </w:r>
      <w:r w:rsidR="003710CF">
        <w:rPr>
          <w:b/>
          <w:bCs/>
        </w:rPr>
        <w:t>цев</w:t>
      </w:r>
      <w:r w:rsidRPr="00B50D9D">
        <w:rPr>
          <w:b/>
          <w:bCs/>
        </w:rPr>
        <w:t xml:space="preserve"> и внутренне перемещенных лиц, а также осуществления их прав без какой-либо дискриминации. Ему также следует продолжать усилия по з</w:t>
      </w:r>
      <w:r w:rsidRPr="00B50D9D">
        <w:rPr>
          <w:b/>
          <w:bCs/>
        </w:rPr>
        <w:t>а</w:t>
      </w:r>
      <w:r w:rsidRPr="00B50D9D">
        <w:rPr>
          <w:b/>
          <w:bCs/>
        </w:rPr>
        <w:t>крытию коллективных центров и предоставлению альтернативного ж</w:t>
      </w:r>
      <w:r w:rsidRPr="00B50D9D">
        <w:rPr>
          <w:b/>
          <w:bCs/>
        </w:rPr>
        <w:t>и</w:t>
      </w:r>
      <w:r w:rsidRPr="00B50D9D">
        <w:rPr>
          <w:b/>
          <w:bCs/>
        </w:rPr>
        <w:t xml:space="preserve">лья для внутренне перемещенных лиц и обеспечивать, чтобы лица, </w:t>
      </w:r>
      <w:r w:rsidR="003710CF">
        <w:rPr>
          <w:b/>
          <w:bCs/>
        </w:rPr>
        <w:t>которым была предоставлена</w:t>
      </w:r>
      <w:r w:rsidRPr="00B50D9D">
        <w:rPr>
          <w:b/>
          <w:bCs/>
        </w:rPr>
        <w:t xml:space="preserve"> допол</w:t>
      </w:r>
      <w:r w:rsidR="003710CF">
        <w:rPr>
          <w:b/>
          <w:bCs/>
        </w:rPr>
        <w:t>нительная</w:t>
      </w:r>
      <w:r w:rsidRPr="00B50D9D">
        <w:rPr>
          <w:b/>
          <w:bCs/>
        </w:rPr>
        <w:t xml:space="preserve"> меж</w:t>
      </w:r>
      <w:r w:rsidR="003710CF">
        <w:rPr>
          <w:b/>
          <w:bCs/>
        </w:rPr>
        <w:t>дународная защита</w:t>
      </w:r>
      <w:r w:rsidRPr="00B50D9D">
        <w:rPr>
          <w:b/>
          <w:bCs/>
        </w:rPr>
        <w:t>, получали д</w:t>
      </w:r>
      <w:r w:rsidRPr="00B50D9D">
        <w:rPr>
          <w:b/>
          <w:bCs/>
        </w:rPr>
        <w:t>о</w:t>
      </w:r>
      <w:r w:rsidRPr="00B50D9D">
        <w:rPr>
          <w:b/>
          <w:bCs/>
        </w:rPr>
        <w:t>ступ к услугам на равной основе с беженцами, в том числе для воссоедин</w:t>
      </w:r>
      <w:r w:rsidRPr="00B50D9D">
        <w:rPr>
          <w:b/>
          <w:bCs/>
        </w:rPr>
        <w:t>е</w:t>
      </w:r>
      <w:r w:rsidRPr="00B50D9D">
        <w:rPr>
          <w:b/>
          <w:bCs/>
        </w:rPr>
        <w:t>ния семей и п</w:t>
      </w:r>
      <w:r w:rsidRPr="00B50D9D">
        <w:rPr>
          <w:b/>
          <w:bCs/>
        </w:rPr>
        <w:t>о</w:t>
      </w:r>
      <w:r w:rsidRPr="00B50D9D">
        <w:rPr>
          <w:b/>
          <w:bCs/>
        </w:rPr>
        <w:t>лучения проездных документов.</w:t>
      </w:r>
    </w:p>
    <w:p w:rsidR="00B50D9D" w:rsidRPr="00B50D9D" w:rsidRDefault="00B50D9D" w:rsidP="003710CF">
      <w:pPr>
        <w:pStyle w:val="H23GR"/>
      </w:pPr>
      <w:r w:rsidRPr="00B50D9D">
        <w:tab/>
      </w:r>
      <w:r w:rsidRPr="00B50D9D">
        <w:tab/>
        <w:t xml:space="preserve">Свобода </w:t>
      </w:r>
      <w:r w:rsidR="003710CF">
        <w:t>мнений и их свободное выражение</w:t>
      </w:r>
    </w:p>
    <w:p w:rsidR="00B50D9D" w:rsidRPr="00B50D9D" w:rsidRDefault="00B50D9D" w:rsidP="00B50D9D">
      <w:pPr>
        <w:pStyle w:val="SingleTxtGR"/>
      </w:pPr>
      <w:r w:rsidRPr="00B50D9D">
        <w:t>37.</w:t>
      </w:r>
      <w:r w:rsidRPr="00B50D9D">
        <w:tab/>
      </w:r>
      <w:proofErr w:type="gramStart"/>
      <w:r w:rsidRPr="00B50D9D">
        <w:t>Комитет обеспокоен сообщениями о преследованиях и запугивании жу</w:t>
      </w:r>
      <w:r w:rsidRPr="00B50D9D">
        <w:t>р</w:t>
      </w:r>
      <w:r w:rsidRPr="00B50D9D">
        <w:t>налистов и о том, что на средства массовой информации по-прежнему чрезме</w:t>
      </w:r>
      <w:r w:rsidRPr="00B50D9D">
        <w:t>р</w:t>
      </w:r>
      <w:r w:rsidRPr="00B50D9D">
        <w:t>ное</w:t>
      </w:r>
      <w:r w:rsidR="003710CF">
        <w:t xml:space="preserve"> влияние оказывают правительство</w:t>
      </w:r>
      <w:r w:rsidRPr="00B50D9D">
        <w:t>, политические партии и группы, пре</w:t>
      </w:r>
      <w:r w:rsidRPr="00B50D9D">
        <w:t>д</w:t>
      </w:r>
      <w:r w:rsidRPr="00B50D9D">
        <w:t>ставляющие частные интересы, а также о политическом и финансовом давл</w:t>
      </w:r>
      <w:r w:rsidRPr="00B50D9D">
        <w:t>е</w:t>
      </w:r>
      <w:r w:rsidRPr="00B50D9D">
        <w:t>нии со стороны правительства, с которым сталкиваются государственные вещ</w:t>
      </w:r>
      <w:r w:rsidRPr="00B50D9D">
        <w:t>а</w:t>
      </w:r>
      <w:r w:rsidRPr="00B50D9D">
        <w:t>тельные компании, что приводит к самоцензуре и субъективной подаче инфо</w:t>
      </w:r>
      <w:r w:rsidRPr="00B50D9D">
        <w:t>р</w:t>
      </w:r>
      <w:r w:rsidRPr="00B50D9D">
        <w:t>мации.</w:t>
      </w:r>
      <w:proofErr w:type="gramEnd"/>
      <w:r w:rsidRPr="00B50D9D">
        <w:t xml:space="preserve"> Он с озабоченностью отмечает, что Закон о свободе доступа к информ</w:t>
      </w:r>
      <w:r w:rsidRPr="00B50D9D">
        <w:t>а</w:t>
      </w:r>
      <w:r w:rsidRPr="00B50D9D">
        <w:t>ции пока не выполняется в полном объеме (</w:t>
      </w:r>
      <w:r>
        <w:t>статьи</w:t>
      </w:r>
      <w:r w:rsidRPr="00B50D9D">
        <w:t xml:space="preserve"> 17 и 19).</w:t>
      </w:r>
    </w:p>
    <w:p w:rsidR="00B50D9D" w:rsidRPr="00B50D9D" w:rsidRDefault="00B50D9D" w:rsidP="00B50D9D">
      <w:pPr>
        <w:pStyle w:val="SingleTxtGR"/>
        <w:rPr>
          <w:b/>
        </w:rPr>
      </w:pPr>
      <w:r w:rsidRPr="00B50D9D">
        <w:t>38.</w:t>
      </w:r>
      <w:r w:rsidRPr="00B50D9D">
        <w:tab/>
      </w:r>
      <w:r w:rsidRPr="00B50D9D">
        <w:rPr>
          <w:b/>
          <w:bCs/>
        </w:rPr>
        <w:t>Государству-участнику следует в полной мере обеспечить гарантии свободы выражения мнений и свободы прессы и средств массовой инфо</w:t>
      </w:r>
      <w:r w:rsidRPr="00B50D9D">
        <w:rPr>
          <w:b/>
          <w:bCs/>
        </w:rPr>
        <w:t>р</w:t>
      </w:r>
      <w:r w:rsidRPr="00B50D9D">
        <w:rPr>
          <w:b/>
          <w:bCs/>
        </w:rPr>
        <w:t>мации и доступа к информации. Оно должно тщательно расследовать все случаи нападений на журналистов и средства массовой информации и привлечь тех, кто несет за это ответственность, к суду и, если они будут признаны виновными, назначить соответствующие меры наказания. Гос</w:t>
      </w:r>
      <w:r w:rsidRPr="00B50D9D">
        <w:rPr>
          <w:b/>
          <w:bCs/>
        </w:rPr>
        <w:t>у</w:t>
      </w:r>
      <w:r w:rsidRPr="00B50D9D">
        <w:rPr>
          <w:b/>
          <w:bCs/>
        </w:rPr>
        <w:t>дарству-участнику следует принять меры для обеспечения того, чтобы с</w:t>
      </w:r>
      <w:r w:rsidRPr="00B50D9D">
        <w:rPr>
          <w:b/>
          <w:bCs/>
        </w:rPr>
        <w:t>и</w:t>
      </w:r>
      <w:r w:rsidRPr="00B50D9D">
        <w:rPr>
          <w:b/>
          <w:bCs/>
        </w:rPr>
        <w:t>стема государственного вещания не подвергалась политическому влиянию.</w:t>
      </w:r>
    </w:p>
    <w:p w:rsidR="00B50D9D" w:rsidRPr="00B50D9D" w:rsidRDefault="00B50D9D" w:rsidP="003710CF">
      <w:pPr>
        <w:pStyle w:val="H23GR"/>
      </w:pPr>
      <w:r w:rsidRPr="00B50D9D">
        <w:lastRenderedPageBreak/>
        <w:tab/>
      </w:r>
      <w:r w:rsidRPr="00B50D9D">
        <w:tab/>
        <w:t>Права лиц, принадлежащих к этническим, религиозным или языковым меньшинствам</w:t>
      </w:r>
    </w:p>
    <w:p w:rsidR="00B50D9D" w:rsidRPr="00B50D9D" w:rsidRDefault="00B50D9D" w:rsidP="00B50D9D">
      <w:pPr>
        <w:pStyle w:val="SingleTxtGR"/>
      </w:pPr>
      <w:r w:rsidRPr="00B50D9D">
        <w:t>39.</w:t>
      </w:r>
      <w:r w:rsidRPr="00B50D9D">
        <w:tab/>
      </w:r>
      <w:proofErr w:type="gramStart"/>
      <w:r w:rsidRPr="00B50D9D">
        <w:t>Приветствуя усилия, прилагаемые государством-участником в целях ли</w:t>
      </w:r>
      <w:r w:rsidRPr="00B50D9D">
        <w:t>к</w:t>
      </w:r>
      <w:r w:rsidRPr="00B50D9D">
        <w:t>видации дискриминации в отношении рома, в том числе меры по соверше</w:t>
      </w:r>
      <w:r w:rsidRPr="00B50D9D">
        <w:t>н</w:t>
      </w:r>
      <w:r w:rsidRPr="00B50D9D">
        <w:t>ствованию регистрации рождений среди населения рома и увеличению числе</w:t>
      </w:r>
      <w:r w:rsidRPr="00B50D9D">
        <w:t>н</w:t>
      </w:r>
      <w:r w:rsidRPr="00B50D9D">
        <w:t>ности детей рома, поступающих в школы, Комитет по-прежнему обеспокоен сохраняющейся де-факто дискриминацией в отношении доступа детей рома к образованию, высоким уровнем безработицы и отсутствием доступа к надл</w:t>
      </w:r>
      <w:r w:rsidRPr="00B50D9D">
        <w:t>е</w:t>
      </w:r>
      <w:r w:rsidRPr="00B50D9D">
        <w:t>жащему жилью (</w:t>
      </w:r>
      <w:r>
        <w:t>статьи</w:t>
      </w:r>
      <w:r w:rsidRPr="00B50D9D">
        <w:t xml:space="preserve"> 2, 24, 26 и 27).</w:t>
      </w:r>
      <w:proofErr w:type="gramEnd"/>
    </w:p>
    <w:p w:rsidR="00B50D9D" w:rsidRPr="00B50D9D" w:rsidRDefault="00B50D9D" w:rsidP="00B50D9D">
      <w:pPr>
        <w:pStyle w:val="SingleTxtGR"/>
        <w:rPr>
          <w:b/>
        </w:rPr>
      </w:pPr>
      <w:r w:rsidRPr="00B50D9D">
        <w:t>40.</w:t>
      </w:r>
      <w:r w:rsidRPr="00B50D9D">
        <w:tab/>
      </w:r>
      <w:r w:rsidRPr="00B50D9D">
        <w:rPr>
          <w:b/>
          <w:bCs/>
        </w:rPr>
        <w:t>Государству-участнику следует продолжать усилия по обеспечению регистрации рождения всех лиц на его территории, особенно рома, и борьбе с фактической дискриминацией рома посредством практических мер, пр</w:t>
      </w:r>
      <w:r w:rsidRPr="00B50D9D">
        <w:rPr>
          <w:b/>
          <w:bCs/>
        </w:rPr>
        <w:t>о</w:t>
      </w:r>
      <w:r w:rsidRPr="00B50D9D">
        <w:rPr>
          <w:b/>
          <w:bCs/>
        </w:rPr>
        <w:t>грамм, стимулов и инициатив по повышению информированности с целью обеспечения полного осуществления всех их прав в соответствии с Пактом.</w:t>
      </w:r>
    </w:p>
    <w:p w:rsidR="00B50D9D" w:rsidRPr="00B50D9D" w:rsidRDefault="00B50D9D" w:rsidP="003710CF">
      <w:pPr>
        <w:pStyle w:val="H1GR"/>
      </w:pPr>
      <w:r w:rsidRPr="00B50D9D">
        <w:tab/>
        <w:t>D.</w:t>
      </w:r>
      <w:r w:rsidRPr="00B50D9D">
        <w:tab/>
        <w:t>Распространение информации и последующие меры</w:t>
      </w:r>
    </w:p>
    <w:p w:rsidR="00B50D9D" w:rsidRPr="00B50D9D" w:rsidRDefault="00B50D9D" w:rsidP="00B50D9D">
      <w:pPr>
        <w:pStyle w:val="SingleTxtGR"/>
      </w:pPr>
      <w:r w:rsidRPr="00B50D9D">
        <w:t>41.</w:t>
      </w:r>
      <w:r w:rsidRPr="00B50D9D">
        <w:tab/>
        <w:t>Государству-участнику следует широко распространить тексты Пакта, Факультативного протокола к нему, своего третьего периодического доклада и настоящих заключительных замечаний для повышения уровня информирова</w:t>
      </w:r>
      <w:r w:rsidRPr="00B50D9D">
        <w:t>н</w:t>
      </w:r>
      <w:r w:rsidRPr="00B50D9D">
        <w:t>ности о закрепленных в Пакте правах среди представителей судебных, закон</w:t>
      </w:r>
      <w:r w:rsidRPr="00B50D9D">
        <w:t>о</w:t>
      </w:r>
      <w:r w:rsidRPr="00B50D9D">
        <w:t>дательных и административных органов власти, гражданского общества и де</w:t>
      </w:r>
      <w:r w:rsidRPr="00B50D9D">
        <w:t>й</w:t>
      </w:r>
      <w:r w:rsidRPr="00B50D9D">
        <w:t>ствующих в стране неправительственных организаций, а также широкой общ</w:t>
      </w:r>
      <w:r w:rsidRPr="00B50D9D">
        <w:t>е</w:t>
      </w:r>
      <w:r w:rsidRPr="00B50D9D">
        <w:t>ственности. Государству-участнику сле</w:t>
      </w:r>
      <w:r w:rsidR="003710CF">
        <w:t>дует обеспечить перевод доклада</w:t>
      </w:r>
      <w:r w:rsidR="003710CF">
        <w:br/>
      </w:r>
      <w:r w:rsidRPr="00B50D9D">
        <w:t>и настоящих заключительных замечаний на официальн</w:t>
      </w:r>
      <w:r w:rsidR="003710CF">
        <w:t>ые языки государства-участника.</w:t>
      </w:r>
    </w:p>
    <w:p w:rsidR="00B50D9D" w:rsidRPr="00B50D9D" w:rsidRDefault="00B50D9D" w:rsidP="00B50D9D">
      <w:pPr>
        <w:pStyle w:val="SingleTxtGR"/>
      </w:pPr>
      <w:r w:rsidRPr="00B50D9D">
        <w:t>42.</w:t>
      </w:r>
      <w:r w:rsidRPr="00B50D9D">
        <w:tab/>
      </w:r>
      <w:proofErr w:type="gramStart"/>
      <w:r w:rsidRPr="00B50D9D">
        <w:t>В соответствии с пунктом 5 прави</w:t>
      </w:r>
      <w:r w:rsidR="00482159">
        <w:t>ла 71 правил процедуры Комитета</w:t>
      </w:r>
      <w:r w:rsidR="00482159">
        <w:br/>
      </w:r>
      <w:r w:rsidRPr="00B50D9D">
        <w:t>государство-участник должно представить в течение одного года с момента принятия настоящих заключительных замечаний информацию о выполнении им рекомендаций Комитета, изложенных в пунктах 14 (преступления против чел</w:t>
      </w:r>
      <w:r w:rsidRPr="00B50D9D">
        <w:t>о</w:t>
      </w:r>
      <w:r w:rsidRPr="00B50D9D">
        <w:t>вечности и другие международные преступления), 20 (насильственное исчезн</w:t>
      </w:r>
      <w:r w:rsidRPr="00B50D9D">
        <w:t>о</w:t>
      </w:r>
      <w:r w:rsidRPr="00B50D9D">
        <w:t>вение людей и пропавшие без вести лица) и 36 (беженцы и перемещенные л</w:t>
      </w:r>
      <w:r w:rsidRPr="00B50D9D">
        <w:t>и</w:t>
      </w:r>
      <w:r w:rsidR="00482159">
        <w:t>ца)</w:t>
      </w:r>
      <w:r w:rsidRPr="00B50D9D">
        <w:t xml:space="preserve"> выше.</w:t>
      </w:r>
      <w:proofErr w:type="gramEnd"/>
    </w:p>
    <w:p w:rsidR="00B50D9D" w:rsidRPr="00B50D9D" w:rsidRDefault="00B50D9D" w:rsidP="00B50D9D">
      <w:pPr>
        <w:pStyle w:val="SingleTxtGR"/>
      </w:pPr>
      <w:r w:rsidRPr="00B50D9D">
        <w:t>43.</w:t>
      </w:r>
      <w:r w:rsidRPr="00B50D9D">
        <w:tab/>
        <w:t>Комитет просит государство-участник представить свой следующий п</w:t>
      </w:r>
      <w:r w:rsidRPr="00B50D9D">
        <w:t>е</w:t>
      </w:r>
      <w:r w:rsidRPr="00B50D9D">
        <w:t>риодический доклад к 29 марта 2022 года. Поскольку государство-участник приняло упрощенную процедуру представления докладов, Комитет в соотве</w:t>
      </w:r>
      <w:r w:rsidRPr="00B50D9D">
        <w:t>т</w:t>
      </w:r>
      <w:r w:rsidRPr="00B50D9D">
        <w:t>ствующее время препроводит ему перечень вопросов до представления докл</w:t>
      </w:r>
      <w:r w:rsidRPr="00B50D9D">
        <w:t>а</w:t>
      </w:r>
      <w:r w:rsidRPr="00B50D9D">
        <w:t>да. Ответы государства-участника на этот перечень составят его четвертый п</w:t>
      </w:r>
      <w:r w:rsidRPr="00B50D9D">
        <w:t>е</w:t>
      </w:r>
      <w:r w:rsidRPr="00B50D9D">
        <w:t>риодический доклад. В соответствии с резолюцией 68/268 Генеральной Асса</w:t>
      </w:r>
      <w:r w:rsidRPr="00B50D9D">
        <w:t>м</w:t>
      </w:r>
      <w:r w:rsidRPr="00B50D9D">
        <w:t>блеи объем доклада не должен превышать 21 200 слов.</w:t>
      </w:r>
    </w:p>
    <w:p w:rsidR="00381C24" w:rsidRPr="003710CF" w:rsidRDefault="003710CF" w:rsidP="003710C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710CF" w:rsidSect="00B50D9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4D" w:rsidRPr="00A312BC" w:rsidRDefault="00165D4D" w:rsidP="00A312BC"/>
  </w:endnote>
  <w:endnote w:type="continuationSeparator" w:id="0">
    <w:p w:rsidR="00165D4D" w:rsidRPr="00A312BC" w:rsidRDefault="00165D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4D" w:rsidRPr="00B50D9D" w:rsidRDefault="00165D4D">
    <w:pPr>
      <w:pStyle w:val="a8"/>
    </w:pPr>
    <w:r w:rsidRPr="00B50D9D">
      <w:rPr>
        <w:b/>
        <w:sz w:val="18"/>
      </w:rPr>
      <w:fldChar w:fldCharType="begin"/>
    </w:r>
    <w:r w:rsidRPr="00B50D9D">
      <w:rPr>
        <w:b/>
        <w:sz w:val="18"/>
      </w:rPr>
      <w:instrText xml:space="preserve"> PAGE  \* MERGEFORMAT </w:instrText>
    </w:r>
    <w:r w:rsidRPr="00B50D9D">
      <w:rPr>
        <w:b/>
        <w:sz w:val="18"/>
      </w:rPr>
      <w:fldChar w:fldCharType="separate"/>
    </w:r>
    <w:r w:rsidR="008168C4">
      <w:rPr>
        <w:b/>
        <w:noProof/>
        <w:sz w:val="18"/>
      </w:rPr>
      <w:t>4</w:t>
    </w:r>
    <w:r w:rsidRPr="00B50D9D">
      <w:rPr>
        <w:b/>
        <w:sz w:val="18"/>
      </w:rPr>
      <w:fldChar w:fldCharType="end"/>
    </w:r>
    <w:r>
      <w:rPr>
        <w:b/>
        <w:sz w:val="18"/>
      </w:rPr>
      <w:tab/>
    </w:r>
    <w:r>
      <w:t>GE.17-06043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4D" w:rsidRPr="00B50D9D" w:rsidRDefault="00165D4D" w:rsidP="00B50D9D">
    <w:pPr>
      <w:pStyle w:val="a8"/>
      <w:tabs>
        <w:tab w:val="clear" w:pos="9639"/>
        <w:tab w:val="right" w:pos="9638"/>
      </w:tabs>
      <w:rPr>
        <w:b/>
        <w:sz w:val="18"/>
      </w:rPr>
    </w:pPr>
    <w:r>
      <w:t>GE.17-06043</w:t>
    </w:r>
    <w:r>
      <w:tab/>
    </w:r>
    <w:r w:rsidRPr="00B50D9D">
      <w:rPr>
        <w:b/>
        <w:sz w:val="18"/>
      </w:rPr>
      <w:fldChar w:fldCharType="begin"/>
    </w:r>
    <w:r w:rsidRPr="00B50D9D">
      <w:rPr>
        <w:b/>
        <w:sz w:val="18"/>
      </w:rPr>
      <w:instrText xml:space="preserve"> PAGE  \* MERGEFORMAT </w:instrText>
    </w:r>
    <w:r w:rsidRPr="00B50D9D">
      <w:rPr>
        <w:b/>
        <w:sz w:val="18"/>
      </w:rPr>
      <w:fldChar w:fldCharType="separate"/>
    </w:r>
    <w:r w:rsidR="008168C4">
      <w:rPr>
        <w:b/>
        <w:noProof/>
        <w:sz w:val="18"/>
      </w:rPr>
      <w:t>5</w:t>
    </w:r>
    <w:r w:rsidRPr="00B50D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4D" w:rsidRPr="00B50D9D" w:rsidRDefault="00165D4D" w:rsidP="00B50D9D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BB14437" wp14:editId="4A92B9E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17-06043  (R)</w:t>
    </w:r>
    <w:r w:rsidR="00FB6432">
      <w:t xml:space="preserve">  </w:t>
    </w:r>
    <w:r w:rsidR="00FB6432">
      <w:rPr>
        <w:lang w:val="en-US"/>
      </w:rPr>
      <w:t>160517  170517</w:t>
    </w:r>
    <w:r>
      <w:br/>
    </w:r>
    <w:r w:rsidRPr="00B50D9D">
      <w:rPr>
        <w:rFonts w:ascii="C39T30Lfz" w:hAnsi="C39T30Lfz"/>
        <w:spacing w:val="0"/>
        <w:w w:val="100"/>
        <w:sz w:val="56"/>
      </w:rPr>
      <w:t></w:t>
    </w:r>
    <w:r w:rsidRPr="00B50D9D">
      <w:rPr>
        <w:rFonts w:ascii="C39T30Lfz" w:hAnsi="C39T30Lfz"/>
        <w:spacing w:val="0"/>
        <w:w w:val="100"/>
        <w:sz w:val="56"/>
      </w:rPr>
      <w:t></w:t>
    </w:r>
    <w:r w:rsidRPr="00B50D9D">
      <w:rPr>
        <w:rFonts w:ascii="C39T30Lfz" w:hAnsi="C39T30Lfz"/>
        <w:spacing w:val="0"/>
        <w:w w:val="100"/>
        <w:sz w:val="56"/>
      </w:rPr>
      <w:t></w:t>
    </w:r>
    <w:r w:rsidRPr="00B50D9D">
      <w:rPr>
        <w:rFonts w:ascii="C39T30Lfz" w:hAnsi="C39T30Lfz"/>
        <w:spacing w:val="0"/>
        <w:w w:val="100"/>
        <w:sz w:val="56"/>
      </w:rPr>
      <w:t></w:t>
    </w:r>
    <w:r w:rsidRPr="00B50D9D">
      <w:rPr>
        <w:rFonts w:ascii="C39T30Lfz" w:hAnsi="C39T30Lfz"/>
        <w:spacing w:val="0"/>
        <w:w w:val="100"/>
        <w:sz w:val="56"/>
      </w:rPr>
      <w:t></w:t>
    </w:r>
    <w:r w:rsidRPr="00B50D9D">
      <w:rPr>
        <w:rFonts w:ascii="C39T30Lfz" w:hAnsi="C39T30Lfz"/>
        <w:spacing w:val="0"/>
        <w:w w:val="100"/>
        <w:sz w:val="56"/>
      </w:rPr>
      <w:t></w:t>
    </w:r>
    <w:r w:rsidRPr="00B50D9D">
      <w:rPr>
        <w:rFonts w:ascii="C39T30Lfz" w:hAnsi="C39T30Lfz"/>
        <w:spacing w:val="0"/>
        <w:w w:val="100"/>
        <w:sz w:val="56"/>
      </w:rPr>
      <w:t></w:t>
    </w:r>
    <w:r w:rsidRPr="00B50D9D">
      <w:rPr>
        <w:rFonts w:ascii="C39T30Lfz" w:hAnsi="C39T30Lfz"/>
        <w:spacing w:val="0"/>
        <w:w w:val="100"/>
        <w:sz w:val="56"/>
      </w:rPr>
      <w:t></w:t>
    </w:r>
    <w:r w:rsidRPr="00B50D9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CPR/C/BIH/CO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BIH/CO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4D" w:rsidRPr="001075E9" w:rsidRDefault="00165D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65D4D" w:rsidRDefault="00165D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65D4D" w:rsidRPr="009D5D74" w:rsidRDefault="00165D4D" w:rsidP="00B50D9D">
      <w:pPr>
        <w:pStyle w:val="ad"/>
        <w:spacing w:after="120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*</w:t>
      </w:r>
      <w:r>
        <w:rPr>
          <w:lang w:val="ru-RU"/>
        </w:rPr>
        <w:tab/>
        <w:t>Приняты К</w:t>
      </w:r>
      <w:r w:rsidR="00482159">
        <w:rPr>
          <w:lang w:val="ru-RU"/>
        </w:rPr>
        <w:t>омитетом на его 119-й сессии (6</w:t>
      </w:r>
      <w:r w:rsidR="00482159" w:rsidRPr="00482159">
        <w:rPr>
          <w:lang w:val="ru-RU"/>
        </w:rPr>
        <w:t>–</w:t>
      </w:r>
      <w:r>
        <w:rPr>
          <w:lang w:val="ru-RU"/>
        </w:rPr>
        <w:t>29 марта 2017 года).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4D" w:rsidRPr="00B50D9D" w:rsidRDefault="00165D4D">
    <w:pPr>
      <w:pStyle w:val="a5"/>
    </w:pPr>
    <w:fldSimple w:instr=" TITLE  \* MERGEFORMAT ">
      <w:r w:rsidR="008168C4">
        <w:t>CCPR/C/BIH/CO/3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4D" w:rsidRPr="00B50D9D" w:rsidRDefault="00165D4D" w:rsidP="00B50D9D">
    <w:pPr>
      <w:pStyle w:val="a5"/>
      <w:jc w:val="right"/>
    </w:pPr>
    <w:fldSimple w:instr=" TITLE  \* MERGEFORMAT ">
      <w:r w:rsidR="008168C4">
        <w:t>CCPR/C/BIH/CO/3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CC"/>
    <w:rsid w:val="00033EE1"/>
    <w:rsid w:val="00042B72"/>
    <w:rsid w:val="000558BD"/>
    <w:rsid w:val="000B4551"/>
    <w:rsid w:val="000B57E7"/>
    <w:rsid w:val="000B6373"/>
    <w:rsid w:val="000D5C9D"/>
    <w:rsid w:val="000F09DF"/>
    <w:rsid w:val="000F61B2"/>
    <w:rsid w:val="001075E9"/>
    <w:rsid w:val="00165D4D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10CF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82159"/>
    <w:rsid w:val="00490BC8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06B58"/>
    <w:rsid w:val="00666B97"/>
    <w:rsid w:val="00681A10"/>
    <w:rsid w:val="006A1ED8"/>
    <w:rsid w:val="006C2031"/>
    <w:rsid w:val="006D461A"/>
    <w:rsid w:val="006F35EE"/>
    <w:rsid w:val="007021FF"/>
    <w:rsid w:val="00712895"/>
    <w:rsid w:val="00757357"/>
    <w:rsid w:val="00791B9D"/>
    <w:rsid w:val="008168C4"/>
    <w:rsid w:val="00825F8D"/>
    <w:rsid w:val="00834B71"/>
    <w:rsid w:val="0086445C"/>
    <w:rsid w:val="008836CC"/>
    <w:rsid w:val="00894693"/>
    <w:rsid w:val="00896991"/>
    <w:rsid w:val="008A08D7"/>
    <w:rsid w:val="008B6909"/>
    <w:rsid w:val="00906890"/>
    <w:rsid w:val="00911BE4"/>
    <w:rsid w:val="00951972"/>
    <w:rsid w:val="009608F3"/>
    <w:rsid w:val="009918E2"/>
    <w:rsid w:val="009A24AC"/>
    <w:rsid w:val="00A14DA8"/>
    <w:rsid w:val="00A312BC"/>
    <w:rsid w:val="00A34D07"/>
    <w:rsid w:val="00A84021"/>
    <w:rsid w:val="00A84D35"/>
    <w:rsid w:val="00A917B3"/>
    <w:rsid w:val="00AB4B51"/>
    <w:rsid w:val="00B10CC7"/>
    <w:rsid w:val="00B136DB"/>
    <w:rsid w:val="00B50D9D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B6432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8</Pages>
  <Words>3105</Words>
  <Characters>21612</Characters>
  <Application>Microsoft Office Word</Application>
  <DocSecurity>0</DocSecurity>
  <Lines>397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CCPR/C/BIH/CO/3</vt:lpstr>
      <vt:lpstr>A/</vt:lpstr>
    </vt:vector>
  </TitlesOfParts>
  <Company>DCM</Company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CCPR/C/BIH/CO/3</dc:title>
  <dc:subject/>
  <dc:creator>Kisseleva</dc:creator>
  <cp:keywords/>
  <cp:lastModifiedBy>Kisseleva</cp:lastModifiedBy>
  <cp:revision>4</cp:revision>
  <cp:lastPrinted>2017-05-17T09:58:00Z</cp:lastPrinted>
  <dcterms:created xsi:type="dcterms:W3CDTF">2017-05-17T09:58:00Z</dcterms:created>
  <dcterms:modified xsi:type="dcterms:W3CDTF">2017-05-17T09:59:00Z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