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38C1A89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DB4F77" w14:textId="77777777" w:rsidR="002D5AAC" w:rsidRDefault="002D5AAC" w:rsidP="00A609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784576E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B1AF093" w14:textId="77777777" w:rsidR="002D5AAC" w:rsidRDefault="00A609F8" w:rsidP="00A609F8">
            <w:pPr>
              <w:jc w:val="right"/>
            </w:pPr>
            <w:r w:rsidRPr="00A609F8">
              <w:rPr>
                <w:sz w:val="40"/>
              </w:rPr>
              <w:t>CAT</w:t>
            </w:r>
            <w:r>
              <w:t>/C/LVA/CO/6</w:t>
            </w:r>
          </w:p>
        </w:tc>
      </w:tr>
      <w:tr w:rsidR="002D5AAC" w:rsidRPr="00793676" w14:paraId="07BCC808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E2B92A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FE13D3" wp14:editId="4F4B426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E62700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C72DAF4" w14:textId="77777777" w:rsidR="002D5AAC" w:rsidRPr="00A609F8" w:rsidRDefault="00A609F8" w:rsidP="00F90E40">
            <w:pPr>
              <w:spacing w:before="240"/>
              <w:rPr>
                <w:lang w:val="en-US"/>
              </w:rPr>
            </w:pPr>
            <w:r w:rsidRPr="00A609F8">
              <w:rPr>
                <w:lang w:val="en-US"/>
              </w:rPr>
              <w:t>Distr.: General</w:t>
            </w:r>
          </w:p>
          <w:p w14:paraId="3D46B193" w14:textId="77777777" w:rsidR="00A609F8" w:rsidRPr="00A609F8" w:rsidRDefault="00A609F8" w:rsidP="00A609F8">
            <w:pPr>
              <w:spacing w:line="240" w:lineRule="exact"/>
              <w:rPr>
                <w:lang w:val="en-US"/>
              </w:rPr>
            </w:pPr>
            <w:r w:rsidRPr="00A609F8">
              <w:rPr>
                <w:lang w:val="en-US"/>
              </w:rPr>
              <w:t>24 December 2019</w:t>
            </w:r>
          </w:p>
          <w:p w14:paraId="5C1717FC" w14:textId="77777777" w:rsidR="00A609F8" w:rsidRPr="00A609F8" w:rsidRDefault="00A609F8" w:rsidP="00A609F8">
            <w:pPr>
              <w:spacing w:line="240" w:lineRule="exact"/>
              <w:rPr>
                <w:lang w:val="en-US"/>
              </w:rPr>
            </w:pPr>
            <w:r w:rsidRPr="00A609F8">
              <w:rPr>
                <w:lang w:val="en-US"/>
              </w:rPr>
              <w:t>Russian</w:t>
            </w:r>
          </w:p>
          <w:p w14:paraId="7D00189A" w14:textId="77777777" w:rsidR="00A609F8" w:rsidRPr="00A609F8" w:rsidRDefault="00A609F8" w:rsidP="00A609F8">
            <w:pPr>
              <w:spacing w:line="240" w:lineRule="exact"/>
              <w:rPr>
                <w:lang w:val="en-US"/>
              </w:rPr>
            </w:pPr>
            <w:r w:rsidRPr="00A609F8">
              <w:rPr>
                <w:lang w:val="en-US"/>
              </w:rPr>
              <w:t>Original: English</w:t>
            </w:r>
          </w:p>
        </w:tc>
      </w:tr>
    </w:tbl>
    <w:p w14:paraId="70528696" w14:textId="77777777" w:rsidR="00934CF8" w:rsidRPr="00934CF8" w:rsidRDefault="00934CF8" w:rsidP="00934CF8">
      <w:pPr>
        <w:spacing w:before="120" w:line="360" w:lineRule="auto"/>
        <w:rPr>
          <w:b/>
          <w:sz w:val="24"/>
          <w:szCs w:val="24"/>
        </w:rPr>
      </w:pPr>
      <w:r w:rsidRPr="00934CF8">
        <w:rPr>
          <w:b/>
          <w:bCs/>
          <w:sz w:val="24"/>
          <w:szCs w:val="24"/>
        </w:rPr>
        <w:t>Комитет против пыток</w:t>
      </w:r>
    </w:p>
    <w:p w14:paraId="290224BA" w14:textId="77777777" w:rsidR="00934CF8" w:rsidRPr="00F83081" w:rsidRDefault="00934CF8" w:rsidP="00934CF8">
      <w:pPr>
        <w:pStyle w:val="HChG"/>
      </w:pPr>
      <w:r>
        <w:tab/>
      </w:r>
      <w:r>
        <w:tab/>
        <w:t>Заключительные замечания по шестому периодическому докладу Латвии</w:t>
      </w:r>
      <w:r w:rsidRPr="00640C44">
        <w:rPr>
          <w:b w:val="0"/>
          <w:sz w:val="20"/>
        </w:rPr>
        <w:footnoteReference w:customMarkFollows="1" w:id="1"/>
        <w:t>*</w:t>
      </w:r>
      <w:bookmarkStart w:id="0" w:name="_GoBack"/>
      <w:bookmarkEnd w:id="0"/>
    </w:p>
    <w:p w14:paraId="5247AD57" w14:textId="77777777" w:rsidR="00934CF8" w:rsidRPr="00F83081" w:rsidRDefault="00934CF8" w:rsidP="00934CF8">
      <w:pPr>
        <w:pStyle w:val="SingleTxtG"/>
      </w:pPr>
      <w:r>
        <w:t>1.</w:t>
      </w:r>
      <w:r>
        <w:tab/>
        <w:t>Комитет против пыток рассмотрел шестой периодический доклад Латвии (CAT/C/LVA/6) на своих 1798-м и 1801-м заседаниях (см. CAT/C/SR.1798 и 1801), состоявшихся 20 и 21 ноября 2019 года, и на своем 1820-м заседании 5 декабря 2019</w:t>
      </w:r>
      <w:r w:rsidR="00BA5255">
        <w:t> </w:t>
      </w:r>
      <w:r>
        <w:t>года принял настоящие заключительные замечания.</w:t>
      </w:r>
    </w:p>
    <w:p w14:paraId="22D1BE2C" w14:textId="77777777" w:rsidR="00934CF8" w:rsidRPr="00F83081" w:rsidRDefault="002C78C1" w:rsidP="00934CF8">
      <w:pPr>
        <w:pStyle w:val="H1G"/>
        <w:spacing w:line="360" w:lineRule="auto"/>
      </w:pPr>
      <w:r>
        <w:tab/>
      </w:r>
      <w:r w:rsidR="00934CF8">
        <w:t>A.</w:t>
      </w:r>
      <w:r w:rsidR="00934CF8">
        <w:tab/>
      </w:r>
      <w:r w:rsidR="00934CF8">
        <w:tab/>
      </w:r>
      <w:r w:rsidR="00934CF8">
        <w:rPr>
          <w:bCs/>
        </w:rPr>
        <w:t>Введение</w:t>
      </w:r>
    </w:p>
    <w:p w14:paraId="6379501C" w14:textId="77777777" w:rsidR="00934CF8" w:rsidRPr="00F83081" w:rsidRDefault="00934CF8" w:rsidP="00934CF8">
      <w:pPr>
        <w:pStyle w:val="SingleTxtG"/>
      </w:pPr>
      <w:r>
        <w:t>2.</w:t>
      </w:r>
      <w:r>
        <w:tab/>
        <w:t>Комитет приветствует диалог с делегацией государства-участника и устные и письменные ответы на вопросы, поднятые Комитетом.</w:t>
      </w:r>
    </w:p>
    <w:p w14:paraId="40032FDE" w14:textId="77777777" w:rsidR="00934CF8" w:rsidRPr="00F83081" w:rsidRDefault="002C78C1" w:rsidP="00934CF8">
      <w:pPr>
        <w:pStyle w:val="H1G"/>
        <w:spacing w:line="360" w:lineRule="auto"/>
      </w:pPr>
      <w:r>
        <w:tab/>
      </w:r>
      <w:r w:rsidR="00934CF8">
        <w:t>B.</w:t>
      </w:r>
      <w:r w:rsidR="00934CF8">
        <w:tab/>
      </w:r>
      <w:r w:rsidR="00934CF8">
        <w:tab/>
      </w:r>
      <w:r w:rsidR="00934CF8">
        <w:rPr>
          <w:bCs/>
        </w:rPr>
        <w:t>Позитивные аспекты</w:t>
      </w:r>
    </w:p>
    <w:p w14:paraId="55502E7D" w14:textId="77777777" w:rsidR="00934CF8" w:rsidRPr="00F83081" w:rsidRDefault="00934CF8" w:rsidP="00934CF8">
      <w:pPr>
        <w:pStyle w:val="SingleTxtG"/>
      </w:pPr>
      <w:r>
        <w:t>3.</w:t>
      </w:r>
      <w:r>
        <w:tab/>
        <w:t>Комитет приветствует инициативы государства-участника по пересмотру своего законодательства в областях, имеющих отношение к Конвенции:</w:t>
      </w:r>
    </w:p>
    <w:p w14:paraId="00145F42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а)</w:t>
      </w:r>
      <w:r w:rsidR="00934CF8">
        <w:tab/>
        <w:t xml:space="preserve">принятие в 2013 году поправок к Закону о гражданстве, упрощающих процедуры натурализации, в частности для детей в возрасте до 15 лет; </w:t>
      </w:r>
    </w:p>
    <w:p w14:paraId="28972565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b)</w:t>
      </w:r>
      <w:r w:rsidR="00934CF8">
        <w:tab/>
        <w:t>вступление в силу в 2014 году поправок к Уголовному кодексу, определяющих пытку как самостоятельное преступление в соответствии со статьей</w:t>
      </w:r>
      <w:r>
        <w:t> </w:t>
      </w:r>
      <w:r w:rsidR="00934CF8">
        <w:t>130</w:t>
      </w:r>
      <w:r w:rsidR="00934CF8" w:rsidRPr="009B5994">
        <w:rPr>
          <w:sz w:val="18"/>
          <w:szCs w:val="18"/>
          <w:vertAlign w:val="superscript"/>
        </w:rPr>
        <w:t>1</w:t>
      </w:r>
      <w:r w:rsidR="00934CF8">
        <w:t>;</w:t>
      </w:r>
    </w:p>
    <w:p w14:paraId="498252EF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c)</w:t>
      </w:r>
      <w:r w:rsidR="00934CF8">
        <w:tab/>
        <w:t>вступление в силу в 2018 году поправок к Уголовному кодексу, предусматривающих квалификацию изнасилования в браке в качестве отягчающего обстоятельства, и вступление в силу</w:t>
      </w:r>
      <w:r>
        <w:t xml:space="preserve"> </w:t>
      </w:r>
      <w:r w:rsidR="00934CF8">
        <w:t>в 2014 году законодательства о режиме защитных мер в отношении жертв насилия в семье;</w:t>
      </w:r>
    </w:p>
    <w:p w14:paraId="27B467A1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d)</w:t>
      </w:r>
      <w:r w:rsidR="00934CF8">
        <w:tab/>
        <w:t>вступление в силу в 2015 году поправок к статье 77 Кодекса об исполнении наказаний, касающихся минимальной площади на одного заключенного в одноместных и многоместных камерах;</w:t>
      </w:r>
    </w:p>
    <w:p w14:paraId="4EF845EF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e)</w:t>
      </w:r>
      <w:r w:rsidR="00934CF8">
        <w:tab/>
        <w:t>внесение в 2015 году поправок в Кодекс об исполнении наказаний, которые предусматривают перевод заключенных, отбывающих пожизненное заключение, в режим и помещения для заключенных, не отбывающих пожизненное заключение;</w:t>
      </w:r>
    </w:p>
    <w:p w14:paraId="259FAF60" w14:textId="77777777" w:rsidR="00934CF8" w:rsidRPr="00F83081" w:rsidRDefault="002C78C1" w:rsidP="00934CF8">
      <w:pPr>
        <w:pStyle w:val="SingleTxtG"/>
      </w:pPr>
      <w:r>
        <w:lastRenderedPageBreak/>
        <w:tab/>
      </w:r>
      <w:r w:rsidR="00934CF8">
        <w:tab/>
        <w:t>f)</w:t>
      </w:r>
      <w:r w:rsidR="00934CF8">
        <w:tab/>
        <w:t>вступление в силу в 2015 году поправок к статье 24</w:t>
      </w:r>
      <w:r w:rsidR="00934CF8" w:rsidRPr="00AE7918">
        <w:rPr>
          <w:sz w:val="18"/>
          <w:szCs w:val="18"/>
          <w:vertAlign w:val="superscript"/>
        </w:rPr>
        <w:t>1</w:t>
      </w:r>
      <w:r w:rsidR="00934CF8">
        <w:t xml:space="preserve"> Закона о вступлении в силу и осуществлении Уголовного кодекса, которые вносят дополнительные изменения в определение пытки;</w:t>
      </w:r>
    </w:p>
    <w:p w14:paraId="7A17CFA3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g)</w:t>
      </w:r>
      <w:r w:rsidR="00934CF8">
        <w:tab/>
        <w:t>вступление в силу в 2016 году</w:t>
      </w:r>
      <w:r>
        <w:t xml:space="preserve"> </w:t>
      </w:r>
      <w:r w:rsidR="00934CF8">
        <w:t>поправок к Уголовно-процессуальному кодексу, расширяющих основные правовые гарантии, предоставляемые лицам, лишенным свободы;</w:t>
      </w:r>
    </w:p>
    <w:p w14:paraId="7E859147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h)</w:t>
      </w:r>
      <w:r w:rsidR="00934CF8">
        <w:tab/>
        <w:t>вступление в силу в 2016 году поправок к Закону о порядке содержания задержанных лиц, предусматривающих, что арестованные лица могут содержаться под стражей в изоляторах краткосрочного содержания не более семи дней;</w:t>
      </w:r>
    </w:p>
    <w:p w14:paraId="652354BD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i)</w:t>
      </w:r>
      <w:r w:rsidR="00934CF8">
        <w:tab/>
        <w:t>принятие в 2015 году нового Закона об убежище, вступившего в силу в 2016 году, и поправок к нему в 2017 году, которые содержат ряд положений, устанавливающих более высокие стандарты для процедуры предоставления убежища, мер по интеграции и введения переселения;</w:t>
      </w:r>
    </w:p>
    <w:p w14:paraId="1776D1EC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j)</w:t>
      </w:r>
      <w:r w:rsidR="00934CF8">
        <w:tab/>
        <w:t>принятие парламентом в 2019 году и намеченное на 2020 год</w:t>
      </w:r>
      <w:r>
        <w:t xml:space="preserve"> </w:t>
      </w:r>
      <w:r w:rsidR="00934CF8">
        <w:t>вступление в силу Закона о прекращении действия статуса негражданина для детей;</w:t>
      </w:r>
    </w:p>
    <w:p w14:paraId="445FF67E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k)</w:t>
      </w:r>
      <w:r w:rsidR="00934CF8">
        <w:tab/>
        <w:t>намеченное вступление в силу в 2020 году Закона о судопроизводстве по делам об административных правонарушениях, в соответствии с которым арест более не рассматривается в качестве административного наказания.</w:t>
      </w:r>
    </w:p>
    <w:p w14:paraId="30801C9C" w14:textId="77777777" w:rsidR="00934CF8" w:rsidRPr="00640C44" w:rsidRDefault="00934CF8" w:rsidP="00934CF8">
      <w:pPr>
        <w:pStyle w:val="SingleTxtG"/>
      </w:pPr>
      <w:r>
        <w:t>4.</w:t>
      </w:r>
      <w:r>
        <w:tab/>
        <w:t>Комитет также приветствует следующие инициативы государства-участника по внесению изменений в свои политику, программы и административные меры по осуществлению Конвенции:</w:t>
      </w:r>
    </w:p>
    <w:p w14:paraId="3DD66889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а)</w:t>
      </w:r>
      <w:r w:rsidR="00934CF8">
        <w:tab/>
        <w:t>принятие в 2014 году Постановления № 25 о медицинском обслуживании задержанных и осужденных в местах содержания под стражей;</w:t>
      </w:r>
    </w:p>
    <w:p w14:paraId="65751DC5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b)</w:t>
      </w:r>
      <w:r w:rsidR="00934CF8">
        <w:tab/>
        <w:t>реализация в 2014 году</w:t>
      </w:r>
      <w:r>
        <w:t xml:space="preserve"> </w:t>
      </w:r>
      <w:r w:rsidR="00934CF8">
        <w:t xml:space="preserve">пилотного проекта по предоставлению заключенным, отбывающим пожизненное заключение, возможность для общения с родственниками через </w:t>
      </w:r>
      <w:r>
        <w:t>«</w:t>
      </w:r>
      <w:r w:rsidR="00934CF8">
        <w:t>Скайп</w:t>
      </w:r>
      <w:r>
        <w:t>»</w:t>
      </w:r>
      <w:r w:rsidR="00934CF8">
        <w:t>;</w:t>
      </w:r>
    </w:p>
    <w:p w14:paraId="5903EBC7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c)</w:t>
      </w:r>
      <w:r w:rsidR="00934CF8">
        <w:tab/>
        <w:t>вступление в силу в 2014 году изменений в Постановление Кабинета министров № 1493 от 22 декабря 2009 года, которые предусматривают виды правовой помощи, которые ранее не предоставлялись;</w:t>
      </w:r>
    </w:p>
    <w:p w14:paraId="067909A3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d)</w:t>
      </w:r>
      <w:r w:rsidR="00934CF8">
        <w:tab/>
        <w:t>принятие руководящих принципов по предотвращению торговли людьми на 2014</w:t>
      </w:r>
      <w:r>
        <w:t>–</w:t>
      </w:r>
      <w:r w:rsidR="00934CF8">
        <w:t>2020 годы в 2014 году;</w:t>
      </w:r>
    </w:p>
    <w:p w14:paraId="6C736B9C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e)</w:t>
      </w:r>
      <w:r w:rsidR="00934CF8">
        <w:tab/>
        <w:t>вступление в силу в 2014 году поправок к процессуальным и правовым положениям ряда законов, предусматривающих возможность введения временной защиты от насилия;</w:t>
      </w:r>
    </w:p>
    <w:p w14:paraId="22F41EC2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f)</w:t>
      </w:r>
      <w:r w:rsidR="00934CF8">
        <w:tab/>
        <w:t>принятие в 2014 году</w:t>
      </w:r>
      <w:r>
        <w:t xml:space="preserve"> </w:t>
      </w:r>
      <w:r w:rsidR="00934CF8">
        <w:t>Постановления Кабинета министров № 161 о порядке устранения угрозы насилия и предоставления временной защиты от насилия;</w:t>
      </w:r>
    </w:p>
    <w:p w14:paraId="0A4CBF4A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g)</w:t>
      </w:r>
      <w:r w:rsidR="00934CF8">
        <w:tab/>
        <w:t>наличие с 2015 года финансируемых государством служб социальной реабилитации для взрослых жертв насилия;</w:t>
      </w:r>
    </w:p>
    <w:p w14:paraId="3D531FF2" w14:textId="77777777" w:rsidR="00934CF8" w:rsidRPr="00F83081" w:rsidRDefault="002C78C1" w:rsidP="00934CF8">
      <w:pPr>
        <w:pStyle w:val="SingleTxtG"/>
      </w:pPr>
      <w:r>
        <w:tab/>
      </w:r>
      <w:r w:rsidR="00934CF8">
        <w:tab/>
        <w:t>h)</w:t>
      </w:r>
      <w:r w:rsidR="00934CF8">
        <w:tab/>
        <w:t>наличие с 2015 года возможностей для социальной реабилитации детей, признанных просителями убежища, которые пострадали от насилия.</w:t>
      </w:r>
    </w:p>
    <w:p w14:paraId="38FD6B3E" w14:textId="77777777" w:rsidR="00934CF8" w:rsidRPr="00F83081" w:rsidRDefault="002C78C1" w:rsidP="00054B6D">
      <w:pPr>
        <w:pStyle w:val="H1G"/>
      </w:pPr>
      <w:r>
        <w:tab/>
      </w:r>
      <w:r w:rsidR="00934CF8">
        <w:t>C.</w:t>
      </w:r>
      <w:r w:rsidR="00934CF8">
        <w:tab/>
      </w:r>
      <w:r w:rsidR="00934CF8">
        <w:tab/>
        <w:t>Основные вопросы, вызывающие обеспокоенность, и</w:t>
      </w:r>
      <w:r>
        <w:t> </w:t>
      </w:r>
      <w:r w:rsidR="00934CF8">
        <w:t>рекомендации</w:t>
      </w:r>
    </w:p>
    <w:p w14:paraId="6D080BAD" w14:textId="77777777" w:rsidR="00934CF8" w:rsidRPr="00F83081" w:rsidRDefault="00934CF8" w:rsidP="00054B6D">
      <w:pPr>
        <w:pStyle w:val="H23G"/>
      </w:pPr>
      <w:r>
        <w:tab/>
      </w:r>
      <w:r>
        <w:tab/>
        <w:t>Нерассмотренные вопросы последующей деятельности, связанные с</w:t>
      </w:r>
      <w:r w:rsidR="002C78C1">
        <w:t> </w:t>
      </w:r>
      <w:r>
        <w:t>предыдущим циклом представления докладов</w:t>
      </w:r>
    </w:p>
    <w:p w14:paraId="68B4EA1A" w14:textId="77777777" w:rsidR="00934CF8" w:rsidRPr="00F83081" w:rsidRDefault="002C78C1" w:rsidP="00934CF8">
      <w:pPr>
        <w:pStyle w:val="SingleTxtG"/>
      </w:pPr>
      <w:r>
        <w:tab/>
      </w:r>
      <w:r w:rsidR="00934CF8">
        <w:t>5.</w:t>
      </w:r>
      <w:r w:rsidR="00934CF8">
        <w:tab/>
        <w:t>В своих предыдущих заключительных замечаниях (CAT/C/LVA/CO/3-5, пункт</w:t>
      </w:r>
      <w:r>
        <w:t> </w:t>
      </w:r>
      <w:r w:rsidR="00934CF8">
        <w:t xml:space="preserve">28) Комитет просил государство-участник представить информацию о последующих мерах в ответ на его рекомендации, касающиеся укрепления правовых гарантий для лиц, лишенных свободы (там же, пункт 9), условий содержания под стражей (там же, пункт 19) и применения средств физического ограничения (там же, </w:t>
      </w:r>
      <w:r w:rsidR="00934CF8">
        <w:lastRenderedPageBreak/>
        <w:t>пункт 21). Комитет выражает свою признательность государству-участнику за его ответ по этим вопросам и за существенную информацию о последующих мерах, представленную 10 февраля 2015 года (CAT/C/LVA/CO/3-5/Add.1), а также за его шестой периодический доклад, представляющий собой ответ государства-участника на перечень вопросов Комитета (CAT/C/LVA/QPR/6). Однако с учетом этой информации Комитет считает, что вышеупомянутые рекомендации были выполнены лишь частично и включены для принятия последующих мер в настоящие заключительные замечания (см. пункт 11 об основных правовых гарантиях, пункт 15 об условиях содержания под стражей и пункт 23 об обращении с лицами, находящимися в социальных и психиатрических учреждениях ниже).</w:t>
      </w:r>
    </w:p>
    <w:p w14:paraId="7F85C3D4" w14:textId="77777777" w:rsidR="00934CF8" w:rsidRPr="00F83081" w:rsidRDefault="00934CF8" w:rsidP="00054B6D">
      <w:pPr>
        <w:pStyle w:val="H23G"/>
      </w:pPr>
      <w:r>
        <w:tab/>
      </w:r>
      <w:r>
        <w:tab/>
        <w:t>Определение пытки</w:t>
      </w:r>
    </w:p>
    <w:p w14:paraId="49B69ACB" w14:textId="77777777" w:rsidR="00934CF8" w:rsidRPr="00F83081" w:rsidRDefault="00934CF8" w:rsidP="00934CF8">
      <w:pPr>
        <w:pStyle w:val="SingleTxtG"/>
      </w:pPr>
      <w:r>
        <w:t>6.</w:t>
      </w:r>
      <w:r>
        <w:tab/>
        <w:t>Принимая к сведению поправки к определению пытки, включенному в статью</w:t>
      </w:r>
      <w:r w:rsidR="00054B6D">
        <w:t> </w:t>
      </w:r>
      <w:r>
        <w:t>24</w:t>
      </w:r>
      <w:r w:rsidRPr="007A0464">
        <w:rPr>
          <w:vertAlign w:val="superscript"/>
        </w:rPr>
        <w:t>1</w:t>
      </w:r>
      <w:r>
        <w:t xml:space="preserve"> Закона о введении в действие и применении Уголовного закона 2015 года, и ссылаясь на свои предыдущие заключительные замечания (CAT/C/LVA/CO/3-5, пункт 7), Комитет по-прежнему обеспокоен тем, что определение пытки в национальном законодательстве не отражает всех элементов, содержащихся в статье 1 Конвенции, таких как применение пытки в отношении какого-либо лица по любой причине, основанной на дискриминации любого рода, и прямое упоминание боли или страданий, причиняемых государственным должностным лицом, по его подстрекательству, с его ведома или молчаливого согласия, что может создать лазейки для безнаказанности, как об этом говорится в замечании общего порядка № 2 (2007) об имплементации статьи 2 (статьи 1, 2 и 4).</w:t>
      </w:r>
    </w:p>
    <w:p w14:paraId="7D5D4478" w14:textId="77777777" w:rsidR="00934CF8" w:rsidRPr="00845F3B" w:rsidRDefault="00934CF8" w:rsidP="00934CF8">
      <w:pPr>
        <w:pStyle w:val="SingleTxtG"/>
        <w:rPr>
          <w:b/>
          <w:bCs/>
        </w:rPr>
      </w:pPr>
      <w:r>
        <w:t>7.</w:t>
      </w:r>
      <w:r>
        <w:tab/>
      </w:r>
      <w:r w:rsidRPr="00845F3B">
        <w:rPr>
          <w:b/>
          <w:bCs/>
        </w:rPr>
        <w:t xml:space="preserve">Комитет вновь рекомендует государству-участнику внести поправки в свое законодательство, включив в него определение пытки, соответствующее Конвенции, которое охватывало бы все элементы, содержащиеся в статье 1, включая применение пыток к какому-либо лицу </w:t>
      </w:r>
      <w:r w:rsidRPr="00845F3B">
        <w:rPr>
          <w:b/>
        </w:rPr>
        <w:t>по</w:t>
      </w:r>
      <w:r w:rsidRPr="00845F3B">
        <w:rPr>
          <w:b/>
          <w:bCs/>
        </w:rPr>
        <w:t xml:space="preserve"> любой причине, основанной на дискриминации любого рода, и прямое упоминание о боли или страданиях, причиняемых государственным должностным лицом или иным лицом, выступающим в официальном качестве, или по их подстрекательству, или с их ведома или молчаливого согласия.</w:t>
      </w:r>
    </w:p>
    <w:p w14:paraId="7E18B0EB" w14:textId="77777777" w:rsidR="00934CF8" w:rsidRPr="00F83081" w:rsidRDefault="00934CF8" w:rsidP="00054B6D">
      <w:pPr>
        <w:pStyle w:val="H23G"/>
      </w:pPr>
      <w:r>
        <w:tab/>
      </w:r>
      <w:r>
        <w:tab/>
        <w:t>Пытка как отдельное уголовное преступление, меры наказания и срок давности в отношении актов пыток</w:t>
      </w:r>
    </w:p>
    <w:p w14:paraId="144814FF" w14:textId="77777777" w:rsidR="00934CF8" w:rsidRPr="00F83081" w:rsidRDefault="00934CF8" w:rsidP="00934CF8">
      <w:pPr>
        <w:pStyle w:val="SingleTxtG"/>
      </w:pPr>
      <w:r>
        <w:t>8.</w:t>
      </w:r>
      <w:r>
        <w:tab/>
        <w:t>Принимая к сведению поправки к Уголовному закону 2014 года, определяющие пытку в качестве самостоятельного преступления в соответствии со статьей 130</w:t>
      </w:r>
      <w:r w:rsidRPr="007A0464">
        <w:rPr>
          <w:vertAlign w:val="superscript"/>
        </w:rPr>
        <w:t>1</w:t>
      </w:r>
      <w:r>
        <w:t>, и ссылаясь на свои предыдущие заключительные замечания (CAT/C/LVA/CO/3-5, пункт</w:t>
      </w:r>
      <w:r w:rsidR="00054B6D">
        <w:t> </w:t>
      </w:r>
      <w:r>
        <w:t xml:space="preserve">8), Комитет по-прежнему обеспокоен тем, что меры наказания за акты пыток </w:t>
      </w:r>
      <w:r w:rsidR="00054B6D">
        <w:br/>
      </w:r>
      <w:r>
        <w:t>по-прежнему включены примерно в 14 различных статей Уголовного закона, в том числе в статьи 125, 126, 272</w:t>
      </w:r>
      <w:r w:rsidRPr="007A0464">
        <w:rPr>
          <w:vertAlign w:val="superscript"/>
        </w:rPr>
        <w:t>1</w:t>
      </w:r>
      <w:r>
        <w:t>, 294, 301 и 317. Он также обеспокоен тем, что наказания за акты пыток, применяемые в соответствии со статьей 130</w:t>
      </w:r>
      <w:r w:rsidRPr="007A0464">
        <w:rPr>
          <w:vertAlign w:val="superscript"/>
        </w:rPr>
        <w:t>1</w:t>
      </w:r>
      <w:r>
        <w:t xml:space="preserve"> Уголовного кодекса, варьируются от краткосрочного лишения свободы на срок до одного года до общественных работ или штрафа и что за преступление в форме превышения должностных полномочий в соответствии со статьей 317 государственное должностное лицо</w:t>
      </w:r>
      <w:r w:rsidR="002C78C1">
        <w:t xml:space="preserve"> </w:t>
      </w:r>
      <w:r>
        <w:t>наказывается лишением свободы на срок до пяти лет, если эти действия связаны с насилием или угрозой насилия, и до десяти лет, если они связаны с пытками, поскольку эти наказания не являются надлежащими наказаниями за преступление пытки. Кроме того, он обеспокоен отсутствием информации о минимальном наказании за акты пыток. Комитет серьезно обеспокоен тем, что на акты пыток в соответствии со статьей 130</w:t>
      </w:r>
      <w:r w:rsidRPr="007A0464">
        <w:rPr>
          <w:vertAlign w:val="superscript"/>
        </w:rPr>
        <w:t>1</w:t>
      </w:r>
      <w:r>
        <w:t xml:space="preserve"> Уголовного закона распространяется срок давности в пять лет с даты совершения преступления, который не соизмерим с тяжестью этого преступления, а на преступления серьезного характера в соответствии с другими статьями Уголовного закона распространяется более длительный срок давности (статьи 1, 2 и 4).</w:t>
      </w:r>
    </w:p>
    <w:p w14:paraId="2C5A2439" w14:textId="77777777" w:rsidR="00934CF8" w:rsidRPr="00934CF8" w:rsidRDefault="00934CF8" w:rsidP="00934CF8">
      <w:pPr>
        <w:pStyle w:val="SingleTxtG"/>
        <w:rPr>
          <w:b/>
        </w:rPr>
      </w:pPr>
      <w:r w:rsidRPr="00934CF8">
        <w:t>9.</w:t>
      </w:r>
      <w:r w:rsidRPr="00934CF8">
        <w:rPr>
          <w:b/>
        </w:rPr>
        <w:tab/>
        <w:t>Комитет вновь рекомендует государству-участнику:</w:t>
      </w:r>
    </w:p>
    <w:p w14:paraId="192C7148" w14:textId="77777777" w:rsidR="00934CF8" w:rsidRPr="00F83081" w:rsidRDefault="009D721A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9D721A">
        <w:rPr>
          <w:b/>
        </w:rPr>
        <w:tab/>
        <w:t>а)</w:t>
      </w:r>
      <w:r w:rsidR="00934CF8">
        <w:tab/>
      </w:r>
      <w:r w:rsidR="00934CF8">
        <w:rPr>
          <w:b/>
          <w:bCs/>
        </w:rPr>
        <w:t>внести поправки в свое законодательство с целью включения пытки в Уголовный кодекс в качестве отдельного преступления,</w:t>
      </w:r>
      <w:r w:rsidR="002C78C1">
        <w:rPr>
          <w:b/>
          <w:bCs/>
        </w:rPr>
        <w:t xml:space="preserve"> </w:t>
      </w:r>
      <w:r w:rsidR="00934CF8">
        <w:rPr>
          <w:b/>
          <w:bCs/>
        </w:rPr>
        <w:t xml:space="preserve">охватывающего все </w:t>
      </w:r>
      <w:r w:rsidR="00934CF8">
        <w:rPr>
          <w:b/>
          <w:bCs/>
        </w:rPr>
        <w:lastRenderedPageBreak/>
        <w:t>аспекты, содержащиеся в других статьях Уголовного кодекса, в соответствии с которыми оно также может преследоваться по закону;</w:t>
      </w:r>
      <w:r w:rsidR="00934CF8">
        <w:t xml:space="preserve"> </w:t>
      </w:r>
      <w:r w:rsidR="00934CF8">
        <w:rPr>
          <w:b/>
          <w:bCs/>
        </w:rPr>
        <w:t>обеспечить абсолютное запрещение пыток;</w:t>
      </w:r>
      <w:r w:rsidR="00934CF8">
        <w:t xml:space="preserve"> </w:t>
      </w:r>
      <w:r w:rsidR="00934CF8">
        <w:rPr>
          <w:b/>
          <w:bCs/>
        </w:rPr>
        <w:t>и обеспечить, чтобы наказания за пытки соответствовали тяжести преступления, как это предусмотрено в пункте 2 статье 4 Конвенции;</w:t>
      </w:r>
    </w:p>
    <w:p w14:paraId="59029113" w14:textId="77777777" w:rsidR="00934CF8" w:rsidRPr="001665A1" w:rsidRDefault="00934CF8" w:rsidP="00934CF8">
      <w:pPr>
        <w:pStyle w:val="SingleTxtG"/>
        <w:rPr>
          <w:b/>
          <w:bCs/>
        </w:rPr>
      </w:pPr>
      <w:r w:rsidRPr="001665A1">
        <w:rPr>
          <w:b/>
        </w:rPr>
        <w:tab/>
      </w:r>
      <w:r w:rsidR="001665A1">
        <w:rPr>
          <w:b/>
        </w:rPr>
        <w:tab/>
      </w:r>
      <w:r w:rsidRPr="001665A1">
        <w:rPr>
          <w:b/>
        </w:rPr>
        <w:t>b)</w:t>
      </w:r>
      <w:r w:rsidRPr="001665A1">
        <w:rPr>
          <w:b/>
        </w:rPr>
        <w:tab/>
      </w:r>
      <w:r w:rsidRPr="001665A1">
        <w:rPr>
          <w:b/>
          <w:bCs/>
        </w:rPr>
        <w:t>обеспечить, чтобы в силу абсолютного характера запрещения пыток никакого срока давности в отношении актов пыток</w:t>
      </w:r>
      <w:r w:rsidR="002C78C1" w:rsidRPr="001665A1">
        <w:rPr>
          <w:b/>
          <w:bCs/>
        </w:rPr>
        <w:t xml:space="preserve"> </w:t>
      </w:r>
      <w:r w:rsidRPr="001665A1">
        <w:rPr>
          <w:b/>
          <w:bCs/>
        </w:rPr>
        <w:t>предусмотрено не было, что позволило бы эффективным образом привлекать к ответственности, преследовать и наказывать лиц, совершающих такие преступления или причастных к ним;</w:t>
      </w:r>
    </w:p>
    <w:p w14:paraId="52846F67" w14:textId="77777777" w:rsidR="00934CF8" w:rsidRPr="00F8308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c)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 xml:space="preserve">представить информацию о минимальном наказании за акты пыток, а также </w:t>
      </w:r>
      <w:r w:rsidR="00934CF8">
        <w:rPr>
          <w:b/>
          <w:bCs/>
        </w:rPr>
        <w:t>о количестве и типе должностных лиц или других лиц, выступающих в официальном качестве, которые были привлечены к ответственности за акты пыток в течение рассматриваемого периода.</w:t>
      </w:r>
    </w:p>
    <w:p w14:paraId="3DB292AB" w14:textId="77777777" w:rsidR="00934CF8" w:rsidRPr="00F83081" w:rsidRDefault="00934CF8" w:rsidP="00934CF8">
      <w:pPr>
        <w:pStyle w:val="H23G"/>
        <w:spacing w:line="360" w:lineRule="auto"/>
      </w:pPr>
      <w:r>
        <w:tab/>
      </w:r>
      <w:r>
        <w:tab/>
      </w:r>
      <w:r>
        <w:rPr>
          <w:bCs/>
        </w:rPr>
        <w:t>Основные правовые гарантии</w:t>
      </w:r>
    </w:p>
    <w:p w14:paraId="06B17235" w14:textId="77777777" w:rsidR="00934CF8" w:rsidRPr="00F83081" w:rsidRDefault="00934CF8" w:rsidP="00934CF8">
      <w:pPr>
        <w:pStyle w:val="SingleTxtG"/>
      </w:pPr>
      <w:r>
        <w:t>10.</w:t>
      </w:r>
      <w:r>
        <w:tab/>
        <w:t>Комитет обеспокоен тем, что лишенные свободы лица не пользуются на практике всеми основными правовыми гарантиями, которые должны предоставляться с самого начала лишения их свободы, включая информирование о причинах их ареста и выдвинутых против них обвинениях или об их праве на безотлагательный доступ к адвокату и, в случае необходимости, к оплачиваемой государством юридической помощи, с тем чтобы они могли быть допрошены в присутствии их адвоката. Он также обеспокоен тем, что качество оплачиваемой государством юридической помощи не всегда позволяет эффективно гарантировать право на защиту и что неимущие и уязвимые лица зачастую не имеют доступа к оплачиваемой государством юридической помощи и поэтому лишены возможности подавать жалобы в Европейский суд по правам человека. Кроме того, он обеспокоен сохраняющейся нехваткой юристов, оказывающих оплачиваемую государством юридическую помощь, качеством этой помощи и тем, что оплата их труда все еще является недостаточной. Комитет особенно обеспокоен тем, что статья 129 Уголовного закона предусматривает наказания в виде тюремного заключения сроком до одного года, общественных работ или штрафа для сотрудников правоохранительных органов, которые наносят лицам при их аресте</w:t>
      </w:r>
      <w:r w:rsidR="002C78C1">
        <w:t xml:space="preserve"> </w:t>
      </w:r>
      <w:r>
        <w:t>травмы средней тяжести или серьезные повреждения (статьи 2, 11, 12, 13, 15 и 16).</w:t>
      </w:r>
    </w:p>
    <w:p w14:paraId="607704B0" w14:textId="77777777" w:rsidR="00934CF8" w:rsidRPr="00F83081" w:rsidRDefault="00934CF8" w:rsidP="00934CF8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Государству-участнику следует:</w:t>
      </w:r>
    </w:p>
    <w:p w14:paraId="50FBBEEF" w14:textId="77777777" w:rsidR="00934CF8" w:rsidRPr="00F8308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а)</w:t>
      </w:r>
      <w:r w:rsidR="00934CF8">
        <w:tab/>
      </w:r>
      <w:r w:rsidR="00934CF8">
        <w:rPr>
          <w:b/>
          <w:bCs/>
        </w:rPr>
        <w:t>обеспечить, чтобы всем лишенным свободы лицам, включая неимущих и уязвимых лиц, в соответствии с законом и на практике предоставлялись все основные правовые гарантии с самого начала лишения их свободы, включая информирование о причинах их ареста и выдвинутых против них обвинениях;</w:t>
      </w:r>
      <w:r w:rsidR="00934CF8">
        <w:t xml:space="preserve"> </w:t>
      </w:r>
      <w:r w:rsidR="00934CF8">
        <w:rPr>
          <w:b/>
          <w:bCs/>
        </w:rPr>
        <w:t>информирование о своих правах как в устной, так и в письменной форме, на понятном им языке;</w:t>
      </w:r>
      <w:r w:rsidR="00934CF8">
        <w:t xml:space="preserve"> </w:t>
      </w:r>
      <w:r w:rsidR="00934CF8">
        <w:rPr>
          <w:b/>
          <w:bCs/>
        </w:rPr>
        <w:t>информирование о своем праве на беспрепятственный доступ к независимому адвокату по своему выбору или, в</w:t>
      </w:r>
      <w:r w:rsidR="00FD303B">
        <w:rPr>
          <w:b/>
          <w:bCs/>
        </w:rPr>
        <w:t> </w:t>
      </w:r>
      <w:r w:rsidR="00934CF8">
        <w:rPr>
          <w:b/>
          <w:bCs/>
        </w:rPr>
        <w:t>случае необходимости, к оплачиваемой государством юридической помощи надлежащего качества, в том числе в ходе первоначального допроса и дознания;</w:t>
      </w:r>
      <w:r w:rsidR="00934CF8">
        <w:t xml:space="preserve"> </w:t>
      </w:r>
      <w:r w:rsidR="00934CF8">
        <w:rPr>
          <w:b/>
          <w:bCs/>
        </w:rPr>
        <w:t>право предстать перед судьей в сроки, установленные законом.</w:t>
      </w:r>
      <w:r w:rsidR="00934CF8">
        <w:t xml:space="preserve"> </w:t>
      </w:r>
      <w:r w:rsidR="00934CF8">
        <w:rPr>
          <w:b/>
          <w:bCs/>
        </w:rPr>
        <w:t>возможность уведомить члена семьи или любое другое лицо по своему выбору о своем задержании сразу же после задержания;</w:t>
      </w:r>
      <w:r w:rsidR="00934CF8">
        <w:t xml:space="preserve"> </w:t>
      </w:r>
      <w:r w:rsidR="00934CF8">
        <w:rPr>
          <w:b/>
          <w:bCs/>
        </w:rPr>
        <w:t>право запрашивать и проходить медицинское освидетельствование у независимого врача, в том числе врача, назначенного по их просьбе;</w:t>
      </w:r>
      <w:r w:rsidR="00934CF8">
        <w:t xml:space="preserve"> </w:t>
      </w:r>
      <w:r w:rsidR="00934CF8">
        <w:rPr>
          <w:b/>
          <w:bCs/>
        </w:rPr>
        <w:t>и регистрирование лишения их</w:t>
      </w:r>
      <w:r w:rsidR="002C78C1">
        <w:rPr>
          <w:b/>
          <w:bCs/>
        </w:rPr>
        <w:t xml:space="preserve"> </w:t>
      </w:r>
      <w:r w:rsidR="00934CF8">
        <w:rPr>
          <w:b/>
          <w:bCs/>
        </w:rPr>
        <w:t>свободы, включая переводы и телесные повреждения, в журналах учета на всех этапах;</w:t>
      </w:r>
      <w:r w:rsidR="00934CF8">
        <w:t xml:space="preserve"> </w:t>
      </w:r>
    </w:p>
    <w:p w14:paraId="64D8BF59" w14:textId="77777777" w:rsidR="00934CF8" w:rsidRPr="00F8308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b)</w:t>
      </w:r>
      <w:r w:rsidR="00934CF8">
        <w:tab/>
      </w:r>
      <w:r w:rsidR="00934CF8">
        <w:rPr>
          <w:b/>
          <w:bCs/>
        </w:rPr>
        <w:t>обеспечить более высокое качество и эффективность юридической помощи, в том числе за счет ежегодного увеличения размеров оплаты за различные виды оплачиваемой государством юридической помощи в соответствии с Постановлением Кабинета министров № 1493, а также достижения достаточного числа лиц, предоставляющих оплачиваемую государством юридическую помощь, во всех частях страны и получения адекватного вознаграждения за свои услуги;</w:t>
      </w:r>
    </w:p>
    <w:p w14:paraId="6A31A214" w14:textId="77777777" w:rsidR="00934CF8" w:rsidRPr="001665A1" w:rsidRDefault="001665A1" w:rsidP="00934CF8">
      <w:pPr>
        <w:pStyle w:val="SingleTxtG"/>
        <w:rPr>
          <w:b/>
          <w:bCs/>
        </w:rPr>
      </w:pPr>
      <w:r>
        <w:rPr>
          <w:b/>
        </w:rPr>
        <w:lastRenderedPageBreak/>
        <w:tab/>
      </w:r>
      <w:r w:rsidR="00934CF8" w:rsidRPr="001665A1">
        <w:rPr>
          <w:b/>
        </w:rPr>
        <w:tab/>
        <w:t>c)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>создать нормативную базу для эффективного надзора за предоставлением гарантий;</w:t>
      </w:r>
      <w:r w:rsidR="00934CF8" w:rsidRPr="001665A1">
        <w:rPr>
          <w:b/>
        </w:rPr>
        <w:t xml:space="preserve"> </w:t>
      </w:r>
      <w:r w:rsidR="00934CF8" w:rsidRPr="001665A1">
        <w:rPr>
          <w:b/>
          <w:bCs/>
        </w:rPr>
        <w:t>контролировать соблюдение всеми государственными должностными лицами основных правовых гарантий, в том числе с помощью видеомониторинга всех мест лишения свободы и комнат для допросов;</w:t>
      </w:r>
      <w:r w:rsidR="00934CF8" w:rsidRPr="001665A1">
        <w:rPr>
          <w:b/>
        </w:rPr>
        <w:t xml:space="preserve"> </w:t>
      </w:r>
      <w:r w:rsidR="00934CF8" w:rsidRPr="001665A1">
        <w:rPr>
          <w:b/>
          <w:bCs/>
        </w:rPr>
        <w:t>и принимать дисциплинарные меры в отношении должностных лиц, которые не обеспечивают на практике предоставление основных правовых гарантий лицам, лишенным свободы;</w:t>
      </w:r>
    </w:p>
    <w:p w14:paraId="0D23D6EC" w14:textId="77777777" w:rsidR="00934CF8" w:rsidRPr="001665A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d)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>внести поправки в статью 129 Уголовного закона, с тем чтобы должностные лица, причиняющие вред лицам, лишенным свободы, во время ареста и содержания под стражей, подвергались уголовному преследованию и наказанию соразмерно тяжести совершенных ими деяний;</w:t>
      </w:r>
    </w:p>
    <w:p w14:paraId="32F8E6AA" w14:textId="77777777" w:rsidR="00934CF8" w:rsidRPr="00F8308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e)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>обеспечить, чтобы все лишенные свободы лица, которые могут также исп</w:t>
      </w:r>
      <w:r w:rsidR="00934CF8">
        <w:rPr>
          <w:b/>
          <w:bCs/>
        </w:rPr>
        <w:t>ытывать нехватку ресурсов, имели возможность подавать жалобы или сообщения в международные правозащитные механизмы.</w:t>
      </w:r>
    </w:p>
    <w:p w14:paraId="11B5D3D0" w14:textId="77777777" w:rsidR="00934CF8" w:rsidRPr="00F83081" w:rsidRDefault="00934CF8" w:rsidP="001665A1">
      <w:pPr>
        <w:pStyle w:val="H23G"/>
      </w:pPr>
      <w:r>
        <w:tab/>
      </w:r>
      <w:r>
        <w:tab/>
        <w:t>Досудебное содержание под стражей, в том числе в местах краткосрочного содержания под стражей</w:t>
      </w:r>
    </w:p>
    <w:p w14:paraId="078B940E" w14:textId="77777777" w:rsidR="00934CF8" w:rsidRPr="00F83081" w:rsidRDefault="00934CF8" w:rsidP="00934CF8">
      <w:pPr>
        <w:pStyle w:val="SingleTxtG"/>
      </w:pPr>
      <w:r>
        <w:t>12.</w:t>
      </w:r>
      <w:r>
        <w:tab/>
        <w:t>Принимая к сведению поправки к Закону о порядке содержания задержанных лиц, которые предусматривают, что арестованные лица могут содержаться в местах краткосрочного содержания под стражей в течение максимум семи дней, Комитет выражает озабоченность в связи с тем, что в этом законе не указана максимальная продолжительность содержания задержанных и осужденных лиц в местах краткосрочного содержания под стражей; что задержанные и осужденные лица могут содержаться вместе, в том числе во время перевозки; и что лица, вновь взятые</w:t>
      </w:r>
      <w:r w:rsidR="002C78C1">
        <w:t xml:space="preserve"> </w:t>
      </w:r>
      <w:r>
        <w:t>под стражу, находились в полицейских изоляторах намного дольше установленного законом срока, а также от двух недель до более одного месяца для совершения процессуальных действий в учреждениях, предназначенных для краткосрочного пребывания. Он также обеспокоен тем, что в случае необходимости и по ходатайству судов, прокуратуры или государственной полиции задержанные в административном порядке и арестованные лица, а также лица, помещенные под стражу, и осужденные лица могут быть возвращены в полицейский центр содержания под стражей для целей проведения следственных и процессуальных действий до их помещения в следственный изолятор или тюрьму, что означает, что они могут быть возвращены в небольшие полицейские участки, которые не подходят для этой цели. Комитет также обеспокоен тем, что досудебное содержание под стражей может продолжаться до 20</w:t>
      </w:r>
      <w:r w:rsidR="001665A1">
        <w:t> </w:t>
      </w:r>
      <w:r>
        <w:t>дней, что этот период не был изменен для лиц, задержанных за более серьезные преступления, и что продолжительность содержания под стражей в местах краткосрочного содержания под стражей может также зависеть от загруженности соответствующего суда и от количества еще не рассмотренных дел (статьи 2, 10, 12, 13 и 16).</w:t>
      </w:r>
      <w:bookmarkStart w:id="1" w:name="_Hlk27570371"/>
      <w:bookmarkEnd w:id="1"/>
    </w:p>
    <w:p w14:paraId="10BB8720" w14:textId="77777777" w:rsidR="00934CF8" w:rsidRPr="00F83081" w:rsidRDefault="00934CF8" w:rsidP="00934CF8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Государству-участнику следует:</w:t>
      </w:r>
    </w:p>
    <w:p w14:paraId="053B8649" w14:textId="77777777" w:rsidR="00934CF8" w:rsidRPr="001665A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а)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>принять все необходимые меры для обеспечения того, чтобы лица содержались в местах краткосрочного содержания под стражей в течение как можно более короткого периода времени и не более срока, установленного законом, и предусмотреть использование альтернатив досудебному содержанию под стражей и предварительному заключению, как это предусмотрено Минимальными стандартными правилами Организации Объединенных Наций в отношении мер, не связанных с тюремным заключением (Токийские правила);</w:t>
      </w:r>
    </w:p>
    <w:p w14:paraId="579B3FB6" w14:textId="77777777" w:rsidR="00934CF8" w:rsidRPr="001665A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b)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>обеспечить, чтобы лица, возвращенные под стражу, незамедлительно переводились в тюрьму;</w:t>
      </w:r>
    </w:p>
    <w:p w14:paraId="79E814DC" w14:textId="77777777" w:rsidR="00934CF8" w:rsidRPr="00F8308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c)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>предпринять шаги, в том числе законодательного характера, для повышения эффективности судебной системы и ускорения судопроизводства;</w:t>
      </w:r>
      <w:r w:rsidR="00934CF8" w:rsidRPr="001665A1">
        <w:rPr>
          <w:b/>
        </w:rPr>
        <w:t xml:space="preserve"> </w:t>
      </w:r>
      <w:r w:rsidR="00934CF8" w:rsidRPr="001665A1">
        <w:rPr>
          <w:b/>
          <w:bCs/>
        </w:rPr>
        <w:t>обесп</w:t>
      </w:r>
      <w:r w:rsidR="00934CF8">
        <w:rPr>
          <w:b/>
          <w:bCs/>
        </w:rPr>
        <w:t xml:space="preserve">ечить, чтобы заключенные и задержанные не возвращались в места краткосрочного содержания под стражей в небольших полицейских участках, будь то по материально-техническим соображениям, для проведения дальнейших расследований или судебных разбирательств или в результате накопившихся в </w:t>
      </w:r>
      <w:r w:rsidR="00934CF8">
        <w:rPr>
          <w:b/>
          <w:bCs/>
        </w:rPr>
        <w:lastRenderedPageBreak/>
        <w:t>судах нерассмотренных дел;</w:t>
      </w:r>
      <w:r w:rsidR="00934CF8">
        <w:t xml:space="preserve"> </w:t>
      </w:r>
      <w:r w:rsidR="00934CF8">
        <w:rPr>
          <w:b/>
          <w:bCs/>
        </w:rPr>
        <w:t>и представить Комитету информацию о продолжительности такого содержания под стражей, в том числе за более серьезные преступления, и о числе лиц, которые содержались под стражей до суда в течение данного и предыдущего отчетных периодов;</w:t>
      </w:r>
    </w:p>
    <w:p w14:paraId="577543C4" w14:textId="77777777" w:rsidR="00934CF8" w:rsidRPr="001665A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d)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>установить строгие правила, касающиеся продолжительности содержания под стражей в полицейских участках, и обеспечить, чтобы возвращение задержанных лиц в полицейские участки разрешалось только в исключительных случаях и не единственно на основании решения полицейского следователя, а по индивидуальному усмотрению прокурора или судьи;</w:t>
      </w:r>
      <w:r w:rsidR="00934CF8" w:rsidRPr="001665A1">
        <w:rPr>
          <w:b/>
        </w:rPr>
        <w:t xml:space="preserve"> </w:t>
      </w:r>
      <w:r w:rsidR="00934CF8" w:rsidRPr="001665A1">
        <w:rPr>
          <w:b/>
          <w:bCs/>
        </w:rPr>
        <w:t>и чтобы задержанные лица всегда содержались отдельно от осужденных заключенных;</w:t>
      </w:r>
    </w:p>
    <w:p w14:paraId="48B59C2E" w14:textId="77777777" w:rsidR="00934CF8" w:rsidRPr="00F8308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e)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>продолжать уделять дополнительное внимание альтернативным мерам, не связанн</w:t>
      </w:r>
      <w:r w:rsidR="00934CF8">
        <w:rPr>
          <w:b/>
          <w:bCs/>
        </w:rPr>
        <w:t>ым с лишением свободы, принимая во внимание положения Токийских правил при разработке мер, альтернативных предварительному заключению.</w:t>
      </w:r>
    </w:p>
    <w:p w14:paraId="7A3572B7" w14:textId="77777777" w:rsidR="00934CF8" w:rsidRPr="00F83081" w:rsidRDefault="00934CF8" w:rsidP="00934CF8">
      <w:pPr>
        <w:pStyle w:val="H23G"/>
        <w:spacing w:line="360" w:lineRule="auto"/>
      </w:pPr>
      <w:r>
        <w:tab/>
      </w:r>
      <w:r>
        <w:tab/>
      </w:r>
      <w:r>
        <w:rPr>
          <w:bCs/>
        </w:rPr>
        <w:t>Условия содержания под стражей</w:t>
      </w:r>
    </w:p>
    <w:p w14:paraId="6F7EC6CC" w14:textId="77777777" w:rsidR="00934CF8" w:rsidRPr="00F83081" w:rsidRDefault="00934CF8" w:rsidP="00934CF8">
      <w:pPr>
        <w:pStyle w:val="SingleTxtG"/>
      </w:pPr>
      <w:r>
        <w:t>14.</w:t>
      </w:r>
      <w:r>
        <w:tab/>
        <w:t>Принимая к сведению поправки к Кодексу об исполнении наказаний, касающиеся минимальной личной площади на одного заключенного в камерах с одним и несколькими местами содержания под стражей, закрытия временных помещений в Добеле и Земгале и тюрьмы в Векумниеки, ремонта 21 полицейского места содержания под стражей по всей стране, открытия центра для наркоманов в тюремной больнице Олайне и увеличения вместимости больницы до 120 коек, а также реконструкции центра содержания под стражей для несовершеннолетних в Цесисе, Комитет вместе с тем по-прежнему обеспокоен тем, что:</w:t>
      </w:r>
    </w:p>
    <w:p w14:paraId="6D9D64BC" w14:textId="77777777" w:rsidR="00934CF8" w:rsidRPr="00F83081" w:rsidRDefault="001665A1" w:rsidP="00934CF8">
      <w:pPr>
        <w:pStyle w:val="SingleTxtG"/>
      </w:pPr>
      <w:r>
        <w:tab/>
      </w:r>
      <w:r w:rsidR="00934CF8">
        <w:tab/>
        <w:t>а)</w:t>
      </w:r>
      <w:r w:rsidR="00934CF8">
        <w:tab/>
        <w:t>условия содержания в местах лишения свободы по-прежнему не соответствуют международным стандартам, в том числе в отношении таких материальных условий, как гигиена, санитария, влажность, вентиляция и доступ к естественному освещению, а в Гривском отделении Даугавгривской тюрьмы, имеющей статус исторического памятника, по-прежнему отмечаются неудовлетворительные условия содержания;</w:t>
      </w:r>
    </w:p>
    <w:p w14:paraId="4A2E7E67" w14:textId="77777777" w:rsidR="00934CF8" w:rsidRPr="00F83081" w:rsidRDefault="001665A1" w:rsidP="00934CF8">
      <w:pPr>
        <w:pStyle w:val="SingleTxtG"/>
      </w:pPr>
      <w:r>
        <w:tab/>
      </w:r>
      <w:r w:rsidR="00934CF8">
        <w:tab/>
        <w:t>b)</w:t>
      </w:r>
      <w:r w:rsidR="00934CF8">
        <w:tab/>
        <w:t>строительство новой тюрьмы в Лиепае было отложено по бюджетным соображениям и предположительно должно быть завершено только в 2023 году;</w:t>
      </w:r>
    </w:p>
    <w:p w14:paraId="74B403DD" w14:textId="77777777" w:rsidR="00934CF8" w:rsidRPr="00F83081" w:rsidRDefault="001665A1" w:rsidP="00934CF8">
      <w:pPr>
        <w:pStyle w:val="SingleTxtG"/>
      </w:pPr>
      <w:r>
        <w:tab/>
      </w:r>
      <w:r w:rsidR="00934CF8">
        <w:tab/>
        <w:t>c)</w:t>
      </w:r>
      <w:r w:rsidR="00934CF8">
        <w:tab/>
        <w:t>устаревшая тюремная инфраструктура, когда заключенные размещаются в очень больших камерах, способных вместить более 40 человек, в старых тюремных зданиях, создает условия для насилия между заключенными, криминальной субкультуры и иерархических отношений между заключенными, особенно в тюрьмах Даугавгривы и Елгавы, а также в Рижской центральной тюрьме;</w:t>
      </w:r>
    </w:p>
    <w:p w14:paraId="39053C4F" w14:textId="77777777" w:rsidR="00934CF8" w:rsidRPr="00F83081" w:rsidRDefault="001665A1" w:rsidP="00934CF8">
      <w:pPr>
        <w:pStyle w:val="SingleTxtG"/>
      </w:pPr>
      <w:r>
        <w:tab/>
      </w:r>
      <w:r w:rsidR="00934CF8">
        <w:tab/>
        <w:t>d)</w:t>
      </w:r>
      <w:r w:rsidR="00934CF8">
        <w:tab/>
        <w:t>места лишения свободы не приспособлены для инвалидов, особенно инвалидов с ограниченной подвижностью, которые вынуждены полагаться на помощь других заключенных, и ощущается нехватка медицинского персонала;</w:t>
      </w:r>
    </w:p>
    <w:p w14:paraId="18E76277" w14:textId="77777777" w:rsidR="00934CF8" w:rsidRPr="00F83081" w:rsidRDefault="00934CF8" w:rsidP="00934CF8">
      <w:pPr>
        <w:pStyle w:val="SingleTxtG"/>
      </w:pPr>
      <w:r>
        <w:tab/>
      </w:r>
      <w:r w:rsidR="001665A1">
        <w:tab/>
      </w:r>
      <w:r>
        <w:t>e)</w:t>
      </w:r>
      <w:r>
        <w:tab/>
        <w:t>заключенные во многих местах содержания под стражей не имеют доступа к содержательному режиму деятельности или к достаточным упражнениям на свежем воздухе;</w:t>
      </w:r>
    </w:p>
    <w:p w14:paraId="7FB938CE" w14:textId="77777777" w:rsidR="00934CF8" w:rsidRPr="00F83081" w:rsidRDefault="001665A1" w:rsidP="00934CF8">
      <w:pPr>
        <w:pStyle w:val="SingleTxtG"/>
      </w:pPr>
      <w:r>
        <w:tab/>
      </w:r>
      <w:r w:rsidR="00934CF8">
        <w:tab/>
        <w:t>f)</w:t>
      </w:r>
      <w:r w:rsidR="00934CF8">
        <w:tab/>
        <w:t>численность медицинского персонала сокращается и существуют значительные пробелы в обеспечении заключенных соответствующими медикаментами (статьи 11 и 16).</w:t>
      </w:r>
    </w:p>
    <w:p w14:paraId="7FC54545" w14:textId="77777777" w:rsidR="00934CF8" w:rsidRPr="00F83081" w:rsidRDefault="00934CF8" w:rsidP="00934CF8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Государству-участнику следует:</w:t>
      </w:r>
    </w:p>
    <w:p w14:paraId="4DFF73CF" w14:textId="77777777" w:rsidR="00934CF8" w:rsidRPr="00F83081" w:rsidRDefault="001665A1" w:rsidP="00934CF8">
      <w:pPr>
        <w:pStyle w:val="SingleTxtG"/>
        <w:rPr>
          <w:b/>
          <w:bCs/>
        </w:rPr>
      </w:pPr>
      <w:r w:rsidRPr="001665A1">
        <w:rPr>
          <w:b/>
        </w:rPr>
        <w:tab/>
      </w:r>
      <w:r w:rsidR="00934CF8" w:rsidRPr="001665A1">
        <w:rPr>
          <w:b/>
        </w:rPr>
        <w:tab/>
        <w:t>a)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 xml:space="preserve">продолжать принимать меры по улучшению условий во всех тюрьмах </w:t>
      </w:r>
      <w:r w:rsidR="00934CF8">
        <w:rPr>
          <w:b/>
          <w:bCs/>
        </w:rPr>
        <w:t xml:space="preserve">и полицейских центрах содержания под стражей с точки зрения материальных условий содержания, включая гигиену, санитарию, влажность, вентиляцию и доступ к естественному освещению, с целью приведения их в соответствие с Минимальными стандартными правилами обращения с </w:t>
      </w:r>
      <w:r w:rsidR="00934CF8">
        <w:rPr>
          <w:b/>
          <w:bCs/>
        </w:rPr>
        <w:lastRenderedPageBreak/>
        <w:t>заключенными Организации Объединенных Наций (Правила Нельсона Манделы);</w:t>
      </w:r>
    </w:p>
    <w:p w14:paraId="5C0A9CE5" w14:textId="77777777" w:rsidR="00934CF8" w:rsidRPr="001665A1" w:rsidRDefault="00934CF8" w:rsidP="00934CF8">
      <w:pPr>
        <w:pStyle w:val="SingleTxtG"/>
        <w:rPr>
          <w:b/>
          <w:bCs/>
        </w:rPr>
      </w:pPr>
      <w:r w:rsidRPr="001665A1">
        <w:rPr>
          <w:b/>
        </w:rPr>
        <w:tab/>
      </w:r>
      <w:r w:rsidR="001665A1">
        <w:rPr>
          <w:b/>
        </w:rPr>
        <w:tab/>
      </w:r>
      <w:r w:rsidRPr="001665A1">
        <w:rPr>
          <w:b/>
        </w:rPr>
        <w:t>b)</w:t>
      </w:r>
      <w:r w:rsidRPr="001665A1">
        <w:rPr>
          <w:b/>
        </w:rPr>
        <w:tab/>
      </w:r>
      <w:r w:rsidRPr="001665A1">
        <w:rPr>
          <w:b/>
          <w:bCs/>
        </w:rPr>
        <w:t xml:space="preserve">рассмотреть вопрос о закрытии дополнительных мест содержания под стражей, где условия </w:t>
      </w:r>
      <w:r w:rsidR="00FD303B" w:rsidRPr="001665A1">
        <w:rPr>
          <w:b/>
          <w:bCs/>
        </w:rPr>
        <w:t>содержания</w:t>
      </w:r>
      <w:r w:rsidRPr="001665A1">
        <w:rPr>
          <w:b/>
          <w:bCs/>
        </w:rPr>
        <w:t xml:space="preserve"> являются особенно неудовлетворительными, в том числе Гривского отделения Даугавгривской тюрьмы, </w:t>
      </w:r>
      <w:r w:rsidR="00FD303B" w:rsidRPr="001665A1">
        <w:rPr>
          <w:b/>
          <w:bCs/>
        </w:rPr>
        <w:t>имеющей</w:t>
      </w:r>
      <w:r w:rsidRPr="001665A1">
        <w:rPr>
          <w:b/>
          <w:bCs/>
        </w:rPr>
        <w:t xml:space="preserve"> статус исторического памятника;</w:t>
      </w:r>
      <w:r w:rsidRPr="001665A1">
        <w:rPr>
          <w:b/>
        </w:rPr>
        <w:t xml:space="preserve"> </w:t>
      </w:r>
      <w:r w:rsidRPr="001665A1">
        <w:rPr>
          <w:b/>
          <w:bCs/>
        </w:rPr>
        <w:t>обеспечить, чтобы строительство Лиепайской тюрьмы началось в 2020 году и было завершено в соответствии с графиком к 2023</w:t>
      </w:r>
      <w:r w:rsidR="002C72D6">
        <w:rPr>
          <w:b/>
          <w:bCs/>
        </w:rPr>
        <w:t> </w:t>
      </w:r>
      <w:r w:rsidRPr="001665A1">
        <w:rPr>
          <w:b/>
          <w:bCs/>
        </w:rPr>
        <w:t>году;</w:t>
      </w:r>
      <w:r w:rsidRPr="001665A1">
        <w:rPr>
          <w:b/>
        </w:rPr>
        <w:t xml:space="preserve"> </w:t>
      </w:r>
      <w:r w:rsidRPr="001665A1">
        <w:rPr>
          <w:b/>
          <w:bCs/>
        </w:rPr>
        <w:t>и адаптировать и модернизировать устаревшую тюремную инфраструктуру в целях сокращения числа камер, в</w:t>
      </w:r>
      <w:r w:rsidR="00FD303B">
        <w:rPr>
          <w:b/>
          <w:bCs/>
        </w:rPr>
        <w:t> </w:t>
      </w:r>
      <w:r w:rsidRPr="001665A1">
        <w:rPr>
          <w:b/>
          <w:bCs/>
        </w:rPr>
        <w:t>которых может содержаться большое число заключенных, с тем чтобы сократить и предотвратить насилие между заключенными и искоренить уголовную субкультуру;</w:t>
      </w:r>
    </w:p>
    <w:p w14:paraId="1E31EF16" w14:textId="77777777" w:rsidR="00934CF8" w:rsidRPr="00F8308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c)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 xml:space="preserve">продолжать ремонт всех нуждающихся в нем мест содержания под стражей с </w:t>
      </w:r>
      <w:r w:rsidR="00934CF8">
        <w:rPr>
          <w:b/>
          <w:bCs/>
        </w:rPr>
        <w:t>целью улучшения их инфраструктуры и материальных условий, а</w:t>
      </w:r>
      <w:r w:rsidR="002C72D6">
        <w:rPr>
          <w:b/>
          <w:bCs/>
        </w:rPr>
        <w:t> </w:t>
      </w:r>
      <w:r w:rsidR="00934CF8">
        <w:rPr>
          <w:b/>
          <w:bCs/>
        </w:rPr>
        <w:t>также обеспечить, чтобы они были приспособлены к потребностям инвалидов, особенно инвалидов с ограниченной подвижностью;</w:t>
      </w:r>
    </w:p>
    <w:p w14:paraId="7CADD610" w14:textId="77777777" w:rsidR="00934CF8" w:rsidRPr="001665A1" w:rsidRDefault="00934CF8" w:rsidP="00934CF8">
      <w:pPr>
        <w:pStyle w:val="SingleTxtG"/>
        <w:rPr>
          <w:b/>
          <w:bCs/>
        </w:rPr>
      </w:pPr>
      <w:r w:rsidRPr="001665A1">
        <w:rPr>
          <w:b/>
        </w:rPr>
        <w:tab/>
      </w:r>
      <w:r w:rsidR="001665A1">
        <w:rPr>
          <w:b/>
        </w:rPr>
        <w:tab/>
      </w:r>
      <w:r w:rsidRPr="001665A1">
        <w:rPr>
          <w:b/>
        </w:rPr>
        <w:t>d)</w:t>
      </w:r>
      <w:r w:rsidRPr="001665A1">
        <w:rPr>
          <w:b/>
        </w:rPr>
        <w:tab/>
      </w:r>
      <w:r w:rsidRPr="001665A1">
        <w:rPr>
          <w:b/>
          <w:bCs/>
        </w:rPr>
        <w:t>повысить эффективность механизмов подачи жалоб на случаи насилия;</w:t>
      </w:r>
      <w:r w:rsidRPr="001665A1">
        <w:rPr>
          <w:b/>
        </w:rPr>
        <w:t xml:space="preserve"> </w:t>
      </w:r>
      <w:r w:rsidRPr="001665A1">
        <w:rPr>
          <w:b/>
          <w:bCs/>
        </w:rPr>
        <w:t>исследовать, регистрировать и расследовать все телесные повреждения и случаи смерти в результате насилия между заключенными или иного насилия, привлекать к ответственности виновных и не допускать повторения таких инцидентов в будущем путем принятия надлежащих мер на основе принципов динамичной безопасности;</w:t>
      </w:r>
      <w:r w:rsidRPr="001665A1">
        <w:rPr>
          <w:b/>
        </w:rPr>
        <w:t xml:space="preserve"> </w:t>
      </w:r>
      <w:r w:rsidRPr="001665A1">
        <w:rPr>
          <w:b/>
          <w:bCs/>
        </w:rPr>
        <w:t>предоставлять лишенным свободы лицам надлежащую медицинскую помощь и лекарства;</w:t>
      </w:r>
      <w:r w:rsidRPr="001665A1">
        <w:rPr>
          <w:b/>
        </w:rPr>
        <w:t xml:space="preserve"> </w:t>
      </w:r>
      <w:r w:rsidRPr="001665A1">
        <w:rPr>
          <w:b/>
          <w:bCs/>
        </w:rPr>
        <w:t>увеличить численность медицинского персонала, в том числе психиатров,</w:t>
      </w:r>
      <w:r w:rsidR="002C78C1" w:rsidRPr="001665A1">
        <w:rPr>
          <w:b/>
          <w:bCs/>
        </w:rPr>
        <w:t xml:space="preserve"> </w:t>
      </w:r>
      <w:r w:rsidRPr="001665A1">
        <w:rPr>
          <w:b/>
          <w:bCs/>
        </w:rPr>
        <w:t>и оплату его труда и перевести медицинский персонал пенитенциарных учреждений в ведение Министерства здравоохранения;</w:t>
      </w:r>
    </w:p>
    <w:p w14:paraId="33FA110F" w14:textId="77777777" w:rsidR="00934CF8" w:rsidRPr="001665A1" w:rsidRDefault="001665A1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1665A1">
        <w:rPr>
          <w:b/>
        </w:rPr>
        <w:tab/>
        <w:t>e)</w:t>
      </w:r>
      <w:r w:rsidR="00934CF8" w:rsidRPr="001665A1">
        <w:rPr>
          <w:b/>
        </w:rPr>
        <w:tab/>
      </w:r>
      <w:r w:rsidR="00934CF8" w:rsidRPr="001665A1">
        <w:rPr>
          <w:b/>
          <w:bCs/>
        </w:rPr>
        <w:t>улучшить оплату и условия труда, а также увеличить числа сотрудников в местах содержания под стражей, в частности в Даугавгривской, Елгавской и Рижской центральной тюрьмах, обучение их работе с заключенными и усиление контроля за уязвимыми и другими заключенными, подвергающимися риску, и работу с ними;</w:t>
      </w:r>
    </w:p>
    <w:p w14:paraId="1B6D3FFF" w14:textId="77777777" w:rsidR="00934CF8" w:rsidRPr="00F83081" w:rsidRDefault="00934CF8" w:rsidP="00934CF8">
      <w:pPr>
        <w:pStyle w:val="SingleTxtG"/>
        <w:rPr>
          <w:b/>
          <w:bCs/>
        </w:rPr>
      </w:pPr>
      <w:r w:rsidRPr="001665A1">
        <w:rPr>
          <w:b/>
        </w:rPr>
        <w:tab/>
      </w:r>
      <w:r w:rsidR="001665A1">
        <w:rPr>
          <w:b/>
        </w:rPr>
        <w:tab/>
      </w:r>
      <w:r w:rsidRPr="001665A1">
        <w:rPr>
          <w:b/>
        </w:rPr>
        <w:t>f)</w:t>
      </w:r>
      <w:r w:rsidRPr="001665A1">
        <w:rPr>
          <w:b/>
        </w:rPr>
        <w:tab/>
      </w:r>
      <w:r w:rsidRPr="001665A1">
        <w:rPr>
          <w:b/>
          <w:bCs/>
        </w:rPr>
        <w:t>обеспечить, чтобы все заключенные, включая заключенных, отбывающих пожиз</w:t>
      </w:r>
      <w:r>
        <w:rPr>
          <w:b/>
          <w:bCs/>
        </w:rPr>
        <w:t>ненное заключение, имели доступ к содержательному режиму деятельности и достаточным физическим упражнениям на свежем воздухе, и</w:t>
      </w:r>
      <w:r w:rsidR="00FD303B">
        <w:rPr>
          <w:b/>
          <w:bCs/>
        </w:rPr>
        <w:t> </w:t>
      </w:r>
      <w:r>
        <w:rPr>
          <w:b/>
          <w:bCs/>
        </w:rPr>
        <w:t>предпринять дальнейшие шаги для интеграции заключенных, отбывающих пожизненное заключение, в общее число заключенных.</w:t>
      </w:r>
    </w:p>
    <w:p w14:paraId="493CE16B" w14:textId="77777777" w:rsidR="00934CF8" w:rsidRPr="00F83081" w:rsidRDefault="00934CF8" w:rsidP="002C72D6">
      <w:pPr>
        <w:pStyle w:val="H23G"/>
      </w:pPr>
      <w:r>
        <w:tab/>
      </w:r>
      <w:r>
        <w:tab/>
        <w:t>Одиночное заключение</w:t>
      </w:r>
    </w:p>
    <w:p w14:paraId="3FA0A029" w14:textId="77777777" w:rsidR="00934CF8" w:rsidRPr="00F83081" w:rsidRDefault="00934CF8" w:rsidP="00934CF8">
      <w:pPr>
        <w:pStyle w:val="SingleTxtG"/>
      </w:pPr>
      <w:r>
        <w:t>16.</w:t>
      </w:r>
      <w:r>
        <w:tab/>
        <w:t>Основываясь на пояснениях делегации относительно применения дисциплинарных наказаний к заключенным, что ни при каких обстоятельствах изоляция не используется в течение длительных периодов времени и что несовершеннолетние редко помещаются в одиночную камеру, Комитет по-прежнему обеспокоен тем, что одиночное заключение по-прежнему применяется к лишенным свободы лицам не только в качестве наказания, но и для содержания в них лиц с поведенческими проблемами в превентивных целях в течение длительных, а порой и последовательных периодов времени (статьи 11 и 16).</w:t>
      </w:r>
    </w:p>
    <w:p w14:paraId="102D1A04" w14:textId="77777777" w:rsidR="00934CF8" w:rsidRPr="00F83081" w:rsidRDefault="00934CF8" w:rsidP="00934CF8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Государству-участнику следует обеспечить, чтобы одиночное заключение использовалось только в исключительных случаях в качестве крайней меры, на как можно более короткий срок (не более 15 дней подряд), при условии независимого пересмотра и только с разрешения компетентного органа в соответствии с правилами 43</w:t>
      </w:r>
      <w:r w:rsidR="001665A1">
        <w:rPr>
          <w:b/>
          <w:bCs/>
        </w:rPr>
        <w:t>–</w:t>
      </w:r>
      <w:r>
        <w:rPr>
          <w:b/>
          <w:bCs/>
        </w:rPr>
        <w:t>46 Правил Нельсона Манделы.</w:t>
      </w:r>
      <w:r>
        <w:t xml:space="preserve"> </w:t>
      </w:r>
      <w:r>
        <w:rPr>
          <w:b/>
          <w:bCs/>
        </w:rPr>
        <w:t>Комитет хотел бы обратить внимание государства-участника на пункт 2 правила 45 Правил Нельсона Манделы, согласно которому одиночное заключение должно быть запрещено в отношении заключенных, страдающих психическим расстройством или имеющих физические недостатки, если принятие таких мер приведет к ухудшению их состояния.</w:t>
      </w:r>
      <w:r>
        <w:t xml:space="preserve"> </w:t>
      </w:r>
      <w:r>
        <w:rPr>
          <w:b/>
          <w:bCs/>
        </w:rPr>
        <w:t xml:space="preserve">Он также обращает внимание государства-участника </w:t>
      </w:r>
      <w:r>
        <w:rPr>
          <w:b/>
          <w:bCs/>
        </w:rPr>
        <w:lastRenderedPageBreak/>
        <w:t>на правило 22 Правил Организации Объединенных Наций, касающихся обращения с женщинами-заключенными и мер наказания для женщин-правонарушителей, не связанных с лишением свободы (Бангкокские правила), и</w:t>
      </w:r>
      <w:r w:rsidR="00FD303B">
        <w:rPr>
          <w:b/>
          <w:bCs/>
        </w:rPr>
        <w:t> </w:t>
      </w:r>
      <w:r>
        <w:rPr>
          <w:b/>
          <w:bCs/>
        </w:rPr>
        <w:t>пункт 67 Правил Организации Объединенных Наций, касающихся защиты несовершеннолетних, лишенных свободы, который запрещает применение к несовершеннолетним одиночного заключения.</w:t>
      </w:r>
      <w:r>
        <w:t xml:space="preserve"> </w:t>
      </w:r>
      <w:r>
        <w:rPr>
          <w:b/>
          <w:bCs/>
        </w:rPr>
        <w:t>Кроме того, в пункте 3 правила 43 Правил Нельсона Манделы предусматривает, что дисциплинарные взыскания или ограничительные меры не должны включать запрет на контакты с семьей и что ограничения на контакты с семьей могут устанавливаться лишь на непродолжительный срок и только если это требуется для поддержания безопасности и порядка, и никогда не должны использоваться в качестве дисциплинарного взыскания.</w:t>
      </w:r>
      <w:r>
        <w:t xml:space="preserve"> </w:t>
      </w:r>
      <w:r>
        <w:rPr>
          <w:b/>
          <w:bCs/>
        </w:rPr>
        <w:t>Наконец, необходимо проводить четкое различие между административной сегрегацией и изоляцией по дисциплинарным основаниям.</w:t>
      </w:r>
    </w:p>
    <w:p w14:paraId="2D4BCC1E" w14:textId="77777777" w:rsidR="00934CF8" w:rsidRPr="00F83081" w:rsidRDefault="00934CF8" w:rsidP="002C72D6">
      <w:pPr>
        <w:pStyle w:val="H23G"/>
      </w:pPr>
      <w:r>
        <w:tab/>
      </w:r>
      <w:r>
        <w:tab/>
        <w:t>Независимый мониторинг мест содержания под стражей</w:t>
      </w:r>
    </w:p>
    <w:p w14:paraId="4FE26B5F" w14:textId="77777777" w:rsidR="00934CF8" w:rsidRPr="00F83081" w:rsidRDefault="00934CF8" w:rsidP="00934CF8">
      <w:pPr>
        <w:pStyle w:val="SingleTxtG"/>
      </w:pPr>
      <w:r>
        <w:t>18.</w:t>
      </w:r>
      <w:r>
        <w:tab/>
        <w:t>Комитет отмечает, что единственным правозащитным механизмом, осуществляющим мониторинг мест лишения свободы, является Омбудсмен. Он</w:t>
      </w:r>
      <w:r w:rsidR="002C72D6">
        <w:t> </w:t>
      </w:r>
      <w:r>
        <w:t>также обеспокоен тем, что результаты посещений мест лишения свободы Омбудсменом не предаются гласности, что точное число посещений не указывается и что нет разбивки информации по местам и видам проведенных посещений. Помимо этого, Комитет обеспокоен тем, что государство-участник не ратифицировало Факультативный протокол к Конвенции и что отсутствует информация о том, посещают ли представители независимых национальных или международных механизмов места лишения свободы (статьи 2, 11, 12, 13 и 16).</w:t>
      </w:r>
    </w:p>
    <w:p w14:paraId="3C3DF880" w14:textId="77777777" w:rsidR="00934CF8" w:rsidRPr="00F83081" w:rsidRDefault="00934CF8" w:rsidP="00934CF8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Государству-участнику следует:</w:t>
      </w:r>
    </w:p>
    <w:p w14:paraId="307309F0" w14:textId="77777777" w:rsidR="00934CF8" w:rsidRPr="002C72D6" w:rsidRDefault="002C72D6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a)</w:t>
      </w:r>
      <w:r w:rsidR="00934CF8" w:rsidRPr="002C72D6">
        <w:rPr>
          <w:b/>
        </w:rPr>
        <w:tab/>
        <w:t>принять меры по укреплению кадрового и финансового потенциала</w:t>
      </w:r>
      <w:r w:rsidR="00934CF8" w:rsidRPr="002C72D6">
        <w:rPr>
          <w:b/>
          <w:bCs/>
        </w:rPr>
        <w:t xml:space="preserve"> Омбудсмена для эффективного проведения систематических посещений всех мест лишения свободы, в том числе психиатрических учреждений, проведения конфиденциальных частных встреч с лицами, лишенными свободы, приема их жалоб и принятия по ним мер, а также обнародования полученных результатов;</w:t>
      </w:r>
    </w:p>
    <w:p w14:paraId="485101F2" w14:textId="77777777" w:rsidR="00934CF8" w:rsidRPr="002C72D6" w:rsidRDefault="002C72D6" w:rsidP="00934CF8">
      <w:pPr>
        <w:pStyle w:val="SingleTxtG"/>
        <w:rPr>
          <w:b/>
        </w:rPr>
      </w:pPr>
      <w:r>
        <w:rPr>
          <w:b/>
        </w:rPr>
        <w:tab/>
      </w:r>
      <w:r w:rsidR="00934CF8" w:rsidRPr="002C72D6">
        <w:rPr>
          <w:b/>
        </w:rPr>
        <w:tab/>
        <w:t>b)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обеспечить принятие эффективных последующих мер в связи с жалобами, полученными Омбудсменом и Министерством юстиции в отношении условий содержания под стражей;</w:t>
      </w:r>
    </w:p>
    <w:p w14:paraId="66C47EDF" w14:textId="77777777" w:rsidR="00934CF8" w:rsidRPr="002C72D6" w:rsidRDefault="002C72D6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c)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обеспечить, чтобы независимые международные механизмы могли осуществлять независимый и необъявленный мониторинг всех мест лишения свободы в государстве-участнике в координации с Омбудсменом и имели возможность проводить конфиденциальные частные встречи с задержанными лицами;</w:t>
      </w:r>
    </w:p>
    <w:p w14:paraId="1B4428AD" w14:textId="77777777" w:rsidR="00934CF8" w:rsidRPr="00F83081" w:rsidRDefault="002C72D6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d)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предпринять д</w:t>
      </w:r>
      <w:r w:rsidR="00934CF8">
        <w:rPr>
          <w:b/>
          <w:bCs/>
        </w:rPr>
        <w:t>альнейшие шаги в направлении к ратификации Факультативного протокола к Конвенции.</w:t>
      </w:r>
    </w:p>
    <w:p w14:paraId="20D92B66" w14:textId="77777777" w:rsidR="00934CF8" w:rsidRPr="00F83081" w:rsidRDefault="00934CF8" w:rsidP="002C72D6">
      <w:pPr>
        <w:pStyle w:val="H23G"/>
      </w:pPr>
      <w:r>
        <w:tab/>
      </w:r>
      <w:r>
        <w:tab/>
        <w:t>Национальное правозащитное учреждение</w:t>
      </w:r>
    </w:p>
    <w:p w14:paraId="4662A486" w14:textId="77777777" w:rsidR="00934CF8" w:rsidRPr="00F83081" w:rsidRDefault="00934CF8" w:rsidP="00934CF8">
      <w:pPr>
        <w:pStyle w:val="SingleTxtG"/>
      </w:pPr>
      <w:r>
        <w:t>20.</w:t>
      </w:r>
      <w:r>
        <w:tab/>
        <w:t>Отмечая аккредитацию Управления омбудсмена со статусом А Глобальным альянсом национальных правозащитных учреждений в 2015 году, Комитет в то же время обеспокоен тем, что в настоящее время Управление испытывает нехватку финансовых ресурсов, необходимых для полного и эффективного выполнения своего мандата, особенно если говорить о выполнении им дополнительного мандата национального превентивного механизма. Комитет также обеспокоен тем, что сотрудники Управления получают более низкую зарплату, чем сотрудники других учреждений, и что не был</w:t>
      </w:r>
      <w:r w:rsidR="00E72EE5">
        <w:t>о</w:t>
      </w:r>
      <w:r>
        <w:t xml:space="preserve"> выделено финансовых ресурсов на то, чтобы сделать здание, в котором расположено Управление, доступным для инвалидов, поскольку в нем нет лифта (статья 2).</w:t>
      </w:r>
    </w:p>
    <w:p w14:paraId="514E728F" w14:textId="77777777" w:rsidR="00934CF8" w:rsidRPr="00F83081" w:rsidRDefault="00934CF8" w:rsidP="00934CF8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 xml:space="preserve">Государству-участнику следует предоставить Управлению Омбудсмена достаточные финансовые и людские ресурсы, с тем чтобы оно могло в полной </w:t>
      </w:r>
      <w:r>
        <w:rPr>
          <w:b/>
          <w:bCs/>
        </w:rPr>
        <w:lastRenderedPageBreak/>
        <w:t>мере выполнять свой мандат в соответствии с принципами, касающимися статуса национальных учреждений, занимающихся поощрением и защитой прав человека (Парижские принципы), особенно если речь идет о принятии им на себя мандата национального превентивного механизма.</w:t>
      </w:r>
      <w:r>
        <w:t xml:space="preserve"> </w:t>
      </w:r>
      <w:r>
        <w:rPr>
          <w:b/>
          <w:bCs/>
        </w:rPr>
        <w:t>Государству-участнику следует также обеспечить, чтобы оплата труда сотрудников Управления было не</w:t>
      </w:r>
      <w:r w:rsidR="002C78C1">
        <w:rPr>
          <w:b/>
          <w:bCs/>
        </w:rPr>
        <w:t xml:space="preserve"> </w:t>
      </w:r>
      <w:r>
        <w:rPr>
          <w:b/>
          <w:bCs/>
        </w:rPr>
        <w:t>ниже оплаты труда должностных лиц государственных и других учреждений и чтобы здание, в котором расположено Управление, было доступно для инвалидов за счет установки лифта.</w:t>
      </w:r>
      <w:r>
        <w:t xml:space="preserve"> </w:t>
      </w:r>
      <w:r>
        <w:rPr>
          <w:b/>
          <w:bCs/>
        </w:rPr>
        <w:t>Государству-участнику следует обеспечить, чтобы эффективные, независимые и доступные механизмы рассмотрения жалоб были доступны для всех лиц, лишенных свободы, и чтобы они не подвергались репрессиям в связи с их жалобами, в том числе жалобами, представляемыми в Управление Омбудсмена.</w:t>
      </w:r>
    </w:p>
    <w:p w14:paraId="498DB589" w14:textId="77777777" w:rsidR="00934CF8" w:rsidRPr="00F83081" w:rsidRDefault="00934CF8" w:rsidP="002C72D6">
      <w:pPr>
        <w:pStyle w:val="H23G"/>
      </w:pPr>
      <w:r>
        <w:tab/>
      </w:r>
      <w:r>
        <w:tab/>
        <w:t>Обращение с лицами, находящимися в учреждениях социальной помощи и</w:t>
      </w:r>
      <w:r w:rsidR="002C72D6">
        <w:t> </w:t>
      </w:r>
      <w:r>
        <w:t>психиатрических учреждениях</w:t>
      </w:r>
    </w:p>
    <w:p w14:paraId="5C7A1D96" w14:textId="77777777" w:rsidR="00934CF8" w:rsidRPr="00F83081" w:rsidRDefault="00934CF8" w:rsidP="00934CF8">
      <w:pPr>
        <w:pStyle w:val="SingleTxtG"/>
      </w:pPr>
      <w:r>
        <w:t>22.</w:t>
      </w:r>
      <w:r>
        <w:tab/>
        <w:t>Комитет глубоко обеспокоен:</w:t>
      </w:r>
    </w:p>
    <w:p w14:paraId="53CDF502" w14:textId="77777777" w:rsidR="00934CF8" w:rsidRPr="00F83081" w:rsidRDefault="002C72D6" w:rsidP="00934CF8">
      <w:pPr>
        <w:pStyle w:val="SingleTxtG"/>
      </w:pPr>
      <w:r>
        <w:tab/>
      </w:r>
      <w:r w:rsidR="00934CF8">
        <w:tab/>
        <w:t>a)</w:t>
      </w:r>
      <w:r w:rsidR="00934CF8">
        <w:tab/>
        <w:t>отсутствием правовых гарантий, касающихся недобровольной госпитализации, недобровольного медицинского лечения и применения смирительных средств в отношении лиц с интеллектуальными или психосоциальными расстройствами в психиатрических учреждениях; и тем, что психиатрические больницы по-прежнему не запрашивают осознанного согласия пациентов как в отношении их госпитализации, так и в отношении их предполагаемого лечения;</w:t>
      </w:r>
    </w:p>
    <w:p w14:paraId="1F3D2EB0" w14:textId="77777777" w:rsidR="00934CF8" w:rsidRPr="00F83081" w:rsidRDefault="002C72D6" w:rsidP="00934CF8">
      <w:pPr>
        <w:pStyle w:val="SingleTxtG"/>
      </w:pPr>
      <w:r>
        <w:tab/>
      </w:r>
      <w:r w:rsidR="00934CF8">
        <w:tab/>
        <w:t>b)</w:t>
      </w:r>
      <w:r w:rsidR="00934CF8">
        <w:tab/>
        <w:t>помещением детей из детских домов, интернатов и социальных учреждений в психиатрические учреждения за плохое поведение, а также их лечением опасными и морально устаревшими лекарственными средствами и избыточным применением лекарств без учета возможных побочных эффектов; возможными уголовными правонарушениями в детской психиатрической больнице в Айнажи;</w:t>
      </w:r>
    </w:p>
    <w:p w14:paraId="0934CB11" w14:textId="77777777" w:rsidR="00934CF8" w:rsidRPr="00F83081" w:rsidRDefault="002C72D6" w:rsidP="00934CF8">
      <w:pPr>
        <w:pStyle w:val="SingleTxtG"/>
      </w:pPr>
      <w:r>
        <w:tab/>
      </w:r>
      <w:r w:rsidR="00934CF8">
        <w:tab/>
        <w:t>c)</w:t>
      </w:r>
      <w:r w:rsidR="00934CF8">
        <w:tab/>
        <w:t>отсутствием надлежащего ухода в социальных учреждениях за престарелыми, включая использование медицинских усмирительных средств вместо прогулок на свежем воздухе (статьи 2, 11 и 16).</w:t>
      </w:r>
    </w:p>
    <w:p w14:paraId="495EF656" w14:textId="77777777" w:rsidR="00934CF8" w:rsidRPr="00F83081" w:rsidRDefault="00934CF8" w:rsidP="00934CF8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Государству-участнику следует:</w:t>
      </w:r>
    </w:p>
    <w:p w14:paraId="5B1D0CB2" w14:textId="77777777" w:rsidR="00934CF8" w:rsidRPr="002C72D6" w:rsidRDefault="002C72D6" w:rsidP="00934CF8">
      <w:pPr>
        <w:pStyle w:val="SingleTxtG"/>
        <w:rPr>
          <w:b/>
          <w:bCs/>
        </w:rPr>
      </w:pPr>
      <w:r>
        <w:tab/>
      </w:r>
      <w:r w:rsidR="00934CF8">
        <w:tab/>
      </w:r>
      <w:r w:rsidR="00934CF8" w:rsidRPr="002C72D6">
        <w:rPr>
          <w:b/>
        </w:rPr>
        <w:t>a)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обеспечить, чтобы национальное законодательство предусматривало надлежащую нормативную базу для учреждений социального обеспечения и психиатрических учреждений, включая гарантии эффективных правовых гарантий для всех лиц с интеллектуальными или психосоциальными расстройствами в отношении принудительного лечения в психиатрических учреждениях;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чтобы такое лечение являлось крайней мерой, в том числе в отношении решений о применении химических и физических усмирительных средств или принуждения;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чтобы такое лечение должным образом регистрировалось и контролировалось специализированным медицинским персоналом через регулярные промежутки времени;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чтобы любые ограничения были законными, необходимыми и соразмерными индивидуальным обстоятельствам;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чтобы были предусмотрены гарантии эффективного средства правовой защиты;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и чтобы заинтересованные лица или их законные представители могли воспользоваться правом на обжалование решений;</w:t>
      </w:r>
    </w:p>
    <w:p w14:paraId="047CDF23" w14:textId="77777777" w:rsidR="00934CF8" w:rsidRPr="002C72D6" w:rsidRDefault="00934CF8" w:rsidP="00934CF8">
      <w:pPr>
        <w:pStyle w:val="SingleTxtG"/>
        <w:rPr>
          <w:b/>
          <w:bCs/>
        </w:rPr>
      </w:pPr>
      <w:r w:rsidRPr="002C72D6">
        <w:rPr>
          <w:b/>
        </w:rPr>
        <w:tab/>
      </w:r>
      <w:r w:rsidR="002C72D6">
        <w:rPr>
          <w:b/>
        </w:rPr>
        <w:tab/>
      </w:r>
      <w:r w:rsidRPr="002C72D6">
        <w:rPr>
          <w:b/>
        </w:rPr>
        <w:t>b)</w:t>
      </w:r>
      <w:r w:rsidRPr="002C72D6">
        <w:rPr>
          <w:b/>
        </w:rPr>
        <w:tab/>
      </w:r>
      <w:r w:rsidRPr="002C72D6">
        <w:rPr>
          <w:b/>
          <w:bCs/>
        </w:rPr>
        <w:t>обеспечить право пациента или его законного представителя быть заслушанным лично судьей, дающим распоряжение о госпитализации, и чтобы суд всегда запрашивал мнение психиатра, не прикрепленного к психиатрическому учреждению, принимающему пациента, и основывался на объективных медицинских критериях, предусмотренных законом;</w:t>
      </w:r>
    </w:p>
    <w:p w14:paraId="4588E65B" w14:textId="77777777" w:rsidR="00934CF8" w:rsidRPr="00F83081" w:rsidRDefault="002C72D6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c)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 xml:space="preserve">принять необходимые меры для обеспечения того, чтобы Омбудсмен и другие </w:t>
      </w:r>
      <w:r w:rsidR="00934CF8">
        <w:rPr>
          <w:b/>
          <w:bCs/>
        </w:rPr>
        <w:t>независимые контролирующие органы имели возможность проводить регулярные и необъявленные посещения психиатрических и других учреждений социального обеспечения без каких-либо ограничений;</w:t>
      </w:r>
      <w:r w:rsidR="00934CF8">
        <w:t xml:space="preserve"> </w:t>
      </w:r>
      <w:r w:rsidR="00934CF8">
        <w:rPr>
          <w:b/>
          <w:bCs/>
        </w:rPr>
        <w:t xml:space="preserve">создать независимый </w:t>
      </w:r>
      <w:r w:rsidR="00934CF8">
        <w:rPr>
          <w:b/>
          <w:bCs/>
        </w:rPr>
        <w:lastRenderedPageBreak/>
        <w:t>механизм рассмотрения жалоб;</w:t>
      </w:r>
      <w:r w:rsidR="00934CF8">
        <w:t xml:space="preserve"> </w:t>
      </w:r>
      <w:r w:rsidR="00934CF8">
        <w:rPr>
          <w:b/>
          <w:bCs/>
        </w:rPr>
        <w:t>и обеспечить эффективное выполнение рекомендаций, вынесенных Омбудсменом;</w:t>
      </w:r>
    </w:p>
    <w:p w14:paraId="2FFA0415" w14:textId="77777777" w:rsidR="00934CF8" w:rsidRPr="002C72D6" w:rsidRDefault="002C72D6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d)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поощрять психиатрическую помощь, направленную на сохранение достоинства пациентов;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эффективно, оперативно и беспристрастно расследовать все утверждения о неправомерном обращении или злоупотреблениях в отношении лиц с умственными или психосоциальными недостатками, детей, помещенных в психиатрические учреждения, в частности, о возможных уголовных преступлениях в детской психиатрической больнице в Айнажи, а</w:t>
      </w:r>
      <w:r w:rsidR="00FD303B">
        <w:rPr>
          <w:b/>
          <w:bCs/>
        </w:rPr>
        <w:t> </w:t>
      </w:r>
      <w:r w:rsidR="00934CF8" w:rsidRPr="002C72D6">
        <w:rPr>
          <w:b/>
          <w:bCs/>
        </w:rPr>
        <w:t>также пожилых людей, находящихся в социальных учреждениях;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привлекать к ответственности виновных, в частности лиц, использующих лекарства в случае детей и медицинские средства удержания вместо прогулок на свежем воздухе;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и</w:t>
      </w:r>
      <w:r w:rsidR="00FD303B">
        <w:rPr>
          <w:b/>
          <w:bCs/>
        </w:rPr>
        <w:t> </w:t>
      </w:r>
      <w:r w:rsidR="00934CF8" w:rsidRPr="002C72D6">
        <w:rPr>
          <w:b/>
          <w:bCs/>
        </w:rPr>
        <w:t>обеспечить предоставление возмещения жертвам;</w:t>
      </w:r>
    </w:p>
    <w:p w14:paraId="257B56FF" w14:textId="77777777" w:rsidR="00934CF8" w:rsidRPr="002C72D6" w:rsidRDefault="002C72D6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e)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информировать Комитет о результатах уголовного дела в отношении детской психиатрической больницы города Айнажи;</w:t>
      </w:r>
    </w:p>
    <w:p w14:paraId="07C5456A" w14:textId="77777777" w:rsidR="00934CF8" w:rsidRPr="00F83081" w:rsidRDefault="002C72D6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f)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предусмотреть реформирование системы психиатрической помощи, в том числе путем более активного использования менее ограничительных альтернатив принудительному заключению лиц с умственными и психосоциальными расстройствами;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содействовать развитию общинных или альтерна</w:t>
      </w:r>
      <w:r w:rsidR="00934CF8">
        <w:rPr>
          <w:b/>
          <w:bCs/>
        </w:rPr>
        <w:t>тивных служб социального обеспечения;</w:t>
      </w:r>
      <w:r w:rsidR="00934CF8">
        <w:t xml:space="preserve"> </w:t>
      </w:r>
      <w:r w:rsidR="00934CF8">
        <w:rPr>
          <w:b/>
          <w:bCs/>
        </w:rPr>
        <w:t>и представить Комитету обновленную информацию о процессе деинституционализации детей и пожилых людей.</w:t>
      </w:r>
    </w:p>
    <w:p w14:paraId="36049FA4" w14:textId="77777777" w:rsidR="00934CF8" w:rsidRPr="00F83081" w:rsidRDefault="00934CF8" w:rsidP="002C72D6">
      <w:pPr>
        <w:pStyle w:val="H23G"/>
      </w:pPr>
      <w:r>
        <w:tab/>
      </w:r>
      <w:r>
        <w:tab/>
        <w:t>Расследование случаев чрезмерного применения силы и неправомерного обращения со стороны сотрудников правоохранительных органов</w:t>
      </w:r>
    </w:p>
    <w:p w14:paraId="6A6D2FE4" w14:textId="77777777" w:rsidR="00934CF8" w:rsidRPr="00F83081" w:rsidRDefault="00934CF8" w:rsidP="00934CF8">
      <w:pPr>
        <w:pStyle w:val="SingleTxtG"/>
      </w:pPr>
      <w:r>
        <w:t>24.</w:t>
      </w:r>
      <w:r>
        <w:tab/>
        <w:t>Отмечая создание в 2015 году Бюро внутренней безопасности для расследования уголовных преступлений, совершенных должностными лицами, подчиненными Министерству внутренних дел, Управлению пенитенциарных учреждений, муниципальной полиции и портовой полиции, за исключением полиции безопасности, а также Бюро внутреннего контроля государственной полиции, которые находятся под надзором Министерства внутренних дел, Комитет в то же время обеспокоен тем, что жалобы на пытки и неправомерное обращение со стороны сотрудников правоохранительных органов расследуются органами, которые имеют институциональные и иерархические отношения с лицами, совершившими эти деяния (статьи 2, 12, 13 и 16).</w:t>
      </w:r>
    </w:p>
    <w:p w14:paraId="79D32B72" w14:textId="77777777" w:rsidR="00934CF8" w:rsidRPr="00F83081" w:rsidRDefault="00934CF8" w:rsidP="00934CF8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Государству-участнику следует:</w:t>
      </w:r>
    </w:p>
    <w:p w14:paraId="3536AAA7" w14:textId="77777777" w:rsidR="00934CF8" w:rsidRPr="002C72D6" w:rsidRDefault="002C72D6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a)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принять соответствующие меры для обеспечения независимости органа, отвечающего за проведение расследований в связи с предполагаемыми неправомерными действиями сотрудников полиции и тюремного персонала;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обеспечить, чтобы все утверждения о пытках и неправомерном обращении оперативно и эффективно расследовались этим независимым органом;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и</w:t>
      </w:r>
      <w:r w:rsidR="00FD303B">
        <w:rPr>
          <w:b/>
          <w:bCs/>
        </w:rPr>
        <w:t> </w:t>
      </w:r>
      <w:r w:rsidR="00934CF8" w:rsidRPr="002C72D6">
        <w:rPr>
          <w:b/>
          <w:bCs/>
        </w:rPr>
        <w:t>обеспечить отсутствие институциональных или иерархических отношений между следователями этого органа и подозреваемыми в совершении таких деяний;</w:t>
      </w:r>
    </w:p>
    <w:p w14:paraId="0D3D946D" w14:textId="77777777" w:rsidR="00934CF8" w:rsidRPr="002C72D6" w:rsidRDefault="002C72D6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b)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обеспечить, чтобы в случаях предполагаемых пыток или неправомерного обращения подозреваемые лица немедленно отстранялись от исполнения служебных обязанностей на период расследования во избежание опасности того, что в противном случае они могут повторить предполагаемое деяние, подвергнуть репрессиям предполагаемую жертву или воспрепятствовать расследованию;</w:t>
      </w:r>
    </w:p>
    <w:p w14:paraId="0E73BF37" w14:textId="77777777" w:rsidR="00934CF8" w:rsidRPr="00F83081" w:rsidRDefault="002C72D6" w:rsidP="00934CF8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c)</w:t>
      </w:r>
      <w:r w:rsidR="00934CF8" w:rsidRPr="002C72D6">
        <w:rPr>
          <w:b/>
        </w:rPr>
        <w:tab/>
      </w:r>
      <w:r w:rsidR="00934CF8">
        <w:rPr>
          <w:b/>
          <w:bCs/>
        </w:rPr>
        <w:t>обеспечить, чтобы сотрудники правоохранительных органов продолжали проходить подготовку по вопросам абсолютного запрещения пыток и применения силы с учетом Основных принципов применения силы и огнестрельного оружия должностными лицами по поддержанию правопорядка, а</w:t>
      </w:r>
      <w:r w:rsidR="00FD303B">
        <w:rPr>
          <w:b/>
          <w:bCs/>
        </w:rPr>
        <w:t> </w:t>
      </w:r>
      <w:r w:rsidR="00934CF8">
        <w:rPr>
          <w:b/>
          <w:bCs/>
        </w:rPr>
        <w:t xml:space="preserve">также по вопросам расследования пыток и неправомерого обращения на основе Руководства по эффективному расследованию и документированию пыток и </w:t>
      </w:r>
      <w:r w:rsidR="00934CF8">
        <w:rPr>
          <w:b/>
          <w:bCs/>
        </w:rPr>
        <w:lastRenderedPageBreak/>
        <w:t>других жестоких, бесчеловечных или унижающих достоинство видов обращения и наказания (Стамбульский протокол);</w:t>
      </w:r>
    </w:p>
    <w:p w14:paraId="097B5B81" w14:textId="77777777" w:rsidR="00934CF8" w:rsidRPr="00F83081" w:rsidRDefault="00934CF8" w:rsidP="00BA5255">
      <w:pPr>
        <w:pStyle w:val="SingleTxtG"/>
        <w:rPr>
          <w:b/>
          <w:bCs/>
        </w:rPr>
      </w:pPr>
      <w:r w:rsidRPr="002C72D6">
        <w:rPr>
          <w:b/>
        </w:rPr>
        <w:tab/>
      </w:r>
      <w:r w:rsidR="002C72D6">
        <w:rPr>
          <w:b/>
        </w:rPr>
        <w:tab/>
      </w:r>
      <w:r w:rsidRPr="002C72D6">
        <w:rPr>
          <w:b/>
        </w:rPr>
        <w:t>d)</w:t>
      </w:r>
      <w:r w:rsidRPr="002C72D6">
        <w:rPr>
          <w:b/>
        </w:rPr>
        <w:tab/>
      </w:r>
      <w:r>
        <w:rPr>
          <w:b/>
          <w:bCs/>
        </w:rPr>
        <w:t>собирать и публиковать всеобъемлющую и дезагрегированную статистическую информацию о количестве жалоб на пытки или неправомерное обращение, о том, привели ли такие жалобы к возбуждению расследования, какой орган власти расследовал эти жалобы, привели ли расследования к принятию дисциплинарных ме</w:t>
      </w:r>
      <w:r w:rsidRPr="00143564">
        <w:rPr>
          <w:b/>
          <w:bCs/>
        </w:rPr>
        <w:t>р и/</w:t>
      </w:r>
      <w:r w:rsidRPr="00143564">
        <w:rPr>
          <w:b/>
        </w:rPr>
        <w:t>или</w:t>
      </w:r>
      <w:r w:rsidRPr="00143564">
        <w:rPr>
          <w:b/>
          <w:bCs/>
        </w:rPr>
        <w:t xml:space="preserve"> во</w:t>
      </w:r>
      <w:r>
        <w:rPr>
          <w:b/>
          <w:bCs/>
        </w:rPr>
        <w:t>збуждению уголовного преследования, какие наказания были назначены и получили ли жертвы возмещение;</w:t>
      </w:r>
      <w:r>
        <w:t xml:space="preserve"> </w:t>
      </w:r>
      <w:r w:rsidR="00944F2E">
        <w:rPr>
          <w:b/>
          <w:bCs/>
        </w:rPr>
        <w:t>к</w:t>
      </w:r>
      <w:r>
        <w:rPr>
          <w:b/>
          <w:bCs/>
        </w:rPr>
        <w:t>роме того, государству-участнику следует представить Комитету эту информацию в своем следующем периодическом докладе.</w:t>
      </w:r>
    </w:p>
    <w:p w14:paraId="5C721205" w14:textId="77777777" w:rsidR="00934CF8" w:rsidRPr="00F83081" w:rsidRDefault="00934CF8" w:rsidP="002C72D6">
      <w:pPr>
        <w:pStyle w:val="H23G"/>
      </w:pPr>
      <w:r>
        <w:tab/>
      </w:r>
      <w:r>
        <w:tab/>
        <w:t>Бытовое насилие</w:t>
      </w:r>
    </w:p>
    <w:p w14:paraId="1F2A1F76" w14:textId="77777777" w:rsidR="00934CF8" w:rsidRPr="00F83081" w:rsidRDefault="00934CF8" w:rsidP="002C72D6">
      <w:pPr>
        <w:pStyle w:val="SingleTxtG"/>
      </w:pPr>
      <w:r>
        <w:t>26.</w:t>
      </w:r>
      <w:r>
        <w:tab/>
        <w:t>Ссылаясь на свои предыдущие заключительные замечания (CAT/C/LVA/</w:t>
      </w:r>
      <w:r w:rsidR="002C72D6">
        <w:br/>
      </w:r>
      <w:r>
        <w:t>CO/3-5, пункт 14), Комитет по-прежнему обеспокоен тем, что бытовое насилие до сих пор не определено в качестве отдельного преступления в Уголовном законе и что изнасилование в браке до сих пор не признано в качестве отдельного уголовного преступления. Признавая введение в рассматриваемый период ограничительных мер в отношении лиц, совершивших акты насилия в семье, Комитет выражает озабоченность по поводу трудностей, с которыми сталкиваются жертвы при подаче жалоб и получении доступа к органам власти для принятия мер защиты и отделения от лиц, совершивших такие акты, включая создание единой бесплатной телефонной линии помощи для жертв преступлений, функционирующей под эгидой Управления правовой помощи, и доступа к медицинским и юридическим услугам, включая консультирование, а также по поводу ограниченности помощи, предоставляемой жертвам таких актов на базе финансируемых государством служб социальной реабилитации, а также приютов и кризисных центров, находящихся в ведении государства (статьи 2, 12, 13, 14 и 16).</w:t>
      </w:r>
    </w:p>
    <w:p w14:paraId="2E05BCF2" w14:textId="77777777" w:rsidR="00934CF8" w:rsidRPr="00BA5255" w:rsidRDefault="00934CF8" w:rsidP="00BA5255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 xml:space="preserve">Государству-участнику следует принять меры для обеспечения того, чтобы </w:t>
      </w:r>
      <w:r w:rsidRPr="00BA5255">
        <w:rPr>
          <w:b/>
          <w:bCs/>
        </w:rPr>
        <w:t xml:space="preserve">его органы </w:t>
      </w:r>
      <w:r w:rsidRPr="00BA5255">
        <w:rPr>
          <w:b/>
        </w:rPr>
        <w:t>власти</w:t>
      </w:r>
      <w:r w:rsidRPr="00BA5255">
        <w:rPr>
          <w:b/>
          <w:bCs/>
        </w:rPr>
        <w:t xml:space="preserve"> или другие субъекты воздерживались от действий или бездействия, которые влекут за собой международную ответственность государства-участника по Конвенции, в частности:</w:t>
      </w:r>
    </w:p>
    <w:p w14:paraId="2D2E69E8" w14:textId="77777777" w:rsidR="00934CF8" w:rsidRPr="00BA5255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BA5255">
        <w:rPr>
          <w:b/>
        </w:rPr>
        <w:tab/>
        <w:t>a)</w:t>
      </w:r>
      <w:r w:rsidR="00934CF8" w:rsidRPr="00BA5255">
        <w:rPr>
          <w:b/>
        </w:rPr>
        <w:tab/>
      </w:r>
      <w:r w:rsidR="00934CF8" w:rsidRPr="00BA5255">
        <w:rPr>
          <w:b/>
          <w:bCs/>
        </w:rPr>
        <w:t>внести поправки в свое законодательство, с тем чтобы включить бытовое насилие и изнасилование в браке в качестве отдельных преступлений в Уголовный кодекс;</w:t>
      </w:r>
      <w:r w:rsidR="00934CF8" w:rsidRPr="00BA5255">
        <w:rPr>
          <w:b/>
        </w:rPr>
        <w:t xml:space="preserve"> </w:t>
      </w:r>
      <w:r w:rsidR="00934CF8" w:rsidRPr="00BA5255">
        <w:rPr>
          <w:b/>
          <w:bCs/>
        </w:rPr>
        <w:t>обеспечить, чтобы все случаи бытового и гендерного насилия оперативно и тщательно расследовались, чтобы предполагаемые преступники привлекались к ответственности и, в случае признания их виновными, надлежащим образом наказывались, а жертвы получали возмещение, включая адекватную компенсацию;</w:t>
      </w:r>
      <w:r w:rsidR="00934CF8" w:rsidRPr="00BA5255">
        <w:rPr>
          <w:b/>
        </w:rPr>
        <w:t xml:space="preserve"> </w:t>
      </w:r>
      <w:r w:rsidR="00934CF8" w:rsidRPr="00BA5255">
        <w:rPr>
          <w:b/>
          <w:bCs/>
        </w:rPr>
        <w:t xml:space="preserve">и </w:t>
      </w:r>
      <w:r w:rsidR="00934CF8" w:rsidRPr="00BA5255">
        <w:rPr>
          <w:b/>
        </w:rPr>
        <w:t>обеспечить</w:t>
      </w:r>
      <w:r w:rsidR="00934CF8" w:rsidRPr="00BA5255">
        <w:rPr>
          <w:b/>
          <w:bCs/>
        </w:rPr>
        <w:t>, чтобы женщины, ставшие жертвами бытового насилия, не сталкивались с какими-либо правовыми препятствиями для незамедлительного обращения к властям с просьбой о принятии мер защиты, включая запретительные судебные приказы и законное раздельное проживание;</w:t>
      </w:r>
    </w:p>
    <w:p w14:paraId="68A1A286" w14:textId="77777777" w:rsidR="00934CF8" w:rsidRPr="00BA5255" w:rsidRDefault="00934CF8" w:rsidP="00BA5255">
      <w:pPr>
        <w:pStyle w:val="SingleTxtG"/>
        <w:rPr>
          <w:b/>
          <w:bCs/>
        </w:rPr>
      </w:pPr>
      <w:r w:rsidRPr="00BA5255">
        <w:rPr>
          <w:b/>
        </w:rPr>
        <w:tab/>
      </w:r>
      <w:r w:rsidR="002C72D6">
        <w:rPr>
          <w:b/>
        </w:rPr>
        <w:tab/>
      </w:r>
      <w:r w:rsidRPr="00BA5255">
        <w:rPr>
          <w:b/>
        </w:rPr>
        <w:t>b)</w:t>
      </w:r>
      <w:r w:rsidRPr="00BA5255">
        <w:rPr>
          <w:b/>
        </w:rPr>
        <w:tab/>
      </w:r>
      <w:r w:rsidRPr="00BA5255">
        <w:rPr>
          <w:b/>
          <w:bCs/>
        </w:rPr>
        <w:t>обеспечить, чтобы все жертвы гендерного насилия, включая бытовое насилие, имели доступ к медицинским и юридическим услугам, в том числе к консультированию, возмещению ущерба и реабилитации, и</w:t>
      </w:r>
      <w:r w:rsidR="00FD303B">
        <w:rPr>
          <w:b/>
          <w:bCs/>
        </w:rPr>
        <w:t> </w:t>
      </w:r>
      <w:r w:rsidRPr="00BA5255">
        <w:rPr>
          <w:b/>
          <w:bCs/>
        </w:rPr>
        <w:t xml:space="preserve">предусмотреть наличие финансируемых </w:t>
      </w:r>
      <w:r w:rsidRPr="00BA5255">
        <w:rPr>
          <w:b/>
        </w:rPr>
        <w:t>государством</w:t>
      </w:r>
      <w:r w:rsidRPr="00BA5255">
        <w:rPr>
          <w:b/>
          <w:bCs/>
        </w:rPr>
        <w:t xml:space="preserve"> служб социальной реабилитации, приютов и кризисных центров;</w:t>
      </w:r>
    </w:p>
    <w:p w14:paraId="1BE4E631" w14:textId="77777777" w:rsidR="00934CF8" w:rsidRPr="00F83081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BA5255">
        <w:rPr>
          <w:b/>
        </w:rPr>
        <w:tab/>
        <w:t>c)</w:t>
      </w:r>
      <w:r w:rsidR="00934CF8" w:rsidRPr="00BA5255">
        <w:rPr>
          <w:b/>
        </w:rPr>
        <w:tab/>
      </w:r>
      <w:r w:rsidR="00934CF8" w:rsidRPr="00BA5255">
        <w:rPr>
          <w:b/>
          <w:bCs/>
        </w:rPr>
        <w:t>осуществлять мониторинг эффек</w:t>
      </w:r>
      <w:r w:rsidR="00934CF8">
        <w:rPr>
          <w:b/>
          <w:bCs/>
        </w:rPr>
        <w:t xml:space="preserve">тивности механизмов подачи и рассмотрения жалоб, включая бесплатную телефонную линию помощи, работу которой обеспечивает Управление правовой помощи при содействии ассоциации </w:t>
      </w:r>
      <w:r>
        <w:rPr>
          <w:b/>
          <w:bCs/>
        </w:rPr>
        <w:t>«</w:t>
      </w:r>
      <w:r w:rsidR="00934CF8">
        <w:rPr>
          <w:b/>
          <w:bCs/>
        </w:rPr>
        <w:t>Скалбес</w:t>
      </w:r>
      <w:r>
        <w:rPr>
          <w:b/>
          <w:bCs/>
        </w:rPr>
        <w:t>»</w:t>
      </w:r>
      <w:r w:rsidR="00934CF8">
        <w:rPr>
          <w:b/>
          <w:bCs/>
        </w:rPr>
        <w:t>, для жертв преступлений, в том числе жертв насилия и их семей;</w:t>
      </w:r>
    </w:p>
    <w:p w14:paraId="375FB4C7" w14:textId="77777777" w:rsidR="00934CF8" w:rsidRPr="00F83081" w:rsidRDefault="002C72D6" w:rsidP="00BA5255">
      <w:pPr>
        <w:pStyle w:val="SingleTxtG"/>
        <w:rPr>
          <w:b/>
          <w:bCs/>
        </w:rPr>
      </w:pPr>
      <w:r>
        <w:rPr>
          <w:b/>
          <w:bCs/>
        </w:rPr>
        <w:tab/>
      </w:r>
      <w:r w:rsidR="00934CF8" w:rsidRPr="00BA5255">
        <w:rPr>
          <w:b/>
          <w:bCs/>
        </w:rPr>
        <w:tab/>
        <w:t>d)</w:t>
      </w:r>
      <w:r w:rsidR="00934CF8">
        <w:tab/>
      </w:r>
      <w:r w:rsidR="00934CF8">
        <w:rPr>
          <w:b/>
          <w:bCs/>
        </w:rPr>
        <w:t>проводить обязательную подготовку сотрудников полиции и других правоохранительных органов, прокуроров, судей и социальных и медицинских работников по методам выявления и эффективной защиты жертв гендерного насилия и бытового насилия;</w:t>
      </w:r>
      <w:r w:rsidR="00934CF8">
        <w:t xml:space="preserve"> </w:t>
      </w:r>
      <w:r w:rsidR="00934CF8">
        <w:rPr>
          <w:b/>
          <w:bCs/>
        </w:rPr>
        <w:t xml:space="preserve">и собирать статистические данные в разбивке по полу, возрасту и этнической принадлежности жертв и их отношению к правонарушителю о бытовом, сексуальном и других формах насилия в </w:t>
      </w:r>
      <w:r w:rsidR="00934CF8">
        <w:rPr>
          <w:b/>
          <w:bCs/>
        </w:rPr>
        <w:lastRenderedPageBreak/>
        <w:t xml:space="preserve">отношении женщин, включая изнасилование в браке, а также о количестве жалоб, расследований, судебных преследований и осуждений </w:t>
      </w:r>
      <w:r w:rsidR="00FD303B">
        <w:rPr>
          <w:b/>
          <w:bCs/>
        </w:rPr>
        <w:t>преступников</w:t>
      </w:r>
      <w:r w:rsidR="00934CF8">
        <w:rPr>
          <w:b/>
          <w:bCs/>
        </w:rPr>
        <w:t>, а</w:t>
      </w:r>
      <w:r w:rsidR="00FD303B">
        <w:rPr>
          <w:b/>
          <w:bCs/>
        </w:rPr>
        <w:t> </w:t>
      </w:r>
      <w:r w:rsidR="00934CF8">
        <w:rPr>
          <w:b/>
          <w:bCs/>
        </w:rPr>
        <w:t>также о вынесенных приговорах.</w:t>
      </w:r>
    </w:p>
    <w:p w14:paraId="6DA6FB00" w14:textId="77777777" w:rsidR="00934CF8" w:rsidRPr="00F83081" w:rsidRDefault="00934CF8" w:rsidP="002C72D6">
      <w:pPr>
        <w:pStyle w:val="H23G"/>
      </w:pPr>
      <w:r>
        <w:tab/>
      </w:r>
      <w:r>
        <w:tab/>
        <w:t>Торговля людьми</w:t>
      </w:r>
    </w:p>
    <w:p w14:paraId="39F81E7E" w14:textId="77777777" w:rsidR="00934CF8" w:rsidRPr="00F83081" w:rsidRDefault="00934CF8" w:rsidP="00BA5255">
      <w:pPr>
        <w:pStyle w:val="SingleTxtG"/>
      </w:pPr>
      <w:r>
        <w:t>28.</w:t>
      </w:r>
      <w:r>
        <w:tab/>
        <w:t>Отмечая, что статьи 154</w:t>
      </w:r>
      <w:r w:rsidRPr="007A0464">
        <w:rPr>
          <w:vertAlign w:val="superscript"/>
        </w:rPr>
        <w:t>1</w:t>
      </w:r>
      <w:r>
        <w:t xml:space="preserve"> и 165</w:t>
      </w:r>
      <w:r w:rsidRPr="007A0464">
        <w:rPr>
          <w:vertAlign w:val="superscript"/>
        </w:rPr>
        <w:t>1</w:t>
      </w:r>
      <w:r>
        <w:t xml:space="preserve"> Уголовного закона предусматривают уголовную ответственность за торговлю людьми, Комитет в то же время обеспокоен тем, что государство-участник остается страной происхождения жертв торговли людьми для целей сексуальной и трудовой эксплуатации (статьи 2, 12, 13, 14 и 16).</w:t>
      </w:r>
    </w:p>
    <w:p w14:paraId="7EB6AC66" w14:textId="77777777" w:rsidR="00934CF8" w:rsidRPr="00F83081" w:rsidRDefault="00934CF8" w:rsidP="00BA5255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Государству-участнику следует:</w:t>
      </w:r>
    </w:p>
    <w:p w14:paraId="4100C316" w14:textId="77777777" w:rsidR="00934CF8" w:rsidRPr="002C72D6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a)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активно осуществлять соответствующее международное и внутреннее законодательство, выделять достаточные средства на борьбу с торговлей людьми и проводить национальные профилактические и информационно-просветительские кампании о преступном характере таких деяний;</w:t>
      </w:r>
    </w:p>
    <w:p w14:paraId="5548EA8C" w14:textId="77777777" w:rsidR="00934CF8" w:rsidRPr="002C72D6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b)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принять эффективные меры по предотвращению и искоренению торговли людьми, в том числе путем организации специальной государственной подготовки государственных служащих, таких как сотрудники правоохранительных органов и других первых ответчиков, по выявлению жертв и по расследованию, судебному преследованию и наказанию виновных;</w:t>
      </w:r>
    </w:p>
    <w:p w14:paraId="695AE89B" w14:textId="77777777" w:rsidR="00934CF8" w:rsidRPr="002C72D6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c)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обеспечить эффективное выполнение руководящих принципов по предотвращению торговли людьми на 2014</w:t>
      </w:r>
      <w:r w:rsidR="001F1447">
        <w:rPr>
          <w:b/>
          <w:bCs/>
        </w:rPr>
        <w:t>–</w:t>
      </w:r>
      <w:r w:rsidR="00934CF8" w:rsidRPr="002C72D6">
        <w:rPr>
          <w:b/>
          <w:bCs/>
        </w:rPr>
        <w:t>2020 годы;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усилить защиту и обеспечить эффективное возмещение ущерба жертвам торговли людьми, включая правовую, медицинскую и психологическую помощь и реабилитацию, а также адекватные приюты и помощь в информировании полиции о случаях торговли людьми;</w:t>
      </w:r>
    </w:p>
    <w:p w14:paraId="5F9A63CA" w14:textId="77777777" w:rsidR="00934CF8" w:rsidRPr="00F83081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d)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безотлагательно, эффективно и беспристрастно расследовать престу</w:t>
      </w:r>
      <w:r w:rsidR="00934CF8">
        <w:rPr>
          <w:b/>
          <w:bCs/>
        </w:rPr>
        <w:t>пления, состоящие в торговле людьми, и смежную практику;</w:t>
      </w:r>
      <w:r w:rsidR="00934CF8">
        <w:t xml:space="preserve"> </w:t>
      </w:r>
      <w:r w:rsidR="00934CF8">
        <w:rPr>
          <w:b/>
          <w:bCs/>
        </w:rPr>
        <w:t>преследовать и наказывать виновных соразмерно тяжести преступления;</w:t>
      </w:r>
      <w:r w:rsidR="00934CF8">
        <w:t xml:space="preserve"> </w:t>
      </w:r>
      <w:r w:rsidR="00934CF8">
        <w:rPr>
          <w:b/>
          <w:bCs/>
        </w:rPr>
        <w:t>и представить Комитету всеобъемлющие и дезагрегированные данные о количестве расследований, судебных преследований и приговоров, вынесенных виновным в такой торговле, и в частности конкретных приговорах, вынесенных за рассматриваемый период виновным по статьям 154</w:t>
      </w:r>
      <w:r w:rsidR="00934CF8" w:rsidRPr="005746AD">
        <w:rPr>
          <w:b/>
          <w:bCs/>
          <w:vertAlign w:val="superscript"/>
        </w:rPr>
        <w:t>1</w:t>
      </w:r>
      <w:r w:rsidR="00934CF8">
        <w:rPr>
          <w:b/>
          <w:bCs/>
        </w:rPr>
        <w:t xml:space="preserve"> и 165</w:t>
      </w:r>
      <w:r w:rsidR="00934CF8" w:rsidRPr="005746AD">
        <w:rPr>
          <w:b/>
          <w:bCs/>
          <w:vertAlign w:val="superscript"/>
        </w:rPr>
        <w:t>1</w:t>
      </w:r>
      <w:r w:rsidR="00934CF8">
        <w:rPr>
          <w:b/>
          <w:bCs/>
        </w:rPr>
        <w:t xml:space="preserve"> Уголовного кодекса.</w:t>
      </w:r>
    </w:p>
    <w:p w14:paraId="40F32249" w14:textId="77777777" w:rsidR="00934CF8" w:rsidRPr="00F83081" w:rsidRDefault="00934CF8" w:rsidP="002C72D6">
      <w:pPr>
        <w:pStyle w:val="H23G"/>
      </w:pPr>
      <w:r>
        <w:tab/>
      </w:r>
      <w:r>
        <w:tab/>
        <w:t>Положение просителей убежища и неграждан</w:t>
      </w:r>
    </w:p>
    <w:p w14:paraId="4A77258F" w14:textId="77777777" w:rsidR="00934CF8" w:rsidRPr="00F83081" w:rsidRDefault="00934CF8" w:rsidP="00BA5255">
      <w:pPr>
        <w:pStyle w:val="SingleTxtG"/>
      </w:pPr>
      <w:r>
        <w:t>30.</w:t>
      </w:r>
      <w:r>
        <w:tab/>
        <w:t>Отмечая принятие в 2015 году нового Закона об убежище, Комитет вместе с тем обеспокоен тем, что просители убежища по-прежнему содержатся под стражей, что они могут не иметь доступ к информации о процедуре предоставления убежища и что они не пользуются надлежащими процедурными гарантиями, в частности в пунктах пересечения границы. Он также обеспокоен отсутствием бесплатной юридической помощи, позволяющей просителям убежища обжаловать отказ во въезде или отказ в регистрации в качестве просителя убежища, при том, что обжаловать этот отказ необходимо в течение 48 часов. Кроме того, Комитет обеспокоен тем, что дети, рожденные от неграждан, не получают автоматически латвийское гражданство (статьи</w:t>
      </w:r>
      <w:r w:rsidR="002C72D6">
        <w:t> </w:t>
      </w:r>
      <w:r>
        <w:t>2, 3, 11 и 16).</w:t>
      </w:r>
    </w:p>
    <w:p w14:paraId="57E8AD06" w14:textId="77777777" w:rsidR="00934CF8" w:rsidRPr="00F83081" w:rsidRDefault="00934CF8" w:rsidP="00934CF8">
      <w:pPr>
        <w:pStyle w:val="SingleTxtG"/>
        <w:keepNext/>
        <w:keepLines/>
        <w:spacing w:line="360" w:lineRule="auto"/>
        <w:rPr>
          <w:b/>
          <w:bCs/>
        </w:rPr>
      </w:pPr>
      <w:r>
        <w:t>31.</w:t>
      </w:r>
      <w:r>
        <w:tab/>
      </w:r>
      <w:r>
        <w:rPr>
          <w:b/>
          <w:bCs/>
        </w:rPr>
        <w:t>Государству-участнику следует:</w:t>
      </w:r>
    </w:p>
    <w:p w14:paraId="1442A35D" w14:textId="77777777" w:rsidR="00934CF8" w:rsidRPr="002C72D6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a)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соблюдать свои обязательства по статье 3 Конвенции и обеспечить, чтобы на практике никто не мог быть выслан, возвращен или выдан другому государству, если существуют серьезные основания полагать, что там ему будет угрожать опасность подвергнуться пыткам или неправомерному обращению;</w:t>
      </w:r>
    </w:p>
    <w:p w14:paraId="5B81D4A4" w14:textId="77777777" w:rsidR="00934CF8" w:rsidRPr="002C72D6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b)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 xml:space="preserve">обеспечить наличие процессуальных гарантий против выдворения и предоставление всем лицам, нуждающимся в международной защите, надлежащего обращения на всех этапах, в том числе в пунктах пересечения границы, а также возможность оперативно получать бесплатную юридическую </w:t>
      </w:r>
      <w:r w:rsidR="00934CF8" w:rsidRPr="002C72D6">
        <w:rPr>
          <w:b/>
          <w:bCs/>
        </w:rPr>
        <w:lastRenderedPageBreak/>
        <w:t>помощь, в частности в случае обжалования отказа во въезде или регистрации;</w:t>
      </w:r>
      <w:r w:rsidR="00934CF8" w:rsidRPr="002C72D6">
        <w:rPr>
          <w:b/>
        </w:rPr>
        <w:t xml:space="preserve"> </w:t>
      </w:r>
      <w:r w:rsidR="00934CF8" w:rsidRPr="002C72D6">
        <w:rPr>
          <w:b/>
          <w:bCs/>
        </w:rPr>
        <w:t>и обеспечить, чтобы апелляции на решения, касающиеся убежища, имели приостанавливающее действие;</w:t>
      </w:r>
      <w:r w:rsidR="00934CF8" w:rsidRPr="002C72D6">
        <w:rPr>
          <w:b/>
        </w:rPr>
        <w:t xml:space="preserve"> </w:t>
      </w:r>
    </w:p>
    <w:p w14:paraId="1EC777B7" w14:textId="77777777" w:rsidR="00934CF8" w:rsidRPr="002C72D6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c)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обеспечить создание эффективного механизма для оперативного выявления жертв пыток среди просителей убежища и освобождения их и других лиц с особыми потребностями, таких как дети, беременные женщины и кормящие матери, из-под стражи;</w:t>
      </w:r>
    </w:p>
    <w:p w14:paraId="65485CAD" w14:textId="77777777" w:rsidR="00934CF8" w:rsidRPr="002C72D6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d)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обеспечить, чтобы содержание детей под стражей являлось крайней мерой и применялось в течение как можно более короткого соответствующего периода времени, содействовать применению мер, не связанных с лишением свободы, и обеспечить надлежащий прием лиц в иммиграционные центры содержания под стражей и соответствие условий их содержания международным стандартам;</w:t>
      </w:r>
    </w:p>
    <w:p w14:paraId="241857B4" w14:textId="77777777" w:rsidR="00934CF8" w:rsidRPr="00F83081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e)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ра</w:t>
      </w:r>
      <w:r w:rsidR="00934CF8">
        <w:rPr>
          <w:b/>
          <w:bCs/>
        </w:rPr>
        <w:t>ссмотреть возможность принятия дополнительных правовых, политических и практических мер для содействия натурализации и интеграции неграждан.</w:t>
      </w:r>
      <w:r w:rsidR="00934CF8">
        <w:t xml:space="preserve"> </w:t>
      </w:r>
    </w:p>
    <w:p w14:paraId="54E95BB9" w14:textId="77777777" w:rsidR="00934CF8" w:rsidRPr="00F83081" w:rsidRDefault="00934CF8" w:rsidP="002C72D6">
      <w:pPr>
        <w:pStyle w:val="H23G"/>
      </w:pPr>
      <w:r>
        <w:tab/>
      </w:r>
      <w:r>
        <w:tab/>
        <w:t>Подготовка</w:t>
      </w:r>
    </w:p>
    <w:p w14:paraId="17709F0D" w14:textId="77777777" w:rsidR="00934CF8" w:rsidRPr="00F83081" w:rsidRDefault="00934CF8" w:rsidP="00BA5255">
      <w:pPr>
        <w:pStyle w:val="SingleTxtG"/>
      </w:pPr>
      <w:r>
        <w:t>32.</w:t>
      </w:r>
      <w:r>
        <w:tab/>
        <w:t>Принимая к сведению представленную государством-участником информацию о том, что подготовка по вопросам прав человека для ряда должностных лиц проводится на регулярной основе, Комитет в то же время обеспокоен тем, что государственные должностные лица, такие как сотрудники правоохранительных органов, судьи, прокуроры, работники судов, адвокаты, медицинский персонал, персонал тюрем, военнослужащие и сотрудники разведки, а также охранники, могут не проходить обязательную специальную подготовку по положениям Конвенции и абсолютному запрету на применение пыток. Он также обеспокоен тем, что не все медицинские работники могут проходить подготовку по вопросам Стамбульского протокола (статья 10).</w:t>
      </w:r>
    </w:p>
    <w:p w14:paraId="56927D34" w14:textId="77777777" w:rsidR="00934CF8" w:rsidRPr="00F83081" w:rsidRDefault="00934CF8" w:rsidP="00BA5255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Государству-участнику следует:</w:t>
      </w:r>
    </w:p>
    <w:p w14:paraId="4CDA18AB" w14:textId="77777777" w:rsidR="00934CF8" w:rsidRPr="002C72D6" w:rsidRDefault="00934CF8" w:rsidP="00BA5255">
      <w:pPr>
        <w:pStyle w:val="SingleTxtG"/>
        <w:rPr>
          <w:b/>
          <w:bCs/>
        </w:rPr>
      </w:pPr>
      <w:r w:rsidRPr="002C72D6">
        <w:rPr>
          <w:b/>
        </w:rPr>
        <w:tab/>
      </w:r>
      <w:r w:rsidR="002C72D6">
        <w:rPr>
          <w:b/>
        </w:rPr>
        <w:tab/>
      </w:r>
      <w:r w:rsidRPr="002C72D6">
        <w:rPr>
          <w:b/>
        </w:rPr>
        <w:t>a)</w:t>
      </w:r>
      <w:r w:rsidRPr="002C72D6">
        <w:rPr>
          <w:b/>
        </w:rPr>
        <w:tab/>
      </w:r>
      <w:r w:rsidRPr="002C72D6">
        <w:rPr>
          <w:b/>
          <w:bCs/>
        </w:rPr>
        <w:t>разработать обязательные программы начальной подготовки и повышения квалификации без отрыва от работы для обеспечения того, чтобы все государственные должностные лица были хорошо знакомы с положениями Конвенции, особенно с абсолютным запрещением пыток и неправомерного обращения, и чтобы они были полностью осведомлены о том, что нарушения не будут допускаться, а будут расследоваться и что виновные будут привлекаться к ответственности и, в случае осуждения, наказываться соответствующим образом;</w:t>
      </w:r>
    </w:p>
    <w:p w14:paraId="65F13DB9" w14:textId="77777777" w:rsidR="00934CF8" w:rsidRPr="002C72D6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b)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обеспечить, чтобы абсолютное запрещение пыток и неправомерного обращения было полностью включено в правила и инструкции, касающиеся обязанностей и функций любого такого лица;</w:t>
      </w:r>
    </w:p>
    <w:p w14:paraId="72D9C7BB" w14:textId="77777777" w:rsidR="00934CF8" w:rsidRPr="002C72D6" w:rsidRDefault="00934CF8" w:rsidP="00BA5255">
      <w:pPr>
        <w:pStyle w:val="SingleTxtG"/>
        <w:rPr>
          <w:b/>
          <w:bCs/>
        </w:rPr>
      </w:pPr>
      <w:r w:rsidRPr="002C72D6">
        <w:rPr>
          <w:b/>
        </w:rPr>
        <w:tab/>
      </w:r>
      <w:r w:rsidR="002C72D6">
        <w:rPr>
          <w:b/>
        </w:rPr>
        <w:tab/>
      </w:r>
      <w:r w:rsidRPr="002C72D6">
        <w:rPr>
          <w:b/>
        </w:rPr>
        <w:t>c)</w:t>
      </w:r>
      <w:r w:rsidRPr="002C72D6">
        <w:rPr>
          <w:b/>
        </w:rPr>
        <w:tab/>
      </w:r>
      <w:r w:rsidRPr="002C72D6">
        <w:rPr>
          <w:b/>
          <w:bCs/>
        </w:rPr>
        <w:t>обеспечить, чтобы Стамбульский протокол стал неотъемлемой частью подготовки всех медицинских работников и других государственных должностных лиц, работающих с лицами, лишенными свободы, и просителями убежища;</w:t>
      </w:r>
    </w:p>
    <w:p w14:paraId="27D055DC" w14:textId="77777777" w:rsidR="00934CF8" w:rsidRPr="00F83081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d)</w:t>
      </w:r>
      <w:r w:rsidR="00934CF8" w:rsidRPr="002C72D6">
        <w:rPr>
          <w:b/>
        </w:rPr>
        <w:tab/>
      </w:r>
      <w:r w:rsidR="00934CF8">
        <w:rPr>
          <w:b/>
          <w:bCs/>
        </w:rPr>
        <w:t>предоставить Комитету информацию о подготовке сотрудников полиции по новым методам ведения допроса, а также о том, охватывает ли она методы расследования, основанные на научных доказательствах и непринудительных методах ведения допроса, и о подготовке по Кодексу поведения должностных лиц по поддержанию правопорядка и Основным принципам применения силы и огнестрельного оружия должностными лицами по поддержанию правопорядка;</w:t>
      </w:r>
    </w:p>
    <w:p w14:paraId="7E7A9563" w14:textId="77777777" w:rsidR="00934CF8" w:rsidRPr="00F83081" w:rsidRDefault="002C72D6" w:rsidP="00BA5255">
      <w:pPr>
        <w:pStyle w:val="SingleTxtG"/>
        <w:rPr>
          <w:b/>
          <w:bCs/>
        </w:rPr>
      </w:pPr>
      <w:r>
        <w:rPr>
          <w:b/>
        </w:rPr>
        <w:tab/>
      </w:r>
      <w:r w:rsidR="00934CF8" w:rsidRPr="002C72D6">
        <w:rPr>
          <w:b/>
        </w:rPr>
        <w:tab/>
        <w:t>e)</w:t>
      </w:r>
      <w:r w:rsidR="00934CF8" w:rsidRPr="002C72D6">
        <w:rPr>
          <w:b/>
        </w:rPr>
        <w:tab/>
      </w:r>
      <w:r w:rsidR="00934CF8" w:rsidRPr="002C72D6">
        <w:rPr>
          <w:b/>
          <w:bCs/>
        </w:rPr>
        <w:t>предоставить информацию о том, как результаты обследований и оценок учебн</w:t>
      </w:r>
      <w:r w:rsidR="00934CF8">
        <w:rPr>
          <w:b/>
          <w:bCs/>
        </w:rPr>
        <w:t xml:space="preserve">ых программ, проводимых для государственных должностных лиц, </w:t>
      </w:r>
      <w:r w:rsidR="00934CF8">
        <w:rPr>
          <w:b/>
          <w:bCs/>
        </w:rPr>
        <w:lastRenderedPageBreak/>
        <w:t>учитываются при разработке дополнительных учебных программ для конкретных сотрудников правоохранительных органов.</w:t>
      </w:r>
    </w:p>
    <w:p w14:paraId="3FC1E735" w14:textId="77777777" w:rsidR="00934CF8" w:rsidRPr="00F83081" w:rsidRDefault="00934CF8" w:rsidP="00642C8B">
      <w:pPr>
        <w:pStyle w:val="H23G"/>
      </w:pPr>
      <w:r>
        <w:tab/>
      </w:r>
      <w:r>
        <w:tab/>
        <w:t>Возмещение ущерба, включая компенсацию и реабилитацию</w:t>
      </w:r>
    </w:p>
    <w:p w14:paraId="0CCFB9FE" w14:textId="77777777" w:rsidR="00934CF8" w:rsidRPr="00F83081" w:rsidRDefault="00934CF8" w:rsidP="00BA5255">
      <w:pPr>
        <w:pStyle w:val="SingleTxtG"/>
      </w:pPr>
      <w:r>
        <w:t>34.</w:t>
      </w:r>
      <w:r>
        <w:tab/>
        <w:t>Ссылаясь на свои предыдущие заключительные замечания (CAT/C/LVA/</w:t>
      </w:r>
      <w:r w:rsidR="002C72D6">
        <w:br/>
      </w:r>
      <w:r>
        <w:t>CO/3-5, пункт 22), Комитет вновь выражает свою озабоченность в связи с отсутствием во внутреннем законодательстве конкретного положения, предусматривающего право жертв пыток и неправомерного обращения на справедливую и адекватную компенсацию, включая средства для возможно более полной реабилитации, как того требует статья 14 Конвенции, и в свете его замечания общего порядка № 3 (2012) об осуществлении статьи 14. Он также обеспокоен отсутствием информации о конкретной компенсации, предусмотренной Законом о государственной компенсации жертвам, Уголовно-процессуальным законом и Законом о социальных службах и социальной помощи, или о каких-либо конкретных реабилитационных услугах, которые могли быть предусмотрены в течение рассматриваемого периода. Кроме того, он обеспокоен низкими суммами государственной компенсации, предоставляемой жертвам (статья 14).</w:t>
      </w:r>
    </w:p>
    <w:p w14:paraId="181F01AB" w14:textId="77777777" w:rsidR="00934CF8" w:rsidRPr="00F83081" w:rsidRDefault="00934CF8" w:rsidP="00BA5255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вновь рекомендует государству-участнику внести поправки в свое законодательство, включив в него однозначные положения о праве жертв пыток и неправомерного обращения на возмещение ущерба, включая справедливую и адекватную компенсацию и реабилитацию, в соответствии со статьей 14 Конвенции и с учетом его замечания общего порядка № 3.</w:t>
      </w:r>
      <w:r>
        <w:t xml:space="preserve"> </w:t>
      </w:r>
      <w:r>
        <w:rPr>
          <w:b/>
          <w:bCs/>
        </w:rPr>
        <w:t>Ему следует на практике предоставлять всем жертвам пыток и неправомерного обращения возмещение ущерба, включая справедливую и адекватную компенсацию и как можно более полную реабилитацию, независимо от того, были ли лица, виновные в совершении таких актов, привлечены к ответственности.</w:t>
      </w:r>
      <w:r>
        <w:t xml:space="preserve"> </w:t>
      </w:r>
      <w:r>
        <w:rPr>
          <w:b/>
          <w:bCs/>
        </w:rPr>
        <w:t>Ему следует выделять необходимые ресурсы для эффективной реализации программ реабилитации.</w:t>
      </w:r>
      <w:r>
        <w:t xml:space="preserve"> </w:t>
      </w:r>
      <w:r>
        <w:rPr>
          <w:b/>
          <w:bCs/>
        </w:rPr>
        <w:t>Кроме того, государству-участнику следует:</w:t>
      </w:r>
    </w:p>
    <w:p w14:paraId="788FC007" w14:textId="77777777" w:rsidR="00934CF8" w:rsidRPr="00F83081" w:rsidRDefault="002C72D6" w:rsidP="00BA5255">
      <w:pPr>
        <w:pStyle w:val="SingleTxtG"/>
        <w:rPr>
          <w:b/>
          <w:bCs/>
        </w:rPr>
      </w:pPr>
      <w:r>
        <w:tab/>
      </w:r>
      <w:r w:rsidR="00934CF8">
        <w:tab/>
      </w:r>
      <w:r w:rsidR="00934CF8" w:rsidRPr="00BA5255">
        <w:rPr>
          <w:b/>
          <w:bCs/>
        </w:rPr>
        <w:t>a)</w:t>
      </w:r>
      <w:r w:rsidR="00934CF8" w:rsidRPr="00BA5255">
        <w:rPr>
          <w:b/>
          <w:bCs/>
        </w:rPr>
        <w:tab/>
      </w:r>
      <w:r w:rsidR="00934CF8">
        <w:rPr>
          <w:b/>
          <w:bCs/>
        </w:rPr>
        <w:t>создать специализированные реабилитационные службы;</w:t>
      </w:r>
    </w:p>
    <w:p w14:paraId="3DC6D49D" w14:textId="77777777" w:rsidR="00934CF8" w:rsidRPr="00F83081" w:rsidRDefault="002C72D6" w:rsidP="00BA5255">
      <w:pPr>
        <w:pStyle w:val="SingleTxtG"/>
        <w:rPr>
          <w:b/>
          <w:bCs/>
        </w:rPr>
      </w:pPr>
      <w:r>
        <w:rPr>
          <w:b/>
          <w:bCs/>
        </w:rPr>
        <w:tab/>
      </w:r>
      <w:r w:rsidR="00934CF8" w:rsidRPr="00BA5255">
        <w:rPr>
          <w:b/>
          <w:bCs/>
        </w:rPr>
        <w:tab/>
        <w:t>b)</w:t>
      </w:r>
      <w:r w:rsidR="00934CF8">
        <w:tab/>
      </w:r>
      <w:r w:rsidR="00934CF8">
        <w:rPr>
          <w:b/>
          <w:bCs/>
        </w:rPr>
        <w:t>собрать и представить Комитету информацию о мерах по возмещению ущерба и компенсации, включая средства реабилитации, назначенных судами или другими органами в государстве-участнике, которые были фактически предоставлены жертвам пыток или неправомерного обращения, в том числе о выплаченных суммах;</w:t>
      </w:r>
    </w:p>
    <w:p w14:paraId="0FD75F7C" w14:textId="77777777" w:rsidR="00934CF8" w:rsidRPr="00F83081" w:rsidRDefault="002C72D6" w:rsidP="00BA5255">
      <w:pPr>
        <w:pStyle w:val="SingleTxtG"/>
        <w:rPr>
          <w:b/>
          <w:bCs/>
        </w:rPr>
      </w:pPr>
      <w:r>
        <w:tab/>
      </w:r>
      <w:r w:rsidR="00934CF8">
        <w:tab/>
      </w:r>
      <w:r w:rsidR="00934CF8" w:rsidRPr="00BA5255">
        <w:rPr>
          <w:b/>
          <w:bCs/>
        </w:rPr>
        <w:t>c)</w:t>
      </w:r>
      <w:r w:rsidR="00934CF8">
        <w:tab/>
      </w:r>
      <w:r w:rsidR="00934CF8">
        <w:rPr>
          <w:b/>
          <w:bCs/>
        </w:rPr>
        <w:t>увеличить размеры государственной компенсации, предоставляемой каждой жертве пыток или неправомерного обращения.</w:t>
      </w:r>
    </w:p>
    <w:p w14:paraId="5476C05B" w14:textId="77777777" w:rsidR="00934CF8" w:rsidRPr="00F83081" w:rsidRDefault="00934CF8" w:rsidP="002C72D6">
      <w:pPr>
        <w:pStyle w:val="H23G"/>
      </w:pPr>
      <w:r>
        <w:tab/>
      </w:r>
      <w:r>
        <w:tab/>
        <w:t>Процедура последующих действий</w:t>
      </w:r>
    </w:p>
    <w:p w14:paraId="6ABE589E" w14:textId="77777777" w:rsidR="00934CF8" w:rsidRPr="00F83081" w:rsidRDefault="00934CF8" w:rsidP="00BA5255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 просит государство-участник представить к 6 декабря 2020 года информацию о последующих мерах по выполнению рекомендаций Комитета, касающихся ратификации Факультативного протокола к Конвенции, увеличения размеров государственной компенсации, предоставляемой каждой жертве пыток или неправомерного обращения, и повышения эффективности механизмов для приема и рассмотрения жалоб о случаях насилия, а также предоставления надлежащей медицинской помощи лицам, содержащимся под стражей (см. пункты 19 d), 35 c) и 15 d)).</w:t>
      </w:r>
      <w:r>
        <w:t xml:space="preserve"> </w:t>
      </w:r>
      <w:r>
        <w:rPr>
          <w:b/>
          <w:bCs/>
        </w:rPr>
        <w:t>В этом контексте государству-участнику предлагается сообщить Комитету о своих планах по выполнению в предстоящий отчетный период некоторых или всех оставшихся рекомендаций, содержащихся в заключительных замечаниях.</w:t>
      </w:r>
    </w:p>
    <w:p w14:paraId="235AA561" w14:textId="77777777" w:rsidR="00934CF8" w:rsidRPr="00F83081" w:rsidRDefault="00934CF8" w:rsidP="002C72D6">
      <w:pPr>
        <w:pStyle w:val="H23G"/>
      </w:pPr>
      <w:r>
        <w:tab/>
      </w:r>
      <w:r>
        <w:tab/>
        <w:t>Прочие вопросы</w:t>
      </w:r>
    </w:p>
    <w:p w14:paraId="67873701" w14:textId="77777777" w:rsidR="00934CF8" w:rsidRPr="00F83081" w:rsidRDefault="00934CF8" w:rsidP="00BA5255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Комитет призывает государство-участник рассмотреть вопрос о том, чтобы сделать заявления по статьям 21 и 22 Конвенции.</w:t>
      </w:r>
    </w:p>
    <w:p w14:paraId="4956071E" w14:textId="77777777" w:rsidR="00934CF8" w:rsidRPr="00F83081" w:rsidRDefault="00934CF8" w:rsidP="00BA5255">
      <w:pPr>
        <w:pStyle w:val="SingleTxtG"/>
        <w:rPr>
          <w:b/>
          <w:bCs/>
        </w:rPr>
      </w:pPr>
      <w:r>
        <w:lastRenderedPageBreak/>
        <w:t>38.</w:t>
      </w:r>
      <w:r>
        <w:tab/>
      </w:r>
      <w:r>
        <w:rPr>
          <w:b/>
          <w:bCs/>
        </w:rPr>
        <w:t>Комитет предлагает государству-участнику ратифицировать основные договоры Организации Объединенных Наций по правам человека, участником которых оно еще не является.</w:t>
      </w:r>
    </w:p>
    <w:p w14:paraId="045BD701" w14:textId="77777777" w:rsidR="00934CF8" w:rsidRPr="00F83081" w:rsidRDefault="00934CF8" w:rsidP="00BA5255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Государству-участнику предлагается широко распространить представленный Комитету доклад и настоящие заключительные замечания на соответствующих языках через официальные веб</w:t>
      </w:r>
      <w:r w:rsidR="00BA5255">
        <w:rPr>
          <w:b/>
          <w:bCs/>
        </w:rPr>
        <w:t>-</w:t>
      </w:r>
      <w:r>
        <w:rPr>
          <w:b/>
          <w:bCs/>
        </w:rPr>
        <w:t>сайты, средства массовой информации и неправительственные организации и информировать Комитет о своей деятельности по распространению информации.</w:t>
      </w:r>
    </w:p>
    <w:p w14:paraId="5253F151" w14:textId="77777777" w:rsidR="00934CF8" w:rsidRPr="00F83081" w:rsidRDefault="00934CF8" w:rsidP="00BA5255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Комитет просит государство-участник представить свой следующий периодический доклад, который станет седьмым по счету, к 6 декабря 2023 года.</w:t>
      </w:r>
      <w:r>
        <w:t xml:space="preserve"> </w:t>
      </w:r>
      <w:r>
        <w:rPr>
          <w:b/>
          <w:bCs/>
        </w:rPr>
        <w:t>В надлежащее время Комитет препроводит государству-участнику перечень вопросов до представления доклада.</w:t>
      </w:r>
      <w:r>
        <w:t xml:space="preserve"> </w:t>
      </w:r>
      <w:r>
        <w:rPr>
          <w:b/>
          <w:bCs/>
        </w:rPr>
        <w:t>Ответы государства-участника на этот перечень вопросов и будут представлять собой его седьмой периодический доклад по статье 19 Конвенции.</w:t>
      </w:r>
    </w:p>
    <w:p w14:paraId="795D93DA" w14:textId="77777777" w:rsidR="00381C24" w:rsidRPr="002C72D6" w:rsidRDefault="002C72D6" w:rsidP="002C72D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C72D6" w:rsidSect="00A609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5111" w14:textId="77777777" w:rsidR="00E568A6" w:rsidRPr="00A312BC" w:rsidRDefault="00E568A6" w:rsidP="00A312BC"/>
  </w:endnote>
  <w:endnote w:type="continuationSeparator" w:id="0">
    <w:p w14:paraId="623E103E" w14:textId="77777777" w:rsidR="00E568A6" w:rsidRPr="00A312BC" w:rsidRDefault="00E568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F41B" w14:textId="77777777" w:rsidR="00A609F8" w:rsidRPr="00A609F8" w:rsidRDefault="00A609F8">
    <w:pPr>
      <w:pStyle w:val="a8"/>
    </w:pPr>
    <w:r w:rsidRPr="00A609F8">
      <w:rPr>
        <w:b/>
        <w:sz w:val="18"/>
      </w:rPr>
      <w:fldChar w:fldCharType="begin"/>
    </w:r>
    <w:r w:rsidRPr="00A609F8">
      <w:rPr>
        <w:b/>
        <w:sz w:val="18"/>
      </w:rPr>
      <w:instrText xml:space="preserve"> PAGE  \* MERGEFORMAT </w:instrText>
    </w:r>
    <w:r w:rsidRPr="00A609F8">
      <w:rPr>
        <w:b/>
        <w:sz w:val="18"/>
      </w:rPr>
      <w:fldChar w:fldCharType="separate"/>
    </w:r>
    <w:r w:rsidRPr="00A609F8">
      <w:rPr>
        <w:b/>
        <w:noProof/>
        <w:sz w:val="18"/>
      </w:rPr>
      <w:t>2</w:t>
    </w:r>
    <w:r w:rsidRPr="00A609F8">
      <w:rPr>
        <w:b/>
        <w:sz w:val="18"/>
      </w:rPr>
      <w:fldChar w:fldCharType="end"/>
    </w:r>
    <w:r>
      <w:rPr>
        <w:b/>
        <w:sz w:val="18"/>
      </w:rPr>
      <w:tab/>
    </w:r>
    <w:r>
      <w:t>GE.19-22386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442A" w14:textId="77777777" w:rsidR="00A609F8" w:rsidRPr="00A609F8" w:rsidRDefault="00A609F8" w:rsidP="00A609F8">
    <w:pPr>
      <w:pStyle w:val="a8"/>
      <w:tabs>
        <w:tab w:val="clear" w:pos="9639"/>
        <w:tab w:val="right" w:pos="9638"/>
      </w:tabs>
      <w:rPr>
        <w:b/>
        <w:sz w:val="18"/>
      </w:rPr>
    </w:pPr>
    <w:r>
      <w:t>GE.19-22386</w:t>
    </w:r>
    <w:r>
      <w:tab/>
    </w:r>
    <w:r w:rsidRPr="00A609F8">
      <w:rPr>
        <w:b/>
        <w:sz w:val="18"/>
      </w:rPr>
      <w:fldChar w:fldCharType="begin"/>
    </w:r>
    <w:r w:rsidRPr="00A609F8">
      <w:rPr>
        <w:b/>
        <w:sz w:val="18"/>
      </w:rPr>
      <w:instrText xml:space="preserve"> PAGE  \* MERGEFORMAT </w:instrText>
    </w:r>
    <w:r w:rsidRPr="00A609F8">
      <w:rPr>
        <w:b/>
        <w:sz w:val="18"/>
      </w:rPr>
      <w:fldChar w:fldCharType="separate"/>
    </w:r>
    <w:r w:rsidRPr="00A609F8">
      <w:rPr>
        <w:b/>
        <w:noProof/>
        <w:sz w:val="18"/>
      </w:rPr>
      <w:t>3</w:t>
    </w:r>
    <w:r w:rsidRPr="00A609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A728" w14:textId="77777777" w:rsidR="00042B72" w:rsidRPr="00A609F8" w:rsidRDefault="00A609F8" w:rsidP="00A609F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AFA992" wp14:editId="4F0935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19-22386  (R)  170220  170220</w:t>
    </w:r>
    <w:r>
      <w:br/>
    </w:r>
    <w:r w:rsidRPr="00A609F8">
      <w:rPr>
        <w:rFonts w:ascii="C39T30Lfz" w:hAnsi="C39T30Lfz"/>
        <w:kern w:val="14"/>
        <w:sz w:val="56"/>
      </w:rPr>
      <w:t></w:t>
    </w:r>
    <w:r w:rsidRPr="00A609F8">
      <w:rPr>
        <w:rFonts w:ascii="C39T30Lfz" w:hAnsi="C39T30Lfz"/>
        <w:kern w:val="14"/>
        <w:sz w:val="56"/>
      </w:rPr>
      <w:t></w:t>
    </w:r>
    <w:r w:rsidRPr="00A609F8">
      <w:rPr>
        <w:rFonts w:ascii="C39T30Lfz" w:hAnsi="C39T30Lfz"/>
        <w:kern w:val="14"/>
        <w:sz w:val="56"/>
      </w:rPr>
      <w:t></w:t>
    </w:r>
    <w:r w:rsidRPr="00A609F8">
      <w:rPr>
        <w:rFonts w:ascii="C39T30Lfz" w:hAnsi="C39T30Lfz"/>
        <w:kern w:val="14"/>
        <w:sz w:val="56"/>
      </w:rPr>
      <w:t></w:t>
    </w:r>
    <w:r w:rsidRPr="00A609F8">
      <w:rPr>
        <w:rFonts w:ascii="C39T30Lfz" w:hAnsi="C39T30Lfz"/>
        <w:kern w:val="14"/>
        <w:sz w:val="56"/>
      </w:rPr>
      <w:t></w:t>
    </w:r>
    <w:r w:rsidRPr="00A609F8">
      <w:rPr>
        <w:rFonts w:ascii="C39T30Lfz" w:hAnsi="C39T30Lfz"/>
        <w:kern w:val="14"/>
        <w:sz w:val="56"/>
      </w:rPr>
      <w:t></w:t>
    </w:r>
    <w:r w:rsidRPr="00A609F8">
      <w:rPr>
        <w:rFonts w:ascii="C39T30Lfz" w:hAnsi="C39T30Lfz"/>
        <w:kern w:val="14"/>
        <w:sz w:val="56"/>
      </w:rPr>
      <w:t></w:t>
    </w:r>
    <w:r w:rsidRPr="00A609F8">
      <w:rPr>
        <w:rFonts w:ascii="C39T30Lfz" w:hAnsi="C39T30Lfz"/>
        <w:kern w:val="14"/>
        <w:sz w:val="56"/>
      </w:rPr>
      <w:t></w:t>
    </w:r>
    <w:r w:rsidRPr="00A609F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6026A6" wp14:editId="16B7799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LVA/CO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LVA/CO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32B4" w14:textId="77777777" w:rsidR="00E568A6" w:rsidRPr="001075E9" w:rsidRDefault="00E568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6F5F4C" w14:textId="77777777" w:rsidR="00E568A6" w:rsidRDefault="00E568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C11E35" w14:textId="77777777" w:rsidR="00934CF8" w:rsidRPr="00F83081" w:rsidRDefault="00934CF8" w:rsidP="002C78C1">
      <w:pPr>
        <w:pStyle w:val="ad"/>
      </w:pPr>
      <w:r>
        <w:tab/>
      </w:r>
      <w:r w:rsidRPr="002C78C1">
        <w:rPr>
          <w:sz w:val="20"/>
        </w:rPr>
        <w:t>*</w:t>
      </w:r>
      <w:r>
        <w:tab/>
        <w:t xml:space="preserve">Приняты Комитетом на его шестьдесят восьмой сессии (11 ноября </w:t>
      </w:r>
      <w:r w:rsidR="002C78C1">
        <w:t>–</w:t>
      </w:r>
      <w:r>
        <w:t xml:space="preserve"> 6 декабря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ABFB" w14:textId="6BCD7710" w:rsidR="00A609F8" w:rsidRPr="00A609F8" w:rsidRDefault="00793676">
    <w:pPr>
      <w:pStyle w:val="a5"/>
    </w:pPr>
    <w:r>
      <w:fldChar w:fldCharType="begin"/>
    </w:r>
    <w:r>
      <w:instrText xml:space="preserve"> TITLE  \* </w:instrText>
    </w:r>
    <w:r>
      <w:instrText xml:space="preserve">MERGEFORMAT </w:instrText>
    </w:r>
    <w:r>
      <w:fldChar w:fldCharType="separate"/>
    </w:r>
    <w:r w:rsidR="00E673DB">
      <w:t>CAT/C/LVA/CO/6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785E" w14:textId="54C3818C" w:rsidR="00A609F8" w:rsidRPr="00A609F8" w:rsidRDefault="00793676" w:rsidP="00A609F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673DB">
      <w:t>CAT/C/LVA/CO/6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A6"/>
    <w:rsid w:val="00015ED6"/>
    <w:rsid w:val="00033EE1"/>
    <w:rsid w:val="00041407"/>
    <w:rsid w:val="00042B72"/>
    <w:rsid w:val="00054B6D"/>
    <w:rsid w:val="000558BD"/>
    <w:rsid w:val="000725B5"/>
    <w:rsid w:val="000814CD"/>
    <w:rsid w:val="000B57E7"/>
    <w:rsid w:val="000B6373"/>
    <w:rsid w:val="000F09DF"/>
    <w:rsid w:val="000F61B2"/>
    <w:rsid w:val="001075E9"/>
    <w:rsid w:val="00143564"/>
    <w:rsid w:val="001665A1"/>
    <w:rsid w:val="00180183"/>
    <w:rsid w:val="0018024D"/>
    <w:rsid w:val="0018649F"/>
    <w:rsid w:val="00196389"/>
    <w:rsid w:val="001B3EF6"/>
    <w:rsid w:val="001C7A89"/>
    <w:rsid w:val="001F1447"/>
    <w:rsid w:val="002A2EFC"/>
    <w:rsid w:val="002C0E18"/>
    <w:rsid w:val="002C72D6"/>
    <w:rsid w:val="002C78C1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42C8B"/>
    <w:rsid w:val="00681A10"/>
    <w:rsid w:val="006A1ED8"/>
    <w:rsid w:val="006C2031"/>
    <w:rsid w:val="006D461A"/>
    <w:rsid w:val="006F35EE"/>
    <w:rsid w:val="007021FF"/>
    <w:rsid w:val="00712895"/>
    <w:rsid w:val="00757357"/>
    <w:rsid w:val="00793676"/>
    <w:rsid w:val="00825F8D"/>
    <w:rsid w:val="00834B71"/>
    <w:rsid w:val="00834CC0"/>
    <w:rsid w:val="00845F3B"/>
    <w:rsid w:val="0086445C"/>
    <w:rsid w:val="00894693"/>
    <w:rsid w:val="008A08D7"/>
    <w:rsid w:val="008B6909"/>
    <w:rsid w:val="00906890"/>
    <w:rsid w:val="00911BE4"/>
    <w:rsid w:val="00934CF8"/>
    <w:rsid w:val="00944F2E"/>
    <w:rsid w:val="00951972"/>
    <w:rsid w:val="00953B7A"/>
    <w:rsid w:val="009569AF"/>
    <w:rsid w:val="009608F3"/>
    <w:rsid w:val="009A24AC"/>
    <w:rsid w:val="009B5994"/>
    <w:rsid w:val="009D721A"/>
    <w:rsid w:val="00A312BC"/>
    <w:rsid w:val="00A478EF"/>
    <w:rsid w:val="00A609F8"/>
    <w:rsid w:val="00A66C5E"/>
    <w:rsid w:val="00A74D9D"/>
    <w:rsid w:val="00A84021"/>
    <w:rsid w:val="00A84D35"/>
    <w:rsid w:val="00A917B3"/>
    <w:rsid w:val="00AB09BA"/>
    <w:rsid w:val="00AB4B51"/>
    <w:rsid w:val="00AE7918"/>
    <w:rsid w:val="00B10CC7"/>
    <w:rsid w:val="00B20CB2"/>
    <w:rsid w:val="00B25E0C"/>
    <w:rsid w:val="00B539E7"/>
    <w:rsid w:val="00B62458"/>
    <w:rsid w:val="00BA5255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568A6"/>
    <w:rsid w:val="00E673DB"/>
    <w:rsid w:val="00E72EE5"/>
    <w:rsid w:val="00E73F76"/>
    <w:rsid w:val="00EA2C9F"/>
    <w:rsid w:val="00ED0BDA"/>
    <w:rsid w:val="00EF1360"/>
    <w:rsid w:val="00EF3220"/>
    <w:rsid w:val="00F21B00"/>
    <w:rsid w:val="00F82DE6"/>
    <w:rsid w:val="00F83A59"/>
    <w:rsid w:val="00F90E40"/>
    <w:rsid w:val="00F94155"/>
    <w:rsid w:val="00F9783F"/>
    <w:rsid w:val="00FD2EF7"/>
    <w:rsid w:val="00FD303B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E2253"/>
  <w15:docId w15:val="{0333065E-02F4-46A0-A254-F6324B38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ootnote Text Char Char1,Footnote Text Char1 Char Char1,Footnote Text Char Char1 Char Char,Footnote Text Char1 Char Char1 Char Char,ft Char Char Char Char Char,Geneva 9 Char Char Char Char Char,Footnote Text Char Char,Char,Fußnote,Text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ootnote Text Char Char1 Знак,Footnote Text Char1 Char Char1 Знак,Footnote Text Char Char1 Char Char Знак,Footnote Text Char1 Char Char1 Char Char Знак,ft Char Char Char Char Char Знак,Geneva 9 Char Char Char Char Char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934CF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3B8D-4EBB-4CB7-A0B1-346CC0CF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6</TotalTime>
  <Pages>15</Pages>
  <Words>6102</Words>
  <Characters>41679</Characters>
  <Application>Microsoft Office Word</Application>
  <DocSecurity>0</DocSecurity>
  <Lines>757</Lines>
  <Paragraphs>175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CAT/C/LVA/CO/6</vt:lpstr>
      <vt:lpstr>A/</vt:lpstr>
      <vt:lpstr>A/</vt:lpstr>
      <vt:lpstr>A/</vt:lpstr>
    </vt:vector>
  </TitlesOfParts>
  <Company>DCM</Company>
  <LinksUpToDate>false</LinksUpToDate>
  <CharactersWithSpaces>47606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CAT/C/LVA/CO/6</dc:title>
  <dc:subject/>
  <dc:creator>Ekaterina SALYNSKAYA</dc:creator>
  <cp:keywords/>
  <cp:lastModifiedBy>Ekaterina SALYNSKAYA</cp:lastModifiedBy>
  <cp:revision>4</cp:revision>
  <cp:lastPrinted>2020-02-17T10:44:00Z</cp:lastPrinted>
  <dcterms:created xsi:type="dcterms:W3CDTF">2020-02-17T10:44:00Z</dcterms:created>
  <dcterms:modified xsi:type="dcterms:W3CDTF">2020-02-17T10:50:00Z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