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2720D0">
        <w:trPr>
          <w:trHeight w:val="851"/>
        </w:trPr>
        <w:tc>
          <w:tcPr>
            <w:tcW w:w="1276" w:type="dxa"/>
            <w:tcBorders>
              <w:top w:val="nil"/>
              <w:left w:val="nil"/>
              <w:bottom w:val="single" w:sz="4" w:space="0" w:color="auto"/>
              <w:right w:val="nil"/>
            </w:tcBorders>
          </w:tcPr>
          <w:p w:rsidR="00446DE4" w:rsidRPr="002720D0" w:rsidRDefault="00446DE4" w:rsidP="00473FF8">
            <w:pPr>
              <w:spacing w:after="80" w:line="340" w:lineRule="exact"/>
              <w:rPr>
                <w:lang w:val="es-ES_tradnl"/>
              </w:rPr>
            </w:pPr>
          </w:p>
        </w:tc>
        <w:tc>
          <w:tcPr>
            <w:tcW w:w="2268" w:type="dxa"/>
            <w:tcBorders>
              <w:top w:val="nil"/>
              <w:left w:val="nil"/>
              <w:bottom w:val="single" w:sz="4" w:space="0" w:color="auto"/>
              <w:right w:val="nil"/>
            </w:tcBorders>
            <w:vAlign w:val="bottom"/>
          </w:tcPr>
          <w:p w:rsidR="00446DE4" w:rsidRPr="002720D0" w:rsidRDefault="00215777" w:rsidP="00473FF8">
            <w:pPr>
              <w:spacing w:after="80" w:line="340" w:lineRule="exact"/>
              <w:rPr>
                <w:sz w:val="28"/>
                <w:szCs w:val="28"/>
                <w:lang w:val="es-ES_tradnl"/>
              </w:rPr>
            </w:pPr>
            <w:r w:rsidRPr="002720D0">
              <w:rPr>
                <w:sz w:val="28"/>
                <w:szCs w:val="28"/>
                <w:lang w:val="es-ES_tradnl"/>
              </w:rPr>
              <w:t>Naciones Unidas</w:t>
            </w:r>
          </w:p>
        </w:tc>
        <w:tc>
          <w:tcPr>
            <w:tcW w:w="6232" w:type="dxa"/>
            <w:gridSpan w:val="2"/>
            <w:tcBorders>
              <w:top w:val="nil"/>
              <w:left w:val="nil"/>
              <w:bottom w:val="single" w:sz="4" w:space="0" w:color="auto"/>
              <w:right w:val="nil"/>
            </w:tcBorders>
            <w:vAlign w:val="bottom"/>
          </w:tcPr>
          <w:p w:rsidR="00446DE4" w:rsidRPr="002720D0" w:rsidRDefault="0028772E" w:rsidP="00B7033A">
            <w:pPr>
              <w:spacing w:after="20"/>
              <w:jc w:val="right"/>
              <w:rPr>
                <w:lang w:val="es-ES_tradnl"/>
              </w:rPr>
            </w:pPr>
            <w:r w:rsidRPr="002720D0">
              <w:rPr>
                <w:sz w:val="40"/>
                <w:lang w:val="es-ES_tradnl"/>
              </w:rPr>
              <w:t>CRC</w:t>
            </w:r>
            <w:r w:rsidRPr="002720D0">
              <w:rPr>
                <w:lang w:val="es-ES_tradnl"/>
              </w:rPr>
              <w:t>/C/TZA/3-5</w:t>
            </w:r>
          </w:p>
        </w:tc>
      </w:tr>
      <w:tr w:rsidR="003107FA" w:rsidRPr="002720D0">
        <w:trPr>
          <w:trHeight w:val="2835"/>
        </w:trPr>
        <w:tc>
          <w:tcPr>
            <w:tcW w:w="1276" w:type="dxa"/>
            <w:tcBorders>
              <w:top w:val="single" w:sz="4" w:space="0" w:color="auto"/>
              <w:left w:val="nil"/>
              <w:bottom w:val="single" w:sz="12" w:space="0" w:color="auto"/>
              <w:right w:val="nil"/>
            </w:tcBorders>
          </w:tcPr>
          <w:p w:rsidR="003107FA" w:rsidRPr="002720D0" w:rsidRDefault="00197F5E" w:rsidP="00942BE3">
            <w:pPr>
              <w:spacing w:before="120"/>
              <w:jc w:val="center"/>
              <w:rPr>
                <w:lang w:val="es-ES_tradnl"/>
              </w:rPr>
            </w:pPr>
            <w:r w:rsidRPr="002720D0">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2720D0" w:rsidRDefault="001E3807" w:rsidP="00B7033A">
            <w:pPr>
              <w:spacing w:before="120" w:line="440" w:lineRule="exact"/>
              <w:rPr>
                <w:b/>
                <w:sz w:val="40"/>
                <w:szCs w:val="40"/>
                <w:lang w:val="es-ES_tradnl"/>
              </w:rPr>
            </w:pPr>
            <w:r w:rsidRPr="002720D0">
              <w:rPr>
                <w:b/>
                <w:sz w:val="40"/>
                <w:szCs w:val="40"/>
                <w:lang w:val="es-ES_tradnl"/>
              </w:rPr>
              <w:t>Conven</w:t>
            </w:r>
            <w:r w:rsidR="00215777" w:rsidRPr="002720D0">
              <w:rPr>
                <w:b/>
                <w:sz w:val="40"/>
                <w:szCs w:val="40"/>
                <w:lang w:val="es-ES_tradnl"/>
              </w:rPr>
              <w:t>ción sobre los</w:t>
            </w:r>
            <w:r w:rsidR="00215777" w:rsidRPr="002720D0">
              <w:rPr>
                <w:b/>
                <w:sz w:val="40"/>
                <w:szCs w:val="40"/>
                <w:lang w:val="es-ES_tradnl"/>
              </w:rPr>
              <w:br/>
              <w:t>Derechos del Niño</w:t>
            </w:r>
          </w:p>
        </w:tc>
        <w:tc>
          <w:tcPr>
            <w:tcW w:w="2835" w:type="dxa"/>
            <w:tcBorders>
              <w:top w:val="single" w:sz="4" w:space="0" w:color="auto"/>
              <w:left w:val="nil"/>
              <w:bottom w:val="single" w:sz="12" w:space="0" w:color="auto"/>
              <w:right w:val="nil"/>
            </w:tcBorders>
          </w:tcPr>
          <w:p w:rsidR="003107FA" w:rsidRPr="002720D0" w:rsidRDefault="00215777" w:rsidP="00B7033A">
            <w:pPr>
              <w:spacing w:before="240"/>
              <w:rPr>
                <w:lang w:val="es-ES_tradnl"/>
              </w:rPr>
            </w:pPr>
            <w:r w:rsidRPr="002720D0">
              <w:rPr>
                <w:lang w:val="es-ES_tradnl"/>
              </w:rPr>
              <w:t>Distr. g</w:t>
            </w:r>
            <w:r w:rsidR="0028772E" w:rsidRPr="002720D0">
              <w:rPr>
                <w:lang w:val="es-ES_tradnl"/>
              </w:rPr>
              <w:t>eneral</w:t>
            </w:r>
          </w:p>
          <w:p w:rsidR="0028772E" w:rsidRPr="002720D0" w:rsidRDefault="00E432A8" w:rsidP="00B7033A">
            <w:pPr>
              <w:rPr>
                <w:lang w:val="es-ES_tradnl"/>
              </w:rPr>
            </w:pPr>
            <w:r w:rsidRPr="002720D0">
              <w:rPr>
                <w:lang w:val="es-ES_tradnl"/>
              </w:rPr>
              <w:t>4</w:t>
            </w:r>
            <w:r w:rsidR="004F185E" w:rsidRPr="002720D0">
              <w:rPr>
                <w:lang w:val="es-ES_tradnl"/>
              </w:rPr>
              <w:t xml:space="preserve"> </w:t>
            </w:r>
            <w:r w:rsidR="00215777" w:rsidRPr="002720D0">
              <w:rPr>
                <w:lang w:val="es-ES_tradnl"/>
              </w:rPr>
              <w:t>de noviembre de</w:t>
            </w:r>
            <w:r w:rsidR="0028772E" w:rsidRPr="002720D0">
              <w:rPr>
                <w:lang w:val="es-ES_tradnl"/>
              </w:rPr>
              <w:t xml:space="preserve"> 2013</w:t>
            </w:r>
          </w:p>
          <w:p w:rsidR="0028772E" w:rsidRPr="002720D0" w:rsidRDefault="00215777" w:rsidP="00B7033A">
            <w:pPr>
              <w:rPr>
                <w:lang w:val="es-ES_tradnl"/>
              </w:rPr>
            </w:pPr>
            <w:r w:rsidRPr="002720D0">
              <w:rPr>
                <w:lang w:val="es-ES_tradnl"/>
              </w:rPr>
              <w:t>Español</w:t>
            </w:r>
          </w:p>
          <w:p w:rsidR="0028772E" w:rsidRPr="002720D0" w:rsidRDefault="0028772E" w:rsidP="00B7033A">
            <w:pPr>
              <w:rPr>
                <w:lang w:val="es-ES_tradnl"/>
              </w:rPr>
            </w:pPr>
            <w:r w:rsidRPr="002720D0">
              <w:rPr>
                <w:lang w:val="es-ES_tradnl"/>
              </w:rPr>
              <w:t xml:space="preserve">Original: </w:t>
            </w:r>
            <w:r w:rsidR="00215777" w:rsidRPr="002720D0">
              <w:rPr>
                <w:lang w:val="es-ES_tradnl"/>
              </w:rPr>
              <w:t>inglés</w:t>
            </w:r>
          </w:p>
        </w:tc>
      </w:tr>
    </w:tbl>
    <w:p w:rsidR="003972E0" w:rsidRPr="002720D0" w:rsidRDefault="00142306" w:rsidP="0090090D">
      <w:pPr>
        <w:spacing w:before="120"/>
        <w:rPr>
          <w:b/>
          <w:sz w:val="24"/>
          <w:szCs w:val="24"/>
          <w:lang w:val="es-ES_tradnl"/>
        </w:rPr>
      </w:pPr>
      <w:r w:rsidRPr="002720D0">
        <w:rPr>
          <w:b/>
          <w:sz w:val="24"/>
          <w:szCs w:val="24"/>
          <w:lang w:val="es-ES_tradnl"/>
        </w:rPr>
        <w:t>Com</w:t>
      </w:r>
      <w:r w:rsidR="00215777" w:rsidRPr="002720D0">
        <w:rPr>
          <w:b/>
          <w:sz w:val="24"/>
          <w:szCs w:val="24"/>
          <w:lang w:val="es-ES_tradnl"/>
        </w:rPr>
        <w:t>ité de los Derechos del Niño</w:t>
      </w:r>
    </w:p>
    <w:p w:rsidR="005659A1" w:rsidRPr="002720D0" w:rsidRDefault="00142306" w:rsidP="00B7033A">
      <w:pPr>
        <w:pStyle w:val="HMG"/>
        <w:rPr>
          <w:lang w:val="es-ES_tradnl"/>
        </w:rPr>
      </w:pPr>
      <w:r w:rsidRPr="002720D0">
        <w:rPr>
          <w:lang w:val="es-ES_tradnl"/>
        </w:rPr>
        <w:tab/>
      </w:r>
      <w:r w:rsidRPr="002720D0">
        <w:rPr>
          <w:lang w:val="es-ES_tradnl"/>
        </w:rPr>
        <w:tab/>
      </w:r>
      <w:r w:rsidR="00215777" w:rsidRPr="002720D0">
        <w:rPr>
          <w:lang w:val="es-ES_tradnl"/>
        </w:rPr>
        <w:t>Examen de los informes presentados por los Estados partes en virtud del artículo 44 d</w:t>
      </w:r>
      <w:r w:rsidR="00B7033A">
        <w:rPr>
          <w:lang w:val="es-ES_tradnl"/>
        </w:rPr>
        <w:t>e la Convención</w:t>
      </w:r>
    </w:p>
    <w:p w:rsidR="005659A1" w:rsidRPr="002720D0" w:rsidRDefault="005659A1" w:rsidP="00B7033A">
      <w:pPr>
        <w:pStyle w:val="HChG"/>
        <w:rPr>
          <w:lang w:val="es-ES_tradnl"/>
        </w:rPr>
      </w:pPr>
      <w:r w:rsidRPr="002720D0">
        <w:rPr>
          <w:lang w:val="es-ES_tradnl"/>
        </w:rPr>
        <w:tab/>
      </w:r>
      <w:r w:rsidRPr="002720D0">
        <w:rPr>
          <w:lang w:val="es-ES_tradnl"/>
        </w:rPr>
        <w:tab/>
      </w:r>
      <w:bookmarkStart w:id="0" w:name="_Toc339960933"/>
      <w:r w:rsidR="00B877B3" w:rsidRPr="002720D0">
        <w:rPr>
          <w:lang w:val="es-ES_tradnl"/>
        </w:rPr>
        <w:t>T</w:t>
      </w:r>
      <w:r w:rsidR="00215777" w:rsidRPr="002720D0">
        <w:rPr>
          <w:lang w:val="es-ES_tradnl"/>
        </w:rPr>
        <w:t xml:space="preserve">ercero a quinto informes periódicos que los Estados </w:t>
      </w:r>
      <w:r w:rsidR="00B7033A">
        <w:rPr>
          <w:lang w:val="es-ES_tradnl"/>
        </w:rPr>
        <w:br/>
      </w:r>
      <w:r w:rsidR="00215777" w:rsidRPr="002720D0">
        <w:rPr>
          <w:lang w:val="es-ES_tradnl"/>
        </w:rPr>
        <w:t>partes debían presentar en 2012</w:t>
      </w:r>
      <w:bookmarkEnd w:id="0"/>
    </w:p>
    <w:p w:rsidR="00E65E59" w:rsidRPr="002720D0" w:rsidRDefault="0090090D" w:rsidP="00B7033A">
      <w:pPr>
        <w:pStyle w:val="HMG"/>
        <w:rPr>
          <w:lang w:val="es-ES_tradnl"/>
        </w:rPr>
      </w:pPr>
      <w:r w:rsidRPr="002720D0">
        <w:rPr>
          <w:lang w:val="es-ES_tradnl"/>
        </w:rPr>
        <w:tab/>
      </w:r>
      <w:r w:rsidRPr="002720D0">
        <w:rPr>
          <w:lang w:val="es-ES_tradnl"/>
        </w:rPr>
        <w:tab/>
      </w:r>
      <w:r w:rsidR="00215777" w:rsidRPr="002720D0">
        <w:rPr>
          <w:lang w:val="es-ES_tradnl"/>
        </w:rPr>
        <w:t>República Unida de Tanzanía</w:t>
      </w:r>
      <w:r w:rsidR="00B877B3" w:rsidRPr="00B7033A">
        <w:rPr>
          <w:rStyle w:val="FootnoteReference"/>
          <w:b w:val="0"/>
          <w:sz w:val="20"/>
          <w:vertAlign w:val="baseline"/>
          <w:lang w:val="es-ES_tradnl"/>
        </w:rPr>
        <w:footnoteReference w:customMarkFollows="1" w:id="2"/>
        <w:t>*</w:t>
      </w:r>
    </w:p>
    <w:p w:rsidR="00BD7506" w:rsidRPr="002720D0" w:rsidRDefault="00BD7506" w:rsidP="00B7033A">
      <w:pPr>
        <w:pStyle w:val="SingleTxtG"/>
        <w:jc w:val="right"/>
        <w:rPr>
          <w:lang w:val="es-ES_tradnl"/>
        </w:rPr>
      </w:pPr>
      <w:r w:rsidRPr="002720D0">
        <w:rPr>
          <w:lang w:val="es-ES_tradnl"/>
        </w:rPr>
        <w:t>[</w:t>
      </w:r>
      <w:r w:rsidR="00E65E59" w:rsidRPr="002720D0">
        <w:rPr>
          <w:lang w:val="es-ES_tradnl"/>
        </w:rPr>
        <w:t xml:space="preserve">13 </w:t>
      </w:r>
      <w:r w:rsidR="00215777" w:rsidRPr="002720D0">
        <w:rPr>
          <w:lang w:val="es-ES_tradnl"/>
        </w:rPr>
        <w:t>de enero de</w:t>
      </w:r>
      <w:r w:rsidR="00E65E59" w:rsidRPr="002720D0">
        <w:rPr>
          <w:lang w:val="es-ES_tradnl"/>
        </w:rPr>
        <w:t xml:space="preserve"> 2012</w:t>
      </w:r>
      <w:r w:rsidRPr="002720D0">
        <w:rPr>
          <w:lang w:val="es-ES_tradnl"/>
        </w:rPr>
        <w:t>]</w:t>
      </w:r>
    </w:p>
    <w:p w:rsidR="005D0EA8" w:rsidRDefault="0090090D" w:rsidP="005D0EA8">
      <w:pPr>
        <w:suppressAutoHyphens w:val="0"/>
        <w:spacing w:after="120"/>
        <w:rPr>
          <w:sz w:val="28"/>
          <w:lang w:val="es-ES_tradnl"/>
        </w:rPr>
      </w:pPr>
      <w:r w:rsidRPr="002720D0">
        <w:rPr>
          <w:lang w:val="es-ES_tradnl"/>
        </w:rPr>
        <w:br w:type="page"/>
      </w:r>
      <w:r w:rsidR="005D0EA8">
        <w:rPr>
          <w:sz w:val="28"/>
          <w:lang w:val="es-ES_tradnl"/>
        </w:rPr>
        <w:t>Índice</w:t>
      </w:r>
    </w:p>
    <w:p w:rsidR="005D0EA8" w:rsidRDefault="005D0EA8" w:rsidP="005D0EA8">
      <w:pPr>
        <w:tabs>
          <w:tab w:val="right" w:pos="8929"/>
          <w:tab w:val="right" w:pos="9638"/>
        </w:tabs>
        <w:suppressAutoHyphens w:val="0"/>
        <w:spacing w:after="120"/>
        <w:ind w:left="283"/>
        <w:rPr>
          <w:sz w:val="18"/>
          <w:lang w:val="es-ES_tradnl"/>
        </w:rPr>
      </w:pPr>
      <w:r>
        <w:rPr>
          <w:i/>
          <w:sz w:val="18"/>
          <w:lang w:val="es-ES_tradnl"/>
        </w:rPr>
        <w:tab/>
        <w:t>Párrafos</w:t>
      </w:r>
      <w:r>
        <w:rPr>
          <w:i/>
          <w:sz w:val="18"/>
          <w:lang w:val="es-ES_tradnl"/>
        </w:rPr>
        <w:tab/>
        <w:t>Página</w:t>
      </w:r>
    </w:p>
    <w:p w:rsidR="00302275" w:rsidRPr="002720D0" w:rsidRDefault="00A269E3"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Introducció</w:t>
      </w:r>
      <w:r w:rsidR="00302275" w:rsidRPr="002720D0">
        <w:rPr>
          <w:lang w:val="es-ES_tradnl"/>
        </w:rPr>
        <w:t>n</w:t>
      </w:r>
      <w:r w:rsidR="00A924BC" w:rsidRPr="002720D0">
        <w:rPr>
          <w:lang w:val="es-ES_tradnl"/>
        </w:rPr>
        <w:tab/>
      </w:r>
      <w:r w:rsidR="009B68C9">
        <w:rPr>
          <w:lang w:val="es-ES_tradnl"/>
        </w:rPr>
        <w:tab/>
        <w:t>1–3</w:t>
      </w:r>
      <w:r w:rsidR="009B68C9">
        <w:rPr>
          <w:lang w:val="es-ES_tradnl"/>
        </w:rPr>
        <w:tab/>
        <w:t>5</w:t>
      </w:r>
    </w:p>
    <w:p w:rsidR="00A924BC" w:rsidRPr="002720D0" w:rsidRDefault="00302275"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r>
      <w:r w:rsidR="00A269E3">
        <w:rPr>
          <w:lang w:val="es-ES_tradnl"/>
        </w:rPr>
        <w:t>1.</w:t>
      </w:r>
      <w:r w:rsidR="00A269E3">
        <w:rPr>
          <w:lang w:val="es-ES_tradnl"/>
        </w:rPr>
        <w:tab/>
        <w:t xml:space="preserve">Medidas generales de aplicación </w:t>
      </w:r>
      <w:r w:rsidR="00F2137B" w:rsidRPr="002720D0">
        <w:rPr>
          <w:lang w:val="es-ES_tradnl"/>
        </w:rPr>
        <w:t xml:space="preserve">(arts. 4, 42 </w:t>
      </w:r>
      <w:r w:rsidR="00A269E3">
        <w:rPr>
          <w:lang w:val="es-ES_tradnl"/>
        </w:rPr>
        <w:t>y 44</w:t>
      </w:r>
      <w:r w:rsidR="00F2137B" w:rsidRPr="002720D0">
        <w:rPr>
          <w:lang w:val="es-ES_tradnl"/>
        </w:rPr>
        <w:t xml:space="preserve"> </w:t>
      </w:r>
      <w:r w:rsidR="00A269E3">
        <w:rPr>
          <w:lang w:val="es-ES_tradnl"/>
        </w:rPr>
        <w:t>(párr. 6) de la Convención)</w:t>
      </w:r>
      <w:r w:rsidR="00A924BC" w:rsidRPr="002720D0">
        <w:rPr>
          <w:lang w:val="es-ES_tradnl"/>
        </w:rPr>
        <w:tab/>
      </w:r>
      <w:r w:rsidR="00A924BC" w:rsidRPr="002720D0">
        <w:rPr>
          <w:lang w:val="es-ES_tradnl"/>
        </w:rPr>
        <w:tab/>
      </w:r>
      <w:r w:rsidR="006F05DE" w:rsidRPr="002720D0">
        <w:rPr>
          <w:lang w:val="es-ES_tradnl"/>
        </w:rPr>
        <w:t>4</w:t>
      </w:r>
      <w:r w:rsidR="00A924BC" w:rsidRPr="002720D0">
        <w:rPr>
          <w:lang w:val="es-ES_tradnl"/>
        </w:rPr>
        <w:t>–</w:t>
      </w:r>
      <w:r w:rsidR="001E02B2" w:rsidRPr="002720D0">
        <w:rPr>
          <w:lang w:val="es-ES_tradnl"/>
        </w:rPr>
        <w:t>34</w:t>
      </w:r>
      <w:r w:rsidR="00A924BC" w:rsidRPr="002720D0">
        <w:rPr>
          <w:lang w:val="es-ES_tradnl"/>
        </w:rPr>
        <w:tab/>
      </w:r>
      <w:r w:rsidR="009B68C9">
        <w:rPr>
          <w:lang w:val="es-ES_tradnl"/>
        </w:rPr>
        <w:t>6</w:t>
      </w:r>
    </w:p>
    <w:p w:rsidR="00BC3487" w:rsidRPr="002720D0" w:rsidRDefault="00BC3487"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r>
      <w:r w:rsidRPr="002720D0">
        <w:rPr>
          <w:lang w:val="es-ES_tradnl"/>
        </w:rPr>
        <w:tab/>
        <w:t>1.1</w:t>
      </w:r>
      <w:r w:rsidRPr="002720D0">
        <w:rPr>
          <w:lang w:val="es-ES_tradnl"/>
        </w:rPr>
        <w:tab/>
      </w:r>
      <w:r w:rsidR="00A269E3">
        <w:rPr>
          <w:lang w:val="es-ES_tradnl"/>
        </w:rPr>
        <w:t>Marco jurídico y armonización de la legislación con la Convención</w:t>
      </w:r>
      <w:r w:rsidRPr="002720D0">
        <w:rPr>
          <w:lang w:val="es-ES_tradnl"/>
        </w:rPr>
        <w:tab/>
      </w:r>
      <w:r w:rsidRPr="002720D0">
        <w:rPr>
          <w:lang w:val="es-ES_tradnl"/>
        </w:rPr>
        <w:tab/>
      </w:r>
      <w:r w:rsidR="006F05DE" w:rsidRPr="002720D0">
        <w:rPr>
          <w:lang w:val="es-ES_tradnl"/>
        </w:rPr>
        <w:t>4</w:t>
      </w:r>
      <w:r w:rsidRPr="002720D0">
        <w:rPr>
          <w:lang w:val="es-ES_tradnl"/>
        </w:rPr>
        <w:tab/>
      </w:r>
      <w:r w:rsidR="009B68C9">
        <w:rPr>
          <w:lang w:val="es-ES_tradnl"/>
        </w:rPr>
        <w:t>6</w:t>
      </w:r>
    </w:p>
    <w:p w:rsidR="00BC3487" w:rsidRPr="002720D0" w:rsidRDefault="00A269E3"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1.2</w:t>
      </w:r>
      <w:r>
        <w:rPr>
          <w:lang w:val="es-ES_tradnl"/>
        </w:rPr>
        <w:tab/>
        <w:t>Legislació</w:t>
      </w:r>
      <w:r w:rsidR="002C5649">
        <w:rPr>
          <w:lang w:val="es-ES_tradnl"/>
        </w:rPr>
        <w:t>n</w:t>
      </w:r>
      <w:r w:rsidR="00BC3487" w:rsidRPr="002720D0">
        <w:rPr>
          <w:lang w:val="es-ES_tradnl"/>
        </w:rPr>
        <w:tab/>
      </w:r>
      <w:r w:rsidR="00BC3487" w:rsidRPr="002720D0">
        <w:rPr>
          <w:lang w:val="es-ES_tradnl"/>
        </w:rPr>
        <w:tab/>
      </w:r>
      <w:r w:rsidR="006F05DE" w:rsidRPr="002720D0">
        <w:rPr>
          <w:lang w:val="es-ES_tradnl"/>
        </w:rPr>
        <w:t>5</w:t>
      </w:r>
      <w:r w:rsidR="00BC3487" w:rsidRPr="002720D0">
        <w:rPr>
          <w:lang w:val="es-ES_tradnl"/>
        </w:rPr>
        <w:t>–</w:t>
      </w:r>
      <w:r w:rsidR="006F05DE" w:rsidRPr="002720D0">
        <w:rPr>
          <w:lang w:val="es-ES_tradnl"/>
        </w:rPr>
        <w:t>10</w:t>
      </w:r>
      <w:r w:rsidR="00BC3487" w:rsidRPr="002720D0">
        <w:rPr>
          <w:lang w:val="es-ES_tradnl"/>
        </w:rPr>
        <w:tab/>
      </w:r>
      <w:r w:rsidR="009B68C9">
        <w:rPr>
          <w:lang w:val="es-ES_tradnl"/>
        </w:rPr>
        <w:t>6</w:t>
      </w:r>
    </w:p>
    <w:p w:rsidR="00BC3487" w:rsidRPr="002720D0" w:rsidRDefault="00A269E3"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1.3</w:t>
      </w:r>
      <w:r>
        <w:rPr>
          <w:lang w:val="es-ES_tradnl"/>
        </w:rPr>
        <w:tab/>
        <w:t>Coordinació</w:t>
      </w:r>
      <w:r w:rsidR="002C5649">
        <w:rPr>
          <w:lang w:val="es-ES_tradnl"/>
        </w:rPr>
        <w:t>n</w:t>
      </w:r>
      <w:r w:rsidR="00BC3487" w:rsidRPr="002720D0">
        <w:rPr>
          <w:lang w:val="es-ES_tradnl"/>
        </w:rPr>
        <w:tab/>
      </w:r>
      <w:r w:rsidR="00BC3487" w:rsidRPr="002720D0">
        <w:rPr>
          <w:lang w:val="es-ES_tradnl"/>
        </w:rPr>
        <w:tab/>
      </w:r>
      <w:r w:rsidR="006F05DE" w:rsidRPr="002720D0">
        <w:rPr>
          <w:lang w:val="es-ES_tradnl"/>
        </w:rPr>
        <w:t>11</w:t>
      </w:r>
      <w:r w:rsidR="00BC3487" w:rsidRPr="002720D0">
        <w:rPr>
          <w:lang w:val="es-ES_tradnl"/>
        </w:rPr>
        <w:t>–1</w:t>
      </w:r>
      <w:r w:rsidR="006F05DE" w:rsidRPr="002720D0">
        <w:rPr>
          <w:lang w:val="es-ES_tradnl"/>
        </w:rPr>
        <w:t>4</w:t>
      </w:r>
      <w:r w:rsidR="00BC3487" w:rsidRPr="002720D0">
        <w:rPr>
          <w:lang w:val="es-ES_tradnl"/>
        </w:rPr>
        <w:tab/>
      </w:r>
      <w:r w:rsidR="009B68C9">
        <w:rPr>
          <w:lang w:val="es-ES_tradnl"/>
        </w:rPr>
        <w:t>11</w:t>
      </w:r>
    </w:p>
    <w:p w:rsidR="00BC3487" w:rsidRPr="002720D0" w:rsidRDefault="00A269E3"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1.4</w:t>
      </w:r>
      <w:r>
        <w:rPr>
          <w:lang w:val="es-ES_tradnl"/>
        </w:rPr>
        <w:tab/>
        <w:t>Asignación de recursos para la niñez</w:t>
      </w:r>
      <w:r w:rsidR="00BC3487" w:rsidRPr="002720D0">
        <w:rPr>
          <w:lang w:val="es-ES_tradnl"/>
        </w:rPr>
        <w:tab/>
      </w:r>
      <w:r w:rsidR="00BC3487" w:rsidRPr="002720D0">
        <w:rPr>
          <w:lang w:val="es-ES_tradnl"/>
        </w:rPr>
        <w:tab/>
        <w:t>1</w:t>
      </w:r>
      <w:r w:rsidR="006F05DE" w:rsidRPr="002720D0">
        <w:rPr>
          <w:lang w:val="es-ES_tradnl"/>
        </w:rPr>
        <w:t>5</w:t>
      </w:r>
      <w:r w:rsidR="00BC3487" w:rsidRPr="002720D0">
        <w:rPr>
          <w:lang w:val="es-ES_tradnl"/>
        </w:rPr>
        <w:t>–1</w:t>
      </w:r>
      <w:r w:rsidR="006F05DE" w:rsidRPr="002720D0">
        <w:rPr>
          <w:lang w:val="es-ES_tradnl"/>
        </w:rPr>
        <w:t>6</w:t>
      </w:r>
      <w:r w:rsidR="00BC3487" w:rsidRPr="002720D0">
        <w:rPr>
          <w:lang w:val="es-ES_tradnl"/>
        </w:rPr>
        <w:tab/>
        <w:t>1</w:t>
      </w:r>
      <w:r w:rsidR="009B68C9">
        <w:rPr>
          <w:lang w:val="es-ES_tradnl"/>
        </w:rPr>
        <w:t>2</w:t>
      </w:r>
    </w:p>
    <w:p w:rsidR="00BC3487" w:rsidRPr="002720D0" w:rsidRDefault="00A269E3"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1.5</w:t>
      </w:r>
      <w:r>
        <w:rPr>
          <w:lang w:val="es-ES_tradnl"/>
        </w:rPr>
        <w:tab/>
        <w:t>Plan de acción nacional</w:t>
      </w:r>
      <w:r w:rsidR="00BC3487" w:rsidRPr="002720D0">
        <w:rPr>
          <w:lang w:val="es-ES_tradnl"/>
        </w:rPr>
        <w:tab/>
      </w:r>
      <w:r w:rsidR="00BC3487" w:rsidRPr="002720D0">
        <w:rPr>
          <w:lang w:val="es-ES_tradnl"/>
        </w:rPr>
        <w:tab/>
        <w:t>1</w:t>
      </w:r>
      <w:r w:rsidR="006F05DE" w:rsidRPr="002720D0">
        <w:rPr>
          <w:lang w:val="es-ES_tradnl"/>
        </w:rPr>
        <w:t>7</w:t>
      </w:r>
      <w:r w:rsidR="00BC3487" w:rsidRPr="002720D0">
        <w:rPr>
          <w:lang w:val="es-ES_tradnl"/>
        </w:rPr>
        <w:t>–1</w:t>
      </w:r>
      <w:r w:rsidR="009B68C9">
        <w:rPr>
          <w:lang w:val="es-ES_tradnl"/>
        </w:rPr>
        <w:t>9</w:t>
      </w:r>
      <w:r w:rsidR="009B68C9">
        <w:rPr>
          <w:lang w:val="es-ES_tradnl"/>
        </w:rPr>
        <w:tab/>
        <w:t>12</w:t>
      </w:r>
    </w:p>
    <w:p w:rsidR="00BC3487" w:rsidRPr="002720D0" w:rsidRDefault="00A269E3"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1.6</w:t>
      </w:r>
      <w:r>
        <w:rPr>
          <w:lang w:val="es-ES_tradnl"/>
        </w:rPr>
        <w:tab/>
        <w:t>Vigilancia independiente</w:t>
      </w:r>
      <w:r w:rsidR="00BC3487" w:rsidRPr="002720D0">
        <w:rPr>
          <w:lang w:val="es-ES_tradnl"/>
        </w:rPr>
        <w:tab/>
      </w:r>
      <w:r w:rsidR="00BC3487" w:rsidRPr="002720D0">
        <w:rPr>
          <w:lang w:val="es-ES_tradnl"/>
        </w:rPr>
        <w:tab/>
      </w:r>
      <w:r w:rsidR="006F05DE" w:rsidRPr="002720D0">
        <w:rPr>
          <w:lang w:val="es-ES_tradnl"/>
        </w:rPr>
        <w:t>20</w:t>
      </w:r>
      <w:r w:rsidR="00BC3487" w:rsidRPr="002720D0">
        <w:rPr>
          <w:lang w:val="es-ES_tradnl"/>
        </w:rPr>
        <w:t>–2</w:t>
      </w:r>
      <w:r w:rsidR="006F05DE" w:rsidRPr="002720D0">
        <w:rPr>
          <w:lang w:val="es-ES_tradnl"/>
        </w:rPr>
        <w:t>3</w:t>
      </w:r>
      <w:r w:rsidR="00BC3487" w:rsidRPr="002720D0">
        <w:rPr>
          <w:lang w:val="es-ES_tradnl"/>
        </w:rPr>
        <w:tab/>
        <w:t>1</w:t>
      </w:r>
      <w:r w:rsidR="009B68C9">
        <w:rPr>
          <w:lang w:val="es-ES_tradnl"/>
        </w:rPr>
        <w:t>3</w:t>
      </w:r>
    </w:p>
    <w:p w:rsidR="00BC3487" w:rsidRPr="002720D0" w:rsidRDefault="00A269E3"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1.7</w:t>
      </w:r>
      <w:r>
        <w:rPr>
          <w:lang w:val="es-ES_tradnl"/>
        </w:rPr>
        <w:tab/>
        <w:t>Reunión de datos</w:t>
      </w:r>
      <w:r w:rsidR="00BC3487" w:rsidRPr="002720D0">
        <w:rPr>
          <w:lang w:val="es-ES_tradnl"/>
        </w:rPr>
        <w:tab/>
      </w:r>
      <w:r w:rsidR="00BC3487" w:rsidRPr="002720D0">
        <w:rPr>
          <w:lang w:val="es-ES_tradnl"/>
        </w:rPr>
        <w:tab/>
        <w:t>2</w:t>
      </w:r>
      <w:r w:rsidR="006F05DE" w:rsidRPr="002720D0">
        <w:rPr>
          <w:lang w:val="es-ES_tradnl"/>
        </w:rPr>
        <w:t>4–27</w:t>
      </w:r>
      <w:r w:rsidR="006F05DE" w:rsidRPr="002720D0">
        <w:rPr>
          <w:lang w:val="es-ES_tradnl"/>
        </w:rPr>
        <w:tab/>
        <w:t>14</w:t>
      </w:r>
    </w:p>
    <w:p w:rsidR="00BC3487" w:rsidRPr="002720D0" w:rsidRDefault="00BC3487"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r>
      <w:r w:rsidRPr="002720D0">
        <w:rPr>
          <w:lang w:val="es-ES_tradnl"/>
        </w:rPr>
        <w:tab/>
        <w:t>1.8</w:t>
      </w:r>
      <w:r w:rsidRPr="002720D0">
        <w:rPr>
          <w:lang w:val="es-ES_tradnl"/>
        </w:rPr>
        <w:tab/>
        <w:t>D</w:t>
      </w:r>
      <w:r w:rsidR="00A269E3">
        <w:rPr>
          <w:lang w:val="es-ES_tradnl"/>
        </w:rPr>
        <w:t>ifusión, capacitación y sensibilización</w:t>
      </w:r>
      <w:r w:rsidRPr="002720D0">
        <w:rPr>
          <w:lang w:val="es-ES_tradnl"/>
        </w:rPr>
        <w:tab/>
      </w:r>
      <w:r w:rsidRPr="002720D0">
        <w:rPr>
          <w:lang w:val="es-ES_tradnl"/>
        </w:rPr>
        <w:tab/>
        <w:t>2</w:t>
      </w:r>
      <w:r w:rsidR="006F05DE" w:rsidRPr="002720D0">
        <w:rPr>
          <w:lang w:val="es-ES_tradnl"/>
        </w:rPr>
        <w:t>8</w:t>
      </w:r>
      <w:r w:rsidRPr="002720D0">
        <w:rPr>
          <w:lang w:val="es-ES_tradnl"/>
        </w:rPr>
        <w:t>–</w:t>
      </w:r>
      <w:r w:rsidR="006F05DE" w:rsidRPr="002720D0">
        <w:rPr>
          <w:lang w:val="es-ES_tradnl"/>
        </w:rPr>
        <w:t>30</w:t>
      </w:r>
      <w:r w:rsidRPr="002720D0">
        <w:rPr>
          <w:lang w:val="es-ES_tradnl"/>
        </w:rPr>
        <w:tab/>
        <w:t>1</w:t>
      </w:r>
      <w:r w:rsidR="006F05DE" w:rsidRPr="002720D0">
        <w:rPr>
          <w:lang w:val="es-ES_tradnl"/>
        </w:rPr>
        <w:t>5</w:t>
      </w:r>
    </w:p>
    <w:p w:rsidR="00BC3487" w:rsidRPr="002720D0" w:rsidRDefault="00BC3487" w:rsidP="00F2137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r>
      <w:r w:rsidRPr="002720D0">
        <w:rPr>
          <w:lang w:val="es-ES_tradnl"/>
        </w:rPr>
        <w:tab/>
      </w:r>
      <w:r w:rsidR="004B77FE" w:rsidRPr="002720D0">
        <w:rPr>
          <w:lang w:val="es-ES_tradnl"/>
        </w:rPr>
        <w:t>1.9</w:t>
      </w:r>
      <w:r w:rsidR="004B77FE" w:rsidRPr="002720D0">
        <w:rPr>
          <w:lang w:val="es-ES_tradnl"/>
        </w:rPr>
        <w:tab/>
        <w:t>Coopera</w:t>
      </w:r>
      <w:r w:rsidR="00A269E3">
        <w:rPr>
          <w:lang w:val="es-ES_tradnl"/>
        </w:rPr>
        <w:t>ción con la sociedad civil</w:t>
      </w:r>
      <w:r w:rsidR="004B77FE" w:rsidRPr="002720D0">
        <w:rPr>
          <w:lang w:val="es-ES_tradnl"/>
        </w:rPr>
        <w:tab/>
      </w:r>
      <w:r w:rsidR="004B77FE" w:rsidRPr="002720D0">
        <w:rPr>
          <w:lang w:val="es-ES_tradnl"/>
        </w:rPr>
        <w:tab/>
      </w:r>
      <w:r w:rsidR="006F05DE" w:rsidRPr="002720D0">
        <w:rPr>
          <w:lang w:val="es-ES_tradnl"/>
        </w:rPr>
        <w:t>31</w:t>
      </w:r>
      <w:r w:rsidR="004B77FE" w:rsidRPr="002720D0">
        <w:rPr>
          <w:lang w:val="es-ES_tradnl"/>
        </w:rPr>
        <w:t>–3</w:t>
      </w:r>
      <w:r w:rsidR="006F05DE" w:rsidRPr="002720D0">
        <w:rPr>
          <w:lang w:val="es-ES_tradnl"/>
        </w:rPr>
        <w:t>4</w:t>
      </w:r>
      <w:r w:rsidR="004B77FE" w:rsidRPr="002720D0">
        <w:rPr>
          <w:lang w:val="es-ES_tradnl"/>
        </w:rPr>
        <w:tab/>
        <w:t>1</w:t>
      </w:r>
      <w:r w:rsidR="009B68C9">
        <w:rPr>
          <w:lang w:val="es-ES_tradnl"/>
        </w:rPr>
        <w:t>5</w:t>
      </w:r>
    </w:p>
    <w:p w:rsidR="00A924BC" w:rsidRPr="002720D0" w:rsidRDefault="00A924BC" w:rsidP="00A924BC">
      <w:pPr>
        <w:tabs>
          <w:tab w:val="right" w:pos="850"/>
          <w:tab w:val="left" w:pos="1134"/>
          <w:tab w:val="left" w:pos="1559"/>
          <w:tab w:val="left" w:pos="1984"/>
          <w:tab w:val="left" w:leader="dot" w:pos="7654"/>
          <w:tab w:val="right" w:pos="8929"/>
          <w:tab w:val="right" w:pos="9638"/>
        </w:tabs>
        <w:spacing w:after="120"/>
        <w:rPr>
          <w:lang w:val="es-ES_tradnl"/>
        </w:rPr>
      </w:pPr>
      <w:r w:rsidRPr="002720D0">
        <w:rPr>
          <w:lang w:val="es-ES_tradnl"/>
        </w:rPr>
        <w:tab/>
        <w:t>2.</w:t>
      </w:r>
      <w:r w:rsidRPr="002720D0">
        <w:rPr>
          <w:lang w:val="es-ES_tradnl"/>
        </w:rPr>
        <w:tab/>
        <w:t>Defini</w:t>
      </w:r>
      <w:r w:rsidR="00A269E3">
        <w:rPr>
          <w:lang w:val="es-ES_tradnl"/>
        </w:rPr>
        <w:t xml:space="preserve">ción del niño </w:t>
      </w:r>
      <w:r w:rsidR="004B77FE" w:rsidRPr="002720D0">
        <w:rPr>
          <w:lang w:val="es-ES_tradnl"/>
        </w:rPr>
        <w:t>(art. 1)</w:t>
      </w:r>
      <w:r w:rsidRPr="002720D0">
        <w:rPr>
          <w:lang w:val="es-ES_tradnl"/>
        </w:rPr>
        <w:tab/>
      </w:r>
      <w:r w:rsidRPr="002720D0">
        <w:rPr>
          <w:lang w:val="es-ES_tradnl"/>
        </w:rPr>
        <w:tab/>
        <w:t>3</w:t>
      </w:r>
      <w:r w:rsidR="001E02B2" w:rsidRPr="002720D0">
        <w:rPr>
          <w:lang w:val="es-ES_tradnl"/>
        </w:rPr>
        <w:t>5</w:t>
      </w:r>
      <w:r w:rsidRPr="002720D0">
        <w:rPr>
          <w:lang w:val="es-ES_tradnl"/>
        </w:rPr>
        <w:t>–3</w:t>
      </w:r>
      <w:r w:rsidR="001E02B2" w:rsidRPr="002720D0">
        <w:rPr>
          <w:lang w:val="es-ES_tradnl"/>
        </w:rPr>
        <w:t>7</w:t>
      </w:r>
      <w:r w:rsidRPr="002720D0">
        <w:rPr>
          <w:lang w:val="es-ES_tradnl"/>
        </w:rPr>
        <w:tab/>
      </w:r>
      <w:r w:rsidR="004B77FE" w:rsidRPr="002720D0">
        <w:rPr>
          <w:lang w:val="es-ES_tradnl"/>
        </w:rPr>
        <w:t>1</w:t>
      </w:r>
      <w:r w:rsidR="009B68C9">
        <w:rPr>
          <w:lang w:val="es-ES_tradnl"/>
        </w:rPr>
        <w:t>6</w:t>
      </w:r>
    </w:p>
    <w:p w:rsidR="004B77FE" w:rsidRPr="002720D0" w:rsidRDefault="00A269E3" w:rsidP="00A924BC">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3.</w:t>
      </w:r>
      <w:r>
        <w:rPr>
          <w:lang w:val="es-ES_tradnl"/>
        </w:rPr>
        <w:tab/>
        <w:t>Principios generales</w:t>
      </w:r>
      <w:r w:rsidR="004B77FE" w:rsidRPr="002720D0">
        <w:rPr>
          <w:lang w:val="es-ES_tradnl"/>
        </w:rPr>
        <w:t xml:space="preserve"> (arts. 2, 3, 6 </w:t>
      </w:r>
      <w:r>
        <w:rPr>
          <w:lang w:val="es-ES_tradnl"/>
        </w:rPr>
        <w:t>y</w:t>
      </w:r>
      <w:r w:rsidR="00885759">
        <w:rPr>
          <w:lang w:val="es-ES_tradnl"/>
        </w:rPr>
        <w:t xml:space="preserve"> 12)</w:t>
      </w:r>
      <w:r w:rsidR="00A924BC" w:rsidRPr="002720D0">
        <w:rPr>
          <w:lang w:val="es-ES_tradnl"/>
        </w:rPr>
        <w:tab/>
      </w:r>
      <w:r w:rsidR="00A924BC" w:rsidRPr="002720D0">
        <w:rPr>
          <w:lang w:val="es-ES_tradnl"/>
        </w:rPr>
        <w:tab/>
        <w:t>3</w:t>
      </w:r>
      <w:r w:rsidR="001E02B2" w:rsidRPr="002720D0">
        <w:rPr>
          <w:lang w:val="es-ES_tradnl"/>
        </w:rPr>
        <w:t>8</w:t>
      </w:r>
      <w:r w:rsidR="00A924BC" w:rsidRPr="002720D0">
        <w:rPr>
          <w:lang w:val="es-ES_tradnl"/>
        </w:rPr>
        <w:t>–</w:t>
      </w:r>
      <w:r w:rsidR="001E02B2" w:rsidRPr="002720D0">
        <w:rPr>
          <w:lang w:val="es-ES_tradnl"/>
        </w:rPr>
        <w:t>59</w:t>
      </w:r>
      <w:r w:rsidR="00A924BC" w:rsidRPr="002720D0">
        <w:rPr>
          <w:lang w:val="es-ES_tradnl"/>
        </w:rPr>
        <w:tab/>
      </w:r>
      <w:r w:rsidR="004B77FE" w:rsidRPr="002720D0">
        <w:rPr>
          <w:lang w:val="es-ES_tradnl"/>
        </w:rPr>
        <w:t>1</w:t>
      </w:r>
      <w:r w:rsidR="001E02B2" w:rsidRPr="002720D0">
        <w:rPr>
          <w:lang w:val="es-ES_tradnl"/>
        </w:rPr>
        <w:t>7</w:t>
      </w:r>
    </w:p>
    <w:p w:rsidR="004B77FE" w:rsidRPr="002720D0" w:rsidRDefault="00A269E3" w:rsidP="00A924BC">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3.1</w:t>
      </w:r>
      <w:r>
        <w:rPr>
          <w:lang w:val="es-ES_tradnl"/>
        </w:rPr>
        <w:tab/>
        <w:t>No discriminació</w:t>
      </w:r>
      <w:r w:rsidR="00885759">
        <w:rPr>
          <w:lang w:val="es-ES_tradnl"/>
        </w:rPr>
        <w:t>n (art. 2)</w:t>
      </w:r>
      <w:r w:rsidR="004B77FE" w:rsidRPr="002720D0">
        <w:rPr>
          <w:lang w:val="es-ES_tradnl"/>
        </w:rPr>
        <w:tab/>
      </w:r>
      <w:r w:rsidR="004B77FE" w:rsidRPr="002720D0">
        <w:rPr>
          <w:lang w:val="es-ES_tradnl"/>
        </w:rPr>
        <w:tab/>
        <w:t>3</w:t>
      </w:r>
      <w:r w:rsidR="001E02B2" w:rsidRPr="002720D0">
        <w:rPr>
          <w:lang w:val="es-ES_tradnl"/>
        </w:rPr>
        <w:t>8</w:t>
      </w:r>
      <w:r w:rsidR="004B77FE" w:rsidRPr="002720D0">
        <w:rPr>
          <w:lang w:val="es-ES_tradnl"/>
        </w:rPr>
        <w:t>–4</w:t>
      </w:r>
      <w:r w:rsidR="001E02B2" w:rsidRPr="002720D0">
        <w:rPr>
          <w:lang w:val="es-ES_tradnl"/>
        </w:rPr>
        <w:t>5</w:t>
      </w:r>
      <w:r w:rsidR="006646E5" w:rsidRPr="002720D0">
        <w:rPr>
          <w:lang w:val="es-ES_tradnl"/>
        </w:rPr>
        <w:tab/>
        <w:t>17</w:t>
      </w:r>
    </w:p>
    <w:p w:rsidR="004B77FE" w:rsidRPr="002720D0" w:rsidRDefault="00A269E3" w:rsidP="00A924BC">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3.2</w:t>
      </w:r>
      <w:r>
        <w:rPr>
          <w:lang w:val="es-ES_tradnl"/>
        </w:rPr>
        <w:tab/>
        <w:t xml:space="preserve">Interés superior del niño </w:t>
      </w:r>
      <w:r w:rsidR="00885759">
        <w:rPr>
          <w:lang w:val="es-ES_tradnl"/>
        </w:rPr>
        <w:t>(art. 3)</w:t>
      </w:r>
      <w:r w:rsidR="004B77FE" w:rsidRPr="002720D0">
        <w:rPr>
          <w:lang w:val="es-ES_tradnl"/>
        </w:rPr>
        <w:tab/>
      </w:r>
      <w:r w:rsidR="004B77FE" w:rsidRPr="002720D0">
        <w:rPr>
          <w:lang w:val="es-ES_tradnl"/>
        </w:rPr>
        <w:tab/>
        <w:t>4</w:t>
      </w:r>
      <w:r w:rsidR="001E02B2" w:rsidRPr="002720D0">
        <w:rPr>
          <w:lang w:val="es-ES_tradnl"/>
        </w:rPr>
        <w:t>6</w:t>
      </w:r>
      <w:r w:rsidR="004B77FE" w:rsidRPr="002720D0">
        <w:rPr>
          <w:lang w:val="es-ES_tradnl"/>
        </w:rPr>
        <w:t>–</w:t>
      </w:r>
      <w:r w:rsidR="00F3277D">
        <w:rPr>
          <w:lang w:val="es-ES_tradnl"/>
        </w:rPr>
        <w:t>50</w:t>
      </w:r>
      <w:r w:rsidR="00F3277D">
        <w:rPr>
          <w:lang w:val="es-ES_tradnl"/>
        </w:rPr>
        <w:tab/>
        <w:t>18</w:t>
      </w:r>
    </w:p>
    <w:p w:rsidR="004B77FE" w:rsidRPr="002720D0" w:rsidRDefault="004B77FE" w:rsidP="00A924BC">
      <w:pPr>
        <w:tabs>
          <w:tab w:val="right" w:pos="850"/>
          <w:tab w:val="left" w:pos="1134"/>
          <w:tab w:val="left" w:pos="1559"/>
          <w:tab w:val="left" w:pos="1984"/>
          <w:tab w:val="left" w:leader="dot" w:pos="7654"/>
          <w:tab w:val="right" w:pos="8929"/>
          <w:tab w:val="right" w:pos="9638"/>
        </w:tabs>
        <w:spacing w:after="120"/>
        <w:rPr>
          <w:lang w:val="es-ES_tradnl"/>
        </w:rPr>
      </w:pPr>
      <w:r w:rsidRPr="002720D0">
        <w:rPr>
          <w:lang w:val="es-ES_tradnl"/>
        </w:rPr>
        <w:tab/>
      </w:r>
      <w:r w:rsidRPr="002720D0">
        <w:rPr>
          <w:lang w:val="es-ES_tradnl"/>
        </w:rPr>
        <w:tab/>
        <w:t>3.3</w:t>
      </w:r>
      <w:r w:rsidRPr="002720D0">
        <w:rPr>
          <w:lang w:val="es-ES_tradnl"/>
        </w:rPr>
        <w:tab/>
      </w:r>
      <w:r w:rsidR="00F96614">
        <w:rPr>
          <w:lang w:val="es-ES_tradnl"/>
        </w:rPr>
        <w:t>Derecho a la vida, a la superviv</w:t>
      </w:r>
      <w:r w:rsidR="00A269E3">
        <w:rPr>
          <w:lang w:val="es-ES_tradnl"/>
        </w:rPr>
        <w:t>encia y al desarrollo</w:t>
      </w:r>
      <w:r w:rsidR="00885759">
        <w:rPr>
          <w:lang w:val="es-ES_tradnl"/>
        </w:rPr>
        <w:t xml:space="preserve"> (art. 6)</w:t>
      </w:r>
      <w:r w:rsidRPr="002720D0">
        <w:rPr>
          <w:lang w:val="es-ES_tradnl"/>
        </w:rPr>
        <w:tab/>
      </w:r>
      <w:r w:rsidRPr="002720D0">
        <w:rPr>
          <w:lang w:val="es-ES_tradnl"/>
        </w:rPr>
        <w:tab/>
      </w:r>
      <w:r w:rsidR="001E02B2" w:rsidRPr="002720D0">
        <w:rPr>
          <w:lang w:val="es-ES_tradnl"/>
        </w:rPr>
        <w:t>51</w:t>
      </w:r>
      <w:r w:rsidRPr="002720D0">
        <w:rPr>
          <w:lang w:val="es-ES_tradnl"/>
        </w:rPr>
        <w:t>–</w:t>
      </w:r>
      <w:r w:rsidR="001E02B2" w:rsidRPr="002720D0">
        <w:rPr>
          <w:lang w:val="es-ES_tradnl"/>
        </w:rPr>
        <w:t>52</w:t>
      </w:r>
      <w:r w:rsidRPr="002720D0">
        <w:rPr>
          <w:lang w:val="es-ES_tradnl"/>
        </w:rPr>
        <w:tab/>
      </w:r>
      <w:r w:rsidR="001E02B2" w:rsidRPr="002720D0">
        <w:rPr>
          <w:lang w:val="es-ES_tradnl"/>
        </w:rPr>
        <w:t>20</w:t>
      </w:r>
    </w:p>
    <w:p w:rsidR="00A924BC" w:rsidRPr="002720D0" w:rsidRDefault="004B77FE" w:rsidP="00A924BC">
      <w:pPr>
        <w:tabs>
          <w:tab w:val="right" w:pos="850"/>
          <w:tab w:val="left" w:pos="1134"/>
          <w:tab w:val="left" w:pos="1559"/>
          <w:tab w:val="left" w:pos="1984"/>
          <w:tab w:val="left" w:leader="dot" w:pos="7654"/>
          <w:tab w:val="right" w:pos="8929"/>
          <w:tab w:val="right" w:pos="9638"/>
        </w:tabs>
        <w:spacing w:after="120"/>
        <w:rPr>
          <w:lang w:val="es-ES_tradnl"/>
        </w:rPr>
      </w:pPr>
      <w:r w:rsidRPr="002720D0">
        <w:rPr>
          <w:lang w:val="es-ES_tradnl"/>
        </w:rPr>
        <w:tab/>
      </w:r>
      <w:r w:rsidRPr="002720D0">
        <w:rPr>
          <w:lang w:val="es-ES_tradnl"/>
        </w:rPr>
        <w:tab/>
        <w:t>3.4</w:t>
      </w:r>
      <w:r w:rsidRPr="002720D0">
        <w:rPr>
          <w:lang w:val="es-ES_tradnl"/>
        </w:rPr>
        <w:tab/>
        <w:t>Respe</w:t>
      </w:r>
      <w:r w:rsidR="00A269E3">
        <w:rPr>
          <w:lang w:val="es-ES_tradnl"/>
        </w:rPr>
        <w:t xml:space="preserve">to por la opinión del niño </w:t>
      </w:r>
      <w:r w:rsidRPr="002720D0">
        <w:rPr>
          <w:lang w:val="es-ES_tradnl"/>
        </w:rPr>
        <w:t xml:space="preserve">(art. </w:t>
      </w:r>
      <w:r w:rsidR="00B7033A">
        <w:rPr>
          <w:lang w:val="es-ES_tradnl"/>
        </w:rPr>
        <w:t>12)</w:t>
      </w:r>
      <w:r w:rsidRPr="002720D0">
        <w:rPr>
          <w:lang w:val="es-ES_tradnl"/>
        </w:rPr>
        <w:tab/>
      </w:r>
      <w:r w:rsidRPr="002720D0">
        <w:rPr>
          <w:lang w:val="es-ES_tradnl"/>
        </w:rPr>
        <w:tab/>
        <w:t>5</w:t>
      </w:r>
      <w:r w:rsidR="001E02B2" w:rsidRPr="002720D0">
        <w:rPr>
          <w:lang w:val="es-ES_tradnl"/>
        </w:rPr>
        <w:t>3</w:t>
      </w:r>
      <w:r w:rsidRPr="002720D0">
        <w:rPr>
          <w:lang w:val="es-ES_tradnl"/>
        </w:rPr>
        <w:t>–5</w:t>
      </w:r>
      <w:r w:rsidR="001E02B2" w:rsidRPr="002720D0">
        <w:rPr>
          <w:lang w:val="es-ES_tradnl"/>
        </w:rPr>
        <w:t>9</w:t>
      </w:r>
      <w:r w:rsidRPr="002720D0">
        <w:rPr>
          <w:lang w:val="es-ES_tradnl"/>
        </w:rPr>
        <w:tab/>
      </w:r>
      <w:r w:rsidR="001E02B2" w:rsidRPr="002720D0">
        <w:rPr>
          <w:lang w:val="es-ES_tradnl"/>
        </w:rPr>
        <w:t>2</w:t>
      </w:r>
      <w:r w:rsidRPr="002720D0">
        <w:rPr>
          <w:lang w:val="es-ES_tradnl"/>
        </w:rPr>
        <w:t>1</w:t>
      </w:r>
    </w:p>
    <w:p w:rsidR="00A924BC" w:rsidRPr="002720D0" w:rsidRDefault="00A269E3" w:rsidP="003738F4">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4.</w:t>
      </w:r>
      <w:r>
        <w:rPr>
          <w:lang w:val="es-ES_tradnl"/>
        </w:rPr>
        <w:tab/>
        <w:t>Derechos y libertades civiles</w:t>
      </w:r>
      <w:r w:rsidR="004B77FE" w:rsidRPr="002720D0">
        <w:rPr>
          <w:lang w:val="es-ES_tradnl"/>
        </w:rPr>
        <w:t xml:space="preserve"> (arts. 7, 8, 13</w:t>
      </w:r>
      <w:r>
        <w:rPr>
          <w:lang w:val="es-ES_tradnl"/>
        </w:rPr>
        <w:t xml:space="preserve"> a 17, y art. 37</w:t>
      </w:r>
      <w:r w:rsidR="003738F4" w:rsidRPr="003738F4">
        <w:rPr>
          <w:lang w:val="es-ES_tradnl"/>
        </w:rPr>
        <w:t xml:space="preserve"> </w:t>
      </w:r>
      <w:r w:rsidR="003738F4">
        <w:rPr>
          <w:lang w:val="es-ES_tradnl"/>
        </w:rPr>
        <w:t>a)</w:t>
      </w:r>
      <w:r w:rsidR="004B77FE" w:rsidRPr="002720D0">
        <w:rPr>
          <w:lang w:val="es-ES_tradnl"/>
        </w:rPr>
        <w:t>)</w:t>
      </w:r>
      <w:r w:rsidR="00A924BC" w:rsidRPr="002720D0">
        <w:rPr>
          <w:lang w:val="es-ES_tradnl"/>
        </w:rPr>
        <w:tab/>
      </w:r>
      <w:r w:rsidR="00A924BC" w:rsidRPr="002720D0">
        <w:rPr>
          <w:lang w:val="es-ES_tradnl"/>
        </w:rPr>
        <w:tab/>
      </w:r>
      <w:r w:rsidR="001E02B2" w:rsidRPr="002720D0">
        <w:rPr>
          <w:lang w:val="es-ES_tradnl"/>
        </w:rPr>
        <w:t>60</w:t>
      </w:r>
      <w:r w:rsidR="00A924BC" w:rsidRPr="002720D0">
        <w:rPr>
          <w:lang w:val="es-ES_tradnl"/>
        </w:rPr>
        <w:t>–</w:t>
      </w:r>
      <w:r w:rsidR="001E02B2" w:rsidRPr="002720D0">
        <w:rPr>
          <w:lang w:val="es-ES_tradnl"/>
        </w:rPr>
        <w:t>90</w:t>
      </w:r>
      <w:r w:rsidR="00A924BC" w:rsidRPr="002720D0">
        <w:rPr>
          <w:lang w:val="es-ES_tradnl"/>
        </w:rPr>
        <w:tab/>
      </w:r>
      <w:r w:rsidR="001E02B2" w:rsidRPr="002720D0">
        <w:rPr>
          <w:lang w:val="es-ES_tradnl"/>
        </w:rPr>
        <w:t>22</w:t>
      </w:r>
    </w:p>
    <w:p w:rsidR="00E10FD3" w:rsidRPr="002720D0" w:rsidRDefault="00A269E3" w:rsidP="005D0EA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4.1</w:t>
      </w:r>
      <w:r>
        <w:rPr>
          <w:lang w:val="es-ES_tradnl"/>
        </w:rPr>
        <w:tab/>
        <w:t xml:space="preserve">Inscripción del nacimiento, el nombre y la nacionalidad (art. 7) y </w:t>
      </w:r>
      <w:r w:rsidR="00B7033A">
        <w:rPr>
          <w:lang w:val="es-ES_tradnl"/>
        </w:rPr>
        <w:br/>
      </w:r>
      <w:r>
        <w:rPr>
          <w:lang w:val="es-ES_tradnl"/>
        </w:rPr>
        <w:t>preservación</w:t>
      </w:r>
      <w:r w:rsidR="00B7033A">
        <w:rPr>
          <w:lang w:val="es-ES_tradnl"/>
        </w:rPr>
        <w:t xml:space="preserve"> </w:t>
      </w:r>
      <w:r>
        <w:rPr>
          <w:lang w:val="es-ES_tradnl"/>
        </w:rPr>
        <w:t xml:space="preserve">de la identidad </w:t>
      </w:r>
      <w:r w:rsidR="00B7033A">
        <w:rPr>
          <w:lang w:val="es-ES_tradnl"/>
        </w:rPr>
        <w:t>(art. 8)</w:t>
      </w:r>
      <w:r w:rsidR="00E10FD3" w:rsidRPr="002720D0">
        <w:rPr>
          <w:lang w:val="es-ES_tradnl"/>
        </w:rPr>
        <w:tab/>
      </w:r>
      <w:r w:rsidR="00E10FD3" w:rsidRPr="002720D0">
        <w:rPr>
          <w:lang w:val="es-ES_tradnl"/>
        </w:rPr>
        <w:tab/>
      </w:r>
      <w:r w:rsidR="001E02B2" w:rsidRPr="002720D0">
        <w:rPr>
          <w:lang w:val="es-ES_tradnl"/>
        </w:rPr>
        <w:t>60</w:t>
      </w:r>
      <w:r w:rsidR="00E10FD3" w:rsidRPr="002720D0">
        <w:rPr>
          <w:lang w:val="es-ES_tradnl"/>
        </w:rPr>
        <w:t>–6</w:t>
      </w:r>
      <w:r w:rsidR="001E02B2" w:rsidRPr="002720D0">
        <w:rPr>
          <w:lang w:val="es-ES_tradnl"/>
        </w:rPr>
        <w:t>9</w:t>
      </w:r>
      <w:r w:rsidR="00E10FD3" w:rsidRPr="002720D0">
        <w:rPr>
          <w:lang w:val="es-ES_tradnl"/>
        </w:rPr>
        <w:tab/>
      </w:r>
      <w:r w:rsidR="001E02B2" w:rsidRPr="002720D0">
        <w:rPr>
          <w:lang w:val="es-ES_tradnl"/>
        </w:rPr>
        <w:t>22</w:t>
      </w:r>
    </w:p>
    <w:p w:rsidR="00265C28" w:rsidRPr="002720D0" w:rsidRDefault="00265C28" w:rsidP="005D0EA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4.2</w:t>
      </w:r>
      <w:r w:rsidRPr="002720D0">
        <w:rPr>
          <w:lang w:val="es-ES_tradnl"/>
        </w:rPr>
        <w:tab/>
      </w:r>
      <w:r w:rsidR="00A269E3">
        <w:rPr>
          <w:lang w:val="es-ES_tradnl"/>
        </w:rPr>
        <w:t>Libertad de expresión y derecho a buscar, recibir y difundir informaciones</w:t>
      </w:r>
      <w:r w:rsidR="00B7033A">
        <w:rPr>
          <w:lang w:val="es-ES_tradnl"/>
        </w:rPr>
        <w:t xml:space="preserve"> </w:t>
      </w:r>
      <w:r w:rsidR="00B7033A">
        <w:rPr>
          <w:lang w:val="es-ES_tradnl"/>
        </w:rPr>
        <w:br/>
        <w:t>(art. 13)</w:t>
      </w:r>
      <w:r w:rsidRPr="002720D0">
        <w:rPr>
          <w:lang w:val="es-ES_tradnl"/>
        </w:rPr>
        <w:tab/>
      </w:r>
      <w:r w:rsidRPr="002720D0">
        <w:rPr>
          <w:lang w:val="es-ES_tradnl"/>
        </w:rPr>
        <w:tab/>
      </w:r>
      <w:r w:rsidR="001E02B2" w:rsidRPr="002720D0">
        <w:rPr>
          <w:lang w:val="es-ES_tradnl"/>
        </w:rPr>
        <w:t>70</w:t>
      </w:r>
      <w:r w:rsidRPr="002720D0">
        <w:rPr>
          <w:lang w:val="es-ES_tradnl"/>
        </w:rPr>
        <w:t>–7</w:t>
      </w:r>
      <w:r w:rsidR="001E02B2" w:rsidRPr="002720D0">
        <w:rPr>
          <w:lang w:val="es-ES_tradnl"/>
        </w:rPr>
        <w:t>4</w:t>
      </w:r>
      <w:r w:rsidRPr="002720D0">
        <w:rPr>
          <w:lang w:val="es-ES_tradnl"/>
        </w:rPr>
        <w:tab/>
        <w:t>2</w:t>
      </w:r>
      <w:r w:rsidR="001E02B2" w:rsidRPr="002720D0">
        <w:rPr>
          <w:lang w:val="es-ES_tradnl"/>
        </w:rPr>
        <w:t>5</w:t>
      </w:r>
    </w:p>
    <w:p w:rsidR="00265C28" w:rsidRPr="002720D0" w:rsidRDefault="008F32C3" w:rsidP="00E10FD3">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4.3</w:t>
      </w:r>
      <w:r>
        <w:rPr>
          <w:lang w:val="es-ES_tradnl"/>
        </w:rPr>
        <w:tab/>
        <w:t xml:space="preserve">Libertad de pensamiento, de conciencia y de religión </w:t>
      </w:r>
      <w:r w:rsidR="00B7033A">
        <w:rPr>
          <w:lang w:val="es-ES_tradnl"/>
        </w:rPr>
        <w:t>(art. 14)</w:t>
      </w:r>
      <w:r w:rsidR="00265C28" w:rsidRPr="002720D0">
        <w:rPr>
          <w:lang w:val="es-ES_tradnl"/>
        </w:rPr>
        <w:tab/>
      </w:r>
      <w:r w:rsidR="00265C28" w:rsidRPr="002720D0">
        <w:rPr>
          <w:lang w:val="es-ES_tradnl"/>
        </w:rPr>
        <w:tab/>
        <w:t>7</w:t>
      </w:r>
      <w:r w:rsidR="001E02B2" w:rsidRPr="002720D0">
        <w:rPr>
          <w:lang w:val="es-ES_tradnl"/>
        </w:rPr>
        <w:t>5</w:t>
      </w:r>
      <w:r w:rsidR="00265C28" w:rsidRPr="002720D0">
        <w:rPr>
          <w:lang w:val="es-ES_tradnl"/>
        </w:rPr>
        <w:t>–7</w:t>
      </w:r>
      <w:r w:rsidR="001E02B2" w:rsidRPr="002720D0">
        <w:rPr>
          <w:lang w:val="es-ES_tradnl"/>
        </w:rPr>
        <w:t>6</w:t>
      </w:r>
      <w:r w:rsidR="00265C28" w:rsidRPr="002720D0">
        <w:rPr>
          <w:lang w:val="es-ES_tradnl"/>
        </w:rPr>
        <w:tab/>
        <w:t>2</w:t>
      </w:r>
      <w:r w:rsidR="001E02B2" w:rsidRPr="002720D0">
        <w:rPr>
          <w:lang w:val="es-ES_tradnl"/>
        </w:rPr>
        <w:t>6</w:t>
      </w:r>
    </w:p>
    <w:p w:rsidR="00265C28" w:rsidRPr="002720D0" w:rsidRDefault="008F32C3" w:rsidP="00E10FD3">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4.4</w:t>
      </w:r>
      <w:r>
        <w:rPr>
          <w:lang w:val="es-ES_tradnl"/>
        </w:rPr>
        <w:tab/>
        <w:t xml:space="preserve">Libertad de asociación y de celebrar reuniones pacíficas </w:t>
      </w:r>
      <w:r w:rsidR="00B7033A">
        <w:rPr>
          <w:lang w:val="es-ES_tradnl"/>
        </w:rPr>
        <w:t>(art. 15)</w:t>
      </w:r>
      <w:r w:rsidR="00265C28" w:rsidRPr="002720D0">
        <w:rPr>
          <w:lang w:val="es-ES_tradnl"/>
        </w:rPr>
        <w:tab/>
      </w:r>
      <w:r w:rsidR="00265C28" w:rsidRPr="002720D0">
        <w:rPr>
          <w:lang w:val="es-ES_tradnl"/>
        </w:rPr>
        <w:tab/>
        <w:t>7</w:t>
      </w:r>
      <w:r w:rsidR="00885759">
        <w:rPr>
          <w:lang w:val="es-ES_tradnl"/>
        </w:rPr>
        <w:t>7–78</w:t>
      </w:r>
      <w:r w:rsidR="00885759">
        <w:rPr>
          <w:lang w:val="es-ES_tradnl"/>
        </w:rPr>
        <w:tab/>
        <w:t>27</w:t>
      </w:r>
    </w:p>
    <w:p w:rsidR="00265C28" w:rsidRPr="002720D0" w:rsidRDefault="008F32C3" w:rsidP="00E10FD3">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4.5</w:t>
      </w:r>
      <w:r>
        <w:rPr>
          <w:lang w:val="es-ES_tradnl"/>
        </w:rPr>
        <w:tab/>
        <w:t>Protección de la vida privada y de la imagen</w:t>
      </w:r>
      <w:r w:rsidR="00B7033A">
        <w:rPr>
          <w:lang w:val="es-ES_tradnl"/>
        </w:rPr>
        <w:t xml:space="preserve"> (art. 16)</w:t>
      </w:r>
      <w:r w:rsidR="00265C28" w:rsidRPr="002720D0">
        <w:rPr>
          <w:lang w:val="es-ES_tradnl"/>
        </w:rPr>
        <w:tab/>
      </w:r>
      <w:r w:rsidR="00265C28" w:rsidRPr="002720D0">
        <w:rPr>
          <w:lang w:val="es-ES_tradnl"/>
        </w:rPr>
        <w:tab/>
        <w:t>7</w:t>
      </w:r>
      <w:r w:rsidR="001E02B2" w:rsidRPr="002720D0">
        <w:rPr>
          <w:lang w:val="es-ES_tradnl"/>
        </w:rPr>
        <w:t>9</w:t>
      </w:r>
      <w:r w:rsidR="00265C28" w:rsidRPr="002720D0">
        <w:rPr>
          <w:lang w:val="es-ES_tradnl"/>
        </w:rPr>
        <w:t>–</w:t>
      </w:r>
      <w:r w:rsidR="001E02B2" w:rsidRPr="002720D0">
        <w:rPr>
          <w:lang w:val="es-ES_tradnl"/>
        </w:rPr>
        <w:t>81</w:t>
      </w:r>
      <w:r w:rsidR="00265C28" w:rsidRPr="002720D0">
        <w:rPr>
          <w:lang w:val="es-ES_tradnl"/>
        </w:rPr>
        <w:tab/>
        <w:t>2</w:t>
      </w:r>
      <w:r w:rsidR="00885759">
        <w:rPr>
          <w:lang w:val="es-ES_tradnl"/>
        </w:rPr>
        <w:t>8</w:t>
      </w:r>
    </w:p>
    <w:p w:rsidR="00265C28" w:rsidRPr="002720D0" w:rsidRDefault="00265C28" w:rsidP="005D0EA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4.6</w:t>
      </w:r>
      <w:r w:rsidRPr="002720D0">
        <w:rPr>
          <w:lang w:val="es-ES_tradnl"/>
        </w:rPr>
        <w:tab/>
        <w:t>Acces</w:t>
      </w:r>
      <w:r w:rsidR="008F32C3">
        <w:rPr>
          <w:lang w:val="es-ES_tradnl"/>
        </w:rPr>
        <w:t>o a información procedente de diversas fuentes y protección contra</w:t>
      </w:r>
      <w:r w:rsidR="00B7033A">
        <w:rPr>
          <w:lang w:val="es-ES_tradnl"/>
        </w:rPr>
        <w:t xml:space="preserve"> </w:t>
      </w:r>
      <w:r w:rsidR="00B7033A">
        <w:rPr>
          <w:lang w:val="es-ES_tradnl"/>
        </w:rPr>
        <w:br/>
      </w:r>
      <w:r w:rsidR="008F32C3">
        <w:rPr>
          <w:lang w:val="es-ES_tradnl"/>
        </w:rPr>
        <w:t>todo material perjudicial para su bienestar</w:t>
      </w:r>
      <w:r w:rsidR="00B7033A">
        <w:rPr>
          <w:lang w:val="es-ES_tradnl"/>
        </w:rPr>
        <w:t xml:space="preserve"> </w:t>
      </w:r>
      <w:r w:rsidRPr="002720D0">
        <w:rPr>
          <w:lang w:val="es-ES_tradnl"/>
        </w:rPr>
        <w:t>(art. 17)</w:t>
      </w:r>
      <w:r w:rsidRPr="002720D0">
        <w:rPr>
          <w:lang w:val="es-ES_tradnl"/>
        </w:rPr>
        <w:tab/>
      </w:r>
      <w:r w:rsidRPr="002720D0">
        <w:rPr>
          <w:lang w:val="es-ES_tradnl"/>
        </w:rPr>
        <w:tab/>
      </w:r>
      <w:r w:rsidR="001E02B2" w:rsidRPr="002720D0">
        <w:rPr>
          <w:lang w:val="es-ES_tradnl"/>
        </w:rPr>
        <w:t>82</w:t>
      </w:r>
      <w:r w:rsidRPr="002720D0">
        <w:rPr>
          <w:lang w:val="es-ES_tradnl"/>
        </w:rPr>
        <w:t>–8</w:t>
      </w:r>
      <w:r w:rsidR="001E02B2" w:rsidRPr="002720D0">
        <w:rPr>
          <w:lang w:val="es-ES_tradnl"/>
        </w:rPr>
        <w:t>4</w:t>
      </w:r>
      <w:r w:rsidRPr="002720D0">
        <w:rPr>
          <w:lang w:val="es-ES_tradnl"/>
        </w:rPr>
        <w:tab/>
        <w:t>2</w:t>
      </w:r>
      <w:r w:rsidR="001E02B2" w:rsidRPr="002720D0">
        <w:rPr>
          <w:lang w:val="es-ES_tradnl"/>
        </w:rPr>
        <w:t>8</w:t>
      </w:r>
    </w:p>
    <w:p w:rsidR="00265C28" w:rsidRPr="002720D0" w:rsidRDefault="00265C28" w:rsidP="00E10FD3">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4.7</w:t>
      </w:r>
      <w:r w:rsidRPr="002720D0">
        <w:rPr>
          <w:lang w:val="es-ES_tradnl"/>
        </w:rPr>
        <w:tab/>
        <w:t>C</w:t>
      </w:r>
      <w:r w:rsidR="00B7033A">
        <w:rPr>
          <w:lang w:val="es-ES_tradnl"/>
        </w:rPr>
        <w:t>astigo físico</w:t>
      </w:r>
      <w:r w:rsidRPr="002720D0">
        <w:rPr>
          <w:lang w:val="es-ES_tradnl"/>
        </w:rPr>
        <w:tab/>
      </w:r>
      <w:r w:rsidRPr="002720D0">
        <w:rPr>
          <w:lang w:val="es-ES_tradnl"/>
        </w:rPr>
        <w:tab/>
        <w:t>8</w:t>
      </w:r>
      <w:r w:rsidR="001E02B2" w:rsidRPr="002720D0">
        <w:rPr>
          <w:lang w:val="es-ES_tradnl"/>
        </w:rPr>
        <w:t>5</w:t>
      </w:r>
      <w:r w:rsidRPr="002720D0">
        <w:rPr>
          <w:lang w:val="es-ES_tradnl"/>
        </w:rPr>
        <w:t>–</w:t>
      </w:r>
      <w:r w:rsidR="001E02B2" w:rsidRPr="002720D0">
        <w:rPr>
          <w:lang w:val="es-ES_tradnl"/>
        </w:rPr>
        <w:t>90</w:t>
      </w:r>
      <w:r w:rsidRPr="002720D0">
        <w:rPr>
          <w:lang w:val="es-ES_tradnl"/>
        </w:rPr>
        <w:tab/>
        <w:t>2</w:t>
      </w:r>
      <w:r w:rsidR="00F3277D">
        <w:rPr>
          <w:lang w:val="es-ES_tradnl"/>
        </w:rPr>
        <w:t>9</w:t>
      </w:r>
    </w:p>
    <w:p w:rsidR="00A924BC" w:rsidRPr="002720D0" w:rsidRDefault="008F32C3" w:rsidP="005D0EA8">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t>5.</w:t>
      </w:r>
      <w:r>
        <w:rPr>
          <w:lang w:val="es-ES_tradnl"/>
        </w:rPr>
        <w:tab/>
        <w:t>Entorno familiar y modalidades alternativas de cuidado (arts. 5, 18</w:t>
      </w:r>
      <w:r w:rsidR="00265C28" w:rsidRPr="002720D0">
        <w:rPr>
          <w:lang w:val="es-ES_tradnl"/>
        </w:rPr>
        <w:t xml:space="preserve"> </w:t>
      </w:r>
      <w:r>
        <w:rPr>
          <w:lang w:val="es-ES_tradnl"/>
        </w:rPr>
        <w:t>(párrs. 1 y 2),</w:t>
      </w:r>
      <w:r w:rsidR="00B7033A">
        <w:rPr>
          <w:lang w:val="es-ES_tradnl"/>
        </w:rPr>
        <w:t xml:space="preserve"> </w:t>
      </w:r>
      <w:r w:rsidR="00B7033A">
        <w:rPr>
          <w:lang w:val="es-ES_tradnl"/>
        </w:rPr>
        <w:br/>
      </w:r>
      <w:r>
        <w:rPr>
          <w:lang w:val="es-ES_tradnl"/>
        </w:rPr>
        <w:t xml:space="preserve">9 a </w:t>
      </w:r>
      <w:r w:rsidR="00265C28" w:rsidRPr="002720D0">
        <w:rPr>
          <w:lang w:val="es-ES_tradnl"/>
        </w:rPr>
        <w:t>11</w:t>
      </w:r>
      <w:r>
        <w:rPr>
          <w:lang w:val="es-ES_tradnl"/>
        </w:rPr>
        <w:t xml:space="preserve">, 19 a </w:t>
      </w:r>
      <w:r w:rsidR="00265C28" w:rsidRPr="002720D0">
        <w:rPr>
          <w:lang w:val="es-ES_tradnl"/>
        </w:rPr>
        <w:t>21, 25, 27</w:t>
      </w:r>
      <w:r>
        <w:rPr>
          <w:lang w:val="es-ES_tradnl"/>
        </w:rPr>
        <w:t xml:space="preserve"> (párr. 4) y</w:t>
      </w:r>
      <w:r w:rsidR="00B7033A">
        <w:rPr>
          <w:lang w:val="es-ES_tradnl"/>
        </w:rPr>
        <w:t xml:space="preserve"> 39)</w:t>
      </w:r>
      <w:r w:rsidR="00A924BC" w:rsidRPr="002720D0">
        <w:rPr>
          <w:lang w:val="es-ES_tradnl"/>
        </w:rPr>
        <w:tab/>
      </w:r>
      <w:r w:rsidR="00A924BC" w:rsidRPr="002720D0">
        <w:rPr>
          <w:lang w:val="es-ES_tradnl"/>
        </w:rPr>
        <w:tab/>
      </w:r>
      <w:r w:rsidR="001E02B2" w:rsidRPr="002720D0">
        <w:rPr>
          <w:lang w:val="es-ES_tradnl"/>
        </w:rPr>
        <w:t>91</w:t>
      </w:r>
      <w:r w:rsidR="00A924BC" w:rsidRPr="002720D0">
        <w:rPr>
          <w:lang w:val="es-ES_tradnl"/>
        </w:rPr>
        <w:t>–</w:t>
      </w:r>
      <w:r w:rsidR="001E02B2" w:rsidRPr="002720D0">
        <w:rPr>
          <w:lang w:val="es-ES_tradnl"/>
        </w:rPr>
        <w:t>12</w:t>
      </w:r>
      <w:r w:rsidR="00F308FB">
        <w:rPr>
          <w:lang w:val="es-ES_tradnl"/>
        </w:rPr>
        <w:t>7</w:t>
      </w:r>
      <w:r w:rsidR="00A924BC" w:rsidRPr="002720D0">
        <w:rPr>
          <w:lang w:val="es-ES_tradnl"/>
        </w:rPr>
        <w:tab/>
      </w:r>
      <w:r w:rsidR="00F3277D">
        <w:rPr>
          <w:lang w:val="es-ES_tradnl"/>
        </w:rPr>
        <w:t>31</w:t>
      </w:r>
    </w:p>
    <w:p w:rsidR="00265C28" w:rsidRPr="002720D0" w:rsidRDefault="00265C28" w:rsidP="00265C28">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r>
      <w:r w:rsidRPr="002720D0">
        <w:rPr>
          <w:lang w:val="es-ES_tradnl"/>
        </w:rPr>
        <w:tab/>
        <w:t>5.1</w:t>
      </w:r>
      <w:r w:rsidRPr="002720D0">
        <w:rPr>
          <w:lang w:val="es-ES_tradnl"/>
        </w:rPr>
        <w:tab/>
      </w:r>
      <w:r w:rsidR="008F32C3">
        <w:rPr>
          <w:lang w:val="es-ES_tradnl"/>
        </w:rPr>
        <w:t xml:space="preserve">Entorno familiar y orientación de los padres </w:t>
      </w:r>
      <w:r w:rsidR="00B7033A">
        <w:rPr>
          <w:lang w:val="es-ES_tradnl"/>
        </w:rPr>
        <w:t>(art. 5)</w:t>
      </w:r>
      <w:r w:rsidRPr="002720D0">
        <w:rPr>
          <w:lang w:val="es-ES_tradnl"/>
        </w:rPr>
        <w:tab/>
      </w:r>
      <w:r w:rsidRPr="002720D0">
        <w:rPr>
          <w:lang w:val="es-ES_tradnl"/>
        </w:rPr>
        <w:tab/>
      </w:r>
      <w:r w:rsidR="001E02B2" w:rsidRPr="002720D0">
        <w:rPr>
          <w:lang w:val="es-ES_tradnl"/>
        </w:rPr>
        <w:t>91</w:t>
      </w:r>
      <w:r w:rsidRPr="002720D0">
        <w:rPr>
          <w:lang w:val="es-ES_tradnl"/>
        </w:rPr>
        <w:t>–9</w:t>
      </w:r>
      <w:r w:rsidR="001E02B2" w:rsidRPr="002720D0">
        <w:rPr>
          <w:lang w:val="es-ES_tradnl"/>
        </w:rPr>
        <w:t>4</w:t>
      </w:r>
      <w:r w:rsidRPr="002720D0">
        <w:rPr>
          <w:lang w:val="es-ES_tradnl"/>
        </w:rPr>
        <w:tab/>
      </w:r>
      <w:r w:rsidR="00F3277D">
        <w:rPr>
          <w:lang w:val="es-ES_tradnl"/>
        </w:rPr>
        <w:t>31</w:t>
      </w:r>
    </w:p>
    <w:p w:rsidR="00265C28" w:rsidRPr="002720D0" w:rsidRDefault="008F32C3" w:rsidP="005D0EA8">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5.2</w:t>
      </w:r>
      <w:r>
        <w:rPr>
          <w:lang w:val="es-ES_tradnl"/>
        </w:rPr>
        <w:tab/>
        <w:t>Obligaciones comunes de los padres, asistencia a los padres y prestación de</w:t>
      </w:r>
      <w:r w:rsidR="00B7033A">
        <w:rPr>
          <w:lang w:val="es-ES_tradnl"/>
        </w:rPr>
        <w:t xml:space="preserve"> </w:t>
      </w:r>
      <w:r w:rsidR="00B7033A">
        <w:rPr>
          <w:lang w:val="es-ES_tradnl"/>
        </w:rPr>
        <w:br/>
      </w:r>
      <w:r>
        <w:rPr>
          <w:lang w:val="es-ES_tradnl"/>
        </w:rPr>
        <w:t xml:space="preserve">servicios de atención a la infancia </w:t>
      </w:r>
      <w:r w:rsidR="00B7033A">
        <w:rPr>
          <w:lang w:val="es-ES_tradnl"/>
        </w:rPr>
        <w:t>(art. 18)</w:t>
      </w:r>
      <w:r w:rsidR="00265C28" w:rsidRPr="002720D0">
        <w:rPr>
          <w:lang w:val="es-ES_tradnl"/>
        </w:rPr>
        <w:tab/>
      </w:r>
      <w:r w:rsidR="00265C28" w:rsidRPr="002720D0">
        <w:rPr>
          <w:lang w:val="es-ES_tradnl"/>
        </w:rPr>
        <w:tab/>
        <w:t>9</w:t>
      </w:r>
      <w:r w:rsidR="001E02B2" w:rsidRPr="002720D0">
        <w:rPr>
          <w:lang w:val="es-ES_tradnl"/>
        </w:rPr>
        <w:t>5</w:t>
      </w:r>
      <w:r w:rsidR="00265C28" w:rsidRPr="002720D0">
        <w:rPr>
          <w:lang w:val="es-ES_tradnl"/>
        </w:rPr>
        <w:t>–9</w:t>
      </w:r>
      <w:r w:rsidR="001E02B2" w:rsidRPr="002720D0">
        <w:rPr>
          <w:lang w:val="es-ES_tradnl"/>
        </w:rPr>
        <w:t>8</w:t>
      </w:r>
      <w:r w:rsidR="00265C28" w:rsidRPr="002720D0">
        <w:rPr>
          <w:lang w:val="es-ES_tradnl"/>
        </w:rPr>
        <w:tab/>
      </w:r>
      <w:r w:rsidR="00F3277D">
        <w:rPr>
          <w:lang w:val="es-ES_tradnl"/>
        </w:rPr>
        <w:t>32</w:t>
      </w:r>
    </w:p>
    <w:p w:rsidR="00265C28" w:rsidRPr="002720D0" w:rsidRDefault="00265C28" w:rsidP="005D0EA8">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r>
      <w:r w:rsidRPr="002720D0">
        <w:rPr>
          <w:lang w:val="es-ES_tradnl"/>
        </w:rPr>
        <w:tab/>
        <w:t>5.3</w:t>
      </w:r>
      <w:r w:rsidRPr="002720D0">
        <w:rPr>
          <w:lang w:val="es-ES_tradnl"/>
        </w:rPr>
        <w:tab/>
        <w:t>Separa</w:t>
      </w:r>
      <w:r w:rsidR="008F32C3">
        <w:rPr>
          <w:lang w:val="es-ES_tradnl"/>
        </w:rPr>
        <w:t xml:space="preserve">ción del niño con respecto a los padres </w:t>
      </w:r>
      <w:r w:rsidR="00B7033A">
        <w:rPr>
          <w:lang w:val="es-ES_tradnl"/>
        </w:rPr>
        <w:t>(art. 9)</w:t>
      </w:r>
      <w:r w:rsidRPr="002720D0">
        <w:rPr>
          <w:lang w:val="es-ES_tradnl"/>
        </w:rPr>
        <w:tab/>
      </w:r>
      <w:r w:rsidRPr="002720D0">
        <w:rPr>
          <w:lang w:val="es-ES_tradnl"/>
        </w:rPr>
        <w:tab/>
        <w:t>9</w:t>
      </w:r>
      <w:r w:rsidR="001E02B2" w:rsidRPr="002720D0">
        <w:rPr>
          <w:lang w:val="es-ES_tradnl"/>
        </w:rPr>
        <w:t>9</w:t>
      </w:r>
      <w:r w:rsidRPr="002720D0">
        <w:rPr>
          <w:lang w:val="es-ES_tradnl"/>
        </w:rPr>
        <w:t>–</w:t>
      </w:r>
      <w:r w:rsidR="001E02B2" w:rsidRPr="002720D0">
        <w:rPr>
          <w:lang w:val="es-ES_tradnl"/>
        </w:rPr>
        <w:t>102</w:t>
      </w:r>
      <w:r w:rsidRPr="002720D0">
        <w:rPr>
          <w:lang w:val="es-ES_tradnl"/>
        </w:rPr>
        <w:tab/>
        <w:t>3</w:t>
      </w:r>
      <w:r w:rsidR="00F3277D">
        <w:rPr>
          <w:lang w:val="es-ES_tradnl"/>
        </w:rPr>
        <w:t>3</w:t>
      </w:r>
    </w:p>
    <w:p w:rsidR="00265C28" w:rsidRPr="002720D0" w:rsidRDefault="00265C28" w:rsidP="004E5B3D">
      <w:pPr>
        <w:tabs>
          <w:tab w:val="right" w:pos="850"/>
          <w:tab w:val="left" w:pos="1134"/>
          <w:tab w:val="left" w:pos="1559"/>
          <w:tab w:val="left" w:pos="1984"/>
          <w:tab w:val="left" w:leader="dot" w:pos="7654"/>
          <w:tab w:val="right" w:pos="8931"/>
          <w:tab w:val="right" w:pos="9638"/>
        </w:tabs>
        <w:spacing w:after="120"/>
        <w:ind w:left="1559" w:hanging="1559"/>
        <w:rPr>
          <w:lang w:val="es-ES_tradnl"/>
        </w:rPr>
      </w:pPr>
      <w:r w:rsidRPr="002720D0">
        <w:rPr>
          <w:lang w:val="es-ES_tradnl"/>
        </w:rPr>
        <w:tab/>
      </w:r>
      <w:r w:rsidRPr="002720D0">
        <w:rPr>
          <w:lang w:val="es-ES_tradnl"/>
        </w:rPr>
        <w:tab/>
        <w:t>5.4</w:t>
      </w:r>
      <w:r w:rsidRPr="002720D0">
        <w:rPr>
          <w:lang w:val="es-ES_tradnl"/>
        </w:rPr>
        <w:tab/>
      </w:r>
      <w:r w:rsidR="008F32C3">
        <w:rPr>
          <w:lang w:val="es-ES_tradnl"/>
        </w:rPr>
        <w:t>Reunificación de la familia</w:t>
      </w:r>
      <w:r w:rsidRPr="002720D0">
        <w:rPr>
          <w:lang w:val="es-ES_tradnl"/>
        </w:rPr>
        <w:t xml:space="preserve"> (art. 10)</w:t>
      </w:r>
      <w:r w:rsidR="00571F8B">
        <w:rPr>
          <w:lang w:val="es-ES_tradnl"/>
        </w:rPr>
        <w:tab/>
      </w:r>
      <w:r w:rsidR="004E5B3D" w:rsidRPr="002720D0">
        <w:rPr>
          <w:lang w:val="es-ES_tradnl"/>
        </w:rPr>
        <w:tab/>
      </w:r>
      <w:r w:rsidR="001E02B2" w:rsidRPr="002720D0">
        <w:rPr>
          <w:lang w:val="es-ES_tradnl"/>
        </w:rPr>
        <w:t>103</w:t>
      </w:r>
      <w:r w:rsidRPr="002720D0">
        <w:rPr>
          <w:lang w:val="es-ES_tradnl"/>
        </w:rPr>
        <w:t>–10</w:t>
      </w:r>
      <w:r w:rsidR="001E02B2" w:rsidRPr="002720D0">
        <w:rPr>
          <w:lang w:val="es-ES_tradnl"/>
        </w:rPr>
        <w:t>4</w:t>
      </w:r>
      <w:r w:rsidRPr="002720D0">
        <w:rPr>
          <w:lang w:val="es-ES_tradnl"/>
        </w:rPr>
        <w:tab/>
        <w:t>3</w:t>
      </w:r>
      <w:r w:rsidR="00F3277D">
        <w:rPr>
          <w:lang w:val="es-ES_tradnl"/>
        </w:rPr>
        <w:t>4</w:t>
      </w:r>
    </w:p>
    <w:p w:rsidR="00265C28" w:rsidRPr="002720D0" w:rsidRDefault="008F32C3" w:rsidP="00265C2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5.5</w:t>
      </w:r>
      <w:r>
        <w:rPr>
          <w:lang w:val="es-ES_tradnl"/>
        </w:rPr>
        <w:tab/>
        <w:t xml:space="preserve">Pago de la pensión alimenticia </w:t>
      </w:r>
      <w:r w:rsidR="00265C28" w:rsidRPr="002720D0">
        <w:rPr>
          <w:lang w:val="es-ES_tradnl"/>
        </w:rPr>
        <w:t xml:space="preserve">(art. 27, </w:t>
      </w:r>
      <w:r>
        <w:rPr>
          <w:lang w:val="es-ES_tradnl"/>
        </w:rPr>
        <w:t>párr</w:t>
      </w:r>
      <w:r w:rsidR="00B7033A">
        <w:rPr>
          <w:lang w:val="es-ES_tradnl"/>
        </w:rPr>
        <w:t>. 4)</w:t>
      </w:r>
      <w:r w:rsidR="00265C28" w:rsidRPr="002720D0">
        <w:rPr>
          <w:lang w:val="es-ES_tradnl"/>
        </w:rPr>
        <w:tab/>
      </w:r>
      <w:r w:rsidR="00265C28" w:rsidRPr="002720D0">
        <w:rPr>
          <w:lang w:val="es-ES_tradnl"/>
        </w:rPr>
        <w:tab/>
        <w:t>10</w:t>
      </w:r>
      <w:r w:rsidR="001E02B2" w:rsidRPr="002720D0">
        <w:rPr>
          <w:lang w:val="es-ES_tradnl"/>
        </w:rPr>
        <w:t>5</w:t>
      </w:r>
      <w:r w:rsidR="00265C28" w:rsidRPr="002720D0">
        <w:rPr>
          <w:lang w:val="es-ES_tradnl"/>
        </w:rPr>
        <w:tab/>
        <w:t>3</w:t>
      </w:r>
      <w:r w:rsidR="00F3277D">
        <w:rPr>
          <w:lang w:val="es-ES_tradnl"/>
        </w:rPr>
        <w:t>5</w:t>
      </w:r>
    </w:p>
    <w:p w:rsidR="00265C28" w:rsidRPr="002720D0" w:rsidRDefault="000248DE" w:rsidP="00265C2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5.6</w:t>
      </w:r>
      <w:r>
        <w:rPr>
          <w:lang w:val="es-ES_tradnl"/>
        </w:rPr>
        <w:tab/>
        <w:t xml:space="preserve">Niños privados de un entorno familiar </w:t>
      </w:r>
      <w:r w:rsidR="00265C28" w:rsidRPr="002720D0">
        <w:rPr>
          <w:lang w:val="es-ES_tradnl"/>
        </w:rPr>
        <w:t>(art. 20)</w:t>
      </w:r>
      <w:r w:rsidR="00265C28" w:rsidRPr="002720D0">
        <w:rPr>
          <w:lang w:val="es-ES_tradnl"/>
        </w:rPr>
        <w:tab/>
      </w:r>
      <w:r w:rsidR="00265C28" w:rsidRPr="002720D0">
        <w:rPr>
          <w:lang w:val="es-ES_tradnl"/>
        </w:rPr>
        <w:tab/>
        <w:t>10</w:t>
      </w:r>
      <w:r w:rsidR="001E02B2" w:rsidRPr="002720D0">
        <w:rPr>
          <w:lang w:val="es-ES_tradnl"/>
        </w:rPr>
        <w:t>6</w:t>
      </w:r>
      <w:r w:rsidR="00265C28" w:rsidRPr="002720D0">
        <w:rPr>
          <w:lang w:val="es-ES_tradnl"/>
        </w:rPr>
        <w:t>–10</w:t>
      </w:r>
      <w:r w:rsidR="00F3277D">
        <w:rPr>
          <w:lang w:val="es-ES_tradnl"/>
        </w:rPr>
        <w:t>8</w:t>
      </w:r>
      <w:r w:rsidR="00265C28" w:rsidRPr="002720D0">
        <w:rPr>
          <w:lang w:val="es-ES_tradnl"/>
        </w:rPr>
        <w:tab/>
        <w:t>3</w:t>
      </w:r>
      <w:r w:rsidR="00885759">
        <w:rPr>
          <w:lang w:val="es-ES_tradnl"/>
        </w:rPr>
        <w:t>6</w:t>
      </w:r>
    </w:p>
    <w:p w:rsidR="00265C28" w:rsidRPr="002720D0" w:rsidRDefault="000248DE" w:rsidP="00265C2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5.7</w:t>
      </w:r>
      <w:r>
        <w:rPr>
          <w:lang w:val="es-ES_tradnl"/>
        </w:rPr>
        <w:tab/>
        <w:t xml:space="preserve">Examen periódico del acogimiento </w:t>
      </w:r>
      <w:r w:rsidR="00B7033A">
        <w:rPr>
          <w:lang w:val="es-ES_tradnl"/>
        </w:rPr>
        <w:t>(art. 25)</w:t>
      </w:r>
      <w:r w:rsidR="00265C28" w:rsidRPr="002720D0">
        <w:rPr>
          <w:lang w:val="es-ES_tradnl"/>
        </w:rPr>
        <w:tab/>
      </w:r>
      <w:r w:rsidR="00265C28" w:rsidRPr="002720D0">
        <w:rPr>
          <w:lang w:val="es-ES_tradnl"/>
        </w:rPr>
        <w:tab/>
        <w:t>10</w:t>
      </w:r>
      <w:r w:rsidR="00F3277D">
        <w:rPr>
          <w:lang w:val="es-ES_tradnl"/>
        </w:rPr>
        <w:t>9</w:t>
      </w:r>
      <w:r w:rsidR="00265C28" w:rsidRPr="002720D0">
        <w:rPr>
          <w:lang w:val="es-ES_tradnl"/>
        </w:rPr>
        <w:t>–</w:t>
      </w:r>
      <w:r w:rsidR="003942D9" w:rsidRPr="002720D0">
        <w:rPr>
          <w:lang w:val="es-ES_tradnl"/>
        </w:rPr>
        <w:t>1</w:t>
      </w:r>
      <w:r w:rsidR="00F3277D">
        <w:rPr>
          <w:lang w:val="es-ES_tradnl"/>
        </w:rPr>
        <w:t>14</w:t>
      </w:r>
      <w:r w:rsidR="003942D9" w:rsidRPr="002720D0">
        <w:rPr>
          <w:lang w:val="es-ES_tradnl"/>
        </w:rPr>
        <w:tab/>
        <w:t>3</w:t>
      </w:r>
      <w:r w:rsidR="00F3277D">
        <w:rPr>
          <w:lang w:val="es-ES_tradnl"/>
        </w:rPr>
        <w:t>6</w:t>
      </w:r>
    </w:p>
    <w:p w:rsidR="00B037BE" w:rsidRPr="002720D0" w:rsidRDefault="00B037BE" w:rsidP="00265C2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5.8</w:t>
      </w:r>
      <w:r w:rsidRPr="002720D0">
        <w:rPr>
          <w:lang w:val="es-ES_tradnl"/>
        </w:rPr>
        <w:tab/>
        <w:t>Adop</w:t>
      </w:r>
      <w:r w:rsidR="000248DE">
        <w:rPr>
          <w:lang w:val="es-ES_tradnl"/>
        </w:rPr>
        <w:t xml:space="preserve">ción nacional e internacional </w:t>
      </w:r>
      <w:r w:rsidR="00B7033A">
        <w:rPr>
          <w:lang w:val="es-ES_tradnl"/>
        </w:rPr>
        <w:t>(art. 21)</w:t>
      </w:r>
      <w:r w:rsidRPr="002720D0">
        <w:rPr>
          <w:lang w:val="es-ES_tradnl"/>
        </w:rPr>
        <w:tab/>
      </w:r>
      <w:r w:rsidRPr="002720D0">
        <w:rPr>
          <w:lang w:val="es-ES_tradnl"/>
        </w:rPr>
        <w:tab/>
        <w:t>1</w:t>
      </w:r>
      <w:r w:rsidR="00F3277D">
        <w:rPr>
          <w:lang w:val="es-ES_tradnl"/>
        </w:rPr>
        <w:t>15</w:t>
      </w:r>
      <w:r w:rsidRPr="002720D0">
        <w:rPr>
          <w:lang w:val="es-ES_tradnl"/>
        </w:rPr>
        <w:t>–11</w:t>
      </w:r>
      <w:r w:rsidR="00F3277D">
        <w:rPr>
          <w:lang w:val="es-ES_tradnl"/>
        </w:rPr>
        <w:t>8</w:t>
      </w:r>
      <w:r w:rsidRPr="002720D0">
        <w:rPr>
          <w:lang w:val="es-ES_tradnl"/>
        </w:rPr>
        <w:tab/>
        <w:t>3</w:t>
      </w:r>
      <w:r w:rsidR="00F308FB">
        <w:rPr>
          <w:lang w:val="es-ES_tradnl"/>
        </w:rPr>
        <w:t>9</w:t>
      </w:r>
    </w:p>
    <w:p w:rsidR="00B037BE" w:rsidRPr="002720D0" w:rsidRDefault="000248DE" w:rsidP="00265C2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5.9</w:t>
      </w:r>
      <w:r>
        <w:rPr>
          <w:lang w:val="es-ES_tradnl"/>
        </w:rPr>
        <w:tab/>
        <w:t xml:space="preserve">Traslados y retención ilícitos de niños </w:t>
      </w:r>
      <w:r w:rsidR="00B7033A">
        <w:rPr>
          <w:lang w:val="es-ES_tradnl"/>
        </w:rPr>
        <w:t>(art. 11)</w:t>
      </w:r>
      <w:r w:rsidR="00B037BE" w:rsidRPr="002720D0">
        <w:rPr>
          <w:lang w:val="es-ES_tradnl"/>
        </w:rPr>
        <w:tab/>
      </w:r>
      <w:r w:rsidR="00B037BE" w:rsidRPr="002720D0">
        <w:rPr>
          <w:lang w:val="es-ES_tradnl"/>
        </w:rPr>
        <w:tab/>
        <w:t>11</w:t>
      </w:r>
      <w:r w:rsidR="00F3277D">
        <w:rPr>
          <w:lang w:val="es-ES_tradnl"/>
        </w:rPr>
        <w:t>9–120</w:t>
      </w:r>
      <w:r w:rsidR="00B037BE" w:rsidRPr="002720D0">
        <w:rPr>
          <w:lang w:val="es-ES_tradnl"/>
        </w:rPr>
        <w:tab/>
        <w:t>3</w:t>
      </w:r>
      <w:r w:rsidR="00F3277D">
        <w:rPr>
          <w:lang w:val="es-ES_tradnl"/>
        </w:rPr>
        <w:t>9</w:t>
      </w:r>
    </w:p>
    <w:p w:rsidR="00B037BE" w:rsidRPr="002720D0" w:rsidRDefault="000248DE" w:rsidP="00571F8B">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5.10</w:t>
      </w:r>
      <w:r>
        <w:rPr>
          <w:lang w:val="es-ES_tradnl"/>
        </w:rPr>
        <w:tab/>
        <w:t>Malos tratos y descuido (art. 19), entre otras cosas en la recuperación física</w:t>
      </w:r>
      <w:r w:rsidR="00B7033A">
        <w:rPr>
          <w:lang w:val="es-ES_tradnl"/>
        </w:rPr>
        <w:t xml:space="preserve"> </w:t>
      </w:r>
      <w:r w:rsidR="00B7033A">
        <w:rPr>
          <w:lang w:val="es-ES_tradnl"/>
        </w:rPr>
        <w:br/>
      </w:r>
      <w:r>
        <w:rPr>
          <w:lang w:val="es-ES_tradnl"/>
        </w:rPr>
        <w:t xml:space="preserve">y psicológica y en la reintegración social </w:t>
      </w:r>
      <w:r w:rsidR="00B7033A">
        <w:rPr>
          <w:lang w:val="es-ES_tradnl"/>
        </w:rPr>
        <w:t>(art. 39)</w:t>
      </w:r>
      <w:r w:rsidR="00B037BE" w:rsidRPr="002720D0">
        <w:rPr>
          <w:lang w:val="es-ES_tradnl"/>
        </w:rPr>
        <w:tab/>
      </w:r>
      <w:r w:rsidR="00B037BE" w:rsidRPr="002720D0">
        <w:rPr>
          <w:lang w:val="es-ES_tradnl"/>
        </w:rPr>
        <w:tab/>
        <w:t>1</w:t>
      </w:r>
      <w:r w:rsidR="00F3277D">
        <w:rPr>
          <w:lang w:val="es-ES_tradnl"/>
        </w:rPr>
        <w:t>21</w:t>
      </w:r>
      <w:r w:rsidR="00B037BE" w:rsidRPr="002720D0">
        <w:rPr>
          <w:lang w:val="es-ES_tradnl"/>
        </w:rPr>
        <w:t>–12</w:t>
      </w:r>
      <w:r w:rsidR="00F3277D">
        <w:rPr>
          <w:lang w:val="es-ES_tradnl"/>
        </w:rPr>
        <w:t>7</w:t>
      </w:r>
      <w:r w:rsidR="00F3277D">
        <w:rPr>
          <w:lang w:val="es-ES_tradnl"/>
        </w:rPr>
        <w:tab/>
        <w:t>40</w:t>
      </w:r>
    </w:p>
    <w:p w:rsidR="00A924BC" w:rsidRPr="002720D0" w:rsidRDefault="00A924BC" w:rsidP="00B037BE">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t>6.</w:t>
      </w:r>
      <w:r w:rsidRPr="002720D0">
        <w:rPr>
          <w:lang w:val="es-ES_tradnl"/>
        </w:rPr>
        <w:tab/>
        <w:t>Dis</w:t>
      </w:r>
      <w:r w:rsidR="008C2F7E">
        <w:rPr>
          <w:lang w:val="es-ES_tradnl"/>
        </w:rPr>
        <w:t xml:space="preserve">capacidad, salud básica y bienestar </w:t>
      </w:r>
      <w:r w:rsidR="00B037BE" w:rsidRPr="002720D0">
        <w:rPr>
          <w:lang w:val="es-ES_tradnl"/>
        </w:rPr>
        <w:t>(arts. 6, 18</w:t>
      </w:r>
      <w:r w:rsidR="008C2F7E">
        <w:rPr>
          <w:lang w:val="es-ES_tradnl"/>
        </w:rPr>
        <w:t xml:space="preserve"> (párr</w:t>
      </w:r>
      <w:r w:rsidR="00B037BE" w:rsidRPr="002720D0">
        <w:rPr>
          <w:lang w:val="es-ES_tradnl"/>
        </w:rPr>
        <w:t>. 3</w:t>
      </w:r>
      <w:r w:rsidR="008C2F7E">
        <w:rPr>
          <w:lang w:val="es-ES_tradnl"/>
        </w:rPr>
        <w:t xml:space="preserve">), 23, 24, 26, </w:t>
      </w:r>
      <w:r w:rsidR="008C2F7E">
        <w:rPr>
          <w:lang w:val="es-ES_tradnl"/>
        </w:rPr>
        <w:br/>
        <w:t>27 (párr</w:t>
      </w:r>
      <w:r w:rsidR="00F308FB">
        <w:rPr>
          <w:lang w:val="es-ES_tradnl"/>
        </w:rPr>
        <w:t>s</w:t>
      </w:r>
      <w:r w:rsidR="008C2F7E">
        <w:rPr>
          <w:lang w:val="es-ES_tradnl"/>
        </w:rPr>
        <w:t>. 1 a 3) y</w:t>
      </w:r>
      <w:r w:rsidR="00B7033A">
        <w:rPr>
          <w:lang w:val="es-ES_tradnl"/>
        </w:rPr>
        <w:t xml:space="preserve"> 33)</w:t>
      </w:r>
      <w:r w:rsidRPr="002720D0">
        <w:rPr>
          <w:lang w:val="es-ES_tradnl"/>
        </w:rPr>
        <w:tab/>
      </w:r>
      <w:r w:rsidRPr="002720D0">
        <w:rPr>
          <w:lang w:val="es-ES_tradnl"/>
        </w:rPr>
        <w:tab/>
        <w:t>12</w:t>
      </w:r>
      <w:r w:rsidR="00F3277D">
        <w:rPr>
          <w:lang w:val="es-ES_tradnl"/>
        </w:rPr>
        <w:t>8</w:t>
      </w:r>
      <w:r w:rsidRPr="002720D0">
        <w:rPr>
          <w:lang w:val="es-ES_tradnl"/>
        </w:rPr>
        <w:t>–</w:t>
      </w:r>
      <w:r w:rsidR="00F3277D">
        <w:rPr>
          <w:lang w:val="es-ES_tradnl"/>
        </w:rPr>
        <w:t>212</w:t>
      </w:r>
      <w:r w:rsidRPr="002720D0">
        <w:rPr>
          <w:lang w:val="es-ES_tradnl"/>
        </w:rPr>
        <w:tab/>
      </w:r>
      <w:r w:rsidR="00F3277D">
        <w:rPr>
          <w:lang w:val="es-ES_tradnl"/>
        </w:rPr>
        <w:t>42</w:t>
      </w:r>
    </w:p>
    <w:p w:rsidR="00B037BE" w:rsidRPr="002720D0" w:rsidRDefault="008C2F7E" w:rsidP="003738F4">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6.1</w:t>
      </w:r>
      <w:r>
        <w:rPr>
          <w:lang w:val="es-ES_tradnl"/>
        </w:rPr>
        <w:tab/>
      </w:r>
      <w:r w:rsidR="003738F4">
        <w:rPr>
          <w:lang w:val="es-ES_tradnl"/>
        </w:rPr>
        <w:t>S</w:t>
      </w:r>
      <w:r w:rsidR="003738F4" w:rsidRPr="002720D0">
        <w:rPr>
          <w:lang w:val="es-ES_tradnl"/>
        </w:rPr>
        <w:t>u</w:t>
      </w:r>
      <w:r w:rsidR="003738F4">
        <w:rPr>
          <w:lang w:val="es-ES_tradnl"/>
        </w:rPr>
        <w:t xml:space="preserve">pervivencia </w:t>
      </w:r>
      <w:r>
        <w:rPr>
          <w:lang w:val="es-ES_tradnl"/>
        </w:rPr>
        <w:t xml:space="preserve">y desarrollo </w:t>
      </w:r>
      <w:r w:rsidR="00B037BE" w:rsidRPr="002720D0">
        <w:rPr>
          <w:lang w:val="es-ES_tradnl"/>
        </w:rPr>
        <w:t>(</w:t>
      </w:r>
      <w:r>
        <w:rPr>
          <w:lang w:val="es-ES_tradnl"/>
        </w:rPr>
        <w:t>art. 6, párr. 2</w:t>
      </w:r>
      <w:r w:rsidR="00B7033A">
        <w:rPr>
          <w:lang w:val="es-ES_tradnl"/>
        </w:rPr>
        <w:t>)</w:t>
      </w:r>
      <w:r w:rsidR="00B037BE" w:rsidRPr="002720D0">
        <w:rPr>
          <w:lang w:val="es-ES_tradnl"/>
        </w:rPr>
        <w:tab/>
      </w:r>
      <w:r w:rsidR="00B037BE" w:rsidRPr="002720D0">
        <w:rPr>
          <w:lang w:val="es-ES_tradnl"/>
        </w:rPr>
        <w:tab/>
        <w:t>12</w:t>
      </w:r>
      <w:r w:rsidR="00F3277D">
        <w:rPr>
          <w:lang w:val="es-ES_tradnl"/>
        </w:rPr>
        <w:t>8–130</w:t>
      </w:r>
      <w:r w:rsidR="00B037BE" w:rsidRPr="002720D0">
        <w:rPr>
          <w:lang w:val="es-ES_tradnl"/>
        </w:rPr>
        <w:tab/>
      </w:r>
      <w:r w:rsidR="00F3277D">
        <w:rPr>
          <w:lang w:val="es-ES_tradnl"/>
        </w:rPr>
        <w:t>42</w:t>
      </w:r>
    </w:p>
    <w:p w:rsidR="00B037BE" w:rsidRPr="002720D0" w:rsidRDefault="008C2F7E" w:rsidP="00B037BE">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6.2</w:t>
      </w:r>
      <w:r>
        <w:rPr>
          <w:lang w:val="es-ES_tradnl"/>
        </w:rPr>
        <w:tab/>
        <w:t xml:space="preserve">La salud y los servicios sanitarios </w:t>
      </w:r>
      <w:r w:rsidR="00B7033A">
        <w:rPr>
          <w:lang w:val="es-ES_tradnl"/>
        </w:rPr>
        <w:t>(art. 24)</w:t>
      </w:r>
      <w:r w:rsidR="00B037BE" w:rsidRPr="002720D0">
        <w:rPr>
          <w:lang w:val="es-ES_tradnl"/>
        </w:rPr>
        <w:tab/>
      </w:r>
      <w:r w:rsidR="00B037BE" w:rsidRPr="002720D0">
        <w:rPr>
          <w:lang w:val="es-ES_tradnl"/>
        </w:rPr>
        <w:tab/>
        <w:t>1</w:t>
      </w:r>
      <w:r w:rsidR="00F3277D">
        <w:rPr>
          <w:lang w:val="es-ES_tradnl"/>
        </w:rPr>
        <w:t>31</w:t>
      </w:r>
      <w:r w:rsidR="00B037BE" w:rsidRPr="002720D0">
        <w:rPr>
          <w:lang w:val="es-ES_tradnl"/>
        </w:rPr>
        <w:t>–1</w:t>
      </w:r>
      <w:r w:rsidR="00F3277D">
        <w:rPr>
          <w:lang w:val="es-ES_tradnl"/>
        </w:rPr>
        <w:t>75</w:t>
      </w:r>
      <w:r w:rsidR="00B037BE" w:rsidRPr="002720D0">
        <w:rPr>
          <w:lang w:val="es-ES_tradnl"/>
        </w:rPr>
        <w:tab/>
      </w:r>
      <w:r w:rsidR="00F3277D">
        <w:rPr>
          <w:lang w:val="es-ES_tradnl"/>
        </w:rPr>
        <w:t>43</w:t>
      </w:r>
    </w:p>
    <w:p w:rsidR="00B037BE" w:rsidRPr="002720D0" w:rsidRDefault="00B037BE" w:rsidP="00B037BE">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r>
      <w:r w:rsidRPr="002720D0">
        <w:rPr>
          <w:lang w:val="es-ES_tradnl"/>
        </w:rPr>
        <w:tab/>
        <w:t>6.3</w:t>
      </w:r>
      <w:r w:rsidRPr="002720D0">
        <w:rPr>
          <w:lang w:val="es-ES_tradnl"/>
        </w:rPr>
        <w:tab/>
      </w:r>
      <w:r w:rsidR="008C2F7E">
        <w:rPr>
          <w:lang w:val="es-ES_tradnl"/>
        </w:rPr>
        <w:t>VIH/SIDA</w:t>
      </w:r>
      <w:r w:rsidRPr="002720D0">
        <w:rPr>
          <w:lang w:val="es-ES_tradnl"/>
        </w:rPr>
        <w:tab/>
      </w:r>
      <w:r w:rsidRPr="002720D0">
        <w:rPr>
          <w:lang w:val="es-ES_tradnl"/>
        </w:rPr>
        <w:tab/>
        <w:t>1</w:t>
      </w:r>
      <w:r w:rsidR="00F3277D">
        <w:rPr>
          <w:lang w:val="es-ES_tradnl"/>
        </w:rPr>
        <w:t>76</w:t>
      </w:r>
      <w:r w:rsidRPr="002720D0">
        <w:rPr>
          <w:lang w:val="es-ES_tradnl"/>
        </w:rPr>
        <w:t>–1</w:t>
      </w:r>
      <w:r w:rsidR="00F3277D">
        <w:rPr>
          <w:lang w:val="es-ES_tradnl"/>
        </w:rPr>
        <w:t>91</w:t>
      </w:r>
      <w:r w:rsidRPr="002720D0">
        <w:rPr>
          <w:lang w:val="es-ES_tradnl"/>
        </w:rPr>
        <w:tab/>
        <w:t>5</w:t>
      </w:r>
      <w:r w:rsidR="00F308FB">
        <w:rPr>
          <w:lang w:val="es-ES_tradnl"/>
        </w:rPr>
        <w:t>9</w:t>
      </w:r>
    </w:p>
    <w:p w:rsidR="00B037BE" w:rsidRPr="002720D0" w:rsidRDefault="008C2F7E" w:rsidP="00B037BE">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r>
      <w:r>
        <w:rPr>
          <w:lang w:val="es-ES_tradnl"/>
        </w:rPr>
        <w:tab/>
        <w:t>6.4</w:t>
      </w:r>
      <w:r>
        <w:rPr>
          <w:lang w:val="es-ES_tradnl"/>
        </w:rPr>
        <w:tab/>
        <w:t>Agua y saneamiento</w:t>
      </w:r>
      <w:r w:rsidR="00B037BE" w:rsidRPr="002720D0">
        <w:rPr>
          <w:lang w:val="es-ES_tradnl"/>
        </w:rPr>
        <w:tab/>
      </w:r>
      <w:r w:rsidR="00B037BE" w:rsidRPr="002720D0">
        <w:rPr>
          <w:lang w:val="es-ES_tradnl"/>
        </w:rPr>
        <w:tab/>
        <w:t>1</w:t>
      </w:r>
      <w:r w:rsidR="00F3277D">
        <w:rPr>
          <w:lang w:val="es-ES_tradnl"/>
        </w:rPr>
        <w:t>92</w:t>
      </w:r>
      <w:r w:rsidR="00B037BE" w:rsidRPr="002720D0">
        <w:rPr>
          <w:lang w:val="es-ES_tradnl"/>
        </w:rPr>
        <w:t>–1</w:t>
      </w:r>
      <w:r w:rsidR="00F308FB">
        <w:rPr>
          <w:lang w:val="es-ES_tradnl"/>
        </w:rPr>
        <w:t>96</w:t>
      </w:r>
      <w:r w:rsidR="00F308FB">
        <w:rPr>
          <w:lang w:val="es-ES_tradnl"/>
        </w:rPr>
        <w:tab/>
        <w:t>62</w:t>
      </w:r>
    </w:p>
    <w:p w:rsidR="00B037BE" w:rsidRPr="002720D0" w:rsidRDefault="00B037BE" w:rsidP="00B037BE">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r>
      <w:r w:rsidRPr="002720D0">
        <w:rPr>
          <w:lang w:val="es-ES_tradnl"/>
        </w:rPr>
        <w:tab/>
        <w:t>6.5</w:t>
      </w:r>
      <w:r w:rsidRPr="002720D0">
        <w:rPr>
          <w:lang w:val="es-ES_tradnl"/>
        </w:rPr>
        <w:tab/>
      </w:r>
      <w:r w:rsidR="008C2F7E">
        <w:rPr>
          <w:lang w:val="es-ES_tradnl"/>
        </w:rPr>
        <w:t>Salud en la adolescencia</w:t>
      </w:r>
      <w:r w:rsidRPr="002720D0">
        <w:rPr>
          <w:lang w:val="es-ES_tradnl"/>
        </w:rPr>
        <w:tab/>
      </w:r>
      <w:r w:rsidR="00535652" w:rsidRPr="002720D0">
        <w:rPr>
          <w:lang w:val="es-ES_tradnl"/>
        </w:rPr>
        <w:tab/>
        <w:t>19</w:t>
      </w:r>
      <w:r w:rsidR="00F3277D">
        <w:rPr>
          <w:lang w:val="es-ES_tradnl"/>
        </w:rPr>
        <w:t>7</w:t>
      </w:r>
      <w:r w:rsidR="00535652" w:rsidRPr="002720D0">
        <w:rPr>
          <w:lang w:val="es-ES_tradnl"/>
        </w:rPr>
        <w:t>–19</w:t>
      </w:r>
      <w:r w:rsidR="00F3277D">
        <w:rPr>
          <w:lang w:val="es-ES_tradnl"/>
        </w:rPr>
        <w:t>9</w:t>
      </w:r>
      <w:r w:rsidR="00F3277D">
        <w:rPr>
          <w:lang w:val="es-ES_tradnl"/>
        </w:rPr>
        <w:tab/>
        <w:t>63</w:t>
      </w:r>
    </w:p>
    <w:p w:rsidR="00535652" w:rsidRPr="002720D0" w:rsidRDefault="00535652" w:rsidP="00571F8B">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6.6</w:t>
      </w:r>
      <w:r w:rsidRPr="002720D0">
        <w:rPr>
          <w:lang w:val="es-ES_tradnl"/>
        </w:rPr>
        <w:tab/>
      </w:r>
      <w:r w:rsidR="008C2F7E">
        <w:rPr>
          <w:lang w:val="es-ES_tradnl"/>
        </w:rPr>
        <w:t>Medidas para prohibir y eliminar las prácticas tradicionales nocivas</w:t>
      </w:r>
      <w:r w:rsidR="00B7033A">
        <w:rPr>
          <w:lang w:val="es-ES_tradnl"/>
        </w:rPr>
        <w:t xml:space="preserve"> </w:t>
      </w:r>
      <w:r w:rsidR="00B7033A">
        <w:rPr>
          <w:lang w:val="es-ES_tradnl"/>
        </w:rPr>
        <w:br/>
      </w:r>
      <w:r w:rsidRPr="002720D0">
        <w:rPr>
          <w:lang w:val="es-ES_tradnl"/>
        </w:rPr>
        <w:t xml:space="preserve">(art. 24, </w:t>
      </w:r>
      <w:r w:rsidR="008C2F7E">
        <w:rPr>
          <w:lang w:val="es-ES_tradnl"/>
        </w:rPr>
        <w:t>párr</w:t>
      </w:r>
      <w:r w:rsidR="00B7033A">
        <w:rPr>
          <w:lang w:val="es-ES_tradnl"/>
        </w:rPr>
        <w:t>. 3)</w:t>
      </w:r>
      <w:r w:rsidR="00F3277D">
        <w:rPr>
          <w:lang w:val="es-ES_tradnl"/>
        </w:rPr>
        <w:tab/>
      </w:r>
      <w:r w:rsidR="00F3277D">
        <w:rPr>
          <w:lang w:val="es-ES_tradnl"/>
        </w:rPr>
        <w:tab/>
        <w:t>200–205</w:t>
      </w:r>
      <w:r w:rsidR="00F3277D">
        <w:rPr>
          <w:lang w:val="es-ES_tradnl"/>
        </w:rPr>
        <w:tab/>
        <w:t>64</w:t>
      </w:r>
    </w:p>
    <w:p w:rsidR="00535652" w:rsidRPr="002720D0" w:rsidRDefault="00535652" w:rsidP="00571F8B">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6.7</w:t>
      </w:r>
      <w:r w:rsidRPr="002720D0">
        <w:rPr>
          <w:lang w:val="es-ES_tradnl"/>
        </w:rPr>
        <w:tab/>
      </w:r>
      <w:r w:rsidR="00D01606">
        <w:rPr>
          <w:lang w:val="es-ES_tradnl"/>
        </w:rPr>
        <w:t xml:space="preserve">Medidas para proteger a los niños del uso indebido de sustancias </w:t>
      </w:r>
      <w:r w:rsidR="00B7033A">
        <w:rPr>
          <w:lang w:val="es-ES_tradnl"/>
        </w:rPr>
        <w:br/>
      </w:r>
      <w:r w:rsidR="00D01606">
        <w:rPr>
          <w:lang w:val="es-ES_tradnl"/>
        </w:rPr>
        <w:t>psicotrópicas</w:t>
      </w:r>
      <w:r w:rsidR="00B7033A">
        <w:rPr>
          <w:lang w:val="es-ES_tradnl"/>
        </w:rPr>
        <w:t xml:space="preserve"> (art. 33)</w:t>
      </w:r>
      <w:r w:rsidRPr="002720D0">
        <w:rPr>
          <w:lang w:val="es-ES_tradnl"/>
        </w:rPr>
        <w:tab/>
      </w:r>
      <w:r w:rsidRPr="002720D0">
        <w:rPr>
          <w:lang w:val="es-ES_tradnl"/>
        </w:rPr>
        <w:tab/>
      </w:r>
      <w:r w:rsidR="00F3277D">
        <w:rPr>
          <w:lang w:val="es-ES_tradnl"/>
        </w:rPr>
        <w:t>206</w:t>
      </w:r>
      <w:r w:rsidRPr="002720D0">
        <w:rPr>
          <w:lang w:val="es-ES_tradnl"/>
        </w:rPr>
        <w:t>–20</w:t>
      </w:r>
      <w:r w:rsidR="00F308FB">
        <w:rPr>
          <w:lang w:val="es-ES_tradnl"/>
        </w:rPr>
        <w:t>7</w:t>
      </w:r>
      <w:r w:rsidR="00F308FB">
        <w:rPr>
          <w:lang w:val="es-ES_tradnl"/>
        </w:rPr>
        <w:tab/>
        <w:t>66</w:t>
      </w:r>
    </w:p>
    <w:p w:rsidR="00535652" w:rsidRPr="002720D0" w:rsidRDefault="001815B1" w:rsidP="00571F8B">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6.8</w:t>
      </w:r>
      <w:r>
        <w:rPr>
          <w:lang w:val="es-ES_tradnl"/>
        </w:rPr>
        <w:tab/>
        <w:t xml:space="preserve">Medidas para garantizar la protección de los niños con padres encarcelados </w:t>
      </w:r>
      <w:r w:rsidR="00B7033A">
        <w:rPr>
          <w:lang w:val="es-ES_tradnl"/>
        </w:rPr>
        <w:br/>
      </w:r>
      <w:r>
        <w:rPr>
          <w:lang w:val="es-ES_tradnl"/>
        </w:rPr>
        <w:t>y</w:t>
      </w:r>
      <w:r w:rsidR="00B7033A">
        <w:rPr>
          <w:lang w:val="es-ES_tradnl"/>
        </w:rPr>
        <w:t xml:space="preserve"> </w:t>
      </w:r>
      <w:r>
        <w:rPr>
          <w:lang w:val="es-ES_tradnl"/>
        </w:rPr>
        <w:t>los niños que acompañan a su madre en prisión</w:t>
      </w:r>
      <w:r w:rsidR="00535652" w:rsidRPr="002720D0">
        <w:rPr>
          <w:lang w:val="es-ES_tradnl"/>
        </w:rPr>
        <w:tab/>
      </w:r>
      <w:r w:rsidR="00535652" w:rsidRPr="002720D0">
        <w:rPr>
          <w:lang w:val="es-ES_tradnl"/>
        </w:rPr>
        <w:tab/>
        <w:t>20</w:t>
      </w:r>
      <w:r w:rsidR="00F308FB">
        <w:rPr>
          <w:lang w:val="es-ES_tradnl"/>
        </w:rPr>
        <w:t>8</w:t>
      </w:r>
      <w:r w:rsidR="00F308FB">
        <w:rPr>
          <w:lang w:val="es-ES_tradnl"/>
        </w:rPr>
        <w:tab/>
        <w:t>66</w:t>
      </w:r>
    </w:p>
    <w:p w:rsidR="00535652" w:rsidRPr="002720D0" w:rsidRDefault="001815B1" w:rsidP="00535652">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6.9</w:t>
      </w:r>
      <w:r>
        <w:rPr>
          <w:lang w:val="es-ES_tradnl"/>
        </w:rPr>
        <w:tab/>
        <w:t>Niños con discapacidad</w:t>
      </w:r>
      <w:r w:rsidR="00535652" w:rsidRPr="002720D0">
        <w:rPr>
          <w:lang w:val="es-ES_tradnl"/>
        </w:rPr>
        <w:tab/>
      </w:r>
      <w:r w:rsidR="00535652" w:rsidRPr="002720D0">
        <w:rPr>
          <w:lang w:val="es-ES_tradnl"/>
        </w:rPr>
        <w:tab/>
        <w:t>20</w:t>
      </w:r>
      <w:r w:rsidR="00F3277D">
        <w:rPr>
          <w:lang w:val="es-ES_tradnl"/>
        </w:rPr>
        <w:t>9</w:t>
      </w:r>
      <w:r w:rsidR="00535652" w:rsidRPr="002720D0">
        <w:rPr>
          <w:lang w:val="es-ES_tradnl"/>
        </w:rPr>
        <w:t>–2</w:t>
      </w:r>
      <w:r w:rsidR="00F3277D">
        <w:rPr>
          <w:lang w:val="es-ES_tradnl"/>
        </w:rPr>
        <w:t>12</w:t>
      </w:r>
      <w:r w:rsidR="00535652" w:rsidRPr="002720D0">
        <w:rPr>
          <w:lang w:val="es-ES_tradnl"/>
        </w:rPr>
        <w:tab/>
      </w:r>
      <w:r w:rsidR="00F3277D">
        <w:rPr>
          <w:lang w:val="es-ES_tradnl"/>
        </w:rPr>
        <w:t>66</w:t>
      </w:r>
    </w:p>
    <w:p w:rsidR="00A924BC" w:rsidRPr="002720D0" w:rsidRDefault="00A924BC" w:rsidP="00571F8B">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sidRPr="002720D0">
        <w:rPr>
          <w:lang w:val="es-ES_tradnl"/>
        </w:rPr>
        <w:tab/>
        <w:t>7.</w:t>
      </w:r>
      <w:r w:rsidRPr="002720D0">
        <w:rPr>
          <w:lang w:val="es-ES_tradnl"/>
        </w:rPr>
        <w:tab/>
        <w:t>Educa</w:t>
      </w:r>
      <w:r w:rsidR="001815B1">
        <w:rPr>
          <w:lang w:val="es-ES_tradnl"/>
        </w:rPr>
        <w:t xml:space="preserve">ción, esparcimiento y actividades culturales (arts. 28 a </w:t>
      </w:r>
      <w:r w:rsidR="00A3333B" w:rsidRPr="002720D0">
        <w:rPr>
          <w:lang w:val="es-ES_tradnl"/>
        </w:rPr>
        <w:t>31)</w:t>
      </w:r>
      <w:r w:rsidRPr="002720D0">
        <w:rPr>
          <w:lang w:val="es-ES_tradnl"/>
        </w:rPr>
        <w:tab/>
      </w:r>
      <w:r w:rsidRPr="002720D0">
        <w:rPr>
          <w:lang w:val="es-ES_tradnl"/>
        </w:rPr>
        <w:tab/>
        <w:t>2</w:t>
      </w:r>
      <w:r w:rsidR="00F3277D">
        <w:rPr>
          <w:lang w:val="es-ES_tradnl"/>
        </w:rPr>
        <w:t>13</w:t>
      </w:r>
      <w:r w:rsidRPr="002720D0">
        <w:rPr>
          <w:lang w:val="es-ES_tradnl"/>
        </w:rPr>
        <w:t>–</w:t>
      </w:r>
      <w:r w:rsidR="00F3277D">
        <w:rPr>
          <w:lang w:val="es-ES_tradnl"/>
        </w:rPr>
        <w:t>236</w:t>
      </w:r>
      <w:r w:rsidRPr="002720D0">
        <w:rPr>
          <w:lang w:val="es-ES_tradnl"/>
        </w:rPr>
        <w:tab/>
      </w:r>
      <w:r w:rsidR="00333008" w:rsidRPr="002720D0">
        <w:rPr>
          <w:lang w:val="es-ES_tradnl"/>
        </w:rPr>
        <w:t>6</w:t>
      </w:r>
      <w:r w:rsidR="002472F1">
        <w:rPr>
          <w:lang w:val="es-ES_tradnl"/>
        </w:rPr>
        <w:t>8</w:t>
      </w:r>
    </w:p>
    <w:p w:rsidR="00333008" w:rsidRPr="002720D0" w:rsidRDefault="001815B1" w:rsidP="00A924BC">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7.1</w:t>
      </w:r>
      <w:r>
        <w:rPr>
          <w:lang w:val="es-ES_tradnl"/>
        </w:rPr>
        <w:tab/>
        <w:t>Mejora en la calidad general de la enseñanza</w:t>
      </w:r>
      <w:r w:rsidR="00F3277D">
        <w:rPr>
          <w:lang w:val="es-ES_tradnl"/>
        </w:rPr>
        <w:tab/>
      </w:r>
      <w:r w:rsidR="00F3277D">
        <w:rPr>
          <w:lang w:val="es-ES_tradnl"/>
        </w:rPr>
        <w:tab/>
        <w:t>213</w:t>
      </w:r>
      <w:r w:rsidR="00333008" w:rsidRPr="002720D0">
        <w:rPr>
          <w:lang w:val="es-ES_tradnl"/>
        </w:rPr>
        <w:t>–23</w:t>
      </w:r>
      <w:r w:rsidR="00F3277D">
        <w:rPr>
          <w:lang w:val="es-ES_tradnl"/>
        </w:rPr>
        <w:t>5</w:t>
      </w:r>
      <w:r w:rsidR="00333008" w:rsidRPr="002720D0">
        <w:rPr>
          <w:lang w:val="es-ES_tradnl"/>
        </w:rPr>
        <w:tab/>
        <w:t>6</w:t>
      </w:r>
      <w:r w:rsidR="002472F1">
        <w:rPr>
          <w:lang w:val="es-ES_tradnl"/>
        </w:rPr>
        <w:t>8</w:t>
      </w:r>
    </w:p>
    <w:p w:rsidR="004E5B3D" w:rsidRPr="002720D0" w:rsidRDefault="001815B1" w:rsidP="00A924BC">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7.2</w:t>
      </w:r>
      <w:r>
        <w:rPr>
          <w:lang w:val="es-ES_tradnl"/>
        </w:rPr>
        <w:tab/>
        <w:t>Esparcimiento, recreación y actividades culturales</w:t>
      </w:r>
      <w:r w:rsidR="002472F1">
        <w:rPr>
          <w:lang w:val="es-ES_tradnl"/>
        </w:rPr>
        <w:tab/>
      </w:r>
      <w:r w:rsidR="002472F1">
        <w:rPr>
          <w:lang w:val="es-ES_tradnl"/>
        </w:rPr>
        <w:tab/>
        <w:t>236</w:t>
      </w:r>
      <w:r w:rsidR="002472F1">
        <w:rPr>
          <w:lang w:val="es-ES_tradnl"/>
        </w:rPr>
        <w:tab/>
        <w:t>74</w:t>
      </w:r>
    </w:p>
    <w:p w:rsidR="00A924BC" w:rsidRPr="002720D0" w:rsidRDefault="00A924BC" w:rsidP="00571F8B">
      <w:pPr>
        <w:tabs>
          <w:tab w:val="right" w:pos="850"/>
          <w:tab w:val="left" w:pos="1134"/>
          <w:tab w:val="left" w:pos="1559"/>
          <w:tab w:val="left" w:leader="dot" w:pos="7654"/>
          <w:tab w:val="right" w:pos="8929"/>
          <w:tab w:val="right" w:pos="9638"/>
        </w:tabs>
        <w:spacing w:after="120"/>
        <w:ind w:left="1134" w:hanging="1134"/>
        <w:rPr>
          <w:lang w:val="es-ES_tradnl"/>
        </w:rPr>
      </w:pPr>
      <w:r w:rsidRPr="002720D0">
        <w:rPr>
          <w:lang w:val="es-ES_tradnl"/>
        </w:rPr>
        <w:tab/>
        <w:t>8.</w:t>
      </w:r>
      <w:r w:rsidRPr="002720D0">
        <w:rPr>
          <w:lang w:val="es-ES_tradnl"/>
        </w:rPr>
        <w:tab/>
      </w:r>
      <w:r w:rsidR="001815B1">
        <w:rPr>
          <w:lang w:val="es-ES_tradnl"/>
        </w:rPr>
        <w:t xml:space="preserve">Medidas especiales de protección (arts. 22, 30, 32 a </w:t>
      </w:r>
      <w:r w:rsidR="00333008" w:rsidRPr="002720D0">
        <w:rPr>
          <w:lang w:val="es-ES_tradnl"/>
        </w:rPr>
        <w:t>36, 37</w:t>
      </w:r>
      <w:r w:rsidR="001815B1">
        <w:rPr>
          <w:lang w:val="es-ES_tradnl"/>
        </w:rPr>
        <w:t xml:space="preserve"> (párrs. b) a </w:t>
      </w:r>
      <w:r w:rsidR="00333008" w:rsidRPr="002720D0">
        <w:rPr>
          <w:lang w:val="es-ES_tradnl"/>
        </w:rPr>
        <w:t>d)</w:t>
      </w:r>
      <w:r w:rsidR="001815B1">
        <w:rPr>
          <w:lang w:val="es-ES_tradnl"/>
        </w:rPr>
        <w:t>),</w:t>
      </w:r>
      <w:r w:rsidR="00B7033A">
        <w:rPr>
          <w:lang w:val="es-ES_tradnl"/>
        </w:rPr>
        <w:t xml:space="preserve"> </w:t>
      </w:r>
      <w:r w:rsidR="00333008" w:rsidRPr="002720D0">
        <w:rPr>
          <w:lang w:val="es-ES_tradnl"/>
        </w:rPr>
        <w:t xml:space="preserve">38, </w:t>
      </w:r>
      <w:r w:rsidR="00B7033A">
        <w:rPr>
          <w:lang w:val="es-ES_tradnl"/>
        </w:rPr>
        <w:br/>
      </w:r>
      <w:r w:rsidR="00333008" w:rsidRPr="002720D0">
        <w:rPr>
          <w:lang w:val="es-ES_tradnl"/>
        </w:rPr>
        <w:t xml:space="preserve">39 </w:t>
      </w:r>
      <w:r w:rsidR="001815B1">
        <w:rPr>
          <w:lang w:val="es-ES_tradnl"/>
        </w:rPr>
        <w:t>y</w:t>
      </w:r>
      <w:r w:rsidR="00B7033A">
        <w:rPr>
          <w:lang w:val="es-ES_tradnl"/>
        </w:rPr>
        <w:t xml:space="preserve"> 40)</w:t>
      </w:r>
      <w:r w:rsidRPr="002720D0">
        <w:rPr>
          <w:lang w:val="es-ES_tradnl"/>
        </w:rPr>
        <w:tab/>
      </w:r>
      <w:r w:rsidR="00571F8B">
        <w:rPr>
          <w:lang w:val="es-ES_tradnl"/>
        </w:rPr>
        <w:tab/>
      </w:r>
      <w:r w:rsidRPr="002720D0">
        <w:rPr>
          <w:lang w:val="es-ES_tradnl"/>
        </w:rPr>
        <w:t>2</w:t>
      </w:r>
      <w:r w:rsidR="00F3277D">
        <w:rPr>
          <w:lang w:val="es-ES_tradnl"/>
        </w:rPr>
        <w:t>37</w:t>
      </w:r>
      <w:r w:rsidRPr="002720D0">
        <w:rPr>
          <w:lang w:val="es-ES_tradnl"/>
        </w:rPr>
        <w:t>–</w:t>
      </w:r>
      <w:r w:rsidR="00F3277D">
        <w:rPr>
          <w:lang w:val="es-ES_tradnl"/>
        </w:rPr>
        <w:t>310</w:t>
      </w:r>
      <w:r w:rsidRPr="002720D0">
        <w:rPr>
          <w:lang w:val="es-ES_tradnl"/>
        </w:rPr>
        <w:tab/>
      </w:r>
      <w:r w:rsidR="002472F1">
        <w:rPr>
          <w:lang w:val="es-ES_tradnl"/>
        </w:rPr>
        <w:t>74</w:t>
      </w:r>
    </w:p>
    <w:p w:rsidR="00333008" w:rsidRPr="002720D0" w:rsidRDefault="001815B1" w:rsidP="0033300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8.1</w:t>
      </w:r>
      <w:r>
        <w:rPr>
          <w:lang w:val="es-ES_tradnl"/>
        </w:rPr>
        <w:tab/>
        <w:t xml:space="preserve">Niños refugiados, que buscan asilo o no están acompañados </w:t>
      </w:r>
      <w:r w:rsidR="00B7033A">
        <w:rPr>
          <w:lang w:val="es-ES_tradnl"/>
        </w:rPr>
        <w:t>(art. 23)</w:t>
      </w:r>
      <w:r w:rsidR="00F3277D">
        <w:rPr>
          <w:lang w:val="es-ES_tradnl"/>
        </w:rPr>
        <w:tab/>
      </w:r>
      <w:r w:rsidR="00F3277D">
        <w:rPr>
          <w:lang w:val="es-ES_tradnl"/>
        </w:rPr>
        <w:tab/>
        <w:t>237</w:t>
      </w:r>
      <w:r w:rsidR="00333008" w:rsidRPr="002720D0">
        <w:rPr>
          <w:lang w:val="es-ES_tradnl"/>
        </w:rPr>
        <w:t>–</w:t>
      </w:r>
      <w:r w:rsidR="002472F1">
        <w:rPr>
          <w:lang w:val="es-ES_tradnl"/>
        </w:rPr>
        <w:t>243</w:t>
      </w:r>
      <w:r w:rsidR="002472F1">
        <w:rPr>
          <w:lang w:val="es-ES_tradnl"/>
        </w:rPr>
        <w:tab/>
        <w:t>74</w:t>
      </w:r>
    </w:p>
    <w:p w:rsidR="00AF1C0C" w:rsidRPr="002720D0" w:rsidRDefault="001815B1" w:rsidP="0033300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8.2</w:t>
      </w:r>
      <w:r>
        <w:rPr>
          <w:lang w:val="es-ES_tradnl"/>
        </w:rPr>
        <w:tab/>
        <w:t xml:space="preserve">Niños en conflictos armados </w:t>
      </w:r>
      <w:r w:rsidR="00AF1C0C" w:rsidRPr="002720D0">
        <w:rPr>
          <w:lang w:val="es-ES_tradnl"/>
        </w:rPr>
        <w:t xml:space="preserve">(arts. 38 </w:t>
      </w:r>
      <w:r>
        <w:rPr>
          <w:lang w:val="es-ES_tradnl"/>
        </w:rPr>
        <w:t>y</w:t>
      </w:r>
      <w:r w:rsidR="00B7033A">
        <w:rPr>
          <w:lang w:val="es-ES_tradnl"/>
        </w:rPr>
        <w:t xml:space="preserve"> 39)</w:t>
      </w:r>
      <w:r w:rsidR="00F3277D">
        <w:rPr>
          <w:lang w:val="es-ES_tradnl"/>
        </w:rPr>
        <w:tab/>
      </w:r>
      <w:r w:rsidR="00F3277D">
        <w:rPr>
          <w:lang w:val="es-ES_tradnl"/>
        </w:rPr>
        <w:tab/>
        <w:t>244–253</w:t>
      </w:r>
      <w:r w:rsidR="00F3277D">
        <w:rPr>
          <w:lang w:val="es-ES_tradnl"/>
        </w:rPr>
        <w:tab/>
        <w:t>75</w:t>
      </w:r>
    </w:p>
    <w:p w:rsidR="00AF1C0C" w:rsidRPr="002720D0" w:rsidRDefault="00AF1C0C" w:rsidP="0033300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8.3</w:t>
      </w:r>
      <w:r w:rsidRPr="002720D0">
        <w:rPr>
          <w:lang w:val="es-ES_tradnl"/>
        </w:rPr>
        <w:tab/>
      </w:r>
      <w:r w:rsidR="001815B1">
        <w:rPr>
          <w:lang w:val="es-ES_tradnl"/>
        </w:rPr>
        <w:t>Niños de la calle</w:t>
      </w:r>
      <w:r w:rsidR="002472F1">
        <w:rPr>
          <w:lang w:val="es-ES_tradnl"/>
        </w:rPr>
        <w:tab/>
      </w:r>
      <w:r w:rsidR="002472F1">
        <w:rPr>
          <w:lang w:val="es-ES_tradnl"/>
        </w:rPr>
        <w:tab/>
        <w:t>254–258</w:t>
      </w:r>
      <w:r w:rsidR="002472F1">
        <w:rPr>
          <w:lang w:val="es-ES_tradnl"/>
        </w:rPr>
        <w:tab/>
        <w:t>77</w:t>
      </w:r>
    </w:p>
    <w:p w:rsidR="00AF1C0C" w:rsidRPr="002720D0" w:rsidRDefault="001815B1" w:rsidP="00571F8B">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8.4</w:t>
      </w:r>
      <w:r>
        <w:rPr>
          <w:lang w:val="es-ES_tradnl"/>
        </w:rPr>
        <w:tab/>
        <w:t>Niños en situaciones de explotación, comprendida su recuperación física y</w:t>
      </w:r>
      <w:r w:rsidR="00B7033A">
        <w:rPr>
          <w:lang w:val="es-ES_tradnl"/>
        </w:rPr>
        <w:t xml:space="preserve"> </w:t>
      </w:r>
      <w:r w:rsidR="00B7033A">
        <w:rPr>
          <w:lang w:val="es-ES_tradnl"/>
        </w:rPr>
        <w:br/>
      </w:r>
      <w:r>
        <w:rPr>
          <w:lang w:val="es-ES_tradnl"/>
        </w:rPr>
        <w:t>psicológica y su reintegración social</w:t>
      </w:r>
      <w:r w:rsidR="00F3277D">
        <w:rPr>
          <w:lang w:val="es-ES_tradnl"/>
        </w:rPr>
        <w:tab/>
      </w:r>
      <w:r w:rsidR="00F3277D">
        <w:rPr>
          <w:lang w:val="es-ES_tradnl"/>
        </w:rPr>
        <w:tab/>
        <w:t>259–268</w:t>
      </w:r>
      <w:r w:rsidR="00F3277D">
        <w:rPr>
          <w:lang w:val="es-ES_tradnl"/>
        </w:rPr>
        <w:tab/>
        <w:t>78</w:t>
      </w:r>
    </w:p>
    <w:p w:rsidR="0064490E" w:rsidRPr="002720D0" w:rsidRDefault="0064490E" w:rsidP="0033300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8.5</w:t>
      </w:r>
      <w:r w:rsidRPr="002720D0">
        <w:rPr>
          <w:lang w:val="es-ES_tradnl"/>
        </w:rPr>
        <w:tab/>
      </w:r>
      <w:r w:rsidR="001815B1">
        <w:rPr>
          <w:lang w:val="es-ES_tradnl"/>
        </w:rPr>
        <w:t>Drogodependencia</w:t>
      </w:r>
      <w:r w:rsidR="002472F1">
        <w:rPr>
          <w:lang w:val="es-ES_tradnl"/>
        </w:rPr>
        <w:tab/>
      </w:r>
      <w:r w:rsidR="002472F1">
        <w:rPr>
          <w:lang w:val="es-ES_tradnl"/>
        </w:rPr>
        <w:tab/>
        <w:t>269–270</w:t>
      </w:r>
      <w:r w:rsidR="002472F1">
        <w:rPr>
          <w:lang w:val="es-ES_tradnl"/>
        </w:rPr>
        <w:tab/>
        <w:t>81</w:t>
      </w:r>
    </w:p>
    <w:p w:rsidR="0064490E" w:rsidRPr="002720D0" w:rsidRDefault="001815B1" w:rsidP="0033300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8.6</w:t>
      </w:r>
      <w:r>
        <w:rPr>
          <w:lang w:val="es-ES_tradnl"/>
        </w:rPr>
        <w:tab/>
        <w:t>La venta, la trata y el secuestro</w:t>
      </w:r>
      <w:r w:rsidR="00F3277D">
        <w:rPr>
          <w:lang w:val="es-ES_tradnl"/>
        </w:rPr>
        <w:tab/>
      </w:r>
      <w:r w:rsidR="00F3277D">
        <w:rPr>
          <w:lang w:val="es-ES_tradnl"/>
        </w:rPr>
        <w:tab/>
        <w:t>271–292</w:t>
      </w:r>
      <w:r w:rsidR="00F3277D">
        <w:rPr>
          <w:lang w:val="es-ES_tradnl"/>
        </w:rPr>
        <w:tab/>
        <w:t>81</w:t>
      </w:r>
    </w:p>
    <w:p w:rsidR="0064490E" w:rsidRPr="002720D0" w:rsidRDefault="0064490E" w:rsidP="0033300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8.7</w:t>
      </w:r>
      <w:r w:rsidRPr="002720D0">
        <w:rPr>
          <w:lang w:val="es-ES_tradnl"/>
        </w:rPr>
        <w:tab/>
        <w:t>Ot</w:t>
      </w:r>
      <w:r w:rsidR="001815B1">
        <w:rPr>
          <w:lang w:val="es-ES_tradnl"/>
        </w:rPr>
        <w:t xml:space="preserve">ras formas de explotación </w:t>
      </w:r>
      <w:r w:rsidR="00B7033A">
        <w:rPr>
          <w:lang w:val="es-ES_tradnl"/>
        </w:rPr>
        <w:t>(art. 36)</w:t>
      </w:r>
      <w:r w:rsidR="00F3277D">
        <w:rPr>
          <w:lang w:val="es-ES_tradnl"/>
        </w:rPr>
        <w:tab/>
      </w:r>
      <w:r w:rsidR="00F3277D">
        <w:rPr>
          <w:lang w:val="es-ES_tradnl"/>
        </w:rPr>
        <w:tab/>
        <w:t>293</w:t>
      </w:r>
      <w:r w:rsidR="00F3277D">
        <w:rPr>
          <w:lang w:val="es-ES_tradnl"/>
        </w:rPr>
        <w:tab/>
        <w:t>86</w:t>
      </w:r>
    </w:p>
    <w:p w:rsidR="0064490E" w:rsidRPr="002720D0" w:rsidRDefault="001815B1" w:rsidP="0033300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8.8</w:t>
      </w:r>
      <w:r>
        <w:rPr>
          <w:lang w:val="es-ES_tradnl"/>
        </w:rPr>
        <w:tab/>
        <w:t>Niños en conflicto con la ley, víctimas y testigos</w:t>
      </w:r>
      <w:r w:rsidR="00F3277D">
        <w:rPr>
          <w:lang w:val="es-ES_tradnl"/>
        </w:rPr>
        <w:tab/>
      </w:r>
      <w:r w:rsidR="00F3277D">
        <w:rPr>
          <w:lang w:val="es-ES_tradnl"/>
        </w:rPr>
        <w:tab/>
        <w:t>294–298</w:t>
      </w:r>
      <w:r w:rsidR="00F3277D">
        <w:rPr>
          <w:lang w:val="es-ES_tradnl"/>
        </w:rPr>
        <w:tab/>
        <w:t>86</w:t>
      </w:r>
    </w:p>
    <w:p w:rsidR="0064490E" w:rsidRPr="002720D0" w:rsidRDefault="0064490E" w:rsidP="0033300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8.9</w:t>
      </w:r>
      <w:r w:rsidRPr="002720D0">
        <w:rPr>
          <w:lang w:val="es-ES_tradnl"/>
        </w:rPr>
        <w:tab/>
        <w:t>Administra</w:t>
      </w:r>
      <w:r w:rsidR="001815B1">
        <w:rPr>
          <w:lang w:val="es-ES_tradnl"/>
        </w:rPr>
        <w:t>ción de la justicia de menores</w:t>
      </w:r>
      <w:r w:rsidR="00F3277D">
        <w:rPr>
          <w:lang w:val="es-ES_tradnl"/>
        </w:rPr>
        <w:tab/>
      </w:r>
      <w:r w:rsidR="00F3277D">
        <w:rPr>
          <w:lang w:val="es-ES_tradnl"/>
        </w:rPr>
        <w:tab/>
        <w:t>299–304</w:t>
      </w:r>
      <w:r w:rsidR="00F3277D">
        <w:rPr>
          <w:lang w:val="es-ES_tradnl"/>
        </w:rPr>
        <w:tab/>
        <w:t>87</w:t>
      </w:r>
    </w:p>
    <w:p w:rsidR="0064490E" w:rsidRPr="002720D0" w:rsidRDefault="00F07FB4" w:rsidP="00571F8B">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8.10</w:t>
      </w:r>
      <w:r>
        <w:rPr>
          <w:lang w:val="es-ES_tradnl"/>
        </w:rPr>
        <w:tab/>
        <w:t>Derecho a no ser sometido a torturas ni a otros tratos o penas crueles,</w:t>
      </w:r>
      <w:r w:rsidR="00B7033A">
        <w:rPr>
          <w:lang w:val="es-ES_tradnl"/>
        </w:rPr>
        <w:t xml:space="preserve"> </w:t>
      </w:r>
      <w:r w:rsidR="00B7033A">
        <w:rPr>
          <w:lang w:val="es-ES_tradnl"/>
        </w:rPr>
        <w:br/>
      </w:r>
      <w:r>
        <w:rPr>
          <w:lang w:val="es-ES_tradnl"/>
        </w:rPr>
        <w:t>inhumanos o degradantes, comprendido el castigo físico</w:t>
      </w:r>
      <w:r w:rsidR="0064490E" w:rsidRPr="002720D0">
        <w:rPr>
          <w:lang w:val="es-ES_tradnl"/>
        </w:rPr>
        <w:t xml:space="preserve"> (arts. 37 a) </w:t>
      </w:r>
      <w:r>
        <w:rPr>
          <w:lang w:val="es-ES_tradnl"/>
        </w:rPr>
        <w:t>y 28,</w:t>
      </w:r>
      <w:r w:rsidR="00B7033A">
        <w:rPr>
          <w:lang w:val="es-ES_tradnl"/>
        </w:rPr>
        <w:t xml:space="preserve"> </w:t>
      </w:r>
      <w:r w:rsidR="00B7033A">
        <w:rPr>
          <w:lang w:val="es-ES_tradnl"/>
        </w:rPr>
        <w:br/>
      </w:r>
      <w:r>
        <w:rPr>
          <w:lang w:val="es-ES_tradnl"/>
        </w:rPr>
        <w:t>párr</w:t>
      </w:r>
      <w:r w:rsidR="00B7033A">
        <w:rPr>
          <w:lang w:val="es-ES_tradnl"/>
        </w:rPr>
        <w:t>. 2)</w:t>
      </w:r>
      <w:r w:rsidR="00643847">
        <w:rPr>
          <w:lang w:val="es-ES_tradnl"/>
        </w:rPr>
        <w:tab/>
      </w:r>
      <w:r w:rsidR="00643847">
        <w:rPr>
          <w:lang w:val="es-ES_tradnl"/>
        </w:rPr>
        <w:tab/>
        <w:t>305–308</w:t>
      </w:r>
      <w:r w:rsidR="00643847">
        <w:rPr>
          <w:lang w:val="es-ES_tradnl"/>
        </w:rPr>
        <w:tab/>
        <w:t>89</w:t>
      </w:r>
    </w:p>
    <w:p w:rsidR="0064490E" w:rsidRPr="002720D0" w:rsidRDefault="0064490E" w:rsidP="005D0EA8">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2720D0">
        <w:rPr>
          <w:lang w:val="es-ES_tradnl"/>
        </w:rPr>
        <w:tab/>
      </w:r>
      <w:r w:rsidRPr="002720D0">
        <w:rPr>
          <w:lang w:val="es-ES_tradnl"/>
        </w:rPr>
        <w:tab/>
        <w:t>8.11</w:t>
      </w:r>
      <w:r w:rsidRPr="002720D0">
        <w:rPr>
          <w:lang w:val="es-ES_tradnl"/>
        </w:rPr>
        <w:tab/>
        <w:t>Me</w:t>
      </w:r>
      <w:r w:rsidR="00F07FB4">
        <w:rPr>
          <w:lang w:val="es-ES_tradnl"/>
        </w:rPr>
        <w:t xml:space="preserve">didas para promover la recuperación física y </w:t>
      </w:r>
      <w:r w:rsidR="00643847">
        <w:rPr>
          <w:lang w:val="es-ES_tradnl"/>
        </w:rPr>
        <w:t>psicológica</w:t>
      </w:r>
      <w:r w:rsidR="00F07FB4">
        <w:rPr>
          <w:lang w:val="es-ES_tradnl"/>
        </w:rPr>
        <w:t xml:space="preserve"> y la reintegración </w:t>
      </w:r>
      <w:r w:rsidR="00A01A0C">
        <w:rPr>
          <w:lang w:val="es-ES_tradnl"/>
        </w:rPr>
        <w:br/>
      </w:r>
      <w:r w:rsidR="00F07FB4">
        <w:rPr>
          <w:lang w:val="es-ES_tradnl"/>
        </w:rPr>
        <w:t>social</w:t>
      </w:r>
      <w:r w:rsidR="00A01A0C">
        <w:rPr>
          <w:lang w:val="es-ES_tradnl"/>
        </w:rPr>
        <w:t xml:space="preserve"> </w:t>
      </w:r>
      <w:r w:rsidR="00F07FB4">
        <w:rPr>
          <w:lang w:val="es-ES_tradnl"/>
        </w:rPr>
        <w:t xml:space="preserve">de los niños víctimas </w:t>
      </w:r>
      <w:r w:rsidR="00A01A0C">
        <w:rPr>
          <w:lang w:val="es-ES_tradnl"/>
        </w:rPr>
        <w:t>(art. 39)</w:t>
      </w:r>
      <w:r w:rsidR="00F3277D">
        <w:rPr>
          <w:lang w:val="es-ES_tradnl"/>
        </w:rPr>
        <w:tab/>
      </w:r>
      <w:r w:rsidR="00F3277D">
        <w:rPr>
          <w:lang w:val="es-ES_tradnl"/>
        </w:rPr>
        <w:tab/>
        <w:t>309–310</w:t>
      </w:r>
      <w:r w:rsidR="00F3277D">
        <w:rPr>
          <w:lang w:val="es-ES_tradnl"/>
        </w:rPr>
        <w:tab/>
        <w:t>89</w:t>
      </w:r>
    </w:p>
    <w:p w:rsidR="00A924BC" w:rsidRPr="002720D0" w:rsidRDefault="00A924BC" w:rsidP="007A512B">
      <w:pPr>
        <w:tabs>
          <w:tab w:val="right" w:pos="850"/>
          <w:tab w:val="left" w:pos="1134"/>
          <w:tab w:val="left" w:pos="1559"/>
          <w:tab w:val="left" w:pos="1984"/>
          <w:tab w:val="left" w:leader="dot" w:pos="8931"/>
          <w:tab w:val="right" w:pos="9638"/>
        </w:tabs>
        <w:spacing w:after="120"/>
        <w:rPr>
          <w:lang w:val="es-ES_tradnl"/>
        </w:rPr>
      </w:pPr>
      <w:r w:rsidRPr="002720D0">
        <w:rPr>
          <w:lang w:val="es-ES_tradnl"/>
        </w:rPr>
        <w:tab/>
      </w:r>
      <w:r w:rsidR="0064490E" w:rsidRPr="002720D0">
        <w:rPr>
          <w:lang w:val="es-ES_tradnl"/>
        </w:rPr>
        <w:t>9.</w:t>
      </w:r>
      <w:r w:rsidRPr="002720D0">
        <w:rPr>
          <w:lang w:val="es-ES_tradnl"/>
        </w:rPr>
        <w:tab/>
      </w:r>
      <w:r w:rsidR="00F07FB4">
        <w:rPr>
          <w:lang w:val="es-ES_tradnl"/>
        </w:rPr>
        <w:t>Referencia</w:t>
      </w:r>
      <w:r w:rsidR="0064490E" w:rsidRPr="002720D0">
        <w:rPr>
          <w:lang w:val="es-ES_tradnl"/>
        </w:rPr>
        <w:t>s</w:t>
      </w:r>
      <w:r w:rsidRPr="002720D0">
        <w:rPr>
          <w:lang w:val="es-ES_tradnl"/>
        </w:rPr>
        <w:tab/>
      </w:r>
      <w:r w:rsidRPr="002720D0">
        <w:rPr>
          <w:lang w:val="es-ES_tradnl"/>
        </w:rPr>
        <w:tab/>
      </w:r>
      <w:r w:rsidR="00643847">
        <w:rPr>
          <w:lang w:val="es-ES_tradnl"/>
        </w:rPr>
        <w:t>91</w:t>
      </w:r>
    </w:p>
    <w:p w:rsidR="0064490E" w:rsidRPr="002720D0" w:rsidRDefault="00F07FB4" w:rsidP="007A512B">
      <w:pPr>
        <w:tabs>
          <w:tab w:val="right" w:pos="850"/>
          <w:tab w:val="left" w:pos="1134"/>
          <w:tab w:val="left" w:pos="1559"/>
          <w:tab w:val="left" w:pos="1984"/>
          <w:tab w:val="left" w:leader="dot" w:pos="8931"/>
          <w:tab w:val="right" w:pos="9638"/>
        </w:tabs>
        <w:spacing w:after="120"/>
        <w:rPr>
          <w:lang w:val="es-ES_tradnl"/>
        </w:rPr>
      </w:pPr>
      <w:r>
        <w:rPr>
          <w:lang w:val="es-ES_tradnl"/>
        </w:rPr>
        <w:tab/>
      </w:r>
      <w:r>
        <w:rPr>
          <w:lang w:val="es-ES_tradnl"/>
        </w:rPr>
        <w:tab/>
        <w:t>9.1</w:t>
      </w:r>
      <w:r>
        <w:rPr>
          <w:lang w:val="es-ES_tradnl"/>
        </w:rPr>
        <w:tab/>
        <w:t xml:space="preserve">Instrumentos regionales e </w:t>
      </w:r>
      <w:r w:rsidR="0064490E" w:rsidRPr="002720D0">
        <w:rPr>
          <w:lang w:val="es-ES_tradnl"/>
        </w:rPr>
        <w:t>interna</w:t>
      </w:r>
      <w:r>
        <w:rPr>
          <w:lang w:val="es-ES_tradnl"/>
        </w:rPr>
        <w:t>cionales</w:t>
      </w:r>
      <w:r w:rsidR="00643847">
        <w:rPr>
          <w:lang w:val="es-ES_tradnl"/>
        </w:rPr>
        <w:tab/>
      </w:r>
      <w:r w:rsidR="00643847">
        <w:rPr>
          <w:lang w:val="es-ES_tradnl"/>
        </w:rPr>
        <w:tab/>
        <w:t>91</w:t>
      </w:r>
    </w:p>
    <w:p w:rsidR="0064490E" w:rsidRPr="002720D0" w:rsidRDefault="00F07FB4" w:rsidP="007A512B">
      <w:pPr>
        <w:tabs>
          <w:tab w:val="right" w:pos="850"/>
          <w:tab w:val="left" w:pos="1134"/>
          <w:tab w:val="left" w:pos="1559"/>
          <w:tab w:val="left" w:pos="1984"/>
          <w:tab w:val="left" w:leader="dot" w:pos="8931"/>
          <w:tab w:val="right" w:pos="9638"/>
        </w:tabs>
        <w:spacing w:after="120"/>
        <w:rPr>
          <w:lang w:val="es-ES_tradnl"/>
        </w:rPr>
      </w:pPr>
      <w:r>
        <w:rPr>
          <w:lang w:val="es-ES_tradnl"/>
        </w:rPr>
        <w:tab/>
      </w:r>
      <w:r>
        <w:rPr>
          <w:lang w:val="es-ES_tradnl"/>
        </w:rPr>
        <w:tab/>
        <w:t>9.2</w:t>
      </w:r>
      <w:r>
        <w:rPr>
          <w:lang w:val="es-ES_tradnl"/>
        </w:rPr>
        <w:tab/>
        <w:t>Legislación nacional</w:t>
      </w:r>
      <w:r w:rsidR="00643847">
        <w:rPr>
          <w:lang w:val="es-ES_tradnl"/>
        </w:rPr>
        <w:tab/>
      </w:r>
      <w:r w:rsidR="00643847">
        <w:rPr>
          <w:lang w:val="es-ES_tradnl"/>
        </w:rPr>
        <w:tab/>
        <w:t>91</w:t>
      </w:r>
    </w:p>
    <w:p w:rsidR="00A924BC" w:rsidRPr="002720D0" w:rsidRDefault="0064490E" w:rsidP="007A512B">
      <w:pPr>
        <w:tabs>
          <w:tab w:val="right" w:pos="850"/>
          <w:tab w:val="left" w:pos="1134"/>
          <w:tab w:val="left" w:pos="1559"/>
          <w:tab w:val="left" w:pos="1984"/>
          <w:tab w:val="left" w:leader="dot" w:pos="8931"/>
          <w:tab w:val="right" w:pos="9638"/>
        </w:tabs>
        <w:spacing w:after="120"/>
        <w:rPr>
          <w:lang w:val="es-ES_tradnl"/>
        </w:rPr>
      </w:pPr>
      <w:r w:rsidRPr="002720D0">
        <w:rPr>
          <w:lang w:val="es-ES_tradnl"/>
        </w:rPr>
        <w:tab/>
      </w:r>
      <w:r w:rsidRPr="002720D0">
        <w:rPr>
          <w:lang w:val="es-ES_tradnl"/>
        </w:rPr>
        <w:tab/>
        <w:t>9.3</w:t>
      </w:r>
      <w:r w:rsidRPr="002720D0">
        <w:rPr>
          <w:lang w:val="es-ES_tradnl"/>
        </w:rPr>
        <w:tab/>
      </w:r>
      <w:r w:rsidR="00F07FB4">
        <w:rPr>
          <w:lang w:val="es-ES_tradnl"/>
        </w:rPr>
        <w:t>Políticas</w:t>
      </w:r>
      <w:r w:rsidR="00A924BC" w:rsidRPr="002720D0">
        <w:rPr>
          <w:lang w:val="es-ES_tradnl"/>
        </w:rPr>
        <w:tab/>
      </w:r>
      <w:r w:rsidR="00A924BC" w:rsidRPr="002720D0">
        <w:rPr>
          <w:lang w:val="es-ES_tradnl"/>
        </w:rPr>
        <w:tab/>
      </w:r>
      <w:r w:rsidR="00643847">
        <w:rPr>
          <w:lang w:val="es-ES_tradnl"/>
        </w:rPr>
        <w:t>92</w:t>
      </w:r>
    </w:p>
    <w:p w:rsidR="00A924BC" w:rsidRPr="002720D0" w:rsidRDefault="00A924BC" w:rsidP="007A512B">
      <w:pPr>
        <w:tabs>
          <w:tab w:val="right" w:pos="850"/>
          <w:tab w:val="left" w:pos="1134"/>
          <w:tab w:val="left" w:pos="1559"/>
          <w:tab w:val="left" w:pos="1984"/>
          <w:tab w:val="left" w:leader="dot" w:pos="8931"/>
          <w:tab w:val="right" w:pos="9638"/>
        </w:tabs>
        <w:spacing w:after="120"/>
        <w:rPr>
          <w:lang w:val="es-ES_tradnl"/>
        </w:rPr>
      </w:pPr>
      <w:r w:rsidRPr="002720D0">
        <w:rPr>
          <w:lang w:val="es-ES_tradnl"/>
        </w:rPr>
        <w:tab/>
      </w:r>
      <w:r w:rsidRPr="002720D0">
        <w:rPr>
          <w:lang w:val="es-ES_tradnl"/>
        </w:rPr>
        <w:tab/>
      </w:r>
      <w:r w:rsidR="0064490E" w:rsidRPr="002720D0">
        <w:rPr>
          <w:lang w:val="es-ES_tradnl"/>
        </w:rPr>
        <w:t>9.4</w:t>
      </w:r>
      <w:r w:rsidR="0064490E" w:rsidRPr="002720D0">
        <w:rPr>
          <w:lang w:val="es-ES_tradnl"/>
        </w:rPr>
        <w:tab/>
        <w:t>C</w:t>
      </w:r>
      <w:r w:rsidR="00F07FB4">
        <w:rPr>
          <w:lang w:val="es-ES_tradnl"/>
        </w:rPr>
        <w:t>ausa</w:t>
      </w:r>
      <w:r w:rsidRPr="002720D0">
        <w:rPr>
          <w:lang w:val="es-ES_tradnl"/>
        </w:rPr>
        <w:t>s</w:t>
      </w:r>
      <w:r w:rsidRPr="002720D0">
        <w:rPr>
          <w:lang w:val="es-ES_tradnl"/>
        </w:rPr>
        <w:tab/>
      </w:r>
      <w:r w:rsidRPr="002720D0">
        <w:rPr>
          <w:lang w:val="es-ES_tradnl"/>
        </w:rPr>
        <w:tab/>
      </w:r>
      <w:r w:rsidR="00643847">
        <w:rPr>
          <w:lang w:val="es-ES_tradnl"/>
        </w:rPr>
        <w:t>93</w:t>
      </w:r>
    </w:p>
    <w:p w:rsidR="006F05DE" w:rsidRPr="002720D0" w:rsidRDefault="00571F8B" w:rsidP="00571F8B">
      <w:pPr>
        <w:tabs>
          <w:tab w:val="right" w:pos="850"/>
          <w:tab w:val="left" w:pos="1134"/>
          <w:tab w:val="left" w:pos="1560"/>
          <w:tab w:val="left" w:pos="1984"/>
          <w:tab w:val="left" w:leader="dot" w:pos="8931"/>
          <w:tab w:val="right" w:pos="9638"/>
        </w:tabs>
        <w:spacing w:after="120"/>
        <w:rPr>
          <w:lang w:val="es-ES_tradnl"/>
        </w:rPr>
      </w:pPr>
      <w:r>
        <w:rPr>
          <w:lang w:val="es-ES_tradnl"/>
        </w:rPr>
        <w:tab/>
      </w:r>
      <w:r>
        <w:rPr>
          <w:lang w:val="es-ES_tradnl"/>
        </w:rPr>
        <w:tab/>
      </w:r>
      <w:r w:rsidR="004F6364" w:rsidRPr="002720D0">
        <w:rPr>
          <w:lang w:val="es-ES_tradnl"/>
        </w:rPr>
        <w:t>9.5</w:t>
      </w:r>
      <w:r w:rsidR="004F6364" w:rsidRPr="002720D0">
        <w:rPr>
          <w:lang w:val="es-ES_tradnl"/>
        </w:rPr>
        <w:tab/>
      </w:r>
      <w:r w:rsidR="00F07FB4">
        <w:rPr>
          <w:lang w:val="es-ES_tradnl"/>
        </w:rPr>
        <w:t>Informes</w:t>
      </w:r>
      <w:r w:rsidR="00A924BC" w:rsidRPr="002720D0">
        <w:rPr>
          <w:lang w:val="es-ES_tradnl"/>
        </w:rPr>
        <w:tab/>
      </w:r>
      <w:r w:rsidR="00643847">
        <w:rPr>
          <w:lang w:val="es-ES_tradnl"/>
        </w:rPr>
        <w:tab/>
        <w:t>93</w:t>
      </w:r>
    </w:p>
    <w:p w:rsidR="00CA1B5D" w:rsidRPr="002720D0" w:rsidRDefault="004120C0" w:rsidP="004120C0">
      <w:pPr>
        <w:pStyle w:val="H56G"/>
        <w:tabs>
          <w:tab w:val="clear" w:pos="851"/>
          <w:tab w:val="left" w:pos="312"/>
          <w:tab w:val="right" w:leader="dot" w:pos="8930"/>
          <w:tab w:val="right" w:pos="9639"/>
        </w:tabs>
        <w:spacing w:after="110"/>
        <w:ind w:left="0" w:right="0" w:firstLine="0"/>
        <w:rPr>
          <w:lang w:val="es-ES_tradnl"/>
        </w:rPr>
      </w:pPr>
      <w:r>
        <w:rPr>
          <w:lang w:val="es-ES_tradnl"/>
        </w:rPr>
        <w:tab/>
      </w:r>
      <w:r w:rsidR="00F07FB4">
        <w:rPr>
          <w:lang w:val="es-ES_tradnl"/>
        </w:rPr>
        <w:t>An</w:t>
      </w:r>
      <w:r w:rsidR="00CA1B5D" w:rsidRPr="002720D0">
        <w:rPr>
          <w:lang w:val="es-ES_tradnl"/>
        </w:rPr>
        <w:t>ex</w:t>
      </w:r>
      <w:r w:rsidR="00F07FB4">
        <w:rPr>
          <w:lang w:val="es-ES_tradnl"/>
        </w:rPr>
        <w:t>o</w:t>
      </w:r>
      <w:r w:rsidR="00A01A0C" w:rsidRPr="00A01A0C">
        <w:rPr>
          <w:rStyle w:val="FootnoteReference"/>
          <w:sz w:val="20"/>
          <w:vertAlign w:val="baseline"/>
          <w:lang w:val="es-ES_tradnl"/>
        </w:rPr>
        <w:footnoteReference w:customMarkFollows="1" w:id="3"/>
        <w:t>**</w:t>
      </w:r>
    </w:p>
    <w:p w:rsidR="00302275" w:rsidRPr="002720D0" w:rsidRDefault="00151021" w:rsidP="00586395">
      <w:pPr>
        <w:pStyle w:val="HChG"/>
        <w:outlineLvl w:val="0"/>
        <w:rPr>
          <w:lang w:val="es-ES_tradnl"/>
        </w:rPr>
      </w:pPr>
      <w:r w:rsidRPr="002720D0">
        <w:rPr>
          <w:lang w:val="es-ES_tradnl"/>
        </w:rPr>
        <w:br w:type="page"/>
      </w:r>
      <w:bookmarkStart w:id="1" w:name="_Toc313470835"/>
      <w:r w:rsidR="00302275" w:rsidRPr="002720D0">
        <w:rPr>
          <w:lang w:val="es-ES_tradnl"/>
        </w:rPr>
        <w:tab/>
      </w:r>
      <w:r w:rsidR="00302275" w:rsidRPr="002720D0">
        <w:rPr>
          <w:lang w:val="es-ES_tradnl"/>
        </w:rPr>
        <w:tab/>
        <w:t>Introduc</w:t>
      </w:r>
      <w:r w:rsidR="001418B0">
        <w:rPr>
          <w:lang w:val="es-ES_tradnl"/>
        </w:rPr>
        <w:t>ción</w:t>
      </w:r>
    </w:p>
    <w:p w:rsidR="00302275" w:rsidRPr="002720D0" w:rsidRDefault="004F6364" w:rsidP="004F6364">
      <w:pPr>
        <w:pStyle w:val="SingleTxtG"/>
        <w:tabs>
          <w:tab w:val="left" w:pos="-360"/>
        </w:tabs>
        <w:rPr>
          <w:lang w:val="es-ES_tradnl"/>
        </w:rPr>
      </w:pPr>
      <w:r w:rsidRPr="002720D0">
        <w:rPr>
          <w:lang w:val="es-ES_tradnl"/>
        </w:rPr>
        <w:t>1.</w:t>
      </w:r>
      <w:r w:rsidRPr="002720D0">
        <w:rPr>
          <w:lang w:val="es-ES_tradnl"/>
        </w:rPr>
        <w:tab/>
      </w:r>
      <w:r w:rsidR="00754FE2" w:rsidRPr="002720D0">
        <w:rPr>
          <w:lang w:val="es-ES_tradnl"/>
        </w:rPr>
        <w:t>El Estado parte, la República Unida de Tanzanía, ratificó la Convención sobre los Derechos d</w:t>
      </w:r>
      <w:r w:rsidR="006F1F61" w:rsidRPr="002720D0">
        <w:rPr>
          <w:lang w:val="es-ES_tradnl"/>
        </w:rPr>
        <w:t xml:space="preserve">el Niño </w:t>
      </w:r>
      <w:r w:rsidR="007A3553" w:rsidRPr="002720D0">
        <w:rPr>
          <w:lang w:val="es-ES_tradnl"/>
        </w:rPr>
        <w:t xml:space="preserve">(en lo sucesivo, la </w:t>
      </w:r>
      <w:r w:rsidR="001D2A53">
        <w:rPr>
          <w:lang w:val="es-ES_tradnl"/>
        </w:rPr>
        <w:t>"</w:t>
      </w:r>
      <w:r w:rsidR="007A3553" w:rsidRPr="002720D0">
        <w:rPr>
          <w:lang w:val="es-ES_tradnl"/>
        </w:rPr>
        <w:t>Convención</w:t>
      </w:r>
      <w:r w:rsidR="001D2A53">
        <w:rPr>
          <w:lang w:val="es-ES_tradnl"/>
        </w:rPr>
        <w:t>"</w:t>
      </w:r>
      <w:r w:rsidR="007A3553" w:rsidRPr="002720D0">
        <w:rPr>
          <w:lang w:val="es-ES_tradnl"/>
        </w:rPr>
        <w:t xml:space="preserve">) </w:t>
      </w:r>
      <w:r w:rsidR="006F1F61" w:rsidRPr="002720D0">
        <w:rPr>
          <w:lang w:val="es-ES_tradnl"/>
        </w:rPr>
        <w:t>en 1991. Se adhirió al P</w:t>
      </w:r>
      <w:r w:rsidR="00754FE2" w:rsidRPr="002720D0">
        <w:rPr>
          <w:lang w:val="es-ES_tradnl"/>
        </w:rPr>
        <w:t>rotocolo facultativo</w:t>
      </w:r>
      <w:r w:rsidR="006F1F61" w:rsidRPr="002720D0">
        <w:rPr>
          <w:lang w:val="es-ES_tradnl"/>
        </w:rPr>
        <w:t xml:space="preserve"> relativo a la participación de niños en los conflictos armados en noviembre de </w:t>
      </w:r>
      <w:r w:rsidR="00302275" w:rsidRPr="002720D0">
        <w:rPr>
          <w:lang w:val="es-ES_tradnl"/>
        </w:rPr>
        <w:t>2004</w:t>
      </w:r>
      <w:r w:rsidR="005726F4" w:rsidRPr="002720D0">
        <w:rPr>
          <w:lang w:val="es-ES_tradnl"/>
        </w:rPr>
        <w:t>,</w:t>
      </w:r>
      <w:r w:rsidR="00302275" w:rsidRPr="002720D0">
        <w:rPr>
          <w:lang w:val="es-ES_tradnl"/>
        </w:rPr>
        <w:t xml:space="preserve"> </w:t>
      </w:r>
      <w:r w:rsidR="006F1F61" w:rsidRPr="002720D0">
        <w:rPr>
          <w:lang w:val="es-ES_tradnl"/>
        </w:rPr>
        <w:t xml:space="preserve">y al Protocolo facultativo relativo a la venta de niños, la prostitución infantil y la utilización de niños en la pornografía en abril de </w:t>
      </w:r>
      <w:r w:rsidR="00302275" w:rsidRPr="002720D0">
        <w:rPr>
          <w:lang w:val="es-ES_tradnl"/>
        </w:rPr>
        <w:t xml:space="preserve">2003. </w:t>
      </w:r>
      <w:r w:rsidR="006F1F61" w:rsidRPr="002720D0">
        <w:rPr>
          <w:lang w:val="es-ES_tradnl"/>
        </w:rPr>
        <w:t xml:space="preserve">El Estado parte también ratificó la Convención de las Naciones Unidas contra la Delincuencia Organizada Transnacional y sus dos Protocolos suplementarios en mayo de </w:t>
      </w:r>
      <w:r w:rsidR="00302275" w:rsidRPr="002720D0">
        <w:rPr>
          <w:lang w:val="es-ES_tradnl"/>
        </w:rPr>
        <w:t xml:space="preserve">2006. </w:t>
      </w:r>
      <w:r w:rsidR="006F1F61" w:rsidRPr="002720D0">
        <w:rPr>
          <w:lang w:val="es-ES_tradnl"/>
        </w:rPr>
        <w:t>Ratificó</w:t>
      </w:r>
      <w:r w:rsidR="00832546" w:rsidRPr="002720D0">
        <w:rPr>
          <w:lang w:val="es-ES_tradnl"/>
        </w:rPr>
        <w:t xml:space="preserve"> el</w:t>
      </w:r>
      <w:r w:rsidR="006F1F61" w:rsidRPr="002720D0">
        <w:rPr>
          <w:lang w:val="es-ES_tradnl"/>
        </w:rPr>
        <w:t xml:space="preserve"> </w:t>
      </w:r>
      <w:r w:rsidR="00832546" w:rsidRPr="002720D0">
        <w:rPr>
          <w:lang w:val="es-ES_tradnl"/>
        </w:rPr>
        <w:t>Convenio Nº 182 de la Organización Internacional del Trabajo (OIT) (1999) sobre la Prohibición de las Peores Formas de Trabajo Infantil y la Acción Inmediata para su Eliminación en 2001, el Convenio Nº 138 de la OIT (1973) sobre la edad mínima de admisión al empleo en 1983</w:t>
      </w:r>
      <w:r w:rsidR="00651AE8" w:rsidRPr="002720D0">
        <w:rPr>
          <w:lang w:val="es-ES_tradnl"/>
        </w:rPr>
        <w:t>,</w:t>
      </w:r>
      <w:r w:rsidR="00832546" w:rsidRPr="002720D0">
        <w:rPr>
          <w:lang w:val="es-ES_tradnl"/>
        </w:rPr>
        <w:t xml:space="preserve"> y la Carta Africana sobre los Derechos y el Bienestar del Niño en marzo de </w:t>
      </w:r>
      <w:r w:rsidR="00302275" w:rsidRPr="002720D0">
        <w:rPr>
          <w:lang w:val="es-ES_tradnl"/>
        </w:rPr>
        <w:t xml:space="preserve">2003. </w:t>
      </w:r>
      <w:r w:rsidR="00832546" w:rsidRPr="002720D0">
        <w:rPr>
          <w:lang w:val="es-ES_tradnl"/>
        </w:rPr>
        <w:t xml:space="preserve">Es un Estado parte en varios </w:t>
      </w:r>
      <w:r w:rsidR="004E323F" w:rsidRPr="002720D0">
        <w:rPr>
          <w:lang w:val="es-ES_tradnl"/>
        </w:rPr>
        <w:t>instrumentos internacionales y regionales de derechos humanos, respecto de los cuales presenta informes periódicos</w:t>
      </w:r>
      <w:r w:rsidR="00651AE8" w:rsidRPr="002720D0">
        <w:rPr>
          <w:lang w:val="es-ES_tradnl"/>
        </w:rPr>
        <w:t>,</w:t>
      </w:r>
      <w:r w:rsidR="004E323F" w:rsidRPr="002720D0">
        <w:rPr>
          <w:lang w:val="es-ES_tradnl"/>
        </w:rPr>
        <w:t xml:space="preserve"> </w:t>
      </w:r>
      <w:r w:rsidR="00651AE8" w:rsidRPr="002720D0">
        <w:rPr>
          <w:lang w:val="es-ES_tradnl"/>
        </w:rPr>
        <w:t>tanto de aplicación como</w:t>
      </w:r>
      <w:r w:rsidR="004E323F" w:rsidRPr="002720D0">
        <w:rPr>
          <w:lang w:val="es-ES_tradnl"/>
        </w:rPr>
        <w:t xml:space="preserve"> sobre la marcha de los trabajos</w:t>
      </w:r>
      <w:r w:rsidR="00651AE8" w:rsidRPr="002720D0">
        <w:rPr>
          <w:lang w:val="es-ES_tradnl"/>
        </w:rPr>
        <w:t>,</w:t>
      </w:r>
      <w:r w:rsidR="004E323F" w:rsidRPr="002720D0">
        <w:rPr>
          <w:lang w:val="es-ES_tradnl"/>
        </w:rPr>
        <w:t xml:space="preserve"> con ar</w:t>
      </w:r>
      <w:r w:rsidR="00F640F0" w:rsidRPr="002720D0">
        <w:rPr>
          <w:lang w:val="es-ES_tradnl"/>
        </w:rPr>
        <w:t>reglo a las obligaciones contraí</w:t>
      </w:r>
      <w:r w:rsidR="004E323F" w:rsidRPr="002720D0">
        <w:rPr>
          <w:lang w:val="es-ES_tradnl"/>
        </w:rPr>
        <w:t xml:space="preserve">das en virtud de esos instrumentos internacionales de derechos humanos. </w:t>
      </w:r>
    </w:p>
    <w:p w:rsidR="00302275" w:rsidRPr="002720D0" w:rsidRDefault="004F6364" w:rsidP="004F6364">
      <w:pPr>
        <w:pStyle w:val="SingleTxtG"/>
        <w:tabs>
          <w:tab w:val="left" w:pos="-360"/>
        </w:tabs>
        <w:rPr>
          <w:lang w:val="es-ES_tradnl"/>
        </w:rPr>
      </w:pPr>
      <w:r w:rsidRPr="002720D0">
        <w:rPr>
          <w:lang w:val="es-ES_tradnl"/>
        </w:rPr>
        <w:t>2.</w:t>
      </w:r>
      <w:r w:rsidRPr="002720D0">
        <w:rPr>
          <w:lang w:val="es-ES_tradnl"/>
        </w:rPr>
        <w:tab/>
      </w:r>
      <w:r w:rsidR="004E323F" w:rsidRPr="002720D0">
        <w:rPr>
          <w:lang w:val="es-ES_tradnl"/>
        </w:rPr>
        <w:t xml:space="preserve">En agosto de 2004, el Estado parte presentó su segundo informe periódico sobre la Convención, que fue examinado por el Comité de los Derechos del Niño de las Naciones Unidas en Ginebra, en mayo de 2006. En 2006 el Estado parte también presentó sus informes iniciales a los dos Protocolos facultativos de la Convención, que fueron examinados en 2008. El presente documento constituye los </w:t>
      </w:r>
      <w:r w:rsidR="00B16754" w:rsidRPr="002720D0">
        <w:rPr>
          <w:lang w:val="es-ES_tradnl"/>
        </w:rPr>
        <w:t xml:space="preserve">informes </w:t>
      </w:r>
      <w:r w:rsidR="004E323F" w:rsidRPr="002720D0">
        <w:rPr>
          <w:lang w:val="es-ES_tradnl"/>
        </w:rPr>
        <w:t>tercer</w:t>
      </w:r>
      <w:r w:rsidR="00B16754" w:rsidRPr="002720D0">
        <w:rPr>
          <w:lang w:val="es-ES_tradnl"/>
        </w:rPr>
        <w:t>o</w:t>
      </w:r>
      <w:r w:rsidR="004E323F" w:rsidRPr="002720D0">
        <w:rPr>
          <w:lang w:val="es-ES_tradnl"/>
        </w:rPr>
        <w:t xml:space="preserve">, cuarto y quinto </w:t>
      </w:r>
      <w:r w:rsidR="00B16754" w:rsidRPr="002720D0">
        <w:rPr>
          <w:lang w:val="es-ES_tradnl"/>
        </w:rPr>
        <w:t xml:space="preserve">consolidados </w:t>
      </w:r>
      <w:r w:rsidR="004E323F" w:rsidRPr="002720D0">
        <w:rPr>
          <w:lang w:val="es-ES_tradnl"/>
        </w:rPr>
        <w:t xml:space="preserve">que </w:t>
      </w:r>
      <w:r w:rsidR="00DD0C6E" w:rsidRPr="002720D0">
        <w:rPr>
          <w:lang w:val="es-ES_tradnl"/>
        </w:rPr>
        <w:t xml:space="preserve">se debían presentar el 9 de enero de 2012 (es decir, 18 meses antes de la fecha de entrega del quinto informe), </w:t>
      </w:r>
      <w:r w:rsidR="00B16754" w:rsidRPr="002720D0">
        <w:rPr>
          <w:lang w:val="es-ES_tradnl"/>
        </w:rPr>
        <w:t>en cumplimiento de las indicacione</w:t>
      </w:r>
      <w:r w:rsidR="00651AE8" w:rsidRPr="002720D0">
        <w:rPr>
          <w:lang w:val="es-ES_tradnl"/>
        </w:rPr>
        <w:t>s del Comité en sus O</w:t>
      </w:r>
      <w:r w:rsidR="00B16754" w:rsidRPr="002720D0">
        <w:rPr>
          <w:lang w:val="es-ES_tradnl"/>
        </w:rPr>
        <w:t>bservaciones finales</w:t>
      </w:r>
      <w:r w:rsidR="004E5B2C" w:rsidRPr="002720D0">
        <w:rPr>
          <w:lang w:val="es-ES_tradnl"/>
        </w:rPr>
        <w:t xml:space="preserve"> previas</w:t>
      </w:r>
      <w:r w:rsidR="00302275" w:rsidRPr="002720D0">
        <w:rPr>
          <w:rStyle w:val="FootnoteReference"/>
          <w:lang w:val="es-ES_tradnl"/>
        </w:rPr>
        <w:footnoteReference w:id="4"/>
      </w:r>
      <w:r w:rsidR="00B16754" w:rsidRPr="002720D0">
        <w:rPr>
          <w:lang w:val="es-ES_tradnl"/>
        </w:rPr>
        <w:t>.</w:t>
      </w:r>
      <w:r w:rsidR="00302275" w:rsidRPr="002720D0">
        <w:rPr>
          <w:lang w:val="es-ES_tradnl"/>
        </w:rPr>
        <w:t xml:space="preserve"> </w:t>
      </w:r>
      <w:r w:rsidR="00DA7356" w:rsidRPr="002720D0">
        <w:rPr>
          <w:lang w:val="es-ES_tradnl"/>
        </w:rPr>
        <w:t xml:space="preserve">Se ha </w:t>
      </w:r>
      <w:r w:rsidR="00A47161" w:rsidRPr="002720D0">
        <w:rPr>
          <w:lang w:val="es-ES_tradnl"/>
        </w:rPr>
        <w:t>preparado</w:t>
      </w:r>
      <w:r w:rsidR="00DA7356" w:rsidRPr="002720D0">
        <w:rPr>
          <w:lang w:val="es-ES_tradnl"/>
        </w:rPr>
        <w:t xml:space="preserve"> con arreglo a las directrices </w:t>
      </w:r>
      <w:r w:rsidR="007A3553" w:rsidRPr="002720D0">
        <w:rPr>
          <w:lang w:val="es-ES_tradnl"/>
        </w:rPr>
        <w:t xml:space="preserve">específicas relativas a la forma y el contenido de los informes que deben presentar los Estados partes en virtud del párrafo 1) b) del artículo 44 de la Convención, </w:t>
      </w:r>
      <w:r w:rsidR="00651AE8" w:rsidRPr="002720D0">
        <w:rPr>
          <w:lang w:val="es-ES_tradnl"/>
        </w:rPr>
        <w:t xml:space="preserve">que fueron </w:t>
      </w:r>
      <w:r w:rsidR="007A3553" w:rsidRPr="002720D0">
        <w:rPr>
          <w:lang w:val="es-ES_tradnl"/>
        </w:rPr>
        <w:t>elaboradas atendiendo a las directrices armonizadas relativas a los informes periódicos que se deben presentar a los órganos de los tratados internacionales de derechos humanos (en su revisión más reciente, de 2009)</w:t>
      </w:r>
      <w:r w:rsidR="00302275" w:rsidRPr="002720D0">
        <w:rPr>
          <w:rStyle w:val="FootnoteReference"/>
          <w:lang w:val="es-ES_tradnl"/>
        </w:rPr>
        <w:footnoteReference w:id="5"/>
      </w:r>
      <w:r w:rsidR="00F53CF2" w:rsidRPr="002720D0">
        <w:rPr>
          <w:lang w:val="es-ES_tradnl"/>
        </w:rPr>
        <w:t>.</w:t>
      </w:r>
      <w:r w:rsidR="007A3553" w:rsidRPr="002720D0">
        <w:rPr>
          <w:lang w:val="es-ES_tradnl"/>
        </w:rPr>
        <w:t xml:space="preserve"> E</w:t>
      </w:r>
      <w:r w:rsidR="00A47161" w:rsidRPr="002720D0">
        <w:rPr>
          <w:lang w:val="es-ES_tradnl"/>
        </w:rPr>
        <w:t>n la preparación de e</w:t>
      </w:r>
      <w:r w:rsidR="007A3553" w:rsidRPr="002720D0">
        <w:rPr>
          <w:lang w:val="es-ES_tradnl"/>
        </w:rPr>
        <w:t xml:space="preserve">ste informe también se ha </w:t>
      </w:r>
      <w:r w:rsidR="00A47161" w:rsidRPr="002720D0">
        <w:rPr>
          <w:lang w:val="es-ES_tradnl"/>
        </w:rPr>
        <w:t>dado cumplimiento</w:t>
      </w:r>
      <w:r w:rsidR="007A3553" w:rsidRPr="002720D0">
        <w:rPr>
          <w:lang w:val="es-ES_tradnl"/>
        </w:rPr>
        <w:t xml:space="preserve"> a la </w:t>
      </w:r>
      <w:r w:rsidR="00A47161" w:rsidRPr="002720D0">
        <w:rPr>
          <w:lang w:val="es-ES_tradnl"/>
        </w:rPr>
        <w:t>instrucción</w:t>
      </w:r>
      <w:r w:rsidR="00651AE8" w:rsidRPr="002720D0">
        <w:rPr>
          <w:lang w:val="es-ES_tradnl"/>
        </w:rPr>
        <w:t xml:space="preserve"> del Comité en sus O</w:t>
      </w:r>
      <w:r w:rsidR="007A3553" w:rsidRPr="002720D0">
        <w:rPr>
          <w:lang w:val="es-ES_tradnl"/>
        </w:rPr>
        <w:t xml:space="preserve">bservaciones finales </w:t>
      </w:r>
      <w:r w:rsidR="00F53CF2" w:rsidRPr="002720D0">
        <w:rPr>
          <w:lang w:val="es-ES_tradnl"/>
        </w:rPr>
        <w:t xml:space="preserve">previas </w:t>
      </w:r>
      <w:r w:rsidR="007A3553" w:rsidRPr="002720D0">
        <w:rPr>
          <w:lang w:val="es-ES_tradnl"/>
        </w:rPr>
        <w:t xml:space="preserve">a efectos de que los </w:t>
      </w:r>
      <w:r w:rsidR="00A47161" w:rsidRPr="002720D0">
        <w:rPr>
          <w:lang w:val="es-ES_tradnl"/>
        </w:rPr>
        <w:t>informes consolidados no deben contar de más de 120 páginas</w:t>
      </w:r>
      <w:r w:rsidR="00302275" w:rsidRPr="002720D0">
        <w:rPr>
          <w:rStyle w:val="FootnoteReference"/>
          <w:lang w:val="es-ES_tradnl"/>
        </w:rPr>
        <w:footnoteReference w:id="6"/>
      </w:r>
      <w:r w:rsidR="00A47161" w:rsidRPr="002720D0">
        <w:rPr>
          <w:lang w:val="es-ES_tradnl"/>
        </w:rPr>
        <w:t>.</w:t>
      </w:r>
    </w:p>
    <w:p w:rsidR="00302275" w:rsidRPr="002720D0" w:rsidRDefault="004F6364" w:rsidP="004F6364">
      <w:pPr>
        <w:pStyle w:val="SingleTxtG"/>
        <w:tabs>
          <w:tab w:val="left" w:pos="-360"/>
        </w:tabs>
        <w:rPr>
          <w:lang w:val="es-ES_tradnl"/>
        </w:rPr>
      </w:pPr>
      <w:r w:rsidRPr="002720D0">
        <w:rPr>
          <w:lang w:val="es-ES_tradnl"/>
        </w:rPr>
        <w:t>3.</w:t>
      </w:r>
      <w:r w:rsidRPr="002720D0">
        <w:rPr>
          <w:lang w:val="es-ES_tradnl"/>
        </w:rPr>
        <w:tab/>
      </w:r>
      <w:r w:rsidR="006F3547" w:rsidRPr="002720D0">
        <w:rPr>
          <w:lang w:val="es-ES_tradnl"/>
        </w:rPr>
        <w:t>Para la preparación de los presentes informes consolidados se consultó con ministerios, departamentos y órganos de la administración del Gobierno, organizaciones no guberna</w:t>
      </w:r>
      <w:r w:rsidR="00651AE8" w:rsidRPr="002720D0">
        <w:rPr>
          <w:lang w:val="es-ES_tradnl"/>
        </w:rPr>
        <w:t>mentales (ONG)</w:t>
      </w:r>
      <w:r w:rsidR="006F3547" w:rsidRPr="002720D0">
        <w:rPr>
          <w:lang w:val="es-ES_tradnl"/>
        </w:rPr>
        <w:t xml:space="preserve"> y otras organizaciones internacionales interesadas, entre ellas la OIT, el Fondo de las Naciones Unidas para la Infancia</w:t>
      </w:r>
      <w:r w:rsidR="005A11AC" w:rsidRPr="002720D0">
        <w:rPr>
          <w:lang w:val="es-ES_tradnl"/>
        </w:rPr>
        <w:t xml:space="preserve"> (UNICEF), Save the Children, el </w:t>
      </w:r>
      <w:r w:rsidR="00302275" w:rsidRPr="002720D0">
        <w:rPr>
          <w:i/>
          <w:lang w:val="es-ES_tradnl"/>
        </w:rPr>
        <w:t>Tanzania Child Rights Forum</w:t>
      </w:r>
      <w:r w:rsidR="00806010" w:rsidRPr="002720D0">
        <w:rPr>
          <w:lang w:val="es-ES_tradnl"/>
        </w:rPr>
        <w:t xml:space="preserve"> </w:t>
      </w:r>
      <w:r w:rsidR="005A11AC" w:rsidRPr="002720D0">
        <w:rPr>
          <w:lang w:val="es-ES_tradnl"/>
        </w:rPr>
        <w:t>(Foro para los Derechos del Niño), con los conocimientos expertos específicos de los miembros del Foro</w:t>
      </w:r>
      <w:r w:rsidR="00806010" w:rsidRPr="002720D0">
        <w:rPr>
          <w:lang w:val="es-ES_tradnl"/>
        </w:rPr>
        <w:t xml:space="preserve"> </w:t>
      </w:r>
      <w:r w:rsidR="00AC273B" w:rsidRPr="00AC273B">
        <w:rPr>
          <w:lang w:val="es-ES"/>
        </w:rPr>
        <w:t>—</w:t>
      </w:r>
      <w:r w:rsidR="005A11AC" w:rsidRPr="002720D0">
        <w:rPr>
          <w:lang w:val="es-ES_tradnl"/>
        </w:rPr>
        <w:t xml:space="preserve">a saber, el </w:t>
      </w:r>
      <w:r w:rsidR="005A11AC" w:rsidRPr="002720D0">
        <w:rPr>
          <w:i/>
          <w:lang w:val="es-ES_tradnl"/>
        </w:rPr>
        <w:t xml:space="preserve">Legal and Human Rights Center </w:t>
      </w:r>
      <w:r w:rsidR="005A11AC" w:rsidRPr="002720D0">
        <w:rPr>
          <w:lang w:val="es-ES_tradnl"/>
        </w:rPr>
        <w:t xml:space="preserve">(Centro </w:t>
      </w:r>
      <w:r w:rsidR="00F53CF2" w:rsidRPr="002720D0">
        <w:rPr>
          <w:lang w:val="es-ES_tradnl"/>
        </w:rPr>
        <w:t xml:space="preserve">Jurídico y de Derechos Humanos) </w:t>
      </w:r>
      <w:r w:rsidR="00586395" w:rsidRPr="002720D0">
        <w:rPr>
          <w:lang w:val="es-ES_tradnl"/>
        </w:rPr>
        <w:t xml:space="preserve">y la </w:t>
      </w:r>
      <w:r w:rsidR="005A11AC" w:rsidRPr="002720D0">
        <w:rPr>
          <w:i/>
          <w:lang w:val="es-ES_tradnl"/>
        </w:rPr>
        <w:t xml:space="preserve">National Organisation for Legal Assistance (NOLA) </w:t>
      </w:r>
      <w:r w:rsidR="005A11AC" w:rsidRPr="002720D0">
        <w:rPr>
          <w:lang w:val="es-ES_tradnl"/>
        </w:rPr>
        <w:t>(</w:t>
      </w:r>
      <w:r w:rsidR="00586395" w:rsidRPr="002720D0">
        <w:rPr>
          <w:lang w:val="es-ES_tradnl"/>
        </w:rPr>
        <w:t>Organización Nacional de Asistencia Jurídica</w:t>
      </w:r>
      <w:r w:rsidR="005A11AC" w:rsidRPr="002720D0">
        <w:rPr>
          <w:lang w:val="es-ES_tradnl"/>
        </w:rPr>
        <w:t>)</w:t>
      </w:r>
      <w:r w:rsidR="00AC273B" w:rsidRPr="00AC273B">
        <w:rPr>
          <w:lang w:val="es-ES"/>
        </w:rPr>
        <w:t>—</w:t>
      </w:r>
      <w:r w:rsidR="00F53CF2" w:rsidRPr="002720D0">
        <w:rPr>
          <w:lang w:val="es-ES_tradnl"/>
        </w:rPr>
        <w:t xml:space="preserve">, </w:t>
      </w:r>
      <w:r w:rsidR="00586395" w:rsidRPr="002720D0">
        <w:rPr>
          <w:lang w:val="es-ES_tradnl"/>
        </w:rPr>
        <w:t xml:space="preserve">el Comité Internacional de la Cruz Roja </w:t>
      </w:r>
      <w:r w:rsidR="00806010" w:rsidRPr="002720D0">
        <w:rPr>
          <w:lang w:val="es-ES_tradnl"/>
        </w:rPr>
        <w:t xml:space="preserve">y la Organización Internacional para las </w:t>
      </w:r>
      <w:r w:rsidR="00AD73D8" w:rsidRPr="002720D0">
        <w:rPr>
          <w:lang w:val="es-ES_tradnl"/>
        </w:rPr>
        <w:t>Migraciones. Con este propósito</w:t>
      </w:r>
      <w:r w:rsidR="00806010" w:rsidRPr="002720D0">
        <w:rPr>
          <w:lang w:val="es-ES_tradnl"/>
        </w:rPr>
        <w:t xml:space="preserve"> se hizo lleg</w:t>
      </w:r>
      <w:r w:rsidR="00D86AD5" w:rsidRPr="002720D0">
        <w:rPr>
          <w:lang w:val="es-ES_tradnl"/>
        </w:rPr>
        <w:t>a</w:t>
      </w:r>
      <w:r w:rsidR="00806010" w:rsidRPr="002720D0">
        <w:rPr>
          <w:lang w:val="es-ES_tradnl"/>
        </w:rPr>
        <w:t>r el informe a todas las partes interesadas, y se celebró una reunión consultiva para intercambiar opiniones y llegar</w:t>
      </w:r>
      <w:r w:rsidR="00AD73D8" w:rsidRPr="002720D0">
        <w:rPr>
          <w:lang w:val="es-ES_tradnl"/>
        </w:rPr>
        <w:t xml:space="preserve"> a un acuerdo en cuanto a la </w:t>
      </w:r>
      <w:r w:rsidR="00806010" w:rsidRPr="002720D0">
        <w:rPr>
          <w:lang w:val="es-ES_tradnl"/>
        </w:rPr>
        <w:t xml:space="preserve">suficiencia y precisión de la información contenida en el informe. También se realizaron consultas amplias y suficientes con los niños durante la preparación y validación de los informes. </w:t>
      </w:r>
    </w:p>
    <w:p w:rsidR="00151021" w:rsidRPr="002720D0" w:rsidRDefault="007E7026" w:rsidP="00586395">
      <w:pPr>
        <w:pStyle w:val="HChG"/>
        <w:outlineLvl w:val="0"/>
        <w:rPr>
          <w:lang w:val="es-ES_tradnl"/>
        </w:rPr>
      </w:pPr>
      <w:r w:rsidRPr="002720D0">
        <w:rPr>
          <w:lang w:val="es-ES_tradnl"/>
        </w:rPr>
        <w:tab/>
      </w:r>
      <w:bookmarkStart w:id="2" w:name="_Toc313470838"/>
      <w:bookmarkEnd w:id="1"/>
      <w:r w:rsidR="00863AB5" w:rsidRPr="002720D0">
        <w:rPr>
          <w:lang w:val="es-ES_tradnl"/>
        </w:rPr>
        <w:t>1.</w:t>
      </w:r>
      <w:r w:rsidR="00863AB5" w:rsidRPr="002720D0">
        <w:rPr>
          <w:lang w:val="es-ES_tradnl"/>
        </w:rPr>
        <w:tab/>
      </w:r>
      <w:bookmarkEnd w:id="2"/>
      <w:r w:rsidR="007A38BC" w:rsidRPr="002720D0">
        <w:rPr>
          <w:lang w:val="es-ES_tradnl"/>
        </w:rPr>
        <w:t xml:space="preserve">Medidas generales de aplicación </w:t>
      </w:r>
      <w:r w:rsidR="00AD73D8" w:rsidRPr="002720D0">
        <w:rPr>
          <w:lang w:val="es-ES_tradnl"/>
        </w:rPr>
        <w:t>(art</w:t>
      </w:r>
      <w:r w:rsidR="00B9302E" w:rsidRPr="002720D0">
        <w:rPr>
          <w:lang w:val="es-ES_tradnl"/>
        </w:rPr>
        <w:t>s</w:t>
      </w:r>
      <w:r w:rsidR="00AD73D8" w:rsidRPr="002720D0">
        <w:rPr>
          <w:lang w:val="es-ES_tradnl"/>
        </w:rPr>
        <w:t>.</w:t>
      </w:r>
      <w:r w:rsidR="001D2A53">
        <w:rPr>
          <w:lang w:val="es-ES_tradnl"/>
        </w:rPr>
        <w:t xml:space="preserve"> </w:t>
      </w:r>
      <w:r w:rsidR="00B9302E" w:rsidRPr="002720D0">
        <w:rPr>
          <w:lang w:val="es-ES_tradnl"/>
        </w:rPr>
        <w:t>4,</w:t>
      </w:r>
      <w:r w:rsidR="007A38BC" w:rsidRPr="002720D0">
        <w:rPr>
          <w:lang w:val="es-ES_tradnl"/>
        </w:rPr>
        <w:t xml:space="preserve"> 42 y </w:t>
      </w:r>
      <w:r w:rsidR="00B9302E" w:rsidRPr="002720D0">
        <w:rPr>
          <w:lang w:val="es-ES_tradnl"/>
        </w:rPr>
        <w:t xml:space="preserve">44 (párr. </w:t>
      </w:r>
      <w:r w:rsidR="007A38BC" w:rsidRPr="002720D0">
        <w:rPr>
          <w:lang w:val="es-ES_tradnl"/>
        </w:rPr>
        <w:t>6</w:t>
      </w:r>
      <w:r w:rsidR="00B9302E" w:rsidRPr="002720D0">
        <w:rPr>
          <w:lang w:val="es-ES_tradnl"/>
        </w:rPr>
        <w:t xml:space="preserve">) </w:t>
      </w:r>
      <w:r w:rsidR="005D0EA8">
        <w:rPr>
          <w:lang w:val="es-ES_tradnl"/>
        </w:rPr>
        <w:br/>
      </w:r>
      <w:r w:rsidR="00B9302E" w:rsidRPr="002720D0">
        <w:rPr>
          <w:lang w:val="es-ES_tradnl"/>
        </w:rPr>
        <w:t>de la Convención)</w:t>
      </w:r>
    </w:p>
    <w:p w:rsidR="00151021" w:rsidRPr="002720D0" w:rsidRDefault="00310ABF" w:rsidP="00586395">
      <w:pPr>
        <w:pStyle w:val="H1G"/>
        <w:outlineLvl w:val="0"/>
        <w:rPr>
          <w:lang w:val="es-ES_tradnl"/>
        </w:rPr>
      </w:pPr>
      <w:bookmarkStart w:id="3" w:name="_Toc313470839"/>
      <w:r w:rsidRPr="002720D0">
        <w:rPr>
          <w:lang w:val="es-ES_tradnl"/>
        </w:rPr>
        <w:tab/>
      </w:r>
      <w:r w:rsidR="00151021" w:rsidRPr="002720D0">
        <w:rPr>
          <w:lang w:val="es-ES_tradnl"/>
        </w:rPr>
        <w:t>1.1</w:t>
      </w:r>
      <w:r w:rsidRPr="002720D0">
        <w:rPr>
          <w:lang w:val="es-ES_tradnl"/>
        </w:rPr>
        <w:tab/>
      </w:r>
      <w:r w:rsidR="007A38BC" w:rsidRPr="002720D0">
        <w:rPr>
          <w:lang w:val="es-ES_tradnl"/>
        </w:rPr>
        <w:t xml:space="preserve">Marco jurídico y armonización de la legislación con la </w:t>
      </w:r>
      <w:r w:rsidR="00E54451" w:rsidRPr="002720D0">
        <w:rPr>
          <w:lang w:val="es-ES_tradnl"/>
        </w:rPr>
        <w:t>C</w:t>
      </w:r>
      <w:r w:rsidR="007A38BC" w:rsidRPr="002720D0">
        <w:rPr>
          <w:lang w:val="es-ES_tradnl"/>
        </w:rPr>
        <w:t>onvenció</w:t>
      </w:r>
      <w:r w:rsidR="00151021" w:rsidRPr="002720D0">
        <w:rPr>
          <w:lang w:val="es-ES_tradnl"/>
        </w:rPr>
        <w:t>n</w:t>
      </w:r>
      <w:bookmarkEnd w:id="3"/>
    </w:p>
    <w:p w:rsidR="00151021" w:rsidRPr="002720D0" w:rsidRDefault="004F6364" w:rsidP="004F6364">
      <w:pPr>
        <w:pStyle w:val="SingleTxtG"/>
        <w:tabs>
          <w:tab w:val="left" w:pos="-360"/>
        </w:tabs>
        <w:rPr>
          <w:lang w:val="es-ES_tradnl"/>
        </w:rPr>
      </w:pPr>
      <w:r w:rsidRPr="002720D0">
        <w:rPr>
          <w:lang w:val="es-ES_tradnl"/>
        </w:rPr>
        <w:t>4.</w:t>
      </w:r>
      <w:r w:rsidRPr="002720D0">
        <w:rPr>
          <w:lang w:val="es-ES_tradnl"/>
        </w:rPr>
        <w:tab/>
      </w:r>
      <w:r w:rsidR="00F12B09" w:rsidRPr="002720D0">
        <w:rPr>
          <w:lang w:val="es-ES_tradnl"/>
        </w:rPr>
        <w:t>El Gobierno de la República Unida de Tanzanía firmó y ratificó la Convención sobre los Derechos del Niño y sus Protocolos facul</w:t>
      </w:r>
      <w:r w:rsidR="00AD73D8" w:rsidRPr="002720D0">
        <w:rPr>
          <w:lang w:val="es-ES_tradnl"/>
        </w:rPr>
        <w:t>tativos sin reserva específica ni</w:t>
      </w:r>
      <w:r w:rsidR="00F12B09" w:rsidRPr="002720D0">
        <w:rPr>
          <w:lang w:val="es-ES_tradnl"/>
        </w:rPr>
        <w:t xml:space="preserve"> declaración alguna relativas a ni</w:t>
      </w:r>
      <w:r w:rsidR="00F53CF2" w:rsidRPr="002720D0">
        <w:rPr>
          <w:lang w:val="es-ES_tradnl"/>
        </w:rPr>
        <w:t>ngún artículo de la Convención ni</w:t>
      </w:r>
      <w:r w:rsidR="00AD73D8" w:rsidRPr="002720D0">
        <w:rPr>
          <w:lang w:val="es-ES_tradnl"/>
        </w:rPr>
        <w:t xml:space="preserve"> a</w:t>
      </w:r>
      <w:r w:rsidR="00F12B09" w:rsidRPr="002720D0">
        <w:rPr>
          <w:lang w:val="es-ES_tradnl"/>
        </w:rPr>
        <w:t xml:space="preserve"> sus dos protocolos facultativos. No obstante, en 2004 el Gobierno depositó ante el Secretario General de las Naciones Unidas una declaración relativa a la edad mínima para el reclutamiento voluntario por las fuerzas nacionales </w:t>
      </w:r>
      <w:r w:rsidR="00D86AD5" w:rsidRPr="002720D0">
        <w:rPr>
          <w:lang w:val="es-ES_tradnl"/>
        </w:rPr>
        <w:t>como</w:t>
      </w:r>
      <w:r w:rsidR="00F12B09" w:rsidRPr="002720D0">
        <w:rPr>
          <w:lang w:val="es-ES_tradnl"/>
        </w:rPr>
        <w:t xml:space="preserve"> condición para la ratificación del Protocolo facultativo relativo a la participación de niños en los conflictos armados. </w:t>
      </w:r>
    </w:p>
    <w:p w:rsidR="00151021" w:rsidRPr="002720D0" w:rsidRDefault="00310ABF" w:rsidP="00727D22">
      <w:pPr>
        <w:pStyle w:val="H1G"/>
        <w:rPr>
          <w:lang w:val="es-ES_tradnl"/>
        </w:rPr>
      </w:pPr>
      <w:bookmarkStart w:id="4" w:name="_Toc313470840"/>
      <w:r w:rsidRPr="002720D0">
        <w:rPr>
          <w:lang w:val="es-ES_tradnl"/>
        </w:rPr>
        <w:tab/>
      </w:r>
      <w:r w:rsidR="00151021" w:rsidRPr="002720D0">
        <w:rPr>
          <w:lang w:val="es-ES_tradnl"/>
        </w:rPr>
        <w:t>1.2</w:t>
      </w:r>
      <w:r w:rsidRPr="002720D0">
        <w:rPr>
          <w:lang w:val="es-ES_tradnl"/>
        </w:rPr>
        <w:tab/>
      </w:r>
      <w:r w:rsidR="007A38BC" w:rsidRPr="002720D0">
        <w:rPr>
          <w:lang w:val="es-ES_tradnl"/>
        </w:rPr>
        <w:t>Legislació</w:t>
      </w:r>
      <w:r w:rsidR="00151021" w:rsidRPr="002720D0">
        <w:rPr>
          <w:lang w:val="es-ES_tradnl"/>
        </w:rPr>
        <w:t>n</w:t>
      </w:r>
      <w:bookmarkEnd w:id="4"/>
    </w:p>
    <w:p w:rsidR="00151021" w:rsidRPr="002720D0" w:rsidRDefault="004F6364" w:rsidP="004F6364">
      <w:pPr>
        <w:pStyle w:val="SingleTxtG"/>
        <w:tabs>
          <w:tab w:val="left" w:pos="-360"/>
        </w:tabs>
        <w:rPr>
          <w:lang w:val="es-ES_tradnl"/>
        </w:rPr>
      </w:pPr>
      <w:r w:rsidRPr="002720D0">
        <w:rPr>
          <w:lang w:val="es-ES_tradnl"/>
        </w:rPr>
        <w:t>5.</w:t>
      </w:r>
      <w:r w:rsidRPr="002720D0">
        <w:rPr>
          <w:lang w:val="es-ES_tradnl"/>
        </w:rPr>
        <w:tab/>
      </w:r>
      <w:r w:rsidR="00F12B09" w:rsidRPr="002720D0">
        <w:rPr>
          <w:lang w:val="es-ES_tradnl"/>
        </w:rPr>
        <w:t xml:space="preserve">En sus </w:t>
      </w:r>
      <w:r w:rsidR="00AD73D8" w:rsidRPr="002720D0">
        <w:rPr>
          <w:lang w:val="es-ES_tradnl"/>
        </w:rPr>
        <w:t>O</w:t>
      </w:r>
      <w:r w:rsidR="00F12B09" w:rsidRPr="002720D0">
        <w:rPr>
          <w:lang w:val="es-ES_tradnl"/>
        </w:rPr>
        <w:t>bservaciones finales</w:t>
      </w:r>
      <w:r w:rsidR="005E70A2" w:rsidRPr="002720D0">
        <w:rPr>
          <w:lang w:val="es-ES_tradnl"/>
        </w:rPr>
        <w:t xml:space="preserve"> previas</w:t>
      </w:r>
      <w:r w:rsidR="00F12B09" w:rsidRPr="002720D0">
        <w:rPr>
          <w:lang w:val="es-ES_tradnl"/>
        </w:rPr>
        <w:t xml:space="preserve">, el Comité exhortó al Estado </w:t>
      </w:r>
      <w:r w:rsidRPr="002720D0">
        <w:rPr>
          <w:lang w:val="es-ES_tradnl"/>
        </w:rPr>
        <w:t xml:space="preserve">parte </w:t>
      </w:r>
      <w:r w:rsidR="00F12B09" w:rsidRPr="002720D0">
        <w:rPr>
          <w:lang w:val="es-ES_tradnl"/>
        </w:rPr>
        <w:t xml:space="preserve">a que, con carácter prioritario, empleara todos los esfuerzos y recursos necesarios para promulgar la Ley de la </w:t>
      </w:r>
      <w:r w:rsidR="00E44E59" w:rsidRPr="002720D0">
        <w:rPr>
          <w:lang w:val="es-ES_tradnl"/>
        </w:rPr>
        <w:t xml:space="preserve">Infancia </w:t>
      </w:r>
      <w:r w:rsidR="00F12B09" w:rsidRPr="002720D0">
        <w:rPr>
          <w:lang w:val="es-ES_tradnl"/>
        </w:rPr>
        <w:t xml:space="preserve">en Tanzanía continental y una ley semejante en Zanzíbar. </w:t>
      </w:r>
    </w:p>
    <w:p w:rsidR="00151021" w:rsidRPr="002720D0" w:rsidRDefault="004F6364" w:rsidP="00305729">
      <w:pPr>
        <w:pStyle w:val="SingleTxtG"/>
        <w:tabs>
          <w:tab w:val="left" w:pos="-360"/>
        </w:tabs>
        <w:spacing w:after="240"/>
        <w:rPr>
          <w:lang w:val="es-ES_tradnl"/>
        </w:rPr>
      </w:pPr>
      <w:r w:rsidRPr="002720D0">
        <w:rPr>
          <w:lang w:val="es-ES_tradnl"/>
        </w:rPr>
        <w:t>6.</w:t>
      </w:r>
      <w:r w:rsidRPr="002720D0">
        <w:rPr>
          <w:lang w:val="es-ES_tradnl"/>
        </w:rPr>
        <w:tab/>
      </w:r>
      <w:r w:rsidR="00F12B09" w:rsidRPr="002720D0">
        <w:rPr>
          <w:lang w:val="es-ES_tradnl"/>
        </w:rPr>
        <w:t>En el per</w:t>
      </w:r>
      <w:r w:rsidR="00AD73D8" w:rsidRPr="002720D0">
        <w:rPr>
          <w:lang w:val="es-ES_tradnl"/>
        </w:rPr>
        <w:t>íodo que se examina, el Estado p</w:t>
      </w:r>
      <w:r w:rsidR="00F12B09" w:rsidRPr="002720D0">
        <w:rPr>
          <w:lang w:val="es-ES_tradnl"/>
        </w:rPr>
        <w:t>arte dio cumplimiento a la recomendación del Comité mediante la promulgación de dos leyes generales de la infancia, a sa</w:t>
      </w:r>
      <w:r w:rsidR="00AB5F7C" w:rsidRPr="002720D0">
        <w:rPr>
          <w:lang w:val="es-ES_tradnl"/>
        </w:rPr>
        <w:t>ber:</w:t>
      </w:r>
      <w:r w:rsidR="00146A18" w:rsidRPr="002720D0">
        <w:rPr>
          <w:lang w:val="es-ES_tradnl"/>
        </w:rPr>
        <w:t xml:space="preserve"> la Ley de la </w:t>
      </w:r>
      <w:r w:rsidR="00E44E59" w:rsidRPr="002720D0">
        <w:rPr>
          <w:lang w:val="es-ES_tradnl"/>
        </w:rPr>
        <w:t xml:space="preserve">Infancia </w:t>
      </w:r>
      <w:r w:rsidR="00151021" w:rsidRPr="002720D0">
        <w:rPr>
          <w:lang w:val="es-ES_tradnl"/>
        </w:rPr>
        <w:t>(2009)</w:t>
      </w:r>
      <w:r w:rsidR="00151021" w:rsidRPr="002720D0">
        <w:rPr>
          <w:rStyle w:val="FootnoteReference"/>
          <w:lang w:val="es-ES_tradnl"/>
        </w:rPr>
        <w:footnoteReference w:id="7"/>
      </w:r>
      <w:r w:rsidR="00146A18" w:rsidRPr="002720D0">
        <w:rPr>
          <w:lang w:val="es-ES_tradnl"/>
        </w:rPr>
        <w:t xml:space="preserve">, </w:t>
      </w:r>
      <w:r w:rsidR="00AD73D8" w:rsidRPr="002720D0">
        <w:rPr>
          <w:lang w:val="es-ES_tradnl"/>
        </w:rPr>
        <w:t>de aplicación</w:t>
      </w:r>
      <w:r w:rsidR="00146A18" w:rsidRPr="002720D0">
        <w:rPr>
          <w:lang w:val="es-ES_tradnl"/>
        </w:rPr>
        <w:t xml:space="preserve"> en Tanzanía continental, y la Ley del </w:t>
      </w:r>
      <w:r w:rsidR="00E44E59" w:rsidRPr="002720D0">
        <w:rPr>
          <w:lang w:val="es-ES_tradnl"/>
        </w:rPr>
        <w:t xml:space="preserve">Niño </w:t>
      </w:r>
      <w:r w:rsidR="00151021" w:rsidRPr="002720D0">
        <w:rPr>
          <w:lang w:val="es-ES_tradnl"/>
        </w:rPr>
        <w:t>(2011)</w:t>
      </w:r>
      <w:r w:rsidR="00151021" w:rsidRPr="002720D0">
        <w:rPr>
          <w:rStyle w:val="FootnoteReference"/>
          <w:lang w:val="es-ES_tradnl"/>
        </w:rPr>
        <w:footnoteReference w:id="8"/>
      </w:r>
      <w:r w:rsidR="00146A18" w:rsidRPr="002720D0">
        <w:rPr>
          <w:lang w:val="es-ES_tradnl"/>
        </w:rPr>
        <w:t xml:space="preserve">, </w:t>
      </w:r>
      <w:r w:rsidR="00AD73D8" w:rsidRPr="002720D0">
        <w:rPr>
          <w:lang w:val="es-ES_tradnl"/>
        </w:rPr>
        <w:t>de aplicación</w:t>
      </w:r>
      <w:r w:rsidR="00146A18" w:rsidRPr="002720D0">
        <w:rPr>
          <w:lang w:val="es-ES_tradnl"/>
        </w:rPr>
        <w:t xml:space="preserve"> en Zan</w:t>
      </w:r>
      <w:r w:rsidR="00AD73D8" w:rsidRPr="002720D0">
        <w:rPr>
          <w:lang w:val="es-ES_tradnl"/>
        </w:rPr>
        <w:t>zíbar. Mediante estas dos leyes,</w:t>
      </w:r>
      <w:r w:rsidR="00146A18" w:rsidRPr="002720D0">
        <w:rPr>
          <w:lang w:val="es-ES_tradnl"/>
        </w:rPr>
        <w:t xml:space="preserve"> los principios consagrados en la Convención se han incorporado al ordenamiento jurídico interno; con ello, han quedado derogadas, sustituidas o enmendadas aquell</w:t>
      </w:r>
      <w:r w:rsidR="00151021" w:rsidRPr="002720D0">
        <w:rPr>
          <w:lang w:val="es-ES_tradnl"/>
        </w:rPr>
        <w:t>a</w:t>
      </w:r>
      <w:r w:rsidR="00146A18" w:rsidRPr="002720D0">
        <w:rPr>
          <w:lang w:val="es-ES_tradnl"/>
        </w:rPr>
        <w:t>s leyes que estaban en pugna con la Convención,</w:t>
      </w:r>
      <w:r w:rsidR="00AB5F7C" w:rsidRPr="002720D0">
        <w:rPr>
          <w:lang w:val="es-ES_tradnl"/>
        </w:rPr>
        <w:t xml:space="preserve"> en aras de su compatibilidad</w:t>
      </w:r>
      <w:r w:rsidR="00146A18" w:rsidRPr="002720D0">
        <w:rPr>
          <w:lang w:val="es-ES_tradnl"/>
        </w:rPr>
        <w:t xml:space="preserve"> con los principios y las normas de esta. En Zanzíbar, la Ley </w:t>
      </w:r>
      <w:r w:rsidR="00CD490A" w:rsidRPr="002720D0">
        <w:rPr>
          <w:lang w:val="es-ES_tradnl"/>
        </w:rPr>
        <w:t xml:space="preserve">del </w:t>
      </w:r>
      <w:r w:rsidR="00E44E59" w:rsidRPr="002720D0">
        <w:rPr>
          <w:lang w:val="es-ES_tradnl"/>
        </w:rPr>
        <w:t xml:space="preserve">Niño </w:t>
      </w:r>
      <w:r w:rsidR="00146A18" w:rsidRPr="002720D0">
        <w:rPr>
          <w:lang w:val="es-ES_tradnl"/>
        </w:rPr>
        <w:t>ha derogado y s</w:t>
      </w:r>
      <w:r w:rsidR="00305729">
        <w:rPr>
          <w:lang w:val="es-ES_tradnl"/>
        </w:rPr>
        <w:t>ustituido las leyes siguientes.</w:t>
      </w:r>
    </w:p>
    <w:p w:rsidR="00305729" w:rsidRDefault="00184970" w:rsidP="00305729">
      <w:pPr>
        <w:pStyle w:val="Heading1"/>
        <w:rPr>
          <w:lang w:val="es-ES_tradnl"/>
        </w:rPr>
      </w:pPr>
      <w:r w:rsidRPr="002720D0">
        <w:rPr>
          <w:lang w:val="es-ES_tradnl"/>
        </w:rPr>
        <w:t>Cuadro</w:t>
      </w:r>
      <w:r w:rsidR="00717056" w:rsidRPr="002720D0">
        <w:rPr>
          <w:lang w:val="es-ES_tradnl"/>
        </w:rPr>
        <w:t xml:space="preserve"> </w:t>
      </w:r>
      <w:r w:rsidR="00292525" w:rsidRPr="002720D0">
        <w:rPr>
          <w:lang w:val="es-ES_tradnl"/>
        </w:rPr>
        <w:t>1</w:t>
      </w:r>
    </w:p>
    <w:p w:rsidR="00151021" w:rsidRPr="00305729" w:rsidRDefault="00146A18" w:rsidP="00305729">
      <w:pPr>
        <w:pStyle w:val="SingleTxtG"/>
        <w:jc w:val="left"/>
        <w:rPr>
          <w:b/>
          <w:lang w:val="es-ES_tradnl"/>
        </w:rPr>
      </w:pPr>
      <w:r w:rsidRPr="00305729">
        <w:rPr>
          <w:b/>
          <w:lang w:val="es-ES_tradnl"/>
        </w:rPr>
        <w:t>Lista de legislación derogada en Zanzí</w:t>
      </w:r>
      <w:r w:rsidR="00151021" w:rsidRPr="00305729">
        <w:rPr>
          <w:b/>
          <w:lang w:val="es-ES_tradnl"/>
        </w:rPr>
        <w:t>bar</w:t>
      </w:r>
    </w:p>
    <w:tbl>
      <w:tblPr>
        <w:tblW w:w="7370" w:type="dxa"/>
        <w:tblInd w:w="1134" w:type="dxa"/>
        <w:tblBorders>
          <w:top w:val="single" w:sz="4" w:space="0" w:color="auto"/>
        </w:tblBorders>
        <w:tblLayout w:type="fixed"/>
        <w:tblCellMar>
          <w:left w:w="0" w:type="dxa"/>
          <w:right w:w="0" w:type="dxa"/>
        </w:tblCellMar>
        <w:tblLook w:val="04A0"/>
      </w:tblPr>
      <w:tblGrid>
        <w:gridCol w:w="4941"/>
        <w:gridCol w:w="2429"/>
      </w:tblGrid>
      <w:tr w:rsidR="00151021" w:rsidRPr="002720D0">
        <w:trPr>
          <w:trHeight w:val="20"/>
          <w:tblHeader/>
        </w:trPr>
        <w:tc>
          <w:tcPr>
            <w:tcW w:w="4941" w:type="dxa"/>
            <w:tcBorders>
              <w:top w:val="single" w:sz="4" w:space="0" w:color="auto"/>
              <w:bottom w:val="single" w:sz="12" w:space="0" w:color="auto"/>
            </w:tcBorders>
            <w:shd w:val="clear" w:color="auto" w:fill="auto"/>
            <w:vAlign w:val="bottom"/>
          </w:tcPr>
          <w:p w:rsidR="00151021" w:rsidRPr="002720D0" w:rsidRDefault="00146A18" w:rsidP="00305729">
            <w:pPr>
              <w:suppressAutoHyphens w:val="0"/>
              <w:spacing w:before="80" w:after="80" w:line="200" w:lineRule="exact"/>
              <w:rPr>
                <w:i/>
                <w:sz w:val="16"/>
                <w:lang w:val="es-ES_tradnl"/>
              </w:rPr>
            </w:pPr>
            <w:r w:rsidRPr="002720D0">
              <w:rPr>
                <w:i/>
                <w:sz w:val="16"/>
                <w:lang w:val="es-ES_tradnl"/>
              </w:rPr>
              <w:t>Nombre de la ley</w:t>
            </w:r>
          </w:p>
        </w:tc>
        <w:tc>
          <w:tcPr>
            <w:tcW w:w="2429" w:type="dxa"/>
            <w:tcBorders>
              <w:top w:val="single" w:sz="4" w:space="0" w:color="auto"/>
              <w:bottom w:val="single" w:sz="12" w:space="0" w:color="auto"/>
            </w:tcBorders>
            <w:shd w:val="clear" w:color="auto" w:fill="auto"/>
            <w:vAlign w:val="bottom"/>
          </w:tcPr>
          <w:p w:rsidR="00151021" w:rsidRPr="002720D0" w:rsidRDefault="00146A18" w:rsidP="00305729">
            <w:pPr>
              <w:suppressAutoHyphens w:val="0"/>
              <w:spacing w:before="80" w:after="80" w:line="200" w:lineRule="exact"/>
              <w:rPr>
                <w:i/>
                <w:sz w:val="16"/>
                <w:lang w:val="es-ES_tradnl"/>
              </w:rPr>
            </w:pPr>
            <w:r w:rsidRPr="002720D0">
              <w:rPr>
                <w:i/>
                <w:sz w:val="16"/>
                <w:lang w:val="es-ES_tradnl"/>
              </w:rPr>
              <w:t>Alcance de la derogación</w:t>
            </w:r>
          </w:p>
        </w:tc>
      </w:tr>
      <w:tr w:rsidR="00305729" w:rsidRPr="002720D0">
        <w:trPr>
          <w:trHeight w:hRule="exact" w:val="113"/>
          <w:tblHeader/>
        </w:trPr>
        <w:tc>
          <w:tcPr>
            <w:tcW w:w="4941" w:type="dxa"/>
            <w:tcBorders>
              <w:top w:val="single" w:sz="12" w:space="0" w:color="auto"/>
              <w:bottom w:val="nil"/>
            </w:tcBorders>
            <w:shd w:val="clear" w:color="auto" w:fill="auto"/>
            <w:vAlign w:val="bottom"/>
          </w:tcPr>
          <w:p w:rsidR="00305729" w:rsidRPr="002720D0" w:rsidRDefault="00305729" w:rsidP="00305729">
            <w:pPr>
              <w:suppressAutoHyphens w:val="0"/>
              <w:spacing w:before="80" w:after="80" w:line="200" w:lineRule="exact"/>
              <w:rPr>
                <w:i/>
                <w:sz w:val="16"/>
                <w:lang w:val="es-ES_tradnl"/>
              </w:rPr>
            </w:pPr>
          </w:p>
        </w:tc>
        <w:tc>
          <w:tcPr>
            <w:tcW w:w="2429" w:type="dxa"/>
            <w:tcBorders>
              <w:top w:val="single" w:sz="12" w:space="0" w:color="auto"/>
              <w:bottom w:val="nil"/>
            </w:tcBorders>
            <w:shd w:val="clear" w:color="auto" w:fill="auto"/>
            <w:vAlign w:val="bottom"/>
          </w:tcPr>
          <w:p w:rsidR="00305729" w:rsidRPr="002720D0" w:rsidRDefault="00305729" w:rsidP="00305729">
            <w:pPr>
              <w:suppressAutoHyphens w:val="0"/>
              <w:spacing w:before="80" w:after="80" w:line="200" w:lineRule="exact"/>
              <w:rPr>
                <w:i/>
                <w:sz w:val="16"/>
                <w:lang w:val="es-ES_tradnl"/>
              </w:rPr>
            </w:pPr>
          </w:p>
        </w:tc>
      </w:tr>
      <w:tr w:rsidR="00151021" w:rsidRPr="00305729">
        <w:trPr>
          <w:trHeight w:val="20"/>
        </w:trPr>
        <w:tc>
          <w:tcPr>
            <w:tcW w:w="4941" w:type="dxa"/>
            <w:tcBorders>
              <w:top w:val="nil"/>
            </w:tcBorders>
            <w:shd w:val="clear" w:color="auto" w:fill="auto"/>
          </w:tcPr>
          <w:p w:rsidR="00151021" w:rsidRPr="00305729" w:rsidRDefault="00146A18" w:rsidP="00305729">
            <w:pPr>
              <w:suppressAutoHyphens w:val="0"/>
              <w:spacing w:before="40" w:after="120"/>
              <w:ind w:right="113"/>
              <w:rPr>
                <w:lang w:val="es-ES_tradnl"/>
              </w:rPr>
            </w:pPr>
            <w:r w:rsidRPr="00305729">
              <w:rPr>
                <w:lang w:val="es-ES_tradnl"/>
              </w:rPr>
              <w:t xml:space="preserve">El Decreto sobre la </w:t>
            </w:r>
            <w:r w:rsidR="00E44E59" w:rsidRPr="00305729">
              <w:rPr>
                <w:lang w:val="es-ES_tradnl"/>
              </w:rPr>
              <w:t>Adopción</w:t>
            </w:r>
            <w:r w:rsidR="005B1DA7" w:rsidRPr="00305729">
              <w:rPr>
                <w:lang w:val="es-ES_tradnl"/>
              </w:rPr>
              <w:t>, sección</w:t>
            </w:r>
            <w:r w:rsidR="00151021" w:rsidRPr="00305729">
              <w:rPr>
                <w:lang w:val="es-ES_tradnl"/>
              </w:rPr>
              <w:t xml:space="preserve"> 55</w:t>
            </w:r>
          </w:p>
        </w:tc>
        <w:tc>
          <w:tcPr>
            <w:tcW w:w="2429" w:type="dxa"/>
            <w:tcBorders>
              <w:top w:val="nil"/>
            </w:tcBorders>
            <w:shd w:val="clear" w:color="auto" w:fill="auto"/>
          </w:tcPr>
          <w:p w:rsidR="00151021" w:rsidRPr="00305729" w:rsidRDefault="00146A18" w:rsidP="00305729">
            <w:pPr>
              <w:suppressAutoHyphens w:val="0"/>
              <w:spacing w:before="40" w:after="120"/>
              <w:ind w:right="113"/>
              <w:rPr>
                <w:lang w:val="es-ES_tradnl"/>
              </w:rPr>
            </w:pPr>
            <w:r w:rsidRPr="00305729">
              <w:rPr>
                <w:lang w:val="es-ES_tradnl"/>
              </w:rPr>
              <w:t>La totalidad</w:t>
            </w:r>
          </w:p>
        </w:tc>
      </w:tr>
      <w:tr w:rsidR="00151021" w:rsidRPr="00305729">
        <w:trPr>
          <w:trHeight w:val="20"/>
        </w:trPr>
        <w:tc>
          <w:tcPr>
            <w:tcW w:w="4941" w:type="dxa"/>
            <w:shd w:val="clear" w:color="auto" w:fill="auto"/>
          </w:tcPr>
          <w:p w:rsidR="00151021" w:rsidRPr="00305729" w:rsidRDefault="00146A18" w:rsidP="00305729">
            <w:pPr>
              <w:suppressAutoHyphens w:val="0"/>
              <w:spacing w:before="40" w:after="120"/>
              <w:ind w:right="113"/>
              <w:rPr>
                <w:lang w:val="es-ES_tradnl"/>
              </w:rPr>
            </w:pPr>
            <w:r w:rsidRPr="00305729">
              <w:rPr>
                <w:lang w:val="es-ES_tradnl"/>
              </w:rPr>
              <w:t xml:space="preserve">El Decreto sobre la </w:t>
            </w:r>
            <w:r w:rsidR="00E44E59" w:rsidRPr="00305729">
              <w:rPr>
                <w:lang w:val="es-ES_tradnl"/>
              </w:rPr>
              <w:t xml:space="preserve">Niñez </w:t>
            </w:r>
            <w:r w:rsidRPr="00305729">
              <w:rPr>
                <w:lang w:val="es-ES_tradnl"/>
              </w:rPr>
              <w:t xml:space="preserve">y la </w:t>
            </w:r>
            <w:r w:rsidR="00E44E59" w:rsidRPr="00305729">
              <w:rPr>
                <w:lang w:val="es-ES_tradnl"/>
              </w:rPr>
              <w:t>Adolescencia</w:t>
            </w:r>
            <w:r w:rsidRPr="00305729">
              <w:rPr>
                <w:lang w:val="es-ES_tradnl"/>
              </w:rPr>
              <w:t xml:space="preserve">, </w:t>
            </w:r>
            <w:r w:rsidR="005B1DA7" w:rsidRPr="00305729">
              <w:rPr>
                <w:lang w:val="es-ES_tradnl"/>
              </w:rPr>
              <w:t>sección</w:t>
            </w:r>
            <w:r w:rsidR="000C24AB" w:rsidRPr="00305729">
              <w:rPr>
                <w:lang w:val="es-ES_tradnl"/>
              </w:rPr>
              <w:t xml:space="preserve"> </w:t>
            </w:r>
            <w:r w:rsidR="00151021" w:rsidRPr="00305729">
              <w:rPr>
                <w:lang w:val="es-ES_tradnl"/>
              </w:rPr>
              <w:t>58</w:t>
            </w:r>
          </w:p>
        </w:tc>
        <w:tc>
          <w:tcPr>
            <w:tcW w:w="2429" w:type="dxa"/>
            <w:shd w:val="clear" w:color="auto" w:fill="auto"/>
          </w:tcPr>
          <w:p w:rsidR="00151021" w:rsidRPr="00305729" w:rsidRDefault="00257F70" w:rsidP="00305729">
            <w:pPr>
              <w:suppressAutoHyphens w:val="0"/>
              <w:spacing w:before="40" w:after="120"/>
              <w:ind w:right="113"/>
              <w:rPr>
                <w:lang w:val="es-ES_tradnl"/>
              </w:rPr>
            </w:pPr>
            <w:r w:rsidRPr="00305729">
              <w:rPr>
                <w:lang w:val="es-ES_tradnl"/>
              </w:rPr>
              <w:t>La totalidad</w:t>
            </w:r>
          </w:p>
        </w:tc>
      </w:tr>
      <w:tr w:rsidR="00151021" w:rsidRPr="00305729">
        <w:trPr>
          <w:trHeight w:val="20"/>
        </w:trPr>
        <w:tc>
          <w:tcPr>
            <w:tcW w:w="4941" w:type="dxa"/>
            <w:shd w:val="clear" w:color="auto" w:fill="auto"/>
          </w:tcPr>
          <w:p w:rsidR="00151021" w:rsidRPr="00305729" w:rsidRDefault="00257F70" w:rsidP="00305729">
            <w:pPr>
              <w:suppressAutoHyphens w:val="0"/>
              <w:spacing w:before="40" w:after="120"/>
              <w:ind w:right="113"/>
              <w:rPr>
                <w:lang w:val="es-ES_tradnl"/>
              </w:rPr>
            </w:pPr>
            <w:r w:rsidRPr="00305729">
              <w:rPr>
                <w:lang w:val="es-ES_tradnl"/>
              </w:rPr>
              <w:t xml:space="preserve">El Decreto sobre </w:t>
            </w:r>
            <w:r w:rsidR="00E44E59" w:rsidRPr="00305729">
              <w:rPr>
                <w:lang w:val="es-ES_tradnl"/>
              </w:rPr>
              <w:t>Escuelas Autorizadas</w:t>
            </w:r>
            <w:r w:rsidRPr="00305729">
              <w:rPr>
                <w:lang w:val="es-ES_tradnl"/>
              </w:rPr>
              <w:t xml:space="preserve">, </w:t>
            </w:r>
            <w:r w:rsidR="005B1DA7" w:rsidRPr="00305729">
              <w:rPr>
                <w:lang w:val="es-ES_tradnl"/>
              </w:rPr>
              <w:t>sección</w:t>
            </w:r>
            <w:r w:rsidR="000C24AB" w:rsidRPr="00305729">
              <w:rPr>
                <w:lang w:val="es-ES_tradnl"/>
              </w:rPr>
              <w:t xml:space="preserve"> </w:t>
            </w:r>
            <w:r w:rsidR="00151021" w:rsidRPr="00305729">
              <w:rPr>
                <w:lang w:val="es-ES_tradnl"/>
              </w:rPr>
              <w:t>59</w:t>
            </w:r>
          </w:p>
        </w:tc>
        <w:tc>
          <w:tcPr>
            <w:tcW w:w="2429" w:type="dxa"/>
            <w:shd w:val="clear" w:color="auto" w:fill="auto"/>
          </w:tcPr>
          <w:p w:rsidR="00151021" w:rsidRPr="00305729" w:rsidRDefault="00257F70" w:rsidP="00305729">
            <w:pPr>
              <w:suppressAutoHyphens w:val="0"/>
              <w:spacing w:before="40" w:after="120"/>
              <w:ind w:right="113"/>
              <w:rPr>
                <w:lang w:val="es-ES_tradnl"/>
              </w:rPr>
            </w:pPr>
            <w:r w:rsidRPr="00305729">
              <w:rPr>
                <w:lang w:val="es-ES_tradnl"/>
              </w:rPr>
              <w:t>La totalidad</w:t>
            </w:r>
          </w:p>
        </w:tc>
      </w:tr>
      <w:tr w:rsidR="00151021" w:rsidRPr="00305729">
        <w:trPr>
          <w:trHeight w:val="20"/>
        </w:trPr>
        <w:tc>
          <w:tcPr>
            <w:tcW w:w="4941" w:type="dxa"/>
            <w:tcBorders>
              <w:bottom w:val="single" w:sz="12" w:space="0" w:color="auto"/>
            </w:tcBorders>
            <w:shd w:val="clear" w:color="auto" w:fill="auto"/>
          </w:tcPr>
          <w:p w:rsidR="00151021" w:rsidRPr="00305729" w:rsidRDefault="00257F70" w:rsidP="00305729">
            <w:pPr>
              <w:suppressAutoHyphens w:val="0"/>
              <w:spacing w:before="40" w:after="120"/>
              <w:ind w:right="113"/>
              <w:rPr>
                <w:lang w:val="es-ES_tradnl"/>
              </w:rPr>
            </w:pPr>
            <w:r w:rsidRPr="00305729">
              <w:rPr>
                <w:lang w:val="es-ES_tradnl"/>
              </w:rPr>
              <w:t xml:space="preserve">La Ley </w:t>
            </w:r>
            <w:r w:rsidR="000A6D2B" w:rsidRPr="00305729">
              <w:rPr>
                <w:lang w:val="es-ES_tradnl"/>
              </w:rPr>
              <w:t xml:space="preserve">4 </w:t>
            </w:r>
            <w:r w:rsidRPr="00305729">
              <w:rPr>
                <w:lang w:val="es-ES_tradnl"/>
              </w:rPr>
              <w:t xml:space="preserve">de </w:t>
            </w:r>
            <w:r w:rsidR="00E44E59" w:rsidRPr="00305729">
              <w:rPr>
                <w:lang w:val="es-ES_tradnl"/>
              </w:rPr>
              <w:t xml:space="preserve">Protección </w:t>
            </w:r>
            <w:r w:rsidRPr="00305729">
              <w:rPr>
                <w:lang w:val="es-ES_tradnl"/>
              </w:rPr>
              <w:t xml:space="preserve">de los </w:t>
            </w:r>
            <w:r w:rsidR="00E44E59" w:rsidRPr="00305729">
              <w:rPr>
                <w:lang w:val="es-ES_tradnl"/>
              </w:rPr>
              <w:t xml:space="preserve">Niños </w:t>
            </w:r>
            <w:r w:rsidRPr="00305729">
              <w:rPr>
                <w:lang w:val="es-ES_tradnl"/>
              </w:rPr>
              <w:t xml:space="preserve">de </w:t>
            </w:r>
            <w:r w:rsidR="00E44E59" w:rsidRPr="00305729">
              <w:rPr>
                <w:lang w:val="es-ES_tradnl"/>
              </w:rPr>
              <w:t xml:space="preserve">Mujeres Solteras </w:t>
            </w:r>
            <w:r w:rsidR="00305729">
              <w:rPr>
                <w:lang w:val="es-ES_tradnl"/>
              </w:rPr>
              <w:br/>
            </w:r>
            <w:r w:rsidR="000A6D2B" w:rsidRPr="00305729">
              <w:rPr>
                <w:lang w:val="es-ES_tradnl"/>
              </w:rPr>
              <w:t xml:space="preserve">y </w:t>
            </w:r>
            <w:r w:rsidR="00E44E59" w:rsidRPr="00305729">
              <w:rPr>
                <w:lang w:val="es-ES_tradnl"/>
              </w:rPr>
              <w:t>Hogares Monoparentales</w:t>
            </w:r>
            <w:r w:rsidR="000A6D2B" w:rsidRPr="00305729">
              <w:rPr>
                <w:lang w:val="es-ES_tradnl"/>
              </w:rPr>
              <w:t>, de</w:t>
            </w:r>
            <w:r w:rsidR="00151021" w:rsidRPr="00305729">
              <w:rPr>
                <w:lang w:val="es-ES_tradnl"/>
              </w:rPr>
              <w:t xml:space="preserve"> 2005</w:t>
            </w:r>
          </w:p>
        </w:tc>
        <w:tc>
          <w:tcPr>
            <w:tcW w:w="2429" w:type="dxa"/>
            <w:tcBorders>
              <w:bottom w:val="single" w:sz="12" w:space="0" w:color="auto"/>
            </w:tcBorders>
            <w:shd w:val="clear" w:color="auto" w:fill="auto"/>
          </w:tcPr>
          <w:p w:rsidR="00151021" w:rsidRPr="00305729" w:rsidRDefault="00257F70" w:rsidP="00305729">
            <w:pPr>
              <w:suppressAutoHyphens w:val="0"/>
              <w:spacing w:before="40" w:after="120"/>
              <w:ind w:right="113"/>
              <w:rPr>
                <w:lang w:val="es-ES_tradnl"/>
              </w:rPr>
            </w:pPr>
            <w:r w:rsidRPr="00305729">
              <w:rPr>
                <w:lang w:val="es-ES_tradnl"/>
              </w:rPr>
              <w:t xml:space="preserve">Los artículos </w:t>
            </w:r>
            <w:r w:rsidR="00151021" w:rsidRPr="00305729">
              <w:rPr>
                <w:lang w:val="es-ES_tradnl"/>
              </w:rPr>
              <w:t xml:space="preserve">5, 7, 9, 12 </w:t>
            </w:r>
            <w:r w:rsidRPr="00305729">
              <w:rPr>
                <w:lang w:val="es-ES_tradnl"/>
              </w:rPr>
              <w:t>y</w:t>
            </w:r>
            <w:r w:rsidR="00151021" w:rsidRPr="00305729">
              <w:rPr>
                <w:lang w:val="es-ES_tradnl"/>
              </w:rPr>
              <w:t xml:space="preserve"> 14</w:t>
            </w:r>
          </w:p>
        </w:tc>
      </w:tr>
    </w:tbl>
    <w:p w:rsidR="00151021" w:rsidRPr="00AC57AF" w:rsidRDefault="000A6D2B" w:rsidP="00501D1D">
      <w:pPr>
        <w:pStyle w:val="SingleTxtG"/>
        <w:spacing w:before="120" w:after="240"/>
        <w:ind w:firstLine="170"/>
        <w:jc w:val="left"/>
        <w:rPr>
          <w:sz w:val="18"/>
          <w:szCs w:val="18"/>
          <w:lang w:val="es-ES_tradnl"/>
        </w:rPr>
      </w:pPr>
      <w:r w:rsidRPr="00AC57AF">
        <w:rPr>
          <w:i/>
          <w:sz w:val="18"/>
          <w:szCs w:val="18"/>
          <w:lang w:val="es-ES_tradnl"/>
        </w:rPr>
        <w:t>Fuente</w:t>
      </w:r>
      <w:r w:rsidR="00151021" w:rsidRPr="00AC57AF">
        <w:rPr>
          <w:i/>
          <w:sz w:val="18"/>
          <w:szCs w:val="18"/>
          <w:lang w:val="es-ES_tradnl"/>
        </w:rPr>
        <w:t>:</w:t>
      </w:r>
      <w:r w:rsidR="00151021" w:rsidRPr="00AC57AF">
        <w:rPr>
          <w:sz w:val="18"/>
          <w:szCs w:val="18"/>
          <w:lang w:val="es-ES_tradnl"/>
        </w:rPr>
        <w:t xml:space="preserve"> 3</w:t>
      </w:r>
      <w:r w:rsidR="00501D1D" w:rsidRPr="00AC57AF">
        <w:rPr>
          <w:sz w:val="18"/>
          <w:szCs w:val="18"/>
          <w:lang w:val="es-ES_tradnl"/>
        </w:rPr>
        <w:t>ª</w:t>
      </w:r>
      <w:r w:rsidR="00BB5947" w:rsidRPr="00AC57AF">
        <w:rPr>
          <w:sz w:val="18"/>
          <w:szCs w:val="18"/>
          <w:lang w:val="es-ES_tradnl"/>
        </w:rPr>
        <w:t xml:space="preserve"> </w:t>
      </w:r>
      <w:r w:rsidRPr="00AC57AF">
        <w:rPr>
          <w:sz w:val="18"/>
          <w:szCs w:val="18"/>
          <w:lang w:val="es-ES_tradnl"/>
        </w:rPr>
        <w:t>Lista</w:t>
      </w:r>
      <w:r w:rsidR="005B1DA7" w:rsidRPr="00AC57AF">
        <w:rPr>
          <w:sz w:val="18"/>
          <w:szCs w:val="18"/>
          <w:lang w:val="es-ES_tradnl"/>
        </w:rPr>
        <w:t xml:space="preserve"> incluida bajo el artículo 139 de la Ley del </w:t>
      </w:r>
      <w:r w:rsidR="00E44E59" w:rsidRPr="00AC57AF">
        <w:rPr>
          <w:sz w:val="18"/>
          <w:szCs w:val="18"/>
          <w:lang w:val="es-ES_tradnl"/>
        </w:rPr>
        <w:t>Niño</w:t>
      </w:r>
      <w:r w:rsidR="00230454" w:rsidRPr="00AC57AF">
        <w:rPr>
          <w:sz w:val="18"/>
          <w:szCs w:val="18"/>
          <w:lang w:val="es-ES_tradnl"/>
        </w:rPr>
        <w:t>,</w:t>
      </w:r>
      <w:r w:rsidR="005B1DA7" w:rsidRPr="00AC57AF">
        <w:rPr>
          <w:sz w:val="18"/>
          <w:szCs w:val="18"/>
          <w:lang w:val="es-ES_tradnl"/>
        </w:rPr>
        <w:t xml:space="preserve"> de Zanzíbar</w:t>
      </w:r>
      <w:r w:rsidR="00151021" w:rsidRPr="00AC57AF">
        <w:rPr>
          <w:sz w:val="18"/>
          <w:szCs w:val="18"/>
          <w:lang w:val="es-ES_tradnl"/>
        </w:rPr>
        <w:t>.</w:t>
      </w:r>
    </w:p>
    <w:p w:rsidR="00151021" w:rsidRPr="002720D0" w:rsidRDefault="004F6364" w:rsidP="00501D1D">
      <w:pPr>
        <w:pStyle w:val="SingleTxtG"/>
        <w:tabs>
          <w:tab w:val="left" w:pos="-360"/>
        </w:tabs>
        <w:spacing w:after="240"/>
        <w:rPr>
          <w:lang w:val="es-ES_tradnl"/>
        </w:rPr>
      </w:pPr>
      <w:r w:rsidRPr="002720D0">
        <w:rPr>
          <w:lang w:val="es-ES_tradnl"/>
        </w:rPr>
        <w:t>7.</w:t>
      </w:r>
      <w:r w:rsidRPr="002720D0">
        <w:rPr>
          <w:lang w:val="es-ES_tradnl"/>
        </w:rPr>
        <w:tab/>
      </w:r>
      <w:r w:rsidR="000A6D2B" w:rsidRPr="002720D0">
        <w:rPr>
          <w:lang w:val="es-ES_tradnl"/>
        </w:rPr>
        <w:t>En Tanzaní</w:t>
      </w:r>
      <w:r w:rsidR="00151021" w:rsidRPr="002720D0">
        <w:rPr>
          <w:lang w:val="es-ES_tradnl"/>
        </w:rPr>
        <w:t xml:space="preserve">a </w:t>
      </w:r>
      <w:r w:rsidR="000A6D2B" w:rsidRPr="002720D0">
        <w:rPr>
          <w:lang w:val="es-ES_tradnl"/>
        </w:rPr>
        <w:t>continental, las leyes siguientes</w:t>
      </w:r>
      <w:r w:rsidR="005B1DA7" w:rsidRPr="002720D0">
        <w:rPr>
          <w:lang w:val="es-ES_tradnl"/>
        </w:rPr>
        <w:t xml:space="preserve"> han quedado derogadas y sustituidas por la Ley de la </w:t>
      </w:r>
      <w:r w:rsidR="00E44E59" w:rsidRPr="002720D0">
        <w:rPr>
          <w:lang w:val="es-ES_tradnl"/>
        </w:rPr>
        <w:t>Infancia</w:t>
      </w:r>
      <w:r w:rsidR="000A6D2B" w:rsidRPr="002720D0">
        <w:rPr>
          <w:lang w:val="es-ES_tradnl"/>
        </w:rPr>
        <w:t xml:space="preserve">: la Ley de </w:t>
      </w:r>
      <w:r w:rsidR="00E44E59" w:rsidRPr="002720D0">
        <w:rPr>
          <w:lang w:val="es-ES_tradnl"/>
        </w:rPr>
        <w:t>Filiación</w:t>
      </w:r>
      <w:r w:rsidR="000A6D2B" w:rsidRPr="002720D0">
        <w:rPr>
          <w:lang w:val="es-ES_tradnl"/>
        </w:rPr>
        <w:t xml:space="preserve">; la Ley de </w:t>
      </w:r>
      <w:r w:rsidR="00E44E59" w:rsidRPr="002720D0">
        <w:rPr>
          <w:lang w:val="es-ES_tradnl"/>
        </w:rPr>
        <w:t>Adopción</w:t>
      </w:r>
      <w:r w:rsidR="000A6D2B" w:rsidRPr="002720D0">
        <w:rPr>
          <w:lang w:val="es-ES_tradnl"/>
        </w:rPr>
        <w:t xml:space="preserve">; la Ley de </w:t>
      </w:r>
      <w:r w:rsidR="00E44E59" w:rsidRPr="002720D0">
        <w:rPr>
          <w:lang w:val="es-ES_tradnl"/>
        </w:rPr>
        <w:t>Guarderías</w:t>
      </w:r>
      <w:r w:rsidR="000A6D2B" w:rsidRPr="002720D0">
        <w:rPr>
          <w:lang w:val="es-ES_tradnl"/>
        </w:rPr>
        <w:t xml:space="preserve">; la Ley sobre la </w:t>
      </w:r>
      <w:r w:rsidR="00E44E59" w:rsidRPr="002720D0">
        <w:rPr>
          <w:lang w:val="es-ES_tradnl"/>
        </w:rPr>
        <w:t xml:space="preserve">Niñez </w:t>
      </w:r>
      <w:r w:rsidR="000A6D2B" w:rsidRPr="002720D0">
        <w:rPr>
          <w:lang w:val="es-ES_tradnl"/>
        </w:rPr>
        <w:t xml:space="preserve">y la </w:t>
      </w:r>
      <w:r w:rsidR="00E44E59" w:rsidRPr="002720D0">
        <w:rPr>
          <w:lang w:val="es-ES_tradnl"/>
        </w:rPr>
        <w:t>Adolescencia</w:t>
      </w:r>
      <w:r w:rsidR="000A6D2B" w:rsidRPr="002720D0">
        <w:rPr>
          <w:lang w:val="es-ES_tradnl"/>
        </w:rPr>
        <w:t xml:space="preserve">; y la Ley </w:t>
      </w:r>
      <w:r w:rsidR="005B1DA7" w:rsidRPr="002720D0">
        <w:rPr>
          <w:lang w:val="es-ES_tradnl"/>
        </w:rPr>
        <w:t xml:space="preserve">(de regulación) de los </w:t>
      </w:r>
      <w:r w:rsidR="00E44E59" w:rsidRPr="002720D0">
        <w:rPr>
          <w:lang w:val="es-ES_tradnl"/>
        </w:rPr>
        <w:t>Hogares Infantiles</w:t>
      </w:r>
      <w:r w:rsidR="00151021" w:rsidRPr="002720D0">
        <w:rPr>
          <w:rStyle w:val="FootnoteReference"/>
          <w:lang w:val="es-ES_tradnl"/>
        </w:rPr>
        <w:footnoteReference w:id="9"/>
      </w:r>
      <w:r w:rsidR="005B1DA7" w:rsidRPr="002720D0">
        <w:rPr>
          <w:lang w:val="es-ES_tradnl"/>
        </w:rPr>
        <w:t>.</w:t>
      </w:r>
      <w:r w:rsidR="00151021" w:rsidRPr="002720D0">
        <w:rPr>
          <w:lang w:val="es-ES_tradnl"/>
        </w:rPr>
        <w:t xml:space="preserve"> </w:t>
      </w:r>
      <w:r w:rsidR="005B1DA7" w:rsidRPr="002720D0">
        <w:rPr>
          <w:lang w:val="es-ES_tradnl"/>
        </w:rPr>
        <w:t xml:space="preserve">La Ley de la </w:t>
      </w:r>
      <w:r w:rsidR="00E44E59" w:rsidRPr="002720D0">
        <w:rPr>
          <w:lang w:val="es-ES_tradnl"/>
        </w:rPr>
        <w:t xml:space="preserve">Infancia </w:t>
      </w:r>
      <w:r w:rsidR="005B1DA7" w:rsidRPr="002720D0">
        <w:rPr>
          <w:lang w:val="es-ES_tradnl"/>
        </w:rPr>
        <w:t xml:space="preserve">también ha </w:t>
      </w:r>
      <w:r w:rsidR="00D86AD5" w:rsidRPr="002720D0">
        <w:rPr>
          <w:lang w:val="es-ES_tradnl"/>
        </w:rPr>
        <w:t>enmendado varias leyes que inci</w:t>
      </w:r>
      <w:r w:rsidR="005B1DA7" w:rsidRPr="002720D0">
        <w:rPr>
          <w:lang w:val="es-ES_tradnl"/>
        </w:rPr>
        <w:t xml:space="preserve">den sobre asuntos relativos a la infancia, como se indica a continuación en el cuadro </w:t>
      </w:r>
      <w:r w:rsidR="00292525" w:rsidRPr="002720D0">
        <w:rPr>
          <w:lang w:val="es-ES_tradnl"/>
        </w:rPr>
        <w:t>2</w:t>
      </w:r>
      <w:r w:rsidR="00501D1D">
        <w:rPr>
          <w:lang w:val="es-ES_tradnl"/>
        </w:rPr>
        <w:t>.</w:t>
      </w:r>
    </w:p>
    <w:p w:rsidR="00501D1D" w:rsidRDefault="00184970" w:rsidP="00501D1D">
      <w:pPr>
        <w:pStyle w:val="Heading1"/>
        <w:rPr>
          <w:lang w:val="es-ES_tradnl"/>
        </w:rPr>
      </w:pPr>
      <w:r w:rsidRPr="002720D0">
        <w:rPr>
          <w:lang w:val="es-ES_tradnl"/>
        </w:rPr>
        <w:t>Cuadro</w:t>
      </w:r>
      <w:r w:rsidR="00717056" w:rsidRPr="002720D0">
        <w:rPr>
          <w:lang w:val="es-ES_tradnl"/>
        </w:rPr>
        <w:t xml:space="preserve"> </w:t>
      </w:r>
      <w:r w:rsidR="00292525" w:rsidRPr="002720D0">
        <w:rPr>
          <w:lang w:val="es-ES_tradnl"/>
        </w:rPr>
        <w:t>2</w:t>
      </w:r>
    </w:p>
    <w:p w:rsidR="00151021" w:rsidRPr="00501D1D" w:rsidRDefault="005B1DA7" w:rsidP="00501D1D">
      <w:pPr>
        <w:pStyle w:val="SingleTxtG"/>
        <w:jc w:val="left"/>
        <w:rPr>
          <w:b/>
          <w:lang w:val="es-ES_tradnl"/>
        </w:rPr>
      </w:pPr>
      <w:r w:rsidRPr="00501D1D">
        <w:rPr>
          <w:b/>
          <w:lang w:val="es-ES_tradnl"/>
        </w:rPr>
        <w:t>Lista de leyes enm</w:t>
      </w:r>
      <w:r w:rsidR="00501D1D" w:rsidRPr="00501D1D">
        <w:rPr>
          <w:b/>
          <w:lang w:val="es-ES_tradnl"/>
        </w:rPr>
        <w:t>endadas en Tanzanía continental</w:t>
      </w:r>
    </w:p>
    <w:tbl>
      <w:tblPr>
        <w:tblW w:w="9639" w:type="dxa"/>
        <w:jc w:val="center"/>
        <w:tblBorders>
          <w:top w:val="single" w:sz="4" w:space="0" w:color="auto"/>
        </w:tblBorders>
        <w:tblLayout w:type="fixed"/>
        <w:tblCellMar>
          <w:left w:w="0" w:type="dxa"/>
          <w:right w:w="0" w:type="dxa"/>
        </w:tblCellMar>
        <w:tblLook w:val="04A0"/>
      </w:tblPr>
      <w:tblGrid>
        <w:gridCol w:w="1750"/>
        <w:gridCol w:w="1526"/>
        <w:gridCol w:w="6363"/>
      </w:tblGrid>
      <w:tr w:rsidR="00151021" w:rsidRPr="002720D0">
        <w:trPr>
          <w:cantSplit/>
          <w:tblHeader/>
          <w:jc w:val="center"/>
        </w:trPr>
        <w:tc>
          <w:tcPr>
            <w:tcW w:w="1750" w:type="dxa"/>
            <w:tcBorders>
              <w:top w:val="single" w:sz="4" w:space="0" w:color="auto"/>
              <w:bottom w:val="single" w:sz="12" w:space="0" w:color="auto"/>
            </w:tcBorders>
            <w:shd w:val="clear" w:color="auto" w:fill="auto"/>
            <w:vAlign w:val="bottom"/>
          </w:tcPr>
          <w:p w:rsidR="00151021" w:rsidRPr="002720D0" w:rsidRDefault="005B1DA7" w:rsidP="00571F8B">
            <w:pPr>
              <w:suppressAutoHyphens w:val="0"/>
              <w:spacing w:before="80" w:after="80" w:line="200" w:lineRule="exact"/>
              <w:ind w:right="113"/>
              <w:rPr>
                <w:i/>
                <w:sz w:val="16"/>
                <w:szCs w:val="16"/>
                <w:lang w:val="es-ES_tradnl"/>
              </w:rPr>
            </w:pPr>
            <w:r w:rsidRPr="002720D0">
              <w:rPr>
                <w:i/>
                <w:sz w:val="16"/>
                <w:szCs w:val="16"/>
                <w:lang w:val="es-ES_tradnl"/>
              </w:rPr>
              <w:t>Descripción de la ley</w:t>
            </w:r>
          </w:p>
        </w:tc>
        <w:tc>
          <w:tcPr>
            <w:tcW w:w="1526" w:type="dxa"/>
            <w:tcBorders>
              <w:top w:val="single" w:sz="4" w:space="0" w:color="auto"/>
              <w:bottom w:val="single" w:sz="12" w:space="0" w:color="auto"/>
            </w:tcBorders>
            <w:shd w:val="clear" w:color="auto" w:fill="auto"/>
            <w:vAlign w:val="bottom"/>
          </w:tcPr>
          <w:p w:rsidR="00151021" w:rsidRPr="002720D0" w:rsidRDefault="005B1DA7" w:rsidP="00571F8B">
            <w:pPr>
              <w:suppressAutoHyphens w:val="0"/>
              <w:spacing w:before="80" w:after="80" w:line="200" w:lineRule="exact"/>
              <w:ind w:right="113"/>
              <w:rPr>
                <w:i/>
                <w:sz w:val="16"/>
                <w:szCs w:val="16"/>
                <w:lang w:val="es-ES_tradnl"/>
              </w:rPr>
            </w:pPr>
            <w:r w:rsidRPr="002720D0">
              <w:rPr>
                <w:i/>
                <w:sz w:val="16"/>
                <w:szCs w:val="16"/>
                <w:lang w:val="es-ES_tradnl"/>
              </w:rPr>
              <w:t>Sección</w:t>
            </w:r>
          </w:p>
        </w:tc>
        <w:tc>
          <w:tcPr>
            <w:tcW w:w="6363" w:type="dxa"/>
            <w:tcBorders>
              <w:top w:val="single" w:sz="4" w:space="0" w:color="auto"/>
              <w:bottom w:val="single" w:sz="12" w:space="0" w:color="auto"/>
            </w:tcBorders>
            <w:shd w:val="clear" w:color="auto" w:fill="auto"/>
            <w:vAlign w:val="bottom"/>
          </w:tcPr>
          <w:p w:rsidR="00151021" w:rsidRPr="002720D0" w:rsidRDefault="005B1DA7" w:rsidP="00571F8B">
            <w:pPr>
              <w:suppressAutoHyphens w:val="0"/>
              <w:spacing w:before="80" w:after="80" w:line="200" w:lineRule="exact"/>
              <w:ind w:right="113"/>
              <w:rPr>
                <w:i/>
                <w:sz w:val="16"/>
                <w:szCs w:val="16"/>
                <w:lang w:val="es-ES_tradnl"/>
              </w:rPr>
            </w:pPr>
            <w:r w:rsidRPr="002720D0">
              <w:rPr>
                <w:i/>
                <w:sz w:val="16"/>
                <w:szCs w:val="16"/>
                <w:lang w:val="es-ES_tradnl"/>
              </w:rPr>
              <w:t>Disposición enmendada y alcance de la enmienda</w:t>
            </w:r>
          </w:p>
        </w:tc>
      </w:tr>
      <w:tr w:rsidR="00571F8B" w:rsidRPr="002720D0">
        <w:trPr>
          <w:cantSplit/>
          <w:trHeight w:hRule="exact" w:val="113"/>
          <w:tblHeader/>
          <w:jc w:val="center"/>
        </w:trPr>
        <w:tc>
          <w:tcPr>
            <w:tcW w:w="1750" w:type="dxa"/>
            <w:tcBorders>
              <w:top w:val="single" w:sz="12" w:space="0" w:color="auto"/>
              <w:bottom w:val="nil"/>
            </w:tcBorders>
            <w:shd w:val="clear" w:color="auto" w:fill="auto"/>
            <w:vAlign w:val="bottom"/>
          </w:tcPr>
          <w:p w:rsidR="00571F8B" w:rsidRPr="002720D0" w:rsidRDefault="00571F8B" w:rsidP="00571F8B">
            <w:pPr>
              <w:suppressAutoHyphens w:val="0"/>
              <w:spacing w:before="80" w:after="80" w:line="200" w:lineRule="exact"/>
              <w:ind w:right="113"/>
              <w:rPr>
                <w:i/>
                <w:sz w:val="16"/>
                <w:szCs w:val="16"/>
                <w:lang w:val="es-ES_tradnl"/>
              </w:rPr>
            </w:pPr>
          </w:p>
        </w:tc>
        <w:tc>
          <w:tcPr>
            <w:tcW w:w="1526" w:type="dxa"/>
            <w:tcBorders>
              <w:top w:val="single" w:sz="12" w:space="0" w:color="auto"/>
              <w:bottom w:val="nil"/>
            </w:tcBorders>
            <w:shd w:val="clear" w:color="auto" w:fill="auto"/>
            <w:vAlign w:val="bottom"/>
          </w:tcPr>
          <w:p w:rsidR="00571F8B" w:rsidRPr="002720D0" w:rsidRDefault="00571F8B" w:rsidP="00571F8B">
            <w:pPr>
              <w:suppressAutoHyphens w:val="0"/>
              <w:spacing w:before="80" w:after="80" w:line="200" w:lineRule="exact"/>
              <w:ind w:right="113"/>
              <w:rPr>
                <w:i/>
                <w:sz w:val="16"/>
                <w:szCs w:val="16"/>
                <w:lang w:val="es-ES_tradnl"/>
              </w:rPr>
            </w:pPr>
          </w:p>
        </w:tc>
        <w:tc>
          <w:tcPr>
            <w:tcW w:w="6363" w:type="dxa"/>
            <w:tcBorders>
              <w:top w:val="single" w:sz="12" w:space="0" w:color="auto"/>
              <w:bottom w:val="nil"/>
            </w:tcBorders>
            <w:shd w:val="clear" w:color="auto" w:fill="auto"/>
            <w:vAlign w:val="bottom"/>
          </w:tcPr>
          <w:p w:rsidR="00571F8B" w:rsidRPr="002720D0" w:rsidRDefault="00571F8B" w:rsidP="00571F8B">
            <w:pPr>
              <w:suppressAutoHyphens w:val="0"/>
              <w:spacing w:before="80" w:after="80" w:line="200" w:lineRule="exact"/>
              <w:ind w:right="113"/>
              <w:rPr>
                <w:i/>
                <w:sz w:val="16"/>
                <w:szCs w:val="16"/>
                <w:lang w:val="es-ES_tradnl"/>
              </w:rPr>
            </w:pPr>
          </w:p>
        </w:tc>
      </w:tr>
      <w:tr w:rsidR="00151021" w:rsidRPr="00571F8B">
        <w:trPr>
          <w:cantSplit/>
          <w:jc w:val="center"/>
        </w:trPr>
        <w:tc>
          <w:tcPr>
            <w:tcW w:w="1750" w:type="dxa"/>
            <w:tcBorders>
              <w:top w:val="nil"/>
            </w:tcBorders>
            <w:shd w:val="clear" w:color="auto" w:fill="auto"/>
          </w:tcPr>
          <w:p w:rsidR="00151021" w:rsidRPr="00571F8B" w:rsidRDefault="00151021" w:rsidP="00571F8B">
            <w:pPr>
              <w:suppressAutoHyphens w:val="0"/>
              <w:spacing w:before="40" w:after="120"/>
              <w:ind w:right="113"/>
              <w:rPr>
                <w:lang w:val="es-ES_tradnl"/>
              </w:rPr>
            </w:pPr>
            <w:r w:rsidRPr="00571F8B">
              <w:rPr>
                <w:lang w:val="es-ES_tradnl"/>
              </w:rPr>
              <w:t>L</w:t>
            </w:r>
            <w:r w:rsidR="00C95D7C" w:rsidRPr="00571F8B">
              <w:rPr>
                <w:lang w:val="es-ES_tradnl"/>
              </w:rPr>
              <w:t xml:space="preserve">ey de </w:t>
            </w:r>
            <w:r w:rsidR="00E44E59" w:rsidRPr="00571F8B">
              <w:rPr>
                <w:lang w:val="es-ES_tradnl"/>
              </w:rPr>
              <w:t xml:space="preserve">Matrimonio </w:t>
            </w:r>
            <w:r w:rsidRPr="00571F8B">
              <w:rPr>
                <w:lang w:val="es-ES_tradnl"/>
              </w:rPr>
              <w:t>(1971)</w:t>
            </w:r>
          </w:p>
        </w:tc>
        <w:tc>
          <w:tcPr>
            <w:tcW w:w="1526" w:type="dxa"/>
            <w:tcBorders>
              <w:top w:val="nil"/>
            </w:tcBorders>
            <w:shd w:val="clear" w:color="auto" w:fill="auto"/>
          </w:tcPr>
          <w:p w:rsidR="00151021" w:rsidRPr="00571F8B" w:rsidRDefault="00C95D7C" w:rsidP="00571F8B">
            <w:pPr>
              <w:suppressAutoHyphens w:val="0"/>
              <w:spacing w:before="40" w:after="120"/>
              <w:ind w:right="113"/>
              <w:rPr>
                <w:lang w:val="es-ES_tradnl"/>
              </w:rPr>
            </w:pPr>
            <w:r w:rsidRPr="00571F8B">
              <w:rPr>
                <w:lang w:val="es-ES_tradnl"/>
              </w:rPr>
              <w:t>Sección</w:t>
            </w:r>
            <w:r w:rsidR="00151021" w:rsidRPr="00571F8B">
              <w:rPr>
                <w:lang w:val="es-ES_tradnl"/>
              </w:rPr>
              <w:t xml:space="preserve"> 29 </w:t>
            </w:r>
            <w:r w:rsidR="00036F81" w:rsidRPr="00571F8B">
              <w:rPr>
                <w:lang w:val="es-ES_tradnl"/>
              </w:rPr>
              <w:t>E.R</w:t>
            </w:r>
            <w:r w:rsidR="00151021" w:rsidRPr="00571F8B">
              <w:rPr>
                <w:lang w:val="es-ES_tradnl"/>
              </w:rPr>
              <w:t>. 2002</w:t>
            </w:r>
          </w:p>
        </w:tc>
        <w:tc>
          <w:tcPr>
            <w:tcW w:w="6363" w:type="dxa"/>
            <w:tcBorders>
              <w:top w:val="nil"/>
            </w:tcBorders>
            <w:shd w:val="clear" w:color="auto" w:fill="auto"/>
          </w:tcPr>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A. </w:t>
            </w:r>
            <w:r w:rsidR="00C95D7C" w:rsidRPr="00571F8B">
              <w:rPr>
                <w:lang w:val="es-ES_tradnl"/>
              </w:rPr>
              <w:t>Artículo 2, mediante</w:t>
            </w:r>
            <w:r w:rsidR="00122FAE">
              <w:rPr>
                <w:lang w:val="es-ES_tradnl"/>
              </w:rPr>
              <w:t>:</w:t>
            </w:r>
          </w:p>
          <w:p w:rsidR="00151021" w:rsidRPr="00571F8B" w:rsidRDefault="00C95D7C" w:rsidP="00122FAE">
            <w:pPr>
              <w:tabs>
                <w:tab w:val="left" w:pos="170"/>
              </w:tabs>
              <w:suppressAutoHyphens w:val="0"/>
              <w:autoSpaceDE w:val="0"/>
              <w:autoSpaceDN w:val="0"/>
              <w:adjustRightInd w:val="0"/>
              <w:spacing w:before="40" w:after="120"/>
              <w:ind w:right="113"/>
              <w:rPr>
                <w:lang w:val="es-ES_tradnl"/>
              </w:rPr>
            </w:pPr>
            <w:r w:rsidRPr="00571F8B">
              <w:rPr>
                <w:lang w:val="es-ES_tradnl"/>
              </w:rPr>
              <w:tab/>
            </w:r>
            <w:r w:rsidR="009D6096" w:rsidRPr="00571F8B">
              <w:rPr>
                <w:lang w:val="es-ES_tradnl"/>
              </w:rPr>
              <w:t>a)</w:t>
            </w:r>
            <w:r w:rsidR="009D6096" w:rsidRPr="00571F8B">
              <w:rPr>
                <w:lang w:val="es-ES_tradnl"/>
              </w:rPr>
              <w:tab/>
            </w:r>
            <w:r w:rsidR="00122FAE" w:rsidRPr="00571F8B">
              <w:rPr>
                <w:lang w:val="es-ES_tradnl"/>
              </w:rPr>
              <w:t xml:space="preserve">La </w:t>
            </w:r>
            <w:r w:rsidRPr="00571F8B">
              <w:rPr>
                <w:lang w:val="es-ES_tradnl"/>
              </w:rPr>
              <w:t xml:space="preserve">supresión de las definiciones del término </w:t>
            </w:r>
            <w:r w:rsidR="001D2A53">
              <w:rPr>
                <w:i/>
                <w:lang w:val="es-ES_tradnl"/>
              </w:rPr>
              <w:t>"</w:t>
            </w:r>
            <w:r w:rsidR="00230454" w:rsidRPr="00571F8B">
              <w:rPr>
                <w:i/>
                <w:lang w:val="es-ES_tradnl"/>
              </w:rPr>
              <w:t>child</w:t>
            </w:r>
            <w:r w:rsidR="001D2A53">
              <w:rPr>
                <w:i/>
                <w:lang w:val="es-ES_tradnl"/>
              </w:rPr>
              <w:t>"</w:t>
            </w:r>
            <w:r w:rsidR="00230454" w:rsidRPr="00571F8B">
              <w:rPr>
                <w:lang w:val="es-ES_tradnl"/>
              </w:rPr>
              <w:t xml:space="preserve"> (</w:t>
            </w:r>
            <w:r w:rsidR="00E602A1">
              <w:rPr>
                <w:lang w:val="es-ES_tradnl"/>
              </w:rPr>
              <w:t>"niño"</w:t>
            </w:r>
            <w:r w:rsidR="00230454" w:rsidRPr="00571F8B">
              <w:rPr>
                <w:lang w:val="es-ES_tradnl"/>
              </w:rPr>
              <w:t>)</w:t>
            </w:r>
            <w:r w:rsidRPr="00571F8B">
              <w:rPr>
                <w:lang w:val="es-ES_tradnl"/>
              </w:rPr>
              <w:t xml:space="preserve"> y </w:t>
            </w:r>
            <w:r w:rsidR="00230454" w:rsidRPr="00571F8B">
              <w:rPr>
                <w:lang w:val="es-ES_tradnl"/>
              </w:rPr>
              <w:t xml:space="preserve">su </w:t>
            </w:r>
            <w:r w:rsidR="00973F0D" w:rsidRPr="00571F8B">
              <w:rPr>
                <w:lang w:val="es-ES_tradnl"/>
              </w:rPr>
              <w:t>sustitución con lo</w:t>
            </w:r>
            <w:r w:rsidRPr="00571F8B">
              <w:rPr>
                <w:lang w:val="es-ES_tradnl"/>
              </w:rPr>
              <w:t xml:space="preserve"> siguiente: por </w:t>
            </w:r>
            <w:r w:rsidR="001D2A53">
              <w:rPr>
                <w:i/>
                <w:lang w:val="es-ES_tradnl"/>
              </w:rPr>
              <w:t>"</w:t>
            </w:r>
            <w:r w:rsidR="00230454" w:rsidRPr="00571F8B">
              <w:rPr>
                <w:i/>
                <w:lang w:val="es-ES_tradnl"/>
              </w:rPr>
              <w:t>child</w:t>
            </w:r>
            <w:r w:rsidR="001D2A53">
              <w:rPr>
                <w:i/>
                <w:lang w:val="es-ES_tradnl"/>
              </w:rPr>
              <w:t>"</w:t>
            </w:r>
            <w:r w:rsidR="00230454" w:rsidRPr="00571F8B">
              <w:rPr>
                <w:lang w:val="es-ES_tradnl"/>
              </w:rPr>
              <w:t xml:space="preserve"> (</w:t>
            </w:r>
            <w:r w:rsidR="00E602A1">
              <w:rPr>
                <w:lang w:val="es-ES_tradnl"/>
              </w:rPr>
              <w:t>"</w:t>
            </w:r>
            <w:r w:rsidR="00973F0D" w:rsidRPr="00571F8B">
              <w:rPr>
                <w:lang w:val="es-ES_tradnl"/>
              </w:rPr>
              <w:t>niño</w:t>
            </w:r>
            <w:r w:rsidR="00E602A1">
              <w:rPr>
                <w:lang w:val="es-ES_tradnl"/>
              </w:rPr>
              <w:t>"</w:t>
            </w:r>
            <w:r w:rsidR="00230454" w:rsidRPr="00571F8B">
              <w:rPr>
                <w:lang w:val="es-ES_tradnl"/>
              </w:rPr>
              <w:t>)</w:t>
            </w:r>
            <w:r w:rsidRPr="00571F8B">
              <w:rPr>
                <w:lang w:val="es-ES_tradnl"/>
              </w:rPr>
              <w:t xml:space="preserve"> se entiende una persona que no ha cumplido </w:t>
            </w:r>
            <w:r w:rsidR="00125A79" w:rsidRPr="00571F8B">
              <w:rPr>
                <w:lang w:val="es-ES_tradnl"/>
              </w:rPr>
              <w:t xml:space="preserve">los </w:t>
            </w:r>
            <w:r w:rsidRPr="00571F8B">
              <w:rPr>
                <w:lang w:val="es-ES_tradnl"/>
              </w:rPr>
              <w:t xml:space="preserve">18 años de edad; </w:t>
            </w:r>
          </w:p>
          <w:p w:rsidR="00151021" w:rsidRPr="00571F8B" w:rsidRDefault="00C95D7C" w:rsidP="00571F8B">
            <w:pPr>
              <w:tabs>
                <w:tab w:val="left" w:pos="155"/>
              </w:tabs>
              <w:suppressAutoHyphens w:val="0"/>
              <w:autoSpaceDE w:val="0"/>
              <w:autoSpaceDN w:val="0"/>
              <w:adjustRightInd w:val="0"/>
              <w:spacing w:before="40" w:after="120"/>
              <w:ind w:right="113"/>
              <w:rPr>
                <w:lang w:val="es-ES_tradnl"/>
              </w:rPr>
            </w:pPr>
            <w:r w:rsidRPr="00571F8B">
              <w:rPr>
                <w:lang w:val="es-ES_tradnl"/>
              </w:rPr>
              <w:tab/>
            </w:r>
            <w:r w:rsidR="009D6096" w:rsidRPr="00571F8B">
              <w:rPr>
                <w:lang w:val="es-ES_tradnl"/>
              </w:rPr>
              <w:t>b)</w:t>
            </w:r>
            <w:r w:rsidR="009D6096" w:rsidRPr="00571F8B">
              <w:rPr>
                <w:lang w:val="es-ES_tradnl"/>
              </w:rPr>
              <w:tab/>
            </w:r>
            <w:r w:rsidR="00122FAE" w:rsidRPr="00571F8B">
              <w:rPr>
                <w:lang w:val="es-ES_tradnl"/>
              </w:rPr>
              <w:t xml:space="preserve">La </w:t>
            </w:r>
            <w:r w:rsidRPr="00571F8B">
              <w:rPr>
                <w:lang w:val="es-ES_tradnl"/>
              </w:rPr>
              <w:t>supresión de</w:t>
            </w:r>
            <w:r w:rsidR="00151021" w:rsidRPr="00571F8B">
              <w:rPr>
                <w:lang w:val="es-ES_tradnl"/>
              </w:rPr>
              <w:t>:</w:t>
            </w:r>
          </w:p>
          <w:p w:rsidR="00151021" w:rsidRPr="00571F8B" w:rsidRDefault="00AC57AF" w:rsidP="00AC57AF">
            <w:pPr>
              <w:tabs>
                <w:tab w:val="left" w:pos="155"/>
              </w:tabs>
              <w:suppressAutoHyphens w:val="0"/>
              <w:autoSpaceDE w:val="0"/>
              <w:autoSpaceDN w:val="0"/>
              <w:adjustRightInd w:val="0"/>
              <w:spacing w:before="40" w:after="120"/>
              <w:ind w:left="153" w:right="113" w:hanging="153"/>
              <w:rPr>
                <w:lang w:val="es-ES_tradnl"/>
              </w:rPr>
            </w:pPr>
            <w:r>
              <w:rPr>
                <w:lang w:val="es-ES_tradnl"/>
              </w:rPr>
              <w:tab/>
            </w:r>
            <w:r w:rsidR="00151021" w:rsidRPr="00571F8B">
              <w:rPr>
                <w:lang w:val="es-ES_tradnl"/>
              </w:rPr>
              <w:t>i)</w:t>
            </w:r>
            <w:r w:rsidR="00122FAE">
              <w:rPr>
                <w:lang w:val="es-ES_tradnl"/>
              </w:rPr>
              <w:tab/>
            </w:r>
            <w:r w:rsidR="00122FAE" w:rsidRPr="00571F8B">
              <w:rPr>
                <w:lang w:val="es-ES_tradnl"/>
              </w:rPr>
              <w:t xml:space="preserve">Todas </w:t>
            </w:r>
            <w:r w:rsidR="00C95D7C" w:rsidRPr="00571F8B">
              <w:rPr>
                <w:lang w:val="es-ES_tradnl"/>
              </w:rPr>
              <w:t xml:space="preserve">las referencias correspondientes a la definición de los términos </w:t>
            </w:r>
            <w:r w:rsidR="001D2A53">
              <w:rPr>
                <w:i/>
                <w:lang w:val="es-ES_tradnl"/>
              </w:rPr>
              <w:t>"</w:t>
            </w:r>
            <w:r w:rsidR="00230454" w:rsidRPr="00571F8B">
              <w:rPr>
                <w:i/>
                <w:lang w:val="es-ES_tradnl"/>
              </w:rPr>
              <w:t>infant</w:t>
            </w:r>
            <w:r w:rsidR="001D2A53">
              <w:rPr>
                <w:i/>
                <w:lang w:val="es-ES_tradnl"/>
              </w:rPr>
              <w:t>"</w:t>
            </w:r>
            <w:r w:rsidR="00230454" w:rsidRPr="00571F8B">
              <w:rPr>
                <w:lang w:val="es-ES_tradnl"/>
              </w:rPr>
              <w:t xml:space="preserve"> (</w:t>
            </w:r>
            <w:r w:rsidR="00E602A1">
              <w:rPr>
                <w:lang w:val="es-ES_tradnl"/>
              </w:rPr>
              <w:t>"lactante"</w:t>
            </w:r>
            <w:r w:rsidR="00230454" w:rsidRPr="00571F8B">
              <w:rPr>
                <w:lang w:val="es-ES_tradnl"/>
              </w:rPr>
              <w:t xml:space="preserve">) e </w:t>
            </w:r>
            <w:r w:rsidR="001D2A53">
              <w:rPr>
                <w:i/>
                <w:lang w:val="es-ES_tradnl"/>
              </w:rPr>
              <w:t>"</w:t>
            </w:r>
            <w:r w:rsidR="00230454" w:rsidRPr="00571F8B">
              <w:rPr>
                <w:i/>
                <w:lang w:val="es-ES_tradnl"/>
              </w:rPr>
              <w:t>infant child</w:t>
            </w:r>
            <w:r w:rsidR="001D2A53">
              <w:rPr>
                <w:i/>
                <w:lang w:val="es-ES_tradnl"/>
              </w:rPr>
              <w:t>"</w:t>
            </w:r>
            <w:r w:rsidR="00C95D7C" w:rsidRPr="00571F8B">
              <w:rPr>
                <w:lang w:val="es-ES_tradnl"/>
              </w:rPr>
              <w:t xml:space="preserve"> </w:t>
            </w:r>
            <w:r w:rsidR="00230454" w:rsidRPr="00571F8B">
              <w:rPr>
                <w:lang w:val="es-ES_tradnl"/>
              </w:rPr>
              <w:t>(</w:t>
            </w:r>
            <w:r w:rsidR="008B5980">
              <w:rPr>
                <w:lang w:val="es-ES_tradnl"/>
              </w:rPr>
              <w:t>"niño de corta edad"</w:t>
            </w:r>
            <w:r w:rsidR="00230454" w:rsidRPr="00571F8B">
              <w:rPr>
                <w:lang w:val="es-ES_tradnl"/>
              </w:rPr>
              <w:t>)</w:t>
            </w:r>
            <w:r w:rsidR="00C95D7C" w:rsidRPr="00571F8B">
              <w:rPr>
                <w:lang w:val="es-ES_tradnl"/>
              </w:rPr>
              <w:t>;</w:t>
            </w:r>
          </w:p>
          <w:p w:rsidR="00151021" w:rsidRPr="00571F8B" w:rsidRDefault="00AC57AF" w:rsidP="00AC57AF">
            <w:pPr>
              <w:tabs>
                <w:tab w:val="left" w:pos="155"/>
              </w:tabs>
              <w:suppressAutoHyphens w:val="0"/>
              <w:autoSpaceDE w:val="0"/>
              <w:autoSpaceDN w:val="0"/>
              <w:adjustRightInd w:val="0"/>
              <w:spacing w:before="40" w:after="120"/>
              <w:ind w:left="153" w:right="113" w:hanging="153"/>
              <w:rPr>
                <w:lang w:val="es-ES_tradnl"/>
              </w:rPr>
            </w:pPr>
            <w:r>
              <w:rPr>
                <w:lang w:val="es-ES_tradnl"/>
              </w:rPr>
              <w:tab/>
            </w:r>
            <w:r w:rsidR="00122FAE">
              <w:rPr>
                <w:lang w:val="es-ES_tradnl"/>
              </w:rPr>
              <w:t>ii)</w:t>
            </w:r>
            <w:r w:rsidR="00122FAE">
              <w:rPr>
                <w:lang w:val="es-ES_tradnl"/>
              </w:rPr>
              <w:tab/>
            </w:r>
            <w:r w:rsidR="00122FAE" w:rsidRPr="00571F8B">
              <w:rPr>
                <w:lang w:val="es-ES_tradnl"/>
              </w:rPr>
              <w:t xml:space="preserve">Las </w:t>
            </w:r>
            <w:r w:rsidR="00C95D7C" w:rsidRPr="00571F8B">
              <w:rPr>
                <w:lang w:val="es-ES_tradnl"/>
              </w:rPr>
              <w:t xml:space="preserve">palabras </w:t>
            </w:r>
            <w:r w:rsidR="001D2A53">
              <w:rPr>
                <w:i/>
                <w:lang w:val="es-ES_tradnl"/>
              </w:rPr>
              <w:t>"</w:t>
            </w:r>
            <w:r w:rsidR="00230454" w:rsidRPr="00571F8B">
              <w:rPr>
                <w:i/>
                <w:lang w:val="es-ES_tradnl"/>
              </w:rPr>
              <w:t>infant children</w:t>
            </w:r>
            <w:r w:rsidR="001D2A53">
              <w:rPr>
                <w:i/>
                <w:lang w:val="es-ES_tradnl"/>
              </w:rPr>
              <w:t>"</w:t>
            </w:r>
            <w:r w:rsidR="00230454" w:rsidRPr="00571F8B">
              <w:rPr>
                <w:lang w:val="es-ES_tradnl"/>
              </w:rPr>
              <w:t xml:space="preserve"> (</w:t>
            </w:r>
            <w:r w:rsidR="008B5980">
              <w:rPr>
                <w:lang w:val="es-ES_tradnl"/>
              </w:rPr>
              <w:t>"niños de corta edad"</w:t>
            </w:r>
            <w:r w:rsidR="00230454" w:rsidRPr="00571F8B">
              <w:rPr>
                <w:lang w:val="es-ES_tradnl"/>
              </w:rPr>
              <w:t xml:space="preserve">) e </w:t>
            </w:r>
            <w:r w:rsidR="001D2A53">
              <w:rPr>
                <w:i/>
                <w:lang w:val="es-ES_tradnl"/>
              </w:rPr>
              <w:t>"</w:t>
            </w:r>
            <w:r w:rsidR="00230454" w:rsidRPr="00571F8B">
              <w:rPr>
                <w:i/>
                <w:lang w:val="es-ES_tradnl"/>
              </w:rPr>
              <w:t>infant</w:t>
            </w:r>
            <w:r w:rsidR="001D2A53">
              <w:rPr>
                <w:i/>
                <w:lang w:val="es-ES_tradnl"/>
              </w:rPr>
              <w:t>"</w:t>
            </w:r>
            <w:r w:rsidR="00C95D7C" w:rsidRPr="00571F8B">
              <w:rPr>
                <w:lang w:val="es-ES_tradnl"/>
              </w:rPr>
              <w:t xml:space="preserve"> </w:t>
            </w:r>
            <w:r w:rsidR="00230454" w:rsidRPr="00571F8B">
              <w:rPr>
                <w:lang w:val="es-ES_tradnl"/>
              </w:rPr>
              <w:t>(</w:t>
            </w:r>
            <w:r w:rsidR="008B5980">
              <w:rPr>
                <w:lang w:val="es-ES_tradnl"/>
              </w:rPr>
              <w:t>"lactante"</w:t>
            </w:r>
            <w:r w:rsidR="00230454" w:rsidRPr="00571F8B">
              <w:rPr>
                <w:lang w:val="es-ES_tradnl"/>
              </w:rPr>
              <w:t>)</w:t>
            </w:r>
            <w:r w:rsidR="00C95D7C" w:rsidRPr="00571F8B">
              <w:rPr>
                <w:lang w:val="es-ES_tradnl"/>
              </w:rPr>
              <w:t xml:space="preserve"> </w:t>
            </w:r>
            <w:r w:rsidR="00125A79" w:rsidRPr="00571F8B">
              <w:rPr>
                <w:lang w:val="es-ES_tradnl"/>
              </w:rPr>
              <w:t xml:space="preserve">en todo el texto de la </w:t>
            </w:r>
            <w:r w:rsidR="00E44E59" w:rsidRPr="00571F8B">
              <w:rPr>
                <w:lang w:val="es-ES_tradnl"/>
              </w:rPr>
              <w:t>ley</w:t>
            </w:r>
            <w:r w:rsidR="00125A79" w:rsidRPr="00571F8B">
              <w:rPr>
                <w:lang w:val="es-ES_tradnl"/>
              </w:rPr>
              <w:t xml:space="preserve">, sustituyéndolas con las palabras </w:t>
            </w:r>
            <w:r w:rsidR="001D2A53" w:rsidRPr="001418B0">
              <w:rPr>
                <w:i/>
                <w:lang w:val="es-ES_tradnl"/>
              </w:rPr>
              <w:t>"</w:t>
            </w:r>
            <w:r w:rsidR="00230454" w:rsidRPr="001418B0">
              <w:rPr>
                <w:i/>
                <w:lang w:val="es-ES_tradnl"/>
              </w:rPr>
              <w:t>children</w:t>
            </w:r>
            <w:r w:rsidR="001D2A53" w:rsidRPr="001418B0">
              <w:rPr>
                <w:i/>
                <w:lang w:val="es-ES_tradnl"/>
              </w:rPr>
              <w:t>"</w:t>
            </w:r>
            <w:r w:rsidR="00230454" w:rsidRPr="00571F8B">
              <w:rPr>
                <w:lang w:val="es-ES_tradnl"/>
              </w:rPr>
              <w:t xml:space="preserve"> (</w:t>
            </w:r>
            <w:r w:rsidR="008B5980">
              <w:rPr>
                <w:lang w:val="es-ES_tradnl"/>
              </w:rPr>
              <w:t>"niños"</w:t>
            </w:r>
            <w:r w:rsidR="00973F0D" w:rsidRPr="00571F8B">
              <w:rPr>
                <w:lang w:val="es-ES_tradnl"/>
              </w:rPr>
              <w:t>)</w:t>
            </w:r>
            <w:r w:rsidR="00125A79" w:rsidRPr="00571F8B">
              <w:rPr>
                <w:lang w:val="es-ES_tradnl"/>
              </w:rPr>
              <w:t xml:space="preserve"> o </w:t>
            </w:r>
            <w:r w:rsidR="001D2A53">
              <w:rPr>
                <w:i/>
                <w:lang w:val="es-ES_tradnl"/>
              </w:rPr>
              <w:t>"</w:t>
            </w:r>
            <w:r w:rsidR="00230454" w:rsidRPr="00571F8B">
              <w:rPr>
                <w:i/>
                <w:lang w:val="es-ES_tradnl"/>
              </w:rPr>
              <w:t>child</w:t>
            </w:r>
            <w:r w:rsidR="001D2A53">
              <w:rPr>
                <w:i/>
                <w:lang w:val="es-ES_tradnl"/>
              </w:rPr>
              <w:t>"</w:t>
            </w:r>
            <w:r w:rsidR="00230454" w:rsidRPr="00571F8B">
              <w:rPr>
                <w:lang w:val="es-ES_tradnl"/>
              </w:rPr>
              <w:t xml:space="preserve"> (</w:t>
            </w:r>
            <w:r w:rsidR="008B5980">
              <w:rPr>
                <w:lang w:val="es-ES_tradnl"/>
              </w:rPr>
              <w:t>"niño"</w:t>
            </w:r>
            <w:r w:rsidR="00973F0D" w:rsidRPr="00571F8B">
              <w:rPr>
                <w:lang w:val="es-ES_tradnl"/>
              </w:rPr>
              <w:t>)</w:t>
            </w:r>
            <w:r w:rsidR="00125A79" w:rsidRPr="00571F8B">
              <w:rPr>
                <w:lang w:val="es-ES_tradnl"/>
              </w:rPr>
              <w:t xml:space="preserve">, según proceda. </w:t>
            </w:r>
          </w:p>
          <w:p w:rsidR="00151021" w:rsidRPr="00571F8B" w:rsidRDefault="009D6096" w:rsidP="00571F8B">
            <w:pPr>
              <w:suppressAutoHyphens w:val="0"/>
              <w:autoSpaceDE w:val="0"/>
              <w:autoSpaceDN w:val="0"/>
              <w:adjustRightInd w:val="0"/>
              <w:spacing w:before="40" w:after="120"/>
              <w:ind w:right="113"/>
              <w:rPr>
                <w:lang w:val="es-ES_tradnl"/>
              </w:rPr>
            </w:pPr>
            <w:r w:rsidRPr="00571F8B">
              <w:rPr>
                <w:lang w:val="es-ES_tradnl"/>
              </w:rPr>
              <w:t xml:space="preserve">B. </w:t>
            </w:r>
            <w:r w:rsidR="00125A79" w:rsidRPr="00571F8B">
              <w:rPr>
                <w:lang w:val="es-ES_tradnl"/>
              </w:rPr>
              <w:t>Artículo 17, mediante</w:t>
            </w:r>
            <w:r w:rsidR="00122FAE">
              <w:rPr>
                <w:lang w:val="es-ES_tradnl"/>
              </w:rPr>
              <w:t>:</w:t>
            </w:r>
          </w:p>
          <w:p w:rsidR="00151021" w:rsidRPr="00571F8B" w:rsidRDefault="009D6096" w:rsidP="00571F8B">
            <w:pPr>
              <w:tabs>
                <w:tab w:val="left" w:pos="172"/>
              </w:tabs>
              <w:suppressAutoHyphens w:val="0"/>
              <w:autoSpaceDE w:val="0"/>
              <w:autoSpaceDN w:val="0"/>
              <w:adjustRightInd w:val="0"/>
              <w:spacing w:before="40" w:after="120"/>
              <w:ind w:right="113"/>
              <w:rPr>
                <w:lang w:val="es-ES_tradnl"/>
              </w:rPr>
            </w:pPr>
            <w:r w:rsidRPr="00571F8B">
              <w:rPr>
                <w:lang w:val="es-ES_tradnl"/>
              </w:rPr>
              <w:tab/>
            </w:r>
            <w:r w:rsidR="00151021" w:rsidRPr="00571F8B">
              <w:rPr>
                <w:lang w:val="es-ES_tradnl"/>
              </w:rPr>
              <w:t>a)</w:t>
            </w:r>
            <w:r w:rsidRPr="00571F8B">
              <w:rPr>
                <w:lang w:val="es-ES_tradnl"/>
              </w:rPr>
              <w:tab/>
            </w:r>
            <w:r w:rsidR="00122FAE" w:rsidRPr="00571F8B">
              <w:rPr>
                <w:lang w:val="es-ES_tradnl"/>
              </w:rPr>
              <w:t xml:space="preserve">La </w:t>
            </w:r>
            <w:r w:rsidR="00151021" w:rsidRPr="00571F8B">
              <w:rPr>
                <w:lang w:val="es-ES_tradnl"/>
              </w:rPr>
              <w:t>inser</w:t>
            </w:r>
            <w:r w:rsidR="00125A79" w:rsidRPr="00571F8B">
              <w:rPr>
                <w:lang w:val="es-ES_tradnl"/>
              </w:rPr>
              <w:t xml:space="preserve">ción de un punto en sustitución de la coma que sigue a la palabra </w:t>
            </w:r>
            <w:r w:rsidR="001D2A53">
              <w:rPr>
                <w:i/>
                <w:lang w:val="es-ES_tradnl"/>
              </w:rPr>
              <w:t>"</w:t>
            </w:r>
            <w:r w:rsidR="00125A79" w:rsidRPr="00571F8B">
              <w:rPr>
                <w:i/>
                <w:lang w:val="es-ES_tradnl"/>
              </w:rPr>
              <w:t>guardian</w:t>
            </w:r>
            <w:r w:rsidR="001D2A53">
              <w:rPr>
                <w:i/>
                <w:lang w:val="es-ES_tradnl"/>
              </w:rPr>
              <w:t>"</w:t>
            </w:r>
            <w:r w:rsidR="00125A79" w:rsidRPr="00571F8B">
              <w:rPr>
                <w:i/>
                <w:lang w:val="es-ES_tradnl"/>
              </w:rPr>
              <w:t xml:space="preserve"> </w:t>
            </w:r>
            <w:r w:rsidR="00973F0D" w:rsidRPr="00571F8B">
              <w:rPr>
                <w:lang w:val="es-ES_tradnl"/>
              </w:rPr>
              <w:t>(</w:t>
            </w:r>
            <w:r w:rsidR="009D56B2">
              <w:rPr>
                <w:lang w:val="es-ES_tradnl"/>
              </w:rPr>
              <w:t>"tutor"</w:t>
            </w:r>
            <w:r w:rsidR="00125A79" w:rsidRPr="00571F8B">
              <w:rPr>
                <w:lang w:val="es-ES_tradnl"/>
              </w:rPr>
              <w:t xml:space="preserve">); y </w:t>
            </w:r>
          </w:p>
          <w:p w:rsidR="00151021" w:rsidRPr="00571F8B" w:rsidRDefault="009D6096" w:rsidP="00571F8B">
            <w:pPr>
              <w:tabs>
                <w:tab w:val="left" w:pos="164"/>
              </w:tabs>
              <w:suppressAutoHyphens w:val="0"/>
              <w:autoSpaceDE w:val="0"/>
              <w:autoSpaceDN w:val="0"/>
              <w:adjustRightInd w:val="0"/>
              <w:spacing w:before="40" w:after="120"/>
              <w:ind w:right="113"/>
              <w:rPr>
                <w:lang w:val="es-ES_tradnl"/>
              </w:rPr>
            </w:pPr>
            <w:r w:rsidRPr="00571F8B">
              <w:rPr>
                <w:lang w:val="es-ES_tradnl"/>
              </w:rPr>
              <w:tab/>
            </w:r>
            <w:r w:rsidR="00151021" w:rsidRPr="00571F8B">
              <w:rPr>
                <w:lang w:val="es-ES_tradnl"/>
              </w:rPr>
              <w:t>b)</w:t>
            </w:r>
            <w:r w:rsidRPr="00571F8B">
              <w:rPr>
                <w:lang w:val="es-ES_tradnl"/>
              </w:rPr>
              <w:tab/>
            </w:r>
            <w:r w:rsidR="00122FAE" w:rsidRPr="00571F8B">
              <w:rPr>
                <w:lang w:val="es-ES_tradnl"/>
              </w:rPr>
              <w:t xml:space="preserve">La </w:t>
            </w:r>
            <w:r w:rsidR="00125A79" w:rsidRPr="00571F8B">
              <w:rPr>
                <w:lang w:val="es-ES_tradnl"/>
              </w:rPr>
              <w:t xml:space="preserve">eliminación de la frase </w:t>
            </w:r>
            <w:r w:rsidR="001D2A53">
              <w:rPr>
                <w:i/>
                <w:lang w:val="es-ES_tradnl"/>
              </w:rPr>
              <w:t>"</w:t>
            </w:r>
            <w:r w:rsidR="00973F0D" w:rsidRPr="00571F8B">
              <w:rPr>
                <w:i/>
                <w:lang w:val="es-ES_tradnl"/>
              </w:rPr>
              <w:t>but in any other case, or if those persons are dead, shall not require consent</w:t>
            </w:r>
            <w:r w:rsidR="001D2A53">
              <w:rPr>
                <w:i/>
                <w:lang w:val="es-ES_tradnl"/>
              </w:rPr>
              <w:t>"</w:t>
            </w:r>
            <w:r w:rsidR="00973F0D" w:rsidRPr="00571F8B">
              <w:rPr>
                <w:lang w:val="es-ES_tradnl"/>
              </w:rPr>
              <w:t xml:space="preserve"> (</w:t>
            </w:r>
            <w:r w:rsidR="00223CBB">
              <w:rPr>
                <w:lang w:val="es-ES_tradnl"/>
              </w:rPr>
              <w:t>"</w:t>
            </w:r>
            <w:r w:rsidR="00D86AD5" w:rsidRPr="00571F8B">
              <w:rPr>
                <w:lang w:val="es-ES_tradnl"/>
              </w:rPr>
              <w:t>si bien</w:t>
            </w:r>
            <w:r w:rsidR="00125A79" w:rsidRPr="00571F8B">
              <w:rPr>
                <w:lang w:val="es-ES_tradnl"/>
              </w:rPr>
              <w:t xml:space="preserve"> en cualquier otro caso, o si esas personas hubieran fallecido, no será necesario el consentimien</w:t>
            </w:r>
            <w:r w:rsidR="00D86AD5" w:rsidRPr="00571F8B">
              <w:rPr>
                <w:lang w:val="es-ES_tradnl"/>
              </w:rPr>
              <w:t>t</w:t>
            </w:r>
            <w:r w:rsidR="00223CBB">
              <w:rPr>
                <w:lang w:val="es-ES_tradnl"/>
              </w:rPr>
              <w:t>o"</w:t>
            </w:r>
            <w:r w:rsidR="00973F0D" w:rsidRPr="00571F8B">
              <w:rPr>
                <w:lang w:val="es-ES_tradnl"/>
              </w:rPr>
              <w:t>)</w:t>
            </w:r>
            <w:r w:rsidR="00125A79" w:rsidRPr="00571F8B">
              <w:rPr>
                <w:lang w:val="es-ES_tradnl"/>
              </w:rPr>
              <w:t xml:space="preserve">. </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C. </w:t>
            </w:r>
            <w:r w:rsidR="00125A79" w:rsidRPr="00571F8B">
              <w:rPr>
                <w:lang w:val="es-ES_tradnl"/>
              </w:rPr>
              <w:t xml:space="preserve">Artículo 39 </w:t>
            </w:r>
            <w:r w:rsidRPr="00571F8B">
              <w:rPr>
                <w:lang w:val="es-ES_tradnl"/>
              </w:rPr>
              <w:t xml:space="preserve">c), </w:t>
            </w:r>
            <w:r w:rsidR="00125A79" w:rsidRPr="00571F8B">
              <w:rPr>
                <w:lang w:val="es-ES_tradnl"/>
              </w:rPr>
              <w:t xml:space="preserve">mediante la eliminación de las palabras </w:t>
            </w:r>
            <w:r w:rsidR="001D2A53">
              <w:rPr>
                <w:i/>
                <w:lang w:val="es-ES_tradnl"/>
              </w:rPr>
              <w:t>"</w:t>
            </w:r>
            <w:r w:rsidR="00125A79" w:rsidRPr="00571F8B">
              <w:rPr>
                <w:i/>
                <w:lang w:val="es-ES_tradnl"/>
              </w:rPr>
              <w:t>wife had</w:t>
            </w:r>
            <w:r w:rsidR="001D2A53">
              <w:rPr>
                <w:i/>
                <w:lang w:val="es-ES_tradnl"/>
              </w:rPr>
              <w:t>"</w:t>
            </w:r>
            <w:r w:rsidR="00973F0D" w:rsidRPr="00571F8B">
              <w:rPr>
                <w:lang w:val="es-ES_tradnl"/>
              </w:rPr>
              <w:t xml:space="preserve"> (</w:t>
            </w:r>
            <w:r w:rsidR="00223CBB">
              <w:rPr>
                <w:lang w:val="es-ES_tradnl"/>
              </w:rPr>
              <w:t>"esposa hubiera"</w:t>
            </w:r>
            <w:r w:rsidR="00125A79" w:rsidRPr="00571F8B">
              <w:rPr>
                <w:lang w:val="es-ES_tradnl"/>
              </w:rPr>
              <w:t xml:space="preserve">) y su sustitución con las palabras </w:t>
            </w:r>
            <w:r w:rsidR="001D2A53">
              <w:rPr>
                <w:i/>
                <w:lang w:val="es-ES_tradnl"/>
              </w:rPr>
              <w:t>"</w:t>
            </w:r>
            <w:r w:rsidR="00125A79" w:rsidRPr="00571F8B">
              <w:rPr>
                <w:i/>
                <w:lang w:val="es-ES_tradnl"/>
              </w:rPr>
              <w:t>the person had</w:t>
            </w:r>
            <w:r w:rsidR="001D2A53">
              <w:rPr>
                <w:i/>
                <w:lang w:val="es-ES_tradnl"/>
              </w:rPr>
              <w:t>"</w:t>
            </w:r>
            <w:r w:rsidR="00973F0D" w:rsidRPr="00571F8B">
              <w:rPr>
                <w:lang w:val="es-ES_tradnl"/>
              </w:rPr>
              <w:t xml:space="preserve"> (</w:t>
            </w:r>
            <w:r w:rsidR="00223CBB">
              <w:rPr>
                <w:lang w:val="es-ES_tradnl"/>
              </w:rPr>
              <w:t>"la persona hubiera"</w:t>
            </w:r>
            <w:r w:rsidR="00973F0D" w:rsidRPr="00571F8B">
              <w:rPr>
                <w:lang w:val="es-ES_tradnl"/>
              </w:rPr>
              <w:t>)</w:t>
            </w:r>
            <w:r w:rsidR="00125A79" w:rsidRPr="00571F8B">
              <w:rPr>
                <w:lang w:val="es-ES_tradnl"/>
              </w:rPr>
              <w:t xml:space="preserve">. </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D. </w:t>
            </w:r>
            <w:r w:rsidR="00125A79" w:rsidRPr="00571F8B">
              <w:rPr>
                <w:lang w:val="es-ES_tradnl"/>
              </w:rPr>
              <w:t xml:space="preserve">Artículo 64 </w:t>
            </w:r>
            <w:r w:rsidRPr="00571F8B">
              <w:rPr>
                <w:lang w:val="es-ES_tradnl"/>
              </w:rPr>
              <w:t xml:space="preserve">1), </w:t>
            </w:r>
            <w:r w:rsidR="00125A79" w:rsidRPr="00571F8B">
              <w:rPr>
                <w:lang w:val="es-ES_tradnl"/>
              </w:rPr>
              <w:t xml:space="preserve">mediante la eliminación del término </w:t>
            </w:r>
            <w:r w:rsidR="001D2A53">
              <w:rPr>
                <w:i/>
                <w:lang w:val="es-ES_tradnl"/>
              </w:rPr>
              <w:t>"</w:t>
            </w:r>
            <w:r w:rsidRPr="00571F8B">
              <w:rPr>
                <w:i/>
                <w:lang w:val="es-ES_tradnl"/>
              </w:rPr>
              <w:t>infant</w:t>
            </w:r>
            <w:r w:rsidR="001D2A53">
              <w:rPr>
                <w:i/>
                <w:lang w:val="es-ES_tradnl"/>
              </w:rPr>
              <w:t>"</w:t>
            </w:r>
            <w:r w:rsidRPr="00571F8B">
              <w:rPr>
                <w:lang w:val="es-ES_tradnl"/>
              </w:rPr>
              <w:t xml:space="preserve"> </w:t>
            </w:r>
            <w:r w:rsidR="002720D0" w:rsidRPr="00571F8B">
              <w:rPr>
                <w:lang w:val="es-ES_tradnl"/>
              </w:rPr>
              <w:t>(</w:t>
            </w:r>
            <w:r w:rsidR="00223CBB">
              <w:rPr>
                <w:lang w:val="es-ES_tradnl"/>
              </w:rPr>
              <w:t>"</w:t>
            </w:r>
            <w:r w:rsidR="002720D0" w:rsidRPr="00571F8B">
              <w:rPr>
                <w:lang w:val="es-ES_tradnl"/>
              </w:rPr>
              <w:t>lactante</w:t>
            </w:r>
            <w:r w:rsidR="00223CBB">
              <w:rPr>
                <w:lang w:val="es-ES_tradnl"/>
              </w:rPr>
              <w:t>"</w:t>
            </w:r>
            <w:r w:rsidR="00DD36A5" w:rsidRPr="00571F8B">
              <w:rPr>
                <w:lang w:val="es-ES_tradnl"/>
              </w:rPr>
              <w:t xml:space="preserve">) que aparece junto con las palabras </w:t>
            </w:r>
            <w:r w:rsidR="001D2A53">
              <w:rPr>
                <w:i/>
                <w:lang w:val="es-ES_tradnl"/>
              </w:rPr>
              <w:t>"</w:t>
            </w:r>
            <w:r w:rsidRPr="00571F8B">
              <w:rPr>
                <w:i/>
                <w:lang w:val="es-ES_tradnl"/>
              </w:rPr>
              <w:t>the</w:t>
            </w:r>
            <w:r w:rsidR="001D2A53">
              <w:rPr>
                <w:i/>
                <w:lang w:val="es-ES_tradnl"/>
              </w:rPr>
              <w:t>"</w:t>
            </w:r>
            <w:r w:rsidRPr="00571F8B">
              <w:rPr>
                <w:lang w:val="es-ES_tradnl"/>
              </w:rPr>
              <w:t xml:space="preserve"> </w:t>
            </w:r>
            <w:r w:rsidR="00DD36A5" w:rsidRPr="00571F8B">
              <w:rPr>
                <w:lang w:val="es-ES_tradnl"/>
              </w:rPr>
              <w:t>y</w:t>
            </w:r>
            <w:r w:rsidRPr="00571F8B">
              <w:rPr>
                <w:lang w:val="es-ES_tradnl"/>
              </w:rPr>
              <w:t xml:space="preserve"> </w:t>
            </w:r>
            <w:r w:rsidR="001D2A53">
              <w:rPr>
                <w:i/>
                <w:lang w:val="es-ES_tradnl"/>
              </w:rPr>
              <w:t>"</w:t>
            </w:r>
            <w:r w:rsidRPr="00571F8B">
              <w:rPr>
                <w:i/>
                <w:lang w:val="es-ES_tradnl"/>
              </w:rPr>
              <w:t>children</w:t>
            </w:r>
            <w:r w:rsidR="001D2A53">
              <w:rPr>
                <w:i/>
                <w:lang w:val="es-ES_tradnl"/>
              </w:rPr>
              <w:t>"</w:t>
            </w:r>
            <w:r w:rsidR="00DD36A5" w:rsidRPr="00571F8B">
              <w:rPr>
                <w:i/>
                <w:lang w:val="es-ES_tradnl"/>
              </w:rPr>
              <w:t xml:space="preserve"> </w:t>
            </w:r>
            <w:r w:rsidR="00973F0D" w:rsidRPr="00571F8B">
              <w:rPr>
                <w:lang w:val="es-ES_tradnl"/>
              </w:rPr>
              <w:t>(</w:t>
            </w:r>
            <w:r w:rsidR="00223CBB">
              <w:rPr>
                <w:lang w:val="es-ES_tradnl"/>
              </w:rPr>
              <w:t>"</w:t>
            </w:r>
            <w:r w:rsidR="00973F0D" w:rsidRPr="00571F8B">
              <w:rPr>
                <w:lang w:val="es-ES_tradnl"/>
              </w:rPr>
              <w:t>los</w:t>
            </w:r>
            <w:r w:rsidR="00223CBB">
              <w:rPr>
                <w:lang w:val="es-ES_tradnl"/>
              </w:rPr>
              <w:t xml:space="preserve"> niños"</w:t>
            </w:r>
            <w:r w:rsidR="00DD36A5"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E. </w:t>
            </w:r>
            <w:r w:rsidR="00DD36A5" w:rsidRPr="00571F8B">
              <w:rPr>
                <w:lang w:val="es-ES_tradnl"/>
              </w:rPr>
              <w:t>Artículo</w:t>
            </w:r>
            <w:r w:rsidRPr="00571F8B">
              <w:rPr>
                <w:lang w:val="es-ES_tradnl"/>
              </w:rPr>
              <w:t xml:space="preserve"> 67, </w:t>
            </w:r>
            <w:r w:rsidR="00DD36A5" w:rsidRPr="00571F8B">
              <w:rPr>
                <w:lang w:val="es-ES_tradnl"/>
              </w:rPr>
              <w:t xml:space="preserve">mediante la eliminación de la palabra </w:t>
            </w:r>
            <w:r w:rsidR="001D2A53">
              <w:rPr>
                <w:i/>
                <w:lang w:val="es-ES_tradnl"/>
              </w:rPr>
              <w:t>"</w:t>
            </w:r>
            <w:r w:rsidRPr="00571F8B">
              <w:rPr>
                <w:i/>
                <w:lang w:val="es-ES_tradnl"/>
              </w:rPr>
              <w:t>infant</w:t>
            </w:r>
            <w:r w:rsidR="001D2A53">
              <w:rPr>
                <w:i/>
                <w:lang w:val="es-ES_tradnl"/>
              </w:rPr>
              <w:t>"</w:t>
            </w:r>
            <w:r w:rsidR="00DD36A5" w:rsidRPr="00571F8B">
              <w:rPr>
                <w:i/>
                <w:lang w:val="es-ES_tradnl"/>
              </w:rPr>
              <w:t xml:space="preserve"> </w:t>
            </w:r>
            <w:r w:rsidR="00973F0D" w:rsidRPr="00571F8B">
              <w:rPr>
                <w:lang w:val="es-ES_tradnl"/>
              </w:rPr>
              <w:t>(</w:t>
            </w:r>
            <w:r w:rsidR="00223CBB">
              <w:rPr>
                <w:lang w:val="es-ES_tradnl"/>
              </w:rPr>
              <w:t>"lactante"</w:t>
            </w:r>
            <w:r w:rsidR="00DD36A5" w:rsidRPr="00571F8B">
              <w:rPr>
                <w:lang w:val="es-ES_tradnl"/>
              </w:rPr>
              <w:t>)</w:t>
            </w:r>
            <w:r w:rsidRPr="00571F8B">
              <w:rPr>
                <w:i/>
                <w:lang w:val="es-ES_tradnl"/>
              </w:rPr>
              <w:t>.</w:t>
            </w:r>
          </w:p>
        </w:tc>
      </w:tr>
      <w:tr w:rsidR="00151021" w:rsidRPr="00571F8B">
        <w:trPr>
          <w:cantSplit/>
          <w:jc w:val="center"/>
        </w:trPr>
        <w:tc>
          <w:tcPr>
            <w:tcW w:w="1750" w:type="dxa"/>
            <w:shd w:val="clear" w:color="auto" w:fill="auto"/>
          </w:tcPr>
          <w:p w:rsidR="00151021" w:rsidRPr="00571F8B" w:rsidRDefault="00770895" w:rsidP="00571F8B">
            <w:pPr>
              <w:suppressAutoHyphens w:val="0"/>
              <w:autoSpaceDE w:val="0"/>
              <w:autoSpaceDN w:val="0"/>
              <w:adjustRightInd w:val="0"/>
              <w:spacing w:before="40" w:after="120"/>
              <w:ind w:right="113"/>
              <w:rPr>
                <w:lang w:val="es-ES_tradnl"/>
              </w:rPr>
            </w:pPr>
            <w:r w:rsidRPr="00571F8B">
              <w:rPr>
                <w:lang w:val="es-ES_tradnl"/>
              </w:rPr>
              <w:t xml:space="preserve">Ley de </w:t>
            </w:r>
            <w:r w:rsidR="00E44E59" w:rsidRPr="00571F8B">
              <w:rPr>
                <w:lang w:val="es-ES_tradnl"/>
              </w:rPr>
              <w:t xml:space="preserve">Educación </w:t>
            </w:r>
            <w:r w:rsidR="00151021" w:rsidRPr="00571F8B">
              <w:rPr>
                <w:lang w:val="es-ES_tradnl"/>
              </w:rPr>
              <w:t>(1978)</w:t>
            </w:r>
          </w:p>
        </w:tc>
        <w:tc>
          <w:tcPr>
            <w:tcW w:w="1526" w:type="dxa"/>
            <w:shd w:val="clear" w:color="auto" w:fill="auto"/>
          </w:tcPr>
          <w:p w:rsidR="00151021" w:rsidRPr="00571F8B" w:rsidRDefault="00770895" w:rsidP="00571F8B">
            <w:pPr>
              <w:suppressAutoHyphens w:val="0"/>
              <w:spacing w:before="40" w:after="120"/>
              <w:ind w:right="113"/>
              <w:rPr>
                <w:lang w:val="es-ES_tradnl"/>
              </w:rPr>
            </w:pPr>
            <w:r w:rsidRPr="00571F8B">
              <w:rPr>
                <w:lang w:val="es-ES_tradnl"/>
              </w:rPr>
              <w:t>Sección</w:t>
            </w:r>
            <w:r w:rsidR="00151021" w:rsidRPr="00571F8B">
              <w:rPr>
                <w:lang w:val="es-ES_tradnl"/>
              </w:rPr>
              <w:t xml:space="preserve"> 353 </w:t>
            </w:r>
            <w:r w:rsidR="00036F81" w:rsidRPr="00571F8B">
              <w:rPr>
                <w:lang w:val="es-ES_tradnl"/>
              </w:rPr>
              <w:t xml:space="preserve">E.R. </w:t>
            </w:r>
            <w:r w:rsidR="00151021" w:rsidRPr="00571F8B">
              <w:rPr>
                <w:lang w:val="es-ES_tradnl"/>
              </w:rPr>
              <w:t>2002</w:t>
            </w:r>
          </w:p>
        </w:tc>
        <w:tc>
          <w:tcPr>
            <w:tcW w:w="6363" w:type="dxa"/>
            <w:shd w:val="clear" w:color="auto" w:fill="auto"/>
          </w:tcPr>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A. </w:t>
            </w:r>
            <w:r w:rsidR="00770895" w:rsidRPr="00571F8B">
              <w:rPr>
                <w:lang w:val="es-ES_tradnl"/>
              </w:rPr>
              <w:t>Artículo</w:t>
            </w:r>
            <w:r w:rsidRPr="00571F8B">
              <w:rPr>
                <w:lang w:val="es-ES_tradnl"/>
              </w:rPr>
              <w:t xml:space="preserve"> 35, </w:t>
            </w:r>
            <w:r w:rsidR="00770895" w:rsidRPr="00571F8B">
              <w:rPr>
                <w:lang w:val="es-ES_tradnl"/>
              </w:rPr>
              <w:t>mediante la inserción de la disposición siguient</w:t>
            </w:r>
            <w:r w:rsidR="002C5052" w:rsidRPr="00571F8B">
              <w:rPr>
                <w:lang w:val="es-ES_tradnl"/>
              </w:rPr>
              <w:t xml:space="preserve">e a continuación del párrafo 1): </w:t>
            </w:r>
          </w:p>
          <w:p w:rsidR="00151021" w:rsidRPr="00571F8B" w:rsidRDefault="001D2A53" w:rsidP="00122FAE">
            <w:pPr>
              <w:suppressAutoHyphens w:val="0"/>
              <w:autoSpaceDE w:val="0"/>
              <w:autoSpaceDN w:val="0"/>
              <w:adjustRightInd w:val="0"/>
              <w:spacing w:before="40" w:after="120"/>
              <w:ind w:left="170" w:right="113"/>
              <w:rPr>
                <w:lang w:val="es-ES_tradnl"/>
              </w:rPr>
            </w:pPr>
            <w:r>
              <w:rPr>
                <w:i/>
              </w:rPr>
              <w:t>"</w:t>
            </w:r>
            <w:r w:rsidR="00151021" w:rsidRPr="00571F8B">
              <w:rPr>
                <w:i/>
              </w:rPr>
              <w:t>1A. Without prejudice to subsection (1), no child of the age of seven or above shall be refused enrolment in a school.</w:t>
            </w:r>
            <w:r>
              <w:rPr>
                <w:i/>
              </w:rPr>
              <w:t>"</w:t>
            </w:r>
            <w:r w:rsidR="002C5052" w:rsidRPr="00571F8B">
              <w:rPr>
                <w:i/>
              </w:rPr>
              <w:t xml:space="preserve"> </w:t>
            </w:r>
            <w:r w:rsidR="0095271D" w:rsidRPr="00571F8B">
              <w:rPr>
                <w:lang w:val="es-ES_tradnl"/>
              </w:rPr>
              <w:t>(</w:t>
            </w:r>
            <w:r w:rsidR="00B76FC9">
              <w:rPr>
                <w:lang w:val="es-ES_tradnl"/>
              </w:rPr>
              <w:t>"</w:t>
            </w:r>
            <w:r w:rsidR="002C5052" w:rsidRPr="00571F8B">
              <w:rPr>
                <w:lang w:val="es-ES_tradnl"/>
              </w:rPr>
              <w:t xml:space="preserve">Sin perjuicio del párrafo 1), no se </w:t>
            </w:r>
            <w:r w:rsidR="002720D0" w:rsidRPr="00571F8B">
              <w:rPr>
                <w:lang w:val="es-ES_tradnl"/>
              </w:rPr>
              <w:t>de</w:t>
            </w:r>
            <w:r w:rsidR="002C5052" w:rsidRPr="00571F8B">
              <w:rPr>
                <w:lang w:val="es-ES_tradnl"/>
              </w:rPr>
              <w:t xml:space="preserve">negará la matrícula en una escuela a ningún niño que haya </w:t>
            </w:r>
            <w:r w:rsidR="00B76FC9">
              <w:rPr>
                <w:lang w:val="es-ES_tradnl"/>
              </w:rPr>
              <w:t>cumplido los 7 años de edad."</w:t>
            </w:r>
            <w:r w:rsidR="002C5052" w:rsidRPr="00571F8B">
              <w:rPr>
                <w:lang w:val="es-ES_tradnl"/>
              </w:rPr>
              <w:t xml:space="preserve">). </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B. </w:t>
            </w:r>
            <w:r w:rsidR="002C5052" w:rsidRPr="00571F8B">
              <w:rPr>
                <w:lang w:val="es-ES_tradnl"/>
              </w:rPr>
              <w:t>Artículo</w:t>
            </w:r>
            <w:r w:rsidRPr="00571F8B">
              <w:rPr>
                <w:lang w:val="es-ES_tradnl"/>
              </w:rPr>
              <w:t xml:space="preserve"> 59, </w:t>
            </w:r>
            <w:r w:rsidR="002C5052" w:rsidRPr="00571F8B">
              <w:rPr>
                <w:lang w:val="es-ES_tradnl"/>
              </w:rPr>
              <w:t xml:space="preserve">mediante la inserción del siguiente nuevo artículo 59A: </w:t>
            </w:r>
          </w:p>
          <w:p w:rsidR="00151021" w:rsidRPr="00571F8B" w:rsidRDefault="001D2A53" w:rsidP="00122FAE">
            <w:pPr>
              <w:suppressAutoHyphens w:val="0"/>
              <w:autoSpaceDE w:val="0"/>
              <w:autoSpaceDN w:val="0"/>
              <w:adjustRightInd w:val="0"/>
              <w:spacing w:before="40" w:after="120"/>
              <w:ind w:left="170" w:right="113"/>
              <w:rPr>
                <w:i/>
              </w:rPr>
            </w:pPr>
            <w:r>
              <w:rPr>
                <w:i/>
              </w:rPr>
              <w:t>"</w:t>
            </w:r>
            <w:r w:rsidR="00151021" w:rsidRPr="00571F8B">
              <w:rPr>
                <w:i/>
              </w:rPr>
              <w:t>Obligation</w:t>
            </w:r>
            <w:r w:rsidR="003D2ED2" w:rsidRPr="00571F8B">
              <w:rPr>
                <w:i/>
              </w:rPr>
              <w:t xml:space="preserve"> </w:t>
            </w:r>
            <w:r w:rsidR="00151021" w:rsidRPr="00571F8B">
              <w:rPr>
                <w:i/>
              </w:rPr>
              <w:t>59A.</w:t>
            </w:r>
            <w:r w:rsidR="003D2ED2" w:rsidRPr="00571F8B">
              <w:rPr>
                <w:i/>
              </w:rPr>
              <w:t xml:space="preserve"> </w:t>
            </w:r>
            <w:r w:rsidR="00151021" w:rsidRPr="00571F8B">
              <w:rPr>
                <w:i/>
              </w:rPr>
              <w:t>(1) Every teacher, a craftsman and a to report trainer shall be under</w:t>
            </w:r>
            <w:r w:rsidR="00122FAE">
              <w:rPr>
                <w:i/>
              </w:rPr>
              <w:t>:</w:t>
            </w:r>
          </w:p>
          <w:p w:rsidR="00622E97" w:rsidRPr="00571F8B" w:rsidRDefault="00AC273B" w:rsidP="00122FAE">
            <w:pPr>
              <w:tabs>
                <w:tab w:val="left" w:pos="624"/>
              </w:tabs>
              <w:suppressAutoHyphens w:val="0"/>
              <w:autoSpaceDE w:val="0"/>
              <w:autoSpaceDN w:val="0"/>
              <w:adjustRightInd w:val="0"/>
              <w:spacing w:before="40" w:after="120"/>
              <w:ind w:left="340" w:right="113"/>
              <w:rPr>
                <w:i/>
              </w:rPr>
            </w:pPr>
            <w:r w:rsidRPr="00AC273B">
              <w:rPr>
                <w:i/>
                <w:szCs w:val="24"/>
              </w:rPr>
              <w:t>–</w:t>
            </w:r>
            <w:r w:rsidR="00122FAE">
              <w:rPr>
                <w:i/>
              </w:rPr>
              <w:tab/>
            </w:r>
            <w:r w:rsidR="00122FAE" w:rsidRPr="00571F8B">
              <w:rPr>
                <w:i/>
              </w:rPr>
              <w:t xml:space="preserve">The </w:t>
            </w:r>
            <w:r w:rsidR="00151021" w:rsidRPr="00571F8B">
              <w:rPr>
                <w:i/>
              </w:rPr>
              <w:t>general obligation to report evidence or concerns of abuse pe</w:t>
            </w:r>
            <w:r w:rsidR="00622E97" w:rsidRPr="00571F8B">
              <w:rPr>
                <w:i/>
              </w:rPr>
              <w:t>rpetrated</w:t>
            </w:r>
          </w:p>
          <w:p w:rsidR="00151021" w:rsidRPr="00571F8B" w:rsidRDefault="00122FAE" w:rsidP="00122FAE">
            <w:pPr>
              <w:tabs>
                <w:tab w:val="left" w:pos="624"/>
              </w:tabs>
              <w:suppressAutoHyphens w:val="0"/>
              <w:autoSpaceDE w:val="0"/>
              <w:autoSpaceDN w:val="0"/>
              <w:adjustRightInd w:val="0"/>
              <w:spacing w:before="40" w:after="120"/>
              <w:ind w:left="340" w:right="113"/>
              <w:rPr>
                <w:i/>
              </w:rPr>
            </w:pPr>
            <w:r>
              <w:rPr>
                <w:i/>
              </w:rPr>
              <w:t>on</w:t>
            </w:r>
          </w:p>
          <w:p w:rsidR="00151021" w:rsidRPr="00571F8B" w:rsidRDefault="00AC273B" w:rsidP="00122FAE">
            <w:pPr>
              <w:tabs>
                <w:tab w:val="left" w:pos="624"/>
              </w:tabs>
              <w:suppressAutoHyphens w:val="0"/>
              <w:autoSpaceDE w:val="0"/>
              <w:autoSpaceDN w:val="0"/>
              <w:adjustRightInd w:val="0"/>
              <w:spacing w:before="40" w:after="120"/>
              <w:ind w:left="340" w:right="113"/>
              <w:rPr>
                <w:i/>
              </w:rPr>
            </w:pPr>
            <w:r w:rsidRPr="00AC273B">
              <w:rPr>
                <w:i/>
                <w:szCs w:val="24"/>
              </w:rPr>
              <w:t>–</w:t>
            </w:r>
            <w:r w:rsidR="00122FAE">
              <w:rPr>
                <w:i/>
              </w:rPr>
              <w:tab/>
            </w:r>
            <w:r w:rsidR="00122FAE" w:rsidRPr="00571F8B">
              <w:rPr>
                <w:i/>
              </w:rPr>
              <w:t xml:space="preserve">The </w:t>
            </w:r>
            <w:r w:rsidR="00151021" w:rsidRPr="00571F8B">
              <w:rPr>
                <w:i/>
              </w:rPr>
              <w:t>child by any person to the appropriate social welfare officer.</w:t>
            </w:r>
          </w:p>
          <w:p w:rsidR="00151021" w:rsidRPr="00571F8B" w:rsidRDefault="00122FAE" w:rsidP="00122FAE">
            <w:pPr>
              <w:suppressAutoHyphens w:val="0"/>
              <w:autoSpaceDE w:val="0"/>
              <w:autoSpaceDN w:val="0"/>
              <w:adjustRightInd w:val="0"/>
              <w:spacing w:before="40" w:after="120"/>
              <w:ind w:left="170" w:right="113"/>
              <w:rPr>
                <w:i/>
              </w:rPr>
            </w:pPr>
            <w:r>
              <w:rPr>
                <w:i/>
              </w:rPr>
              <w:t>(2)</w:t>
            </w:r>
            <w:r>
              <w:rPr>
                <w:i/>
              </w:rPr>
              <w:tab/>
            </w:r>
            <w:r w:rsidR="00151021" w:rsidRPr="00571F8B">
              <w:rPr>
                <w:i/>
              </w:rPr>
              <w:t>Every teacher, a craftsman and a trainer shall have a duty to ensure that best interest of a pupil is</w:t>
            </w:r>
            <w:r w:rsidR="00E1208B" w:rsidRPr="00571F8B">
              <w:rPr>
                <w:i/>
              </w:rPr>
              <w:t xml:space="preserve"> of a paramount consideration.</w:t>
            </w:r>
            <w:r w:rsidR="001D2A53">
              <w:rPr>
                <w:i/>
              </w:rPr>
              <w:t>"</w:t>
            </w:r>
          </w:p>
          <w:p w:rsidR="002C5052" w:rsidRPr="00571F8B" w:rsidRDefault="002C5052" w:rsidP="00122FAE">
            <w:pPr>
              <w:suppressAutoHyphens w:val="0"/>
              <w:autoSpaceDE w:val="0"/>
              <w:autoSpaceDN w:val="0"/>
              <w:adjustRightInd w:val="0"/>
              <w:spacing w:before="40" w:after="120"/>
              <w:ind w:left="170" w:right="113"/>
              <w:rPr>
                <w:lang w:val="es-ES_tradnl"/>
              </w:rPr>
            </w:pPr>
            <w:r w:rsidRPr="00571F8B">
              <w:rPr>
                <w:lang w:val="es-ES_tradnl"/>
              </w:rPr>
              <w:t>(</w:t>
            </w:r>
            <w:r w:rsidR="00B76FC9">
              <w:rPr>
                <w:lang w:val="es-ES_tradnl"/>
              </w:rPr>
              <w:t>"</w:t>
            </w:r>
            <w:r w:rsidRPr="00571F8B">
              <w:rPr>
                <w:lang w:val="es-ES_tradnl"/>
              </w:rPr>
              <w:t xml:space="preserve">Obligación 59 A. 1) Todos los maestros, artesanos y formadores estarán bajo la obligación general de informar </w:t>
            </w:r>
            <w:r w:rsidR="00836392" w:rsidRPr="00571F8B">
              <w:rPr>
                <w:lang w:val="es-ES_tradnl"/>
              </w:rPr>
              <w:t xml:space="preserve">al correspondiente </w:t>
            </w:r>
            <w:r w:rsidR="0095271D" w:rsidRPr="00571F8B">
              <w:rPr>
                <w:lang w:val="es-ES_tradnl"/>
              </w:rPr>
              <w:t>funcionario</w:t>
            </w:r>
            <w:r w:rsidR="00836392" w:rsidRPr="00571F8B">
              <w:rPr>
                <w:lang w:val="es-ES_tradnl"/>
              </w:rPr>
              <w:t xml:space="preserve"> de bienes</w:t>
            </w:r>
            <w:r w:rsidR="004E5B2C" w:rsidRPr="00571F8B">
              <w:rPr>
                <w:lang w:val="es-ES_tradnl"/>
              </w:rPr>
              <w:t>t</w:t>
            </w:r>
            <w:r w:rsidR="00836392" w:rsidRPr="00571F8B">
              <w:rPr>
                <w:lang w:val="es-ES_tradnl"/>
              </w:rPr>
              <w:t xml:space="preserve">ar social </w:t>
            </w:r>
            <w:r w:rsidRPr="00571F8B">
              <w:rPr>
                <w:lang w:val="es-ES_tradnl"/>
              </w:rPr>
              <w:t xml:space="preserve">de cualquier prueba o sospecha de malos tratos </w:t>
            </w:r>
            <w:r w:rsidR="00836392" w:rsidRPr="00571F8B">
              <w:rPr>
                <w:lang w:val="es-ES_tradnl"/>
              </w:rPr>
              <w:t>infligidos al niño por cualquier persona.</w:t>
            </w:r>
          </w:p>
          <w:p w:rsidR="00836392" w:rsidRPr="00571F8B" w:rsidRDefault="00122FAE" w:rsidP="00122FAE">
            <w:pPr>
              <w:suppressAutoHyphens w:val="0"/>
              <w:autoSpaceDE w:val="0"/>
              <w:autoSpaceDN w:val="0"/>
              <w:adjustRightInd w:val="0"/>
              <w:spacing w:before="40" w:after="120"/>
              <w:ind w:left="170" w:right="113"/>
              <w:rPr>
                <w:lang w:val="es-ES_tradnl"/>
              </w:rPr>
            </w:pPr>
            <w:r>
              <w:rPr>
                <w:lang w:val="es-ES_tradnl"/>
              </w:rPr>
              <w:t>2)</w:t>
            </w:r>
            <w:r>
              <w:rPr>
                <w:lang w:val="es-ES_tradnl"/>
              </w:rPr>
              <w:tab/>
            </w:r>
            <w:r w:rsidR="00836392" w:rsidRPr="00571F8B">
              <w:rPr>
                <w:lang w:val="es-ES_tradnl"/>
              </w:rPr>
              <w:t xml:space="preserve">Todos los maestros, artesanos y formadores estarán obligados a </w:t>
            </w:r>
            <w:r w:rsidR="0095271D" w:rsidRPr="00571F8B">
              <w:rPr>
                <w:lang w:val="es-ES_tradnl"/>
              </w:rPr>
              <w:t>prestar</w:t>
            </w:r>
            <w:r w:rsidR="00836392" w:rsidRPr="00571F8B">
              <w:rPr>
                <w:lang w:val="es-ES_tradnl"/>
              </w:rPr>
              <w:t xml:space="preserve"> la máxima consideración a</w:t>
            </w:r>
            <w:r w:rsidR="00B76FC9">
              <w:rPr>
                <w:lang w:val="es-ES_tradnl"/>
              </w:rPr>
              <w:t>l interés superior del alumno."</w:t>
            </w:r>
            <w:r w:rsidR="0095271D"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C. </w:t>
            </w:r>
            <w:r w:rsidR="00836392" w:rsidRPr="00571F8B">
              <w:rPr>
                <w:lang w:val="es-ES_tradnl"/>
              </w:rPr>
              <w:t>Artículo</w:t>
            </w:r>
            <w:r w:rsidRPr="00571F8B">
              <w:rPr>
                <w:lang w:val="es-ES_tradnl"/>
              </w:rPr>
              <w:t xml:space="preserve"> 60, </w:t>
            </w:r>
            <w:r w:rsidR="00836392" w:rsidRPr="00571F8B">
              <w:rPr>
                <w:lang w:val="es-ES_tradnl"/>
              </w:rPr>
              <w:t>mediante</w:t>
            </w:r>
            <w:r w:rsidRPr="00571F8B">
              <w:rPr>
                <w:lang w:val="es-ES_tradnl"/>
              </w:rPr>
              <w:t>:</w:t>
            </w:r>
          </w:p>
          <w:p w:rsidR="00151021" w:rsidRPr="00571F8B" w:rsidRDefault="009D6096"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151021" w:rsidRPr="00571F8B">
              <w:rPr>
                <w:lang w:val="es-ES_tradnl"/>
              </w:rPr>
              <w:t>a)</w:t>
            </w:r>
            <w:r w:rsidRPr="00571F8B">
              <w:rPr>
                <w:lang w:val="es-ES_tradnl"/>
              </w:rPr>
              <w:tab/>
            </w:r>
            <w:r w:rsidR="00122FAE" w:rsidRPr="00571F8B">
              <w:rPr>
                <w:lang w:val="es-ES_tradnl"/>
              </w:rPr>
              <w:t xml:space="preserve">La </w:t>
            </w:r>
            <w:r w:rsidR="00836392" w:rsidRPr="00571F8B">
              <w:rPr>
                <w:lang w:val="es-ES_tradnl"/>
              </w:rPr>
              <w:t xml:space="preserve">incorporación de un nuevo párrafo </w:t>
            </w:r>
            <w:r w:rsidR="00151021" w:rsidRPr="00571F8B">
              <w:rPr>
                <w:lang w:val="es-ES_tradnl"/>
              </w:rPr>
              <w:t>k)</w:t>
            </w:r>
            <w:r w:rsidR="00836392" w:rsidRPr="00571F8B">
              <w:rPr>
                <w:lang w:val="es-ES_tradnl"/>
              </w:rPr>
              <w:t xml:space="preserve">, como sigue: </w:t>
            </w:r>
            <w:r w:rsidR="001D2A53" w:rsidRPr="00B76FC9">
              <w:rPr>
                <w:i/>
                <w:lang w:val="es-ES_tradnl"/>
              </w:rPr>
              <w:t>"</w:t>
            </w:r>
            <w:r w:rsidR="00151021" w:rsidRPr="00571F8B">
              <w:rPr>
                <w:i/>
                <w:lang w:val="es-ES_tradnl"/>
              </w:rPr>
              <w:t>(k) impregnates a pupil of primary or secondary school.</w:t>
            </w:r>
            <w:r w:rsidR="001D2A53">
              <w:rPr>
                <w:i/>
                <w:lang w:val="es-ES_tradnl"/>
              </w:rPr>
              <w:t>"</w:t>
            </w:r>
            <w:r w:rsidR="0095271D" w:rsidRPr="00B76FC9">
              <w:rPr>
                <w:lang w:val="es-ES_tradnl"/>
              </w:rPr>
              <w:t xml:space="preserve"> </w:t>
            </w:r>
            <w:r w:rsidR="00B76FC9">
              <w:rPr>
                <w:lang w:val="es-ES_tradnl"/>
              </w:rPr>
              <w:t>(</w:t>
            </w:r>
            <w:r w:rsidR="00B76FC9" w:rsidRPr="00B76FC9">
              <w:rPr>
                <w:lang w:val="es-ES_tradnl"/>
              </w:rPr>
              <w:t>"</w:t>
            </w:r>
            <w:r w:rsidR="00836392" w:rsidRPr="00571F8B">
              <w:rPr>
                <w:lang w:val="es-ES_tradnl"/>
              </w:rPr>
              <w:t>k) causaran el emb</w:t>
            </w:r>
            <w:r w:rsidR="004E5B2C" w:rsidRPr="00571F8B">
              <w:rPr>
                <w:lang w:val="es-ES_tradnl"/>
              </w:rPr>
              <w:t>arazo de una alumna de la escuel</w:t>
            </w:r>
            <w:r w:rsidR="00836392" w:rsidRPr="00571F8B">
              <w:rPr>
                <w:lang w:val="es-ES_tradnl"/>
              </w:rPr>
              <w:t>a primaria o secundaria.</w:t>
            </w:r>
            <w:r w:rsidR="00B76FC9">
              <w:rPr>
                <w:lang w:val="es-ES_tradnl"/>
              </w:rPr>
              <w:t>"</w:t>
            </w:r>
            <w:r w:rsidR="0095271D" w:rsidRPr="00571F8B">
              <w:rPr>
                <w:lang w:val="es-ES_tradnl"/>
              </w:rPr>
              <w:t>)</w:t>
            </w:r>
            <w:r w:rsidR="00151021" w:rsidRPr="00B76FC9">
              <w:rPr>
                <w:lang w:val="es-ES_tradnl"/>
              </w:rPr>
              <w:t>;</w:t>
            </w:r>
          </w:p>
          <w:p w:rsidR="00151021" w:rsidRPr="00571F8B" w:rsidRDefault="009D6096" w:rsidP="00122FAE">
            <w:pPr>
              <w:tabs>
                <w:tab w:val="left" w:pos="181"/>
              </w:tabs>
              <w:suppressAutoHyphens w:val="0"/>
              <w:autoSpaceDE w:val="0"/>
              <w:autoSpaceDN w:val="0"/>
              <w:adjustRightInd w:val="0"/>
              <w:spacing w:before="40" w:after="120"/>
              <w:ind w:right="113"/>
              <w:rPr>
                <w:lang w:val="es-ES_tradnl"/>
              </w:rPr>
            </w:pPr>
            <w:r w:rsidRPr="00571F8B">
              <w:rPr>
                <w:lang w:val="es-ES_tradnl"/>
              </w:rPr>
              <w:tab/>
            </w:r>
            <w:r w:rsidR="00151021" w:rsidRPr="00571F8B">
              <w:rPr>
                <w:lang w:val="es-ES_tradnl"/>
              </w:rPr>
              <w:t>b)</w:t>
            </w:r>
            <w:r w:rsidRPr="00571F8B">
              <w:rPr>
                <w:lang w:val="es-ES_tradnl"/>
              </w:rPr>
              <w:tab/>
            </w:r>
            <w:r w:rsidR="00122FAE" w:rsidRPr="00571F8B">
              <w:rPr>
                <w:lang w:val="es-ES_tradnl"/>
              </w:rPr>
              <w:t xml:space="preserve">La </w:t>
            </w:r>
            <w:r w:rsidR="00836392" w:rsidRPr="00571F8B">
              <w:rPr>
                <w:lang w:val="es-ES_tradnl"/>
              </w:rPr>
              <w:t xml:space="preserve">sustitución de las </w:t>
            </w:r>
            <w:r w:rsidR="00CD490A" w:rsidRPr="00571F8B">
              <w:rPr>
                <w:lang w:val="es-ES_tradnl"/>
              </w:rPr>
              <w:t>frases</w:t>
            </w:r>
            <w:r w:rsidR="00012A65" w:rsidRPr="00571F8B">
              <w:rPr>
                <w:lang w:val="es-ES_tradnl"/>
              </w:rPr>
              <w:t xml:space="preserve"> </w:t>
            </w:r>
            <w:r w:rsidR="001D2A53">
              <w:rPr>
                <w:i/>
                <w:lang w:val="es-ES_tradnl"/>
              </w:rPr>
              <w:t>"</w:t>
            </w:r>
            <w:r w:rsidR="00E1208B" w:rsidRPr="00571F8B">
              <w:rPr>
                <w:i/>
                <w:lang w:val="es-ES_tradnl"/>
              </w:rPr>
              <w:t>ten thousand shillings</w:t>
            </w:r>
            <w:r w:rsidR="001D2A53">
              <w:rPr>
                <w:i/>
                <w:lang w:val="es-ES_tradnl"/>
              </w:rPr>
              <w:t>"</w:t>
            </w:r>
            <w:r w:rsidR="00E1208B" w:rsidRPr="00571F8B">
              <w:rPr>
                <w:lang w:val="es-ES_tradnl"/>
              </w:rPr>
              <w:t xml:space="preserve"> </w:t>
            </w:r>
            <w:r w:rsidR="0095271D" w:rsidRPr="00571F8B">
              <w:rPr>
                <w:lang w:val="es-ES_tradnl"/>
              </w:rPr>
              <w:t>(</w:t>
            </w:r>
            <w:r w:rsidR="00B76FC9">
              <w:rPr>
                <w:lang w:val="es-ES_tradnl"/>
              </w:rPr>
              <w:t>"</w:t>
            </w:r>
            <w:r w:rsidR="00CD490A" w:rsidRPr="00571F8B">
              <w:rPr>
                <w:lang w:val="es-ES_tradnl"/>
              </w:rPr>
              <w:t>10.000</w:t>
            </w:r>
            <w:r w:rsidR="00B76FC9">
              <w:rPr>
                <w:lang w:val="es-ES_tradnl"/>
              </w:rPr>
              <w:t xml:space="preserve"> chelines"</w:t>
            </w:r>
            <w:r w:rsidR="00836392" w:rsidRPr="00571F8B">
              <w:rPr>
                <w:lang w:val="es-ES_tradnl"/>
              </w:rPr>
              <w:t>) y las palabras</w:t>
            </w:r>
            <w:r w:rsidR="00E1208B" w:rsidRPr="00571F8B">
              <w:rPr>
                <w:lang w:val="es-ES_tradnl"/>
              </w:rPr>
              <w:t xml:space="preserve"> </w:t>
            </w:r>
            <w:r w:rsidR="001D2A53">
              <w:rPr>
                <w:i/>
                <w:lang w:val="es-ES_tradnl"/>
              </w:rPr>
              <w:t>"</w:t>
            </w:r>
            <w:r w:rsidR="00151021" w:rsidRPr="00571F8B">
              <w:rPr>
                <w:i/>
                <w:lang w:val="es-ES_tradnl"/>
              </w:rPr>
              <w:t>six months</w:t>
            </w:r>
            <w:r w:rsidR="001D2A53">
              <w:rPr>
                <w:i/>
                <w:lang w:val="es-ES_tradnl"/>
              </w:rPr>
              <w:t>"</w:t>
            </w:r>
            <w:r w:rsidR="00151021" w:rsidRPr="00571F8B">
              <w:rPr>
                <w:lang w:val="es-ES_tradnl"/>
              </w:rPr>
              <w:t xml:space="preserve"> </w:t>
            </w:r>
            <w:r w:rsidR="0095271D" w:rsidRPr="00571F8B">
              <w:rPr>
                <w:lang w:val="es-ES_tradnl"/>
              </w:rPr>
              <w:t>(</w:t>
            </w:r>
            <w:r w:rsidR="00B76FC9">
              <w:rPr>
                <w:lang w:val="es-ES_tradnl"/>
              </w:rPr>
              <w:t>"seis meses"</w:t>
            </w:r>
            <w:r w:rsidR="00836392" w:rsidRPr="00571F8B">
              <w:rPr>
                <w:lang w:val="es-ES_tradnl"/>
              </w:rPr>
              <w:t xml:space="preserve">) con las palabras </w:t>
            </w:r>
            <w:r w:rsidR="001D2A53">
              <w:rPr>
                <w:i/>
                <w:lang w:val="es-ES_tradnl"/>
              </w:rPr>
              <w:t>"</w:t>
            </w:r>
            <w:r w:rsidR="001202D8">
              <w:rPr>
                <w:i/>
                <w:lang w:val="es-ES_tradnl"/>
              </w:rPr>
              <w:t>five </w:t>
            </w:r>
            <w:r w:rsidR="00E1208B" w:rsidRPr="00571F8B">
              <w:rPr>
                <w:i/>
                <w:lang w:val="es-ES_tradnl"/>
              </w:rPr>
              <w:t>hundred thousand shillings</w:t>
            </w:r>
            <w:r w:rsidR="001D2A53">
              <w:rPr>
                <w:i/>
                <w:lang w:val="es-ES_tradnl"/>
              </w:rPr>
              <w:t>"</w:t>
            </w:r>
            <w:r w:rsidR="00151021" w:rsidRPr="00571F8B">
              <w:rPr>
                <w:lang w:val="es-ES_tradnl"/>
              </w:rPr>
              <w:t xml:space="preserve"> </w:t>
            </w:r>
            <w:r w:rsidR="0095271D" w:rsidRPr="00571F8B">
              <w:rPr>
                <w:lang w:val="es-ES_tradnl"/>
              </w:rPr>
              <w:t>(</w:t>
            </w:r>
            <w:r w:rsidR="00B76FC9">
              <w:rPr>
                <w:lang w:val="es-ES_tradnl"/>
              </w:rPr>
              <w:t>"</w:t>
            </w:r>
            <w:r w:rsidR="00CD490A" w:rsidRPr="00571F8B">
              <w:rPr>
                <w:lang w:val="es-ES_tradnl"/>
              </w:rPr>
              <w:t>500.000</w:t>
            </w:r>
            <w:r w:rsidR="00B76FC9">
              <w:rPr>
                <w:lang w:val="es-ES_tradnl"/>
              </w:rPr>
              <w:t xml:space="preserve"> chelines"</w:t>
            </w:r>
            <w:r w:rsidR="0095271D" w:rsidRPr="00571F8B">
              <w:rPr>
                <w:lang w:val="es-ES_tradnl"/>
              </w:rPr>
              <w:t>)</w:t>
            </w:r>
            <w:r w:rsidR="00836392" w:rsidRPr="00571F8B">
              <w:rPr>
                <w:lang w:val="es-ES_tradnl"/>
              </w:rPr>
              <w:t xml:space="preserve"> y</w:t>
            </w:r>
            <w:r w:rsidR="00151021" w:rsidRPr="00571F8B">
              <w:rPr>
                <w:lang w:val="es-ES_tradnl"/>
              </w:rPr>
              <w:t xml:space="preserve"> </w:t>
            </w:r>
            <w:r w:rsidR="001D2A53">
              <w:rPr>
                <w:i/>
                <w:lang w:val="es-ES_tradnl"/>
              </w:rPr>
              <w:t>"</w:t>
            </w:r>
            <w:r w:rsidR="00151021" w:rsidRPr="00571F8B">
              <w:rPr>
                <w:i/>
                <w:lang w:val="es-ES_tradnl"/>
              </w:rPr>
              <w:t>three years</w:t>
            </w:r>
            <w:r w:rsidR="001D2A53">
              <w:rPr>
                <w:i/>
                <w:lang w:val="es-ES_tradnl"/>
              </w:rPr>
              <w:t>"</w:t>
            </w:r>
            <w:r w:rsidR="00151021" w:rsidRPr="00571F8B">
              <w:rPr>
                <w:lang w:val="es-ES_tradnl"/>
              </w:rPr>
              <w:t xml:space="preserve"> </w:t>
            </w:r>
            <w:r w:rsidR="0095271D" w:rsidRPr="00571F8B">
              <w:rPr>
                <w:lang w:val="es-ES_tradnl"/>
              </w:rPr>
              <w:t>(</w:t>
            </w:r>
            <w:r w:rsidR="001202D8">
              <w:rPr>
                <w:lang w:val="es-ES_tradnl"/>
              </w:rPr>
              <w:t>"tres </w:t>
            </w:r>
            <w:r w:rsidR="00B76FC9">
              <w:rPr>
                <w:lang w:val="es-ES_tradnl"/>
              </w:rPr>
              <w:t>años"</w:t>
            </w:r>
            <w:r w:rsidR="00836392" w:rsidRPr="00571F8B">
              <w:rPr>
                <w:lang w:val="es-ES_tradnl"/>
              </w:rPr>
              <w:t xml:space="preserve">), respectivamente. </w:t>
            </w:r>
          </w:p>
        </w:tc>
      </w:tr>
      <w:tr w:rsidR="00151021" w:rsidRPr="00571F8B">
        <w:trPr>
          <w:cantSplit/>
          <w:jc w:val="center"/>
        </w:trPr>
        <w:tc>
          <w:tcPr>
            <w:tcW w:w="1750" w:type="dxa"/>
            <w:shd w:val="clear" w:color="auto" w:fill="auto"/>
          </w:tcPr>
          <w:p w:rsidR="00151021" w:rsidRPr="00571F8B" w:rsidRDefault="007C3A33" w:rsidP="00571F8B">
            <w:pPr>
              <w:suppressAutoHyphens w:val="0"/>
              <w:autoSpaceDE w:val="0"/>
              <w:autoSpaceDN w:val="0"/>
              <w:adjustRightInd w:val="0"/>
              <w:spacing w:before="40" w:after="120"/>
              <w:ind w:right="113"/>
              <w:rPr>
                <w:lang w:val="es-ES_tradnl"/>
              </w:rPr>
            </w:pPr>
            <w:r w:rsidRPr="00571F8B">
              <w:rPr>
                <w:lang w:val="es-ES_tradnl"/>
              </w:rPr>
              <w:t xml:space="preserve">Ley de </w:t>
            </w:r>
            <w:r w:rsidR="00E44E59" w:rsidRPr="00571F8B">
              <w:rPr>
                <w:lang w:val="es-ES_tradnl"/>
              </w:rPr>
              <w:t xml:space="preserve">Empleo </w:t>
            </w:r>
            <w:r w:rsidRPr="00571F8B">
              <w:rPr>
                <w:lang w:val="es-ES_tradnl"/>
              </w:rPr>
              <w:t xml:space="preserve">y </w:t>
            </w:r>
            <w:r w:rsidR="00E44E59" w:rsidRPr="00571F8B">
              <w:rPr>
                <w:lang w:val="es-ES_tradnl"/>
              </w:rPr>
              <w:t xml:space="preserve">Relaciones Laborales </w:t>
            </w:r>
          </w:p>
        </w:tc>
        <w:tc>
          <w:tcPr>
            <w:tcW w:w="1526" w:type="dxa"/>
            <w:shd w:val="clear" w:color="auto" w:fill="auto"/>
          </w:tcPr>
          <w:p w:rsidR="00151021" w:rsidRPr="00571F8B" w:rsidRDefault="004E6EE9" w:rsidP="00571F8B">
            <w:pPr>
              <w:suppressAutoHyphens w:val="0"/>
              <w:spacing w:before="40" w:after="120"/>
              <w:ind w:right="113"/>
              <w:rPr>
                <w:lang w:val="es-ES_tradnl"/>
              </w:rPr>
            </w:pPr>
            <w:r w:rsidRPr="00571F8B">
              <w:rPr>
                <w:lang w:val="es-ES_tradnl"/>
              </w:rPr>
              <w:t>Sección</w:t>
            </w:r>
            <w:r w:rsidR="00151021" w:rsidRPr="00571F8B">
              <w:rPr>
                <w:lang w:val="es-ES_tradnl"/>
              </w:rPr>
              <w:t xml:space="preserve"> 366 </w:t>
            </w:r>
            <w:r w:rsidR="00036F81" w:rsidRPr="00571F8B">
              <w:rPr>
                <w:lang w:val="es-ES_tradnl"/>
              </w:rPr>
              <w:t>E.R.</w:t>
            </w:r>
            <w:r w:rsidR="00151021" w:rsidRPr="00571F8B">
              <w:rPr>
                <w:lang w:val="es-ES_tradnl"/>
              </w:rPr>
              <w:t xml:space="preserve"> 2002</w:t>
            </w:r>
          </w:p>
        </w:tc>
        <w:tc>
          <w:tcPr>
            <w:tcW w:w="6363" w:type="dxa"/>
            <w:shd w:val="clear" w:color="auto" w:fill="auto"/>
          </w:tcPr>
          <w:p w:rsidR="00151021" w:rsidRPr="00571F8B" w:rsidRDefault="004E6EE9" w:rsidP="00571F8B">
            <w:pPr>
              <w:suppressAutoHyphens w:val="0"/>
              <w:autoSpaceDE w:val="0"/>
              <w:autoSpaceDN w:val="0"/>
              <w:adjustRightInd w:val="0"/>
              <w:spacing w:before="40" w:after="120"/>
              <w:ind w:right="113"/>
              <w:rPr>
                <w:lang w:val="es-ES_tradnl"/>
              </w:rPr>
            </w:pPr>
            <w:r w:rsidRPr="00571F8B">
              <w:rPr>
                <w:lang w:val="es-ES_tradnl"/>
              </w:rPr>
              <w:t>Artículo 5, mediante</w:t>
            </w:r>
            <w:r w:rsidR="00151021" w:rsidRPr="00571F8B">
              <w:rPr>
                <w:lang w:val="es-ES_tradnl"/>
              </w:rPr>
              <w:t>:</w:t>
            </w:r>
          </w:p>
          <w:p w:rsidR="00151021" w:rsidRPr="00571F8B" w:rsidRDefault="004E6EE9"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622E97" w:rsidRPr="00571F8B">
              <w:rPr>
                <w:lang w:val="es-ES_tradnl"/>
              </w:rPr>
              <w:t>a)</w:t>
            </w:r>
            <w:r w:rsidR="00622E97" w:rsidRPr="00571F8B">
              <w:rPr>
                <w:lang w:val="es-ES_tradnl"/>
              </w:rPr>
              <w:tab/>
            </w:r>
            <w:r w:rsidR="00122FAE" w:rsidRPr="00571F8B">
              <w:rPr>
                <w:lang w:val="es-ES_tradnl"/>
              </w:rPr>
              <w:t xml:space="preserve">La </w:t>
            </w:r>
            <w:r w:rsidRPr="00571F8B">
              <w:rPr>
                <w:lang w:val="es-ES_tradnl"/>
              </w:rPr>
              <w:t xml:space="preserve">inclusión de las palabras </w:t>
            </w:r>
            <w:r w:rsidR="001D2A53">
              <w:rPr>
                <w:i/>
                <w:lang w:val="es-ES_tradnl"/>
              </w:rPr>
              <w:t>"</w:t>
            </w:r>
            <w:r w:rsidRPr="00571F8B">
              <w:rPr>
                <w:i/>
                <w:lang w:val="es-ES_tradnl"/>
              </w:rPr>
              <w:t>and training</w:t>
            </w:r>
            <w:r w:rsidR="001D2A53">
              <w:rPr>
                <w:i/>
                <w:lang w:val="es-ES_tradnl"/>
              </w:rPr>
              <w:t xml:space="preserve">" </w:t>
            </w:r>
            <w:r w:rsidR="0095271D" w:rsidRPr="00571F8B">
              <w:rPr>
                <w:lang w:val="es-ES_tradnl"/>
              </w:rPr>
              <w:t>(</w:t>
            </w:r>
            <w:r w:rsidR="00B76FC9">
              <w:rPr>
                <w:lang w:val="es-ES_tradnl"/>
              </w:rPr>
              <w:t>"y formación"</w:t>
            </w:r>
            <w:r w:rsidRPr="00571F8B">
              <w:rPr>
                <w:lang w:val="es-ES_tradnl"/>
              </w:rPr>
              <w:t xml:space="preserve">) en el párrafo 6 </w:t>
            </w:r>
            <w:r w:rsidR="00151021" w:rsidRPr="00571F8B">
              <w:rPr>
                <w:lang w:val="es-ES_tradnl"/>
              </w:rPr>
              <w:t>a)</w:t>
            </w:r>
            <w:r w:rsidRPr="00571F8B">
              <w:rPr>
                <w:lang w:val="es-ES_tradnl"/>
              </w:rPr>
              <w:t>, entre las palabras</w:t>
            </w:r>
            <w:r w:rsidR="00151021" w:rsidRPr="00571F8B">
              <w:rPr>
                <w:lang w:val="es-ES_tradnl"/>
              </w:rPr>
              <w:t xml:space="preserve"> </w:t>
            </w:r>
            <w:r w:rsidR="001D2A53">
              <w:rPr>
                <w:i/>
                <w:lang w:val="es-ES_tradnl"/>
              </w:rPr>
              <w:t>"</w:t>
            </w:r>
            <w:r w:rsidR="00151021" w:rsidRPr="00571F8B">
              <w:rPr>
                <w:i/>
                <w:lang w:val="es-ES_tradnl"/>
              </w:rPr>
              <w:t>employment</w:t>
            </w:r>
            <w:r w:rsidR="001D2A53">
              <w:rPr>
                <w:i/>
                <w:lang w:val="es-ES_tradnl"/>
              </w:rPr>
              <w:t>"</w:t>
            </w:r>
            <w:r w:rsidR="0095271D" w:rsidRPr="00571F8B">
              <w:rPr>
                <w:lang w:val="es-ES_tradnl"/>
              </w:rPr>
              <w:t xml:space="preserve"> (</w:t>
            </w:r>
            <w:r w:rsidR="00B76FC9">
              <w:rPr>
                <w:lang w:val="es-ES_tradnl"/>
              </w:rPr>
              <w:t>"empleo"</w:t>
            </w:r>
            <w:r w:rsidRPr="00571F8B">
              <w:rPr>
                <w:lang w:val="es-ES_tradnl"/>
              </w:rPr>
              <w:t xml:space="preserve">) y </w:t>
            </w:r>
            <w:r w:rsidR="001D2A53">
              <w:rPr>
                <w:i/>
                <w:lang w:val="es-ES_tradnl"/>
              </w:rPr>
              <w:t>"</w:t>
            </w:r>
            <w:r w:rsidR="00151021" w:rsidRPr="00571F8B">
              <w:rPr>
                <w:i/>
                <w:lang w:val="es-ES_tradnl"/>
              </w:rPr>
              <w:t>of</w:t>
            </w:r>
            <w:r w:rsidR="001D2A53">
              <w:rPr>
                <w:i/>
                <w:lang w:val="es-ES_tradnl"/>
              </w:rPr>
              <w:t>"</w:t>
            </w:r>
            <w:r w:rsidRPr="00571F8B">
              <w:rPr>
                <w:i/>
                <w:lang w:val="es-ES_tradnl"/>
              </w:rPr>
              <w:t xml:space="preserve"> </w:t>
            </w:r>
            <w:r w:rsidR="0095271D" w:rsidRPr="00571F8B">
              <w:rPr>
                <w:lang w:val="es-ES_tradnl"/>
              </w:rPr>
              <w:t>(</w:t>
            </w:r>
            <w:r w:rsidR="00B76FC9">
              <w:rPr>
                <w:lang w:val="es-ES_tradnl"/>
              </w:rPr>
              <w:t>"de"</w:t>
            </w:r>
            <w:r w:rsidRPr="00571F8B">
              <w:rPr>
                <w:lang w:val="es-ES_tradnl"/>
              </w:rPr>
              <w:t>)</w:t>
            </w:r>
            <w:r w:rsidR="001202D8">
              <w:rPr>
                <w:lang w:val="es-ES_tradnl"/>
              </w:rPr>
              <w:t>;</w:t>
            </w:r>
          </w:p>
          <w:p w:rsidR="00151021" w:rsidRPr="00571F8B" w:rsidRDefault="00BE78CB"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622E97" w:rsidRPr="00571F8B">
              <w:rPr>
                <w:lang w:val="es-ES_tradnl"/>
              </w:rPr>
              <w:t>b)</w:t>
            </w:r>
            <w:r w:rsidR="00622E97" w:rsidRPr="00571F8B">
              <w:rPr>
                <w:lang w:val="es-ES_tradnl"/>
              </w:rPr>
              <w:tab/>
            </w:r>
            <w:r w:rsidR="00122FAE" w:rsidRPr="00571F8B">
              <w:rPr>
                <w:lang w:val="es-ES_tradnl"/>
              </w:rPr>
              <w:t xml:space="preserve">La </w:t>
            </w:r>
            <w:r w:rsidRPr="00571F8B">
              <w:rPr>
                <w:lang w:val="es-ES_tradnl"/>
              </w:rPr>
              <w:t xml:space="preserve">inclusión del párrafo siguiente: </w:t>
            </w:r>
          </w:p>
          <w:p w:rsidR="00151021" w:rsidRPr="00571F8B" w:rsidRDefault="001D2A53" w:rsidP="00122FAE">
            <w:pPr>
              <w:suppressAutoHyphens w:val="0"/>
              <w:autoSpaceDE w:val="0"/>
              <w:autoSpaceDN w:val="0"/>
              <w:adjustRightInd w:val="0"/>
              <w:spacing w:before="40" w:after="120"/>
              <w:ind w:left="170" w:right="113"/>
              <w:rPr>
                <w:i/>
                <w:lang w:val="es-ES_tradnl"/>
              </w:rPr>
            </w:pPr>
            <w:r>
              <w:rPr>
                <w:i/>
              </w:rPr>
              <w:t>"</w:t>
            </w:r>
            <w:r w:rsidR="00151021" w:rsidRPr="00571F8B">
              <w:rPr>
                <w:i/>
              </w:rPr>
              <w:t>(9)</w:t>
            </w:r>
            <w:r w:rsidR="00122FAE">
              <w:rPr>
                <w:i/>
              </w:rPr>
              <w:tab/>
            </w:r>
            <w:r w:rsidR="00151021" w:rsidRPr="00571F8B">
              <w:rPr>
                <w:i/>
              </w:rPr>
              <w:t>Without prejudice to the provisions of this section, every employer shall ensure that every child lawfully employed under this Act is protected against discrimination or acts which may have negative effect on the child taking into consideration age and evolving capacities.</w:t>
            </w:r>
            <w:r>
              <w:rPr>
                <w:i/>
              </w:rPr>
              <w:t>"</w:t>
            </w:r>
            <w:r w:rsidR="00BE78CB" w:rsidRPr="00571F8B">
              <w:rPr>
                <w:i/>
              </w:rPr>
              <w:t xml:space="preserve"> </w:t>
            </w:r>
            <w:r w:rsidR="005905A5" w:rsidRPr="00571F8B">
              <w:rPr>
                <w:lang w:val="es-ES_tradnl"/>
              </w:rPr>
              <w:t>(</w:t>
            </w:r>
            <w:r w:rsidR="00B76FC9">
              <w:rPr>
                <w:lang w:val="es-ES_tradnl"/>
              </w:rPr>
              <w:t>"</w:t>
            </w:r>
            <w:r w:rsidR="00BE78CB" w:rsidRPr="00571F8B">
              <w:rPr>
                <w:lang w:val="es-ES_tradnl"/>
              </w:rPr>
              <w:t xml:space="preserve">Sin prejuicio de lo dispuesto en el presente artículo, todos los empleadores velarán por que todos los niños legalmente empleados en virtud de esta </w:t>
            </w:r>
            <w:r w:rsidR="00E44E59" w:rsidRPr="00571F8B">
              <w:rPr>
                <w:lang w:val="es-ES_tradnl"/>
              </w:rPr>
              <w:t>ley</w:t>
            </w:r>
            <w:r w:rsidR="00BE78CB" w:rsidRPr="00571F8B">
              <w:rPr>
                <w:lang w:val="es-ES_tradnl"/>
              </w:rPr>
              <w:t xml:space="preserve"> estén protegidos tanto contra la discriminación como contra aquellos actos que pudieran incidir negativamente sobre el niño en consideración de su edad y de l</w:t>
            </w:r>
            <w:r w:rsidR="005905A5" w:rsidRPr="00571F8B">
              <w:rPr>
                <w:lang w:val="es-ES_tradnl"/>
              </w:rPr>
              <w:t>a evolución de sus capacidades.</w:t>
            </w:r>
            <w:r w:rsidR="00B76FC9">
              <w:rPr>
                <w:lang w:val="es-ES_tradnl"/>
              </w:rPr>
              <w:t>"</w:t>
            </w:r>
            <w:r w:rsidR="00BE78CB" w:rsidRPr="00571F8B">
              <w:rPr>
                <w:lang w:val="es-ES_tradnl"/>
              </w:rPr>
              <w:t xml:space="preserve">) </w:t>
            </w:r>
          </w:p>
        </w:tc>
      </w:tr>
      <w:tr w:rsidR="00520045" w:rsidRPr="00571F8B">
        <w:trPr>
          <w:cantSplit/>
          <w:jc w:val="center"/>
        </w:trPr>
        <w:tc>
          <w:tcPr>
            <w:tcW w:w="1750" w:type="dxa"/>
            <w:shd w:val="clear" w:color="auto" w:fill="auto"/>
          </w:tcPr>
          <w:p w:rsidR="00520045" w:rsidRPr="00571F8B" w:rsidRDefault="0054697B" w:rsidP="00571F8B">
            <w:pPr>
              <w:suppressAutoHyphens w:val="0"/>
              <w:autoSpaceDE w:val="0"/>
              <w:autoSpaceDN w:val="0"/>
              <w:adjustRightInd w:val="0"/>
              <w:spacing w:before="40" w:after="120"/>
              <w:ind w:right="113"/>
              <w:rPr>
                <w:lang w:val="es-ES_tradnl"/>
              </w:rPr>
            </w:pPr>
            <w:r w:rsidRPr="00571F8B">
              <w:rPr>
                <w:lang w:val="es-ES_tradnl"/>
              </w:rPr>
              <w:t xml:space="preserve">Código </w:t>
            </w:r>
            <w:r w:rsidR="00520045" w:rsidRPr="00571F8B">
              <w:rPr>
                <w:lang w:val="es-ES_tradnl"/>
              </w:rPr>
              <w:t xml:space="preserve">Penal </w:t>
            </w:r>
          </w:p>
        </w:tc>
        <w:tc>
          <w:tcPr>
            <w:tcW w:w="1526" w:type="dxa"/>
            <w:shd w:val="clear" w:color="auto" w:fill="auto"/>
          </w:tcPr>
          <w:p w:rsidR="00520045" w:rsidRPr="00571F8B" w:rsidRDefault="0054697B" w:rsidP="00571F8B">
            <w:pPr>
              <w:suppressAutoHyphens w:val="0"/>
              <w:spacing w:before="40" w:after="120"/>
              <w:ind w:right="113"/>
              <w:rPr>
                <w:lang w:val="es-ES_tradnl"/>
              </w:rPr>
            </w:pPr>
            <w:r w:rsidRPr="00571F8B">
              <w:rPr>
                <w:lang w:val="es-ES_tradnl"/>
              </w:rPr>
              <w:t>Sección</w:t>
            </w:r>
            <w:r w:rsidR="00520045" w:rsidRPr="00571F8B">
              <w:rPr>
                <w:lang w:val="es-ES_tradnl"/>
              </w:rPr>
              <w:t xml:space="preserve"> 16 </w:t>
            </w:r>
            <w:r w:rsidR="00036F81" w:rsidRPr="00571F8B">
              <w:rPr>
                <w:lang w:val="es-ES_tradnl"/>
              </w:rPr>
              <w:t>E.R.</w:t>
            </w:r>
            <w:r w:rsidR="00520045" w:rsidRPr="00571F8B">
              <w:rPr>
                <w:lang w:val="es-ES_tradnl"/>
              </w:rPr>
              <w:t xml:space="preserve"> 2002</w:t>
            </w:r>
          </w:p>
        </w:tc>
        <w:tc>
          <w:tcPr>
            <w:tcW w:w="6363" w:type="dxa"/>
            <w:shd w:val="clear" w:color="auto" w:fill="auto"/>
          </w:tcPr>
          <w:p w:rsidR="00520045" w:rsidRPr="00571F8B" w:rsidRDefault="00520045" w:rsidP="00571F8B">
            <w:pPr>
              <w:suppressAutoHyphens w:val="0"/>
              <w:autoSpaceDE w:val="0"/>
              <w:autoSpaceDN w:val="0"/>
              <w:adjustRightInd w:val="0"/>
              <w:spacing w:before="40" w:after="120"/>
              <w:ind w:right="113"/>
              <w:rPr>
                <w:lang w:val="es-ES_tradnl"/>
              </w:rPr>
            </w:pPr>
            <w:r w:rsidRPr="00571F8B">
              <w:rPr>
                <w:lang w:val="es-ES_tradnl"/>
              </w:rPr>
              <w:t xml:space="preserve">A. </w:t>
            </w:r>
            <w:r w:rsidR="0054697B" w:rsidRPr="00571F8B">
              <w:rPr>
                <w:lang w:val="es-ES_tradnl"/>
              </w:rPr>
              <w:t>Artículo</w:t>
            </w:r>
            <w:r w:rsidRPr="00571F8B">
              <w:rPr>
                <w:lang w:val="es-ES_tradnl"/>
              </w:rPr>
              <w:t xml:space="preserve"> 15, </w:t>
            </w:r>
            <w:r w:rsidR="0054697B" w:rsidRPr="00571F8B">
              <w:rPr>
                <w:lang w:val="es-ES_tradnl"/>
              </w:rPr>
              <w:t xml:space="preserve">mediante la inclusión de un nuevo párrafo 4), como sigue: </w:t>
            </w:r>
          </w:p>
          <w:p w:rsidR="00520045" w:rsidRPr="00571F8B" w:rsidRDefault="001D2A53" w:rsidP="001202D8">
            <w:pPr>
              <w:suppressAutoHyphens w:val="0"/>
              <w:autoSpaceDE w:val="0"/>
              <w:autoSpaceDN w:val="0"/>
              <w:adjustRightInd w:val="0"/>
              <w:spacing w:before="40" w:after="120"/>
              <w:ind w:left="170" w:right="113"/>
              <w:rPr>
                <w:lang w:val="es-ES_tradnl"/>
              </w:rPr>
            </w:pPr>
            <w:r>
              <w:rPr>
                <w:i/>
              </w:rPr>
              <w:t>"</w:t>
            </w:r>
            <w:r w:rsidR="001202D8">
              <w:rPr>
                <w:i/>
              </w:rPr>
              <w:t>(4)</w:t>
            </w:r>
            <w:r w:rsidR="001202D8">
              <w:rPr>
                <w:i/>
              </w:rPr>
              <w:tab/>
            </w:r>
            <w:r w:rsidR="00520045" w:rsidRPr="00571F8B">
              <w:rPr>
                <w:i/>
              </w:rPr>
              <w:t>Any person under the age of twelve years who commits an act or omission which is unlawful shall be dealt with under the Law of the Child Act, 2009.</w:t>
            </w:r>
            <w:r>
              <w:rPr>
                <w:i/>
              </w:rPr>
              <w:t>"</w:t>
            </w:r>
            <w:r w:rsidR="007B0088" w:rsidRPr="00571F8B">
              <w:rPr>
                <w:i/>
              </w:rPr>
              <w:t xml:space="preserve"> </w:t>
            </w:r>
            <w:r w:rsidR="005905A5" w:rsidRPr="00571F8B">
              <w:rPr>
                <w:lang w:val="es-ES_tradnl"/>
              </w:rPr>
              <w:t>(</w:t>
            </w:r>
            <w:r w:rsidR="00B76FC9">
              <w:rPr>
                <w:lang w:val="es-ES_tradnl"/>
              </w:rPr>
              <w:t>"4)</w:t>
            </w:r>
            <w:r w:rsidR="001202D8">
              <w:rPr>
                <w:lang w:val="es-ES_tradnl"/>
              </w:rPr>
              <w:t xml:space="preserve">  </w:t>
            </w:r>
            <w:r w:rsidR="007B0088" w:rsidRPr="00571F8B">
              <w:rPr>
                <w:lang w:val="es-ES_tradnl"/>
              </w:rPr>
              <w:t xml:space="preserve">Cualquier persona menor de 12 años de edad que cometa una acción u omisión ilegal será </w:t>
            </w:r>
            <w:r w:rsidR="002720D0" w:rsidRPr="00571F8B">
              <w:rPr>
                <w:lang w:val="es-ES_tradnl"/>
              </w:rPr>
              <w:t>enjuiciada</w:t>
            </w:r>
            <w:r w:rsidR="007B0088" w:rsidRPr="00571F8B">
              <w:rPr>
                <w:lang w:val="es-ES_tradnl"/>
              </w:rPr>
              <w:t xml:space="preserve"> con arreglo </w:t>
            </w:r>
            <w:r w:rsidR="005905A5" w:rsidRPr="00571F8B">
              <w:rPr>
                <w:lang w:val="es-ES_tradnl"/>
              </w:rPr>
              <w:t xml:space="preserve">a la Ley de la </w:t>
            </w:r>
            <w:r w:rsidR="00E44E59" w:rsidRPr="00571F8B">
              <w:rPr>
                <w:lang w:val="es-ES_tradnl"/>
              </w:rPr>
              <w:t xml:space="preserve">Infancia </w:t>
            </w:r>
            <w:r w:rsidR="00B76FC9">
              <w:rPr>
                <w:lang w:val="es-ES_tradnl"/>
              </w:rPr>
              <w:t>de 2009."</w:t>
            </w:r>
            <w:r w:rsidR="007B0088" w:rsidRPr="00571F8B">
              <w:rPr>
                <w:lang w:val="es-ES_tradnl"/>
              </w:rPr>
              <w:t>)</w:t>
            </w:r>
          </w:p>
          <w:p w:rsidR="00520045" w:rsidRPr="00571F8B" w:rsidRDefault="00520045" w:rsidP="00571F8B">
            <w:pPr>
              <w:suppressAutoHyphens w:val="0"/>
              <w:autoSpaceDE w:val="0"/>
              <w:autoSpaceDN w:val="0"/>
              <w:adjustRightInd w:val="0"/>
              <w:spacing w:before="40" w:after="120"/>
              <w:ind w:right="113"/>
              <w:rPr>
                <w:lang w:val="es-ES_tradnl"/>
              </w:rPr>
            </w:pPr>
            <w:r w:rsidRPr="00571F8B">
              <w:rPr>
                <w:lang w:val="es-ES_tradnl"/>
              </w:rPr>
              <w:t xml:space="preserve">B. </w:t>
            </w:r>
            <w:r w:rsidR="007B0088" w:rsidRPr="00571F8B">
              <w:rPr>
                <w:lang w:val="es-ES_tradnl"/>
              </w:rPr>
              <w:t>Artículo</w:t>
            </w:r>
            <w:r w:rsidRPr="00571F8B">
              <w:rPr>
                <w:lang w:val="es-ES_tradnl"/>
              </w:rPr>
              <w:t xml:space="preserve"> 17, </w:t>
            </w:r>
            <w:r w:rsidR="007B0088" w:rsidRPr="00571F8B">
              <w:rPr>
                <w:lang w:val="es-ES_tradnl"/>
              </w:rPr>
              <w:t xml:space="preserve">mediante la inclusión de la frase siguiente a continuación de la palabra </w:t>
            </w:r>
            <w:r w:rsidR="001D2A53">
              <w:rPr>
                <w:i/>
                <w:lang w:val="es-ES_tradnl"/>
              </w:rPr>
              <w:t>"</w:t>
            </w:r>
            <w:r w:rsidRPr="00571F8B">
              <w:rPr>
                <w:i/>
                <w:lang w:val="es-ES_tradnl"/>
              </w:rPr>
              <w:t>offence</w:t>
            </w:r>
            <w:r w:rsidR="001D2A53">
              <w:rPr>
                <w:i/>
                <w:lang w:val="es-ES_tradnl"/>
              </w:rPr>
              <w:t>"</w:t>
            </w:r>
            <w:r w:rsidRPr="00571F8B">
              <w:rPr>
                <w:lang w:val="es-ES_tradnl"/>
              </w:rPr>
              <w:t xml:space="preserve"> </w:t>
            </w:r>
            <w:r w:rsidR="00B76FC9">
              <w:rPr>
                <w:lang w:val="es-ES_tradnl"/>
              </w:rPr>
              <w:t>("infracción"</w:t>
            </w:r>
            <w:r w:rsidR="007B0088" w:rsidRPr="00571F8B">
              <w:rPr>
                <w:lang w:val="es-ES_tradnl"/>
              </w:rPr>
              <w:t xml:space="preserve">) al final del artículo; </w:t>
            </w:r>
            <w:r w:rsidR="001D2A53">
              <w:rPr>
                <w:i/>
                <w:lang w:val="es-ES_tradnl"/>
              </w:rPr>
              <w:t>"</w:t>
            </w:r>
            <w:r w:rsidR="00E1208B" w:rsidRPr="00571F8B">
              <w:rPr>
                <w:i/>
                <w:lang w:val="es-ES_tradnl"/>
              </w:rPr>
              <w:t>unless the offender is a child</w:t>
            </w:r>
            <w:r w:rsidR="001D2A53">
              <w:rPr>
                <w:i/>
                <w:lang w:val="es-ES_tradnl"/>
              </w:rPr>
              <w:t>"</w:t>
            </w:r>
            <w:r w:rsidR="007B0088" w:rsidRPr="00571F8B">
              <w:rPr>
                <w:i/>
                <w:lang w:val="es-ES_tradnl"/>
              </w:rPr>
              <w:t xml:space="preserve"> </w:t>
            </w:r>
            <w:r w:rsidR="005905A5" w:rsidRPr="00571F8B">
              <w:rPr>
                <w:lang w:val="es-ES_tradnl"/>
              </w:rPr>
              <w:t>(</w:t>
            </w:r>
            <w:r w:rsidR="00B76FC9">
              <w:rPr>
                <w:lang w:val="es-ES_tradnl"/>
              </w:rPr>
              <w:t>"</w:t>
            </w:r>
            <w:r w:rsidR="007B0088" w:rsidRPr="00571F8B">
              <w:rPr>
                <w:lang w:val="es-ES_tradnl"/>
              </w:rPr>
              <w:t xml:space="preserve">salvo en aquellos casos </w:t>
            </w:r>
            <w:r w:rsidR="005905A5" w:rsidRPr="00571F8B">
              <w:rPr>
                <w:lang w:val="es-ES_tradnl"/>
              </w:rPr>
              <w:t>en que el infractor sea un niño</w:t>
            </w:r>
            <w:r w:rsidR="00B76FC9">
              <w:rPr>
                <w:lang w:val="es-ES_tradnl"/>
              </w:rPr>
              <w:t>"</w:t>
            </w:r>
            <w:r w:rsidR="007B0088" w:rsidRPr="00571F8B">
              <w:rPr>
                <w:lang w:val="es-ES_tradnl"/>
              </w:rPr>
              <w:t>)</w:t>
            </w:r>
            <w:r w:rsidRPr="00571F8B">
              <w:rPr>
                <w:i/>
                <w:lang w:val="es-ES_tradnl"/>
              </w:rPr>
              <w:t>.</w:t>
            </w:r>
          </w:p>
          <w:p w:rsidR="00520045" w:rsidRPr="00571F8B" w:rsidRDefault="00520045" w:rsidP="00571F8B">
            <w:pPr>
              <w:suppressAutoHyphens w:val="0"/>
              <w:autoSpaceDE w:val="0"/>
              <w:autoSpaceDN w:val="0"/>
              <w:adjustRightInd w:val="0"/>
              <w:spacing w:before="40" w:after="120"/>
              <w:ind w:right="113"/>
              <w:rPr>
                <w:lang w:val="es-ES_tradnl"/>
              </w:rPr>
            </w:pPr>
            <w:r w:rsidRPr="00571F8B">
              <w:rPr>
                <w:lang w:val="es-ES_tradnl"/>
              </w:rPr>
              <w:t xml:space="preserve">C. </w:t>
            </w:r>
            <w:r w:rsidR="000A1F30" w:rsidRPr="00571F8B">
              <w:rPr>
                <w:lang w:val="es-ES_tradnl"/>
              </w:rPr>
              <w:t xml:space="preserve">Artículo </w:t>
            </w:r>
            <w:r w:rsidR="007B0088" w:rsidRPr="00571F8B">
              <w:rPr>
                <w:lang w:val="es-ES_tradnl"/>
              </w:rPr>
              <w:t xml:space="preserve">130 3) </w:t>
            </w:r>
            <w:r w:rsidRPr="00571F8B">
              <w:rPr>
                <w:lang w:val="es-ES_tradnl"/>
              </w:rPr>
              <w:t xml:space="preserve">c), </w:t>
            </w:r>
            <w:r w:rsidR="007B0088" w:rsidRPr="00571F8B">
              <w:rPr>
                <w:lang w:val="es-ES_tradnl"/>
              </w:rPr>
              <w:t xml:space="preserve">mediante la inserción de lo siguiente: </w:t>
            </w:r>
            <w:r w:rsidR="001D2A53">
              <w:rPr>
                <w:i/>
                <w:lang w:val="es-ES_tradnl"/>
              </w:rPr>
              <w:t>"</w:t>
            </w:r>
            <w:r w:rsidRPr="00571F8B">
              <w:rPr>
                <w:i/>
                <w:lang w:val="es-ES_tradnl"/>
              </w:rPr>
              <w:t>schools, day care centre, children</w:t>
            </w:r>
            <w:r w:rsidRPr="001C7E1C">
              <w:rPr>
                <w:i/>
                <w:lang w:val="es-ES_tradnl"/>
              </w:rPr>
              <w:t>'</w:t>
            </w:r>
            <w:r w:rsidRPr="00571F8B">
              <w:rPr>
                <w:i/>
                <w:lang w:val="es-ES_tradnl"/>
              </w:rPr>
              <w:t>s home or any other institution, organization or agency where there is a duty of care</w:t>
            </w:r>
            <w:r w:rsidR="001D2A53">
              <w:rPr>
                <w:i/>
                <w:lang w:val="es-ES_tradnl"/>
              </w:rPr>
              <w:t>"</w:t>
            </w:r>
            <w:r w:rsidRPr="00571F8B">
              <w:rPr>
                <w:i/>
                <w:lang w:val="es-ES_tradnl"/>
              </w:rPr>
              <w:t xml:space="preserve"> </w:t>
            </w:r>
            <w:r w:rsidR="005905A5" w:rsidRPr="00571F8B">
              <w:rPr>
                <w:lang w:val="es-ES_tradnl"/>
              </w:rPr>
              <w:t>(</w:t>
            </w:r>
            <w:r w:rsidR="00B76FC9">
              <w:rPr>
                <w:lang w:val="es-ES_tradnl"/>
              </w:rPr>
              <w:t>"</w:t>
            </w:r>
            <w:r w:rsidR="005905A5" w:rsidRPr="00571F8B">
              <w:rPr>
                <w:lang w:val="es-ES_tradnl"/>
              </w:rPr>
              <w:t>escuela</w:t>
            </w:r>
            <w:r w:rsidR="007B0088" w:rsidRPr="00571F8B">
              <w:rPr>
                <w:lang w:val="es-ES_tradnl"/>
              </w:rPr>
              <w:t>, guardería, centro de acogida para niños o cualquier otra institución, organización o agencia donde e</w:t>
            </w:r>
            <w:r w:rsidR="00904050" w:rsidRPr="00571F8B">
              <w:rPr>
                <w:lang w:val="es-ES_tradnl"/>
              </w:rPr>
              <w:t>x</w:t>
            </w:r>
            <w:r w:rsidR="007B0088" w:rsidRPr="00571F8B">
              <w:rPr>
                <w:lang w:val="es-ES_tradnl"/>
              </w:rPr>
              <w:t>ista e</w:t>
            </w:r>
            <w:r w:rsidR="005905A5" w:rsidRPr="00571F8B">
              <w:rPr>
                <w:lang w:val="es-ES_tradnl"/>
              </w:rPr>
              <w:t>l deber de cuidado</w:t>
            </w:r>
            <w:r w:rsidR="00B76FC9">
              <w:rPr>
                <w:lang w:val="es-ES_tradnl"/>
              </w:rPr>
              <w:t>"</w:t>
            </w:r>
            <w:r w:rsidR="005905A5" w:rsidRPr="00571F8B">
              <w:rPr>
                <w:lang w:val="es-ES_tradnl"/>
              </w:rPr>
              <w:t xml:space="preserve">) </w:t>
            </w:r>
            <w:r w:rsidR="007B0088" w:rsidRPr="00571F8B">
              <w:rPr>
                <w:lang w:val="es-ES_tradnl"/>
              </w:rPr>
              <w:t xml:space="preserve">entre las palabras </w:t>
            </w:r>
            <w:r w:rsidR="001D2A53">
              <w:rPr>
                <w:i/>
                <w:lang w:val="es-ES_tradnl"/>
              </w:rPr>
              <w:t>"</w:t>
            </w:r>
            <w:r w:rsidRPr="00571F8B">
              <w:rPr>
                <w:i/>
                <w:lang w:val="es-ES_tradnl"/>
              </w:rPr>
              <w:t>hospital</w:t>
            </w:r>
            <w:r w:rsidR="001D2A53">
              <w:rPr>
                <w:i/>
                <w:lang w:val="es-ES_tradnl"/>
              </w:rPr>
              <w:t>"</w:t>
            </w:r>
            <w:r w:rsidR="005905A5" w:rsidRPr="00571F8B">
              <w:rPr>
                <w:lang w:val="es-ES_tradnl"/>
              </w:rPr>
              <w:t xml:space="preserve"> (</w:t>
            </w:r>
            <w:r w:rsidR="00B76FC9">
              <w:rPr>
                <w:lang w:val="es-ES_tradnl"/>
              </w:rPr>
              <w:t>"hospital"</w:t>
            </w:r>
            <w:r w:rsidR="007B0088" w:rsidRPr="00571F8B">
              <w:rPr>
                <w:lang w:val="es-ES_tradnl"/>
              </w:rPr>
              <w:t xml:space="preserve">) y </w:t>
            </w:r>
            <w:r w:rsidR="001D2A53">
              <w:rPr>
                <w:i/>
                <w:lang w:val="es-ES_tradnl"/>
              </w:rPr>
              <w:t>"</w:t>
            </w:r>
            <w:r w:rsidRPr="00571F8B">
              <w:rPr>
                <w:i/>
                <w:lang w:val="es-ES_tradnl"/>
              </w:rPr>
              <w:t>takes</w:t>
            </w:r>
            <w:r w:rsidR="00904050" w:rsidRPr="00571F8B">
              <w:rPr>
                <w:i/>
                <w:lang w:val="es-ES_tradnl"/>
              </w:rPr>
              <w:t xml:space="preserve"> advantage</w:t>
            </w:r>
            <w:r w:rsidR="001D2A53">
              <w:rPr>
                <w:i/>
                <w:lang w:val="es-ES_tradnl"/>
              </w:rPr>
              <w:t>"</w:t>
            </w:r>
            <w:r w:rsidR="007B0088" w:rsidRPr="00571F8B">
              <w:rPr>
                <w:i/>
                <w:lang w:val="es-ES_tradnl"/>
              </w:rPr>
              <w:t xml:space="preserve"> </w:t>
            </w:r>
            <w:r w:rsidR="005905A5" w:rsidRPr="00571F8B">
              <w:rPr>
                <w:lang w:val="es-ES_tradnl"/>
              </w:rPr>
              <w:t>(</w:t>
            </w:r>
            <w:r w:rsidR="00B76FC9">
              <w:rPr>
                <w:lang w:val="es-ES_tradnl"/>
              </w:rPr>
              <w:t>"</w:t>
            </w:r>
            <w:r w:rsidR="00904050" w:rsidRPr="00571F8B">
              <w:rPr>
                <w:lang w:val="es-ES_tradnl"/>
              </w:rPr>
              <w:t>se</w:t>
            </w:r>
            <w:r w:rsidR="00B76FC9">
              <w:rPr>
                <w:lang w:val="es-ES_tradnl"/>
              </w:rPr>
              <w:t> </w:t>
            </w:r>
            <w:r w:rsidR="00904050" w:rsidRPr="00571F8B">
              <w:rPr>
                <w:lang w:val="es-ES_tradnl"/>
              </w:rPr>
              <w:t>valga de</w:t>
            </w:r>
            <w:r w:rsidR="00B76FC9">
              <w:rPr>
                <w:lang w:val="es-ES_tradnl"/>
              </w:rPr>
              <w:t>"</w:t>
            </w:r>
            <w:r w:rsidR="007B0088" w:rsidRPr="00571F8B">
              <w:rPr>
                <w:lang w:val="es-ES_tradnl"/>
              </w:rPr>
              <w:t>).</w:t>
            </w:r>
          </w:p>
          <w:p w:rsidR="00520045" w:rsidRPr="00571F8B" w:rsidRDefault="00520045" w:rsidP="00571F8B">
            <w:pPr>
              <w:suppressAutoHyphens w:val="0"/>
              <w:autoSpaceDE w:val="0"/>
              <w:autoSpaceDN w:val="0"/>
              <w:adjustRightInd w:val="0"/>
              <w:spacing w:before="40" w:after="120"/>
              <w:ind w:right="113"/>
              <w:rPr>
                <w:lang w:val="es-ES_tradnl"/>
              </w:rPr>
            </w:pPr>
            <w:r w:rsidRPr="00571F8B">
              <w:rPr>
                <w:lang w:val="es-ES_tradnl"/>
              </w:rPr>
              <w:t xml:space="preserve">D. </w:t>
            </w:r>
            <w:r w:rsidR="007B0088" w:rsidRPr="00571F8B">
              <w:rPr>
                <w:lang w:val="es-ES_tradnl"/>
              </w:rPr>
              <w:t>Artículo 131, como sigue</w:t>
            </w:r>
            <w:r w:rsidR="003D2ED2" w:rsidRPr="00571F8B">
              <w:rPr>
                <w:lang w:val="es-ES_tradnl"/>
              </w:rPr>
              <w:t>:</w:t>
            </w:r>
          </w:p>
          <w:p w:rsidR="00520045"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520045" w:rsidRPr="00571F8B">
              <w:rPr>
                <w:lang w:val="es-ES_tradnl"/>
              </w:rPr>
              <w:t>a)</w:t>
            </w:r>
            <w:r w:rsidRPr="00571F8B">
              <w:rPr>
                <w:lang w:val="es-ES_tradnl"/>
              </w:rPr>
              <w:tab/>
            </w:r>
            <w:r w:rsidR="001202D8" w:rsidRPr="00571F8B">
              <w:rPr>
                <w:lang w:val="es-ES_tradnl"/>
              </w:rPr>
              <w:t xml:space="preserve">En </w:t>
            </w:r>
            <w:r w:rsidR="00A44E2B" w:rsidRPr="00571F8B">
              <w:rPr>
                <w:lang w:val="es-ES_tradnl"/>
              </w:rPr>
              <w:t xml:space="preserve">el párrafo 2) </w:t>
            </w:r>
            <w:r w:rsidR="00520045" w:rsidRPr="00571F8B">
              <w:rPr>
                <w:lang w:val="es-ES_tradnl"/>
              </w:rPr>
              <w:t xml:space="preserve">c), </w:t>
            </w:r>
            <w:r w:rsidR="00A44E2B" w:rsidRPr="00571F8B">
              <w:rPr>
                <w:lang w:val="es-ES_tradnl"/>
              </w:rPr>
              <w:t xml:space="preserve">eliminando la frase </w:t>
            </w:r>
            <w:r w:rsidR="001D2A53">
              <w:rPr>
                <w:i/>
                <w:lang w:val="es-ES_tradnl"/>
              </w:rPr>
              <w:t>"</w:t>
            </w:r>
            <w:r w:rsidR="00520045" w:rsidRPr="00571F8B">
              <w:rPr>
                <w:i/>
                <w:lang w:val="es-ES_tradnl"/>
              </w:rPr>
              <w:t>life imprisonment pursuant to subsection (1)</w:t>
            </w:r>
            <w:r w:rsidR="001D2A53">
              <w:rPr>
                <w:i/>
                <w:lang w:val="es-ES_tradnl"/>
              </w:rPr>
              <w:t>"</w:t>
            </w:r>
            <w:r w:rsidR="00520045" w:rsidRPr="00571F8B">
              <w:rPr>
                <w:i/>
                <w:lang w:val="es-ES_tradnl"/>
              </w:rPr>
              <w:t xml:space="preserve"> </w:t>
            </w:r>
            <w:r w:rsidR="005905A5" w:rsidRPr="00571F8B">
              <w:rPr>
                <w:lang w:val="es-ES_tradnl"/>
              </w:rPr>
              <w:t>(</w:t>
            </w:r>
            <w:r w:rsidR="00B76FC9">
              <w:rPr>
                <w:lang w:val="es-ES_tradnl"/>
              </w:rPr>
              <w:t>"</w:t>
            </w:r>
            <w:r w:rsidR="00A44E2B" w:rsidRPr="00571F8B">
              <w:rPr>
                <w:lang w:val="es-ES_tradnl"/>
              </w:rPr>
              <w:t>cadena perpetua con arreglo al p</w:t>
            </w:r>
            <w:r w:rsidR="005905A5" w:rsidRPr="00571F8B">
              <w:rPr>
                <w:lang w:val="es-ES_tradnl"/>
              </w:rPr>
              <w:t>árrafo 1)</w:t>
            </w:r>
            <w:r w:rsidR="00B76FC9">
              <w:rPr>
                <w:lang w:val="es-ES_tradnl"/>
              </w:rPr>
              <w:t>"</w:t>
            </w:r>
            <w:r w:rsidR="00A44E2B" w:rsidRPr="00571F8B">
              <w:rPr>
                <w:lang w:val="es-ES_tradnl"/>
              </w:rPr>
              <w:t>) y sustituyéndola con la frase</w:t>
            </w:r>
            <w:r w:rsidR="00520045" w:rsidRPr="00571F8B">
              <w:rPr>
                <w:lang w:val="es-ES_tradnl"/>
              </w:rPr>
              <w:t xml:space="preserve"> </w:t>
            </w:r>
            <w:r w:rsidR="001D2A53">
              <w:rPr>
                <w:i/>
                <w:lang w:val="es-ES_tradnl"/>
              </w:rPr>
              <w:t>"</w:t>
            </w:r>
            <w:r w:rsidR="00520045" w:rsidRPr="00571F8B">
              <w:rPr>
                <w:i/>
                <w:lang w:val="es-ES_tradnl"/>
              </w:rPr>
              <w:t>five years with</w:t>
            </w:r>
            <w:r w:rsidRPr="00571F8B">
              <w:rPr>
                <w:i/>
                <w:lang w:val="es-ES_tradnl"/>
              </w:rPr>
              <w:t xml:space="preserve"> </w:t>
            </w:r>
            <w:r w:rsidR="00520045" w:rsidRPr="00571F8B">
              <w:rPr>
                <w:i/>
                <w:lang w:val="es-ES_tradnl"/>
              </w:rPr>
              <w:t>corporal punishment</w:t>
            </w:r>
            <w:r w:rsidR="001D2A53">
              <w:rPr>
                <w:i/>
                <w:lang w:val="es-ES_tradnl"/>
              </w:rPr>
              <w:t>"</w:t>
            </w:r>
            <w:r w:rsidR="00A44E2B" w:rsidRPr="00571F8B">
              <w:rPr>
                <w:i/>
                <w:lang w:val="es-ES_tradnl"/>
              </w:rPr>
              <w:t xml:space="preserve"> </w:t>
            </w:r>
            <w:r w:rsidR="005905A5" w:rsidRPr="00571F8B">
              <w:rPr>
                <w:lang w:val="es-ES_tradnl"/>
              </w:rPr>
              <w:t>(</w:t>
            </w:r>
            <w:r w:rsidR="00B76FC9">
              <w:rPr>
                <w:lang w:val="es-ES_tradnl"/>
              </w:rPr>
              <w:t>"</w:t>
            </w:r>
            <w:r w:rsidR="00A44E2B" w:rsidRPr="00571F8B">
              <w:rPr>
                <w:lang w:val="es-ES_tradnl"/>
              </w:rPr>
              <w:t xml:space="preserve">cinco años con castigo </w:t>
            </w:r>
            <w:r w:rsidR="005E70A2" w:rsidRPr="00571F8B">
              <w:rPr>
                <w:lang w:val="es-ES_tradnl"/>
              </w:rPr>
              <w:t>físico</w:t>
            </w:r>
            <w:r w:rsidR="00B76FC9">
              <w:rPr>
                <w:lang w:val="es-ES_tradnl"/>
              </w:rPr>
              <w:t>"</w:t>
            </w:r>
            <w:r w:rsidR="001202D8">
              <w:rPr>
                <w:lang w:val="es-ES_tradnl"/>
              </w:rPr>
              <w:t>);</w:t>
            </w:r>
          </w:p>
          <w:p w:rsidR="00520045"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520045" w:rsidRPr="00571F8B">
              <w:rPr>
                <w:lang w:val="es-ES_tradnl"/>
              </w:rPr>
              <w:t>b)</w:t>
            </w:r>
            <w:r w:rsidRPr="00571F8B">
              <w:rPr>
                <w:lang w:val="es-ES_tradnl"/>
              </w:rPr>
              <w:tab/>
            </w:r>
            <w:r w:rsidR="001202D8" w:rsidRPr="00571F8B">
              <w:rPr>
                <w:lang w:val="es-ES_tradnl"/>
              </w:rPr>
              <w:t xml:space="preserve">En </w:t>
            </w:r>
            <w:r w:rsidR="00A44E2B" w:rsidRPr="00571F8B">
              <w:rPr>
                <w:lang w:val="es-ES_tradnl"/>
              </w:rPr>
              <w:t xml:space="preserve">el párrafo 3), eliminando la palabra </w:t>
            </w:r>
            <w:r w:rsidR="001D2A53">
              <w:rPr>
                <w:i/>
                <w:lang w:val="es-ES_tradnl"/>
              </w:rPr>
              <w:t>"</w:t>
            </w:r>
            <w:r w:rsidR="00520045" w:rsidRPr="00571F8B">
              <w:rPr>
                <w:i/>
                <w:lang w:val="es-ES_tradnl"/>
              </w:rPr>
              <w:t>whoever</w:t>
            </w:r>
            <w:r w:rsidR="001D2A53">
              <w:rPr>
                <w:i/>
                <w:lang w:val="es-ES_tradnl"/>
              </w:rPr>
              <w:t>"</w:t>
            </w:r>
            <w:r w:rsidR="00A44E2B" w:rsidRPr="00571F8B">
              <w:rPr>
                <w:lang w:val="es-ES_tradnl"/>
              </w:rPr>
              <w:t xml:space="preserve"> (</w:t>
            </w:r>
            <w:r w:rsidR="001D2A53">
              <w:rPr>
                <w:lang w:val="es-ES_tradnl"/>
              </w:rPr>
              <w:t>"</w:t>
            </w:r>
            <w:r w:rsidR="00A44E2B" w:rsidRPr="00571F8B">
              <w:rPr>
                <w:lang w:val="es-ES_tradnl"/>
              </w:rPr>
              <w:t>quienquiera</w:t>
            </w:r>
            <w:r w:rsidR="001D2A53">
              <w:rPr>
                <w:lang w:val="es-ES_tradnl"/>
              </w:rPr>
              <w:t>"</w:t>
            </w:r>
            <w:r w:rsidR="00A44E2B" w:rsidRPr="00571F8B">
              <w:rPr>
                <w:lang w:val="es-ES_tradnl"/>
              </w:rPr>
              <w:t xml:space="preserve">) y sustituyéndola con la frase </w:t>
            </w:r>
            <w:r w:rsidR="001D2A53">
              <w:rPr>
                <w:i/>
                <w:lang w:val="es-ES_tradnl"/>
              </w:rPr>
              <w:t>"</w:t>
            </w:r>
            <w:r w:rsidR="00520045" w:rsidRPr="00571F8B">
              <w:rPr>
                <w:i/>
                <w:lang w:val="es-ES_tradnl"/>
              </w:rPr>
              <w:t>a person other</w:t>
            </w:r>
            <w:r w:rsidRPr="00571F8B">
              <w:rPr>
                <w:i/>
                <w:lang w:val="es-ES_tradnl"/>
              </w:rPr>
              <w:t xml:space="preserve"> </w:t>
            </w:r>
            <w:r w:rsidR="00520045" w:rsidRPr="00571F8B">
              <w:rPr>
                <w:i/>
                <w:lang w:val="es-ES_tradnl"/>
              </w:rPr>
              <w:t>than a person re</w:t>
            </w:r>
            <w:r w:rsidR="00E1208B" w:rsidRPr="00571F8B">
              <w:rPr>
                <w:i/>
                <w:lang w:val="es-ES_tradnl"/>
              </w:rPr>
              <w:t>ferr</w:t>
            </w:r>
            <w:r w:rsidR="00A44E2B" w:rsidRPr="00571F8B">
              <w:rPr>
                <w:i/>
                <w:lang w:val="es-ES_tradnl"/>
              </w:rPr>
              <w:t>ed to under subsection (2)</w:t>
            </w:r>
            <w:r w:rsidR="001D2A53">
              <w:rPr>
                <w:i/>
                <w:lang w:val="es-ES_tradnl"/>
              </w:rPr>
              <w:t>"</w:t>
            </w:r>
            <w:r w:rsidR="00A44E2B" w:rsidRPr="00571F8B">
              <w:rPr>
                <w:i/>
                <w:lang w:val="es-ES_tradnl"/>
              </w:rPr>
              <w:t xml:space="preserve"> </w:t>
            </w:r>
            <w:r w:rsidR="00B76FC9">
              <w:rPr>
                <w:lang w:val="es-ES_tradnl"/>
              </w:rPr>
              <w:t>("</w:t>
            </w:r>
            <w:r w:rsidR="00A44E2B" w:rsidRPr="00571F8B">
              <w:rPr>
                <w:lang w:val="es-ES_tradnl"/>
              </w:rPr>
              <w:t>una persona distinta a la persona a quien se hace referencia en el párrafo 2</w:t>
            </w:r>
            <w:r w:rsidR="00B76FC9">
              <w:rPr>
                <w:lang w:val="es-ES_tradnl"/>
              </w:rPr>
              <w:t>)"</w:t>
            </w:r>
            <w:r w:rsidR="00A44E2B" w:rsidRPr="00571F8B">
              <w:rPr>
                <w:lang w:val="es-ES_tradnl"/>
              </w:rPr>
              <w:t xml:space="preserve">). </w:t>
            </w:r>
          </w:p>
          <w:p w:rsidR="00520045" w:rsidRPr="00571F8B" w:rsidRDefault="00520045" w:rsidP="00571F8B">
            <w:pPr>
              <w:suppressAutoHyphens w:val="0"/>
              <w:autoSpaceDE w:val="0"/>
              <w:autoSpaceDN w:val="0"/>
              <w:adjustRightInd w:val="0"/>
              <w:spacing w:before="40" w:after="120"/>
              <w:ind w:right="113"/>
              <w:rPr>
                <w:lang w:val="es-ES_tradnl"/>
              </w:rPr>
            </w:pPr>
            <w:r w:rsidRPr="00571F8B">
              <w:rPr>
                <w:lang w:val="es-ES_tradnl"/>
              </w:rPr>
              <w:t xml:space="preserve">E. </w:t>
            </w:r>
            <w:r w:rsidR="00A44E2B" w:rsidRPr="00571F8B">
              <w:rPr>
                <w:lang w:val="es-ES_tradnl"/>
              </w:rPr>
              <w:t>Artículo 138, como sigue</w:t>
            </w:r>
            <w:r w:rsidRPr="00571F8B">
              <w:rPr>
                <w:lang w:val="es-ES_tradnl"/>
              </w:rPr>
              <w:t>:</w:t>
            </w:r>
          </w:p>
          <w:p w:rsidR="00520045"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520045" w:rsidRPr="00571F8B">
              <w:rPr>
                <w:lang w:val="es-ES_tradnl"/>
              </w:rPr>
              <w:t>a)</w:t>
            </w:r>
            <w:r w:rsidRPr="00571F8B">
              <w:rPr>
                <w:lang w:val="es-ES_tradnl"/>
              </w:rPr>
              <w:tab/>
            </w:r>
            <w:r w:rsidR="001202D8" w:rsidRPr="00571F8B">
              <w:rPr>
                <w:lang w:val="es-ES_tradnl"/>
              </w:rPr>
              <w:t xml:space="preserve">Eliminando </w:t>
            </w:r>
            <w:r w:rsidR="005905A5" w:rsidRPr="00571F8B">
              <w:rPr>
                <w:lang w:val="es-ES_tradnl"/>
              </w:rPr>
              <w:t>el término</w:t>
            </w:r>
            <w:r w:rsidR="00A44E2B" w:rsidRPr="00571F8B">
              <w:rPr>
                <w:lang w:val="es-ES_tradnl"/>
              </w:rPr>
              <w:t xml:space="preserve"> </w:t>
            </w:r>
            <w:r w:rsidR="001D2A53">
              <w:rPr>
                <w:i/>
                <w:lang w:val="es-ES_tradnl"/>
              </w:rPr>
              <w:t>"</w:t>
            </w:r>
            <w:r w:rsidR="00520045" w:rsidRPr="00571F8B">
              <w:rPr>
                <w:i/>
                <w:lang w:val="es-ES_tradnl"/>
              </w:rPr>
              <w:t>fifteen</w:t>
            </w:r>
            <w:r w:rsidR="001D2A53">
              <w:rPr>
                <w:i/>
                <w:lang w:val="es-ES_tradnl"/>
              </w:rPr>
              <w:t>"</w:t>
            </w:r>
            <w:r w:rsidR="00520045" w:rsidRPr="00571F8B">
              <w:rPr>
                <w:lang w:val="es-ES_tradnl"/>
              </w:rPr>
              <w:t xml:space="preserve"> </w:t>
            </w:r>
            <w:r w:rsidR="005905A5" w:rsidRPr="00571F8B">
              <w:rPr>
                <w:lang w:val="es-ES_tradnl"/>
              </w:rPr>
              <w:t>(</w:t>
            </w:r>
            <w:r w:rsidR="00B76FC9">
              <w:rPr>
                <w:lang w:val="es-ES_tradnl"/>
              </w:rPr>
              <w:t>"15"</w:t>
            </w:r>
            <w:r w:rsidR="005905A5" w:rsidRPr="00571F8B">
              <w:rPr>
                <w:lang w:val="es-ES_tradnl"/>
              </w:rPr>
              <w:t>) y sustituyéndolo con el término</w:t>
            </w:r>
            <w:r w:rsidR="00A44E2B" w:rsidRPr="00571F8B">
              <w:rPr>
                <w:lang w:val="es-ES_tradnl"/>
              </w:rPr>
              <w:t xml:space="preserve"> </w:t>
            </w:r>
            <w:r w:rsidR="001D2A53">
              <w:rPr>
                <w:i/>
                <w:lang w:val="es-ES_tradnl"/>
              </w:rPr>
              <w:t>"</w:t>
            </w:r>
            <w:r w:rsidR="00520045" w:rsidRPr="00571F8B">
              <w:rPr>
                <w:i/>
                <w:lang w:val="es-ES_tradnl"/>
              </w:rPr>
              <w:t>eighteen</w:t>
            </w:r>
            <w:r w:rsidR="001D2A53">
              <w:rPr>
                <w:i/>
                <w:lang w:val="es-ES_tradnl"/>
              </w:rPr>
              <w:t>"</w:t>
            </w:r>
            <w:r w:rsidR="00A44E2B" w:rsidRPr="00571F8B">
              <w:rPr>
                <w:i/>
                <w:lang w:val="es-ES_tradnl"/>
              </w:rPr>
              <w:t xml:space="preserve"> </w:t>
            </w:r>
            <w:r w:rsidR="005905A5" w:rsidRPr="00571F8B">
              <w:rPr>
                <w:lang w:val="es-ES_tradnl"/>
              </w:rPr>
              <w:t>(</w:t>
            </w:r>
            <w:r w:rsidR="00B76FC9">
              <w:rPr>
                <w:lang w:val="es-ES_tradnl"/>
              </w:rPr>
              <w:t>"18"</w:t>
            </w:r>
            <w:r w:rsidR="005905A5" w:rsidRPr="00571F8B">
              <w:rPr>
                <w:lang w:val="es-ES_tradnl"/>
              </w:rPr>
              <w:t xml:space="preserve">) </w:t>
            </w:r>
            <w:r w:rsidR="00A44E2B" w:rsidRPr="00571F8B">
              <w:rPr>
                <w:lang w:val="es-ES_tradnl"/>
              </w:rPr>
              <w:t xml:space="preserve">en todo el artículo; </w:t>
            </w:r>
          </w:p>
          <w:p w:rsidR="00520045"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520045" w:rsidRPr="00571F8B">
              <w:rPr>
                <w:lang w:val="es-ES_tradnl"/>
              </w:rPr>
              <w:t>b)</w:t>
            </w:r>
            <w:r w:rsidRPr="00571F8B">
              <w:rPr>
                <w:lang w:val="es-ES_tradnl"/>
              </w:rPr>
              <w:tab/>
            </w:r>
            <w:r w:rsidR="001202D8" w:rsidRPr="00571F8B">
              <w:rPr>
                <w:lang w:val="es-ES_tradnl"/>
              </w:rPr>
              <w:t xml:space="preserve">Revocando </w:t>
            </w:r>
            <w:r w:rsidR="00A44E2B" w:rsidRPr="00571F8B">
              <w:rPr>
                <w:lang w:val="es-ES_tradnl"/>
              </w:rPr>
              <w:t xml:space="preserve">el párrafo </w:t>
            </w:r>
            <w:r w:rsidR="00520045" w:rsidRPr="00571F8B">
              <w:rPr>
                <w:lang w:val="es-ES_tradnl"/>
              </w:rPr>
              <w:t>6).</w:t>
            </w:r>
          </w:p>
          <w:p w:rsidR="00520045" w:rsidRPr="00571F8B" w:rsidRDefault="00520045" w:rsidP="00571F8B">
            <w:pPr>
              <w:suppressAutoHyphens w:val="0"/>
              <w:autoSpaceDE w:val="0"/>
              <w:autoSpaceDN w:val="0"/>
              <w:adjustRightInd w:val="0"/>
              <w:spacing w:before="40" w:after="120"/>
              <w:ind w:right="113"/>
              <w:rPr>
                <w:lang w:val="es-ES_tradnl"/>
              </w:rPr>
            </w:pPr>
            <w:r w:rsidRPr="00571F8B">
              <w:rPr>
                <w:lang w:val="es-ES_tradnl"/>
              </w:rPr>
              <w:t xml:space="preserve">F. </w:t>
            </w:r>
            <w:r w:rsidR="00036F81" w:rsidRPr="00571F8B">
              <w:rPr>
                <w:lang w:val="es-ES_tradnl"/>
              </w:rPr>
              <w:t>Artículo 138B, mediante</w:t>
            </w:r>
            <w:r w:rsidR="003D2ED2" w:rsidRPr="00571F8B">
              <w:rPr>
                <w:lang w:val="es-ES_tradnl"/>
              </w:rPr>
              <w:t>:</w:t>
            </w:r>
          </w:p>
          <w:p w:rsidR="00520045"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520045" w:rsidRPr="00571F8B">
              <w:rPr>
                <w:lang w:val="es-ES_tradnl"/>
              </w:rPr>
              <w:t>a)</w:t>
            </w:r>
            <w:r w:rsidRPr="00571F8B">
              <w:rPr>
                <w:lang w:val="es-ES_tradnl"/>
              </w:rPr>
              <w:tab/>
            </w:r>
            <w:r w:rsidR="001202D8" w:rsidRPr="00571F8B">
              <w:rPr>
                <w:lang w:val="es-ES_tradnl"/>
              </w:rPr>
              <w:t xml:space="preserve">La </w:t>
            </w:r>
            <w:r w:rsidR="00036F81" w:rsidRPr="00571F8B">
              <w:rPr>
                <w:lang w:val="es-ES_tradnl"/>
              </w:rPr>
              <w:t xml:space="preserve">designación del artículo </w:t>
            </w:r>
            <w:r w:rsidR="001D2A53">
              <w:rPr>
                <w:lang w:val="es-ES_tradnl"/>
              </w:rPr>
              <w:t>"</w:t>
            </w:r>
            <w:r w:rsidR="00520045" w:rsidRPr="00571F8B">
              <w:rPr>
                <w:lang w:val="es-ES_tradnl"/>
              </w:rPr>
              <w:t>138B</w:t>
            </w:r>
            <w:r w:rsidR="001D2A53">
              <w:rPr>
                <w:lang w:val="es-ES_tradnl"/>
              </w:rPr>
              <w:t>"</w:t>
            </w:r>
            <w:r w:rsidR="00036F81" w:rsidRPr="00571F8B">
              <w:rPr>
                <w:lang w:val="es-ES_tradnl"/>
              </w:rPr>
              <w:t xml:space="preserve"> como </w:t>
            </w:r>
            <w:r w:rsidR="001D2A53">
              <w:rPr>
                <w:lang w:val="es-ES_tradnl"/>
              </w:rPr>
              <w:t>"</w:t>
            </w:r>
            <w:r w:rsidR="00520045" w:rsidRPr="00571F8B">
              <w:rPr>
                <w:lang w:val="es-ES_tradnl"/>
              </w:rPr>
              <w:t>138B</w:t>
            </w:r>
            <w:r w:rsidR="00036F81" w:rsidRPr="00571F8B">
              <w:rPr>
                <w:lang w:val="es-ES_tradnl"/>
              </w:rPr>
              <w:t xml:space="preserve"> </w:t>
            </w:r>
            <w:r w:rsidR="00520045" w:rsidRPr="00571F8B">
              <w:rPr>
                <w:lang w:val="es-ES_tradnl"/>
              </w:rPr>
              <w:t>I)</w:t>
            </w:r>
            <w:r w:rsidR="001D2A53">
              <w:rPr>
                <w:lang w:val="es-ES_tradnl"/>
              </w:rPr>
              <w:t>"</w:t>
            </w:r>
            <w:r w:rsidR="00520045" w:rsidRPr="00571F8B">
              <w:rPr>
                <w:lang w:val="es-ES_tradnl"/>
              </w:rPr>
              <w:t>;</w:t>
            </w:r>
          </w:p>
          <w:p w:rsidR="00520045"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520045" w:rsidRPr="00571F8B">
              <w:rPr>
                <w:lang w:val="es-ES_tradnl"/>
              </w:rPr>
              <w:t>b)</w:t>
            </w:r>
            <w:r w:rsidRPr="00571F8B">
              <w:rPr>
                <w:lang w:val="es-ES_tradnl"/>
              </w:rPr>
              <w:tab/>
            </w:r>
            <w:r w:rsidR="001202D8" w:rsidRPr="00571F8B">
              <w:rPr>
                <w:lang w:val="es-ES_tradnl"/>
              </w:rPr>
              <w:t xml:space="preserve">La </w:t>
            </w:r>
            <w:r w:rsidR="00F50F8D" w:rsidRPr="00571F8B">
              <w:rPr>
                <w:lang w:val="es-ES_tradnl"/>
              </w:rPr>
              <w:t>eliminación d</w:t>
            </w:r>
            <w:r w:rsidR="00036F81" w:rsidRPr="00571F8B">
              <w:rPr>
                <w:lang w:val="es-ES_tradnl"/>
              </w:rPr>
              <w:t xml:space="preserve">e las </w:t>
            </w:r>
            <w:r w:rsidR="00FA261F" w:rsidRPr="00571F8B">
              <w:rPr>
                <w:lang w:val="es-ES_tradnl"/>
              </w:rPr>
              <w:t>expresiones</w:t>
            </w:r>
            <w:r w:rsidR="00036F81" w:rsidRPr="00571F8B">
              <w:rPr>
                <w:lang w:val="es-ES_tradnl"/>
              </w:rPr>
              <w:t xml:space="preserve"> </w:t>
            </w:r>
            <w:r w:rsidR="001D2A53">
              <w:rPr>
                <w:i/>
                <w:lang w:val="es-ES_tradnl"/>
              </w:rPr>
              <w:t>"</w:t>
            </w:r>
            <w:r w:rsidR="00520045" w:rsidRPr="00571F8B">
              <w:rPr>
                <w:i/>
                <w:lang w:val="es-ES_tradnl"/>
              </w:rPr>
              <w:t>five</w:t>
            </w:r>
            <w:r w:rsidR="001D2A53">
              <w:rPr>
                <w:i/>
                <w:lang w:val="es-ES_tradnl"/>
              </w:rPr>
              <w:t>"</w:t>
            </w:r>
            <w:r w:rsidR="00B76FC9">
              <w:rPr>
                <w:lang w:val="es-ES_tradnl"/>
              </w:rPr>
              <w:t xml:space="preserve"> ("</w:t>
            </w:r>
            <w:r w:rsidR="00FA261F" w:rsidRPr="00571F8B">
              <w:rPr>
                <w:lang w:val="es-ES_tradnl"/>
              </w:rPr>
              <w:t>5</w:t>
            </w:r>
            <w:r w:rsidR="00B76FC9">
              <w:rPr>
                <w:lang w:val="es-ES_tradnl"/>
              </w:rPr>
              <w:t>"</w:t>
            </w:r>
            <w:r w:rsidR="00036F81" w:rsidRPr="00571F8B">
              <w:rPr>
                <w:lang w:val="es-ES_tradnl"/>
              </w:rPr>
              <w:t>) y</w:t>
            </w:r>
            <w:r w:rsidR="001D2A53">
              <w:rPr>
                <w:lang w:val="es-ES_tradnl"/>
              </w:rPr>
              <w:t xml:space="preserve"> </w:t>
            </w:r>
            <w:r w:rsidR="001D2A53">
              <w:rPr>
                <w:i/>
                <w:lang w:val="es-ES_tradnl"/>
              </w:rPr>
              <w:t>"</w:t>
            </w:r>
            <w:r w:rsidR="00520045" w:rsidRPr="00571F8B">
              <w:rPr>
                <w:i/>
                <w:lang w:val="es-ES_tradnl"/>
              </w:rPr>
              <w:t>twenty years</w:t>
            </w:r>
            <w:r w:rsidR="001D2A53">
              <w:rPr>
                <w:i/>
                <w:lang w:val="es-ES_tradnl"/>
              </w:rPr>
              <w:t>"</w:t>
            </w:r>
            <w:r w:rsidR="00520045" w:rsidRPr="00571F8B">
              <w:rPr>
                <w:i/>
                <w:lang w:val="es-ES_tradnl"/>
              </w:rPr>
              <w:t xml:space="preserve"> </w:t>
            </w:r>
            <w:r w:rsidR="00FA261F" w:rsidRPr="00571F8B">
              <w:rPr>
                <w:lang w:val="es-ES_tradnl"/>
              </w:rPr>
              <w:t>(</w:t>
            </w:r>
            <w:r w:rsidR="00B76FC9">
              <w:rPr>
                <w:lang w:val="es-ES_tradnl"/>
              </w:rPr>
              <w:t>"20</w:t>
            </w:r>
            <w:r w:rsidR="00727D22">
              <w:rPr>
                <w:lang w:val="es-ES_tradnl"/>
              </w:rPr>
              <w:t> </w:t>
            </w:r>
            <w:r w:rsidR="00B76FC9">
              <w:rPr>
                <w:lang w:val="es-ES_tradnl"/>
              </w:rPr>
              <w:t>años"</w:t>
            </w:r>
            <w:r w:rsidR="00036F81" w:rsidRPr="00571F8B">
              <w:rPr>
                <w:lang w:val="es-ES_tradnl"/>
              </w:rPr>
              <w:t xml:space="preserve">) y su sustitución con las </w:t>
            </w:r>
            <w:r w:rsidR="00FA261F" w:rsidRPr="00571F8B">
              <w:rPr>
                <w:lang w:val="es-ES_tradnl"/>
              </w:rPr>
              <w:t>expresiones</w:t>
            </w:r>
            <w:r w:rsidR="00036F81" w:rsidRPr="00571F8B">
              <w:rPr>
                <w:lang w:val="es-ES_tradnl"/>
              </w:rPr>
              <w:t xml:space="preserve"> </w:t>
            </w:r>
            <w:r w:rsidR="001D2A53">
              <w:rPr>
                <w:i/>
                <w:lang w:val="es-ES_tradnl"/>
              </w:rPr>
              <w:t>"</w:t>
            </w:r>
            <w:r w:rsidR="00520045" w:rsidRPr="00571F8B">
              <w:rPr>
                <w:i/>
                <w:lang w:val="es-ES_tradnl"/>
              </w:rPr>
              <w:t>fifteen</w:t>
            </w:r>
            <w:r w:rsidR="001D2A53">
              <w:rPr>
                <w:i/>
                <w:lang w:val="es-ES_tradnl"/>
              </w:rPr>
              <w:t>"</w:t>
            </w:r>
            <w:r w:rsidR="00520045" w:rsidRPr="00571F8B">
              <w:rPr>
                <w:lang w:val="es-ES_tradnl"/>
              </w:rPr>
              <w:t xml:space="preserve"> </w:t>
            </w:r>
            <w:r w:rsidR="00FA261F" w:rsidRPr="00571F8B">
              <w:rPr>
                <w:lang w:val="es-ES_tradnl"/>
              </w:rPr>
              <w:t>(</w:t>
            </w:r>
            <w:r w:rsidR="00B76FC9">
              <w:rPr>
                <w:lang w:val="es-ES_tradnl"/>
              </w:rPr>
              <w:t>"</w:t>
            </w:r>
            <w:r w:rsidR="00FA261F" w:rsidRPr="00571F8B">
              <w:rPr>
                <w:lang w:val="es-ES_tradnl"/>
              </w:rPr>
              <w:t>15</w:t>
            </w:r>
            <w:r w:rsidR="00B76FC9">
              <w:rPr>
                <w:lang w:val="es-ES_tradnl"/>
              </w:rPr>
              <w:t>"</w:t>
            </w:r>
            <w:r w:rsidR="00036F81" w:rsidRPr="00571F8B">
              <w:rPr>
                <w:lang w:val="es-ES_tradnl"/>
              </w:rPr>
              <w:t xml:space="preserve">) y </w:t>
            </w:r>
            <w:r w:rsidR="001D2A53">
              <w:rPr>
                <w:i/>
                <w:lang w:val="es-ES_tradnl"/>
              </w:rPr>
              <w:t>"</w:t>
            </w:r>
            <w:r w:rsidR="00520045" w:rsidRPr="00571F8B">
              <w:rPr>
                <w:i/>
                <w:lang w:val="es-ES_tradnl"/>
              </w:rPr>
              <w:t>thirty</w:t>
            </w:r>
            <w:r w:rsidRPr="00571F8B">
              <w:rPr>
                <w:i/>
                <w:lang w:val="es-ES_tradnl"/>
              </w:rPr>
              <w:t xml:space="preserve"> </w:t>
            </w:r>
            <w:r w:rsidR="00E1208B" w:rsidRPr="00571F8B">
              <w:rPr>
                <w:i/>
                <w:lang w:val="es-ES_tradnl"/>
              </w:rPr>
              <w:t>years without option of fine</w:t>
            </w:r>
            <w:r w:rsidR="001D2A53">
              <w:rPr>
                <w:i/>
                <w:lang w:val="es-ES_tradnl"/>
              </w:rPr>
              <w:t>"</w:t>
            </w:r>
            <w:r w:rsidR="00720626" w:rsidRPr="00571F8B">
              <w:rPr>
                <w:i/>
                <w:lang w:val="es-ES_tradnl"/>
              </w:rPr>
              <w:t xml:space="preserve"> </w:t>
            </w:r>
            <w:r w:rsidR="00FA261F" w:rsidRPr="00571F8B">
              <w:rPr>
                <w:lang w:val="es-ES_tradnl"/>
              </w:rPr>
              <w:t>(</w:t>
            </w:r>
            <w:r w:rsidR="00B76FC9">
              <w:rPr>
                <w:lang w:val="es-ES_tradnl"/>
              </w:rPr>
              <w:t>"</w:t>
            </w:r>
            <w:r w:rsidR="00FA261F" w:rsidRPr="00571F8B">
              <w:rPr>
                <w:lang w:val="es-ES_tradnl"/>
              </w:rPr>
              <w:t>30</w:t>
            </w:r>
            <w:r w:rsidR="00720626" w:rsidRPr="00571F8B">
              <w:rPr>
                <w:lang w:val="es-ES_tradnl"/>
              </w:rPr>
              <w:t xml:space="preserve"> años </w:t>
            </w:r>
            <w:r w:rsidR="007947DC">
              <w:rPr>
                <w:lang w:val="es-ES_tradnl"/>
              </w:rPr>
              <w:t>sin opción al pago de una multa"</w:t>
            </w:r>
            <w:r w:rsidR="00720626" w:rsidRPr="00571F8B">
              <w:rPr>
                <w:lang w:val="es-ES_tradnl"/>
              </w:rPr>
              <w:t>)</w:t>
            </w:r>
            <w:r w:rsidR="00520045" w:rsidRPr="001D2A53">
              <w:rPr>
                <w:lang w:val="es-ES_tradnl"/>
              </w:rPr>
              <w:t>;</w:t>
            </w:r>
          </w:p>
          <w:p w:rsidR="00520045"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520045" w:rsidRPr="00571F8B">
              <w:rPr>
                <w:lang w:val="es-ES_tradnl"/>
              </w:rPr>
              <w:t>c)</w:t>
            </w:r>
            <w:r w:rsidRPr="00571F8B">
              <w:rPr>
                <w:lang w:val="es-ES_tradnl"/>
              </w:rPr>
              <w:tab/>
            </w:r>
            <w:r w:rsidR="001202D8" w:rsidRPr="00571F8B">
              <w:rPr>
                <w:lang w:val="es-ES_tradnl"/>
              </w:rPr>
              <w:t xml:space="preserve">La </w:t>
            </w:r>
            <w:r w:rsidR="00F50F8D" w:rsidRPr="00571F8B">
              <w:rPr>
                <w:lang w:val="es-ES_tradnl"/>
              </w:rPr>
              <w:t xml:space="preserve">inclusión de un nuevo párrafo 2), como sigue: </w:t>
            </w:r>
          </w:p>
          <w:p w:rsidR="00520045" w:rsidRPr="00571F8B" w:rsidRDefault="001D2A53" w:rsidP="001202D8">
            <w:pPr>
              <w:suppressAutoHyphens w:val="0"/>
              <w:autoSpaceDE w:val="0"/>
              <w:autoSpaceDN w:val="0"/>
              <w:adjustRightInd w:val="0"/>
              <w:spacing w:before="40" w:after="120"/>
              <w:ind w:left="170" w:right="113"/>
              <w:rPr>
                <w:lang w:val="es-ES_tradnl"/>
              </w:rPr>
            </w:pPr>
            <w:r>
              <w:rPr>
                <w:i/>
              </w:rPr>
              <w:t>"</w:t>
            </w:r>
            <w:r w:rsidR="001202D8">
              <w:rPr>
                <w:i/>
              </w:rPr>
              <w:t>(2)</w:t>
            </w:r>
            <w:r w:rsidR="001202D8">
              <w:rPr>
                <w:i/>
              </w:rPr>
              <w:tab/>
            </w:r>
            <w:r w:rsidR="00520045" w:rsidRPr="00571F8B">
              <w:rPr>
                <w:i/>
              </w:rPr>
              <w:t>The court may, in addition, order for compensation of such amount of</w:t>
            </w:r>
            <w:r w:rsidR="00F50F8D" w:rsidRPr="00571F8B">
              <w:rPr>
                <w:i/>
              </w:rPr>
              <w:t xml:space="preserve"> money to be paid to the victim.</w:t>
            </w:r>
            <w:r>
              <w:rPr>
                <w:i/>
              </w:rPr>
              <w:t>"</w:t>
            </w:r>
            <w:r w:rsidR="00F50F8D" w:rsidRPr="00571F8B">
              <w:rPr>
                <w:i/>
              </w:rPr>
              <w:t xml:space="preserve"> </w:t>
            </w:r>
            <w:r w:rsidR="005905A5" w:rsidRPr="00571F8B">
              <w:rPr>
                <w:lang w:val="es-ES_tradnl"/>
              </w:rPr>
              <w:t>(</w:t>
            </w:r>
            <w:r w:rsidR="007947DC">
              <w:rPr>
                <w:lang w:val="es-ES_tradnl"/>
              </w:rPr>
              <w:t>"</w:t>
            </w:r>
            <w:r w:rsidR="001202D8">
              <w:rPr>
                <w:lang w:val="es-ES_tradnl"/>
              </w:rPr>
              <w:t xml:space="preserve">2)  </w:t>
            </w:r>
            <w:r w:rsidR="00F50F8D" w:rsidRPr="00571F8B">
              <w:rPr>
                <w:lang w:val="es-ES_tradnl"/>
              </w:rPr>
              <w:t xml:space="preserve">Asimismo, el tribunal podrá ordenar el pago a la víctima de una </w:t>
            </w:r>
            <w:r w:rsidR="005905A5" w:rsidRPr="00571F8B">
              <w:rPr>
                <w:lang w:val="es-ES_tradnl"/>
              </w:rPr>
              <w:t>compensación por dicha cuantía.</w:t>
            </w:r>
            <w:r w:rsidR="007947DC">
              <w:rPr>
                <w:lang w:val="es-ES_tradnl"/>
              </w:rPr>
              <w:t>"</w:t>
            </w:r>
            <w:r w:rsidR="00F50F8D" w:rsidRPr="00571F8B">
              <w:rPr>
                <w:lang w:val="es-ES_tradnl"/>
              </w:rPr>
              <w:t>).</w:t>
            </w:r>
          </w:p>
          <w:p w:rsidR="00622E97" w:rsidRPr="00571F8B" w:rsidRDefault="00622E97" w:rsidP="00571F8B">
            <w:pPr>
              <w:suppressAutoHyphens w:val="0"/>
              <w:autoSpaceDE w:val="0"/>
              <w:autoSpaceDN w:val="0"/>
              <w:adjustRightInd w:val="0"/>
              <w:spacing w:before="40" w:after="120"/>
              <w:ind w:right="113"/>
              <w:rPr>
                <w:lang w:val="es-ES_tradnl"/>
              </w:rPr>
            </w:pPr>
            <w:r w:rsidRPr="00571F8B">
              <w:rPr>
                <w:lang w:val="es-ES_tradnl"/>
              </w:rPr>
              <w:t xml:space="preserve">G. </w:t>
            </w:r>
            <w:r w:rsidR="00F50F8D" w:rsidRPr="00571F8B">
              <w:rPr>
                <w:lang w:val="es-ES_tradnl"/>
              </w:rPr>
              <w:t xml:space="preserve">Artículo 138C </w:t>
            </w:r>
            <w:r w:rsidRPr="00571F8B">
              <w:rPr>
                <w:lang w:val="es-ES_tradnl"/>
              </w:rPr>
              <w:t>2)</w:t>
            </w:r>
            <w:r w:rsidR="00F50F8D" w:rsidRPr="00571F8B">
              <w:rPr>
                <w:lang w:val="es-ES_tradnl"/>
              </w:rPr>
              <w:t xml:space="preserve"> </w:t>
            </w:r>
            <w:r w:rsidRPr="00571F8B">
              <w:rPr>
                <w:lang w:val="es-ES_tradnl"/>
              </w:rPr>
              <w:t xml:space="preserve">b), </w:t>
            </w:r>
            <w:r w:rsidR="00F50F8D" w:rsidRPr="00571F8B">
              <w:rPr>
                <w:lang w:val="es-ES_tradnl"/>
              </w:rPr>
              <w:t xml:space="preserve">mediante la eliminación </w:t>
            </w:r>
            <w:r w:rsidR="00FA261F" w:rsidRPr="00571F8B">
              <w:rPr>
                <w:lang w:val="es-ES_tradnl"/>
              </w:rPr>
              <w:t>del término</w:t>
            </w:r>
            <w:r w:rsidR="00F50F8D" w:rsidRPr="00571F8B">
              <w:rPr>
                <w:lang w:val="es-ES_tradnl"/>
              </w:rPr>
              <w:t xml:space="preserve"> </w:t>
            </w:r>
            <w:r w:rsidR="001D2A53">
              <w:rPr>
                <w:i/>
                <w:lang w:val="es-ES_tradnl"/>
              </w:rPr>
              <w:t>"</w:t>
            </w:r>
            <w:r w:rsidR="00F50F8D" w:rsidRPr="00571F8B">
              <w:rPr>
                <w:i/>
                <w:lang w:val="es-ES_tradnl"/>
              </w:rPr>
              <w:t>fifteen</w:t>
            </w:r>
            <w:r w:rsidR="001D2A53">
              <w:rPr>
                <w:i/>
                <w:lang w:val="es-ES_tradnl"/>
              </w:rPr>
              <w:t>"</w:t>
            </w:r>
            <w:r w:rsidR="005905A5" w:rsidRPr="00571F8B">
              <w:rPr>
                <w:lang w:val="es-ES_tradnl"/>
              </w:rPr>
              <w:t xml:space="preserve"> (</w:t>
            </w:r>
            <w:r w:rsidR="007947DC">
              <w:rPr>
                <w:lang w:val="es-ES_tradnl"/>
              </w:rPr>
              <w:t>"15"</w:t>
            </w:r>
            <w:r w:rsidR="00F50F8D" w:rsidRPr="00571F8B">
              <w:rPr>
                <w:lang w:val="es-ES_tradnl"/>
              </w:rPr>
              <w:t>)</w:t>
            </w:r>
            <w:r w:rsidR="005905A5" w:rsidRPr="00571F8B">
              <w:rPr>
                <w:lang w:val="es-ES_tradnl"/>
              </w:rPr>
              <w:t xml:space="preserve"> y su sustitución con el término</w:t>
            </w:r>
            <w:r w:rsidR="00F50F8D" w:rsidRPr="00571F8B">
              <w:rPr>
                <w:lang w:val="es-ES_tradnl"/>
              </w:rPr>
              <w:t xml:space="preserve"> </w:t>
            </w:r>
            <w:r w:rsidR="001D2A53">
              <w:rPr>
                <w:i/>
                <w:lang w:val="es-ES_tradnl"/>
              </w:rPr>
              <w:t>"</w:t>
            </w:r>
            <w:r w:rsidR="006F1B1E" w:rsidRPr="00571F8B">
              <w:rPr>
                <w:i/>
                <w:lang w:val="es-ES_tradnl"/>
              </w:rPr>
              <w:t>eighteen</w:t>
            </w:r>
            <w:r w:rsidR="001D2A53">
              <w:rPr>
                <w:i/>
                <w:lang w:val="es-ES_tradnl"/>
              </w:rPr>
              <w:t>"</w:t>
            </w:r>
            <w:r w:rsidR="00F50F8D" w:rsidRPr="00571F8B">
              <w:rPr>
                <w:i/>
                <w:lang w:val="es-ES_tradnl"/>
              </w:rPr>
              <w:t xml:space="preserve"> </w:t>
            </w:r>
            <w:r w:rsidR="00795922" w:rsidRPr="00571F8B">
              <w:rPr>
                <w:lang w:val="es-ES_tradnl"/>
              </w:rPr>
              <w:t>(</w:t>
            </w:r>
            <w:r w:rsidR="007947DC">
              <w:rPr>
                <w:lang w:val="es-ES_tradnl"/>
              </w:rPr>
              <w:t>"18"</w:t>
            </w:r>
            <w:r w:rsidR="00F50F8D" w:rsidRPr="00571F8B">
              <w:rPr>
                <w:lang w:val="es-ES_tradnl"/>
              </w:rPr>
              <w:t>)</w:t>
            </w:r>
            <w:r w:rsidRPr="00571F8B">
              <w:rPr>
                <w:i/>
                <w:lang w:val="es-ES_tradnl"/>
              </w:rPr>
              <w:t>.</w:t>
            </w:r>
          </w:p>
        </w:tc>
      </w:tr>
      <w:tr w:rsidR="00151021" w:rsidRPr="00571F8B">
        <w:trPr>
          <w:cantSplit/>
          <w:jc w:val="center"/>
        </w:trPr>
        <w:tc>
          <w:tcPr>
            <w:tcW w:w="1750" w:type="dxa"/>
            <w:shd w:val="clear" w:color="auto" w:fill="auto"/>
          </w:tcPr>
          <w:p w:rsidR="00151021" w:rsidRPr="00571F8B" w:rsidRDefault="00F50F8D" w:rsidP="00571F8B">
            <w:pPr>
              <w:suppressAutoHyphens w:val="0"/>
              <w:autoSpaceDE w:val="0"/>
              <w:autoSpaceDN w:val="0"/>
              <w:adjustRightInd w:val="0"/>
              <w:spacing w:before="40" w:after="120"/>
              <w:ind w:right="113"/>
              <w:rPr>
                <w:lang w:val="es-ES_tradnl"/>
              </w:rPr>
            </w:pPr>
            <w:r w:rsidRPr="00571F8B">
              <w:rPr>
                <w:lang w:val="es-ES_tradnl"/>
              </w:rPr>
              <w:t xml:space="preserve">Código </w:t>
            </w:r>
            <w:r w:rsidR="00151021" w:rsidRPr="00571F8B">
              <w:rPr>
                <w:lang w:val="es-ES_tradnl"/>
              </w:rPr>
              <w:t xml:space="preserve">Penal </w:t>
            </w:r>
            <w:r w:rsidRPr="00571F8B">
              <w:rPr>
                <w:lang w:val="es-ES_tradnl"/>
              </w:rPr>
              <w:t>(continuación</w:t>
            </w:r>
            <w:r w:rsidR="008B47FF" w:rsidRPr="00571F8B">
              <w:rPr>
                <w:lang w:val="es-ES_tradnl"/>
              </w:rPr>
              <w:t>)</w:t>
            </w:r>
          </w:p>
        </w:tc>
        <w:tc>
          <w:tcPr>
            <w:tcW w:w="1526" w:type="dxa"/>
            <w:shd w:val="clear" w:color="auto" w:fill="auto"/>
          </w:tcPr>
          <w:p w:rsidR="00151021" w:rsidRPr="00571F8B" w:rsidRDefault="00F50F8D" w:rsidP="00571F8B">
            <w:pPr>
              <w:suppressAutoHyphens w:val="0"/>
              <w:spacing w:before="40" w:after="120"/>
              <w:ind w:right="113"/>
              <w:rPr>
                <w:lang w:val="es-ES_tradnl"/>
              </w:rPr>
            </w:pPr>
            <w:r w:rsidRPr="00571F8B">
              <w:rPr>
                <w:lang w:val="es-ES_tradnl"/>
              </w:rPr>
              <w:t>Sección 16 E.R.</w:t>
            </w:r>
            <w:r w:rsidR="00151021" w:rsidRPr="00571F8B">
              <w:rPr>
                <w:lang w:val="es-ES_tradnl"/>
              </w:rPr>
              <w:t xml:space="preserve"> 2002</w:t>
            </w:r>
          </w:p>
        </w:tc>
        <w:tc>
          <w:tcPr>
            <w:tcW w:w="6363" w:type="dxa"/>
            <w:shd w:val="clear" w:color="auto" w:fill="auto"/>
          </w:tcPr>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H. </w:t>
            </w:r>
            <w:r w:rsidR="00F50F8D" w:rsidRPr="00571F8B">
              <w:rPr>
                <w:lang w:val="es-ES_tradnl"/>
              </w:rPr>
              <w:t>Artículo 141, mediante</w:t>
            </w:r>
            <w:r w:rsidR="003D2ED2" w:rsidRPr="00571F8B">
              <w:rPr>
                <w:lang w:val="es-ES_tradnl"/>
              </w:rPr>
              <w:t>:</w:t>
            </w:r>
          </w:p>
          <w:p w:rsidR="00151021"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151021" w:rsidRPr="00571F8B">
              <w:rPr>
                <w:lang w:val="es-ES_tradnl"/>
              </w:rPr>
              <w:t>a)</w:t>
            </w:r>
            <w:r w:rsidRPr="00571F8B">
              <w:rPr>
                <w:lang w:val="es-ES_tradnl"/>
              </w:rPr>
              <w:tab/>
            </w:r>
            <w:r w:rsidR="001202D8" w:rsidRPr="00571F8B">
              <w:rPr>
                <w:lang w:val="es-ES_tradnl"/>
              </w:rPr>
              <w:t xml:space="preserve">La </w:t>
            </w:r>
            <w:r w:rsidR="00382246" w:rsidRPr="00571F8B">
              <w:rPr>
                <w:lang w:val="es-ES_tradnl"/>
              </w:rPr>
              <w:t xml:space="preserve">eliminación de la frase </w:t>
            </w:r>
            <w:r w:rsidR="001D2A53">
              <w:rPr>
                <w:i/>
                <w:lang w:val="es-ES_tradnl"/>
              </w:rPr>
              <w:t>"</w:t>
            </w:r>
            <w:r w:rsidR="00E1208B" w:rsidRPr="00571F8B">
              <w:rPr>
                <w:i/>
                <w:lang w:val="es-ES_tradnl"/>
              </w:rPr>
              <w:t>under the age of fifteen years</w:t>
            </w:r>
            <w:r w:rsidR="001D2A53">
              <w:rPr>
                <w:i/>
                <w:lang w:val="es-ES_tradnl"/>
              </w:rPr>
              <w:t>"</w:t>
            </w:r>
            <w:r w:rsidR="00CD3DE7" w:rsidRPr="00571F8B">
              <w:rPr>
                <w:lang w:val="es-ES_tradnl"/>
              </w:rPr>
              <w:t xml:space="preserve"> (</w:t>
            </w:r>
            <w:r w:rsidR="007947DC">
              <w:rPr>
                <w:lang w:val="es-ES_tradnl"/>
              </w:rPr>
              <w:t>"</w:t>
            </w:r>
            <w:r w:rsidR="00382246" w:rsidRPr="00571F8B">
              <w:rPr>
                <w:lang w:val="es-ES_tradnl"/>
              </w:rPr>
              <w:t xml:space="preserve">que no hayan cumplido los </w:t>
            </w:r>
            <w:r w:rsidR="007947DC">
              <w:rPr>
                <w:lang w:val="es-ES_tradnl"/>
              </w:rPr>
              <w:t>15 años"</w:t>
            </w:r>
            <w:r w:rsidR="00382246" w:rsidRPr="00571F8B">
              <w:rPr>
                <w:lang w:val="es-ES_tradnl"/>
              </w:rPr>
              <w:t xml:space="preserve">); y </w:t>
            </w:r>
          </w:p>
          <w:p w:rsidR="00151021"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151021" w:rsidRPr="00571F8B">
              <w:rPr>
                <w:lang w:val="es-ES_tradnl"/>
              </w:rPr>
              <w:t>b)</w:t>
            </w:r>
            <w:r w:rsidRPr="00571F8B">
              <w:rPr>
                <w:lang w:val="es-ES_tradnl"/>
              </w:rPr>
              <w:tab/>
            </w:r>
            <w:r w:rsidR="001202D8" w:rsidRPr="00571F8B">
              <w:rPr>
                <w:lang w:val="es-ES_tradnl"/>
              </w:rPr>
              <w:t xml:space="preserve">La </w:t>
            </w:r>
            <w:r w:rsidR="00382246" w:rsidRPr="00571F8B">
              <w:rPr>
                <w:lang w:val="es-ES_tradnl"/>
              </w:rPr>
              <w:t>eliminación de</w:t>
            </w:r>
            <w:r w:rsidR="00904050" w:rsidRPr="00571F8B">
              <w:rPr>
                <w:lang w:val="es-ES_tradnl"/>
              </w:rPr>
              <w:t>l párrafo que contiene</w:t>
            </w:r>
            <w:r w:rsidR="00382246" w:rsidRPr="00571F8B">
              <w:rPr>
                <w:lang w:val="es-ES_tradnl"/>
              </w:rPr>
              <w:t xml:space="preserve"> la salvedad</w:t>
            </w:r>
            <w:r w:rsidR="00151021"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I. </w:t>
            </w:r>
            <w:r w:rsidR="00382246" w:rsidRPr="00571F8B">
              <w:rPr>
                <w:lang w:val="es-ES_tradnl"/>
              </w:rPr>
              <w:t>Artículo</w:t>
            </w:r>
            <w:r w:rsidRPr="00571F8B">
              <w:rPr>
                <w:lang w:val="es-ES_tradnl"/>
              </w:rPr>
              <w:t xml:space="preserve"> 142, </w:t>
            </w:r>
            <w:r w:rsidR="00CD3DE7" w:rsidRPr="00571F8B">
              <w:rPr>
                <w:lang w:val="es-ES_tradnl"/>
              </w:rPr>
              <w:t>eliminando el término</w:t>
            </w:r>
            <w:r w:rsidR="00382246" w:rsidRPr="00571F8B">
              <w:rPr>
                <w:lang w:val="es-ES_tradnl"/>
              </w:rPr>
              <w:t xml:space="preserve"> </w:t>
            </w:r>
            <w:r w:rsidR="001D2A53">
              <w:rPr>
                <w:i/>
                <w:lang w:val="es-ES_tradnl"/>
              </w:rPr>
              <w:t>"</w:t>
            </w:r>
            <w:r w:rsidR="00382246" w:rsidRPr="00571F8B">
              <w:rPr>
                <w:i/>
                <w:lang w:val="es-ES_tradnl"/>
              </w:rPr>
              <w:t>sixteen</w:t>
            </w:r>
            <w:r w:rsidR="001D2A53">
              <w:rPr>
                <w:i/>
                <w:lang w:val="es-ES_tradnl"/>
              </w:rPr>
              <w:t>"</w:t>
            </w:r>
            <w:r w:rsidR="007947DC">
              <w:rPr>
                <w:lang w:val="es-ES_tradnl"/>
              </w:rPr>
              <w:t xml:space="preserve"> ("16"</w:t>
            </w:r>
            <w:r w:rsidR="00CD3DE7" w:rsidRPr="00571F8B">
              <w:rPr>
                <w:lang w:val="es-ES_tradnl"/>
              </w:rPr>
              <w:t>) y sustituyéndolo con el</w:t>
            </w:r>
            <w:r w:rsidR="00382246" w:rsidRPr="00571F8B">
              <w:rPr>
                <w:lang w:val="es-ES_tradnl"/>
              </w:rPr>
              <w:t xml:space="preserve"> </w:t>
            </w:r>
            <w:r w:rsidR="00CD3DE7" w:rsidRPr="00571F8B">
              <w:rPr>
                <w:lang w:val="es-ES_tradnl"/>
              </w:rPr>
              <w:t>término</w:t>
            </w:r>
            <w:r w:rsidR="00382246" w:rsidRPr="00571F8B">
              <w:rPr>
                <w:lang w:val="es-ES_tradnl"/>
              </w:rPr>
              <w:t xml:space="preserve"> </w:t>
            </w:r>
            <w:r w:rsidR="001D2A53">
              <w:rPr>
                <w:i/>
                <w:lang w:val="es-ES_tradnl"/>
              </w:rPr>
              <w:t>"</w:t>
            </w:r>
            <w:r w:rsidR="00382246" w:rsidRPr="00571F8B">
              <w:rPr>
                <w:i/>
                <w:lang w:val="es-ES_tradnl"/>
              </w:rPr>
              <w:t>eighteen</w:t>
            </w:r>
            <w:r w:rsidR="001D2A53">
              <w:rPr>
                <w:i/>
                <w:lang w:val="es-ES_tradnl"/>
              </w:rPr>
              <w:t>"</w:t>
            </w:r>
            <w:r w:rsidR="00382246" w:rsidRPr="00571F8B">
              <w:rPr>
                <w:i/>
                <w:lang w:val="es-ES_tradnl"/>
              </w:rPr>
              <w:t xml:space="preserve"> </w:t>
            </w:r>
            <w:r w:rsidR="00CD3DE7" w:rsidRPr="00571F8B">
              <w:rPr>
                <w:lang w:val="es-ES_tradnl"/>
              </w:rPr>
              <w:t>(</w:t>
            </w:r>
            <w:r w:rsidR="007947DC">
              <w:rPr>
                <w:lang w:val="es-ES_tradnl"/>
              </w:rPr>
              <w:t>"18"</w:t>
            </w:r>
            <w:r w:rsidR="00CD3DE7" w:rsidRPr="00571F8B">
              <w:rPr>
                <w:lang w:val="es-ES_tradnl"/>
              </w:rPr>
              <w:t>)</w:t>
            </w:r>
            <w:r w:rsidR="00CD3DE7" w:rsidRPr="00571F8B">
              <w:rPr>
                <w:i/>
                <w:lang w:val="es-ES_tradnl"/>
              </w:rPr>
              <w:t xml:space="preserve"> </w:t>
            </w:r>
            <w:r w:rsidR="001202D8">
              <w:rPr>
                <w:lang w:val="es-ES_tradnl"/>
              </w:rPr>
              <w:t>en todo el artículo.</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J. </w:t>
            </w:r>
            <w:r w:rsidR="00382246" w:rsidRPr="00571F8B">
              <w:rPr>
                <w:lang w:val="es-ES_tradnl"/>
              </w:rPr>
              <w:t xml:space="preserve">Artículo l44 3) </w:t>
            </w:r>
            <w:r w:rsidRPr="00571F8B">
              <w:rPr>
                <w:lang w:val="es-ES_tradnl"/>
              </w:rPr>
              <w:t>a)</w:t>
            </w:r>
            <w:r w:rsidR="00382246" w:rsidRPr="00571F8B">
              <w:rPr>
                <w:lang w:val="es-ES_tradnl"/>
              </w:rPr>
              <w:t xml:space="preserve"> y </w:t>
            </w:r>
            <w:r w:rsidRPr="00571F8B">
              <w:rPr>
                <w:lang w:val="es-ES_tradnl"/>
              </w:rPr>
              <w:t xml:space="preserve">b), </w:t>
            </w:r>
            <w:r w:rsidR="00382246" w:rsidRPr="00571F8B">
              <w:rPr>
                <w:lang w:val="es-ES_tradnl"/>
              </w:rPr>
              <w:t xml:space="preserve">eliminando </w:t>
            </w:r>
            <w:r w:rsidR="00667EED" w:rsidRPr="00571F8B">
              <w:rPr>
                <w:lang w:val="es-ES_tradnl"/>
              </w:rPr>
              <w:t>el término</w:t>
            </w:r>
            <w:r w:rsidR="00382246" w:rsidRPr="00571F8B">
              <w:rPr>
                <w:lang w:val="es-ES_tradnl"/>
              </w:rPr>
              <w:t xml:space="preserve"> </w:t>
            </w:r>
            <w:r w:rsidR="001D2A53">
              <w:rPr>
                <w:i/>
                <w:lang w:val="es-ES_tradnl"/>
              </w:rPr>
              <w:t>"</w:t>
            </w:r>
            <w:r w:rsidR="00382246" w:rsidRPr="00571F8B">
              <w:rPr>
                <w:i/>
                <w:lang w:val="es-ES_tradnl"/>
              </w:rPr>
              <w:t>sixteen</w:t>
            </w:r>
            <w:r w:rsidR="001D2A53">
              <w:rPr>
                <w:i/>
                <w:lang w:val="es-ES_tradnl"/>
              </w:rPr>
              <w:t>"</w:t>
            </w:r>
            <w:r w:rsidR="00667EED" w:rsidRPr="00571F8B">
              <w:rPr>
                <w:lang w:val="es-ES_tradnl"/>
              </w:rPr>
              <w:t xml:space="preserve"> (</w:t>
            </w:r>
            <w:r w:rsidR="007947DC">
              <w:rPr>
                <w:lang w:val="es-ES_tradnl"/>
              </w:rPr>
              <w:t>"16"</w:t>
            </w:r>
            <w:r w:rsidR="00667EED" w:rsidRPr="00571F8B">
              <w:rPr>
                <w:lang w:val="es-ES_tradnl"/>
              </w:rPr>
              <w:t>)</w:t>
            </w:r>
            <w:r w:rsidR="00382246" w:rsidRPr="00571F8B">
              <w:rPr>
                <w:lang w:val="es-ES_tradnl"/>
              </w:rPr>
              <w:t xml:space="preserve"> y sustituyéndola con </w:t>
            </w:r>
            <w:r w:rsidR="00667EED" w:rsidRPr="00571F8B">
              <w:rPr>
                <w:lang w:val="es-ES_tradnl"/>
              </w:rPr>
              <w:t>el término</w:t>
            </w:r>
            <w:r w:rsidR="00382246" w:rsidRPr="00571F8B">
              <w:rPr>
                <w:lang w:val="es-ES_tradnl"/>
              </w:rPr>
              <w:t xml:space="preserve"> </w:t>
            </w:r>
            <w:r w:rsidR="001D2A53">
              <w:rPr>
                <w:i/>
                <w:lang w:val="es-ES_tradnl"/>
              </w:rPr>
              <w:t>"</w:t>
            </w:r>
            <w:r w:rsidR="00382246" w:rsidRPr="00571F8B">
              <w:rPr>
                <w:i/>
                <w:lang w:val="es-ES_tradnl"/>
              </w:rPr>
              <w:t>eighteen</w:t>
            </w:r>
            <w:r w:rsidR="001D2A53" w:rsidRPr="007947DC">
              <w:rPr>
                <w:i/>
                <w:lang w:val="es-ES_tradnl"/>
              </w:rPr>
              <w:t>"</w:t>
            </w:r>
            <w:r w:rsidR="00667EED" w:rsidRPr="00571F8B">
              <w:rPr>
                <w:lang w:val="es-ES_tradnl"/>
              </w:rPr>
              <w:t xml:space="preserve"> (</w:t>
            </w:r>
            <w:r w:rsidR="007947DC">
              <w:rPr>
                <w:lang w:val="es-ES_tradnl"/>
              </w:rPr>
              <w:t>"18"</w:t>
            </w:r>
            <w:r w:rsidR="005F71CB" w:rsidRPr="00571F8B">
              <w:rPr>
                <w:lang w:val="es-ES_tradnl"/>
              </w:rPr>
              <w:t>)</w:t>
            </w:r>
            <w:r w:rsidR="003D2ED2"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K. </w:t>
            </w:r>
            <w:r w:rsidR="00382246" w:rsidRPr="00571F8B">
              <w:rPr>
                <w:lang w:val="es-ES_tradnl"/>
              </w:rPr>
              <w:t>Artículo</w:t>
            </w:r>
            <w:r w:rsidRPr="00571F8B">
              <w:rPr>
                <w:lang w:val="es-ES_tradnl"/>
              </w:rPr>
              <w:t xml:space="preserve"> 147, </w:t>
            </w:r>
            <w:r w:rsidR="00012A65" w:rsidRPr="00571F8B">
              <w:rPr>
                <w:lang w:val="es-ES_tradnl"/>
              </w:rPr>
              <w:t>sustituyendo</w:t>
            </w:r>
            <w:r w:rsidR="00382246" w:rsidRPr="00571F8B">
              <w:rPr>
                <w:lang w:val="es-ES_tradnl"/>
              </w:rPr>
              <w:t xml:space="preserve"> la </w:t>
            </w:r>
            <w:r w:rsidR="00012A65" w:rsidRPr="00571F8B">
              <w:rPr>
                <w:lang w:val="es-ES_tradnl"/>
              </w:rPr>
              <w:t>frase</w:t>
            </w:r>
            <w:r w:rsidR="00382246" w:rsidRPr="00571F8B">
              <w:rPr>
                <w:lang w:val="es-ES_tradnl"/>
              </w:rPr>
              <w:t xml:space="preserve"> </w:t>
            </w:r>
            <w:r w:rsidR="001D2A53">
              <w:rPr>
                <w:i/>
                <w:lang w:val="es-ES_tradnl"/>
              </w:rPr>
              <w:t>"</w:t>
            </w:r>
            <w:r w:rsidR="00382246" w:rsidRPr="00571F8B">
              <w:rPr>
                <w:i/>
                <w:lang w:val="es-ES_tradnl"/>
              </w:rPr>
              <w:t>female</w:t>
            </w:r>
            <w:r w:rsidR="00012A65" w:rsidRPr="00571F8B">
              <w:rPr>
                <w:i/>
                <w:lang w:val="es-ES_tradnl"/>
              </w:rPr>
              <w:t xml:space="preserve"> person</w:t>
            </w:r>
            <w:r w:rsidR="001D2A53">
              <w:rPr>
                <w:i/>
                <w:lang w:val="es-ES_tradnl"/>
              </w:rPr>
              <w:t>"</w:t>
            </w:r>
            <w:r w:rsidR="00667EED" w:rsidRPr="00571F8B">
              <w:rPr>
                <w:lang w:val="es-ES_tradnl"/>
              </w:rPr>
              <w:t xml:space="preserve"> (</w:t>
            </w:r>
            <w:r w:rsidR="007947DC">
              <w:rPr>
                <w:lang w:val="es-ES_tradnl"/>
              </w:rPr>
              <w:t>"mujer"</w:t>
            </w:r>
            <w:r w:rsidR="00667EED" w:rsidRPr="00571F8B">
              <w:rPr>
                <w:lang w:val="es-ES_tradnl"/>
              </w:rPr>
              <w:t>)</w:t>
            </w:r>
            <w:r w:rsidR="00012A65" w:rsidRPr="00571F8B">
              <w:rPr>
                <w:lang w:val="es-ES_tradnl"/>
              </w:rPr>
              <w:t xml:space="preserve"> con la palabra </w:t>
            </w:r>
            <w:r w:rsidR="001D2A53">
              <w:rPr>
                <w:i/>
                <w:lang w:val="es-ES_tradnl"/>
              </w:rPr>
              <w:t>"</w:t>
            </w:r>
            <w:r w:rsidR="00012A65" w:rsidRPr="00571F8B">
              <w:rPr>
                <w:i/>
                <w:lang w:val="es-ES_tradnl"/>
              </w:rPr>
              <w:t>person</w:t>
            </w:r>
            <w:r w:rsidR="001D2A53">
              <w:rPr>
                <w:i/>
                <w:lang w:val="es-ES_tradnl"/>
              </w:rPr>
              <w:t>"</w:t>
            </w:r>
            <w:r w:rsidR="00667EED" w:rsidRPr="00571F8B">
              <w:rPr>
                <w:lang w:val="es-ES_tradnl"/>
              </w:rPr>
              <w:t xml:space="preserve"> (</w:t>
            </w:r>
            <w:r w:rsidR="007947DC">
              <w:rPr>
                <w:lang w:val="es-ES_tradnl"/>
              </w:rPr>
              <w:t>"persona"</w:t>
            </w:r>
            <w:r w:rsidR="00012A65" w:rsidRPr="00571F8B">
              <w:rPr>
                <w:lang w:val="es-ES_tradnl"/>
              </w:rPr>
              <w:t>)</w:t>
            </w:r>
            <w:r w:rsidR="00382246"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L. </w:t>
            </w:r>
            <w:r w:rsidR="005F71CB" w:rsidRPr="00571F8B">
              <w:rPr>
                <w:lang w:val="es-ES_tradnl"/>
              </w:rPr>
              <w:t>Artículo</w:t>
            </w:r>
            <w:r w:rsidRPr="00571F8B">
              <w:rPr>
                <w:lang w:val="es-ES_tradnl"/>
              </w:rPr>
              <w:t xml:space="preserve"> 154, </w:t>
            </w:r>
            <w:r w:rsidR="005F71CB" w:rsidRPr="00571F8B">
              <w:rPr>
                <w:lang w:val="es-ES_tradnl"/>
              </w:rPr>
              <w:t xml:space="preserve">eliminando </w:t>
            </w:r>
            <w:r w:rsidR="003F3482" w:rsidRPr="00571F8B">
              <w:rPr>
                <w:lang w:val="es-ES_tradnl"/>
              </w:rPr>
              <w:t>el término</w:t>
            </w:r>
            <w:r w:rsidR="005F71CB" w:rsidRPr="00571F8B">
              <w:rPr>
                <w:lang w:val="es-ES_tradnl"/>
              </w:rPr>
              <w:t xml:space="preserve"> </w:t>
            </w:r>
            <w:r w:rsidR="001D2A53">
              <w:rPr>
                <w:i/>
                <w:lang w:val="es-ES_tradnl"/>
              </w:rPr>
              <w:t>"</w:t>
            </w:r>
            <w:r w:rsidRPr="00571F8B">
              <w:rPr>
                <w:i/>
                <w:lang w:val="es-ES_tradnl"/>
              </w:rPr>
              <w:t>ten</w:t>
            </w:r>
            <w:r w:rsidR="001D2A53">
              <w:rPr>
                <w:i/>
                <w:lang w:val="es-ES_tradnl"/>
              </w:rPr>
              <w:t>"</w:t>
            </w:r>
            <w:r w:rsidRPr="00571F8B">
              <w:rPr>
                <w:lang w:val="es-ES_tradnl"/>
              </w:rPr>
              <w:t xml:space="preserve"> </w:t>
            </w:r>
            <w:r w:rsidR="003F3482" w:rsidRPr="00571F8B">
              <w:rPr>
                <w:lang w:val="es-ES_tradnl"/>
              </w:rPr>
              <w:t>(</w:t>
            </w:r>
            <w:r w:rsidR="007947DC">
              <w:rPr>
                <w:lang w:val="es-ES_tradnl"/>
              </w:rPr>
              <w:t>"10"</w:t>
            </w:r>
            <w:r w:rsidR="003F3482" w:rsidRPr="00571F8B">
              <w:rPr>
                <w:lang w:val="es-ES_tradnl"/>
              </w:rPr>
              <w:t>) y sustituyéndolo</w:t>
            </w:r>
            <w:r w:rsidR="005F71CB" w:rsidRPr="00571F8B">
              <w:rPr>
                <w:lang w:val="es-ES_tradnl"/>
              </w:rPr>
              <w:t xml:space="preserve"> con </w:t>
            </w:r>
            <w:r w:rsidR="003F3482" w:rsidRPr="00571F8B">
              <w:rPr>
                <w:lang w:val="es-ES_tradnl"/>
              </w:rPr>
              <w:t>el término</w:t>
            </w:r>
            <w:r w:rsidR="005F71CB" w:rsidRPr="00571F8B">
              <w:rPr>
                <w:lang w:val="es-ES_tradnl"/>
              </w:rPr>
              <w:t xml:space="preserve"> </w:t>
            </w:r>
            <w:r w:rsidR="001D2A53">
              <w:rPr>
                <w:i/>
                <w:lang w:val="es-ES_tradnl"/>
              </w:rPr>
              <w:t>"</w:t>
            </w:r>
            <w:r w:rsidR="005F71CB" w:rsidRPr="00571F8B">
              <w:rPr>
                <w:i/>
                <w:lang w:val="es-ES_tradnl"/>
              </w:rPr>
              <w:t>eighteen</w:t>
            </w:r>
            <w:r w:rsidR="001D2A53" w:rsidRPr="007947DC">
              <w:rPr>
                <w:i/>
                <w:lang w:val="es-ES_tradnl"/>
              </w:rPr>
              <w:t>"</w:t>
            </w:r>
            <w:r w:rsidR="003F3482" w:rsidRPr="00571F8B">
              <w:rPr>
                <w:lang w:val="es-ES_tradnl"/>
              </w:rPr>
              <w:t xml:space="preserve"> (</w:t>
            </w:r>
            <w:r w:rsidR="007947DC">
              <w:rPr>
                <w:lang w:val="es-ES_tradnl"/>
              </w:rPr>
              <w:t>"18"</w:t>
            </w:r>
            <w:r w:rsidR="005F71CB"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M. </w:t>
            </w:r>
            <w:r w:rsidR="005F71CB" w:rsidRPr="00571F8B">
              <w:rPr>
                <w:lang w:val="es-ES_tradnl"/>
              </w:rPr>
              <w:t xml:space="preserve">Artículo 156 </w:t>
            </w:r>
            <w:r w:rsidRPr="00571F8B">
              <w:rPr>
                <w:lang w:val="es-ES_tradnl"/>
              </w:rPr>
              <w:t xml:space="preserve">1), </w:t>
            </w:r>
            <w:r w:rsidR="005F71CB" w:rsidRPr="00571F8B">
              <w:rPr>
                <w:lang w:val="es-ES_tradnl"/>
              </w:rPr>
              <w:t xml:space="preserve">eliminando </w:t>
            </w:r>
            <w:r w:rsidR="003F3482" w:rsidRPr="00571F8B">
              <w:rPr>
                <w:lang w:val="es-ES_tradnl"/>
              </w:rPr>
              <w:t>el término</w:t>
            </w:r>
            <w:r w:rsidR="005F71CB" w:rsidRPr="00571F8B">
              <w:rPr>
                <w:lang w:val="es-ES_tradnl"/>
              </w:rPr>
              <w:t xml:space="preserve"> </w:t>
            </w:r>
            <w:r w:rsidR="001D2A53">
              <w:rPr>
                <w:i/>
                <w:lang w:val="es-ES_tradnl"/>
              </w:rPr>
              <w:t>"</w:t>
            </w:r>
            <w:r w:rsidR="005F71CB" w:rsidRPr="00571F8B">
              <w:rPr>
                <w:i/>
                <w:lang w:val="es-ES_tradnl"/>
              </w:rPr>
              <w:t>fourteen</w:t>
            </w:r>
            <w:r w:rsidR="001D2A53">
              <w:rPr>
                <w:i/>
                <w:lang w:val="es-ES_tradnl"/>
              </w:rPr>
              <w:t>"</w:t>
            </w:r>
            <w:r w:rsidR="00FA261F" w:rsidRPr="00571F8B">
              <w:rPr>
                <w:lang w:val="es-ES_tradnl"/>
              </w:rPr>
              <w:t xml:space="preserve"> (</w:t>
            </w:r>
            <w:r w:rsidR="007947DC">
              <w:rPr>
                <w:lang w:val="es-ES_tradnl"/>
              </w:rPr>
              <w:t>"14"</w:t>
            </w:r>
            <w:r w:rsidR="003F3482" w:rsidRPr="00571F8B">
              <w:rPr>
                <w:lang w:val="es-ES_tradnl"/>
              </w:rPr>
              <w:t>) y sustituyéndolo</w:t>
            </w:r>
            <w:r w:rsidR="005F71CB" w:rsidRPr="00571F8B">
              <w:rPr>
                <w:lang w:val="es-ES_tradnl"/>
              </w:rPr>
              <w:t xml:space="preserve"> con </w:t>
            </w:r>
            <w:r w:rsidR="003F3482" w:rsidRPr="00571F8B">
              <w:rPr>
                <w:lang w:val="es-ES_tradnl"/>
              </w:rPr>
              <w:t>el término</w:t>
            </w:r>
            <w:r w:rsidR="005F71CB" w:rsidRPr="00571F8B">
              <w:rPr>
                <w:lang w:val="es-ES_tradnl"/>
              </w:rPr>
              <w:t xml:space="preserve"> </w:t>
            </w:r>
            <w:r w:rsidR="001D2A53">
              <w:rPr>
                <w:i/>
                <w:lang w:val="es-ES_tradnl"/>
              </w:rPr>
              <w:t>"</w:t>
            </w:r>
            <w:r w:rsidR="005F71CB" w:rsidRPr="00571F8B">
              <w:rPr>
                <w:i/>
                <w:lang w:val="es-ES_tradnl"/>
              </w:rPr>
              <w:t>eighteen</w:t>
            </w:r>
            <w:r w:rsidR="001D2A53" w:rsidRPr="007947DC">
              <w:rPr>
                <w:i/>
                <w:lang w:val="es-ES_tradnl"/>
              </w:rPr>
              <w:t>"</w:t>
            </w:r>
            <w:r w:rsidR="003F3482" w:rsidRPr="00571F8B">
              <w:rPr>
                <w:lang w:val="es-ES_tradnl"/>
              </w:rPr>
              <w:t xml:space="preserve"> (</w:t>
            </w:r>
            <w:r w:rsidR="007947DC">
              <w:rPr>
                <w:lang w:val="es-ES_tradnl"/>
              </w:rPr>
              <w:t>"</w:t>
            </w:r>
            <w:r w:rsidR="003F3482" w:rsidRPr="00571F8B">
              <w:rPr>
                <w:lang w:val="es-ES_tradnl"/>
              </w:rPr>
              <w:t>18</w:t>
            </w:r>
            <w:r w:rsidR="007947DC">
              <w:rPr>
                <w:lang w:val="es-ES_tradnl"/>
              </w:rPr>
              <w:t>"</w:t>
            </w:r>
            <w:r w:rsidR="005F71CB"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N. </w:t>
            </w:r>
            <w:r w:rsidR="005F71CB" w:rsidRPr="00571F8B">
              <w:rPr>
                <w:lang w:val="es-ES_tradnl"/>
              </w:rPr>
              <w:t>Artículo</w:t>
            </w:r>
            <w:r w:rsidRPr="00571F8B">
              <w:rPr>
                <w:lang w:val="es-ES_tradnl"/>
              </w:rPr>
              <w:t xml:space="preserve"> 160, </w:t>
            </w:r>
            <w:r w:rsidR="005F71CB" w:rsidRPr="00571F8B">
              <w:rPr>
                <w:lang w:val="es-ES_tradnl"/>
              </w:rPr>
              <w:t xml:space="preserve">eliminando </w:t>
            </w:r>
            <w:r w:rsidR="003F3482" w:rsidRPr="00571F8B">
              <w:rPr>
                <w:lang w:val="es-ES_tradnl"/>
              </w:rPr>
              <w:t>el término</w:t>
            </w:r>
            <w:r w:rsidR="005F71CB" w:rsidRPr="00571F8B">
              <w:rPr>
                <w:lang w:val="es-ES_tradnl"/>
              </w:rPr>
              <w:t xml:space="preserve"> </w:t>
            </w:r>
            <w:r w:rsidR="001D2A53">
              <w:rPr>
                <w:i/>
                <w:lang w:val="es-ES_tradnl"/>
              </w:rPr>
              <w:t>"</w:t>
            </w:r>
            <w:r w:rsidR="005F71CB" w:rsidRPr="00571F8B">
              <w:rPr>
                <w:i/>
                <w:lang w:val="es-ES_tradnl"/>
              </w:rPr>
              <w:t>ten</w:t>
            </w:r>
            <w:r w:rsidR="001D2A53">
              <w:rPr>
                <w:i/>
                <w:lang w:val="es-ES_tradnl"/>
              </w:rPr>
              <w:t>"</w:t>
            </w:r>
            <w:r w:rsidR="003F3482" w:rsidRPr="00571F8B">
              <w:rPr>
                <w:lang w:val="es-ES_tradnl"/>
              </w:rPr>
              <w:t xml:space="preserve"> (</w:t>
            </w:r>
            <w:r w:rsidR="007947DC">
              <w:rPr>
                <w:lang w:val="es-ES_tradnl"/>
              </w:rPr>
              <w:t>"10"</w:t>
            </w:r>
            <w:r w:rsidR="003F3482" w:rsidRPr="00571F8B">
              <w:rPr>
                <w:lang w:val="es-ES_tradnl"/>
              </w:rPr>
              <w:t>) y sustituyéndolo</w:t>
            </w:r>
            <w:r w:rsidR="005F71CB" w:rsidRPr="00571F8B">
              <w:rPr>
                <w:lang w:val="es-ES_tradnl"/>
              </w:rPr>
              <w:t xml:space="preserve"> con </w:t>
            </w:r>
            <w:r w:rsidR="003F3482" w:rsidRPr="00571F8B">
              <w:rPr>
                <w:lang w:val="es-ES_tradnl"/>
              </w:rPr>
              <w:t>el término</w:t>
            </w:r>
            <w:r w:rsidR="005F71CB" w:rsidRPr="00571F8B">
              <w:rPr>
                <w:lang w:val="es-ES_tradnl"/>
              </w:rPr>
              <w:t xml:space="preserve"> </w:t>
            </w:r>
            <w:r w:rsidR="001D2A53">
              <w:rPr>
                <w:i/>
                <w:lang w:val="es-ES_tradnl"/>
              </w:rPr>
              <w:t>"</w:t>
            </w:r>
            <w:r w:rsidR="005F71CB" w:rsidRPr="00571F8B">
              <w:rPr>
                <w:i/>
                <w:lang w:val="es-ES_tradnl"/>
              </w:rPr>
              <w:t>eighteen</w:t>
            </w:r>
            <w:r w:rsidR="001D2A53" w:rsidRPr="007947DC">
              <w:rPr>
                <w:i/>
                <w:lang w:val="es-ES_tradnl"/>
              </w:rPr>
              <w:t>"</w:t>
            </w:r>
            <w:r w:rsidR="003F3482" w:rsidRPr="00571F8B">
              <w:rPr>
                <w:lang w:val="es-ES_tradnl"/>
              </w:rPr>
              <w:t xml:space="preserve"> (</w:t>
            </w:r>
            <w:r w:rsidR="007947DC">
              <w:rPr>
                <w:lang w:val="es-ES_tradnl"/>
              </w:rPr>
              <w:t>"18"</w:t>
            </w:r>
            <w:r w:rsidR="003F3482" w:rsidRPr="00571F8B">
              <w:rPr>
                <w:lang w:val="es-ES_tradnl"/>
              </w:rPr>
              <w:t>)</w:t>
            </w:r>
            <w:r w:rsidR="005F71CB"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O. </w:t>
            </w:r>
            <w:r w:rsidR="005F71CB" w:rsidRPr="00571F8B">
              <w:rPr>
                <w:lang w:val="es-ES_tradnl"/>
              </w:rPr>
              <w:t>Artículo</w:t>
            </w:r>
            <w:r w:rsidRPr="00571F8B">
              <w:rPr>
                <w:lang w:val="es-ES_tradnl"/>
              </w:rPr>
              <w:t xml:space="preserve"> 166, </w:t>
            </w:r>
            <w:r w:rsidR="005F71CB" w:rsidRPr="00571F8B">
              <w:rPr>
                <w:lang w:val="es-ES_tradnl"/>
              </w:rPr>
              <w:t xml:space="preserve">eliminando </w:t>
            </w:r>
            <w:r w:rsidR="003F3482" w:rsidRPr="00571F8B">
              <w:rPr>
                <w:lang w:val="es-ES_tradnl"/>
              </w:rPr>
              <w:t>el término</w:t>
            </w:r>
            <w:r w:rsidR="005F71CB" w:rsidRPr="00571F8B">
              <w:rPr>
                <w:lang w:val="es-ES_tradnl"/>
              </w:rPr>
              <w:t xml:space="preserve"> </w:t>
            </w:r>
            <w:r w:rsidR="001D2A53">
              <w:rPr>
                <w:i/>
                <w:lang w:val="es-ES_tradnl"/>
              </w:rPr>
              <w:t>"</w:t>
            </w:r>
            <w:r w:rsidR="005F71CB" w:rsidRPr="00571F8B">
              <w:rPr>
                <w:i/>
                <w:lang w:val="es-ES_tradnl"/>
              </w:rPr>
              <w:t>fourteen</w:t>
            </w:r>
            <w:r w:rsidR="001D2A53">
              <w:rPr>
                <w:i/>
                <w:lang w:val="es-ES_tradnl"/>
              </w:rPr>
              <w:t>"</w:t>
            </w:r>
            <w:r w:rsidR="003F3482" w:rsidRPr="00571F8B">
              <w:rPr>
                <w:lang w:val="es-ES_tradnl"/>
              </w:rPr>
              <w:t xml:space="preserve"> (</w:t>
            </w:r>
            <w:r w:rsidR="007947DC">
              <w:rPr>
                <w:lang w:val="es-ES_tradnl"/>
              </w:rPr>
              <w:t>"14"</w:t>
            </w:r>
            <w:r w:rsidR="003F3482" w:rsidRPr="00571F8B">
              <w:rPr>
                <w:lang w:val="es-ES_tradnl"/>
              </w:rPr>
              <w:t>) y sustituyéndolo</w:t>
            </w:r>
            <w:r w:rsidR="005F71CB" w:rsidRPr="00571F8B">
              <w:rPr>
                <w:lang w:val="es-ES_tradnl"/>
              </w:rPr>
              <w:t xml:space="preserve"> con </w:t>
            </w:r>
            <w:r w:rsidR="003F3482" w:rsidRPr="00571F8B">
              <w:rPr>
                <w:lang w:val="es-ES_tradnl"/>
              </w:rPr>
              <w:t>el término</w:t>
            </w:r>
            <w:r w:rsidR="005F71CB" w:rsidRPr="00571F8B">
              <w:rPr>
                <w:lang w:val="es-ES_tradnl"/>
              </w:rPr>
              <w:t xml:space="preserve"> </w:t>
            </w:r>
            <w:r w:rsidR="001D2A53">
              <w:rPr>
                <w:i/>
                <w:lang w:val="es-ES_tradnl"/>
              </w:rPr>
              <w:t>"</w:t>
            </w:r>
            <w:r w:rsidR="005F71CB" w:rsidRPr="00571F8B">
              <w:rPr>
                <w:i/>
                <w:lang w:val="es-ES_tradnl"/>
              </w:rPr>
              <w:t>eighteen</w:t>
            </w:r>
            <w:r w:rsidR="001D2A53" w:rsidRPr="007947DC">
              <w:rPr>
                <w:i/>
                <w:lang w:val="es-ES_tradnl"/>
              </w:rPr>
              <w:t>"</w:t>
            </w:r>
            <w:r w:rsidR="003F3482" w:rsidRPr="00571F8B">
              <w:rPr>
                <w:lang w:val="es-ES_tradnl"/>
              </w:rPr>
              <w:t xml:space="preserve"> (</w:t>
            </w:r>
            <w:r w:rsidR="007947DC">
              <w:rPr>
                <w:lang w:val="es-ES_tradnl"/>
              </w:rPr>
              <w:t>"18"</w:t>
            </w:r>
            <w:r w:rsidR="005F71CB"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P. </w:t>
            </w:r>
            <w:r w:rsidR="005F71CB" w:rsidRPr="00571F8B">
              <w:rPr>
                <w:lang w:val="es-ES_tradnl"/>
              </w:rPr>
              <w:t>Artículo</w:t>
            </w:r>
            <w:r w:rsidRPr="00571F8B">
              <w:rPr>
                <w:lang w:val="es-ES_tradnl"/>
              </w:rPr>
              <w:t xml:space="preserve"> 167, </w:t>
            </w:r>
            <w:r w:rsidR="005F71CB" w:rsidRPr="00571F8B">
              <w:rPr>
                <w:lang w:val="es-ES_tradnl"/>
              </w:rPr>
              <w:t xml:space="preserve">eliminando </w:t>
            </w:r>
            <w:r w:rsidR="003F3482" w:rsidRPr="00571F8B">
              <w:rPr>
                <w:lang w:val="es-ES_tradnl"/>
              </w:rPr>
              <w:t>el término</w:t>
            </w:r>
            <w:r w:rsidR="005F71CB" w:rsidRPr="00571F8B">
              <w:rPr>
                <w:lang w:val="es-ES_tradnl"/>
              </w:rPr>
              <w:t xml:space="preserve"> </w:t>
            </w:r>
            <w:r w:rsidR="001D2A53">
              <w:rPr>
                <w:i/>
                <w:lang w:val="es-ES_tradnl"/>
              </w:rPr>
              <w:t>"</w:t>
            </w:r>
            <w:r w:rsidR="005F71CB" w:rsidRPr="00571F8B">
              <w:rPr>
                <w:i/>
                <w:lang w:val="es-ES_tradnl"/>
              </w:rPr>
              <w:t>fourteen</w:t>
            </w:r>
            <w:r w:rsidR="001D2A53">
              <w:rPr>
                <w:i/>
                <w:lang w:val="es-ES_tradnl"/>
              </w:rPr>
              <w:t>"</w:t>
            </w:r>
            <w:r w:rsidR="003F3482" w:rsidRPr="00571F8B">
              <w:rPr>
                <w:lang w:val="es-ES_tradnl"/>
              </w:rPr>
              <w:t xml:space="preserve"> (</w:t>
            </w:r>
            <w:r w:rsidR="007947DC">
              <w:rPr>
                <w:lang w:val="es-ES_tradnl"/>
              </w:rPr>
              <w:t>"14"</w:t>
            </w:r>
            <w:r w:rsidR="003F3482" w:rsidRPr="00571F8B">
              <w:rPr>
                <w:lang w:val="es-ES_tradnl"/>
              </w:rPr>
              <w:t>) y sustituyéndolo</w:t>
            </w:r>
            <w:r w:rsidR="005F71CB" w:rsidRPr="00571F8B">
              <w:rPr>
                <w:lang w:val="es-ES_tradnl"/>
              </w:rPr>
              <w:t xml:space="preserve"> con </w:t>
            </w:r>
            <w:r w:rsidR="003F3482" w:rsidRPr="00571F8B">
              <w:rPr>
                <w:lang w:val="es-ES_tradnl"/>
              </w:rPr>
              <w:t>el término</w:t>
            </w:r>
            <w:r w:rsidR="005F71CB" w:rsidRPr="00571F8B">
              <w:rPr>
                <w:lang w:val="es-ES_tradnl"/>
              </w:rPr>
              <w:t xml:space="preserve"> </w:t>
            </w:r>
            <w:r w:rsidR="001D2A53">
              <w:rPr>
                <w:i/>
                <w:lang w:val="es-ES_tradnl"/>
              </w:rPr>
              <w:t>"</w:t>
            </w:r>
            <w:r w:rsidR="005F71CB" w:rsidRPr="00571F8B">
              <w:rPr>
                <w:i/>
                <w:lang w:val="es-ES_tradnl"/>
              </w:rPr>
              <w:t>eighteen</w:t>
            </w:r>
            <w:r w:rsidR="001D2A53" w:rsidRPr="007947DC">
              <w:rPr>
                <w:i/>
                <w:lang w:val="es-ES_tradnl"/>
              </w:rPr>
              <w:t>"</w:t>
            </w:r>
            <w:r w:rsidR="003F3482" w:rsidRPr="00571F8B">
              <w:rPr>
                <w:lang w:val="es-ES_tradnl"/>
              </w:rPr>
              <w:t xml:space="preserve"> (</w:t>
            </w:r>
            <w:r w:rsidR="007947DC">
              <w:rPr>
                <w:lang w:val="es-ES_tradnl"/>
              </w:rPr>
              <w:t>"18"</w:t>
            </w:r>
            <w:r w:rsidR="003F3482" w:rsidRPr="00571F8B">
              <w:rPr>
                <w:lang w:val="es-ES_tradnl"/>
              </w:rPr>
              <w:t>)</w:t>
            </w:r>
            <w:r w:rsidR="005F71CB" w:rsidRPr="00571F8B">
              <w:rPr>
                <w:lang w:val="es-ES_tradnl"/>
              </w:rPr>
              <w:t>.</w:t>
            </w:r>
          </w:p>
          <w:p w:rsidR="00E06EF2"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Q. </w:t>
            </w:r>
            <w:r w:rsidR="00E06EF2" w:rsidRPr="00571F8B">
              <w:rPr>
                <w:lang w:val="es-ES_tradnl"/>
              </w:rPr>
              <w:t>Artículo</w:t>
            </w:r>
            <w:r w:rsidRPr="00571F8B">
              <w:rPr>
                <w:lang w:val="es-ES_tradnl"/>
              </w:rPr>
              <w:t xml:space="preserve"> 169, </w:t>
            </w:r>
            <w:r w:rsidR="00E06EF2" w:rsidRPr="00571F8B">
              <w:rPr>
                <w:lang w:val="es-ES_tradnl"/>
              </w:rPr>
              <w:t xml:space="preserve">eliminando </w:t>
            </w:r>
            <w:r w:rsidR="003F3482" w:rsidRPr="00571F8B">
              <w:rPr>
                <w:lang w:val="es-ES_tradnl"/>
              </w:rPr>
              <w:t>el término</w:t>
            </w:r>
            <w:r w:rsidR="00E06EF2" w:rsidRPr="00571F8B">
              <w:rPr>
                <w:lang w:val="es-ES_tradnl"/>
              </w:rPr>
              <w:t xml:space="preserve"> </w:t>
            </w:r>
            <w:r w:rsidR="001D2A53">
              <w:rPr>
                <w:i/>
                <w:lang w:val="es-ES_tradnl"/>
              </w:rPr>
              <w:t>"</w:t>
            </w:r>
            <w:r w:rsidR="00E06EF2" w:rsidRPr="00571F8B">
              <w:rPr>
                <w:i/>
                <w:lang w:val="es-ES_tradnl"/>
              </w:rPr>
              <w:t>fourteen</w:t>
            </w:r>
            <w:r w:rsidR="001D2A53">
              <w:rPr>
                <w:i/>
                <w:lang w:val="es-ES_tradnl"/>
              </w:rPr>
              <w:t>"</w:t>
            </w:r>
            <w:r w:rsidR="003F3482" w:rsidRPr="00571F8B">
              <w:rPr>
                <w:lang w:val="es-ES_tradnl"/>
              </w:rPr>
              <w:t xml:space="preserve"> (</w:t>
            </w:r>
            <w:r w:rsidR="007947DC">
              <w:rPr>
                <w:lang w:val="es-ES_tradnl"/>
              </w:rPr>
              <w:t>"14"</w:t>
            </w:r>
            <w:r w:rsidR="003F3482" w:rsidRPr="00571F8B">
              <w:rPr>
                <w:lang w:val="es-ES_tradnl"/>
              </w:rPr>
              <w:t>) y sustituyéndolo</w:t>
            </w:r>
            <w:r w:rsidR="00E06EF2" w:rsidRPr="00571F8B">
              <w:rPr>
                <w:lang w:val="es-ES_tradnl"/>
              </w:rPr>
              <w:t xml:space="preserve"> con </w:t>
            </w:r>
            <w:r w:rsidR="003F3482" w:rsidRPr="00571F8B">
              <w:rPr>
                <w:lang w:val="es-ES_tradnl"/>
              </w:rPr>
              <w:t>el término</w:t>
            </w:r>
            <w:r w:rsidR="00E06EF2" w:rsidRPr="00571F8B">
              <w:rPr>
                <w:lang w:val="es-ES_tradnl"/>
              </w:rPr>
              <w:t xml:space="preserve"> </w:t>
            </w:r>
            <w:r w:rsidR="001D2A53">
              <w:rPr>
                <w:i/>
                <w:lang w:val="es-ES_tradnl"/>
              </w:rPr>
              <w:t>"</w:t>
            </w:r>
            <w:r w:rsidR="00E06EF2" w:rsidRPr="00571F8B">
              <w:rPr>
                <w:i/>
                <w:lang w:val="es-ES_tradnl"/>
              </w:rPr>
              <w:t>eighteen</w:t>
            </w:r>
            <w:r w:rsidR="001D2A53" w:rsidRPr="007947DC">
              <w:rPr>
                <w:i/>
                <w:lang w:val="es-ES_tradnl"/>
              </w:rPr>
              <w:t>"</w:t>
            </w:r>
            <w:r w:rsidR="003F3482" w:rsidRPr="00571F8B">
              <w:rPr>
                <w:lang w:val="es-ES_tradnl"/>
              </w:rPr>
              <w:t xml:space="preserve"> (</w:t>
            </w:r>
            <w:r w:rsidR="007947DC">
              <w:rPr>
                <w:lang w:val="es-ES_tradnl"/>
              </w:rPr>
              <w:t>"18"</w:t>
            </w:r>
            <w:r w:rsidR="00E06EF2" w:rsidRPr="00571F8B">
              <w:rPr>
                <w:lang w:val="es-ES_tradnl"/>
              </w:rPr>
              <w:t>).</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R. </w:t>
            </w:r>
            <w:r w:rsidR="00E06EF2" w:rsidRPr="00571F8B">
              <w:rPr>
                <w:lang w:val="es-ES_tradnl"/>
              </w:rPr>
              <w:t>Artículo</w:t>
            </w:r>
            <w:r w:rsidRPr="00571F8B">
              <w:rPr>
                <w:lang w:val="es-ES_tradnl"/>
              </w:rPr>
              <w:t xml:space="preserve"> 245, </w:t>
            </w:r>
            <w:r w:rsidR="00E06EF2" w:rsidRPr="00571F8B">
              <w:rPr>
                <w:lang w:val="es-ES_tradnl"/>
              </w:rPr>
              <w:t xml:space="preserve">eliminando la frase </w:t>
            </w:r>
            <w:r w:rsidR="001D2A53">
              <w:rPr>
                <w:i/>
                <w:lang w:val="es-ES_tradnl"/>
              </w:rPr>
              <w:t>"</w:t>
            </w:r>
            <w:r w:rsidR="00E06EF2" w:rsidRPr="00571F8B">
              <w:rPr>
                <w:i/>
                <w:lang w:val="es-ES_tradnl"/>
              </w:rPr>
              <w:t>fourteen years of age if a male, or under sixteen years of age if a female</w:t>
            </w:r>
            <w:r w:rsidR="001D2A53">
              <w:rPr>
                <w:i/>
                <w:lang w:val="es-ES_tradnl"/>
              </w:rPr>
              <w:t>"</w:t>
            </w:r>
            <w:r w:rsidR="003F3482" w:rsidRPr="00571F8B">
              <w:rPr>
                <w:lang w:val="es-ES_tradnl"/>
              </w:rPr>
              <w:t xml:space="preserve"> (</w:t>
            </w:r>
            <w:r w:rsidR="002C05E6">
              <w:rPr>
                <w:lang w:val="es-ES_tradnl"/>
              </w:rPr>
              <w:t>"</w:t>
            </w:r>
            <w:r w:rsidR="003F3482" w:rsidRPr="00571F8B">
              <w:rPr>
                <w:lang w:val="es-ES_tradnl"/>
              </w:rPr>
              <w:t xml:space="preserve">14 </w:t>
            </w:r>
            <w:r w:rsidR="00E06EF2" w:rsidRPr="00571F8B">
              <w:rPr>
                <w:lang w:val="es-ES_tradnl"/>
              </w:rPr>
              <w:t xml:space="preserve">años de edad </w:t>
            </w:r>
            <w:r w:rsidR="003F3482" w:rsidRPr="00571F8B">
              <w:rPr>
                <w:lang w:val="es-ES_tradnl"/>
              </w:rPr>
              <w:t xml:space="preserve">para los niños varones, </w:t>
            </w:r>
            <w:r w:rsidR="00E06EF2" w:rsidRPr="00571F8B">
              <w:rPr>
                <w:lang w:val="es-ES_tradnl"/>
              </w:rPr>
              <w:t xml:space="preserve">o menos de </w:t>
            </w:r>
            <w:r w:rsidR="002C05E6">
              <w:rPr>
                <w:lang w:val="es-ES_tradnl"/>
              </w:rPr>
              <w:t>16 años de edad para las niñas"</w:t>
            </w:r>
            <w:r w:rsidR="00E06EF2" w:rsidRPr="00571F8B">
              <w:rPr>
                <w:lang w:val="es-ES_tradnl"/>
              </w:rPr>
              <w:t xml:space="preserve">) y sustituyéndola con la frase </w:t>
            </w:r>
            <w:r w:rsidR="001D2A53">
              <w:rPr>
                <w:i/>
                <w:lang w:val="es-ES_tradnl"/>
              </w:rPr>
              <w:t>"</w:t>
            </w:r>
            <w:r w:rsidR="00E06EF2" w:rsidRPr="00571F8B">
              <w:rPr>
                <w:i/>
                <w:lang w:val="es-ES_tradnl"/>
              </w:rPr>
              <w:t>eighteen years of age</w:t>
            </w:r>
            <w:r w:rsidR="001D2A53">
              <w:rPr>
                <w:i/>
                <w:lang w:val="es-ES_tradnl"/>
              </w:rPr>
              <w:t>"</w:t>
            </w:r>
            <w:r w:rsidR="003F3482" w:rsidRPr="00571F8B">
              <w:rPr>
                <w:lang w:val="es-ES_tradnl"/>
              </w:rPr>
              <w:t xml:space="preserve"> (</w:t>
            </w:r>
            <w:r w:rsidR="002C05E6">
              <w:rPr>
                <w:lang w:val="es-ES_tradnl"/>
              </w:rPr>
              <w:t>"</w:t>
            </w:r>
            <w:r w:rsidR="003F3482" w:rsidRPr="00571F8B">
              <w:rPr>
                <w:lang w:val="es-ES_tradnl"/>
              </w:rPr>
              <w:t>18</w:t>
            </w:r>
            <w:r w:rsidR="00E06EF2" w:rsidRPr="00571F8B">
              <w:rPr>
                <w:lang w:val="es-ES_tradnl"/>
              </w:rPr>
              <w:t xml:space="preserve"> años </w:t>
            </w:r>
            <w:r w:rsidR="002C05E6">
              <w:rPr>
                <w:lang w:val="es-ES_tradnl"/>
              </w:rPr>
              <w:t>de edad"</w:t>
            </w:r>
            <w:r w:rsidR="00E06EF2" w:rsidRPr="00571F8B">
              <w:rPr>
                <w:lang w:val="es-ES_tradnl"/>
              </w:rPr>
              <w:t xml:space="preserve">). </w:t>
            </w:r>
          </w:p>
          <w:p w:rsidR="00151021" w:rsidRPr="00571F8B" w:rsidRDefault="00151021" w:rsidP="00571F8B">
            <w:pPr>
              <w:suppressAutoHyphens w:val="0"/>
              <w:autoSpaceDE w:val="0"/>
              <w:autoSpaceDN w:val="0"/>
              <w:adjustRightInd w:val="0"/>
              <w:spacing w:before="40" w:after="120"/>
              <w:ind w:right="113"/>
              <w:rPr>
                <w:lang w:val="es-ES_tradnl"/>
              </w:rPr>
            </w:pPr>
            <w:r w:rsidRPr="00571F8B">
              <w:rPr>
                <w:lang w:val="es-ES_tradnl"/>
              </w:rPr>
              <w:t xml:space="preserve">S. </w:t>
            </w:r>
            <w:r w:rsidR="00E06EF2" w:rsidRPr="00571F8B">
              <w:rPr>
                <w:lang w:val="es-ES_tradnl"/>
              </w:rPr>
              <w:t>Artículo</w:t>
            </w:r>
            <w:r w:rsidRPr="00571F8B">
              <w:rPr>
                <w:lang w:val="es-ES_tradnl"/>
              </w:rPr>
              <w:t xml:space="preserve"> 252, </w:t>
            </w:r>
            <w:r w:rsidR="00E06EF2" w:rsidRPr="00571F8B">
              <w:rPr>
                <w:lang w:val="es-ES_tradnl"/>
              </w:rPr>
              <w:t xml:space="preserve">eliminando </w:t>
            </w:r>
            <w:r w:rsidR="003F3482" w:rsidRPr="00571F8B">
              <w:rPr>
                <w:lang w:val="es-ES_tradnl"/>
              </w:rPr>
              <w:t>el término</w:t>
            </w:r>
            <w:r w:rsidR="00E06EF2" w:rsidRPr="00571F8B">
              <w:rPr>
                <w:lang w:val="es-ES_tradnl"/>
              </w:rPr>
              <w:t xml:space="preserve"> </w:t>
            </w:r>
            <w:r w:rsidR="001D2A53">
              <w:rPr>
                <w:i/>
                <w:lang w:val="es-ES_tradnl"/>
              </w:rPr>
              <w:t>"</w:t>
            </w:r>
            <w:r w:rsidR="00E06EF2" w:rsidRPr="00571F8B">
              <w:rPr>
                <w:i/>
                <w:lang w:val="es-ES_tradnl"/>
              </w:rPr>
              <w:t>fourteen</w:t>
            </w:r>
            <w:r w:rsidR="001D2A53">
              <w:rPr>
                <w:i/>
                <w:lang w:val="es-ES_tradnl"/>
              </w:rPr>
              <w:t>"</w:t>
            </w:r>
            <w:r w:rsidR="003F3482" w:rsidRPr="00571F8B">
              <w:rPr>
                <w:lang w:val="es-ES_tradnl"/>
              </w:rPr>
              <w:t xml:space="preserve"> (</w:t>
            </w:r>
            <w:r w:rsidR="00B03C5B">
              <w:rPr>
                <w:lang w:val="es-ES_tradnl"/>
              </w:rPr>
              <w:t>"14"</w:t>
            </w:r>
            <w:r w:rsidR="003F3482" w:rsidRPr="00571F8B">
              <w:rPr>
                <w:lang w:val="es-ES_tradnl"/>
              </w:rPr>
              <w:t>) y sustituyéndolo</w:t>
            </w:r>
            <w:r w:rsidR="00E06EF2" w:rsidRPr="00571F8B">
              <w:rPr>
                <w:lang w:val="es-ES_tradnl"/>
              </w:rPr>
              <w:t xml:space="preserve"> con </w:t>
            </w:r>
            <w:r w:rsidR="003F3482" w:rsidRPr="00571F8B">
              <w:rPr>
                <w:lang w:val="es-ES_tradnl"/>
              </w:rPr>
              <w:t>el término</w:t>
            </w:r>
            <w:r w:rsidR="00E06EF2" w:rsidRPr="00571F8B">
              <w:rPr>
                <w:lang w:val="es-ES_tradnl"/>
              </w:rPr>
              <w:t xml:space="preserve"> </w:t>
            </w:r>
            <w:r w:rsidR="001D2A53">
              <w:rPr>
                <w:i/>
                <w:lang w:val="es-ES_tradnl"/>
              </w:rPr>
              <w:t>"</w:t>
            </w:r>
            <w:r w:rsidR="00E06EF2" w:rsidRPr="00571F8B">
              <w:rPr>
                <w:i/>
                <w:lang w:val="es-ES_tradnl"/>
              </w:rPr>
              <w:t>eighteen</w:t>
            </w:r>
            <w:r w:rsidR="001D2A53" w:rsidRPr="00B03C5B">
              <w:rPr>
                <w:i/>
                <w:lang w:val="es-ES_tradnl"/>
              </w:rPr>
              <w:t>"</w:t>
            </w:r>
            <w:r w:rsidR="003F3482" w:rsidRPr="00571F8B">
              <w:rPr>
                <w:lang w:val="es-ES_tradnl"/>
              </w:rPr>
              <w:t xml:space="preserve"> (</w:t>
            </w:r>
            <w:r w:rsidR="00B03C5B">
              <w:rPr>
                <w:lang w:val="es-ES_tradnl"/>
              </w:rPr>
              <w:t>"18"</w:t>
            </w:r>
            <w:r w:rsidR="00E06EF2" w:rsidRPr="00571F8B">
              <w:rPr>
                <w:lang w:val="es-ES_tradnl"/>
              </w:rPr>
              <w:t>).</w:t>
            </w:r>
            <w:r w:rsidRPr="00571F8B">
              <w:rPr>
                <w:lang w:val="es-ES_tradnl"/>
              </w:rPr>
              <w:t xml:space="preserve"> </w:t>
            </w:r>
          </w:p>
        </w:tc>
      </w:tr>
      <w:tr w:rsidR="00151021" w:rsidRPr="00571F8B">
        <w:trPr>
          <w:cantSplit/>
          <w:jc w:val="center"/>
        </w:trPr>
        <w:tc>
          <w:tcPr>
            <w:tcW w:w="1750" w:type="dxa"/>
            <w:tcBorders>
              <w:bottom w:val="single" w:sz="12" w:space="0" w:color="auto"/>
            </w:tcBorders>
            <w:shd w:val="clear" w:color="auto" w:fill="auto"/>
          </w:tcPr>
          <w:p w:rsidR="00151021" w:rsidRPr="00571F8B" w:rsidRDefault="008D2940" w:rsidP="00571F8B">
            <w:pPr>
              <w:suppressAutoHyphens w:val="0"/>
              <w:autoSpaceDE w:val="0"/>
              <w:autoSpaceDN w:val="0"/>
              <w:adjustRightInd w:val="0"/>
              <w:spacing w:before="40" w:after="120"/>
              <w:ind w:right="113"/>
              <w:rPr>
                <w:lang w:val="es-ES_tradnl"/>
              </w:rPr>
            </w:pPr>
            <w:r w:rsidRPr="00571F8B">
              <w:rPr>
                <w:lang w:val="es-ES_tradnl"/>
              </w:rPr>
              <w:t xml:space="preserve">Ley de </w:t>
            </w:r>
            <w:r w:rsidR="00E44E59" w:rsidRPr="00571F8B">
              <w:rPr>
                <w:lang w:val="es-ES_tradnl"/>
              </w:rPr>
              <w:t xml:space="preserve">Procedimiento Penal </w:t>
            </w:r>
          </w:p>
        </w:tc>
        <w:tc>
          <w:tcPr>
            <w:tcW w:w="1526" w:type="dxa"/>
            <w:tcBorders>
              <w:bottom w:val="single" w:sz="12" w:space="0" w:color="auto"/>
            </w:tcBorders>
            <w:shd w:val="clear" w:color="auto" w:fill="auto"/>
          </w:tcPr>
          <w:p w:rsidR="00151021" w:rsidRPr="00571F8B" w:rsidRDefault="008D2940" w:rsidP="00571F8B">
            <w:pPr>
              <w:suppressAutoHyphens w:val="0"/>
              <w:spacing w:before="40" w:after="120"/>
              <w:ind w:right="113"/>
              <w:rPr>
                <w:lang w:val="es-ES_tradnl"/>
              </w:rPr>
            </w:pPr>
            <w:r w:rsidRPr="00571F8B">
              <w:rPr>
                <w:lang w:val="es-ES_tradnl"/>
              </w:rPr>
              <w:t>Sección 20 E.R.</w:t>
            </w:r>
            <w:r w:rsidR="00151021" w:rsidRPr="00571F8B">
              <w:rPr>
                <w:lang w:val="es-ES_tradnl"/>
              </w:rPr>
              <w:t xml:space="preserve"> 2002</w:t>
            </w:r>
          </w:p>
        </w:tc>
        <w:tc>
          <w:tcPr>
            <w:tcW w:w="6363" w:type="dxa"/>
            <w:tcBorders>
              <w:bottom w:val="single" w:sz="12" w:space="0" w:color="auto"/>
            </w:tcBorders>
            <w:shd w:val="clear" w:color="auto" w:fill="auto"/>
          </w:tcPr>
          <w:p w:rsidR="00151021" w:rsidRPr="00571F8B" w:rsidRDefault="008D2940" w:rsidP="00571F8B">
            <w:pPr>
              <w:suppressAutoHyphens w:val="0"/>
              <w:autoSpaceDE w:val="0"/>
              <w:autoSpaceDN w:val="0"/>
              <w:adjustRightInd w:val="0"/>
              <w:spacing w:before="40" w:after="120"/>
              <w:ind w:right="113"/>
              <w:rPr>
                <w:lang w:val="es-ES_tradnl"/>
              </w:rPr>
            </w:pPr>
            <w:r w:rsidRPr="00571F8B">
              <w:rPr>
                <w:lang w:val="es-ES_tradnl"/>
              </w:rPr>
              <w:t>Artículo 188, mediante</w:t>
            </w:r>
            <w:r w:rsidR="00151021" w:rsidRPr="00571F8B">
              <w:rPr>
                <w:lang w:val="es-ES_tradnl"/>
              </w:rPr>
              <w:t>:</w:t>
            </w:r>
          </w:p>
          <w:p w:rsidR="00151021"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151021" w:rsidRPr="00571F8B">
              <w:rPr>
                <w:lang w:val="es-ES_tradnl"/>
              </w:rPr>
              <w:t>a)</w:t>
            </w:r>
            <w:r w:rsidRPr="00571F8B">
              <w:rPr>
                <w:lang w:val="es-ES_tradnl"/>
              </w:rPr>
              <w:tab/>
            </w:r>
            <w:r w:rsidR="001202D8" w:rsidRPr="00571F8B">
              <w:rPr>
                <w:lang w:val="es-ES_tradnl"/>
              </w:rPr>
              <w:t xml:space="preserve">Su </w:t>
            </w:r>
            <w:r w:rsidR="008D2940" w:rsidRPr="00571F8B">
              <w:rPr>
                <w:lang w:val="es-ES_tradnl"/>
              </w:rPr>
              <w:t xml:space="preserve">designación como párrafo 1); </w:t>
            </w:r>
          </w:p>
          <w:p w:rsidR="00151021" w:rsidRPr="00571F8B" w:rsidRDefault="00622E97" w:rsidP="00571F8B">
            <w:pPr>
              <w:tabs>
                <w:tab w:val="left" w:pos="181"/>
              </w:tabs>
              <w:suppressAutoHyphens w:val="0"/>
              <w:autoSpaceDE w:val="0"/>
              <w:autoSpaceDN w:val="0"/>
              <w:adjustRightInd w:val="0"/>
              <w:spacing w:before="40" w:after="120"/>
              <w:ind w:right="113"/>
              <w:rPr>
                <w:lang w:val="es-ES_tradnl"/>
              </w:rPr>
            </w:pPr>
            <w:r w:rsidRPr="00571F8B">
              <w:rPr>
                <w:lang w:val="es-ES_tradnl"/>
              </w:rPr>
              <w:tab/>
            </w:r>
            <w:r w:rsidR="00151021" w:rsidRPr="00571F8B">
              <w:rPr>
                <w:lang w:val="es-ES_tradnl"/>
              </w:rPr>
              <w:t>b)</w:t>
            </w:r>
            <w:r w:rsidRPr="00571F8B">
              <w:rPr>
                <w:lang w:val="es-ES_tradnl"/>
              </w:rPr>
              <w:tab/>
            </w:r>
            <w:r w:rsidR="001202D8" w:rsidRPr="00571F8B">
              <w:rPr>
                <w:lang w:val="es-ES_tradnl"/>
              </w:rPr>
              <w:t xml:space="preserve">La </w:t>
            </w:r>
            <w:r w:rsidR="008D2940" w:rsidRPr="00571F8B">
              <w:rPr>
                <w:lang w:val="es-ES_tradnl"/>
              </w:rPr>
              <w:t xml:space="preserve">inclusión de un nuevo párrafo 2), como sigue: </w:t>
            </w:r>
          </w:p>
          <w:p w:rsidR="00151021" w:rsidRPr="00571F8B" w:rsidRDefault="001D2A53" w:rsidP="001202D8">
            <w:pPr>
              <w:suppressAutoHyphens w:val="0"/>
              <w:autoSpaceDE w:val="0"/>
              <w:autoSpaceDN w:val="0"/>
              <w:adjustRightInd w:val="0"/>
              <w:spacing w:before="40" w:after="120"/>
              <w:ind w:left="170" w:right="113"/>
              <w:rPr>
                <w:lang w:val="es-ES_tradnl"/>
              </w:rPr>
            </w:pPr>
            <w:r>
              <w:rPr>
                <w:i/>
              </w:rPr>
              <w:t>"</w:t>
            </w:r>
            <w:r w:rsidR="001202D8">
              <w:rPr>
                <w:i/>
              </w:rPr>
              <w:t>(2)</w:t>
            </w:r>
            <w:r w:rsidR="001202D8">
              <w:rPr>
                <w:i/>
              </w:rPr>
              <w:tab/>
            </w:r>
            <w:r w:rsidR="00151021" w:rsidRPr="00571F8B">
              <w:rPr>
                <w:i/>
              </w:rPr>
              <w:t>Notwithstanding subsection (1), children under the age of eighteen shall have their names and identities protected.</w:t>
            </w:r>
            <w:r>
              <w:rPr>
                <w:i/>
              </w:rPr>
              <w:t>"</w:t>
            </w:r>
            <w:r w:rsidR="008D2940" w:rsidRPr="00571F8B">
              <w:rPr>
                <w:i/>
              </w:rPr>
              <w:t xml:space="preserve"> </w:t>
            </w:r>
            <w:r w:rsidR="00251D32">
              <w:rPr>
                <w:lang w:val="es-ES_tradnl"/>
              </w:rPr>
              <w:t>("</w:t>
            </w:r>
            <w:r w:rsidR="001202D8">
              <w:rPr>
                <w:lang w:val="es-ES_tradnl"/>
              </w:rPr>
              <w:t xml:space="preserve">2)  </w:t>
            </w:r>
            <w:r w:rsidR="008D2940" w:rsidRPr="00571F8B">
              <w:rPr>
                <w:lang w:val="es-ES_tradnl"/>
              </w:rPr>
              <w:t xml:space="preserve">Sin perjuicio del párrafo 1), se protegerán los nombres y las identidades de los niños menores de </w:t>
            </w:r>
            <w:r w:rsidR="00D21832" w:rsidRPr="00571F8B">
              <w:rPr>
                <w:lang w:val="es-ES_tradnl"/>
              </w:rPr>
              <w:t>18</w:t>
            </w:r>
            <w:r w:rsidR="003F3482" w:rsidRPr="00571F8B">
              <w:rPr>
                <w:lang w:val="es-ES_tradnl"/>
              </w:rPr>
              <w:t xml:space="preserve"> años.</w:t>
            </w:r>
            <w:r w:rsidR="00251D32">
              <w:rPr>
                <w:lang w:val="es-ES_tradnl"/>
              </w:rPr>
              <w:t>"</w:t>
            </w:r>
            <w:r w:rsidR="008D2940" w:rsidRPr="00571F8B">
              <w:rPr>
                <w:lang w:val="es-ES_tradnl"/>
              </w:rPr>
              <w:t>)</w:t>
            </w:r>
          </w:p>
        </w:tc>
      </w:tr>
    </w:tbl>
    <w:p w:rsidR="00151021" w:rsidRPr="00AC57AF" w:rsidRDefault="008D2940" w:rsidP="00571F8B">
      <w:pPr>
        <w:pStyle w:val="SingleTxtG"/>
        <w:spacing w:before="120" w:after="240"/>
        <w:ind w:left="0" w:right="0" w:firstLine="170"/>
        <w:jc w:val="left"/>
        <w:rPr>
          <w:sz w:val="18"/>
          <w:szCs w:val="18"/>
          <w:lang w:val="es-ES_tradnl"/>
        </w:rPr>
      </w:pPr>
      <w:r w:rsidRPr="00AC57AF">
        <w:rPr>
          <w:i/>
          <w:sz w:val="18"/>
          <w:szCs w:val="18"/>
          <w:lang w:val="es-ES_tradnl"/>
        </w:rPr>
        <w:t>Fuente</w:t>
      </w:r>
      <w:r w:rsidR="00151021" w:rsidRPr="00AC57AF">
        <w:rPr>
          <w:i/>
          <w:sz w:val="18"/>
          <w:szCs w:val="18"/>
          <w:lang w:val="es-ES_tradnl"/>
        </w:rPr>
        <w:t>:</w:t>
      </w:r>
      <w:r w:rsidR="00151021" w:rsidRPr="00AC57AF">
        <w:rPr>
          <w:sz w:val="18"/>
          <w:szCs w:val="18"/>
          <w:lang w:val="es-ES_tradnl"/>
        </w:rPr>
        <w:t xml:space="preserve"> Part</w:t>
      </w:r>
      <w:r w:rsidRPr="00AC57AF">
        <w:rPr>
          <w:sz w:val="18"/>
          <w:szCs w:val="18"/>
          <w:lang w:val="es-ES_tradnl"/>
        </w:rPr>
        <w:t>e</w:t>
      </w:r>
      <w:r w:rsidR="00151021" w:rsidRPr="00AC57AF">
        <w:rPr>
          <w:sz w:val="18"/>
          <w:szCs w:val="18"/>
          <w:lang w:val="es-ES_tradnl"/>
        </w:rPr>
        <w:t xml:space="preserve"> XIII </w:t>
      </w:r>
      <w:r w:rsidRPr="00AC57AF">
        <w:rPr>
          <w:sz w:val="18"/>
          <w:szCs w:val="18"/>
          <w:lang w:val="es-ES_tradnl"/>
        </w:rPr>
        <w:t xml:space="preserve">de la Ley de la </w:t>
      </w:r>
      <w:r w:rsidR="00E44E59" w:rsidRPr="00AC57AF">
        <w:rPr>
          <w:sz w:val="18"/>
          <w:szCs w:val="18"/>
          <w:lang w:val="es-ES_tradnl"/>
        </w:rPr>
        <w:t xml:space="preserve">Infancia </w:t>
      </w:r>
      <w:r w:rsidR="00151021" w:rsidRPr="00AC57AF">
        <w:rPr>
          <w:sz w:val="18"/>
          <w:szCs w:val="18"/>
          <w:lang w:val="es-ES_tradnl"/>
        </w:rPr>
        <w:t>(2009).</w:t>
      </w:r>
    </w:p>
    <w:p w:rsidR="00151021" w:rsidRPr="002720D0" w:rsidRDefault="004F6364" w:rsidP="004F6364">
      <w:pPr>
        <w:pStyle w:val="SingleTxtG"/>
        <w:tabs>
          <w:tab w:val="left" w:pos="-360"/>
        </w:tabs>
        <w:rPr>
          <w:lang w:val="es-ES_tradnl"/>
        </w:rPr>
      </w:pPr>
      <w:r w:rsidRPr="002720D0">
        <w:rPr>
          <w:lang w:val="es-ES_tradnl"/>
        </w:rPr>
        <w:t>8.</w:t>
      </w:r>
      <w:r w:rsidRPr="002720D0">
        <w:rPr>
          <w:lang w:val="es-ES_tradnl"/>
        </w:rPr>
        <w:tab/>
      </w:r>
      <w:r w:rsidR="008D2940" w:rsidRPr="002720D0">
        <w:rPr>
          <w:lang w:val="es-ES_tradnl"/>
        </w:rPr>
        <w:t xml:space="preserve">En sus </w:t>
      </w:r>
      <w:r w:rsidR="003F3482" w:rsidRPr="002720D0">
        <w:rPr>
          <w:lang w:val="es-ES_tradnl"/>
        </w:rPr>
        <w:t>O</w:t>
      </w:r>
      <w:r w:rsidR="008D2940" w:rsidRPr="002720D0">
        <w:rPr>
          <w:lang w:val="es-ES_tradnl"/>
        </w:rPr>
        <w:t>bservaciones finales</w:t>
      </w:r>
      <w:r w:rsidR="005E70A2" w:rsidRPr="002720D0">
        <w:rPr>
          <w:lang w:val="es-ES_tradnl"/>
        </w:rPr>
        <w:t xml:space="preserve"> previas</w:t>
      </w:r>
      <w:r w:rsidR="008D2940" w:rsidRPr="002720D0">
        <w:rPr>
          <w:lang w:val="es-ES_tradnl"/>
        </w:rPr>
        <w:t>, el Co</w:t>
      </w:r>
      <w:r w:rsidR="003F3482" w:rsidRPr="002720D0">
        <w:rPr>
          <w:lang w:val="es-ES_tradnl"/>
        </w:rPr>
        <w:t>mité también exhortó al Estado p</w:t>
      </w:r>
      <w:r w:rsidR="008D2940" w:rsidRPr="002720D0">
        <w:rPr>
          <w:lang w:val="es-ES_tradnl"/>
        </w:rPr>
        <w:t>arte a cerciorarse de que toda su legislación nacional y cons</w:t>
      </w:r>
      <w:r w:rsidR="00D86AD5" w:rsidRPr="002720D0">
        <w:rPr>
          <w:lang w:val="es-ES_tradnl"/>
        </w:rPr>
        <w:t>u</w:t>
      </w:r>
      <w:r w:rsidR="008D2940" w:rsidRPr="002720D0">
        <w:rPr>
          <w:lang w:val="es-ES_tradnl"/>
        </w:rPr>
        <w:t>etudinaria se ajustara plenamente a los principios y disposiciones de la Convención, de manera que efectivamente pudiera tener cumplimiento.</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9.</w:t>
      </w:r>
      <w:r w:rsidRPr="002720D0">
        <w:rPr>
          <w:lang w:val="es-ES_tradnl"/>
        </w:rPr>
        <w:tab/>
      </w:r>
      <w:r w:rsidR="00151021" w:rsidRPr="002720D0">
        <w:rPr>
          <w:lang w:val="es-ES_tradnl"/>
        </w:rPr>
        <w:t>A</w:t>
      </w:r>
      <w:r w:rsidR="00D86AD5" w:rsidRPr="002720D0">
        <w:rPr>
          <w:lang w:val="es-ES_tradnl"/>
        </w:rPr>
        <w:t>demás de aprobar legislación específic</w:t>
      </w:r>
      <w:r w:rsidR="003F3482" w:rsidRPr="002720D0">
        <w:rPr>
          <w:lang w:val="es-ES_tradnl"/>
        </w:rPr>
        <w:t>a sobre la infancia, el Estado p</w:t>
      </w:r>
      <w:r w:rsidR="00D86AD5" w:rsidRPr="002720D0">
        <w:rPr>
          <w:lang w:val="es-ES_tradnl"/>
        </w:rPr>
        <w:t>arte pro</w:t>
      </w:r>
      <w:r w:rsidR="003F3482" w:rsidRPr="002720D0">
        <w:rPr>
          <w:lang w:val="es-ES_tradnl"/>
        </w:rPr>
        <w:t>mulgó varias leyes que tratan</w:t>
      </w:r>
      <w:r w:rsidR="00D86AD5" w:rsidRPr="002720D0">
        <w:rPr>
          <w:lang w:val="es-ES_tradnl"/>
        </w:rPr>
        <w:t xml:space="preserve"> de </w:t>
      </w:r>
      <w:r w:rsidR="003F3482" w:rsidRPr="002720D0">
        <w:rPr>
          <w:lang w:val="es-ES_tradnl"/>
        </w:rPr>
        <w:t>asuntos relacionados con el niño</w:t>
      </w:r>
      <w:r w:rsidR="00D86AD5" w:rsidRPr="002720D0">
        <w:rPr>
          <w:lang w:val="es-ES_tradnl"/>
        </w:rPr>
        <w:t xml:space="preserve">, entre ellas la Ley de </w:t>
      </w:r>
      <w:r w:rsidR="00E44E59" w:rsidRPr="002720D0">
        <w:rPr>
          <w:lang w:val="es-ES_tradnl"/>
        </w:rPr>
        <w:t xml:space="preserve">Personas </w:t>
      </w:r>
      <w:r w:rsidR="00A05892" w:rsidRPr="002720D0">
        <w:rPr>
          <w:lang w:val="es-ES_tradnl"/>
        </w:rPr>
        <w:t xml:space="preserve">con </w:t>
      </w:r>
      <w:r w:rsidR="00E44E59" w:rsidRPr="002720D0">
        <w:rPr>
          <w:lang w:val="es-ES_tradnl"/>
        </w:rPr>
        <w:t xml:space="preserve">Discapacidad </w:t>
      </w:r>
      <w:r w:rsidR="00D86AD5" w:rsidRPr="002720D0">
        <w:rPr>
          <w:lang w:val="es-ES_tradnl"/>
        </w:rPr>
        <w:t xml:space="preserve">(derechos y privilegios) </w:t>
      </w:r>
      <w:r w:rsidR="00151021" w:rsidRPr="002720D0">
        <w:rPr>
          <w:lang w:val="es-ES_tradnl"/>
        </w:rPr>
        <w:t xml:space="preserve">(2006), </w:t>
      </w:r>
      <w:r w:rsidR="006F535D" w:rsidRPr="002720D0">
        <w:rPr>
          <w:lang w:val="es-ES_tradnl"/>
        </w:rPr>
        <w:t xml:space="preserve">cuya promulgación ha servido para dar vigencia jurídica a las actuaciones del Estado parte destinadas a promover y proteger los derechos y el bienestar de las personas </w:t>
      </w:r>
      <w:r w:rsidR="00A05892" w:rsidRPr="002720D0">
        <w:rPr>
          <w:lang w:val="es-ES_tradnl"/>
        </w:rPr>
        <w:t>con discapacidad</w:t>
      </w:r>
      <w:r w:rsidR="006F535D" w:rsidRPr="002720D0">
        <w:rPr>
          <w:lang w:val="es-ES_tradnl"/>
        </w:rPr>
        <w:t xml:space="preserve">, en particular los niños. </w:t>
      </w:r>
      <w:r w:rsidR="00230454" w:rsidRPr="002720D0">
        <w:rPr>
          <w:lang w:val="es-ES_tradnl"/>
        </w:rPr>
        <w:t>El</w:t>
      </w:r>
      <w:r w:rsidR="003F3482" w:rsidRPr="002720D0">
        <w:rPr>
          <w:lang w:val="es-ES_tradnl"/>
        </w:rPr>
        <w:t xml:space="preserve"> Estado p</w:t>
      </w:r>
      <w:r w:rsidR="006F535D" w:rsidRPr="002720D0">
        <w:rPr>
          <w:lang w:val="es-ES_tradnl"/>
        </w:rPr>
        <w:t xml:space="preserve">arte </w:t>
      </w:r>
      <w:r w:rsidR="00230454" w:rsidRPr="002720D0">
        <w:rPr>
          <w:lang w:val="es-ES_tradnl"/>
        </w:rPr>
        <w:t xml:space="preserve">también </w:t>
      </w:r>
      <w:r w:rsidR="006F535D" w:rsidRPr="002720D0">
        <w:rPr>
          <w:lang w:val="es-ES_tradnl"/>
        </w:rPr>
        <w:t xml:space="preserve">promulgó la Ley de </w:t>
      </w:r>
      <w:r w:rsidR="00E44E59" w:rsidRPr="002720D0">
        <w:rPr>
          <w:lang w:val="es-ES_tradnl"/>
        </w:rPr>
        <w:t xml:space="preserve">Aguas </w:t>
      </w:r>
      <w:r w:rsidR="006F535D" w:rsidRPr="002720D0">
        <w:rPr>
          <w:lang w:val="es-ES_tradnl"/>
        </w:rPr>
        <w:t xml:space="preserve">en </w:t>
      </w:r>
      <w:r w:rsidR="00151021" w:rsidRPr="002720D0">
        <w:rPr>
          <w:lang w:val="es-ES_tradnl"/>
        </w:rPr>
        <w:t>2006 (</w:t>
      </w:r>
      <w:r w:rsidR="006F535D" w:rsidRPr="002720D0">
        <w:rPr>
          <w:lang w:val="es-ES_tradnl"/>
        </w:rPr>
        <w:t>de aplicación en Za</w:t>
      </w:r>
      <w:r w:rsidR="003F3482" w:rsidRPr="002720D0">
        <w:rPr>
          <w:lang w:val="es-ES_tradnl"/>
        </w:rPr>
        <w:t>nzíbar), por la cual el Estado p</w:t>
      </w:r>
      <w:r w:rsidR="006F535D" w:rsidRPr="002720D0">
        <w:rPr>
          <w:lang w:val="es-ES_tradnl"/>
        </w:rPr>
        <w:t xml:space="preserve">arte se compromete a suministrar agua potable a su </w:t>
      </w:r>
      <w:r w:rsidR="00230454" w:rsidRPr="002720D0">
        <w:rPr>
          <w:lang w:val="es-ES_tradnl"/>
        </w:rPr>
        <w:t>pobla</w:t>
      </w:r>
      <w:r w:rsidR="003F3482" w:rsidRPr="002720D0">
        <w:rPr>
          <w:lang w:val="es-ES_tradnl"/>
        </w:rPr>
        <w:t>ción, incluidos los niños; esta ley</w:t>
      </w:r>
      <w:r w:rsidR="00230454" w:rsidRPr="002720D0">
        <w:rPr>
          <w:lang w:val="es-ES_tradnl"/>
        </w:rPr>
        <w:t xml:space="preserve"> t</w:t>
      </w:r>
      <w:r w:rsidR="006F535D" w:rsidRPr="002720D0">
        <w:rPr>
          <w:lang w:val="es-ES_tradnl"/>
        </w:rPr>
        <w:t xml:space="preserve">ambién se ocupa de </w:t>
      </w:r>
      <w:r w:rsidR="00F640F0" w:rsidRPr="002720D0">
        <w:rPr>
          <w:lang w:val="es-ES_tradnl"/>
        </w:rPr>
        <w:t xml:space="preserve">la conservación y protección de las fuentes de agua para su utilización sostenible. Por lo que respecta a Zanzíbar, </w:t>
      </w:r>
      <w:r w:rsidR="00230454" w:rsidRPr="002720D0">
        <w:rPr>
          <w:lang w:val="es-ES_tradnl"/>
        </w:rPr>
        <w:t xml:space="preserve">en 2005 el Estado </w:t>
      </w:r>
      <w:r w:rsidRPr="002720D0">
        <w:rPr>
          <w:lang w:val="es-ES_tradnl"/>
        </w:rPr>
        <w:t xml:space="preserve">parte </w:t>
      </w:r>
      <w:r w:rsidR="00F640F0" w:rsidRPr="002720D0">
        <w:rPr>
          <w:lang w:val="es-ES_tradnl"/>
        </w:rPr>
        <w:t xml:space="preserve">promulgó </w:t>
      </w:r>
      <w:r w:rsidR="00230454" w:rsidRPr="002720D0">
        <w:rPr>
          <w:lang w:val="es-ES_tradnl"/>
        </w:rPr>
        <w:t xml:space="preserve">asimismo </w:t>
      </w:r>
      <w:r w:rsidR="00F640F0" w:rsidRPr="002720D0">
        <w:rPr>
          <w:lang w:val="es-ES_tradnl"/>
        </w:rPr>
        <w:t xml:space="preserve">la Ley de </w:t>
      </w:r>
      <w:r w:rsidR="00E44E59" w:rsidRPr="002720D0">
        <w:rPr>
          <w:lang w:val="es-ES_tradnl"/>
        </w:rPr>
        <w:t>Empleo</w:t>
      </w:r>
      <w:r w:rsidR="00151021" w:rsidRPr="002720D0">
        <w:rPr>
          <w:rStyle w:val="FootnoteReference"/>
          <w:lang w:val="es-ES_tradnl"/>
        </w:rPr>
        <w:footnoteReference w:id="10"/>
      </w:r>
      <w:r w:rsidR="00F640F0" w:rsidRPr="002720D0">
        <w:rPr>
          <w:lang w:val="es-ES_tradnl"/>
        </w:rPr>
        <w:t xml:space="preserve">, que brinda </w:t>
      </w:r>
      <w:r w:rsidR="00230454" w:rsidRPr="002720D0">
        <w:rPr>
          <w:lang w:val="es-ES_tradnl"/>
        </w:rPr>
        <w:t xml:space="preserve">a los niños </w:t>
      </w:r>
      <w:r w:rsidR="00F640F0" w:rsidRPr="002720D0">
        <w:rPr>
          <w:lang w:val="es-ES_tradnl"/>
        </w:rPr>
        <w:t>protección contra el trabajo infantil y las peores formas de trabajo infantil, y establece para el empleo del niño</w:t>
      </w:r>
      <w:r w:rsidR="00230454" w:rsidRPr="002720D0">
        <w:rPr>
          <w:lang w:val="es-ES_tradnl"/>
        </w:rPr>
        <w:t xml:space="preserve"> unas condiciones que</w:t>
      </w:r>
      <w:r w:rsidR="00F640F0" w:rsidRPr="002720D0">
        <w:rPr>
          <w:lang w:val="es-ES_tradnl"/>
        </w:rPr>
        <w:t xml:space="preserve">, junto con la Ley de la </w:t>
      </w:r>
      <w:r w:rsidR="00E44E59" w:rsidRPr="002720D0">
        <w:rPr>
          <w:lang w:val="es-ES_tradnl"/>
        </w:rPr>
        <w:t>Infancia</w:t>
      </w:r>
      <w:r w:rsidR="00F640F0" w:rsidRPr="002720D0">
        <w:rPr>
          <w:lang w:val="es-ES_tradnl"/>
        </w:rPr>
        <w:t xml:space="preserve">, exigen que el derecho del niño al trabajo ha de supeditarse a la necesidad de promover y salvaguardar sus intereses superiores. </w:t>
      </w:r>
    </w:p>
    <w:p w:rsidR="00151021" w:rsidRPr="002720D0" w:rsidRDefault="004F6364" w:rsidP="004F6364">
      <w:pPr>
        <w:pStyle w:val="SingleTxtG"/>
        <w:tabs>
          <w:tab w:val="left" w:pos="-360"/>
        </w:tabs>
        <w:rPr>
          <w:lang w:val="es-ES_tradnl"/>
        </w:rPr>
      </w:pPr>
      <w:r w:rsidRPr="002720D0">
        <w:rPr>
          <w:lang w:val="es-ES_tradnl"/>
        </w:rPr>
        <w:t>10.</w:t>
      </w:r>
      <w:r w:rsidRPr="002720D0">
        <w:rPr>
          <w:lang w:val="es-ES_tradnl"/>
        </w:rPr>
        <w:tab/>
      </w:r>
      <w:r w:rsidR="00F640F0" w:rsidRPr="002720D0">
        <w:rPr>
          <w:lang w:val="es-ES_tradnl"/>
        </w:rPr>
        <w:t>En Tanzaní</w:t>
      </w:r>
      <w:r w:rsidR="00151021" w:rsidRPr="002720D0">
        <w:rPr>
          <w:lang w:val="es-ES_tradnl"/>
        </w:rPr>
        <w:t xml:space="preserve">a </w:t>
      </w:r>
      <w:r w:rsidR="00110184" w:rsidRPr="002720D0">
        <w:rPr>
          <w:lang w:val="es-ES_tradnl"/>
        </w:rPr>
        <w:t>continental, el Estado p</w:t>
      </w:r>
      <w:r w:rsidR="00F640F0" w:rsidRPr="002720D0">
        <w:rPr>
          <w:lang w:val="es-ES_tradnl"/>
        </w:rPr>
        <w:t xml:space="preserve">arte también ha promulgado varias leyes </w:t>
      </w:r>
      <w:r w:rsidR="00110184" w:rsidRPr="002720D0">
        <w:rPr>
          <w:lang w:val="es-ES_tradnl"/>
        </w:rPr>
        <w:t>de protección y promoción de</w:t>
      </w:r>
      <w:r w:rsidR="00F640F0" w:rsidRPr="002720D0">
        <w:rPr>
          <w:lang w:val="es-ES_tradnl"/>
        </w:rPr>
        <w:t xml:space="preserve"> los d</w:t>
      </w:r>
      <w:r w:rsidR="00B077EB" w:rsidRPr="002720D0">
        <w:rPr>
          <w:lang w:val="es-ES_tradnl"/>
        </w:rPr>
        <w:t>erechos y el bienestar del niño</w:t>
      </w:r>
      <w:r w:rsidR="00F640F0" w:rsidRPr="002720D0">
        <w:rPr>
          <w:lang w:val="es-ES_tradnl"/>
        </w:rPr>
        <w:t xml:space="preserve"> que constituyen una legislación complementaria a la Ley de la </w:t>
      </w:r>
      <w:r w:rsidR="00E44E59" w:rsidRPr="002720D0">
        <w:rPr>
          <w:lang w:val="es-ES_tradnl"/>
        </w:rPr>
        <w:t>Infancia</w:t>
      </w:r>
      <w:r w:rsidR="00F640F0" w:rsidRPr="002720D0">
        <w:rPr>
          <w:lang w:val="es-ES_tradnl"/>
        </w:rPr>
        <w:t xml:space="preserve">. Estas leyes incluyen la Ley de </w:t>
      </w:r>
      <w:r w:rsidR="00E44E59" w:rsidRPr="002720D0">
        <w:rPr>
          <w:lang w:val="es-ES_tradnl"/>
        </w:rPr>
        <w:t xml:space="preserve">Personas </w:t>
      </w:r>
      <w:r w:rsidR="00A05892" w:rsidRPr="002720D0">
        <w:rPr>
          <w:lang w:val="es-ES_tradnl"/>
        </w:rPr>
        <w:t xml:space="preserve">con </w:t>
      </w:r>
      <w:r w:rsidR="00E44E59" w:rsidRPr="002720D0">
        <w:rPr>
          <w:lang w:val="es-ES_tradnl"/>
        </w:rPr>
        <w:t xml:space="preserve">Discapacidad </w:t>
      </w:r>
      <w:r w:rsidR="00151021" w:rsidRPr="002720D0">
        <w:rPr>
          <w:lang w:val="es-ES_tradnl"/>
        </w:rPr>
        <w:t>(2010)</w:t>
      </w:r>
      <w:r w:rsidR="00151021" w:rsidRPr="002720D0">
        <w:rPr>
          <w:rStyle w:val="FootnoteReference"/>
          <w:lang w:val="es-ES_tradnl"/>
        </w:rPr>
        <w:footnoteReference w:id="11"/>
      </w:r>
      <w:r w:rsidR="00B077EB" w:rsidRPr="002720D0">
        <w:rPr>
          <w:lang w:val="es-ES_tradnl"/>
        </w:rPr>
        <w:t>, con</w:t>
      </w:r>
      <w:r w:rsidR="00F640F0" w:rsidRPr="002720D0">
        <w:rPr>
          <w:lang w:val="es-ES_tradnl"/>
        </w:rPr>
        <w:t xml:space="preserve"> disposiciones relativas a los cuidados de salud, el apoyo social, la accesibilidad, la rehabilitación, la educación y la formación profesional, la comunicación, la protección del empleo o el trabajo y la promoción de los derechos fundamentales para las personas </w:t>
      </w:r>
      <w:r w:rsidR="00A05892" w:rsidRPr="002720D0">
        <w:rPr>
          <w:lang w:val="es-ES_tradnl"/>
        </w:rPr>
        <w:t>con discapacidad</w:t>
      </w:r>
      <w:r w:rsidR="00F640F0" w:rsidRPr="002720D0">
        <w:rPr>
          <w:lang w:val="es-ES_tradnl"/>
        </w:rPr>
        <w:t xml:space="preserve">, </w:t>
      </w:r>
      <w:r w:rsidR="00FA261F" w:rsidRPr="002720D0">
        <w:rPr>
          <w:lang w:val="es-ES_tradnl"/>
        </w:rPr>
        <w:t xml:space="preserve">así como otros asuntos afines. </w:t>
      </w:r>
      <w:r w:rsidR="00F640F0" w:rsidRPr="002720D0">
        <w:rPr>
          <w:lang w:val="es-ES_tradnl"/>
        </w:rPr>
        <w:t xml:space="preserve">La Ley contra la </w:t>
      </w:r>
      <w:r w:rsidR="00E44E59" w:rsidRPr="002720D0">
        <w:rPr>
          <w:lang w:val="es-ES_tradnl"/>
        </w:rPr>
        <w:t xml:space="preserve">Trata </w:t>
      </w:r>
      <w:r w:rsidR="00F640F0" w:rsidRPr="002720D0">
        <w:rPr>
          <w:lang w:val="es-ES_tradnl"/>
        </w:rPr>
        <w:t xml:space="preserve">de </w:t>
      </w:r>
      <w:r w:rsidR="00E44E59" w:rsidRPr="002720D0">
        <w:rPr>
          <w:lang w:val="es-ES_tradnl"/>
        </w:rPr>
        <w:t xml:space="preserve">Personas </w:t>
      </w:r>
      <w:r w:rsidR="00151021" w:rsidRPr="002720D0">
        <w:rPr>
          <w:lang w:val="es-ES_tradnl"/>
        </w:rPr>
        <w:t>(2008)</w:t>
      </w:r>
      <w:r w:rsidR="00151021" w:rsidRPr="002720D0">
        <w:rPr>
          <w:rStyle w:val="FootnoteReference"/>
          <w:lang w:val="es-ES_tradnl"/>
        </w:rPr>
        <w:footnoteReference w:id="12"/>
      </w:r>
      <w:r w:rsidR="002675DA" w:rsidRPr="002720D0">
        <w:rPr>
          <w:lang w:val="es-ES_tradnl"/>
        </w:rPr>
        <w:t>,</w:t>
      </w:r>
      <w:r w:rsidR="00151021" w:rsidRPr="002720D0">
        <w:rPr>
          <w:lang w:val="es-ES_tradnl"/>
        </w:rPr>
        <w:t xml:space="preserve"> </w:t>
      </w:r>
      <w:r w:rsidR="002675DA" w:rsidRPr="002720D0">
        <w:rPr>
          <w:lang w:val="es-ES_tradnl"/>
        </w:rPr>
        <w:t xml:space="preserve">que es de aplicación tanto en Zanzíbar como en </w:t>
      </w:r>
      <w:r w:rsidR="00F96520" w:rsidRPr="00F96520">
        <w:rPr>
          <w:lang w:val="es-ES_tradnl"/>
        </w:rPr>
        <w:t>Tanzanía</w:t>
      </w:r>
      <w:r w:rsidR="002675DA" w:rsidRPr="002720D0">
        <w:rPr>
          <w:lang w:val="es-ES_tradnl"/>
        </w:rPr>
        <w:t xml:space="preserve"> continental</w:t>
      </w:r>
      <w:r w:rsidR="00151021" w:rsidRPr="002720D0">
        <w:rPr>
          <w:rStyle w:val="FootnoteReference"/>
          <w:lang w:val="es-ES_tradnl"/>
        </w:rPr>
        <w:footnoteReference w:id="13"/>
      </w:r>
      <w:r w:rsidR="002675DA" w:rsidRPr="002720D0">
        <w:rPr>
          <w:lang w:val="es-ES_tradnl"/>
        </w:rPr>
        <w:t>, prohíbe entre otras cosas cualquier forma de trata de personas, incluidos los niños, tanto dentro del Estado parte como fuera de él</w:t>
      </w:r>
      <w:r w:rsidR="00151021" w:rsidRPr="002720D0">
        <w:rPr>
          <w:rStyle w:val="FootnoteReference"/>
          <w:lang w:val="es-ES_tradnl"/>
        </w:rPr>
        <w:footnoteReference w:id="14"/>
      </w:r>
      <w:r w:rsidR="002675DA" w:rsidRPr="002720D0">
        <w:rPr>
          <w:lang w:val="es-ES_tradnl"/>
        </w:rPr>
        <w:t>. Asimismo, en Tanzaní</w:t>
      </w:r>
      <w:r w:rsidR="00151021" w:rsidRPr="002720D0">
        <w:rPr>
          <w:lang w:val="es-ES_tradnl"/>
        </w:rPr>
        <w:t xml:space="preserve">a </w:t>
      </w:r>
      <w:r w:rsidR="00B077EB" w:rsidRPr="002720D0">
        <w:rPr>
          <w:lang w:val="es-ES_tradnl"/>
        </w:rPr>
        <w:t>continental el Estado p</w:t>
      </w:r>
      <w:r w:rsidR="002675DA" w:rsidRPr="002720D0">
        <w:rPr>
          <w:lang w:val="es-ES_tradnl"/>
        </w:rPr>
        <w:t xml:space="preserve">arte promulgó la Ley (de prevención y control) del VIH/SIDA en </w:t>
      </w:r>
      <w:r w:rsidR="00151021" w:rsidRPr="002720D0">
        <w:rPr>
          <w:lang w:val="es-ES_tradnl"/>
        </w:rPr>
        <w:t>2008</w:t>
      </w:r>
      <w:r w:rsidR="00151021" w:rsidRPr="002720D0">
        <w:rPr>
          <w:rStyle w:val="FootnoteReference"/>
          <w:lang w:val="es-ES_tradnl"/>
        </w:rPr>
        <w:footnoteReference w:id="15"/>
      </w:r>
      <w:r w:rsidR="002675DA" w:rsidRPr="002720D0">
        <w:rPr>
          <w:lang w:val="es-ES_tradnl"/>
        </w:rPr>
        <w:t xml:space="preserve"> para facilitar la prevención, el tratamiento, el cuidado, el apoyo y el control del VIH/SIDA; para la promoción de la salud pública en relación con el VIH/SIDA</w:t>
      </w:r>
      <w:r w:rsidR="00B077EB" w:rsidRPr="002720D0">
        <w:rPr>
          <w:lang w:val="es-ES_tradnl"/>
        </w:rPr>
        <w:t>; y para facilitar</w:t>
      </w:r>
      <w:r w:rsidR="002675DA" w:rsidRPr="002720D0">
        <w:rPr>
          <w:lang w:val="es-ES_tradnl"/>
        </w:rPr>
        <w:t xml:space="preserve"> tratamiento, cuidados y apoyo adecuados mediante los recursos disponibles a las personas que viven con el VIH/SIDA o con el riesgo de contraerlo, incluidos los niños. </w:t>
      </w:r>
    </w:p>
    <w:p w:rsidR="00151021" w:rsidRPr="002720D0" w:rsidRDefault="00A41D68" w:rsidP="00586395">
      <w:pPr>
        <w:pStyle w:val="H1G"/>
        <w:outlineLvl w:val="0"/>
        <w:rPr>
          <w:lang w:val="es-ES_tradnl"/>
        </w:rPr>
      </w:pPr>
      <w:bookmarkStart w:id="5" w:name="_Toc313470841"/>
      <w:r w:rsidRPr="002720D0">
        <w:rPr>
          <w:lang w:val="es-ES_tradnl"/>
        </w:rPr>
        <w:tab/>
      </w:r>
      <w:r w:rsidR="00151021" w:rsidRPr="002720D0">
        <w:rPr>
          <w:lang w:val="es-ES_tradnl"/>
        </w:rPr>
        <w:t>1.3</w:t>
      </w:r>
      <w:r w:rsidRPr="002720D0">
        <w:rPr>
          <w:lang w:val="es-ES_tradnl"/>
        </w:rPr>
        <w:tab/>
      </w:r>
      <w:r w:rsidR="008A0A63" w:rsidRPr="002720D0">
        <w:rPr>
          <w:lang w:val="es-ES_tradnl"/>
        </w:rPr>
        <w:t>Coordinació</w:t>
      </w:r>
      <w:r w:rsidR="00151021" w:rsidRPr="002720D0">
        <w:rPr>
          <w:lang w:val="es-ES_tradnl"/>
        </w:rPr>
        <w:t>n</w:t>
      </w:r>
      <w:bookmarkEnd w:id="5"/>
    </w:p>
    <w:p w:rsidR="00151021" w:rsidRPr="002720D0" w:rsidRDefault="004F6364" w:rsidP="004F6364">
      <w:pPr>
        <w:pStyle w:val="SingleTxtG"/>
        <w:tabs>
          <w:tab w:val="left" w:pos="-360"/>
        </w:tabs>
        <w:rPr>
          <w:lang w:val="es-ES_tradnl"/>
        </w:rPr>
      </w:pPr>
      <w:r w:rsidRPr="002720D0">
        <w:rPr>
          <w:lang w:val="es-ES_tradnl"/>
        </w:rPr>
        <w:t>11.</w:t>
      </w:r>
      <w:r w:rsidRPr="002720D0">
        <w:rPr>
          <w:lang w:val="es-ES_tradnl"/>
        </w:rPr>
        <w:tab/>
      </w:r>
      <w:r w:rsidR="005B1DA7" w:rsidRPr="002720D0">
        <w:rPr>
          <w:lang w:val="es-ES_tradnl"/>
        </w:rPr>
        <w:t xml:space="preserve">En sus </w:t>
      </w:r>
      <w:r w:rsidR="00B077EB" w:rsidRPr="002720D0">
        <w:rPr>
          <w:lang w:val="es-ES_tradnl"/>
        </w:rPr>
        <w:t>O</w:t>
      </w:r>
      <w:r w:rsidR="005B1DA7" w:rsidRPr="002720D0">
        <w:rPr>
          <w:lang w:val="es-ES_tradnl"/>
        </w:rPr>
        <w:t>bservaciones finales</w:t>
      </w:r>
      <w:r w:rsidR="005E70A2" w:rsidRPr="002720D0">
        <w:rPr>
          <w:lang w:val="es-ES_tradnl"/>
        </w:rPr>
        <w:t xml:space="preserve"> previas</w:t>
      </w:r>
      <w:r w:rsidR="005B1DA7" w:rsidRPr="002720D0">
        <w:rPr>
          <w:lang w:val="es-ES_tradnl"/>
        </w:rPr>
        <w:t>, el</w:t>
      </w:r>
      <w:r w:rsidR="00586446" w:rsidRPr="002720D0">
        <w:rPr>
          <w:lang w:val="es-ES_tradnl"/>
        </w:rPr>
        <w:t xml:space="preserve"> Comité instó al Estado </w:t>
      </w:r>
      <w:r w:rsidRPr="002720D0">
        <w:rPr>
          <w:lang w:val="es-ES_tradnl"/>
        </w:rPr>
        <w:t xml:space="preserve">parte </w:t>
      </w:r>
      <w:r w:rsidR="00586446" w:rsidRPr="002720D0">
        <w:rPr>
          <w:lang w:val="es-ES_tradnl"/>
        </w:rPr>
        <w:t>a</w:t>
      </w:r>
      <w:r w:rsidR="005B1DA7" w:rsidRPr="002720D0">
        <w:rPr>
          <w:lang w:val="es-ES_tradnl"/>
        </w:rPr>
        <w:t xml:space="preserve"> incrementar la capacidad del Departamento de Desarrollo Infantil de coordinar efectivamente con otros ministerios y departamentos, y las autoridades del ejecutivo local, encargados de la niñez. </w:t>
      </w:r>
    </w:p>
    <w:p w:rsidR="00151021" w:rsidRPr="002720D0" w:rsidRDefault="004F6364" w:rsidP="004F6364">
      <w:pPr>
        <w:pStyle w:val="SingleTxtG"/>
        <w:tabs>
          <w:tab w:val="left" w:pos="-360"/>
        </w:tabs>
        <w:rPr>
          <w:lang w:val="es-ES_tradnl"/>
        </w:rPr>
      </w:pPr>
      <w:r w:rsidRPr="002720D0">
        <w:rPr>
          <w:lang w:val="es-ES_tradnl"/>
        </w:rPr>
        <w:t>12.</w:t>
      </w:r>
      <w:r w:rsidRPr="002720D0">
        <w:rPr>
          <w:lang w:val="es-ES_tradnl"/>
        </w:rPr>
        <w:tab/>
      </w:r>
      <w:r w:rsidR="00B077EB" w:rsidRPr="002720D0">
        <w:rPr>
          <w:lang w:val="es-ES_tradnl"/>
        </w:rPr>
        <w:t>En el Estado p</w:t>
      </w:r>
      <w:r w:rsidR="00586446" w:rsidRPr="002720D0">
        <w:rPr>
          <w:lang w:val="es-ES_tradnl"/>
        </w:rPr>
        <w:t xml:space="preserve">arte, los asuntos relativos a la infancia no son competencia de la Unión. </w:t>
      </w:r>
      <w:r w:rsidR="00AD50F0" w:rsidRPr="002720D0">
        <w:rPr>
          <w:lang w:val="es-ES_tradnl"/>
        </w:rPr>
        <w:t>No obstante, la coordinación y la aplicación de la Convención tiene dos vertientes: en Tanzanía continental, la coordinación corre a cargo del Ministerio de Desarrollo Comunitario, de Asuntos de G</w:t>
      </w:r>
      <w:r w:rsidR="00B077EB" w:rsidRPr="002720D0">
        <w:rPr>
          <w:lang w:val="es-ES_tradnl"/>
        </w:rPr>
        <w:t xml:space="preserve">énero y del Niño, mientras que en Zanzíbar </w:t>
      </w:r>
      <w:r w:rsidR="00FA261F" w:rsidRPr="002720D0">
        <w:rPr>
          <w:lang w:val="es-ES_tradnl"/>
        </w:rPr>
        <w:t xml:space="preserve">el Ministerio de Bienestar Social y de Desarrollo de la Juventud, la Mujer y el Niño </w:t>
      </w:r>
      <w:r w:rsidR="00134CEF" w:rsidRPr="002720D0">
        <w:rPr>
          <w:lang w:val="es-ES_tradnl"/>
        </w:rPr>
        <w:t>coordina</w:t>
      </w:r>
      <w:r w:rsidR="00B077EB" w:rsidRPr="002720D0">
        <w:rPr>
          <w:lang w:val="es-ES_tradnl"/>
        </w:rPr>
        <w:t xml:space="preserve"> </w:t>
      </w:r>
      <w:r w:rsidR="00FA261F" w:rsidRPr="002720D0">
        <w:rPr>
          <w:lang w:val="es-ES_tradnl"/>
        </w:rPr>
        <w:t xml:space="preserve">la </w:t>
      </w:r>
      <w:r w:rsidR="00134CEF" w:rsidRPr="002720D0">
        <w:rPr>
          <w:lang w:val="es-ES_tradnl"/>
        </w:rPr>
        <w:t>aplicación</w:t>
      </w:r>
      <w:r w:rsidR="00FA261F" w:rsidRPr="002720D0">
        <w:rPr>
          <w:lang w:val="es-ES_tradnl"/>
        </w:rPr>
        <w:t xml:space="preserve"> y </w:t>
      </w:r>
      <w:r w:rsidR="00134CEF" w:rsidRPr="002720D0">
        <w:rPr>
          <w:lang w:val="es-ES_tradnl"/>
        </w:rPr>
        <w:t xml:space="preserve">la </w:t>
      </w:r>
      <w:r w:rsidR="00FA261F" w:rsidRPr="002720D0">
        <w:rPr>
          <w:lang w:val="es-ES_tradnl"/>
        </w:rPr>
        <w:t xml:space="preserve">vigilancia de todos los asuntos </w:t>
      </w:r>
      <w:r w:rsidR="00134CEF" w:rsidRPr="002720D0">
        <w:rPr>
          <w:lang w:val="es-ES_tradnl"/>
        </w:rPr>
        <w:t>que atañen</w:t>
      </w:r>
      <w:r w:rsidR="00FA261F" w:rsidRPr="002720D0">
        <w:rPr>
          <w:lang w:val="es-ES_tradnl"/>
        </w:rPr>
        <w:t xml:space="preserve"> a la infancia</w:t>
      </w:r>
      <w:r w:rsidR="000B0954" w:rsidRPr="002720D0">
        <w:rPr>
          <w:lang w:val="es-ES_tradnl"/>
        </w:rPr>
        <w:t xml:space="preserve">. Este último </w:t>
      </w:r>
      <w:r w:rsidR="00550442" w:rsidRPr="002720D0">
        <w:rPr>
          <w:lang w:val="es-ES_tradnl"/>
        </w:rPr>
        <w:t xml:space="preserve">ministerio </w:t>
      </w:r>
      <w:r w:rsidR="000B0954" w:rsidRPr="002720D0">
        <w:rPr>
          <w:lang w:val="es-ES_tradnl"/>
        </w:rPr>
        <w:t xml:space="preserve">se </w:t>
      </w:r>
      <w:r w:rsidR="00550442" w:rsidRPr="002720D0">
        <w:rPr>
          <w:lang w:val="es-ES_tradnl"/>
        </w:rPr>
        <w:t>creó</w:t>
      </w:r>
      <w:r w:rsidR="000B0954" w:rsidRPr="002720D0">
        <w:rPr>
          <w:lang w:val="es-ES_tradnl"/>
        </w:rPr>
        <w:t xml:space="preserve"> tras las </w:t>
      </w:r>
      <w:r w:rsidR="004E5B2C" w:rsidRPr="002720D0">
        <w:rPr>
          <w:lang w:val="es-ES_tradnl"/>
        </w:rPr>
        <w:t>elecciones</w:t>
      </w:r>
      <w:r w:rsidR="000B0954" w:rsidRPr="002720D0">
        <w:rPr>
          <w:lang w:val="es-ES_tradnl"/>
        </w:rPr>
        <w:t xml:space="preserve"> generales de 2010</w:t>
      </w:r>
      <w:r w:rsidR="00B077EB" w:rsidRPr="002720D0">
        <w:rPr>
          <w:lang w:val="es-ES_tradnl"/>
        </w:rPr>
        <w:t>,</w:t>
      </w:r>
      <w:r w:rsidR="000B0954" w:rsidRPr="002720D0">
        <w:rPr>
          <w:lang w:val="es-ES_tradnl"/>
        </w:rPr>
        <w:t xml:space="preserve"> que dieron lugar a la formación del Gobierno de Unidad Nacional en Zanzíbar. El Departamento de Bienestar Social, anteriormente integrado en el Ministerio de Salud en Zanzíbar, está </w:t>
      </w:r>
      <w:r w:rsidR="00B077EB" w:rsidRPr="002720D0">
        <w:rPr>
          <w:lang w:val="es-ES_tradnl"/>
        </w:rPr>
        <w:t xml:space="preserve">ahora </w:t>
      </w:r>
      <w:r w:rsidR="000B0954" w:rsidRPr="002720D0">
        <w:rPr>
          <w:lang w:val="es-ES_tradnl"/>
        </w:rPr>
        <w:t>fusionado con el Ministerio de</w:t>
      </w:r>
      <w:r w:rsidR="001D2A53">
        <w:rPr>
          <w:lang w:val="es-ES_tradnl"/>
        </w:rPr>
        <w:t xml:space="preserve"> </w:t>
      </w:r>
      <w:r w:rsidR="000B0954" w:rsidRPr="002720D0">
        <w:rPr>
          <w:lang w:val="es-ES_tradnl"/>
        </w:rPr>
        <w:t>Bienestar Social y de Desarrollo de la Juventud, la Mujer y el Niño, en aras de contar con un sistema coordinado eficaz para la promoción y la protección de</w:t>
      </w:r>
      <w:r w:rsidR="00550442" w:rsidRPr="002720D0">
        <w:rPr>
          <w:lang w:val="es-ES_tradnl"/>
        </w:rPr>
        <w:t xml:space="preserve"> los derechos y el bienestar de la niñez</w:t>
      </w:r>
      <w:r w:rsidR="000B0954" w:rsidRPr="002720D0">
        <w:rPr>
          <w:lang w:val="es-ES_tradnl"/>
        </w:rPr>
        <w:t>. Tanto en Zanzíbar com</w:t>
      </w:r>
      <w:r w:rsidR="008C4EA8" w:rsidRPr="002720D0">
        <w:rPr>
          <w:lang w:val="es-ES_tradnl"/>
        </w:rPr>
        <w:t>o en Tanzanía continental, los m</w:t>
      </w:r>
      <w:r w:rsidR="000B0954" w:rsidRPr="002720D0">
        <w:rPr>
          <w:lang w:val="es-ES_tradnl"/>
        </w:rPr>
        <w:t xml:space="preserve">inisterios llevan a cabo consultas periódicas relativas a todos los asuntos </w:t>
      </w:r>
      <w:r w:rsidR="008C4EA8" w:rsidRPr="002720D0">
        <w:rPr>
          <w:lang w:val="es-ES_tradnl"/>
        </w:rPr>
        <w:t>que atañen</w:t>
      </w:r>
      <w:r w:rsidR="000B0954" w:rsidRPr="002720D0">
        <w:rPr>
          <w:lang w:val="es-ES_tradnl"/>
        </w:rPr>
        <w:t xml:space="preserve"> a la infancia, como queda demostrado en la preparación de los informes periódicos del país sobre la aplicación de la Convención y sus Protocolos facultativos. </w:t>
      </w:r>
    </w:p>
    <w:p w:rsidR="00151021" w:rsidRPr="002720D0" w:rsidRDefault="004F6364" w:rsidP="004F6364">
      <w:pPr>
        <w:pStyle w:val="SingleTxtG"/>
        <w:tabs>
          <w:tab w:val="left" w:pos="-360"/>
        </w:tabs>
        <w:rPr>
          <w:lang w:val="es-ES_tradnl"/>
        </w:rPr>
      </w:pPr>
      <w:r w:rsidRPr="002720D0">
        <w:rPr>
          <w:lang w:val="es-ES_tradnl"/>
        </w:rPr>
        <w:t>13.</w:t>
      </w:r>
      <w:r w:rsidRPr="002720D0">
        <w:rPr>
          <w:lang w:val="es-ES_tradnl"/>
        </w:rPr>
        <w:tab/>
      </w:r>
      <w:r w:rsidR="008C4EA8" w:rsidRPr="002720D0">
        <w:rPr>
          <w:lang w:val="es-ES_tradnl"/>
        </w:rPr>
        <w:t>Para</w:t>
      </w:r>
      <w:r w:rsidR="00151021" w:rsidRPr="002720D0">
        <w:rPr>
          <w:lang w:val="es-ES_tradnl"/>
        </w:rPr>
        <w:t xml:space="preserve"> </w:t>
      </w:r>
      <w:r w:rsidR="000B0954" w:rsidRPr="002720D0">
        <w:rPr>
          <w:lang w:val="es-ES_tradnl"/>
        </w:rPr>
        <w:t xml:space="preserve">la </w:t>
      </w:r>
      <w:r w:rsidR="008C4EA8" w:rsidRPr="002720D0">
        <w:rPr>
          <w:lang w:val="es-ES_tradnl"/>
        </w:rPr>
        <w:t>elaboración</w:t>
      </w:r>
      <w:r w:rsidR="000B0954" w:rsidRPr="002720D0">
        <w:rPr>
          <w:lang w:val="es-ES_tradnl"/>
        </w:rPr>
        <w:t xml:space="preserve"> de </w:t>
      </w:r>
      <w:r w:rsidR="00993321" w:rsidRPr="002720D0">
        <w:rPr>
          <w:lang w:val="es-ES_tradnl"/>
        </w:rPr>
        <w:t>los presentes</w:t>
      </w:r>
      <w:r w:rsidR="000B0954" w:rsidRPr="002720D0">
        <w:rPr>
          <w:lang w:val="es-ES_tradnl"/>
        </w:rPr>
        <w:t xml:space="preserve"> informes combinados, </w:t>
      </w:r>
      <w:r w:rsidR="008C4EA8" w:rsidRPr="002720D0">
        <w:rPr>
          <w:lang w:val="es-ES_tradnl"/>
        </w:rPr>
        <w:t xml:space="preserve">en particular, </w:t>
      </w:r>
      <w:r w:rsidR="000B0954" w:rsidRPr="002720D0">
        <w:rPr>
          <w:lang w:val="es-ES_tradnl"/>
        </w:rPr>
        <w:t xml:space="preserve">estos </w:t>
      </w:r>
      <w:r w:rsidR="008C4EA8" w:rsidRPr="002720D0">
        <w:rPr>
          <w:lang w:val="es-ES_tradnl"/>
        </w:rPr>
        <w:t>m</w:t>
      </w:r>
      <w:r w:rsidR="00993321" w:rsidRPr="002720D0">
        <w:rPr>
          <w:lang w:val="es-ES_tradnl"/>
        </w:rPr>
        <w:t>inisterios en Zanzíbar y en Tanzanía coordinaron sus partes</w:t>
      </w:r>
      <w:r w:rsidR="008C4EA8" w:rsidRPr="002720D0">
        <w:rPr>
          <w:lang w:val="es-ES_tradnl"/>
        </w:rPr>
        <w:t xml:space="preserve"> correspondientes de la Unión, conformando</w:t>
      </w:r>
      <w:r w:rsidR="00993321" w:rsidRPr="002720D0">
        <w:rPr>
          <w:lang w:val="es-ES_tradnl"/>
        </w:rPr>
        <w:t xml:space="preserve"> un equipo conjunto de coordinación que se encargó de la recopilación y la gestión de la totalidad de la información y los datos necesarios. El equipo nacional de coordinación se ocupó asimismo de la convocatoria de sesiones de consultas con las partes interesadas en el plano nacional, tanto en Zanzíbar como en Tanzanía continental, así como de la finalización de los informes combinados. </w:t>
      </w:r>
    </w:p>
    <w:p w:rsidR="00151021" w:rsidRPr="002720D0" w:rsidRDefault="004F6364" w:rsidP="004F6364">
      <w:pPr>
        <w:pStyle w:val="SingleTxtG"/>
        <w:tabs>
          <w:tab w:val="left" w:pos="-360"/>
        </w:tabs>
        <w:rPr>
          <w:lang w:val="es-ES_tradnl"/>
        </w:rPr>
      </w:pPr>
      <w:r w:rsidRPr="002720D0">
        <w:rPr>
          <w:lang w:val="es-ES_tradnl"/>
        </w:rPr>
        <w:t>14.</w:t>
      </w:r>
      <w:r w:rsidRPr="002720D0">
        <w:rPr>
          <w:lang w:val="es-ES_tradnl"/>
        </w:rPr>
        <w:tab/>
      </w:r>
      <w:r w:rsidR="004E2E54" w:rsidRPr="002720D0">
        <w:rPr>
          <w:lang w:val="es-ES_tradnl"/>
        </w:rPr>
        <w:t>En cumplimient</w:t>
      </w:r>
      <w:r w:rsidR="00D6615E" w:rsidRPr="002720D0">
        <w:rPr>
          <w:lang w:val="es-ES_tradnl"/>
        </w:rPr>
        <w:t>o de la recomendación del Comité</w:t>
      </w:r>
      <w:r w:rsidR="008C4EA8" w:rsidRPr="002720D0">
        <w:rPr>
          <w:lang w:val="es-ES_tradnl"/>
        </w:rPr>
        <w:t xml:space="preserve"> al respecto</w:t>
      </w:r>
      <w:r w:rsidR="004E2E54" w:rsidRPr="002720D0">
        <w:rPr>
          <w:lang w:val="es-ES_tradnl"/>
        </w:rPr>
        <w:t>, el E</w:t>
      </w:r>
      <w:r w:rsidR="008C4EA8" w:rsidRPr="002720D0">
        <w:rPr>
          <w:lang w:val="es-ES_tradnl"/>
        </w:rPr>
        <w:t>stado p</w:t>
      </w:r>
      <w:r w:rsidR="004E2E54" w:rsidRPr="002720D0">
        <w:rPr>
          <w:lang w:val="es-ES_tradnl"/>
        </w:rPr>
        <w:t>arte también ha velado por la celebración de reuniones periódicas</w:t>
      </w:r>
      <w:r w:rsidR="008C4EA8" w:rsidRPr="002720D0">
        <w:rPr>
          <w:lang w:val="es-ES_tradnl"/>
        </w:rPr>
        <w:t xml:space="preserve"> entre los funcionarios de los m</w:t>
      </w:r>
      <w:r w:rsidR="004E2E54" w:rsidRPr="002720D0">
        <w:rPr>
          <w:lang w:val="es-ES_tradnl"/>
        </w:rPr>
        <w:t>inister</w:t>
      </w:r>
      <w:r w:rsidR="00134CEF" w:rsidRPr="002720D0">
        <w:rPr>
          <w:lang w:val="es-ES_tradnl"/>
        </w:rPr>
        <w:t>ios encargados de los asuntos que atañen a</w:t>
      </w:r>
      <w:r w:rsidR="004E2E54" w:rsidRPr="002720D0">
        <w:rPr>
          <w:lang w:val="es-ES_tradnl"/>
        </w:rPr>
        <w:t xml:space="preserve"> la niñez </w:t>
      </w:r>
      <w:r w:rsidR="00AB5DFF" w:rsidRPr="002720D0">
        <w:rPr>
          <w:lang w:val="es-ES_tradnl"/>
        </w:rPr>
        <w:t>tanto en Zanzíbar como en Tanzanía continental</w:t>
      </w:r>
      <w:r w:rsidR="008C4EA8" w:rsidRPr="002720D0">
        <w:rPr>
          <w:lang w:val="es-ES_tradnl"/>
        </w:rPr>
        <w:t>,</w:t>
      </w:r>
      <w:r w:rsidR="00AB5DFF" w:rsidRPr="002720D0">
        <w:rPr>
          <w:lang w:val="es-ES_tradnl"/>
        </w:rPr>
        <w:t xml:space="preserve"> para armonizar el mecanismo de coordinación de los asuntos de la infancia donde esa coordinación no</w:t>
      </w:r>
      <w:r w:rsidR="008C4EA8" w:rsidRPr="002720D0">
        <w:rPr>
          <w:lang w:val="es-ES_tradnl"/>
        </w:rPr>
        <w:t xml:space="preserve"> existía anteriormente. Como resultado de estas reuniones los m</w:t>
      </w:r>
      <w:r w:rsidR="00AB5DFF" w:rsidRPr="002720D0">
        <w:rPr>
          <w:lang w:val="es-ES_tradnl"/>
        </w:rPr>
        <w:t xml:space="preserve">inisterios han logrado elaborar estrategias para la aplicación de las recomendaciones del Comité tanto en el plano nacional como en el comunitario. </w:t>
      </w:r>
    </w:p>
    <w:p w:rsidR="00151021" w:rsidRPr="002720D0" w:rsidRDefault="00A41D68" w:rsidP="00586395">
      <w:pPr>
        <w:pStyle w:val="H1G"/>
        <w:outlineLvl w:val="0"/>
        <w:rPr>
          <w:lang w:val="es-ES_tradnl"/>
        </w:rPr>
      </w:pPr>
      <w:bookmarkStart w:id="6" w:name="_Toc313470842"/>
      <w:r w:rsidRPr="002720D0">
        <w:rPr>
          <w:lang w:val="es-ES_tradnl"/>
        </w:rPr>
        <w:tab/>
      </w:r>
      <w:r w:rsidR="00151021" w:rsidRPr="002720D0">
        <w:rPr>
          <w:lang w:val="es-ES_tradnl"/>
        </w:rPr>
        <w:t>1.4</w:t>
      </w:r>
      <w:r w:rsidRPr="002720D0">
        <w:rPr>
          <w:lang w:val="es-ES_tradnl"/>
        </w:rPr>
        <w:tab/>
      </w:r>
      <w:r w:rsidR="00AB5DFF" w:rsidRPr="002720D0">
        <w:rPr>
          <w:lang w:val="es-ES_tradnl"/>
        </w:rPr>
        <w:t>Asignación de recursos para la niñez</w:t>
      </w:r>
      <w:bookmarkEnd w:id="6"/>
    </w:p>
    <w:p w:rsidR="00151021" w:rsidRPr="002720D0" w:rsidRDefault="004F6364" w:rsidP="004F6364">
      <w:pPr>
        <w:pStyle w:val="SingleTxtG"/>
        <w:tabs>
          <w:tab w:val="left" w:pos="-360"/>
        </w:tabs>
        <w:rPr>
          <w:lang w:val="es-ES_tradnl"/>
        </w:rPr>
      </w:pPr>
      <w:r w:rsidRPr="002720D0">
        <w:rPr>
          <w:lang w:val="es-ES_tradnl"/>
        </w:rPr>
        <w:t>15.</w:t>
      </w:r>
      <w:r w:rsidRPr="002720D0">
        <w:rPr>
          <w:lang w:val="es-ES_tradnl"/>
        </w:rPr>
        <w:tab/>
      </w:r>
      <w:r w:rsidR="000C7059" w:rsidRPr="002720D0">
        <w:rPr>
          <w:lang w:val="es-ES_tradnl"/>
        </w:rPr>
        <w:t>El Comité instó al Estado p</w:t>
      </w:r>
      <w:r w:rsidR="00AB5DFF" w:rsidRPr="002720D0">
        <w:rPr>
          <w:lang w:val="es-ES_tradnl"/>
        </w:rPr>
        <w:t xml:space="preserve">arte a facilitar suficientes recursos humanos y financieros para la efectiva realización de su labor y su cometido con vistas a disminuir y suprimir la disparidad o los distingos entre Tanzanía continental y Zanzíbar al implementar las políticas de promoción y protección de los derechos del niño. </w:t>
      </w:r>
    </w:p>
    <w:p w:rsidR="00151021" w:rsidRPr="002720D0" w:rsidRDefault="004F6364" w:rsidP="004F6364">
      <w:pPr>
        <w:pStyle w:val="SingleTxtG"/>
        <w:tabs>
          <w:tab w:val="left" w:pos="-360"/>
        </w:tabs>
        <w:rPr>
          <w:lang w:val="es-ES_tradnl"/>
        </w:rPr>
      </w:pPr>
      <w:r w:rsidRPr="002720D0">
        <w:rPr>
          <w:lang w:val="es-ES_tradnl"/>
        </w:rPr>
        <w:t>16.</w:t>
      </w:r>
      <w:r w:rsidRPr="002720D0">
        <w:rPr>
          <w:lang w:val="es-ES_tradnl"/>
        </w:rPr>
        <w:tab/>
      </w:r>
      <w:r w:rsidR="00200211" w:rsidRPr="002720D0">
        <w:rPr>
          <w:lang w:val="es-ES_tradnl"/>
        </w:rPr>
        <w:t>En cumplimiento de esta recomendación, durante el pe</w:t>
      </w:r>
      <w:r w:rsidR="000C7059" w:rsidRPr="002720D0">
        <w:rPr>
          <w:lang w:val="es-ES_tradnl"/>
        </w:rPr>
        <w:t>ríodo que se examina el Estado p</w:t>
      </w:r>
      <w:r w:rsidR="00200211" w:rsidRPr="002720D0">
        <w:rPr>
          <w:lang w:val="es-ES_tradnl"/>
        </w:rPr>
        <w:t xml:space="preserve">arte ha </w:t>
      </w:r>
      <w:r w:rsidR="00C8398E" w:rsidRPr="002720D0">
        <w:rPr>
          <w:lang w:val="es-ES_tradnl"/>
        </w:rPr>
        <w:t>mejorado las asignaciones presupuestarias para la niñez. Si bien en Tanzanía continental la asignación presupuestaria para la aplicación es competencia del Ministerio de Desarrollo Comunitario, de Asuntos de Género y del Niño, en Zanzíbar este co</w:t>
      </w:r>
      <w:r w:rsidR="008C4EA8" w:rsidRPr="002720D0">
        <w:rPr>
          <w:lang w:val="es-ES_tradnl"/>
        </w:rPr>
        <w:t>metido incumbe al Ministerio de</w:t>
      </w:r>
      <w:r w:rsidR="00C8398E" w:rsidRPr="002720D0">
        <w:rPr>
          <w:lang w:val="es-ES_tradnl"/>
        </w:rPr>
        <w:t xml:space="preserve"> Bienestar Social y de Desarrollo de la Juventud, la Mujer y el Niño</w:t>
      </w:r>
      <w:r w:rsidR="00151021" w:rsidRPr="002720D0">
        <w:rPr>
          <w:lang w:val="es-ES_tradnl"/>
        </w:rPr>
        <w:t xml:space="preserve">. </w:t>
      </w:r>
      <w:r w:rsidR="000C7059" w:rsidRPr="002720D0">
        <w:rPr>
          <w:lang w:val="es-ES_tradnl"/>
        </w:rPr>
        <w:t>No obstante</w:t>
      </w:r>
      <w:r w:rsidR="00C8398E" w:rsidRPr="002720D0">
        <w:rPr>
          <w:lang w:val="es-ES_tradnl"/>
        </w:rPr>
        <w:t>, tanto en Tanzanía continental como en Zanzíbar otros ministerios sectoriales, entre ellos los encargados de la educación, la salud, los deportes y los asuntos interiores, así como los ejecutivos locales, asignan partidas presupuestarias a asuntos relacionad</w:t>
      </w:r>
      <w:r w:rsidR="000C7059" w:rsidRPr="002720D0">
        <w:rPr>
          <w:lang w:val="es-ES_tradnl"/>
        </w:rPr>
        <w:t xml:space="preserve">os con el bienestar de la niñez, con el resultado de que en 2010 el Estado parte </w:t>
      </w:r>
      <w:r w:rsidR="00134CEF" w:rsidRPr="002720D0">
        <w:rPr>
          <w:lang w:val="es-ES_tradnl"/>
        </w:rPr>
        <w:t>se situó como</w:t>
      </w:r>
      <w:r w:rsidR="00C8398E" w:rsidRPr="002720D0">
        <w:rPr>
          <w:lang w:val="es-ES_tradnl"/>
        </w:rPr>
        <w:t xml:space="preserve"> el primero de lo</w:t>
      </w:r>
      <w:r w:rsidR="000C7059" w:rsidRPr="002720D0">
        <w:rPr>
          <w:lang w:val="es-ES_tradnl"/>
        </w:rPr>
        <w:t>s países africanos en lo que a la asignación de</w:t>
      </w:r>
      <w:r w:rsidR="00C8398E" w:rsidRPr="002720D0">
        <w:rPr>
          <w:lang w:val="es-ES_tradnl"/>
        </w:rPr>
        <w:t xml:space="preserve"> presupuestos para la </w:t>
      </w:r>
      <w:r w:rsidR="00902801" w:rsidRPr="002720D0">
        <w:rPr>
          <w:lang w:val="es-ES_tradnl"/>
        </w:rPr>
        <w:t>infancia</w:t>
      </w:r>
      <w:r w:rsidR="00C8398E" w:rsidRPr="002720D0">
        <w:rPr>
          <w:lang w:val="es-ES_tradnl"/>
        </w:rPr>
        <w:t xml:space="preserve"> </w:t>
      </w:r>
      <w:r w:rsidR="000C7059" w:rsidRPr="002720D0">
        <w:rPr>
          <w:lang w:val="es-ES_tradnl"/>
        </w:rPr>
        <w:t>se refiere</w:t>
      </w:r>
      <w:r w:rsidR="00151021" w:rsidRPr="002720D0">
        <w:rPr>
          <w:rStyle w:val="FootnoteReference"/>
          <w:lang w:val="es-ES_tradnl"/>
        </w:rPr>
        <w:footnoteReference w:id="16"/>
      </w:r>
      <w:r w:rsidR="008B77C8">
        <w:rPr>
          <w:lang w:val="es-ES_tradnl"/>
        </w:rPr>
        <w:t>.</w:t>
      </w:r>
    </w:p>
    <w:p w:rsidR="00151021" w:rsidRPr="002720D0" w:rsidRDefault="00A41D68" w:rsidP="00586395">
      <w:pPr>
        <w:pStyle w:val="H1G"/>
        <w:outlineLvl w:val="0"/>
        <w:rPr>
          <w:lang w:val="es-ES_tradnl"/>
        </w:rPr>
      </w:pPr>
      <w:bookmarkStart w:id="7" w:name="_Toc313470843"/>
      <w:r w:rsidRPr="002720D0">
        <w:rPr>
          <w:lang w:val="es-ES_tradnl"/>
        </w:rPr>
        <w:tab/>
      </w:r>
      <w:r w:rsidR="00151021" w:rsidRPr="002720D0">
        <w:rPr>
          <w:lang w:val="es-ES_tradnl"/>
        </w:rPr>
        <w:t>1.5</w:t>
      </w:r>
      <w:r w:rsidRPr="002720D0">
        <w:rPr>
          <w:lang w:val="es-ES_tradnl"/>
        </w:rPr>
        <w:tab/>
      </w:r>
      <w:r w:rsidR="00902801" w:rsidRPr="002720D0">
        <w:rPr>
          <w:lang w:val="es-ES_tradnl"/>
        </w:rPr>
        <w:t xml:space="preserve">Plan de acción </w:t>
      </w:r>
      <w:bookmarkEnd w:id="7"/>
      <w:r w:rsidR="00902801" w:rsidRPr="002720D0">
        <w:rPr>
          <w:lang w:val="es-ES_tradnl"/>
        </w:rPr>
        <w:t>nacional</w:t>
      </w:r>
    </w:p>
    <w:p w:rsidR="00151021" w:rsidRPr="002720D0" w:rsidRDefault="004F6364" w:rsidP="004F6364">
      <w:pPr>
        <w:pStyle w:val="SingleTxtG"/>
        <w:tabs>
          <w:tab w:val="left" w:pos="-360"/>
        </w:tabs>
        <w:rPr>
          <w:lang w:val="es-ES_tradnl"/>
        </w:rPr>
      </w:pPr>
      <w:r w:rsidRPr="002720D0">
        <w:rPr>
          <w:lang w:val="es-ES_tradnl"/>
        </w:rPr>
        <w:t>17.</w:t>
      </w:r>
      <w:r w:rsidRPr="002720D0">
        <w:rPr>
          <w:lang w:val="es-ES_tradnl"/>
        </w:rPr>
        <w:tab/>
      </w:r>
      <w:r w:rsidR="00902801" w:rsidRPr="002720D0">
        <w:rPr>
          <w:lang w:val="es-ES_tradnl"/>
        </w:rPr>
        <w:t xml:space="preserve">En sus anteriores Recomendaciones finales, el </w:t>
      </w:r>
      <w:r w:rsidR="000C7059" w:rsidRPr="002720D0">
        <w:rPr>
          <w:lang w:val="es-ES_tradnl"/>
        </w:rPr>
        <w:t>Comité recomendó que el Estado p</w:t>
      </w:r>
      <w:r w:rsidR="00902801" w:rsidRPr="002720D0">
        <w:rPr>
          <w:lang w:val="es-ES_tradnl"/>
        </w:rPr>
        <w:t>arte concluyera el proceso de aprobación de la política revisada de desarrollo infantil, que sería un marco claro vinculado a políticas y estrategias intersectoriales más amplias sobre la niñez. T</w:t>
      </w:r>
      <w:r w:rsidR="000C7059" w:rsidRPr="002720D0">
        <w:rPr>
          <w:lang w:val="es-ES_tradnl"/>
        </w:rPr>
        <w:t>ambién recomendó que el Estado p</w:t>
      </w:r>
      <w:r w:rsidR="00902801" w:rsidRPr="002720D0">
        <w:rPr>
          <w:lang w:val="es-ES_tradnl"/>
        </w:rPr>
        <w:t>arte intensificara sus esfuerzos para aprobar el plan nacional general a fin de que se ejercieran plenamente los derechos consagrados en la Convención, teniendo en cuenta los objetivos y finalidades del documento final del período e</w:t>
      </w:r>
      <w:r w:rsidR="00CB237E" w:rsidRPr="002720D0">
        <w:rPr>
          <w:lang w:val="es-ES_tradnl"/>
        </w:rPr>
        <w:t>x</w:t>
      </w:r>
      <w:r w:rsidR="00902801" w:rsidRPr="002720D0">
        <w:rPr>
          <w:lang w:val="es-ES_tradnl"/>
        </w:rPr>
        <w:t xml:space="preserve">traordinario de sesiones de la Asamblea General sobre la infancia, titulado </w:t>
      </w:r>
      <w:r w:rsidR="001D2A53">
        <w:rPr>
          <w:lang w:val="es-ES_tradnl"/>
        </w:rPr>
        <w:t>"</w:t>
      </w:r>
      <w:r w:rsidR="00902801" w:rsidRPr="002720D0">
        <w:rPr>
          <w:lang w:val="es-ES_tradnl"/>
        </w:rPr>
        <w:t>Un mundo apropiado para los niños</w:t>
      </w:r>
      <w:r w:rsidR="001D2A53">
        <w:rPr>
          <w:lang w:val="es-ES_tradnl"/>
        </w:rPr>
        <w:t>"</w:t>
      </w:r>
      <w:r w:rsidR="0090280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18.</w:t>
      </w:r>
      <w:r w:rsidRPr="002720D0">
        <w:rPr>
          <w:lang w:val="es-ES_tradnl"/>
        </w:rPr>
        <w:tab/>
      </w:r>
      <w:r w:rsidR="00151021" w:rsidRPr="002720D0">
        <w:rPr>
          <w:lang w:val="es-ES_tradnl"/>
        </w:rPr>
        <w:t>Conform</w:t>
      </w:r>
      <w:r w:rsidR="00902801" w:rsidRPr="002720D0">
        <w:rPr>
          <w:lang w:val="es-ES_tradnl"/>
        </w:rPr>
        <w:t xml:space="preserve">e a esta recomendación, el Estado </w:t>
      </w:r>
      <w:r w:rsidR="00134CEF" w:rsidRPr="002720D0">
        <w:rPr>
          <w:lang w:val="es-ES_tradnl"/>
        </w:rPr>
        <w:t>p</w:t>
      </w:r>
      <w:r w:rsidR="00995FF7" w:rsidRPr="002720D0">
        <w:rPr>
          <w:lang w:val="es-ES_tradnl"/>
        </w:rPr>
        <w:t>arte concluyó el examen de la Política de promoción del niño</w:t>
      </w:r>
      <w:r w:rsidR="00B569B1" w:rsidRPr="002720D0">
        <w:rPr>
          <w:lang w:val="es-ES_tradnl"/>
        </w:rPr>
        <w:t xml:space="preserve">, aprobándola en </w:t>
      </w:r>
      <w:r w:rsidR="00151021" w:rsidRPr="002720D0">
        <w:rPr>
          <w:lang w:val="es-ES_tradnl"/>
        </w:rPr>
        <w:t xml:space="preserve">2008. </w:t>
      </w:r>
      <w:r w:rsidR="001D4FDE" w:rsidRPr="002720D0">
        <w:rPr>
          <w:lang w:val="es-ES_tradnl"/>
        </w:rPr>
        <w:t>Esta política sentó la base para l</w:t>
      </w:r>
      <w:r w:rsidR="00134CEF" w:rsidRPr="002720D0">
        <w:rPr>
          <w:lang w:val="es-ES_tradnl"/>
        </w:rPr>
        <w:t xml:space="preserve">a promulgación de la Ley de la </w:t>
      </w:r>
      <w:r w:rsidR="00E44E59" w:rsidRPr="002720D0">
        <w:rPr>
          <w:lang w:val="es-ES_tradnl"/>
        </w:rPr>
        <w:t xml:space="preserve">Infancia </w:t>
      </w:r>
      <w:r w:rsidR="001D4FDE" w:rsidRPr="002720D0">
        <w:rPr>
          <w:lang w:val="es-ES_tradnl"/>
        </w:rPr>
        <w:t xml:space="preserve">en 2009. El Plan de acción nacional </w:t>
      </w:r>
      <w:r w:rsidR="008003AD" w:rsidRPr="002720D0">
        <w:rPr>
          <w:lang w:val="es-ES_tradnl"/>
        </w:rPr>
        <w:t xml:space="preserve">presupuestado para </w:t>
      </w:r>
      <w:r w:rsidR="001D4FDE" w:rsidRPr="002720D0">
        <w:rPr>
          <w:lang w:val="es-ES_tradnl"/>
        </w:rPr>
        <w:t>2007-2011 para los niños más vulnerables ya ha sido aprobado y se está aplicando en Tanzanía continental, donde el Estad</w:t>
      </w:r>
      <w:r w:rsidR="00995FF7" w:rsidRPr="002720D0">
        <w:rPr>
          <w:lang w:val="es-ES_tradnl"/>
        </w:rPr>
        <w:t>o</w:t>
      </w:r>
      <w:r w:rsidR="00134CEF" w:rsidRPr="002720D0">
        <w:rPr>
          <w:lang w:val="es-ES_tradnl"/>
        </w:rPr>
        <w:t xml:space="preserve"> p</w:t>
      </w:r>
      <w:r w:rsidR="008003AD" w:rsidRPr="002720D0">
        <w:rPr>
          <w:lang w:val="es-ES_tradnl"/>
        </w:rPr>
        <w:t>arte también aprobó, en julio de 2011, el Plan operacional nacional presupu</w:t>
      </w:r>
      <w:r w:rsidR="00CB237E" w:rsidRPr="002720D0">
        <w:rPr>
          <w:lang w:val="es-ES_tradnl"/>
        </w:rPr>
        <w:t>e</w:t>
      </w:r>
      <w:r w:rsidR="008003AD" w:rsidRPr="002720D0">
        <w:rPr>
          <w:lang w:val="es-ES_tradnl"/>
        </w:rPr>
        <w:t xml:space="preserve">stado para la aplicación del </w:t>
      </w:r>
      <w:r w:rsidR="00151021" w:rsidRPr="002720D0">
        <w:rPr>
          <w:lang w:val="es-ES_tradnl"/>
        </w:rPr>
        <w:t>U5NBRS</w:t>
      </w:r>
      <w:r w:rsidR="00151021" w:rsidRPr="002720D0">
        <w:rPr>
          <w:rStyle w:val="FootnoteReference"/>
          <w:lang w:val="es-ES_tradnl"/>
        </w:rPr>
        <w:footnoteReference w:id="17"/>
      </w:r>
      <w:r w:rsidR="008003AD" w:rsidRPr="002720D0">
        <w:rPr>
          <w:lang w:val="es-ES_tradnl"/>
        </w:rPr>
        <w:t>,</w:t>
      </w:r>
      <w:r w:rsidR="00151021" w:rsidRPr="002720D0">
        <w:rPr>
          <w:lang w:val="es-ES_tradnl"/>
        </w:rPr>
        <w:t xml:space="preserve"> </w:t>
      </w:r>
      <w:r w:rsidR="008003AD" w:rsidRPr="002720D0">
        <w:rPr>
          <w:lang w:val="es-ES_tradnl"/>
        </w:rPr>
        <w:t xml:space="preserve">que tiene por objeto la elaboración de acciones o intervenciones que se aplicarán para lograr los resultados estratégicos previstos correspondientes a la inscripción de los nacimientos de niños </w:t>
      </w:r>
      <w:r w:rsidR="00D21832" w:rsidRPr="002720D0">
        <w:rPr>
          <w:lang w:val="es-ES_tradnl"/>
        </w:rPr>
        <w:t>menores de 5 años</w:t>
      </w:r>
      <w:r w:rsidR="008003AD" w:rsidRPr="002720D0">
        <w:rPr>
          <w:lang w:val="es-ES_tradnl"/>
        </w:rPr>
        <w:t xml:space="preserve"> de edad</w:t>
      </w:r>
      <w:r w:rsidR="00151021" w:rsidRPr="002720D0">
        <w:rPr>
          <w:rStyle w:val="FootnoteReference"/>
          <w:lang w:val="es-ES_tradnl"/>
        </w:rPr>
        <w:footnoteReference w:id="18"/>
      </w:r>
      <w:r w:rsidR="008003AD"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19.</w:t>
      </w:r>
      <w:r w:rsidRPr="002720D0">
        <w:rPr>
          <w:lang w:val="es-ES_tradnl"/>
        </w:rPr>
        <w:tab/>
      </w:r>
      <w:r w:rsidR="005A0EB2" w:rsidRPr="002720D0">
        <w:rPr>
          <w:lang w:val="es-ES_tradnl"/>
        </w:rPr>
        <w:t>En</w:t>
      </w:r>
      <w:r w:rsidR="00134CEF" w:rsidRPr="002720D0">
        <w:rPr>
          <w:lang w:val="es-ES_tradnl"/>
        </w:rPr>
        <w:t xml:space="preserve"> 2011, el Estado p</w:t>
      </w:r>
      <w:r w:rsidR="008A0A63" w:rsidRPr="002720D0">
        <w:rPr>
          <w:lang w:val="es-ES_tradnl"/>
        </w:rPr>
        <w:t xml:space="preserve">arte adoptó en Zanzíbar las Directrices nacionales destinadas a atender a la promoción y el fomento del bienestar de la infancia. En las Directrices se establecen los procedimientos y el mecanismo de coordinación para gestionar los casos de niños que son víctimas de malos tratos y </w:t>
      </w:r>
      <w:r w:rsidR="00134CEF" w:rsidRPr="002720D0">
        <w:rPr>
          <w:lang w:val="es-ES_tradnl"/>
        </w:rPr>
        <w:t xml:space="preserve">los </w:t>
      </w:r>
      <w:r w:rsidR="008A0A63" w:rsidRPr="002720D0">
        <w:rPr>
          <w:lang w:val="es-ES_tradnl"/>
        </w:rPr>
        <w:t xml:space="preserve">que necesitan cuidados y apoyo. También está en vigor el Plan de acción nacional para la eliminación del trabajo infantil </w:t>
      </w:r>
      <w:r w:rsidR="00151021" w:rsidRPr="002720D0">
        <w:rPr>
          <w:lang w:val="es-ES_tradnl"/>
        </w:rPr>
        <w:t>(2009</w:t>
      </w:r>
      <w:r w:rsidR="00A41D68" w:rsidRPr="002720D0">
        <w:rPr>
          <w:lang w:val="es-ES_tradnl"/>
        </w:rPr>
        <w:t>-</w:t>
      </w:r>
      <w:r w:rsidR="00151021" w:rsidRPr="002720D0">
        <w:rPr>
          <w:lang w:val="es-ES_tradnl"/>
        </w:rPr>
        <w:t xml:space="preserve">2015), </w:t>
      </w:r>
      <w:r w:rsidR="008A0A63" w:rsidRPr="002720D0">
        <w:rPr>
          <w:lang w:val="es-ES_tradnl"/>
        </w:rPr>
        <w:t>que representa un s</w:t>
      </w:r>
      <w:r w:rsidR="00134CEF" w:rsidRPr="002720D0">
        <w:rPr>
          <w:lang w:val="es-ES_tradnl"/>
        </w:rPr>
        <w:t>uplemento al empeño del Estado p</w:t>
      </w:r>
      <w:r w:rsidR="008A0A63" w:rsidRPr="002720D0">
        <w:rPr>
          <w:lang w:val="es-ES_tradnl"/>
        </w:rPr>
        <w:t>arte por eliminar el trabajo infantil. En Zanzí</w:t>
      </w:r>
      <w:r w:rsidR="00151021" w:rsidRPr="002720D0">
        <w:rPr>
          <w:lang w:val="es-ES_tradnl"/>
        </w:rPr>
        <w:t xml:space="preserve">bar, </w:t>
      </w:r>
      <w:r w:rsidR="00134CEF" w:rsidRPr="002720D0">
        <w:rPr>
          <w:lang w:val="es-ES_tradnl"/>
        </w:rPr>
        <w:t>el Estado p</w:t>
      </w:r>
      <w:r w:rsidR="008A0A63" w:rsidRPr="002720D0">
        <w:rPr>
          <w:lang w:val="es-ES_tradnl"/>
        </w:rPr>
        <w:t xml:space="preserve">arte también ha adoptado el Plan de acción presupuestado para los niños más vulnerables </w:t>
      </w:r>
      <w:r w:rsidR="00151021" w:rsidRPr="002720D0">
        <w:rPr>
          <w:lang w:val="es-ES_tradnl"/>
        </w:rPr>
        <w:t xml:space="preserve">(2010-2015), </w:t>
      </w:r>
      <w:r w:rsidR="008A0A63" w:rsidRPr="002720D0">
        <w:rPr>
          <w:lang w:val="es-ES_tradnl"/>
        </w:rPr>
        <w:t>por el que se estipulan estrategias de acción debidamente presupuestadas así como un mecanismo de asistencia para los niños identificados como más vulnerables en Zanzí</w:t>
      </w:r>
      <w:r w:rsidR="00151021" w:rsidRPr="002720D0">
        <w:rPr>
          <w:lang w:val="es-ES_tradnl"/>
        </w:rPr>
        <w:t>bar.</w:t>
      </w:r>
    </w:p>
    <w:p w:rsidR="00151021" w:rsidRPr="002720D0" w:rsidRDefault="00A41D68" w:rsidP="00586395">
      <w:pPr>
        <w:pStyle w:val="H1G"/>
        <w:outlineLvl w:val="0"/>
        <w:rPr>
          <w:lang w:val="es-ES_tradnl"/>
        </w:rPr>
      </w:pPr>
      <w:bookmarkStart w:id="8" w:name="_Toc313470844"/>
      <w:r w:rsidRPr="002720D0">
        <w:rPr>
          <w:lang w:val="es-ES_tradnl"/>
        </w:rPr>
        <w:tab/>
      </w:r>
      <w:r w:rsidR="00151021" w:rsidRPr="002720D0">
        <w:rPr>
          <w:lang w:val="es-ES_tradnl"/>
        </w:rPr>
        <w:t>1.6</w:t>
      </w:r>
      <w:r w:rsidRPr="002720D0">
        <w:rPr>
          <w:lang w:val="es-ES_tradnl"/>
        </w:rPr>
        <w:tab/>
      </w:r>
      <w:r w:rsidR="008A0A63" w:rsidRPr="002720D0">
        <w:rPr>
          <w:lang w:val="es-ES_tradnl"/>
        </w:rPr>
        <w:t>Vigilancia independiente</w:t>
      </w:r>
      <w:bookmarkEnd w:id="8"/>
    </w:p>
    <w:p w:rsidR="00151021" w:rsidRPr="002720D0" w:rsidRDefault="004F6364" w:rsidP="004F6364">
      <w:pPr>
        <w:pStyle w:val="SingleTxtG"/>
        <w:tabs>
          <w:tab w:val="left" w:pos="-360"/>
        </w:tabs>
        <w:rPr>
          <w:lang w:val="es-ES_tradnl"/>
        </w:rPr>
      </w:pPr>
      <w:r w:rsidRPr="002720D0">
        <w:rPr>
          <w:lang w:val="es-ES_tradnl"/>
        </w:rPr>
        <w:t>20.</w:t>
      </w:r>
      <w:r w:rsidRPr="002720D0">
        <w:rPr>
          <w:lang w:val="es-ES_tradnl"/>
        </w:rPr>
        <w:tab/>
      </w:r>
      <w:r w:rsidR="00110CF7" w:rsidRPr="002720D0">
        <w:rPr>
          <w:bCs/>
          <w:lang w:val="es-ES_tradnl"/>
        </w:rPr>
        <w:t xml:space="preserve">El </w:t>
      </w:r>
      <w:r w:rsidR="004F563D" w:rsidRPr="002720D0">
        <w:rPr>
          <w:bCs/>
          <w:lang w:val="es-ES_tradnl"/>
        </w:rPr>
        <w:t>Comité recomendó que el Estado p</w:t>
      </w:r>
      <w:r w:rsidR="00110CF7" w:rsidRPr="002720D0">
        <w:rPr>
          <w:bCs/>
          <w:lang w:val="es-ES_tradnl"/>
        </w:rPr>
        <w:t>arte, teniendo en cuenta su Observación general Nº 2 de 2002 (véase CRC/GC/2002/2) sobre el papel de las instituciones nacionales independientes de derechos humanos, adoptara todas las medidas efectivas para que la Comisión de Derechos Humanos y Buen Gobierno fuera de fácil acceso y uso para todos los niños.</w:t>
      </w:r>
      <w:r w:rsidR="001D2A53">
        <w:rPr>
          <w:bCs/>
          <w:lang w:val="es-ES_tradnl"/>
        </w:rPr>
        <w:t xml:space="preserve"> </w:t>
      </w:r>
      <w:r w:rsidR="00110CF7" w:rsidRPr="002720D0">
        <w:rPr>
          <w:bCs/>
          <w:lang w:val="es-ES_tradnl"/>
        </w:rPr>
        <w:t>En particular, recomendó que realizara campañas de sensibilización de la labor de la Comisión, comprendidos la labor y los procedimientos de la unidad especial de asuntos de la niñez, para facilitar el acceso de los niños a sus mecanismos de denuncia.</w:t>
      </w:r>
      <w:r w:rsidR="001D2A53">
        <w:rPr>
          <w:bCs/>
          <w:lang w:val="es-ES_tradnl"/>
        </w:rPr>
        <w:t xml:space="preserve"> </w:t>
      </w:r>
      <w:r w:rsidR="00110CF7" w:rsidRPr="002720D0">
        <w:rPr>
          <w:bCs/>
          <w:lang w:val="es-ES_tradnl"/>
        </w:rPr>
        <w:t>El Comité señaló que cabría consignar suficientes recursos financieros y humanos para su efectivo funcionamiento.</w:t>
      </w:r>
    </w:p>
    <w:p w:rsidR="00151021" w:rsidRPr="002720D0" w:rsidRDefault="004F6364" w:rsidP="004F6364">
      <w:pPr>
        <w:pStyle w:val="SingleTxtG"/>
        <w:tabs>
          <w:tab w:val="left" w:pos="-360"/>
        </w:tabs>
        <w:rPr>
          <w:lang w:val="es-ES_tradnl"/>
        </w:rPr>
      </w:pPr>
      <w:r w:rsidRPr="002720D0">
        <w:rPr>
          <w:lang w:val="es-ES_tradnl"/>
        </w:rPr>
        <w:t>21.</w:t>
      </w:r>
      <w:r w:rsidRPr="002720D0">
        <w:rPr>
          <w:lang w:val="es-ES_tradnl"/>
        </w:rPr>
        <w:tab/>
      </w:r>
      <w:r w:rsidR="00110CF7" w:rsidRPr="002720D0">
        <w:rPr>
          <w:lang w:val="es-ES_tradnl"/>
        </w:rPr>
        <w:t>En cumplimiento de la recom</w:t>
      </w:r>
      <w:r w:rsidR="004F563D" w:rsidRPr="002720D0">
        <w:rPr>
          <w:lang w:val="es-ES_tradnl"/>
        </w:rPr>
        <w:t>endación del Comité, el Estado p</w:t>
      </w:r>
      <w:r w:rsidR="00110CF7" w:rsidRPr="002720D0">
        <w:rPr>
          <w:lang w:val="es-ES_tradnl"/>
        </w:rPr>
        <w:t>arte ha creado una unidad especial de asuntos de la niñez en la Comisión de Derechos Humanos y Buen Gobierno, que en la actualidad desarrolla sus actividades en ambas partes de la República Unida de Tanzanía. En el momento de la elaboración de lo</w:t>
      </w:r>
      <w:r w:rsidR="004F563D" w:rsidRPr="002720D0">
        <w:rPr>
          <w:lang w:val="es-ES_tradnl"/>
        </w:rPr>
        <w:t>s presentes informes combinados</w:t>
      </w:r>
      <w:r w:rsidR="00110CF7" w:rsidRPr="002720D0">
        <w:rPr>
          <w:lang w:val="es-ES_tradnl"/>
        </w:rPr>
        <w:t xml:space="preserve"> la Comisión se ocupaba de la elaboración de un procedimiento destinado a </w:t>
      </w:r>
      <w:r w:rsidR="004F563D" w:rsidRPr="002720D0">
        <w:rPr>
          <w:lang w:val="es-ES_tradnl"/>
        </w:rPr>
        <w:t>permitir que</w:t>
      </w:r>
      <w:r w:rsidR="00110CF7" w:rsidRPr="002720D0">
        <w:rPr>
          <w:lang w:val="es-ES_tradnl"/>
        </w:rPr>
        <w:t xml:space="preserve"> los niños </w:t>
      </w:r>
      <w:r w:rsidR="004F563D" w:rsidRPr="002720D0">
        <w:rPr>
          <w:lang w:val="es-ES_tradnl"/>
        </w:rPr>
        <w:t>presenten y tramiten</w:t>
      </w:r>
      <w:r w:rsidR="00110CF7" w:rsidRPr="002720D0">
        <w:rPr>
          <w:lang w:val="es-ES_tradnl"/>
        </w:rPr>
        <w:t xml:space="preserve"> ante ella sus correspondientes denuncias. </w:t>
      </w:r>
    </w:p>
    <w:p w:rsidR="00151021" w:rsidRPr="002720D0" w:rsidRDefault="004F6364" w:rsidP="004F6364">
      <w:pPr>
        <w:pStyle w:val="SingleTxtG"/>
        <w:tabs>
          <w:tab w:val="left" w:pos="-360"/>
        </w:tabs>
        <w:rPr>
          <w:lang w:val="es-ES_tradnl"/>
        </w:rPr>
      </w:pPr>
      <w:r w:rsidRPr="002720D0">
        <w:rPr>
          <w:lang w:val="es-ES_tradnl"/>
        </w:rPr>
        <w:t>22.</w:t>
      </w:r>
      <w:r w:rsidRPr="002720D0">
        <w:rPr>
          <w:lang w:val="es-ES_tradnl"/>
        </w:rPr>
        <w:tab/>
      </w:r>
      <w:r w:rsidR="004F563D" w:rsidRPr="002720D0">
        <w:rPr>
          <w:lang w:val="es-ES_tradnl"/>
        </w:rPr>
        <w:t>Para su</w:t>
      </w:r>
      <w:r w:rsidR="00110CF7" w:rsidRPr="002720D0">
        <w:rPr>
          <w:lang w:val="es-ES_tradnl"/>
        </w:rPr>
        <w:t>plementa</w:t>
      </w:r>
      <w:r w:rsidR="004F563D" w:rsidRPr="002720D0">
        <w:rPr>
          <w:lang w:val="es-ES_tradnl"/>
        </w:rPr>
        <w:t>r estas actividades del Estado p</w:t>
      </w:r>
      <w:r w:rsidR="00110CF7" w:rsidRPr="002720D0">
        <w:rPr>
          <w:lang w:val="es-ES_tradnl"/>
        </w:rPr>
        <w:t xml:space="preserve">arte destinadas al ejercicio de los derechos del niño, la Policía ha </w:t>
      </w:r>
      <w:r w:rsidR="003C72B0" w:rsidRPr="002720D0">
        <w:rPr>
          <w:lang w:val="es-ES_tradnl"/>
        </w:rPr>
        <w:t>establecido unidades de asuntos de género y de la niñez en todas las comisarías de policía del país. Esta iniciativa persigue el acercamiento de la asistencia jurídica</w:t>
      </w:r>
      <w:r w:rsidR="006E2389" w:rsidRPr="002720D0">
        <w:rPr>
          <w:lang w:val="es-ES_tradnl"/>
        </w:rPr>
        <w:t>,</w:t>
      </w:r>
      <w:r w:rsidR="003C72B0" w:rsidRPr="002720D0">
        <w:rPr>
          <w:lang w:val="es-ES_tradnl"/>
        </w:rPr>
        <w:t xml:space="preserve"> </w:t>
      </w:r>
      <w:r w:rsidR="006E2389" w:rsidRPr="002720D0">
        <w:rPr>
          <w:lang w:val="es-ES_tradnl"/>
        </w:rPr>
        <w:t>entre otros en relación</w:t>
      </w:r>
      <w:r w:rsidR="003C72B0" w:rsidRPr="002720D0">
        <w:rPr>
          <w:lang w:val="es-ES_tradnl"/>
        </w:rPr>
        <w:t xml:space="preserve"> con los problemas jurídicos que afectan a los niños; </w:t>
      </w:r>
      <w:r w:rsidR="006E2389" w:rsidRPr="002720D0">
        <w:rPr>
          <w:lang w:val="es-ES_tradnl"/>
        </w:rPr>
        <w:t xml:space="preserve">entre </w:t>
      </w:r>
      <w:r w:rsidR="003C72B0" w:rsidRPr="002720D0">
        <w:rPr>
          <w:lang w:val="es-ES_tradnl"/>
        </w:rPr>
        <w:t xml:space="preserve">estos </w:t>
      </w:r>
      <w:r w:rsidR="006E2389" w:rsidRPr="002720D0">
        <w:rPr>
          <w:lang w:val="es-ES_tradnl"/>
        </w:rPr>
        <w:t xml:space="preserve">se </w:t>
      </w:r>
      <w:r w:rsidR="003C72B0" w:rsidRPr="002720D0">
        <w:rPr>
          <w:lang w:val="es-ES_tradnl"/>
        </w:rPr>
        <w:t>inc</w:t>
      </w:r>
      <w:r w:rsidR="006E2389" w:rsidRPr="002720D0">
        <w:rPr>
          <w:lang w:val="es-ES_tradnl"/>
        </w:rPr>
        <w:t xml:space="preserve">luyen los malos tratos y la negligencia, así como </w:t>
      </w:r>
      <w:r w:rsidR="003C72B0" w:rsidRPr="002720D0">
        <w:rPr>
          <w:lang w:val="es-ES_tradnl"/>
        </w:rPr>
        <w:t>la ayuda necesaria para los niños en conflicto con la ley</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23.</w:t>
      </w:r>
      <w:r w:rsidRPr="002720D0">
        <w:rPr>
          <w:lang w:val="es-ES_tradnl"/>
        </w:rPr>
        <w:tab/>
      </w:r>
      <w:r w:rsidR="00B31A29" w:rsidRPr="002720D0">
        <w:rPr>
          <w:lang w:val="es-ES_tradnl"/>
        </w:rPr>
        <w:t>En Zanzíbar</w:t>
      </w:r>
      <w:r w:rsidR="003C72B0" w:rsidRPr="002720D0">
        <w:rPr>
          <w:lang w:val="es-ES_tradnl"/>
        </w:rPr>
        <w:t xml:space="preserve"> e</w:t>
      </w:r>
      <w:r w:rsidR="00151021" w:rsidRPr="002720D0">
        <w:rPr>
          <w:lang w:val="es-ES_tradnl"/>
        </w:rPr>
        <w:t xml:space="preserve">n particular, </w:t>
      </w:r>
      <w:r w:rsidR="006E2389" w:rsidRPr="002720D0">
        <w:rPr>
          <w:lang w:val="es-ES_tradnl"/>
        </w:rPr>
        <w:t>el Estado p</w:t>
      </w:r>
      <w:r w:rsidR="003C72B0" w:rsidRPr="002720D0">
        <w:rPr>
          <w:lang w:val="es-ES_tradnl"/>
        </w:rPr>
        <w:t xml:space="preserve">arte ha creado el Comité </w:t>
      </w:r>
      <w:r w:rsidR="00B31A29" w:rsidRPr="002720D0">
        <w:rPr>
          <w:lang w:val="es-ES_tradnl"/>
        </w:rPr>
        <w:t xml:space="preserve">Nacional contra la Violencia de Género, establecido para consolidar la respuesta del Estado </w:t>
      </w:r>
      <w:r w:rsidR="006E2389" w:rsidRPr="002720D0">
        <w:rPr>
          <w:lang w:val="es-ES_tradnl"/>
        </w:rPr>
        <w:t>p</w:t>
      </w:r>
      <w:r w:rsidR="00B31A29" w:rsidRPr="002720D0">
        <w:rPr>
          <w:lang w:val="es-ES_tradnl"/>
        </w:rPr>
        <w:t xml:space="preserve">arte ante los casos de malos tratos en el hogar fundados en la violencia de género </w:t>
      </w:r>
      <w:r w:rsidR="006E2389" w:rsidRPr="002720D0">
        <w:rPr>
          <w:lang w:val="es-ES_tradnl"/>
        </w:rPr>
        <w:t xml:space="preserve">cometida </w:t>
      </w:r>
      <w:r w:rsidR="00B31A29" w:rsidRPr="002720D0">
        <w:rPr>
          <w:lang w:val="es-ES_tradnl"/>
        </w:rPr>
        <w:t xml:space="preserve">contra </w:t>
      </w:r>
      <w:r w:rsidR="006E2389" w:rsidRPr="002720D0">
        <w:rPr>
          <w:lang w:val="es-ES_tradnl"/>
        </w:rPr>
        <w:t>los niños y las mujeres en las i</w:t>
      </w:r>
      <w:r w:rsidR="00B31A29" w:rsidRPr="002720D0">
        <w:rPr>
          <w:lang w:val="es-ES_tradnl"/>
        </w:rPr>
        <w:t xml:space="preserve">slas. Este Comité está integrado por diversos profesionales de todas las poblaciones de Zanzíbar, </w:t>
      </w:r>
      <w:r w:rsidR="006E2389" w:rsidRPr="002720D0">
        <w:rPr>
          <w:lang w:val="es-ES_tradnl"/>
        </w:rPr>
        <w:t>entre los que se cuentan agentes</w:t>
      </w:r>
      <w:r w:rsidR="00B31A29" w:rsidRPr="002720D0">
        <w:rPr>
          <w:lang w:val="es-ES_tradnl"/>
        </w:rPr>
        <w:t xml:space="preserve"> de policía, maestros, personal médico, fiscales y miembros de organizaciones de derechos civiles.</w:t>
      </w:r>
      <w:r w:rsidR="001D2A53">
        <w:rPr>
          <w:lang w:val="es-ES_tradnl"/>
        </w:rPr>
        <w:t xml:space="preserve"> </w:t>
      </w:r>
    </w:p>
    <w:p w:rsidR="00151021" w:rsidRPr="002720D0" w:rsidRDefault="00A41D68" w:rsidP="00586395">
      <w:pPr>
        <w:pStyle w:val="H1G"/>
        <w:outlineLvl w:val="0"/>
        <w:rPr>
          <w:lang w:val="es-ES_tradnl"/>
        </w:rPr>
      </w:pPr>
      <w:bookmarkStart w:id="9" w:name="_Toc313470845"/>
      <w:r w:rsidRPr="002720D0">
        <w:rPr>
          <w:lang w:val="es-ES_tradnl"/>
        </w:rPr>
        <w:tab/>
      </w:r>
      <w:r w:rsidR="00151021" w:rsidRPr="002720D0">
        <w:rPr>
          <w:lang w:val="es-ES_tradnl"/>
        </w:rPr>
        <w:t>1.7</w:t>
      </w:r>
      <w:r w:rsidRPr="002720D0">
        <w:rPr>
          <w:lang w:val="es-ES_tradnl"/>
        </w:rPr>
        <w:tab/>
      </w:r>
      <w:bookmarkEnd w:id="9"/>
      <w:r w:rsidR="00B31A29" w:rsidRPr="002720D0">
        <w:rPr>
          <w:lang w:val="es-ES_tradnl"/>
        </w:rPr>
        <w:t>Reunión de datos</w:t>
      </w:r>
    </w:p>
    <w:p w:rsidR="00151021" w:rsidRPr="002720D0" w:rsidRDefault="004F6364" w:rsidP="004F6364">
      <w:pPr>
        <w:pStyle w:val="SingleTxtG"/>
        <w:tabs>
          <w:tab w:val="left" w:pos="-360"/>
        </w:tabs>
        <w:rPr>
          <w:lang w:val="es-ES_tradnl"/>
        </w:rPr>
      </w:pPr>
      <w:r w:rsidRPr="002720D0">
        <w:rPr>
          <w:lang w:val="es-ES_tradnl"/>
        </w:rPr>
        <w:t>24.</w:t>
      </w:r>
      <w:r w:rsidRPr="002720D0">
        <w:rPr>
          <w:lang w:val="es-ES_tradnl"/>
        </w:rPr>
        <w:tab/>
      </w:r>
      <w:r w:rsidR="006E2389" w:rsidRPr="002720D0">
        <w:rPr>
          <w:bCs/>
          <w:lang w:val="es-ES_tradnl"/>
        </w:rPr>
        <w:t>En sus O</w:t>
      </w:r>
      <w:r w:rsidR="00B31A29" w:rsidRPr="002720D0">
        <w:rPr>
          <w:bCs/>
          <w:lang w:val="es-ES_tradnl"/>
        </w:rPr>
        <w:t>bservaciones finales</w:t>
      </w:r>
      <w:r w:rsidR="005E70A2" w:rsidRPr="002720D0">
        <w:rPr>
          <w:bCs/>
          <w:lang w:val="es-ES_tradnl"/>
        </w:rPr>
        <w:t xml:space="preserve"> previas</w:t>
      </w:r>
      <w:r w:rsidR="00B31A29" w:rsidRPr="002720D0">
        <w:rPr>
          <w:bCs/>
          <w:lang w:val="es-ES_tradnl"/>
        </w:rPr>
        <w:t xml:space="preserve">, el Comité recomendó </w:t>
      </w:r>
      <w:r w:rsidR="006E2389" w:rsidRPr="002720D0">
        <w:rPr>
          <w:bCs/>
          <w:lang w:val="es-ES_tradnl"/>
        </w:rPr>
        <w:t>que el Estado p</w:t>
      </w:r>
      <w:r w:rsidR="005E70A2" w:rsidRPr="002720D0">
        <w:rPr>
          <w:bCs/>
          <w:lang w:val="es-ES_tradnl"/>
        </w:rPr>
        <w:t>arte fortale</w:t>
      </w:r>
      <w:r w:rsidR="00B31A29" w:rsidRPr="002720D0">
        <w:rPr>
          <w:bCs/>
          <w:lang w:val="es-ES_tradnl"/>
        </w:rPr>
        <w:t>c</w:t>
      </w:r>
      <w:r w:rsidR="005E70A2" w:rsidRPr="002720D0">
        <w:rPr>
          <w:bCs/>
          <w:lang w:val="es-ES_tradnl"/>
        </w:rPr>
        <w:t>ier</w:t>
      </w:r>
      <w:r w:rsidR="00B31A29" w:rsidRPr="002720D0">
        <w:rPr>
          <w:bCs/>
          <w:lang w:val="es-ES_tradnl"/>
        </w:rPr>
        <w:t>a su sistema para reunir datos desglosados como base para evaluar la marcha del ejercicio de los derechos del niño y ayudar a elaborar políticas para cumplir la Co</w:t>
      </w:r>
      <w:r w:rsidR="005E70A2" w:rsidRPr="002720D0">
        <w:rPr>
          <w:bCs/>
          <w:lang w:val="es-ES_tradnl"/>
        </w:rPr>
        <w:t>nvención.</w:t>
      </w:r>
      <w:r w:rsidR="001D2A53">
        <w:rPr>
          <w:bCs/>
          <w:lang w:val="es-ES_tradnl"/>
        </w:rPr>
        <w:t xml:space="preserve"> </w:t>
      </w:r>
      <w:r w:rsidR="005E70A2" w:rsidRPr="002720D0">
        <w:rPr>
          <w:bCs/>
          <w:lang w:val="es-ES_tradnl"/>
        </w:rPr>
        <w:t>Para lograrlo, también recomendó</w:t>
      </w:r>
      <w:r w:rsidR="00B31A29" w:rsidRPr="002720D0">
        <w:rPr>
          <w:bCs/>
          <w:lang w:val="es-ES_tradnl"/>
        </w:rPr>
        <w:t xml:space="preserve"> que </w:t>
      </w:r>
      <w:r w:rsidR="005E70A2" w:rsidRPr="002720D0">
        <w:rPr>
          <w:bCs/>
          <w:lang w:val="es-ES_tradnl"/>
        </w:rPr>
        <w:t xml:space="preserve">el Estado </w:t>
      </w:r>
      <w:r w:rsidRPr="002720D0">
        <w:rPr>
          <w:bCs/>
          <w:lang w:val="es-ES_tradnl"/>
        </w:rPr>
        <w:t xml:space="preserve">parte </w:t>
      </w:r>
      <w:r w:rsidR="00B31A29" w:rsidRPr="002720D0">
        <w:rPr>
          <w:bCs/>
          <w:lang w:val="es-ES_tradnl"/>
        </w:rPr>
        <w:t>pid</w:t>
      </w:r>
      <w:r w:rsidR="005E70A2" w:rsidRPr="002720D0">
        <w:rPr>
          <w:bCs/>
          <w:lang w:val="es-ES_tradnl"/>
        </w:rPr>
        <w:t>ier</w:t>
      </w:r>
      <w:r w:rsidR="00B31A29" w:rsidRPr="002720D0">
        <w:rPr>
          <w:bCs/>
          <w:lang w:val="es-ES_tradnl"/>
        </w:rPr>
        <w:t xml:space="preserve">a asistencia técnica al </w:t>
      </w:r>
      <w:r w:rsidR="00391F8E" w:rsidRPr="002720D0">
        <w:rPr>
          <w:bCs/>
          <w:lang w:val="es-ES_tradnl"/>
        </w:rPr>
        <w:t xml:space="preserve">UNICEF, </w:t>
      </w:r>
      <w:r w:rsidR="00B31A29" w:rsidRPr="002720D0">
        <w:rPr>
          <w:bCs/>
          <w:lang w:val="es-ES_tradnl"/>
        </w:rPr>
        <w:t>por ejemplo.</w:t>
      </w:r>
      <w:r w:rsidR="005E70A2" w:rsidRPr="002720D0">
        <w:rPr>
          <w:lang w:val="es-ES_tradnl"/>
        </w:rPr>
        <w:t xml:space="preserve"> En relación con el Protocolo facultativo relativo a la participación de niños en los conflictos armados,</w:t>
      </w:r>
      <w:r w:rsidR="005E70A2" w:rsidRPr="001418B0">
        <w:rPr>
          <w:snapToGrid w:val="0"/>
          <w:lang w:val="es-ES_tradnl"/>
        </w:rPr>
        <w:t xml:space="preserve"> </w:t>
      </w:r>
      <w:r w:rsidR="005E70A2" w:rsidRPr="002720D0">
        <w:rPr>
          <w:snapToGrid w:val="0"/>
          <w:lang w:val="es-ES_tradnl"/>
        </w:rPr>
        <w:t>el Comité recomendó que se crease un sistema completo de obtención de datos para cerciorarse de que se reunían y analizaban sistemáticamente datos desglosados, entre otras cosas, por edad, sexo, medio socioeconómico y zona geográfica, incluidos los niños solicitantes de asilo y migrantes, ya que son un instrumento esencial para medir la aplicación de las políticas.</w:t>
      </w:r>
      <w:r w:rsidR="001D2A53">
        <w:rPr>
          <w:snapToGrid w:val="0"/>
          <w:lang w:val="es-ES_tradnl"/>
        </w:rPr>
        <w:t xml:space="preserve"> </w:t>
      </w:r>
      <w:r w:rsidR="005E70A2" w:rsidRPr="002720D0">
        <w:rPr>
          <w:snapToGrid w:val="0"/>
          <w:lang w:val="es-ES_tradnl"/>
        </w:rPr>
        <w:t xml:space="preserve">El Comité también instó al Estado parte a solicitar a este respecto la asistencia de organismos y programas de las Naciones Unidas, incluidos el Alto Comisionado de las Naciones Unidas para los Refugiados (ACNUR) y el </w:t>
      </w:r>
      <w:r w:rsidR="00291D46" w:rsidRPr="002720D0">
        <w:rPr>
          <w:snapToGrid w:val="0"/>
          <w:lang w:val="es-ES_tradnl"/>
        </w:rPr>
        <w:t>UNICEF</w:t>
      </w:r>
      <w:r w:rsidR="005E70A2" w:rsidRPr="002720D0">
        <w:rPr>
          <w:snapToGrid w:val="0"/>
          <w:lang w:val="es-ES_tradnl"/>
        </w:rPr>
        <w:t>.</w:t>
      </w:r>
      <w:r w:rsidR="005E70A2"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25.</w:t>
      </w:r>
      <w:r w:rsidRPr="002720D0">
        <w:rPr>
          <w:lang w:val="es-ES_tradnl"/>
        </w:rPr>
        <w:tab/>
      </w:r>
      <w:r w:rsidR="00C722AE" w:rsidRPr="002720D0">
        <w:rPr>
          <w:lang w:val="es-ES_tradnl"/>
        </w:rPr>
        <w:t>En cu</w:t>
      </w:r>
      <w:r w:rsidR="00821A46" w:rsidRPr="002720D0">
        <w:rPr>
          <w:lang w:val="es-ES_tradnl"/>
        </w:rPr>
        <w:t>mplimiento de la recomendación d</w:t>
      </w:r>
      <w:r w:rsidR="00291D46" w:rsidRPr="002720D0">
        <w:rPr>
          <w:lang w:val="es-ES_tradnl"/>
        </w:rPr>
        <w:t>el Comité, el Estado p</w:t>
      </w:r>
      <w:r w:rsidR="00C722AE" w:rsidRPr="002720D0">
        <w:rPr>
          <w:lang w:val="es-ES_tradnl"/>
        </w:rPr>
        <w:t>arte ha llevado a cabo varias iniciativas destinadas a la creación de un sistema central de gestión de la información</w:t>
      </w:r>
      <w:r w:rsidR="00291D46" w:rsidRPr="002720D0">
        <w:rPr>
          <w:lang w:val="es-ES_tradnl"/>
        </w:rPr>
        <w:t>,</w:t>
      </w:r>
      <w:r w:rsidR="00C722AE" w:rsidRPr="002720D0">
        <w:rPr>
          <w:lang w:val="es-ES_tradnl"/>
        </w:rPr>
        <w:t xml:space="preserve"> con el fin de que los datos se tramiten en un punto centralizado. Asimismo, durante el período </w:t>
      </w:r>
      <w:r w:rsidR="00A377BB" w:rsidRPr="002720D0">
        <w:rPr>
          <w:lang w:val="es-ES_tradnl"/>
        </w:rPr>
        <w:t>que</w:t>
      </w:r>
      <w:r w:rsidR="00291D46" w:rsidRPr="002720D0">
        <w:rPr>
          <w:lang w:val="es-ES_tradnl"/>
        </w:rPr>
        <w:t xml:space="preserve"> se examina el Estado p</w:t>
      </w:r>
      <w:r w:rsidR="00A377BB" w:rsidRPr="002720D0">
        <w:rPr>
          <w:lang w:val="es-ES_tradnl"/>
        </w:rPr>
        <w:t xml:space="preserve">arte llevó a cabo, </w:t>
      </w:r>
      <w:r w:rsidR="00C722AE" w:rsidRPr="002720D0">
        <w:rPr>
          <w:lang w:val="es-ES_tradnl"/>
        </w:rPr>
        <w:t>por conducto de la Oficina Nacional de Estadística</w:t>
      </w:r>
      <w:r w:rsidR="001D2A53">
        <w:rPr>
          <w:lang w:val="es-ES_tradnl"/>
        </w:rPr>
        <w:t xml:space="preserve"> </w:t>
      </w:r>
      <w:r w:rsidR="00A377BB" w:rsidRPr="002720D0">
        <w:rPr>
          <w:lang w:val="es-ES_tradnl"/>
        </w:rPr>
        <w:t xml:space="preserve">en Tanzanía continental y del </w:t>
      </w:r>
      <w:r w:rsidR="00291D46" w:rsidRPr="002720D0">
        <w:rPr>
          <w:lang w:val="es-ES_tradnl"/>
        </w:rPr>
        <w:t>Jefe</w:t>
      </w:r>
      <w:r w:rsidR="00A377BB" w:rsidRPr="002720D0">
        <w:rPr>
          <w:lang w:val="es-ES_tradnl"/>
        </w:rPr>
        <w:t xml:space="preserve"> de Estadísticas del Gobierno en Zanzíbar, varias encuestas nacionales que han aportado información y estadísticas, entre otras cosas, sobre la situación del bienest</w:t>
      </w:r>
      <w:r w:rsidR="00291D46" w:rsidRPr="002720D0">
        <w:rPr>
          <w:lang w:val="es-ES_tradnl"/>
        </w:rPr>
        <w:t>ar de la infancia en el Estado p</w:t>
      </w:r>
      <w:r w:rsidR="00A377BB" w:rsidRPr="002720D0">
        <w:rPr>
          <w:lang w:val="es-ES_tradnl"/>
        </w:rPr>
        <w:t>arte</w:t>
      </w:r>
      <w:r w:rsidR="00A377BB" w:rsidRPr="00D129D6">
        <w:rPr>
          <w:lang w:val="es-ES_tradnl"/>
        </w:rPr>
        <w:t>. Entre estas encuestas se cuentan la Encuesta sobre el presupuesto familiar</w:t>
      </w:r>
      <w:r w:rsidR="00476501" w:rsidRPr="00D129D6">
        <w:rPr>
          <w:lang w:val="es-ES_tradnl"/>
        </w:rPr>
        <w:t>, de</w:t>
      </w:r>
      <w:r w:rsidR="00DD15C3" w:rsidRPr="00D129D6">
        <w:rPr>
          <w:lang w:val="es-ES_tradnl"/>
        </w:rPr>
        <w:t xml:space="preserve"> 2009-</w:t>
      </w:r>
      <w:r w:rsidR="00A377BB" w:rsidRPr="00D129D6">
        <w:rPr>
          <w:lang w:val="es-ES_tradnl"/>
        </w:rPr>
        <w:t>2010; la Encuesta demográfica y de salud</w:t>
      </w:r>
      <w:r w:rsidR="00476501" w:rsidRPr="00D129D6">
        <w:rPr>
          <w:lang w:val="es-ES_tradnl"/>
        </w:rPr>
        <w:t>,</w:t>
      </w:r>
      <w:r w:rsidR="00A377BB" w:rsidRPr="00D129D6">
        <w:rPr>
          <w:lang w:val="es-ES_tradnl"/>
        </w:rPr>
        <w:t xml:space="preserve"> de 2010; la </w:t>
      </w:r>
      <w:r w:rsidR="00476501" w:rsidRPr="00D129D6">
        <w:rPr>
          <w:lang w:val="es-ES_tradnl"/>
        </w:rPr>
        <w:t xml:space="preserve">Encuesta demográfica y de </w:t>
      </w:r>
      <w:r w:rsidR="00DD15C3" w:rsidRPr="00D129D6">
        <w:rPr>
          <w:lang w:val="es-ES_tradnl"/>
        </w:rPr>
        <w:t>salud</w:t>
      </w:r>
      <w:r w:rsidR="00476501" w:rsidRPr="00D129D6">
        <w:rPr>
          <w:lang w:val="es-ES_tradnl"/>
        </w:rPr>
        <w:t xml:space="preserve"> de </w:t>
      </w:r>
      <w:r w:rsidR="00F96520" w:rsidRPr="00F96520">
        <w:rPr>
          <w:lang w:val="es-ES_tradnl"/>
        </w:rPr>
        <w:t>Tanzanía</w:t>
      </w:r>
      <w:r w:rsidR="00476501" w:rsidRPr="00D129D6">
        <w:rPr>
          <w:lang w:val="es-ES_tradnl"/>
        </w:rPr>
        <w:t>, de</w:t>
      </w:r>
      <w:r w:rsidR="00476501" w:rsidRPr="002720D0">
        <w:rPr>
          <w:lang w:val="es-ES_tradnl"/>
        </w:rPr>
        <w:t xml:space="preserve"> 2010; y la Encuesta integrada sobre la fuerza de trabajo, de </w:t>
      </w:r>
      <w:r w:rsidR="00151021" w:rsidRPr="002720D0">
        <w:rPr>
          <w:lang w:val="es-ES_tradnl"/>
        </w:rPr>
        <w:t xml:space="preserve">2006. </w:t>
      </w:r>
    </w:p>
    <w:p w:rsidR="00151021" w:rsidRPr="002720D0" w:rsidRDefault="004F6364" w:rsidP="004F6364">
      <w:pPr>
        <w:pStyle w:val="SingleTxtG"/>
        <w:tabs>
          <w:tab w:val="left" w:pos="-360"/>
        </w:tabs>
        <w:rPr>
          <w:lang w:val="es-ES_tradnl"/>
        </w:rPr>
      </w:pPr>
      <w:r w:rsidRPr="002720D0">
        <w:rPr>
          <w:lang w:val="es-ES_tradnl"/>
        </w:rPr>
        <w:t>26.</w:t>
      </w:r>
      <w:r w:rsidRPr="002720D0">
        <w:rPr>
          <w:lang w:val="es-ES_tradnl"/>
        </w:rPr>
        <w:tab/>
      </w:r>
      <w:r w:rsidR="00291D46" w:rsidRPr="002720D0">
        <w:rPr>
          <w:lang w:val="es-ES_tradnl"/>
        </w:rPr>
        <w:t>Asimismo, el Estado p</w:t>
      </w:r>
      <w:r w:rsidR="00821A46" w:rsidRPr="002720D0">
        <w:rPr>
          <w:lang w:val="es-ES_tradnl"/>
        </w:rPr>
        <w:t xml:space="preserve">arte solicitó asistencia técnica y financiera </w:t>
      </w:r>
      <w:r w:rsidR="00291D46" w:rsidRPr="002720D0">
        <w:rPr>
          <w:lang w:val="es-ES_tradnl"/>
        </w:rPr>
        <w:t xml:space="preserve">tanto </w:t>
      </w:r>
      <w:r w:rsidR="00821A46" w:rsidRPr="002720D0">
        <w:rPr>
          <w:lang w:val="es-ES_tradnl"/>
        </w:rPr>
        <w:t>de organizaciones intergubernamentales e int</w:t>
      </w:r>
      <w:r w:rsidR="008F4B90" w:rsidRPr="002720D0">
        <w:rPr>
          <w:lang w:val="es-ES_tradnl"/>
        </w:rPr>
        <w:t>e</w:t>
      </w:r>
      <w:r w:rsidR="00291D46" w:rsidRPr="002720D0">
        <w:rPr>
          <w:lang w:val="es-ES_tradnl"/>
        </w:rPr>
        <w:t>rnacionales</w:t>
      </w:r>
      <w:r w:rsidR="00821A46" w:rsidRPr="002720D0">
        <w:rPr>
          <w:lang w:val="es-ES_tradnl"/>
        </w:rPr>
        <w:t xml:space="preserve"> como </w:t>
      </w:r>
      <w:r w:rsidR="00291D46" w:rsidRPr="002720D0">
        <w:rPr>
          <w:lang w:val="es-ES_tradnl"/>
        </w:rPr>
        <w:t xml:space="preserve">de </w:t>
      </w:r>
      <w:r w:rsidR="00821A46" w:rsidRPr="002720D0">
        <w:rPr>
          <w:lang w:val="es-ES_tradnl"/>
        </w:rPr>
        <w:t>ONG nacionales, que prestar</w:t>
      </w:r>
      <w:r w:rsidR="00291D46" w:rsidRPr="002720D0">
        <w:rPr>
          <w:lang w:val="es-ES_tradnl"/>
        </w:rPr>
        <w:t xml:space="preserve">on ayuda </w:t>
      </w:r>
      <w:r w:rsidR="0044243E" w:rsidRPr="002720D0">
        <w:rPr>
          <w:lang w:val="es-ES_tradnl"/>
        </w:rPr>
        <w:t xml:space="preserve">durante el período que se examina </w:t>
      </w:r>
      <w:r w:rsidR="00291D46" w:rsidRPr="002720D0">
        <w:rPr>
          <w:lang w:val="es-ES_tradnl"/>
        </w:rPr>
        <w:t>para la</w:t>
      </w:r>
      <w:r w:rsidR="00821A46" w:rsidRPr="002720D0">
        <w:rPr>
          <w:lang w:val="es-ES_tradnl"/>
        </w:rPr>
        <w:t xml:space="preserve"> realización de encuestas sectoriales específicas relativas a los asuntos </w:t>
      </w:r>
      <w:r w:rsidR="00DD15C3" w:rsidRPr="002720D0">
        <w:rPr>
          <w:lang w:val="es-ES_tradnl"/>
        </w:rPr>
        <w:t>que atañen a</w:t>
      </w:r>
      <w:r w:rsidR="00821A46" w:rsidRPr="002720D0">
        <w:rPr>
          <w:lang w:val="es-ES_tradnl"/>
        </w:rPr>
        <w:t xml:space="preserve"> la infancia en el contexto de esos sectores. Por ejemplo,</w:t>
      </w:r>
      <w:r w:rsidR="008F4B90" w:rsidRPr="002720D0">
        <w:rPr>
          <w:lang w:val="es-ES_tradnl"/>
        </w:rPr>
        <w:t xml:space="preserve"> la</w:t>
      </w:r>
      <w:r w:rsidR="001D2A53">
        <w:rPr>
          <w:lang w:val="es-ES_tradnl"/>
        </w:rPr>
        <w:t xml:space="preserve"> </w:t>
      </w:r>
      <w:r w:rsidR="008F4B90" w:rsidRPr="002720D0">
        <w:rPr>
          <w:bCs/>
          <w:lang w:val="es-ES_tradnl"/>
        </w:rPr>
        <w:t>Comisión de Derechos Humanos y Buen Gobierno</w:t>
      </w:r>
      <w:r w:rsidR="008F4B90" w:rsidRPr="002720D0">
        <w:rPr>
          <w:lang w:val="es-ES_tradnl"/>
        </w:rPr>
        <w:t xml:space="preserve"> realizó, con la colaboración de Reforma Penal Internacional, una encuesta sobre los derechos y el bienestar de los reclusos, prestando especial atención a los niños. Esta encuesta, cuyo informe se publicó en julio de 2011, contó con el apoyo económico y técnico del </w:t>
      </w:r>
      <w:r w:rsidR="00151021" w:rsidRPr="002720D0">
        <w:rPr>
          <w:lang w:val="es-ES_tradnl"/>
        </w:rPr>
        <w:t xml:space="preserve">UNICEF. </w:t>
      </w:r>
      <w:r w:rsidR="008F4B90" w:rsidRPr="002720D0">
        <w:rPr>
          <w:lang w:val="es-ES_tradnl"/>
        </w:rPr>
        <w:t xml:space="preserve">El Ministerio de Asuntos Constitucionales y de Justicia, en colaboración con el </w:t>
      </w:r>
      <w:r w:rsidR="00151021" w:rsidRPr="002720D0">
        <w:rPr>
          <w:i/>
          <w:lang w:val="es-ES_tradnl"/>
        </w:rPr>
        <w:t>Coram Children’s Legal Centre</w:t>
      </w:r>
      <w:r w:rsidR="00151021" w:rsidRPr="002720D0">
        <w:rPr>
          <w:lang w:val="es-ES_tradnl"/>
        </w:rPr>
        <w:t xml:space="preserve"> (</w:t>
      </w:r>
      <w:r w:rsidR="008F4B90" w:rsidRPr="002720D0">
        <w:rPr>
          <w:lang w:val="es-ES_tradnl"/>
        </w:rPr>
        <w:t xml:space="preserve">con sede en la Universidad de Essex, Reino Unido) y la </w:t>
      </w:r>
      <w:r w:rsidR="00151021" w:rsidRPr="002720D0">
        <w:rPr>
          <w:i/>
          <w:lang w:val="es-ES_tradnl"/>
        </w:rPr>
        <w:t xml:space="preserve">National Organisation for Legal Assistance </w:t>
      </w:r>
      <w:r w:rsidR="00151021" w:rsidRPr="002720D0">
        <w:rPr>
          <w:lang w:val="es-ES_tradnl"/>
        </w:rPr>
        <w:t>(</w:t>
      </w:r>
      <w:r w:rsidR="007373C2" w:rsidRPr="002720D0">
        <w:rPr>
          <w:lang w:val="es-ES_tradnl"/>
        </w:rPr>
        <w:t>NOLA</w:t>
      </w:r>
      <w:r w:rsidR="00151021" w:rsidRPr="002720D0">
        <w:rPr>
          <w:lang w:val="es-ES_tradnl"/>
        </w:rPr>
        <w:t>)</w:t>
      </w:r>
      <w:r w:rsidR="0044243E" w:rsidRPr="002720D0">
        <w:rPr>
          <w:lang w:val="es-ES_tradnl"/>
        </w:rPr>
        <w:t>,</w:t>
      </w:r>
      <w:r w:rsidR="008F4B90" w:rsidRPr="002720D0">
        <w:rPr>
          <w:lang w:val="es-ES_tradnl"/>
        </w:rPr>
        <w:t xml:space="preserve"> organización local de asistencia jurídica y derechos humanos, </w:t>
      </w:r>
      <w:r w:rsidR="00EF64E0" w:rsidRPr="002720D0">
        <w:rPr>
          <w:lang w:val="es-ES_tradnl"/>
        </w:rPr>
        <w:t xml:space="preserve">llevó a cabo dos encuestas en 2011, a saber: sobre la situación de la justicia </w:t>
      </w:r>
      <w:r w:rsidR="001815B1">
        <w:rPr>
          <w:lang w:val="es-ES_tradnl"/>
        </w:rPr>
        <w:t>de menores</w:t>
      </w:r>
      <w:r w:rsidR="00EF64E0" w:rsidRPr="002720D0">
        <w:rPr>
          <w:lang w:val="es-ES_tradnl"/>
        </w:rPr>
        <w:t xml:space="preserve"> y </w:t>
      </w:r>
      <w:r w:rsidR="0044243E" w:rsidRPr="002720D0">
        <w:rPr>
          <w:lang w:val="es-ES_tradnl"/>
        </w:rPr>
        <w:t xml:space="preserve">sobre </w:t>
      </w:r>
      <w:r w:rsidR="00EF64E0" w:rsidRPr="002720D0">
        <w:rPr>
          <w:lang w:val="es-ES_tradnl"/>
        </w:rPr>
        <w:t>el es</w:t>
      </w:r>
      <w:r w:rsidR="00DD15C3" w:rsidRPr="002720D0">
        <w:rPr>
          <w:lang w:val="es-ES_tradnl"/>
        </w:rPr>
        <w:t>tado de acceso a la justicia para</w:t>
      </w:r>
      <w:r w:rsidR="00EF64E0" w:rsidRPr="002720D0">
        <w:rPr>
          <w:lang w:val="es-ES_tradnl"/>
        </w:rPr>
        <w:t xml:space="preserve"> los menores de 18 años. Estas encuestas también contaron con el apoyo técnico y económico del UNICEF. </w:t>
      </w:r>
    </w:p>
    <w:p w:rsidR="00151021" w:rsidRPr="002720D0" w:rsidRDefault="004F6364" w:rsidP="004F6364">
      <w:pPr>
        <w:pStyle w:val="SingleTxtG"/>
        <w:tabs>
          <w:tab w:val="left" w:pos="-360"/>
        </w:tabs>
        <w:rPr>
          <w:lang w:val="es-ES_tradnl"/>
        </w:rPr>
      </w:pPr>
      <w:r w:rsidRPr="002720D0">
        <w:rPr>
          <w:lang w:val="es-ES_tradnl"/>
        </w:rPr>
        <w:t>27.</w:t>
      </w:r>
      <w:r w:rsidRPr="002720D0">
        <w:rPr>
          <w:lang w:val="es-ES_tradnl"/>
        </w:rPr>
        <w:tab/>
      </w:r>
      <w:r w:rsidR="0044243E" w:rsidRPr="002720D0">
        <w:rPr>
          <w:lang w:val="es-ES_tradnl"/>
        </w:rPr>
        <w:t>El Estado p</w:t>
      </w:r>
      <w:r w:rsidR="00821A46" w:rsidRPr="002720D0">
        <w:rPr>
          <w:lang w:val="es-ES_tradnl"/>
        </w:rPr>
        <w:t xml:space="preserve">arte solicitó </w:t>
      </w:r>
      <w:r w:rsidR="00EF64E0" w:rsidRPr="002720D0">
        <w:rPr>
          <w:lang w:val="es-ES_tradnl"/>
        </w:rPr>
        <w:t xml:space="preserve">asimismo la </w:t>
      </w:r>
      <w:r w:rsidR="00821A46" w:rsidRPr="002720D0">
        <w:rPr>
          <w:lang w:val="es-ES_tradnl"/>
        </w:rPr>
        <w:t>asistencia adicional de ACNUR</w:t>
      </w:r>
      <w:r w:rsidR="0044243E" w:rsidRPr="002720D0">
        <w:rPr>
          <w:lang w:val="es-ES_tradnl"/>
        </w:rPr>
        <w:t>,</w:t>
      </w:r>
      <w:r w:rsidR="00821A46" w:rsidRPr="002720D0">
        <w:rPr>
          <w:lang w:val="es-ES_tradnl"/>
        </w:rPr>
        <w:t xml:space="preserve"> y </w:t>
      </w:r>
      <w:r w:rsidR="00EF64E0" w:rsidRPr="002720D0">
        <w:rPr>
          <w:lang w:val="es-ES_tradnl"/>
        </w:rPr>
        <w:t xml:space="preserve">de </w:t>
      </w:r>
      <w:r w:rsidR="00821A46" w:rsidRPr="002720D0">
        <w:rPr>
          <w:lang w:val="es-ES_tradnl"/>
        </w:rPr>
        <w:t>sus asociados en la implementación</w:t>
      </w:r>
      <w:r w:rsidR="0044243E" w:rsidRPr="002720D0">
        <w:rPr>
          <w:lang w:val="es-ES_tradnl"/>
        </w:rPr>
        <w:t>,</w:t>
      </w:r>
      <w:r w:rsidR="00821A46" w:rsidRPr="002720D0">
        <w:rPr>
          <w:lang w:val="es-ES_tradnl"/>
        </w:rPr>
        <w:t xml:space="preserve"> para velar por que las enc</w:t>
      </w:r>
      <w:r w:rsidR="0044243E" w:rsidRPr="002720D0">
        <w:rPr>
          <w:lang w:val="es-ES_tradnl"/>
        </w:rPr>
        <w:t>uestas realizadas en el Estado p</w:t>
      </w:r>
      <w:r w:rsidR="00821A46" w:rsidRPr="002720D0">
        <w:rPr>
          <w:lang w:val="es-ES_tradnl"/>
        </w:rPr>
        <w:t xml:space="preserve">arte en relación con los niños </w:t>
      </w:r>
      <w:r w:rsidR="008F4B90" w:rsidRPr="002720D0">
        <w:rPr>
          <w:lang w:val="es-ES_tradnl"/>
        </w:rPr>
        <w:t xml:space="preserve">solicitantes de asilo, refugiados o migrantes incluyeran datos desglosados por edad, sexo, medio socioeconómico y zona geográfica de origen. </w:t>
      </w:r>
    </w:p>
    <w:p w:rsidR="00151021" w:rsidRPr="002720D0" w:rsidRDefault="00A41D68" w:rsidP="00586395">
      <w:pPr>
        <w:pStyle w:val="H1G"/>
        <w:outlineLvl w:val="0"/>
        <w:rPr>
          <w:lang w:val="es-ES_tradnl"/>
        </w:rPr>
      </w:pPr>
      <w:bookmarkStart w:id="10" w:name="_Toc313470846"/>
      <w:r w:rsidRPr="002720D0">
        <w:rPr>
          <w:lang w:val="es-ES_tradnl"/>
        </w:rPr>
        <w:tab/>
      </w:r>
      <w:r w:rsidR="00151021" w:rsidRPr="002720D0">
        <w:rPr>
          <w:lang w:val="es-ES_tradnl"/>
        </w:rPr>
        <w:t>1.8</w:t>
      </w:r>
      <w:r w:rsidRPr="002720D0">
        <w:rPr>
          <w:lang w:val="es-ES_tradnl"/>
        </w:rPr>
        <w:tab/>
      </w:r>
      <w:r w:rsidR="00D6615E" w:rsidRPr="002720D0">
        <w:rPr>
          <w:lang w:val="es-ES_tradnl"/>
        </w:rPr>
        <w:t>Difusión, capacitación y sensibilización</w:t>
      </w:r>
      <w:bookmarkEnd w:id="10"/>
    </w:p>
    <w:p w:rsidR="00151021" w:rsidRPr="002720D0" w:rsidRDefault="004F6364" w:rsidP="004F6364">
      <w:pPr>
        <w:pStyle w:val="SingleTxtG"/>
        <w:tabs>
          <w:tab w:val="left" w:pos="-360"/>
        </w:tabs>
        <w:rPr>
          <w:lang w:val="es-ES_tradnl"/>
        </w:rPr>
      </w:pPr>
      <w:r w:rsidRPr="002720D0">
        <w:rPr>
          <w:lang w:val="es-ES_tradnl"/>
        </w:rPr>
        <w:t>28.</w:t>
      </w:r>
      <w:r w:rsidRPr="002720D0">
        <w:rPr>
          <w:lang w:val="es-ES_tradnl"/>
        </w:rPr>
        <w:tab/>
      </w:r>
      <w:r w:rsidR="00D6615E" w:rsidRPr="002720D0">
        <w:rPr>
          <w:bCs/>
          <w:lang w:val="es-ES_tradnl"/>
        </w:rPr>
        <w:t xml:space="preserve">El </w:t>
      </w:r>
      <w:r w:rsidR="0044243E" w:rsidRPr="002720D0">
        <w:rPr>
          <w:bCs/>
          <w:lang w:val="es-ES_tradnl"/>
        </w:rPr>
        <w:t>Comité recomendó que el Estado p</w:t>
      </w:r>
      <w:r w:rsidR="00D6615E" w:rsidRPr="002720D0">
        <w:rPr>
          <w:bCs/>
          <w:lang w:val="es-ES_tradnl"/>
        </w:rPr>
        <w:t xml:space="preserve">arte redoblase sus esfuerzos para difundir las disposiciones de la Convención </w:t>
      </w:r>
      <w:r w:rsidR="0044243E" w:rsidRPr="002720D0">
        <w:rPr>
          <w:bCs/>
          <w:lang w:val="es-ES_tradnl"/>
        </w:rPr>
        <w:t xml:space="preserve">y de sus Protocolos facultativos, </w:t>
      </w:r>
      <w:r w:rsidR="00D6615E" w:rsidRPr="002720D0">
        <w:rPr>
          <w:bCs/>
          <w:lang w:val="es-ES_tradnl"/>
        </w:rPr>
        <w:t>y para que las entendieran grandes y chicos.</w:t>
      </w:r>
      <w:r w:rsidR="001D2A53">
        <w:rPr>
          <w:bCs/>
          <w:lang w:val="es-ES_tradnl"/>
        </w:rPr>
        <w:t xml:space="preserve"> </w:t>
      </w:r>
      <w:r w:rsidR="00D6615E" w:rsidRPr="002720D0">
        <w:rPr>
          <w:bCs/>
          <w:lang w:val="es-ES_tradnl"/>
        </w:rPr>
        <w:t xml:space="preserve">También le recomendó que produjera y divulgara versiones para niños de los documentos, planes y políticas más importantes que los afectan. </w:t>
      </w:r>
      <w:r w:rsidR="0044243E" w:rsidRPr="002720D0">
        <w:rPr>
          <w:bCs/>
          <w:lang w:val="es-ES_tradnl"/>
        </w:rPr>
        <w:t>R</w:t>
      </w:r>
      <w:r w:rsidR="00D6615E" w:rsidRPr="002720D0">
        <w:rPr>
          <w:bCs/>
          <w:lang w:val="es-ES_tradnl"/>
        </w:rPr>
        <w:t xml:space="preserve">ecomendó </w:t>
      </w:r>
      <w:r w:rsidR="0044243E" w:rsidRPr="002720D0">
        <w:rPr>
          <w:bCs/>
          <w:lang w:val="es-ES_tradnl"/>
        </w:rPr>
        <w:t xml:space="preserve">asimismo </w:t>
      </w:r>
      <w:r w:rsidR="00D6615E" w:rsidRPr="002720D0">
        <w:rPr>
          <w:bCs/>
          <w:lang w:val="es-ES_tradnl"/>
        </w:rPr>
        <w:t>que se reforzara la capacitación adecuada y sistemática de todos los grupos profesionales que trabajan para los niños y con ellos, en particular, los agentes del orden; los maestros, incluso los de las zonas rurales y remotas; los profesionales de la salud; los trabajadores sociales y el personal de las instituciones de atención al niño.</w:t>
      </w:r>
    </w:p>
    <w:p w:rsidR="00151021" w:rsidRPr="002720D0" w:rsidRDefault="004F6364" w:rsidP="004F6364">
      <w:pPr>
        <w:pStyle w:val="SingleTxtG"/>
        <w:tabs>
          <w:tab w:val="left" w:pos="-360"/>
        </w:tabs>
        <w:rPr>
          <w:lang w:val="es-ES_tradnl"/>
        </w:rPr>
      </w:pPr>
      <w:r w:rsidRPr="002720D0">
        <w:rPr>
          <w:lang w:val="es-ES_tradnl"/>
        </w:rPr>
        <w:t>29.</w:t>
      </w:r>
      <w:r w:rsidRPr="002720D0">
        <w:rPr>
          <w:lang w:val="es-ES_tradnl"/>
        </w:rPr>
        <w:tab/>
      </w:r>
      <w:r w:rsidR="00A65E59" w:rsidRPr="002720D0">
        <w:rPr>
          <w:lang w:val="es-ES_tradnl"/>
        </w:rPr>
        <w:t>Al plasmar en hechos es</w:t>
      </w:r>
      <w:r w:rsidR="00152221" w:rsidRPr="002720D0">
        <w:rPr>
          <w:lang w:val="es-ES_tradnl"/>
        </w:rPr>
        <w:t>tas recomendaciones, el Estado p</w:t>
      </w:r>
      <w:r w:rsidR="00A65E59" w:rsidRPr="002720D0">
        <w:rPr>
          <w:lang w:val="es-ES_tradnl"/>
        </w:rPr>
        <w:t>arte ha emprendido diversas medidas para asegurar la difusión de la Convención y sus Protocolos entre sus ciudadanos, en particular los niños. Así, en Tanzanía continental se han llevado a cabo varias actividades de capacitación, sensibilización y difusión en beneficio de periodistas seleccionados (</w:t>
      </w:r>
      <w:r w:rsidR="00CD2BFE" w:rsidRPr="002720D0">
        <w:rPr>
          <w:lang w:val="es-ES_tradnl"/>
        </w:rPr>
        <w:t>redactores de noticias y presentadores de programas radiofónicos y televisivos). Además, durante el período que se examina 400 formadores de formadores han recibido capacitación relativa a los derechos del niño</w:t>
      </w:r>
      <w:r w:rsidR="00152221" w:rsidRPr="002720D0">
        <w:rPr>
          <w:lang w:val="es-ES_tradnl"/>
        </w:rPr>
        <w:t>,</w:t>
      </w:r>
      <w:r w:rsidR="00CD2BFE" w:rsidRPr="002720D0">
        <w:rPr>
          <w:lang w:val="es-ES_tradnl"/>
        </w:rPr>
        <w:t xml:space="preserve"> así como a la Convención y sus Protocolos</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30.</w:t>
      </w:r>
      <w:r w:rsidRPr="002720D0">
        <w:rPr>
          <w:lang w:val="es-ES_tradnl"/>
        </w:rPr>
        <w:tab/>
      </w:r>
      <w:r w:rsidR="00CD2BFE" w:rsidRPr="002720D0">
        <w:rPr>
          <w:lang w:val="es-ES_tradnl"/>
        </w:rPr>
        <w:t>En Zanzí</w:t>
      </w:r>
      <w:r w:rsidR="00151021" w:rsidRPr="002720D0">
        <w:rPr>
          <w:lang w:val="es-ES_tradnl"/>
        </w:rPr>
        <w:t xml:space="preserve">bar </w:t>
      </w:r>
      <w:r w:rsidR="008A66BA" w:rsidRPr="002720D0">
        <w:rPr>
          <w:lang w:val="es-ES_tradnl"/>
        </w:rPr>
        <w:t>el Estado p</w:t>
      </w:r>
      <w:r w:rsidR="004D0FB8" w:rsidRPr="002720D0">
        <w:rPr>
          <w:lang w:val="es-ES_tradnl"/>
        </w:rPr>
        <w:t xml:space="preserve">arte, por conducto del Ministerio de Bienestar Social y de Desarrollo de la Juventud, la Mujer y el Niño, ha elaborado una versión popular de un manual sobre los derechos del niño, basado en la Convención y sus Protocolos facultativos. Este manual se ha difundido entre diversas partes interesadas que trabajan en el interés superior de los niños, comprendidas las organizaciones de la sociedad civil que trabajan con la infancia, entre ellas la </w:t>
      </w:r>
      <w:r w:rsidR="00151021" w:rsidRPr="002720D0">
        <w:rPr>
          <w:i/>
          <w:lang w:val="es-ES_tradnl"/>
        </w:rPr>
        <w:t>Zanzibar Association for Children Advancement (ZACA)</w:t>
      </w:r>
      <w:r w:rsidR="004D0FB8" w:rsidRPr="002720D0">
        <w:rPr>
          <w:lang w:val="es-ES_tradnl"/>
        </w:rPr>
        <w:t xml:space="preserve"> (</w:t>
      </w:r>
      <w:r w:rsidR="001C7E1C">
        <w:rPr>
          <w:lang w:val="es-ES_tradnl"/>
        </w:rPr>
        <w:t>"</w:t>
      </w:r>
      <w:r w:rsidR="004D0FB8" w:rsidRPr="002720D0">
        <w:rPr>
          <w:lang w:val="es-ES_tradnl"/>
        </w:rPr>
        <w:t>Asociación de Zanzíbar para el Adelanto de los Niños</w:t>
      </w:r>
      <w:r w:rsidR="001C7E1C">
        <w:rPr>
          <w:lang w:val="es-ES_tradnl"/>
        </w:rPr>
        <w:t>"</w:t>
      </w:r>
      <w:r w:rsidR="004D0FB8" w:rsidRPr="002720D0">
        <w:rPr>
          <w:lang w:val="es-ES_tradnl"/>
        </w:rPr>
        <w:t>)</w:t>
      </w:r>
      <w:r w:rsidR="00151021" w:rsidRPr="002720D0">
        <w:rPr>
          <w:lang w:val="es-ES_tradnl"/>
        </w:rPr>
        <w:t xml:space="preserve">, </w:t>
      </w:r>
      <w:r w:rsidR="00151021" w:rsidRPr="002720D0">
        <w:rPr>
          <w:i/>
          <w:lang w:val="es-ES_tradnl"/>
        </w:rPr>
        <w:t>Zanzibar Female Lawyers Association (ZAFELA)</w:t>
      </w:r>
      <w:r w:rsidR="004D0FB8" w:rsidRPr="002720D0">
        <w:rPr>
          <w:i/>
          <w:lang w:val="es-ES_tradnl"/>
        </w:rPr>
        <w:t xml:space="preserve"> </w:t>
      </w:r>
      <w:r w:rsidR="004D0FB8" w:rsidRPr="002720D0">
        <w:rPr>
          <w:lang w:val="es-ES_tradnl"/>
        </w:rPr>
        <w:t>(</w:t>
      </w:r>
      <w:r w:rsidR="001C7E1C">
        <w:rPr>
          <w:lang w:val="es-ES_tradnl"/>
        </w:rPr>
        <w:t>"</w:t>
      </w:r>
      <w:r w:rsidR="004D0FB8" w:rsidRPr="002720D0">
        <w:rPr>
          <w:lang w:val="es-ES_tradnl"/>
        </w:rPr>
        <w:t>Asociación de Abogadas de Zanzíbar</w:t>
      </w:r>
      <w:r w:rsidR="001C7E1C">
        <w:rPr>
          <w:lang w:val="es-ES_tradnl"/>
        </w:rPr>
        <w:t>"</w:t>
      </w:r>
      <w:r w:rsidR="004D0FB8" w:rsidRPr="002720D0">
        <w:rPr>
          <w:lang w:val="es-ES_tradnl"/>
        </w:rPr>
        <w:t>)</w:t>
      </w:r>
      <w:r w:rsidR="00151021" w:rsidRPr="002720D0">
        <w:rPr>
          <w:i/>
          <w:lang w:val="es-ES_tradnl"/>
        </w:rPr>
        <w:t>, Zanzibar Association of People with HIV/A</w:t>
      </w:r>
      <w:r w:rsidR="00E07A7E" w:rsidRPr="002720D0">
        <w:rPr>
          <w:i/>
          <w:lang w:val="es-ES_tradnl"/>
        </w:rPr>
        <w:t>IDS</w:t>
      </w:r>
      <w:r w:rsidR="00151021" w:rsidRPr="002720D0">
        <w:rPr>
          <w:i/>
          <w:lang w:val="es-ES_tradnl"/>
        </w:rPr>
        <w:t>+ (ZAPHA+)</w:t>
      </w:r>
      <w:r w:rsidR="00151021" w:rsidRPr="002720D0">
        <w:rPr>
          <w:lang w:val="es-ES_tradnl"/>
        </w:rPr>
        <w:t xml:space="preserve"> </w:t>
      </w:r>
      <w:r w:rsidR="004D0FB8" w:rsidRPr="002720D0">
        <w:rPr>
          <w:lang w:val="es-ES_tradnl"/>
        </w:rPr>
        <w:t>(</w:t>
      </w:r>
      <w:r w:rsidR="001C7E1C">
        <w:rPr>
          <w:lang w:val="es-ES_tradnl"/>
        </w:rPr>
        <w:t>"</w:t>
      </w:r>
      <w:r w:rsidR="004D0FB8" w:rsidRPr="002720D0">
        <w:rPr>
          <w:lang w:val="es-ES_tradnl"/>
        </w:rPr>
        <w:t>Asociación de Personas de Zanzíbar con VIH/SIDA</w:t>
      </w:r>
      <w:r w:rsidR="001C7E1C">
        <w:rPr>
          <w:lang w:val="es-ES_tradnl"/>
        </w:rPr>
        <w:t>"</w:t>
      </w:r>
      <w:r w:rsidR="004D0FB8" w:rsidRPr="002720D0">
        <w:rPr>
          <w:lang w:val="es-ES_tradnl"/>
        </w:rPr>
        <w:t xml:space="preserve">) y </w:t>
      </w:r>
      <w:r w:rsidR="00151021" w:rsidRPr="002720D0">
        <w:rPr>
          <w:i/>
          <w:lang w:val="es-ES_tradnl"/>
        </w:rPr>
        <w:t>Zanzibar Network for Children Rights (ZANECRI)</w:t>
      </w:r>
      <w:r w:rsidR="004D0FB8" w:rsidRPr="002720D0">
        <w:rPr>
          <w:i/>
          <w:lang w:val="es-ES_tradnl"/>
        </w:rPr>
        <w:t xml:space="preserve"> </w:t>
      </w:r>
      <w:r w:rsidR="004D0FB8" w:rsidRPr="002720D0">
        <w:rPr>
          <w:lang w:val="es-ES_tradnl"/>
        </w:rPr>
        <w:t>(</w:t>
      </w:r>
      <w:r w:rsidR="001C7E1C">
        <w:rPr>
          <w:lang w:val="es-ES_tradnl"/>
        </w:rPr>
        <w:t>"</w:t>
      </w:r>
      <w:r w:rsidR="004D0FB8" w:rsidRPr="002720D0">
        <w:rPr>
          <w:lang w:val="es-ES_tradnl"/>
        </w:rPr>
        <w:t>Red de Zanzíbar para los Derechos del Niño</w:t>
      </w:r>
      <w:r w:rsidR="001C7E1C">
        <w:rPr>
          <w:lang w:val="es-ES_tradnl"/>
        </w:rPr>
        <w:t>"</w:t>
      </w:r>
      <w:r w:rsidR="008A66BA" w:rsidRPr="002720D0">
        <w:rPr>
          <w:lang w:val="es-ES_tradnl"/>
        </w:rPr>
        <w:t>).</w:t>
      </w:r>
      <w:r w:rsidR="00151021" w:rsidRPr="002720D0">
        <w:rPr>
          <w:lang w:val="es-ES_tradnl"/>
        </w:rPr>
        <w:t xml:space="preserve"> </w:t>
      </w:r>
      <w:r w:rsidR="0044243E" w:rsidRPr="002720D0">
        <w:rPr>
          <w:lang w:val="es-ES_tradnl"/>
        </w:rPr>
        <w:t>Asimismo,</w:t>
      </w:r>
      <w:r w:rsidR="004D0FB8" w:rsidRPr="002720D0">
        <w:rPr>
          <w:lang w:val="es-ES_tradnl"/>
        </w:rPr>
        <w:t xml:space="preserve"> se ha impartido formación relativa a la Convención y sus Protocolos a los consejos infantiles</w:t>
      </w:r>
      <w:r w:rsidR="008A66BA" w:rsidRPr="002720D0">
        <w:rPr>
          <w:lang w:val="es-ES_tradnl"/>
        </w:rPr>
        <w:t xml:space="preserve"> en Zanzíbar</w:t>
      </w:r>
      <w:r w:rsidR="006B678C" w:rsidRPr="002720D0">
        <w:rPr>
          <w:lang w:val="es-ES_tradnl"/>
        </w:rPr>
        <w:t>, llegando</w:t>
      </w:r>
      <w:r w:rsidR="004D0FB8" w:rsidRPr="002720D0">
        <w:rPr>
          <w:lang w:val="es-ES_tradnl"/>
        </w:rPr>
        <w:t xml:space="preserve"> a aproximadamente 100 niños en las islas de Unguja y Pemba. </w:t>
      </w:r>
      <w:r w:rsidR="0044243E" w:rsidRPr="002720D0">
        <w:rPr>
          <w:lang w:val="es-ES_tradnl"/>
        </w:rPr>
        <w:t>También</w:t>
      </w:r>
      <w:r w:rsidR="006B678C" w:rsidRPr="002720D0">
        <w:rPr>
          <w:lang w:val="es-ES_tradnl"/>
        </w:rPr>
        <w:t xml:space="preserve"> </w:t>
      </w:r>
      <w:r w:rsidR="004D0FB8" w:rsidRPr="002720D0">
        <w:rPr>
          <w:lang w:val="es-ES_tradnl"/>
        </w:rPr>
        <w:t xml:space="preserve">se impartió formación en paralelo a </w:t>
      </w:r>
      <w:r w:rsidR="006B678C" w:rsidRPr="002720D0">
        <w:rPr>
          <w:lang w:val="es-ES_tradnl"/>
        </w:rPr>
        <w:t>las juntas asesoras para asuntos de la infancia y a los funcionarios responsables de asuntos de la mujer y la infancia en el ámbito del distrito en Zanzí</w:t>
      </w:r>
      <w:r w:rsidR="00151021" w:rsidRPr="002720D0">
        <w:rPr>
          <w:lang w:val="es-ES_tradnl"/>
        </w:rPr>
        <w:t xml:space="preserve">bar. </w:t>
      </w:r>
    </w:p>
    <w:p w:rsidR="00151021" w:rsidRPr="002720D0" w:rsidRDefault="00A41D68" w:rsidP="00586395">
      <w:pPr>
        <w:pStyle w:val="H1G"/>
        <w:outlineLvl w:val="0"/>
        <w:rPr>
          <w:lang w:val="es-ES_tradnl"/>
        </w:rPr>
      </w:pPr>
      <w:bookmarkStart w:id="11" w:name="_Toc313470847"/>
      <w:r w:rsidRPr="002720D0">
        <w:rPr>
          <w:lang w:val="es-ES_tradnl"/>
        </w:rPr>
        <w:tab/>
      </w:r>
      <w:r w:rsidR="00151021" w:rsidRPr="002720D0">
        <w:rPr>
          <w:lang w:val="es-ES_tradnl"/>
        </w:rPr>
        <w:t>1.9</w:t>
      </w:r>
      <w:r w:rsidRPr="002720D0">
        <w:rPr>
          <w:lang w:val="es-ES_tradnl"/>
        </w:rPr>
        <w:tab/>
      </w:r>
      <w:r w:rsidR="00151021" w:rsidRPr="002720D0">
        <w:rPr>
          <w:lang w:val="es-ES_tradnl"/>
        </w:rPr>
        <w:t>Coopera</w:t>
      </w:r>
      <w:r w:rsidR="006B678C" w:rsidRPr="002720D0">
        <w:rPr>
          <w:lang w:val="es-ES_tradnl"/>
        </w:rPr>
        <w:t xml:space="preserve">ción con la sociedad </w:t>
      </w:r>
      <w:r w:rsidR="00E65583" w:rsidRPr="002720D0">
        <w:rPr>
          <w:lang w:val="es-ES_tradnl"/>
        </w:rPr>
        <w:t>c</w:t>
      </w:r>
      <w:r w:rsidR="00151021" w:rsidRPr="002720D0">
        <w:rPr>
          <w:lang w:val="es-ES_tradnl"/>
        </w:rPr>
        <w:t>ivil</w:t>
      </w:r>
      <w:bookmarkEnd w:id="11"/>
    </w:p>
    <w:p w:rsidR="00151021" w:rsidRPr="002720D0" w:rsidRDefault="004F6364" w:rsidP="004F6364">
      <w:pPr>
        <w:pStyle w:val="SingleTxtG"/>
        <w:tabs>
          <w:tab w:val="left" w:pos="-360"/>
        </w:tabs>
        <w:rPr>
          <w:lang w:val="es-ES_tradnl"/>
        </w:rPr>
      </w:pPr>
      <w:r w:rsidRPr="002720D0">
        <w:rPr>
          <w:lang w:val="es-ES_tradnl"/>
        </w:rPr>
        <w:t>31.</w:t>
      </w:r>
      <w:r w:rsidRPr="002720D0">
        <w:rPr>
          <w:lang w:val="es-ES_tradnl"/>
        </w:rPr>
        <w:tab/>
      </w:r>
      <w:r w:rsidR="0044243E" w:rsidRPr="002720D0">
        <w:rPr>
          <w:lang w:val="es-ES_tradnl"/>
        </w:rPr>
        <w:t>En sus O</w:t>
      </w:r>
      <w:r w:rsidR="006B678C" w:rsidRPr="002720D0">
        <w:rPr>
          <w:lang w:val="es-ES_tradnl"/>
        </w:rPr>
        <w:t xml:space="preserve">bservaciones finales previas, el Comité </w:t>
      </w:r>
      <w:r w:rsidR="0044243E" w:rsidRPr="002720D0">
        <w:rPr>
          <w:bCs/>
          <w:lang w:val="es-ES_tradnl"/>
        </w:rPr>
        <w:t>animó al Estado p</w:t>
      </w:r>
      <w:r w:rsidR="006B678C" w:rsidRPr="002720D0">
        <w:rPr>
          <w:bCs/>
          <w:lang w:val="es-ES_tradnl"/>
        </w:rPr>
        <w:t xml:space="preserve">arte a cooperar más con las ONG y otros sectores de la sociedad civil que trabajan con los niños y en beneficio de ellos de una forma más sistemática y coherente en todas las etapas de la aplicación de la Convención y sus Protocolos. </w:t>
      </w:r>
    </w:p>
    <w:p w:rsidR="00151021" w:rsidRPr="002720D0" w:rsidRDefault="004F6364" w:rsidP="004F6364">
      <w:pPr>
        <w:pStyle w:val="SingleTxtG"/>
        <w:tabs>
          <w:tab w:val="left" w:pos="-360"/>
        </w:tabs>
        <w:rPr>
          <w:lang w:val="es-ES_tradnl"/>
        </w:rPr>
      </w:pPr>
      <w:r w:rsidRPr="002720D0">
        <w:rPr>
          <w:lang w:val="es-ES_tradnl"/>
        </w:rPr>
        <w:t>32.</w:t>
      </w:r>
      <w:r w:rsidRPr="002720D0">
        <w:rPr>
          <w:lang w:val="es-ES_tradnl"/>
        </w:rPr>
        <w:tab/>
      </w:r>
      <w:r w:rsidR="006B678C" w:rsidRPr="002720D0">
        <w:rPr>
          <w:lang w:val="es-ES_tradnl"/>
        </w:rPr>
        <w:t>En cumplimiento de la ant</w:t>
      </w:r>
      <w:r w:rsidR="00724C7A" w:rsidRPr="002720D0">
        <w:rPr>
          <w:lang w:val="es-ES_tradnl"/>
        </w:rPr>
        <w:t>erior recomendación, el Estado p</w:t>
      </w:r>
      <w:r w:rsidR="006B678C" w:rsidRPr="002720D0">
        <w:rPr>
          <w:lang w:val="es-ES_tradnl"/>
        </w:rPr>
        <w:t xml:space="preserve">arte ha consolidado su cooperación con las ONG </w:t>
      </w:r>
      <w:r w:rsidR="00153CC5" w:rsidRPr="002720D0">
        <w:rPr>
          <w:lang w:val="es-ES_tradnl"/>
        </w:rPr>
        <w:t>y las organizaciones de base comunitaria en muchos programas relativos tanto a la infancia como al desarrollo nacional en su conjunto. Uno de los indicadores para esta cooper</w:t>
      </w:r>
      <w:r w:rsidR="00724C7A" w:rsidRPr="002720D0">
        <w:rPr>
          <w:lang w:val="es-ES_tradnl"/>
        </w:rPr>
        <w:t>ación renovada entre el Estado p</w:t>
      </w:r>
      <w:r w:rsidR="00153CC5" w:rsidRPr="002720D0">
        <w:rPr>
          <w:lang w:val="es-ES_tradnl"/>
        </w:rPr>
        <w:t>arte y las organizaciones de la sociedad civil es la reducción de las restricciones relativas a la inscripción de las ONG, en virtud de la cual a finales de 2010 e</w:t>
      </w:r>
      <w:r w:rsidR="00724C7A" w:rsidRPr="002720D0">
        <w:rPr>
          <w:lang w:val="es-ES_tradnl"/>
        </w:rPr>
        <w:t xml:space="preserve">xistían 3.923 ONG, 3.198 de ellas inscritas con arreglo a </w:t>
      </w:r>
      <w:r w:rsidR="00153CC5" w:rsidRPr="002720D0">
        <w:rPr>
          <w:lang w:val="es-ES_tradnl"/>
        </w:rPr>
        <w:t>los mecanismos vigentes para la i</w:t>
      </w:r>
      <w:r w:rsidR="00724C7A" w:rsidRPr="002720D0">
        <w:rPr>
          <w:lang w:val="es-ES_tradnl"/>
        </w:rPr>
        <w:t>nscripción de ONG en el Estado p</w:t>
      </w:r>
      <w:r w:rsidR="00153CC5" w:rsidRPr="002720D0">
        <w:rPr>
          <w:lang w:val="es-ES_tradnl"/>
        </w:rPr>
        <w:t>arte. Durante el período q</w:t>
      </w:r>
      <w:r w:rsidR="00724C7A" w:rsidRPr="002720D0">
        <w:rPr>
          <w:lang w:val="es-ES_tradnl"/>
        </w:rPr>
        <w:t>ue se examina, el Estado p</w:t>
      </w:r>
      <w:r w:rsidR="00153CC5" w:rsidRPr="002720D0">
        <w:rPr>
          <w:lang w:val="es-ES_tradnl"/>
        </w:rPr>
        <w:t>arte no dio de baja a ninguna ONG. También trabajó en estrecha colaboración con los medios d</w:t>
      </w:r>
      <w:r w:rsidR="00724C7A" w:rsidRPr="002720D0">
        <w:rPr>
          <w:lang w:val="es-ES_tradnl"/>
        </w:rPr>
        <w:t xml:space="preserve">e comunicación </w:t>
      </w:r>
      <w:r w:rsidR="00153CC5" w:rsidRPr="002720D0">
        <w:rPr>
          <w:lang w:val="es-ES_tradnl"/>
        </w:rPr>
        <w:t>para fomentar el conocimiento de la Convención y sus Protocolos optativos, entre otras cosas mediante la creación de un conjunto de niños y jóv</w:t>
      </w:r>
      <w:r w:rsidR="00724C7A" w:rsidRPr="002720D0">
        <w:rPr>
          <w:lang w:val="es-ES_tradnl"/>
        </w:rPr>
        <w:t>enes periodistas que informan sobre</w:t>
      </w:r>
      <w:r w:rsidR="00153CC5" w:rsidRPr="002720D0">
        <w:rPr>
          <w:lang w:val="es-ES_tradnl"/>
        </w:rPr>
        <w:t xml:space="preserve"> asuntos </w:t>
      </w:r>
      <w:r w:rsidR="008A66BA" w:rsidRPr="002720D0">
        <w:rPr>
          <w:lang w:val="es-ES_tradnl"/>
        </w:rPr>
        <w:t>que atañen de forma específica a la infancia</w:t>
      </w:r>
      <w:r w:rsidR="00153CC5" w:rsidRPr="002720D0">
        <w:rPr>
          <w:lang w:val="es-ES_tradnl"/>
        </w:rPr>
        <w:t>.</w:t>
      </w:r>
      <w:r w:rsidR="003D2ED2"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33.</w:t>
      </w:r>
      <w:r w:rsidRPr="002720D0">
        <w:rPr>
          <w:lang w:val="es-ES_tradnl"/>
        </w:rPr>
        <w:tab/>
      </w:r>
      <w:r w:rsidR="00153CC5" w:rsidRPr="002720D0">
        <w:rPr>
          <w:lang w:val="es-ES_tradnl"/>
        </w:rPr>
        <w:t xml:space="preserve">Asimismo, las ONG y las organizaciones </w:t>
      </w:r>
      <w:r w:rsidR="009E67CD" w:rsidRPr="002720D0">
        <w:rPr>
          <w:lang w:val="es-ES_tradnl"/>
        </w:rPr>
        <w:t>de base comunitaria del Estado p</w:t>
      </w:r>
      <w:r w:rsidR="00153CC5" w:rsidRPr="002720D0">
        <w:rPr>
          <w:lang w:val="es-ES_tradnl"/>
        </w:rPr>
        <w:t xml:space="preserve">arte han participado de </w:t>
      </w:r>
      <w:r w:rsidR="00BA6985" w:rsidRPr="002720D0">
        <w:rPr>
          <w:lang w:val="es-ES_tradnl"/>
        </w:rPr>
        <w:t>manera</w:t>
      </w:r>
      <w:r w:rsidR="00153CC5" w:rsidRPr="002720D0">
        <w:rPr>
          <w:lang w:val="es-ES_tradnl"/>
        </w:rPr>
        <w:t xml:space="preserve"> efectiva en la preparación de informes </w:t>
      </w:r>
      <w:r w:rsidR="008835D4" w:rsidRPr="002720D0">
        <w:rPr>
          <w:lang w:val="es-ES_tradnl"/>
        </w:rPr>
        <w:t>del país, comprend</w:t>
      </w:r>
      <w:r w:rsidR="00BA6985" w:rsidRPr="002720D0">
        <w:rPr>
          <w:lang w:val="es-ES_tradnl"/>
        </w:rPr>
        <w:t>idos los presentes; también</w:t>
      </w:r>
      <w:r w:rsidR="008835D4" w:rsidRPr="002720D0">
        <w:rPr>
          <w:lang w:val="es-ES_tradnl"/>
        </w:rPr>
        <w:t xml:space="preserve"> realizaron un papel muy constructivo y fundamental durante el proceso de redacción y promulgación de la Ley de la </w:t>
      </w:r>
      <w:r w:rsidR="00E44E59" w:rsidRPr="002720D0">
        <w:rPr>
          <w:lang w:val="es-ES_tradnl"/>
        </w:rPr>
        <w:t xml:space="preserve">Infancia </w:t>
      </w:r>
      <w:r w:rsidR="008835D4" w:rsidRPr="002720D0">
        <w:rPr>
          <w:lang w:val="es-ES_tradnl"/>
        </w:rPr>
        <w:t xml:space="preserve">en 2009, así como de la Ley del </w:t>
      </w:r>
      <w:r w:rsidR="00E44E59" w:rsidRPr="002720D0">
        <w:rPr>
          <w:lang w:val="es-ES_tradnl"/>
        </w:rPr>
        <w:t xml:space="preserve">Niño </w:t>
      </w:r>
      <w:r w:rsidR="008835D4" w:rsidRPr="002720D0">
        <w:rPr>
          <w:lang w:val="es-ES_tradnl"/>
        </w:rPr>
        <w:t xml:space="preserve">de </w:t>
      </w:r>
      <w:r w:rsidR="004E5B2C" w:rsidRPr="002720D0">
        <w:rPr>
          <w:lang w:val="es-ES_tradnl"/>
        </w:rPr>
        <w:t>Zanzíbar</w:t>
      </w:r>
      <w:r w:rsidR="008835D4" w:rsidRPr="002720D0">
        <w:rPr>
          <w:lang w:val="es-ES_tradnl"/>
        </w:rPr>
        <w:t xml:space="preserve"> en 2011, puesto que sus opiniones se recogieron en la le</w:t>
      </w:r>
      <w:r w:rsidR="00CB5555" w:rsidRPr="002720D0">
        <w:rPr>
          <w:lang w:val="es-ES_tradnl"/>
        </w:rPr>
        <w:t>gislación tras realizarse</w:t>
      </w:r>
      <w:r w:rsidR="008835D4" w:rsidRPr="002720D0">
        <w:rPr>
          <w:lang w:val="es-ES_tradnl"/>
        </w:rPr>
        <w:t xml:space="preserve"> extensas consultas. </w:t>
      </w:r>
    </w:p>
    <w:p w:rsidR="00151021" w:rsidRPr="002720D0" w:rsidRDefault="004F6364" w:rsidP="004F6364">
      <w:pPr>
        <w:pStyle w:val="SingleTxtG"/>
        <w:tabs>
          <w:tab w:val="left" w:pos="-360"/>
        </w:tabs>
        <w:rPr>
          <w:lang w:val="es-ES_tradnl"/>
        </w:rPr>
      </w:pPr>
      <w:r w:rsidRPr="002720D0">
        <w:rPr>
          <w:lang w:val="es-ES_tradnl"/>
        </w:rPr>
        <w:t>34.</w:t>
      </w:r>
      <w:r w:rsidRPr="002720D0">
        <w:rPr>
          <w:lang w:val="es-ES_tradnl"/>
        </w:rPr>
        <w:tab/>
      </w:r>
      <w:r w:rsidR="008835D4" w:rsidRPr="002720D0">
        <w:rPr>
          <w:lang w:val="es-ES_tradnl"/>
        </w:rPr>
        <w:t>Adem</w:t>
      </w:r>
      <w:r w:rsidR="00CB5555" w:rsidRPr="002720D0">
        <w:rPr>
          <w:lang w:val="es-ES_tradnl"/>
        </w:rPr>
        <w:t>ás, las ONG, las organizaciones confesionales y las organizaciones de base comunitaria</w:t>
      </w:r>
      <w:r w:rsidR="00151021" w:rsidRPr="002720D0">
        <w:rPr>
          <w:rStyle w:val="FootnoteReference"/>
          <w:lang w:val="es-ES_tradnl"/>
        </w:rPr>
        <w:footnoteReference w:id="19"/>
      </w:r>
      <w:r w:rsidR="00151021" w:rsidRPr="002720D0">
        <w:rPr>
          <w:lang w:val="es-ES_tradnl"/>
        </w:rPr>
        <w:t xml:space="preserve"> ha</w:t>
      </w:r>
      <w:r w:rsidR="00CB5555" w:rsidRPr="002720D0">
        <w:rPr>
          <w:lang w:val="es-ES_tradnl"/>
        </w:rPr>
        <w:t>n prestado asesoramiento abiertament</w:t>
      </w:r>
      <w:r w:rsidR="00BA6985" w:rsidRPr="002720D0">
        <w:rPr>
          <w:lang w:val="es-ES_tradnl"/>
        </w:rPr>
        <w:t>e a ambos Gobiernos del Estado p</w:t>
      </w:r>
      <w:r w:rsidR="00CB5555" w:rsidRPr="002720D0">
        <w:rPr>
          <w:lang w:val="es-ES_tradnl"/>
        </w:rPr>
        <w:t>a</w:t>
      </w:r>
      <w:r w:rsidR="00BA6985" w:rsidRPr="002720D0">
        <w:rPr>
          <w:lang w:val="es-ES_tradnl"/>
        </w:rPr>
        <w:t>rte en cuanto a la aplicación efectiva de</w:t>
      </w:r>
      <w:r w:rsidR="00CB5555" w:rsidRPr="002720D0">
        <w:rPr>
          <w:lang w:val="es-ES_tradnl"/>
        </w:rPr>
        <w:t xml:space="preserve"> la Convención y sus Protoco</w:t>
      </w:r>
      <w:r w:rsidR="00BA6985" w:rsidRPr="002720D0">
        <w:rPr>
          <w:lang w:val="es-ES_tradnl"/>
        </w:rPr>
        <w:t>los facultativos</w:t>
      </w:r>
      <w:r w:rsidR="00CB5555" w:rsidRPr="002720D0">
        <w:rPr>
          <w:lang w:val="es-ES_tradnl"/>
        </w:rPr>
        <w:t xml:space="preserve">. Por ejemplo, han asesorado a los Gobiernos en relación con las dificultades que entraña la construcción de laboratorios en todas las escuelas secundarias como estrategia de la administración </w:t>
      </w:r>
      <w:r w:rsidR="008A66BA" w:rsidRPr="002720D0">
        <w:rPr>
          <w:lang w:val="es-ES_tradnl"/>
        </w:rPr>
        <w:t xml:space="preserve">estatal </w:t>
      </w:r>
      <w:r w:rsidR="00CB5555" w:rsidRPr="002720D0">
        <w:rPr>
          <w:lang w:val="es-ES_tradnl"/>
        </w:rPr>
        <w:t>para mejorar la calidad</w:t>
      </w:r>
      <w:r w:rsidR="00BA6985" w:rsidRPr="002720D0">
        <w:rPr>
          <w:lang w:val="es-ES_tradnl"/>
        </w:rPr>
        <w:t xml:space="preserve"> de la educación. El Estado p</w:t>
      </w:r>
      <w:r w:rsidR="00CB5555" w:rsidRPr="002720D0">
        <w:rPr>
          <w:lang w:val="es-ES_tradnl"/>
        </w:rPr>
        <w:t xml:space="preserve">arte se siguió ocupando de este </w:t>
      </w:r>
      <w:r w:rsidR="00BA6985" w:rsidRPr="002720D0">
        <w:rPr>
          <w:lang w:val="es-ES_tradnl"/>
        </w:rPr>
        <w:t>reto</w:t>
      </w:r>
      <w:r w:rsidR="00CB5555" w:rsidRPr="002720D0">
        <w:rPr>
          <w:lang w:val="es-ES_tradnl"/>
        </w:rPr>
        <w:t xml:space="preserve"> todos los ejercicios económicos</w:t>
      </w:r>
      <w:r w:rsidR="00714228" w:rsidRPr="002720D0">
        <w:rPr>
          <w:lang w:val="es-ES_tradnl"/>
        </w:rPr>
        <w:t xml:space="preserve">, en aras de poder proporcionar educación de calidad a todos los niños. En particular, </w:t>
      </w:r>
      <w:r w:rsidR="00151021" w:rsidRPr="002720D0">
        <w:rPr>
          <w:lang w:val="es-ES_tradnl"/>
        </w:rPr>
        <w:t>ZACA</w:t>
      </w:r>
      <w:r w:rsidR="00714228" w:rsidRPr="002720D0">
        <w:rPr>
          <w:lang w:val="es-ES_tradnl"/>
        </w:rPr>
        <w:t xml:space="preserve"> ha trabajado en estrecha colaboración con el Gobierno Revolucionario de Zanzíbar para recabar las opiniones de los niños durante la elaboración de la Ley del </w:t>
      </w:r>
      <w:r w:rsidR="00E44E59" w:rsidRPr="002720D0">
        <w:rPr>
          <w:lang w:val="es-ES_tradnl"/>
        </w:rPr>
        <w:t xml:space="preserve">Niño </w:t>
      </w:r>
      <w:r w:rsidR="00714228" w:rsidRPr="002720D0">
        <w:rPr>
          <w:lang w:val="es-ES_tradnl"/>
        </w:rPr>
        <w:t>de Zanzíbar</w:t>
      </w:r>
      <w:r w:rsidR="00151021" w:rsidRPr="002720D0">
        <w:rPr>
          <w:lang w:val="es-ES_tradnl"/>
        </w:rPr>
        <w:t xml:space="preserve">, </w:t>
      </w:r>
      <w:r w:rsidR="00714228" w:rsidRPr="002720D0">
        <w:rPr>
          <w:lang w:val="es-ES_tradnl"/>
        </w:rPr>
        <w:t xml:space="preserve">y ha asesorado a ese </w:t>
      </w:r>
      <w:r w:rsidR="00056EB2" w:rsidRPr="002720D0">
        <w:rPr>
          <w:lang w:val="es-ES_tradnl"/>
        </w:rPr>
        <w:t xml:space="preserve">Gobierno </w:t>
      </w:r>
      <w:r w:rsidR="00714228" w:rsidRPr="002720D0">
        <w:rPr>
          <w:lang w:val="es-ES_tradnl"/>
        </w:rPr>
        <w:t>en relación con la creación y el funcionamiento de los consejos infantiles en</w:t>
      </w:r>
      <w:r w:rsidR="00151021" w:rsidRPr="002720D0">
        <w:rPr>
          <w:lang w:val="es-ES_tradnl"/>
        </w:rPr>
        <w:t xml:space="preserve"> </w:t>
      </w:r>
      <w:r w:rsidR="00714228" w:rsidRPr="002720D0">
        <w:rPr>
          <w:lang w:val="es-ES_tradnl"/>
        </w:rPr>
        <w:t>Zanzí</w:t>
      </w:r>
      <w:r w:rsidR="00151021" w:rsidRPr="002720D0">
        <w:rPr>
          <w:lang w:val="es-ES_tradnl"/>
        </w:rPr>
        <w:t>bar.</w:t>
      </w:r>
    </w:p>
    <w:p w:rsidR="00151021" w:rsidRPr="002720D0" w:rsidRDefault="00A41D68" w:rsidP="00586395">
      <w:pPr>
        <w:pStyle w:val="HChG"/>
        <w:outlineLvl w:val="0"/>
        <w:rPr>
          <w:lang w:val="es-ES_tradnl"/>
        </w:rPr>
      </w:pPr>
      <w:bookmarkStart w:id="12" w:name="_Toc313470848"/>
      <w:r w:rsidRPr="002720D0">
        <w:rPr>
          <w:lang w:val="es-ES_tradnl"/>
        </w:rPr>
        <w:tab/>
      </w:r>
      <w:r w:rsidR="00151021" w:rsidRPr="002720D0">
        <w:rPr>
          <w:lang w:val="es-ES_tradnl"/>
        </w:rPr>
        <w:t>2.</w:t>
      </w:r>
      <w:r w:rsidRPr="002720D0">
        <w:rPr>
          <w:lang w:val="es-ES_tradnl"/>
        </w:rPr>
        <w:tab/>
        <w:t>Defini</w:t>
      </w:r>
      <w:r w:rsidR="00BF3550" w:rsidRPr="002720D0">
        <w:rPr>
          <w:lang w:val="es-ES_tradnl"/>
        </w:rPr>
        <w:t>ción del niño (art.</w:t>
      </w:r>
      <w:r w:rsidR="00714228" w:rsidRPr="002720D0">
        <w:rPr>
          <w:lang w:val="es-ES_tradnl"/>
        </w:rPr>
        <w:t xml:space="preserve"> </w:t>
      </w:r>
      <w:bookmarkEnd w:id="12"/>
      <w:r w:rsidR="00151021" w:rsidRPr="002720D0">
        <w:rPr>
          <w:lang w:val="es-ES_tradnl"/>
        </w:rPr>
        <w:t>1)</w:t>
      </w:r>
    </w:p>
    <w:p w:rsidR="00151021" w:rsidRPr="002720D0" w:rsidRDefault="004F6364" w:rsidP="004F6364">
      <w:pPr>
        <w:pStyle w:val="SingleTxtG"/>
        <w:tabs>
          <w:tab w:val="left" w:pos="-360"/>
        </w:tabs>
        <w:rPr>
          <w:lang w:val="es-ES_tradnl"/>
        </w:rPr>
      </w:pPr>
      <w:r w:rsidRPr="002720D0">
        <w:rPr>
          <w:lang w:val="es-ES_tradnl"/>
        </w:rPr>
        <w:t>35.</w:t>
      </w:r>
      <w:r w:rsidRPr="002720D0">
        <w:rPr>
          <w:lang w:val="es-ES_tradnl"/>
        </w:rPr>
        <w:tab/>
      </w:r>
      <w:r w:rsidR="00714228" w:rsidRPr="002720D0">
        <w:rPr>
          <w:lang w:val="es-ES_tradnl"/>
        </w:rPr>
        <w:t>El</w:t>
      </w:r>
      <w:r w:rsidR="00151021" w:rsidRPr="002720D0">
        <w:rPr>
          <w:lang w:val="es-ES_tradnl"/>
        </w:rPr>
        <w:t xml:space="preserve"> </w:t>
      </w:r>
      <w:r w:rsidR="00BF3550" w:rsidRPr="002720D0">
        <w:rPr>
          <w:lang w:val="es-ES_tradnl"/>
        </w:rPr>
        <w:t>Comité recomendó en sus O</w:t>
      </w:r>
      <w:r w:rsidR="00714228" w:rsidRPr="002720D0">
        <w:rPr>
          <w:lang w:val="es-ES_tradnl"/>
        </w:rPr>
        <w:t>bservaciones finales previas que en el proyecto d</w:t>
      </w:r>
      <w:r w:rsidR="00BF3550" w:rsidRPr="002720D0">
        <w:rPr>
          <w:lang w:val="es-ES_tradnl"/>
        </w:rPr>
        <w:t>e ley de la infancia el Estado p</w:t>
      </w:r>
      <w:r w:rsidR="00714228" w:rsidRPr="002720D0">
        <w:rPr>
          <w:lang w:val="es-ES_tradnl"/>
        </w:rPr>
        <w:t>arte hiciera una clara definición del niño que estuviera acorde con la Convención.</w:t>
      </w:r>
      <w:r w:rsidR="001D2A53">
        <w:rPr>
          <w:lang w:val="es-ES_tradnl"/>
        </w:rPr>
        <w:t xml:space="preserve"> </w:t>
      </w:r>
      <w:r w:rsidR="00714228" w:rsidRPr="002720D0">
        <w:rPr>
          <w:lang w:val="es-ES_tradnl"/>
        </w:rPr>
        <w:t>También le recomendó que fijara una sola edad mínima para el matrimonio, de aceptación internacional, para varones y niñas.</w:t>
      </w:r>
    </w:p>
    <w:p w:rsidR="00151021" w:rsidRPr="002720D0" w:rsidRDefault="004F6364" w:rsidP="004F6364">
      <w:pPr>
        <w:pStyle w:val="SingleTxtG"/>
        <w:tabs>
          <w:tab w:val="left" w:pos="-360"/>
        </w:tabs>
        <w:rPr>
          <w:lang w:val="es-ES_tradnl"/>
        </w:rPr>
      </w:pPr>
      <w:r w:rsidRPr="002720D0">
        <w:rPr>
          <w:lang w:val="es-ES_tradnl"/>
        </w:rPr>
        <w:t>36.</w:t>
      </w:r>
      <w:r w:rsidRPr="002720D0">
        <w:rPr>
          <w:lang w:val="es-ES_tradnl"/>
        </w:rPr>
        <w:tab/>
      </w:r>
      <w:r w:rsidR="00714228" w:rsidRPr="002720D0">
        <w:rPr>
          <w:lang w:val="es-ES_tradnl"/>
        </w:rPr>
        <w:t xml:space="preserve">Tanto la Ley de la </w:t>
      </w:r>
      <w:r w:rsidR="00E44E59" w:rsidRPr="002720D0">
        <w:rPr>
          <w:lang w:val="es-ES_tradnl"/>
        </w:rPr>
        <w:t xml:space="preserve">Infancia </w:t>
      </w:r>
      <w:r w:rsidR="00151021" w:rsidRPr="002720D0">
        <w:rPr>
          <w:lang w:val="es-ES_tradnl"/>
        </w:rPr>
        <w:t xml:space="preserve">(2009), </w:t>
      </w:r>
      <w:r w:rsidR="00714228" w:rsidRPr="002720D0">
        <w:rPr>
          <w:lang w:val="es-ES_tradnl"/>
        </w:rPr>
        <w:t xml:space="preserve">que se aplica en Tanzanía continental, como la Ley del </w:t>
      </w:r>
      <w:r w:rsidR="00E44E59" w:rsidRPr="002720D0">
        <w:rPr>
          <w:lang w:val="es-ES_tradnl"/>
        </w:rPr>
        <w:t xml:space="preserve">Niño </w:t>
      </w:r>
      <w:r w:rsidR="00151021" w:rsidRPr="002720D0">
        <w:rPr>
          <w:lang w:val="es-ES_tradnl"/>
        </w:rPr>
        <w:t xml:space="preserve">(2011), </w:t>
      </w:r>
      <w:r w:rsidR="00714228" w:rsidRPr="002720D0">
        <w:rPr>
          <w:lang w:val="es-ES_tradnl"/>
        </w:rPr>
        <w:t>que se aplica en Zanzí</w:t>
      </w:r>
      <w:r w:rsidR="00151021" w:rsidRPr="002720D0">
        <w:rPr>
          <w:lang w:val="es-ES_tradnl"/>
        </w:rPr>
        <w:t xml:space="preserve">bar, </w:t>
      </w:r>
      <w:r w:rsidR="00714228" w:rsidRPr="002720D0">
        <w:rPr>
          <w:lang w:val="es-ES_tradnl"/>
        </w:rPr>
        <w:t xml:space="preserve">incluyen disposiciones por las que en la actualidad se define al niño como </w:t>
      </w:r>
      <w:r w:rsidR="00BF3550" w:rsidRPr="002720D0">
        <w:rPr>
          <w:lang w:val="es-ES_tradnl"/>
        </w:rPr>
        <w:t>cualquier</w:t>
      </w:r>
      <w:r w:rsidR="00714228" w:rsidRPr="002720D0">
        <w:rPr>
          <w:lang w:val="es-ES_tradnl"/>
        </w:rPr>
        <w:t xml:space="preserve"> persona menor de 18 años</w:t>
      </w:r>
      <w:r w:rsidR="00151021" w:rsidRPr="002720D0">
        <w:rPr>
          <w:rStyle w:val="FootnoteReference"/>
          <w:lang w:val="es-ES_tradnl"/>
        </w:rPr>
        <w:footnoteReference w:id="20"/>
      </w:r>
      <w:r w:rsidR="00BF3550" w:rsidRPr="002720D0">
        <w:rPr>
          <w:lang w:val="es-ES_tradnl"/>
        </w:rPr>
        <w:t>. Estas leyes también incluyen enmiendas de</w:t>
      </w:r>
      <w:r w:rsidR="00714228" w:rsidRPr="002720D0">
        <w:rPr>
          <w:lang w:val="es-ES_tradnl"/>
        </w:rPr>
        <w:t xml:space="preserve"> otras leyes que anteriormente incorporaban otras definiciones del niño; en la actualidad exi</w:t>
      </w:r>
      <w:r w:rsidR="00BF3550" w:rsidRPr="002720D0">
        <w:rPr>
          <w:lang w:val="es-ES_tradnl"/>
        </w:rPr>
        <w:t>ste una sola definición común del niño</w:t>
      </w:r>
      <w:r w:rsidR="00600EFF" w:rsidRPr="002720D0">
        <w:rPr>
          <w:lang w:val="es-ES_tradnl"/>
        </w:rPr>
        <w:t xml:space="preserve">, a saber, </w:t>
      </w:r>
      <w:r w:rsidR="00BF3550" w:rsidRPr="002720D0">
        <w:rPr>
          <w:lang w:val="es-ES_tradnl"/>
        </w:rPr>
        <w:t>cualquier</w:t>
      </w:r>
      <w:r w:rsidR="00600EFF" w:rsidRPr="002720D0">
        <w:rPr>
          <w:lang w:val="es-ES_tradnl"/>
        </w:rPr>
        <w:t xml:space="preserve"> persona menor de 18 años. </w:t>
      </w:r>
    </w:p>
    <w:p w:rsidR="00151021" w:rsidRPr="002720D0" w:rsidRDefault="004F6364" w:rsidP="004F6364">
      <w:pPr>
        <w:pStyle w:val="SingleTxtG"/>
        <w:tabs>
          <w:tab w:val="left" w:pos="-360"/>
        </w:tabs>
        <w:rPr>
          <w:lang w:val="es-ES_tradnl"/>
        </w:rPr>
      </w:pPr>
      <w:r w:rsidRPr="002720D0">
        <w:rPr>
          <w:lang w:val="es-ES_tradnl"/>
        </w:rPr>
        <w:t>37.</w:t>
      </w:r>
      <w:r w:rsidRPr="002720D0">
        <w:rPr>
          <w:lang w:val="es-ES_tradnl"/>
        </w:rPr>
        <w:tab/>
      </w:r>
      <w:r w:rsidR="00BF3550" w:rsidRPr="002720D0">
        <w:rPr>
          <w:lang w:val="es-ES_tradnl"/>
        </w:rPr>
        <w:t>El Estado p</w:t>
      </w:r>
      <w:r w:rsidR="00227A7F" w:rsidRPr="002720D0">
        <w:rPr>
          <w:lang w:val="es-ES_tradnl"/>
        </w:rPr>
        <w:t>arte mantiene la edad mínima para el matrimonio que se informó en el segundo informe periódico. Esta retención obedece a que la edad mínima para el matrimonio entraña ciertas consideraciones religiosas.</w:t>
      </w:r>
      <w:r w:rsidR="006C17AE" w:rsidRPr="002720D0">
        <w:rPr>
          <w:lang w:val="es-ES_tradnl"/>
        </w:rPr>
        <w:t xml:space="preserve"> </w:t>
      </w:r>
      <w:r w:rsidR="00227A7F" w:rsidRPr="002720D0">
        <w:rPr>
          <w:lang w:val="es-ES_tradnl"/>
        </w:rPr>
        <w:t xml:space="preserve">Es imperativo celebrar consultas públicas para alcanzar un consenso relativo a la edad mínima para el matrimonio. Reconociendo esta realidad </w:t>
      </w:r>
      <w:r w:rsidR="00BF3550" w:rsidRPr="002720D0">
        <w:rPr>
          <w:lang w:val="es-ES_tradnl"/>
        </w:rPr>
        <w:t>de índole religiosa, el Estado p</w:t>
      </w:r>
      <w:r w:rsidR="00227A7F" w:rsidRPr="002720D0">
        <w:rPr>
          <w:lang w:val="es-ES_tradnl"/>
        </w:rPr>
        <w:t>arte ha iniciado un proceso de consultas para solicitar aportaciones del públ</w:t>
      </w:r>
      <w:r w:rsidR="00BF3550" w:rsidRPr="002720D0">
        <w:rPr>
          <w:lang w:val="es-ES_tradnl"/>
        </w:rPr>
        <w:t>ico</w:t>
      </w:r>
      <w:r w:rsidR="00320A1F" w:rsidRPr="002720D0">
        <w:rPr>
          <w:lang w:val="es-ES_tradnl"/>
        </w:rPr>
        <w:t>,</w:t>
      </w:r>
      <w:r w:rsidR="00BF3550" w:rsidRPr="002720D0">
        <w:rPr>
          <w:lang w:val="es-ES_tradnl"/>
        </w:rPr>
        <w:t xml:space="preserve"> destinadas a que el Estado p</w:t>
      </w:r>
      <w:r w:rsidR="00227A7F" w:rsidRPr="002720D0">
        <w:rPr>
          <w:lang w:val="es-ES_tradnl"/>
        </w:rPr>
        <w:t xml:space="preserve">arte pueda establecer una edad mínima legal para el matrimonio que sea aceptable en el plano internacional, para varones y niñas, con arreglo a la recomendación del Comité. </w:t>
      </w:r>
    </w:p>
    <w:p w:rsidR="00151021" w:rsidRPr="002720D0" w:rsidRDefault="0048128A" w:rsidP="00586395">
      <w:pPr>
        <w:pStyle w:val="HChG"/>
        <w:outlineLvl w:val="0"/>
        <w:rPr>
          <w:lang w:val="es-ES_tradnl"/>
        </w:rPr>
      </w:pPr>
      <w:bookmarkStart w:id="13" w:name="_Toc313470849"/>
      <w:r w:rsidRPr="002720D0">
        <w:rPr>
          <w:lang w:val="es-ES_tradnl"/>
        </w:rPr>
        <w:tab/>
      </w:r>
      <w:r w:rsidR="00151021" w:rsidRPr="002720D0">
        <w:rPr>
          <w:lang w:val="es-ES_tradnl"/>
        </w:rPr>
        <w:t>3.</w:t>
      </w:r>
      <w:r w:rsidRPr="002720D0">
        <w:rPr>
          <w:lang w:val="es-ES_tradnl"/>
        </w:rPr>
        <w:tab/>
      </w:r>
      <w:r w:rsidR="00BF3550" w:rsidRPr="002720D0">
        <w:rPr>
          <w:lang w:val="es-ES_tradnl"/>
        </w:rPr>
        <w:t>Principios generales (art</w:t>
      </w:r>
      <w:r w:rsidR="00227A7F" w:rsidRPr="002720D0">
        <w:rPr>
          <w:lang w:val="es-ES_tradnl"/>
        </w:rPr>
        <w:t>s</w:t>
      </w:r>
      <w:r w:rsidR="00BF3550" w:rsidRPr="002720D0">
        <w:rPr>
          <w:lang w:val="es-ES_tradnl"/>
        </w:rPr>
        <w:t>.</w:t>
      </w:r>
      <w:r w:rsidR="00227A7F" w:rsidRPr="002720D0">
        <w:rPr>
          <w:lang w:val="es-ES_tradnl"/>
        </w:rPr>
        <w:t xml:space="preserve"> 2, 3, 6 y 12)</w:t>
      </w:r>
      <w:r w:rsidR="00227A7F" w:rsidRPr="002720D0">
        <w:rPr>
          <w:b w:val="0"/>
          <w:bCs/>
          <w:lang w:val="es-ES_tradnl"/>
        </w:rPr>
        <w:t xml:space="preserve"> </w:t>
      </w:r>
      <w:bookmarkEnd w:id="13"/>
    </w:p>
    <w:p w:rsidR="00151021" w:rsidRPr="002720D0" w:rsidRDefault="0048128A" w:rsidP="00586395">
      <w:pPr>
        <w:pStyle w:val="H1G"/>
        <w:outlineLvl w:val="0"/>
        <w:rPr>
          <w:lang w:val="es-ES_tradnl"/>
        </w:rPr>
      </w:pPr>
      <w:bookmarkStart w:id="14" w:name="_Toc313470850"/>
      <w:r w:rsidRPr="002720D0">
        <w:rPr>
          <w:lang w:val="es-ES_tradnl"/>
        </w:rPr>
        <w:tab/>
      </w:r>
      <w:r w:rsidR="00151021" w:rsidRPr="002720D0">
        <w:rPr>
          <w:lang w:val="es-ES_tradnl"/>
        </w:rPr>
        <w:t>3.1</w:t>
      </w:r>
      <w:r w:rsidRPr="002720D0">
        <w:rPr>
          <w:lang w:val="es-ES_tradnl"/>
        </w:rPr>
        <w:tab/>
      </w:r>
      <w:r w:rsidR="00227A7F" w:rsidRPr="002720D0">
        <w:rPr>
          <w:lang w:val="es-ES_tradnl"/>
        </w:rPr>
        <w:t xml:space="preserve">No </w:t>
      </w:r>
      <w:r w:rsidR="00E65583" w:rsidRPr="002720D0">
        <w:rPr>
          <w:lang w:val="es-ES_tradnl"/>
        </w:rPr>
        <w:t>d</w:t>
      </w:r>
      <w:r w:rsidR="00151021" w:rsidRPr="002720D0">
        <w:rPr>
          <w:lang w:val="es-ES_tradnl"/>
        </w:rPr>
        <w:t>iscrimina</w:t>
      </w:r>
      <w:r w:rsidR="00227A7F" w:rsidRPr="002720D0">
        <w:rPr>
          <w:lang w:val="es-ES_tradnl"/>
        </w:rPr>
        <w:t xml:space="preserve">ción </w:t>
      </w:r>
      <w:bookmarkEnd w:id="14"/>
      <w:r w:rsidR="00151021" w:rsidRPr="002720D0">
        <w:rPr>
          <w:lang w:val="es-ES_tradnl"/>
        </w:rPr>
        <w:t>(</w:t>
      </w:r>
      <w:r w:rsidR="00E65583" w:rsidRPr="002720D0">
        <w:rPr>
          <w:lang w:val="es-ES_tradnl"/>
        </w:rPr>
        <w:t>a</w:t>
      </w:r>
      <w:r w:rsidR="00BF3550" w:rsidRPr="002720D0">
        <w:rPr>
          <w:lang w:val="es-ES_tradnl"/>
        </w:rPr>
        <w:t>rt.</w:t>
      </w:r>
      <w:r w:rsidR="00151021" w:rsidRPr="002720D0">
        <w:rPr>
          <w:lang w:val="es-ES_tradnl"/>
        </w:rPr>
        <w:t xml:space="preserve"> 2)</w:t>
      </w:r>
    </w:p>
    <w:p w:rsidR="00151021" w:rsidRPr="002720D0" w:rsidRDefault="004F6364" w:rsidP="004F6364">
      <w:pPr>
        <w:pStyle w:val="SingleTxtG"/>
        <w:tabs>
          <w:tab w:val="left" w:pos="-360"/>
        </w:tabs>
        <w:rPr>
          <w:lang w:val="es-ES_tradnl"/>
        </w:rPr>
      </w:pPr>
      <w:r w:rsidRPr="002720D0">
        <w:rPr>
          <w:lang w:val="es-ES_tradnl"/>
        </w:rPr>
        <w:t>38.</w:t>
      </w:r>
      <w:r w:rsidRPr="002720D0">
        <w:rPr>
          <w:lang w:val="es-ES_tradnl"/>
        </w:rPr>
        <w:tab/>
      </w:r>
      <w:r w:rsidR="00BF3550" w:rsidRPr="002720D0">
        <w:rPr>
          <w:bCs/>
          <w:lang w:val="es-ES_tradnl"/>
        </w:rPr>
        <w:t>En sus O</w:t>
      </w:r>
      <w:r w:rsidR="00227A7F" w:rsidRPr="002720D0">
        <w:rPr>
          <w:bCs/>
          <w:lang w:val="es-ES_tradnl"/>
        </w:rPr>
        <w:t>bservaciones finales prev</w:t>
      </w:r>
      <w:r w:rsidR="00BF3550" w:rsidRPr="002720D0">
        <w:rPr>
          <w:bCs/>
          <w:lang w:val="es-ES_tradnl"/>
        </w:rPr>
        <w:t>ias, el Comité instó al Estado p</w:t>
      </w:r>
      <w:r w:rsidR="00227A7F" w:rsidRPr="002720D0">
        <w:rPr>
          <w:bCs/>
          <w:lang w:val="es-ES_tradnl"/>
        </w:rPr>
        <w:t>arte a seguir reformando toda su legislación para que se cumpliera a cabalidad el artículo 2 de la Convención y para que se diera efectivo cumplimiento a todas las d</w:t>
      </w:r>
      <w:r w:rsidR="00BF3550" w:rsidRPr="002720D0">
        <w:rPr>
          <w:bCs/>
          <w:lang w:val="es-ES_tradnl"/>
        </w:rPr>
        <w:t>isposiciones legislativas.</w:t>
      </w:r>
      <w:r w:rsidR="001D2A53">
        <w:rPr>
          <w:bCs/>
          <w:lang w:val="es-ES_tradnl"/>
        </w:rPr>
        <w:t xml:space="preserve"> </w:t>
      </w:r>
      <w:r w:rsidR="00BF3550" w:rsidRPr="002720D0">
        <w:rPr>
          <w:bCs/>
          <w:lang w:val="es-ES_tradnl"/>
        </w:rPr>
        <w:t>El C</w:t>
      </w:r>
      <w:r w:rsidR="00227A7F" w:rsidRPr="002720D0">
        <w:rPr>
          <w:bCs/>
          <w:lang w:val="es-ES_tradnl"/>
        </w:rPr>
        <w:t>omité t</w:t>
      </w:r>
      <w:r w:rsidR="00BF3550" w:rsidRPr="002720D0">
        <w:rPr>
          <w:bCs/>
          <w:lang w:val="es-ES_tradnl"/>
        </w:rPr>
        <w:t>ambién recomendó que el Estado p</w:t>
      </w:r>
      <w:r w:rsidR="00227A7F" w:rsidRPr="002720D0">
        <w:rPr>
          <w:bCs/>
          <w:lang w:val="es-ES_tradnl"/>
        </w:rPr>
        <w:t xml:space="preserve">arte realizara campañas generales de sensibilización para prevenir y combatir todas las formas de discriminación. </w:t>
      </w:r>
    </w:p>
    <w:p w:rsidR="00151021" w:rsidRPr="002720D0" w:rsidRDefault="004F6364" w:rsidP="004F6364">
      <w:pPr>
        <w:pStyle w:val="SingleTxtG"/>
        <w:tabs>
          <w:tab w:val="left" w:pos="-360"/>
        </w:tabs>
        <w:rPr>
          <w:lang w:val="es-ES_tradnl"/>
        </w:rPr>
      </w:pPr>
      <w:r w:rsidRPr="002720D0">
        <w:rPr>
          <w:lang w:val="es-ES_tradnl"/>
        </w:rPr>
        <w:t>39.</w:t>
      </w:r>
      <w:r w:rsidRPr="002720D0">
        <w:rPr>
          <w:lang w:val="es-ES_tradnl"/>
        </w:rPr>
        <w:tab/>
      </w:r>
      <w:r w:rsidR="00227A7F" w:rsidRPr="002720D0">
        <w:rPr>
          <w:bCs/>
          <w:lang w:val="es-ES_tradnl"/>
        </w:rPr>
        <w:t xml:space="preserve">El Comité pidió que en el próximo informe periódico se comunicasen específicamente las medidas y los programas pertinentes a la Convención </w:t>
      </w:r>
      <w:r w:rsidR="0074022F">
        <w:rPr>
          <w:bCs/>
          <w:lang w:val="es-ES_tradnl"/>
        </w:rPr>
        <w:t xml:space="preserve">que </w:t>
      </w:r>
      <w:r w:rsidR="00227A7F" w:rsidRPr="002720D0">
        <w:rPr>
          <w:bCs/>
          <w:lang w:val="es-ES_tradnl"/>
        </w:rPr>
        <w:t xml:space="preserve">se adoptasen en el Estado </w:t>
      </w:r>
      <w:r w:rsidRPr="002720D0">
        <w:rPr>
          <w:bCs/>
          <w:lang w:val="es-ES_tradnl"/>
        </w:rPr>
        <w:t xml:space="preserve">parte </w:t>
      </w:r>
      <w:r w:rsidR="00227A7F" w:rsidRPr="002720D0">
        <w:rPr>
          <w:bCs/>
          <w:lang w:val="es-ES_tradnl"/>
        </w:rPr>
        <w:t>en atención a la Declaración y al Programa de Acción de la Conferencia Mundial contra el Racismo, la Discriminación Racial, la Xenofobia y las Formas Conexas de Intolerancia de 2001, teniendo en cuenta también la Observación general Nº 1 de 2001 del Comité sobre los propósitos de la educación (CRC/GC/2001/1).</w:t>
      </w:r>
    </w:p>
    <w:p w:rsidR="00151021" w:rsidRPr="002720D0" w:rsidRDefault="004F6364" w:rsidP="004F6364">
      <w:pPr>
        <w:pStyle w:val="SingleTxtG"/>
        <w:tabs>
          <w:tab w:val="left" w:pos="-360"/>
        </w:tabs>
        <w:rPr>
          <w:lang w:val="es-ES_tradnl"/>
        </w:rPr>
      </w:pPr>
      <w:r w:rsidRPr="002720D0">
        <w:rPr>
          <w:lang w:val="es-ES_tradnl"/>
        </w:rPr>
        <w:t>40.</w:t>
      </w:r>
      <w:r w:rsidRPr="002720D0">
        <w:rPr>
          <w:lang w:val="es-ES_tradnl"/>
        </w:rPr>
        <w:tab/>
      </w:r>
      <w:r w:rsidR="00DA4873" w:rsidRPr="002720D0">
        <w:rPr>
          <w:lang w:val="es-ES_tradnl"/>
        </w:rPr>
        <w:t>En cumplimiento de la recomendación del Comité por la qu</w:t>
      </w:r>
      <w:r w:rsidR="00BF3550" w:rsidRPr="002720D0">
        <w:rPr>
          <w:lang w:val="es-ES_tradnl"/>
        </w:rPr>
        <w:t>e se instaba al Estado p</w:t>
      </w:r>
      <w:r w:rsidR="00DA4873" w:rsidRPr="002720D0">
        <w:rPr>
          <w:lang w:val="es-ES_tradnl"/>
        </w:rPr>
        <w:t>arte a seguir reformando toda su legislación para que se cumpliera a cabalidad el artículo</w:t>
      </w:r>
      <w:r w:rsidR="00320A1F" w:rsidRPr="002720D0">
        <w:rPr>
          <w:lang w:val="es-ES_tradnl"/>
        </w:rPr>
        <w:t xml:space="preserve"> 2 de la Convención, el Estado p</w:t>
      </w:r>
      <w:r w:rsidR="00DA4873" w:rsidRPr="002720D0">
        <w:rPr>
          <w:lang w:val="es-ES_tradnl"/>
        </w:rPr>
        <w:t xml:space="preserve">arte ha concluido el correspondiente examen, que culminó con la promulgación de la Ley de la </w:t>
      </w:r>
      <w:r w:rsidR="00E44E59" w:rsidRPr="002720D0">
        <w:rPr>
          <w:lang w:val="es-ES_tradnl"/>
        </w:rPr>
        <w:t xml:space="preserve">Infancia </w:t>
      </w:r>
      <w:r w:rsidR="00DA4873" w:rsidRPr="002720D0">
        <w:rPr>
          <w:lang w:val="es-ES_tradnl"/>
        </w:rPr>
        <w:t xml:space="preserve">en 2009 para Tanzanía continental y la Ley del </w:t>
      </w:r>
      <w:r w:rsidR="00E44E59" w:rsidRPr="002720D0">
        <w:rPr>
          <w:lang w:val="es-ES_tradnl"/>
        </w:rPr>
        <w:t xml:space="preserve">Niño </w:t>
      </w:r>
      <w:r w:rsidR="00DA4873" w:rsidRPr="002720D0">
        <w:rPr>
          <w:lang w:val="es-ES_tradnl"/>
        </w:rPr>
        <w:t>en 2011 para Zanzí</w:t>
      </w:r>
      <w:r w:rsidR="00151021" w:rsidRPr="002720D0">
        <w:rPr>
          <w:lang w:val="es-ES_tradnl"/>
        </w:rPr>
        <w:t xml:space="preserve">bar. </w:t>
      </w:r>
      <w:r w:rsidR="00DA4873" w:rsidRPr="002720D0">
        <w:rPr>
          <w:lang w:val="es-ES_tradnl"/>
        </w:rPr>
        <w:t>Como se manifiesta en el documento básico (véase HRI/CORE/TZA/2012/Add.1) que acompaña a estos informes combinados, ambos textos legislativos han dado cumplimiento a</w:t>
      </w:r>
      <w:r w:rsidR="0052120E" w:rsidRPr="002720D0">
        <w:rPr>
          <w:lang w:val="es-ES_tradnl"/>
        </w:rPr>
        <w:t xml:space="preserve"> las disposiciones del artículo 2 de la Convención por las que se prohíbe todo tipo de discriminación, independientemente de la raza, el color, el sexo, el idioma, la religión, la opinión política o de otra índole, el origen nacional, étnico o social, la posición </w:t>
      </w:r>
      <w:r w:rsidR="0052120E" w:rsidRPr="00EF532F">
        <w:rPr>
          <w:lang w:val="es-ES_tradnl"/>
        </w:rPr>
        <w:t>económica, la discapacidad, el nacimiento</w:t>
      </w:r>
      <w:r w:rsidR="0052120E" w:rsidRPr="002720D0">
        <w:rPr>
          <w:lang w:val="es-ES_tradnl"/>
        </w:rPr>
        <w:t xml:space="preserve"> o cualquier otra condición del niño, de sus padres o de sus representantes legales</w:t>
      </w:r>
      <w:r w:rsidR="00151021" w:rsidRPr="002720D0">
        <w:rPr>
          <w:rStyle w:val="FootnoteReference"/>
          <w:lang w:val="es-ES_tradnl"/>
        </w:rPr>
        <w:footnoteReference w:id="21"/>
      </w:r>
      <w:r w:rsidR="0052120E"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41.</w:t>
      </w:r>
      <w:r w:rsidRPr="002720D0">
        <w:rPr>
          <w:lang w:val="es-ES_tradnl"/>
        </w:rPr>
        <w:tab/>
      </w:r>
      <w:r w:rsidR="00FB6FC2" w:rsidRPr="002720D0">
        <w:rPr>
          <w:lang w:val="es-ES_tradnl"/>
        </w:rPr>
        <w:t>Además</w:t>
      </w:r>
      <w:r w:rsidR="00320A1F" w:rsidRPr="002720D0">
        <w:rPr>
          <w:lang w:val="es-ES_tradnl"/>
        </w:rPr>
        <w:t>,</w:t>
      </w:r>
      <w:r w:rsidR="00FB6FC2" w:rsidRPr="002720D0">
        <w:rPr>
          <w:lang w:val="es-ES_tradnl"/>
        </w:rPr>
        <w:t xml:space="preserve"> tanto la Constitución de la República Unida de Tanzanía </w:t>
      </w:r>
      <w:r w:rsidR="00151021" w:rsidRPr="002720D0">
        <w:rPr>
          <w:lang w:val="es-ES_tradnl"/>
        </w:rPr>
        <w:t xml:space="preserve">(1977) </w:t>
      </w:r>
      <w:r w:rsidR="00FB6FC2" w:rsidRPr="002720D0">
        <w:rPr>
          <w:lang w:val="es-ES_tradnl"/>
        </w:rPr>
        <w:t>como la Constitución de Zanzí</w:t>
      </w:r>
      <w:r w:rsidR="00151021" w:rsidRPr="002720D0">
        <w:rPr>
          <w:lang w:val="es-ES_tradnl"/>
        </w:rPr>
        <w:t>bar (1984)</w:t>
      </w:r>
      <w:r w:rsidR="00FB6FC2" w:rsidRPr="002720D0">
        <w:rPr>
          <w:lang w:val="es-ES_tradnl"/>
        </w:rPr>
        <w:t xml:space="preserve"> incluyen disposiciones específicas en cumplimiento del artículo 2 de la Convenció</w:t>
      </w:r>
      <w:r w:rsidR="00151021" w:rsidRPr="002720D0">
        <w:rPr>
          <w:lang w:val="es-ES_tradnl"/>
        </w:rPr>
        <w:t>n</w:t>
      </w:r>
      <w:r w:rsidR="00151021" w:rsidRPr="002720D0">
        <w:rPr>
          <w:rStyle w:val="FootnoteReference"/>
          <w:lang w:val="es-ES_tradnl"/>
        </w:rPr>
        <w:footnoteReference w:id="22"/>
      </w:r>
      <w:r w:rsidR="00320A1F" w:rsidRPr="002720D0">
        <w:rPr>
          <w:lang w:val="es-ES_tradnl"/>
        </w:rPr>
        <w:t>.</w:t>
      </w:r>
      <w:r w:rsidR="00151021" w:rsidRPr="002720D0">
        <w:rPr>
          <w:lang w:val="es-ES_tradnl"/>
        </w:rPr>
        <w:t xml:space="preserve"> </w:t>
      </w:r>
      <w:r w:rsidR="00FB6FC2" w:rsidRPr="002720D0">
        <w:rPr>
          <w:lang w:val="es-ES_tradnl"/>
        </w:rPr>
        <w:t xml:space="preserve">Este marco constitucional entraña la obligación </w:t>
      </w:r>
      <w:r w:rsidR="00C8747D" w:rsidRPr="002720D0">
        <w:rPr>
          <w:lang w:val="es-ES_tradnl"/>
        </w:rPr>
        <w:t>de que</w:t>
      </w:r>
      <w:r w:rsidR="00FB6FC2" w:rsidRPr="002720D0">
        <w:rPr>
          <w:lang w:val="es-ES_tradnl"/>
        </w:rPr>
        <w:t xml:space="preserve"> todas las </w:t>
      </w:r>
      <w:r w:rsidR="00C8747D" w:rsidRPr="002720D0">
        <w:rPr>
          <w:lang w:val="es-ES_tradnl"/>
        </w:rPr>
        <w:t>leyes promulgadas en el Estado p</w:t>
      </w:r>
      <w:r w:rsidR="00FB6FC2" w:rsidRPr="002720D0">
        <w:rPr>
          <w:lang w:val="es-ES_tradnl"/>
        </w:rPr>
        <w:t xml:space="preserve">arte </w:t>
      </w:r>
      <w:r w:rsidR="00C8747D" w:rsidRPr="002720D0">
        <w:rPr>
          <w:lang w:val="es-ES_tradnl"/>
        </w:rPr>
        <w:t>cumplan</w:t>
      </w:r>
      <w:r w:rsidR="00FB6FC2" w:rsidRPr="002720D0">
        <w:rPr>
          <w:lang w:val="es-ES_tradnl"/>
        </w:rPr>
        <w:t xml:space="preserve"> con el principio de no discriminación </w:t>
      </w:r>
      <w:r w:rsidR="003D4E24" w:rsidRPr="002720D0">
        <w:rPr>
          <w:lang w:val="es-ES_tradnl"/>
        </w:rPr>
        <w:t>establecido</w:t>
      </w:r>
      <w:r w:rsidR="00FB6FC2" w:rsidRPr="002720D0">
        <w:rPr>
          <w:lang w:val="es-ES_tradnl"/>
        </w:rPr>
        <w:t xml:space="preserve"> en el artículo 2 de la Convención. En el supuesto de que cualquier ley vulnerase este principio, los Tribunales Supremos de Tanzanía y de Zanzíbar están facultados para declarar</w:t>
      </w:r>
      <w:r w:rsidR="00E91BB8" w:rsidRPr="002720D0">
        <w:rPr>
          <w:lang w:val="es-ES_tradnl"/>
        </w:rPr>
        <w:t xml:space="preserve"> dicha ley inconstitucional por </w:t>
      </w:r>
      <w:r w:rsidR="00C8747D" w:rsidRPr="002720D0">
        <w:rPr>
          <w:lang w:val="es-ES_tradnl"/>
        </w:rPr>
        <w:t>entrar en pugna con</w:t>
      </w:r>
      <w:r w:rsidR="00E91BB8" w:rsidRPr="002720D0">
        <w:rPr>
          <w:lang w:val="es-ES_tradnl"/>
        </w:rPr>
        <w:t xml:space="preserve"> esas disposiciones constitucionales. </w:t>
      </w:r>
    </w:p>
    <w:p w:rsidR="00151021" w:rsidRPr="002720D0" w:rsidRDefault="004F6364" w:rsidP="004F6364">
      <w:pPr>
        <w:pStyle w:val="SingleTxtG"/>
        <w:tabs>
          <w:tab w:val="left" w:pos="-360"/>
        </w:tabs>
        <w:rPr>
          <w:lang w:val="es-ES_tradnl"/>
        </w:rPr>
      </w:pPr>
      <w:r w:rsidRPr="002720D0">
        <w:rPr>
          <w:lang w:val="es-ES_tradnl"/>
        </w:rPr>
        <w:t>42.</w:t>
      </w:r>
      <w:r w:rsidRPr="002720D0">
        <w:rPr>
          <w:lang w:val="es-ES_tradnl"/>
        </w:rPr>
        <w:tab/>
      </w:r>
      <w:r w:rsidR="003D4E24" w:rsidRPr="002720D0">
        <w:rPr>
          <w:lang w:val="es-ES_tradnl"/>
        </w:rPr>
        <w:t>Al trasladar a la práctica las disposiciones constitucionales y estatutarias que anteceden, por las que se protege el principio de no discriminación estab</w:t>
      </w:r>
      <w:r w:rsidR="004E5B2C" w:rsidRPr="002720D0">
        <w:rPr>
          <w:lang w:val="es-ES_tradnl"/>
        </w:rPr>
        <w:t>l</w:t>
      </w:r>
      <w:r w:rsidR="003D4E24" w:rsidRPr="002720D0">
        <w:rPr>
          <w:lang w:val="es-ES_tradnl"/>
        </w:rPr>
        <w:t>ecido en el artículo</w:t>
      </w:r>
      <w:r w:rsidR="00C8747D" w:rsidRPr="002720D0">
        <w:rPr>
          <w:lang w:val="es-ES_tradnl"/>
        </w:rPr>
        <w:t xml:space="preserve"> 2 de la Convención, el Estado p</w:t>
      </w:r>
      <w:r w:rsidR="003D4E24" w:rsidRPr="002720D0">
        <w:rPr>
          <w:lang w:val="es-ES_tradnl"/>
        </w:rPr>
        <w:t>arte asume un papel protagonista en la erradicación de la discriminación contra los niños fundada en cualquiera de los motivos qu</w:t>
      </w:r>
      <w:r w:rsidR="00C8747D" w:rsidRPr="002720D0">
        <w:rPr>
          <w:lang w:val="es-ES_tradnl"/>
        </w:rPr>
        <w:t>e se enumeran de</w:t>
      </w:r>
      <w:r w:rsidR="003D4E24" w:rsidRPr="002720D0">
        <w:rPr>
          <w:lang w:val="es-ES_tradnl"/>
        </w:rPr>
        <w:t xml:space="preserve"> todos los ámbitos de l</w:t>
      </w:r>
      <w:r w:rsidR="00C8747D" w:rsidRPr="002720D0">
        <w:rPr>
          <w:lang w:val="es-ES_tradnl"/>
        </w:rPr>
        <w:t>a vida. Por ejemplo, el Estado p</w:t>
      </w:r>
      <w:r w:rsidR="003D4E24" w:rsidRPr="002720D0">
        <w:rPr>
          <w:lang w:val="es-ES_tradnl"/>
        </w:rPr>
        <w:t>arte ha velado</w:t>
      </w:r>
      <w:r w:rsidR="00151021" w:rsidRPr="002720D0">
        <w:rPr>
          <w:lang w:val="es-ES_tradnl"/>
        </w:rPr>
        <w:t xml:space="preserve"> </w:t>
      </w:r>
      <w:r w:rsidR="003D4E24" w:rsidRPr="002720D0">
        <w:rPr>
          <w:lang w:val="es-ES_tradnl"/>
        </w:rPr>
        <w:t xml:space="preserve">por que no se produzca ninguna discriminación en la matriculación de los niños en ninguno de los niveles de escolarización; por </w:t>
      </w:r>
      <w:r w:rsidR="00C8747D" w:rsidRPr="002720D0">
        <w:rPr>
          <w:lang w:val="es-ES_tradnl"/>
        </w:rPr>
        <w:t>consiguiente</w:t>
      </w:r>
      <w:r w:rsidR="003D4E24" w:rsidRPr="002720D0">
        <w:rPr>
          <w:lang w:val="es-ES_tradnl"/>
        </w:rPr>
        <w:t xml:space="preserve">, no se ha informado de ningún caso en este sentido durante el período que se examina. Asimismo, en relación con </w:t>
      </w:r>
      <w:r w:rsidR="00C8747D" w:rsidRPr="002720D0">
        <w:rPr>
          <w:lang w:val="es-ES_tradnl"/>
        </w:rPr>
        <w:t>los niños refugiados el Estado p</w:t>
      </w:r>
      <w:r w:rsidR="003D4E24" w:rsidRPr="002720D0">
        <w:rPr>
          <w:lang w:val="es-ES_tradnl"/>
        </w:rPr>
        <w:t>arte facilitó la creación y provisión de servicios sociales</w:t>
      </w:r>
      <w:r w:rsidR="00C8747D" w:rsidRPr="002720D0">
        <w:rPr>
          <w:lang w:val="es-ES_tradnl"/>
        </w:rPr>
        <w:t>,</w:t>
      </w:r>
      <w:r w:rsidR="003D4E24" w:rsidRPr="002720D0">
        <w:rPr>
          <w:lang w:val="es-ES_tradnl"/>
        </w:rPr>
        <w:t xml:space="preserve"> como son los servicios de salud y educación para los niños en campos de refugiados, en colaboración con ACN</w:t>
      </w:r>
      <w:r w:rsidR="00C8747D" w:rsidRPr="002720D0">
        <w:rPr>
          <w:lang w:val="es-ES_tradnl"/>
        </w:rPr>
        <w:t>UR. En este sentido, el Estado p</w:t>
      </w:r>
      <w:r w:rsidR="003D4E24" w:rsidRPr="002720D0">
        <w:rPr>
          <w:lang w:val="es-ES_tradnl"/>
        </w:rPr>
        <w:t xml:space="preserve">arte se ha asegurado de que la provisión de servicios </w:t>
      </w:r>
      <w:r w:rsidR="00115C85" w:rsidRPr="002720D0">
        <w:rPr>
          <w:lang w:val="es-ES_tradnl"/>
        </w:rPr>
        <w:t>sociales a los niños se</w:t>
      </w:r>
      <w:r w:rsidR="003D4E24" w:rsidRPr="002720D0">
        <w:rPr>
          <w:lang w:val="es-ES_tradnl"/>
        </w:rPr>
        <w:t xml:space="preserve"> </w:t>
      </w:r>
      <w:r w:rsidR="00115C85" w:rsidRPr="002720D0">
        <w:rPr>
          <w:lang w:val="es-ES_tradnl"/>
        </w:rPr>
        <w:t xml:space="preserve">lleve a cabo en pie de igualdad, comprendidos los niños refugiados que residen en campamentos. </w:t>
      </w:r>
    </w:p>
    <w:p w:rsidR="00151021" w:rsidRPr="002720D0" w:rsidRDefault="004F6364" w:rsidP="004F6364">
      <w:pPr>
        <w:pStyle w:val="SingleTxtG"/>
        <w:tabs>
          <w:tab w:val="left" w:pos="-360"/>
        </w:tabs>
        <w:rPr>
          <w:lang w:val="es-ES_tradnl"/>
        </w:rPr>
      </w:pPr>
      <w:r w:rsidRPr="002720D0">
        <w:rPr>
          <w:lang w:val="es-ES_tradnl"/>
        </w:rPr>
        <w:t>43.</w:t>
      </w:r>
      <w:r w:rsidRPr="002720D0">
        <w:rPr>
          <w:lang w:val="es-ES_tradnl"/>
        </w:rPr>
        <w:tab/>
      </w:r>
      <w:r w:rsidR="00C8747D" w:rsidRPr="002720D0">
        <w:rPr>
          <w:lang w:val="es-ES_tradnl"/>
        </w:rPr>
        <w:t>Además, el Estado p</w:t>
      </w:r>
      <w:r w:rsidR="00115C85" w:rsidRPr="002720D0">
        <w:rPr>
          <w:lang w:val="es-ES_tradnl"/>
        </w:rPr>
        <w:t xml:space="preserve">arte ha aumentado el número de escuelas de educación inclusiva, que </w:t>
      </w:r>
      <w:r w:rsidR="00912E0F" w:rsidRPr="002720D0">
        <w:rPr>
          <w:lang w:val="es-ES_tradnl"/>
        </w:rPr>
        <w:t>brin</w:t>
      </w:r>
      <w:r w:rsidR="00115C85" w:rsidRPr="002720D0">
        <w:rPr>
          <w:lang w:val="es-ES_tradnl"/>
        </w:rPr>
        <w:t xml:space="preserve">dan a los niños con </w:t>
      </w:r>
      <w:r w:rsidR="00912E0F" w:rsidRPr="002720D0">
        <w:rPr>
          <w:lang w:val="es-ES_tradnl"/>
        </w:rPr>
        <w:t>discapacidad</w:t>
      </w:r>
      <w:r w:rsidR="00115C85" w:rsidRPr="002720D0">
        <w:rPr>
          <w:lang w:val="es-ES_tradnl"/>
        </w:rPr>
        <w:t xml:space="preserve"> la oportunidad de interactuar con otros niños, </w:t>
      </w:r>
      <w:r w:rsidR="00320A1F" w:rsidRPr="002720D0">
        <w:rPr>
          <w:lang w:val="es-ES_tradnl"/>
        </w:rPr>
        <w:t>reduciendo</w:t>
      </w:r>
      <w:r w:rsidR="00115C85" w:rsidRPr="002720D0">
        <w:rPr>
          <w:lang w:val="es-ES_tradnl"/>
        </w:rPr>
        <w:t xml:space="preserve"> con ello el estigma y la discriminación padecidos por los niños con</w:t>
      </w:r>
      <w:r w:rsidR="00912E0F" w:rsidRPr="002720D0">
        <w:rPr>
          <w:lang w:val="es-ES_tradnl"/>
        </w:rPr>
        <w:t xml:space="preserve"> discapacidad</w:t>
      </w:r>
      <w:r w:rsidR="00115C85" w:rsidRPr="002720D0">
        <w:rPr>
          <w:lang w:val="es-ES_tradnl"/>
        </w:rPr>
        <w:t xml:space="preserve">. No obstante, esta acción se acompaña de la contratación de maestros cualificados para estos fines. En Zanzíbar, todos los niños con necesidades especiales en materia de educación </w:t>
      </w:r>
      <w:r w:rsidR="00E944F3" w:rsidRPr="002720D0">
        <w:rPr>
          <w:lang w:val="es-ES_tradnl"/>
        </w:rPr>
        <w:t>(comprendi</w:t>
      </w:r>
      <w:r w:rsidR="00912E0F" w:rsidRPr="002720D0">
        <w:rPr>
          <w:lang w:val="es-ES_tradnl"/>
        </w:rPr>
        <w:t>dos los niños con discapacidad</w:t>
      </w:r>
      <w:r w:rsidR="00E944F3" w:rsidRPr="002720D0">
        <w:rPr>
          <w:lang w:val="es-ES_tradnl"/>
        </w:rPr>
        <w:t>) acceden a la educación inclusiva. En el Ministerio de Educación y Formación Profesional de Zanzíbar</w:t>
      </w:r>
      <w:r w:rsidR="00912E0F" w:rsidRPr="002720D0">
        <w:rPr>
          <w:lang w:val="es-ES_tradnl"/>
        </w:rPr>
        <w:t>, el Estado p</w:t>
      </w:r>
      <w:r w:rsidR="00E944F3" w:rsidRPr="002720D0">
        <w:rPr>
          <w:lang w:val="es-ES_tradnl"/>
        </w:rPr>
        <w:t>arte, por conducto de la Unidad de Educación Especial, ha aumentado el número de escuelas de educación inclusiva, que en la actualidad ascienden a 86. Además, el número de alumnos ha aumentado, pasando de 450 en 2005 a 3.883 en 2011, y el número de maestros que han recibido formación en el lenguaje de signos y el sistema Braille ha pasado a 2.390 en</w:t>
      </w:r>
      <w:r w:rsidR="00151021" w:rsidRPr="002720D0">
        <w:rPr>
          <w:lang w:val="es-ES_tradnl"/>
        </w:rPr>
        <w:t xml:space="preserve"> 2011.</w:t>
      </w:r>
      <w:r w:rsidR="003D2ED2" w:rsidRPr="002720D0">
        <w:rPr>
          <w:lang w:val="es-ES_tradnl"/>
        </w:rPr>
        <w:t xml:space="preserve"> </w:t>
      </w:r>
      <w:r w:rsidR="00E944F3" w:rsidRPr="002720D0">
        <w:rPr>
          <w:lang w:val="es-ES_tradnl"/>
        </w:rPr>
        <w:t>En aras de continuar la institucionalización de este</w:t>
      </w:r>
      <w:r w:rsidR="00320A1F" w:rsidRPr="002720D0">
        <w:rPr>
          <w:lang w:val="es-ES_tradnl"/>
        </w:rPr>
        <w:t xml:space="preserve"> empeño en Zanzíbar, el Estado p</w:t>
      </w:r>
      <w:r w:rsidR="00E944F3" w:rsidRPr="002720D0">
        <w:rPr>
          <w:lang w:val="es-ES_tradnl"/>
        </w:rPr>
        <w:t>arte está elaborando una Política de educación inclusiva en colaboración con distintas partes interesadas (</w:t>
      </w:r>
      <w:r w:rsidR="00912E0F" w:rsidRPr="002720D0">
        <w:rPr>
          <w:lang w:val="es-ES_tradnl"/>
        </w:rPr>
        <w:t xml:space="preserve">asociados </w:t>
      </w:r>
      <w:r w:rsidR="003B6225" w:rsidRPr="002720D0">
        <w:rPr>
          <w:lang w:val="es-ES_tradnl"/>
        </w:rPr>
        <w:t xml:space="preserve">tanto </w:t>
      </w:r>
      <w:r w:rsidR="00912E0F" w:rsidRPr="002720D0">
        <w:rPr>
          <w:lang w:val="es-ES_tradnl"/>
        </w:rPr>
        <w:t>públicos como privados</w:t>
      </w:r>
      <w:r w:rsidR="003B6225"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44.</w:t>
      </w:r>
      <w:r w:rsidRPr="002720D0">
        <w:rPr>
          <w:lang w:val="es-ES_tradnl"/>
        </w:rPr>
        <w:tab/>
      </w:r>
      <w:r w:rsidR="003B6225" w:rsidRPr="002720D0">
        <w:rPr>
          <w:lang w:val="es-ES_tradnl"/>
        </w:rPr>
        <w:t xml:space="preserve">Además, en </w:t>
      </w:r>
      <w:r w:rsidR="004E5B2C" w:rsidRPr="002720D0">
        <w:rPr>
          <w:lang w:val="es-ES_tradnl"/>
        </w:rPr>
        <w:t>Zanzíbar</w:t>
      </w:r>
      <w:r w:rsidR="003B6225" w:rsidRPr="002720D0">
        <w:rPr>
          <w:lang w:val="es-ES_tradnl"/>
        </w:rPr>
        <w:t xml:space="preserve"> la Ley de </w:t>
      </w:r>
      <w:r w:rsidR="00E44E59" w:rsidRPr="002720D0">
        <w:rPr>
          <w:lang w:val="es-ES_tradnl"/>
        </w:rPr>
        <w:t xml:space="preserve">Protección </w:t>
      </w:r>
      <w:r w:rsidR="003B6225" w:rsidRPr="002720D0">
        <w:rPr>
          <w:lang w:val="es-ES_tradnl"/>
        </w:rPr>
        <w:t xml:space="preserve">de las </w:t>
      </w:r>
      <w:r w:rsidR="00E44E59" w:rsidRPr="002720D0">
        <w:rPr>
          <w:lang w:val="es-ES_tradnl"/>
        </w:rPr>
        <w:t>Mujeres Solteras</w:t>
      </w:r>
      <w:r w:rsidR="003B6225" w:rsidRPr="002720D0">
        <w:rPr>
          <w:lang w:val="es-ES_tradnl"/>
        </w:rPr>
        <w:t xml:space="preserve">, </w:t>
      </w:r>
      <w:r w:rsidR="00E44E59" w:rsidRPr="002720D0">
        <w:rPr>
          <w:lang w:val="es-ES_tradnl"/>
        </w:rPr>
        <w:t xml:space="preserve">Viudas </w:t>
      </w:r>
      <w:r w:rsidR="003B6225" w:rsidRPr="002720D0">
        <w:rPr>
          <w:lang w:val="es-ES_tradnl"/>
        </w:rPr>
        <w:t xml:space="preserve">y </w:t>
      </w:r>
      <w:r w:rsidR="00E44E59" w:rsidRPr="002720D0">
        <w:rPr>
          <w:lang w:val="es-ES_tradnl"/>
        </w:rPr>
        <w:t xml:space="preserve">Divorciadas </w:t>
      </w:r>
      <w:r w:rsidR="003B6225" w:rsidRPr="002720D0">
        <w:rPr>
          <w:lang w:val="es-ES_tradnl"/>
        </w:rPr>
        <w:t xml:space="preserve">(1985) fue revocada y sustituida por la Ley de </w:t>
      </w:r>
      <w:r w:rsidR="00E44E59" w:rsidRPr="002720D0">
        <w:rPr>
          <w:lang w:val="es-ES_tradnl"/>
        </w:rPr>
        <w:t xml:space="preserve">Protección </w:t>
      </w:r>
      <w:r w:rsidR="003B6225" w:rsidRPr="002720D0">
        <w:rPr>
          <w:lang w:val="es-ES_tradnl"/>
        </w:rPr>
        <w:t xml:space="preserve">de los </w:t>
      </w:r>
      <w:r w:rsidR="00E44E59" w:rsidRPr="002720D0">
        <w:rPr>
          <w:lang w:val="es-ES_tradnl"/>
        </w:rPr>
        <w:t xml:space="preserve">Niños </w:t>
      </w:r>
      <w:r w:rsidR="003B6225" w:rsidRPr="002720D0">
        <w:rPr>
          <w:lang w:val="es-ES_tradnl"/>
        </w:rPr>
        <w:t xml:space="preserve">de </w:t>
      </w:r>
      <w:r w:rsidR="00E44E59" w:rsidRPr="002720D0">
        <w:rPr>
          <w:lang w:val="es-ES_tradnl"/>
        </w:rPr>
        <w:t xml:space="preserve">Mujeres Solteras </w:t>
      </w:r>
      <w:r w:rsidR="003B6225" w:rsidRPr="002720D0">
        <w:rPr>
          <w:lang w:val="es-ES_tradnl"/>
        </w:rPr>
        <w:t xml:space="preserve">y </w:t>
      </w:r>
      <w:r w:rsidR="00E44E59" w:rsidRPr="002720D0">
        <w:rPr>
          <w:lang w:val="es-ES_tradnl"/>
        </w:rPr>
        <w:t xml:space="preserve">Hogares Monoparentales </w:t>
      </w:r>
      <w:r w:rsidR="003B6225" w:rsidRPr="002720D0">
        <w:rPr>
          <w:lang w:val="es-ES_tradnl"/>
        </w:rPr>
        <w:t>de</w:t>
      </w:r>
      <w:r w:rsidR="00151021" w:rsidRPr="002720D0">
        <w:rPr>
          <w:lang w:val="es-ES_tradnl"/>
        </w:rPr>
        <w:t xml:space="preserve"> 2005, </w:t>
      </w:r>
      <w:r w:rsidR="003B6225" w:rsidRPr="002720D0">
        <w:rPr>
          <w:lang w:val="es-ES_tradnl"/>
        </w:rPr>
        <w:t>que permite a las niñas embarazadas regresar a la escuela tras el parto. Para lograr este objetivo sin causar menoscabo social ni psicológico a la niña, se le da la oportunidad de eleg</w:t>
      </w:r>
      <w:r w:rsidR="00912E0F" w:rsidRPr="002720D0">
        <w:rPr>
          <w:lang w:val="es-ES_tradnl"/>
        </w:rPr>
        <w:t>ir una escuela donde reanu</w:t>
      </w:r>
      <w:r w:rsidR="003B6225" w:rsidRPr="002720D0">
        <w:rPr>
          <w:lang w:val="es-ES_tradnl"/>
        </w:rPr>
        <w:t xml:space="preserve">dar sus estudios y concluirlos. Anteriormente, la Ley de </w:t>
      </w:r>
      <w:r w:rsidR="00E44E59" w:rsidRPr="002720D0">
        <w:rPr>
          <w:lang w:val="es-ES_tradnl"/>
        </w:rPr>
        <w:t xml:space="preserve">Protección </w:t>
      </w:r>
      <w:r w:rsidR="003B6225" w:rsidRPr="002720D0">
        <w:rPr>
          <w:lang w:val="es-ES_tradnl"/>
        </w:rPr>
        <w:t xml:space="preserve">de las </w:t>
      </w:r>
      <w:r w:rsidR="00E44E59" w:rsidRPr="002720D0">
        <w:rPr>
          <w:lang w:val="es-ES_tradnl"/>
        </w:rPr>
        <w:t>Mujeres Solteras</w:t>
      </w:r>
      <w:r w:rsidR="003B6225" w:rsidRPr="002720D0">
        <w:rPr>
          <w:lang w:val="es-ES_tradnl"/>
        </w:rPr>
        <w:t xml:space="preserve">, </w:t>
      </w:r>
      <w:r w:rsidR="00E44E59" w:rsidRPr="002720D0">
        <w:rPr>
          <w:lang w:val="es-ES_tradnl"/>
        </w:rPr>
        <w:t xml:space="preserve">Viudas </w:t>
      </w:r>
      <w:r w:rsidR="003B6225" w:rsidRPr="002720D0">
        <w:rPr>
          <w:lang w:val="es-ES_tradnl"/>
        </w:rPr>
        <w:t xml:space="preserve">y </w:t>
      </w:r>
      <w:r w:rsidR="00E44E59" w:rsidRPr="002720D0">
        <w:rPr>
          <w:lang w:val="es-ES_tradnl"/>
        </w:rPr>
        <w:t xml:space="preserve">Divorciadas </w:t>
      </w:r>
      <w:r w:rsidR="003B6225" w:rsidRPr="002720D0">
        <w:rPr>
          <w:lang w:val="es-ES_tradnl"/>
        </w:rPr>
        <w:t xml:space="preserve">(1985) tipificaba como delito el embarazo de una niña que asistía a la escuela; la consecuencia era que las niñas en esa situación eran expulsadas de la escuela. </w:t>
      </w:r>
    </w:p>
    <w:p w:rsidR="00151021" w:rsidRPr="002720D0" w:rsidRDefault="004F6364" w:rsidP="004F6364">
      <w:pPr>
        <w:pStyle w:val="SingleTxtG"/>
        <w:tabs>
          <w:tab w:val="left" w:pos="-360"/>
        </w:tabs>
        <w:rPr>
          <w:lang w:val="es-ES_tradnl"/>
        </w:rPr>
      </w:pPr>
      <w:r w:rsidRPr="002720D0">
        <w:rPr>
          <w:lang w:val="es-ES_tradnl"/>
        </w:rPr>
        <w:t>45.</w:t>
      </w:r>
      <w:r w:rsidRPr="002720D0">
        <w:rPr>
          <w:lang w:val="es-ES_tradnl"/>
        </w:rPr>
        <w:tab/>
      </w:r>
      <w:r w:rsidR="00912E0F" w:rsidRPr="002720D0">
        <w:rPr>
          <w:lang w:val="es-ES_tradnl"/>
        </w:rPr>
        <w:t>El Estado p</w:t>
      </w:r>
      <w:r w:rsidR="0063575C" w:rsidRPr="002720D0">
        <w:rPr>
          <w:lang w:val="es-ES_tradnl"/>
        </w:rPr>
        <w:t>arte ha adoptado diversas medidas y programas pertinentes para la Convención</w:t>
      </w:r>
      <w:r w:rsidR="00912E0F" w:rsidRPr="002720D0">
        <w:rPr>
          <w:bCs/>
          <w:lang w:val="es-ES_tradnl"/>
        </w:rPr>
        <w:t>,</w:t>
      </w:r>
      <w:r w:rsidR="0063575C" w:rsidRPr="002720D0">
        <w:rPr>
          <w:bCs/>
          <w:lang w:val="es-ES_tradnl"/>
        </w:rPr>
        <w:t xml:space="preserve"> </w:t>
      </w:r>
      <w:r w:rsidR="0074022F">
        <w:rPr>
          <w:bCs/>
          <w:lang w:val="es-ES_tradnl"/>
        </w:rPr>
        <w:t>que se han emprendido</w:t>
      </w:r>
      <w:r w:rsidR="0063575C" w:rsidRPr="002720D0">
        <w:rPr>
          <w:bCs/>
          <w:lang w:val="es-ES_tradnl"/>
        </w:rPr>
        <w:t xml:space="preserve"> para dar seguimiento a la Declaración y al Programa de Acción de la Conferencia Mundial contra el Racismo, la Discriminación Racial, la Xenofobia y las Formas Conexas de Intolerancia de 2001</w:t>
      </w:r>
      <w:r w:rsidR="00321693" w:rsidRPr="002720D0">
        <w:rPr>
          <w:bCs/>
          <w:lang w:val="es-ES_tradnl"/>
        </w:rPr>
        <w:t>, teniendo en cuenta también la Observación general Nº 1 de 2001 del Comité sobre los propósitos de la educación (CRC/GC/2001/1).</w:t>
      </w:r>
      <w:r w:rsidR="00321693" w:rsidRPr="002720D0">
        <w:rPr>
          <w:lang w:val="es-ES_tradnl"/>
        </w:rPr>
        <w:t xml:space="preserve"> Estas medidas incluyen la incorporación en la Ley de la </w:t>
      </w:r>
      <w:r w:rsidR="00E44E59" w:rsidRPr="002720D0">
        <w:rPr>
          <w:lang w:val="es-ES_tradnl"/>
        </w:rPr>
        <w:t>Infancia</w:t>
      </w:r>
      <w:r w:rsidR="00321693" w:rsidRPr="002720D0">
        <w:rPr>
          <w:lang w:val="es-ES_tradnl"/>
        </w:rPr>
        <w:t xml:space="preserve">, la Ley de </w:t>
      </w:r>
      <w:r w:rsidR="00E44E59" w:rsidRPr="002720D0">
        <w:rPr>
          <w:lang w:val="es-ES_tradnl"/>
        </w:rPr>
        <w:t xml:space="preserve">Personas </w:t>
      </w:r>
      <w:r w:rsidR="00A05892" w:rsidRPr="002720D0">
        <w:rPr>
          <w:lang w:val="es-ES_tradnl"/>
        </w:rPr>
        <w:t xml:space="preserve">con </w:t>
      </w:r>
      <w:r w:rsidR="00E44E59" w:rsidRPr="002720D0">
        <w:rPr>
          <w:lang w:val="es-ES_tradnl"/>
        </w:rPr>
        <w:t xml:space="preserve">Discapacidad </w:t>
      </w:r>
      <w:r w:rsidR="00321693" w:rsidRPr="002720D0">
        <w:rPr>
          <w:lang w:val="es-ES_tradnl"/>
        </w:rPr>
        <w:t xml:space="preserve">y la Ley del </w:t>
      </w:r>
      <w:r w:rsidR="00E44E59" w:rsidRPr="002720D0">
        <w:rPr>
          <w:lang w:val="es-ES_tradnl"/>
        </w:rPr>
        <w:t xml:space="preserve">Niño </w:t>
      </w:r>
      <w:r w:rsidR="00321693" w:rsidRPr="002720D0">
        <w:rPr>
          <w:lang w:val="es-ES_tradnl"/>
        </w:rPr>
        <w:t xml:space="preserve">de Zanzíbar de disposiciones que prohíben la discriminación contra los niños en todos los aspectos que los </w:t>
      </w:r>
      <w:r w:rsidR="00F63128" w:rsidRPr="002720D0">
        <w:rPr>
          <w:lang w:val="es-ES_tradnl"/>
        </w:rPr>
        <w:t>atañen</w:t>
      </w:r>
      <w:r w:rsidR="00321693" w:rsidRPr="002720D0">
        <w:rPr>
          <w:lang w:val="es-ES_tradnl"/>
        </w:rPr>
        <w:t xml:space="preserve">. </w:t>
      </w:r>
    </w:p>
    <w:p w:rsidR="00151021" w:rsidRPr="002720D0" w:rsidRDefault="00EF122B" w:rsidP="00586395">
      <w:pPr>
        <w:pStyle w:val="H1G"/>
        <w:outlineLvl w:val="0"/>
        <w:rPr>
          <w:lang w:val="es-ES_tradnl"/>
        </w:rPr>
      </w:pPr>
      <w:bookmarkStart w:id="15" w:name="_Toc313470851"/>
      <w:r w:rsidRPr="002720D0">
        <w:rPr>
          <w:lang w:val="es-ES_tradnl"/>
        </w:rPr>
        <w:tab/>
      </w:r>
      <w:r w:rsidR="00151021" w:rsidRPr="002720D0">
        <w:rPr>
          <w:lang w:val="es-ES_tradnl"/>
        </w:rPr>
        <w:t>3.2</w:t>
      </w:r>
      <w:r w:rsidRPr="002720D0">
        <w:rPr>
          <w:lang w:val="es-ES_tradnl"/>
        </w:rPr>
        <w:tab/>
      </w:r>
      <w:r w:rsidR="00793489" w:rsidRPr="002720D0">
        <w:rPr>
          <w:lang w:val="es-ES_tradnl"/>
        </w:rPr>
        <w:t>Int</w:t>
      </w:r>
      <w:r w:rsidR="00496F04">
        <w:rPr>
          <w:lang w:val="es-ES_tradnl"/>
        </w:rPr>
        <w:t>erés superior del niño (art.</w:t>
      </w:r>
      <w:r w:rsidR="00793489" w:rsidRPr="002720D0">
        <w:rPr>
          <w:lang w:val="es-ES_tradnl"/>
        </w:rPr>
        <w:t xml:space="preserve"> </w:t>
      </w:r>
      <w:bookmarkEnd w:id="15"/>
      <w:r w:rsidRPr="002720D0">
        <w:rPr>
          <w:lang w:val="es-ES_tradnl"/>
        </w:rPr>
        <w:t>3)</w:t>
      </w:r>
    </w:p>
    <w:p w:rsidR="00151021" w:rsidRPr="002720D0" w:rsidRDefault="004F6364" w:rsidP="004F6364">
      <w:pPr>
        <w:pStyle w:val="SingleTxtG"/>
        <w:tabs>
          <w:tab w:val="left" w:pos="-360"/>
        </w:tabs>
        <w:rPr>
          <w:lang w:val="es-ES_tradnl"/>
        </w:rPr>
      </w:pPr>
      <w:r w:rsidRPr="002720D0">
        <w:rPr>
          <w:lang w:val="es-ES_tradnl"/>
        </w:rPr>
        <w:t>46.</w:t>
      </w:r>
      <w:r w:rsidRPr="002720D0">
        <w:rPr>
          <w:lang w:val="es-ES_tradnl"/>
        </w:rPr>
        <w:tab/>
      </w:r>
      <w:r w:rsidR="00793489" w:rsidRPr="002720D0">
        <w:rPr>
          <w:lang w:val="es-ES_tradnl"/>
        </w:rPr>
        <w:t>Si bien el Comité no efectuó recomendación alguna respecto de la aplicación del principio del interés s</w:t>
      </w:r>
      <w:r w:rsidR="00912E0F" w:rsidRPr="002720D0">
        <w:rPr>
          <w:lang w:val="es-ES_tradnl"/>
        </w:rPr>
        <w:t>uperior del niño por el Estado p</w:t>
      </w:r>
      <w:r w:rsidR="00793489" w:rsidRPr="002720D0">
        <w:rPr>
          <w:lang w:val="es-ES_tradnl"/>
        </w:rPr>
        <w:t xml:space="preserve">arte, este último ha adoptado y dado inicio a varias </w:t>
      </w:r>
      <w:r w:rsidR="00912E0F" w:rsidRPr="002720D0">
        <w:rPr>
          <w:lang w:val="es-ES_tradnl"/>
        </w:rPr>
        <w:t>medidas destinadas a atender a</w:t>
      </w:r>
      <w:r w:rsidR="00793489" w:rsidRPr="002720D0">
        <w:rPr>
          <w:lang w:val="es-ES_tradnl"/>
        </w:rPr>
        <w:t xml:space="preserve"> este principio y ponerlo en ejecución en consonancia con los párrafos 23 a 25 de las </w:t>
      </w:r>
      <w:r w:rsidR="00FB2AA5" w:rsidRPr="002720D0">
        <w:rPr>
          <w:lang w:val="es-ES_tradnl"/>
        </w:rPr>
        <w:t>Orientaciones generales respecto de la forma y el contenido de los informes que han de presentar los Estados partes en virtud del artículo 44, p</w:t>
      </w:r>
      <w:r w:rsidR="007E09D4" w:rsidRPr="002720D0">
        <w:rPr>
          <w:lang w:val="es-ES_tradnl"/>
        </w:rPr>
        <w:t>árrafo 1 b), de la Convención. Estas medidas t</w:t>
      </w:r>
      <w:r w:rsidR="00FB2AA5" w:rsidRPr="002720D0">
        <w:rPr>
          <w:lang w:val="es-ES_tradnl"/>
        </w:rPr>
        <w:t xml:space="preserve">ambién se han </w:t>
      </w:r>
      <w:r w:rsidR="007E09D4" w:rsidRPr="002720D0">
        <w:rPr>
          <w:lang w:val="es-ES_tradnl"/>
        </w:rPr>
        <w:t xml:space="preserve">tratado e invocado en decisiones legislativas, administrativas y judiciales. </w:t>
      </w:r>
    </w:p>
    <w:p w:rsidR="00CB237E" w:rsidRPr="002720D0" w:rsidRDefault="004F6364" w:rsidP="004F6364">
      <w:pPr>
        <w:pStyle w:val="SingleTxtG"/>
        <w:tabs>
          <w:tab w:val="left" w:pos="-360"/>
        </w:tabs>
        <w:rPr>
          <w:lang w:val="es-ES_tradnl"/>
        </w:rPr>
      </w:pPr>
      <w:r w:rsidRPr="002720D0">
        <w:rPr>
          <w:lang w:val="es-ES_tradnl"/>
        </w:rPr>
        <w:t>47.</w:t>
      </w:r>
      <w:r w:rsidRPr="002720D0">
        <w:rPr>
          <w:lang w:val="es-ES_tradnl"/>
        </w:rPr>
        <w:tab/>
      </w:r>
      <w:r w:rsidR="00CB237E" w:rsidRPr="002720D0">
        <w:rPr>
          <w:lang w:val="es-ES_tradnl"/>
        </w:rPr>
        <w:t>En el contexto legislativo, el Estad</w:t>
      </w:r>
      <w:r w:rsidR="00F63128" w:rsidRPr="002720D0">
        <w:rPr>
          <w:lang w:val="es-ES_tradnl"/>
        </w:rPr>
        <w:t>o p</w:t>
      </w:r>
      <w:r w:rsidR="00CB237E" w:rsidRPr="002720D0">
        <w:rPr>
          <w:lang w:val="es-ES_tradnl"/>
        </w:rPr>
        <w:t xml:space="preserve">arte ha promulgado disposiciones específicas por las que se reconoce y protege el interés superior del niño tanto en la Ley de la </w:t>
      </w:r>
      <w:r w:rsidR="00E44E59" w:rsidRPr="002720D0">
        <w:rPr>
          <w:lang w:val="es-ES_tradnl"/>
        </w:rPr>
        <w:t>Infancia</w:t>
      </w:r>
      <w:r w:rsidR="00E44E59">
        <w:rPr>
          <w:lang w:val="es-ES_tradnl"/>
        </w:rPr>
        <w:t xml:space="preserve"> </w:t>
      </w:r>
      <w:r w:rsidR="00CB237E" w:rsidRPr="002720D0">
        <w:rPr>
          <w:lang w:val="es-ES_tradnl"/>
        </w:rPr>
        <w:t xml:space="preserve">como en la Ley del </w:t>
      </w:r>
      <w:r w:rsidR="00E44E59" w:rsidRPr="002720D0">
        <w:rPr>
          <w:lang w:val="es-ES_tradnl"/>
        </w:rPr>
        <w:t xml:space="preserve">Niño </w:t>
      </w:r>
      <w:r w:rsidR="00CB237E" w:rsidRPr="002720D0">
        <w:rPr>
          <w:lang w:val="es-ES_tradnl"/>
        </w:rPr>
        <w:t xml:space="preserve">de Zanzíbar. En particular, el artículo 4 2) de la Ley de la </w:t>
      </w:r>
      <w:r w:rsidR="00E44E59" w:rsidRPr="002720D0">
        <w:rPr>
          <w:lang w:val="es-ES_tradnl"/>
        </w:rPr>
        <w:t xml:space="preserve">Infancia </w:t>
      </w:r>
      <w:r w:rsidR="00CB237E" w:rsidRPr="002720D0">
        <w:rPr>
          <w:lang w:val="es-ES_tradnl"/>
        </w:rPr>
        <w:t xml:space="preserve">(2009) exige que el interés superior del niño sea una consideración principal en todas las acciones relativas al niño, con independencia de que estas sean emprendidas por las instituciones públicas o privadas de bienestar social, los tribunales o los órganos de la administración. En el artículo 4 de la Ley del </w:t>
      </w:r>
      <w:r w:rsidR="00E44E59" w:rsidRPr="002720D0">
        <w:rPr>
          <w:lang w:val="es-ES_tradnl"/>
        </w:rPr>
        <w:t xml:space="preserve">Niño </w:t>
      </w:r>
      <w:r w:rsidR="00CB237E" w:rsidRPr="002720D0">
        <w:rPr>
          <w:lang w:val="es-ES_tradnl"/>
        </w:rPr>
        <w:t xml:space="preserve">de Zanzíbar se exponen en mayor detalle los factores que se han de tomar en consideración para determinar el interés superior del niño, comprendida la naturaleza de la relación personal entre el niño y sus progenitores, o cualquiera de ellos; y entre el niño y cualquier otra persona que se ocupe del niño o lo tenga a su cargo. Otro factor sería la actitud de ambos </w:t>
      </w:r>
      <w:r w:rsidR="00912E0F" w:rsidRPr="002720D0">
        <w:rPr>
          <w:lang w:val="es-ES_tradnl"/>
        </w:rPr>
        <w:t>progenitores</w:t>
      </w:r>
      <w:r w:rsidR="00CB237E" w:rsidRPr="002720D0">
        <w:rPr>
          <w:lang w:val="es-ES_tradnl"/>
        </w:rPr>
        <w:t xml:space="preserve">, o de cualquiera de </w:t>
      </w:r>
      <w:r w:rsidR="00912E0F" w:rsidRPr="002720D0">
        <w:rPr>
          <w:lang w:val="es-ES_tradnl"/>
        </w:rPr>
        <w:t>el</w:t>
      </w:r>
      <w:r w:rsidR="00CB237E" w:rsidRPr="002720D0">
        <w:rPr>
          <w:lang w:val="es-ES_tradnl"/>
        </w:rPr>
        <w:t xml:space="preserve">los, hacia el niño; el ejercicio de las responsabilidades y los derechos parentales respecto del niño; o la capacidad de ambos </w:t>
      </w:r>
      <w:r w:rsidR="00912E0F" w:rsidRPr="002720D0">
        <w:rPr>
          <w:lang w:val="es-ES_tradnl"/>
        </w:rPr>
        <w:t>progenitores</w:t>
      </w:r>
      <w:r w:rsidR="00CB237E" w:rsidRPr="002720D0">
        <w:rPr>
          <w:lang w:val="es-ES_tradnl"/>
        </w:rPr>
        <w:t xml:space="preserve"> o de cualquiera de ellos, o de los tutores o cualquier otra persona responsable del niño, para proveer para las necesidades del niño, comprendidas las necesidades emocionales e intelectuales. También insiste en tomar en consideración el efecto probable sobre el niño de cualquier cambio en sus circunstancias, comprendido el </w:t>
      </w:r>
      <w:r w:rsidR="00912E0F" w:rsidRPr="002720D0">
        <w:rPr>
          <w:lang w:val="es-ES_tradnl"/>
        </w:rPr>
        <w:t xml:space="preserve">que </w:t>
      </w:r>
      <w:r w:rsidR="00F63128" w:rsidRPr="002720D0">
        <w:rPr>
          <w:lang w:val="es-ES_tradnl"/>
        </w:rPr>
        <w:t>podría producir</w:t>
      </w:r>
      <w:r w:rsidR="00CB237E" w:rsidRPr="002720D0">
        <w:rPr>
          <w:lang w:val="es-ES_tradnl"/>
        </w:rPr>
        <w:t xml:space="preserve"> cualquier separación </w:t>
      </w:r>
      <w:r w:rsidR="00F63128" w:rsidRPr="002720D0">
        <w:rPr>
          <w:lang w:val="es-ES_tradnl"/>
        </w:rPr>
        <w:t>de sus padres o de uno de ellos,</w:t>
      </w:r>
      <w:r w:rsidR="00CB237E" w:rsidRPr="002720D0">
        <w:rPr>
          <w:lang w:val="es-ES_tradnl"/>
        </w:rPr>
        <w:t xml:space="preserve"> o de cualquier pariente o tutor o cualquier otra persona responsable del niño con quien el niño hubiera estado conviviendo. Asimismo, se habrá de prestar consideración a la dificultad práctica y el gasto que supon</w:t>
      </w:r>
      <w:r w:rsidR="00340540" w:rsidRPr="002720D0">
        <w:rPr>
          <w:lang w:val="es-ES_tradnl"/>
        </w:rPr>
        <w:t>e que un niño mantenga contacto</w:t>
      </w:r>
      <w:r w:rsidR="00CB237E" w:rsidRPr="002720D0">
        <w:rPr>
          <w:lang w:val="es-ES_tradnl"/>
        </w:rPr>
        <w:t xml:space="preserve"> con ambos </w:t>
      </w:r>
      <w:r w:rsidR="00340540" w:rsidRPr="002720D0">
        <w:rPr>
          <w:lang w:val="es-ES_tradnl"/>
        </w:rPr>
        <w:t>progenitores</w:t>
      </w:r>
      <w:r w:rsidR="00CB237E" w:rsidRPr="002720D0">
        <w:rPr>
          <w:lang w:val="es-ES_tradnl"/>
        </w:rPr>
        <w:t xml:space="preserve">, o con cualquiera de ellos, y si esa dificultad o gasto produciría un efecto considerable sobre el derecho del niño a mantener relaciones personales y un contacto directo con sus </w:t>
      </w:r>
      <w:r w:rsidR="00340540" w:rsidRPr="002720D0">
        <w:rPr>
          <w:lang w:val="es-ES_tradnl"/>
        </w:rPr>
        <w:t>progenitores</w:t>
      </w:r>
      <w:r w:rsidR="00CB237E" w:rsidRPr="002720D0">
        <w:rPr>
          <w:lang w:val="es-ES_tradnl"/>
        </w:rPr>
        <w:t xml:space="preserve">, o cualquiera de ellos, de manera habitual. La sección también incluye, como consideración primordial relativa al interés superior del niño, la necesidad de que este quede al cuidado de su progenitor, su familia y su familia ampliada; que mantenga un vínculo con su familia, su familia ampliada, su cultura o sus tradiciones; y que no sea </w:t>
      </w:r>
      <w:r w:rsidR="00340540" w:rsidRPr="002720D0">
        <w:rPr>
          <w:lang w:val="es-ES_tradnl"/>
        </w:rPr>
        <w:t>alejado</w:t>
      </w:r>
      <w:r w:rsidR="00CB237E" w:rsidRPr="002720D0">
        <w:rPr>
          <w:lang w:val="es-ES_tradnl"/>
        </w:rPr>
        <w:t xml:space="preserve"> de su lugar de residencia. Entre los factores adicionales se cuentan la edad, madurez y estado de desarrollo del niño, su sexo, origen y otras características pertinente</w:t>
      </w:r>
      <w:r w:rsidR="00340540" w:rsidRPr="002720D0">
        <w:rPr>
          <w:lang w:val="es-ES_tradnl"/>
        </w:rPr>
        <w:t>s</w:t>
      </w:r>
      <w:r w:rsidR="00CB237E" w:rsidRPr="002720D0">
        <w:rPr>
          <w:lang w:val="es-ES_tradnl"/>
        </w:rPr>
        <w:t>; la seguridad física y emocional del niño y su desarrollo intelectual, emocional, social y cultural; cualquier discapacidad que pueda afectar al niño; cualquier enfermedad crónica que pueda padecer; la necesidad del niño de criarse en un entorno familiar estable y, si ello no fu</w:t>
      </w:r>
      <w:r w:rsidR="00340540" w:rsidRPr="002720D0">
        <w:rPr>
          <w:lang w:val="es-ES_tradnl"/>
        </w:rPr>
        <w:t>era posible, en un entorno que guarde la máxima semejanza con</w:t>
      </w:r>
      <w:r w:rsidR="00CB237E" w:rsidRPr="002720D0">
        <w:rPr>
          <w:lang w:val="es-ES_tradnl"/>
        </w:rPr>
        <w:t xml:space="preserve"> u</w:t>
      </w:r>
      <w:r w:rsidR="00F63128" w:rsidRPr="002720D0">
        <w:rPr>
          <w:lang w:val="es-ES_tradnl"/>
        </w:rPr>
        <w:t>n entorno</w:t>
      </w:r>
      <w:r w:rsidR="00CB237E" w:rsidRPr="002720D0">
        <w:rPr>
          <w:lang w:val="es-ES_tradnl"/>
        </w:rPr>
        <w:t xml:space="preserve"> familiar</w:t>
      </w:r>
      <w:r w:rsidR="00F63128" w:rsidRPr="002720D0">
        <w:rPr>
          <w:lang w:val="es-ES_tradnl"/>
        </w:rPr>
        <w:t xml:space="preserve"> propicio</w:t>
      </w:r>
      <w:r w:rsidR="00CB237E" w:rsidRPr="002720D0">
        <w:rPr>
          <w:lang w:val="es-ES_tradnl"/>
        </w:rPr>
        <w:t xml:space="preserve">; y la necesidad de proteger al niño de cualquier menoscabo físico o psicológico que </w:t>
      </w:r>
      <w:r w:rsidR="00340540" w:rsidRPr="002720D0">
        <w:rPr>
          <w:lang w:val="es-ES_tradnl"/>
        </w:rPr>
        <w:t>pudiera</w:t>
      </w:r>
      <w:r w:rsidR="00CB237E" w:rsidRPr="002720D0">
        <w:rPr>
          <w:lang w:val="es-ES_tradnl"/>
        </w:rPr>
        <w:t xml:space="preserve"> derivarse de su exposición a malos tratos, abusos, negligencia, explotación o degradación, o a la violencia, explotación u otro comportamiento lesivo.</w:t>
      </w:r>
    </w:p>
    <w:p w:rsidR="00151021" w:rsidRPr="002720D0" w:rsidRDefault="004F6364" w:rsidP="004F6364">
      <w:pPr>
        <w:pStyle w:val="SingleTxtG"/>
        <w:tabs>
          <w:tab w:val="left" w:pos="-360"/>
        </w:tabs>
        <w:rPr>
          <w:lang w:val="es-ES_tradnl"/>
        </w:rPr>
      </w:pPr>
      <w:r w:rsidRPr="002720D0">
        <w:rPr>
          <w:lang w:val="es-ES_tradnl"/>
        </w:rPr>
        <w:t>48.</w:t>
      </w:r>
      <w:r w:rsidRPr="002720D0">
        <w:rPr>
          <w:lang w:val="es-ES_tradnl"/>
        </w:rPr>
        <w:tab/>
      </w:r>
      <w:r w:rsidR="00151021" w:rsidRPr="002720D0">
        <w:rPr>
          <w:lang w:val="es-ES_tradnl"/>
        </w:rPr>
        <w:t>Apart</w:t>
      </w:r>
      <w:r w:rsidR="00D17F3B" w:rsidRPr="002720D0">
        <w:rPr>
          <w:lang w:val="es-ES_tradnl"/>
        </w:rPr>
        <w:t xml:space="preserve">e de su arraigo en la legislación específica sobre la infancia que </w:t>
      </w:r>
      <w:r w:rsidR="00D7725E" w:rsidRPr="002720D0">
        <w:rPr>
          <w:lang w:val="es-ES_tradnl"/>
        </w:rPr>
        <w:t xml:space="preserve">arriba </w:t>
      </w:r>
      <w:r w:rsidR="00D17F3B" w:rsidRPr="002720D0">
        <w:rPr>
          <w:lang w:val="es-ES_tradnl"/>
        </w:rPr>
        <w:t xml:space="preserve">se relaciona, el Estado parte también ha incorporado el principio del interés superior del niño en otra legislación relacionada con </w:t>
      </w:r>
      <w:r w:rsidR="002041A2" w:rsidRPr="002720D0">
        <w:rPr>
          <w:lang w:val="es-ES_tradnl"/>
        </w:rPr>
        <w:t>el bienestar de la infancia. Po</w:t>
      </w:r>
      <w:r w:rsidR="00D17F3B" w:rsidRPr="002720D0">
        <w:rPr>
          <w:lang w:val="es-ES_tradnl"/>
        </w:rPr>
        <w:t>r</w:t>
      </w:r>
      <w:r w:rsidR="002041A2" w:rsidRPr="002720D0">
        <w:rPr>
          <w:lang w:val="es-ES_tradnl"/>
        </w:rPr>
        <w:t xml:space="preserve"> e</w:t>
      </w:r>
      <w:r w:rsidR="00D17F3B" w:rsidRPr="002720D0">
        <w:rPr>
          <w:lang w:val="es-ES_tradnl"/>
        </w:rPr>
        <w:t>jemplo</w:t>
      </w:r>
      <w:r w:rsidR="00340540" w:rsidRPr="002720D0">
        <w:rPr>
          <w:lang w:val="es-ES_tradnl"/>
        </w:rPr>
        <w:t>, en Zanzíbar el Estado p</w:t>
      </w:r>
      <w:r w:rsidR="00472A6B" w:rsidRPr="002720D0">
        <w:rPr>
          <w:lang w:val="es-ES_tradnl"/>
        </w:rPr>
        <w:t>arte ta</w:t>
      </w:r>
      <w:r w:rsidR="00D17F3B" w:rsidRPr="002720D0">
        <w:rPr>
          <w:lang w:val="es-ES_tradnl"/>
        </w:rPr>
        <w:t xml:space="preserve">mbién ha consagrado este principio en la Ley de </w:t>
      </w:r>
      <w:r w:rsidR="001C0E5F" w:rsidRPr="002720D0">
        <w:rPr>
          <w:lang w:val="es-ES_tradnl"/>
        </w:rPr>
        <w:t xml:space="preserve">Protección </w:t>
      </w:r>
      <w:r w:rsidR="00D17F3B" w:rsidRPr="002720D0">
        <w:rPr>
          <w:lang w:val="es-ES_tradnl"/>
        </w:rPr>
        <w:t xml:space="preserve">de los </w:t>
      </w:r>
      <w:r w:rsidR="001C0E5F" w:rsidRPr="002720D0">
        <w:rPr>
          <w:lang w:val="es-ES_tradnl"/>
        </w:rPr>
        <w:t xml:space="preserve">Niños </w:t>
      </w:r>
      <w:r w:rsidR="00D17F3B" w:rsidRPr="002720D0">
        <w:rPr>
          <w:lang w:val="es-ES_tradnl"/>
        </w:rPr>
        <w:t xml:space="preserve">de </w:t>
      </w:r>
      <w:r w:rsidR="001C0E5F" w:rsidRPr="002720D0">
        <w:rPr>
          <w:lang w:val="es-ES_tradnl"/>
        </w:rPr>
        <w:t xml:space="preserve">Mujeres Solteras </w:t>
      </w:r>
      <w:r w:rsidR="00D17F3B" w:rsidRPr="002720D0">
        <w:rPr>
          <w:lang w:val="es-ES_tradnl"/>
        </w:rPr>
        <w:t xml:space="preserve">y </w:t>
      </w:r>
      <w:r w:rsidR="001C0E5F" w:rsidRPr="002720D0">
        <w:rPr>
          <w:lang w:val="es-ES_tradnl"/>
        </w:rPr>
        <w:t xml:space="preserve">Hogares Monoparentales </w:t>
      </w:r>
      <w:r w:rsidR="00151021" w:rsidRPr="002720D0">
        <w:rPr>
          <w:lang w:val="es-ES_tradnl"/>
        </w:rPr>
        <w:t xml:space="preserve">(2005), </w:t>
      </w:r>
      <w:r w:rsidR="00D17F3B" w:rsidRPr="002720D0">
        <w:rPr>
          <w:lang w:val="es-ES_tradnl"/>
        </w:rPr>
        <w:t>que permite a las niñas que quedan embarazadas regresar a</w:t>
      </w:r>
      <w:r w:rsidR="002041A2" w:rsidRPr="002720D0">
        <w:rPr>
          <w:lang w:val="es-ES_tradnl"/>
        </w:rPr>
        <w:t xml:space="preserve"> la escuela después del parto. Anteriormente, l</w:t>
      </w:r>
      <w:r w:rsidR="00D17F3B" w:rsidRPr="002720D0">
        <w:rPr>
          <w:lang w:val="es-ES_tradnl"/>
        </w:rPr>
        <w:t>a le</w:t>
      </w:r>
      <w:r w:rsidR="002041A2" w:rsidRPr="002720D0">
        <w:rPr>
          <w:lang w:val="es-ES_tradnl"/>
        </w:rPr>
        <w:t xml:space="preserve">y revocada relativa a las alumnas embarazadas tipificaba como delito el embarazo de estas niñas; no obstante, esta posición legal fue descartada y sustituida por el principio de que, para proteger el interés superior de la niña </w:t>
      </w:r>
      <w:r w:rsidR="002041A2" w:rsidRPr="00B57F06">
        <w:rPr>
          <w:lang w:val="es-ES_tradnl"/>
        </w:rPr>
        <w:t>embarazada, no</w:t>
      </w:r>
      <w:r w:rsidR="002041A2" w:rsidRPr="002720D0">
        <w:rPr>
          <w:lang w:val="es-ES_tradnl"/>
        </w:rPr>
        <w:t xml:space="preserve"> es importante que se le permita regresar a la escuela después del </w:t>
      </w:r>
      <w:r w:rsidR="00B7203A" w:rsidRPr="002720D0">
        <w:rPr>
          <w:lang w:val="es-ES_tradnl"/>
        </w:rPr>
        <w:t>alumbramiento</w:t>
      </w:r>
      <w:r w:rsidR="002041A2" w:rsidRPr="002720D0">
        <w:rPr>
          <w:lang w:val="es-ES_tradnl"/>
        </w:rPr>
        <w:t xml:space="preserve"> y del período de lactancia, cuando ello sea médicamente aceptable</w:t>
      </w:r>
      <w:r w:rsidR="00340540"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49.</w:t>
      </w:r>
      <w:r w:rsidRPr="002720D0">
        <w:rPr>
          <w:lang w:val="es-ES_tradnl"/>
        </w:rPr>
        <w:tab/>
      </w:r>
      <w:r w:rsidR="000F7C77" w:rsidRPr="002720D0">
        <w:rPr>
          <w:lang w:val="es-ES_tradnl"/>
        </w:rPr>
        <w:t xml:space="preserve">El artículo 125 2) de la Ley de </w:t>
      </w:r>
      <w:r w:rsidR="00746B93" w:rsidRPr="002720D0">
        <w:rPr>
          <w:lang w:val="es-ES_tradnl"/>
        </w:rPr>
        <w:t xml:space="preserve">Matrimonio </w:t>
      </w:r>
      <w:r w:rsidR="000F7C77" w:rsidRPr="002720D0">
        <w:rPr>
          <w:lang w:val="es-ES_tradnl"/>
        </w:rPr>
        <w:t>de Tanzaní</w:t>
      </w:r>
      <w:r w:rsidR="00151021" w:rsidRPr="002720D0">
        <w:rPr>
          <w:lang w:val="es-ES_tradnl"/>
        </w:rPr>
        <w:t xml:space="preserve">a </w:t>
      </w:r>
      <w:r w:rsidR="000F7C77" w:rsidRPr="002720D0">
        <w:rPr>
          <w:lang w:val="es-ES_tradnl"/>
        </w:rPr>
        <w:t>continental</w:t>
      </w:r>
      <w:r w:rsidR="00151021" w:rsidRPr="002720D0">
        <w:rPr>
          <w:lang w:val="es-ES_tradnl"/>
        </w:rPr>
        <w:t xml:space="preserve"> (1971)</w:t>
      </w:r>
      <w:r w:rsidR="00151021" w:rsidRPr="002720D0">
        <w:rPr>
          <w:rStyle w:val="FootnoteReference"/>
          <w:lang w:val="es-ES_tradnl"/>
        </w:rPr>
        <w:footnoteReference w:id="23"/>
      </w:r>
      <w:r w:rsidR="00151021" w:rsidRPr="002720D0">
        <w:rPr>
          <w:lang w:val="es-ES_tradnl"/>
        </w:rPr>
        <w:t xml:space="preserve"> </w:t>
      </w:r>
      <w:r w:rsidR="000F7C77" w:rsidRPr="002720D0">
        <w:rPr>
          <w:lang w:val="es-ES_tradnl"/>
        </w:rPr>
        <w:t>dispone q</w:t>
      </w:r>
      <w:r w:rsidR="00340540" w:rsidRPr="002720D0">
        <w:rPr>
          <w:lang w:val="es-ES_tradnl"/>
        </w:rPr>
        <w:t>ue la principal consideración para</w:t>
      </w:r>
      <w:r w:rsidR="000F7C77" w:rsidRPr="002720D0">
        <w:rPr>
          <w:lang w:val="es-ES_tradnl"/>
        </w:rPr>
        <w:t xml:space="preserve"> conceder la guardia y custodia de un niño debe ser el </w:t>
      </w:r>
      <w:r w:rsidR="000F7C77" w:rsidRPr="002720D0">
        <w:rPr>
          <w:i/>
          <w:lang w:val="es-ES_tradnl"/>
        </w:rPr>
        <w:t>bienestar del niño</w:t>
      </w:r>
      <w:r w:rsidR="000F7C77" w:rsidRPr="002720D0">
        <w:rPr>
          <w:lang w:val="es-ES_tradnl"/>
        </w:rPr>
        <w:t xml:space="preserve">. La frase </w:t>
      </w:r>
      <w:r w:rsidR="001D2A53">
        <w:rPr>
          <w:lang w:val="es-ES_tradnl"/>
        </w:rPr>
        <w:t>"</w:t>
      </w:r>
      <w:r w:rsidR="000F7C77" w:rsidRPr="002720D0">
        <w:rPr>
          <w:lang w:val="es-ES_tradnl"/>
        </w:rPr>
        <w:t>el bienestar del niño</w:t>
      </w:r>
      <w:r w:rsidR="001D2A53">
        <w:rPr>
          <w:lang w:val="es-ES_tradnl"/>
        </w:rPr>
        <w:t>"</w:t>
      </w:r>
      <w:r w:rsidR="000F7C77" w:rsidRPr="002720D0">
        <w:rPr>
          <w:lang w:val="es-ES_tradnl"/>
        </w:rPr>
        <w:t xml:space="preserve"> se ha definido en el marco del principio del interés superior del niño</w:t>
      </w:r>
      <w:r w:rsidR="00CE784C" w:rsidRPr="002720D0">
        <w:rPr>
          <w:lang w:val="es-ES_tradnl"/>
        </w:rPr>
        <w:t>,</w:t>
      </w:r>
      <w:r w:rsidR="000F7C77" w:rsidRPr="002720D0">
        <w:rPr>
          <w:lang w:val="es-ES_tradnl"/>
        </w:rPr>
        <w:t xml:space="preserve"> consagrado en el</w:t>
      </w:r>
      <w:r w:rsidR="00CE784C" w:rsidRPr="002720D0">
        <w:rPr>
          <w:lang w:val="es-ES_tradnl"/>
        </w:rPr>
        <w:t xml:space="preserve"> artículo 3 de la Convención. La</w:t>
      </w:r>
      <w:r w:rsidR="000F7C77" w:rsidRPr="002720D0">
        <w:rPr>
          <w:lang w:val="es-ES_tradnl"/>
        </w:rPr>
        <w:t xml:space="preserve"> principal </w:t>
      </w:r>
      <w:r w:rsidR="00CE784C" w:rsidRPr="002720D0">
        <w:rPr>
          <w:lang w:val="es-ES_tradnl"/>
        </w:rPr>
        <w:t>decisión</w:t>
      </w:r>
      <w:r w:rsidR="000F7C77" w:rsidRPr="002720D0">
        <w:rPr>
          <w:lang w:val="es-ES_tradnl"/>
        </w:rPr>
        <w:t xml:space="preserve"> judicial </w:t>
      </w:r>
      <w:r w:rsidR="00340540" w:rsidRPr="002720D0">
        <w:rPr>
          <w:lang w:val="es-ES_tradnl"/>
        </w:rPr>
        <w:t xml:space="preserve">en la </w:t>
      </w:r>
      <w:r w:rsidR="000F7C77" w:rsidRPr="002720D0">
        <w:rPr>
          <w:lang w:val="es-ES_tradnl"/>
        </w:rPr>
        <w:t xml:space="preserve">que </w:t>
      </w:r>
      <w:r w:rsidR="00340540" w:rsidRPr="002720D0">
        <w:rPr>
          <w:lang w:val="es-ES_tradnl"/>
        </w:rPr>
        <w:t>se formularon</w:t>
      </w:r>
      <w:r w:rsidR="00CE784C" w:rsidRPr="002720D0">
        <w:rPr>
          <w:lang w:val="es-ES_tradnl"/>
        </w:rPr>
        <w:t xml:space="preserve"> observaci</w:t>
      </w:r>
      <w:r w:rsidR="00340540" w:rsidRPr="002720D0">
        <w:rPr>
          <w:lang w:val="es-ES_tradnl"/>
        </w:rPr>
        <w:t>ones sobre este principio fue la dictada</w:t>
      </w:r>
      <w:r w:rsidR="00CE784C" w:rsidRPr="002720D0">
        <w:rPr>
          <w:lang w:val="es-ES_tradnl"/>
        </w:rPr>
        <w:t xml:space="preserve"> en la causa </w:t>
      </w:r>
      <w:r w:rsidR="00CE784C" w:rsidRPr="002720D0">
        <w:rPr>
          <w:i/>
          <w:lang w:val="es-ES_tradnl"/>
        </w:rPr>
        <w:t>Ramesh Rajput c.</w:t>
      </w:r>
      <w:r w:rsidR="00151021" w:rsidRPr="002720D0">
        <w:rPr>
          <w:i/>
          <w:lang w:val="es-ES_tradnl"/>
        </w:rPr>
        <w:t xml:space="preserve"> Mrs</w:t>
      </w:r>
      <w:r w:rsidR="00C45FCB">
        <w:rPr>
          <w:i/>
          <w:lang w:val="es-ES_tradnl"/>
        </w:rPr>
        <w:t>.</w:t>
      </w:r>
      <w:r w:rsidR="00151021" w:rsidRPr="002720D0">
        <w:rPr>
          <w:i/>
          <w:lang w:val="es-ES_tradnl"/>
        </w:rPr>
        <w:t xml:space="preserve"> S. Rajput</w:t>
      </w:r>
      <w:r w:rsidR="00151021" w:rsidRPr="002720D0">
        <w:rPr>
          <w:rStyle w:val="FootnoteReference"/>
          <w:lang w:val="es-ES_tradnl"/>
        </w:rPr>
        <w:footnoteReference w:id="24"/>
      </w:r>
      <w:r w:rsidR="00CE784C" w:rsidRPr="002720D0">
        <w:rPr>
          <w:lang w:val="es-ES_tradnl"/>
        </w:rPr>
        <w:t xml:space="preserve">; en esa decisión, el Tribunal de Apelaciones de </w:t>
      </w:r>
      <w:r w:rsidR="004E5B2C" w:rsidRPr="002720D0">
        <w:rPr>
          <w:lang w:val="es-ES_tradnl"/>
        </w:rPr>
        <w:t>Tanzanía</w:t>
      </w:r>
      <w:r w:rsidR="00CE784C" w:rsidRPr="002720D0">
        <w:rPr>
          <w:lang w:val="es-ES_tradnl"/>
        </w:rPr>
        <w:t xml:space="preserve"> dictaminó que el factor más importante en las actuaciones relativas a la guardia y custodia es el </w:t>
      </w:r>
      <w:r w:rsidR="00CE784C" w:rsidRPr="002720D0">
        <w:rPr>
          <w:i/>
          <w:lang w:val="es-ES_tradnl"/>
        </w:rPr>
        <w:t>bienestar del niño</w:t>
      </w:r>
      <w:r w:rsidR="00CE784C" w:rsidRPr="002720D0">
        <w:rPr>
          <w:lang w:val="es-ES_tradnl"/>
        </w:rPr>
        <w:t xml:space="preserve">; y que un niño de </w:t>
      </w:r>
      <w:r w:rsidR="0072709B" w:rsidRPr="002720D0">
        <w:rPr>
          <w:lang w:val="es-ES_tradnl"/>
        </w:rPr>
        <w:t>2</w:t>
      </w:r>
      <w:r w:rsidR="00CE784C" w:rsidRPr="002720D0">
        <w:rPr>
          <w:lang w:val="es-ES_tradnl"/>
        </w:rPr>
        <w:t xml:space="preserve"> años de edad debería estar con la madre, salvo que</w:t>
      </w:r>
      <w:r w:rsidR="00340540" w:rsidRPr="002720D0">
        <w:rPr>
          <w:lang w:val="es-ES_tradnl"/>
        </w:rPr>
        <w:t xml:space="preserve"> hubiera motivos de peso en</w:t>
      </w:r>
      <w:r w:rsidR="00CE784C" w:rsidRPr="002720D0">
        <w:rPr>
          <w:lang w:val="es-ES_tradnl"/>
        </w:rPr>
        <w:t xml:space="preserve"> contrario. </w:t>
      </w:r>
      <w:r w:rsidR="006A433B" w:rsidRPr="002720D0">
        <w:rPr>
          <w:lang w:val="es-ES_tradnl"/>
        </w:rPr>
        <w:t xml:space="preserve">Esta decisión ha sentado jurisprudencia entre los tribunales del Estado </w:t>
      </w:r>
      <w:r w:rsidRPr="002720D0">
        <w:rPr>
          <w:lang w:val="es-ES_tradnl"/>
        </w:rPr>
        <w:t>parte</w:t>
      </w:r>
      <w:r w:rsidR="006A433B" w:rsidRPr="002720D0">
        <w:rPr>
          <w:lang w:val="es-ES_tradnl"/>
        </w:rPr>
        <w:t xml:space="preserve">, entre otras causas en las de </w:t>
      </w:r>
      <w:r w:rsidR="006A433B" w:rsidRPr="002720D0">
        <w:rPr>
          <w:i/>
          <w:lang w:val="es-ES_tradnl"/>
        </w:rPr>
        <w:t>Halima Kahema c</w:t>
      </w:r>
      <w:r w:rsidR="00151021" w:rsidRPr="002720D0">
        <w:rPr>
          <w:i/>
          <w:lang w:val="es-ES_tradnl"/>
        </w:rPr>
        <w:t>. Jayantilal G. Karia</w:t>
      </w:r>
      <w:r w:rsidR="00151021" w:rsidRPr="002720D0">
        <w:rPr>
          <w:rStyle w:val="FootnoteReference"/>
          <w:lang w:val="es-ES_tradnl"/>
        </w:rPr>
        <w:footnoteReference w:id="25"/>
      </w:r>
      <w:r w:rsidR="00151021" w:rsidRPr="002720D0">
        <w:rPr>
          <w:lang w:val="es-ES_tradnl"/>
        </w:rPr>
        <w:t xml:space="preserve"> </w:t>
      </w:r>
      <w:r w:rsidR="006A433B" w:rsidRPr="002720D0">
        <w:rPr>
          <w:lang w:val="es-ES_tradnl"/>
        </w:rPr>
        <w:t>y de</w:t>
      </w:r>
      <w:r w:rsidR="00151021" w:rsidRPr="002720D0">
        <w:rPr>
          <w:lang w:val="es-ES_tradnl"/>
        </w:rPr>
        <w:t xml:space="preserve"> </w:t>
      </w:r>
      <w:r w:rsidR="00151021" w:rsidRPr="002720D0">
        <w:rPr>
          <w:i/>
          <w:lang w:val="es-ES_tradnl"/>
        </w:rPr>
        <w:t>Pulcheria Pundugu</w:t>
      </w:r>
      <w:r w:rsidR="006A433B" w:rsidRPr="002720D0">
        <w:rPr>
          <w:i/>
          <w:lang w:val="es-ES_tradnl"/>
        </w:rPr>
        <w:t xml:space="preserve"> c</w:t>
      </w:r>
      <w:r w:rsidR="00151021" w:rsidRPr="002720D0">
        <w:rPr>
          <w:i/>
          <w:lang w:val="es-ES_tradnl"/>
        </w:rPr>
        <w:t>. Samuel Huma Pundugu</w:t>
      </w:r>
      <w:r w:rsidR="00151021" w:rsidRPr="002720D0">
        <w:rPr>
          <w:rStyle w:val="FootnoteReference"/>
          <w:lang w:val="es-ES_tradnl"/>
        </w:rPr>
        <w:footnoteReference w:id="26"/>
      </w:r>
      <w:r w:rsidR="006A433B" w:rsidRPr="002720D0">
        <w:rPr>
          <w:lang w:val="es-ES_tradnl"/>
        </w:rPr>
        <w:t xml:space="preserve">, </w:t>
      </w:r>
      <w:r w:rsidR="00FD2389" w:rsidRPr="002720D0">
        <w:rPr>
          <w:lang w:val="es-ES_tradnl"/>
        </w:rPr>
        <w:t>en las que el Tribunal Supr</w:t>
      </w:r>
      <w:r w:rsidR="00340540" w:rsidRPr="002720D0">
        <w:rPr>
          <w:lang w:val="es-ES_tradnl"/>
        </w:rPr>
        <w:t xml:space="preserve">emo de Tanzanía dictaminó que </w:t>
      </w:r>
      <w:r w:rsidR="001D2A53">
        <w:rPr>
          <w:lang w:val="es-ES_tradnl"/>
        </w:rPr>
        <w:t>"</w:t>
      </w:r>
      <w:r w:rsidR="00340540" w:rsidRPr="002720D0">
        <w:rPr>
          <w:lang w:val="es-ES_tradnl"/>
        </w:rPr>
        <w:t>a</w:t>
      </w:r>
      <w:r w:rsidR="00FD2389" w:rsidRPr="002720D0">
        <w:rPr>
          <w:lang w:val="es-ES_tradnl"/>
        </w:rPr>
        <w:t xml:space="preserve">l tomar una decisión respecto a quién se le debería conceder la custodia de un niño de corta edad, el Tribunal está obligado (en virtud del artículo 125 2) de la Ley de </w:t>
      </w:r>
      <w:r w:rsidR="00746B93" w:rsidRPr="002720D0">
        <w:rPr>
          <w:lang w:val="es-ES_tradnl"/>
        </w:rPr>
        <w:t>Matrimonio</w:t>
      </w:r>
      <w:r w:rsidR="00FD2389" w:rsidRPr="002720D0">
        <w:rPr>
          <w:lang w:val="es-ES_tradnl"/>
        </w:rPr>
        <w:t>) a tomar en cuenta la consideración primordial relativa al biene</w:t>
      </w:r>
      <w:r w:rsidR="00340540" w:rsidRPr="002720D0">
        <w:rPr>
          <w:lang w:val="es-ES_tradnl"/>
        </w:rPr>
        <w:t>star de los niños de corta edad</w:t>
      </w:r>
      <w:r w:rsidR="001D2A53">
        <w:rPr>
          <w:lang w:val="es-ES_tradnl"/>
        </w:rPr>
        <w:t>"</w:t>
      </w:r>
      <w:r w:rsidR="00340540"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50.</w:t>
      </w:r>
      <w:r w:rsidRPr="002720D0">
        <w:rPr>
          <w:lang w:val="es-ES_tradnl"/>
        </w:rPr>
        <w:tab/>
      </w:r>
      <w:r w:rsidR="00726510" w:rsidRPr="002720D0">
        <w:rPr>
          <w:lang w:val="es-ES_tradnl"/>
        </w:rPr>
        <w:t xml:space="preserve">El principio del bienestar para la determinación de la guardia y custodia de los niños habidos dentro del matrimonio se vio reforzado en relación con la causa </w:t>
      </w:r>
      <w:r w:rsidR="00726510" w:rsidRPr="002720D0">
        <w:rPr>
          <w:i/>
          <w:lang w:val="es-ES_tradnl"/>
        </w:rPr>
        <w:t>Gertrude B. Mwombera c</w:t>
      </w:r>
      <w:r w:rsidR="00151021" w:rsidRPr="002720D0">
        <w:rPr>
          <w:i/>
          <w:lang w:val="es-ES_tradnl"/>
        </w:rPr>
        <w:t>. Elias John Anyandwile</w:t>
      </w:r>
      <w:r w:rsidR="00151021" w:rsidRPr="002720D0">
        <w:rPr>
          <w:rStyle w:val="FootnoteReference"/>
          <w:lang w:val="es-ES_tradnl"/>
        </w:rPr>
        <w:footnoteReference w:id="27"/>
      </w:r>
      <w:r w:rsidR="00726510" w:rsidRPr="002720D0">
        <w:rPr>
          <w:i/>
          <w:lang w:val="es-ES_tradnl"/>
        </w:rPr>
        <w:t>.</w:t>
      </w:r>
      <w:r w:rsidR="00726510" w:rsidRPr="002720D0">
        <w:rPr>
          <w:lang w:val="es-ES_tradnl"/>
        </w:rPr>
        <w:t xml:space="preserve"> En esta causa, el juez de primera instancia denegó la guardia y custodia de los hijos a la demandante (la madre) basándose exclusivamente en su insolvencia económica. </w:t>
      </w:r>
      <w:r w:rsidR="0072709B" w:rsidRPr="002720D0">
        <w:rPr>
          <w:lang w:val="es-ES_tradnl"/>
        </w:rPr>
        <w:t xml:space="preserve">En relación con este fallo, </w:t>
      </w:r>
      <w:r w:rsidR="00812A5E" w:rsidRPr="002720D0">
        <w:rPr>
          <w:lang w:val="es-ES_tradnl"/>
        </w:rPr>
        <w:t xml:space="preserve">Kimaro </w:t>
      </w:r>
      <w:r w:rsidR="0072709B" w:rsidRPr="002720D0">
        <w:rPr>
          <w:lang w:val="es-ES_tradnl"/>
        </w:rPr>
        <w:t xml:space="preserve">J. </w:t>
      </w:r>
      <w:r w:rsidR="00812A5E" w:rsidRPr="002720D0">
        <w:rPr>
          <w:lang w:val="es-ES_tradnl"/>
        </w:rPr>
        <w:t xml:space="preserve">(el nombre por el que era conocida entonces) opinó lo siguiente: </w:t>
      </w:r>
      <w:r w:rsidR="001D2A53">
        <w:rPr>
          <w:lang w:val="es-ES_tradnl"/>
        </w:rPr>
        <w:t>"</w:t>
      </w:r>
      <w:r w:rsidR="00812A5E" w:rsidRPr="002720D0">
        <w:rPr>
          <w:lang w:val="es-ES_tradnl"/>
        </w:rPr>
        <w:t>Respecto del asunto de la custodia de los hijos, el juez de primera instancia erró al considerar la capacidad económica de las partes como el factor principal para la determinación de la guardia y custodia</w:t>
      </w:r>
      <w:r w:rsidR="001D2A53">
        <w:rPr>
          <w:lang w:val="es-ES_tradnl"/>
        </w:rPr>
        <w:t>"</w:t>
      </w:r>
      <w:r w:rsidR="00812A5E" w:rsidRPr="002720D0">
        <w:rPr>
          <w:lang w:val="es-ES_tradnl"/>
        </w:rPr>
        <w:t>. Además, el Tribunal estimó lo sigu</w:t>
      </w:r>
      <w:r w:rsidR="00CB237E" w:rsidRPr="002720D0">
        <w:rPr>
          <w:lang w:val="es-ES_tradnl"/>
        </w:rPr>
        <w:t>i</w:t>
      </w:r>
      <w:r w:rsidR="00812A5E" w:rsidRPr="002720D0">
        <w:rPr>
          <w:lang w:val="es-ES_tradnl"/>
        </w:rPr>
        <w:t xml:space="preserve">ente: </w:t>
      </w:r>
      <w:r w:rsidR="001D2A53">
        <w:rPr>
          <w:lang w:val="es-ES_tradnl"/>
        </w:rPr>
        <w:t>"</w:t>
      </w:r>
      <w:r w:rsidR="00812A5E" w:rsidRPr="002720D0">
        <w:rPr>
          <w:lang w:val="es-ES_tradnl"/>
        </w:rPr>
        <w:t xml:space="preserve">En virtud del artículo 125 de la Ley de </w:t>
      </w:r>
      <w:r w:rsidR="00746B93" w:rsidRPr="002720D0">
        <w:rPr>
          <w:lang w:val="es-ES_tradnl"/>
        </w:rPr>
        <w:t>Matrimonio</w:t>
      </w:r>
      <w:r w:rsidR="00812A5E" w:rsidRPr="002720D0">
        <w:rPr>
          <w:lang w:val="es-ES_tradnl"/>
        </w:rPr>
        <w:t xml:space="preserve">, 1971, </w:t>
      </w:r>
      <w:r w:rsidR="00812A5E" w:rsidRPr="002720D0">
        <w:rPr>
          <w:i/>
          <w:lang w:val="es-ES_tradnl"/>
        </w:rPr>
        <w:t xml:space="preserve">el bienestar de los hijos pasa a convertirse en la consideración primordial: bajo la custodia de quién progresará bien el niño en lo correspondiente a los cuidados, el amor y el afecto, las necesidades, </w:t>
      </w:r>
      <w:r w:rsidR="00151021" w:rsidRPr="002720D0">
        <w:rPr>
          <w:i/>
          <w:lang w:val="es-ES_tradnl"/>
        </w:rPr>
        <w:t>etc</w:t>
      </w:r>
      <w:r w:rsidR="00812A5E" w:rsidRPr="00950B30">
        <w:rPr>
          <w:i/>
          <w:lang w:val="es-ES_tradnl"/>
        </w:rPr>
        <w:t>.</w:t>
      </w:r>
      <w:r w:rsidR="00812A5E" w:rsidRPr="002720D0">
        <w:rPr>
          <w:lang w:val="es-ES_tradnl"/>
        </w:rPr>
        <w:t xml:space="preserve"> El mero hecho de que uno de los cónyuges no cuente con un empleo ofici</w:t>
      </w:r>
      <w:r w:rsidR="00340540" w:rsidRPr="002720D0">
        <w:rPr>
          <w:lang w:val="es-ES_tradnl"/>
        </w:rPr>
        <w:t xml:space="preserve">al no es determinante </w:t>
      </w:r>
      <w:r w:rsidR="00812A5E" w:rsidRPr="002720D0">
        <w:rPr>
          <w:lang w:val="es-ES_tradnl"/>
        </w:rPr>
        <w:t xml:space="preserve">de su falta de idoneidad respecto de la custodia de los hijos. </w:t>
      </w:r>
      <w:r w:rsidR="00812A5E" w:rsidRPr="002720D0">
        <w:rPr>
          <w:i/>
          <w:lang w:val="es-ES_tradnl"/>
        </w:rPr>
        <w:t xml:space="preserve">El juez </w:t>
      </w:r>
      <w:r w:rsidR="0072709B" w:rsidRPr="002720D0">
        <w:rPr>
          <w:i/>
          <w:lang w:val="es-ES_tradnl"/>
        </w:rPr>
        <w:t>debe</w:t>
      </w:r>
      <w:r w:rsidR="00812A5E" w:rsidRPr="002720D0">
        <w:rPr>
          <w:i/>
          <w:lang w:val="es-ES_tradnl"/>
        </w:rPr>
        <w:t xml:space="preserve"> tomar en consideración todos los asuntos correspondientes al principio de bienestar antes de llegar a una determinación en cuanto a quién conceder la guardia y custodia de los hijos del matrimonio</w:t>
      </w:r>
      <w:r w:rsidR="001D2A53">
        <w:rPr>
          <w:lang w:val="es-ES_tradnl"/>
        </w:rPr>
        <w:t>"</w:t>
      </w:r>
      <w:r w:rsidR="00746B93">
        <w:rPr>
          <w:lang w:val="es-ES_tradnl"/>
        </w:rPr>
        <w:t>.</w:t>
      </w:r>
      <w:r w:rsidR="00812A5E" w:rsidRPr="002720D0">
        <w:rPr>
          <w:lang w:val="es-ES_tradnl"/>
        </w:rPr>
        <w:t xml:space="preserve"> (Sin cursivas en el original.)</w:t>
      </w:r>
    </w:p>
    <w:p w:rsidR="00151021" w:rsidRPr="002720D0" w:rsidRDefault="00EF122B" w:rsidP="00586395">
      <w:pPr>
        <w:pStyle w:val="H1G"/>
        <w:outlineLvl w:val="0"/>
        <w:rPr>
          <w:lang w:val="es-ES_tradnl"/>
        </w:rPr>
      </w:pPr>
      <w:bookmarkStart w:id="16" w:name="_Toc313470852"/>
      <w:r w:rsidRPr="002720D0">
        <w:rPr>
          <w:lang w:val="es-ES_tradnl"/>
        </w:rPr>
        <w:tab/>
      </w:r>
      <w:r w:rsidR="00151021" w:rsidRPr="002720D0">
        <w:rPr>
          <w:lang w:val="es-ES_tradnl"/>
        </w:rPr>
        <w:t>3.3</w:t>
      </w:r>
      <w:r w:rsidRPr="002720D0">
        <w:rPr>
          <w:lang w:val="es-ES_tradnl"/>
        </w:rPr>
        <w:tab/>
      </w:r>
      <w:r w:rsidR="00812A5E" w:rsidRPr="002720D0">
        <w:rPr>
          <w:lang w:val="es-ES_tradnl"/>
        </w:rPr>
        <w:t>Derecho a la vida, a la supervi</w:t>
      </w:r>
      <w:r w:rsidR="00035412" w:rsidRPr="002720D0">
        <w:rPr>
          <w:lang w:val="es-ES_tradnl"/>
        </w:rPr>
        <w:t>vencia y al desarrollo (art.</w:t>
      </w:r>
      <w:r w:rsidR="00812A5E" w:rsidRPr="002720D0">
        <w:rPr>
          <w:lang w:val="es-ES_tradnl"/>
        </w:rPr>
        <w:t xml:space="preserve"> </w:t>
      </w:r>
      <w:bookmarkEnd w:id="16"/>
      <w:r w:rsidR="00151021" w:rsidRPr="002720D0">
        <w:rPr>
          <w:lang w:val="es-ES_tradnl"/>
        </w:rPr>
        <w:t>6)</w:t>
      </w:r>
    </w:p>
    <w:p w:rsidR="00151021" w:rsidRPr="002720D0" w:rsidRDefault="004F6364" w:rsidP="004F6364">
      <w:pPr>
        <w:pStyle w:val="SingleTxtG"/>
        <w:tabs>
          <w:tab w:val="left" w:pos="-360"/>
        </w:tabs>
        <w:rPr>
          <w:lang w:val="es-ES_tradnl"/>
        </w:rPr>
      </w:pPr>
      <w:r w:rsidRPr="002720D0">
        <w:rPr>
          <w:lang w:val="es-ES_tradnl"/>
        </w:rPr>
        <w:t>51.</w:t>
      </w:r>
      <w:r w:rsidRPr="002720D0">
        <w:rPr>
          <w:lang w:val="es-ES_tradnl"/>
        </w:rPr>
        <w:tab/>
      </w:r>
      <w:r w:rsidR="0099460A" w:rsidRPr="002720D0">
        <w:rPr>
          <w:lang w:val="es-ES_tradnl"/>
        </w:rPr>
        <w:t>Si bien el Comité no incluyó ninguna r</w:t>
      </w:r>
      <w:r w:rsidR="00035412" w:rsidRPr="002720D0">
        <w:rPr>
          <w:lang w:val="es-ES_tradnl"/>
        </w:rPr>
        <w:t>ecomendación específica en sus O</w:t>
      </w:r>
      <w:r w:rsidR="0099460A" w:rsidRPr="002720D0">
        <w:rPr>
          <w:lang w:val="es-ES_tradnl"/>
        </w:rPr>
        <w:t xml:space="preserve">bservaciones finales </w:t>
      </w:r>
      <w:r w:rsidR="00035412" w:rsidRPr="002720D0">
        <w:rPr>
          <w:lang w:val="es-ES_tradnl"/>
        </w:rPr>
        <w:t>previas</w:t>
      </w:r>
      <w:r w:rsidR="0099460A" w:rsidRPr="002720D0">
        <w:rPr>
          <w:lang w:val="es-ES_tradnl"/>
        </w:rPr>
        <w:t xml:space="preserve"> en relación con el derecho a la vida, a la superviven</w:t>
      </w:r>
      <w:r w:rsidR="00035412" w:rsidRPr="002720D0">
        <w:rPr>
          <w:lang w:val="es-ES_tradnl"/>
        </w:rPr>
        <w:t>cia y al desarrollo, el Estado p</w:t>
      </w:r>
      <w:r w:rsidR="0099460A" w:rsidRPr="002720D0">
        <w:rPr>
          <w:lang w:val="es-ES_tradnl"/>
        </w:rPr>
        <w:t>arte ha tomado medidas legislativas judiciales y administrativas destinadas a velar por la eficaz aplicación d</w:t>
      </w:r>
      <w:r w:rsidR="00472A6B" w:rsidRPr="002720D0">
        <w:rPr>
          <w:lang w:val="es-ES_tradnl"/>
        </w:rPr>
        <w:t>e este derecho en su jurisdicci</w:t>
      </w:r>
      <w:r w:rsidR="0099460A" w:rsidRPr="002720D0">
        <w:rPr>
          <w:lang w:val="es-ES_tradnl"/>
        </w:rPr>
        <w:t xml:space="preserve">ón. El Estado parte considera que el derecho a la vida, a la supervivencia y al desarrollo es un derecho fundamental de todos los seres humanos </w:t>
      </w:r>
      <w:r w:rsidR="00035412" w:rsidRPr="002720D0">
        <w:rPr>
          <w:lang w:val="es-ES_tradnl"/>
        </w:rPr>
        <w:t>inherente a</w:t>
      </w:r>
      <w:r w:rsidR="0099460A" w:rsidRPr="002720D0">
        <w:rPr>
          <w:lang w:val="es-ES_tradnl"/>
        </w:rPr>
        <w:t xml:space="preserve"> su disfrute de otros derechos humanos. En este contexto, el Estado parte ha promulgado el derecho a la vida en </w:t>
      </w:r>
      <w:r w:rsidR="00035412" w:rsidRPr="002720D0">
        <w:rPr>
          <w:lang w:val="es-ES_tradnl"/>
        </w:rPr>
        <w:t>sus dos Constituciones, a saber:</w:t>
      </w:r>
      <w:r w:rsidR="0099460A" w:rsidRPr="002720D0">
        <w:rPr>
          <w:lang w:val="es-ES_tradnl"/>
        </w:rPr>
        <w:t xml:space="preserve"> en el artículo 13 de la Constitución de Zanzíbar (1984) y en el artículo 12 de la Constitución de la República Unida de Tanzanía </w:t>
      </w:r>
      <w:r w:rsidR="00151021" w:rsidRPr="002720D0">
        <w:rPr>
          <w:lang w:val="es-ES_tradnl"/>
        </w:rPr>
        <w:t xml:space="preserve">(1977). </w:t>
      </w:r>
      <w:r w:rsidR="0099460A" w:rsidRPr="002720D0">
        <w:rPr>
          <w:lang w:val="es-ES_tradnl"/>
        </w:rPr>
        <w:t xml:space="preserve">Este fundamento constitucional sirve de base para la prohibición tanto por la Ley </w:t>
      </w:r>
      <w:r w:rsidR="00834FB9" w:rsidRPr="002720D0">
        <w:rPr>
          <w:lang w:val="es-ES_tradnl"/>
        </w:rPr>
        <w:t xml:space="preserve">Penal </w:t>
      </w:r>
      <w:r w:rsidR="0099460A" w:rsidRPr="002720D0">
        <w:rPr>
          <w:lang w:val="es-ES_tradnl"/>
        </w:rPr>
        <w:t xml:space="preserve">de Zanzíbar </w:t>
      </w:r>
      <w:r w:rsidR="00151021" w:rsidRPr="002720D0">
        <w:rPr>
          <w:lang w:val="es-ES_tradnl"/>
        </w:rPr>
        <w:t xml:space="preserve">(2004) </w:t>
      </w:r>
      <w:r w:rsidR="00035412" w:rsidRPr="002720D0">
        <w:rPr>
          <w:lang w:val="es-ES_tradnl"/>
        </w:rPr>
        <w:t>como por</w:t>
      </w:r>
      <w:r w:rsidR="009225B4" w:rsidRPr="002720D0">
        <w:rPr>
          <w:lang w:val="es-ES_tradnl"/>
        </w:rPr>
        <w:t xml:space="preserve"> el Código Penal de Tanzanía continental </w:t>
      </w:r>
      <w:r w:rsidR="00035412" w:rsidRPr="002720D0">
        <w:rPr>
          <w:lang w:val="es-ES_tradnl"/>
        </w:rPr>
        <w:t>de</w:t>
      </w:r>
      <w:r w:rsidR="009225B4" w:rsidRPr="002720D0">
        <w:rPr>
          <w:lang w:val="es-ES_tradnl"/>
        </w:rPr>
        <w:t xml:space="preserve"> la imposición a los niños de la pena d</w:t>
      </w:r>
      <w:r w:rsidR="00035412" w:rsidRPr="002720D0">
        <w:rPr>
          <w:lang w:val="es-ES_tradnl"/>
        </w:rPr>
        <w:t>e muerte. Jurídicamente, esto</w:t>
      </w:r>
      <w:r w:rsidR="009225B4" w:rsidRPr="002720D0">
        <w:rPr>
          <w:lang w:val="es-ES_tradnl"/>
        </w:rPr>
        <w:t xml:space="preserve"> significa que</w:t>
      </w:r>
      <w:r w:rsidR="00980F20" w:rsidRPr="002720D0">
        <w:rPr>
          <w:lang w:val="es-ES_tradnl"/>
        </w:rPr>
        <w:t>, en virtud del</w:t>
      </w:r>
      <w:r w:rsidR="00035412" w:rsidRPr="002720D0">
        <w:rPr>
          <w:lang w:val="es-ES_tradnl"/>
        </w:rPr>
        <w:t xml:space="preserve"> sistema penal del Estado p</w:t>
      </w:r>
      <w:r w:rsidR="009225B4" w:rsidRPr="002720D0">
        <w:rPr>
          <w:lang w:val="es-ES_tradnl"/>
        </w:rPr>
        <w:t>arte</w:t>
      </w:r>
      <w:r w:rsidR="00035412" w:rsidRPr="002720D0">
        <w:rPr>
          <w:lang w:val="es-ES_tradnl"/>
        </w:rPr>
        <w:t>,</w:t>
      </w:r>
      <w:r w:rsidR="009225B4" w:rsidRPr="002720D0">
        <w:rPr>
          <w:lang w:val="es-ES_tradnl"/>
        </w:rPr>
        <w:t xml:space="preserve"> incluso si se declarase a un niño culpable de un delito sancionado con la pena capital, es decir, un delito </w:t>
      </w:r>
      <w:r w:rsidR="00035412" w:rsidRPr="002720D0">
        <w:rPr>
          <w:lang w:val="es-ES_tradnl"/>
        </w:rPr>
        <w:t xml:space="preserve">que sería </w:t>
      </w:r>
      <w:r w:rsidR="009225B4" w:rsidRPr="002720D0">
        <w:rPr>
          <w:lang w:val="es-ES_tradnl"/>
        </w:rPr>
        <w:t xml:space="preserve">punible con la pena </w:t>
      </w:r>
      <w:r w:rsidR="004318CF" w:rsidRPr="002720D0">
        <w:rPr>
          <w:lang w:val="es-ES_tradnl"/>
        </w:rPr>
        <w:t>de muerte</w:t>
      </w:r>
      <w:r w:rsidR="009225B4" w:rsidRPr="002720D0">
        <w:rPr>
          <w:lang w:val="es-ES_tradnl"/>
        </w:rPr>
        <w:t xml:space="preserve"> si el autor hubiera sido un adulto, el niño no será sancionado con esa pena.</w:t>
      </w:r>
      <w:r w:rsidR="00035412"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52.</w:t>
      </w:r>
      <w:r w:rsidRPr="002720D0">
        <w:rPr>
          <w:lang w:val="es-ES_tradnl"/>
        </w:rPr>
        <w:tab/>
      </w:r>
      <w:r w:rsidR="009225B4" w:rsidRPr="002720D0">
        <w:rPr>
          <w:lang w:val="es-ES_tradnl"/>
        </w:rPr>
        <w:t>En el cont</w:t>
      </w:r>
      <w:r w:rsidR="008478C8" w:rsidRPr="002720D0">
        <w:rPr>
          <w:lang w:val="es-ES_tradnl"/>
        </w:rPr>
        <w:t>exto administrativo, el Estado p</w:t>
      </w:r>
      <w:r w:rsidR="009225B4" w:rsidRPr="002720D0">
        <w:rPr>
          <w:lang w:val="es-ES_tradnl"/>
        </w:rPr>
        <w:t xml:space="preserve">arte ha elaborado y </w:t>
      </w:r>
      <w:r w:rsidR="00657D5A" w:rsidRPr="002720D0">
        <w:rPr>
          <w:lang w:val="es-ES_tradnl"/>
        </w:rPr>
        <w:t>puesto en práctica</w:t>
      </w:r>
      <w:r w:rsidR="009225B4" w:rsidRPr="002720D0">
        <w:rPr>
          <w:lang w:val="es-ES_tradnl"/>
        </w:rPr>
        <w:t xml:space="preserve"> varios proyectos, programas y servicios </w:t>
      </w:r>
      <w:r w:rsidR="00657D5A" w:rsidRPr="002720D0">
        <w:rPr>
          <w:lang w:val="es-ES_tradnl"/>
        </w:rPr>
        <w:t>que afectan</w:t>
      </w:r>
      <w:r w:rsidR="009225B4" w:rsidRPr="002720D0">
        <w:rPr>
          <w:lang w:val="es-ES_tradnl"/>
        </w:rPr>
        <w:t xml:space="preserve"> el de</w:t>
      </w:r>
      <w:r w:rsidR="00657D5A" w:rsidRPr="002720D0">
        <w:rPr>
          <w:lang w:val="es-ES_tradnl"/>
        </w:rPr>
        <w:t xml:space="preserve">recho de los niños a la vida, </w:t>
      </w:r>
      <w:r w:rsidR="009225B4" w:rsidRPr="002720D0">
        <w:rPr>
          <w:lang w:val="es-ES_tradnl"/>
        </w:rPr>
        <w:t xml:space="preserve">la </w:t>
      </w:r>
      <w:r w:rsidR="00657D5A" w:rsidRPr="002720D0">
        <w:rPr>
          <w:lang w:val="es-ES_tradnl"/>
        </w:rPr>
        <w:t>supervivencia y e</w:t>
      </w:r>
      <w:r w:rsidR="009225B4" w:rsidRPr="002720D0">
        <w:rPr>
          <w:lang w:val="es-ES_tradnl"/>
        </w:rPr>
        <w:t xml:space="preserve">l desarrollo. Entre ellos se incluyen, en Zanzíbar, </w:t>
      </w:r>
      <w:r w:rsidR="00151021" w:rsidRPr="002720D0">
        <w:rPr>
          <w:i/>
          <w:lang w:val="es-ES_tradnl"/>
        </w:rPr>
        <w:t>Young Child Survival Protection and Development (YCSPD)</w:t>
      </w:r>
      <w:r w:rsidR="009225B4" w:rsidRPr="002720D0">
        <w:rPr>
          <w:i/>
          <w:lang w:val="es-ES_tradnl"/>
        </w:rPr>
        <w:t xml:space="preserve"> </w:t>
      </w:r>
      <w:r w:rsidR="00657D5A" w:rsidRPr="002720D0">
        <w:rPr>
          <w:lang w:val="es-ES_tradnl"/>
        </w:rPr>
        <w:t>(</w:t>
      </w:r>
      <w:r w:rsidR="001C7E1C">
        <w:rPr>
          <w:lang w:val="es-ES_tradnl"/>
        </w:rPr>
        <w:t>"</w:t>
      </w:r>
      <w:r w:rsidR="00B5607E" w:rsidRPr="002720D0">
        <w:rPr>
          <w:lang w:val="es-ES_tradnl"/>
        </w:rPr>
        <w:t>Protección y desarrollo para la supervive</w:t>
      </w:r>
      <w:r w:rsidR="00657D5A" w:rsidRPr="002720D0">
        <w:rPr>
          <w:lang w:val="es-ES_tradnl"/>
        </w:rPr>
        <w:t>ncia de los niños de corta edad</w:t>
      </w:r>
      <w:r w:rsidR="001C7E1C">
        <w:rPr>
          <w:lang w:val="es-ES_tradnl"/>
        </w:rPr>
        <w:t>"</w:t>
      </w:r>
      <w:r w:rsidR="00B5607E" w:rsidRPr="002720D0">
        <w:rPr>
          <w:lang w:val="es-ES_tradnl"/>
        </w:rPr>
        <w:t>);</w:t>
      </w:r>
      <w:r w:rsidR="00151021" w:rsidRPr="002720D0">
        <w:rPr>
          <w:lang w:val="es-ES_tradnl"/>
        </w:rPr>
        <w:t xml:space="preserve"> </w:t>
      </w:r>
      <w:r w:rsidR="00151021" w:rsidRPr="002720D0">
        <w:rPr>
          <w:i/>
          <w:lang w:val="es-ES_tradnl"/>
        </w:rPr>
        <w:t>Integrated Management of Child Illness (IMCI)</w:t>
      </w:r>
      <w:r w:rsidR="00657D5A" w:rsidRPr="002720D0">
        <w:rPr>
          <w:lang w:val="es-ES_tradnl"/>
        </w:rPr>
        <w:t xml:space="preserve"> (</w:t>
      </w:r>
      <w:r w:rsidR="001C7E1C">
        <w:rPr>
          <w:lang w:val="es-ES_tradnl"/>
        </w:rPr>
        <w:t>"</w:t>
      </w:r>
      <w:r w:rsidR="00DE7F22">
        <w:rPr>
          <w:lang w:val="es-ES_tradnl"/>
        </w:rPr>
        <w:t>Gestión </w:t>
      </w:r>
      <w:r w:rsidR="00B5607E" w:rsidRPr="002720D0">
        <w:rPr>
          <w:lang w:val="es-ES_tradnl"/>
        </w:rPr>
        <w:t>inte</w:t>
      </w:r>
      <w:r w:rsidR="00657D5A" w:rsidRPr="002720D0">
        <w:rPr>
          <w:lang w:val="es-ES_tradnl"/>
        </w:rPr>
        <w:t>grada de la enfermedad infantil</w:t>
      </w:r>
      <w:r w:rsidR="001C7E1C">
        <w:rPr>
          <w:lang w:val="es-ES_tradnl"/>
        </w:rPr>
        <w:t>"</w:t>
      </w:r>
      <w:r w:rsidR="00B5607E" w:rsidRPr="002720D0">
        <w:rPr>
          <w:lang w:val="es-ES_tradnl"/>
        </w:rPr>
        <w:t>);</w:t>
      </w:r>
      <w:r w:rsidR="001D2A53">
        <w:rPr>
          <w:lang w:val="es-ES_tradnl"/>
        </w:rPr>
        <w:t xml:space="preserve"> </w:t>
      </w:r>
      <w:r w:rsidR="00B57F06">
        <w:rPr>
          <w:i/>
          <w:lang w:val="es-ES_tradnl"/>
        </w:rPr>
        <w:t>Expanded</w:t>
      </w:r>
      <w:r w:rsidR="00151021" w:rsidRPr="002720D0">
        <w:rPr>
          <w:i/>
          <w:lang w:val="es-ES_tradnl"/>
        </w:rPr>
        <w:t xml:space="preserve"> Programme on Immunization (EPI)</w:t>
      </w:r>
      <w:r w:rsidR="00657D5A" w:rsidRPr="002720D0">
        <w:rPr>
          <w:lang w:val="es-ES_tradnl"/>
        </w:rPr>
        <w:t xml:space="preserve"> (</w:t>
      </w:r>
      <w:r w:rsidR="001C7E1C">
        <w:rPr>
          <w:lang w:val="es-ES_tradnl"/>
        </w:rPr>
        <w:t>"</w:t>
      </w:r>
      <w:r w:rsidR="00B5607E" w:rsidRPr="002720D0">
        <w:rPr>
          <w:lang w:val="es-ES_tradnl"/>
        </w:rPr>
        <w:t>Pr</w:t>
      </w:r>
      <w:r w:rsidR="00657D5A" w:rsidRPr="002720D0">
        <w:rPr>
          <w:lang w:val="es-ES_tradnl"/>
        </w:rPr>
        <w:t>ograma ampliado de inmunización</w:t>
      </w:r>
      <w:r w:rsidR="001C7E1C">
        <w:rPr>
          <w:lang w:val="es-ES_tradnl"/>
        </w:rPr>
        <w:t>"</w:t>
      </w:r>
      <w:r w:rsidR="00B5607E" w:rsidRPr="002720D0">
        <w:rPr>
          <w:lang w:val="es-ES_tradnl"/>
        </w:rPr>
        <w:t xml:space="preserve">); </w:t>
      </w:r>
      <w:r w:rsidR="00151021" w:rsidRPr="002720D0">
        <w:rPr>
          <w:i/>
          <w:lang w:val="es-ES_tradnl"/>
        </w:rPr>
        <w:t>Community Based Rehabilitation (CBR)</w:t>
      </w:r>
      <w:r w:rsidR="00657D5A" w:rsidRPr="002720D0">
        <w:rPr>
          <w:lang w:val="es-ES_tradnl"/>
        </w:rPr>
        <w:t xml:space="preserve"> (</w:t>
      </w:r>
      <w:r w:rsidR="001C7E1C">
        <w:rPr>
          <w:lang w:val="es-ES_tradnl"/>
        </w:rPr>
        <w:t>"</w:t>
      </w:r>
      <w:r w:rsidR="008478C8" w:rsidRPr="002720D0">
        <w:rPr>
          <w:lang w:val="es-ES_tradnl"/>
        </w:rPr>
        <w:t>Rehabilitación en la comunidad</w:t>
      </w:r>
      <w:r w:rsidR="001C7E1C">
        <w:rPr>
          <w:lang w:val="es-ES_tradnl"/>
        </w:rPr>
        <w:t>"</w:t>
      </w:r>
      <w:r w:rsidR="00B5607E" w:rsidRPr="002720D0">
        <w:rPr>
          <w:lang w:val="es-ES_tradnl"/>
        </w:rPr>
        <w:t>)</w:t>
      </w:r>
      <w:r w:rsidR="00151021" w:rsidRPr="002720D0">
        <w:rPr>
          <w:lang w:val="es-ES_tradnl"/>
        </w:rPr>
        <w:t xml:space="preserve">; </w:t>
      </w:r>
      <w:r w:rsidR="00151021" w:rsidRPr="002720D0">
        <w:rPr>
          <w:i/>
          <w:lang w:val="es-ES_tradnl"/>
        </w:rPr>
        <w:t>Prevention of Mother to Child Transmission Programme (PMTCT)</w:t>
      </w:r>
      <w:r w:rsidR="00B5607E" w:rsidRPr="002720D0">
        <w:rPr>
          <w:i/>
          <w:lang w:val="es-ES_tradnl"/>
        </w:rPr>
        <w:t xml:space="preserve"> </w:t>
      </w:r>
      <w:r w:rsidR="00560BF2" w:rsidRPr="002720D0">
        <w:rPr>
          <w:lang w:val="es-ES_tradnl"/>
        </w:rPr>
        <w:t>(</w:t>
      </w:r>
      <w:r w:rsidR="001C7E1C">
        <w:rPr>
          <w:lang w:val="es-ES_tradnl"/>
        </w:rPr>
        <w:t>"</w:t>
      </w:r>
      <w:r w:rsidR="00B5607E" w:rsidRPr="002720D0">
        <w:rPr>
          <w:lang w:val="es-ES_tradnl"/>
        </w:rPr>
        <w:t>Programa de prevención de</w:t>
      </w:r>
      <w:r w:rsidR="00560BF2" w:rsidRPr="002720D0">
        <w:rPr>
          <w:lang w:val="es-ES_tradnl"/>
        </w:rPr>
        <w:t xml:space="preserve"> la transmisión maternoinfantil</w:t>
      </w:r>
      <w:r w:rsidR="001C7E1C">
        <w:rPr>
          <w:lang w:val="es-ES_tradnl"/>
        </w:rPr>
        <w:t>"</w:t>
      </w:r>
      <w:r w:rsidR="00B5607E" w:rsidRPr="002720D0">
        <w:rPr>
          <w:lang w:val="es-ES_tradnl"/>
        </w:rPr>
        <w:t>)</w:t>
      </w:r>
      <w:r w:rsidR="00151021" w:rsidRPr="002720D0">
        <w:rPr>
          <w:lang w:val="es-ES_tradnl"/>
        </w:rPr>
        <w:t xml:space="preserve">; </w:t>
      </w:r>
      <w:r w:rsidR="00151021" w:rsidRPr="002720D0">
        <w:rPr>
          <w:i/>
          <w:lang w:val="es-ES_tradnl"/>
        </w:rPr>
        <w:t>Nutrition Programme, Reproductive Child Health (RCH)</w:t>
      </w:r>
      <w:r w:rsidR="00560BF2" w:rsidRPr="002720D0">
        <w:rPr>
          <w:i/>
          <w:lang w:val="es-ES_tradnl"/>
        </w:rPr>
        <w:t xml:space="preserve"> </w:t>
      </w:r>
      <w:r w:rsidR="00560BF2" w:rsidRPr="002720D0">
        <w:rPr>
          <w:lang w:val="es-ES_tradnl"/>
        </w:rPr>
        <w:t>(</w:t>
      </w:r>
      <w:r w:rsidR="00B5607E" w:rsidRPr="002720D0">
        <w:rPr>
          <w:lang w:val="es-ES_tradnl"/>
        </w:rPr>
        <w:t>Programa de nutrición</w:t>
      </w:r>
      <w:r w:rsidR="00560BF2" w:rsidRPr="002720D0">
        <w:rPr>
          <w:lang w:val="es-ES_tradnl"/>
        </w:rPr>
        <w:t>, salud reproductiva y del niño</w:t>
      </w:r>
      <w:r w:rsidR="00B5607E" w:rsidRPr="002720D0">
        <w:rPr>
          <w:lang w:val="es-ES_tradnl"/>
        </w:rPr>
        <w:t>)</w:t>
      </w:r>
      <w:r w:rsidR="00151021" w:rsidRPr="002720D0">
        <w:rPr>
          <w:lang w:val="es-ES_tradnl"/>
        </w:rPr>
        <w:t xml:space="preserve">; </w:t>
      </w:r>
      <w:r w:rsidR="00B5607E" w:rsidRPr="002720D0">
        <w:rPr>
          <w:lang w:val="es-ES_tradnl"/>
        </w:rPr>
        <w:t>y el programa</w:t>
      </w:r>
      <w:r w:rsidR="00151021" w:rsidRPr="002720D0">
        <w:rPr>
          <w:lang w:val="es-ES_tradnl"/>
        </w:rPr>
        <w:t xml:space="preserve"> </w:t>
      </w:r>
      <w:r w:rsidR="00151021" w:rsidRPr="002720D0">
        <w:rPr>
          <w:i/>
          <w:lang w:val="es-ES_tradnl"/>
        </w:rPr>
        <w:t>Zanzibar Basic Education Improvement Programme (ZABEIP)</w:t>
      </w:r>
      <w:r w:rsidR="00B5607E" w:rsidRPr="002720D0">
        <w:rPr>
          <w:i/>
          <w:lang w:val="es-ES_tradnl"/>
        </w:rPr>
        <w:t xml:space="preserve"> </w:t>
      </w:r>
      <w:r w:rsidR="00560BF2" w:rsidRPr="002720D0">
        <w:rPr>
          <w:lang w:val="es-ES_tradnl"/>
        </w:rPr>
        <w:t>(</w:t>
      </w:r>
      <w:r w:rsidR="001C7E1C">
        <w:rPr>
          <w:lang w:val="es-ES_tradnl"/>
        </w:rPr>
        <w:t>"</w:t>
      </w:r>
      <w:r w:rsidR="00B5607E" w:rsidRPr="002720D0">
        <w:rPr>
          <w:lang w:val="es-ES_tradnl"/>
        </w:rPr>
        <w:t>Programa de Zanzíbar para l</w:t>
      </w:r>
      <w:r w:rsidR="00560BF2" w:rsidRPr="002720D0">
        <w:rPr>
          <w:lang w:val="es-ES_tradnl"/>
        </w:rPr>
        <w:t>a mejora de la enseñanza básica</w:t>
      </w:r>
      <w:r w:rsidR="001C7E1C">
        <w:rPr>
          <w:lang w:val="es-ES_tradnl"/>
        </w:rPr>
        <w:t>"</w:t>
      </w:r>
      <w:r w:rsidR="00B5607E" w:rsidRPr="002720D0">
        <w:rPr>
          <w:lang w:val="es-ES_tradnl"/>
        </w:rPr>
        <w:t>)</w:t>
      </w:r>
      <w:r w:rsidR="00151021" w:rsidRPr="002720D0">
        <w:rPr>
          <w:lang w:val="es-ES_tradnl"/>
        </w:rPr>
        <w:t xml:space="preserve">. </w:t>
      </w:r>
    </w:p>
    <w:p w:rsidR="00151021" w:rsidRPr="002720D0" w:rsidRDefault="00EF122B" w:rsidP="00586395">
      <w:pPr>
        <w:pStyle w:val="H1G"/>
        <w:outlineLvl w:val="0"/>
        <w:rPr>
          <w:lang w:val="es-ES_tradnl"/>
        </w:rPr>
      </w:pPr>
      <w:bookmarkStart w:id="17" w:name="_Toc313470853"/>
      <w:r w:rsidRPr="002720D0">
        <w:rPr>
          <w:lang w:val="es-ES_tradnl"/>
        </w:rPr>
        <w:tab/>
      </w:r>
      <w:r w:rsidR="00151021" w:rsidRPr="002720D0">
        <w:rPr>
          <w:lang w:val="es-ES_tradnl"/>
        </w:rPr>
        <w:t>3.4</w:t>
      </w:r>
      <w:r w:rsidRPr="002720D0">
        <w:rPr>
          <w:lang w:val="es-ES_tradnl"/>
        </w:rPr>
        <w:tab/>
      </w:r>
      <w:r w:rsidR="00151021" w:rsidRPr="002720D0">
        <w:rPr>
          <w:lang w:val="es-ES_tradnl"/>
        </w:rPr>
        <w:t>R</w:t>
      </w:r>
      <w:r w:rsidR="006E6377" w:rsidRPr="002720D0">
        <w:rPr>
          <w:lang w:val="es-ES_tradnl"/>
        </w:rPr>
        <w:t>espeto p</w:t>
      </w:r>
      <w:r w:rsidR="00560BF2" w:rsidRPr="002720D0">
        <w:rPr>
          <w:lang w:val="es-ES_tradnl"/>
        </w:rPr>
        <w:t>or la opinión del niño (art.</w:t>
      </w:r>
      <w:r w:rsidR="006E6377" w:rsidRPr="002720D0">
        <w:rPr>
          <w:lang w:val="es-ES_tradnl"/>
        </w:rPr>
        <w:t xml:space="preserve"> </w:t>
      </w:r>
      <w:bookmarkEnd w:id="17"/>
      <w:r w:rsidR="00151021" w:rsidRPr="002720D0">
        <w:rPr>
          <w:lang w:val="es-ES_tradnl"/>
        </w:rPr>
        <w:t>12)</w:t>
      </w:r>
    </w:p>
    <w:p w:rsidR="00151021" w:rsidRPr="002720D0" w:rsidRDefault="004F6364" w:rsidP="004F6364">
      <w:pPr>
        <w:pStyle w:val="SingleTxtG"/>
        <w:tabs>
          <w:tab w:val="left" w:pos="-360"/>
        </w:tabs>
        <w:rPr>
          <w:lang w:val="es-ES_tradnl"/>
        </w:rPr>
      </w:pPr>
      <w:r w:rsidRPr="002720D0">
        <w:rPr>
          <w:lang w:val="es-ES_tradnl"/>
        </w:rPr>
        <w:t>53.</w:t>
      </w:r>
      <w:r w:rsidRPr="002720D0">
        <w:rPr>
          <w:lang w:val="es-ES_tradnl"/>
        </w:rPr>
        <w:tab/>
      </w:r>
      <w:r w:rsidR="00560BF2" w:rsidRPr="002720D0">
        <w:rPr>
          <w:lang w:val="es-ES_tradnl"/>
        </w:rPr>
        <w:t>En sus O</w:t>
      </w:r>
      <w:r w:rsidR="000F6B87" w:rsidRPr="002720D0">
        <w:rPr>
          <w:lang w:val="es-ES_tradnl"/>
        </w:rPr>
        <w:t xml:space="preserve">bservaciones finales previas, el Comité recomendó que </w:t>
      </w:r>
      <w:r w:rsidR="00560BF2" w:rsidRPr="002720D0">
        <w:rPr>
          <w:bCs/>
          <w:lang w:val="es-ES_tradnl"/>
        </w:rPr>
        <w:t>el Estado p</w:t>
      </w:r>
      <w:r w:rsidR="000F6B87" w:rsidRPr="002720D0">
        <w:rPr>
          <w:bCs/>
          <w:lang w:val="es-ES_tradnl"/>
        </w:rPr>
        <w:t>arte redoblara sus esfuerzos para que se tomaran en consideración como es debido las opiniones de los niños en la familia, las escuelas, los tribunales y demás situaciones administrativas o no administrativas pertinentes, de conformidad con el artículo 12 de la Convención.</w:t>
      </w:r>
      <w:r w:rsidR="001D2A53">
        <w:rPr>
          <w:bCs/>
          <w:lang w:val="es-ES_tradnl"/>
        </w:rPr>
        <w:t xml:space="preserve"> </w:t>
      </w:r>
      <w:r w:rsidR="000F6B87" w:rsidRPr="002720D0">
        <w:rPr>
          <w:bCs/>
          <w:lang w:val="es-ES_tradnl"/>
        </w:rPr>
        <w:t>También le recomendó que formalizara las estructuras para la participación de los niños y jóvenes y, en particular, que apoyara el Consejo Juvenil de modo que pudiera funcionar efectivamente como el órgano nacional de representación de la infancia.</w:t>
      </w:r>
      <w:r w:rsidR="001D2A53">
        <w:rPr>
          <w:bCs/>
          <w:lang w:val="es-ES_tradnl"/>
        </w:rPr>
        <w:t xml:space="preserve"> </w:t>
      </w:r>
      <w:r w:rsidR="000F6B87" w:rsidRPr="002720D0">
        <w:rPr>
          <w:bCs/>
          <w:lang w:val="es-ES_tradnl"/>
        </w:rPr>
        <w:t>Le recomendó asimismo que desarrollase estrategias para transmitir la información indispensable a los grupos infantiles más marginados y que los incluyera en los debates públicos, colaborando con todas las partes interesadas, especialmente en el plano local</w:t>
      </w:r>
      <w:r w:rsidR="00151021" w:rsidRPr="002720D0">
        <w:rPr>
          <w:lang w:val="es-ES_tradnl"/>
        </w:rPr>
        <w:t>.</w:t>
      </w:r>
      <w:r w:rsidR="003D2ED2"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54.</w:t>
      </w:r>
      <w:r w:rsidRPr="002720D0">
        <w:rPr>
          <w:lang w:val="es-ES_tradnl"/>
        </w:rPr>
        <w:tab/>
      </w:r>
      <w:r w:rsidR="000F6B87" w:rsidRPr="002720D0">
        <w:rPr>
          <w:lang w:val="es-ES_tradnl"/>
        </w:rPr>
        <w:t>En cumplimiento de las recomendaciones que anteceden, el Estado parte ha conservado la garantía constitucional del derecho a la libertad de expresión en sus d</w:t>
      </w:r>
      <w:r w:rsidR="00560BF2" w:rsidRPr="002720D0">
        <w:rPr>
          <w:lang w:val="es-ES_tradnl"/>
        </w:rPr>
        <w:t xml:space="preserve">os Constituciones </w:t>
      </w:r>
      <w:r w:rsidR="00410BB5" w:rsidRPr="00410BB5">
        <w:rPr>
          <w:lang w:val="es-ES"/>
        </w:rPr>
        <w:t>—</w:t>
      </w:r>
      <w:r w:rsidR="00560BF2" w:rsidRPr="002720D0">
        <w:rPr>
          <w:lang w:val="es-ES_tradnl"/>
        </w:rPr>
        <w:t>a saber, en e</w:t>
      </w:r>
      <w:r w:rsidR="000F6B87" w:rsidRPr="002720D0">
        <w:rPr>
          <w:lang w:val="es-ES_tradnl"/>
        </w:rPr>
        <w:t>l artículo 18 de l</w:t>
      </w:r>
      <w:r w:rsidR="00560BF2" w:rsidRPr="002720D0">
        <w:rPr>
          <w:lang w:val="es-ES_tradnl"/>
        </w:rPr>
        <w:t>a</w:t>
      </w:r>
      <w:r w:rsidR="000F6B87" w:rsidRPr="002720D0">
        <w:rPr>
          <w:lang w:val="es-ES_tradnl"/>
        </w:rPr>
        <w:t xml:space="preserve"> Constitución de la República Unida de Tanzanía y en la Const</w:t>
      </w:r>
      <w:r w:rsidR="00410BB5">
        <w:rPr>
          <w:lang w:val="es-ES_tradnl"/>
        </w:rPr>
        <w:t>itución de Zanzíbar</w:t>
      </w:r>
      <w:r w:rsidR="00410BB5" w:rsidRPr="00410BB5">
        <w:rPr>
          <w:lang w:val="es-ES"/>
        </w:rPr>
        <w:t>—</w:t>
      </w:r>
      <w:r w:rsidR="00560BF2" w:rsidRPr="002720D0">
        <w:rPr>
          <w:lang w:val="es-ES_tradnl"/>
        </w:rPr>
        <w:t xml:space="preserve"> </w:t>
      </w:r>
      <w:r w:rsidR="00601DCF" w:rsidRPr="002720D0">
        <w:rPr>
          <w:lang w:val="es-ES_tradnl"/>
        </w:rPr>
        <w:t>y</w:t>
      </w:r>
      <w:r w:rsidR="000F6B87" w:rsidRPr="002720D0">
        <w:rPr>
          <w:lang w:val="es-ES_tradnl"/>
        </w:rPr>
        <w:t xml:space="preserve"> ha </w:t>
      </w:r>
      <w:r w:rsidR="00601DCF" w:rsidRPr="002720D0">
        <w:rPr>
          <w:lang w:val="es-ES_tradnl"/>
        </w:rPr>
        <w:t>convertido l</w:t>
      </w:r>
      <w:r w:rsidR="000F6B87" w:rsidRPr="002720D0">
        <w:rPr>
          <w:lang w:val="es-ES_tradnl"/>
        </w:rPr>
        <w:t>a garantía constitucional del principio de respeto por la opinión del niño en una obligación</w:t>
      </w:r>
      <w:r w:rsidR="001D2A53">
        <w:rPr>
          <w:lang w:val="es-ES_tradnl"/>
        </w:rPr>
        <w:t xml:space="preserve"> </w:t>
      </w:r>
      <w:r w:rsidR="000F6B87" w:rsidRPr="002720D0">
        <w:rPr>
          <w:lang w:val="es-ES_tradnl"/>
        </w:rPr>
        <w:t xml:space="preserve">jurídica. En este contexto, la Ley del </w:t>
      </w:r>
      <w:r w:rsidR="00834FB9" w:rsidRPr="002720D0">
        <w:rPr>
          <w:lang w:val="es-ES_tradnl"/>
        </w:rPr>
        <w:t xml:space="preserve">Niño </w:t>
      </w:r>
      <w:r w:rsidR="000F6B87" w:rsidRPr="002720D0">
        <w:rPr>
          <w:lang w:val="es-ES_tradnl"/>
        </w:rPr>
        <w:t xml:space="preserve">de Zanzíbar (2011) </w:t>
      </w:r>
      <w:r w:rsidR="00DA34A3" w:rsidRPr="002720D0">
        <w:rPr>
          <w:lang w:val="es-ES_tradnl"/>
        </w:rPr>
        <w:t>requiere, en su artículo 5, que</w:t>
      </w:r>
      <w:r w:rsidR="008862A6" w:rsidRPr="002720D0">
        <w:rPr>
          <w:lang w:val="es-ES_tradnl"/>
        </w:rPr>
        <w:t xml:space="preserve"> el Estado </w:t>
      </w:r>
      <w:r w:rsidRPr="002720D0">
        <w:rPr>
          <w:lang w:val="es-ES_tradnl"/>
        </w:rPr>
        <w:t xml:space="preserve">parte </w:t>
      </w:r>
      <w:r w:rsidR="008862A6" w:rsidRPr="002720D0">
        <w:rPr>
          <w:lang w:val="es-ES_tradnl"/>
        </w:rPr>
        <w:t xml:space="preserve">vele por que </w:t>
      </w:r>
      <w:r w:rsidR="001D2A53">
        <w:rPr>
          <w:lang w:val="es-ES_tradnl"/>
        </w:rPr>
        <w:t>"</w:t>
      </w:r>
      <w:r w:rsidR="00DA34A3" w:rsidRPr="002720D0">
        <w:rPr>
          <w:lang w:val="es-ES_tradnl"/>
        </w:rPr>
        <w:t>se tomen en consideración como es debido las opiniones del niño</w:t>
      </w:r>
      <w:r w:rsidR="001D2A53">
        <w:rPr>
          <w:lang w:val="es-ES_tradnl"/>
        </w:rPr>
        <w:t>"</w:t>
      </w:r>
      <w:r w:rsidR="00DA34A3" w:rsidRPr="002720D0">
        <w:rPr>
          <w:lang w:val="es-ES_tradnl"/>
        </w:rPr>
        <w:t xml:space="preserve">. En relación con el artículo 11 de la Ley de la </w:t>
      </w:r>
      <w:r w:rsidR="00834FB9" w:rsidRPr="002720D0">
        <w:rPr>
          <w:lang w:val="es-ES_tradnl"/>
        </w:rPr>
        <w:t xml:space="preserve">Infancia </w:t>
      </w:r>
      <w:r w:rsidR="00DA34A3" w:rsidRPr="002720D0">
        <w:rPr>
          <w:lang w:val="es-ES_tradnl"/>
        </w:rPr>
        <w:t xml:space="preserve">(2009), el niño tiene </w:t>
      </w:r>
      <w:r w:rsidR="001D2A53">
        <w:rPr>
          <w:lang w:val="es-ES_tradnl"/>
        </w:rPr>
        <w:t>"</w:t>
      </w:r>
      <w:r w:rsidR="00DA34A3" w:rsidRPr="002720D0">
        <w:rPr>
          <w:lang w:val="es-ES_tradnl"/>
        </w:rPr>
        <w:t>derecho a opinar y nadie privará a un niño capaz de formar una o</w:t>
      </w:r>
      <w:r w:rsidR="00601DCF" w:rsidRPr="002720D0">
        <w:rPr>
          <w:lang w:val="es-ES_tradnl"/>
        </w:rPr>
        <w:t>pinión el derecho a expresar su opinión</w:t>
      </w:r>
      <w:r w:rsidR="00DA34A3" w:rsidRPr="002720D0">
        <w:rPr>
          <w:lang w:val="es-ES_tradnl"/>
        </w:rPr>
        <w:t>, a ser escuchado y a participar en las decisiones que afecten a su bienestar</w:t>
      </w:r>
      <w:r w:rsidR="001D2A53">
        <w:rPr>
          <w:lang w:val="es-ES_tradnl"/>
        </w:rPr>
        <w:t>"</w:t>
      </w:r>
      <w:r w:rsidR="00DA34A3"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55.</w:t>
      </w:r>
      <w:r w:rsidRPr="002720D0">
        <w:rPr>
          <w:lang w:val="es-ES_tradnl"/>
        </w:rPr>
        <w:tab/>
      </w:r>
      <w:r w:rsidR="00601DCF" w:rsidRPr="002720D0">
        <w:rPr>
          <w:lang w:val="es-ES_tradnl"/>
        </w:rPr>
        <w:t>Por consiguiente, el Estado p</w:t>
      </w:r>
      <w:r w:rsidR="00DA34A3" w:rsidRPr="002720D0">
        <w:rPr>
          <w:lang w:val="es-ES_tradnl"/>
        </w:rPr>
        <w:t>arte ha establecido en todos los municipios consejos infantiles, representados en el Consejo Infantil Nacional. La representación en estos consejos se corresponde a distinto</w:t>
      </w:r>
      <w:r w:rsidR="00601DCF" w:rsidRPr="002720D0">
        <w:rPr>
          <w:lang w:val="es-ES_tradnl"/>
        </w:rPr>
        <w:t>s grupos de niños del Estado p</w:t>
      </w:r>
      <w:r w:rsidR="00DA34A3" w:rsidRPr="002720D0">
        <w:rPr>
          <w:lang w:val="es-ES_tradnl"/>
        </w:rPr>
        <w:t xml:space="preserve">arte, entre ellos los niños con albinismo; los niños de los sectores marginados de </w:t>
      </w:r>
      <w:r w:rsidR="00472A6B" w:rsidRPr="002720D0">
        <w:rPr>
          <w:lang w:val="es-ES_tradnl"/>
        </w:rPr>
        <w:t xml:space="preserve">la sociedad; los niños </w:t>
      </w:r>
      <w:r w:rsidR="00A05892" w:rsidRPr="002720D0">
        <w:rPr>
          <w:lang w:val="es-ES_tradnl"/>
        </w:rPr>
        <w:t>con discapacidad</w:t>
      </w:r>
      <w:r w:rsidR="00DA34A3" w:rsidRPr="002720D0">
        <w:rPr>
          <w:lang w:val="es-ES_tradnl"/>
        </w:rPr>
        <w:t>; los niños que van a la escuela y los que no va</w:t>
      </w:r>
      <w:r w:rsidR="00601DCF" w:rsidRPr="002720D0">
        <w:rPr>
          <w:lang w:val="es-ES_tradnl"/>
        </w:rPr>
        <w:t>n a la escuela, etc. El Estado p</w:t>
      </w:r>
      <w:r w:rsidR="00DA34A3" w:rsidRPr="002720D0">
        <w:rPr>
          <w:lang w:val="es-ES_tradnl"/>
        </w:rPr>
        <w:t>arte también ha velado por que todas las escuelas primarias y secundarias cuenten con un club infantil.</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56.</w:t>
      </w:r>
      <w:r w:rsidRPr="002720D0">
        <w:rPr>
          <w:lang w:val="es-ES_tradnl"/>
        </w:rPr>
        <w:tab/>
      </w:r>
      <w:r w:rsidR="00601DCF" w:rsidRPr="002720D0">
        <w:rPr>
          <w:lang w:val="es-ES_tradnl"/>
        </w:rPr>
        <w:t>Además, el Estado p</w:t>
      </w:r>
      <w:r w:rsidR="00E0680E" w:rsidRPr="002720D0">
        <w:rPr>
          <w:lang w:val="es-ES_tradnl"/>
        </w:rPr>
        <w:t xml:space="preserve">arte ha </w:t>
      </w:r>
      <w:r w:rsidR="00601DCF" w:rsidRPr="002720D0">
        <w:rPr>
          <w:lang w:val="es-ES_tradnl"/>
        </w:rPr>
        <w:t>asegurado</w:t>
      </w:r>
      <w:r w:rsidR="00E0680E" w:rsidRPr="002720D0">
        <w:rPr>
          <w:lang w:val="es-ES_tradnl"/>
        </w:rPr>
        <w:t xml:space="preserve"> la formación y el funcionamiento en Tanzanía continental de comités o clubes de derechos infantiles, </w:t>
      </w:r>
      <w:r w:rsidR="00601DCF" w:rsidRPr="002720D0">
        <w:rPr>
          <w:lang w:val="es-ES_tradnl"/>
        </w:rPr>
        <w:t>cuyo objeto es</w:t>
      </w:r>
      <w:r w:rsidR="00E0680E" w:rsidRPr="002720D0">
        <w:rPr>
          <w:lang w:val="es-ES_tradnl"/>
        </w:rPr>
        <w:t xml:space="preserve"> reunir a los niños en distintos lugares del Estado </w:t>
      </w:r>
      <w:r w:rsidR="008862A6" w:rsidRPr="002720D0">
        <w:rPr>
          <w:lang w:val="es-ES_tradnl"/>
        </w:rPr>
        <w:t>p</w:t>
      </w:r>
      <w:r w:rsidR="00E0680E" w:rsidRPr="002720D0">
        <w:rPr>
          <w:lang w:val="es-ES_tradnl"/>
        </w:rPr>
        <w:t xml:space="preserve">arte para que puedan intercambiar opiniones sobre </w:t>
      </w:r>
      <w:r w:rsidR="00601DCF" w:rsidRPr="002720D0">
        <w:rPr>
          <w:lang w:val="es-ES_tradnl"/>
        </w:rPr>
        <w:t>diversos</w:t>
      </w:r>
      <w:r w:rsidR="00E0680E" w:rsidRPr="002720D0">
        <w:rPr>
          <w:lang w:val="es-ES_tradnl"/>
        </w:rPr>
        <w:t xml:space="preserve"> asuntos </w:t>
      </w:r>
      <w:r w:rsidR="00601DCF" w:rsidRPr="002720D0">
        <w:rPr>
          <w:lang w:val="es-ES_tradnl"/>
        </w:rPr>
        <w:t xml:space="preserve">que </w:t>
      </w:r>
      <w:r w:rsidR="008862A6" w:rsidRPr="002720D0">
        <w:rPr>
          <w:lang w:val="es-ES_tradnl"/>
        </w:rPr>
        <w:t>afectan</w:t>
      </w:r>
      <w:r w:rsidR="00601DCF" w:rsidRPr="002720D0">
        <w:rPr>
          <w:lang w:val="es-ES_tradnl"/>
        </w:rPr>
        <w:t xml:space="preserve"> a sus vidas y presentar</w:t>
      </w:r>
      <w:r w:rsidR="00E0680E" w:rsidRPr="002720D0">
        <w:rPr>
          <w:lang w:val="es-ES_tradnl"/>
        </w:rPr>
        <w:t xml:space="preserve"> las deliberaciones de sus reuniones al comité escolar para su adopción. </w:t>
      </w:r>
      <w:r w:rsidR="00601DCF" w:rsidRPr="002720D0">
        <w:rPr>
          <w:lang w:val="es-ES_tradnl"/>
        </w:rPr>
        <w:t>El Estado p</w:t>
      </w:r>
      <w:r w:rsidR="00A60395" w:rsidRPr="002720D0">
        <w:rPr>
          <w:lang w:val="es-ES_tradnl"/>
        </w:rPr>
        <w:t>arte también ha elaborado manuales familiares comunitarios</w:t>
      </w:r>
      <w:r w:rsidR="00601DCF" w:rsidRPr="002720D0">
        <w:rPr>
          <w:lang w:val="es-ES_tradnl"/>
        </w:rPr>
        <w:t>,</w:t>
      </w:r>
      <w:r w:rsidR="00A60395" w:rsidRPr="002720D0">
        <w:rPr>
          <w:lang w:val="es-ES_tradnl"/>
        </w:rPr>
        <w:t xml:space="preserve"> destinados a ca</w:t>
      </w:r>
      <w:r w:rsidR="00472A6B" w:rsidRPr="002720D0">
        <w:rPr>
          <w:lang w:val="es-ES_tradnl"/>
        </w:rPr>
        <w:t xml:space="preserve">pacitar a los padres para </w:t>
      </w:r>
      <w:r w:rsidR="00601DCF" w:rsidRPr="002720D0">
        <w:rPr>
          <w:lang w:val="es-ES_tradnl"/>
        </w:rPr>
        <w:t>dar</w:t>
      </w:r>
      <w:r w:rsidR="00A60395" w:rsidRPr="002720D0">
        <w:rPr>
          <w:lang w:val="es-ES_tradnl"/>
        </w:rPr>
        <w:t xml:space="preserve"> a sus hijos la oportunidad de manifestar sus puntos de vista </w:t>
      </w:r>
      <w:r w:rsidR="00601DCF" w:rsidRPr="002720D0">
        <w:rPr>
          <w:lang w:val="es-ES_tradnl"/>
        </w:rPr>
        <w:t>en lo que atañe</w:t>
      </w:r>
      <w:r w:rsidR="00A60395" w:rsidRPr="002720D0">
        <w:rPr>
          <w:lang w:val="es-ES_tradnl"/>
        </w:rPr>
        <w:t xml:space="preserve"> a sus</w:t>
      </w:r>
      <w:r w:rsidR="00601DCF" w:rsidRPr="002720D0">
        <w:rPr>
          <w:lang w:val="es-ES_tradnl"/>
        </w:rPr>
        <w:t xml:space="preserve"> derechos. Asimismo, el Estado p</w:t>
      </w:r>
      <w:r w:rsidR="00A60395" w:rsidRPr="002720D0">
        <w:rPr>
          <w:lang w:val="es-ES_tradnl"/>
        </w:rPr>
        <w:t>arte ha creado un comité rector y técnico específico para impulsar las funciones de los consejos</w:t>
      </w:r>
      <w:r w:rsidR="001D2A53">
        <w:rPr>
          <w:lang w:val="es-ES_tradnl"/>
        </w:rPr>
        <w:t xml:space="preserve"> </w:t>
      </w:r>
      <w:r w:rsidR="00A60395" w:rsidRPr="002720D0">
        <w:rPr>
          <w:lang w:val="es-ES_tradnl"/>
        </w:rPr>
        <w:t xml:space="preserve">infantiles, y se han elaborado herramientas para </w:t>
      </w:r>
      <w:r w:rsidR="00601DCF" w:rsidRPr="002720D0">
        <w:rPr>
          <w:lang w:val="es-ES_tradnl"/>
        </w:rPr>
        <w:t>impartir formación</w:t>
      </w:r>
      <w:r w:rsidR="00A60395" w:rsidRPr="002720D0">
        <w:rPr>
          <w:lang w:val="es-ES_tradnl"/>
        </w:rPr>
        <w:t xml:space="preserve"> </w:t>
      </w:r>
      <w:r w:rsidR="00601DCF" w:rsidRPr="002720D0">
        <w:rPr>
          <w:lang w:val="es-ES_tradnl"/>
        </w:rPr>
        <w:t xml:space="preserve">tanto </w:t>
      </w:r>
      <w:r w:rsidR="00A60395" w:rsidRPr="002720D0">
        <w:rPr>
          <w:lang w:val="es-ES_tradnl"/>
        </w:rPr>
        <w:t>a los padres y a los proveedores de servicios</w:t>
      </w:r>
      <w:r w:rsidR="00601DCF" w:rsidRPr="002720D0">
        <w:rPr>
          <w:lang w:val="es-ES_tradnl"/>
        </w:rPr>
        <w:t xml:space="preserve"> como</w:t>
      </w:r>
      <w:r w:rsidR="00A60395" w:rsidRPr="002720D0">
        <w:rPr>
          <w:lang w:val="es-ES_tradnl"/>
        </w:rPr>
        <w:t xml:space="preserve"> a los propios niños</w:t>
      </w:r>
      <w:r w:rsidR="00510859" w:rsidRPr="002720D0">
        <w:rPr>
          <w:lang w:val="es-ES_tradnl"/>
        </w:rPr>
        <w:t xml:space="preserve"> para</w:t>
      </w:r>
      <w:r w:rsidR="00A60395" w:rsidRPr="002720D0">
        <w:rPr>
          <w:lang w:val="es-ES_tradnl"/>
        </w:rPr>
        <w:t xml:space="preserve"> que comprendan sus derechos y cómo reivindicarlos.</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57.</w:t>
      </w:r>
      <w:r w:rsidRPr="002720D0">
        <w:rPr>
          <w:lang w:val="es-ES_tradnl"/>
        </w:rPr>
        <w:tab/>
      </w:r>
      <w:r w:rsidR="00510859" w:rsidRPr="002720D0">
        <w:rPr>
          <w:lang w:val="es-ES_tradnl"/>
        </w:rPr>
        <w:t>El Estado p</w:t>
      </w:r>
      <w:r w:rsidR="00A60395" w:rsidRPr="002720D0">
        <w:rPr>
          <w:lang w:val="es-ES_tradnl"/>
        </w:rPr>
        <w:t xml:space="preserve">arte ha creado oportunidades </w:t>
      </w:r>
      <w:r w:rsidR="00AB6426" w:rsidRPr="002720D0">
        <w:rPr>
          <w:lang w:val="es-ES_tradnl"/>
        </w:rPr>
        <w:t>destinadas a</w:t>
      </w:r>
      <w:r w:rsidR="00A60395" w:rsidRPr="002720D0">
        <w:rPr>
          <w:lang w:val="es-ES_tradnl"/>
        </w:rPr>
        <w:t xml:space="preserve"> que los niños se sirvan de los medios de comunicación públicos, especialmente de la radio y la televisión, para difundir sus puntos de vista entre el p</w:t>
      </w:r>
      <w:r w:rsidR="00AB6426" w:rsidRPr="002720D0">
        <w:rPr>
          <w:lang w:val="es-ES_tradnl"/>
        </w:rPr>
        <w:t>úblico. Por ejemplo, el Estado parte</w:t>
      </w:r>
      <w:r w:rsidR="00A60395" w:rsidRPr="002720D0">
        <w:rPr>
          <w:lang w:val="es-ES_tradnl"/>
        </w:rPr>
        <w:t xml:space="preserve"> </w:t>
      </w:r>
      <w:r w:rsidR="00AB6426" w:rsidRPr="002720D0">
        <w:rPr>
          <w:lang w:val="es-ES_tradnl"/>
        </w:rPr>
        <w:t xml:space="preserve">lleva a cabo un programa infantil </w:t>
      </w:r>
      <w:r w:rsidR="00A60395" w:rsidRPr="002720D0">
        <w:rPr>
          <w:lang w:val="es-ES_tradnl"/>
        </w:rPr>
        <w:t xml:space="preserve">por conducto de la </w:t>
      </w:r>
      <w:r w:rsidR="00151021" w:rsidRPr="002720D0">
        <w:rPr>
          <w:i/>
          <w:lang w:val="es-ES_tradnl"/>
        </w:rPr>
        <w:t xml:space="preserve">Tanzania Broadcasting Corporation (TBC) </w:t>
      </w:r>
      <w:r w:rsidR="00A60395" w:rsidRPr="002720D0">
        <w:rPr>
          <w:lang w:val="es-ES_tradnl"/>
        </w:rPr>
        <w:t xml:space="preserve">en colaboración con </w:t>
      </w:r>
      <w:r w:rsidR="00A60395" w:rsidRPr="002720D0">
        <w:rPr>
          <w:i/>
          <w:lang w:val="es-ES_tradnl"/>
        </w:rPr>
        <w:t xml:space="preserve">Plan </w:t>
      </w:r>
      <w:r w:rsidR="00AB6426" w:rsidRPr="002720D0">
        <w:rPr>
          <w:i/>
          <w:lang w:val="es-ES_tradnl"/>
        </w:rPr>
        <w:t>International</w:t>
      </w:r>
      <w:r w:rsidR="00AB6426" w:rsidRPr="002720D0">
        <w:rPr>
          <w:lang w:val="es-ES_tradnl"/>
        </w:rPr>
        <w:t>.</w:t>
      </w:r>
      <w:r w:rsidR="00151021" w:rsidRPr="002720D0">
        <w:rPr>
          <w:lang w:val="es-ES_tradnl"/>
        </w:rPr>
        <w:t xml:space="preserve"> </w:t>
      </w:r>
      <w:r w:rsidR="00A60395" w:rsidRPr="002720D0">
        <w:rPr>
          <w:lang w:val="es-ES_tradnl"/>
        </w:rPr>
        <w:t>Este programa</w:t>
      </w:r>
      <w:r w:rsidR="00AB6426" w:rsidRPr="002720D0">
        <w:rPr>
          <w:lang w:val="es-ES_tradnl"/>
        </w:rPr>
        <w:t>,</w:t>
      </w:r>
      <w:r w:rsidR="00A60395" w:rsidRPr="002720D0">
        <w:rPr>
          <w:lang w:val="es-ES_tradnl"/>
        </w:rPr>
        <w:t xml:space="preserve"> </w:t>
      </w:r>
      <w:r w:rsidR="00AB6426" w:rsidRPr="002720D0">
        <w:rPr>
          <w:lang w:val="es-ES_tradnl"/>
        </w:rPr>
        <w:t xml:space="preserve">denominado </w:t>
      </w:r>
      <w:r w:rsidR="00AB6426" w:rsidRPr="002720D0">
        <w:rPr>
          <w:i/>
          <w:lang w:val="es-ES_tradnl"/>
        </w:rPr>
        <w:t>Jukwaa la Watoto</w:t>
      </w:r>
      <w:r w:rsidR="00AB6426" w:rsidRPr="002720D0">
        <w:rPr>
          <w:lang w:val="es-ES_tradnl"/>
        </w:rPr>
        <w:t xml:space="preserve"> (</w:t>
      </w:r>
      <w:r w:rsidR="001C7E1C">
        <w:rPr>
          <w:lang w:val="es-ES_tradnl"/>
        </w:rPr>
        <w:t>"</w:t>
      </w:r>
      <w:r w:rsidR="00AB6426" w:rsidRPr="002720D0">
        <w:rPr>
          <w:lang w:val="es-ES_tradnl"/>
        </w:rPr>
        <w:t>Plataforma de los niños</w:t>
      </w:r>
      <w:r w:rsidR="001C7E1C">
        <w:rPr>
          <w:lang w:val="es-ES_tradnl"/>
        </w:rPr>
        <w:t>"</w:t>
      </w:r>
      <w:r w:rsidR="00AB6426" w:rsidRPr="002720D0">
        <w:rPr>
          <w:lang w:val="es-ES_tradnl"/>
        </w:rPr>
        <w:t xml:space="preserve">), </w:t>
      </w:r>
      <w:r w:rsidR="00A60395" w:rsidRPr="002720D0">
        <w:rPr>
          <w:lang w:val="es-ES_tradnl"/>
        </w:rPr>
        <w:t xml:space="preserve">ha </w:t>
      </w:r>
      <w:r w:rsidR="00AB6426" w:rsidRPr="002720D0">
        <w:rPr>
          <w:lang w:val="es-ES_tradnl"/>
        </w:rPr>
        <w:t>servido para entablar un diálogo</w:t>
      </w:r>
      <w:r w:rsidR="00A60395" w:rsidRPr="002720D0">
        <w:rPr>
          <w:lang w:val="es-ES_tradnl"/>
        </w:rPr>
        <w:t xml:space="preserve"> con los niños </w:t>
      </w:r>
      <w:r w:rsidR="00AB6426" w:rsidRPr="002720D0">
        <w:rPr>
          <w:lang w:val="es-ES_tradnl"/>
        </w:rPr>
        <w:t>de las</w:t>
      </w:r>
      <w:r w:rsidR="00A60395" w:rsidRPr="002720D0">
        <w:rPr>
          <w:lang w:val="es-ES_tradnl"/>
        </w:rPr>
        <w:t xml:space="preserve"> comunidades </w:t>
      </w:r>
      <w:r w:rsidR="00AB6426" w:rsidRPr="002720D0">
        <w:rPr>
          <w:lang w:val="es-ES_tradnl"/>
        </w:rPr>
        <w:t>y de las</w:t>
      </w:r>
      <w:r w:rsidR="00A60395" w:rsidRPr="002720D0">
        <w:rPr>
          <w:lang w:val="es-ES_tradnl"/>
        </w:rPr>
        <w:t xml:space="preserve"> escuelas con el fin de que identifiquen y manifiesten sus inquietudes relativas a asuntos como la negligencia respecto de los niños, el abuso sexual, el trabajo infantil, la inscripción de los nacimientos, los embarazos tempranos, la violencia doméstica, el VIH/SIDA, la protección de los niños </w:t>
      </w:r>
      <w:r w:rsidR="00A05892" w:rsidRPr="002720D0">
        <w:rPr>
          <w:lang w:val="es-ES_tradnl"/>
        </w:rPr>
        <w:t>con discapacidad</w:t>
      </w:r>
      <w:r w:rsidR="00A60395" w:rsidRPr="002720D0">
        <w:rPr>
          <w:lang w:val="es-ES_tradnl"/>
        </w:rPr>
        <w:t>, los asesinatos de niños con albinismo,</w:t>
      </w:r>
      <w:r w:rsidR="00793D29" w:rsidRPr="002720D0">
        <w:rPr>
          <w:lang w:val="es-ES_tradnl"/>
        </w:rPr>
        <w:t xml:space="preserve"> la mutilación o ablación genital femenina y otras prácticas culturales nocivas. Los niños también </w:t>
      </w:r>
      <w:r w:rsidR="008E1F40" w:rsidRPr="002720D0">
        <w:rPr>
          <w:lang w:val="es-ES_tradnl"/>
        </w:rPr>
        <w:t>se sirven de</w:t>
      </w:r>
      <w:r w:rsidR="00793D29" w:rsidRPr="002720D0">
        <w:rPr>
          <w:lang w:val="es-ES_tradnl"/>
        </w:rPr>
        <w:t xml:space="preserve"> esta plataforma para hacer un llamamiento a los responsables en los hogares, las comunidades, los distritos y el plano nacional</w:t>
      </w:r>
      <w:r w:rsidR="008862A6" w:rsidRPr="002720D0">
        <w:rPr>
          <w:lang w:val="es-ES_tradnl"/>
        </w:rPr>
        <w:t>,</w:t>
      </w:r>
      <w:r w:rsidR="00793D29" w:rsidRPr="002720D0">
        <w:rPr>
          <w:lang w:val="es-ES_tradnl"/>
        </w:rPr>
        <w:t xml:space="preserve"> </w:t>
      </w:r>
      <w:r w:rsidR="008862A6" w:rsidRPr="002720D0">
        <w:rPr>
          <w:lang w:val="es-ES_tradnl"/>
        </w:rPr>
        <w:t>con miras a</w:t>
      </w:r>
      <w:r w:rsidR="00793D29" w:rsidRPr="002720D0">
        <w:rPr>
          <w:lang w:val="es-ES_tradnl"/>
        </w:rPr>
        <w:t xml:space="preserve"> que lleven a cabo sus correspondientes funciones </w:t>
      </w:r>
      <w:r w:rsidR="008862A6" w:rsidRPr="002720D0">
        <w:rPr>
          <w:lang w:val="es-ES_tradnl"/>
        </w:rPr>
        <w:t>para</w:t>
      </w:r>
      <w:r w:rsidR="00793D29" w:rsidRPr="002720D0">
        <w:rPr>
          <w:lang w:val="es-ES_tradnl"/>
        </w:rPr>
        <w:t xml:space="preserve"> que se cumplan los derechos de todos los niños. El programa se emite </w:t>
      </w:r>
      <w:r w:rsidR="008E1F40" w:rsidRPr="002720D0">
        <w:rPr>
          <w:lang w:val="es-ES_tradnl"/>
        </w:rPr>
        <w:t xml:space="preserve">seis veces al mes </w:t>
      </w:r>
      <w:r w:rsidR="00793D29" w:rsidRPr="002720D0">
        <w:rPr>
          <w:lang w:val="es-ES_tradnl"/>
        </w:rPr>
        <w:t xml:space="preserve">en todo el país, tanto por la televisión como por la radio. </w:t>
      </w:r>
    </w:p>
    <w:p w:rsidR="00151021" w:rsidRPr="002720D0" w:rsidRDefault="004F6364" w:rsidP="004F6364">
      <w:pPr>
        <w:pStyle w:val="SingleTxtG"/>
        <w:tabs>
          <w:tab w:val="left" w:pos="-360"/>
        </w:tabs>
        <w:rPr>
          <w:lang w:val="es-ES_tradnl"/>
        </w:rPr>
      </w:pPr>
      <w:r w:rsidRPr="002720D0">
        <w:rPr>
          <w:lang w:val="es-ES_tradnl"/>
        </w:rPr>
        <w:t>58.</w:t>
      </w:r>
      <w:r w:rsidRPr="002720D0">
        <w:rPr>
          <w:lang w:val="es-ES_tradnl"/>
        </w:rPr>
        <w:tab/>
      </w:r>
      <w:r w:rsidR="00793D29" w:rsidRPr="002720D0">
        <w:rPr>
          <w:lang w:val="es-ES_tradnl"/>
        </w:rPr>
        <w:t xml:space="preserve">Por lo que </w:t>
      </w:r>
      <w:r w:rsidR="008862A6" w:rsidRPr="002720D0">
        <w:rPr>
          <w:lang w:val="es-ES_tradnl"/>
        </w:rPr>
        <w:t>respecta a Zanzíbar, el Estado p</w:t>
      </w:r>
      <w:r w:rsidR="00793D29" w:rsidRPr="002720D0">
        <w:rPr>
          <w:lang w:val="es-ES_tradnl"/>
        </w:rPr>
        <w:t xml:space="preserve">arte ha creado unos 130 consejos infantiles en todos los distritos de </w:t>
      </w:r>
      <w:r w:rsidR="00151021" w:rsidRPr="002720D0">
        <w:rPr>
          <w:lang w:val="es-ES_tradnl"/>
        </w:rPr>
        <w:t xml:space="preserve">Unguja </w:t>
      </w:r>
      <w:r w:rsidR="00793D29" w:rsidRPr="002720D0">
        <w:rPr>
          <w:lang w:val="es-ES_tradnl"/>
        </w:rPr>
        <w:t>y</w:t>
      </w:r>
      <w:r w:rsidR="00151021" w:rsidRPr="002720D0">
        <w:rPr>
          <w:lang w:val="es-ES_tradnl"/>
        </w:rPr>
        <w:t xml:space="preserve"> Pemba</w:t>
      </w:r>
      <w:r w:rsidR="00793D29" w:rsidRPr="002720D0">
        <w:rPr>
          <w:lang w:val="es-ES_tradnl"/>
        </w:rPr>
        <w:t xml:space="preserve">, en los </w:t>
      </w:r>
      <w:r w:rsidR="008E1F40" w:rsidRPr="002720D0">
        <w:rPr>
          <w:lang w:val="es-ES_tradnl"/>
        </w:rPr>
        <w:t>que</w:t>
      </w:r>
      <w:r w:rsidR="00793D29" w:rsidRPr="002720D0">
        <w:rPr>
          <w:lang w:val="es-ES_tradnl"/>
        </w:rPr>
        <w:t xml:space="preserve"> pueden participar los niños con edades de más de 15 años. En estos consejos, los niños y los jóvenes gozan de libertad para intercambiar opiniones sobre los asuntos que </w:t>
      </w:r>
      <w:r w:rsidR="008862A6" w:rsidRPr="002720D0">
        <w:rPr>
          <w:lang w:val="es-ES_tradnl"/>
        </w:rPr>
        <w:t>atañen</w:t>
      </w:r>
      <w:r w:rsidR="00793D29" w:rsidRPr="002720D0">
        <w:rPr>
          <w:lang w:val="es-ES_tradnl"/>
        </w:rPr>
        <w:t xml:space="preserve"> a sus vidas.</w:t>
      </w:r>
      <w:r w:rsidR="008E1F40" w:rsidRPr="002720D0">
        <w:rPr>
          <w:lang w:val="es-ES_tradnl"/>
        </w:rPr>
        <w:t xml:space="preserve"> C</w:t>
      </w:r>
      <w:r w:rsidR="00793D29" w:rsidRPr="002720D0">
        <w:rPr>
          <w:lang w:val="es-ES_tradnl"/>
        </w:rPr>
        <w:t xml:space="preserve">uentan con una estructura formal </w:t>
      </w:r>
      <w:r w:rsidR="003E67BD" w:rsidRPr="002720D0">
        <w:rPr>
          <w:lang w:val="es-ES_tradnl"/>
        </w:rPr>
        <w:t>que permite a los niños y los jóvenes reunirse para debatir asuntos de interés común</w:t>
      </w:r>
      <w:r w:rsidR="008E1F40" w:rsidRPr="002720D0">
        <w:rPr>
          <w:lang w:val="es-ES_tradnl"/>
        </w:rPr>
        <w:t>,</w:t>
      </w:r>
      <w:r w:rsidR="003E67BD" w:rsidRPr="002720D0">
        <w:rPr>
          <w:lang w:val="es-ES_tradnl"/>
        </w:rPr>
        <w:t xml:space="preserve"> para ellos y para la nación. </w:t>
      </w:r>
      <w:r w:rsidR="008E1F40" w:rsidRPr="002720D0">
        <w:rPr>
          <w:lang w:val="es-ES_tradnl"/>
        </w:rPr>
        <w:t>Los</w:t>
      </w:r>
      <w:r w:rsidR="003E67BD" w:rsidRPr="002720D0">
        <w:rPr>
          <w:lang w:val="es-ES_tradnl"/>
        </w:rPr>
        <w:t xml:space="preserve"> consejos </w:t>
      </w:r>
      <w:r w:rsidR="008E1F40" w:rsidRPr="002720D0">
        <w:rPr>
          <w:lang w:val="es-ES_tradnl"/>
        </w:rPr>
        <w:t xml:space="preserve">infantiles </w:t>
      </w:r>
      <w:r w:rsidR="003E67BD" w:rsidRPr="002720D0">
        <w:rPr>
          <w:lang w:val="es-ES_tradnl"/>
        </w:rPr>
        <w:t>han permitido a los niños participar en la preparación de los Informes sobre la situación nacional de la infancia en 2010 y 2011. Estos informes se presentan con frecuencia anual a la Cámara de Representantes para su consideración el día 16 de junio, que es el Día del Niño Africano</w:t>
      </w:r>
      <w:r w:rsidR="00151021" w:rsidRPr="002720D0">
        <w:rPr>
          <w:lang w:val="es-ES_tradnl"/>
        </w:rPr>
        <w:t xml:space="preserve">. </w:t>
      </w:r>
      <w:r w:rsidR="003E67BD" w:rsidRPr="002720D0">
        <w:rPr>
          <w:lang w:val="es-ES_tradnl"/>
        </w:rPr>
        <w:t>Para dar mayor relieve a las opiniones de los niñ</w:t>
      </w:r>
      <w:r w:rsidR="008E1F40" w:rsidRPr="002720D0">
        <w:rPr>
          <w:lang w:val="es-ES_tradnl"/>
        </w:rPr>
        <w:t>os, l</w:t>
      </w:r>
      <w:r w:rsidR="003E67BD" w:rsidRPr="002720D0">
        <w:rPr>
          <w:lang w:val="es-ES_tradnl"/>
        </w:rPr>
        <w:t xml:space="preserve">os informes suelen </w:t>
      </w:r>
      <w:r w:rsidR="00472A6B" w:rsidRPr="002720D0">
        <w:rPr>
          <w:lang w:val="es-ES_tradnl"/>
        </w:rPr>
        <w:t>incluir una</w:t>
      </w:r>
      <w:r w:rsidR="003E67BD" w:rsidRPr="002720D0">
        <w:rPr>
          <w:lang w:val="es-ES_tradnl"/>
        </w:rPr>
        <w:t xml:space="preserve"> segunda parte </w:t>
      </w:r>
      <w:r w:rsidR="008E1F40" w:rsidRPr="002720D0">
        <w:rPr>
          <w:lang w:val="es-ES_tradnl"/>
        </w:rPr>
        <w:t>donde se expone</w:t>
      </w:r>
      <w:r w:rsidR="003E67BD" w:rsidRPr="002720D0">
        <w:rPr>
          <w:lang w:val="es-ES_tradnl"/>
        </w:rPr>
        <w:t xml:space="preserve"> el informe </w:t>
      </w:r>
      <w:r w:rsidR="00D42B69" w:rsidRPr="002720D0">
        <w:rPr>
          <w:lang w:val="es-ES_tradnl"/>
        </w:rPr>
        <w:t>de los propios niños, que se inc</w:t>
      </w:r>
      <w:r w:rsidR="003E67BD" w:rsidRPr="002720D0">
        <w:rPr>
          <w:lang w:val="es-ES_tradnl"/>
        </w:rPr>
        <w:t xml:space="preserve">orpora al Informe sobre la situación nacional de la infancia. </w:t>
      </w:r>
    </w:p>
    <w:p w:rsidR="00151021" w:rsidRPr="002720D0" w:rsidRDefault="004F6364" w:rsidP="004F6364">
      <w:pPr>
        <w:pStyle w:val="SingleTxtG"/>
        <w:tabs>
          <w:tab w:val="left" w:pos="-360"/>
        </w:tabs>
        <w:rPr>
          <w:lang w:val="es-ES_tradnl"/>
        </w:rPr>
      </w:pPr>
      <w:r w:rsidRPr="002720D0">
        <w:rPr>
          <w:lang w:val="es-ES_tradnl"/>
        </w:rPr>
        <w:t>59.</w:t>
      </w:r>
      <w:r w:rsidRPr="002720D0">
        <w:rPr>
          <w:lang w:val="es-ES_tradnl"/>
        </w:rPr>
        <w:tab/>
      </w:r>
      <w:r w:rsidR="003E67BD" w:rsidRPr="002720D0">
        <w:rPr>
          <w:lang w:val="es-ES_tradnl"/>
        </w:rPr>
        <w:t>En el proceso de redacción de la Ley</w:t>
      </w:r>
      <w:r w:rsidR="001D2A53">
        <w:rPr>
          <w:lang w:val="es-ES_tradnl"/>
        </w:rPr>
        <w:t xml:space="preserve"> </w:t>
      </w:r>
      <w:r w:rsidR="003E67BD" w:rsidRPr="002720D0">
        <w:rPr>
          <w:lang w:val="es-ES_tradnl"/>
        </w:rPr>
        <w:t xml:space="preserve">de la </w:t>
      </w:r>
      <w:r w:rsidR="00834FB9" w:rsidRPr="002720D0">
        <w:rPr>
          <w:lang w:val="es-ES_tradnl"/>
        </w:rPr>
        <w:t xml:space="preserve">Infancia </w:t>
      </w:r>
      <w:r w:rsidR="003E67BD" w:rsidRPr="002720D0">
        <w:rPr>
          <w:lang w:val="es-ES_tradnl"/>
        </w:rPr>
        <w:t>en Tanzanía continental y la Ley d</w:t>
      </w:r>
      <w:r w:rsidR="001C1FD5" w:rsidRPr="002720D0">
        <w:rPr>
          <w:lang w:val="es-ES_tradnl"/>
        </w:rPr>
        <w:t xml:space="preserve">el </w:t>
      </w:r>
      <w:r w:rsidR="00834FB9" w:rsidRPr="002720D0">
        <w:rPr>
          <w:lang w:val="es-ES_tradnl"/>
        </w:rPr>
        <w:t xml:space="preserve">Niño </w:t>
      </w:r>
      <w:r w:rsidR="001C1FD5" w:rsidRPr="002720D0">
        <w:rPr>
          <w:lang w:val="es-ES_tradnl"/>
        </w:rPr>
        <w:t>en Zanzíbar, el Estado p</w:t>
      </w:r>
      <w:r w:rsidR="003E67BD" w:rsidRPr="002720D0">
        <w:rPr>
          <w:lang w:val="es-ES_tradnl"/>
        </w:rPr>
        <w:t>arte también veló por que se con</w:t>
      </w:r>
      <w:r w:rsidR="008E1F40" w:rsidRPr="002720D0">
        <w:rPr>
          <w:lang w:val="es-ES_tradnl"/>
        </w:rPr>
        <w:t>sultara debidamente a los niños</w:t>
      </w:r>
      <w:r w:rsidR="003E67BD" w:rsidRPr="002720D0">
        <w:rPr>
          <w:lang w:val="es-ES_tradnl"/>
        </w:rPr>
        <w:t xml:space="preserve"> y por que estos participaran plenamente </w:t>
      </w:r>
      <w:r w:rsidR="00D42B69" w:rsidRPr="002720D0">
        <w:rPr>
          <w:lang w:val="es-ES_tradnl"/>
        </w:rPr>
        <w:t>mediante la presentación de</w:t>
      </w:r>
      <w:r w:rsidR="003E67BD" w:rsidRPr="002720D0">
        <w:rPr>
          <w:lang w:val="es-ES_tradnl"/>
        </w:rPr>
        <w:t xml:space="preserve"> sus opiniones relativas a la legislación propuesta</w:t>
      </w:r>
      <w:r w:rsidR="00151021" w:rsidRPr="002720D0">
        <w:rPr>
          <w:rStyle w:val="FootnoteReference"/>
          <w:lang w:val="es-ES_tradnl"/>
        </w:rPr>
        <w:footnoteReference w:id="28"/>
      </w:r>
      <w:r w:rsidR="003E67BD" w:rsidRPr="002720D0">
        <w:rPr>
          <w:lang w:val="es-ES_tradnl"/>
        </w:rPr>
        <w:t>.</w:t>
      </w:r>
      <w:r w:rsidR="00151021" w:rsidRPr="002720D0">
        <w:rPr>
          <w:lang w:val="es-ES_tradnl"/>
        </w:rPr>
        <w:t xml:space="preserve"> </w:t>
      </w:r>
    </w:p>
    <w:p w:rsidR="00D90CE7" w:rsidRPr="002720D0" w:rsidRDefault="00EF122B" w:rsidP="00AC57AF">
      <w:pPr>
        <w:pStyle w:val="HChG"/>
        <w:outlineLvl w:val="0"/>
        <w:rPr>
          <w:lang w:val="es-ES_tradnl"/>
        </w:rPr>
      </w:pPr>
      <w:bookmarkStart w:id="18" w:name="_Toc313470854"/>
      <w:r w:rsidRPr="002720D0">
        <w:rPr>
          <w:lang w:val="es-ES_tradnl"/>
        </w:rPr>
        <w:tab/>
      </w:r>
      <w:r w:rsidR="00151021" w:rsidRPr="002720D0">
        <w:rPr>
          <w:lang w:val="es-ES_tradnl"/>
        </w:rPr>
        <w:t>4.</w:t>
      </w:r>
      <w:r w:rsidRPr="002720D0">
        <w:rPr>
          <w:lang w:val="es-ES_tradnl"/>
        </w:rPr>
        <w:tab/>
      </w:r>
      <w:bookmarkEnd w:id="18"/>
      <w:r w:rsidR="00D90CE7" w:rsidRPr="002720D0">
        <w:rPr>
          <w:lang w:val="es-ES_tradnl"/>
        </w:rPr>
        <w:t>Derechos y libertade</w:t>
      </w:r>
      <w:r w:rsidR="008E1F40" w:rsidRPr="002720D0">
        <w:rPr>
          <w:lang w:val="es-ES_tradnl"/>
        </w:rPr>
        <w:t>s civiles (art.</w:t>
      </w:r>
      <w:r w:rsidR="00D90CE7" w:rsidRPr="002720D0">
        <w:rPr>
          <w:lang w:val="es-ES_tradnl"/>
        </w:rPr>
        <w:t xml:space="preserve"> 7, 8, 13 a 17 y </w:t>
      </w:r>
      <w:r w:rsidR="00AC57AF" w:rsidRPr="002720D0">
        <w:rPr>
          <w:lang w:val="es-ES_tradnl"/>
        </w:rPr>
        <w:t>art. 37</w:t>
      </w:r>
      <w:r w:rsidR="008E1F40" w:rsidRPr="002720D0">
        <w:rPr>
          <w:lang w:val="es-ES_tradnl"/>
        </w:rPr>
        <w:t xml:space="preserve"> a)</w:t>
      </w:r>
      <w:r w:rsidR="00D90CE7" w:rsidRPr="002720D0">
        <w:rPr>
          <w:lang w:val="es-ES_tradnl"/>
        </w:rPr>
        <w:t>)</w:t>
      </w:r>
    </w:p>
    <w:p w:rsidR="00D90CE7" w:rsidRPr="002720D0" w:rsidRDefault="004570BA" w:rsidP="004570BA">
      <w:pPr>
        <w:pStyle w:val="H1G"/>
        <w:rPr>
          <w:szCs w:val="24"/>
          <w:lang w:val="es-ES_tradnl"/>
        </w:rPr>
      </w:pPr>
      <w:bookmarkStart w:id="19" w:name="_Toc313470855"/>
      <w:r>
        <w:rPr>
          <w:lang w:val="es-ES_tradnl"/>
        </w:rPr>
        <w:tab/>
      </w:r>
      <w:r w:rsidR="00151021" w:rsidRPr="002720D0">
        <w:rPr>
          <w:lang w:val="es-ES_tradnl"/>
        </w:rPr>
        <w:t>4.1</w:t>
      </w:r>
      <w:r w:rsidR="00EF122B" w:rsidRPr="002720D0">
        <w:rPr>
          <w:lang w:val="es-ES_tradnl"/>
        </w:rPr>
        <w:tab/>
      </w:r>
      <w:bookmarkEnd w:id="19"/>
      <w:r w:rsidR="00D90CE7" w:rsidRPr="002720D0">
        <w:rPr>
          <w:lang w:val="es-ES_tradnl"/>
        </w:rPr>
        <w:t>Inscripción de</w:t>
      </w:r>
      <w:r w:rsidR="00885759">
        <w:rPr>
          <w:lang w:val="es-ES_tradnl"/>
        </w:rPr>
        <w:t>l nacimiento</w:t>
      </w:r>
      <w:r w:rsidR="00D90CE7" w:rsidRPr="002720D0">
        <w:rPr>
          <w:lang w:val="es-ES_tradnl"/>
        </w:rPr>
        <w:t>, el no</w:t>
      </w:r>
      <w:r w:rsidR="008E1F40" w:rsidRPr="002720D0">
        <w:rPr>
          <w:lang w:val="es-ES_tradnl"/>
        </w:rPr>
        <w:t>mbre y la nacionalidad (art.</w:t>
      </w:r>
      <w:r w:rsidR="00D90CE7" w:rsidRPr="002720D0">
        <w:rPr>
          <w:lang w:val="es-ES_tradnl"/>
        </w:rPr>
        <w:t xml:space="preserve"> 7) y preservación</w:t>
      </w:r>
      <w:r w:rsidR="008E1F40" w:rsidRPr="002720D0">
        <w:rPr>
          <w:szCs w:val="24"/>
          <w:lang w:val="es-ES_tradnl"/>
        </w:rPr>
        <w:t xml:space="preserve"> de la identidad (art.</w:t>
      </w:r>
      <w:r w:rsidR="00D90CE7" w:rsidRPr="002720D0">
        <w:rPr>
          <w:szCs w:val="24"/>
          <w:lang w:val="es-ES_tradnl"/>
        </w:rPr>
        <w:t xml:space="preserve"> 8)</w:t>
      </w:r>
    </w:p>
    <w:p w:rsidR="00151021" w:rsidRPr="002720D0" w:rsidRDefault="004F6364" w:rsidP="004F6364">
      <w:pPr>
        <w:pStyle w:val="SingleTxtG"/>
        <w:tabs>
          <w:tab w:val="left" w:pos="-360"/>
        </w:tabs>
        <w:rPr>
          <w:lang w:val="es-ES_tradnl"/>
        </w:rPr>
      </w:pPr>
      <w:r w:rsidRPr="002720D0">
        <w:rPr>
          <w:lang w:val="es-ES_tradnl"/>
        </w:rPr>
        <w:t>60.</w:t>
      </w:r>
      <w:r w:rsidRPr="002720D0">
        <w:rPr>
          <w:lang w:val="es-ES_tradnl"/>
        </w:rPr>
        <w:tab/>
      </w:r>
      <w:r w:rsidR="008E1F40" w:rsidRPr="002720D0">
        <w:rPr>
          <w:lang w:val="es-ES_tradnl"/>
        </w:rPr>
        <w:t>En sus O</w:t>
      </w:r>
      <w:r w:rsidR="001464F7" w:rsidRPr="002720D0">
        <w:rPr>
          <w:lang w:val="es-ES_tradnl"/>
        </w:rPr>
        <w:t xml:space="preserve">bservaciones finales previas, el Comité recomendó, </w:t>
      </w:r>
      <w:r w:rsidR="008E1F40" w:rsidRPr="002720D0">
        <w:rPr>
          <w:lang w:val="es-ES_tradnl"/>
        </w:rPr>
        <w:t xml:space="preserve">a </w:t>
      </w:r>
      <w:r w:rsidR="001464F7" w:rsidRPr="002720D0">
        <w:rPr>
          <w:bCs/>
          <w:lang w:val="es-ES_tradnl"/>
        </w:rPr>
        <w:t>la luz del artículo 7 de la Conv</w:t>
      </w:r>
      <w:r w:rsidR="008E1F40" w:rsidRPr="002720D0">
        <w:rPr>
          <w:bCs/>
          <w:lang w:val="es-ES_tradnl"/>
        </w:rPr>
        <w:t>ención, que el Estado p</w:t>
      </w:r>
      <w:r w:rsidR="001464F7" w:rsidRPr="002720D0">
        <w:rPr>
          <w:bCs/>
          <w:lang w:val="es-ES_tradnl"/>
        </w:rPr>
        <w:t xml:space="preserve">arte pusiera en efecto un sistema eficiente de inscripción del nacimiento para todo el territorio del país, incluso: a) asegurando la gratuidad de la inscripción; b) introduciendo unidades móviles para inscribir el nacimiento en las zonas apartadas; c) adoptando las medidas apropiadas para que se inscriba a quien no fue inscrito al nacer; y d) formalizando la vinculación entre las diversas estructuras </w:t>
      </w:r>
      <w:r w:rsidR="001C1FD5" w:rsidRPr="002720D0">
        <w:rPr>
          <w:bCs/>
          <w:lang w:val="es-ES_tradnl"/>
        </w:rPr>
        <w:t>de prestación</w:t>
      </w:r>
      <w:r w:rsidR="001464F7" w:rsidRPr="002720D0">
        <w:rPr>
          <w:bCs/>
          <w:lang w:val="es-ES_tradnl"/>
        </w:rPr>
        <w:t xml:space="preserve"> servicios y promoviendo la sensibilización y el reconocimiento de la importancia de inscribir el nacimiento por medio de campañas públicas en que se informase del procedimiento de inscripción, incluso los derechos y beneficios que </w:t>
      </w:r>
      <w:r w:rsidR="001C1FD5" w:rsidRPr="002720D0">
        <w:rPr>
          <w:bCs/>
          <w:lang w:val="es-ES_tradnl"/>
        </w:rPr>
        <w:t>se derivan de ella</w:t>
      </w:r>
      <w:r w:rsidR="001464F7" w:rsidRPr="002720D0">
        <w:rPr>
          <w:bCs/>
          <w:lang w:val="es-ES_tradnl"/>
        </w:rPr>
        <w:t>, por la televisión, la radio y la prensa escrita, por ejemplo.</w:t>
      </w:r>
    </w:p>
    <w:p w:rsidR="00151021" w:rsidRPr="002720D0" w:rsidRDefault="004F6364" w:rsidP="004F6364">
      <w:pPr>
        <w:pStyle w:val="SingleTxtG"/>
        <w:tabs>
          <w:tab w:val="left" w:pos="-360"/>
        </w:tabs>
        <w:rPr>
          <w:lang w:val="es-ES_tradnl"/>
        </w:rPr>
      </w:pPr>
      <w:r w:rsidRPr="002720D0">
        <w:rPr>
          <w:lang w:val="es-ES_tradnl"/>
        </w:rPr>
        <w:t>61.</w:t>
      </w:r>
      <w:r w:rsidRPr="002720D0">
        <w:rPr>
          <w:lang w:val="es-ES_tradnl"/>
        </w:rPr>
        <w:tab/>
      </w:r>
      <w:r w:rsidR="00B84DF5" w:rsidRPr="002720D0">
        <w:rPr>
          <w:lang w:val="es-ES_tradnl"/>
        </w:rPr>
        <w:t>En cumplimiento de esa recomend</w:t>
      </w:r>
      <w:r w:rsidR="001464F7" w:rsidRPr="002720D0">
        <w:rPr>
          <w:lang w:val="es-ES_tradnl"/>
        </w:rPr>
        <w:t>aci</w:t>
      </w:r>
      <w:r w:rsidR="00B31889" w:rsidRPr="002720D0">
        <w:rPr>
          <w:lang w:val="es-ES_tradnl"/>
        </w:rPr>
        <w:t>ón del Comité, el Estado p</w:t>
      </w:r>
      <w:r w:rsidR="001464F7" w:rsidRPr="002720D0">
        <w:rPr>
          <w:lang w:val="es-ES_tradnl"/>
        </w:rPr>
        <w:t xml:space="preserve">arte ha adoptado varias medidas legislativas, judiciales y administrativas </w:t>
      </w:r>
      <w:r w:rsidR="00281830" w:rsidRPr="002720D0">
        <w:rPr>
          <w:lang w:val="es-ES_tradnl"/>
        </w:rPr>
        <w:t>para</w:t>
      </w:r>
      <w:r w:rsidR="001464F7" w:rsidRPr="002720D0">
        <w:rPr>
          <w:lang w:val="es-ES_tradnl"/>
        </w:rPr>
        <w:t xml:space="preserve"> velar por su cumplimiento con el artículo 7 de la Convención. En es</w:t>
      </w:r>
      <w:r w:rsidR="00B31889" w:rsidRPr="002720D0">
        <w:rPr>
          <w:lang w:val="es-ES_tradnl"/>
        </w:rPr>
        <w:t>te contexto, en 2006 el Estado p</w:t>
      </w:r>
      <w:r w:rsidR="001464F7" w:rsidRPr="002720D0">
        <w:rPr>
          <w:lang w:val="es-ES_tradnl"/>
        </w:rPr>
        <w:t xml:space="preserve">arte promulgó, mediante la Cámara de Representantes de Zanzíbar, la Ley </w:t>
      </w:r>
      <w:r w:rsidR="00572A8A" w:rsidRPr="002720D0">
        <w:rPr>
          <w:lang w:val="es-ES_tradnl"/>
        </w:rPr>
        <w:t xml:space="preserve">de </w:t>
      </w:r>
      <w:r w:rsidR="00834FB9" w:rsidRPr="002720D0">
        <w:rPr>
          <w:lang w:val="es-ES_tradnl"/>
        </w:rPr>
        <w:t xml:space="preserve">Inscripción </w:t>
      </w:r>
      <w:r w:rsidR="00572A8A" w:rsidRPr="002720D0">
        <w:rPr>
          <w:lang w:val="es-ES_tradnl"/>
        </w:rPr>
        <w:t xml:space="preserve">de </w:t>
      </w:r>
      <w:r w:rsidR="00834FB9" w:rsidRPr="002720D0">
        <w:rPr>
          <w:lang w:val="es-ES_tradnl"/>
        </w:rPr>
        <w:t xml:space="preserve">Nacimientos </w:t>
      </w:r>
      <w:r w:rsidR="00572A8A" w:rsidRPr="002720D0">
        <w:rPr>
          <w:lang w:val="es-ES_tradnl"/>
        </w:rPr>
        <w:t xml:space="preserve">y </w:t>
      </w:r>
      <w:r w:rsidR="00834FB9" w:rsidRPr="002720D0">
        <w:rPr>
          <w:lang w:val="es-ES_tradnl"/>
        </w:rPr>
        <w:t>Defunciones</w:t>
      </w:r>
      <w:r w:rsidR="00572A8A" w:rsidRPr="002720D0">
        <w:rPr>
          <w:lang w:val="es-ES_tradnl"/>
        </w:rPr>
        <w:t xml:space="preserve">, que entre otras cosas requiere la inscripción de los niños dentro de los 42 días siguientes a su nacimiento. La Ley del </w:t>
      </w:r>
      <w:r w:rsidR="00834FB9" w:rsidRPr="002720D0">
        <w:rPr>
          <w:lang w:val="es-ES_tradnl"/>
        </w:rPr>
        <w:t xml:space="preserve">Niño </w:t>
      </w:r>
      <w:r w:rsidR="00572A8A" w:rsidRPr="002720D0">
        <w:rPr>
          <w:lang w:val="es-ES_tradnl"/>
        </w:rPr>
        <w:t xml:space="preserve">de Zanzíbar </w:t>
      </w:r>
      <w:r w:rsidR="00151021" w:rsidRPr="002720D0">
        <w:rPr>
          <w:lang w:val="es-ES_tradnl"/>
        </w:rPr>
        <w:t xml:space="preserve">(2011) </w:t>
      </w:r>
      <w:r w:rsidR="00572A8A" w:rsidRPr="002720D0">
        <w:rPr>
          <w:lang w:val="es-ES_tradnl"/>
        </w:rPr>
        <w:t xml:space="preserve">también </w:t>
      </w:r>
      <w:r w:rsidR="00281830" w:rsidRPr="002720D0">
        <w:rPr>
          <w:lang w:val="es-ES_tradnl"/>
        </w:rPr>
        <w:t>contiene</w:t>
      </w:r>
      <w:r w:rsidR="00572A8A" w:rsidRPr="002720D0">
        <w:rPr>
          <w:lang w:val="es-ES_tradnl"/>
        </w:rPr>
        <w:t xml:space="preserve"> disposiciones por las que se requiere la inscripción de los niños inmediatamente después de su nacimiento y se obliga a las autoridades sanitarias o cualquier otro organismo pertinente </w:t>
      </w:r>
      <w:r w:rsidR="00B31889" w:rsidRPr="002720D0">
        <w:rPr>
          <w:lang w:val="es-ES_tradnl"/>
        </w:rPr>
        <w:t>a prestar</w:t>
      </w:r>
      <w:r w:rsidR="00572A8A" w:rsidRPr="002720D0">
        <w:rPr>
          <w:lang w:val="es-ES_tradnl"/>
        </w:rPr>
        <w:t xml:space="preserve"> asistencia en la inscripción de los niños. En particular, el artículo 8 1) de la Ley del </w:t>
      </w:r>
      <w:r w:rsidR="00834FB9" w:rsidRPr="002720D0">
        <w:rPr>
          <w:lang w:val="es-ES_tradnl"/>
        </w:rPr>
        <w:t xml:space="preserve">Niño </w:t>
      </w:r>
      <w:r w:rsidR="00572A8A" w:rsidRPr="002720D0">
        <w:rPr>
          <w:lang w:val="es-ES_tradnl"/>
        </w:rPr>
        <w:t>incluye una disposició</w:t>
      </w:r>
      <w:r w:rsidR="008144A4" w:rsidRPr="002720D0">
        <w:rPr>
          <w:lang w:val="es-ES_tradnl"/>
        </w:rPr>
        <w:t>n a estos</w:t>
      </w:r>
      <w:r w:rsidR="00572A8A" w:rsidRPr="002720D0">
        <w:rPr>
          <w:lang w:val="es-ES_tradnl"/>
        </w:rPr>
        <w:t xml:space="preserve"> efecto</w:t>
      </w:r>
      <w:r w:rsidR="008144A4" w:rsidRPr="002720D0">
        <w:rPr>
          <w:lang w:val="es-ES_tradnl"/>
        </w:rPr>
        <w:t>s</w:t>
      </w:r>
      <w:r w:rsidR="00572A8A" w:rsidRPr="002720D0">
        <w:rPr>
          <w:lang w:val="es-ES_tradnl"/>
        </w:rPr>
        <w:t>, que reza como sigue:</w:t>
      </w:r>
      <w:r w:rsidR="00B84DF5" w:rsidRPr="002720D0">
        <w:rPr>
          <w:lang w:val="es-ES_tradnl"/>
        </w:rPr>
        <w:t xml:space="preserve"> </w:t>
      </w:r>
      <w:r w:rsidR="001D2A53">
        <w:rPr>
          <w:lang w:val="es-ES_tradnl"/>
        </w:rPr>
        <w:t>"</w:t>
      </w:r>
      <w:r w:rsidR="00B84DF5" w:rsidRPr="002720D0">
        <w:rPr>
          <w:lang w:val="es-ES_tradnl"/>
        </w:rPr>
        <w:t xml:space="preserve">Con sujeción a las disposiciones </w:t>
      </w:r>
      <w:r w:rsidR="00572A8A" w:rsidRPr="002720D0">
        <w:rPr>
          <w:lang w:val="es-ES_tradnl"/>
        </w:rPr>
        <w:t xml:space="preserve">de la Ley de </w:t>
      </w:r>
      <w:r w:rsidR="00834FB9" w:rsidRPr="002720D0">
        <w:rPr>
          <w:lang w:val="es-ES_tradnl"/>
        </w:rPr>
        <w:t xml:space="preserve">Inscripción </w:t>
      </w:r>
      <w:r w:rsidR="00572A8A" w:rsidRPr="002720D0">
        <w:rPr>
          <w:lang w:val="es-ES_tradnl"/>
        </w:rPr>
        <w:t xml:space="preserve">de </w:t>
      </w:r>
      <w:r w:rsidR="00834FB9" w:rsidRPr="002720D0">
        <w:rPr>
          <w:lang w:val="es-ES_tradnl"/>
        </w:rPr>
        <w:t xml:space="preserve">Nacimientos </w:t>
      </w:r>
      <w:r w:rsidR="00572A8A" w:rsidRPr="002720D0">
        <w:rPr>
          <w:lang w:val="es-ES_tradnl"/>
        </w:rPr>
        <w:t xml:space="preserve">y </w:t>
      </w:r>
      <w:r w:rsidR="00834FB9" w:rsidRPr="002720D0">
        <w:rPr>
          <w:lang w:val="es-ES_tradnl"/>
        </w:rPr>
        <w:t>Defunciones</w:t>
      </w:r>
      <w:r w:rsidR="00572A8A" w:rsidRPr="002720D0">
        <w:rPr>
          <w:lang w:val="es-ES_tradnl"/>
        </w:rPr>
        <w:t>, N</w:t>
      </w:r>
      <w:r w:rsidR="00834FB9">
        <w:rPr>
          <w:lang w:val="es-ES_tradnl"/>
        </w:rPr>
        <w:t>º</w:t>
      </w:r>
      <w:r w:rsidR="00572A8A" w:rsidRPr="002720D0">
        <w:rPr>
          <w:lang w:val="es-ES_tradnl"/>
        </w:rPr>
        <w:t xml:space="preserve"> 10, de 2006, todos los</w:t>
      </w:r>
      <w:r w:rsidR="00B31889" w:rsidRPr="002720D0">
        <w:rPr>
          <w:lang w:val="es-ES_tradnl"/>
        </w:rPr>
        <w:t xml:space="preserve"> niños serán inscritos al nacer</w:t>
      </w:r>
      <w:r w:rsidR="001D2A53">
        <w:rPr>
          <w:lang w:val="es-ES_tradnl"/>
        </w:rPr>
        <w:t>"</w:t>
      </w:r>
      <w:r w:rsidR="00B31889" w:rsidRPr="002720D0">
        <w:rPr>
          <w:lang w:val="es-ES_tradnl"/>
        </w:rPr>
        <w:t>.</w:t>
      </w:r>
      <w:r w:rsidR="00572A8A" w:rsidRPr="002720D0">
        <w:rPr>
          <w:lang w:val="es-ES_tradnl"/>
        </w:rPr>
        <w:t xml:space="preserve"> En el párrafo 2) de este mismo artículo se dispone lo siguiente: </w:t>
      </w:r>
      <w:r w:rsidR="001D2A53">
        <w:rPr>
          <w:lang w:val="es-ES_tradnl"/>
        </w:rPr>
        <w:t>"</w:t>
      </w:r>
      <w:r w:rsidR="00572A8A" w:rsidRPr="002720D0">
        <w:rPr>
          <w:lang w:val="es-ES_tradnl"/>
        </w:rPr>
        <w:t>Las autoridades sanitarias y cualquier otra persona u organismo pertinente prestarán cooperació</w:t>
      </w:r>
      <w:r w:rsidR="008144A4" w:rsidRPr="002720D0">
        <w:rPr>
          <w:lang w:val="es-ES_tradnl"/>
        </w:rPr>
        <w:t>n al encargado del registro c</w:t>
      </w:r>
      <w:r w:rsidR="00572A8A" w:rsidRPr="002720D0">
        <w:rPr>
          <w:lang w:val="es-ES_tradnl"/>
        </w:rPr>
        <w:t xml:space="preserve">ivil en relación con las medidas adoptadas para asegurar que se </w:t>
      </w:r>
      <w:r w:rsidR="00B31889" w:rsidRPr="002720D0">
        <w:rPr>
          <w:lang w:val="es-ES_tradnl"/>
        </w:rPr>
        <w:t>inscriban todos los nacimientos</w:t>
      </w:r>
      <w:r w:rsidR="001D2A53">
        <w:rPr>
          <w:lang w:val="es-ES_tradnl"/>
        </w:rPr>
        <w:t>"</w:t>
      </w:r>
      <w:r w:rsidR="00B31889" w:rsidRPr="002720D0">
        <w:rPr>
          <w:lang w:val="es-ES_tradnl"/>
        </w:rPr>
        <w:t>.</w:t>
      </w:r>
      <w:r w:rsidR="00572A8A"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62.</w:t>
      </w:r>
      <w:r w:rsidRPr="002720D0">
        <w:rPr>
          <w:lang w:val="es-ES_tradnl"/>
        </w:rPr>
        <w:tab/>
      </w:r>
      <w:r w:rsidR="00572A8A" w:rsidRPr="002720D0">
        <w:rPr>
          <w:lang w:val="es-ES_tradnl"/>
        </w:rPr>
        <w:t>En Zanzí</w:t>
      </w:r>
      <w:r w:rsidR="00B31889" w:rsidRPr="002720D0">
        <w:rPr>
          <w:lang w:val="es-ES_tradnl"/>
        </w:rPr>
        <w:t>bar</w:t>
      </w:r>
      <w:r w:rsidR="00151021" w:rsidRPr="002720D0">
        <w:rPr>
          <w:lang w:val="es-ES_tradnl"/>
        </w:rPr>
        <w:t xml:space="preserve"> </w:t>
      </w:r>
      <w:r w:rsidR="00B31889" w:rsidRPr="002720D0">
        <w:rPr>
          <w:lang w:val="es-ES_tradnl"/>
        </w:rPr>
        <w:t>el Estado p</w:t>
      </w:r>
      <w:r w:rsidR="008144A4" w:rsidRPr="002720D0">
        <w:rPr>
          <w:lang w:val="es-ES_tradnl"/>
        </w:rPr>
        <w:t>arte ha creado registros de nacimientos en los distritos</w:t>
      </w:r>
      <w:r w:rsidR="00B31889" w:rsidRPr="002720D0">
        <w:rPr>
          <w:lang w:val="es-ES_tradnl"/>
        </w:rPr>
        <w:t>,</w:t>
      </w:r>
      <w:r w:rsidR="008144A4" w:rsidRPr="002720D0">
        <w:rPr>
          <w:lang w:val="es-ES_tradnl"/>
        </w:rPr>
        <w:t xml:space="preserve"> </w:t>
      </w:r>
      <w:r w:rsidR="00980F20" w:rsidRPr="002720D0">
        <w:rPr>
          <w:lang w:val="es-ES_tradnl"/>
        </w:rPr>
        <w:t>en aras de</w:t>
      </w:r>
      <w:r w:rsidR="008144A4" w:rsidRPr="002720D0">
        <w:rPr>
          <w:lang w:val="es-ES_tradnl"/>
        </w:rPr>
        <w:t xml:space="preserve"> poner en ejecución las disposiciones jurídicas a las que se </w:t>
      </w:r>
      <w:r w:rsidR="00D7725E" w:rsidRPr="002720D0">
        <w:rPr>
          <w:lang w:val="es-ES_tradnl"/>
        </w:rPr>
        <w:t>ha aludido</w:t>
      </w:r>
      <w:r w:rsidR="008144A4" w:rsidRPr="002720D0">
        <w:rPr>
          <w:lang w:val="es-ES_tradnl"/>
        </w:rPr>
        <w:t>.</w:t>
      </w:r>
      <w:r w:rsidR="001D2A53">
        <w:rPr>
          <w:lang w:val="es-ES_tradnl"/>
        </w:rPr>
        <w:t xml:space="preserve"> </w:t>
      </w:r>
      <w:r w:rsidR="00980F20" w:rsidRPr="002720D0">
        <w:rPr>
          <w:lang w:val="es-ES_tradnl"/>
        </w:rPr>
        <w:t xml:space="preserve">En este contexto, </w:t>
      </w:r>
      <w:r w:rsidR="004318CF" w:rsidRPr="002720D0">
        <w:rPr>
          <w:lang w:val="es-ES_tradnl"/>
        </w:rPr>
        <w:t xml:space="preserve">se ha dotado a </w:t>
      </w:r>
      <w:r w:rsidR="00980F20" w:rsidRPr="002720D0">
        <w:rPr>
          <w:lang w:val="es-ES_tradnl"/>
        </w:rPr>
        <w:t xml:space="preserve">las oficinas </w:t>
      </w:r>
      <w:r w:rsidR="004318CF" w:rsidRPr="002720D0">
        <w:rPr>
          <w:lang w:val="es-ES_tradnl"/>
        </w:rPr>
        <w:t xml:space="preserve">de las </w:t>
      </w:r>
      <w:r w:rsidR="004318CF" w:rsidRPr="002720D0">
        <w:rPr>
          <w:i/>
          <w:lang w:val="es-ES_tradnl"/>
        </w:rPr>
        <w:t>shehia</w:t>
      </w:r>
      <w:r w:rsidR="004318CF" w:rsidRPr="002720D0">
        <w:rPr>
          <w:lang w:val="es-ES_tradnl"/>
        </w:rPr>
        <w:t xml:space="preserve"> </w:t>
      </w:r>
      <w:r w:rsidR="00B31889" w:rsidRPr="002720D0">
        <w:rPr>
          <w:lang w:val="es-ES_tradnl"/>
        </w:rPr>
        <w:t xml:space="preserve">(distritos) </w:t>
      </w:r>
      <w:r w:rsidR="004318CF" w:rsidRPr="002720D0">
        <w:rPr>
          <w:lang w:val="es-ES_tradnl"/>
        </w:rPr>
        <w:t>de formularios de inscripción de nacimientos para coa</w:t>
      </w:r>
      <w:r w:rsidR="00B84DF5" w:rsidRPr="002720D0">
        <w:rPr>
          <w:lang w:val="es-ES_tradnl"/>
        </w:rPr>
        <w:t>dyuvar en el proceso de inscrip</w:t>
      </w:r>
      <w:r w:rsidR="00B31889" w:rsidRPr="002720D0">
        <w:rPr>
          <w:lang w:val="es-ES_tradnl"/>
        </w:rPr>
        <w:t xml:space="preserve">ción del nacimiento de </w:t>
      </w:r>
      <w:r w:rsidR="004318CF" w:rsidRPr="002720D0">
        <w:rPr>
          <w:lang w:val="es-ES_tradnl"/>
        </w:rPr>
        <w:t xml:space="preserve">los niños que nacen de forma ordinaria fuera de las instalaciones sanitarias. En cuanto a los niños nacidos en los hospitales, en las propias instalaciones sanitarias donde se produce el </w:t>
      </w:r>
      <w:r w:rsidR="00B31889" w:rsidRPr="002720D0">
        <w:rPr>
          <w:lang w:val="es-ES_tradnl"/>
        </w:rPr>
        <w:t>parto</w:t>
      </w:r>
      <w:r w:rsidR="004318CF" w:rsidRPr="002720D0">
        <w:rPr>
          <w:lang w:val="es-ES_tradnl"/>
        </w:rPr>
        <w:t xml:space="preserve"> se suministran tarjetas de n</w:t>
      </w:r>
      <w:r w:rsidR="00B31889" w:rsidRPr="002720D0">
        <w:rPr>
          <w:lang w:val="es-ES_tradnl"/>
        </w:rPr>
        <w:t>otificación para su inscripción; posteriormente, estas tarjetas</w:t>
      </w:r>
      <w:r w:rsidR="004318CF" w:rsidRPr="002720D0">
        <w:rPr>
          <w:lang w:val="es-ES_tradnl"/>
        </w:rPr>
        <w:t xml:space="preserve"> se presentan al </w:t>
      </w:r>
      <w:r w:rsidR="00737087" w:rsidRPr="002720D0">
        <w:rPr>
          <w:lang w:val="es-ES_tradnl"/>
        </w:rPr>
        <w:t>Director</w:t>
      </w:r>
      <w:r w:rsidR="004318CF" w:rsidRPr="002720D0">
        <w:rPr>
          <w:lang w:val="es-ES_tradnl"/>
        </w:rPr>
        <w:t xml:space="preserve"> del Registro de Nacimientos y Defunciones </w:t>
      </w:r>
      <w:r w:rsidR="001E3B23" w:rsidRPr="002720D0">
        <w:rPr>
          <w:lang w:val="es-ES_tradnl"/>
        </w:rPr>
        <w:t xml:space="preserve">para la emisión de las correspondientes partidas de nacimiento. </w:t>
      </w:r>
    </w:p>
    <w:p w:rsidR="00151021" w:rsidRPr="002720D0" w:rsidRDefault="004F6364" w:rsidP="004F6364">
      <w:pPr>
        <w:pStyle w:val="SingleTxtG"/>
        <w:tabs>
          <w:tab w:val="left" w:pos="-360"/>
        </w:tabs>
        <w:rPr>
          <w:lang w:val="es-ES_tradnl"/>
        </w:rPr>
      </w:pPr>
      <w:r w:rsidRPr="002720D0">
        <w:rPr>
          <w:lang w:val="es-ES_tradnl"/>
        </w:rPr>
        <w:t>63.</w:t>
      </w:r>
      <w:r w:rsidRPr="002720D0">
        <w:rPr>
          <w:lang w:val="es-ES_tradnl"/>
        </w:rPr>
        <w:tab/>
      </w:r>
      <w:r w:rsidR="001E3B23" w:rsidRPr="002720D0">
        <w:rPr>
          <w:lang w:val="es-ES_tradnl"/>
        </w:rPr>
        <w:t>En</w:t>
      </w:r>
      <w:r w:rsidR="00151021" w:rsidRPr="002720D0">
        <w:rPr>
          <w:lang w:val="es-ES_tradnl"/>
        </w:rPr>
        <w:t xml:space="preserve"> </w:t>
      </w:r>
      <w:r w:rsidR="001E3B23" w:rsidRPr="002720D0">
        <w:rPr>
          <w:lang w:val="es-ES_tradnl"/>
        </w:rPr>
        <w:t>Tanzaní</w:t>
      </w:r>
      <w:r w:rsidR="00151021" w:rsidRPr="002720D0">
        <w:rPr>
          <w:lang w:val="es-ES_tradnl"/>
        </w:rPr>
        <w:t>a</w:t>
      </w:r>
      <w:r w:rsidR="00281830" w:rsidRPr="002720D0">
        <w:rPr>
          <w:lang w:val="es-ES_tradnl"/>
        </w:rPr>
        <w:t xml:space="preserve"> continental, el Estado p</w:t>
      </w:r>
      <w:r w:rsidR="001E3B23" w:rsidRPr="002720D0">
        <w:rPr>
          <w:lang w:val="es-ES_tradnl"/>
        </w:rPr>
        <w:t xml:space="preserve">arte ha seguido aplicando la Ley de </w:t>
      </w:r>
      <w:r w:rsidR="00834FB9" w:rsidRPr="002720D0">
        <w:rPr>
          <w:lang w:val="es-ES_tradnl"/>
        </w:rPr>
        <w:t xml:space="preserve">Inscripción </w:t>
      </w:r>
      <w:r w:rsidR="001E3B23" w:rsidRPr="002720D0">
        <w:rPr>
          <w:lang w:val="es-ES_tradnl"/>
        </w:rPr>
        <w:t xml:space="preserve">de </w:t>
      </w:r>
      <w:r w:rsidR="00834FB9" w:rsidRPr="002720D0">
        <w:rPr>
          <w:lang w:val="es-ES_tradnl"/>
        </w:rPr>
        <w:t xml:space="preserve">Nacimientos </w:t>
      </w:r>
      <w:r w:rsidR="001E3B23" w:rsidRPr="002720D0">
        <w:rPr>
          <w:lang w:val="es-ES_tradnl"/>
        </w:rPr>
        <w:t xml:space="preserve">y </w:t>
      </w:r>
      <w:r w:rsidR="00834FB9" w:rsidRPr="002720D0">
        <w:rPr>
          <w:lang w:val="es-ES_tradnl"/>
        </w:rPr>
        <w:t>Defunciones</w:t>
      </w:r>
      <w:r w:rsidR="00151021" w:rsidRPr="002720D0">
        <w:rPr>
          <w:rStyle w:val="FootnoteReference"/>
          <w:lang w:val="es-ES_tradnl"/>
        </w:rPr>
        <w:footnoteReference w:id="29"/>
      </w:r>
      <w:r w:rsidR="001E3B23" w:rsidRPr="002720D0">
        <w:rPr>
          <w:lang w:val="es-ES_tradnl"/>
        </w:rPr>
        <w:t xml:space="preserve">, cuyo artículo 11 dispone que </w:t>
      </w:r>
      <w:r w:rsidR="001D2A53">
        <w:rPr>
          <w:lang w:val="es-ES_tradnl"/>
        </w:rPr>
        <w:t>"</w:t>
      </w:r>
      <w:r w:rsidR="001E3B23" w:rsidRPr="002720D0">
        <w:rPr>
          <w:lang w:val="es-ES_tradnl"/>
        </w:rPr>
        <w:t>el padre y la madre</w:t>
      </w:r>
      <w:r w:rsidR="00E74C4F" w:rsidRPr="002720D0">
        <w:rPr>
          <w:lang w:val="es-ES_tradnl"/>
        </w:rPr>
        <w:t xml:space="preserve"> del niño</w:t>
      </w:r>
      <w:r w:rsidR="001E3B23" w:rsidRPr="002720D0">
        <w:rPr>
          <w:lang w:val="es-ES_tradnl"/>
        </w:rPr>
        <w:t>, o en su defecto el o</w:t>
      </w:r>
      <w:r w:rsidR="00B84DF5" w:rsidRPr="002720D0">
        <w:rPr>
          <w:lang w:val="es-ES_tradnl"/>
        </w:rPr>
        <w:t>cupant</w:t>
      </w:r>
      <w:r w:rsidR="001E3B23" w:rsidRPr="002720D0">
        <w:rPr>
          <w:lang w:val="es-ES_tradnl"/>
        </w:rPr>
        <w:t xml:space="preserve">e de la vivienda donde </w:t>
      </w:r>
      <w:r w:rsidR="00E74C4F" w:rsidRPr="002720D0">
        <w:rPr>
          <w:lang w:val="es-ES_tradnl"/>
        </w:rPr>
        <w:t xml:space="preserve">se haya producido el nacimiento que </w:t>
      </w:r>
      <w:r w:rsidR="001E3B23" w:rsidRPr="002720D0">
        <w:rPr>
          <w:lang w:val="es-ES_tradnl"/>
        </w:rPr>
        <w:t xml:space="preserve">tenga conocimiento </w:t>
      </w:r>
      <w:r w:rsidR="00E74C4F" w:rsidRPr="002720D0">
        <w:rPr>
          <w:lang w:val="es-ES_tradnl"/>
        </w:rPr>
        <w:t>de ese nacimiento</w:t>
      </w:r>
      <w:r w:rsidR="001E3B23" w:rsidRPr="002720D0">
        <w:rPr>
          <w:lang w:val="es-ES_tradnl"/>
        </w:rPr>
        <w:t xml:space="preserve">, o </w:t>
      </w:r>
      <w:r w:rsidR="00E74C4F" w:rsidRPr="002720D0">
        <w:rPr>
          <w:lang w:val="es-ES_tradnl"/>
        </w:rPr>
        <w:t>cualquiera de</w:t>
      </w:r>
      <w:r w:rsidR="001E3B23" w:rsidRPr="002720D0">
        <w:rPr>
          <w:lang w:val="es-ES_tradnl"/>
        </w:rPr>
        <w:t xml:space="preserve"> las personas que estuvieron p</w:t>
      </w:r>
      <w:r w:rsidR="00E74C4F" w:rsidRPr="002720D0">
        <w:rPr>
          <w:lang w:val="es-ES_tradnl"/>
        </w:rPr>
        <w:t xml:space="preserve">resentes en su nacimiento, o </w:t>
      </w:r>
      <w:r w:rsidR="001E3B23" w:rsidRPr="002720D0">
        <w:rPr>
          <w:lang w:val="es-ES_tradnl"/>
        </w:rPr>
        <w:t xml:space="preserve">la persona </w:t>
      </w:r>
      <w:r w:rsidR="00E74C4F" w:rsidRPr="002720D0">
        <w:rPr>
          <w:lang w:val="es-ES_tradnl"/>
        </w:rPr>
        <w:t>a cuyo cuidado esté</w:t>
      </w:r>
      <w:r w:rsidR="001E3B23" w:rsidRPr="002720D0">
        <w:rPr>
          <w:lang w:val="es-ES_tradnl"/>
        </w:rPr>
        <w:t xml:space="preserve"> </w:t>
      </w:r>
      <w:r w:rsidR="00E74C4F" w:rsidRPr="002720D0">
        <w:rPr>
          <w:lang w:val="es-ES_tradnl"/>
        </w:rPr>
        <w:t xml:space="preserve">el </w:t>
      </w:r>
      <w:r w:rsidR="001E3B23" w:rsidRPr="002720D0">
        <w:rPr>
          <w:lang w:val="es-ES_tradnl"/>
        </w:rPr>
        <w:t>niño, estarán obligados a inscribir su nacimiento dentro de los tres meses siguientes a que este se produzca</w:t>
      </w:r>
      <w:r w:rsidR="001D2A53">
        <w:rPr>
          <w:lang w:val="es-ES_tradnl"/>
        </w:rPr>
        <w:t>"</w:t>
      </w:r>
      <w:r w:rsidR="001E3B23" w:rsidRPr="002720D0">
        <w:rPr>
          <w:lang w:val="es-ES_tradnl"/>
        </w:rPr>
        <w:t xml:space="preserve">. La promulgación de la Ley de la </w:t>
      </w:r>
      <w:r w:rsidR="00834FB9" w:rsidRPr="002720D0">
        <w:rPr>
          <w:lang w:val="es-ES_tradnl"/>
        </w:rPr>
        <w:t xml:space="preserve">Infancia </w:t>
      </w:r>
      <w:r w:rsidR="001E3B23" w:rsidRPr="002720D0">
        <w:rPr>
          <w:lang w:val="es-ES_tradnl"/>
        </w:rPr>
        <w:t>en 200</w:t>
      </w:r>
      <w:r w:rsidR="00E74C4F" w:rsidRPr="002720D0">
        <w:rPr>
          <w:lang w:val="es-ES_tradnl"/>
        </w:rPr>
        <w:t>9 dio ocasión al Estado p</w:t>
      </w:r>
      <w:r w:rsidR="001E3B23" w:rsidRPr="002720D0">
        <w:rPr>
          <w:lang w:val="es-ES_tradnl"/>
        </w:rPr>
        <w:t xml:space="preserve">arte </w:t>
      </w:r>
      <w:r w:rsidR="00E74C4F" w:rsidRPr="002720D0">
        <w:rPr>
          <w:lang w:val="es-ES_tradnl"/>
        </w:rPr>
        <w:t xml:space="preserve">para </w:t>
      </w:r>
      <w:r w:rsidR="001E3B23" w:rsidRPr="002720D0">
        <w:rPr>
          <w:lang w:val="es-ES_tradnl"/>
        </w:rPr>
        <w:t>ampliar el alcance de esta disposición de manera que incluy</w:t>
      </w:r>
      <w:r w:rsidR="00E74C4F" w:rsidRPr="002720D0">
        <w:rPr>
          <w:lang w:val="es-ES_tradnl"/>
        </w:rPr>
        <w:t>er</w:t>
      </w:r>
      <w:r w:rsidR="001E3B23" w:rsidRPr="002720D0">
        <w:rPr>
          <w:lang w:val="es-ES_tradnl"/>
        </w:rPr>
        <w:t>a el derecho del niño a un nombre y a una nacionalidad, así como a conocer la identidad de sus padres biológicos y su familia ampliada</w:t>
      </w:r>
      <w:r w:rsidR="00151021" w:rsidRPr="002720D0">
        <w:rPr>
          <w:rStyle w:val="FootnoteReference"/>
          <w:lang w:val="es-ES_tradnl"/>
        </w:rPr>
        <w:footnoteReference w:id="30"/>
      </w:r>
      <w:r w:rsidR="001E3B23" w:rsidRPr="002720D0">
        <w:rPr>
          <w:lang w:val="es-ES_tradnl"/>
        </w:rPr>
        <w:t xml:space="preserve">. También </w:t>
      </w:r>
      <w:r w:rsidR="00E74C4F" w:rsidRPr="002720D0">
        <w:rPr>
          <w:lang w:val="es-ES_tradnl"/>
        </w:rPr>
        <w:t>extendió</w:t>
      </w:r>
      <w:r w:rsidR="001E3B23" w:rsidRPr="002720D0">
        <w:rPr>
          <w:lang w:val="es-ES_tradnl"/>
        </w:rPr>
        <w:t xml:space="preserve"> este principio a la prohibición de que cualquier persona prive a un niño del derecho a un nombre y una nacionalidad y a conocer la identidad de sus padres biológicos y los miembros de su familia ampliada en virtud de las disposiciones de cualquier otra legislación escrita</w:t>
      </w:r>
      <w:r w:rsidR="00151021" w:rsidRPr="002720D0">
        <w:rPr>
          <w:rStyle w:val="FootnoteReference"/>
          <w:lang w:val="es-ES_tradnl"/>
        </w:rPr>
        <w:footnoteReference w:id="31"/>
      </w:r>
      <w:r w:rsidR="001E3B23" w:rsidRPr="002720D0">
        <w:rPr>
          <w:lang w:val="es-ES_tradnl"/>
        </w:rPr>
        <w:t xml:space="preserve">. La Ley </w:t>
      </w:r>
      <w:r w:rsidR="00281830" w:rsidRPr="002720D0">
        <w:rPr>
          <w:lang w:val="es-ES_tradnl"/>
        </w:rPr>
        <w:t xml:space="preserve">del </w:t>
      </w:r>
      <w:r w:rsidR="00834FB9" w:rsidRPr="002720D0">
        <w:rPr>
          <w:lang w:val="es-ES_tradnl"/>
        </w:rPr>
        <w:t xml:space="preserve">Niño </w:t>
      </w:r>
      <w:r w:rsidR="001E3B23" w:rsidRPr="002720D0">
        <w:rPr>
          <w:lang w:val="es-ES_tradnl"/>
        </w:rPr>
        <w:t>también ha r</w:t>
      </w:r>
      <w:r w:rsidR="003E346C" w:rsidRPr="002720D0">
        <w:rPr>
          <w:lang w:val="es-ES_tradnl"/>
        </w:rPr>
        <w:t xml:space="preserve">eafirmado el principio de que </w:t>
      </w:r>
      <w:r w:rsidR="001D2A53">
        <w:rPr>
          <w:lang w:val="es-ES_tradnl"/>
        </w:rPr>
        <w:t>"</w:t>
      </w:r>
      <w:r w:rsidR="003E346C" w:rsidRPr="002720D0">
        <w:rPr>
          <w:lang w:val="es-ES_tradnl"/>
        </w:rPr>
        <w:t xml:space="preserve">Respecto de cada niño, </w:t>
      </w:r>
      <w:r w:rsidR="001E3B23" w:rsidRPr="002720D0">
        <w:rPr>
          <w:lang w:val="es-ES_tradnl"/>
        </w:rPr>
        <w:t>los padres o tutores serán re</w:t>
      </w:r>
      <w:r w:rsidR="00737087" w:rsidRPr="002720D0">
        <w:rPr>
          <w:lang w:val="es-ES_tradnl"/>
        </w:rPr>
        <w:t>sponsables de la inscrip</w:t>
      </w:r>
      <w:r w:rsidR="003E346C" w:rsidRPr="002720D0">
        <w:rPr>
          <w:lang w:val="es-ES_tradnl"/>
        </w:rPr>
        <w:t>ción de su</w:t>
      </w:r>
      <w:r w:rsidR="00737087" w:rsidRPr="002720D0">
        <w:rPr>
          <w:lang w:val="es-ES_tradnl"/>
        </w:rPr>
        <w:t xml:space="preserve"> nacimiento ante el Director del Registro Civil</w:t>
      </w:r>
      <w:r w:rsidR="001D2A53">
        <w:rPr>
          <w:lang w:val="es-ES_tradnl"/>
        </w:rPr>
        <w:t>"</w:t>
      </w:r>
      <w:r w:rsidR="00151021" w:rsidRPr="002720D0">
        <w:rPr>
          <w:rStyle w:val="FootnoteReference"/>
          <w:lang w:val="es-ES_tradnl"/>
        </w:rPr>
        <w:footnoteReference w:id="32"/>
      </w:r>
      <w:r w:rsidR="00737087"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64.</w:t>
      </w:r>
      <w:r w:rsidRPr="002720D0">
        <w:rPr>
          <w:lang w:val="es-ES_tradnl"/>
        </w:rPr>
        <w:tab/>
      </w:r>
      <w:r w:rsidR="003E346C" w:rsidRPr="002720D0">
        <w:rPr>
          <w:lang w:val="es-ES_tradnl"/>
        </w:rPr>
        <w:t>Al llevar a la práctica las disposiciones le</w:t>
      </w:r>
      <w:r w:rsidR="00281830" w:rsidRPr="002720D0">
        <w:rPr>
          <w:lang w:val="es-ES_tradnl"/>
        </w:rPr>
        <w:t>gales que anteceden, el Estado p</w:t>
      </w:r>
      <w:r w:rsidR="003E346C" w:rsidRPr="002720D0">
        <w:rPr>
          <w:lang w:val="es-ES_tradnl"/>
        </w:rPr>
        <w:t>arte ha designado, respecto de Tanzanía continental, a</w:t>
      </w:r>
      <w:r w:rsidR="00E378B6" w:rsidRPr="002720D0">
        <w:rPr>
          <w:lang w:val="es-ES_tradnl"/>
        </w:rPr>
        <w:t>l Organismo de Registro, Insolvencia y Administración Fiduciaria (RITA) para que se ocup</w:t>
      </w:r>
      <w:r w:rsidR="003E346C" w:rsidRPr="002720D0">
        <w:rPr>
          <w:lang w:val="es-ES_tradnl"/>
        </w:rPr>
        <w:t>e de las inscripciones y las partidas de nacimiento en Tanzanía continental. P</w:t>
      </w:r>
      <w:r w:rsidR="00281830" w:rsidRPr="002720D0">
        <w:rPr>
          <w:lang w:val="es-ES_tradnl"/>
        </w:rPr>
        <w:t>or conducto de RITA, el Estado p</w:t>
      </w:r>
      <w:r w:rsidR="003E346C" w:rsidRPr="002720D0">
        <w:rPr>
          <w:lang w:val="es-ES_tradnl"/>
        </w:rPr>
        <w:t xml:space="preserve">arte ha </w:t>
      </w:r>
      <w:r w:rsidR="007648E1" w:rsidRPr="002720D0">
        <w:rPr>
          <w:lang w:val="es-ES_tradnl"/>
        </w:rPr>
        <w:t xml:space="preserve">hecho </w:t>
      </w:r>
      <w:r w:rsidR="008B642D" w:rsidRPr="002720D0">
        <w:rPr>
          <w:lang w:val="es-ES_tradnl"/>
        </w:rPr>
        <w:t xml:space="preserve">que </w:t>
      </w:r>
      <w:r w:rsidR="007648E1" w:rsidRPr="002720D0">
        <w:rPr>
          <w:lang w:val="es-ES_tradnl"/>
        </w:rPr>
        <w:t xml:space="preserve">la inscripción de los nacimientos </w:t>
      </w:r>
      <w:r w:rsidR="008B642D" w:rsidRPr="002720D0">
        <w:rPr>
          <w:lang w:val="es-ES_tradnl"/>
        </w:rPr>
        <w:t xml:space="preserve">sea gratuita </w:t>
      </w:r>
      <w:r w:rsidR="007648E1" w:rsidRPr="002720D0">
        <w:rPr>
          <w:lang w:val="es-ES_tradnl"/>
        </w:rPr>
        <w:t>cuando se efectúa en las instalacione</w:t>
      </w:r>
      <w:r w:rsidR="008B642D" w:rsidRPr="002720D0">
        <w:rPr>
          <w:lang w:val="es-ES_tradnl"/>
        </w:rPr>
        <w:t>s sanitarias donde se producen est</w:t>
      </w:r>
      <w:r w:rsidR="007648E1" w:rsidRPr="002720D0">
        <w:rPr>
          <w:lang w:val="es-ES_tradnl"/>
        </w:rPr>
        <w:t>os. Sin embargo, la gratuidad de los certificados</w:t>
      </w:r>
      <w:r w:rsidR="00281830" w:rsidRPr="002720D0">
        <w:rPr>
          <w:lang w:val="es-ES_tradnl"/>
        </w:rPr>
        <w:t xml:space="preserve"> sigue planteando dificultades para e</w:t>
      </w:r>
      <w:r w:rsidR="007648E1" w:rsidRPr="002720D0">
        <w:rPr>
          <w:lang w:val="es-ES_tradnl"/>
        </w:rPr>
        <w:t xml:space="preserve">l Estado parte </w:t>
      </w:r>
      <w:r w:rsidR="008B642D" w:rsidRPr="002720D0">
        <w:rPr>
          <w:lang w:val="es-ES_tradnl"/>
        </w:rPr>
        <w:t xml:space="preserve">por el </w:t>
      </w:r>
      <w:r w:rsidR="007648E1" w:rsidRPr="002720D0">
        <w:rPr>
          <w:lang w:val="es-ES_tradnl"/>
        </w:rPr>
        <w:t>elevado costo de producción de los certificados</w:t>
      </w:r>
      <w:r w:rsidR="002720D0">
        <w:rPr>
          <w:lang w:val="es-ES_tradnl"/>
        </w:rPr>
        <w:t xml:space="preserve"> </w:t>
      </w:r>
      <w:r w:rsidR="007648E1" w:rsidRPr="002720D0">
        <w:rPr>
          <w:lang w:val="es-ES_tradnl"/>
        </w:rPr>
        <w:t>sumado al de su distribución, en particular en las zonas ru</w:t>
      </w:r>
      <w:r w:rsidR="008B642D" w:rsidRPr="002720D0">
        <w:rPr>
          <w:lang w:val="es-ES_tradnl"/>
        </w:rPr>
        <w:t>rales. Ello no obstante, RITA</w:t>
      </w:r>
      <w:r w:rsidR="007648E1" w:rsidRPr="002720D0">
        <w:rPr>
          <w:lang w:val="es-ES_tradnl"/>
        </w:rPr>
        <w:t xml:space="preserve"> ha </w:t>
      </w:r>
      <w:r w:rsidR="008B642D" w:rsidRPr="002720D0">
        <w:rPr>
          <w:lang w:val="es-ES_tradnl"/>
        </w:rPr>
        <w:t>encarado</w:t>
      </w:r>
      <w:r w:rsidR="007648E1" w:rsidRPr="002720D0">
        <w:rPr>
          <w:lang w:val="es-ES_tradnl"/>
        </w:rPr>
        <w:t xml:space="preserve"> este reto mediante diversas iniciativ</w:t>
      </w:r>
      <w:r w:rsidR="008B642D" w:rsidRPr="002720D0">
        <w:rPr>
          <w:lang w:val="es-ES_tradnl"/>
        </w:rPr>
        <w:t>as, todas ellas destinadas a la gratuidad de</w:t>
      </w:r>
      <w:r w:rsidR="007648E1" w:rsidRPr="002720D0">
        <w:rPr>
          <w:lang w:val="es-ES_tradnl"/>
        </w:rPr>
        <w:t xml:space="preserve"> la inscripción de los nacim</w:t>
      </w:r>
      <w:r w:rsidR="008B642D" w:rsidRPr="002720D0">
        <w:rPr>
          <w:lang w:val="es-ES_tradnl"/>
        </w:rPr>
        <w:t>ientos de los niños</w:t>
      </w:r>
      <w:r w:rsidR="007648E1" w:rsidRPr="002720D0">
        <w:rPr>
          <w:lang w:val="es-ES_tradnl"/>
        </w:rPr>
        <w:t xml:space="preserve">. Uno de los resultados estratégicos de la iniciativa </w:t>
      </w:r>
      <w:r w:rsidR="00151021" w:rsidRPr="002720D0">
        <w:rPr>
          <w:lang w:val="es-ES_tradnl"/>
        </w:rPr>
        <w:t>U5BRI</w:t>
      </w:r>
      <w:r w:rsidR="00151021" w:rsidRPr="002720D0">
        <w:rPr>
          <w:rStyle w:val="FootnoteReference"/>
          <w:lang w:val="es-ES_tradnl"/>
        </w:rPr>
        <w:footnoteReference w:id="33"/>
      </w:r>
      <w:r w:rsidR="00151021" w:rsidRPr="002720D0">
        <w:rPr>
          <w:lang w:val="es-ES_tradnl"/>
        </w:rPr>
        <w:t xml:space="preserve"> </w:t>
      </w:r>
      <w:r w:rsidR="007648E1" w:rsidRPr="002720D0">
        <w:rPr>
          <w:lang w:val="es-ES_tradnl"/>
        </w:rPr>
        <w:t xml:space="preserve">es la revisión de la política y </w:t>
      </w:r>
      <w:r w:rsidR="00545F2C" w:rsidRPr="002720D0">
        <w:rPr>
          <w:lang w:val="es-ES_tradnl"/>
        </w:rPr>
        <w:t>d</w:t>
      </w:r>
      <w:r w:rsidR="007648E1" w:rsidRPr="002720D0">
        <w:rPr>
          <w:lang w:val="es-ES_tradnl"/>
        </w:rPr>
        <w:t>el marco normativo por el que se rige la inscripción en los registros civiles en Tanzanía, comprendidos los asuntos</w:t>
      </w:r>
      <w:r w:rsidR="00545F2C" w:rsidRPr="002720D0">
        <w:rPr>
          <w:lang w:val="es-ES_tradnl"/>
        </w:rPr>
        <w:t xml:space="preserve"> relativos a los nacimientos y a l</w:t>
      </w:r>
      <w:r w:rsidR="007648E1" w:rsidRPr="002720D0">
        <w:rPr>
          <w:lang w:val="es-ES_tradnl"/>
        </w:rPr>
        <w:t xml:space="preserve">os fallecimientos. El objetivo que se persigue es que la primera emisión de una partida de nacimiento sea gratuita para todos los niños </w:t>
      </w:r>
      <w:r w:rsidR="00D21832" w:rsidRPr="002720D0">
        <w:rPr>
          <w:lang w:val="es-ES_tradnl"/>
        </w:rPr>
        <w:t>menores de 5 años</w:t>
      </w:r>
      <w:r w:rsidR="007648E1" w:rsidRPr="002720D0">
        <w:rPr>
          <w:lang w:val="es-ES_tradnl"/>
        </w:rPr>
        <w:t xml:space="preserve"> </w:t>
      </w:r>
      <w:r w:rsidR="00545F2C" w:rsidRPr="002720D0">
        <w:rPr>
          <w:lang w:val="es-ES_tradnl"/>
        </w:rPr>
        <w:t>mientras dure</w:t>
      </w:r>
      <w:r w:rsidR="007648E1" w:rsidRPr="002720D0">
        <w:rPr>
          <w:lang w:val="es-ES_tradnl"/>
        </w:rPr>
        <w:t xml:space="preserve"> la iniciativa, con arreglo a la cual se propone que las partidas se elaboren de forma manuscrita y se emitan de inmediato en el momento d</w:t>
      </w:r>
      <w:r w:rsidR="00545F2C" w:rsidRPr="002720D0">
        <w:rPr>
          <w:lang w:val="es-ES_tradnl"/>
        </w:rPr>
        <w:t>e la inscripción en el registro. Este procedimiento difiere</w:t>
      </w:r>
      <w:r w:rsidR="007648E1" w:rsidRPr="002720D0">
        <w:rPr>
          <w:lang w:val="es-ES_tradnl"/>
        </w:rPr>
        <w:t xml:space="preserve"> </w:t>
      </w:r>
      <w:r w:rsidR="00545F2C" w:rsidRPr="002720D0">
        <w:rPr>
          <w:lang w:val="es-ES_tradnl"/>
        </w:rPr>
        <w:t>de la situación actual, en la que</w:t>
      </w:r>
      <w:r w:rsidR="007648E1" w:rsidRPr="002720D0">
        <w:rPr>
          <w:lang w:val="es-ES_tradnl"/>
        </w:rPr>
        <w:t xml:space="preserve"> se emite una notificación y </w:t>
      </w:r>
      <w:r w:rsidR="00545F2C" w:rsidRPr="002720D0">
        <w:rPr>
          <w:lang w:val="es-ES_tradnl"/>
        </w:rPr>
        <w:t xml:space="preserve">posteriormente </w:t>
      </w:r>
      <w:r w:rsidR="007648E1" w:rsidRPr="002720D0">
        <w:rPr>
          <w:lang w:val="es-ES_tradnl"/>
        </w:rPr>
        <w:t>el interesado ha de dirigirse a la oficina de distrito para obtener la partida correspondiente.</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65.</w:t>
      </w:r>
      <w:r w:rsidRPr="002720D0">
        <w:rPr>
          <w:lang w:val="es-ES_tradnl"/>
        </w:rPr>
        <w:tab/>
      </w:r>
      <w:r w:rsidR="004E5B2C" w:rsidRPr="002720D0">
        <w:rPr>
          <w:lang w:val="es-ES_tradnl"/>
        </w:rPr>
        <w:t>Asimismo</w:t>
      </w:r>
      <w:r w:rsidR="00434213" w:rsidRPr="002720D0">
        <w:rPr>
          <w:lang w:val="es-ES_tradnl"/>
        </w:rPr>
        <w:t>, el Estado p</w:t>
      </w:r>
      <w:r w:rsidR="003F20D4" w:rsidRPr="002720D0">
        <w:rPr>
          <w:lang w:val="es-ES_tradnl"/>
        </w:rPr>
        <w:t xml:space="preserve">arte ha diseñado un modelo de campañas de actualización que también han de servir </w:t>
      </w:r>
      <w:r w:rsidR="00434213" w:rsidRPr="002720D0">
        <w:rPr>
          <w:lang w:val="es-ES_tradnl"/>
        </w:rPr>
        <w:t>la función de</w:t>
      </w:r>
      <w:r w:rsidR="003F20D4" w:rsidRPr="002720D0">
        <w:rPr>
          <w:lang w:val="es-ES_tradnl"/>
        </w:rPr>
        <w:t xml:space="preserve"> registros móviles en Tanzaní</w:t>
      </w:r>
      <w:r w:rsidR="00151021" w:rsidRPr="002720D0">
        <w:rPr>
          <w:lang w:val="es-ES_tradnl"/>
        </w:rPr>
        <w:t xml:space="preserve">a </w:t>
      </w:r>
      <w:r w:rsidR="00434213" w:rsidRPr="002720D0">
        <w:rPr>
          <w:lang w:val="es-ES_tradnl"/>
        </w:rPr>
        <w:t>continental. Estas campañas</w:t>
      </w:r>
      <w:r w:rsidR="003F20D4" w:rsidRPr="002720D0">
        <w:rPr>
          <w:lang w:val="es-ES_tradnl"/>
        </w:rPr>
        <w:t xml:space="preserve"> han de</w:t>
      </w:r>
      <w:r w:rsidR="001D2A53">
        <w:rPr>
          <w:lang w:val="es-ES_tradnl"/>
        </w:rPr>
        <w:t xml:space="preserve"> </w:t>
      </w:r>
      <w:r w:rsidR="003F20D4" w:rsidRPr="002720D0">
        <w:rPr>
          <w:lang w:val="es-ES_tradnl"/>
        </w:rPr>
        <w:t xml:space="preserve">realizarse en paralelo con la consideración de algunas de las dificultades institucionales y sistémicas que </w:t>
      </w:r>
      <w:r w:rsidR="001419C1" w:rsidRPr="002720D0">
        <w:rPr>
          <w:lang w:val="es-ES_tradnl"/>
        </w:rPr>
        <w:t>obstaculizan</w:t>
      </w:r>
      <w:r w:rsidR="003F20D4" w:rsidRPr="002720D0">
        <w:rPr>
          <w:lang w:val="es-ES_tradnl"/>
        </w:rPr>
        <w:t xml:space="preserve"> el progreso </w:t>
      </w:r>
      <w:r w:rsidR="001419C1" w:rsidRPr="002720D0">
        <w:rPr>
          <w:lang w:val="es-ES_tradnl"/>
        </w:rPr>
        <w:t>en</w:t>
      </w:r>
      <w:r w:rsidR="003F20D4" w:rsidRPr="002720D0">
        <w:rPr>
          <w:lang w:val="es-ES_tradnl"/>
        </w:rPr>
        <w:t xml:space="preserve"> la inscripción de los nacimientos y el alcance de su cobertura. Los funcionarios del ejecutivo local no están facultados para inscribir a los niños, si bien </w:t>
      </w:r>
      <w:r w:rsidR="001419C1" w:rsidRPr="002720D0">
        <w:rPr>
          <w:lang w:val="es-ES_tradnl"/>
        </w:rPr>
        <w:t>esta facultad</w:t>
      </w:r>
      <w:r w:rsidR="003F20D4" w:rsidRPr="002720D0">
        <w:rPr>
          <w:lang w:val="es-ES_tradnl"/>
        </w:rPr>
        <w:t xml:space="preserve"> </w:t>
      </w:r>
      <w:r w:rsidR="001419C1" w:rsidRPr="002720D0">
        <w:rPr>
          <w:lang w:val="es-ES_tradnl"/>
        </w:rPr>
        <w:t xml:space="preserve">les </w:t>
      </w:r>
      <w:r w:rsidR="003F20D4" w:rsidRPr="002720D0">
        <w:rPr>
          <w:lang w:val="es-ES_tradnl"/>
        </w:rPr>
        <w:t xml:space="preserve">hubiera </w:t>
      </w:r>
      <w:r w:rsidR="001419C1" w:rsidRPr="002720D0">
        <w:rPr>
          <w:lang w:val="es-ES_tradnl"/>
        </w:rPr>
        <w:t>facilitado el proceso</w:t>
      </w:r>
      <w:r w:rsidR="003F20D4" w:rsidRPr="002720D0">
        <w:rPr>
          <w:lang w:val="es-ES_tradnl"/>
        </w:rPr>
        <w:t xml:space="preserve">. Por consiguiente, RITA ha elaborado un marco estratégico de alto nivel que ha sentado las bases para la reforma exhaustiva del sistema de inscripción de los nacimientos, con miras al establecimiento de un nuevo sistema de </w:t>
      </w:r>
      <w:r w:rsidR="00B11C81" w:rsidRPr="002720D0">
        <w:rPr>
          <w:lang w:val="es-ES_tradnl"/>
        </w:rPr>
        <w:t>inscripción</w:t>
      </w:r>
      <w:r w:rsidR="003F20D4" w:rsidRPr="002720D0">
        <w:rPr>
          <w:lang w:val="es-ES_tradnl"/>
        </w:rPr>
        <w:t xml:space="preserve"> de nacimientos</w:t>
      </w:r>
      <w:r w:rsidR="001419C1" w:rsidRPr="002720D0">
        <w:rPr>
          <w:lang w:val="es-ES_tradnl"/>
        </w:rPr>
        <w:t>, y también</w:t>
      </w:r>
      <w:r w:rsidR="003F20D4" w:rsidRPr="002720D0">
        <w:rPr>
          <w:lang w:val="es-ES_tradnl"/>
        </w:rPr>
        <w:t xml:space="preserve"> a la prov</w:t>
      </w:r>
      <w:r w:rsidR="00B84DF5" w:rsidRPr="002720D0">
        <w:rPr>
          <w:lang w:val="es-ES_tradnl"/>
        </w:rPr>
        <w:t>isión de un sistema fiable y efi</w:t>
      </w:r>
      <w:r w:rsidR="003F20D4" w:rsidRPr="002720D0">
        <w:rPr>
          <w:lang w:val="es-ES_tradnl"/>
        </w:rPr>
        <w:t xml:space="preserve">ciente </w:t>
      </w:r>
      <w:r w:rsidR="001419C1" w:rsidRPr="002720D0">
        <w:rPr>
          <w:lang w:val="es-ES_tradnl"/>
        </w:rPr>
        <w:t>destinado a</w:t>
      </w:r>
      <w:r w:rsidR="003F20D4" w:rsidRPr="002720D0">
        <w:rPr>
          <w:lang w:val="es-ES_tradnl"/>
        </w:rPr>
        <w:t xml:space="preserve"> poner fin a los problemas actuales permitiendo que los interesados realicen las inscripciones con </w:t>
      </w:r>
      <w:r w:rsidR="001419C1" w:rsidRPr="002720D0">
        <w:rPr>
          <w:lang w:val="es-ES_tradnl"/>
        </w:rPr>
        <w:t>toda la</w:t>
      </w:r>
      <w:r w:rsidR="003F20D4" w:rsidRPr="002720D0">
        <w:rPr>
          <w:lang w:val="es-ES_tradnl"/>
        </w:rPr>
        <w:t xml:space="preserve"> proximidad </w:t>
      </w:r>
      <w:r w:rsidR="001419C1" w:rsidRPr="002720D0">
        <w:rPr>
          <w:lang w:val="es-ES_tradnl"/>
        </w:rPr>
        <w:t xml:space="preserve">espacial y cronológica </w:t>
      </w:r>
      <w:r w:rsidR="003F20D4" w:rsidRPr="002720D0">
        <w:rPr>
          <w:lang w:val="es-ES_tradnl"/>
        </w:rPr>
        <w:t>posible</w:t>
      </w:r>
      <w:r w:rsidR="001419C1" w:rsidRPr="002720D0">
        <w:rPr>
          <w:lang w:val="es-ES_tradnl"/>
        </w:rPr>
        <w:t xml:space="preserve"> </w:t>
      </w:r>
      <w:r w:rsidR="003F20D4" w:rsidRPr="002720D0">
        <w:rPr>
          <w:lang w:val="es-ES_tradnl"/>
        </w:rPr>
        <w:t>a los lugares donde se produzcan los nacimient</w:t>
      </w:r>
      <w:r w:rsidR="002172E8" w:rsidRPr="002720D0">
        <w:rPr>
          <w:lang w:val="es-ES_tradnl"/>
        </w:rPr>
        <w:t>o</w:t>
      </w:r>
      <w:r w:rsidR="003F20D4" w:rsidRPr="002720D0">
        <w:rPr>
          <w:lang w:val="es-ES_tradnl"/>
        </w:rPr>
        <w:t xml:space="preserve">s. </w:t>
      </w:r>
      <w:r w:rsidR="002172E8" w:rsidRPr="002720D0">
        <w:rPr>
          <w:lang w:val="es-ES_tradnl"/>
        </w:rPr>
        <w:t xml:space="preserve">Esta es la </w:t>
      </w:r>
      <w:r w:rsidR="00151021" w:rsidRPr="002720D0">
        <w:rPr>
          <w:i/>
          <w:lang w:val="es-ES_tradnl"/>
        </w:rPr>
        <w:t>Under Five National Birth</w:t>
      </w:r>
      <w:r w:rsidR="001D2A53">
        <w:rPr>
          <w:i/>
          <w:lang w:val="es-ES_tradnl"/>
        </w:rPr>
        <w:t xml:space="preserve"> </w:t>
      </w:r>
      <w:r w:rsidR="00151021" w:rsidRPr="002720D0">
        <w:rPr>
          <w:i/>
          <w:lang w:val="es-ES_tradnl"/>
        </w:rPr>
        <w:t xml:space="preserve">Registration Strategy (U5NBRS) </w:t>
      </w:r>
      <w:r w:rsidR="001419C1" w:rsidRPr="002720D0">
        <w:rPr>
          <w:lang w:val="es-ES_tradnl"/>
        </w:rPr>
        <w:t>(</w:t>
      </w:r>
      <w:r w:rsidR="001C7E1C">
        <w:rPr>
          <w:lang w:val="es-ES_tradnl"/>
        </w:rPr>
        <w:t>"</w:t>
      </w:r>
      <w:r w:rsidR="002172E8" w:rsidRPr="002720D0">
        <w:rPr>
          <w:lang w:val="es-ES_tradnl"/>
        </w:rPr>
        <w:t xml:space="preserve">Estrategia nacional de inscripción de nacimientos de los </w:t>
      </w:r>
      <w:r w:rsidR="00D21832" w:rsidRPr="002720D0">
        <w:rPr>
          <w:lang w:val="es-ES_tradnl"/>
        </w:rPr>
        <w:t>menores de 5 años</w:t>
      </w:r>
      <w:r w:rsidR="001C7E1C">
        <w:rPr>
          <w:lang w:val="es-ES_tradnl"/>
        </w:rPr>
        <w:t>"</w:t>
      </w:r>
      <w:r w:rsidR="002172E8" w:rsidRPr="002720D0">
        <w:rPr>
          <w:lang w:val="es-ES_tradnl"/>
        </w:rPr>
        <w:t>), también conocida como</w:t>
      </w:r>
      <w:r w:rsidR="00151021" w:rsidRPr="002720D0">
        <w:rPr>
          <w:lang w:val="es-ES_tradnl"/>
        </w:rPr>
        <w:t xml:space="preserve"> </w:t>
      </w:r>
      <w:r w:rsidR="00151021" w:rsidRPr="002720D0">
        <w:rPr>
          <w:i/>
          <w:lang w:val="es-ES_tradnl"/>
        </w:rPr>
        <w:t>Under Five Birth Registration Initiative (U5BRI)</w:t>
      </w:r>
      <w:r w:rsidR="001419C1" w:rsidRPr="002720D0">
        <w:rPr>
          <w:lang w:val="es-ES_tradnl"/>
        </w:rPr>
        <w:t xml:space="preserve"> (</w:t>
      </w:r>
      <w:r w:rsidR="001C7E1C">
        <w:rPr>
          <w:lang w:val="es-ES_tradnl"/>
        </w:rPr>
        <w:t>"</w:t>
      </w:r>
      <w:r w:rsidR="002172E8" w:rsidRPr="002720D0">
        <w:rPr>
          <w:lang w:val="es-ES_tradnl"/>
        </w:rPr>
        <w:t xml:space="preserve">Iniciativa de inscripción de nacimientos de los </w:t>
      </w:r>
      <w:r w:rsidR="00D21832" w:rsidRPr="002720D0">
        <w:rPr>
          <w:lang w:val="es-ES_tradnl"/>
        </w:rPr>
        <w:t>menores de 5 años</w:t>
      </w:r>
      <w:r w:rsidR="001C7E1C">
        <w:rPr>
          <w:lang w:val="es-ES_tradnl"/>
        </w:rPr>
        <w:t>"</w:t>
      </w:r>
      <w:r w:rsidR="002172E8" w:rsidRPr="002720D0">
        <w:rPr>
          <w:lang w:val="es-ES_tradnl"/>
        </w:rPr>
        <w:t>)</w:t>
      </w:r>
      <w:r w:rsidR="00151021" w:rsidRPr="002720D0">
        <w:rPr>
          <w:rStyle w:val="FootnoteReference"/>
          <w:lang w:val="es-ES_tradnl"/>
        </w:rPr>
        <w:footnoteReference w:id="34"/>
      </w:r>
      <w:r w:rsidR="002172E8"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66.</w:t>
      </w:r>
      <w:r w:rsidRPr="002720D0">
        <w:rPr>
          <w:lang w:val="es-ES_tradnl"/>
        </w:rPr>
        <w:tab/>
      </w:r>
      <w:r w:rsidR="00B84DF5" w:rsidRPr="002720D0">
        <w:rPr>
          <w:lang w:val="es-ES_tradnl"/>
        </w:rPr>
        <w:t>Ademá</w:t>
      </w:r>
      <w:r w:rsidR="002172E8" w:rsidRPr="002720D0">
        <w:rPr>
          <w:lang w:val="es-ES_tradnl"/>
        </w:rPr>
        <w:t>s de la iniciativa</w:t>
      </w:r>
      <w:r w:rsidR="00151021" w:rsidRPr="002720D0">
        <w:rPr>
          <w:lang w:val="es-ES_tradnl"/>
        </w:rPr>
        <w:t xml:space="preserve"> U5BRI, RITA </w:t>
      </w:r>
      <w:r w:rsidR="00A4745D" w:rsidRPr="002720D0">
        <w:rPr>
          <w:lang w:val="es-ES_tradnl"/>
        </w:rPr>
        <w:t>también ha e</w:t>
      </w:r>
      <w:r w:rsidR="002172E8" w:rsidRPr="002720D0">
        <w:rPr>
          <w:lang w:val="es-ES_tradnl"/>
        </w:rPr>
        <w:t xml:space="preserve">laborado una estrategia adicional destinada a los niños que no han sido inscritos y </w:t>
      </w:r>
      <w:r w:rsidR="00AA6541" w:rsidRPr="002720D0">
        <w:rPr>
          <w:lang w:val="es-ES_tradnl"/>
        </w:rPr>
        <w:t>a dar mayor</w:t>
      </w:r>
      <w:r w:rsidR="002172E8" w:rsidRPr="002720D0">
        <w:rPr>
          <w:lang w:val="es-ES_tradnl"/>
        </w:rPr>
        <w:t xml:space="preserve"> acceso a la inscripción en el registro, mediante la aplicación de la iniciativa conocida como </w:t>
      </w:r>
      <w:r w:rsidR="00151021" w:rsidRPr="002720D0">
        <w:rPr>
          <w:i/>
          <w:lang w:val="es-ES_tradnl"/>
        </w:rPr>
        <w:t>6-18 Birth Registration Initiative</w:t>
      </w:r>
      <w:r w:rsidR="00AA6541" w:rsidRPr="002720D0">
        <w:rPr>
          <w:lang w:val="es-ES_tradnl"/>
        </w:rPr>
        <w:t xml:space="preserve"> (</w:t>
      </w:r>
      <w:r w:rsidR="001C7E1C">
        <w:rPr>
          <w:lang w:val="es-ES_tradnl"/>
        </w:rPr>
        <w:t>"</w:t>
      </w:r>
      <w:r w:rsidR="002172E8" w:rsidRPr="002720D0">
        <w:rPr>
          <w:lang w:val="es-ES_tradnl"/>
        </w:rPr>
        <w:t>Iniciativa de inscripción de nacimientos de los niños con edades de entre 6 y 18 añ</w:t>
      </w:r>
      <w:r w:rsidR="00AA6541" w:rsidRPr="002720D0">
        <w:rPr>
          <w:lang w:val="es-ES_tradnl"/>
        </w:rPr>
        <w:t>os</w:t>
      </w:r>
      <w:r w:rsidR="001C7E1C">
        <w:rPr>
          <w:lang w:val="es-ES_tradnl"/>
        </w:rPr>
        <w:t>"</w:t>
      </w:r>
      <w:r w:rsidR="002172E8" w:rsidRPr="002720D0">
        <w:rPr>
          <w:lang w:val="es-ES_tradnl"/>
        </w:rPr>
        <w:t>)</w:t>
      </w:r>
      <w:r w:rsidR="00151021" w:rsidRPr="002720D0">
        <w:rPr>
          <w:lang w:val="es-ES_tradnl"/>
        </w:rPr>
        <w:t xml:space="preserve">. </w:t>
      </w:r>
      <w:r w:rsidR="002172E8" w:rsidRPr="002720D0">
        <w:rPr>
          <w:lang w:val="es-ES_tradnl"/>
        </w:rPr>
        <w:t xml:space="preserve">Esta iniciativa persigue la captación de los niños en edad escolar con miras a </w:t>
      </w:r>
      <w:r w:rsidR="00AA6541" w:rsidRPr="002720D0">
        <w:rPr>
          <w:lang w:val="es-ES_tradnl"/>
        </w:rPr>
        <w:t>su inscripción</w:t>
      </w:r>
      <w:r w:rsidR="002172E8" w:rsidRPr="002720D0">
        <w:rPr>
          <w:lang w:val="es-ES_tradnl"/>
        </w:rPr>
        <w:t xml:space="preserve"> durante las distintas fases de su escolarización, ya sea en la fase de matriculación o cuando ya estén participando en la educación primaria o secundaria, pero de ser posible antes de llegar a los niveles superiores de enseñanza. </w:t>
      </w:r>
      <w:r w:rsidR="006C17AE" w:rsidRPr="002720D0">
        <w:rPr>
          <w:lang w:val="es-ES_tradnl"/>
        </w:rPr>
        <w:t>Una vez más, en este contexto RITA está colaborando muy estrechamente con las administraciones locales responsables de todas las es</w:t>
      </w:r>
      <w:r w:rsidR="00AA6541" w:rsidRPr="002720D0">
        <w:rPr>
          <w:lang w:val="es-ES_tradnl"/>
        </w:rPr>
        <w:t>cuelas públicas. En este empeño</w:t>
      </w:r>
      <w:r w:rsidR="006C17AE" w:rsidRPr="002720D0">
        <w:rPr>
          <w:lang w:val="es-ES_tradnl"/>
        </w:rPr>
        <w:t xml:space="preserve"> RITA recibe la asistencia de los directores de escuela, los maestros y los funcionarios de la enseñanza designados para actuar en calidad de secretarios adjuntos, todo ello en aras de compensar el déficit de recursos humanos que RITA padece en la actualidad</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67.</w:t>
      </w:r>
      <w:r w:rsidRPr="002720D0">
        <w:rPr>
          <w:lang w:val="es-ES_tradnl"/>
        </w:rPr>
        <w:tab/>
      </w:r>
      <w:r w:rsidR="00AA6541" w:rsidRPr="002720D0">
        <w:rPr>
          <w:lang w:val="es-ES_tradnl"/>
        </w:rPr>
        <w:t>El Estado p</w:t>
      </w:r>
      <w:r w:rsidR="006C17AE" w:rsidRPr="002720D0">
        <w:rPr>
          <w:lang w:val="es-ES_tradnl"/>
        </w:rPr>
        <w:t xml:space="preserve">arte también ha llevado a cabo campañas de sensibilización y </w:t>
      </w:r>
      <w:r w:rsidR="00806F3F" w:rsidRPr="002720D0">
        <w:rPr>
          <w:lang w:val="es-ES_tradnl"/>
        </w:rPr>
        <w:t xml:space="preserve">enviado unidades móviles </w:t>
      </w:r>
      <w:r w:rsidR="006C17AE" w:rsidRPr="002720D0">
        <w:rPr>
          <w:lang w:val="es-ES_tradnl"/>
        </w:rPr>
        <w:t xml:space="preserve">de inscripción </w:t>
      </w:r>
      <w:r w:rsidR="00806F3F" w:rsidRPr="002720D0">
        <w:rPr>
          <w:lang w:val="es-ES_tradnl"/>
        </w:rPr>
        <w:t>a</w:t>
      </w:r>
      <w:r w:rsidR="006C17AE" w:rsidRPr="002720D0">
        <w:rPr>
          <w:lang w:val="es-ES_tradnl"/>
        </w:rPr>
        <w:t xml:space="preserve"> 40 distritos de Tanzanía continental; estas campañas han logrado un </w:t>
      </w:r>
      <w:r w:rsidR="00AA6541" w:rsidRPr="002720D0">
        <w:rPr>
          <w:lang w:val="es-ES_tradnl"/>
        </w:rPr>
        <w:t xml:space="preserve">éxito </w:t>
      </w:r>
      <w:r w:rsidR="006C17AE" w:rsidRPr="002720D0">
        <w:rPr>
          <w:lang w:val="es-ES_tradnl"/>
        </w:rPr>
        <w:t>considerable, ya que han hecho posible la inscripción de 361.</w:t>
      </w:r>
      <w:r w:rsidR="00151021" w:rsidRPr="002720D0">
        <w:rPr>
          <w:lang w:val="es-ES_tradnl"/>
        </w:rPr>
        <w:t xml:space="preserve">667 </w:t>
      </w:r>
      <w:r w:rsidR="006C17AE" w:rsidRPr="002720D0">
        <w:rPr>
          <w:lang w:val="es-ES_tradnl"/>
        </w:rPr>
        <w:t xml:space="preserve">personas. En la actualidad, las estadísticas demográficas y de salud de 2010 </w:t>
      </w:r>
      <w:r w:rsidR="00AA6541" w:rsidRPr="002720D0">
        <w:rPr>
          <w:lang w:val="es-ES_tradnl"/>
        </w:rPr>
        <w:t>reflejan</w:t>
      </w:r>
      <w:r w:rsidR="006C17AE" w:rsidRPr="002720D0">
        <w:rPr>
          <w:lang w:val="es-ES_tradnl"/>
        </w:rPr>
        <w:t xml:space="preserve"> que solo </w:t>
      </w:r>
      <w:r w:rsidR="00A4745D" w:rsidRPr="002720D0">
        <w:rPr>
          <w:lang w:val="es-ES_tradnl"/>
        </w:rPr>
        <w:t xml:space="preserve">se inscribieron </w:t>
      </w:r>
      <w:r w:rsidR="00AA6541" w:rsidRPr="002720D0">
        <w:rPr>
          <w:lang w:val="es-ES_tradnl"/>
        </w:rPr>
        <w:t>el</w:t>
      </w:r>
      <w:r w:rsidR="006C17AE" w:rsidRPr="002720D0">
        <w:rPr>
          <w:lang w:val="es-ES_tradnl"/>
        </w:rPr>
        <w:t xml:space="preserve"> </w:t>
      </w:r>
      <w:r w:rsidR="00151021" w:rsidRPr="002720D0">
        <w:rPr>
          <w:lang w:val="es-ES_tradnl"/>
        </w:rPr>
        <w:t xml:space="preserve">14% </w:t>
      </w:r>
      <w:r w:rsidR="00A4745D" w:rsidRPr="002720D0">
        <w:rPr>
          <w:lang w:val="es-ES_tradnl"/>
        </w:rPr>
        <w:t xml:space="preserve">de los </w:t>
      </w:r>
      <w:r w:rsidR="00D21832" w:rsidRPr="002720D0">
        <w:rPr>
          <w:lang w:val="es-ES_tradnl"/>
        </w:rPr>
        <w:t>menores de 5 años</w:t>
      </w:r>
      <w:r w:rsidR="00A45B93" w:rsidRPr="002720D0">
        <w:rPr>
          <w:lang w:val="es-ES_tradnl"/>
        </w:rPr>
        <w:t>,</w:t>
      </w:r>
      <w:r w:rsidR="00AA6541" w:rsidRPr="002720D0">
        <w:rPr>
          <w:lang w:val="es-ES_tradnl"/>
        </w:rPr>
        <w:t xml:space="preserve"> </w:t>
      </w:r>
      <w:r w:rsidR="00A4745D" w:rsidRPr="002720D0">
        <w:rPr>
          <w:lang w:val="es-ES_tradnl"/>
        </w:rPr>
        <w:t xml:space="preserve">y </w:t>
      </w:r>
      <w:r w:rsidR="00806F3F" w:rsidRPr="002720D0">
        <w:rPr>
          <w:lang w:val="es-ES_tradnl"/>
        </w:rPr>
        <w:t xml:space="preserve">que </w:t>
      </w:r>
      <w:r w:rsidR="00A4745D" w:rsidRPr="002720D0">
        <w:rPr>
          <w:lang w:val="es-ES_tradnl"/>
        </w:rPr>
        <w:t xml:space="preserve">de </w:t>
      </w:r>
      <w:r w:rsidR="00AA6541" w:rsidRPr="002720D0">
        <w:rPr>
          <w:lang w:val="es-ES_tradnl"/>
        </w:rPr>
        <w:t>los inscritos</w:t>
      </w:r>
      <w:r w:rsidR="00A4745D" w:rsidRPr="002720D0">
        <w:rPr>
          <w:lang w:val="es-ES_tradnl"/>
        </w:rPr>
        <w:t xml:space="preserve"> </w:t>
      </w:r>
      <w:r w:rsidR="00AA6541" w:rsidRPr="002720D0">
        <w:rPr>
          <w:lang w:val="es-ES_tradnl"/>
        </w:rPr>
        <w:t xml:space="preserve">el </w:t>
      </w:r>
      <w:r w:rsidR="00A4745D" w:rsidRPr="002720D0">
        <w:rPr>
          <w:lang w:val="es-ES_tradnl"/>
        </w:rPr>
        <w:t>6,</w:t>
      </w:r>
      <w:r w:rsidR="00151021" w:rsidRPr="002720D0">
        <w:rPr>
          <w:lang w:val="es-ES_tradnl"/>
        </w:rPr>
        <w:t xml:space="preserve">2% </w:t>
      </w:r>
      <w:r w:rsidR="00A4745D" w:rsidRPr="002720D0">
        <w:rPr>
          <w:lang w:val="es-ES_tradnl"/>
        </w:rPr>
        <w:t>cue</w:t>
      </w:r>
      <w:r w:rsidR="00AA6541" w:rsidRPr="002720D0">
        <w:rPr>
          <w:lang w:val="es-ES_tradnl"/>
        </w:rPr>
        <w:t>ntan con partidas de nacimiento</w:t>
      </w:r>
      <w:r w:rsidR="00A4745D" w:rsidRPr="002720D0">
        <w:rPr>
          <w:lang w:val="es-ES_tradnl"/>
        </w:rPr>
        <w:t xml:space="preserve">. Por ende, </w:t>
      </w:r>
      <w:r w:rsidR="00151021" w:rsidRPr="002720D0">
        <w:rPr>
          <w:lang w:val="es-ES_tradnl"/>
        </w:rPr>
        <w:t xml:space="preserve">RITA </w:t>
      </w:r>
      <w:r w:rsidR="00A4745D" w:rsidRPr="002720D0">
        <w:rPr>
          <w:lang w:val="es-ES_tradnl"/>
        </w:rPr>
        <w:t xml:space="preserve">está trabajando con denuedo en su iniciativa </w:t>
      </w:r>
      <w:r w:rsidR="00151021" w:rsidRPr="002720D0">
        <w:rPr>
          <w:lang w:val="es-ES_tradnl"/>
        </w:rPr>
        <w:t>U5BRI</w:t>
      </w:r>
      <w:r w:rsidR="00A4745D" w:rsidRPr="002720D0">
        <w:rPr>
          <w:lang w:val="es-ES_tradnl"/>
        </w:rPr>
        <w:t xml:space="preserve">, que persigue llevar </w:t>
      </w:r>
      <w:r w:rsidR="00806F3F" w:rsidRPr="002720D0">
        <w:rPr>
          <w:lang w:val="es-ES_tradnl"/>
        </w:rPr>
        <w:t xml:space="preserve">al 80% </w:t>
      </w:r>
      <w:r w:rsidR="00A4745D" w:rsidRPr="002720D0">
        <w:rPr>
          <w:lang w:val="es-ES_tradnl"/>
        </w:rPr>
        <w:t xml:space="preserve">el porcentaje de niños </w:t>
      </w:r>
      <w:r w:rsidR="00D21832" w:rsidRPr="002720D0">
        <w:rPr>
          <w:lang w:val="es-ES_tradnl"/>
        </w:rPr>
        <w:t>menores de 5 años</w:t>
      </w:r>
      <w:r w:rsidR="00A4745D" w:rsidRPr="002720D0">
        <w:rPr>
          <w:lang w:val="es-ES_tradnl"/>
        </w:rPr>
        <w:t xml:space="preserve"> inscritos en los registros dura</w:t>
      </w:r>
      <w:r w:rsidR="00AA6541" w:rsidRPr="002720D0">
        <w:rPr>
          <w:lang w:val="es-ES_tradnl"/>
        </w:rPr>
        <w:t>nte los cinco primeros años de est</w:t>
      </w:r>
      <w:r w:rsidR="00A4745D" w:rsidRPr="002720D0">
        <w:rPr>
          <w:lang w:val="es-ES_tradnl"/>
        </w:rPr>
        <w:t xml:space="preserve">a iniciativa. </w:t>
      </w:r>
    </w:p>
    <w:p w:rsidR="00151021" w:rsidRPr="002720D0" w:rsidRDefault="004F6364" w:rsidP="004F6364">
      <w:pPr>
        <w:pStyle w:val="SingleTxtG"/>
        <w:tabs>
          <w:tab w:val="left" w:pos="-360"/>
        </w:tabs>
        <w:rPr>
          <w:lang w:val="es-ES_tradnl"/>
        </w:rPr>
      </w:pPr>
      <w:r w:rsidRPr="002720D0">
        <w:rPr>
          <w:lang w:val="es-ES_tradnl"/>
        </w:rPr>
        <w:t>68.</w:t>
      </w:r>
      <w:r w:rsidRPr="002720D0">
        <w:rPr>
          <w:lang w:val="es-ES_tradnl"/>
        </w:rPr>
        <w:tab/>
      </w:r>
      <w:r w:rsidR="00151021" w:rsidRPr="002720D0">
        <w:rPr>
          <w:lang w:val="es-ES_tradnl"/>
        </w:rPr>
        <w:t>RITA ha</w:t>
      </w:r>
      <w:r w:rsidR="00A4745D" w:rsidRPr="002720D0">
        <w:rPr>
          <w:lang w:val="es-ES_tradnl"/>
        </w:rPr>
        <w:t xml:space="preserve"> tomado en consideración a los niños más v</w:t>
      </w:r>
      <w:r w:rsidR="00AA6541" w:rsidRPr="002720D0">
        <w:rPr>
          <w:lang w:val="es-ES_tradnl"/>
        </w:rPr>
        <w:t>ulnerables; ha</w:t>
      </w:r>
      <w:r w:rsidR="00A4745D" w:rsidRPr="002720D0">
        <w:rPr>
          <w:lang w:val="es-ES_tradnl"/>
        </w:rPr>
        <w:t xml:space="preserve"> prestado la debida atención a este grupo inscribiéndolos en los registros y proporcionándoles partidas de nacimiento</w:t>
      </w:r>
      <w:r w:rsidR="00AA6541" w:rsidRPr="002720D0">
        <w:rPr>
          <w:lang w:val="es-ES_tradnl"/>
        </w:rPr>
        <w:t>,</w:t>
      </w:r>
      <w:r w:rsidR="00A4745D" w:rsidRPr="002720D0">
        <w:rPr>
          <w:lang w:val="es-ES_tradnl"/>
        </w:rPr>
        <w:t xml:space="preserve"> </w:t>
      </w:r>
      <w:r w:rsidR="00AA6541" w:rsidRPr="002720D0">
        <w:rPr>
          <w:lang w:val="es-ES_tradnl"/>
        </w:rPr>
        <w:t>en el contexto</w:t>
      </w:r>
      <w:r w:rsidR="00A4745D" w:rsidRPr="002720D0">
        <w:rPr>
          <w:lang w:val="es-ES_tradnl"/>
        </w:rPr>
        <w:t xml:space="preserve"> de su plan de ayuda a esta categoría de niños. Como medida adicional para la mejora del sistema de inscripción en los registros, RITA está realizando escaneos de todos sus registros; por el momento, se han tramitado unos 10 millones de copias. También ha emprendido la informatización del sistema de inscripción en los registros en cinco distritos piloto de </w:t>
      </w:r>
      <w:r w:rsidR="00B84DF5" w:rsidRPr="002720D0">
        <w:rPr>
          <w:lang w:val="es-ES_tradnl"/>
        </w:rPr>
        <w:t xml:space="preserve">Tanzanía continental, donde las correspondientes partidas se están emitiendo por computadora. </w:t>
      </w:r>
    </w:p>
    <w:p w:rsidR="00151021" w:rsidRPr="002720D0" w:rsidRDefault="004F6364" w:rsidP="004F6364">
      <w:pPr>
        <w:pStyle w:val="SingleTxtG"/>
        <w:tabs>
          <w:tab w:val="left" w:pos="-360"/>
        </w:tabs>
        <w:rPr>
          <w:lang w:val="es-ES_tradnl"/>
        </w:rPr>
      </w:pPr>
      <w:r w:rsidRPr="002720D0">
        <w:rPr>
          <w:lang w:val="es-ES_tradnl"/>
        </w:rPr>
        <w:t>69.</w:t>
      </w:r>
      <w:r w:rsidRPr="002720D0">
        <w:rPr>
          <w:lang w:val="es-ES_tradnl"/>
        </w:rPr>
        <w:tab/>
      </w:r>
      <w:r w:rsidR="00B84DF5" w:rsidRPr="002720D0">
        <w:rPr>
          <w:lang w:val="es-ES_tradnl"/>
        </w:rPr>
        <w:t>Sin embargo, la ampliación de estos servicios al resto de los distritos de Tanzanía continental s</w:t>
      </w:r>
      <w:r w:rsidR="00AA6541" w:rsidRPr="002720D0">
        <w:rPr>
          <w:lang w:val="es-ES_tradnl"/>
        </w:rPr>
        <w:t>upondrá un reto para el Estado p</w:t>
      </w:r>
      <w:r w:rsidR="00C47FE3" w:rsidRPr="002720D0">
        <w:rPr>
          <w:lang w:val="es-ES_tradnl"/>
        </w:rPr>
        <w:t>arte mientras no</w:t>
      </w:r>
      <w:r w:rsidR="00B84DF5" w:rsidRPr="002720D0">
        <w:rPr>
          <w:lang w:val="es-ES_tradnl"/>
        </w:rPr>
        <w:t xml:space="preserve"> se </w:t>
      </w:r>
      <w:r w:rsidR="00151021" w:rsidRPr="002720D0">
        <w:rPr>
          <w:lang w:val="es-ES_tradnl"/>
        </w:rPr>
        <w:t>h</w:t>
      </w:r>
      <w:r w:rsidR="00B84DF5" w:rsidRPr="002720D0">
        <w:rPr>
          <w:lang w:val="es-ES_tradnl"/>
        </w:rPr>
        <w:t>aya finalizado la revisión del sistema de inscripción de nacimientos en el registro. Para mitigar esta difi</w:t>
      </w:r>
      <w:r w:rsidR="00C47FE3" w:rsidRPr="002720D0">
        <w:rPr>
          <w:lang w:val="es-ES_tradnl"/>
        </w:rPr>
        <w:t>cultad, no obstante</w:t>
      </w:r>
      <w:r w:rsidR="00AA6541" w:rsidRPr="002720D0">
        <w:rPr>
          <w:lang w:val="es-ES_tradnl"/>
        </w:rPr>
        <w:t>, el Estado p</w:t>
      </w:r>
      <w:r w:rsidR="00B84DF5" w:rsidRPr="002720D0">
        <w:rPr>
          <w:lang w:val="es-ES_tradnl"/>
        </w:rPr>
        <w:t xml:space="preserve">arte ha formalizado </w:t>
      </w:r>
      <w:r w:rsidR="00C47FE3" w:rsidRPr="002720D0">
        <w:rPr>
          <w:lang w:val="es-ES_tradnl"/>
        </w:rPr>
        <w:t xml:space="preserve">los </w:t>
      </w:r>
      <w:r w:rsidR="00B84DF5" w:rsidRPr="002720D0">
        <w:rPr>
          <w:lang w:val="es-ES_tradnl"/>
        </w:rPr>
        <w:t xml:space="preserve">enlaces </w:t>
      </w:r>
      <w:r w:rsidR="00C47FE3" w:rsidRPr="002720D0">
        <w:rPr>
          <w:lang w:val="es-ES_tradnl"/>
        </w:rPr>
        <w:t xml:space="preserve">periódicos </w:t>
      </w:r>
      <w:r w:rsidR="00B84DF5" w:rsidRPr="002720D0">
        <w:rPr>
          <w:lang w:val="es-ES_tradnl"/>
        </w:rPr>
        <w:t>entre diversas estructuras de prestación de servicios</w:t>
      </w:r>
      <w:r w:rsidR="00C47FE3" w:rsidRPr="002720D0">
        <w:rPr>
          <w:lang w:val="es-ES_tradnl"/>
        </w:rPr>
        <w:t>,</w:t>
      </w:r>
      <w:r w:rsidR="00B84DF5" w:rsidRPr="002720D0">
        <w:rPr>
          <w:lang w:val="es-ES_tradnl"/>
        </w:rPr>
        <w:t xml:space="preserve"> y fomentado la concienciación y el reconocimiento de la importancia de la inscripción de los nacimientos</w:t>
      </w:r>
      <w:r w:rsidR="00C47FE3" w:rsidRPr="002720D0">
        <w:rPr>
          <w:lang w:val="es-ES_tradnl"/>
        </w:rPr>
        <w:t>. Esto lo ha logrado</w:t>
      </w:r>
      <w:r w:rsidR="00B84DF5" w:rsidRPr="002720D0">
        <w:rPr>
          <w:lang w:val="es-ES_tradnl"/>
        </w:rPr>
        <w:t xml:space="preserve"> por medio de campa</w:t>
      </w:r>
      <w:r w:rsidR="00C47FE3" w:rsidRPr="002720D0">
        <w:rPr>
          <w:lang w:val="es-ES_tradnl"/>
        </w:rPr>
        <w:t>ñas informativas de gran alcance</w:t>
      </w:r>
      <w:r w:rsidR="00B84DF5" w:rsidRPr="002720D0">
        <w:rPr>
          <w:lang w:val="es-ES_tradnl"/>
        </w:rPr>
        <w:t xml:space="preserve"> acerca del procedimiento de inscripción de los nacimientos, comprendidos los derechos y beneficios que se derivan de la inscripción, </w:t>
      </w:r>
      <w:r w:rsidR="00C47FE3" w:rsidRPr="002720D0">
        <w:rPr>
          <w:lang w:val="es-ES_tradnl"/>
        </w:rPr>
        <w:t xml:space="preserve">realizadas </w:t>
      </w:r>
      <w:r w:rsidR="00B84DF5" w:rsidRPr="002720D0">
        <w:rPr>
          <w:lang w:val="es-ES_tradnl"/>
        </w:rPr>
        <w:t xml:space="preserve">a través de la televisión, la radio y los medios impresos, entre otros. En la actualidad, </w:t>
      </w:r>
      <w:r w:rsidR="00151021" w:rsidRPr="002720D0">
        <w:rPr>
          <w:lang w:val="es-ES_tradnl"/>
        </w:rPr>
        <w:t xml:space="preserve">RITA </w:t>
      </w:r>
      <w:r w:rsidR="00806F3F" w:rsidRPr="002720D0">
        <w:rPr>
          <w:lang w:val="es-ES_tradnl"/>
        </w:rPr>
        <w:t>ha</w:t>
      </w:r>
      <w:r w:rsidR="00B84DF5" w:rsidRPr="002720D0">
        <w:rPr>
          <w:lang w:val="es-ES_tradnl"/>
        </w:rPr>
        <w:t xml:space="preserve"> constituido un Subcomité Nacional para la Inscripción de Datos Vitales destinado a </w:t>
      </w:r>
      <w:r w:rsidR="004E3DE1" w:rsidRPr="002720D0">
        <w:rPr>
          <w:lang w:val="es-ES_tradnl"/>
        </w:rPr>
        <w:t>consolidar e institucionalizar un</w:t>
      </w:r>
      <w:r w:rsidR="00B84DF5" w:rsidRPr="002720D0">
        <w:rPr>
          <w:lang w:val="es-ES_tradnl"/>
        </w:rPr>
        <w:t xml:space="preserve"> Sistema de Registros Civiles en Tanzanía que permita el fácil acceso y mantenimiento de los servicios de inscripción de los nacimientos. </w:t>
      </w:r>
    </w:p>
    <w:p w:rsidR="00151021" w:rsidRPr="002720D0" w:rsidRDefault="00EF122B" w:rsidP="004570BA">
      <w:pPr>
        <w:pStyle w:val="H1G"/>
        <w:rPr>
          <w:lang w:val="es-ES_tradnl"/>
        </w:rPr>
      </w:pPr>
      <w:bookmarkStart w:id="20" w:name="_Toc313470856"/>
      <w:r w:rsidRPr="002720D0">
        <w:rPr>
          <w:lang w:val="es-ES_tradnl"/>
        </w:rPr>
        <w:tab/>
      </w:r>
      <w:r w:rsidR="00151021" w:rsidRPr="002720D0">
        <w:rPr>
          <w:lang w:val="es-ES_tradnl"/>
        </w:rPr>
        <w:t>4.2</w:t>
      </w:r>
      <w:r w:rsidRPr="002720D0">
        <w:rPr>
          <w:lang w:val="es-ES_tradnl"/>
        </w:rPr>
        <w:tab/>
      </w:r>
      <w:r w:rsidR="00806F3F" w:rsidRPr="002720D0">
        <w:rPr>
          <w:lang w:val="es-ES_tradnl"/>
        </w:rPr>
        <w:t xml:space="preserve">Libertad de expresión y derecho a buscar, recibir y </w:t>
      </w:r>
      <w:r w:rsidR="004E3DE1" w:rsidRPr="002720D0">
        <w:rPr>
          <w:lang w:val="es-ES_tradnl"/>
        </w:rPr>
        <w:t>difundir informaciones (art.</w:t>
      </w:r>
      <w:r w:rsidR="00806F3F" w:rsidRPr="002720D0">
        <w:rPr>
          <w:lang w:val="es-ES_tradnl"/>
        </w:rPr>
        <w:t xml:space="preserve"> </w:t>
      </w:r>
      <w:bookmarkEnd w:id="20"/>
      <w:r w:rsidR="00151021" w:rsidRPr="002720D0">
        <w:rPr>
          <w:lang w:val="es-ES_tradnl"/>
        </w:rPr>
        <w:t>13)</w:t>
      </w:r>
    </w:p>
    <w:p w:rsidR="00151021" w:rsidRPr="002720D0" w:rsidRDefault="004F6364" w:rsidP="004F6364">
      <w:pPr>
        <w:pStyle w:val="SingleTxtG"/>
        <w:tabs>
          <w:tab w:val="left" w:pos="-360"/>
        </w:tabs>
        <w:rPr>
          <w:lang w:val="es-ES_tradnl"/>
        </w:rPr>
      </w:pPr>
      <w:r w:rsidRPr="002720D0">
        <w:rPr>
          <w:lang w:val="es-ES_tradnl"/>
        </w:rPr>
        <w:t>70.</w:t>
      </w:r>
      <w:r w:rsidRPr="002720D0">
        <w:rPr>
          <w:lang w:val="es-ES_tradnl"/>
        </w:rPr>
        <w:tab/>
      </w:r>
      <w:r w:rsidR="00806F3F" w:rsidRPr="002720D0">
        <w:rPr>
          <w:lang w:val="es-ES_tradnl"/>
        </w:rPr>
        <w:t>En cumplimiento del artículo 13 de la Convención, por el que se requiere que los niños gocen del derecho a la li</w:t>
      </w:r>
      <w:r w:rsidR="004E3DE1" w:rsidRPr="002720D0">
        <w:rPr>
          <w:lang w:val="es-ES_tradnl"/>
        </w:rPr>
        <w:t>bertad de expresión, el Estado p</w:t>
      </w:r>
      <w:r w:rsidR="00806F3F" w:rsidRPr="002720D0">
        <w:rPr>
          <w:lang w:val="es-ES_tradnl"/>
        </w:rPr>
        <w:t xml:space="preserve">arte </w:t>
      </w:r>
      <w:r w:rsidR="001253BA" w:rsidRPr="002720D0">
        <w:rPr>
          <w:lang w:val="es-ES_tradnl"/>
        </w:rPr>
        <w:t>ha conservado</w:t>
      </w:r>
      <w:r w:rsidR="00806F3F" w:rsidRPr="002720D0">
        <w:rPr>
          <w:lang w:val="es-ES_tradnl"/>
        </w:rPr>
        <w:t xml:space="preserve"> la garantía constitucional y legislativa </w:t>
      </w:r>
      <w:r w:rsidR="001253BA" w:rsidRPr="002720D0">
        <w:rPr>
          <w:lang w:val="es-ES_tradnl"/>
        </w:rPr>
        <w:t xml:space="preserve">expresa </w:t>
      </w:r>
      <w:r w:rsidR="00806F3F" w:rsidRPr="002720D0">
        <w:rPr>
          <w:lang w:val="es-ES_tradnl"/>
        </w:rPr>
        <w:t>de este derecho. En T</w:t>
      </w:r>
      <w:r w:rsidR="004E3DE1" w:rsidRPr="002720D0">
        <w:rPr>
          <w:lang w:val="es-ES_tradnl"/>
        </w:rPr>
        <w:t>anzanía continental, en 2005 el Estado p</w:t>
      </w:r>
      <w:r w:rsidR="00806F3F" w:rsidRPr="002720D0">
        <w:rPr>
          <w:lang w:val="es-ES_tradnl"/>
        </w:rPr>
        <w:t>arte enmendó el artículo 18 de la Constitución de la República Unida de Tanzanía, eliminando la cláusula de avocación que anteriormente sometía el derecho a la libertad de expresión a cualquier ley promulgada por el Parlamento. En la actualidad, el derecho a la libertad de expresión e</w:t>
      </w:r>
      <w:r w:rsidR="005540D9" w:rsidRPr="002720D0">
        <w:rPr>
          <w:lang w:val="es-ES_tradnl"/>
        </w:rPr>
        <w:t xml:space="preserve">s absoluto, y requiere que </w:t>
      </w:r>
      <w:r w:rsidR="001D2A53">
        <w:rPr>
          <w:lang w:val="es-ES_tradnl"/>
        </w:rPr>
        <w:t>"</w:t>
      </w:r>
      <w:r w:rsidR="005540D9" w:rsidRPr="002720D0">
        <w:rPr>
          <w:lang w:val="es-ES_tradnl"/>
        </w:rPr>
        <w:t>toda</w:t>
      </w:r>
      <w:r w:rsidR="00806F3F" w:rsidRPr="002720D0">
        <w:rPr>
          <w:lang w:val="es-ES_tradnl"/>
        </w:rPr>
        <w:t>s</w:t>
      </w:r>
      <w:r w:rsidR="005540D9" w:rsidRPr="002720D0">
        <w:rPr>
          <w:lang w:val="es-ES_tradnl"/>
        </w:rPr>
        <w:t xml:space="preserve"> las personas</w:t>
      </w:r>
      <w:r w:rsidR="001D2A53">
        <w:rPr>
          <w:lang w:val="es-ES_tradnl"/>
        </w:rPr>
        <w:t>"</w:t>
      </w:r>
      <w:r w:rsidR="00806F3F" w:rsidRPr="002720D0">
        <w:rPr>
          <w:lang w:val="es-ES_tradnl"/>
        </w:rPr>
        <w:t xml:space="preserve"> gocen de lo siguiente: </w:t>
      </w:r>
    </w:p>
    <w:p w:rsidR="00151021" w:rsidRPr="002720D0" w:rsidRDefault="00806F3F" w:rsidP="009D6096">
      <w:pPr>
        <w:pStyle w:val="SingleTxtG"/>
        <w:rPr>
          <w:lang w:val="es-ES_tradnl"/>
        </w:rPr>
      </w:pPr>
      <w:r w:rsidRPr="002720D0">
        <w:rPr>
          <w:lang w:val="es-ES_tradnl"/>
        </w:rPr>
        <w:tab/>
      </w:r>
      <w:r w:rsidR="00EF122B" w:rsidRPr="002720D0">
        <w:rPr>
          <w:lang w:val="es-ES_tradnl"/>
        </w:rPr>
        <w:t>a)</w:t>
      </w:r>
      <w:r w:rsidR="00EF122B" w:rsidRPr="002720D0">
        <w:rPr>
          <w:lang w:val="es-ES_tradnl"/>
        </w:rPr>
        <w:tab/>
      </w:r>
      <w:r w:rsidR="004570BA" w:rsidRPr="002720D0">
        <w:rPr>
          <w:lang w:val="es-ES_tradnl"/>
        </w:rPr>
        <w:t xml:space="preserve">La </w:t>
      </w:r>
      <w:r w:rsidRPr="002720D0">
        <w:rPr>
          <w:lang w:val="es-ES_tradnl"/>
        </w:rPr>
        <w:t xml:space="preserve">libertad de expresión respecto de las opiniones y los puntos de vista propios; </w:t>
      </w:r>
    </w:p>
    <w:p w:rsidR="00151021" w:rsidRPr="002720D0" w:rsidRDefault="00806F3F" w:rsidP="009D6096">
      <w:pPr>
        <w:pStyle w:val="SingleTxtG"/>
        <w:rPr>
          <w:lang w:val="es-ES_tradnl"/>
        </w:rPr>
      </w:pPr>
      <w:r w:rsidRPr="002720D0">
        <w:rPr>
          <w:lang w:val="es-ES_tradnl"/>
        </w:rPr>
        <w:tab/>
      </w:r>
      <w:r w:rsidR="00EF122B" w:rsidRPr="002720D0">
        <w:rPr>
          <w:lang w:val="es-ES_tradnl"/>
        </w:rPr>
        <w:t>b)</w:t>
      </w:r>
      <w:r w:rsidR="00EF122B" w:rsidRPr="002720D0">
        <w:rPr>
          <w:lang w:val="es-ES_tradnl"/>
        </w:rPr>
        <w:tab/>
      </w:r>
      <w:r w:rsidR="004570BA" w:rsidRPr="002720D0">
        <w:rPr>
          <w:lang w:val="es-ES_tradnl"/>
        </w:rPr>
        <w:t xml:space="preserve">El </w:t>
      </w:r>
      <w:r w:rsidRPr="002720D0">
        <w:rPr>
          <w:lang w:val="es-ES_tradnl"/>
        </w:rPr>
        <w:t xml:space="preserve">derecho a buscar, recibir y difundir información </w:t>
      </w:r>
      <w:r w:rsidR="004E3DE1" w:rsidRPr="002720D0">
        <w:rPr>
          <w:lang w:val="es-ES_tradnl"/>
        </w:rPr>
        <w:t>con independencia</w:t>
      </w:r>
      <w:r w:rsidR="005540D9" w:rsidRPr="002720D0">
        <w:rPr>
          <w:lang w:val="es-ES_tradnl"/>
        </w:rPr>
        <w:t xml:space="preserve"> de las fronteras nacionales; </w:t>
      </w:r>
    </w:p>
    <w:p w:rsidR="00151021" w:rsidRPr="002720D0" w:rsidRDefault="00806F3F" w:rsidP="009D6096">
      <w:pPr>
        <w:pStyle w:val="SingleTxtG"/>
        <w:rPr>
          <w:lang w:val="es-ES_tradnl"/>
        </w:rPr>
      </w:pPr>
      <w:r w:rsidRPr="002720D0">
        <w:rPr>
          <w:lang w:val="es-ES_tradnl"/>
        </w:rPr>
        <w:tab/>
      </w:r>
      <w:r w:rsidR="00EF122B" w:rsidRPr="002720D0">
        <w:rPr>
          <w:lang w:val="es-ES_tradnl"/>
        </w:rPr>
        <w:t>c)</w:t>
      </w:r>
      <w:r w:rsidR="00EF122B" w:rsidRPr="002720D0">
        <w:rPr>
          <w:lang w:val="es-ES_tradnl"/>
        </w:rPr>
        <w:tab/>
      </w:r>
      <w:r w:rsidR="004570BA" w:rsidRPr="002720D0">
        <w:rPr>
          <w:lang w:val="es-ES_tradnl"/>
        </w:rPr>
        <w:t xml:space="preserve">La </w:t>
      </w:r>
      <w:r w:rsidR="005540D9" w:rsidRPr="002720D0">
        <w:rPr>
          <w:lang w:val="es-ES_tradnl"/>
        </w:rPr>
        <w:t xml:space="preserve">libertad para comunicarse con otras personas sin que se produzcan injerencias en esa comunicación; y </w:t>
      </w:r>
    </w:p>
    <w:p w:rsidR="00151021" w:rsidRPr="002720D0" w:rsidRDefault="00806F3F" w:rsidP="009D6096">
      <w:pPr>
        <w:pStyle w:val="SingleTxtG"/>
        <w:rPr>
          <w:lang w:val="es-ES_tradnl"/>
        </w:rPr>
      </w:pPr>
      <w:r w:rsidRPr="002720D0">
        <w:rPr>
          <w:lang w:val="es-ES_tradnl"/>
        </w:rPr>
        <w:tab/>
      </w:r>
      <w:r w:rsidR="00EF122B" w:rsidRPr="002720D0">
        <w:rPr>
          <w:lang w:val="es-ES_tradnl"/>
        </w:rPr>
        <w:t>d)</w:t>
      </w:r>
      <w:r w:rsidR="00EF122B" w:rsidRPr="002720D0">
        <w:rPr>
          <w:lang w:val="es-ES_tradnl"/>
        </w:rPr>
        <w:tab/>
      </w:r>
      <w:r w:rsidR="008370A8" w:rsidRPr="002720D0">
        <w:rPr>
          <w:lang w:val="es-ES_tradnl"/>
        </w:rPr>
        <w:t xml:space="preserve">El </w:t>
      </w:r>
      <w:r w:rsidR="005540D9" w:rsidRPr="002720D0">
        <w:rPr>
          <w:lang w:val="es-ES_tradnl"/>
        </w:rPr>
        <w:t>derecho a estar informado, en cualquier momento, respecto de diversos acontecimientos de importancia para la vida de la p</w:t>
      </w:r>
      <w:r w:rsidR="004E3DE1" w:rsidRPr="002720D0">
        <w:rPr>
          <w:lang w:val="es-ES_tradnl"/>
        </w:rPr>
        <w:t>ersona y de otros miembros de su</w:t>
      </w:r>
      <w:r w:rsidR="005540D9" w:rsidRPr="002720D0">
        <w:rPr>
          <w:lang w:val="es-ES_tradnl"/>
        </w:rPr>
        <w:t xml:space="preserve"> comunidad y respecto de cualquier otro acontecimiento de importancia para la sociedad de su entorno. </w:t>
      </w:r>
    </w:p>
    <w:p w:rsidR="00151021" w:rsidRPr="002720D0" w:rsidRDefault="004F6364" w:rsidP="004F6364">
      <w:pPr>
        <w:pStyle w:val="SingleTxtG"/>
        <w:tabs>
          <w:tab w:val="left" w:pos="-360"/>
        </w:tabs>
        <w:rPr>
          <w:lang w:val="es-ES_tradnl"/>
        </w:rPr>
      </w:pPr>
      <w:r w:rsidRPr="002720D0">
        <w:rPr>
          <w:lang w:val="es-ES_tradnl"/>
        </w:rPr>
        <w:t>71.</w:t>
      </w:r>
      <w:r w:rsidRPr="002720D0">
        <w:rPr>
          <w:lang w:val="es-ES_tradnl"/>
        </w:rPr>
        <w:tab/>
      </w:r>
      <w:r w:rsidR="005540D9" w:rsidRPr="002720D0">
        <w:rPr>
          <w:lang w:val="es-ES_tradnl"/>
        </w:rPr>
        <w:t>Con arreglo a l</w:t>
      </w:r>
      <w:r w:rsidR="00CD4485" w:rsidRPr="002720D0">
        <w:rPr>
          <w:lang w:val="es-ES_tradnl"/>
        </w:rPr>
        <w:t>a interpretación que el Estado p</w:t>
      </w:r>
      <w:r w:rsidR="005540D9" w:rsidRPr="002720D0">
        <w:rPr>
          <w:lang w:val="es-ES_tradnl"/>
        </w:rPr>
        <w:t xml:space="preserve">arte da a las leyes, se entiende que </w:t>
      </w:r>
      <w:r w:rsidR="00A00402" w:rsidRPr="002720D0">
        <w:rPr>
          <w:lang w:val="es-ES_tradnl"/>
        </w:rPr>
        <w:t>se designa a una persona mediante</w:t>
      </w:r>
      <w:r w:rsidR="005540D9" w:rsidRPr="002720D0">
        <w:rPr>
          <w:lang w:val="es-ES_tradnl"/>
        </w:rPr>
        <w:t xml:space="preserve"> cualquier palabra o expresión que describa a </w:t>
      </w:r>
      <w:r w:rsidR="00A00402" w:rsidRPr="002720D0">
        <w:rPr>
          <w:lang w:val="es-ES_tradnl"/>
        </w:rPr>
        <w:t>esa</w:t>
      </w:r>
      <w:r w:rsidR="005540D9" w:rsidRPr="002720D0">
        <w:rPr>
          <w:lang w:val="es-ES_tradnl"/>
        </w:rPr>
        <w:t xml:space="preserve"> persona, </w:t>
      </w:r>
      <w:r w:rsidR="00A00402" w:rsidRPr="002720D0">
        <w:rPr>
          <w:lang w:val="es-ES_tradnl"/>
        </w:rPr>
        <w:t>comprendidos</w:t>
      </w:r>
      <w:r w:rsidR="005540D9" w:rsidRPr="002720D0">
        <w:rPr>
          <w:lang w:val="es-ES_tradnl"/>
        </w:rPr>
        <w:t xml:space="preserve"> los </w:t>
      </w:r>
      <w:r w:rsidR="00DE702A" w:rsidRPr="002720D0">
        <w:rPr>
          <w:lang w:val="es-ES_tradnl"/>
        </w:rPr>
        <w:t>órganos públicos, las empresas,</w:t>
      </w:r>
      <w:r w:rsidR="005540D9" w:rsidRPr="002720D0">
        <w:rPr>
          <w:lang w:val="es-ES_tradnl"/>
        </w:rPr>
        <w:t xml:space="preserve"> o las asociaciones o agrupaciones de personas, </w:t>
      </w:r>
      <w:r w:rsidR="00DE702A" w:rsidRPr="002720D0">
        <w:rPr>
          <w:lang w:val="es-ES_tradnl"/>
        </w:rPr>
        <w:t>estén o no constituidas legalmente</w:t>
      </w:r>
      <w:r w:rsidR="00151021" w:rsidRPr="002720D0">
        <w:rPr>
          <w:rStyle w:val="FootnoteReference"/>
          <w:lang w:val="es-ES_tradnl"/>
        </w:rPr>
        <w:footnoteReference w:id="35"/>
      </w:r>
      <w:r w:rsidR="00A00402" w:rsidRPr="002720D0">
        <w:rPr>
          <w:lang w:val="es-ES_tradnl"/>
        </w:rPr>
        <w:t>; e incluidos</w:t>
      </w:r>
      <w:r w:rsidR="00DE702A" w:rsidRPr="002720D0">
        <w:rPr>
          <w:lang w:val="es-ES_tradnl"/>
        </w:rPr>
        <w:t xml:space="preserve"> los adultos, los niños, los varones y las mujeres. Por ende, la expresión </w:t>
      </w:r>
      <w:r w:rsidR="001D2A53">
        <w:rPr>
          <w:lang w:val="es-ES_tradnl"/>
        </w:rPr>
        <w:t>"</w:t>
      </w:r>
      <w:r w:rsidR="00DE702A" w:rsidRPr="002720D0">
        <w:rPr>
          <w:lang w:val="es-ES_tradnl"/>
        </w:rPr>
        <w:t>todas las personas</w:t>
      </w:r>
      <w:r w:rsidR="001D2A53">
        <w:rPr>
          <w:lang w:val="es-ES_tradnl"/>
        </w:rPr>
        <w:t>"</w:t>
      </w:r>
      <w:r w:rsidR="00DE702A" w:rsidRPr="002720D0">
        <w:rPr>
          <w:lang w:val="es-ES_tradnl"/>
        </w:rPr>
        <w:t xml:space="preserve"> en el artículo 18 de la Constitución de la República Unida de Tanzanía también incluye a los niños. </w:t>
      </w:r>
    </w:p>
    <w:p w:rsidR="00151021" w:rsidRPr="002720D0" w:rsidRDefault="004F6364" w:rsidP="004F6364">
      <w:pPr>
        <w:pStyle w:val="SingleTxtG"/>
        <w:tabs>
          <w:tab w:val="left" w:pos="-360"/>
        </w:tabs>
        <w:rPr>
          <w:lang w:val="es-ES_tradnl"/>
        </w:rPr>
      </w:pPr>
      <w:r w:rsidRPr="002720D0">
        <w:rPr>
          <w:lang w:val="es-ES_tradnl"/>
        </w:rPr>
        <w:t>72.</w:t>
      </w:r>
      <w:r w:rsidRPr="002720D0">
        <w:rPr>
          <w:lang w:val="es-ES_tradnl"/>
        </w:rPr>
        <w:tab/>
      </w:r>
      <w:r w:rsidR="00DE702A" w:rsidRPr="002720D0">
        <w:rPr>
          <w:lang w:val="es-ES_tradnl"/>
        </w:rPr>
        <w:t>En Zanzí</w:t>
      </w:r>
      <w:r w:rsidR="00151021" w:rsidRPr="002720D0">
        <w:rPr>
          <w:lang w:val="es-ES_tradnl"/>
        </w:rPr>
        <w:t xml:space="preserve">bar, </w:t>
      </w:r>
      <w:r w:rsidR="00DE702A" w:rsidRPr="002720D0">
        <w:rPr>
          <w:lang w:val="es-ES_tradnl"/>
        </w:rPr>
        <w:t>la Constitución de Zanzí</w:t>
      </w:r>
      <w:r w:rsidR="00151021" w:rsidRPr="002720D0">
        <w:rPr>
          <w:lang w:val="es-ES_tradnl"/>
        </w:rPr>
        <w:t xml:space="preserve">bar </w:t>
      </w:r>
      <w:r w:rsidR="00DE702A" w:rsidRPr="002720D0">
        <w:rPr>
          <w:lang w:val="es-ES_tradnl"/>
        </w:rPr>
        <w:t>garantiza el derecho a la libertad de expresión</w:t>
      </w:r>
      <w:r w:rsidR="0015725A" w:rsidRPr="002720D0">
        <w:rPr>
          <w:lang w:val="es-ES_tradnl"/>
        </w:rPr>
        <w:t>, garantía que entraña el respeto por la opinión del niño. En el contexto legislativo, en el artículo 11 de l</w:t>
      </w:r>
      <w:r w:rsidR="00355E2D" w:rsidRPr="002720D0">
        <w:rPr>
          <w:lang w:val="es-ES_tradnl"/>
        </w:rPr>
        <w:t xml:space="preserve">a Ley de la </w:t>
      </w:r>
      <w:r w:rsidR="00834FB9" w:rsidRPr="002720D0">
        <w:rPr>
          <w:lang w:val="es-ES_tradnl"/>
        </w:rPr>
        <w:t xml:space="preserve">Infancia </w:t>
      </w:r>
      <w:r w:rsidR="00355E2D" w:rsidRPr="002720D0">
        <w:rPr>
          <w:lang w:val="es-ES_tradnl"/>
        </w:rPr>
        <w:t>el Estado p</w:t>
      </w:r>
      <w:r w:rsidR="0015725A" w:rsidRPr="002720D0">
        <w:rPr>
          <w:lang w:val="es-ES_tradnl"/>
        </w:rPr>
        <w:t xml:space="preserve">arte ha promulgado, respecto del niño, su </w:t>
      </w:r>
      <w:r w:rsidR="001D2A53">
        <w:rPr>
          <w:lang w:val="es-ES_tradnl"/>
        </w:rPr>
        <w:t>"</w:t>
      </w:r>
      <w:r w:rsidR="0015725A" w:rsidRPr="002720D0">
        <w:rPr>
          <w:lang w:val="es-ES_tradnl"/>
        </w:rPr>
        <w:t>de</w:t>
      </w:r>
      <w:r w:rsidR="00FC1701" w:rsidRPr="002720D0">
        <w:rPr>
          <w:lang w:val="es-ES_tradnl"/>
        </w:rPr>
        <w:t>recho a manifestar su opinión;</w:t>
      </w:r>
      <w:r w:rsidR="0015725A" w:rsidRPr="002720D0">
        <w:rPr>
          <w:lang w:val="es-ES_tradnl"/>
        </w:rPr>
        <w:t xml:space="preserve"> nadie privará al niño que esté en condiciones de formarse un juicio de su derecho a manifesta</w:t>
      </w:r>
      <w:r w:rsidR="00355E2D" w:rsidRPr="002720D0">
        <w:rPr>
          <w:lang w:val="es-ES_tradnl"/>
        </w:rPr>
        <w:t>r una opinión, a ser escuchado o</w:t>
      </w:r>
      <w:r w:rsidR="0015725A" w:rsidRPr="002720D0">
        <w:rPr>
          <w:lang w:val="es-ES_tradnl"/>
        </w:rPr>
        <w:t xml:space="preserve"> a participar en las decisiones que afecten a su bienestar</w:t>
      </w:r>
      <w:r w:rsidR="001D2A53">
        <w:rPr>
          <w:lang w:val="es-ES_tradnl"/>
        </w:rPr>
        <w:t>"</w:t>
      </w:r>
      <w:r w:rsidR="0015725A" w:rsidRPr="002720D0">
        <w:rPr>
          <w:lang w:val="es-ES_tradnl"/>
        </w:rPr>
        <w:t xml:space="preserve">. También se incluye una disposición legal similar en el artículo 8 de la Ley del </w:t>
      </w:r>
      <w:r w:rsidR="00834FB9" w:rsidRPr="002720D0">
        <w:rPr>
          <w:lang w:val="es-ES_tradnl"/>
        </w:rPr>
        <w:t xml:space="preserve">Niño </w:t>
      </w:r>
      <w:r w:rsidR="0015725A" w:rsidRPr="002720D0">
        <w:rPr>
          <w:lang w:val="es-ES_tradnl"/>
        </w:rPr>
        <w:t xml:space="preserve">de Zanzíbar </w:t>
      </w:r>
      <w:r w:rsidR="00151021" w:rsidRPr="002720D0">
        <w:rPr>
          <w:lang w:val="es-ES_tradnl"/>
        </w:rPr>
        <w:t>(2011).</w:t>
      </w:r>
    </w:p>
    <w:p w:rsidR="00151021" w:rsidRPr="002720D0" w:rsidRDefault="004F6364" w:rsidP="004F6364">
      <w:pPr>
        <w:pStyle w:val="SingleTxtG"/>
        <w:tabs>
          <w:tab w:val="left" w:pos="-360"/>
        </w:tabs>
        <w:rPr>
          <w:lang w:val="es-ES_tradnl"/>
        </w:rPr>
      </w:pPr>
      <w:r w:rsidRPr="002720D0">
        <w:rPr>
          <w:lang w:val="es-ES_tradnl"/>
        </w:rPr>
        <w:t>73.</w:t>
      </w:r>
      <w:r w:rsidRPr="002720D0">
        <w:rPr>
          <w:lang w:val="es-ES_tradnl"/>
        </w:rPr>
        <w:tab/>
      </w:r>
      <w:r w:rsidR="0015725A" w:rsidRPr="002720D0">
        <w:rPr>
          <w:lang w:val="es-ES_tradnl"/>
        </w:rPr>
        <w:t>En cuanto a las medidas administrativas destinadas a velar por que se garantice el derecho del niño a la li</w:t>
      </w:r>
      <w:r w:rsidR="00355E2D" w:rsidRPr="002720D0">
        <w:rPr>
          <w:lang w:val="es-ES_tradnl"/>
        </w:rPr>
        <w:t>bertad de expresión, el Estado p</w:t>
      </w:r>
      <w:r w:rsidR="0015725A" w:rsidRPr="002720D0">
        <w:rPr>
          <w:lang w:val="es-ES_tradnl"/>
        </w:rPr>
        <w:t xml:space="preserve">arte ha establecido en Tanzanía continental </w:t>
      </w:r>
      <w:r w:rsidR="00355E2D" w:rsidRPr="002720D0">
        <w:rPr>
          <w:lang w:val="es-ES_tradnl"/>
        </w:rPr>
        <w:t>y</w:t>
      </w:r>
      <w:r w:rsidR="0015725A" w:rsidRPr="002720D0">
        <w:rPr>
          <w:lang w:val="es-ES_tradnl"/>
        </w:rPr>
        <w:t xml:space="preserve"> en Zanzíbar sendos ministerios r</w:t>
      </w:r>
      <w:r w:rsidR="00FB64AE" w:rsidRPr="002720D0">
        <w:rPr>
          <w:lang w:val="es-ES_tradnl"/>
        </w:rPr>
        <w:t>e</w:t>
      </w:r>
      <w:r w:rsidR="0015725A" w:rsidRPr="002720D0">
        <w:rPr>
          <w:lang w:val="es-ES_tradnl"/>
        </w:rPr>
        <w:t xml:space="preserve">sponsables de la comunicación y el transporte, que cuentan con sus correspondientes comités. Estos comités </w:t>
      </w:r>
      <w:r w:rsidR="003862B6" w:rsidRPr="002720D0">
        <w:rPr>
          <w:lang w:val="es-ES_tradnl"/>
        </w:rPr>
        <w:t>tienen a su cargo la emisión de licencias a aquellas entidades privadas que desean prestar servicios de comunicación al público, comprendida la gestión de cibercafés.</w:t>
      </w:r>
      <w:r w:rsidR="001D2A53">
        <w:rPr>
          <w:lang w:val="es-ES_tradnl"/>
        </w:rPr>
        <w:t xml:space="preserve"> </w:t>
      </w:r>
      <w:r w:rsidR="003862B6" w:rsidRPr="002720D0">
        <w:rPr>
          <w:lang w:val="es-ES_tradnl"/>
        </w:rPr>
        <w:t xml:space="preserve">Los comités son responsables de realizar inspecciones y </w:t>
      </w:r>
      <w:r w:rsidR="00355E2D" w:rsidRPr="002720D0">
        <w:rPr>
          <w:lang w:val="es-ES_tradnl"/>
        </w:rPr>
        <w:t xml:space="preserve">de </w:t>
      </w:r>
      <w:r w:rsidR="003862B6" w:rsidRPr="002720D0">
        <w:rPr>
          <w:lang w:val="es-ES_tradnl"/>
        </w:rPr>
        <w:t xml:space="preserve">revocar la licencia de cualquier institución privada </w:t>
      </w:r>
      <w:r w:rsidR="00355E2D" w:rsidRPr="002720D0">
        <w:rPr>
          <w:lang w:val="es-ES_tradnl"/>
        </w:rPr>
        <w:t>cuando se determine</w:t>
      </w:r>
      <w:r w:rsidR="003862B6" w:rsidRPr="002720D0">
        <w:rPr>
          <w:lang w:val="es-ES_tradnl"/>
        </w:rPr>
        <w:t xml:space="preserve"> que esta institución ha </w:t>
      </w:r>
      <w:r w:rsidR="00355E2D" w:rsidRPr="002720D0">
        <w:rPr>
          <w:lang w:val="es-ES_tradnl"/>
        </w:rPr>
        <w:t>hecho un uso abusivo de la licencia</w:t>
      </w:r>
      <w:r w:rsidR="003862B6" w:rsidRPr="002720D0">
        <w:rPr>
          <w:lang w:val="es-ES_tradnl"/>
        </w:rPr>
        <w:t xml:space="preserve">, </w:t>
      </w:r>
      <w:r w:rsidR="00355E2D" w:rsidRPr="002720D0">
        <w:rPr>
          <w:lang w:val="es-ES_tradnl"/>
        </w:rPr>
        <w:t>comprendida</w:t>
      </w:r>
      <w:r w:rsidR="003862B6" w:rsidRPr="002720D0">
        <w:rPr>
          <w:lang w:val="es-ES_tradnl"/>
        </w:rPr>
        <w:t xml:space="preserve"> la corrupción de las buenas costumbres media</w:t>
      </w:r>
      <w:r w:rsidR="008B59DE" w:rsidRPr="002720D0">
        <w:rPr>
          <w:lang w:val="es-ES_tradnl"/>
        </w:rPr>
        <w:t>n</w:t>
      </w:r>
      <w:r w:rsidR="003862B6" w:rsidRPr="002720D0">
        <w:rPr>
          <w:lang w:val="es-ES_tradnl"/>
        </w:rPr>
        <w:t xml:space="preserve">te el permiso de acceso a sitios de Internet restringidos, y en particular </w:t>
      </w:r>
      <w:r w:rsidR="00355E2D" w:rsidRPr="002720D0">
        <w:rPr>
          <w:lang w:val="es-ES_tradnl"/>
        </w:rPr>
        <w:t xml:space="preserve">mediante </w:t>
      </w:r>
      <w:r w:rsidR="003862B6" w:rsidRPr="002720D0">
        <w:rPr>
          <w:lang w:val="es-ES_tradnl"/>
        </w:rPr>
        <w:t xml:space="preserve">el permiso de acceso por los niños a sitios de Internet que </w:t>
      </w:r>
      <w:r w:rsidR="00FC1701" w:rsidRPr="002720D0">
        <w:rPr>
          <w:lang w:val="es-ES_tradnl"/>
        </w:rPr>
        <w:t>contengan</w:t>
      </w:r>
      <w:r w:rsidR="003862B6" w:rsidRPr="002720D0">
        <w:rPr>
          <w:lang w:val="es-ES_tradnl"/>
        </w:rPr>
        <w:t xml:space="preserve"> información pornográfica.</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74.</w:t>
      </w:r>
      <w:r w:rsidRPr="002720D0">
        <w:rPr>
          <w:lang w:val="es-ES_tradnl"/>
        </w:rPr>
        <w:tab/>
      </w:r>
      <w:r w:rsidR="00FB64AE" w:rsidRPr="002720D0">
        <w:rPr>
          <w:lang w:val="es-ES_tradnl"/>
        </w:rPr>
        <w:t>Además, tanto Tanzanía continental como Zanzíbar cuentan con ministerios responsables de la educa</w:t>
      </w:r>
      <w:r w:rsidR="00355E2D" w:rsidRPr="002720D0">
        <w:rPr>
          <w:lang w:val="es-ES_tradnl"/>
        </w:rPr>
        <w:t>ción y la formación profesional,</w:t>
      </w:r>
      <w:r w:rsidR="00FB64AE" w:rsidRPr="002720D0">
        <w:rPr>
          <w:lang w:val="es-ES_tradnl"/>
        </w:rPr>
        <w:t xml:space="preserve"> que se ocupan de proporcionar e impartir información fundamental para el bienestar de los niños</w:t>
      </w:r>
      <w:r w:rsidR="00FC1701" w:rsidRPr="002720D0">
        <w:rPr>
          <w:lang w:val="es-ES_tradnl"/>
        </w:rPr>
        <w:t>. Se sirven para ello de</w:t>
      </w:r>
      <w:r w:rsidR="00FB64AE" w:rsidRPr="002720D0">
        <w:rPr>
          <w:lang w:val="es-ES_tradnl"/>
        </w:rPr>
        <w:t xml:space="preserve"> programas de enseñanza y otros programas de estudios </w:t>
      </w:r>
      <w:r w:rsidR="00355E2D" w:rsidRPr="002720D0">
        <w:rPr>
          <w:lang w:val="es-ES_tradnl"/>
        </w:rPr>
        <w:t>destinados a impartir formación</w:t>
      </w:r>
      <w:r w:rsidR="00FB64AE" w:rsidRPr="002720D0">
        <w:rPr>
          <w:lang w:val="es-ES_tradnl"/>
        </w:rPr>
        <w:t xml:space="preserve"> a los niños de manera que lleguen a ser adultos responsables</w:t>
      </w:r>
      <w:r w:rsidR="00355E2D" w:rsidRPr="002720D0">
        <w:rPr>
          <w:lang w:val="es-ES_tradnl"/>
        </w:rPr>
        <w:t xml:space="preserve"> y productivos. Por estos medios, el Estado p</w:t>
      </w:r>
      <w:r w:rsidR="00FB64AE" w:rsidRPr="002720D0">
        <w:rPr>
          <w:lang w:val="es-ES_tradnl"/>
        </w:rPr>
        <w:t>arte ha llevado a cabo</w:t>
      </w:r>
      <w:r w:rsidR="00355E2D" w:rsidRPr="002720D0">
        <w:rPr>
          <w:lang w:val="es-ES_tradnl"/>
        </w:rPr>
        <w:t>,</w:t>
      </w:r>
      <w:r w:rsidR="00FB64AE" w:rsidRPr="002720D0">
        <w:rPr>
          <w:lang w:val="es-ES_tradnl"/>
        </w:rPr>
        <w:t xml:space="preserve"> </w:t>
      </w:r>
      <w:r w:rsidR="00355E2D" w:rsidRPr="002720D0">
        <w:rPr>
          <w:lang w:val="es-ES_tradnl"/>
        </w:rPr>
        <w:t>en los medios de comunicación de</w:t>
      </w:r>
      <w:r w:rsidR="00FB64AE" w:rsidRPr="002720D0">
        <w:rPr>
          <w:lang w:val="es-ES_tradnl"/>
        </w:rPr>
        <w:t xml:space="preserve"> todo el país</w:t>
      </w:r>
      <w:r w:rsidR="00355E2D" w:rsidRPr="002720D0">
        <w:rPr>
          <w:lang w:val="es-ES_tradnl"/>
        </w:rPr>
        <w:t>,</w:t>
      </w:r>
      <w:r w:rsidR="00FB64AE" w:rsidRPr="002720D0">
        <w:rPr>
          <w:lang w:val="es-ES_tradnl"/>
        </w:rPr>
        <w:t xml:space="preserve"> </w:t>
      </w:r>
      <w:r w:rsidR="00355E2D" w:rsidRPr="002720D0">
        <w:rPr>
          <w:lang w:val="es-ES_tradnl"/>
        </w:rPr>
        <w:t xml:space="preserve">unos </w:t>
      </w:r>
      <w:r w:rsidR="00FB64AE" w:rsidRPr="002720D0">
        <w:rPr>
          <w:lang w:val="es-ES_tradnl"/>
        </w:rPr>
        <w:t xml:space="preserve">programas en el contexto de los cuales la televisión, la radio y los periódicos tanto públicos como privados </w:t>
      </w:r>
      <w:r w:rsidR="00355E2D" w:rsidRPr="002720D0">
        <w:rPr>
          <w:lang w:val="es-ES_tradnl"/>
        </w:rPr>
        <w:t>han divulgado</w:t>
      </w:r>
      <w:r w:rsidR="00FB64AE" w:rsidRPr="002720D0">
        <w:rPr>
          <w:lang w:val="es-ES_tradnl"/>
        </w:rPr>
        <w:t xml:space="preserve"> programas especiales destinados a impartir a los niños información pertinente para su bienestar. </w:t>
      </w:r>
      <w:r w:rsidR="00151021" w:rsidRPr="002720D0">
        <w:rPr>
          <w:lang w:val="es-ES_tradnl"/>
        </w:rPr>
        <w:t>T</w:t>
      </w:r>
      <w:r w:rsidR="00FB64AE" w:rsidRPr="002720D0">
        <w:rPr>
          <w:lang w:val="es-ES_tradnl"/>
        </w:rPr>
        <w:t xml:space="preserve">ambién </w:t>
      </w:r>
      <w:r w:rsidR="00355E2D" w:rsidRPr="002720D0">
        <w:rPr>
          <w:lang w:val="es-ES_tradnl"/>
        </w:rPr>
        <w:t>existen</w:t>
      </w:r>
      <w:r w:rsidR="00FB64AE" w:rsidRPr="002720D0">
        <w:rPr>
          <w:lang w:val="es-ES_tradnl"/>
        </w:rPr>
        <w:t xml:space="preserve"> consejos y clubes infantiles </w:t>
      </w:r>
      <w:r w:rsidR="00355E2D" w:rsidRPr="002720D0">
        <w:rPr>
          <w:lang w:val="es-ES_tradnl"/>
        </w:rPr>
        <w:t xml:space="preserve">por conducto de los cuales </w:t>
      </w:r>
      <w:r w:rsidR="00FB64AE" w:rsidRPr="002720D0">
        <w:rPr>
          <w:lang w:val="es-ES_tradnl"/>
        </w:rPr>
        <w:t>los niños manif</w:t>
      </w:r>
      <w:r w:rsidR="00355E2D" w:rsidRPr="002720D0">
        <w:rPr>
          <w:lang w:val="es-ES_tradnl"/>
        </w:rPr>
        <w:t>iestan sus opiniones. Asimismo, en</w:t>
      </w:r>
      <w:r w:rsidR="00FB64AE" w:rsidRPr="002720D0">
        <w:rPr>
          <w:lang w:val="es-ES_tradnl"/>
        </w:rPr>
        <w:t xml:space="preserve"> las instalaciones penitenciarias donde se </w:t>
      </w:r>
      <w:r w:rsidR="00355E2D" w:rsidRPr="002720D0">
        <w:rPr>
          <w:lang w:val="es-ES_tradnl"/>
        </w:rPr>
        <w:t>aloja</w:t>
      </w:r>
      <w:r w:rsidR="00FB64AE" w:rsidRPr="002720D0">
        <w:rPr>
          <w:lang w:val="es-ES_tradnl"/>
        </w:rPr>
        <w:t xml:space="preserve"> a los niños privados de libertad se proporciona a estos niños acceso a televisores y periódicos. </w:t>
      </w:r>
    </w:p>
    <w:p w:rsidR="005031B8" w:rsidRPr="002720D0" w:rsidRDefault="00846C77" w:rsidP="008370A8">
      <w:pPr>
        <w:pStyle w:val="H1G"/>
        <w:rPr>
          <w:lang w:val="es-ES_tradnl"/>
        </w:rPr>
      </w:pPr>
      <w:bookmarkStart w:id="21" w:name="_Toc313470857"/>
      <w:r w:rsidRPr="002720D0">
        <w:rPr>
          <w:lang w:val="es-ES_tradnl"/>
        </w:rPr>
        <w:tab/>
      </w:r>
      <w:r w:rsidR="00151021" w:rsidRPr="002720D0">
        <w:rPr>
          <w:lang w:val="es-ES_tradnl"/>
        </w:rPr>
        <w:t>4.3</w:t>
      </w:r>
      <w:r w:rsidRPr="002720D0">
        <w:rPr>
          <w:lang w:val="es-ES_tradnl"/>
        </w:rPr>
        <w:tab/>
      </w:r>
      <w:r w:rsidR="005031B8" w:rsidRPr="002720D0">
        <w:rPr>
          <w:lang w:val="es-ES_tradnl"/>
        </w:rPr>
        <w:t>Libertad de pensamiento, de co</w:t>
      </w:r>
      <w:r w:rsidR="00FC1701" w:rsidRPr="002720D0">
        <w:rPr>
          <w:lang w:val="es-ES_tradnl"/>
        </w:rPr>
        <w:t>nciencia y de religión (art.</w:t>
      </w:r>
      <w:r w:rsidR="005031B8" w:rsidRPr="002720D0">
        <w:rPr>
          <w:lang w:val="es-ES_tradnl"/>
        </w:rPr>
        <w:t xml:space="preserve"> </w:t>
      </w:r>
      <w:bookmarkEnd w:id="21"/>
      <w:r w:rsidR="005031B8" w:rsidRPr="002720D0">
        <w:rPr>
          <w:lang w:val="es-ES_tradnl"/>
        </w:rPr>
        <w:t>14</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75.</w:t>
      </w:r>
      <w:r w:rsidRPr="002720D0">
        <w:rPr>
          <w:lang w:val="es-ES_tradnl"/>
        </w:rPr>
        <w:tab/>
      </w:r>
      <w:r w:rsidR="00C22F72" w:rsidRPr="002720D0">
        <w:rPr>
          <w:lang w:val="es-ES_tradnl"/>
        </w:rPr>
        <w:t>El Estado parte es un estado laico;</w:t>
      </w:r>
      <w:r w:rsidR="005031B8" w:rsidRPr="002720D0">
        <w:rPr>
          <w:lang w:val="es-ES_tradnl"/>
        </w:rPr>
        <w:t xml:space="preserve"> por ende</w:t>
      </w:r>
      <w:r w:rsidR="00C22F72" w:rsidRPr="002720D0">
        <w:rPr>
          <w:lang w:val="es-ES_tradnl"/>
        </w:rPr>
        <w:t>,</w:t>
      </w:r>
      <w:r w:rsidR="005031B8" w:rsidRPr="002720D0">
        <w:rPr>
          <w:lang w:val="es-ES_tradnl"/>
        </w:rPr>
        <w:t xml:space="preserve"> sus nacionales gozan de libertad para elegir su religión sin injerencia ni coerción </w:t>
      </w:r>
      <w:r w:rsidR="00541C57" w:rsidRPr="002720D0">
        <w:rPr>
          <w:lang w:val="es-ES_tradnl"/>
        </w:rPr>
        <w:t xml:space="preserve">estatal </w:t>
      </w:r>
      <w:r w:rsidR="005031B8" w:rsidRPr="002720D0">
        <w:rPr>
          <w:lang w:val="es-ES_tradnl"/>
        </w:rPr>
        <w:t xml:space="preserve">alguna. Por consiguiente, los niños que residen </w:t>
      </w:r>
      <w:r w:rsidR="00C22F72" w:rsidRPr="002720D0">
        <w:rPr>
          <w:lang w:val="es-ES_tradnl"/>
        </w:rPr>
        <w:t>en el Estado p</w:t>
      </w:r>
      <w:r w:rsidR="005031B8" w:rsidRPr="002720D0">
        <w:rPr>
          <w:lang w:val="es-ES_tradnl"/>
        </w:rPr>
        <w:t xml:space="preserve">arte suelen profesar la religión de sus padres o tutores; no obstante, </w:t>
      </w:r>
      <w:r w:rsidR="00E02713" w:rsidRPr="002720D0">
        <w:rPr>
          <w:lang w:val="es-ES_tradnl"/>
        </w:rPr>
        <w:t xml:space="preserve">si lo desean </w:t>
      </w:r>
      <w:r w:rsidR="005031B8" w:rsidRPr="002720D0">
        <w:rPr>
          <w:lang w:val="es-ES_tradnl"/>
        </w:rPr>
        <w:t>pueden c</w:t>
      </w:r>
      <w:r w:rsidR="00E02713" w:rsidRPr="002720D0">
        <w:rPr>
          <w:lang w:val="es-ES_tradnl"/>
        </w:rPr>
        <w:t xml:space="preserve">ambiar la religión que profesaban en su infancia </w:t>
      </w:r>
      <w:r w:rsidR="00C22F72" w:rsidRPr="002720D0">
        <w:rPr>
          <w:lang w:val="es-ES_tradnl"/>
        </w:rPr>
        <w:t xml:space="preserve">por otra religión </w:t>
      </w:r>
      <w:r w:rsidR="00E02713" w:rsidRPr="002720D0">
        <w:rPr>
          <w:lang w:val="es-ES_tradnl"/>
        </w:rPr>
        <w:t>al llegar a la edad adulta. En aras de permitir a sus ciudadanos profesar sus creencias religiosas, el Estado tiene el deber constitucional de garantizar el derec</w:t>
      </w:r>
      <w:r w:rsidR="008B59DE" w:rsidRPr="002720D0">
        <w:rPr>
          <w:lang w:val="es-ES_tradnl"/>
        </w:rPr>
        <w:t>h</w:t>
      </w:r>
      <w:r w:rsidR="00E02713" w:rsidRPr="002720D0">
        <w:rPr>
          <w:lang w:val="es-ES_tradnl"/>
        </w:rPr>
        <w:t>o de todos los ciudadanos a profesar la religión que elijan</w:t>
      </w:r>
      <w:r w:rsidR="00151021" w:rsidRPr="002720D0">
        <w:rPr>
          <w:rStyle w:val="FootnoteReference"/>
          <w:lang w:val="es-ES_tradnl"/>
        </w:rPr>
        <w:footnoteReference w:id="36"/>
      </w:r>
      <w:r w:rsidR="00E02713" w:rsidRPr="002720D0">
        <w:rPr>
          <w:lang w:val="es-ES_tradnl"/>
        </w:rPr>
        <w:t xml:space="preserve">. Esta garantía entraña la prohibición de proferir insultos contra la religión de otras personas, recogida en el artículo </w:t>
      </w:r>
      <w:r w:rsidR="00151021" w:rsidRPr="002720D0">
        <w:rPr>
          <w:lang w:val="es-ES_tradnl"/>
        </w:rPr>
        <w:t>1</w:t>
      </w:r>
      <w:r w:rsidR="00E02713" w:rsidRPr="002720D0">
        <w:rPr>
          <w:lang w:val="es-ES_tradnl"/>
        </w:rPr>
        <w:t>29 del Código Penal</w:t>
      </w:r>
      <w:r w:rsidR="00151021" w:rsidRPr="002720D0">
        <w:rPr>
          <w:rStyle w:val="FootnoteReference"/>
          <w:lang w:val="es-ES_tradnl"/>
        </w:rPr>
        <w:footnoteReference w:id="37"/>
      </w:r>
      <w:r w:rsidR="00E02713" w:rsidRPr="002720D0">
        <w:rPr>
          <w:lang w:val="es-ES_tradnl"/>
        </w:rPr>
        <w:t xml:space="preserve">, que dispone lo siguiente: </w:t>
      </w:r>
      <w:r w:rsidR="001D2A53">
        <w:rPr>
          <w:lang w:val="es-ES_tradnl"/>
        </w:rPr>
        <w:t>"</w:t>
      </w:r>
      <w:r w:rsidR="00E02713" w:rsidRPr="002720D0">
        <w:rPr>
          <w:lang w:val="es-ES_tradnl"/>
        </w:rPr>
        <w:t xml:space="preserve">Cualquier persona que, con la intención premeditada de herir los sentimientos religiosos de cualquier otra persona, </w:t>
      </w:r>
      <w:r w:rsidR="00C22F72" w:rsidRPr="002720D0">
        <w:rPr>
          <w:lang w:val="es-ES_tradnl"/>
        </w:rPr>
        <w:t>profiriese cualquier palabra, o efectuase</w:t>
      </w:r>
      <w:r w:rsidR="0004452E" w:rsidRPr="002720D0">
        <w:rPr>
          <w:lang w:val="es-ES_tradnl"/>
        </w:rPr>
        <w:t xml:space="preserve"> cualquier sonido audible para esa persona, o </w:t>
      </w:r>
      <w:r w:rsidR="00C22F72" w:rsidRPr="002720D0">
        <w:rPr>
          <w:lang w:val="es-ES_tradnl"/>
        </w:rPr>
        <w:t>hiciese</w:t>
      </w:r>
      <w:r w:rsidR="0004452E" w:rsidRPr="002720D0">
        <w:rPr>
          <w:lang w:val="es-ES_tradnl"/>
        </w:rPr>
        <w:t xml:space="preserve"> cualquier gesto en presencia de esa persona, o </w:t>
      </w:r>
      <w:r w:rsidR="00C22F72" w:rsidRPr="002720D0">
        <w:rPr>
          <w:lang w:val="es-ES_tradnl"/>
        </w:rPr>
        <w:t>situase</w:t>
      </w:r>
      <w:r w:rsidR="0004452E" w:rsidRPr="002720D0">
        <w:rPr>
          <w:lang w:val="es-ES_tradnl"/>
        </w:rPr>
        <w:t xml:space="preserve"> cualquier objeto ante la vista de esa persona, será culpable de </w:t>
      </w:r>
      <w:r w:rsidR="003354AA" w:rsidRPr="002720D0">
        <w:rPr>
          <w:lang w:val="es-ES_tradnl"/>
        </w:rPr>
        <w:t xml:space="preserve">un delito menor, sancionable con </w:t>
      </w:r>
      <w:r w:rsidR="00541C57" w:rsidRPr="002720D0">
        <w:rPr>
          <w:lang w:val="es-ES_tradnl"/>
        </w:rPr>
        <w:t>un año de privación de libertad</w:t>
      </w:r>
      <w:r w:rsidR="001D2A53">
        <w:rPr>
          <w:lang w:val="es-ES_tradnl"/>
        </w:rPr>
        <w:t>"</w:t>
      </w:r>
      <w:r w:rsidR="00541C57" w:rsidRPr="002720D0">
        <w:rPr>
          <w:lang w:val="es-ES_tradnl"/>
        </w:rPr>
        <w:t>.</w:t>
      </w:r>
      <w:r w:rsidR="003354AA" w:rsidRPr="002720D0">
        <w:rPr>
          <w:lang w:val="es-ES_tradnl"/>
        </w:rPr>
        <w:t xml:space="preserve"> Esta disposición legislativa fue sometida a examen judicial en la famosa causa </w:t>
      </w:r>
      <w:r w:rsidR="003354AA" w:rsidRPr="002720D0">
        <w:rPr>
          <w:i/>
          <w:lang w:val="es-ES_tradnl"/>
        </w:rPr>
        <w:t>Hamis Rajabu Dibagula c</w:t>
      </w:r>
      <w:r w:rsidR="00151021" w:rsidRPr="002720D0">
        <w:rPr>
          <w:i/>
          <w:lang w:val="es-ES_tradnl"/>
        </w:rPr>
        <w:t>. R</w:t>
      </w:r>
      <w:r w:rsidR="003354AA" w:rsidRPr="001418B0">
        <w:rPr>
          <w:i/>
          <w:lang w:val="es-ES_tradnl"/>
        </w:rPr>
        <w:t>.</w:t>
      </w:r>
      <w:r w:rsidR="00151021" w:rsidRPr="002720D0">
        <w:rPr>
          <w:rStyle w:val="FootnoteReference"/>
          <w:lang w:val="es-ES_tradnl"/>
        </w:rPr>
        <w:footnoteReference w:id="38"/>
      </w:r>
      <w:r w:rsidR="003354AA" w:rsidRPr="002720D0">
        <w:rPr>
          <w:lang w:val="es-ES_tradnl"/>
        </w:rPr>
        <w:t xml:space="preserve">. En esta causa, el </w:t>
      </w:r>
      <w:r w:rsidR="00FD37F3" w:rsidRPr="002720D0">
        <w:rPr>
          <w:lang w:val="es-ES_tradnl"/>
        </w:rPr>
        <w:t>recurrente</w:t>
      </w:r>
      <w:r w:rsidR="003354AA" w:rsidRPr="002720D0">
        <w:rPr>
          <w:lang w:val="es-ES_tradnl"/>
        </w:rPr>
        <w:t xml:space="preserve"> </w:t>
      </w:r>
      <w:r w:rsidR="00FD37F3" w:rsidRPr="002720D0">
        <w:rPr>
          <w:lang w:val="es-ES_tradnl"/>
        </w:rPr>
        <w:t>había sido</w:t>
      </w:r>
      <w:r w:rsidR="003354AA" w:rsidRPr="002720D0">
        <w:rPr>
          <w:lang w:val="es-ES_tradnl"/>
        </w:rPr>
        <w:t xml:space="preserve"> condenado </w:t>
      </w:r>
      <w:r w:rsidR="00FD37F3" w:rsidRPr="002720D0">
        <w:rPr>
          <w:lang w:val="es-ES_tradnl"/>
        </w:rPr>
        <w:t xml:space="preserve">a 18 meses de privación de libertad </w:t>
      </w:r>
      <w:r w:rsidR="003354AA" w:rsidRPr="002720D0">
        <w:rPr>
          <w:lang w:val="es-ES_tradnl"/>
        </w:rPr>
        <w:t>por el tribunal de primera instancia de Morogoro</w:t>
      </w:r>
      <w:r w:rsidR="00FD37F3" w:rsidRPr="002720D0">
        <w:rPr>
          <w:lang w:val="es-ES_tradnl"/>
        </w:rPr>
        <w:t>,</w:t>
      </w:r>
      <w:r w:rsidR="003354AA" w:rsidRPr="002720D0">
        <w:rPr>
          <w:lang w:val="es-ES_tradnl"/>
        </w:rPr>
        <w:t xml:space="preserve"> por </w:t>
      </w:r>
      <w:r w:rsidR="00FD37F3" w:rsidRPr="002720D0">
        <w:rPr>
          <w:lang w:val="es-ES_tradnl"/>
        </w:rPr>
        <w:t>haber proferido</w:t>
      </w:r>
      <w:r w:rsidR="003354AA" w:rsidRPr="002720D0">
        <w:rPr>
          <w:lang w:val="es-ES_tradnl"/>
        </w:rPr>
        <w:t xml:space="preserve"> palabras con la intención de herir los sentimientos religiosos de otras personas. Durante su examen del correspondiente recurso, el Tribunal Supremo </w:t>
      </w:r>
      <w:r w:rsidR="00FD37F3" w:rsidRPr="002720D0">
        <w:rPr>
          <w:lang w:val="es-ES_tradnl"/>
        </w:rPr>
        <w:t xml:space="preserve">descartó la condena, sustituyéndola con una condena más breve que daría lugar a la inmediata puesta en libertad del demandante. </w:t>
      </w:r>
      <w:r w:rsidR="00C22F72" w:rsidRPr="002720D0">
        <w:rPr>
          <w:lang w:val="es-ES_tradnl"/>
        </w:rPr>
        <w:t>Las actuaciones</w:t>
      </w:r>
      <w:r w:rsidR="00FD37F3" w:rsidRPr="002720D0">
        <w:rPr>
          <w:lang w:val="es-ES_tradnl"/>
        </w:rPr>
        <w:t xml:space="preserve"> en el</w:t>
      </w:r>
      <w:r w:rsidR="00C22F72" w:rsidRPr="002720D0">
        <w:rPr>
          <w:lang w:val="es-ES_tradnl"/>
        </w:rPr>
        <w:t xml:space="preserve"> Tribunal de Apelaciones suscitaron</w:t>
      </w:r>
      <w:r w:rsidR="00FD37F3" w:rsidRPr="002720D0">
        <w:rPr>
          <w:lang w:val="es-ES_tradnl"/>
        </w:rPr>
        <w:t xml:space="preserve"> cuestiones de considerable importancia para el público en relación con las limitaciones del derecho a la libertad de religión, garantizada en virtud del artículo 19 de la Constitución de la República Unida de Tanzaní</w:t>
      </w:r>
      <w:r w:rsidR="00151021" w:rsidRPr="002720D0">
        <w:rPr>
          <w:lang w:val="es-ES_tradnl"/>
        </w:rPr>
        <w:t xml:space="preserve">a (1977). </w:t>
      </w:r>
      <w:r w:rsidR="00FD37F3" w:rsidRPr="002720D0">
        <w:rPr>
          <w:lang w:val="es-ES_tradnl"/>
        </w:rPr>
        <w:t xml:space="preserve">El Tribunal de Apelaciones afirmó que tanto la Constitución de la República Unida de Tanzanía como otra legislación pertinente obligan a la población del país a </w:t>
      </w:r>
      <w:r w:rsidR="00C22F72" w:rsidRPr="002720D0">
        <w:rPr>
          <w:lang w:val="es-ES_tradnl"/>
        </w:rPr>
        <w:t>convivir en el</w:t>
      </w:r>
      <w:r w:rsidR="00FD37F3" w:rsidRPr="002720D0">
        <w:rPr>
          <w:lang w:val="es-ES_tradnl"/>
        </w:rPr>
        <w:t xml:space="preserve"> respecto mutuo y </w:t>
      </w:r>
      <w:r w:rsidR="00C22F72" w:rsidRPr="002720D0">
        <w:rPr>
          <w:lang w:val="es-ES_tradnl"/>
        </w:rPr>
        <w:t xml:space="preserve">la </w:t>
      </w:r>
      <w:r w:rsidR="00FD37F3" w:rsidRPr="002720D0">
        <w:rPr>
          <w:lang w:val="es-ES_tradnl"/>
        </w:rPr>
        <w:t xml:space="preserve">tolerancia por las creencias religiosas de otras personas, </w:t>
      </w:r>
      <w:r w:rsidR="00C22F72" w:rsidRPr="002720D0">
        <w:rPr>
          <w:lang w:val="es-ES_tradnl"/>
        </w:rPr>
        <w:t xml:space="preserve">y </w:t>
      </w:r>
      <w:r w:rsidR="00FD37F3" w:rsidRPr="002720D0">
        <w:rPr>
          <w:lang w:val="es-ES_tradnl"/>
        </w:rPr>
        <w:t xml:space="preserve">que </w:t>
      </w:r>
      <w:r w:rsidR="00C22F72" w:rsidRPr="002720D0">
        <w:rPr>
          <w:lang w:val="es-ES_tradnl"/>
        </w:rPr>
        <w:t xml:space="preserve">esa convivencia </w:t>
      </w:r>
      <w:r w:rsidR="00FD37F3" w:rsidRPr="002720D0">
        <w:rPr>
          <w:lang w:val="es-ES_tradnl"/>
        </w:rPr>
        <w:t xml:space="preserve">constituye una de las principales obligaciones del buen ciudadano. </w:t>
      </w:r>
    </w:p>
    <w:p w:rsidR="00151021" w:rsidRPr="002720D0" w:rsidRDefault="004F6364" w:rsidP="004F6364">
      <w:pPr>
        <w:pStyle w:val="SingleTxtG"/>
        <w:tabs>
          <w:tab w:val="left" w:pos="-360"/>
        </w:tabs>
        <w:rPr>
          <w:lang w:val="es-ES_tradnl"/>
        </w:rPr>
      </w:pPr>
      <w:r w:rsidRPr="002720D0">
        <w:rPr>
          <w:lang w:val="es-ES_tradnl"/>
        </w:rPr>
        <w:t>76.</w:t>
      </w:r>
      <w:r w:rsidRPr="002720D0">
        <w:rPr>
          <w:lang w:val="es-ES_tradnl"/>
        </w:rPr>
        <w:tab/>
      </w:r>
      <w:r w:rsidR="00C22F72" w:rsidRPr="002720D0">
        <w:rPr>
          <w:lang w:val="es-ES_tradnl"/>
        </w:rPr>
        <w:t>Remitiéndose</w:t>
      </w:r>
      <w:r w:rsidR="00FD37F3" w:rsidRPr="002720D0">
        <w:rPr>
          <w:lang w:val="es-ES_tradnl"/>
        </w:rPr>
        <w:t xml:space="preserve"> a este fundam</w:t>
      </w:r>
      <w:r w:rsidR="00C22F72" w:rsidRPr="002720D0">
        <w:rPr>
          <w:lang w:val="es-ES_tradnl"/>
        </w:rPr>
        <w:t>ento constitucional, el Estado p</w:t>
      </w:r>
      <w:r w:rsidR="00FD37F3" w:rsidRPr="002720D0">
        <w:rPr>
          <w:lang w:val="es-ES_tradnl"/>
        </w:rPr>
        <w:t>arte ha velado por que</w:t>
      </w:r>
      <w:r w:rsidR="00C22F72" w:rsidRPr="002720D0">
        <w:rPr>
          <w:lang w:val="es-ES_tradnl"/>
        </w:rPr>
        <w:t xml:space="preserve"> no se produzca en su territorio segregación ni </w:t>
      </w:r>
      <w:r w:rsidR="00FD37F3" w:rsidRPr="002720D0">
        <w:rPr>
          <w:lang w:val="es-ES_tradnl"/>
        </w:rPr>
        <w:t xml:space="preserve">discriminación </w:t>
      </w:r>
      <w:r w:rsidR="00C22F72" w:rsidRPr="002720D0">
        <w:rPr>
          <w:lang w:val="es-ES_tradnl"/>
        </w:rPr>
        <w:t xml:space="preserve">alguna </w:t>
      </w:r>
      <w:r w:rsidR="00541C57" w:rsidRPr="002720D0">
        <w:rPr>
          <w:lang w:val="es-ES_tradnl"/>
        </w:rPr>
        <w:t xml:space="preserve">que afecte a los niños </w:t>
      </w:r>
      <w:r w:rsidR="00FD37F3" w:rsidRPr="002720D0">
        <w:rPr>
          <w:lang w:val="es-ES_tradnl"/>
        </w:rPr>
        <w:t>por moti</w:t>
      </w:r>
      <w:r w:rsidR="00C22F72" w:rsidRPr="002720D0">
        <w:rPr>
          <w:lang w:val="es-ES_tradnl"/>
        </w:rPr>
        <w:t>vos de religión</w:t>
      </w:r>
      <w:r w:rsidR="00FD37F3" w:rsidRPr="002720D0">
        <w:rPr>
          <w:lang w:val="es-ES_tradnl"/>
        </w:rPr>
        <w:t>. A</w:t>
      </w:r>
      <w:r w:rsidR="00C22F72" w:rsidRPr="002720D0">
        <w:rPr>
          <w:lang w:val="es-ES_tradnl"/>
        </w:rPr>
        <w:t>sí, en el Estado p</w:t>
      </w:r>
      <w:r w:rsidR="00FD37F3" w:rsidRPr="002720D0">
        <w:rPr>
          <w:lang w:val="es-ES_tradnl"/>
        </w:rPr>
        <w:t xml:space="preserve">arte los niños disfrutan del derecho a la libertad de pensamiento, de conciencia y de </w:t>
      </w:r>
      <w:r w:rsidR="00C22F72" w:rsidRPr="002720D0">
        <w:rPr>
          <w:lang w:val="es-ES_tradnl"/>
        </w:rPr>
        <w:t xml:space="preserve">profesar </w:t>
      </w:r>
      <w:r w:rsidR="00FD37F3" w:rsidRPr="002720D0">
        <w:rPr>
          <w:lang w:val="es-ES_tradnl"/>
        </w:rPr>
        <w:t>la religión de sus padres o tutores, siempre y cuando al hacerlo no vulneren el</w:t>
      </w:r>
      <w:r w:rsidR="002E3FEB" w:rsidRPr="002720D0">
        <w:rPr>
          <w:lang w:val="es-ES_tradnl"/>
        </w:rPr>
        <w:t xml:space="preserve"> correspondiente derecho de otras personas</w:t>
      </w:r>
      <w:r w:rsidR="00FD37F3" w:rsidRPr="002720D0">
        <w:rPr>
          <w:lang w:val="es-ES_tradnl"/>
        </w:rPr>
        <w:t xml:space="preserve">. </w:t>
      </w:r>
    </w:p>
    <w:p w:rsidR="002E3FEB" w:rsidRPr="002720D0" w:rsidRDefault="00846C77" w:rsidP="002E3FEB">
      <w:pPr>
        <w:pStyle w:val="H1G"/>
        <w:outlineLvl w:val="0"/>
        <w:rPr>
          <w:lang w:val="es-ES_tradnl"/>
        </w:rPr>
      </w:pPr>
      <w:bookmarkStart w:id="22" w:name="_Toc313470858"/>
      <w:r w:rsidRPr="002720D0">
        <w:rPr>
          <w:lang w:val="es-ES_tradnl"/>
        </w:rPr>
        <w:tab/>
      </w:r>
      <w:r w:rsidR="00151021" w:rsidRPr="002720D0">
        <w:rPr>
          <w:lang w:val="es-ES_tradnl"/>
        </w:rPr>
        <w:t>4.4</w:t>
      </w:r>
      <w:r w:rsidRPr="002720D0">
        <w:rPr>
          <w:lang w:val="es-ES_tradnl"/>
        </w:rPr>
        <w:tab/>
      </w:r>
      <w:r w:rsidR="002E3FEB" w:rsidRPr="002720D0">
        <w:rPr>
          <w:lang w:val="es-ES_tradnl"/>
        </w:rPr>
        <w:t>Libertad de asociación y de celebrar reuniones pacíficas (art</w:t>
      </w:r>
      <w:bookmarkEnd w:id="22"/>
      <w:r w:rsidR="00496F04">
        <w:rPr>
          <w:lang w:val="es-ES_tradnl"/>
        </w:rPr>
        <w:t>.</w:t>
      </w:r>
      <w:r w:rsidR="008370A8">
        <w:rPr>
          <w:lang w:val="es-ES_tradnl"/>
        </w:rPr>
        <w:t xml:space="preserve"> 15)</w:t>
      </w:r>
    </w:p>
    <w:p w:rsidR="00151021" w:rsidRPr="002720D0" w:rsidRDefault="004F6364" w:rsidP="004F6364">
      <w:pPr>
        <w:pStyle w:val="SingleTxtG"/>
        <w:tabs>
          <w:tab w:val="left" w:pos="-360"/>
        </w:tabs>
        <w:rPr>
          <w:lang w:val="es-ES_tradnl"/>
        </w:rPr>
      </w:pPr>
      <w:r w:rsidRPr="002720D0">
        <w:rPr>
          <w:lang w:val="es-ES_tradnl"/>
        </w:rPr>
        <w:t>77.</w:t>
      </w:r>
      <w:r w:rsidRPr="002720D0">
        <w:rPr>
          <w:lang w:val="es-ES_tradnl"/>
        </w:rPr>
        <w:tab/>
      </w:r>
      <w:r w:rsidR="00C22F72" w:rsidRPr="002720D0">
        <w:rPr>
          <w:lang w:val="es-ES_tradnl"/>
        </w:rPr>
        <w:t>El Estado p</w:t>
      </w:r>
      <w:r w:rsidR="00BB3EA8" w:rsidRPr="002720D0">
        <w:rPr>
          <w:lang w:val="es-ES_tradnl"/>
        </w:rPr>
        <w:t>arte reconoce a los niños el derecho a la libertad de asociación y de celebrar reuniones pacíficas. Para garantizar esta libert</w:t>
      </w:r>
      <w:r w:rsidR="00C22F72" w:rsidRPr="002720D0">
        <w:rPr>
          <w:lang w:val="es-ES_tradnl"/>
        </w:rPr>
        <w:t>ad de manera eficaz, el Estado p</w:t>
      </w:r>
      <w:r w:rsidR="00BB3EA8" w:rsidRPr="002720D0">
        <w:rPr>
          <w:lang w:val="es-ES_tradnl"/>
        </w:rPr>
        <w:t xml:space="preserve">arte la ha incorporado en </w:t>
      </w:r>
      <w:r w:rsidR="001B5B6C" w:rsidRPr="002720D0">
        <w:rPr>
          <w:lang w:val="es-ES_tradnl"/>
        </w:rPr>
        <w:t>las secciones</w:t>
      </w:r>
      <w:r w:rsidR="00BB3EA8" w:rsidRPr="002720D0">
        <w:rPr>
          <w:lang w:val="es-ES_tradnl"/>
        </w:rPr>
        <w:t xml:space="preserve"> </w:t>
      </w:r>
      <w:r w:rsidR="001B5B6C" w:rsidRPr="002720D0">
        <w:rPr>
          <w:lang w:val="es-ES_tradnl"/>
        </w:rPr>
        <w:t>de obligado</w:t>
      </w:r>
      <w:r w:rsidR="00BB3EA8" w:rsidRPr="002720D0">
        <w:rPr>
          <w:lang w:val="es-ES_tradnl"/>
        </w:rPr>
        <w:t xml:space="preserve"> </w:t>
      </w:r>
      <w:r w:rsidR="001B5B6C" w:rsidRPr="002720D0">
        <w:rPr>
          <w:lang w:val="es-ES_tradnl"/>
        </w:rPr>
        <w:t>cumplimiento</w:t>
      </w:r>
      <w:r w:rsidR="00541C57" w:rsidRPr="002720D0">
        <w:rPr>
          <w:lang w:val="es-ES_tradnl"/>
        </w:rPr>
        <w:t xml:space="preserve"> tanto </w:t>
      </w:r>
      <w:r w:rsidR="00BB3EA8" w:rsidRPr="002720D0">
        <w:rPr>
          <w:lang w:val="es-ES_tradnl"/>
        </w:rPr>
        <w:t>de la Constitución de Zanzíbar como de la Constitución de la República Unida de Tanzanía</w:t>
      </w:r>
      <w:r w:rsidR="00151021" w:rsidRPr="002720D0">
        <w:rPr>
          <w:rStyle w:val="FootnoteReference"/>
          <w:lang w:val="es-ES_tradnl"/>
        </w:rPr>
        <w:footnoteReference w:id="39"/>
      </w:r>
      <w:r w:rsidR="00BB3EA8" w:rsidRPr="002720D0">
        <w:rPr>
          <w:lang w:val="es-ES_tradnl"/>
        </w:rPr>
        <w:t>.</w:t>
      </w:r>
      <w:r w:rsidR="00151021" w:rsidRPr="002720D0">
        <w:rPr>
          <w:lang w:val="es-ES_tradnl"/>
        </w:rPr>
        <w:t xml:space="preserve"> </w:t>
      </w:r>
      <w:r w:rsidR="001B5B6C" w:rsidRPr="002720D0">
        <w:rPr>
          <w:lang w:val="es-ES_tradnl"/>
        </w:rPr>
        <w:t xml:space="preserve">Mediante estas disposiciones constitucionales, </w:t>
      </w:r>
      <w:r w:rsidR="001D2A53">
        <w:rPr>
          <w:lang w:val="es-ES_tradnl"/>
        </w:rPr>
        <w:t>"</w:t>
      </w:r>
      <w:r w:rsidR="001B5B6C" w:rsidRPr="002720D0">
        <w:rPr>
          <w:lang w:val="es-ES_tradnl"/>
        </w:rPr>
        <w:t>todas las personas</w:t>
      </w:r>
      <w:r w:rsidR="001D2A53">
        <w:rPr>
          <w:lang w:val="es-ES_tradnl"/>
        </w:rPr>
        <w:t>"</w:t>
      </w:r>
      <w:r w:rsidR="001B5B6C" w:rsidRPr="002720D0">
        <w:rPr>
          <w:lang w:val="es-ES_tradnl"/>
        </w:rPr>
        <w:t>, incluidos los niños, gozan de libertad de asoc</w:t>
      </w:r>
      <w:r w:rsidR="00CB237E" w:rsidRPr="002720D0">
        <w:rPr>
          <w:lang w:val="es-ES_tradnl"/>
        </w:rPr>
        <w:t>i</w:t>
      </w:r>
      <w:r w:rsidR="001B5B6C" w:rsidRPr="002720D0">
        <w:rPr>
          <w:lang w:val="es-ES_tradnl"/>
        </w:rPr>
        <w:t>ación con otros y de celebrar reuniones</w:t>
      </w:r>
      <w:r w:rsidR="00F1107F" w:rsidRPr="002720D0">
        <w:rPr>
          <w:lang w:val="es-ES_tradnl"/>
        </w:rPr>
        <w:t xml:space="preserve"> pacíficas con otros con miras a</w:t>
      </w:r>
      <w:r w:rsidR="001B5B6C" w:rsidRPr="002720D0">
        <w:rPr>
          <w:lang w:val="es-ES_tradnl"/>
        </w:rPr>
        <w:t xml:space="preserve"> manifestar públicamente su opinión o sus puntos de vista. La única restricción impuesta en ambas Constituciones </w:t>
      </w:r>
      <w:r w:rsidR="00F1107F" w:rsidRPr="002720D0">
        <w:rPr>
          <w:lang w:val="es-ES_tradnl"/>
        </w:rPr>
        <w:t>corresponde</w:t>
      </w:r>
      <w:r w:rsidR="001B5B6C" w:rsidRPr="002720D0">
        <w:rPr>
          <w:lang w:val="es-ES_tradnl"/>
        </w:rPr>
        <w:t xml:space="preserve"> a la formación de </w:t>
      </w:r>
      <w:r w:rsidR="00F1107F" w:rsidRPr="002720D0">
        <w:rPr>
          <w:lang w:val="es-ES_tradnl"/>
        </w:rPr>
        <w:t>partidos políticos;</w:t>
      </w:r>
      <w:r w:rsidR="001B5B6C" w:rsidRPr="002720D0">
        <w:rPr>
          <w:lang w:val="es-ES_tradnl"/>
        </w:rPr>
        <w:t xml:space="preserve"> según </w:t>
      </w:r>
      <w:r w:rsidR="00F1107F" w:rsidRPr="002720D0">
        <w:rPr>
          <w:lang w:val="es-ES_tradnl"/>
        </w:rPr>
        <w:t>esta restricción, aquellas personas que decida</w:t>
      </w:r>
      <w:r w:rsidR="001B5B6C" w:rsidRPr="002720D0">
        <w:rPr>
          <w:lang w:val="es-ES_tradnl"/>
        </w:rPr>
        <w:t>n formar un partido político no han de perseguir una causa que pretenda favorecer intereses r</w:t>
      </w:r>
      <w:r w:rsidR="00F1107F" w:rsidRPr="002720D0">
        <w:rPr>
          <w:lang w:val="es-ES_tradnl"/>
        </w:rPr>
        <w:t>eligiosos, étnicos o tribales, ni</w:t>
      </w:r>
      <w:r w:rsidR="001B5B6C" w:rsidRPr="002720D0">
        <w:rPr>
          <w:lang w:val="es-ES_tradnl"/>
        </w:rPr>
        <w:t xml:space="preserve"> dete</w:t>
      </w:r>
      <w:r w:rsidR="00F1107F" w:rsidRPr="002720D0">
        <w:rPr>
          <w:lang w:val="es-ES_tradnl"/>
        </w:rPr>
        <w:t>rminados intereses regionales; o</w:t>
      </w:r>
      <w:r w:rsidR="001B5B6C" w:rsidRPr="002720D0">
        <w:rPr>
          <w:lang w:val="es-ES_tradnl"/>
        </w:rPr>
        <w:t xml:space="preserve"> que pretenda la desintegración de l</w:t>
      </w:r>
      <w:r w:rsidR="00F1107F" w:rsidRPr="002720D0">
        <w:rPr>
          <w:lang w:val="es-ES_tradnl"/>
        </w:rPr>
        <w:t>a República Unida de Tanzanía; o</w:t>
      </w:r>
      <w:r w:rsidR="001B5B6C" w:rsidRPr="002720D0">
        <w:rPr>
          <w:lang w:val="es-ES_tradnl"/>
        </w:rPr>
        <w:t xml:space="preserve"> que procure operar e</w:t>
      </w:r>
      <w:r w:rsidR="00F1107F" w:rsidRPr="002720D0">
        <w:rPr>
          <w:lang w:val="es-ES_tradnl"/>
        </w:rPr>
        <w:t>n una única parte de la Unión; o</w:t>
      </w:r>
      <w:r w:rsidR="001B5B6C" w:rsidRPr="002720D0">
        <w:rPr>
          <w:lang w:val="es-ES_tradnl"/>
        </w:rPr>
        <w:t xml:space="preserve"> que no permita la celebración de elecciones periódicas de su liderazgo</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78.</w:t>
      </w:r>
      <w:r w:rsidRPr="002720D0">
        <w:rPr>
          <w:lang w:val="es-ES_tradnl"/>
        </w:rPr>
        <w:tab/>
      </w:r>
      <w:r w:rsidR="00B5226D" w:rsidRPr="002720D0">
        <w:rPr>
          <w:lang w:val="es-ES_tradnl"/>
        </w:rPr>
        <w:t>En aras de</w:t>
      </w:r>
      <w:r w:rsidR="00F1107F" w:rsidRPr="002720D0">
        <w:rPr>
          <w:lang w:val="es-ES_tradnl"/>
        </w:rPr>
        <w:t xml:space="preserve"> que</w:t>
      </w:r>
      <w:r w:rsidR="008B59DE" w:rsidRPr="002720D0">
        <w:rPr>
          <w:lang w:val="es-ES_tradnl"/>
        </w:rPr>
        <w:t xml:space="preserve"> estas disposiciones constitucionales</w:t>
      </w:r>
      <w:r w:rsidR="00F1107F" w:rsidRPr="002720D0">
        <w:rPr>
          <w:lang w:val="es-ES_tradnl"/>
        </w:rPr>
        <w:t xml:space="preserve"> se apliquen en la práctica, el Estado p</w:t>
      </w:r>
      <w:r w:rsidR="008B59DE" w:rsidRPr="002720D0">
        <w:rPr>
          <w:lang w:val="es-ES_tradnl"/>
        </w:rPr>
        <w:t xml:space="preserve">arte también ha consagrado la libertad de asociación y de celebrar reuniones pacíficas para los niños </w:t>
      </w:r>
      <w:r w:rsidR="00B5226D" w:rsidRPr="002720D0">
        <w:rPr>
          <w:lang w:val="es-ES_tradnl"/>
        </w:rPr>
        <w:t>autorizando</w:t>
      </w:r>
      <w:r w:rsidR="008B59DE" w:rsidRPr="002720D0">
        <w:rPr>
          <w:lang w:val="es-ES_tradnl"/>
        </w:rPr>
        <w:t xml:space="preserve"> la formación de consejos infantiles y juveniles así como de comités y clubes infantiles y juveniles en las escuelas y diversos círculos sociales, en </w:t>
      </w:r>
      <w:r w:rsidR="00B5226D" w:rsidRPr="002720D0">
        <w:rPr>
          <w:lang w:val="es-ES_tradnl"/>
        </w:rPr>
        <w:t>cuyo seno</w:t>
      </w:r>
      <w:r w:rsidR="008B59DE" w:rsidRPr="002720D0">
        <w:rPr>
          <w:lang w:val="es-ES_tradnl"/>
        </w:rPr>
        <w:t xml:space="preserve"> los niños se asocian y reúnen para intercambiar opiniones relativas a su bienestar. (Esta cuestión se considera en detalle en la parte del presente informe relativa al punto 3.4 (Respeto por la opinión del niño</w:t>
      </w:r>
      <w:r w:rsidR="00B5226D" w:rsidRPr="002720D0">
        <w:rPr>
          <w:lang w:val="es-ES_tradnl"/>
        </w:rPr>
        <w:t xml:space="preserve"> (art.</w:t>
      </w:r>
      <w:r w:rsidR="008B59DE" w:rsidRPr="002720D0">
        <w:rPr>
          <w:lang w:val="es-ES_tradnl"/>
        </w:rPr>
        <w:t xml:space="preserve"> 12), </w:t>
      </w:r>
      <w:r w:rsidR="00D7725E" w:rsidRPr="002720D0">
        <w:rPr>
          <w:lang w:val="es-ES_tradnl"/>
        </w:rPr>
        <w:t>arriba</w:t>
      </w:r>
      <w:r w:rsidR="008B59DE" w:rsidRPr="002720D0">
        <w:rPr>
          <w:lang w:val="es-ES_tradnl"/>
        </w:rPr>
        <w:t xml:space="preserve">.) </w:t>
      </w:r>
    </w:p>
    <w:p w:rsidR="00151021" w:rsidRPr="002720D0" w:rsidRDefault="00846C77" w:rsidP="00586395">
      <w:pPr>
        <w:pStyle w:val="H1G"/>
        <w:outlineLvl w:val="0"/>
        <w:rPr>
          <w:lang w:val="es-ES_tradnl"/>
        </w:rPr>
      </w:pPr>
      <w:bookmarkStart w:id="23" w:name="_Toc313470859"/>
      <w:r w:rsidRPr="002720D0">
        <w:rPr>
          <w:lang w:val="es-ES_tradnl"/>
        </w:rPr>
        <w:tab/>
      </w:r>
      <w:r w:rsidR="00151021" w:rsidRPr="002720D0">
        <w:rPr>
          <w:lang w:val="es-ES_tradnl"/>
        </w:rPr>
        <w:t>4.5</w:t>
      </w:r>
      <w:r w:rsidRPr="002720D0">
        <w:rPr>
          <w:lang w:val="es-ES_tradnl"/>
        </w:rPr>
        <w:tab/>
      </w:r>
      <w:r w:rsidR="00151021" w:rsidRPr="002720D0">
        <w:rPr>
          <w:lang w:val="es-ES_tradnl"/>
        </w:rPr>
        <w:t>Protec</w:t>
      </w:r>
      <w:r w:rsidR="009F6B69" w:rsidRPr="002720D0">
        <w:rPr>
          <w:lang w:val="es-ES_tradnl"/>
        </w:rPr>
        <w:t xml:space="preserve">ción de la vida </w:t>
      </w:r>
      <w:r w:rsidR="00B5226D" w:rsidRPr="002720D0">
        <w:rPr>
          <w:lang w:val="es-ES_tradnl"/>
        </w:rPr>
        <w:t>privada y de la imagen (art.</w:t>
      </w:r>
      <w:r w:rsidR="009F6B69" w:rsidRPr="002720D0">
        <w:rPr>
          <w:lang w:val="es-ES_tradnl"/>
        </w:rPr>
        <w:t xml:space="preserve"> </w:t>
      </w:r>
      <w:bookmarkEnd w:id="23"/>
      <w:r w:rsidR="00151021" w:rsidRPr="002720D0">
        <w:rPr>
          <w:lang w:val="es-ES_tradnl"/>
        </w:rPr>
        <w:t>16)</w:t>
      </w:r>
    </w:p>
    <w:p w:rsidR="00151021" w:rsidRPr="002720D0" w:rsidRDefault="004F6364" w:rsidP="004F6364">
      <w:pPr>
        <w:pStyle w:val="SingleTxtG"/>
        <w:tabs>
          <w:tab w:val="left" w:pos="-360"/>
        </w:tabs>
        <w:rPr>
          <w:lang w:val="es-ES_tradnl"/>
        </w:rPr>
      </w:pPr>
      <w:r w:rsidRPr="002720D0">
        <w:rPr>
          <w:lang w:val="es-ES_tradnl"/>
        </w:rPr>
        <w:t>79.</w:t>
      </w:r>
      <w:r w:rsidRPr="002720D0">
        <w:rPr>
          <w:lang w:val="es-ES_tradnl"/>
        </w:rPr>
        <w:tab/>
      </w:r>
      <w:r w:rsidR="00541C57" w:rsidRPr="002720D0">
        <w:rPr>
          <w:lang w:val="es-ES_tradnl"/>
        </w:rPr>
        <w:t>El Estado p</w:t>
      </w:r>
      <w:r w:rsidR="009F6B69" w:rsidRPr="002720D0">
        <w:rPr>
          <w:lang w:val="es-ES_tradnl"/>
        </w:rPr>
        <w:t xml:space="preserve">arte reconoce la necesidad de proteger la vida privada y la imagen del niño, con arreglo a las estipulaciones del artículo 16 de la Convención. En cumplimiento de este requisito, tanto la Constitución de Zanzíbar como la Constitución de la República Unida de Tanzanía contienen provisiones que protegen explícitamente el derecho a la </w:t>
      </w:r>
      <w:r w:rsidR="00003BDF" w:rsidRPr="002720D0">
        <w:rPr>
          <w:lang w:val="es-ES_tradnl"/>
        </w:rPr>
        <w:t>intimidad</w:t>
      </w:r>
      <w:r w:rsidR="001D2A53">
        <w:rPr>
          <w:lang w:val="es-ES_tradnl"/>
        </w:rPr>
        <w:t xml:space="preserve"> </w:t>
      </w:r>
      <w:r w:rsidR="00003BDF" w:rsidRPr="002720D0">
        <w:rPr>
          <w:lang w:val="es-ES_tradnl"/>
        </w:rPr>
        <w:t xml:space="preserve">y prohíben las injerencias ilegales o arbitrarias en la vida privada de la persona, salvo cuando </w:t>
      </w:r>
      <w:r w:rsidR="00B5226D" w:rsidRPr="002720D0">
        <w:rPr>
          <w:lang w:val="es-ES_tradnl"/>
        </w:rPr>
        <w:t xml:space="preserve">estas </w:t>
      </w:r>
      <w:r w:rsidR="00003BDF" w:rsidRPr="002720D0">
        <w:rPr>
          <w:lang w:val="es-ES_tradnl"/>
        </w:rPr>
        <w:t>se producen en cumplimiento de un requisito legal específico o de una orden judicial</w:t>
      </w:r>
      <w:r w:rsidR="00B5226D" w:rsidRPr="002720D0">
        <w:rPr>
          <w:lang w:val="es-ES_tradnl"/>
        </w:rPr>
        <w:t xml:space="preserve"> legítima</w:t>
      </w:r>
      <w:r w:rsidR="00151021" w:rsidRPr="002720D0">
        <w:rPr>
          <w:rStyle w:val="FootnoteReference"/>
          <w:lang w:val="es-ES_tradnl"/>
        </w:rPr>
        <w:footnoteReference w:id="40"/>
      </w:r>
      <w:r w:rsidR="00003BDF" w:rsidRPr="002720D0">
        <w:rPr>
          <w:lang w:val="es-ES_tradnl"/>
        </w:rPr>
        <w:t>.</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80.</w:t>
      </w:r>
      <w:r w:rsidRPr="002720D0">
        <w:rPr>
          <w:lang w:val="es-ES_tradnl"/>
        </w:rPr>
        <w:tab/>
      </w:r>
      <w:r w:rsidR="00FA1375" w:rsidRPr="002720D0">
        <w:rPr>
          <w:lang w:val="es-ES_tradnl"/>
        </w:rPr>
        <w:t>Las disposicio</w:t>
      </w:r>
      <w:r w:rsidR="00B5226D" w:rsidRPr="002720D0">
        <w:rPr>
          <w:lang w:val="es-ES_tradnl"/>
        </w:rPr>
        <w:t>nes constitucionales exigen que el Estado p</w:t>
      </w:r>
      <w:r w:rsidR="00FA1375" w:rsidRPr="002720D0">
        <w:rPr>
          <w:lang w:val="es-ES_tradnl"/>
        </w:rPr>
        <w:t xml:space="preserve">arte </w:t>
      </w:r>
      <w:r w:rsidR="00B5226D" w:rsidRPr="002720D0">
        <w:rPr>
          <w:lang w:val="es-ES_tradnl"/>
        </w:rPr>
        <w:t>promulgue leyes que</w:t>
      </w:r>
      <w:r w:rsidR="00FA1375" w:rsidRPr="002720D0">
        <w:rPr>
          <w:lang w:val="es-ES_tradnl"/>
        </w:rPr>
        <w:t xml:space="preserve"> establezca</w:t>
      </w:r>
      <w:r w:rsidR="00B5226D" w:rsidRPr="002720D0">
        <w:rPr>
          <w:lang w:val="es-ES_tradnl"/>
        </w:rPr>
        <w:t>n</w:t>
      </w:r>
      <w:r w:rsidR="00FA1375" w:rsidRPr="002720D0">
        <w:rPr>
          <w:lang w:val="es-ES_tradnl"/>
        </w:rPr>
        <w:t xml:space="preserve"> un procedimiento efectivo </w:t>
      </w:r>
      <w:r w:rsidR="00B5226D" w:rsidRPr="002720D0">
        <w:rPr>
          <w:lang w:val="es-ES_tradnl"/>
        </w:rPr>
        <w:t>relativo a</w:t>
      </w:r>
      <w:r w:rsidR="00FA1375" w:rsidRPr="002720D0">
        <w:rPr>
          <w:lang w:val="es-ES_tradnl"/>
        </w:rPr>
        <w:t xml:space="preserve"> la injerencia en la vida pri</w:t>
      </w:r>
      <w:r w:rsidR="00262E28" w:rsidRPr="002720D0">
        <w:rPr>
          <w:lang w:val="es-ES_tradnl"/>
        </w:rPr>
        <w:t>vada de la persona, cuyo objet</w:t>
      </w:r>
      <w:r w:rsidR="00FA1375" w:rsidRPr="002720D0">
        <w:rPr>
          <w:lang w:val="es-ES_tradnl"/>
        </w:rPr>
        <w:t xml:space="preserve">o debería ser la salvaguardia de la intimidad individual. En cumplimiento de este requisito constitucional, la legislación de reciente promulgación </w:t>
      </w:r>
      <w:r w:rsidR="00B5226D" w:rsidRPr="002720D0">
        <w:rPr>
          <w:lang w:val="es-ES_tradnl"/>
        </w:rPr>
        <w:t xml:space="preserve">sobre la infancia </w:t>
      </w:r>
      <w:r w:rsidR="00262E28" w:rsidRPr="002720D0">
        <w:rPr>
          <w:lang w:val="es-ES_tradnl"/>
        </w:rPr>
        <w:t>entraña disposiciones por las que se</w:t>
      </w:r>
      <w:r w:rsidR="00FA1375" w:rsidRPr="002720D0">
        <w:rPr>
          <w:lang w:val="es-ES_tradnl"/>
        </w:rPr>
        <w:t xml:space="preserve"> prohíbe exponer la</w:t>
      </w:r>
      <w:r w:rsidR="00262E28" w:rsidRPr="002720D0">
        <w:rPr>
          <w:lang w:val="es-ES_tradnl"/>
        </w:rPr>
        <w:t>s</w:t>
      </w:r>
      <w:r w:rsidR="00FA1375" w:rsidRPr="002720D0">
        <w:rPr>
          <w:lang w:val="es-ES_tradnl"/>
        </w:rPr>
        <w:t xml:space="preserve"> identidad</w:t>
      </w:r>
      <w:r w:rsidR="00262E28" w:rsidRPr="002720D0">
        <w:rPr>
          <w:lang w:val="es-ES_tradnl"/>
        </w:rPr>
        <w:t>es</w:t>
      </w:r>
      <w:r w:rsidR="00FA1375" w:rsidRPr="002720D0">
        <w:rPr>
          <w:lang w:val="es-ES_tradnl"/>
        </w:rPr>
        <w:t xml:space="preserve"> de los niños víctimas de abusos o de los que estén en conflicto con la</w:t>
      </w:r>
      <w:r w:rsidR="00541C57" w:rsidRPr="002720D0">
        <w:rPr>
          <w:lang w:val="es-ES_tradnl"/>
        </w:rPr>
        <w:t xml:space="preserve"> ley; por ese medio, el Estado p</w:t>
      </w:r>
      <w:r w:rsidR="00FA1375" w:rsidRPr="002720D0">
        <w:rPr>
          <w:lang w:val="es-ES_tradnl"/>
        </w:rPr>
        <w:t xml:space="preserve">arte reconoce </w:t>
      </w:r>
      <w:r w:rsidR="00FA1375" w:rsidRPr="00B57F06">
        <w:rPr>
          <w:lang w:val="es-ES_tradnl"/>
        </w:rPr>
        <w:t xml:space="preserve">que las medidas adoptadas respecto de esos niños podrían </w:t>
      </w:r>
      <w:r w:rsidR="003D32F6" w:rsidRPr="00B57F06">
        <w:rPr>
          <w:lang w:val="es-ES_tradnl"/>
        </w:rPr>
        <w:t>dar lugar a traumas que</w:t>
      </w:r>
      <w:r w:rsidR="00262E28" w:rsidRPr="00B57F06">
        <w:rPr>
          <w:lang w:val="es-ES_tradnl"/>
        </w:rPr>
        <w:t>,</w:t>
      </w:r>
      <w:r w:rsidR="003D32F6" w:rsidRPr="00B57F06">
        <w:rPr>
          <w:lang w:val="es-ES_tradnl"/>
        </w:rPr>
        <w:t xml:space="preserve"> a su vez</w:t>
      </w:r>
      <w:r w:rsidR="00262E28" w:rsidRPr="00B57F06">
        <w:rPr>
          <w:lang w:val="es-ES_tradnl"/>
        </w:rPr>
        <w:t>,</w:t>
      </w:r>
      <w:r w:rsidR="003D32F6" w:rsidRPr="00B57F06">
        <w:rPr>
          <w:lang w:val="es-ES_tradnl"/>
        </w:rPr>
        <w:t xml:space="preserve"> podrían incidir en</w:t>
      </w:r>
      <w:r w:rsidR="00262E28" w:rsidRPr="00B57F06">
        <w:rPr>
          <w:lang w:val="es-ES_tradnl"/>
        </w:rPr>
        <w:t xml:space="preserve"> su futuro bienestar;</w:t>
      </w:r>
      <w:r w:rsidR="003D32F6" w:rsidRPr="00B57F06">
        <w:rPr>
          <w:lang w:val="es-ES_tradnl"/>
        </w:rPr>
        <w:t xml:space="preserve"> por ejemplo</w:t>
      </w:r>
      <w:r w:rsidR="00262E28" w:rsidRPr="00B57F06">
        <w:rPr>
          <w:lang w:val="es-ES_tradnl"/>
        </w:rPr>
        <w:t>,</w:t>
      </w:r>
      <w:r w:rsidR="003D32F6" w:rsidRPr="00B57F06">
        <w:rPr>
          <w:lang w:val="es-ES_tradnl"/>
        </w:rPr>
        <w:t xml:space="preserve"> menoscabando su confianza e</w:t>
      </w:r>
      <w:r w:rsidR="00262E28" w:rsidRPr="00B57F06">
        <w:rPr>
          <w:lang w:val="es-ES_tradnl"/>
        </w:rPr>
        <w:t>n sí mismos o</w:t>
      </w:r>
      <w:r w:rsidR="003D32F6" w:rsidRPr="00B57F06">
        <w:rPr>
          <w:lang w:val="es-ES_tradnl"/>
        </w:rPr>
        <w:t xml:space="preserve"> su autoestima.</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81.</w:t>
      </w:r>
      <w:r w:rsidRPr="002720D0">
        <w:rPr>
          <w:lang w:val="es-ES_tradnl"/>
        </w:rPr>
        <w:tab/>
      </w:r>
      <w:r w:rsidR="00CB237E" w:rsidRPr="002720D0">
        <w:rPr>
          <w:lang w:val="es-ES_tradnl"/>
        </w:rPr>
        <w:t xml:space="preserve">En particular, </w:t>
      </w:r>
      <w:r w:rsidR="0048307A" w:rsidRPr="002720D0">
        <w:rPr>
          <w:lang w:val="es-ES_tradnl"/>
        </w:rPr>
        <w:t>los artíc</w:t>
      </w:r>
      <w:r w:rsidR="00B5226D" w:rsidRPr="002720D0">
        <w:rPr>
          <w:lang w:val="es-ES_tradnl"/>
        </w:rPr>
        <w:t xml:space="preserve">ulos 33 y 48 de la Ley del </w:t>
      </w:r>
      <w:r w:rsidR="00834FB9" w:rsidRPr="002720D0">
        <w:rPr>
          <w:lang w:val="es-ES_tradnl"/>
        </w:rPr>
        <w:t xml:space="preserve">Niño </w:t>
      </w:r>
      <w:r w:rsidR="00B5226D" w:rsidRPr="002720D0">
        <w:rPr>
          <w:lang w:val="es-ES_tradnl"/>
        </w:rPr>
        <w:t>de Zanzíbar (2011)</w:t>
      </w:r>
      <w:r w:rsidR="0048307A" w:rsidRPr="002720D0">
        <w:rPr>
          <w:lang w:val="es-ES_tradnl"/>
        </w:rPr>
        <w:t xml:space="preserve"> y la sección 33 de la Ley de la </w:t>
      </w:r>
      <w:r w:rsidR="00834FB9" w:rsidRPr="002720D0">
        <w:rPr>
          <w:lang w:val="es-ES_tradnl"/>
        </w:rPr>
        <w:t xml:space="preserve">Infancia </w:t>
      </w:r>
      <w:r w:rsidR="00151021" w:rsidRPr="002720D0">
        <w:rPr>
          <w:lang w:val="es-ES_tradnl"/>
        </w:rPr>
        <w:t xml:space="preserve">(2009) </w:t>
      </w:r>
      <w:r w:rsidR="0048307A" w:rsidRPr="002720D0">
        <w:rPr>
          <w:lang w:val="es-ES_tradnl"/>
        </w:rPr>
        <w:t xml:space="preserve">prohíben la publicación de cualquier información relativa a </w:t>
      </w:r>
      <w:r w:rsidR="00B5226D" w:rsidRPr="002720D0">
        <w:rPr>
          <w:lang w:val="es-ES_tradnl"/>
        </w:rPr>
        <w:t xml:space="preserve">los </w:t>
      </w:r>
      <w:r w:rsidR="0048307A" w:rsidRPr="002720D0">
        <w:rPr>
          <w:lang w:val="es-ES_tradnl"/>
        </w:rPr>
        <w:t xml:space="preserve">niños acusados de haber cometido cualquier acto, o </w:t>
      </w:r>
      <w:r w:rsidR="00B5226D" w:rsidRPr="002720D0">
        <w:rPr>
          <w:lang w:val="es-ES_tradnl"/>
        </w:rPr>
        <w:t xml:space="preserve">que pudieran haber sido </w:t>
      </w:r>
      <w:r w:rsidR="0048307A" w:rsidRPr="002720D0">
        <w:rPr>
          <w:lang w:val="es-ES_tradnl"/>
        </w:rPr>
        <w:t>víctimas de él. Con expresiones similares, los apartados 2) de los artículos 33 de ambas leyes tipifican como delito la publicación de la información prohibida. El artículo 33 2)</w:t>
      </w:r>
      <w:r w:rsidR="00B5226D" w:rsidRPr="002720D0">
        <w:rPr>
          <w:lang w:val="es-ES_tradnl"/>
        </w:rPr>
        <w:t xml:space="preserve"> de la Ley del </w:t>
      </w:r>
      <w:r w:rsidR="00834FB9" w:rsidRPr="002720D0">
        <w:rPr>
          <w:lang w:val="es-ES_tradnl"/>
        </w:rPr>
        <w:t xml:space="preserve">Niño </w:t>
      </w:r>
      <w:r w:rsidR="0048307A" w:rsidRPr="002720D0">
        <w:rPr>
          <w:lang w:val="es-ES_tradnl"/>
        </w:rPr>
        <w:t>de Zanzíbar (2011), dispone que</w:t>
      </w:r>
      <w:r w:rsidR="00B2614F" w:rsidRPr="002720D0">
        <w:rPr>
          <w:lang w:val="es-ES_tradnl"/>
        </w:rPr>
        <w:t xml:space="preserve"> </w:t>
      </w:r>
      <w:r w:rsidR="001D2A53">
        <w:rPr>
          <w:lang w:val="es-ES_tradnl"/>
        </w:rPr>
        <w:t>"</w:t>
      </w:r>
      <w:r w:rsidR="00B2614F" w:rsidRPr="002720D0">
        <w:rPr>
          <w:lang w:val="es-ES_tradnl"/>
        </w:rPr>
        <w:t>cualquier persona que publique</w:t>
      </w:r>
      <w:r w:rsidR="0048307A" w:rsidRPr="002720D0">
        <w:rPr>
          <w:lang w:val="es-ES_tradnl"/>
        </w:rPr>
        <w:t xml:space="preserve"> información o fotografías en contravención de este artículo comete</w:t>
      </w:r>
      <w:r w:rsidR="00B2614F" w:rsidRPr="002720D0">
        <w:rPr>
          <w:lang w:val="es-ES_tradnl"/>
        </w:rPr>
        <w:t>rá</w:t>
      </w:r>
      <w:r w:rsidR="0048307A" w:rsidRPr="002720D0">
        <w:rPr>
          <w:lang w:val="es-ES_tradnl"/>
        </w:rPr>
        <w:t xml:space="preserve"> un delito, y podrá ser condenada, previa declaración de culpabilidad, a una multa de un mínimo de </w:t>
      </w:r>
      <w:r w:rsidR="00B2614F" w:rsidRPr="002720D0">
        <w:rPr>
          <w:lang w:val="es-ES_tradnl"/>
        </w:rPr>
        <w:t>500.000</w:t>
      </w:r>
      <w:r w:rsidR="0048307A" w:rsidRPr="002720D0">
        <w:rPr>
          <w:lang w:val="es-ES_tradnl"/>
        </w:rPr>
        <w:t xml:space="preserve"> chelines y un máximo de </w:t>
      </w:r>
      <w:r w:rsidR="00B2614F" w:rsidRPr="002720D0">
        <w:rPr>
          <w:lang w:val="es-ES_tradnl"/>
        </w:rPr>
        <w:t>3</w:t>
      </w:r>
      <w:r w:rsidR="0048307A" w:rsidRPr="002720D0">
        <w:rPr>
          <w:lang w:val="es-ES_tradnl"/>
        </w:rPr>
        <w:t xml:space="preserve"> millones de chelines, o a un mínimo de seis meses y un máximo de dos años de privación de liberta</w:t>
      </w:r>
      <w:r w:rsidR="00B5226D" w:rsidRPr="002720D0">
        <w:rPr>
          <w:lang w:val="es-ES_tradnl"/>
        </w:rPr>
        <w:t>d, o a ambas penas</w:t>
      </w:r>
      <w:r w:rsidR="001D2A53">
        <w:rPr>
          <w:lang w:val="es-ES_tradnl"/>
        </w:rPr>
        <w:t>"</w:t>
      </w:r>
      <w:r w:rsidR="0048307A" w:rsidRPr="002720D0">
        <w:rPr>
          <w:lang w:val="es-ES_tradnl"/>
        </w:rPr>
        <w:t>.</w:t>
      </w:r>
      <w:r w:rsidR="00151021" w:rsidRPr="002720D0">
        <w:rPr>
          <w:lang w:val="es-ES_tradnl"/>
        </w:rPr>
        <w:t xml:space="preserve"> </w:t>
      </w:r>
      <w:r w:rsidR="00B5226D" w:rsidRPr="002720D0">
        <w:rPr>
          <w:lang w:val="es-ES_tradnl"/>
        </w:rPr>
        <w:t xml:space="preserve">Asimismo, el artículo 33 2) de la Ley del </w:t>
      </w:r>
      <w:r w:rsidR="00834FB9" w:rsidRPr="002720D0">
        <w:rPr>
          <w:lang w:val="es-ES_tradnl"/>
        </w:rPr>
        <w:t xml:space="preserve">Niño </w:t>
      </w:r>
      <w:r w:rsidR="00B5226D" w:rsidRPr="002720D0">
        <w:rPr>
          <w:lang w:val="es-ES_tradnl"/>
        </w:rPr>
        <w:t>(2009) dispone que</w:t>
      </w:r>
      <w:r w:rsidR="00B2614F" w:rsidRPr="002720D0">
        <w:rPr>
          <w:lang w:val="es-ES_tradnl"/>
        </w:rPr>
        <w:t xml:space="preserve"> </w:t>
      </w:r>
      <w:r w:rsidR="001D2A53">
        <w:rPr>
          <w:lang w:val="es-ES_tradnl"/>
        </w:rPr>
        <w:t>"</w:t>
      </w:r>
      <w:r w:rsidR="00B2614F" w:rsidRPr="002720D0">
        <w:rPr>
          <w:lang w:val="es-ES_tradnl"/>
        </w:rPr>
        <w:t>cualquier persona que publique</w:t>
      </w:r>
      <w:r w:rsidR="00B5226D" w:rsidRPr="002720D0">
        <w:rPr>
          <w:lang w:val="es-ES_tradnl"/>
        </w:rPr>
        <w:t xml:space="preserve"> cualquier información o fotografía en contravención de este artículo comete</w:t>
      </w:r>
      <w:r w:rsidR="00B2614F" w:rsidRPr="002720D0">
        <w:rPr>
          <w:lang w:val="es-ES_tradnl"/>
        </w:rPr>
        <w:t>rá</w:t>
      </w:r>
      <w:r w:rsidR="00B5226D" w:rsidRPr="002720D0">
        <w:rPr>
          <w:lang w:val="es-ES_tradnl"/>
        </w:rPr>
        <w:t xml:space="preserve"> un delito, y podrá ser condenada a una multa de un mínimo de </w:t>
      </w:r>
      <w:r w:rsidR="00B2614F" w:rsidRPr="002720D0">
        <w:rPr>
          <w:lang w:val="es-ES_tradnl"/>
        </w:rPr>
        <w:t>2</w:t>
      </w:r>
      <w:r w:rsidR="00B5226D" w:rsidRPr="002720D0">
        <w:rPr>
          <w:lang w:val="es-ES_tradnl"/>
        </w:rPr>
        <w:t xml:space="preserve"> millones de chelines y un máximo de </w:t>
      </w:r>
      <w:r w:rsidR="00B2614F" w:rsidRPr="002720D0">
        <w:rPr>
          <w:lang w:val="es-ES_tradnl"/>
        </w:rPr>
        <w:t>15</w:t>
      </w:r>
      <w:r w:rsidR="00B5226D" w:rsidRPr="002720D0">
        <w:rPr>
          <w:lang w:val="es-ES_tradnl"/>
        </w:rPr>
        <w:t xml:space="preserve"> millones de chelines, o a un máximo de tres años de privación de li</w:t>
      </w:r>
      <w:r w:rsidR="003848A8" w:rsidRPr="002720D0">
        <w:rPr>
          <w:lang w:val="es-ES_tradnl"/>
        </w:rPr>
        <w:t>bertad, o a ambas penas</w:t>
      </w:r>
      <w:r w:rsidR="001D2A53">
        <w:rPr>
          <w:lang w:val="es-ES_tradnl"/>
        </w:rPr>
        <w:t>"</w:t>
      </w:r>
      <w:r w:rsidR="003848A8" w:rsidRPr="002720D0">
        <w:rPr>
          <w:lang w:val="es-ES_tradnl"/>
        </w:rPr>
        <w:t>.</w:t>
      </w:r>
    </w:p>
    <w:p w:rsidR="00151021" w:rsidRPr="002720D0" w:rsidRDefault="00846C77" w:rsidP="00586395">
      <w:pPr>
        <w:pStyle w:val="H1G"/>
        <w:outlineLvl w:val="0"/>
        <w:rPr>
          <w:lang w:val="es-ES_tradnl"/>
        </w:rPr>
      </w:pPr>
      <w:bookmarkStart w:id="24" w:name="_Toc313470860"/>
      <w:r w:rsidRPr="002720D0">
        <w:rPr>
          <w:lang w:val="es-ES_tradnl"/>
        </w:rPr>
        <w:tab/>
      </w:r>
      <w:r w:rsidR="00151021" w:rsidRPr="002720D0">
        <w:rPr>
          <w:lang w:val="es-ES_tradnl"/>
        </w:rPr>
        <w:t>4.6</w:t>
      </w:r>
      <w:r w:rsidRPr="002720D0">
        <w:rPr>
          <w:lang w:val="es-ES_tradnl"/>
        </w:rPr>
        <w:tab/>
      </w:r>
      <w:r w:rsidR="0052346B" w:rsidRPr="002720D0">
        <w:rPr>
          <w:lang w:val="es-ES_tradnl"/>
        </w:rPr>
        <w:t>Acceso a información procedente de diversas fuentes y pro</w:t>
      </w:r>
      <w:r w:rsidR="003848A8" w:rsidRPr="002720D0">
        <w:rPr>
          <w:lang w:val="es-ES_tradnl"/>
        </w:rPr>
        <w:t>tección contra todo material per</w:t>
      </w:r>
      <w:r w:rsidR="0052346B" w:rsidRPr="002720D0">
        <w:rPr>
          <w:lang w:val="es-ES_tradnl"/>
        </w:rPr>
        <w:t xml:space="preserve">judicial para su bienestar </w:t>
      </w:r>
      <w:bookmarkEnd w:id="24"/>
      <w:r w:rsidR="00151021" w:rsidRPr="002720D0">
        <w:rPr>
          <w:lang w:val="es-ES_tradnl"/>
        </w:rPr>
        <w:t>(</w:t>
      </w:r>
      <w:r w:rsidR="0016417F" w:rsidRPr="002720D0">
        <w:rPr>
          <w:lang w:val="es-ES_tradnl"/>
        </w:rPr>
        <w:t>a</w:t>
      </w:r>
      <w:r w:rsidR="003848A8" w:rsidRPr="002720D0">
        <w:rPr>
          <w:lang w:val="es-ES_tradnl"/>
        </w:rPr>
        <w:t>rt.</w:t>
      </w:r>
      <w:r w:rsidR="00151021" w:rsidRPr="002720D0">
        <w:rPr>
          <w:lang w:val="es-ES_tradnl"/>
        </w:rPr>
        <w:t xml:space="preserve"> 17)</w:t>
      </w:r>
    </w:p>
    <w:p w:rsidR="00151021" w:rsidRPr="002720D0" w:rsidRDefault="004F6364" w:rsidP="004F6364">
      <w:pPr>
        <w:pStyle w:val="SingleTxtG"/>
        <w:tabs>
          <w:tab w:val="left" w:pos="-360"/>
        </w:tabs>
        <w:rPr>
          <w:lang w:val="es-ES_tradnl"/>
        </w:rPr>
      </w:pPr>
      <w:r w:rsidRPr="002720D0">
        <w:rPr>
          <w:lang w:val="es-ES_tradnl"/>
        </w:rPr>
        <w:t>82.</w:t>
      </w:r>
      <w:r w:rsidRPr="002720D0">
        <w:rPr>
          <w:lang w:val="es-ES_tradnl"/>
        </w:rPr>
        <w:tab/>
      </w:r>
      <w:r w:rsidR="003848A8" w:rsidRPr="002720D0">
        <w:rPr>
          <w:lang w:val="es-ES_tradnl"/>
        </w:rPr>
        <w:t>El Estado p</w:t>
      </w:r>
      <w:r w:rsidR="0052346B" w:rsidRPr="002720D0">
        <w:rPr>
          <w:lang w:val="es-ES_tradnl"/>
        </w:rPr>
        <w:t>arte reconoce la importante función que desempeñan los medios de comunicación para contribuir a que los niños tengan acceso a información y material</w:t>
      </w:r>
      <w:r w:rsidR="003848A8" w:rsidRPr="002720D0">
        <w:rPr>
          <w:lang w:val="es-ES_tradnl"/>
        </w:rPr>
        <w:t>es</w:t>
      </w:r>
      <w:r w:rsidR="0052346B" w:rsidRPr="002720D0">
        <w:rPr>
          <w:lang w:val="es-ES_tradnl"/>
        </w:rPr>
        <w:t xml:space="preserve"> procedentes de diversas fuentes nacionales e internacionales, en especial la información y el material que tengan por finalidad promover el bienestar social, moral y espiritual del niño y su salud física y mental, con arreglo al artículo 17 de la Convención. Al llevar a la real</w:t>
      </w:r>
      <w:r w:rsidR="00252659" w:rsidRPr="002720D0">
        <w:rPr>
          <w:lang w:val="es-ES_tradnl"/>
        </w:rPr>
        <w:t>idad este principio, el Estado p</w:t>
      </w:r>
      <w:r w:rsidR="0052346B" w:rsidRPr="002720D0">
        <w:rPr>
          <w:lang w:val="es-ES_tradnl"/>
        </w:rPr>
        <w:t xml:space="preserve">arte ha </w:t>
      </w:r>
      <w:r w:rsidR="00D10DC9" w:rsidRPr="002720D0">
        <w:rPr>
          <w:lang w:val="es-ES_tradnl"/>
        </w:rPr>
        <w:t xml:space="preserve">institucionalizado el mecanismo que permite a los niños obtener información por diversas vías, una de las cuales es la elaboración de un proyecto que permite a los maestros y los niños </w:t>
      </w:r>
      <w:r w:rsidR="004E5B2C" w:rsidRPr="002720D0">
        <w:rPr>
          <w:lang w:val="es-ES_tradnl"/>
        </w:rPr>
        <w:t>leer</w:t>
      </w:r>
      <w:r w:rsidR="00D10DC9" w:rsidRPr="002720D0">
        <w:rPr>
          <w:lang w:val="es-ES_tradnl"/>
        </w:rPr>
        <w:t xml:space="preserve"> periódicos en las escuelas e intercambiar opiniones sobre los temas de interés. El Gobierno también ha iniciado un proyecto que presta servicios relativos al fomento del acceso de los niños a la información para los alumnos de las escuelas primarias en 15 de 135 distritos, mediante la apertura de </w:t>
      </w:r>
      <w:r w:rsidR="004E5B2C" w:rsidRPr="002720D0">
        <w:rPr>
          <w:lang w:val="es-ES_tradnl"/>
        </w:rPr>
        <w:t>bibliotecas</w:t>
      </w:r>
      <w:r w:rsidR="00D10DC9" w:rsidRPr="002720D0">
        <w:rPr>
          <w:lang w:val="es-ES_tradnl"/>
        </w:rPr>
        <w:t xml:space="preserve"> y la provisión de varios libros que permiten a los alumnos ampliar sus horizontes </w:t>
      </w:r>
      <w:r w:rsidR="00D10DC9" w:rsidRPr="00B57F06">
        <w:rPr>
          <w:lang w:val="es-ES_tradnl"/>
        </w:rPr>
        <w:t>intelectuales y obtener conocimientos. En colaboración con partes interesadas, entre ellas Plan y SNV</w:t>
      </w:r>
      <w:r w:rsidR="00A271A8" w:rsidRPr="00B57F06">
        <w:rPr>
          <w:lang w:val="es-ES_tradnl"/>
        </w:rPr>
        <w:t>,</w:t>
      </w:r>
      <w:r w:rsidR="00A271A8" w:rsidRPr="002720D0">
        <w:rPr>
          <w:lang w:val="es-ES_tradnl"/>
        </w:rPr>
        <w:t xml:space="preserve"> el Estado p</w:t>
      </w:r>
      <w:r w:rsidR="00D10DC9" w:rsidRPr="002720D0">
        <w:rPr>
          <w:lang w:val="es-ES_tradnl"/>
        </w:rPr>
        <w:t xml:space="preserve">arte ha emprendido actividades en algunos distritos, entre ellos la región de </w:t>
      </w:r>
      <w:r w:rsidR="00151021" w:rsidRPr="002720D0">
        <w:rPr>
          <w:lang w:val="es-ES_tradnl"/>
        </w:rPr>
        <w:t xml:space="preserve">Mwanza </w:t>
      </w:r>
      <w:r w:rsidR="00D10DC9" w:rsidRPr="002720D0">
        <w:rPr>
          <w:lang w:val="es-ES_tradnl"/>
        </w:rPr>
        <w:t>en los distritos</w:t>
      </w:r>
      <w:r w:rsidR="00151021" w:rsidRPr="002720D0">
        <w:rPr>
          <w:lang w:val="es-ES_tradnl"/>
        </w:rPr>
        <w:t xml:space="preserve"> Nyamagana </w:t>
      </w:r>
      <w:r w:rsidR="00D10DC9" w:rsidRPr="002720D0">
        <w:rPr>
          <w:lang w:val="es-ES_tradnl"/>
        </w:rPr>
        <w:t>e</w:t>
      </w:r>
      <w:r w:rsidR="00151021" w:rsidRPr="002720D0">
        <w:rPr>
          <w:lang w:val="es-ES_tradnl"/>
        </w:rPr>
        <w:t xml:space="preserve"> Ilemela</w:t>
      </w:r>
      <w:r w:rsidR="00FC1895" w:rsidRPr="002720D0">
        <w:rPr>
          <w:lang w:val="es-ES_tradnl"/>
        </w:rPr>
        <w:t>, para permitir que</w:t>
      </w:r>
      <w:r w:rsidR="00D10DC9" w:rsidRPr="002720D0">
        <w:rPr>
          <w:lang w:val="es-ES_tradnl"/>
        </w:rPr>
        <w:t xml:space="preserve"> los alumnos de las escuelas </w:t>
      </w:r>
      <w:r w:rsidR="00FC1895" w:rsidRPr="002720D0">
        <w:rPr>
          <w:lang w:val="es-ES_tradnl"/>
        </w:rPr>
        <w:t xml:space="preserve">tengan acceso a los periódicos y </w:t>
      </w:r>
      <w:r w:rsidR="00A271A8" w:rsidRPr="002720D0">
        <w:rPr>
          <w:lang w:val="es-ES_tradnl"/>
        </w:rPr>
        <w:t>puedan intercambiar opiniones sobre</w:t>
      </w:r>
      <w:r w:rsidR="00FC1895" w:rsidRPr="002720D0">
        <w:rPr>
          <w:lang w:val="es-ES_tradnl"/>
        </w:rPr>
        <w:t xml:space="preserve"> los asuntos que en ellos se suscitan.</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83.</w:t>
      </w:r>
      <w:r w:rsidRPr="002720D0">
        <w:rPr>
          <w:lang w:val="es-ES_tradnl"/>
        </w:rPr>
        <w:tab/>
      </w:r>
      <w:r w:rsidR="00FC1895" w:rsidRPr="002720D0">
        <w:rPr>
          <w:lang w:val="es-ES_tradnl"/>
        </w:rPr>
        <w:t xml:space="preserve">En cumplimiento de lo dispuesto en el artículo 17 </w:t>
      </w:r>
      <w:r w:rsidR="00151021" w:rsidRPr="002720D0">
        <w:rPr>
          <w:lang w:val="es-ES_tradnl"/>
        </w:rPr>
        <w:t xml:space="preserve">e) </w:t>
      </w:r>
      <w:r w:rsidR="00A271A8" w:rsidRPr="002720D0">
        <w:rPr>
          <w:lang w:val="es-ES_tradnl"/>
        </w:rPr>
        <w:t>de la Convención, el Estado p</w:t>
      </w:r>
      <w:r w:rsidR="00A973C9" w:rsidRPr="002720D0">
        <w:rPr>
          <w:lang w:val="es-ES_tradnl"/>
        </w:rPr>
        <w:t xml:space="preserve">arte, </w:t>
      </w:r>
      <w:r w:rsidR="0007162E" w:rsidRPr="002720D0">
        <w:rPr>
          <w:lang w:val="es-ES_tradnl"/>
        </w:rPr>
        <w:t xml:space="preserve">mediante las disposiciones del artículo 110 </w:t>
      </w:r>
      <w:r w:rsidR="00151021" w:rsidRPr="002720D0">
        <w:rPr>
          <w:lang w:val="es-ES_tradnl"/>
        </w:rPr>
        <w:t xml:space="preserve">2) </w:t>
      </w:r>
      <w:r w:rsidR="00A271A8" w:rsidRPr="002720D0">
        <w:rPr>
          <w:lang w:val="es-ES_tradnl"/>
        </w:rPr>
        <w:t xml:space="preserve">de la Ley del </w:t>
      </w:r>
      <w:r w:rsidR="00834FB9" w:rsidRPr="002720D0">
        <w:rPr>
          <w:lang w:val="es-ES_tradnl"/>
        </w:rPr>
        <w:t xml:space="preserve">Niño </w:t>
      </w:r>
      <w:r w:rsidR="0007162E" w:rsidRPr="002720D0">
        <w:rPr>
          <w:lang w:val="es-ES_tradnl"/>
        </w:rPr>
        <w:t xml:space="preserve">de Zanzíbar </w:t>
      </w:r>
      <w:r w:rsidR="00151021" w:rsidRPr="002720D0">
        <w:rPr>
          <w:lang w:val="es-ES_tradnl"/>
        </w:rPr>
        <w:t xml:space="preserve">(2011), </w:t>
      </w:r>
      <w:r w:rsidR="0007162E" w:rsidRPr="002720D0">
        <w:rPr>
          <w:lang w:val="es-ES_tradnl"/>
        </w:rPr>
        <w:t>ha protegido a los niños del acceso a información y material pornográfico pe</w:t>
      </w:r>
      <w:r w:rsidR="00252659" w:rsidRPr="002720D0">
        <w:rPr>
          <w:lang w:val="es-ES_tradnl"/>
        </w:rPr>
        <w:t>rjudiciales o peligrosos para su</w:t>
      </w:r>
      <w:r w:rsidR="0007162E" w:rsidRPr="002720D0">
        <w:rPr>
          <w:lang w:val="es-ES_tradnl"/>
        </w:rPr>
        <w:t xml:space="preserve"> bienestar</w:t>
      </w:r>
      <w:r w:rsidR="00252659" w:rsidRPr="002720D0">
        <w:rPr>
          <w:lang w:val="es-ES_tradnl"/>
        </w:rPr>
        <w:t>, entre otras cosas</w:t>
      </w:r>
      <w:r w:rsidR="0007162E" w:rsidRPr="002720D0">
        <w:rPr>
          <w:lang w:val="es-ES_tradnl"/>
        </w:rPr>
        <w:t xml:space="preserve">. Esta ley tipifica como delito lo siguiente: a) poseer pornografía infantil para cualquier fin, o acceder a ella a través de Internet o de cualquier otra tecnología de la comunicación; o b) producir, distribuir, diseminar </w:t>
      </w:r>
      <w:r w:rsidR="00AC273B" w:rsidRPr="00AC273B">
        <w:rPr>
          <w:lang w:val="es-ES"/>
        </w:rPr>
        <w:t>—</w:t>
      </w:r>
      <w:r w:rsidR="00AC273B">
        <w:rPr>
          <w:lang w:val="es-ES_tradnl"/>
        </w:rPr>
        <w:t>incluso mediante Internet</w:t>
      </w:r>
      <w:r w:rsidR="00AC273B" w:rsidRPr="00AC273B">
        <w:rPr>
          <w:lang w:val="es-ES"/>
        </w:rPr>
        <w:t>—</w:t>
      </w:r>
      <w:r w:rsidR="0007162E" w:rsidRPr="002720D0">
        <w:rPr>
          <w:lang w:val="es-ES_tradnl"/>
        </w:rPr>
        <w:t>, importar, exportar, ofrecer, anunciar o vender pornografía infantil. En virtud del párrafo 5) del artíc</w:t>
      </w:r>
      <w:r w:rsidR="005833B5" w:rsidRPr="002720D0">
        <w:rPr>
          <w:lang w:val="es-ES_tradnl"/>
        </w:rPr>
        <w:t>u</w:t>
      </w:r>
      <w:r w:rsidR="00A271A8" w:rsidRPr="002720D0">
        <w:rPr>
          <w:lang w:val="es-ES_tradnl"/>
        </w:rPr>
        <w:t xml:space="preserve">lo 110 de la Ley del </w:t>
      </w:r>
      <w:r w:rsidR="00834FB9" w:rsidRPr="002720D0">
        <w:rPr>
          <w:lang w:val="es-ES_tradnl"/>
        </w:rPr>
        <w:t xml:space="preserve">Niño </w:t>
      </w:r>
      <w:r w:rsidR="0007162E" w:rsidRPr="002720D0">
        <w:rPr>
          <w:lang w:val="es-ES_tradnl"/>
        </w:rPr>
        <w:t xml:space="preserve">de Zanzíbar, cualquier persona que contravenga las disposiciones de este artículo </w:t>
      </w:r>
      <w:r w:rsidR="001D2A53">
        <w:rPr>
          <w:lang w:val="es-ES_tradnl"/>
        </w:rPr>
        <w:t>"</w:t>
      </w:r>
      <w:r w:rsidR="0007162E" w:rsidRPr="002720D0">
        <w:rPr>
          <w:lang w:val="es-ES_tradnl"/>
        </w:rPr>
        <w:t>comete un delito, y ser</w:t>
      </w:r>
      <w:r w:rsidR="00252659" w:rsidRPr="002720D0">
        <w:rPr>
          <w:lang w:val="es-ES_tradnl"/>
        </w:rPr>
        <w:t>á</w:t>
      </w:r>
      <w:r w:rsidR="0007162E" w:rsidRPr="002720D0">
        <w:rPr>
          <w:lang w:val="es-ES_tradnl"/>
        </w:rPr>
        <w:t xml:space="preserve"> condenada, previa declaración de culpabilidad, a una multa de un mínimo de </w:t>
      </w:r>
      <w:r w:rsidR="00252659" w:rsidRPr="002720D0">
        <w:rPr>
          <w:lang w:val="es-ES_tradnl"/>
        </w:rPr>
        <w:t>5</w:t>
      </w:r>
      <w:r w:rsidR="0007162E" w:rsidRPr="002720D0">
        <w:rPr>
          <w:lang w:val="es-ES_tradnl"/>
        </w:rPr>
        <w:t xml:space="preserve"> millones de chelines y un máximo de </w:t>
      </w:r>
      <w:r w:rsidR="00252659" w:rsidRPr="002720D0">
        <w:rPr>
          <w:lang w:val="es-ES_tradnl"/>
        </w:rPr>
        <w:t>15</w:t>
      </w:r>
      <w:r w:rsidR="0007162E" w:rsidRPr="002720D0">
        <w:rPr>
          <w:lang w:val="es-ES_tradnl"/>
        </w:rPr>
        <w:t xml:space="preserve"> millones de chelines, o a un mínimo de cinco años y un máximo de diez años de privación de libertad, o </w:t>
      </w:r>
      <w:r w:rsidR="00A271A8" w:rsidRPr="002720D0">
        <w:rPr>
          <w:lang w:val="es-ES_tradnl"/>
        </w:rPr>
        <w:t>a ambas penas</w:t>
      </w:r>
      <w:r w:rsidR="001D2A53">
        <w:rPr>
          <w:lang w:val="es-ES_tradnl"/>
        </w:rPr>
        <w:t>"</w:t>
      </w:r>
      <w:r w:rsidR="0007162E"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84.</w:t>
      </w:r>
      <w:r w:rsidRPr="002720D0">
        <w:rPr>
          <w:lang w:val="es-ES_tradnl"/>
        </w:rPr>
        <w:tab/>
      </w:r>
      <w:r w:rsidR="00150AD7" w:rsidRPr="002720D0">
        <w:rPr>
          <w:lang w:val="es-ES_tradnl"/>
        </w:rPr>
        <w:t xml:space="preserve">En aras de </w:t>
      </w:r>
      <w:r w:rsidR="00EA17D5" w:rsidRPr="002720D0">
        <w:rPr>
          <w:lang w:val="es-ES_tradnl"/>
        </w:rPr>
        <w:t>la aplicación efectiva de</w:t>
      </w:r>
      <w:r w:rsidR="00150AD7" w:rsidRPr="002720D0">
        <w:rPr>
          <w:lang w:val="es-ES_tradnl"/>
        </w:rPr>
        <w:t xml:space="preserve"> las disposiciones del artículo 17 de la Convención</w:t>
      </w:r>
      <w:r w:rsidR="00A271A8" w:rsidRPr="002720D0">
        <w:rPr>
          <w:lang w:val="es-ES_tradnl"/>
        </w:rPr>
        <w:t>, el Estado p</w:t>
      </w:r>
      <w:r w:rsidR="00EA17D5" w:rsidRPr="002720D0">
        <w:rPr>
          <w:lang w:val="es-ES_tradnl"/>
        </w:rPr>
        <w:t xml:space="preserve">arte se ha asegurado, por conducto de los ministerios responsables de la comunicación (tanto en Zanzíbar como en Tanzanía continental), de que todos los proveedores de servicios de Internet, comprendidos los cibercafés, </w:t>
      </w:r>
      <w:r w:rsidR="00A271A8" w:rsidRPr="002720D0">
        <w:rPr>
          <w:lang w:val="es-ES_tradnl"/>
        </w:rPr>
        <w:t>tengan que</w:t>
      </w:r>
      <w:r w:rsidR="00EA17D5" w:rsidRPr="002720D0">
        <w:rPr>
          <w:lang w:val="es-ES_tradnl"/>
        </w:rPr>
        <w:t xml:space="preserve"> cumplir con los requisitos y las directrices emitidas por los comités responsables de la comunicación. Entre otras cosas, las directrices </w:t>
      </w:r>
      <w:r w:rsidR="004E166B" w:rsidRPr="002720D0">
        <w:rPr>
          <w:lang w:val="es-ES_tradnl"/>
        </w:rPr>
        <w:t xml:space="preserve">no permiten que los niños tengan acceso a material pornográfico. Asimismo, el Ministerio de Información, Juventud y Deportes, en Tanzanía continental, y </w:t>
      </w:r>
      <w:r w:rsidR="008B312A" w:rsidRPr="002720D0">
        <w:rPr>
          <w:lang w:val="es-ES_tradnl"/>
        </w:rPr>
        <w:t xml:space="preserve">el Ministerio de Información, Cultura, Turismo y Deportes, en Zanzíbar, han </w:t>
      </w:r>
      <w:r w:rsidR="008B312A" w:rsidRPr="00B57F06">
        <w:rPr>
          <w:lang w:val="es-ES_tradnl"/>
        </w:rPr>
        <w:t>establecido órganos destinados</w:t>
      </w:r>
      <w:r w:rsidR="008B312A" w:rsidRPr="002720D0">
        <w:rPr>
          <w:lang w:val="es-ES_tradnl"/>
        </w:rPr>
        <w:t xml:space="preserve"> a proteger a los niños de las formas de cultura y la información que son perju</w:t>
      </w:r>
      <w:r w:rsidR="00BD01A4" w:rsidRPr="002720D0">
        <w:rPr>
          <w:lang w:val="es-ES_tradnl"/>
        </w:rPr>
        <w:t>diciales para ellos. El Estado p</w:t>
      </w:r>
      <w:r w:rsidR="008B312A" w:rsidRPr="002720D0">
        <w:rPr>
          <w:lang w:val="es-ES_tradnl"/>
        </w:rPr>
        <w:t xml:space="preserve">arte también ha creado una Junta de Censura en Zanzíbar, con el mandato de editar </w:t>
      </w:r>
      <w:r w:rsidR="00C15733" w:rsidRPr="002720D0">
        <w:rPr>
          <w:lang w:val="es-ES_tradnl"/>
        </w:rPr>
        <w:t>las películas cinematográficas importadas al país</w:t>
      </w:r>
      <w:r w:rsidR="00BD01A4" w:rsidRPr="002720D0">
        <w:rPr>
          <w:lang w:val="es-ES_tradnl"/>
        </w:rPr>
        <w:t xml:space="preserve"> y emitir comentarios al respecto</w:t>
      </w:r>
      <w:r w:rsidR="00C15733" w:rsidRPr="002720D0">
        <w:rPr>
          <w:lang w:val="es-ES_tradnl"/>
        </w:rPr>
        <w:t>. La Junta también está facultada para evaluar cualquier obra de arte</w:t>
      </w:r>
      <w:r w:rsidR="00BD01A4" w:rsidRPr="002720D0">
        <w:rPr>
          <w:lang w:val="es-ES_tradnl"/>
        </w:rPr>
        <w:t xml:space="preserve">, ya sea en forma </w:t>
      </w:r>
      <w:r w:rsidR="00C15733" w:rsidRPr="002720D0">
        <w:rPr>
          <w:lang w:val="es-ES_tradnl"/>
        </w:rPr>
        <w:t>de poema o de composición musical</w:t>
      </w:r>
      <w:r w:rsidR="00BD01A4" w:rsidRPr="002720D0">
        <w:rPr>
          <w:lang w:val="es-ES_tradnl"/>
        </w:rPr>
        <w:t>,</w:t>
      </w:r>
      <w:r w:rsidR="00C15733" w:rsidRPr="002720D0">
        <w:rPr>
          <w:lang w:val="es-ES_tradnl"/>
        </w:rPr>
        <w:t xml:space="preserve"> antes de su divulgación</w:t>
      </w:r>
      <w:r w:rsidR="00BD01A4" w:rsidRPr="002720D0">
        <w:rPr>
          <w:lang w:val="es-ES_tradnl"/>
        </w:rPr>
        <w:t>,</w:t>
      </w:r>
      <w:r w:rsidR="00C15733" w:rsidRPr="002720D0">
        <w:rPr>
          <w:lang w:val="es-ES_tradnl"/>
        </w:rPr>
        <w:t xml:space="preserve"> con miras a prohibir la distribución</w:t>
      </w:r>
      <w:r w:rsidR="00BD01A4" w:rsidRPr="002720D0">
        <w:rPr>
          <w:lang w:val="es-ES_tradnl"/>
        </w:rPr>
        <w:t xml:space="preserve"> de material artístico dañino para el público, especialmente e</w:t>
      </w:r>
      <w:r w:rsidR="00C15733" w:rsidRPr="002720D0">
        <w:rPr>
          <w:lang w:val="es-ES_tradnl"/>
        </w:rPr>
        <w:t xml:space="preserve">l público infantil. </w:t>
      </w:r>
    </w:p>
    <w:p w:rsidR="00151021" w:rsidRPr="002720D0" w:rsidRDefault="00323974" w:rsidP="00586395">
      <w:pPr>
        <w:pStyle w:val="H1G"/>
        <w:outlineLvl w:val="0"/>
        <w:rPr>
          <w:lang w:val="es-ES_tradnl"/>
        </w:rPr>
      </w:pPr>
      <w:bookmarkStart w:id="25" w:name="_Toc313470861"/>
      <w:r w:rsidRPr="002720D0">
        <w:rPr>
          <w:lang w:val="es-ES_tradnl"/>
        </w:rPr>
        <w:tab/>
      </w:r>
      <w:r w:rsidR="00A924BC" w:rsidRPr="002720D0">
        <w:rPr>
          <w:lang w:val="es-ES_tradnl"/>
        </w:rPr>
        <w:t>4</w:t>
      </w:r>
      <w:r w:rsidR="00151021" w:rsidRPr="002720D0">
        <w:rPr>
          <w:lang w:val="es-ES_tradnl"/>
        </w:rPr>
        <w:t>.7</w:t>
      </w:r>
      <w:r w:rsidRPr="002720D0">
        <w:rPr>
          <w:lang w:val="es-ES_tradnl"/>
        </w:rPr>
        <w:tab/>
      </w:r>
      <w:r w:rsidR="00151021" w:rsidRPr="00B57F06">
        <w:rPr>
          <w:lang w:val="es-ES_tradnl"/>
        </w:rPr>
        <w:t>C</w:t>
      </w:r>
      <w:bookmarkEnd w:id="25"/>
      <w:r w:rsidR="00BE7728" w:rsidRPr="00B57F06">
        <w:rPr>
          <w:lang w:val="es-ES_tradnl"/>
        </w:rPr>
        <w:t>astigo físico</w:t>
      </w:r>
    </w:p>
    <w:p w:rsidR="00151021" w:rsidRPr="002720D0" w:rsidRDefault="004F6364" w:rsidP="004F6364">
      <w:pPr>
        <w:pStyle w:val="SingleTxtG"/>
        <w:tabs>
          <w:tab w:val="left" w:pos="-360"/>
        </w:tabs>
        <w:rPr>
          <w:lang w:val="es-ES_tradnl"/>
        </w:rPr>
      </w:pPr>
      <w:r w:rsidRPr="002720D0">
        <w:rPr>
          <w:lang w:val="es-ES_tradnl"/>
        </w:rPr>
        <w:t>85.</w:t>
      </w:r>
      <w:r w:rsidRPr="002720D0">
        <w:rPr>
          <w:lang w:val="es-ES_tradnl"/>
        </w:rPr>
        <w:tab/>
      </w:r>
      <w:r w:rsidR="00151021" w:rsidRPr="002720D0">
        <w:rPr>
          <w:lang w:val="es-ES_tradnl"/>
        </w:rPr>
        <w:t>T</w:t>
      </w:r>
      <w:r w:rsidR="00C15733" w:rsidRPr="002720D0">
        <w:rPr>
          <w:lang w:val="es-ES_tradnl"/>
        </w:rPr>
        <w:t xml:space="preserve">omando en consideración su Observación general Nº 1 sobre los propósitos de la educación </w:t>
      </w:r>
      <w:r w:rsidR="00151021" w:rsidRPr="002720D0">
        <w:rPr>
          <w:lang w:val="es-ES_tradnl"/>
        </w:rPr>
        <w:t xml:space="preserve">(CRC/GC/2001/1) </w:t>
      </w:r>
      <w:r w:rsidR="00C15733" w:rsidRPr="002720D0">
        <w:rPr>
          <w:lang w:val="es-ES_tradnl"/>
        </w:rPr>
        <w:t>y la Observación general Nº 8 sobre el derecho del niño a protección contra el castigo físico y otras formas crueles o degradantes de castigo</w:t>
      </w:r>
      <w:r w:rsidR="00151021" w:rsidRPr="002720D0">
        <w:rPr>
          <w:lang w:val="es-ES_tradnl"/>
        </w:rPr>
        <w:t xml:space="preserve"> (CRC/GC/2006/8), </w:t>
      </w:r>
      <w:r w:rsidR="00BD01A4" w:rsidRPr="002720D0">
        <w:rPr>
          <w:lang w:val="es-ES_tradnl"/>
        </w:rPr>
        <w:t>el Comité exhortó al Estado p</w:t>
      </w:r>
      <w:r w:rsidR="00C15733" w:rsidRPr="002720D0">
        <w:rPr>
          <w:lang w:val="es-ES_tradnl"/>
        </w:rPr>
        <w:t xml:space="preserve">arte a: </w:t>
      </w:r>
    </w:p>
    <w:p w:rsidR="00151021" w:rsidRPr="002720D0" w:rsidRDefault="004F6364" w:rsidP="004F6364">
      <w:pPr>
        <w:pStyle w:val="SingleTxtG"/>
        <w:rPr>
          <w:lang w:val="es-ES_tradnl"/>
        </w:rPr>
      </w:pPr>
      <w:r>
        <w:rPr>
          <w:lang w:val="es-ES_tradnl"/>
        </w:rPr>
        <w:tab/>
      </w:r>
      <w:r w:rsidR="00151021" w:rsidRPr="002720D0">
        <w:rPr>
          <w:lang w:val="es-ES_tradnl"/>
        </w:rPr>
        <w:t>a)</w:t>
      </w:r>
      <w:r w:rsidR="00151021" w:rsidRPr="002720D0">
        <w:rPr>
          <w:lang w:val="es-ES_tradnl"/>
        </w:rPr>
        <w:tab/>
      </w:r>
      <w:r w:rsidR="00C15733" w:rsidRPr="002720D0">
        <w:rPr>
          <w:lang w:val="es-ES_tradnl"/>
        </w:rPr>
        <w:t>Prohibir explícitamente, con carácter prioritario, todas las formas de castigo físico en la familia, las escuelas, el sistema penal y otras situaciones institucionales u otros sistemas de tutela;</w:t>
      </w:r>
    </w:p>
    <w:p w:rsidR="00151021" w:rsidRPr="005D0EA8" w:rsidRDefault="004F6364" w:rsidP="004F6364">
      <w:pPr>
        <w:pStyle w:val="SingleTxtG"/>
        <w:rPr>
          <w:lang w:val="es-ES_tradnl"/>
        </w:rPr>
      </w:pPr>
      <w:r>
        <w:rPr>
          <w:lang w:val="es-ES_tradnl"/>
        </w:rPr>
        <w:tab/>
      </w:r>
      <w:r w:rsidR="00151021" w:rsidRPr="002720D0">
        <w:rPr>
          <w:lang w:val="es-ES_tradnl"/>
        </w:rPr>
        <w:t>b)</w:t>
      </w:r>
      <w:r w:rsidR="00151021" w:rsidRPr="002720D0">
        <w:rPr>
          <w:lang w:val="es-ES_tradnl"/>
        </w:rPr>
        <w:tab/>
      </w:r>
      <w:r w:rsidR="00C15733" w:rsidRPr="002720D0">
        <w:rPr>
          <w:lang w:val="es-ES_tradnl"/>
        </w:rPr>
        <w:t xml:space="preserve">Sensibilizar y educar a los padres de familia, los tutores y los profesionales que trabajan con niños o en beneficio de ellos por medio de campañas públicas en torno a las consecuencias perjudiciales del castigo físico; </w:t>
      </w:r>
      <w:r w:rsidR="00C15733" w:rsidRPr="005D0EA8">
        <w:rPr>
          <w:lang w:val="es-ES_tradnl"/>
        </w:rPr>
        <w:t>y</w:t>
      </w:r>
    </w:p>
    <w:p w:rsidR="00C15733" w:rsidRPr="002720D0" w:rsidRDefault="004F6364" w:rsidP="004F6364">
      <w:pPr>
        <w:pStyle w:val="SingleTxtG"/>
        <w:rPr>
          <w:lang w:val="es-ES_tradnl"/>
        </w:rPr>
      </w:pPr>
      <w:r>
        <w:rPr>
          <w:lang w:val="es-ES_tradnl"/>
        </w:rPr>
        <w:tab/>
      </w:r>
      <w:r w:rsidR="00151021" w:rsidRPr="002720D0">
        <w:rPr>
          <w:lang w:val="es-ES_tradnl"/>
        </w:rPr>
        <w:t>c)</w:t>
      </w:r>
      <w:r w:rsidR="00151021" w:rsidRPr="002720D0">
        <w:rPr>
          <w:lang w:val="es-ES_tradnl"/>
        </w:rPr>
        <w:tab/>
      </w:r>
      <w:r w:rsidR="00C15733" w:rsidRPr="002720D0">
        <w:rPr>
          <w:lang w:val="es-ES_tradnl"/>
        </w:rPr>
        <w:t>Fomentar formas positivas de disciplinar, sin violencia, en lugar del castigo físico.</w:t>
      </w:r>
    </w:p>
    <w:p w:rsidR="00151021" w:rsidRPr="002720D0" w:rsidRDefault="004F6364" w:rsidP="004F6364">
      <w:pPr>
        <w:pStyle w:val="SingleTxtG"/>
        <w:tabs>
          <w:tab w:val="left" w:pos="-360"/>
        </w:tabs>
        <w:rPr>
          <w:lang w:val="es-ES_tradnl"/>
        </w:rPr>
      </w:pPr>
      <w:r w:rsidRPr="002720D0">
        <w:rPr>
          <w:lang w:val="es-ES_tradnl"/>
        </w:rPr>
        <w:t>86.</w:t>
      </w:r>
      <w:r w:rsidRPr="002720D0">
        <w:rPr>
          <w:lang w:val="es-ES_tradnl"/>
        </w:rPr>
        <w:tab/>
      </w:r>
      <w:r w:rsidR="00BD01A4" w:rsidRPr="002720D0">
        <w:rPr>
          <w:lang w:val="es-ES_tradnl"/>
        </w:rPr>
        <w:t>El Estado p</w:t>
      </w:r>
      <w:r w:rsidR="00BE7728" w:rsidRPr="002720D0">
        <w:rPr>
          <w:lang w:val="es-ES_tradnl"/>
        </w:rPr>
        <w:t xml:space="preserve">arte reconoce el derecho </w:t>
      </w:r>
      <w:r w:rsidR="000E1A60" w:rsidRPr="002720D0">
        <w:rPr>
          <w:lang w:val="es-ES_tradnl"/>
        </w:rPr>
        <w:t xml:space="preserve">a la dignidad </w:t>
      </w:r>
      <w:r w:rsidR="00BE7728" w:rsidRPr="002720D0">
        <w:rPr>
          <w:lang w:val="es-ES_tradnl"/>
        </w:rPr>
        <w:t xml:space="preserve">de la persona, </w:t>
      </w:r>
      <w:r w:rsidR="000E1A60" w:rsidRPr="002720D0">
        <w:rPr>
          <w:lang w:val="es-ES_tradnl"/>
        </w:rPr>
        <w:t>y lo</w:t>
      </w:r>
      <w:r w:rsidR="00BE7728" w:rsidRPr="002720D0">
        <w:rPr>
          <w:lang w:val="es-ES_tradnl"/>
        </w:rPr>
        <w:t xml:space="preserve"> ha consagrado en la Constitución</w:t>
      </w:r>
      <w:r w:rsidR="00151021" w:rsidRPr="002720D0">
        <w:rPr>
          <w:rStyle w:val="FootnoteReference"/>
          <w:lang w:val="es-ES_tradnl"/>
        </w:rPr>
        <w:footnoteReference w:id="41"/>
      </w:r>
      <w:r w:rsidR="00BE7728" w:rsidRPr="002720D0">
        <w:rPr>
          <w:lang w:val="es-ES_tradnl"/>
        </w:rPr>
        <w:t>. Basándose en esta gara</w:t>
      </w:r>
      <w:r w:rsidR="00BD01A4" w:rsidRPr="002720D0">
        <w:rPr>
          <w:lang w:val="es-ES_tradnl"/>
        </w:rPr>
        <w:t>ntía constitucional, el Estado p</w:t>
      </w:r>
      <w:r w:rsidR="00BE7728" w:rsidRPr="002720D0">
        <w:rPr>
          <w:lang w:val="es-ES_tradnl"/>
        </w:rPr>
        <w:t>arte ha promulgado</w:t>
      </w:r>
      <w:r w:rsidR="000E1A60" w:rsidRPr="002720D0">
        <w:rPr>
          <w:lang w:val="es-ES_tradnl"/>
        </w:rPr>
        <w:t xml:space="preserve"> sendas disposiciones</w:t>
      </w:r>
      <w:r w:rsidR="00BE7728" w:rsidRPr="002720D0">
        <w:rPr>
          <w:lang w:val="es-ES_tradnl"/>
        </w:rPr>
        <w:t xml:space="preserve"> en el artículo 13 1)</w:t>
      </w:r>
      <w:r w:rsidR="000E1A60" w:rsidRPr="002720D0">
        <w:rPr>
          <w:lang w:val="es-ES_tradnl"/>
        </w:rPr>
        <w:t xml:space="preserve"> de la Ley de la </w:t>
      </w:r>
      <w:r w:rsidR="00834FB9" w:rsidRPr="002720D0">
        <w:rPr>
          <w:lang w:val="es-ES_tradnl"/>
        </w:rPr>
        <w:t xml:space="preserve">Infancia </w:t>
      </w:r>
      <w:r w:rsidR="000E1A60" w:rsidRPr="002720D0">
        <w:rPr>
          <w:lang w:val="es-ES_tradnl"/>
        </w:rPr>
        <w:t xml:space="preserve">y en </w:t>
      </w:r>
      <w:r w:rsidR="00BE7728" w:rsidRPr="002720D0">
        <w:rPr>
          <w:lang w:val="es-ES_tradnl"/>
        </w:rPr>
        <w:t>el ar</w:t>
      </w:r>
      <w:r w:rsidR="00BD01A4" w:rsidRPr="002720D0">
        <w:rPr>
          <w:lang w:val="es-ES_tradnl"/>
        </w:rPr>
        <w:t xml:space="preserve">tículo 14 1) de la Ley del </w:t>
      </w:r>
      <w:r w:rsidR="00834FB9" w:rsidRPr="002720D0">
        <w:rPr>
          <w:lang w:val="es-ES_tradnl"/>
        </w:rPr>
        <w:t xml:space="preserve">Niño </w:t>
      </w:r>
      <w:r w:rsidR="00BE7728" w:rsidRPr="002720D0">
        <w:rPr>
          <w:lang w:val="es-ES_tradnl"/>
        </w:rPr>
        <w:t xml:space="preserve">de Zanzíbar, por las que se prohíbe someter al niño </w:t>
      </w:r>
      <w:r w:rsidR="001D2A53">
        <w:rPr>
          <w:lang w:val="es-ES_tradnl"/>
        </w:rPr>
        <w:t>"</w:t>
      </w:r>
      <w:r w:rsidR="00BE7728" w:rsidRPr="002720D0">
        <w:rPr>
          <w:lang w:val="es-ES_tradnl"/>
        </w:rPr>
        <w:t>a</w:t>
      </w:r>
      <w:r w:rsidR="001C7E1C">
        <w:rPr>
          <w:lang w:val="es-ES_tradnl"/>
        </w:rPr>
        <w:t> </w:t>
      </w:r>
      <w:r w:rsidR="00BE7728" w:rsidRPr="002720D0">
        <w:rPr>
          <w:lang w:val="es-ES_tradnl"/>
        </w:rPr>
        <w:t>torturas, u otros castigos crueles o inhumanos o tratos degradantes</w:t>
      </w:r>
      <w:r w:rsidR="00151021" w:rsidRPr="002720D0">
        <w:rPr>
          <w:rStyle w:val="FootnoteReference"/>
          <w:lang w:val="es-ES_tradnl"/>
        </w:rPr>
        <w:footnoteReference w:id="42"/>
      </w:r>
      <w:r w:rsidR="00BE7728" w:rsidRPr="002720D0">
        <w:rPr>
          <w:lang w:val="es-ES_tradnl"/>
        </w:rPr>
        <w:t>, comprendida cualquier práctica cultural que deshumanice o sea perjudicial para el bienestar fís</w:t>
      </w:r>
      <w:r w:rsidR="00CA6BC8" w:rsidRPr="002720D0">
        <w:rPr>
          <w:lang w:val="es-ES_tradnl"/>
        </w:rPr>
        <w:t>ico y mental del niño</w:t>
      </w:r>
      <w:r w:rsidR="001D2A53">
        <w:rPr>
          <w:lang w:val="es-ES_tradnl"/>
        </w:rPr>
        <w:t>"</w:t>
      </w:r>
      <w:r w:rsidR="00CA6BC8" w:rsidRPr="002720D0">
        <w:rPr>
          <w:lang w:val="es-ES_tradnl"/>
        </w:rPr>
        <w:t xml:space="preserve">. </w:t>
      </w:r>
      <w:r w:rsidR="007F073F" w:rsidRPr="002720D0">
        <w:rPr>
          <w:lang w:val="es-ES_tradnl"/>
        </w:rPr>
        <w:t>Basándose en las prácticas culturales justificadas que prevalecen en el Estado parte,</w:t>
      </w:r>
      <w:r w:rsidR="001D2A53">
        <w:rPr>
          <w:lang w:val="es-ES_tradnl"/>
        </w:rPr>
        <w:t xml:space="preserve"> </w:t>
      </w:r>
      <w:r w:rsidR="007F073F" w:rsidRPr="002720D0">
        <w:rPr>
          <w:lang w:val="es-ES_tradnl"/>
        </w:rPr>
        <w:t xml:space="preserve">el artículo 14 2) de la Ley del </w:t>
      </w:r>
      <w:r w:rsidR="00834FB9" w:rsidRPr="002720D0">
        <w:rPr>
          <w:lang w:val="es-ES_tradnl"/>
        </w:rPr>
        <w:t xml:space="preserve">Niño </w:t>
      </w:r>
      <w:r w:rsidR="007F073F" w:rsidRPr="002720D0">
        <w:rPr>
          <w:lang w:val="es-ES_tradnl"/>
        </w:rPr>
        <w:t xml:space="preserve">de Zanzíbar dispone que los padres pueden disciplinar a sus hijos </w:t>
      </w:r>
      <w:r w:rsidR="001D2A53">
        <w:rPr>
          <w:lang w:val="es-ES_tradnl"/>
        </w:rPr>
        <w:t>"</w:t>
      </w:r>
      <w:r w:rsidR="007F073F" w:rsidRPr="002720D0">
        <w:rPr>
          <w:lang w:val="es-ES_tradnl"/>
        </w:rPr>
        <w:t>de tal manera que no se menoscabe el bienestar físico o mental del niño</w:t>
      </w:r>
      <w:r w:rsidR="001D2A53">
        <w:rPr>
          <w:lang w:val="es-ES_tradnl"/>
        </w:rPr>
        <w:t>"</w:t>
      </w:r>
      <w:r w:rsidR="007F073F" w:rsidRPr="002720D0">
        <w:rPr>
          <w:lang w:val="es-ES_tradnl"/>
        </w:rPr>
        <w:t xml:space="preserve">. </w:t>
      </w:r>
      <w:r w:rsidR="00CA6BC8" w:rsidRPr="002720D0">
        <w:rPr>
          <w:lang w:val="es-ES_tradnl"/>
        </w:rPr>
        <w:t>El artí</w:t>
      </w:r>
      <w:r w:rsidR="00BE7728" w:rsidRPr="002720D0">
        <w:rPr>
          <w:lang w:val="es-ES_tradnl"/>
        </w:rPr>
        <w:t xml:space="preserve">culo 13 2) de la Ley de la </w:t>
      </w:r>
      <w:r w:rsidR="00834FB9" w:rsidRPr="002720D0">
        <w:rPr>
          <w:lang w:val="es-ES_tradnl"/>
        </w:rPr>
        <w:t xml:space="preserve">Infancia </w:t>
      </w:r>
      <w:r w:rsidR="00BE7728" w:rsidRPr="002720D0">
        <w:rPr>
          <w:lang w:val="es-ES_tradnl"/>
        </w:rPr>
        <w:t xml:space="preserve">dispone lo siguiente: </w:t>
      </w:r>
      <w:r w:rsidR="001D2A53">
        <w:rPr>
          <w:lang w:val="es-ES_tradnl"/>
        </w:rPr>
        <w:t>"</w:t>
      </w:r>
      <w:r w:rsidR="00BE7728" w:rsidRPr="002720D0">
        <w:rPr>
          <w:lang w:val="es-ES_tradnl"/>
        </w:rPr>
        <w:t>Ninguna corrección aplic</w:t>
      </w:r>
      <w:r w:rsidR="009218ED" w:rsidRPr="002720D0">
        <w:rPr>
          <w:lang w:val="es-ES_tradnl"/>
        </w:rPr>
        <w:t>ada a un niño es justificable cuando</w:t>
      </w:r>
      <w:r w:rsidR="00BE7728" w:rsidRPr="002720D0">
        <w:rPr>
          <w:lang w:val="es-ES_tradnl"/>
        </w:rPr>
        <w:t xml:space="preserve"> </w:t>
      </w:r>
      <w:r w:rsidR="009218ED" w:rsidRPr="002720D0">
        <w:rPr>
          <w:lang w:val="es-ES_tradnl"/>
        </w:rPr>
        <w:t>su n</w:t>
      </w:r>
      <w:r w:rsidR="000E1A60" w:rsidRPr="002720D0">
        <w:rPr>
          <w:lang w:val="es-ES_tradnl"/>
        </w:rPr>
        <w:t>aturaleza o intensidad no guarde</w:t>
      </w:r>
      <w:r w:rsidR="009218ED" w:rsidRPr="002720D0">
        <w:rPr>
          <w:lang w:val="es-ES_tradnl"/>
        </w:rPr>
        <w:t xml:space="preserve"> proporción con la edad o la condición física o mental el niño, y ninguna corrección es justificable cuando el niño, por motivo de su </w:t>
      </w:r>
      <w:r w:rsidR="000E1A60" w:rsidRPr="002720D0">
        <w:rPr>
          <w:lang w:val="es-ES_tradnl"/>
        </w:rPr>
        <w:t>corta edad o por otro motivo, sea</w:t>
      </w:r>
      <w:r w:rsidR="009218ED" w:rsidRPr="002720D0">
        <w:rPr>
          <w:lang w:val="es-ES_tradnl"/>
        </w:rPr>
        <w:t xml:space="preserve"> incapaz de comprender el propósito de la corrección</w:t>
      </w:r>
      <w:r w:rsidR="001D2A53">
        <w:rPr>
          <w:lang w:val="es-ES_tradnl"/>
        </w:rPr>
        <w:t>"</w:t>
      </w:r>
      <w:r w:rsidR="00834FB9">
        <w:rPr>
          <w:lang w:val="es-ES_tradnl"/>
        </w:rPr>
        <w:t>.</w:t>
      </w:r>
    </w:p>
    <w:p w:rsidR="00151021" w:rsidRPr="002720D0" w:rsidRDefault="004F6364" w:rsidP="004F6364">
      <w:pPr>
        <w:pStyle w:val="SingleTxtG"/>
        <w:tabs>
          <w:tab w:val="left" w:pos="-360"/>
        </w:tabs>
        <w:rPr>
          <w:lang w:val="es-ES_tradnl"/>
        </w:rPr>
      </w:pPr>
      <w:r w:rsidRPr="002720D0">
        <w:rPr>
          <w:lang w:val="es-ES_tradnl"/>
        </w:rPr>
        <w:t>87.</w:t>
      </w:r>
      <w:r w:rsidRPr="002720D0">
        <w:rPr>
          <w:lang w:val="es-ES_tradnl"/>
        </w:rPr>
        <w:tab/>
      </w:r>
      <w:r w:rsidR="009218ED" w:rsidRPr="002720D0">
        <w:rPr>
          <w:lang w:val="es-ES_tradnl"/>
        </w:rPr>
        <w:t>Basándose en las disposic</w:t>
      </w:r>
      <w:r w:rsidR="000E1A60" w:rsidRPr="002720D0">
        <w:rPr>
          <w:lang w:val="es-ES_tradnl"/>
        </w:rPr>
        <w:t>iones que anteceden, el Estado p</w:t>
      </w:r>
      <w:r w:rsidR="009218ED" w:rsidRPr="002720D0">
        <w:rPr>
          <w:lang w:val="es-ES_tradnl"/>
        </w:rPr>
        <w:t>arte considera justificable la aplicación en las escuelas de azotes con vara a los alumnos indisciplinados, estimando que esta me</w:t>
      </w:r>
      <w:r w:rsidR="000E1A60" w:rsidRPr="002720D0">
        <w:rPr>
          <w:lang w:val="es-ES_tradnl"/>
        </w:rPr>
        <w:t xml:space="preserve">dida queda fuera del alcance de la definición del castigo físico; </w:t>
      </w:r>
      <w:r w:rsidR="009218ED" w:rsidRPr="002720D0">
        <w:rPr>
          <w:lang w:val="es-ES_tradnl"/>
        </w:rPr>
        <w:t>ha regulado la aplicación de este castigo en las escuelas con el fin de que no represente un trato degradante o inhumano de los alumnos que se comportan indebidamente</w:t>
      </w:r>
      <w:r w:rsidR="000E1A60" w:rsidRPr="002720D0">
        <w:rPr>
          <w:lang w:val="es-ES_tradnl"/>
        </w:rPr>
        <w:t xml:space="preserve"> en ellas</w:t>
      </w:r>
      <w:r w:rsidR="009218ED" w:rsidRPr="002720D0">
        <w:rPr>
          <w:lang w:val="es-ES_tradnl"/>
        </w:rPr>
        <w:t xml:space="preserve">. El castigo físico sigue siendo legal en las escuelas de Tanzanía continental en virtud de las disposiciones del Reglamento de educación (castigo físico) </w:t>
      </w:r>
      <w:r w:rsidR="00151021" w:rsidRPr="002720D0">
        <w:rPr>
          <w:lang w:val="es-ES_tradnl"/>
        </w:rPr>
        <w:t>(1979)</w:t>
      </w:r>
      <w:r w:rsidR="00151021" w:rsidRPr="002720D0">
        <w:rPr>
          <w:rStyle w:val="FootnoteReference"/>
          <w:lang w:val="es-ES_tradnl"/>
        </w:rPr>
        <w:footnoteReference w:id="43"/>
      </w:r>
      <w:r w:rsidR="00151021" w:rsidRPr="002720D0">
        <w:rPr>
          <w:lang w:val="es-ES_tradnl"/>
        </w:rPr>
        <w:t xml:space="preserve"> </w:t>
      </w:r>
      <w:r w:rsidR="009218ED" w:rsidRPr="002720D0">
        <w:rPr>
          <w:lang w:val="es-ES_tradnl"/>
        </w:rPr>
        <w:t xml:space="preserve">elaborado en virtud del artículo 60 de la Ley de </w:t>
      </w:r>
      <w:r w:rsidR="00F37CE1" w:rsidRPr="002720D0">
        <w:rPr>
          <w:lang w:val="es-ES_tradnl"/>
        </w:rPr>
        <w:t xml:space="preserve">Educación </w:t>
      </w:r>
      <w:r w:rsidR="00151021" w:rsidRPr="002720D0">
        <w:rPr>
          <w:lang w:val="es-ES_tradnl"/>
        </w:rPr>
        <w:t>(1978)</w:t>
      </w:r>
      <w:r w:rsidR="00151021" w:rsidRPr="002720D0">
        <w:rPr>
          <w:rStyle w:val="FootnoteReference"/>
          <w:lang w:val="es-ES_tradnl"/>
        </w:rPr>
        <w:footnoteReference w:id="44"/>
      </w:r>
      <w:r w:rsidR="0045429F" w:rsidRPr="002720D0">
        <w:rPr>
          <w:lang w:val="es-ES_tradnl"/>
        </w:rPr>
        <w:t xml:space="preserve">, </w:t>
      </w:r>
      <w:r w:rsidR="000E1A60" w:rsidRPr="002720D0">
        <w:rPr>
          <w:lang w:val="es-ES_tradnl"/>
        </w:rPr>
        <w:t xml:space="preserve">por la </w:t>
      </w:r>
      <w:r w:rsidR="0045429F" w:rsidRPr="002720D0">
        <w:rPr>
          <w:lang w:val="es-ES_tradnl"/>
        </w:rPr>
        <w:t xml:space="preserve">que </w:t>
      </w:r>
      <w:r w:rsidR="000E1A60" w:rsidRPr="002720D0">
        <w:rPr>
          <w:lang w:val="es-ES_tradnl"/>
        </w:rPr>
        <w:t xml:space="preserve">se </w:t>
      </w:r>
      <w:r w:rsidR="0045429F" w:rsidRPr="002720D0">
        <w:rPr>
          <w:lang w:val="es-ES_tradnl"/>
        </w:rPr>
        <w:t xml:space="preserve">autoriza al Ministro para elaborar un reglamento </w:t>
      </w:r>
      <w:r w:rsidR="001D2A53">
        <w:rPr>
          <w:lang w:val="es-ES_tradnl"/>
        </w:rPr>
        <w:t>"</w:t>
      </w:r>
      <w:r w:rsidR="0045429F" w:rsidRPr="002720D0">
        <w:rPr>
          <w:lang w:val="es-ES_tradnl"/>
        </w:rPr>
        <w:t>que contemple y controle la administración del castigo físico en las escuelas</w:t>
      </w:r>
      <w:r w:rsidR="001D2A53">
        <w:rPr>
          <w:lang w:val="es-ES_tradnl"/>
        </w:rPr>
        <w:t>"</w:t>
      </w:r>
      <w:r w:rsidR="0045429F" w:rsidRPr="002720D0">
        <w:rPr>
          <w:lang w:val="es-ES_tradnl"/>
        </w:rPr>
        <w:t xml:space="preserve">. En virtud de este Reglamento, por </w:t>
      </w:r>
      <w:r w:rsidR="001D2A53">
        <w:rPr>
          <w:lang w:val="es-ES_tradnl"/>
        </w:rPr>
        <w:t>"</w:t>
      </w:r>
      <w:r w:rsidR="0045429F" w:rsidRPr="002720D0">
        <w:rPr>
          <w:lang w:val="es-ES_tradnl"/>
        </w:rPr>
        <w:t>castigo físico</w:t>
      </w:r>
      <w:r w:rsidR="001D2A53">
        <w:rPr>
          <w:lang w:val="es-ES_tradnl"/>
        </w:rPr>
        <w:t>"</w:t>
      </w:r>
      <w:r w:rsidR="0045429F" w:rsidRPr="002720D0">
        <w:rPr>
          <w:lang w:val="es-ES_tradnl"/>
        </w:rPr>
        <w:t xml:space="preserve"> se entiende el </w:t>
      </w:r>
      <w:r w:rsidR="001D2A53">
        <w:rPr>
          <w:lang w:val="es-ES_tradnl"/>
        </w:rPr>
        <w:t>"</w:t>
      </w:r>
      <w:r w:rsidR="0045429F" w:rsidRPr="002720D0">
        <w:rPr>
          <w:lang w:val="es-ES_tradnl"/>
        </w:rPr>
        <w:t>castigo impartido mediante la aplicación a un alumno de un azote en la mano, o en las nalgas</w:t>
      </w:r>
      <w:r w:rsidR="00151021" w:rsidRPr="002720D0">
        <w:rPr>
          <w:lang w:val="es-ES_tradnl"/>
        </w:rPr>
        <w:t xml:space="preserve"> </w:t>
      </w:r>
      <w:r w:rsidR="0045429F" w:rsidRPr="002720D0">
        <w:rPr>
          <w:lang w:val="es-ES_tradnl"/>
        </w:rPr>
        <w:t>cubiertas con su ropa normal, con un palo ligero y flexible, quedando excluidos los golpes aplicados al niño con cualquier otro instrumento o en cualquier otra parte del cuerpo</w:t>
      </w:r>
      <w:r w:rsidR="001D2A53">
        <w:rPr>
          <w:lang w:val="es-ES_tradnl"/>
        </w:rPr>
        <w:t>"</w:t>
      </w:r>
      <w:r w:rsidR="0045429F"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88.</w:t>
      </w:r>
      <w:r w:rsidRPr="002720D0">
        <w:rPr>
          <w:lang w:val="es-ES_tradnl"/>
        </w:rPr>
        <w:tab/>
      </w:r>
      <w:r w:rsidR="0045429F" w:rsidRPr="002720D0">
        <w:rPr>
          <w:lang w:val="es-ES_tradnl"/>
        </w:rPr>
        <w:t xml:space="preserve">Con arreglo al párrafo 3 1) del Reglamento de educación (castigo físico), el castigo físico </w:t>
      </w:r>
      <w:r w:rsidR="001D2A53">
        <w:rPr>
          <w:lang w:val="es-ES_tradnl"/>
        </w:rPr>
        <w:t>"</w:t>
      </w:r>
      <w:r w:rsidR="0045429F" w:rsidRPr="002720D0">
        <w:rPr>
          <w:lang w:val="es-ES_tradnl"/>
        </w:rPr>
        <w:t xml:space="preserve">se </w:t>
      </w:r>
      <w:r w:rsidR="005A54B6" w:rsidRPr="002720D0">
        <w:rPr>
          <w:lang w:val="es-ES_tradnl"/>
        </w:rPr>
        <w:t xml:space="preserve">puede administrar </w:t>
      </w:r>
      <w:r w:rsidR="000E1A60" w:rsidRPr="002720D0">
        <w:rPr>
          <w:lang w:val="es-ES_tradnl"/>
        </w:rPr>
        <w:t>como consecuencia de</w:t>
      </w:r>
      <w:r w:rsidR="005A54B6" w:rsidRPr="002720D0">
        <w:rPr>
          <w:lang w:val="es-ES_tradnl"/>
        </w:rPr>
        <w:t xml:space="preserve"> grave inc</w:t>
      </w:r>
      <w:r w:rsidR="0045429F" w:rsidRPr="002720D0">
        <w:rPr>
          <w:lang w:val="es-ES_tradnl"/>
        </w:rPr>
        <w:t xml:space="preserve">umplimiento de la disciplina escolar o </w:t>
      </w:r>
      <w:r w:rsidR="000E1A60" w:rsidRPr="002720D0">
        <w:rPr>
          <w:lang w:val="es-ES_tradnl"/>
        </w:rPr>
        <w:t>de</w:t>
      </w:r>
      <w:r w:rsidR="0045429F" w:rsidRPr="002720D0">
        <w:rPr>
          <w:lang w:val="es-ES_tradnl"/>
        </w:rPr>
        <w:t xml:space="preserve"> faltas graves, cometidas tanto en el interior como en el exterior de la escuela, </w:t>
      </w:r>
      <w:r w:rsidR="00016E3B" w:rsidRPr="002720D0">
        <w:rPr>
          <w:lang w:val="es-ES_tradnl"/>
        </w:rPr>
        <w:t>cuando</w:t>
      </w:r>
      <w:r w:rsidR="0045429F" w:rsidRPr="002720D0">
        <w:rPr>
          <w:lang w:val="es-ES_tradnl"/>
        </w:rPr>
        <w:t xml:space="preserve"> la autoridad escolar determine </w:t>
      </w:r>
      <w:r w:rsidR="00016E3B" w:rsidRPr="002720D0">
        <w:rPr>
          <w:lang w:val="es-ES_tradnl"/>
        </w:rPr>
        <w:t xml:space="preserve">que estas acciones </w:t>
      </w:r>
      <w:r w:rsidR="0045429F" w:rsidRPr="002720D0">
        <w:rPr>
          <w:lang w:val="es-ES_tradnl"/>
        </w:rPr>
        <w:t xml:space="preserve">han sido o </w:t>
      </w:r>
      <w:r w:rsidR="000E1A60" w:rsidRPr="002720D0">
        <w:rPr>
          <w:lang w:val="es-ES_tradnl"/>
        </w:rPr>
        <w:t>podrían</w:t>
      </w:r>
      <w:r w:rsidR="0045429F" w:rsidRPr="002720D0">
        <w:rPr>
          <w:lang w:val="es-ES_tradnl"/>
        </w:rPr>
        <w:t xml:space="preserve"> ser causa de descrédito para la escuela</w:t>
      </w:r>
      <w:r w:rsidR="001D2A53">
        <w:rPr>
          <w:lang w:val="es-ES_tradnl"/>
        </w:rPr>
        <w:t>"</w:t>
      </w:r>
      <w:r w:rsidR="0045429F" w:rsidRPr="002720D0">
        <w:rPr>
          <w:lang w:val="es-ES_tradnl"/>
        </w:rPr>
        <w:t xml:space="preserve">. En este contexto, el párrafo 3 2) del Reglamento requiere que el castigo físico </w:t>
      </w:r>
      <w:r w:rsidR="001D2A53">
        <w:rPr>
          <w:lang w:val="es-ES_tradnl"/>
        </w:rPr>
        <w:t>"</w:t>
      </w:r>
      <w:r w:rsidR="0045429F" w:rsidRPr="002720D0">
        <w:rPr>
          <w:lang w:val="es-ES_tradnl"/>
        </w:rPr>
        <w:t xml:space="preserve">sea razonable </w:t>
      </w:r>
      <w:r w:rsidR="000D5F41" w:rsidRPr="002720D0">
        <w:rPr>
          <w:lang w:val="es-ES_tradnl"/>
        </w:rPr>
        <w:t>y guarde proporción con la gravedad de la falta, la edad, el sexo y la salud de los alumnos, y que los azotes en ningún caso superen el número de cuatro</w:t>
      </w:r>
      <w:r w:rsidR="001D2A53">
        <w:rPr>
          <w:lang w:val="es-ES_tradnl"/>
        </w:rPr>
        <w:t>"</w:t>
      </w:r>
      <w:r w:rsidR="000D5F41" w:rsidRPr="002720D0">
        <w:rPr>
          <w:lang w:val="es-ES_tradnl"/>
        </w:rPr>
        <w:t>. Para corregir cualquier posible abuso del castigo físico como medida disciplinaria adoptada contra los alumnos que faltan a la escuela</w:t>
      </w:r>
      <w:r w:rsidR="000E1A60" w:rsidRPr="002720D0">
        <w:rPr>
          <w:lang w:val="es-ES_tradnl"/>
        </w:rPr>
        <w:t xml:space="preserve"> injustificadamente, el Estado p</w:t>
      </w:r>
      <w:r w:rsidR="000D5F41" w:rsidRPr="002720D0">
        <w:rPr>
          <w:lang w:val="es-ES_tradnl"/>
        </w:rPr>
        <w:t>arte ha asegurado, mediante el párrafo 4 1) del Reglamento, que el director</w:t>
      </w:r>
      <w:r w:rsidR="001D4995" w:rsidRPr="002720D0">
        <w:rPr>
          <w:lang w:val="es-ES_tradnl"/>
        </w:rPr>
        <w:t xml:space="preserve"> de la escuela pueda</w:t>
      </w:r>
      <w:r w:rsidR="000D5F41" w:rsidRPr="002720D0">
        <w:rPr>
          <w:lang w:val="es-ES_tradnl"/>
        </w:rPr>
        <w:t xml:space="preserve"> administrar castigos físicos</w:t>
      </w:r>
      <w:r w:rsidR="001D4995" w:rsidRPr="002720D0">
        <w:rPr>
          <w:lang w:val="es-ES_tradnl"/>
        </w:rPr>
        <w:t xml:space="preserve"> a su discreción</w:t>
      </w:r>
      <w:r w:rsidR="000D5F41" w:rsidRPr="002720D0">
        <w:rPr>
          <w:lang w:val="es-ES_tradnl"/>
        </w:rPr>
        <w:t xml:space="preserve">. Cuando el director de la escuela desee delegar este deber en otro maestro, esa delegación se efectuará </w:t>
      </w:r>
      <w:r w:rsidR="001D2A53">
        <w:rPr>
          <w:lang w:val="es-ES_tradnl"/>
        </w:rPr>
        <w:t>"</w:t>
      </w:r>
      <w:r w:rsidR="000D5F41" w:rsidRPr="002720D0">
        <w:rPr>
          <w:lang w:val="es-ES_tradnl"/>
        </w:rPr>
        <w:t>por escrito, en un miembro de su personal docente cuidadosamente seleccionado, entendiéndose que el miembro del personal así autorizado solo podrá actuar con la aprobación del director del colegio en cada ocasión en que se administre un castigo físico</w:t>
      </w:r>
      <w:r w:rsidR="001D2A53">
        <w:rPr>
          <w:lang w:val="es-ES_tradnl"/>
        </w:rPr>
        <w:t>"</w:t>
      </w:r>
      <w:r w:rsidR="000D5F41" w:rsidRPr="002720D0">
        <w:rPr>
          <w:lang w:val="es-ES_tradnl"/>
        </w:rPr>
        <w:t>.</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89.</w:t>
      </w:r>
      <w:r w:rsidRPr="002720D0">
        <w:rPr>
          <w:lang w:val="es-ES_tradnl"/>
        </w:rPr>
        <w:tab/>
      </w:r>
      <w:r w:rsidR="000D5F41" w:rsidRPr="002720D0">
        <w:rPr>
          <w:lang w:val="es-ES_tradnl"/>
        </w:rPr>
        <w:t>Otra salvagu</w:t>
      </w:r>
      <w:r w:rsidR="001D4995" w:rsidRPr="002720D0">
        <w:rPr>
          <w:lang w:val="es-ES_tradnl"/>
        </w:rPr>
        <w:t>ardia promulgada por el Estado p</w:t>
      </w:r>
      <w:r w:rsidR="000D5F41" w:rsidRPr="002720D0">
        <w:rPr>
          <w:lang w:val="es-ES_tradnl"/>
        </w:rPr>
        <w:t xml:space="preserve">arte en el párrafo 2) del Reglamento de educación (castigo físico) es el requisito obligatorio de que </w:t>
      </w:r>
      <w:r w:rsidR="001D4995" w:rsidRPr="002720D0">
        <w:rPr>
          <w:lang w:val="es-ES_tradnl"/>
        </w:rPr>
        <w:t>únicamente una maestra pueda</w:t>
      </w:r>
      <w:r w:rsidR="000D5F41" w:rsidRPr="002720D0">
        <w:rPr>
          <w:lang w:val="es-ES_tradnl"/>
        </w:rPr>
        <w:t xml:space="preserve"> impartir un castigo físico a una alumna, salvo cuando no haya mujeres entre el personal docente de </w:t>
      </w:r>
      <w:r w:rsidR="00674235" w:rsidRPr="002720D0">
        <w:rPr>
          <w:lang w:val="es-ES_tradnl"/>
        </w:rPr>
        <w:t>la es</w:t>
      </w:r>
      <w:r w:rsidR="00CA6BC8" w:rsidRPr="002720D0">
        <w:rPr>
          <w:lang w:val="es-ES_tradnl"/>
        </w:rPr>
        <w:t>c</w:t>
      </w:r>
      <w:r w:rsidR="00674235" w:rsidRPr="002720D0">
        <w:rPr>
          <w:lang w:val="es-ES_tradnl"/>
        </w:rPr>
        <w:t>uela, en cuyo caso el pr</w:t>
      </w:r>
      <w:r w:rsidR="00CA6BC8" w:rsidRPr="002720D0">
        <w:rPr>
          <w:lang w:val="es-ES_tradnl"/>
        </w:rPr>
        <w:t>opio director podrá administrar</w:t>
      </w:r>
      <w:r w:rsidR="00674235" w:rsidRPr="002720D0">
        <w:rPr>
          <w:lang w:val="es-ES_tradnl"/>
        </w:rPr>
        <w:t xml:space="preserve"> el castigo físico o autorizar por escrito a un miembro varón del personal docente a administrar el castigo físico. Una salvaguardia adicional contenida en el párrafo 5 1) del Reglamento</w:t>
      </w:r>
      <w:r w:rsidR="00016E3B" w:rsidRPr="002720D0">
        <w:rPr>
          <w:lang w:val="es-ES_tradnl"/>
        </w:rPr>
        <w:t xml:space="preserve"> dispone que </w:t>
      </w:r>
      <w:r w:rsidR="001D2A53">
        <w:rPr>
          <w:lang w:val="es-ES_tradnl"/>
        </w:rPr>
        <w:t>"</w:t>
      </w:r>
      <w:r w:rsidR="00016E3B" w:rsidRPr="002720D0">
        <w:rPr>
          <w:lang w:val="es-ES_tradnl"/>
        </w:rPr>
        <w:t>t</w:t>
      </w:r>
      <w:r w:rsidR="00674235" w:rsidRPr="002720D0">
        <w:rPr>
          <w:lang w:val="es-ES_tradnl"/>
        </w:rPr>
        <w:t xml:space="preserve">odas las </w:t>
      </w:r>
      <w:r w:rsidR="001D4995" w:rsidRPr="002720D0">
        <w:rPr>
          <w:lang w:val="es-ES_tradnl"/>
        </w:rPr>
        <w:t>instancias de administración de</w:t>
      </w:r>
      <w:r w:rsidR="00674235" w:rsidRPr="002720D0">
        <w:rPr>
          <w:lang w:val="es-ES_tradnl"/>
        </w:rPr>
        <w:t xml:space="preserve"> un castigo físico se consignarán por esc</w:t>
      </w:r>
      <w:r w:rsidR="001D4995" w:rsidRPr="002720D0">
        <w:rPr>
          <w:lang w:val="es-ES_tradnl"/>
        </w:rPr>
        <w:t>rito en un libro destinado a ese fin;</w:t>
      </w:r>
      <w:r w:rsidR="00674235" w:rsidRPr="002720D0">
        <w:rPr>
          <w:lang w:val="es-ES_tradnl"/>
        </w:rPr>
        <w:t xml:space="preserve"> en ese registro se manifestarán</w:t>
      </w:r>
      <w:r w:rsidR="001D4995" w:rsidRPr="002720D0">
        <w:rPr>
          <w:lang w:val="es-ES_tradnl"/>
        </w:rPr>
        <w:t>,</w:t>
      </w:r>
      <w:r w:rsidR="00674235" w:rsidRPr="002720D0">
        <w:rPr>
          <w:lang w:val="es-ES_tradnl"/>
        </w:rPr>
        <w:t xml:space="preserve"> para cada incidencia</w:t>
      </w:r>
      <w:r w:rsidR="001D4995" w:rsidRPr="002720D0">
        <w:rPr>
          <w:lang w:val="es-ES_tradnl"/>
        </w:rPr>
        <w:t>,</w:t>
      </w:r>
      <w:r w:rsidR="00674235" w:rsidRPr="002720D0">
        <w:rPr>
          <w:lang w:val="es-ES_tradnl"/>
        </w:rPr>
        <w:t xml:space="preserve"> el nombre del alumno, la falta o incumplimiento de la disciplina, el número de azotes y el nombre del miembro del personal docente que administró el castigo</w:t>
      </w:r>
      <w:r w:rsidR="001D2A53">
        <w:rPr>
          <w:lang w:val="es-ES_tradnl"/>
        </w:rPr>
        <w:t>"</w:t>
      </w:r>
      <w:r w:rsidR="00674235" w:rsidRPr="002720D0">
        <w:rPr>
          <w:lang w:val="es-ES_tradnl"/>
        </w:rPr>
        <w:t xml:space="preserve">. Con arreglo al párrafo 2) de este Reglamento, </w:t>
      </w:r>
      <w:r w:rsidR="001D2A53">
        <w:rPr>
          <w:lang w:val="es-ES_tradnl"/>
        </w:rPr>
        <w:t>"</w:t>
      </w:r>
      <w:r w:rsidR="00674235" w:rsidRPr="002720D0">
        <w:rPr>
          <w:lang w:val="es-ES_tradnl"/>
        </w:rPr>
        <w:t>todas las anotaciones incluidas en el libro se</w:t>
      </w:r>
      <w:r w:rsidR="001D4995" w:rsidRPr="002720D0">
        <w:rPr>
          <w:lang w:val="es-ES_tradnl"/>
        </w:rPr>
        <w:t>rán consignadas por el director de la escuela</w:t>
      </w:r>
      <w:r w:rsidR="00674235" w:rsidRPr="002720D0">
        <w:rPr>
          <w:lang w:val="es-ES_tradnl"/>
        </w:rPr>
        <w:t xml:space="preserve"> y llevarán su firma</w:t>
      </w:r>
      <w:r w:rsidR="001D2A53">
        <w:rPr>
          <w:lang w:val="es-ES_tradnl"/>
        </w:rPr>
        <w:t>"</w:t>
      </w:r>
      <w:r w:rsidR="00674235" w:rsidRPr="002720D0">
        <w:rPr>
          <w:lang w:val="es-ES_tradnl"/>
        </w:rPr>
        <w:t>. Para los casos en que se vulnere la normativa relativa a la administración del castigo físico</w:t>
      </w:r>
      <w:r w:rsidR="001D4995" w:rsidRPr="002720D0">
        <w:rPr>
          <w:lang w:val="es-ES_tradnl"/>
        </w:rPr>
        <w:t>, el Estado p</w:t>
      </w:r>
      <w:r w:rsidR="00674235" w:rsidRPr="002720D0">
        <w:rPr>
          <w:lang w:val="es-ES_tradnl"/>
        </w:rPr>
        <w:t xml:space="preserve">arte ha </w:t>
      </w:r>
      <w:r w:rsidR="001D4995" w:rsidRPr="002720D0">
        <w:rPr>
          <w:lang w:val="es-ES_tradnl"/>
        </w:rPr>
        <w:t>fijado</w:t>
      </w:r>
      <w:r w:rsidR="00674235" w:rsidRPr="002720D0">
        <w:rPr>
          <w:lang w:val="es-ES_tradnl"/>
        </w:rPr>
        <w:t xml:space="preserve"> la obligación de tomar medidas disciplinarias contra el director de la escuela o la autoridad escolar en virtud de la Ley de la Comisión del Servicio Docente </w:t>
      </w:r>
      <w:r w:rsidR="00151021" w:rsidRPr="002720D0">
        <w:rPr>
          <w:lang w:val="es-ES_tradnl"/>
        </w:rPr>
        <w:t>(1989)</w:t>
      </w:r>
      <w:r w:rsidR="00151021" w:rsidRPr="002720D0">
        <w:rPr>
          <w:rStyle w:val="FootnoteReference"/>
          <w:lang w:val="es-ES_tradnl"/>
        </w:rPr>
        <w:footnoteReference w:id="45"/>
      </w:r>
      <w:r w:rsidR="00674235"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90.</w:t>
      </w:r>
      <w:r w:rsidRPr="002720D0">
        <w:rPr>
          <w:lang w:val="es-ES_tradnl"/>
        </w:rPr>
        <w:tab/>
      </w:r>
      <w:r w:rsidR="00674235" w:rsidRPr="002720D0">
        <w:rPr>
          <w:lang w:val="es-ES_tradnl"/>
        </w:rPr>
        <w:t>En Zanzí</w:t>
      </w:r>
      <w:r w:rsidR="00151021" w:rsidRPr="002720D0">
        <w:rPr>
          <w:lang w:val="es-ES_tradnl"/>
        </w:rPr>
        <w:t xml:space="preserve">bar, </w:t>
      </w:r>
      <w:r w:rsidR="00674235" w:rsidRPr="002720D0">
        <w:rPr>
          <w:lang w:val="es-ES_tradnl"/>
        </w:rPr>
        <w:t xml:space="preserve">el Ministerio de Educación ha adoptado una política contraria al castigo físico en las escuelas, si bien este sigue siendo legal en virtud de la Ley de </w:t>
      </w:r>
      <w:r w:rsidR="00F37CE1" w:rsidRPr="002720D0">
        <w:rPr>
          <w:lang w:val="es-ES_tradnl"/>
        </w:rPr>
        <w:t xml:space="preserve">Educación </w:t>
      </w:r>
      <w:r w:rsidR="00674235" w:rsidRPr="002720D0">
        <w:rPr>
          <w:lang w:val="es-ES_tradnl"/>
        </w:rPr>
        <w:t xml:space="preserve">de 1982. </w:t>
      </w:r>
      <w:r w:rsidR="005A54B6" w:rsidRPr="002720D0">
        <w:rPr>
          <w:lang w:val="es-ES_tradnl"/>
        </w:rPr>
        <w:t xml:space="preserve">El Ministerio de Educación y Formación Profesional, en colaboración con Save the Children, creó un programa llamado </w:t>
      </w:r>
      <w:r w:rsidR="001D2A53">
        <w:rPr>
          <w:lang w:val="es-ES_tradnl"/>
        </w:rPr>
        <w:t>"</w:t>
      </w:r>
      <w:r w:rsidR="005A54B6" w:rsidRPr="002720D0">
        <w:rPr>
          <w:lang w:val="es-ES_tradnl"/>
        </w:rPr>
        <w:t>Promoción de formas alternativas de disciplina en las escuelas de Zanzí</w:t>
      </w:r>
      <w:r w:rsidR="00151021" w:rsidRPr="002720D0">
        <w:rPr>
          <w:lang w:val="es-ES_tradnl"/>
        </w:rPr>
        <w:t>bar</w:t>
      </w:r>
      <w:r w:rsidR="001D2A53">
        <w:rPr>
          <w:lang w:val="es-ES_tradnl"/>
        </w:rPr>
        <w:t>"</w:t>
      </w:r>
      <w:r w:rsidR="00151021" w:rsidRPr="002720D0">
        <w:rPr>
          <w:lang w:val="es-ES_tradnl"/>
        </w:rPr>
        <w:t xml:space="preserve">. </w:t>
      </w:r>
      <w:r w:rsidR="005A54B6" w:rsidRPr="002720D0">
        <w:rPr>
          <w:lang w:val="es-ES_tradnl"/>
        </w:rPr>
        <w:t>El proyecto</w:t>
      </w:r>
      <w:r w:rsidR="00CA6BC8" w:rsidRPr="002720D0">
        <w:rPr>
          <w:lang w:val="es-ES_tradnl"/>
        </w:rPr>
        <w:t>, que</w:t>
      </w:r>
      <w:r w:rsidR="005A54B6" w:rsidRPr="002720D0">
        <w:rPr>
          <w:lang w:val="es-ES_tradnl"/>
        </w:rPr>
        <w:t xml:space="preserve"> se inició en 2010, </w:t>
      </w:r>
      <w:r w:rsidR="00CA6BC8" w:rsidRPr="002720D0">
        <w:rPr>
          <w:lang w:val="es-ES_tradnl"/>
        </w:rPr>
        <w:t>se lleva a cabo conjuntamente</w:t>
      </w:r>
      <w:r w:rsidR="005A54B6" w:rsidRPr="002720D0">
        <w:rPr>
          <w:lang w:val="es-ES_tradnl"/>
        </w:rPr>
        <w:t xml:space="preserve"> con diez escuelas piloto en Unguja y Pemba (una escuela por distrito). Su principal objetivo consiste en que el castigo físico se prohíba en las escuelas mediante la </w:t>
      </w:r>
      <w:r w:rsidR="00CA6BC8" w:rsidRPr="002720D0">
        <w:rPr>
          <w:lang w:val="es-ES_tradnl"/>
        </w:rPr>
        <w:t>sensibilización</w:t>
      </w:r>
      <w:r w:rsidR="005A54B6" w:rsidRPr="002720D0">
        <w:rPr>
          <w:lang w:val="es-ES_tradnl"/>
        </w:rPr>
        <w:t xml:space="preserve"> tanto de los docentes como de los padres de familia en cuanto al empleo de </w:t>
      </w:r>
      <w:r w:rsidR="00CA6BC8" w:rsidRPr="002720D0">
        <w:rPr>
          <w:lang w:val="es-ES_tradnl"/>
        </w:rPr>
        <w:t>otros métodos para</w:t>
      </w:r>
      <w:r w:rsidR="005A54B6" w:rsidRPr="002720D0">
        <w:rPr>
          <w:lang w:val="es-ES_tradnl"/>
        </w:rPr>
        <w:t xml:space="preserve"> imponer </w:t>
      </w:r>
      <w:r w:rsidR="00CA6BC8" w:rsidRPr="002720D0">
        <w:rPr>
          <w:lang w:val="es-ES_tradnl"/>
        </w:rPr>
        <w:t xml:space="preserve">la </w:t>
      </w:r>
      <w:r w:rsidR="005A54B6" w:rsidRPr="002720D0">
        <w:rPr>
          <w:lang w:val="es-ES_tradnl"/>
        </w:rPr>
        <w:t>disciplina</w:t>
      </w:r>
      <w:r w:rsidR="00CA6BC8" w:rsidRPr="002720D0">
        <w:rPr>
          <w:lang w:val="es-ES_tradnl"/>
        </w:rPr>
        <w:t>,</w:t>
      </w:r>
      <w:r w:rsidR="005A54B6" w:rsidRPr="002720D0">
        <w:rPr>
          <w:lang w:val="es-ES_tradnl"/>
        </w:rPr>
        <w:t xml:space="preserve"> en lugar del castigo físico. </w:t>
      </w:r>
      <w:r w:rsidR="00F76BB6" w:rsidRPr="002720D0">
        <w:rPr>
          <w:lang w:val="es-ES_tradnl"/>
        </w:rPr>
        <w:t>En la actualidad t</w:t>
      </w:r>
      <w:r w:rsidR="005A54B6" w:rsidRPr="002720D0">
        <w:rPr>
          <w:lang w:val="es-ES_tradnl"/>
        </w:rPr>
        <w:t>odas las escuelas primarias públicas de Zanzíbar cuentan</w:t>
      </w:r>
      <w:r w:rsidR="001D4995" w:rsidRPr="002720D0">
        <w:rPr>
          <w:lang w:val="es-ES_tradnl"/>
        </w:rPr>
        <w:t>,</w:t>
      </w:r>
      <w:r w:rsidR="005A54B6" w:rsidRPr="002720D0">
        <w:rPr>
          <w:lang w:val="es-ES_tradnl"/>
        </w:rPr>
        <w:t xml:space="preserve"> </w:t>
      </w:r>
      <w:r w:rsidR="00F76BB6" w:rsidRPr="002720D0">
        <w:rPr>
          <w:lang w:val="es-ES_tradnl"/>
        </w:rPr>
        <w:t>como mínimo</w:t>
      </w:r>
      <w:r w:rsidR="001D4995" w:rsidRPr="002720D0">
        <w:rPr>
          <w:lang w:val="es-ES_tradnl"/>
        </w:rPr>
        <w:t>,</w:t>
      </w:r>
      <w:r w:rsidR="00F76BB6" w:rsidRPr="002720D0">
        <w:rPr>
          <w:lang w:val="es-ES_tradnl"/>
        </w:rPr>
        <w:t xml:space="preserve"> con</w:t>
      </w:r>
      <w:r w:rsidR="005A54B6" w:rsidRPr="002720D0">
        <w:rPr>
          <w:lang w:val="es-ES_tradnl"/>
        </w:rPr>
        <w:t xml:space="preserve"> un docente que ha recibido formación relativa al empleo de </w:t>
      </w:r>
      <w:r w:rsidR="00CA6BC8" w:rsidRPr="002720D0">
        <w:rPr>
          <w:lang w:val="es-ES_tradnl"/>
        </w:rPr>
        <w:t>otros métodos para</w:t>
      </w:r>
      <w:r w:rsidR="005A54B6" w:rsidRPr="002720D0">
        <w:rPr>
          <w:lang w:val="es-ES_tradnl"/>
        </w:rPr>
        <w:t xml:space="preserve"> imponer </w:t>
      </w:r>
      <w:r w:rsidR="00CA6BC8" w:rsidRPr="002720D0">
        <w:rPr>
          <w:lang w:val="es-ES_tradnl"/>
        </w:rPr>
        <w:t xml:space="preserve">la </w:t>
      </w:r>
      <w:r w:rsidR="005A54B6" w:rsidRPr="002720D0">
        <w:rPr>
          <w:lang w:val="es-ES_tradnl"/>
        </w:rPr>
        <w:t xml:space="preserve">disciplina. </w:t>
      </w:r>
    </w:p>
    <w:p w:rsidR="00151021" w:rsidRPr="002720D0" w:rsidRDefault="00323974" w:rsidP="00586395">
      <w:pPr>
        <w:pStyle w:val="HChG"/>
        <w:outlineLvl w:val="0"/>
        <w:rPr>
          <w:lang w:val="es-ES_tradnl"/>
        </w:rPr>
      </w:pPr>
      <w:bookmarkStart w:id="26" w:name="_Toc313470862"/>
      <w:r w:rsidRPr="002720D0">
        <w:rPr>
          <w:lang w:val="es-ES_tradnl"/>
        </w:rPr>
        <w:tab/>
      </w:r>
      <w:r w:rsidR="00151021" w:rsidRPr="002720D0">
        <w:rPr>
          <w:lang w:val="es-ES_tradnl"/>
        </w:rPr>
        <w:t>5.</w:t>
      </w:r>
      <w:r w:rsidRPr="002720D0">
        <w:rPr>
          <w:lang w:val="es-ES_tradnl"/>
        </w:rPr>
        <w:tab/>
      </w:r>
      <w:bookmarkEnd w:id="26"/>
      <w:r w:rsidR="00F76BB6" w:rsidRPr="002720D0">
        <w:rPr>
          <w:lang w:val="es-ES_tradnl"/>
        </w:rPr>
        <w:t>Entorno familiar y modalidades al</w:t>
      </w:r>
      <w:r w:rsidR="001D4995" w:rsidRPr="002720D0">
        <w:rPr>
          <w:lang w:val="es-ES_tradnl"/>
        </w:rPr>
        <w:t>ternativas de cuidado (arts.</w:t>
      </w:r>
      <w:r w:rsidR="00F76BB6" w:rsidRPr="002720D0">
        <w:rPr>
          <w:lang w:val="es-ES_tradnl"/>
        </w:rPr>
        <w:t xml:space="preserve"> 5, </w:t>
      </w:r>
      <w:r w:rsidR="003665AB">
        <w:rPr>
          <w:lang w:val="es-ES_tradnl"/>
        </w:rPr>
        <w:t xml:space="preserve">18 (párrs. 1 y 2), </w:t>
      </w:r>
      <w:r w:rsidR="00C13D83" w:rsidRPr="002720D0">
        <w:rPr>
          <w:lang w:val="es-ES_tradnl"/>
        </w:rPr>
        <w:t xml:space="preserve">9 a 11, 19 a 21, 25, </w:t>
      </w:r>
      <w:r w:rsidR="003665AB">
        <w:rPr>
          <w:lang w:val="es-ES_tradnl"/>
        </w:rPr>
        <w:t>27 (</w:t>
      </w:r>
      <w:r w:rsidR="001D4995" w:rsidRPr="002720D0">
        <w:rPr>
          <w:lang w:val="es-ES_tradnl"/>
        </w:rPr>
        <w:t>párr. 4</w:t>
      </w:r>
      <w:r w:rsidR="003665AB">
        <w:rPr>
          <w:lang w:val="es-ES_tradnl"/>
        </w:rPr>
        <w:t xml:space="preserve">) </w:t>
      </w:r>
      <w:r w:rsidR="008370A8">
        <w:rPr>
          <w:lang w:val="es-ES_tradnl"/>
        </w:rPr>
        <w:br/>
      </w:r>
      <w:r w:rsidR="003665AB">
        <w:rPr>
          <w:lang w:val="es-ES_tradnl"/>
        </w:rPr>
        <w:t>y</w:t>
      </w:r>
      <w:r w:rsidR="00F76BB6" w:rsidRPr="002720D0">
        <w:rPr>
          <w:lang w:val="es-ES_tradnl"/>
        </w:rPr>
        <w:t xml:space="preserve"> 39)</w:t>
      </w:r>
    </w:p>
    <w:p w:rsidR="00151021" w:rsidRPr="002720D0" w:rsidRDefault="00323974" w:rsidP="00586395">
      <w:pPr>
        <w:pStyle w:val="H1G"/>
        <w:outlineLvl w:val="0"/>
        <w:rPr>
          <w:lang w:val="es-ES_tradnl"/>
        </w:rPr>
      </w:pPr>
      <w:bookmarkStart w:id="27" w:name="_Toc313470863"/>
      <w:r w:rsidRPr="002720D0">
        <w:rPr>
          <w:lang w:val="es-ES_tradnl"/>
        </w:rPr>
        <w:tab/>
      </w:r>
      <w:r w:rsidR="00151021" w:rsidRPr="002720D0">
        <w:rPr>
          <w:lang w:val="es-ES_tradnl"/>
        </w:rPr>
        <w:t>5.1</w:t>
      </w:r>
      <w:r w:rsidRPr="002720D0">
        <w:rPr>
          <w:lang w:val="es-ES_tradnl"/>
        </w:rPr>
        <w:tab/>
      </w:r>
      <w:r w:rsidR="00C13D83" w:rsidRPr="002720D0">
        <w:rPr>
          <w:lang w:val="es-ES_tradnl"/>
        </w:rPr>
        <w:t xml:space="preserve">Entorno familiar y </w:t>
      </w:r>
      <w:r w:rsidR="000C00AA" w:rsidRPr="002720D0">
        <w:rPr>
          <w:lang w:val="es-ES_tradnl"/>
        </w:rPr>
        <w:t>ori</w:t>
      </w:r>
      <w:r w:rsidR="001D4995" w:rsidRPr="002720D0">
        <w:rPr>
          <w:lang w:val="es-ES_tradnl"/>
        </w:rPr>
        <w:t>entación de los padres (art.</w:t>
      </w:r>
      <w:r w:rsidR="000C00AA" w:rsidRPr="002720D0">
        <w:rPr>
          <w:lang w:val="es-ES_tradnl"/>
        </w:rPr>
        <w:t xml:space="preserve"> 5)</w:t>
      </w:r>
      <w:bookmarkEnd w:id="27"/>
    </w:p>
    <w:p w:rsidR="00CA6BC8" w:rsidRPr="002720D0" w:rsidRDefault="004F6364" w:rsidP="004F6364">
      <w:pPr>
        <w:pStyle w:val="SingleTxtG"/>
        <w:tabs>
          <w:tab w:val="left" w:pos="-360"/>
        </w:tabs>
        <w:rPr>
          <w:lang w:val="es-ES_tradnl"/>
        </w:rPr>
      </w:pPr>
      <w:r w:rsidRPr="002720D0">
        <w:rPr>
          <w:lang w:val="es-ES_tradnl"/>
        </w:rPr>
        <w:t>91.</w:t>
      </w:r>
      <w:r w:rsidRPr="002720D0">
        <w:rPr>
          <w:lang w:val="es-ES_tradnl"/>
        </w:rPr>
        <w:tab/>
      </w:r>
      <w:r w:rsidR="000C00AA" w:rsidRPr="002720D0">
        <w:rPr>
          <w:lang w:val="es-ES_tradnl"/>
        </w:rPr>
        <w:t>En sus Observaciones finales previas,</w:t>
      </w:r>
      <w:r w:rsidR="000C00AA" w:rsidRPr="001418B0">
        <w:rPr>
          <w:bCs/>
          <w:lang w:val="es-ES_tradnl"/>
        </w:rPr>
        <w:t xml:space="preserve"> </w:t>
      </w:r>
      <w:r w:rsidR="000C00AA" w:rsidRPr="002720D0">
        <w:rPr>
          <w:bCs/>
          <w:lang w:val="es-ES_tradnl"/>
        </w:rPr>
        <w:t xml:space="preserve">el </w:t>
      </w:r>
      <w:r w:rsidR="001D4995" w:rsidRPr="002720D0">
        <w:rPr>
          <w:bCs/>
          <w:lang w:val="es-ES_tradnl"/>
        </w:rPr>
        <w:t>Comité recomendó que el Estado p</w:t>
      </w:r>
      <w:r w:rsidR="000C00AA" w:rsidRPr="002720D0">
        <w:rPr>
          <w:bCs/>
          <w:lang w:val="es-ES_tradnl"/>
        </w:rPr>
        <w:t>arte adoptara las medidas del caso para cumplir a cabalidad las directrices nacionales para la atención y protección de los huérfanos y los niños vulnerables.</w:t>
      </w:r>
      <w:r w:rsidR="001D2A53">
        <w:rPr>
          <w:bCs/>
          <w:lang w:val="es-ES_tradnl"/>
        </w:rPr>
        <w:t xml:space="preserve"> </w:t>
      </w:r>
      <w:r w:rsidR="000C00AA" w:rsidRPr="002720D0">
        <w:rPr>
          <w:bCs/>
          <w:lang w:val="es-ES_tradnl"/>
        </w:rPr>
        <w:t xml:space="preserve">Repitió su recomendación (véase CRC/C/15/Add.156, párr. 41) de que el Estado </w:t>
      </w:r>
      <w:r w:rsidRPr="002720D0">
        <w:rPr>
          <w:bCs/>
          <w:lang w:val="es-ES_tradnl"/>
        </w:rPr>
        <w:t xml:space="preserve">parte </w:t>
      </w:r>
      <w:r w:rsidR="000C00AA" w:rsidRPr="002720D0">
        <w:rPr>
          <w:bCs/>
          <w:lang w:val="es-ES_tradnl"/>
        </w:rPr>
        <w:t>prosig</w:t>
      </w:r>
      <w:r w:rsidR="005D305E" w:rsidRPr="002720D0">
        <w:rPr>
          <w:bCs/>
          <w:lang w:val="es-ES_tradnl"/>
        </w:rPr>
        <w:t>uier</w:t>
      </w:r>
      <w:r w:rsidR="000C00AA" w:rsidRPr="002720D0">
        <w:rPr>
          <w:bCs/>
          <w:lang w:val="es-ES_tradnl"/>
        </w:rPr>
        <w:t>a y redobl</w:t>
      </w:r>
      <w:r w:rsidR="005D305E" w:rsidRPr="002720D0">
        <w:rPr>
          <w:bCs/>
          <w:lang w:val="es-ES_tradnl"/>
        </w:rPr>
        <w:t>as</w:t>
      </w:r>
      <w:r w:rsidR="000C00AA" w:rsidRPr="002720D0">
        <w:rPr>
          <w:bCs/>
          <w:lang w:val="es-ES_tradnl"/>
        </w:rPr>
        <w:t>e sus esfuerzos para destinar recursos humanos y financieros apropiados para que se prest</w:t>
      </w:r>
      <w:r w:rsidR="005D305E" w:rsidRPr="002720D0">
        <w:rPr>
          <w:bCs/>
          <w:lang w:val="es-ES_tradnl"/>
        </w:rPr>
        <w:t>ara</w:t>
      </w:r>
      <w:r w:rsidR="000C00AA" w:rsidRPr="002720D0">
        <w:rPr>
          <w:bCs/>
          <w:lang w:val="es-ES_tradnl"/>
        </w:rPr>
        <w:t>n la atención y la protección adecuadas a los niños privados de una familia.</w:t>
      </w:r>
      <w:r w:rsidR="000C00AA"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92.</w:t>
      </w:r>
      <w:r w:rsidRPr="002720D0">
        <w:rPr>
          <w:lang w:val="es-ES_tradnl"/>
        </w:rPr>
        <w:tab/>
      </w:r>
      <w:r w:rsidR="00130669" w:rsidRPr="002720D0">
        <w:rPr>
          <w:lang w:val="es-ES_tradnl"/>
        </w:rPr>
        <w:t>Durante el per</w:t>
      </w:r>
      <w:r w:rsidR="001D4995" w:rsidRPr="002720D0">
        <w:rPr>
          <w:lang w:val="es-ES_tradnl"/>
        </w:rPr>
        <w:t>íodo que se examina, el Estado p</w:t>
      </w:r>
      <w:r w:rsidR="00130669" w:rsidRPr="002720D0">
        <w:rPr>
          <w:lang w:val="es-ES_tradnl"/>
        </w:rPr>
        <w:t>arte aplicó las disposiciones del artículo 5 de la Convención relativas al entorno familiar y la orientación de los padres, cumpliendo con ello la anterior recomendación del Comité. Durante</w:t>
      </w:r>
      <w:r w:rsidR="001D4995" w:rsidRPr="002720D0">
        <w:rPr>
          <w:lang w:val="es-ES_tradnl"/>
        </w:rPr>
        <w:t xml:space="preserve"> este mismo </w:t>
      </w:r>
      <w:r w:rsidR="00826D7A">
        <w:rPr>
          <w:lang w:val="es-ES_tradnl"/>
        </w:rPr>
        <w:t>período</w:t>
      </w:r>
      <w:r w:rsidR="001D4995" w:rsidRPr="002720D0">
        <w:rPr>
          <w:lang w:val="es-ES_tradnl"/>
        </w:rPr>
        <w:t>, el Estado p</w:t>
      </w:r>
      <w:r w:rsidR="00130669" w:rsidRPr="002720D0">
        <w:rPr>
          <w:lang w:val="es-ES_tradnl"/>
        </w:rPr>
        <w:t xml:space="preserve">arte </w:t>
      </w:r>
      <w:r w:rsidR="00CA6BC8" w:rsidRPr="002720D0">
        <w:rPr>
          <w:lang w:val="es-ES_tradnl"/>
        </w:rPr>
        <w:t xml:space="preserve">promulgó disposiciones específicas en la Ley de la </w:t>
      </w:r>
      <w:r w:rsidR="00F37CE1" w:rsidRPr="002720D0">
        <w:rPr>
          <w:lang w:val="es-ES_tradnl"/>
        </w:rPr>
        <w:t>Infancia</w:t>
      </w:r>
      <w:r w:rsidR="00CA6BC8" w:rsidRPr="002720D0">
        <w:rPr>
          <w:lang w:val="es-ES_tradnl"/>
        </w:rPr>
        <w:t xml:space="preserve">, para Tanzanía continental, y la Ley del </w:t>
      </w:r>
      <w:r w:rsidR="00F37CE1" w:rsidRPr="002720D0">
        <w:rPr>
          <w:lang w:val="es-ES_tradnl"/>
        </w:rPr>
        <w:t>Niño</w:t>
      </w:r>
      <w:r w:rsidR="00CA6BC8" w:rsidRPr="002720D0">
        <w:rPr>
          <w:lang w:val="es-ES_tradnl"/>
        </w:rPr>
        <w:t xml:space="preserve">, para Zanzíbar; ambas requieren que el niño </w:t>
      </w:r>
      <w:r w:rsidR="005833B5" w:rsidRPr="002720D0">
        <w:rPr>
          <w:lang w:val="es-ES_tradnl"/>
        </w:rPr>
        <w:t>sea</w:t>
      </w:r>
      <w:r w:rsidR="00CA6BC8" w:rsidRPr="002720D0">
        <w:rPr>
          <w:lang w:val="es-ES_tradnl"/>
        </w:rPr>
        <w:t xml:space="preserve"> criado </w:t>
      </w:r>
      <w:r w:rsidR="001D4995" w:rsidRPr="002720D0">
        <w:rPr>
          <w:lang w:val="es-ES_tradnl"/>
        </w:rPr>
        <w:t>fundamentalmente</w:t>
      </w:r>
      <w:r w:rsidR="00CA6BC8" w:rsidRPr="002720D0">
        <w:rPr>
          <w:lang w:val="es-ES_tradnl"/>
        </w:rPr>
        <w:t xml:space="preserve"> en el entorno familiar. Ambas leyes disponen que todos los padres de familia </w:t>
      </w:r>
      <w:r w:rsidR="001D4995" w:rsidRPr="002720D0">
        <w:rPr>
          <w:lang w:val="es-ES_tradnl"/>
        </w:rPr>
        <w:t>han de</w:t>
      </w:r>
      <w:r w:rsidR="00CA6BC8" w:rsidRPr="002720D0">
        <w:rPr>
          <w:lang w:val="es-ES_tradnl"/>
        </w:rPr>
        <w:t xml:space="preserve"> ser responsables del cuidado y la protección de</w:t>
      </w:r>
      <w:r w:rsidR="00995FF7" w:rsidRPr="002720D0">
        <w:rPr>
          <w:lang w:val="es-ES_tradnl"/>
        </w:rPr>
        <w:t xml:space="preserve"> los hijos. Cuando los progenitores biológicos del niño hubieran fallecido, la responsabilidad parental podrá ser transmitida a un pariente del padre o de la madre o a un tutor, por medio de una orden judicial o de cualquier disposición tradicional</w:t>
      </w:r>
      <w:r w:rsidR="00151021" w:rsidRPr="002720D0">
        <w:rPr>
          <w:rStyle w:val="FootnoteReference"/>
          <w:lang w:val="es-ES_tradnl"/>
        </w:rPr>
        <w:footnoteReference w:id="46"/>
      </w:r>
      <w:r w:rsidR="00995FF7"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93.</w:t>
      </w:r>
      <w:r w:rsidRPr="002720D0">
        <w:rPr>
          <w:lang w:val="es-ES_tradnl"/>
        </w:rPr>
        <w:tab/>
      </w:r>
      <w:r w:rsidR="00995FF7" w:rsidRPr="002720D0">
        <w:rPr>
          <w:lang w:val="es-ES_tradnl"/>
        </w:rPr>
        <w:t xml:space="preserve">Asimismo, </w:t>
      </w:r>
      <w:r w:rsidR="00340924" w:rsidRPr="002720D0">
        <w:rPr>
          <w:lang w:val="es-ES_tradnl"/>
        </w:rPr>
        <w:t xml:space="preserve">tanto </w:t>
      </w:r>
      <w:r w:rsidR="00995FF7" w:rsidRPr="002720D0">
        <w:rPr>
          <w:lang w:val="es-ES_tradnl"/>
        </w:rPr>
        <w:t>la Política de promoción del niño (2</w:t>
      </w:r>
      <w:r w:rsidR="00340924" w:rsidRPr="002720D0">
        <w:rPr>
          <w:lang w:val="es-ES_tradnl"/>
        </w:rPr>
        <w:t>008) para Tanzanía continental como</w:t>
      </w:r>
      <w:r w:rsidR="00995FF7" w:rsidRPr="002720D0">
        <w:rPr>
          <w:lang w:val="es-ES_tradnl"/>
        </w:rPr>
        <w:t xml:space="preserve"> la Política de supervivencia, protección y promoción del niño (2001) para Zanzíbar </w:t>
      </w:r>
      <w:r w:rsidR="00340924" w:rsidRPr="002720D0">
        <w:rPr>
          <w:lang w:val="es-ES_tradnl"/>
        </w:rPr>
        <w:t xml:space="preserve">contienen disposiciones explícitas </w:t>
      </w:r>
      <w:r w:rsidR="00F739CB" w:rsidRPr="002720D0">
        <w:rPr>
          <w:lang w:val="es-ES_tradnl"/>
        </w:rPr>
        <w:t xml:space="preserve">correspondientes a </w:t>
      </w:r>
      <w:r w:rsidR="00340924" w:rsidRPr="002720D0">
        <w:rPr>
          <w:lang w:val="es-ES_tradnl"/>
        </w:rPr>
        <w:t xml:space="preserve">las responsabilidades de </w:t>
      </w:r>
      <w:r w:rsidR="00F739CB" w:rsidRPr="002720D0">
        <w:rPr>
          <w:lang w:val="es-ES_tradnl"/>
        </w:rPr>
        <w:t xml:space="preserve">los padres </w:t>
      </w:r>
      <w:r w:rsidR="00340924" w:rsidRPr="002720D0">
        <w:rPr>
          <w:lang w:val="es-ES_tradnl"/>
        </w:rPr>
        <w:t>relativas al</w:t>
      </w:r>
      <w:r w:rsidR="00F739CB" w:rsidRPr="002720D0">
        <w:rPr>
          <w:lang w:val="es-ES_tradnl"/>
        </w:rPr>
        <w:t xml:space="preserve"> cuidado, la orientación y la protección del niño. Además, </w:t>
      </w:r>
      <w:r w:rsidR="00340924" w:rsidRPr="002720D0">
        <w:rPr>
          <w:lang w:val="es-ES_tradnl"/>
        </w:rPr>
        <w:t>en MKUZA II, grupo II (</w:t>
      </w:r>
      <w:r w:rsidR="00062918" w:rsidRPr="002720D0">
        <w:rPr>
          <w:lang w:val="es-ES_tradnl"/>
        </w:rPr>
        <w:t>Bienestar social y servicios sociales de calidad), el artículo 2.6 procura mejorar las redes de seguridad y la protección social de los grupos de personas pobres y vulnerables,</w:t>
      </w:r>
      <w:r w:rsidR="008C6181" w:rsidRPr="002720D0">
        <w:rPr>
          <w:lang w:val="es-ES_tradnl"/>
        </w:rPr>
        <w:t xml:space="preserve"> que incluyen a los niños. En este</w:t>
      </w:r>
      <w:r w:rsidR="00062918" w:rsidRPr="002720D0">
        <w:rPr>
          <w:lang w:val="es-ES_tradnl"/>
        </w:rPr>
        <w:t xml:space="preserve"> grupo se formulan estrategias y conjuntos de </w:t>
      </w:r>
      <w:r w:rsidR="008C6181" w:rsidRPr="002720D0">
        <w:rPr>
          <w:lang w:val="es-ES_tradnl"/>
        </w:rPr>
        <w:t>medidas para tratar la cuestión del entorno familiar y la orientación o las responsabilidades de los padres en la crianza de los niños, comprendida la provisión de apoyo a las familias y los hogares pobres para el cuidado y la protección de los niños que están bajo su cuidado, la consolidación de las redes de seguridad y los traslados de mujeres embarazadas y niños vulnerables</w:t>
      </w:r>
      <w:r w:rsidR="00151021" w:rsidRPr="002720D0">
        <w:rPr>
          <w:rStyle w:val="FootnoteReference"/>
          <w:lang w:val="es-ES_tradnl"/>
        </w:rPr>
        <w:footnoteReference w:id="47"/>
      </w:r>
      <w:r w:rsidR="008C618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94.</w:t>
      </w:r>
      <w:r w:rsidRPr="002720D0">
        <w:rPr>
          <w:lang w:val="es-ES_tradnl"/>
        </w:rPr>
        <w:tab/>
      </w:r>
      <w:r w:rsidR="00B11255" w:rsidRPr="002720D0">
        <w:rPr>
          <w:lang w:val="es-ES_tradnl"/>
        </w:rPr>
        <w:t>Asimismo, el Estado p</w:t>
      </w:r>
      <w:r w:rsidR="008C6181" w:rsidRPr="002720D0">
        <w:rPr>
          <w:lang w:val="es-ES_tradnl"/>
        </w:rPr>
        <w:t xml:space="preserve">arte dio inicio a una intervención destinada a los niños más vulnerables, a la luz de la preocupación causada por el creciente número de niños que han quedado huérfanos como resultado del VIH/SIDA. En este contexto, en la actualidad </w:t>
      </w:r>
      <w:r w:rsidR="00B11255" w:rsidRPr="002720D0">
        <w:rPr>
          <w:lang w:val="es-ES_tradnl"/>
        </w:rPr>
        <w:t xml:space="preserve">existen </w:t>
      </w:r>
      <w:r w:rsidR="008C6181" w:rsidRPr="002720D0">
        <w:rPr>
          <w:lang w:val="es-ES_tradnl"/>
        </w:rPr>
        <w:t xml:space="preserve">programas que proporcionan apoyo a todos los niños </w:t>
      </w:r>
      <w:r w:rsidR="00B11255" w:rsidRPr="002720D0">
        <w:rPr>
          <w:lang w:val="es-ES_tradnl"/>
        </w:rPr>
        <w:t xml:space="preserve">considerados como </w:t>
      </w:r>
      <w:r w:rsidR="008C6181" w:rsidRPr="002720D0">
        <w:rPr>
          <w:lang w:val="es-ES_tradnl"/>
        </w:rPr>
        <w:t xml:space="preserve">más vulnerables, con el fin de evitar el estigma que entraña la identificación de niños más vulnerables con el VIH/SIDA y también porque una considerable proporción de los niños más vulnerables no son huérfanos, sino más bien niños en condiciones de indigencia. Estos programas se están </w:t>
      </w:r>
      <w:r w:rsidR="002E581B" w:rsidRPr="002720D0">
        <w:rPr>
          <w:lang w:val="es-ES_tradnl"/>
        </w:rPr>
        <w:t>llevando a cabo</w:t>
      </w:r>
      <w:r w:rsidR="008C6181" w:rsidRPr="002720D0">
        <w:rPr>
          <w:lang w:val="es-ES_tradnl"/>
        </w:rPr>
        <w:t xml:space="preserve"> como alterna</w:t>
      </w:r>
      <w:r w:rsidR="002E581B" w:rsidRPr="002720D0">
        <w:rPr>
          <w:lang w:val="es-ES_tradnl"/>
        </w:rPr>
        <w:t xml:space="preserve">tiva a un entorno familiar para los niños más vulnerables, en el contexto de la Ley de la </w:t>
      </w:r>
      <w:r w:rsidR="00F37CE1" w:rsidRPr="002720D0">
        <w:rPr>
          <w:lang w:val="es-ES_tradnl"/>
        </w:rPr>
        <w:t xml:space="preserve">Infancia </w:t>
      </w:r>
      <w:r w:rsidR="002E581B" w:rsidRPr="002720D0">
        <w:rPr>
          <w:lang w:val="es-ES_tradnl"/>
        </w:rPr>
        <w:t xml:space="preserve">y la Ley del </w:t>
      </w:r>
      <w:r w:rsidR="00F37CE1" w:rsidRPr="002720D0">
        <w:rPr>
          <w:lang w:val="es-ES_tradnl"/>
        </w:rPr>
        <w:t xml:space="preserve">Niño </w:t>
      </w:r>
      <w:r w:rsidR="002E581B" w:rsidRPr="002720D0">
        <w:rPr>
          <w:lang w:val="es-ES_tradnl"/>
        </w:rPr>
        <w:t>de Zanzíbar.</w:t>
      </w:r>
      <w:r w:rsidR="00151021" w:rsidRPr="002720D0">
        <w:rPr>
          <w:lang w:val="es-ES_tradnl"/>
        </w:rPr>
        <w:t xml:space="preserve"> </w:t>
      </w:r>
    </w:p>
    <w:p w:rsidR="004076C1" w:rsidRPr="002720D0" w:rsidRDefault="00323974" w:rsidP="008370A8">
      <w:pPr>
        <w:pStyle w:val="H1G"/>
        <w:rPr>
          <w:lang w:val="es-ES_tradnl"/>
        </w:rPr>
      </w:pPr>
      <w:bookmarkStart w:id="28" w:name="_Toc313470864"/>
      <w:r w:rsidRPr="002720D0">
        <w:rPr>
          <w:lang w:val="es-ES_tradnl"/>
        </w:rPr>
        <w:tab/>
      </w:r>
      <w:r w:rsidR="00151021" w:rsidRPr="002720D0">
        <w:rPr>
          <w:lang w:val="es-ES_tradnl"/>
        </w:rPr>
        <w:t>5.2</w:t>
      </w:r>
      <w:r w:rsidRPr="002720D0">
        <w:rPr>
          <w:lang w:val="es-ES_tradnl"/>
        </w:rPr>
        <w:tab/>
      </w:r>
      <w:r w:rsidR="00F00895" w:rsidRPr="002720D0">
        <w:rPr>
          <w:lang w:val="es-ES_tradnl"/>
        </w:rPr>
        <w:t xml:space="preserve">Obligaciones comunes de los padres, asistencia a los padres y </w:t>
      </w:r>
      <w:r w:rsidR="008370A8">
        <w:rPr>
          <w:lang w:val="es-ES_tradnl"/>
        </w:rPr>
        <w:br/>
      </w:r>
      <w:r w:rsidR="00F00895" w:rsidRPr="002720D0">
        <w:rPr>
          <w:lang w:val="es-ES_tradnl"/>
        </w:rPr>
        <w:t xml:space="preserve">prestación de servicios de atención </w:t>
      </w:r>
      <w:r w:rsidR="00EE52D6" w:rsidRPr="002720D0">
        <w:rPr>
          <w:lang w:val="es-ES_tradnl"/>
        </w:rPr>
        <w:t>a la infancia</w:t>
      </w:r>
      <w:r w:rsidR="00F00895" w:rsidRPr="002720D0">
        <w:rPr>
          <w:lang w:val="es-ES_tradnl"/>
        </w:rPr>
        <w:t xml:space="preserve"> </w:t>
      </w:r>
      <w:bookmarkEnd w:id="28"/>
      <w:r w:rsidR="00151021" w:rsidRPr="002720D0">
        <w:rPr>
          <w:lang w:val="es-ES_tradnl"/>
        </w:rPr>
        <w:t>(</w:t>
      </w:r>
      <w:r w:rsidR="0016417F" w:rsidRPr="002720D0">
        <w:rPr>
          <w:lang w:val="es-ES_tradnl"/>
        </w:rPr>
        <w:t>a</w:t>
      </w:r>
      <w:r w:rsidR="00EE581B" w:rsidRPr="002720D0">
        <w:rPr>
          <w:lang w:val="es-ES_tradnl"/>
        </w:rPr>
        <w:t>rt.</w:t>
      </w:r>
      <w:r w:rsidR="00151021" w:rsidRPr="002720D0">
        <w:rPr>
          <w:lang w:val="es-ES_tradnl"/>
        </w:rPr>
        <w:t xml:space="preserve"> 18)</w:t>
      </w:r>
    </w:p>
    <w:p w:rsidR="00151021" w:rsidRPr="002720D0" w:rsidRDefault="004F6364" w:rsidP="004F6364">
      <w:pPr>
        <w:pStyle w:val="SingleTxtG"/>
        <w:tabs>
          <w:tab w:val="left" w:pos="-360"/>
        </w:tabs>
        <w:rPr>
          <w:lang w:val="es-ES_tradnl"/>
        </w:rPr>
      </w:pPr>
      <w:r w:rsidRPr="002720D0">
        <w:rPr>
          <w:lang w:val="es-ES_tradnl"/>
        </w:rPr>
        <w:t>95.</w:t>
      </w:r>
      <w:r w:rsidRPr="002720D0">
        <w:rPr>
          <w:lang w:val="es-ES_tradnl"/>
        </w:rPr>
        <w:tab/>
      </w:r>
      <w:r w:rsidR="00151021" w:rsidRPr="002720D0">
        <w:rPr>
          <w:lang w:val="es-ES_tradnl"/>
        </w:rPr>
        <w:t>Dur</w:t>
      </w:r>
      <w:r w:rsidR="00F00895" w:rsidRPr="002720D0">
        <w:rPr>
          <w:lang w:val="es-ES_tradnl"/>
        </w:rPr>
        <w:t>ante el período cubierto por este informe,</w:t>
      </w:r>
      <w:r w:rsidR="0002256C" w:rsidRPr="002720D0">
        <w:rPr>
          <w:lang w:val="es-ES_tradnl"/>
        </w:rPr>
        <w:t xml:space="preserve"> el Estado p</w:t>
      </w:r>
      <w:r w:rsidR="004076C1" w:rsidRPr="002720D0">
        <w:rPr>
          <w:lang w:val="es-ES_tradnl"/>
        </w:rPr>
        <w:t>arte ha dado cumpli</w:t>
      </w:r>
      <w:r w:rsidR="00F00895" w:rsidRPr="002720D0">
        <w:rPr>
          <w:lang w:val="es-ES_tradnl"/>
        </w:rPr>
        <w:t>m</w:t>
      </w:r>
      <w:r w:rsidR="004076C1" w:rsidRPr="002720D0">
        <w:rPr>
          <w:lang w:val="es-ES_tradnl"/>
        </w:rPr>
        <w:t>iento al artículo 18 de la Co</w:t>
      </w:r>
      <w:r w:rsidR="00F00895" w:rsidRPr="002720D0">
        <w:rPr>
          <w:lang w:val="es-ES_tradnl"/>
        </w:rPr>
        <w:t xml:space="preserve">nvención en lo relativo a las obligaciones comunes de los padres en </w:t>
      </w:r>
      <w:r w:rsidR="0002256C" w:rsidRPr="002720D0">
        <w:rPr>
          <w:lang w:val="es-ES_tradnl"/>
        </w:rPr>
        <w:t>cuanto</w:t>
      </w:r>
      <w:r w:rsidR="00F00895" w:rsidRPr="002720D0">
        <w:rPr>
          <w:lang w:val="es-ES_tradnl"/>
        </w:rPr>
        <w:t xml:space="preserve"> a la cr</w:t>
      </w:r>
      <w:r w:rsidR="004076C1" w:rsidRPr="002720D0">
        <w:rPr>
          <w:lang w:val="es-ES_tradnl"/>
        </w:rPr>
        <w:t xml:space="preserve">ianza y el desarrollo del niño. Las correspondientes estipulaciones se contienen en los artículos 8 y 16 de la Ley de la </w:t>
      </w:r>
      <w:r w:rsidR="00F37CE1" w:rsidRPr="002720D0">
        <w:rPr>
          <w:lang w:val="es-ES_tradnl"/>
        </w:rPr>
        <w:t xml:space="preserve">Infancia </w:t>
      </w:r>
      <w:r w:rsidR="004076C1" w:rsidRPr="002720D0">
        <w:rPr>
          <w:lang w:val="es-ES_tradnl"/>
        </w:rPr>
        <w:t xml:space="preserve">(2009) para Tanzanía continental y en el artículo 10 de la Ley del </w:t>
      </w:r>
      <w:r w:rsidR="008412B7" w:rsidRPr="002720D0">
        <w:rPr>
          <w:lang w:val="es-ES_tradnl"/>
        </w:rPr>
        <w:t xml:space="preserve">Niño </w:t>
      </w:r>
      <w:r w:rsidR="004076C1" w:rsidRPr="002720D0">
        <w:rPr>
          <w:lang w:val="es-ES_tradnl"/>
        </w:rPr>
        <w:t>de Zanzíbar</w:t>
      </w:r>
      <w:r w:rsidR="0002256C" w:rsidRPr="002720D0">
        <w:rPr>
          <w:lang w:val="es-ES_tradnl"/>
        </w:rPr>
        <w:t xml:space="preserve"> (2011)</w:t>
      </w:r>
      <w:r w:rsidR="00FC111D" w:rsidRPr="002720D0">
        <w:rPr>
          <w:lang w:val="es-ES_tradnl"/>
        </w:rPr>
        <w:t>; en ellas, el Estado p</w:t>
      </w:r>
      <w:r w:rsidR="004076C1" w:rsidRPr="002720D0">
        <w:rPr>
          <w:lang w:val="es-ES_tradnl"/>
        </w:rPr>
        <w:t xml:space="preserve">arte dispone la responsabilidad común de los padres </w:t>
      </w:r>
      <w:r w:rsidR="0002256C" w:rsidRPr="002720D0">
        <w:rPr>
          <w:lang w:val="es-ES_tradnl"/>
        </w:rPr>
        <w:t xml:space="preserve">respecto </w:t>
      </w:r>
      <w:r w:rsidR="004076C1" w:rsidRPr="002720D0">
        <w:rPr>
          <w:lang w:val="es-ES_tradnl"/>
        </w:rPr>
        <w:t xml:space="preserve">de los cuidados y la protección del niño mediante la provisión de </w:t>
      </w:r>
      <w:r w:rsidR="0002256C" w:rsidRPr="002720D0">
        <w:rPr>
          <w:lang w:val="es-ES_tradnl"/>
        </w:rPr>
        <w:t>alimentos, alojamiento, ropa, educación, cuidados médicos y libertad, así como el</w:t>
      </w:r>
      <w:r w:rsidR="004076C1" w:rsidRPr="002720D0">
        <w:rPr>
          <w:lang w:val="es-ES_tradnl"/>
        </w:rPr>
        <w:t xml:space="preserve"> derecho al juego y al esparcimiento. Ambas leyes disponen que todos los padres o las personas </w:t>
      </w:r>
      <w:r w:rsidR="00425364" w:rsidRPr="002720D0">
        <w:rPr>
          <w:lang w:val="es-ES_tradnl"/>
        </w:rPr>
        <w:t>que tengan la responsabilidad legal</w:t>
      </w:r>
      <w:r w:rsidR="004076C1" w:rsidRPr="002720D0">
        <w:rPr>
          <w:lang w:val="es-ES_tradnl"/>
        </w:rPr>
        <w:t xml:space="preserve"> </w:t>
      </w:r>
      <w:r w:rsidR="00425364" w:rsidRPr="002720D0">
        <w:rPr>
          <w:lang w:val="es-ES_tradnl"/>
        </w:rPr>
        <w:t xml:space="preserve">respecto </w:t>
      </w:r>
      <w:r w:rsidR="004076C1" w:rsidRPr="002720D0">
        <w:rPr>
          <w:lang w:val="es-ES_tradnl"/>
        </w:rPr>
        <w:t>de un niño tendrán el deber de velar por que su preocupación fundamental sea en todo momento el interés superior del niño</w:t>
      </w:r>
      <w:r w:rsidR="00151021" w:rsidRPr="002720D0">
        <w:rPr>
          <w:rStyle w:val="FootnoteReference"/>
          <w:lang w:val="es-ES_tradnl"/>
        </w:rPr>
        <w:footnoteReference w:id="48"/>
      </w:r>
      <w:r w:rsidR="004076C1" w:rsidRPr="002720D0">
        <w:rPr>
          <w:lang w:val="es-ES_tradnl"/>
        </w:rPr>
        <w:t xml:space="preserve">. </w:t>
      </w:r>
      <w:r w:rsidR="0002256C" w:rsidRPr="002720D0">
        <w:rPr>
          <w:lang w:val="es-ES_tradnl"/>
        </w:rPr>
        <w:t>Cuando fuera necesario proporcionar</w:t>
      </w:r>
      <w:r w:rsidR="004076C1" w:rsidRPr="002720D0">
        <w:rPr>
          <w:lang w:val="es-ES_tradnl"/>
        </w:rPr>
        <w:t xml:space="preserve"> </w:t>
      </w:r>
      <w:r w:rsidR="00425364" w:rsidRPr="002720D0">
        <w:rPr>
          <w:lang w:val="es-ES_tradnl"/>
        </w:rPr>
        <w:t xml:space="preserve">programas de apoyo y </w:t>
      </w:r>
      <w:r w:rsidR="004076C1" w:rsidRPr="002720D0">
        <w:rPr>
          <w:lang w:val="es-ES_tradnl"/>
        </w:rPr>
        <w:t xml:space="preserve">asistencia </w:t>
      </w:r>
      <w:r w:rsidR="0002256C" w:rsidRPr="002720D0">
        <w:rPr>
          <w:lang w:val="es-ES_tradnl"/>
        </w:rPr>
        <w:t>material, el Estado p</w:t>
      </w:r>
      <w:r w:rsidR="00425364" w:rsidRPr="002720D0">
        <w:rPr>
          <w:lang w:val="es-ES_tradnl"/>
        </w:rPr>
        <w:t>arte tiene el deber de salvaguardar y promover el bienestar del niño dentro de su esfera de jurisdicción</w:t>
      </w:r>
      <w:r w:rsidR="00151021" w:rsidRPr="002720D0">
        <w:rPr>
          <w:rStyle w:val="FootnoteReference"/>
          <w:lang w:val="es-ES_tradnl"/>
        </w:rPr>
        <w:footnoteReference w:id="49"/>
      </w:r>
      <w:r w:rsidR="00425364" w:rsidRPr="002720D0">
        <w:rPr>
          <w:lang w:val="es-ES_tradnl"/>
        </w:rPr>
        <w:t>.</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96.</w:t>
      </w:r>
      <w:r w:rsidRPr="002720D0">
        <w:rPr>
          <w:lang w:val="es-ES_tradnl"/>
        </w:rPr>
        <w:tab/>
      </w:r>
      <w:r w:rsidR="00425364" w:rsidRPr="002720D0">
        <w:rPr>
          <w:lang w:val="es-ES_tradnl"/>
        </w:rPr>
        <w:t>La Política de promoción del niño (2008) para Tanzanía continental y la Política de supervivencia, protección y promoción del niño (2001) para Zanzíbar estipulan</w:t>
      </w:r>
      <w:r w:rsidR="0002256C" w:rsidRPr="002720D0">
        <w:rPr>
          <w:lang w:val="es-ES_tradnl"/>
        </w:rPr>
        <w:t xml:space="preserve"> la responsabilidad del Estado p</w:t>
      </w:r>
      <w:r w:rsidR="00425364" w:rsidRPr="002720D0">
        <w:rPr>
          <w:lang w:val="es-ES_tradnl"/>
        </w:rPr>
        <w:t>arte en la elaboración, la gestión y la aplicación de leyes, normativas y directrices relativas al bienestar, el desarrollo y los derechos del niño</w:t>
      </w:r>
      <w:r w:rsidR="0002256C" w:rsidRPr="002720D0">
        <w:rPr>
          <w:lang w:val="es-ES_tradnl"/>
        </w:rPr>
        <w:t>,</w:t>
      </w:r>
      <w:r w:rsidR="00425364" w:rsidRPr="002720D0">
        <w:rPr>
          <w:lang w:val="es-ES_tradnl"/>
        </w:rPr>
        <w:t xml:space="preserve"> y la coordinación de su aplicación en los planos de la familia, la comunidad y el distrito. </w:t>
      </w:r>
    </w:p>
    <w:p w:rsidR="00151021" w:rsidRPr="002720D0" w:rsidRDefault="004F6364" w:rsidP="004F6364">
      <w:pPr>
        <w:pStyle w:val="SingleTxtG"/>
        <w:tabs>
          <w:tab w:val="left" w:pos="-360"/>
        </w:tabs>
        <w:rPr>
          <w:lang w:val="es-ES_tradnl"/>
        </w:rPr>
      </w:pPr>
      <w:r w:rsidRPr="002720D0">
        <w:rPr>
          <w:lang w:val="es-ES_tradnl"/>
        </w:rPr>
        <w:t>97.</w:t>
      </w:r>
      <w:r w:rsidRPr="002720D0">
        <w:rPr>
          <w:lang w:val="es-ES_tradnl"/>
        </w:rPr>
        <w:tab/>
      </w:r>
      <w:r w:rsidR="0002256C" w:rsidRPr="002720D0">
        <w:rPr>
          <w:lang w:val="es-ES_tradnl"/>
        </w:rPr>
        <w:t>El Estado p</w:t>
      </w:r>
      <w:r w:rsidR="00425364" w:rsidRPr="002720D0">
        <w:rPr>
          <w:lang w:val="es-ES_tradnl"/>
        </w:rPr>
        <w:t>arte ha elaborado la Política integrada de desarrollo en la primera infancia. Este proyecto final de política se ha distribuido entre varias p</w:t>
      </w:r>
      <w:r w:rsidR="005833B5" w:rsidRPr="002720D0">
        <w:rPr>
          <w:lang w:val="es-ES_tradnl"/>
        </w:rPr>
        <w:t>artes interesadas, y en la actu</w:t>
      </w:r>
      <w:r w:rsidR="00425364" w:rsidRPr="002720D0">
        <w:rPr>
          <w:lang w:val="es-ES_tradnl"/>
        </w:rPr>
        <w:t>alidad se ha presentado a la autoridad gubernamen</w:t>
      </w:r>
      <w:r w:rsidR="00516CF1" w:rsidRPr="002720D0">
        <w:rPr>
          <w:lang w:val="es-ES_tradnl"/>
        </w:rPr>
        <w:t>tal para su aprobación. Además, dentro de esta política se han elaborado y aprobado la Directriz operacional y normas mínimas, la Directriz para el facilitador, los Módulos y directrices de formación en el servicio para los cuidadores</w:t>
      </w:r>
      <w:r w:rsidR="00022914" w:rsidRPr="002720D0">
        <w:rPr>
          <w:lang w:val="es-ES_tradnl"/>
        </w:rPr>
        <w:t xml:space="preserve"> </w:t>
      </w:r>
      <w:r w:rsidR="00516CF1" w:rsidRPr="002720D0">
        <w:rPr>
          <w:lang w:val="es-ES_tradnl"/>
        </w:rPr>
        <w:t>y los maestros de educación preescolar, la Guía de materiales didácticos y de juego</w:t>
      </w:r>
      <w:r w:rsidR="00151021" w:rsidRPr="002720D0">
        <w:rPr>
          <w:lang w:val="es-ES_tradnl"/>
        </w:rPr>
        <w:t xml:space="preserve">, </w:t>
      </w:r>
      <w:r w:rsidR="00022914" w:rsidRPr="002720D0">
        <w:rPr>
          <w:lang w:val="es-ES_tradnl"/>
        </w:rPr>
        <w:t>y los materiales de promoción de la Política integrada de d</w:t>
      </w:r>
      <w:r w:rsidR="005833B5" w:rsidRPr="002720D0">
        <w:rPr>
          <w:lang w:val="es-ES_tradnl"/>
        </w:rPr>
        <w:t>esarrollo en la primera infanci</w:t>
      </w:r>
      <w:r w:rsidR="00022914" w:rsidRPr="002720D0">
        <w:rPr>
          <w:lang w:val="es-ES_tradnl"/>
        </w:rPr>
        <w:t>a, que están listos para s</w:t>
      </w:r>
      <w:r w:rsidR="002A43BD" w:rsidRPr="002720D0">
        <w:rPr>
          <w:lang w:val="es-ES_tradnl"/>
        </w:rPr>
        <w:t>u impresión y divulgación. En la actualidad se</w:t>
      </w:r>
      <w:r w:rsidR="001D2A53">
        <w:rPr>
          <w:lang w:val="es-ES_tradnl"/>
        </w:rPr>
        <w:t xml:space="preserve"> </w:t>
      </w:r>
      <w:r w:rsidR="00022914" w:rsidRPr="002720D0">
        <w:rPr>
          <w:lang w:val="es-ES_tradnl"/>
        </w:rPr>
        <w:t xml:space="preserve">está haciendo uso de los programas de radio y de televisión para </w:t>
      </w:r>
      <w:r w:rsidR="002A43BD" w:rsidRPr="002720D0">
        <w:rPr>
          <w:lang w:val="es-ES_tradnl"/>
        </w:rPr>
        <w:t>promover este aspecto. D</w:t>
      </w:r>
      <w:r w:rsidR="00022914" w:rsidRPr="002720D0">
        <w:rPr>
          <w:lang w:val="es-ES_tradnl"/>
        </w:rPr>
        <w:t>entro de la Política integrada de desar</w:t>
      </w:r>
      <w:r w:rsidR="002A43BD" w:rsidRPr="002720D0">
        <w:rPr>
          <w:lang w:val="es-ES_tradnl"/>
        </w:rPr>
        <w:t>rollo en la primera infancia también</w:t>
      </w:r>
      <w:r w:rsidR="00022914" w:rsidRPr="002720D0">
        <w:rPr>
          <w:lang w:val="es-ES_tradnl"/>
        </w:rPr>
        <w:t xml:space="preserve"> se está haciendo uso del Programa escolar de los derechos del niño; por otra parte, las Normativas para la gestión de las guarderías y el Marco para el análisis, el seguimiento y la evaluación se encuentran en las fases finales de elaboración y aprobación. </w:t>
      </w:r>
    </w:p>
    <w:p w:rsidR="00151021" w:rsidRPr="002720D0" w:rsidRDefault="004F6364" w:rsidP="004F6364">
      <w:pPr>
        <w:pStyle w:val="SingleTxtG"/>
        <w:tabs>
          <w:tab w:val="left" w:pos="-360"/>
        </w:tabs>
        <w:rPr>
          <w:lang w:val="es-ES_tradnl"/>
        </w:rPr>
      </w:pPr>
      <w:r w:rsidRPr="002720D0">
        <w:rPr>
          <w:lang w:val="es-ES_tradnl"/>
        </w:rPr>
        <w:t>98.</w:t>
      </w:r>
      <w:r w:rsidRPr="002720D0">
        <w:rPr>
          <w:lang w:val="es-ES_tradnl"/>
        </w:rPr>
        <w:tab/>
      </w:r>
      <w:r w:rsidR="00022914" w:rsidRPr="002720D0">
        <w:rPr>
          <w:lang w:val="es-ES_tradnl"/>
        </w:rPr>
        <w:t xml:space="preserve">A tenor de la base de datos relativa a los niños más vulnerables, en la actualidad el Plan de acción nacional presupuestado ha llegado </w:t>
      </w:r>
      <w:r w:rsidR="006D2C8A" w:rsidRPr="002720D0">
        <w:rPr>
          <w:lang w:val="es-ES_tradnl"/>
        </w:rPr>
        <w:t xml:space="preserve">como mínimo a un municipio </w:t>
      </w:r>
      <w:r w:rsidR="00022914" w:rsidRPr="002720D0">
        <w:rPr>
          <w:lang w:val="es-ES_tradnl"/>
        </w:rPr>
        <w:t>en 62 distritos de la zona continental. Se han identificado 410.</w:t>
      </w:r>
      <w:r w:rsidR="00151021" w:rsidRPr="002720D0">
        <w:rPr>
          <w:lang w:val="es-ES_tradnl"/>
        </w:rPr>
        <w:t>000</w:t>
      </w:r>
      <w:r w:rsidR="00022914" w:rsidRPr="002720D0">
        <w:rPr>
          <w:lang w:val="es-ES_tradnl"/>
        </w:rPr>
        <w:t xml:space="preserve"> niños más vulnerables mediante el proceso normalizado de identificación; de estos, 160.</w:t>
      </w:r>
      <w:r w:rsidR="00151021" w:rsidRPr="002720D0">
        <w:rPr>
          <w:lang w:val="es-ES_tradnl"/>
        </w:rPr>
        <w:t xml:space="preserve">000 </w:t>
      </w:r>
      <w:r w:rsidR="002A43BD" w:rsidRPr="002720D0">
        <w:rPr>
          <w:lang w:val="es-ES_tradnl"/>
        </w:rPr>
        <w:t xml:space="preserve">niños </w:t>
      </w:r>
      <w:r w:rsidR="00022914" w:rsidRPr="002720D0">
        <w:rPr>
          <w:lang w:val="es-ES_tradnl"/>
        </w:rPr>
        <w:t xml:space="preserve">reciben alguna forma de apoyo. No obstante, este número no representa sino una pequeña proporción del </w:t>
      </w:r>
      <w:r w:rsidR="00FC111D" w:rsidRPr="002720D0">
        <w:rPr>
          <w:lang w:val="es-ES_tradnl"/>
        </w:rPr>
        <w:t xml:space="preserve">total de 1 </w:t>
      </w:r>
      <w:r w:rsidR="00022914" w:rsidRPr="002720D0">
        <w:rPr>
          <w:lang w:val="es-ES_tradnl"/>
        </w:rPr>
        <w:t>millón de niños más vulnerables que se estima habitan en Tanzanía continental</w:t>
      </w:r>
      <w:r w:rsidR="00151021" w:rsidRPr="002720D0">
        <w:rPr>
          <w:rStyle w:val="FootnoteReference"/>
          <w:lang w:val="es-ES_tradnl"/>
        </w:rPr>
        <w:footnoteReference w:id="50"/>
      </w:r>
      <w:r w:rsidR="00022914" w:rsidRPr="002720D0">
        <w:rPr>
          <w:lang w:val="es-ES_tradnl"/>
        </w:rPr>
        <w:t>.</w:t>
      </w:r>
    </w:p>
    <w:p w:rsidR="00151021" w:rsidRPr="002720D0" w:rsidRDefault="00323974" w:rsidP="00586395">
      <w:pPr>
        <w:pStyle w:val="H1G"/>
        <w:outlineLvl w:val="0"/>
        <w:rPr>
          <w:lang w:val="es-ES_tradnl"/>
        </w:rPr>
      </w:pPr>
      <w:bookmarkStart w:id="29" w:name="_Toc313470865"/>
      <w:r w:rsidRPr="002720D0">
        <w:rPr>
          <w:lang w:val="es-ES_tradnl"/>
        </w:rPr>
        <w:tab/>
      </w:r>
      <w:r w:rsidR="00151021" w:rsidRPr="002720D0">
        <w:rPr>
          <w:lang w:val="es-ES_tradnl"/>
        </w:rPr>
        <w:t>5.3</w:t>
      </w:r>
      <w:r w:rsidRPr="002720D0">
        <w:rPr>
          <w:lang w:val="es-ES_tradnl"/>
        </w:rPr>
        <w:tab/>
      </w:r>
      <w:bookmarkEnd w:id="29"/>
      <w:r w:rsidR="0042327F" w:rsidRPr="002720D0">
        <w:rPr>
          <w:lang w:val="es-ES_tradnl"/>
        </w:rPr>
        <w:t>Separación del niño con respecto a los padres</w:t>
      </w:r>
      <w:r w:rsidR="002A43BD" w:rsidRPr="002720D0">
        <w:rPr>
          <w:lang w:val="es-ES_tradnl"/>
        </w:rPr>
        <w:t xml:space="preserve"> (art.</w:t>
      </w:r>
      <w:r w:rsidR="0042327F" w:rsidRPr="002720D0">
        <w:rPr>
          <w:lang w:val="es-ES_tradnl"/>
        </w:rPr>
        <w:t xml:space="preserve"> 9)</w:t>
      </w:r>
    </w:p>
    <w:p w:rsidR="00151021" w:rsidRPr="001418B0" w:rsidRDefault="004F6364" w:rsidP="004F6364">
      <w:pPr>
        <w:pStyle w:val="SingleTxtG"/>
        <w:tabs>
          <w:tab w:val="left" w:pos="-360"/>
        </w:tabs>
      </w:pPr>
      <w:r w:rsidRPr="002720D0">
        <w:rPr>
          <w:lang w:val="es-ES_tradnl"/>
        </w:rPr>
        <w:t>99.</w:t>
      </w:r>
      <w:r w:rsidRPr="002720D0">
        <w:rPr>
          <w:lang w:val="es-ES_tradnl"/>
        </w:rPr>
        <w:tab/>
      </w:r>
      <w:r w:rsidR="00151021" w:rsidRPr="002720D0">
        <w:rPr>
          <w:lang w:val="es-ES_tradnl"/>
        </w:rPr>
        <w:t>Dur</w:t>
      </w:r>
      <w:r w:rsidR="007B1051" w:rsidRPr="002720D0">
        <w:rPr>
          <w:lang w:val="es-ES_tradnl"/>
        </w:rPr>
        <w:t xml:space="preserve">ante el período que se examina, </w:t>
      </w:r>
      <w:r w:rsidR="00FC111D" w:rsidRPr="002720D0">
        <w:rPr>
          <w:lang w:val="es-ES_tradnl"/>
        </w:rPr>
        <w:t>el Estado p</w:t>
      </w:r>
      <w:r w:rsidR="00F46CA6" w:rsidRPr="002720D0">
        <w:rPr>
          <w:lang w:val="es-ES_tradnl"/>
        </w:rPr>
        <w:t>arte continuó aplicando el artículo 9 de la Convención</w:t>
      </w:r>
      <w:r w:rsidR="00FC111D" w:rsidRPr="002720D0">
        <w:rPr>
          <w:lang w:val="es-ES_tradnl"/>
        </w:rPr>
        <w:t xml:space="preserve">, que estipula que los Estados </w:t>
      </w:r>
      <w:r w:rsidR="00305729" w:rsidRPr="002720D0">
        <w:rPr>
          <w:lang w:val="es-ES_tradnl"/>
        </w:rPr>
        <w:t xml:space="preserve">partes </w:t>
      </w:r>
      <w:r w:rsidR="00F46CA6" w:rsidRPr="002720D0">
        <w:rPr>
          <w:lang w:val="es-ES_tradnl"/>
        </w:rPr>
        <w:t>velarán por que el niño no sea separado de su</w:t>
      </w:r>
      <w:r w:rsidR="00C35EC5" w:rsidRPr="002720D0">
        <w:rPr>
          <w:lang w:val="es-ES_tradnl"/>
        </w:rPr>
        <w:t>s padres contra la voluntad de e</w:t>
      </w:r>
      <w:r w:rsidR="00F46CA6" w:rsidRPr="002720D0">
        <w:rPr>
          <w:lang w:val="es-ES_tradnl"/>
        </w:rPr>
        <w:t xml:space="preserve">stos, excepto cuando, a reserva de revisión judicial, las autoridades competentes determinen, de conformidad con la ley y los procedimientos aplicables, que tal separación es necesaria en el interés superior del niño. Si se produjera una circunstancia que pudiera causar </w:t>
      </w:r>
      <w:r w:rsidR="005231F9" w:rsidRPr="002720D0">
        <w:rPr>
          <w:lang w:val="es-ES_tradnl"/>
        </w:rPr>
        <w:t>la separación de sus padres, se tomará en consideración el interés superior del niño. Esta consideración correrá a cargo de las autoridades competentes, quienes</w:t>
      </w:r>
      <w:r w:rsidR="00FC111D" w:rsidRPr="002720D0">
        <w:rPr>
          <w:lang w:val="es-ES_tradnl"/>
        </w:rPr>
        <w:t xml:space="preserve"> determinarán</w:t>
      </w:r>
      <w:r w:rsidR="005231F9" w:rsidRPr="002720D0">
        <w:rPr>
          <w:lang w:val="es-ES_tradnl"/>
        </w:rPr>
        <w:t>, a reserva de revisi</w:t>
      </w:r>
      <w:r w:rsidR="00FC111D" w:rsidRPr="002720D0">
        <w:rPr>
          <w:lang w:val="es-ES_tradnl"/>
        </w:rPr>
        <w:t>ón judicial y</w:t>
      </w:r>
      <w:r w:rsidR="005231F9" w:rsidRPr="002720D0">
        <w:rPr>
          <w:lang w:val="es-ES_tradnl"/>
        </w:rPr>
        <w:t xml:space="preserve"> de conformidad con la ley y los procedimientos aplicables, </w:t>
      </w:r>
      <w:r w:rsidR="00FC111D" w:rsidRPr="002720D0">
        <w:rPr>
          <w:lang w:val="es-ES_tradnl"/>
        </w:rPr>
        <w:t>que</w:t>
      </w:r>
      <w:r w:rsidR="005231F9" w:rsidRPr="002720D0">
        <w:rPr>
          <w:lang w:val="es-ES_tradnl"/>
        </w:rPr>
        <w:t xml:space="preserve"> tal separación es necesaria en el interés superior del niño. Tanto la Ley de la </w:t>
      </w:r>
      <w:r w:rsidR="008412B7" w:rsidRPr="002720D0">
        <w:rPr>
          <w:lang w:val="es-ES_tradnl"/>
        </w:rPr>
        <w:t xml:space="preserve">Infancia </w:t>
      </w:r>
      <w:r w:rsidR="005231F9" w:rsidRPr="002720D0">
        <w:rPr>
          <w:lang w:val="es-ES_tradnl"/>
        </w:rPr>
        <w:t>de 20</w:t>
      </w:r>
      <w:r w:rsidR="00C35EC5" w:rsidRPr="002720D0">
        <w:rPr>
          <w:lang w:val="es-ES_tradnl"/>
        </w:rPr>
        <w:t>09, para Tanzanía continental, como</w:t>
      </w:r>
      <w:r w:rsidR="005231F9" w:rsidRPr="002720D0">
        <w:rPr>
          <w:lang w:val="es-ES_tradnl"/>
        </w:rPr>
        <w:t xml:space="preserve"> la Ley del </w:t>
      </w:r>
      <w:r w:rsidR="008412B7" w:rsidRPr="002720D0">
        <w:rPr>
          <w:lang w:val="es-ES_tradnl"/>
        </w:rPr>
        <w:t xml:space="preserve">Niño </w:t>
      </w:r>
      <w:r w:rsidR="005231F9" w:rsidRPr="002720D0">
        <w:rPr>
          <w:lang w:val="es-ES_tradnl"/>
        </w:rPr>
        <w:t xml:space="preserve">de 2011, para Zanzíbar, disponen que, cuando los padres de un niño </w:t>
      </w:r>
      <w:r w:rsidR="008F5407" w:rsidRPr="002720D0">
        <w:rPr>
          <w:lang w:val="es-ES_tradnl"/>
        </w:rPr>
        <w:t xml:space="preserve">estén separados o divorciados, el niño tendrá derecho a manutención y educación de la misma calidad que los que disfrutaba inmediatamente antes de </w:t>
      </w:r>
      <w:r w:rsidR="00C35EC5" w:rsidRPr="002720D0">
        <w:rPr>
          <w:lang w:val="es-ES_tradnl"/>
        </w:rPr>
        <w:t>la separación o el divorcio de</w:t>
      </w:r>
      <w:r w:rsidR="008F5407" w:rsidRPr="002720D0">
        <w:rPr>
          <w:lang w:val="es-ES_tradnl"/>
        </w:rPr>
        <w:t xml:space="preserve"> sus padres; a vivir con el progenitor que, en opinión del tribunal, tenga mayor capacidad para procurar el interés superior del niño; y a tener acceso al otro progenitor, en cuyo caso incumbe a ambos progenitores la responsabilidad mutua de velar por que </w:t>
      </w:r>
      <w:r w:rsidR="0009143F" w:rsidRPr="002720D0">
        <w:rPr>
          <w:lang w:val="es-ES_tradnl"/>
        </w:rPr>
        <w:t xml:space="preserve">dicho acceso </w:t>
      </w:r>
      <w:r w:rsidR="008F5407" w:rsidRPr="002720D0">
        <w:rPr>
          <w:lang w:val="es-ES_tradnl"/>
        </w:rPr>
        <w:t>tenga lugar, salvo si el tribunal especifica lo contrario</w:t>
      </w:r>
      <w:r w:rsidR="00151021" w:rsidRPr="002720D0">
        <w:rPr>
          <w:rStyle w:val="FootnoteReference"/>
          <w:lang w:val="es-ES_tradnl"/>
        </w:rPr>
        <w:footnoteReference w:id="51"/>
      </w:r>
      <w:r w:rsidR="008F5407" w:rsidRPr="002720D0">
        <w:rPr>
          <w:lang w:val="es-ES_tradnl"/>
        </w:rPr>
        <w:t>.</w:t>
      </w:r>
      <w:r w:rsidR="008F5407" w:rsidRPr="001418B0">
        <w:t xml:space="preserve"> </w:t>
      </w:r>
    </w:p>
    <w:p w:rsidR="00151021" w:rsidRPr="002720D0" w:rsidRDefault="004F6364" w:rsidP="004F6364">
      <w:pPr>
        <w:pStyle w:val="SingleTxtG"/>
        <w:tabs>
          <w:tab w:val="left" w:pos="-360"/>
        </w:tabs>
        <w:rPr>
          <w:lang w:val="es-ES_tradnl"/>
        </w:rPr>
      </w:pPr>
      <w:r w:rsidRPr="002720D0">
        <w:rPr>
          <w:lang w:val="es-ES_tradnl"/>
        </w:rPr>
        <w:t>100.</w:t>
      </w:r>
      <w:r w:rsidRPr="002720D0">
        <w:rPr>
          <w:lang w:val="es-ES_tradnl"/>
        </w:rPr>
        <w:tab/>
      </w:r>
      <w:r w:rsidR="008F5407" w:rsidRPr="002720D0">
        <w:rPr>
          <w:rFonts w:eastAsia="Calibri"/>
          <w:lang w:val="es-ES_tradnl"/>
        </w:rPr>
        <w:t>En virtud del a</w:t>
      </w:r>
      <w:r w:rsidR="00C35EC5" w:rsidRPr="002720D0">
        <w:rPr>
          <w:rFonts w:eastAsia="Calibri"/>
          <w:lang w:val="es-ES_tradnl"/>
        </w:rPr>
        <w:t xml:space="preserve">rtículo 9 3) de la Ley del </w:t>
      </w:r>
      <w:r w:rsidR="008412B7" w:rsidRPr="002720D0">
        <w:rPr>
          <w:rFonts w:eastAsia="Calibri"/>
          <w:lang w:val="es-ES_tradnl"/>
        </w:rPr>
        <w:t xml:space="preserve">Niño </w:t>
      </w:r>
      <w:r w:rsidR="008F5407" w:rsidRPr="002720D0">
        <w:rPr>
          <w:rFonts w:eastAsia="Calibri"/>
          <w:lang w:val="es-ES_tradnl"/>
        </w:rPr>
        <w:t xml:space="preserve">de Zanzíbar, cuando un tribunal de menores determine </w:t>
      </w:r>
      <w:r w:rsidR="00C35EC5" w:rsidRPr="002720D0">
        <w:rPr>
          <w:rFonts w:eastAsia="Calibri"/>
          <w:lang w:val="es-ES_tradnl"/>
        </w:rPr>
        <w:t>que</w:t>
      </w:r>
      <w:r w:rsidR="008F5407" w:rsidRPr="002720D0">
        <w:rPr>
          <w:rFonts w:eastAsia="Calibri"/>
          <w:lang w:val="es-ES_tradnl"/>
        </w:rPr>
        <w:t xml:space="preserve"> </w:t>
      </w:r>
      <w:r w:rsidR="008F5407" w:rsidRPr="002720D0">
        <w:rPr>
          <w:lang w:val="es-ES_tradnl"/>
        </w:rPr>
        <w:t xml:space="preserve">la separación de un niño de sus padres </w:t>
      </w:r>
      <w:r w:rsidR="00C35EC5" w:rsidRPr="002720D0">
        <w:rPr>
          <w:lang w:val="es-ES_tradnl"/>
        </w:rPr>
        <w:t xml:space="preserve">es necesaria </w:t>
      </w:r>
      <w:r w:rsidR="008F5407" w:rsidRPr="002720D0">
        <w:rPr>
          <w:lang w:val="es-ES_tradnl"/>
        </w:rPr>
        <w:t xml:space="preserve">en el interés superior del niño, se </w:t>
      </w:r>
      <w:r w:rsidR="00C35EC5" w:rsidRPr="002720D0">
        <w:rPr>
          <w:lang w:val="es-ES_tradnl"/>
        </w:rPr>
        <w:t xml:space="preserve">le </w:t>
      </w:r>
      <w:r w:rsidR="008F5407" w:rsidRPr="002720D0">
        <w:rPr>
          <w:lang w:val="es-ES_tradnl"/>
        </w:rPr>
        <w:t xml:space="preserve">proporcionarán al niño los mejores cuidados </w:t>
      </w:r>
      <w:r w:rsidR="0009143F" w:rsidRPr="002720D0">
        <w:rPr>
          <w:lang w:val="es-ES_tradnl"/>
        </w:rPr>
        <w:t xml:space="preserve">alternativos que estén disponibles. Así, la ley de Zanzíbar dispone que el niño que esté separado de sus padres tendrá derecho a mantener relaciones personales y contacto directo con ambos </w:t>
      </w:r>
      <w:r w:rsidR="00C35EC5" w:rsidRPr="002720D0">
        <w:rPr>
          <w:lang w:val="es-ES_tradnl"/>
        </w:rPr>
        <w:t>progenitores</w:t>
      </w:r>
      <w:r w:rsidR="0009143F" w:rsidRPr="002720D0">
        <w:rPr>
          <w:lang w:val="es-ES_tradnl"/>
        </w:rPr>
        <w:t xml:space="preserve"> </w:t>
      </w:r>
      <w:r w:rsidR="008B582A" w:rsidRPr="002720D0">
        <w:rPr>
          <w:lang w:val="es-ES_tradnl"/>
        </w:rPr>
        <w:t>con regularidad, salvo si ello fuera</w:t>
      </w:r>
      <w:r w:rsidR="0009143F" w:rsidRPr="002720D0">
        <w:rPr>
          <w:lang w:val="es-ES_tradnl"/>
        </w:rPr>
        <w:t xml:space="preserve"> contrario al interés superior del niño</w:t>
      </w:r>
      <w:r w:rsidR="00151021" w:rsidRPr="002720D0">
        <w:rPr>
          <w:rStyle w:val="FootnoteReference"/>
          <w:lang w:val="es-ES_tradnl"/>
        </w:rPr>
        <w:footnoteReference w:id="52"/>
      </w:r>
      <w:r w:rsidR="0009143F" w:rsidRPr="002720D0">
        <w:rPr>
          <w:lang w:val="es-ES_tradnl"/>
        </w:rPr>
        <w:t xml:space="preserve">. Existe la presunción </w:t>
      </w:r>
      <w:r w:rsidR="0009143F" w:rsidRPr="002720D0">
        <w:rPr>
          <w:i/>
          <w:lang w:val="es-ES_tradnl"/>
        </w:rPr>
        <w:t>iuris tantum</w:t>
      </w:r>
      <w:r w:rsidR="008B582A" w:rsidRPr="002720D0">
        <w:rPr>
          <w:lang w:val="es-ES_tradnl"/>
        </w:rPr>
        <w:t xml:space="preserve">, </w:t>
      </w:r>
      <w:r w:rsidR="0009143F" w:rsidRPr="002720D0">
        <w:rPr>
          <w:lang w:val="es-ES_tradnl"/>
        </w:rPr>
        <w:t>en virtu</w:t>
      </w:r>
      <w:r w:rsidR="008B582A" w:rsidRPr="002720D0">
        <w:rPr>
          <w:lang w:val="es-ES_tradnl"/>
        </w:rPr>
        <w:t>d del sistema legal del Estado p</w:t>
      </w:r>
      <w:r w:rsidR="0009143F" w:rsidRPr="002720D0">
        <w:rPr>
          <w:lang w:val="es-ES_tradnl"/>
        </w:rPr>
        <w:t>arte</w:t>
      </w:r>
      <w:r w:rsidR="008B582A" w:rsidRPr="002720D0">
        <w:rPr>
          <w:lang w:val="es-ES_tradnl"/>
        </w:rPr>
        <w:t>,</w:t>
      </w:r>
      <w:r w:rsidR="0009143F" w:rsidRPr="002720D0">
        <w:rPr>
          <w:lang w:val="es-ES_tradnl"/>
        </w:rPr>
        <w:t xml:space="preserve"> de que los niños </w:t>
      </w:r>
      <w:r w:rsidR="00175063" w:rsidRPr="002720D0">
        <w:rPr>
          <w:lang w:val="es-ES_tradnl"/>
        </w:rPr>
        <w:t xml:space="preserve">han de permanecer con su madre hasta que alcancen la edad de </w:t>
      </w:r>
      <w:r w:rsidR="008B582A" w:rsidRPr="002720D0">
        <w:rPr>
          <w:lang w:val="es-ES_tradnl"/>
        </w:rPr>
        <w:t>7</w:t>
      </w:r>
      <w:r w:rsidR="0009143F" w:rsidRPr="002720D0">
        <w:rPr>
          <w:lang w:val="es-ES_tradnl"/>
        </w:rPr>
        <w:t xml:space="preserve"> años</w:t>
      </w:r>
      <w:r w:rsidR="00151021" w:rsidRPr="002720D0">
        <w:rPr>
          <w:rStyle w:val="FootnoteReference"/>
          <w:lang w:val="es-ES_tradnl"/>
        </w:rPr>
        <w:footnoteReference w:id="53"/>
      </w:r>
      <w:r w:rsidR="0009143F" w:rsidRPr="002720D0">
        <w:rPr>
          <w:lang w:val="es-ES_tradnl"/>
        </w:rPr>
        <w:t xml:space="preserve">, si bien el tribunal ha de </w:t>
      </w:r>
      <w:r w:rsidR="008B582A" w:rsidRPr="002720D0">
        <w:rPr>
          <w:lang w:val="es-ES_tradnl"/>
        </w:rPr>
        <w:t xml:space="preserve">tomar en consideración como factor indeseable el trastorno para </w:t>
      </w:r>
      <w:r w:rsidR="0009143F" w:rsidRPr="002720D0">
        <w:rPr>
          <w:lang w:val="es-ES_tradnl"/>
        </w:rPr>
        <w:t xml:space="preserve">la vida del niño </w:t>
      </w:r>
      <w:r w:rsidR="008B582A" w:rsidRPr="002720D0">
        <w:rPr>
          <w:lang w:val="es-ES_tradnl"/>
        </w:rPr>
        <w:t>que representan los</w:t>
      </w:r>
      <w:r w:rsidR="0009143F" w:rsidRPr="002720D0">
        <w:rPr>
          <w:lang w:val="es-ES_tradnl"/>
        </w:rPr>
        <w:t xml:space="preserve"> cambios en su guardia y custodia</w:t>
      </w:r>
      <w:r w:rsidR="00151021" w:rsidRPr="002720D0">
        <w:rPr>
          <w:rStyle w:val="FootnoteReference"/>
          <w:lang w:val="es-ES_tradnl"/>
        </w:rPr>
        <w:footnoteReference w:id="54"/>
      </w:r>
      <w:r w:rsidR="0009143F" w:rsidRPr="002720D0">
        <w:rPr>
          <w:lang w:val="es-ES_tradnl"/>
        </w:rPr>
        <w:t>.</w:t>
      </w:r>
      <w:r w:rsidR="00151021" w:rsidRPr="002720D0">
        <w:rPr>
          <w:lang w:val="es-ES_tradnl"/>
        </w:rPr>
        <w:t xml:space="preserve"> </w:t>
      </w:r>
      <w:r w:rsidR="0009143F" w:rsidRPr="002720D0">
        <w:rPr>
          <w:lang w:val="es-ES_tradnl"/>
        </w:rPr>
        <w:t xml:space="preserve">En virtud de la Ley de la </w:t>
      </w:r>
      <w:r w:rsidR="008412B7" w:rsidRPr="002720D0">
        <w:rPr>
          <w:lang w:val="es-ES_tradnl"/>
        </w:rPr>
        <w:t>Infancia</w:t>
      </w:r>
      <w:r w:rsidR="0009143F" w:rsidRPr="002720D0">
        <w:rPr>
          <w:lang w:val="es-ES_tradnl"/>
        </w:rPr>
        <w:t xml:space="preserve">, una de las principales consideraciones para </w:t>
      </w:r>
      <w:r w:rsidR="00504FFF" w:rsidRPr="002720D0">
        <w:rPr>
          <w:lang w:val="es-ES_tradnl"/>
        </w:rPr>
        <w:t>dictar la orden judicial de</w:t>
      </w:r>
      <w:r w:rsidR="0009143F" w:rsidRPr="002720D0">
        <w:rPr>
          <w:lang w:val="es-ES_tradnl"/>
        </w:rPr>
        <w:t xml:space="preserve"> guardia y custodia </w:t>
      </w:r>
      <w:r w:rsidR="00504FFF" w:rsidRPr="002720D0">
        <w:rPr>
          <w:lang w:val="es-ES_tradnl"/>
        </w:rPr>
        <w:t xml:space="preserve">del niño cuando se produce la separación de los padres es </w:t>
      </w:r>
      <w:r w:rsidR="001D2A53">
        <w:rPr>
          <w:lang w:val="es-ES_tradnl"/>
        </w:rPr>
        <w:t>"</w:t>
      </w:r>
      <w:r w:rsidR="00504FFF" w:rsidRPr="002720D0">
        <w:rPr>
          <w:i/>
          <w:lang w:val="es-ES_tradnl"/>
        </w:rPr>
        <w:t>el interés superior del niño</w:t>
      </w:r>
      <w:r w:rsidR="00504FFF" w:rsidRPr="002720D0">
        <w:rPr>
          <w:lang w:val="es-ES_tradnl"/>
        </w:rPr>
        <w:t xml:space="preserve"> y la importancia de que el niño esté con su madre</w:t>
      </w:r>
      <w:r w:rsidR="001D2A53">
        <w:rPr>
          <w:lang w:val="es-ES_tradnl"/>
        </w:rPr>
        <w:t>"</w:t>
      </w:r>
      <w:r w:rsidR="00151021" w:rsidRPr="002720D0">
        <w:rPr>
          <w:rStyle w:val="FootnoteReference"/>
          <w:lang w:val="es-ES_tradnl"/>
        </w:rPr>
        <w:footnoteReference w:id="55"/>
      </w:r>
      <w:r w:rsidR="00504FFF" w:rsidRPr="002720D0">
        <w:rPr>
          <w:lang w:val="es-ES_tradnl"/>
        </w:rPr>
        <w:t xml:space="preserve">. Además de esta consideración principal, el tribunal también ha de tomar en </w:t>
      </w:r>
      <w:r w:rsidR="008B582A" w:rsidRPr="002720D0">
        <w:rPr>
          <w:lang w:val="es-ES_tradnl"/>
        </w:rPr>
        <w:t>consideración</w:t>
      </w:r>
      <w:r w:rsidR="00504FFF" w:rsidRPr="002720D0">
        <w:rPr>
          <w:lang w:val="es-ES_tradnl"/>
        </w:rPr>
        <w:t xml:space="preserve"> los factores siguiente</w:t>
      </w:r>
      <w:r w:rsidR="008B582A" w:rsidRPr="002720D0">
        <w:rPr>
          <w:lang w:val="es-ES_tradnl"/>
        </w:rPr>
        <w:t>s</w:t>
      </w:r>
      <w:r w:rsidR="00504FFF" w:rsidRPr="002720D0">
        <w:rPr>
          <w:lang w:val="es-ES_tradnl"/>
        </w:rPr>
        <w:t xml:space="preserve">: a) los derechos del niño en virtud del artículo 26 (de la Ley de la </w:t>
      </w:r>
      <w:r w:rsidR="008412B7" w:rsidRPr="002720D0">
        <w:rPr>
          <w:lang w:val="es-ES_tradnl"/>
        </w:rPr>
        <w:t>Infancia</w:t>
      </w:r>
      <w:r w:rsidR="00504FFF" w:rsidRPr="002720D0">
        <w:rPr>
          <w:lang w:val="es-ES_tradnl"/>
        </w:rPr>
        <w:t>); b) la edad y el sexo del niño; c) que es preferible que el niño no sea separado de sus padres salvo si los derechos del niño son objeto de abusos persistentes por parte de estos; d) los puntos de vista del niño, si se han manif</w:t>
      </w:r>
      <w:r w:rsidR="004F2F1C" w:rsidRPr="002720D0">
        <w:rPr>
          <w:lang w:val="es-ES_tradnl"/>
        </w:rPr>
        <w:t>estado de forma independiente; e</w:t>
      </w:r>
      <w:r w:rsidR="00504FFF" w:rsidRPr="002720D0">
        <w:rPr>
          <w:lang w:val="es-ES_tradnl"/>
        </w:rPr>
        <w:t>) que es deseable no separar a los herma</w:t>
      </w:r>
      <w:r w:rsidR="00E830F6" w:rsidRPr="002720D0">
        <w:rPr>
          <w:lang w:val="es-ES_tradnl"/>
        </w:rPr>
        <w:t>nos; f) la necesidad de continu</w:t>
      </w:r>
      <w:r w:rsidR="00504FFF" w:rsidRPr="002720D0">
        <w:rPr>
          <w:lang w:val="es-ES_tradnl"/>
        </w:rPr>
        <w:t>idad en el cuidado y control del niño; y g) cualquier otro asunto que el tribunal pudiera estimar pertinente</w:t>
      </w:r>
      <w:r w:rsidR="00151021" w:rsidRPr="002720D0">
        <w:rPr>
          <w:rStyle w:val="FootnoteReference"/>
          <w:lang w:val="es-ES_tradnl"/>
        </w:rPr>
        <w:footnoteReference w:id="56"/>
      </w:r>
      <w:r w:rsidR="00504FFF"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101.</w:t>
      </w:r>
      <w:r w:rsidRPr="002720D0">
        <w:rPr>
          <w:lang w:val="es-ES_tradnl"/>
        </w:rPr>
        <w:tab/>
      </w:r>
      <w:r w:rsidR="00504FFF" w:rsidRPr="002720D0">
        <w:rPr>
          <w:lang w:val="es-ES_tradnl"/>
        </w:rPr>
        <w:t xml:space="preserve">Por su parte, la Ley de </w:t>
      </w:r>
      <w:r w:rsidR="008412B7" w:rsidRPr="002720D0">
        <w:rPr>
          <w:lang w:val="es-ES_tradnl"/>
        </w:rPr>
        <w:t xml:space="preserve">Matrimonio </w:t>
      </w:r>
      <w:r w:rsidR="00504FFF" w:rsidRPr="002720D0">
        <w:rPr>
          <w:lang w:val="es-ES_tradnl"/>
        </w:rPr>
        <w:t xml:space="preserve">dispone que la principal consideración para el otorgamiento de la guardia y custodia de un niño debería ser el </w:t>
      </w:r>
      <w:r w:rsidR="00504FFF" w:rsidRPr="002720D0">
        <w:rPr>
          <w:i/>
          <w:lang w:val="es-ES_tradnl"/>
        </w:rPr>
        <w:t>bienestar del niño</w:t>
      </w:r>
      <w:r w:rsidR="00504FFF" w:rsidRPr="002720D0">
        <w:rPr>
          <w:lang w:val="es-ES_tradnl"/>
        </w:rPr>
        <w:t xml:space="preserve">. Además, el tribunal tomará en </w:t>
      </w:r>
      <w:r w:rsidR="008B582A" w:rsidRPr="002720D0">
        <w:rPr>
          <w:lang w:val="es-ES_tradnl"/>
        </w:rPr>
        <w:t>consideración</w:t>
      </w:r>
      <w:r w:rsidR="00504FFF" w:rsidRPr="002720D0">
        <w:rPr>
          <w:lang w:val="es-ES_tradnl"/>
        </w:rPr>
        <w:t xml:space="preserve"> lo siguiente: a) los deseos de los padres del niño; b) los deseos del niño, cuando</w:t>
      </w:r>
      <w:r w:rsidR="00E830F6" w:rsidRPr="002720D0">
        <w:rPr>
          <w:lang w:val="es-ES_tradnl"/>
        </w:rPr>
        <w:t xml:space="preserve"> su edad le permita manifestar un juicio propio; y c) las costumbres de la comunidad a la que pertenecen las partes</w:t>
      </w:r>
      <w:r w:rsidR="00151021" w:rsidRPr="002720D0">
        <w:rPr>
          <w:rStyle w:val="FootnoteReference"/>
          <w:lang w:val="es-ES_tradnl"/>
        </w:rPr>
        <w:footnoteReference w:id="57"/>
      </w:r>
      <w:r w:rsidR="00E830F6"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102.</w:t>
      </w:r>
      <w:r w:rsidRPr="002720D0">
        <w:rPr>
          <w:lang w:val="es-ES_tradnl"/>
        </w:rPr>
        <w:tab/>
      </w:r>
      <w:r w:rsidR="00E830F6" w:rsidRPr="002720D0">
        <w:rPr>
          <w:lang w:val="es-ES_tradnl"/>
        </w:rPr>
        <w:t>En cumplimiento de las disposiciones del párrafo 2 del artículo 9 de la Convención, tanto la Ley de l</w:t>
      </w:r>
      <w:r w:rsidR="008B582A" w:rsidRPr="002720D0">
        <w:rPr>
          <w:lang w:val="es-ES_tradnl"/>
        </w:rPr>
        <w:t xml:space="preserve">a </w:t>
      </w:r>
      <w:r w:rsidR="008412B7" w:rsidRPr="002720D0">
        <w:rPr>
          <w:lang w:val="es-ES_tradnl"/>
        </w:rPr>
        <w:t xml:space="preserve">Infancia </w:t>
      </w:r>
      <w:r w:rsidR="008B582A" w:rsidRPr="002720D0">
        <w:rPr>
          <w:lang w:val="es-ES_tradnl"/>
        </w:rPr>
        <w:t xml:space="preserve">como la Ley del </w:t>
      </w:r>
      <w:r w:rsidR="008412B7" w:rsidRPr="002720D0">
        <w:rPr>
          <w:lang w:val="es-ES_tradnl"/>
        </w:rPr>
        <w:t xml:space="preserve">Niño </w:t>
      </w:r>
      <w:r w:rsidR="008B582A" w:rsidRPr="002720D0">
        <w:rPr>
          <w:lang w:val="es-ES_tradnl"/>
        </w:rPr>
        <w:t>de Zanzíbar</w:t>
      </w:r>
      <w:r w:rsidR="00E830F6" w:rsidRPr="002720D0">
        <w:rPr>
          <w:lang w:val="es-ES_tradnl"/>
        </w:rPr>
        <w:t xml:space="preserve"> ofrecen a todas las partes interesadas la oportunidad de participar en los procedimientos entablados en relación con la separación de un niño de sus padres. Las partes interesadas también pueden dar a conocer sus opiniones, que el tribunal toma</w:t>
      </w:r>
      <w:r w:rsidR="008B582A" w:rsidRPr="002720D0">
        <w:rPr>
          <w:lang w:val="es-ES_tradnl"/>
        </w:rPr>
        <w:t>rá</w:t>
      </w:r>
      <w:r w:rsidR="00E830F6" w:rsidRPr="002720D0">
        <w:rPr>
          <w:lang w:val="es-ES_tradnl"/>
        </w:rPr>
        <w:t xml:space="preserve"> en consideración al adoptar la orden judicial de separación</w:t>
      </w:r>
      <w:r w:rsidR="00151021" w:rsidRPr="002720D0">
        <w:rPr>
          <w:rStyle w:val="FootnoteReference"/>
          <w:lang w:val="es-ES_tradnl"/>
        </w:rPr>
        <w:footnoteReference w:id="58"/>
      </w:r>
      <w:r w:rsidR="00E830F6" w:rsidRPr="002720D0">
        <w:rPr>
          <w:lang w:val="es-ES_tradnl"/>
        </w:rPr>
        <w:t xml:space="preserve">. </w:t>
      </w:r>
    </w:p>
    <w:p w:rsidR="00151021" w:rsidRPr="002720D0" w:rsidRDefault="00323974" w:rsidP="00586395">
      <w:pPr>
        <w:pStyle w:val="H1G"/>
        <w:outlineLvl w:val="0"/>
        <w:rPr>
          <w:lang w:val="es-ES_tradnl"/>
        </w:rPr>
      </w:pPr>
      <w:bookmarkStart w:id="30" w:name="_Toc313470866"/>
      <w:r w:rsidRPr="002720D0">
        <w:rPr>
          <w:lang w:val="es-ES_tradnl"/>
        </w:rPr>
        <w:tab/>
      </w:r>
      <w:r w:rsidR="00151021" w:rsidRPr="002720D0">
        <w:rPr>
          <w:lang w:val="es-ES_tradnl"/>
        </w:rPr>
        <w:t>5.4</w:t>
      </w:r>
      <w:r w:rsidRPr="002720D0">
        <w:rPr>
          <w:lang w:val="es-ES_tradnl"/>
        </w:rPr>
        <w:tab/>
      </w:r>
      <w:r w:rsidR="005833B5" w:rsidRPr="002720D0">
        <w:rPr>
          <w:lang w:val="es-ES_tradnl"/>
        </w:rPr>
        <w:t>Reun</w:t>
      </w:r>
      <w:r w:rsidR="003665AB">
        <w:rPr>
          <w:lang w:val="es-ES_tradnl"/>
        </w:rPr>
        <w:t>ificación de la familia</w:t>
      </w:r>
      <w:r w:rsidR="005833B5" w:rsidRPr="002720D0">
        <w:rPr>
          <w:lang w:val="es-ES_tradnl"/>
        </w:rPr>
        <w:t xml:space="preserve"> </w:t>
      </w:r>
      <w:bookmarkEnd w:id="30"/>
      <w:r w:rsidR="00151021" w:rsidRPr="002720D0">
        <w:rPr>
          <w:lang w:val="es-ES_tradnl"/>
        </w:rPr>
        <w:t>(</w:t>
      </w:r>
      <w:r w:rsidR="00A45ED5" w:rsidRPr="002720D0">
        <w:rPr>
          <w:lang w:val="es-ES_tradnl"/>
        </w:rPr>
        <w:t>a</w:t>
      </w:r>
      <w:r w:rsidR="008B582A" w:rsidRPr="002720D0">
        <w:rPr>
          <w:lang w:val="es-ES_tradnl"/>
        </w:rPr>
        <w:t>rt.</w:t>
      </w:r>
      <w:r w:rsidR="00151021" w:rsidRPr="002720D0">
        <w:rPr>
          <w:lang w:val="es-ES_tradnl"/>
        </w:rPr>
        <w:t xml:space="preserve"> 10)</w:t>
      </w:r>
    </w:p>
    <w:p w:rsidR="00151021" w:rsidRPr="002720D0" w:rsidRDefault="004F6364" w:rsidP="004F6364">
      <w:pPr>
        <w:pStyle w:val="SingleTxtG"/>
        <w:tabs>
          <w:tab w:val="left" w:pos="-360"/>
        </w:tabs>
        <w:rPr>
          <w:lang w:val="es-ES_tradnl"/>
        </w:rPr>
      </w:pPr>
      <w:r w:rsidRPr="002720D0">
        <w:rPr>
          <w:lang w:val="es-ES_tradnl"/>
        </w:rPr>
        <w:t>103.</w:t>
      </w:r>
      <w:r w:rsidRPr="002720D0">
        <w:rPr>
          <w:lang w:val="es-ES_tradnl"/>
        </w:rPr>
        <w:tab/>
      </w:r>
      <w:r w:rsidR="00B72B1C" w:rsidRPr="002720D0">
        <w:rPr>
          <w:lang w:val="es-ES_tradnl"/>
        </w:rPr>
        <w:t>El Estado p</w:t>
      </w:r>
      <w:r w:rsidR="005833B5" w:rsidRPr="002720D0">
        <w:rPr>
          <w:lang w:val="es-ES_tradnl"/>
        </w:rPr>
        <w:t>arte siguió aplicando el artículo 10 de la Convención a la reunificación de los niños</w:t>
      </w:r>
      <w:r w:rsidR="008B56F7" w:rsidRPr="002720D0">
        <w:rPr>
          <w:lang w:val="es-ES_tradnl"/>
        </w:rPr>
        <w:t xml:space="preserve"> cuyos padres residen e</w:t>
      </w:r>
      <w:r w:rsidR="00B72B1C" w:rsidRPr="002720D0">
        <w:rPr>
          <w:lang w:val="es-ES_tradnl"/>
        </w:rPr>
        <w:t>n países diferentes. El Estado p</w:t>
      </w:r>
      <w:r w:rsidR="008B56F7" w:rsidRPr="002720D0">
        <w:rPr>
          <w:lang w:val="es-ES_tradnl"/>
        </w:rPr>
        <w:t xml:space="preserve">arte </w:t>
      </w:r>
      <w:r w:rsidR="00B72B1C" w:rsidRPr="002720D0">
        <w:rPr>
          <w:lang w:val="es-ES_tradnl"/>
        </w:rPr>
        <w:t xml:space="preserve">también siguió aplicando </w:t>
      </w:r>
      <w:r w:rsidR="008B56F7" w:rsidRPr="002720D0">
        <w:rPr>
          <w:lang w:val="es-ES_tradnl"/>
        </w:rPr>
        <w:t>la Política nacional de refugiados (2003), que cubre diversos aspectos de la gestión de los asuntos relativ</w:t>
      </w:r>
      <w:r w:rsidR="005147C2" w:rsidRPr="002720D0">
        <w:rPr>
          <w:lang w:val="es-ES_tradnl"/>
        </w:rPr>
        <w:t>os a los refugiados en Tanzanía,</w:t>
      </w:r>
      <w:r w:rsidR="008B56F7" w:rsidRPr="002720D0">
        <w:rPr>
          <w:lang w:val="es-ES_tradnl"/>
        </w:rPr>
        <w:t xml:space="preserve"> </w:t>
      </w:r>
      <w:r w:rsidR="00B72B1C" w:rsidRPr="002720D0">
        <w:rPr>
          <w:lang w:val="es-ES_tradnl"/>
        </w:rPr>
        <w:t>así como</w:t>
      </w:r>
      <w:r w:rsidR="005147C2" w:rsidRPr="002720D0">
        <w:rPr>
          <w:lang w:val="es-ES_tradnl"/>
        </w:rPr>
        <w:t xml:space="preserve"> </w:t>
      </w:r>
      <w:r w:rsidR="008B56F7" w:rsidRPr="002720D0">
        <w:rPr>
          <w:lang w:val="es-ES_tradnl"/>
        </w:rPr>
        <w:t xml:space="preserve">la Ley de </w:t>
      </w:r>
      <w:r w:rsidR="008412B7" w:rsidRPr="002720D0">
        <w:rPr>
          <w:lang w:val="es-ES_tradnl"/>
        </w:rPr>
        <w:t xml:space="preserve">Refugiados </w:t>
      </w:r>
      <w:r w:rsidR="00151021" w:rsidRPr="002720D0">
        <w:rPr>
          <w:lang w:val="es-ES_tradnl"/>
        </w:rPr>
        <w:t>(1998)</w:t>
      </w:r>
      <w:r w:rsidR="00151021" w:rsidRPr="002720D0">
        <w:rPr>
          <w:rStyle w:val="FootnoteReference"/>
          <w:lang w:val="es-ES_tradnl"/>
        </w:rPr>
        <w:footnoteReference w:id="59"/>
      </w:r>
      <w:r w:rsidR="004F2F1C" w:rsidRPr="002720D0">
        <w:rPr>
          <w:lang w:val="es-ES_tradnl"/>
        </w:rPr>
        <w:t>.</w:t>
      </w:r>
      <w:r w:rsidR="00457E9F" w:rsidRPr="002720D0">
        <w:rPr>
          <w:lang w:val="es-ES_tradnl"/>
        </w:rPr>
        <w:t xml:space="preserve"> Esta ley incluye varias disposiciones destinadas a proteger los intereses de la infancia; en particular, el artículo 35 de la Ley de </w:t>
      </w:r>
      <w:r w:rsidR="008412B7" w:rsidRPr="002720D0">
        <w:rPr>
          <w:lang w:val="es-ES_tradnl"/>
        </w:rPr>
        <w:t xml:space="preserve">Refugiados </w:t>
      </w:r>
      <w:r w:rsidR="00457E9F" w:rsidRPr="002720D0">
        <w:rPr>
          <w:lang w:val="es-ES_tradnl"/>
        </w:rPr>
        <w:t>dispone el derecho a la</w:t>
      </w:r>
      <w:r w:rsidR="001D2A53">
        <w:rPr>
          <w:lang w:val="es-ES_tradnl"/>
        </w:rPr>
        <w:t xml:space="preserve"> </w:t>
      </w:r>
      <w:r w:rsidR="00457E9F" w:rsidRPr="002720D0">
        <w:rPr>
          <w:lang w:val="es-ES_tradnl"/>
        </w:rPr>
        <w:t xml:space="preserve">reunificación de las familias y el procedimiento a seguir en este contexto. </w:t>
      </w:r>
      <w:r w:rsidR="005147C2" w:rsidRPr="002720D0">
        <w:rPr>
          <w:lang w:val="es-ES_tradnl"/>
        </w:rPr>
        <w:t>El procedi</w:t>
      </w:r>
      <w:r w:rsidR="00896C79" w:rsidRPr="002720D0">
        <w:rPr>
          <w:lang w:val="es-ES_tradnl"/>
        </w:rPr>
        <w:t>miento relativo a la reunificac</w:t>
      </w:r>
      <w:r w:rsidR="005147C2" w:rsidRPr="002720D0">
        <w:rPr>
          <w:lang w:val="es-ES_tradnl"/>
        </w:rPr>
        <w:t xml:space="preserve">ión se dispone en el párrafo 1) de este artículo, que reza como sigue: </w:t>
      </w:r>
    </w:p>
    <w:p w:rsidR="00151021" w:rsidRPr="002720D0" w:rsidRDefault="001D2A53" w:rsidP="00323974">
      <w:pPr>
        <w:pStyle w:val="SingleTxtG"/>
        <w:ind w:left="1701"/>
        <w:rPr>
          <w:lang w:val="es-ES_tradnl"/>
        </w:rPr>
      </w:pPr>
      <w:r>
        <w:rPr>
          <w:lang w:val="es-ES_tradnl"/>
        </w:rPr>
        <w:t>"</w:t>
      </w:r>
      <w:r w:rsidR="00323974" w:rsidRPr="002720D0">
        <w:rPr>
          <w:lang w:val="es-ES_tradnl"/>
        </w:rPr>
        <w:t>1)</w:t>
      </w:r>
      <w:r w:rsidR="00323974" w:rsidRPr="002720D0">
        <w:rPr>
          <w:lang w:val="es-ES_tradnl"/>
        </w:rPr>
        <w:tab/>
      </w:r>
      <w:r w:rsidR="005147C2" w:rsidRPr="002720D0">
        <w:rPr>
          <w:lang w:val="es-ES_tradnl"/>
        </w:rPr>
        <w:t xml:space="preserve">Un </w:t>
      </w:r>
      <w:r w:rsidR="00856503" w:rsidRPr="002720D0">
        <w:rPr>
          <w:lang w:val="es-ES_tradnl"/>
        </w:rPr>
        <w:t>refugiado a quien se le haya reconocido esta condición que resida en Tanzanía y desee reunificarse con cualquier miembro de su familia, o que ese miembro se reunifique con él, tanto fuera como dentro de Tanzanía, respectivamente, presentará una solicitud de reunificación de la familia al Ministro por conducto de la Oficina del Alto Comisionado de las Naciones Unidas para los Refugiados (ACNUR) o del Director, quienes presentarán la solicitud al Comité; este, a su vez, recomendará al Ministro si ha de permitir o no la reunificación de la familia, entendiéndose que dicha reunificación no se producirá antes de que se haya otorgado el correspondiente permiso en virtud de esta sección. El incumplimiento de esta disposición constituirá u</w:t>
      </w:r>
      <w:r w:rsidR="004F2F1C" w:rsidRPr="002720D0">
        <w:rPr>
          <w:lang w:val="es-ES_tradnl"/>
        </w:rPr>
        <w:t xml:space="preserve">n delito con arreglo a esta </w:t>
      </w:r>
      <w:r w:rsidR="008412B7" w:rsidRPr="002720D0">
        <w:rPr>
          <w:lang w:val="es-ES_tradnl"/>
        </w:rPr>
        <w:t>ley</w:t>
      </w:r>
      <w:r w:rsidR="008412B7">
        <w:rPr>
          <w:lang w:val="es-ES_tradnl"/>
        </w:rPr>
        <w:t>.</w:t>
      </w:r>
      <w:r>
        <w:rPr>
          <w:lang w:val="es-ES_tradnl"/>
        </w:rPr>
        <w:t>"</w:t>
      </w:r>
    </w:p>
    <w:p w:rsidR="00151021" w:rsidRPr="002720D0" w:rsidRDefault="00856503" w:rsidP="009D6096">
      <w:pPr>
        <w:pStyle w:val="SingleTxtG"/>
        <w:rPr>
          <w:lang w:val="es-ES_tradnl"/>
        </w:rPr>
      </w:pPr>
      <w:r w:rsidRPr="002720D0">
        <w:rPr>
          <w:lang w:val="es-ES_tradnl"/>
        </w:rPr>
        <w:t xml:space="preserve">Existe un mecanismo de apelación </w:t>
      </w:r>
      <w:r w:rsidR="007C1EDC" w:rsidRPr="002720D0">
        <w:rPr>
          <w:lang w:val="es-ES_tradnl"/>
        </w:rPr>
        <w:t>en virtud del párrafo 2) para la persona afectada o agraviada por la decisión del Minis</w:t>
      </w:r>
      <w:r w:rsidR="00D21832" w:rsidRPr="002720D0">
        <w:rPr>
          <w:lang w:val="es-ES_tradnl"/>
        </w:rPr>
        <w:t>t</w:t>
      </w:r>
      <w:r w:rsidR="007C1EDC" w:rsidRPr="002720D0">
        <w:rPr>
          <w:lang w:val="es-ES_tradnl"/>
        </w:rPr>
        <w:t xml:space="preserve">ro de denegar o autorizar la reunificación de la familia; esta persona podrá interponer una solicitud de revisión ante el Ministro. </w:t>
      </w:r>
    </w:p>
    <w:p w:rsidR="00151021" w:rsidRPr="002720D0" w:rsidRDefault="004F6364" w:rsidP="004F6364">
      <w:pPr>
        <w:pStyle w:val="SingleTxtG"/>
        <w:tabs>
          <w:tab w:val="left" w:pos="-360"/>
        </w:tabs>
        <w:rPr>
          <w:lang w:val="es-ES_tradnl"/>
        </w:rPr>
      </w:pPr>
      <w:r w:rsidRPr="002720D0">
        <w:rPr>
          <w:lang w:val="es-ES_tradnl"/>
        </w:rPr>
        <w:t>104.</w:t>
      </w:r>
      <w:r w:rsidRPr="002720D0">
        <w:rPr>
          <w:lang w:val="es-ES_tradnl"/>
        </w:rPr>
        <w:tab/>
      </w:r>
      <w:r w:rsidR="007C1EDC" w:rsidRPr="002720D0">
        <w:rPr>
          <w:lang w:val="es-ES_tradnl"/>
        </w:rPr>
        <w:t xml:space="preserve">Asimismo, el párrafo 3) del artículo 35 de la Ley de </w:t>
      </w:r>
      <w:r w:rsidR="008412B7" w:rsidRPr="002720D0">
        <w:rPr>
          <w:lang w:val="es-ES_tradnl"/>
        </w:rPr>
        <w:t xml:space="preserve">Refugiados </w:t>
      </w:r>
      <w:r w:rsidR="007C1EDC" w:rsidRPr="002720D0">
        <w:rPr>
          <w:lang w:val="es-ES_tradnl"/>
        </w:rPr>
        <w:t xml:space="preserve">exige que cuando en la familia de un refugiado </w:t>
      </w:r>
      <w:r w:rsidR="00B72B1C" w:rsidRPr="002720D0">
        <w:rPr>
          <w:lang w:val="es-ES_tradnl"/>
        </w:rPr>
        <w:t>se haya producido</w:t>
      </w:r>
      <w:r w:rsidR="007C1EDC" w:rsidRPr="002720D0">
        <w:rPr>
          <w:lang w:val="es-ES_tradnl"/>
        </w:rPr>
        <w:t xml:space="preserve"> desunión dimanante de divorcio, separación, fallecimiento, etc., cualquier miembro de esa familia </w:t>
      </w:r>
      <w:r w:rsidR="001D2A53">
        <w:rPr>
          <w:lang w:val="es-ES_tradnl"/>
        </w:rPr>
        <w:t>"</w:t>
      </w:r>
      <w:r w:rsidR="007C1EDC" w:rsidRPr="002720D0">
        <w:rPr>
          <w:lang w:val="es-ES_tradnl"/>
        </w:rPr>
        <w:t>podrá permanecer en Tanzanía y habrá de solicitar, en un período máximo de dos años a partir del momento en que se produzca la desunión de la familia</w:t>
      </w:r>
      <w:r w:rsidR="004F2F1C" w:rsidRPr="002720D0">
        <w:rPr>
          <w:lang w:val="es-ES_tradnl"/>
        </w:rPr>
        <w:t>,</w:t>
      </w:r>
      <w:r w:rsidR="007C1EDC" w:rsidRPr="002720D0">
        <w:rPr>
          <w:lang w:val="es-ES_tradnl"/>
        </w:rPr>
        <w:t xml:space="preserve"> que se le conceda el reconocimiento de la condición de refugiado por derecho propio, o que se le conceda la legalización de su residencia en Tanzanía con arreglo a la Ley de </w:t>
      </w:r>
      <w:r w:rsidR="008412B7" w:rsidRPr="002720D0">
        <w:rPr>
          <w:lang w:val="es-ES_tradnl"/>
        </w:rPr>
        <w:t>Inmigración</w:t>
      </w:r>
      <w:r w:rsidR="00151021" w:rsidRPr="002720D0">
        <w:rPr>
          <w:rStyle w:val="FootnoteReference"/>
          <w:lang w:val="es-ES_tradnl"/>
        </w:rPr>
        <w:footnoteReference w:id="60"/>
      </w:r>
      <w:r w:rsidR="007C1EDC" w:rsidRPr="002720D0">
        <w:rPr>
          <w:lang w:val="es-ES_tradnl"/>
        </w:rPr>
        <w:t>.</w:t>
      </w:r>
      <w:r w:rsidR="00896C79" w:rsidRPr="002720D0">
        <w:rPr>
          <w:lang w:val="es-ES_tradnl"/>
        </w:rPr>
        <w:t xml:space="preserve"> De no efectuarse dicha solicitu</w:t>
      </w:r>
      <w:r w:rsidR="007C1EDC" w:rsidRPr="002720D0">
        <w:rPr>
          <w:lang w:val="es-ES_tradnl"/>
        </w:rPr>
        <w:t>d se incurrirá en un deli</w:t>
      </w:r>
      <w:r w:rsidR="00B72B1C" w:rsidRPr="002720D0">
        <w:rPr>
          <w:lang w:val="es-ES_tradnl"/>
        </w:rPr>
        <w:t xml:space="preserve">to en virtud de la presente </w:t>
      </w:r>
      <w:r w:rsidR="008412B7" w:rsidRPr="002720D0">
        <w:rPr>
          <w:lang w:val="es-ES_tradnl"/>
        </w:rPr>
        <w:t>ley</w:t>
      </w:r>
      <w:r w:rsidR="001D2A53">
        <w:rPr>
          <w:lang w:val="es-ES_tradnl"/>
        </w:rPr>
        <w:t>"</w:t>
      </w:r>
      <w:r w:rsidR="00B72B1C" w:rsidRPr="002720D0">
        <w:rPr>
          <w:lang w:val="es-ES_tradnl"/>
        </w:rPr>
        <w:t>.</w:t>
      </w:r>
      <w:r w:rsidR="007C1EDC" w:rsidRPr="002720D0">
        <w:rPr>
          <w:lang w:val="es-ES_tradnl"/>
        </w:rPr>
        <w:t xml:space="preserve"> </w:t>
      </w:r>
    </w:p>
    <w:p w:rsidR="00151021" w:rsidRPr="002720D0" w:rsidRDefault="00323974" w:rsidP="00586395">
      <w:pPr>
        <w:pStyle w:val="H1G"/>
        <w:outlineLvl w:val="0"/>
        <w:rPr>
          <w:lang w:val="es-ES_tradnl"/>
        </w:rPr>
      </w:pPr>
      <w:bookmarkStart w:id="31" w:name="_Toc313470867"/>
      <w:r w:rsidRPr="002720D0">
        <w:rPr>
          <w:lang w:val="es-ES_tradnl"/>
        </w:rPr>
        <w:tab/>
      </w:r>
      <w:r w:rsidR="00151021" w:rsidRPr="002720D0">
        <w:rPr>
          <w:lang w:val="es-ES_tradnl"/>
        </w:rPr>
        <w:t>5.5</w:t>
      </w:r>
      <w:r w:rsidRPr="002720D0">
        <w:rPr>
          <w:lang w:val="es-ES_tradnl"/>
        </w:rPr>
        <w:tab/>
      </w:r>
      <w:r w:rsidR="006538BA" w:rsidRPr="002720D0">
        <w:rPr>
          <w:lang w:val="es-ES_tradnl"/>
        </w:rPr>
        <w:t>Pago de la pensión alimenticia (art. 27, párr. 4)</w:t>
      </w:r>
      <w:bookmarkEnd w:id="31"/>
    </w:p>
    <w:p w:rsidR="00151021" w:rsidRPr="002720D0" w:rsidRDefault="004F6364" w:rsidP="004F6364">
      <w:pPr>
        <w:pStyle w:val="SingleTxtG"/>
        <w:tabs>
          <w:tab w:val="left" w:pos="-360"/>
        </w:tabs>
        <w:rPr>
          <w:lang w:val="es-ES_tradnl"/>
        </w:rPr>
      </w:pPr>
      <w:r w:rsidRPr="002720D0">
        <w:rPr>
          <w:lang w:val="es-ES_tradnl"/>
        </w:rPr>
        <w:t>105.</w:t>
      </w:r>
      <w:r w:rsidRPr="002720D0">
        <w:rPr>
          <w:lang w:val="es-ES_tradnl"/>
        </w:rPr>
        <w:tab/>
      </w:r>
      <w:r w:rsidR="006538BA" w:rsidRPr="002720D0">
        <w:rPr>
          <w:lang w:val="es-ES_tradnl"/>
        </w:rPr>
        <w:t>Durante el per</w:t>
      </w:r>
      <w:r w:rsidR="00B72B1C" w:rsidRPr="002720D0">
        <w:rPr>
          <w:lang w:val="es-ES_tradnl"/>
        </w:rPr>
        <w:t>íodo que se examina, el Estado p</w:t>
      </w:r>
      <w:r w:rsidR="006538BA" w:rsidRPr="002720D0">
        <w:rPr>
          <w:lang w:val="es-ES_tradnl"/>
        </w:rPr>
        <w:t xml:space="preserve">arte ha tomado medidas adecuadas relativas a la aplicación del párrafo 4 </w:t>
      </w:r>
      <w:r w:rsidR="00FE7846" w:rsidRPr="002720D0">
        <w:rPr>
          <w:lang w:val="es-ES_tradnl"/>
        </w:rPr>
        <w:t xml:space="preserve">del artículo 27 </w:t>
      </w:r>
      <w:r w:rsidR="006538BA" w:rsidRPr="002720D0">
        <w:rPr>
          <w:lang w:val="es-ES_tradnl"/>
        </w:rPr>
        <w:t>de la Convención, qu</w:t>
      </w:r>
      <w:r w:rsidR="00FE7846" w:rsidRPr="002720D0">
        <w:rPr>
          <w:lang w:val="es-ES_tradnl"/>
        </w:rPr>
        <w:t xml:space="preserve">e exige que los Estados </w:t>
      </w:r>
      <w:r w:rsidR="00305729" w:rsidRPr="002720D0">
        <w:rPr>
          <w:lang w:val="es-ES_tradnl"/>
        </w:rPr>
        <w:t xml:space="preserve">partes </w:t>
      </w:r>
      <w:r w:rsidR="006538BA" w:rsidRPr="002720D0">
        <w:rPr>
          <w:lang w:val="es-ES_tradnl"/>
        </w:rPr>
        <w:t xml:space="preserve">tomen </w:t>
      </w:r>
      <w:r w:rsidR="001D2A53">
        <w:rPr>
          <w:lang w:val="es-ES_tradnl"/>
        </w:rPr>
        <w:t>"</w:t>
      </w:r>
      <w:r w:rsidR="006538BA" w:rsidRPr="002720D0">
        <w:rPr>
          <w:lang w:val="es-ES_tradnl"/>
        </w:rPr>
        <w:t xml:space="preserve">todas las medidas apropiadas para asegurar el pago de la pensión alimenticia por parte de los padres u otras personas que tengan la responsabilidad financiera por el niño, tanto si viven en el Estado </w:t>
      </w:r>
      <w:r w:rsidRPr="002720D0">
        <w:rPr>
          <w:lang w:val="es-ES_tradnl"/>
        </w:rPr>
        <w:t xml:space="preserve">parte </w:t>
      </w:r>
      <w:r w:rsidR="006538BA" w:rsidRPr="002720D0">
        <w:rPr>
          <w:lang w:val="es-ES_tradnl"/>
        </w:rPr>
        <w:t>como si vive</w:t>
      </w:r>
      <w:r w:rsidR="00FE7846" w:rsidRPr="002720D0">
        <w:rPr>
          <w:lang w:val="es-ES_tradnl"/>
        </w:rPr>
        <w:t>n en el extranjero</w:t>
      </w:r>
      <w:r w:rsidR="001D2A53">
        <w:rPr>
          <w:lang w:val="es-ES_tradnl"/>
        </w:rPr>
        <w:t>"</w:t>
      </w:r>
      <w:r w:rsidR="00FE7846" w:rsidRPr="002720D0">
        <w:rPr>
          <w:lang w:val="es-ES_tradnl"/>
        </w:rPr>
        <w:t>. El Estado p</w:t>
      </w:r>
      <w:r w:rsidR="006538BA" w:rsidRPr="002720D0">
        <w:rPr>
          <w:lang w:val="es-ES_tradnl"/>
        </w:rPr>
        <w:t>arte ha dado cumplimiento a esta disposición mediante la promulgación de disposiciones específicas al respecto en la Ley de</w:t>
      </w:r>
      <w:r w:rsidR="00B72B1C" w:rsidRPr="002720D0">
        <w:rPr>
          <w:lang w:val="es-ES_tradnl"/>
        </w:rPr>
        <w:t xml:space="preserve"> la </w:t>
      </w:r>
      <w:r w:rsidR="008412B7" w:rsidRPr="002720D0">
        <w:rPr>
          <w:lang w:val="es-ES_tradnl"/>
        </w:rPr>
        <w:t xml:space="preserve">Infancia </w:t>
      </w:r>
      <w:r w:rsidR="00B72B1C" w:rsidRPr="002720D0">
        <w:rPr>
          <w:lang w:val="es-ES_tradnl"/>
        </w:rPr>
        <w:t xml:space="preserve">y </w:t>
      </w:r>
      <w:r w:rsidR="0041069F" w:rsidRPr="002720D0">
        <w:rPr>
          <w:lang w:val="es-ES_tradnl"/>
        </w:rPr>
        <w:t xml:space="preserve">en la </w:t>
      </w:r>
      <w:r w:rsidR="00B72B1C" w:rsidRPr="002720D0">
        <w:rPr>
          <w:lang w:val="es-ES_tradnl"/>
        </w:rPr>
        <w:t xml:space="preserve">Ley del </w:t>
      </w:r>
      <w:r w:rsidR="008412B7" w:rsidRPr="002720D0">
        <w:rPr>
          <w:lang w:val="es-ES_tradnl"/>
        </w:rPr>
        <w:t xml:space="preserve">Niño </w:t>
      </w:r>
      <w:r w:rsidR="006538BA" w:rsidRPr="002720D0">
        <w:rPr>
          <w:lang w:val="es-ES_tradnl"/>
        </w:rPr>
        <w:t xml:space="preserve">de Zanzíbar. </w:t>
      </w:r>
      <w:r w:rsidR="0041069F" w:rsidRPr="002720D0">
        <w:rPr>
          <w:lang w:val="es-ES_tradnl"/>
        </w:rPr>
        <w:t xml:space="preserve">Tanto el párrafo 2) del artículo 42 de la Ley de la </w:t>
      </w:r>
      <w:r w:rsidR="008412B7" w:rsidRPr="002720D0">
        <w:rPr>
          <w:lang w:val="es-ES_tradnl"/>
        </w:rPr>
        <w:t xml:space="preserve">Infancia </w:t>
      </w:r>
      <w:r w:rsidR="0041069F" w:rsidRPr="002720D0">
        <w:rPr>
          <w:lang w:val="es-ES_tradnl"/>
        </w:rPr>
        <w:t xml:space="preserve">como el párrafo 2) del artículo 64 de la Ley del </w:t>
      </w:r>
      <w:r w:rsidR="008412B7" w:rsidRPr="002720D0">
        <w:rPr>
          <w:lang w:val="es-ES_tradnl"/>
        </w:rPr>
        <w:t xml:space="preserve">Niño </w:t>
      </w:r>
      <w:r w:rsidR="0041069F" w:rsidRPr="002720D0">
        <w:rPr>
          <w:lang w:val="es-ES_tradnl"/>
        </w:rPr>
        <w:t xml:space="preserve">de Zanzíbar disponen, </w:t>
      </w:r>
      <w:r w:rsidR="00151021" w:rsidRPr="002720D0">
        <w:rPr>
          <w:i/>
          <w:lang w:val="es-ES_tradnl"/>
        </w:rPr>
        <w:t>mutatis mutandis</w:t>
      </w:r>
      <w:r w:rsidR="00151021" w:rsidRPr="002720D0">
        <w:rPr>
          <w:lang w:val="es-ES_tradnl"/>
        </w:rPr>
        <w:t xml:space="preserve">, </w:t>
      </w:r>
      <w:r w:rsidR="0041069F" w:rsidRPr="002720D0">
        <w:rPr>
          <w:lang w:val="es-ES_tradnl"/>
        </w:rPr>
        <w:t xml:space="preserve">que es posible interponer una demanda relativa al </w:t>
      </w:r>
      <w:r w:rsidR="00B72B1C" w:rsidRPr="002720D0">
        <w:rPr>
          <w:lang w:val="es-ES_tradnl"/>
        </w:rPr>
        <w:t xml:space="preserve">pago de la pensión alimenticia </w:t>
      </w:r>
      <w:r w:rsidR="001D2A53">
        <w:rPr>
          <w:lang w:val="es-ES_tradnl"/>
        </w:rPr>
        <w:t>"</w:t>
      </w:r>
      <w:r w:rsidR="0041069F" w:rsidRPr="002720D0">
        <w:rPr>
          <w:lang w:val="es-ES_tradnl"/>
        </w:rPr>
        <w:t>respecto de cualquier persona que tenga la responsabilidad financiera por el niño o la obligación de contribuir al bienestar y la manutención del niño</w:t>
      </w:r>
      <w:r w:rsidR="001D2A53">
        <w:rPr>
          <w:lang w:val="es-ES_tradnl"/>
        </w:rPr>
        <w:t>"</w:t>
      </w:r>
      <w:r w:rsidR="0041069F" w:rsidRPr="002720D0">
        <w:rPr>
          <w:lang w:val="es-ES_tradnl"/>
        </w:rPr>
        <w:t xml:space="preserve">. </w:t>
      </w:r>
    </w:p>
    <w:p w:rsidR="00151021" w:rsidRPr="002720D0" w:rsidRDefault="00323974" w:rsidP="00586395">
      <w:pPr>
        <w:pStyle w:val="H1G"/>
        <w:outlineLvl w:val="0"/>
        <w:rPr>
          <w:lang w:val="es-ES_tradnl"/>
        </w:rPr>
      </w:pPr>
      <w:bookmarkStart w:id="32" w:name="_Toc313470868"/>
      <w:r w:rsidRPr="002720D0">
        <w:rPr>
          <w:lang w:val="es-ES_tradnl"/>
        </w:rPr>
        <w:tab/>
      </w:r>
      <w:r w:rsidR="00151021" w:rsidRPr="002720D0">
        <w:rPr>
          <w:lang w:val="es-ES_tradnl"/>
        </w:rPr>
        <w:t>5.6</w:t>
      </w:r>
      <w:r w:rsidRPr="002720D0">
        <w:rPr>
          <w:lang w:val="es-ES_tradnl"/>
        </w:rPr>
        <w:tab/>
      </w:r>
      <w:r w:rsidR="007926F3" w:rsidRPr="002720D0">
        <w:rPr>
          <w:lang w:val="es-ES_tradnl"/>
        </w:rPr>
        <w:t xml:space="preserve">Niños privados de un entorno familiar </w:t>
      </w:r>
      <w:bookmarkEnd w:id="32"/>
      <w:r w:rsidR="00151021" w:rsidRPr="002720D0">
        <w:rPr>
          <w:lang w:val="es-ES_tradnl"/>
        </w:rPr>
        <w:t>(</w:t>
      </w:r>
      <w:r w:rsidR="00A45ED5" w:rsidRPr="002720D0">
        <w:rPr>
          <w:lang w:val="es-ES_tradnl"/>
        </w:rPr>
        <w:t>a</w:t>
      </w:r>
      <w:r w:rsidR="003665AB">
        <w:rPr>
          <w:lang w:val="es-ES_tradnl"/>
        </w:rPr>
        <w:t>rt.</w:t>
      </w:r>
      <w:r w:rsidR="00151021" w:rsidRPr="002720D0">
        <w:rPr>
          <w:lang w:val="es-ES_tradnl"/>
        </w:rPr>
        <w:t xml:space="preserve"> 20)</w:t>
      </w:r>
    </w:p>
    <w:p w:rsidR="00151021" w:rsidRPr="002720D0" w:rsidRDefault="004F6364" w:rsidP="004F6364">
      <w:pPr>
        <w:pStyle w:val="SingleTxtG"/>
        <w:tabs>
          <w:tab w:val="left" w:pos="-360"/>
        </w:tabs>
        <w:rPr>
          <w:lang w:val="es-ES_tradnl"/>
        </w:rPr>
      </w:pPr>
      <w:r w:rsidRPr="002720D0">
        <w:rPr>
          <w:lang w:val="es-ES_tradnl"/>
        </w:rPr>
        <w:t>106.</w:t>
      </w:r>
      <w:r w:rsidRPr="002720D0">
        <w:rPr>
          <w:lang w:val="es-ES_tradnl"/>
        </w:rPr>
        <w:tab/>
      </w:r>
      <w:r w:rsidR="007926F3" w:rsidRPr="002720D0">
        <w:rPr>
          <w:lang w:val="es-ES_tradnl"/>
        </w:rPr>
        <w:t xml:space="preserve">En su empeño por aplicar el artículo </w:t>
      </w:r>
      <w:r w:rsidR="00FE7846" w:rsidRPr="002720D0">
        <w:rPr>
          <w:lang w:val="es-ES_tradnl"/>
        </w:rPr>
        <w:t>20 de la Convención, el Estado p</w:t>
      </w:r>
      <w:r w:rsidR="007926F3" w:rsidRPr="002720D0">
        <w:rPr>
          <w:lang w:val="es-ES_tradnl"/>
        </w:rPr>
        <w:t>arte ha dispuesto protección y asistencia especiales para los niños</w:t>
      </w:r>
      <w:r w:rsidR="00003A0F" w:rsidRPr="002720D0">
        <w:rPr>
          <w:lang w:val="es-ES_tradnl"/>
        </w:rPr>
        <w:t xml:space="preserve"> </w:t>
      </w:r>
      <w:r w:rsidR="00B72B1C" w:rsidRPr="002720D0">
        <w:rPr>
          <w:lang w:val="es-ES_tradnl"/>
        </w:rPr>
        <w:t xml:space="preserve">que estén </w:t>
      </w:r>
      <w:r w:rsidR="00003A0F" w:rsidRPr="002720D0">
        <w:rPr>
          <w:lang w:val="es-ES_tradnl"/>
        </w:rPr>
        <w:t xml:space="preserve">temporal o permanentemente privados de su medio familiar, o cuyo superior interés exija que no permanezcan en ese medio. Para ello, ha promulgado disposiciones específicas destinadas a facilitar esta protección y asistencia. Por ejemplo, en virtud del párrafo 3) del artículo 37 de la Ley de la </w:t>
      </w:r>
      <w:r w:rsidR="008412B7" w:rsidRPr="002720D0">
        <w:rPr>
          <w:lang w:val="es-ES_tradnl"/>
        </w:rPr>
        <w:t>Infancia</w:t>
      </w:r>
      <w:r w:rsidR="00003A0F" w:rsidRPr="002720D0">
        <w:rPr>
          <w:lang w:val="es-ES_tradnl"/>
        </w:rPr>
        <w:t xml:space="preserve">, el tribunal podrá revocar en cualquier momento el otorgamiento de la guardia y custodia a una persona y concedérsela a otra persona, a un hogar de guarda o a una institución, según lo estime necesario. En virtud del párrafo 3) del artículo 9 de la Ley del </w:t>
      </w:r>
      <w:r w:rsidR="008412B7" w:rsidRPr="002720D0">
        <w:rPr>
          <w:lang w:val="es-ES_tradnl"/>
        </w:rPr>
        <w:t xml:space="preserve">Niño </w:t>
      </w:r>
      <w:r w:rsidR="00003A0F" w:rsidRPr="002720D0">
        <w:rPr>
          <w:lang w:val="es-ES_tradnl"/>
        </w:rPr>
        <w:t xml:space="preserve">de Zanzíbar, </w:t>
      </w:r>
      <w:r w:rsidR="00D2013F" w:rsidRPr="002720D0">
        <w:rPr>
          <w:lang w:val="es-ES_tradnl"/>
        </w:rPr>
        <w:t xml:space="preserve">cuando un tribunal de menores </w:t>
      </w:r>
      <w:r w:rsidR="001D2A53">
        <w:rPr>
          <w:lang w:val="es-ES_tradnl"/>
        </w:rPr>
        <w:t>"</w:t>
      </w:r>
      <w:r w:rsidR="00003A0F" w:rsidRPr="002720D0">
        <w:rPr>
          <w:lang w:val="es-ES_tradnl"/>
        </w:rPr>
        <w:t>determine que la separación de sus padres es necesaria en el interés superior del niño, se proporcionará</w:t>
      </w:r>
      <w:r w:rsidR="0073472C" w:rsidRPr="002720D0">
        <w:rPr>
          <w:lang w:val="es-ES_tradnl"/>
        </w:rPr>
        <w:t>n</w:t>
      </w:r>
      <w:r w:rsidR="00003A0F" w:rsidRPr="002720D0">
        <w:rPr>
          <w:lang w:val="es-ES_tradnl"/>
        </w:rPr>
        <w:t xml:space="preserve"> a este </w:t>
      </w:r>
      <w:r w:rsidR="0073472C" w:rsidRPr="002720D0">
        <w:rPr>
          <w:lang w:val="es-ES_tradnl"/>
        </w:rPr>
        <w:t>las mejores formas alternativas de cuidados</w:t>
      </w:r>
      <w:r w:rsidR="001D2A53">
        <w:rPr>
          <w:lang w:val="es-ES_tradnl"/>
        </w:rPr>
        <w:t>"</w:t>
      </w:r>
      <w:r w:rsidR="0073472C"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107.</w:t>
      </w:r>
      <w:r w:rsidRPr="002720D0">
        <w:rPr>
          <w:lang w:val="es-ES_tradnl"/>
        </w:rPr>
        <w:tab/>
      </w:r>
      <w:r w:rsidR="0073472C" w:rsidRPr="002720D0">
        <w:rPr>
          <w:lang w:val="es-ES_tradnl"/>
        </w:rPr>
        <w:t xml:space="preserve">En cumplimiento del párrafo 3) del artículo </w:t>
      </w:r>
      <w:r w:rsidR="00D2013F" w:rsidRPr="002720D0">
        <w:rPr>
          <w:lang w:val="es-ES_tradnl"/>
        </w:rPr>
        <w:t>20 de la Convención, el Estado p</w:t>
      </w:r>
      <w:r w:rsidR="0073472C" w:rsidRPr="002720D0">
        <w:rPr>
          <w:lang w:val="es-ES_tradnl"/>
        </w:rPr>
        <w:t xml:space="preserve">arte </w:t>
      </w:r>
      <w:r w:rsidR="00AF55B0" w:rsidRPr="002720D0">
        <w:rPr>
          <w:lang w:val="es-ES_tradnl"/>
        </w:rPr>
        <w:t>ha dispuesto en las dos leyes de la infancia formas alternativas o sustitutivas de cuidados como la colocación en hogares de guarda</w:t>
      </w:r>
      <w:r w:rsidR="00151021" w:rsidRPr="002720D0">
        <w:rPr>
          <w:rStyle w:val="FootnoteReference"/>
          <w:lang w:val="es-ES_tradnl"/>
        </w:rPr>
        <w:footnoteReference w:id="61"/>
      </w:r>
      <w:r w:rsidR="00AF55B0" w:rsidRPr="002720D0">
        <w:rPr>
          <w:lang w:val="es-ES_tradnl"/>
        </w:rPr>
        <w:t xml:space="preserve">, la </w:t>
      </w:r>
      <w:r w:rsidR="00AF55B0" w:rsidRPr="002720D0">
        <w:rPr>
          <w:i/>
          <w:lang w:val="es-ES_tradnl"/>
        </w:rPr>
        <w:t>kafala</w:t>
      </w:r>
      <w:r w:rsidR="00AF55B0" w:rsidRPr="002720D0">
        <w:rPr>
          <w:lang w:val="es-ES_tradnl"/>
        </w:rPr>
        <w:t xml:space="preserve"> del derecho islámico vigente en Zanzíbar</w:t>
      </w:r>
      <w:r w:rsidR="00151021" w:rsidRPr="002720D0">
        <w:rPr>
          <w:rStyle w:val="FootnoteReference"/>
          <w:lang w:val="es-ES_tradnl"/>
        </w:rPr>
        <w:footnoteReference w:id="62"/>
      </w:r>
      <w:r w:rsidR="00AF55B0" w:rsidRPr="002720D0">
        <w:rPr>
          <w:lang w:val="es-ES_tradnl"/>
        </w:rPr>
        <w:t>, la adopción</w:t>
      </w:r>
      <w:r w:rsidR="00151021" w:rsidRPr="002720D0">
        <w:rPr>
          <w:rStyle w:val="FootnoteReference"/>
          <w:lang w:val="es-ES_tradnl"/>
        </w:rPr>
        <w:footnoteReference w:id="63"/>
      </w:r>
      <w:r w:rsidR="00151021" w:rsidRPr="002720D0">
        <w:rPr>
          <w:lang w:val="es-ES_tradnl"/>
        </w:rPr>
        <w:t xml:space="preserve"> </w:t>
      </w:r>
      <w:r w:rsidR="00AF55B0" w:rsidRPr="002720D0">
        <w:rPr>
          <w:lang w:val="es-ES_tradnl"/>
        </w:rPr>
        <w:t>y la colocación en instituciones adecuadas</w:t>
      </w:r>
      <w:r w:rsidR="00151021" w:rsidRPr="002720D0">
        <w:rPr>
          <w:rStyle w:val="FootnoteReference"/>
          <w:lang w:val="es-ES_tradnl"/>
        </w:rPr>
        <w:footnoteReference w:id="64"/>
      </w:r>
      <w:r w:rsidR="00151021" w:rsidRPr="002720D0">
        <w:rPr>
          <w:lang w:val="es-ES_tradnl"/>
        </w:rPr>
        <w:t xml:space="preserve"> </w:t>
      </w:r>
      <w:r w:rsidR="00AF55B0" w:rsidRPr="002720D0">
        <w:rPr>
          <w:lang w:val="es-ES_tradnl"/>
        </w:rPr>
        <w:t xml:space="preserve">para el cuidado de los niños privados de su entorno familiar. </w:t>
      </w:r>
    </w:p>
    <w:p w:rsidR="00151021" w:rsidRPr="002720D0" w:rsidRDefault="004F6364" w:rsidP="004F6364">
      <w:pPr>
        <w:pStyle w:val="SingleTxtG"/>
        <w:tabs>
          <w:tab w:val="left" w:pos="-360"/>
        </w:tabs>
        <w:rPr>
          <w:lang w:val="es-ES_tradnl"/>
        </w:rPr>
      </w:pPr>
      <w:r w:rsidRPr="002720D0">
        <w:rPr>
          <w:lang w:val="es-ES_tradnl"/>
        </w:rPr>
        <w:t>108.</w:t>
      </w:r>
      <w:r w:rsidRPr="002720D0">
        <w:rPr>
          <w:lang w:val="es-ES_tradnl"/>
        </w:rPr>
        <w:tab/>
      </w:r>
      <w:r w:rsidR="009E2366" w:rsidRPr="002720D0">
        <w:rPr>
          <w:lang w:val="es-ES_tradnl"/>
        </w:rPr>
        <w:t xml:space="preserve">Asimismo, </w:t>
      </w:r>
      <w:r w:rsidR="00A753B6" w:rsidRPr="002720D0">
        <w:rPr>
          <w:lang w:val="es-ES_tradnl"/>
        </w:rPr>
        <w:t xml:space="preserve">se está examinando </w:t>
      </w:r>
      <w:r w:rsidR="009E2366" w:rsidRPr="002720D0">
        <w:rPr>
          <w:lang w:val="es-ES_tradnl"/>
        </w:rPr>
        <w:t xml:space="preserve">la Política de supervivencia, protección y promoción del niño </w:t>
      </w:r>
      <w:r w:rsidR="00151021" w:rsidRPr="002720D0">
        <w:rPr>
          <w:lang w:val="es-ES_tradnl"/>
        </w:rPr>
        <w:t xml:space="preserve">(2001) </w:t>
      </w:r>
      <w:r w:rsidR="00A753B6" w:rsidRPr="002720D0">
        <w:rPr>
          <w:lang w:val="es-ES_tradnl"/>
        </w:rPr>
        <w:t xml:space="preserve">para tener en cuenta los asuntos de la infancia que se incluyen en la Ley del </w:t>
      </w:r>
      <w:r w:rsidR="008412B7" w:rsidRPr="002720D0">
        <w:rPr>
          <w:lang w:val="es-ES_tradnl"/>
        </w:rPr>
        <w:t xml:space="preserve">Niño </w:t>
      </w:r>
      <w:r w:rsidR="00D2013F" w:rsidRPr="002720D0">
        <w:rPr>
          <w:lang w:val="es-ES_tradnl"/>
        </w:rPr>
        <w:t xml:space="preserve">actualmente </w:t>
      </w:r>
      <w:r w:rsidR="007A7175" w:rsidRPr="002720D0">
        <w:rPr>
          <w:lang w:val="es-ES_tradnl"/>
        </w:rPr>
        <w:t>vigente en Zanzíbar. El Estado p</w:t>
      </w:r>
      <w:r w:rsidR="00A753B6" w:rsidRPr="002720D0">
        <w:rPr>
          <w:lang w:val="es-ES_tradnl"/>
        </w:rPr>
        <w:t xml:space="preserve">arte está elaborando además un plan de aplicación de la Ley del </w:t>
      </w:r>
      <w:r w:rsidR="008412B7" w:rsidRPr="002720D0">
        <w:rPr>
          <w:lang w:val="es-ES_tradnl"/>
        </w:rPr>
        <w:t xml:space="preserve">Niño </w:t>
      </w:r>
      <w:r w:rsidR="00A753B6" w:rsidRPr="002720D0">
        <w:rPr>
          <w:lang w:val="es-ES_tradnl"/>
        </w:rPr>
        <w:t xml:space="preserve">en Zanzíbar, </w:t>
      </w:r>
      <w:r w:rsidR="00D421F1" w:rsidRPr="002720D0">
        <w:rPr>
          <w:lang w:val="es-ES_tradnl"/>
        </w:rPr>
        <w:t>que se sumará a</w:t>
      </w:r>
      <w:r w:rsidR="00A753B6" w:rsidRPr="002720D0">
        <w:rPr>
          <w:lang w:val="es-ES_tradnl"/>
        </w:rPr>
        <w:t xml:space="preserve"> las Directrices nacionales para la protección y el bienestar de la infancia en Zanzíbar, de 2011</w:t>
      </w:r>
      <w:r w:rsidR="00D54FD0" w:rsidRPr="002720D0">
        <w:rPr>
          <w:lang w:val="es-ES_tradnl"/>
        </w:rPr>
        <w:t>. Estas Directrices nacionales</w:t>
      </w:r>
      <w:r w:rsidR="00D421F1" w:rsidRPr="002720D0">
        <w:rPr>
          <w:lang w:val="es-ES_tradnl"/>
        </w:rPr>
        <w:t>, que</w:t>
      </w:r>
      <w:r w:rsidR="00D54FD0" w:rsidRPr="002720D0">
        <w:rPr>
          <w:lang w:val="es-ES_tradnl"/>
        </w:rPr>
        <w:t xml:space="preserve"> se cuentan entre las actividades destinadas a la </w:t>
      </w:r>
      <w:r w:rsidR="00D421F1" w:rsidRPr="002720D0">
        <w:rPr>
          <w:lang w:val="es-ES_tradnl"/>
        </w:rPr>
        <w:t>creación</w:t>
      </w:r>
      <w:r w:rsidR="00D54FD0" w:rsidRPr="002720D0">
        <w:rPr>
          <w:lang w:val="es-ES_tradnl"/>
        </w:rPr>
        <w:t xml:space="preserve"> de un sistema nacional para</w:t>
      </w:r>
      <w:r w:rsidR="00D421F1" w:rsidRPr="002720D0">
        <w:rPr>
          <w:lang w:val="es-ES_tradnl"/>
        </w:rPr>
        <w:t xml:space="preserve"> la protección de la infancia, </w:t>
      </w:r>
      <w:r w:rsidR="007A7175" w:rsidRPr="002720D0">
        <w:rPr>
          <w:lang w:val="es-ES_tradnl"/>
        </w:rPr>
        <w:t>proporcionan</w:t>
      </w:r>
      <w:r w:rsidR="00D54FD0" w:rsidRPr="002720D0">
        <w:rPr>
          <w:lang w:val="es-ES_tradnl"/>
        </w:rPr>
        <w:t xml:space="preserve"> procedimientos relativos a las actuaciones en beneficio de los niños privados de su entorno familiar. Mediante estas directrices se pretende que los miembros d</w:t>
      </w:r>
      <w:r w:rsidR="00D421F1" w:rsidRPr="002720D0">
        <w:rPr>
          <w:lang w:val="es-ES_tradnl"/>
        </w:rPr>
        <w:t>e la comunidad comprendan que incumbe al</w:t>
      </w:r>
      <w:r w:rsidR="00D54FD0" w:rsidRPr="002720D0">
        <w:rPr>
          <w:lang w:val="es-ES_tradnl"/>
        </w:rPr>
        <w:t xml:space="preserve"> Departamento de Bienestar Social de Zanzíbar, por el conducto de su Unidad de Protección de la </w:t>
      </w:r>
      <w:r w:rsidR="005A61D1">
        <w:rPr>
          <w:lang w:val="es-ES_tradnl"/>
        </w:rPr>
        <w:t>Niñez</w:t>
      </w:r>
      <w:r w:rsidR="00815474" w:rsidRPr="002720D0">
        <w:rPr>
          <w:lang w:val="es-ES_tradnl"/>
        </w:rPr>
        <w:t xml:space="preserve">, la función de llevar a cabo una evaluación destinada a identificar a aquellos niños que realmente necesitan pleno apoyo (es decir, que han de ser criados en orfanatos). Las directrices </w:t>
      </w:r>
      <w:r w:rsidR="00D421F1" w:rsidRPr="002720D0">
        <w:rPr>
          <w:lang w:val="es-ES_tradnl"/>
        </w:rPr>
        <w:t>respaldan</w:t>
      </w:r>
      <w:r w:rsidR="00815474" w:rsidRPr="002720D0">
        <w:rPr>
          <w:lang w:val="es-ES_tradnl"/>
        </w:rPr>
        <w:t xml:space="preserve"> las disposiciones de la Ley del </w:t>
      </w:r>
      <w:r w:rsidR="008412B7" w:rsidRPr="002720D0">
        <w:rPr>
          <w:lang w:val="es-ES_tradnl"/>
        </w:rPr>
        <w:t xml:space="preserve">Niño </w:t>
      </w:r>
      <w:r w:rsidR="00815474" w:rsidRPr="002720D0">
        <w:rPr>
          <w:lang w:val="es-ES_tradnl"/>
        </w:rPr>
        <w:t>de Zanzíbar.</w:t>
      </w:r>
      <w:r w:rsidR="001D2A53">
        <w:rPr>
          <w:lang w:val="es-ES_tradnl"/>
        </w:rPr>
        <w:t xml:space="preserve"> </w:t>
      </w:r>
    </w:p>
    <w:p w:rsidR="00151021" w:rsidRPr="002720D0" w:rsidRDefault="00323974" w:rsidP="00586395">
      <w:pPr>
        <w:pStyle w:val="H1G"/>
        <w:outlineLvl w:val="0"/>
        <w:rPr>
          <w:lang w:val="es-ES_tradnl"/>
        </w:rPr>
      </w:pPr>
      <w:bookmarkStart w:id="33" w:name="_Toc313470869"/>
      <w:r w:rsidRPr="002720D0">
        <w:rPr>
          <w:lang w:val="es-ES_tradnl"/>
        </w:rPr>
        <w:tab/>
      </w:r>
      <w:r w:rsidR="00151021" w:rsidRPr="002720D0">
        <w:rPr>
          <w:lang w:val="es-ES_tradnl"/>
        </w:rPr>
        <w:t>5.7</w:t>
      </w:r>
      <w:r w:rsidRPr="002720D0">
        <w:rPr>
          <w:lang w:val="es-ES_tradnl"/>
        </w:rPr>
        <w:tab/>
      </w:r>
      <w:bookmarkEnd w:id="33"/>
      <w:r w:rsidR="007F3712" w:rsidRPr="002720D0">
        <w:rPr>
          <w:lang w:val="es-ES_tradnl"/>
        </w:rPr>
        <w:t>Examen periódico del acogimiento (art. 25)</w:t>
      </w:r>
    </w:p>
    <w:p w:rsidR="00151021" w:rsidRPr="002720D0" w:rsidRDefault="004F6364" w:rsidP="004F6364">
      <w:pPr>
        <w:pStyle w:val="SingleTxtG"/>
        <w:tabs>
          <w:tab w:val="left" w:pos="-360"/>
        </w:tabs>
        <w:rPr>
          <w:lang w:val="es-ES_tradnl"/>
        </w:rPr>
      </w:pPr>
      <w:r w:rsidRPr="002720D0">
        <w:rPr>
          <w:lang w:val="es-ES_tradnl"/>
        </w:rPr>
        <w:t>109.</w:t>
      </w:r>
      <w:r w:rsidRPr="002720D0">
        <w:rPr>
          <w:lang w:val="es-ES_tradnl"/>
        </w:rPr>
        <w:tab/>
      </w:r>
      <w:r w:rsidR="007F3712" w:rsidRPr="002720D0">
        <w:rPr>
          <w:lang w:val="es-ES_tradnl"/>
        </w:rPr>
        <w:t xml:space="preserve">En su aplicación del artículo </w:t>
      </w:r>
      <w:r w:rsidR="000135C6" w:rsidRPr="002720D0">
        <w:rPr>
          <w:lang w:val="es-ES_tradnl"/>
        </w:rPr>
        <w:t>25 de la Convención, el Estado p</w:t>
      </w:r>
      <w:r w:rsidR="007F3712" w:rsidRPr="002720D0">
        <w:rPr>
          <w:lang w:val="es-ES_tradnl"/>
        </w:rPr>
        <w:t xml:space="preserve">arte reconoce el derecho del niño que ha sido </w:t>
      </w:r>
      <w:r w:rsidR="000135C6" w:rsidRPr="002720D0">
        <w:rPr>
          <w:lang w:val="es-ES_tradnl"/>
        </w:rPr>
        <w:t>acogido</w:t>
      </w:r>
      <w:r w:rsidR="007F3712" w:rsidRPr="002720D0">
        <w:rPr>
          <w:lang w:val="es-ES_tradnl"/>
        </w:rPr>
        <w:t xml:space="preserve"> en un establecimiento por las autoridades competentes para los fines de atención, protección o tratamiento de su salud física o mental a un examen periódico del tratamiento a que esté sometido y de todas las demás circunstancias propias de su </w:t>
      </w:r>
      <w:r w:rsidR="000135C6" w:rsidRPr="002720D0">
        <w:rPr>
          <w:lang w:val="es-ES_tradnl"/>
        </w:rPr>
        <w:t>acogimiento</w:t>
      </w:r>
      <w:r w:rsidR="007F3712" w:rsidRPr="002720D0">
        <w:rPr>
          <w:lang w:val="es-ES_tradnl"/>
        </w:rPr>
        <w:t xml:space="preserve">. A estos efectos, el artículo 124 1) de la Ley del </w:t>
      </w:r>
      <w:r w:rsidR="008412B7" w:rsidRPr="002720D0">
        <w:rPr>
          <w:lang w:val="es-ES_tradnl"/>
        </w:rPr>
        <w:t xml:space="preserve">Niño </w:t>
      </w:r>
      <w:r w:rsidR="007F3712" w:rsidRPr="002720D0">
        <w:rPr>
          <w:lang w:val="es-ES_tradnl"/>
        </w:rPr>
        <w:t xml:space="preserve">de Zanzíbar </w:t>
      </w:r>
      <w:r w:rsidR="000135C6" w:rsidRPr="002720D0">
        <w:rPr>
          <w:lang w:val="es-ES_tradnl"/>
        </w:rPr>
        <w:t>asigna</w:t>
      </w:r>
      <w:r w:rsidR="007F3712" w:rsidRPr="002720D0">
        <w:rPr>
          <w:lang w:val="es-ES_tradnl"/>
        </w:rPr>
        <w:t xml:space="preserve"> al ministro responsable de los asuntos de la infancia los siguientes deberes, que se pueden delegar en cualquier persona integrante del servicio público</w:t>
      </w:r>
      <w:r w:rsidR="00151021" w:rsidRPr="002720D0">
        <w:rPr>
          <w:rStyle w:val="FootnoteReference"/>
          <w:lang w:val="es-ES_tradnl"/>
        </w:rPr>
        <w:footnoteReference w:id="65"/>
      </w:r>
      <w:r w:rsidR="00CB6CC3">
        <w:rPr>
          <w:lang w:val="es-ES_tradnl"/>
        </w:rPr>
        <w:t>: a) </w:t>
      </w:r>
      <w:r w:rsidR="007F3712" w:rsidRPr="002720D0">
        <w:rPr>
          <w:lang w:val="es-ES_tradnl"/>
        </w:rPr>
        <w:t xml:space="preserve">velar por la administración eficaz de cualquier establecimiento residencial para niños que el Gobierno haya creado en virtud del artículo 123 2), y b) vigilar la administración de cualquier establecimiento residencial aprobado en virtud del artículo 123 3). Este deber tiene el objeto de promover el bienestar de los niños, su integración con sus compañeros y en la comunidad y su pleno desarrollo, en particular en relación con su educación y su salud. </w:t>
      </w:r>
    </w:p>
    <w:p w:rsidR="00151021" w:rsidRPr="002720D0" w:rsidRDefault="004F6364" w:rsidP="004F6364">
      <w:pPr>
        <w:pStyle w:val="SingleTxtG"/>
        <w:tabs>
          <w:tab w:val="left" w:pos="-360"/>
        </w:tabs>
        <w:rPr>
          <w:lang w:val="es-ES_tradnl"/>
        </w:rPr>
      </w:pPr>
      <w:r w:rsidRPr="002720D0">
        <w:rPr>
          <w:lang w:val="es-ES_tradnl"/>
        </w:rPr>
        <w:t>110.</w:t>
      </w:r>
      <w:r w:rsidRPr="002720D0">
        <w:rPr>
          <w:lang w:val="es-ES_tradnl"/>
        </w:rPr>
        <w:tab/>
      </w:r>
      <w:r w:rsidR="008918B8" w:rsidRPr="002720D0">
        <w:rPr>
          <w:lang w:val="es-ES_tradnl"/>
        </w:rPr>
        <w:t xml:space="preserve">En Zanzíbar, en aras de la promoción del bienestar y el desarrollo de los niños en los establecimientos residenciales, en particular en lo que respecta a su educación y su salud, todos aquellos establecimientos residenciales que </w:t>
      </w:r>
      <w:r w:rsidR="00B14CA8" w:rsidRPr="002720D0">
        <w:rPr>
          <w:lang w:val="es-ES_tradnl"/>
        </w:rPr>
        <w:t>han sido</w:t>
      </w:r>
      <w:r w:rsidR="008918B8" w:rsidRPr="002720D0">
        <w:rPr>
          <w:lang w:val="es-ES_tradnl"/>
        </w:rPr>
        <w:t xml:space="preserve"> </w:t>
      </w:r>
      <w:r w:rsidR="00FA4BBB" w:rsidRPr="002720D0">
        <w:rPr>
          <w:lang w:val="es-ES_tradnl"/>
        </w:rPr>
        <w:t>autorizados</w:t>
      </w:r>
      <w:r w:rsidR="008918B8" w:rsidRPr="002720D0">
        <w:rPr>
          <w:lang w:val="es-ES_tradnl"/>
        </w:rPr>
        <w:t xml:space="preserve"> con arreglo al artículo 123 3)</w:t>
      </w:r>
      <w:r w:rsidR="00B14CA8" w:rsidRPr="002720D0">
        <w:rPr>
          <w:lang w:val="es-ES_tradnl"/>
        </w:rPr>
        <w:t xml:space="preserve"> se someten a vigilancia</w:t>
      </w:r>
      <w:r w:rsidR="008918B8" w:rsidRPr="002720D0">
        <w:rPr>
          <w:lang w:val="es-ES_tradnl"/>
        </w:rPr>
        <w:t xml:space="preserve">, que en el </w:t>
      </w:r>
      <w:r w:rsidR="00E07A2A" w:rsidRPr="002720D0">
        <w:rPr>
          <w:lang w:val="es-ES_tradnl"/>
        </w:rPr>
        <w:t xml:space="preserve">nivel de base corre a cargo de un comité creado en </w:t>
      </w:r>
      <w:r w:rsidR="00B14CA8" w:rsidRPr="002720D0">
        <w:rPr>
          <w:lang w:val="es-ES_tradnl"/>
        </w:rPr>
        <w:t xml:space="preserve">virtud del artículo 125 1) de la Ley del </w:t>
      </w:r>
      <w:r w:rsidR="008412B7" w:rsidRPr="002720D0">
        <w:rPr>
          <w:lang w:val="es-ES_tradnl"/>
        </w:rPr>
        <w:t xml:space="preserve">Niño </w:t>
      </w:r>
      <w:r w:rsidR="00B14CA8" w:rsidRPr="002720D0">
        <w:rPr>
          <w:lang w:val="es-ES_tradnl"/>
        </w:rPr>
        <w:t xml:space="preserve">de Zanzíbar. El comité, integrado por un mínimo de cuatro personas aptas, tiene el deber de supervisar la gestión del correspondiente establecimiento residencial. Para cumplir con su función de vigilancia, el comité </w:t>
      </w:r>
      <w:r w:rsidR="00D421F1" w:rsidRPr="002720D0">
        <w:rPr>
          <w:lang w:val="es-ES_tradnl"/>
        </w:rPr>
        <w:t>ha de llevar</w:t>
      </w:r>
      <w:r w:rsidR="00B14CA8" w:rsidRPr="002720D0">
        <w:rPr>
          <w:lang w:val="es-ES_tradnl"/>
        </w:rPr>
        <w:t xml:space="preserve"> a cabo las acciones siguientes: </w:t>
      </w:r>
    </w:p>
    <w:p w:rsidR="00151021" w:rsidRPr="002720D0" w:rsidRDefault="008370A8" w:rsidP="008370A8">
      <w:pPr>
        <w:pStyle w:val="SingleTxtG"/>
        <w:rPr>
          <w:lang w:val="es-ES_tradnl"/>
        </w:rPr>
      </w:pPr>
      <w:r>
        <w:rPr>
          <w:lang w:val="es-ES_tradnl"/>
        </w:rPr>
        <w:tab/>
      </w:r>
      <w:r w:rsidR="00906E3A" w:rsidRPr="002720D0">
        <w:rPr>
          <w:lang w:val="es-ES_tradnl"/>
        </w:rPr>
        <w:t>a)</w:t>
      </w:r>
      <w:r w:rsidR="00906E3A" w:rsidRPr="002720D0">
        <w:rPr>
          <w:lang w:val="es-ES_tradnl"/>
        </w:rPr>
        <w:tab/>
      </w:r>
      <w:r w:rsidR="00D421F1" w:rsidRPr="002720D0">
        <w:rPr>
          <w:lang w:val="es-ES_tradnl"/>
        </w:rPr>
        <w:t>Realizar</w:t>
      </w:r>
      <w:r w:rsidR="00B14CA8" w:rsidRPr="002720D0">
        <w:rPr>
          <w:lang w:val="es-ES_tradnl"/>
        </w:rPr>
        <w:t xml:space="preserve"> visitas periódicas al establecimiento, incluso sin previo aviso; </w:t>
      </w:r>
    </w:p>
    <w:p w:rsidR="00151021" w:rsidRPr="002720D0" w:rsidRDefault="008370A8" w:rsidP="008370A8">
      <w:pPr>
        <w:pStyle w:val="SingleTxtG"/>
        <w:rPr>
          <w:lang w:val="es-ES_tradnl"/>
        </w:rPr>
      </w:pPr>
      <w:r>
        <w:rPr>
          <w:lang w:val="es-ES_tradnl"/>
        </w:rPr>
        <w:tab/>
      </w:r>
      <w:r w:rsidR="00151021" w:rsidRPr="002720D0">
        <w:rPr>
          <w:lang w:val="es-ES_tradnl"/>
        </w:rPr>
        <w:t>b)</w:t>
      </w:r>
      <w:r w:rsidR="00D421F1" w:rsidRPr="002720D0">
        <w:rPr>
          <w:lang w:val="es-ES_tradnl"/>
        </w:rPr>
        <w:tab/>
        <w:t>Solicitar</w:t>
      </w:r>
      <w:r w:rsidR="002439BC" w:rsidRPr="002720D0">
        <w:rPr>
          <w:lang w:val="es-ES_tradnl"/>
        </w:rPr>
        <w:t xml:space="preserve">, para su examen, todos los libros de asiento, documentos y registros relativos a la gestión del establecimiento y a la disciplina en él impartida; </w:t>
      </w:r>
    </w:p>
    <w:p w:rsidR="00151021" w:rsidRPr="002720D0" w:rsidRDefault="008370A8" w:rsidP="008370A8">
      <w:pPr>
        <w:pStyle w:val="SingleTxtG"/>
        <w:rPr>
          <w:lang w:val="es-ES_tradnl"/>
        </w:rPr>
      </w:pPr>
      <w:r>
        <w:rPr>
          <w:lang w:val="es-ES_tradnl"/>
        </w:rPr>
        <w:tab/>
      </w:r>
      <w:r w:rsidR="00D421F1" w:rsidRPr="002720D0">
        <w:rPr>
          <w:lang w:val="es-ES_tradnl"/>
        </w:rPr>
        <w:t>c)</w:t>
      </w:r>
      <w:r w:rsidR="00D421F1" w:rsidRPr="002720D0">
        <w:rPr>
          <w:lang w:val="es-ES_tradnl"/>
        </w:rPr>
        <w:tab/>
        <w:t>Realizar</w:t>
      </w:r>
      <w:r w:rsidR="002439BC" w:rsidRPr="002720D0">
        <w:rPr>
          <w:lang w:val="es-ES_tradnl"/>
        </w:rPr>
        <w:t xml:space="preserve"> entrevistas a los miembros del personal y a los niños, ofreci</w:t>
      </w:r>
      <w:r w:rsidR="00DD7F63" w:rsidRPr="002720D0">
        <w:rPr>
          <w:lang w:val="es-ES_tradnl"/>
        </w:rPr>
        <w:t>éndoles la posibilidad de que esas</w:t>
      </w:r>
      <w:r w:rsidR="002439BC" w:rsidRPr="002720D0">
        <w:rPr>
          <w:lang w:val="es-ES_tradnl"/>
        </w:rPr>
        <w:t xml:space="preserve"> entrevista</w:t>
      </w:r>
      <w:r w:rsidR="00DD7F63" w:rsidRPr="002720D0">
        <w:rPr>
          <w:lang w:val="es-ES_tradnl"/>
        </w:rPr>
        <w:t>s</w:t>
      </w:r>
      <w:r w:rsidR="002439BC" w:rsidRPr="002720D0">
        <w:rPr>
          <w:lang w:val="es-ES_tradnl"/>
        </w:rPr>
        <w:t xml:space="preserve"> se realice</w:t>
      </w:r>
      <w:r w:rsidR="00DD7F63" w:rsidRPr="002720D0">
        <w:rPr>
          <w:lang w:val="es-ES_tradnl"/>
        </w:rPr>
        <w:t>n</w:t>
      </w:r>
      <w:r w:rsidR="002439BC" w:rsidRPr="002720D0">
        <w:rPr>
          <w:lang w:val="es-ES_tradnl"/>
        </w:rPr>
        <w:t xml:space="preserve"> en privado; </w:t>
      </w:r>
    </w:p>
    <w:p w:rsidR="00151021" w:rsidRPr="002720D0" w:rsidRDefault="008370A8" w:rsidP="008370A8">
      <w:pPr>
        <w:pStyle w:val="SingleTxtG"/>
        <w:rPr>
          <w:lang w:val="es-ES_tradnl"/>
        </w:rPr>
      </w:pPr>
      <w:r>
        <w:rPr>
          <w:lang w:val="es-ES_tradnl"/>
        </w:rPr>
        <w:tab/>
      </w:r>
      <w:r w:rsidR="00D421F1" w:rsidRPr="002720D0">
        <w:rPr>
          <w:lang w:val="es-ES_tradnl"/>
        </w:rPr>
        <w:t>d)</w:t>
      </w:r>
      <w:r w:rsidR="00D421F1" w:rsidRPr="002720D0">
        <w:rPr>
          <w:lang w:val="es-ES_tradnl"/>
        </w:rPr>
        <w:tab/>
        <w:t>Realizar</w:t>
      </w:r>
      <w:r w:rsidR="002439BC" w:rsidRPr="002720D0">
        <w:rPr>
          <w:lang w:val="es-ES_tradnl"/>
        </w:rPr>
        <w:t xml:space="preserve"> inspecciones y comprobaciones para determinar lo siguiente: </w:t>
      </w:r>
    </w:p>
    <w:p w:rsidR="00151021" w:rsidRPr="002720D0" w:rsidRDefault="00014CDA" w:rsidP="00014CDA">
      <w:pPr>
        <w:pStyle w:val="SingleTxtG"/>
        <w:rPr>
          <w:lang w:val="es-ES_tradnl"/>
        </w:rPr>
      </w:pPr>
      <w:r>
        <w:rPr>
          <w:lang w:val="es-ES_tradnl"/>
        </w:rPr>
        <w:tab/>
      </w:r>
      <w:r w:rsidR="002439BC" w:rsidRPr="002720D0">
        <w:rPr>
          <w:lang w:val="es-ES_tradnl"/>
        </w:rPr>
        <w:t>i)</w:t>
      </w:r>
      <w:r w:rsidR="002439BC" w:rsidRPr="002720D0">
        <w:rPr>
          <w:lang w:val="es-ES_tradnl"/>
        </w:rPr>
        <w:tab/>
      </w:r>
      <w:r w:rsidR="008370A8" w:rsidRPr="002720D0">
        <w:rPr>
          <w:lang w:val="es-ES_tradnl"/>
        </w:rPr>
        <w:t xml:space="preserve">La </w:t>
      </w:r>
      <w:r w:rsidR="002439BC" w:rsidRPr="002720D0">
        <w:rPr>
          <w:lang w:val="es-ES_tradnl"/>
        </w:rPr>
        <w:t xml:space="preserve">calidad y la cantidad de la alimentación; </w:t>
      </w:r>
    </w:p>
    <w:p w:rsidR="00151021" w:rsidRPr="002720D0" w:rsidRDefault="00014CDA" w:rsidP="00014CDA">
      <w:pPr>
        <w:pStyle w:val="SingleTxtG"/>
        <w:rPr>
          <w:lang w:val="es-ES_tradnl"/>
        </w:rPr>
      </w:pPr>
      <w:r>
        <w:rPr>
          <w:lang w:val="es-ES_tradnl"/>
        </w:rPr>
        <w:tab/>
      </w:r>
      <w:r w:rsidR="00151021" w:rsidRPr="002720D0">
        <w:rPr>
          <w:lang w:val="es-ES_tradnl"/>
        </w:rPr>
        <w:t>ii)</w:t>
      </w:r>
      <w:r w:rsidR="00151021" w:rsidRPr="002720D0">
        <w:rPr>
          <w:lang w:val="es-ES_tradnl"/>
        </w:rPr>
        <w:tab/>
      </w:r>
      <w:r w:rsidR="008370A8" w:rsidRPr="002720D0">
        <w:rPr>
          <w:lang w:val="es-ES_tradnl"/>
        </w:rPr>
        <w:t xml:space="preserve">Las </w:t>
      </w:r>
      <w:r w:rsidR="007E2D5D" w:rsidRPr="002720D0">
        <w:rPr>
          <w:lang w:val="es-ES_tradnl"/>
        </w:rPr>
        <w:t xml:space="preserve">condiciones de vida de los niños; y </w:t>
      </w:r>
    </w:p>
    <w:p w:rsidR="00151021" w:rsidRPr="002720D0" w:rsidRDefault="00014CDA" w:rsidP="00014CDA">
      <w:pPr>
        <w:pStyle w:val="SingleTxtG"/>
        <w:rPr>
          <w:lang w:val="es-ES_tradnl"/>
        </w:rPr>
      </w:pPr>
      <w:r>
        <w:rPr>
          <w:lang w:val="es-ES_tradnl"/>
        </w:rPr>
        <w:tab/>
      </w:r>
      <w:r w:rsidR="007E2D5D" w:rsidRPr="002720D0">
        <w:rPr>
          <w:lang w:val="es-ES_tradnl"/>
        </w:rPr>
        <w:t>iii)</w:t>
      </w:r>
      <w:r w:rsidR="007E2D5D" w:rsidRPr="002720D0">
        <w:rPr>
          <w:lang w:val="es-ES_tradnl"/>
        </w:rPr>
        <w:tab/>
      </w:r>
      <w:r w:rsidR="008370A8" w:rsidRPr="002720D0">
        <w:rPr>
          <w:lang w:val="es-ES_tradnl"/>
        </w:rPr>
        <w:t xml:space="preserve">Las </w:t>
      </w:r>
      <w:r w:rsidR="007E2D5D" w:rsidRPr="002720D0">
        <w:rPr>
          <w:lang w:val="es-ES_tradnl"/>
        </w:rPr>
        <w:t xml:space="preserve">medidas adoptadas para respetar la intimidad de los niños; </w:t>
      </w:r>
    </w:p>
    <w:p w:rsidR="00151021" w:rsidRPr="002720D0" w:rsidRDefault="008370A8" w:rsidP="008370A8">
      <w:pPr>
        <w:pStyle w:val="SingleTxtG"/>
        <w:rPr>
          <w:lang w:val="es-ES_tradnl"/>
        </w:rPr>
      </w:pPr>
      <w:r>
        <w:rPr>
          <w:lang w:val="es-ES_tradnl"/>
        </w:rPr>
        <w:tab/>
      </w:r>
      <w:r w:rsidR="00906E3A" w:rsidRPr="002720D0">
        <w:rPr>
          <w:lang w:val="es-ES_tradnl"/>
        </w:rPr>
        <w:t>e)</w:t>
      </w:r>
      <w:r w:rsidR="00906E3A" w:rsidRPr="002720D0">
        <w:rPr>
          <w:lang w:val="es-ES_tradnl"/>
        </w:rPr>
        <w:tab/>
        <w:t>I</w:t>
      </w:r>
      <w:r w:rsidR="00151021" w:rsidRPr="002720D0">
        <w:rPr>
          <w:lang w:val="es-ES_tradnl"/>
        </w:rPr>
        <w:t>n</w:t>
      </w:r>
      <w:r w:rsidR="00D421F1" w:rsidRPr="002720D0">
        <w:rPr>
          <w:lang w:val="es-ES_tradnl"/>
        </w:rPr>
        <w:t>vestigar</w:t>
      </w:r>
      <w:r w:rsidR="007E2D5D" w:rsidRPr="002720D0">
        <w:rPr>
          <w:lang w:val="es-ES_tradnl"/>
        </w:rPr>
        <w:t xml:space="preserve"> el mantenimiento de la disciplina y la gestión del comportamiento, tomando en consideración la prohibición del castigo </w:t>
      </w:r>
      <w:r w:rsidR="00896C79" w:rsidRPr="002720D0">
        <w:rPr>
          <w:lang w:val="es-ES_tradnl"/>
        </w:rPr>
        <w:t>físico</w:t>
      </w:r>
      <w:r w:rsidR="007E2D5D" w:rsidRPr="002720D0">
        <w:rPr>
          <w:lang w:val="es-ES_tradnl"/>
        </w:rPr>
        <w:t xml:space="preserve"> y otros castigos degradantes; </w:t>
      </w:r>
    </w:p>
    <w:p w:rsidR="00151021" w:rsidRPr="002720D0" w:rsidRDefault="008370A8" w:rsidP="008370A8">
      <w:pPr>
        <w:pStyle w:val="SingleTxtG"/>
        <w:rPr>
          <w:lang w:val="es-ES_tradnl"/>
        </w:rPr>
      </w:pPr>
      <w:r>
        <w:rPr>
          <w:lang w:val="es-ES_tradnl"/>
        </w:rPr>
        <w:tab/>
      </w:r>
      <w:r w:rsidR="00151021" w:rsidRPr="002720D0">
        <w:rPr>
          <w:lang w:val="es-ES_tradnl"/>
        </w:rPr>
        <w:t>f)</w:t>
      </w:r>
      <w:r w:rsidR="00151021" w:rsidRPr="002720D0">
        <w:rPr>
          <w:lang w:val="es-ES_tradnl"/>
        </w:rPr>
        <w:tab/>
      </w:r>
      <w:r w:rsidR="00D421F1" w:rsidRPr="002720D0">
        <w:rPr>
          <w:lang w:val="es-ES_tradnl"/>
        </w:rPr>
        <w:t>Comprobar</w:t>
      </w:r>
      <w:r w:rsidR="007E2D5D" w:rsidRPr="002720D0">
        <w:rPr>
          <w:lang w:val="es-ES_tradnl"/>
        </w:rPr>
        <w:t xml:space="preserve"> que se haya provisto lo necesario para la educación, la formación, el bienestar, el esparcimiento y la salud de los niños; </w:t>
      </w:r>
    </w:p>
    <w:p w:rsidR="00151021" w:rsidRPr="002720D0" w:rsidRDefault="008370A8" w:rsidP="008370A8">
      <w:pPr>
        <w:pStyle w:val="SingleTxtG"/>
        <w:rPr>
          <w:lang w:val="es-ES_tradnl"/>
        </w:rPr>
      </w:pPr>
      <w:r>
        <w:rPr>
          <w:lang w:val="es-ES_tradnl"/>
        </w:rPr>
        <w:tab/>
      </w:r>
      <w:r w:rsidR="00906E3A" w:rsidRPr="002720D0">
        <w:rPr>
          <w:lang w:val="es-ES_tradnl"/>
        </w:rPr>
        <w:t>g)</w:t>
      </w:r>
      <w:r w:rsidR="00906E3A" w:rsidRPr="002720D0">
        <w:rPr>
          <w:lang w:val="es-ES_tradnl"/>
        </w:rPr>
        <w:tab/>
        <w:t>I</w:t>
      </w:r>
      <w:r w:rsidR="00151021" w:rsidRPr="002720D0">
        <w:rPr>
          <w:lang w:val="es-ES_tradnl"/>
        </w:rPr>
        <w:t>nvestiga</w:t>
      </w:r>
      <w:r w:rsidR="00D421F1" w:rsidRPr="002720D0">
        <w:rPr>
          <w:lang w:val="es-ES_tradnl"/>
        </w:rPr>
        <w:t>r</w:t>
      </w:r>
      <w:r w:rsidR="007E2D5D" w:rsidRPr="002720D0">
        <w:rPr>
          <w:lang w:val="es-ES_tradnl"/>
        </w:rPr>
        <w:t xml:space="preserve"> todas las quejas </w:t>
      </w:r>
      <w:r w:rsidR="00D421F1" w:rsidRPr="002720D0">
        <w:rPr>
          <w:lang w:val="es-ES_tradnl"/>
        </w:rPr>
        <w:t xml:space="preserve">que hayan sido </w:t>
      </w:r>
      <w:r w:rsidR="007E2D5D" w:rsidRPr="002720D0">
        <w:rPr>
          <w:lang w:val="es-ES_tradnl"/>
        </w:rPr>
        <w:t xml:space="preserve">formuladas por cualquier niño o miembro del personal; y </w:t>
      </w:r>
    </w:p>
    <w:p w:rsidR="00151021" w:rsidRPr="002720D0" w:rsidRDefault="008370A8" w:rsidP="008370A8">
      <w:pPr>
        <w:pStyle w:val="SingleTxtG"/>
        <w:rPr>
          <w:lang w:val="es-ES_tradnl"/>
        </w:rPr>
      </w:pPr>
      <w:r>
        <w:rPr>
          <w:lang w:val="es-ES_tradnl"/>
        </w:rPr>
        <w:tab/>
      </w:r>
      <w:r w:rsidR="00906E3A" w:rsidRPr="002720D0">
        <w:rPr>
          <w:lang w:val="es-ES_tradnl"/>
        </w:rPr>
        <w:t>h)</w:t>
      </w:r>
      <w:r w:rsidR="00906E3A" w:rsidRPr="002720D0">
        <w:rPr>
          <w:lang w:val="es-ES_tradnl"/>
        </w:rPr>
        <w:tab/>
        <w:t>E</w:t>
      </w:r>
      <w:r w:rsidR="00D421F1" w:rsidRPr="002720D0">
        <w:rPr>
          <w:lang w:val="es-ES_tradnl"/>
        </w:rPr>
        <w:t>jercer</w:t>
      </w:r>
      <w:r w:rsidR="007E2D5D" w:rsidRPr="002720D0">
        <w:rPr>
          <w:lang w:val="es-ES_tradnl"/>
        </w:rPr>
        <w:t xml:space="preserve"> aquellas otras facultades que </w:t>
      </w:r>
      <w:r w:rsidR="00D421F1" w:rsidRPr="002720D0">
        <w:rPr>
          <w:lang w:val="es-ES_tradnl"/>
        </w:rPr>
        <w:t>pudieran ser del caso</w:t>
      </w:r>
      <w:r w:rsidR="00151021" w:rsidRPr="002720D0">
        <w:rPr>
          <w:rStyle w:val="FootnoteReference"/>
          <w:lang w:val="es-ES_tradnl"/>
        </w:rPr>
        <w:footnoteReference w:id="66"/>
      </w:r>
      <w:r w:rsidR="007E2D5D"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111.</w:t>
      </w:r>
      <w:r w:rsidRPr="002720D0">
        <w:rPr>
          <w:lang w:val="es-ES_tradnl"/>
        </w:rPr>
        <w:tab/>
      </w:r>
      <w:r w:rsidR="00E214E3" w:rsidRPr="002720D0">
        <w:rPr>
          <w:lang w:val="es-ES_tradnl"/>
        </w:rPr>
        <w:t>C</w:t>
      </w:r>
      <w:r w:rsidR="00CB3E61" w:rsidRPr="002720D0">
        <w:rPr>
          <w:lang w:val="es-ES_tradnl"/>
        </w:rPr>
        <w:t xml:space="preserve">ualquier miembro del comité </w:t>
      </w:r>
      <w:r w:rsidR="005B38F0" w:rsidRPr="002720D0">
        <w:rPr>
          <w:lang w:val="es-ES_tradnl"/>
        </w:rPr>
        <w:t xml:space="preserve">que </w:t>
      </w:r>
      <w:r w:rsidR="00D421F1" w:rsidRPr="002720D0">
        <w:rPr>
          <w:lang w:val="es-ES_tradnl"/>
        </w:rPr>
        <w:t>albergue</w:t>
      </w:r>
      <w:r w:rsidR="005B38F0" w:rsidRPr="002720D0">
        <w:rPr>
          <w:lang w:val="es-ES_tradnl"/>
        </w:rPr>
        <w:t xml:space="preserve"> </w:t>
      </w:r>
      <w:r w:rsidR="00E214E3" w:rsidRPr="002720D0">
        <w:rPr>
          <w:lang w:val="es-ES_tradnl"/>
        </w:rPr>
        <w:t>dudas</w:t>
      </w:r>
      <w:r w:rsidR="005B38F0" w:rsidRPr="002720D0">
        <w:rPr>
          <w:lang w:val="es-ES_tradnl"/>
        </w:rPr>
        <w:t xml:space="preserve"> </w:t>
      </w:r>
      <w:r w:rsidR="00E214E3" w:rsidRPr="002720D0">
        <w:rPr>
          <w:lang w:val="es-ES_tradnl"/>
        </w:rPr>
        <w:t xml:space="preserve">razonables </w:t>
      </w:r>
      <w:r w:rsidR="005B38F0" w:rsidRPr="002720D0">
        <w:rPr>
          <w:lang w:val="es-ES_tradnl"/>
        </w:rPr>
        <w:t>respecto de la gestión del</w:t>
      </w:r>
      <w:r w:rsidR="00FA4BBB" w:rsidRPr="002720D0">
        <w:rPr>
          <w:lang w:val="es-ES_tradnl"/>
        </w:rPr>
        <w:t xml:space="preserve"> un</w:t>
      </w:r>
      <w:r w:rsidR="005B38F0" w:rsidRPr="002720D0">
        <w:rPr>
          <w:lang w:val="es-ES_tradnl"/>
        </w:rPr>
        <w:t xml:space="preserve"> establecimiento </w:t>
      </w:r>
      <w:r w:rsidR="00E214E3" w:rsidRPr="002720D0">
        <w:rPr>
          <w:lang w:val="es-ES_tradnl"/>
        </w:rPr>
        <w:t xml:space="preserve">está autorizado por la Ley del </w:t>
      </w:r>
      <w:r w:rsidR="008412B7" w:rsidRPr="002720D0">
        <w:rPr>
          <w:lang w:val="es-ES_tradnl"/>
        </w:rPr>
        <w:t xml:space="preserve">Niño </w:t>
      </w:r>
      <w:r w:rsidR="00E214E3" w:rsidRPr="002720D0">
        <w:rPr>
          <w:lang w:val="es-ES_tradnl"/>
        </w:rPr>
        <w:t>de Zanzíbar</w:t>
      </w:r>
      <w:r w:rsidR="00DD7F63" w:rsidRPr="002720D0">
        <w:rPr>
          <w:lang w:val="es-ES_tradnl"/>
        </w:rPr>
        <w:t xml:space="preserve"> </w:t>
      </w:r>
      <w:r w:rsidR="00E214E3" w:rsidRPr="002720D0">
        <w:rPr>
          <w:lang w:val="es-ES_tradnl"/>
        </w:rPr>
        <w:t>para informar en primera instancia al funcionario responsable o al miembro del personal competente respecto de esas dudas</w:t>
      </w:r>
      <w:r w:rsidR="00151021" w:rsidRPr="002720D0">
        <w:rPr>
          <w:rStyle w:val="FootnoteReference"/>
          <w:lang w:val="es-ES_tradnl"/>
        </w:rPr>
        <w:footnoteReference w:id="67"/>
      </w:r>
      <w:r w:rsidR="00E214E3" w:rsidRPr="002720D0">
        <w:rPr>
          <w:lang w:val="es-ES_tradnl"/>
        </w:rPr>
        <w:t>; y</w:t>
      </w:r>
      <w:r w:rsidR="00151021" w:rsidRPr="002720D0">
        <w:rPr>
          <w:lang w:val="es-ES_tradnl"/>
        </w:rPr>
        <w:t xml:space="preserve"> </w:t>
      </w:r>
      <w:r w:rsidR="00E214E3" w:rsidRPr="002720D0">
        <w:rPr>
          <w:lang w:val="es-ES_tradnl"/>
        </w:rPr>
        <w:t>si el asunto no quedara resuelto por este medio, para informar al ministro responsable de los asuntos de la infancia</w:t>
      </w:r>
      <w:r w:rsidR="00151021" w:rsidRPr="002720D0">
        <w:rPr>
          <w:rStyle w:val="FootnoteReference"/>
          <w:lang w:val="es-ES_tradnl"/>
        </w:rPr>
        <w:footnoteReference w:id="68"/>
      </w:r>
      <w:r w:rsidR="00E214E3" w:rsidRPr="002720D0">
        <w:rPr>
          <w:lang w:val="es-ES_tradnl"/>
        </w:rPr>
        <w:t xml:space="preserve">. A tenor del artículo 126 de la Ley del </w:t>
      </w:r>
      <w:r w:rsidR="008412B7" w:rsidRPr="002720D0">
        <w:rPr>
          <w:lang w:val="es-ES_tradnl"/>
        </w:rPr>
        <w:t xml:space="preserve">Niño </w:t>
      </w:r>
      <w:r w:rsidR="00E214E3" w:rsidRPr="002720D0">
        <w:rPr>
          <w:lang w:val="es-ES_tradnl"/>
        </w:rPr>
        <w:t xml:space="preserve">de Zanzíbar, el Ministro </w:t>
      </w:r>
      <w:r w:rsidR="001D2A53">
        <w:rPr>
          <w:lang w:val="es-ES_tradnl"/>
        </w:rPr>
        <w:t>"</w:t>
      </w:r>
      <w:r w:rsidR="00E214E3" w:rsidRPr="002720D0">
        <w:rPr>
          <w:lang w:val="es-ES_tradnl"/>
        </w:rPr>
        <w:t xml:space="preserve">dará instrucciones para que un </w:t>
      </w:r>
      <w:r w:rsidR="00FA4BBB" w:rsidRPr="002720D0">
        <w:rPr>
          <w:lang w:val="es-ES_tradnl"/>
        </w:rPr>
        <w:t>funcionario</w:t>
      </w:r>
      <w:r w:rsidR="00E214E3" w:rsidRPr="002720D0">
        <w:rPr>
          <w:lang w:val="es-ES_tradnl"/>
        </w:rPr>
        <w:t xml:space="preserve"> de bienestar </w:t>
      </w:r>
      <w:r w:rsidR="00FA4BBB" w:rsidRPr="002720D0">
        <w:rPr>
          <w:lang w:val="es-ES_tradnl"/>
        </w:rPr>
        <w:t xml:space="preserve">social </w:t>
      </w:r>
      <w:r w:rsidR="00E214E3" w:rsidRPr="002720D0">
        <w:rPr>
          <w:lang w:val="es-ES_tradnl"/>
        </w:rPr>
        <w:t xml:space="preserve">lleve a cabo una inspección en cualquier momento en un establecimiento residencial aprobado con el fin de </w:t>
      </w:r>
      <w:r w:rsidR="00FA4BBB" w:rsidRPr="002720D0">
        <w:rPr>
          <w:lang w:val="es-ES_tradnl"/>
        </w:rPr>
        <w:t>determinar</w:t>
      </w:r>
      <w:r w:rsidR="00E214E3" w:rsidRPr="002720D0">
        <w:rPr>
          <w:lang w:val="es-ES_tradnl"/>
        </w:rPr>
        <w:t xml:space="preserve"> que ese establecimiento se </w:t>
      </w:r>
      <w:r w:rsidR="00FA4BBB" w:rsidRPr="002720D0">
        <w:rPr>
          <w:lang w:val="es-ES_tradnl"/>
        </w:rPr>
        <w:t>está gestionando</w:t>
      </w:r>
      <w:r w:rsidR="00E214E3" w:rsidRPr="002720D0">
        <w:rPr>
          <w:lang w:val="es-ES_tradnl"/>
        </w:rPr>
        <w:t xml:space="preserve"> con arreglo a las normas establecidas</w:t>
      </w:r>
      <w:r w:rsidR="001D2A53">
        <w:rPr>
          <w:lang w:val="es-ES_tradnl"/>
        </w:rPr>
        <w:t>"</w:t>
      </w:r>
      <w:r w:rsidR="00E214E3"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112.</w:t>
      </w:r>
      <w:r w:rsidRPr="002720D0">
        <w:rPr>
          <w:lang w:val="es-ES_tradnl"/>
        </w:rPr>
        <w:tab/>
      </w:r>
      <w:r w:rsidR="00896C79" w:rsidRPr="002720D0">
        <w:rPr>
          <w:lang w:val="es-ES_tradnl"/>
        </w:rPr>
        <w:t>En Tanzaní</w:t>
      </w:r>
      <w:r w:rsidR="00151021" w:rsidRPr="002720D0">
        <w:rPr>
          <w:lang w:val="es-ES_tradnl"/>
        </w:rPr>
        <w:t xml:space="preserve">a </w:t>
      </w:r>
      <w:r w:rsidR="00FA4BBB" w:rsidRPr="002720D0">
        <w:rPr>
          <w:lang w:val="es-ES_tradnl"/>
        </w:rPr>
        <w:t>continental, el Estado p</w:t>
      </w:r>
      <w:r w:rsidR="00896C79" w:rsidRPr="002720D0">
        <w:rPr>
          <w:lang w:val="es-ES_tradnl"/>
        </w:rPr>
        <w:t xml:space="preserve">arte ha dado cumplimiento al artículo 25 de la Convención mediante el establecimiento de un mecanismo de vigilancia y examen periódico del trato acordado a los niños privados de su entorno familiar. En virtud del artículo 134 1) de la Ley de la </w:t>
      </w:r>
      <w:r w:rsidR="008412B7" w:rsidRPr="002720D0">
        <w:rPr>
          <w:lang w:val="es-ES_tradnl"/>
        </w:rPr>
        <w:t>Infancia</w:t>
      </w:r>
      <w:r w:rsidR="00896C79" w:rsidRPr="002720D0">
        <w:rPr>
          <w:lang w:val="es-ES_tradnl"/>
        </w:rPr>
        <w:t>, incumbe al Comisionado de Bienestar Social el deber</w:t>
      </w:r>
      <w:r w:rsidR="00151021" w:rsidRPr="002720D0">
        <w:rPr>
          <w:rStyle w:val="FootnoteReference"/>
          <w:lang w:val="es-ES_tradnl"/>
        </w:rPr>
        <w:footnoteReference w:id="69"/>
      </w:r>
      <w:r w:rsidR="00151021" w:rsidRPr="002720D0">
        <w:rPr>
          <w:lang w:val="es-ES_tradnl"/>
        </w:rPr>
        <w:t xml:space="preserve"> </w:t>
      </w:r>
      <w:r w:rsidR="00896C79" w:rsidRPr="002720D0">
        <w:rPr>
          <w:lang w:val="es-ES_tradnl"/>
        </w:rPr>
        <w:t xml:space="preserve">de vigilar y supervisar los hogares de guarda o instituciones residenciales </w:t>
      </w:r>
      <w:r w:rsidR="00FA4BBB" w:rsidRPr="002720D0">
        <w:rPr>
          <w:lang w:val="es-ES_tradnl"/>
        </w:rPr>
        <w:t>aprobados</w:t>
      </w:r>
      <w:r w:rsidR="00896C79" w:rsidRPr="002720D0">
        <w:rPr>
          <w:lang w:val="es-ES_tradnl"/>
        </w:rPr>
        <w:t xml:space="preserve">. </w:t>
      </w:r>
      <w:r w:rsidR="004473C4" w:rsidRPr="002720D0">
        <w:rPr>
          <w:lang w:val="es-ES_tradnl"/>
        </w:rPr>
        <w:t xml:space="preserve">En el </w:t>
      </w:r>
      <w:r w:rsidR="00FA4BBB" w:rsidRPr="002720D0">
        <w:rPr>
          <w:lang w:val="es-ES_tradnl"/>
        </w:rPr>
        <w:t>contexto</w:t>
      </w:r>
      <w:r w:rsidR="004473C4" w:rsidRPr="002720D0">
        <w:rPr>
          <w:lang w:val="es-ES_tradnl"/>
        </w:rPr>
        <w:t xml:space="preserve"> de estos últimos, en virtud del artículo 134 2) los hogares de guarda o instituciones residenciales aprobados tienen la obligación de establecer un comité</w:t>
      </w:r>
      <w:r w:rsidR="00151021" w:rsidRPr="002720D0">
        <w:rPr>
          <w:rStyle w:val="FootnoteReference"/>
          <w:lang w:val="es-ES_tradnl"/>
        </w:rPr>
        <w:footnoteReference w:id="70"/>
      </w:r>
      <w:r w:rsidR="00151021" w:rsidRPr="002720D0">
        <w:rPr>
          <w:lang w:val="es-ES_tradnl"/>
        </w:rPr>
        <w:t xml:space="preserve"> </w:t>
      </w:r>
      <w:r w:rsidR="004473C4" w:rsidRPr="002720D0">
        <w:rPr>
          <w:lang w:val="es-ES_tradnl"/>
        </w:rPr>
        <w:t>integrado por un mínimo de cuatro personas aptas</w:t>
      </w:r>
      <w:r w:rsidR="00FA4BBB" w:rsidRPr="002720D0">
        <w:rPr>
          <w:lang w:val="es-ES_tradnl"/>
        </w:rPr>
        <w:t>,</w:t>
      </w:r>
      <w:r w:rsidR="004473C4" w:rsidRPr="002720D0">
        <w:rPr>
          <w:lang w:val="es-ES_tradnl"/>
        </w:rPr>
        <w:t xml:space="preserve"> destinado a supervisar la gestión y la administración general en lo relativo al bienestar y el desarrollo de los niños. Asimismo, en virtud del artículo 135 de la Ley</w:t>
      </w:r>
      <w:r w:rsidR="00E7281D" w:rsidRPr="002720D0">
        <w:rPr>
          <w:lang w:val="es-ES_tradnl"/>
        </w:rPr>
        <w:t xml:space="preserve"> de la </w:t>
      </w:r>
      <w:r w:rsidR="008412B7" w:rsidRPr="002720D0">
        <w:rPr>
          <w:lang w:val="es-ES_tradnl"/>
        </w:rPr>
        <w:t xml:space="preserve">Infancia </w:t>
      </w:r>
      <w:r w:rsidR="004473C4" w:rsidRPr="002720D0">
        <w:rPr>
          <w:lang w:val="es-ES_tradnl"/>
        </w:rPr>
        <w:t xml:space="preserve">el Comisionado de Bienestar Social podrá dictar </w:t>
      </w:r>
      <w:r w:rsidR="00E7281D" w:rsidRPr="002720D0">
        <w:rPr>
          <w:lang w:val="es-ES_tradnl"/>
        </w:rPr>
        <w:t xml:space="preserve">al hogar de guarda o institución residencial </w:t>
      </w:r>
      <w:r w:rsidR="00FA4BBB" w:rsidRPr="002720D0">
        <w:rPr>
          <w:lang w:val="es-ES_tradnl"/>
        </w:rPr>
        <w:t>aprobados</w:t>
      </w:r>
      <w:r w:rsidR="00E7281D" w:rsidRPr="002720D0">
        <w:rPr>
          <w:lang w:val="es-ES_tradnl"/>
        </w:rPr>
        <w:t xml:space="preserve"> aquel</w:t>
      </w:r>
      <w:r w:rsidR="004473C4" w:rsidRPr="002720D0">
        <w:rPr>
          <w:lang w:val="es-ES_tradnl"/>
        </w:rPr>
        <w:t xml:space="preserve">las órdenes </w:t>
      </w:r>
      <w:r w:rsidR="00E7281D" w:rsidRPr="002720D0">
        <w:rPr>
          <w:lang w:val="es-ES_tradnl"/>
        </w:rPr>
        <w:t>e</w:t>
      </w:r>
      <w:r w:rsidR="004473C4" w:rsidRPr="002720D0">
        <w:rPr>
          <w:lang w:val="es-ES_tradnl"/>
        </w:rPr>
        <w:t xml:space="preserve"> instrucciones que estime necesarias para l</w:t>
      </w:r>
      <w:r w:rsidR="00FA4BBB" w:rsidRPr="002720D0">
        <w:rPr>
          <w:lang w:val="es-ES_tradnl"/>
        </w:rPr>
        <w:t>a promoción del desarrollo del</w:t>
      </w:r>
      <w:r w:rsidR="004473C4" w:rsidRPr="002720D0">
        <w:rPr>
          <w:lang w:val="es-ES_tradnl"/>
        </w:rPr>
        <w:t xml:space="preserve"> niño. </w:t>
      </w:r>
    </w:p>
    <w:p w:rsidR="00151021" w:rsidRPr="002720D0" w:rsidRDefault="004F6364" w:rsidP="004F6364">
      <w:pPr>
        <w:pStyle w:val="SingleTxtG"/>
        <w:tabs>
          <w:tab w:val="left" w:pos="-360"/>
        </w:tabs>
        <w:rPr>
          <w:lang w:val="es-ES_tradnl"/>
        </w:rPr>
      </w:pPr>
      <w:r w:rsidRPr="002720D0">
        <w:rPr>
          <w:lang w:val="es-ES_tradnl"/>
        </w:rPr>
        <w:t>113.</w:t>
      </w:r>
      <w:r w:rsidRPr="002720D0">
        <w:rPr>
          <w:lang w:val="es-ES_tradnl"/>
        </w:rPr>
        <w:tab/>
      </w:r>
      <w:r w:rsidR="004473C4" w:rsidRPr="002720D0">
        <w:rPr>
          <w:lang w:val="es-ES_tradnl"/>
        </w:rPr>
        <w:t>E</w:t>
      </w:r>
      <w:r w:rsidR="00151021" w:rsidRPr="002720D0">
        <w:rPr>
          <w:lang w:val="es-ES_tradnl"/>
        </w:rPr>
        <w:t xml:space="preserve">n particular, </w:t>
      </w:r>
      <w:r w:rsidR="00B05C7F" w:rsidRPr="002720D0">
        <w:rPr>
          <w:lang w:val="es-ES_tradnl"/>
        </w:rPr>
        <w:t>en virtud del artícu</w:t>
      </w:r>
      <w:r w:rsidR="00FA4BBB" w:rsidRPr="002720D0">
        <w:rPr>
          <w:lang w:val="es-ES_tradnl"/>
        </w:rPr>
        <w:t xml:space="preserve">lo 136 de la Ley de la </w:t>
      </w:r>
      <w:r w:rsidR="008412B7" w:rsidRPr="002720D0">
        <w:rPr>
          <w:lang w:val="es-ES_tradnl"/>
        </w:rPr>
        <w:t xml:space="preserve">Infancia </w:t>
      </w:r>
      <w:r w:rsidR="00B05C7F" w:rsidRPr="002720D0">
        <w:rPr>
          <w:lang w:val="es-ES_tradnl"/>
        </w:rPr>
        <w:t xml:space="preserve">el Comisionado puede dar instrucciones </w:t>
      </w:r>
      <w:r w:rsidR="00531862" w:rsidRPr="002720D0">
        <w:rPr>
          <w:lang w:val="es-ES_tradnl"/>
        </w:rPr>
        <w:t xml:space="preserve">en cualquier momento </w:t>
      </w:r>
      <w:r w:rsidR="00B05C7F" w:rsidRPr="002720D0">
        <w:rPr>
          <w:lang w:val="es-ES_tradnl"/>
        </w:rPr>
        <w:t xml:space="preserve">a efectos de que el </w:t>
      </w:r>
      <w:r w:rsidR="00FA4BBB" w:rsidRPr="002720D0">
        <w:rPr>
          <w:lang w:val="es-ES_tradnl"/>
        </w:rPr>
        <w:t>funcionario</w:t>
      </w:r>
      <w:r w:rsidR="00B05C7F" w:rsidRPr="002720D0">
        <w:rPr>
          <w:lang w:val="es-ES_tradnl"/>
        </w:rPr>
        <w:t xml:space="preserve"> de bienestar social lleve a cabo una inspección en un hogar de guarda o institución residencial </w:t>
      </w:r>
      <w:r w:rsidR="00FA4BBB" w:rsidRPr="002720D0">
        <w:rPr>
          <w:lang w:val="es-ES_tradnl"/>
        </w:rPr>
        <w:t>aprobados</w:t>
      </w:r>
      <w:r w:rsidR="00B05C7F" w:rsidRPr="002720D0">
        <w:rPr>
          <w:lang w:val="es-ES_tradnl"/>
        </w:rPr>
        <w:t xml:space="preserve"> </w:t>
      </w:r>
      <w:r w:rsidR="00531862" w:rsidRPr="002720D0">
        <w:rPr>
          <w:lang w:val="es-ES_tradnl"/>
        </w:rPr>
        <w:t xml:space="preserve">para velar por que el hogar o la institución se estén </w:t>
      </w:r>
      <w:r w:rsidR="00FA4BBB" w:rsidRPr="002720D0">
        <w:rPr>
          <w:lang w:val="es-ES_tradnl"/>
        </w:rPr>
        <w:t>gestionando</w:t>
      </w:r>
      <w:r w:rsidR="00531862" w:rsidRPr="002720D0">
        <w:rPr>
          <w:lang w:val="es-ES_tradnl"/>
        </w:rPr>
        <w:t xml:space="preserve"> con arreglo a las normas establecidas. En virtud de estas inspecciones, y con arreglo a lo dispuesto en el artículo 140 1) de esta ley, la Comisión tiene el mandato de revocar la correspondiente licencia de operación si existen motivos razonables para estimar lo siguiente:</w:t>
      </w:r>
    </w:p>
    <w:p w:rsidR="00151021" w:rsidRPr="002720D0" w:rsidRDefault="008370A8" w:rsidP="008370A8">
      <w:pPr>
        <w:pStyle w:val="SingleTxtG"/>
        <w:rPr>
          <w:lang w:val="es-ES_tradnl"/>
        </w:rPr>
      </w:pPr>
      <w:r>
        <w:rPr>
          <w:lang w:val="es-ES_tradnl"/>
        </w:rPr>
        <w:tab/>
      </w:r>
      <w:r w:rsidR="00151021" w:rsidRPr="002720D0">
        <w:rPr>
          <w:lang w:val="es-ES_tradnl"/>
        </w:rPr>
        <w:t>a)</w:t>
      </w:r>
      <w:r w:rsidR="00150DFD" w:rsidRPr="002720D0">
        <w:rPr>
          <w:lang w:val="es-ES_tradnl"/>
        </w:rPr>
        <w:tab/>
      </w:r>
      <w:r w:rsidR="00531862" w:rsidRPr="002720D0">
        <w:rPr>
          <w:lang w:val="es-ES_tradnl"/>
        </w:rPr>
        <w:t xml:space="preserve">Los locales de la residencia infantil ya no están en condiciones de ser utilizados para ese propósito; </w:t>
      </w:r>
    </w:p>
    <w:p w:rsidR="00151021" w:rsidRPr="002720D0" w:rsidRDefault="008370A8" w:rsidP="008370A8">
      <w:pPr>
        <w:pStyle w:val="SingleTxtG"/>
        <w:rPr>
          <w:lang w:val="es-ES_tradnl"/>
        </w:rPr>
      </w:pPr>
      <w:r>
        <w:rPr>
          <w:lang w:val="es-ES_tradnl"/>
        </w:rPr>
        <w:tab/>
      </w:r>
      <w:r w:rsidR="00151021" w:rsidRPr="002720D0">
        <w:rPr>
          <w:lang w:val="es-ES_tradnl"/>
        </w:rPr>
        <w:t>b)</w:t>
      </w:r>
      <w:r w:rsidR="00150DFD" w:rsidRPr="002720D0">
        <w:rPr>
          <w:lang w:val="es-ES_tradnl"/>
        </w:rPr>
        <w:tab/>
      </w:r>
      <w:r w:rsidR="00531862" w:rsidRPr="002720D0">
        <w:rPr>
          <w:lang w:val="es-ES_tradnl"/>
        </w:rPr>
        <w:t>La residencia infantil se está manteniendo en condiciones insatisfactorias de limpieza o salubridad;</w:t>
      </w:r>
    </w:p>
    <w:p w:rsidR="00151021" w:rsidRPr="002720D0" w:rsidRDefault="008370A8" w:rsidP="008370A8">
      <w:pPr>
        <w:pStyle w:val="SingleTxtG"/>
        <w:rPr>
          <w:lang w:val="es-ES_tradnl"/>
        </w:rPr>
      </w:pPr>
      <w:r>
        <w:rPr>
          <w:lang w:val="es-ES_tradnl"/>
        </w:rPr>
        <w:tab/>
      </w:r>
      <w:r w:rsidR="00151021" w:rsidRPr="002720D0">
        <w:rPr>
          <w:lang w:val="es-ES_tradnl"/>
        </w:rPr>
        <w:t>c)</w:t>
      </w:r>
      <w:r w:rsidR="00150DFD" w:rsidRPr="002720D0">
        <w:rPr>
          <w:lang w:val="es-ES_tradnl"/>
        </w:rPr>
        <w:tab/>
      </w:r>
      <w:r w:rsidR="000F2145" w:rsidRPr="002720D0">
        <w:rPr>
          <w:lang w:val="es-ES_tradnl"/>
        </w:rPr>
        <w:t xml:space="preserve">Las medidas adoptadas en cuanto a la salud o el bienestar de los niños acogidos en la residencia infantil son inadecuadas; o </w:t>
      </w:r>
    </w:p>
    <w:p w:rsidR="00151021" w:rsidRPr="002720D0" w:rsidRDefault="008370A8" w:rsidP="008370A8">
      <w:pPr>
        <w:pStyle w:val="SingleTxtG"/>
        <w:rPr>
          <w:lang w:val="es-ES_tradnl"/>
        </w:rPr>
      </w:pPr>
      <w:r>
        <w:rPr>
          <w:lang w:val="es-ES_tradnl"/>
        </w:rPr>
        <w:tab/>
      </w:r>
      <w:r w:rsidR="00151021" w:rsidRPr="002720D0">
        <w:rPr>
          <w:lang w:val="es-ES_tradnl"/>
        </w:rPr>
        <w:t>d)</w:t>
      </w:r>
      <w:r w:rsidR="00150DFD" w:rsidRPr="002720D0">
        <w:rPr>
          <w:lang w:val="es-ES_tradnl"/>
        </w:rPr>
        <w:tab/>
      </w:r>
      <w:r w:rsidR="000F2145" w:rsidRPr="002720D0">
        <w:rPr>
          <w:lang w:val="es-ES_tradnl"/>
        </w:rPr>
        <w:t xml:space="preserve">El titular de la licencia ha incumplido alguna de las normas por las que se rigen la constitución y la gestión de la institución residencial </w:t>
      </w:r>
      <w:r w:rsidR="00FA4BBB" w:rsidRPr="002720D0">
        <w:rPr>
          <w:lang w:val="es-ES_tradnl"/>
        </w:rPr>
        <w:t>aprobada</w:t>
      </w:r>
      <w:r w:rsidR="000F2145"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114.</w:t>
      </w:r>
      <w:r w:rsidRPr="002720D0">
        <w:rPr>
          <w:lang w:val="es-ES_tradnl"/>
        </w:rPr>
        <w:tab/>
      </w:r>
      <w:r w:rsidR="000F2145" w:rsidRPr="002720D0">
        <w:rPr>
          <w:lang w:val="es-ES_tradnl"/>
        </w:rPr>
        <w:t>Esta ley, en su artículo 140 2),</w:t>
      </w:r>
      <w:r w:rsidR="001D2A53">
        <w:rPr>
          <w:lang w:val="es-ES_tradnl"/>
        </w:rPr>
        <w:t xml:space="preserve"> </w:t>
      </w:r>
      <w:r w:rsidR="000F2145" w:rsidRPr="002720D0">
        <w:rPr>
          <w:lang w:val="es-ES_tradnl"/>
        </w:rPr>
        <w:t>provee una salvaguarda para lo</w:t>
      </w:r>
      <w:r w:rsidR="00FA4BBB" w:rsidRPr="002720D0">
        <w:rPr>
          <w:lang w:val="es-ES_tradnl"/>
        </w:rPr>
        <w:t>s</w:t>
      </w:r>
      <w:r w:rsidR="000F2145" w:rsidRPr="002720D0">
        <w:rPr>
          <w:lang w:val="es-ES_tradnl"/>
        </w:rPr>
        <w:t xml:space="preserve"> niño</w:t>
      </w:r>
      <w:r w:rsidR="00EC15FB" w:rsidRPr="002720D0">
        <w:rPr>
          <w:lang w:val="es-ES_tradnl"/>
        </w:rPr>
        <w:t>s</w:t>
      </w:r>
      <w:r w:rsidR="000F2145" w:rsidRPr="002720D0">
        <w:rPr>
          <w:lang w:val="es-ES_tradnl"/>
        </w:rPr>
        <w:t xml:space="preserve"> que residen en una instalación cuya licencia de operación ha</w:t>
      </w:r>
      <w:r w:rsidR="00EC15FB" w:rsidRPr="002720D0">
        <w:rPr>
          <w:lang w:val="es-ES_tradnl"/>
        </w:rPr>
        <w:t>ya</w:t>
      </w:r>
      <w:r w:rsidR="000F2145" w:rsidRPr="002720D0">
        <w:rPr>
          <w:lang w:val="es-ES_tradnl"/>
        </w:rPr>
        <w:t xml:space="preserve"> sido revocada por el Comisionado, quien está obligado, al revocar la licencia en virtud del párrafo 1), a adoptar disposiciones alternativas respecto de los niños que residen en el hogar o </w:t>
      </w:r>
      <w:r w:rsidR="00FA4BBB" w:rsidRPr="002720D0">
        <w:rPr>
          <w:lang w:val="es-ES_tradnl"/>
        </w:rPr>
        <w:t xml:space="preserve">la </w:t>
      </w:r>
      <w:r w:rsidR="000F2145" w:rsidRPr="002720D0">
        <w:rPr>
          <w:lang w:val="es-ES_tradnl"/>
        </w:rPr>
        <w:t>institución de acogida. En Z</w:t>
      </w:r>
      <w:r w:rsidR="00FA4BBB" w:rsidRPr="002720D0">
        <w:rPr>
          <w:lang w:val="es-ES_tradnl"/>
        </w:rPr>
        <w:t>anzíbar, el m</w:t>
      </w:r>
      <w:r w:rsidR="000F2145" w:rsidRPr="002720D0">
        <w:rPr>
          <w:lang w:val="es-ES_tradnl"/>
        </w:rPr>
        <w:t>inistro responsable de la infancia cuenta con facultades similares para anular o suspender la licencia</w:t>
      </w:r>
      <w:r w:rsidR="00FA4BBB" w:rsidRPr="002720D0">
        <w:rPr>
          <w:lang w:val="es-ES_tradnl"/>
        </w:rPr>
        <w:t>,</w:t>
      </w:r>
      <w:r w:rsidR="000F2145" w:rsidRPr="002720D0">
        <w:rPr>
          <w:lang w:val="es-ES_tradnl"/>
        </w:rPr>
        <w:t xml:space="preserve"> en el supuesto de tener motivos razonables para estimar que la licencia correspondiente a una institución residencial infantil </w:t>
      </w:r>
      <w:r w:rsidR="00FA4BBB" w:rsidRPr="002720D0">
        <w:rPr>
          <w:lang w:val="es-ES_tradnl"/>
        </w:rPr>
        <w:t>aprobada</w:t>
      </w:r>
      <w:r w:rsidR="000F2145" w:rsidRPr="002720D0">
        <w:rPr>
          <w:lang w:val="es-ES_tradnl"/>
        </w:rPr>
        <w:t xml:space="preserve"> ha incumplido alguna de las normativas, reglas o directrices correspondientes al establecimiento o con alguno de los requisitos para su </w:t>
      </w:r>
      <w:r w:rsidR="00FA4BBB" w:rsidRPr="002720D0">
        <w:rPr>
          <w:lang w:val="es-ES_tradnl"/>
        </w:rPr>
        <w:t>aprobación</w:t>
      </w:r>
      <w:r w:rsidR="000F2145" w:rsidRPr="002720D0">
        <w:rPr>
          <w:lang w:val="es-ES_tradnl"/>
        </w:rPr>
        <w:t xml:space="preserve">, y que dicho incumplimiento ha </w:t>
      </w:r>
      <w:r w:rsidR="00EC15FB" w:rsidRPr="002720D0">
        <w:rPr>
          <w:lang w:val="es-ES_tradnl"/>
        </w:rPr>
        <w:t>causado</w:t>
      </w:r>
      <w:r w:rsidR="000F2145" w:rsidRPr="002720D0">
        <w:rPr>
          <w:lang w:val="es-ES_tradnl"/>
        </w:rPr>
        <w:t xml:space="preserve"> o amenaza con </w:t>
      </w:r>
      <w:r w:rsidR="00EC15FB" w:rsidRPr="002720D0">
        <w:rPr>
          <w:lang w:val="es-ES_tradnl"/>
        </w:rPr>
        <w:t>causar</w:t>
      </w:r>
      <w:r w:rsidR="000F2145" w:rsidRPr="002720D0">
        <w:rPr>
          <w:lang w:val="es-ES_tradnl"/>
        </w:rPr>
        <w:t xml:space="preserve"> efectos adversos sobre el bienestar de cualquiera de los niños alojados en el establecimiento</w:t>
      </w:r>
      <w:r w:rsidR="00151021" w:rsidRPr="002720D0">
        <w:rPr>
          <w:rStyle w:val="FootnoteReference"/>
          <w:lang w:val="es-ES_tradnl"/>
        </w:rPr>
        <w:footnoteReference w:id="71"/>
      </w:r>
      <w:r w:rsidR="000F2145" w:rsidRPr="002720D0">
        <w:rPr>
          <w:lang w:val="es-ES_tradnl"/>
        </w:rPr>
        <w:t xml:space="preserve">. </w:t>
      </w:r>
      <w:r w:rsidR="00151021" w:rsidRPr="002720D0">
        <w:rPr>
          <w:lang w:val="es-ES_tradnl"/>
        </w:rPr>
        <w:t>A</w:t>
      </w:r>
      <w:r w:rsidR="000F2145" w:rsidRPr="002720D0">
        <w:rPr>
          <w:lang w:val="es-ES_tradnl"/>
        </w:rPr>
        <w:t>l igual que sucede en Tanzanía continent</w:t>
      </w:r>
      <w:r w:rsidR="00FA4BBB" w:rsidRPr="002720D0">
        <w:rPr>
          <w:lang w:val="es-ES_tradnl"/>
        </w:rPr>
        <w:t>al, en Zanzíbar el ministro estaría</w:t>
      </w:r>
      <w:r w:rsidR="000F2145" w:rsidRPr="002720D0">
        <w:rPr>
          <w:lang w:val="es-ES_tradnl"/>
        </w:rPr>
        <w:t xml:space="preserve"> obligado a </w:t>
      </w:r>
      <w:r w:rsidR="008520CA" w:rsidRPr="002720D0">
        <w:rPr>
          <w:lang w:val="es-ES_tradnl"/>
        </w:rPr>
        <w:t>adoptar disposiciones alternativas respecto de los niños que residen en el est</w:t>
      </w:r>
      <w:r w:rsidR="00EF7A3C" w:rsidRPr="002720D0">
        <w:rPr>
          <w:lang w:val="es-ES_tradnl"/>
        </w:rPr>
        <w:t>a</w:t>
      </w:r>
      <w:r w:rsidR="008520CA" w:rsidRPr="002720D0">
        <w:rPr>
          <w:lang w:val="es-ES_tradnl"/>
        </w:rPr>
        <w:t>blecimiento, en el supuesto de la revocación de la correspondiente licencia de operación</w:t>
      </w:r>
      <w:r w:rsidR="00151021" w:rsidRPr="002720D0">
        <w:rPr>
          <w:rStyle w:val="FootnoteReference"/>
          <w:lang w:val="es-ES_tradnl"/>
        </w:rPr>
        <w:footnoteReference w:id="72"/>
      </w:r>
      <w:r w:rsidR="008B77C8">
        <w:rPr>
          <w:lang w:val="es-ES_tradnl"/>
        </w:rPr>
        <w:t>.</w:t>
      </w:r>
    </w:p>
    <w:p w:rsidR="00151021" w:rsidRPr="002720D0" w:rsidRDefault="00150DFD" w:rsidP="00586395">
      <w:pPr>
        <w:pStyle w:val="H1G"/>
        <w:outlineLvl w:val="0"/>
        <w:rPr>
          <w:lang w:val="es-ES_tradnl"/>
        </w:rPr>
      </w:pPr>
      <w:bookmarkStart w:id="34" w:name="_Toc313470870"/>
      <w:r w:rsidRPr="002720D0">
        <w:rPr>
          <w:lang w:val="es-ES_tradnl"/>
        </w:rPr>
        <w:tab/>
      </w:r>
      <w:r w:rsidR="00151021" w:rsidRPr="002720D0">
        <w:rPr>
          <w:lang w:val="es-ES_tradnl"/>
        </w:rPr>
        <w:t>5.8</w:t>
      </w:r>
      <w:r w:rsidRPr="002720D0">
        <w:rPr>
          <w:lang w:val="es-ES_tradnl"/>
        </w:rPr>
        <w:tab/>
      </w:r>
      <w:r w:rsidR="004369D4" w:rsidRPr="002720D0">
        <w:rPr>
          <w:lang w:val="es-ES_tradnl"/>
        </w:rPr>
        <w:t>Adopción</w:t>
      </w:r>
      <w:r w:rsidR="00151021" w:rsidRPr="002720D0">
        <w:rPr>
          <w:lang w:val="es-ES_tradnl"/>
        </w:rPr>
        <w:t xml:space="preserve"> </w:t>
      </w:r>
      <w:r w:rsidR="00A45ED5" w:rsidRPr="002720D0">
        <w:rPr>
          <w:lang w:val="es-ES_tradnl"/>
        </w:rPr>
        <w:t>n</w:t>
      </w:r>
      <w:r w:rsidR="00540390" w:rsidRPr="002720D0">
        <w:rPr>
          <w:lang w:val="es-ES_tradnl"/>
        </w:rPr>
        <w:t>ac</w:t>
      </w:r>
      <w:r w:rsidR="00151021" w:rsidRPr="002720D0">
        <w:rPr>
          <w:lang w:val="es-ES_tradnl"/>
        </w:rPr>
        <w:t xml:space="preserve">ional </w:t>
      </w:r>
      <w:r w:rsidR="004369D4" w:rsidRPr="002720D0">
        <w:rPr>
          <w:lang w:val="es-ES_tradnl"/>
        </w:rPr>
        <w:t>e</w:t>
      </w:r>
      <w:r w:rsidR="00151021" w:rsidRPr="002720D0">
        <w:rPr>
          <w:lang w:val="es-ES_tradnl"/>
        </w:rPr>
        <w:t xml:space="preserve"> </w:t>
      </w:r>
      <w:r w:rsidR="00A45ED5" w:rsidRPr="002720D0">
        <w:rPr>
          <w:lang w:val="es-ES_tradnl"/>
        </w:rPr>
        <w:t>i</w:t>
      </w:r>
      <w:r w:rsidR="00151021" w:rsidRPr="002720D0">
        <w:rPr>
          <w:lang w:val="es-ES_tradnl"/>
        </w:rPr>
        <w:t>nter</w:t>
      </w:r>
      <w:bookmarkEnd w:id="34"/>
      <w:r w:rsidR="004369D4" w:rsidRPr="002720D0">
        <w:rPr>
          <w:lang w:val="es-ES_tradnl"/>
        </w:rPr>
        <w:t>nacional</w:t>
      </w:r>
      <w:r w:rsidR="00151021" w:rsidRPr="002720D0">
        <w:rPr>
          <w:lang w:val="es-ES_tradnl"/>
        </w:rPr>
        <w:t xml:space="preserve"> (</w:t>
      </w:r>
      <w:r w:rsidR="00A45ED5" w:rsidRPr="002720D0">
        <w:rPr>
          <w:lang w:val="es-ES_tradnl"/>
        </w:rPr>
        <w:t>a</w:t>
      </w:r>
      <w:r w:rsidR="00D05DEE" w:rsidRPr="002720D0">
        <w:rPr>
          <w:lang w:val="es-ES_tradnl"/>
        </w:rPr>
        <w:t>rt.</w:t>
      </w:r>
      <w:r w:rsidR="008370A8">
        <w:rPr>
          <w:lang w:val="es-ES_tradnl"/>
        </w:rPr>
        <w:t xml:space="preserve"> 21)</w:t>
      </w:r>
    </w:p>
    <w:p w:rsidR="00151021" w:rsidRPr="002720D0" w:rsidRDefault="004F6364" w:rsidP="004F6364">
      <w:pPr>
        <w:pStyle w:val="SingleTxtG"/>
        <w:tabs>
          <w:tab w:val="left" w:pos="-360"/>
        </w:tabs>
        <w:rPr>
          <w:lang w:val="es-ES_tradnl"/>
        </w:rPr>
      </w:pPr>
      <w:r w:rsidRPr="002720D0">
        <w:rPr>
          <w:lang w:val="es-ES_tradnl"/>
        </w:rPr>
        <w:t>115.</w:t>
      </w:r>
      <w:r w:rsidRPr="002720D0">
        <w:rPr>
          <w:lang w:val="es-ES_tradnl"/>
        </w:rPr>
        <w:tab/>
      </w:r>
      <w:r w:rsidR="00540390" w:rsidRPr="002720D0">
        <w:rPr>
          <w:lang w:val="es-ES_tradnl"/>
        </w:rPr>
        <w:t>Durante el pe</w:t>
      </w:r>
      <w:r w:rsidR="00D05DEE" w:rsidRPr="002720D0">
        <w:rPr>
          <w:lang w:val="es-ES_tradnl"/>
        </w:rPr>
        <w:t>ríodo que se examina el Estado p</w:t>
      </w:r>
      <w:r w:rsidR="00540390" w:rsidRPr="002720D0">
        <w:rPr>
          <w:lang w:val="es-ES_tradnl"/>
        </w:rPr>
        <w:t xml:space="preserve">arte revocó las antiguas disposiciones en materia de adopción, sustituyéndolas con </w:t>
      </w:r>
      <w:r w:rsidR="009D2B27" w:rsidRPr="002720D0">
        <w:rPr>
          <w:lang w:val="es-ES_tradnl"/>
        </w:rPr>
        <w:t>otras</w:t>
      </w:r>
      <w:r w:rsidR="00540390" w:rsidRPr="002720D0">
        <w:rPr>
          <w:lang w:val="es-ES_tradnl"/>
        </w:rPr>
        <w:t xml:space="preserve"> nuevas que en la actualidad </w:t>
      </w:r>
      <w:r w:rsidR="009D2B27" w:rsidRPr="002720D0">
        <w:rPr>
          <w:lang w:val="es-ES_tradnl"/>
        </w:rPr>
        <w:t xml:space="preserve">forman parte tanto de la Ley de la </w:t>
      </w:r>
      <w:r w:rsidR="008412B7" w:rsidRPr="002720D0">
        <w:rPr>
          <w:lang w:val="es-ES_tradnl"/>
        </w:rPr>
        <w:t xml:space="preserve">Infancia </w:t>
      </w:r>
      <w:r w:rsidR="009D2B27" w:rsidRPr="002720D0">
        <w:rPr>
          <w:lang w:val="es-ES_tradnl"/>
        </w:rPr>
        <w:t>como de</w:t>
      </w:r>
      <w:r w:rsidR="00540390" w:rsidRPr="002720D0">
        <w:rPr>
          <w:lang w:val="es-ES_tradnl"/>
        </w:rPr>
        <w:t xml:space="preserve"> la Ley del </w:t>
      </w:r>
      <w:r w:rsidR="008412B7" w:rsidRPr="002720D0">
        <w:rPr>
          <w:lang w:val="es-ES_tradnl"/>
        </w:rPr>
        <w:t xml:space="preserve">Niño </w:t>
      </w:r>
      <w:r w:rsidR="00540390" w:rsidRPr="002720D0">
        <w:rPr>
          <w:lang w:val="es-ES_tradnl"/>
        </w:rPr>
        <w:t>de Zanzíbar. Respecto de Tanzanía continental, el procedi</w:t>
      </w:r>
      <w:r w:rsidR="00EF7A3C" w:rsidRPr="002720D0">
        <w:rPr>
          <w:lang w:val="es-ES_tradnl"/>
        </w:rPr>
        <w:t>m</w:t>
      </w:r>
      <w:r w:rsidR="00540390" w:rsidRPr="002720D0">
        <w:rPr>
          <w:lang w:val="es-ES_tradnl"/>
        </w:rPr>
        <w:t>iento para solicitar que s</w:t>
      </w:r>
      <w:r w:rsidR="009D2B27" w:rsidRPr="002720D0">
        <w:rPr>
          <w:lang w:val="es-ES_tradnl"/>
        </w:rPr>
        <w:t>e dicte una orden de adopción se</w:t>
      </w:r>
      <w:r w:rsidR="00540390" w:rsidRPr="002720D0">
        <w:rPr>
          <w:lang w:val="es-ES_tradnl"/>
        </w:rPr>
        <w:t xml:space="preserve"> estipula en el artículo 54 de la Ley de la </w:t>
      </w:r>
      <w:r w:rsidR="008412B7" w:rsidRPr="002720D0">
        <w:rPr>
          <w:lang w:val="es-ES_tradnl"/>
        </w:rPr>
        <w:t>Infancia</w:t>
      </w:r>
      <w:r w:rsidR="00540390" w:rsidRPr="002720D0">
        <w:rPr>
          <w:lang w:val="es-ES_tradnl"/>
        </w:rPr>
        <w:t xml:space="preserve">. En su artículo 54 1) a), esta ley </w:t>
      </w:r>
      <w:r w:rsidR="009D2B27" w:rsidRPr="002720D0">
        <w:rPr>
          <w:lang w:val="es-ES_tradnl"/>
        </w:rPr>
        <w:t>dispone</w:t>
      </w:r>
      <w:r w:rsidR="00540390" w:rsidRPr="002720D0">
        <w:rPr>
          <w:lang w:val="es-ES_tradnl"/>
        </w:rPr>
        <w:t xml:space="preserve"> que la solicitud de una orden de adopción se ha de interponer ante el Tribunal Supremo. </w:t>
      </w:r>
      <w:r w:rsidR="00D07003" w:rsidRPr="002720D0">
        <w:rPr>
          <w:lang w:val="es-ES_tradnl"/>
        </w:rPr>
        <w:t>Igualmente</w:t>
      </w:r>
      <w:r w:rsidR="001D2A53">
        <w:rPr>
          <w:lang w:val="es-ES_tradnl"/>
        </w:rPr>
        <w:t xml:space="preserve"> </w:t>
      </w:r>
      <w:r w:rsidR="00540390" w:rsidRPr="002720D0">
        <w:rPr>
          <w:lang w:val="es-ES_tradnl"/>
        </w:rPr>
        <w:t xml:space="preserve">en virtud del artículo 54 1) b), </w:t>
      </w:r>
      <w:r w:rsidR="00716215" w:rsidRPr="002720D0">
        <w:rPr>
          <w:lang w:val="es-ES_tradnl"/>
        </w:rPr>
        <w:t xml:space="preserve">la solicitud de una orden de adopción </w:t>
      </w:r>
      <w:r w:rsidR="001D2A53">
        <w:rPr>
          <w:lang w:val="es-ES_tradnl"/>
        </w:rPr>
        <w:t>"</w:t>
      </w:r>
      <w:r w:rsidR="00716215" w:rsidRPr="002720D0">
        <w:rPr>
          <w:lang w:val="es-ES_tradnl"/>
        </w:rPr>
        <w:t>abierta</w:t>
      </w:r>
      <w:r w:rsidR="001D2A53">
        <w:rPr>
          <w:lang w:val="es-ES_tradnl"/>
        </w:rPr>
        <w:t>"</w:t>
      </w:r>
      <w:r w:rsidR="00151021" w:rsidRPr="002720D0">
        <w:rPr>
          <w:rStyle w:val="FootnoteReference"/>
          <w:lang w:val="es-ES_tradnl"/>
        </w:rPr>
        <w:footnoteReference w:id="73"/>
      </w:r>
      <w:r w:rsidR="00151021" w:rsidRPr="002720D0">
        <w:rPr>
          <w:lang w:val="es-ES_tradnl"/>
        </w:rPr>
        <w:t xml:space="preserve"> </w:t>
      </w:r>
      <w:r w:rsidR="00716215" w:rsidRPr="002720D0">
        <w:rPr>
          <w:lang w:val="es-ES_tradnl"/>
        </w:rPr>
        <w:t xml:space="preserve">se ha de interponer ante el Tribunal </w:t>
      </w:r>
      <w:r w:rsidR="00294ABC" w:rsidRPr="002720D0">
        <w:rPr>
          <w:lang w:val="es-ES_tradnl"/>
        </w:rPr>
        <w:t xml:space="preserve">del Magistrado Residente o el Tribunal de Distrito. Se </w:t>
      </w:r>
      <w:r w:rsidR="00D07003" w:rsidRPr="002720D0">
        <w:rPr>
          <w:lang w:val="es-ES_tradnl"/>
        </w:rPr>
        <w:t>hace hincapié en</w:t>
      </w:r>
      <w:r w:rsidR="00294ABC" w:rsidRPr="002720D0">
        <w:rPr>
          <w:lang w:val="es-ES_tradnl"/>
        </w:rPr>
        <w:t xml:space="preserve"> la adopción nacional. Para adoptar a un niño, el solici</w:t>
      </w:r>
      <w:r w:rsidR="001A4720" w:rsidRPr="002720D0">
        <w:rPr>
          <w:lang w:val="es-ES_tradnl"/>
        </w:rPr>
        <w:t xml:space="preserve">tante ha de ser un residente </w:t>
      </w:r>
      <w:r w:rsidR="00D07003" w:rsidRPr="002720D0">
        <w:rPr>
          <w:i/>
          <w:lang w:val="es-ES_tradnl"/>
        </w:rPr>
        <w:t>bona fide</w:t>
      </w:r>
      <w:r w:rsidR="00D07003" w:rsidRPr="002720D0">
        <w:rPr>
          <w:lang w:val="es-ES_tradnl"/>
        </w:rPr>
        <w:t xml:space="preserve"> de Tanzanía</w:t>
      </w:r>
      <w:r w:rsidR="00151021" w:rsidRPr="002720D0">
        <w:rPr>
          <w:rStyle w:val="FootnoteReference"/>
          <w:lang w:val="es-ES_tradnl"/>
        </w:rPr>
        <w:footnoteReference w:id="74"/>
      </w:r>
      <w:r w:rsidR="001A4720" w:rsidRPr="002720D0">
        <w:rPr>
          <w:lang w:val="es-ES_tradnl"/>
        </w:rPr>
        <w:t>.</w:t>
      </w:r>
      <w:r w:rsidR="00151021" w:rsidRPr="002720D0">
        <w:rPr>
          <w:lang w:val="es-ES_tradnl"/>
        </w:rPr>
        <w:t xml:space="preserve"> </w:t>
      </w:r>
      <w:r w:rsidR="001A4720" w:rsidRPr="002720D0">
        <w:rPr>
          <w:lang w:val="es-ES_tradnl"/>
        </w:rPr>
        <w:t xml:space="preserve">Las personas que no sean nacionales de Tanzanía han de contar con un permiso de residencia, que por lo general tiene una vigencia mínima de dos años. La Ley de la </w:t>
      </w:r>
      <w:r w:rsidR="008412B7" w:rsidRPr="002720D0">
        <w:rPr>
          <w:lang w:val="es-ES_tradnl"/>
        </w:rPr>
        <w:t xml:space="preserve">Infancia </w:t>
      </w:r>
      <w:r w:rsidR="001A4720" w:rsidRPr="002720D0">
        <w:rPr>
          <w:lang w:val="es-ES_tradnl"/>
        </w:rPr>
        <w:t>permite las adopciones internacionales cuando los padres de adopción son residentes</w:t>
      </w:r>
      <w:r w:rsidR="00151021" w:rsidRPr="002720D0">
        <w:rPr>
          <w:rStyle w:val="FootnoteReference"/>
          <w:lang w:val="es-ES_tradnl"/>
        </w:rPr>
        <w:footnoteReference w:id="75"/>
      </w:r>
      <w:r w:rsidR="001A4720"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116.</w:t>
      </w:r>
      <w:r w:rsidRPr="002720D0">
        <w:rPr>
          <w:lang w:val="es-ES_tradnl"/>
        </w:rPr>
        <w:tab/>
      </w:r>
      <w:r w:rsidR="001A4720" w:rsidRPr="002720D0">
        <w:rPr>
          <w:lang w:val="es-ES_tradnl"/>
        </w:rPr>
        <w:t xml:space="preserve">En el artículo 76 1) de la Ley del </w:t>
      </w:r>
      <w:r w:rsidR="008412B7" w:rsidRPr="002720D0">
        <w:rPr>
          <w:lang w:val="es-ES_tradnl"/>
        </w:rPr>
        <w:t xml:space="preserve">Niño </w:t>
      </w:r>
      <w:r w:rsidR="001A4720" w:rsidRPr="002720D0">
        <w:rPr>
          <w:lang w:val="es-ES_tradnl"/>
        </w:rPr>
        <w:t>de Zanzíb</w:t>
      </w:r>
      <w:r w:rsidR="00D07003" w:rsidRPr="002720D0">
        <w:rPr>
          <w:lang w:val="es-ES_tradnl"/>
        </w:rPr>
        <w:t>ar, el Estado p</w:t>
      </w:r>
      <w:r w:rsidR="001A4720" w:rsidRPr="002720D0">
        <w:rPr>
          <w:lang w:val="es-ES_tradnl"/>
        </w:rPr>
        <w:t xml:space="preserve">arte ha estipulado que en Zanzíbar la adopción no se aplica a las personas que profesan la fe musulmana; estas personas se rigen por la </w:t>
      </w:r>
      <w:r w:rsidR="001A4720" w:rsidRPr="002720D0">
        <w:rPr>
          <w:i/>
          <w:lang w:val="es-ES_tradnl"/>
        </w:rPr>
        <w:t>kafala</w:t>
      </w:r>
      <w:r w:rsidR="001A4720" w:rsidRPr="002720D0">
        <w:rPr>
          <w:lang w:val="es-ES_tradnl"/>
        </w:rPr>
        <w:t xml:space="preserve"> con arreglo a las disposiciones del artí</w:t>
      </w:r>
      <w:r w:rsidR="00EC15FB" w:rsidRPr="002720D0">
        <w:rPr>
          <w:lang w:val="es-ES_tradnl"/>
        </w:rPr>
        <w:t>culo 75 de es</w:t>
      </w:r>
      <w:r w:rsidR="004549F0" w:rsidRPr="002720D0">
        <w:rPr>
          <w:lang w:val="es-ES_tradnl"/>
        </w:rPr>
        <w:t>a ley. En virtud del artículo 2 de esta ley,</w:t>
      </w:r>
      <w:r w:rsidR="004922B7" w:rsidRPr="002720D0">
        <w:rPr>
          <w:lang w:val="es-ES_tradnl"/>
        </w:rPr>
        <w:t xml:space="preserve"> la</w:t>
      </w:r>
      <w:r w:rsidR="004549F0" w:rsidRPr="002720D0">
        <w:rPr>
          <w:lang w:val="es-ES_tradnl"/>
        </w:rPr>
        <w:t xml:space="preserve"> </w:t>
      </w:r>
      <w:r w:rsidR="004549F0" w:rsidRPr="002720D0">
        <w:rPr>
          <w:i/>
          <w:lang w:val="es-ES_tradnl"/>
        </w:rPr>
        <w:t>kafala</w:t>
      </w:r>
      <w:r w:rsidR="004549F0" w:rsidRPr="002720D0">
        <w:rPr>
          <w:lang w:val="es-ES_tradnl"/>
        </w:rPr>
        <w:t xml:space="preserve"> viene a </w:t>
      </w:r>
      <w:r w:rsidR="004922B7" w:rsidRPr="002720D0">
        <w:rPr>
          <w:lang w:val="es-ES_tradnl"/>
        </w:rPr>
        <w:t>constituir</w:t>
      </w:r>
      <w:r w:rsidR="004549F0" w:rsidRPr="002720D0">
        <w:rPr>
          <w:lang w:val="es-ES_tradnl"/>
        </w:rPr>
        <w:t xml:space="preserve"> el compromiso voluntario de hacerse cargo de la manutención, la protección y la educación del niño de igual manera que lo harían los padres biológicos de este. Así, con arreglo a la Ley del </w:t>
      </w:r>
      <w:r w:rsidR="008412B7" w:rsidRPr="002720D0">
        <w:rPr>
          <w:lang w:val="es-ES_tradnl"/>
        </w:rPr>
        <w:t xml:space="preserve">Niño </w:t>
      </w:r>
      <w:r w:rsidR="004549F0" w:rsidRPr="002720D0">
        <w:rPr>
          <w:lang w:val="es-ES_tradnl"/>
        </w:rPr>
        <w:t xml:space="preserve">de Zanzíbar la adopción se aplica únicamente a las personas que no profesan la fe musulmana, en cuyo caso la solicitud de una orden de adopción se interpondrá ante el Tribunal Supremo, que entenderá en la solicitud con arreglo a las disposiciones del artículo 76. También podrá solicitar la adopción de un niño un solicitante nacional de la República Unida de Tanzanía que no resida en Zanzíbar, con arreglo al artículo </w:t>
      </w:r>
      <w:r w:rsidR="00151021" w:rsidRPr="002720D0">
        <w:rPr>
          <w:lang w:val="es-ES_tradnl"/>
        </w:rPr>
        <w:t>83.</w:t>
      </w:r>
    </w:p>
    <w:p w:rsidR="00151021" w:rsidRPr="002720D0" w:rsidRDefault="004F6364" w:rsidP="004F6364">
      <w:pPr>
        <w:pStyle w:val="SingleTxtG"/>
        <w:tabs>
          <w:tab w:val="left" w:pos="-360"/>
        </w:tabs>
        <w:rPr>
          <w:lang w:val="es-ES_tradnl"/>
        </w:rPr>
      </w:pPr>
      <w:r w:rsidRPr="002720D0">
        <w:rPr>
          <w:lang w:val="es-ES_tradnl"/>
        </w:rPr>
        <w:t>117.</w:t>
      </w:r>
      <w:r w:rsidRPr="002720D0">
        <w:rPr>
          <w:lang w:val="es-ES_tradnl"/>
        </w:rPr>
        <w:tab/>
      </w:r>
      <w:r w:rsidR="00D07003" w:rsidRPr="002720D0">
        <w:rPr>
          <w:bCs/>
          <w:lang w:val="es-ES_tradnl"/>
        </w:rPr>
        <w:t>En sus O</w:t>
      </w:r>
      <w:r w:rsidR="004549F0" w:rsidRPr="002720D0">
        <w:rPr>
          <w:bCs/>
          <w:lang w:val="es-ES_tradnl"/>
        </w:rPr>
        <w:t>bservaciones finales prev</w:t>
      </w:r>
      <w:r w:rsidR="00D07003" w:rsidRPr="002720D0">
        <w:rPr>
          <w:bCs/>
          <w:lang w:val="es-ES_tradnl"/>
        </w:rPr>
        <w:t>ias, el Comité animó al Estado p</w:t>
      </w:r>
      <w:r w:rsidR="004549F0" w:rsidRPr="002720D0">
        <w:rPr>
          <w:bCs/>
          <w:lang w:val="es-ES_tradnl"/>
        </w:rPr>
        <w:t xml:space="preserve">arte a seguir tramitando la </w:t>
      </w:r>
      <w:r w:rsidR="001D2A53">
        <w:rPr>
          <w:bCs/>
          <w:lang w:val="es-ES_tradnl"/>
        </w:rPr>
        <w:t xml:space="preserve">ratificación del Convenio de La </w:t>
      </w:r>
      <w:r w:rsidR="004549F0" w:rsidRPr="002720D0">
        <w:rPr>
          <w:bCs/>
          <w:lang w:val="es-ES_tradnl"/>
        </w:rPr>
        <w:t>Haya sobre la Protección de los Niños y la Cooperación en materia de Adopción Internacional.</w:t>
      </w:r>
      <w:r w:rsidR="004549F0"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118.</w:t>
      </w:r>
      <w:r w:rsidRPr="002720D0">
        <w:rPr>
          <w:lang w:val="es-ES_tradnl"/>
        </w:rPr>
        <w:tab/>
      </w:r>
      <w:r w:rsidR="00D07003" w:rsidRPr="002720D0">
        <w:rPr>
          <w:lang w:val="es-ES_tradnl"/>
        </w:rPr>
        <w:t>El Estado p</w:t>
      </w:r>
      <w:r w:rsidR="00EF7A3C" w:rsidRPr="002720D0">
        <w:rPr>
          <w:lang w:val="es-ES_tradnl"/>
        </w:rPr>
        <w:t>arte está evacuando consultas</w:t>
      </w:r>
      <w:r w:rsidR="00D07003" w:rsidRPr="002720D0">
        <w:rPr>
          <w:lang w:val="es-ES_tradnl"/>
        </w:rPr>
        <w:t xml:space="preserve"> </w:t>
      </w:r>
      <w:r w:rsidR="00EF7A3C" w:rsidRPr="002720D0">
        <w:rPr>
          <w:lang w:val="es-ES_tradnl"/>
        </w:rPr>
        <w:t>con miras a la ratificación del Convenio de La Haya Relativo a la Protección del Niño y a la Cooperación en Materia de Adopción Internacional</w:t>
      </w:r>
      <w:r w:rsidR="00151021" w:rsidRPr="002720D0">
        <w:rPr>
          <w:lang w:val="es-ES_tradnl"/>
        </w:rPr>
        <w:t xml:space="preserve">. </w:t>
      </w:r>
    </w:p>
    <w:p w:rsidR="00151021" w:rsidRPr="002720D0" w:rsidRDefault="00150DFD" w:rsidP="00586395">
      <w:pPr>
        <w:pStyle w:val="H1G"/>
        <w:outlineLvl w:val="0"/>
        <w:rPr>
          <w:lang w:val="es-ES_tradnl"/>
        </w:rPr>
      </w:pPr>
      <w:bookmarkStart w:id="35" w:name="_Toc313470871"/>
      <w:r w:rsidRPr="002720D0">
        <w:rPr>
          <w:lang w:val="es-ES_tradnl"/>
        </w:rPr>
        <w:tab/>
      </w:r>
      <w:r w:rsidR="00151021" w:rsidRPr="002720D0">
        <w:rPr>
          <w:lang w:val="es-ES_tradnl"/>
        </w:rPr>
        <w:t>5.9</w:t>
      </w:r>
      <w:r w:rsidRPr="002720D0">
        <w:rPr>
          <w:lang w:val="es-ES_tradnl"/>
        </w:rPr>
        <w:tab/>
      </w:r>
      <w:bookmarkEnd w:id="35"/>
      <w:r w:rsidR="004922B7" w:rsidRPr="002720D0">
        <w:rPr>
          <w:lang w:val="es-ES_tradnl"/>
        </w:rPr>
        <w:t xml:space="preserve">Traslados y retención </w:t>
      </w:r>
      <w:r w:rsidR="00D07003" w:rsidRPr="002720D0">
        <w:rPr>
          <w:lang w:val="es-ES_tradnl"/>
        </w:rPr>
        <w:t>ilícitos de niños (art.</w:t>
      </w:r>
      <w:r w:rsidR="00EE52D6" w:rsidRPr="002720D0">
        <w:rPr>
          <w:lang w:val="es-ES_tradnl"/>
        </w:rPr>
        <w:t xml:space="preserve"> 11)</w:t>
      </w:r>
    </w:p>
    <w:p w:rsidR="00151021" w:rsidRPr="002720D0" w:rsidRDefault="004F6364" w:rsidP="004F6364">
      <w:pPr>
        <w:pStyle w:val="SingleTxtG"/>
        <w:tabs>
          <w:tab w:val="left" w:pos="-360"/>
        </w:tabs>
        <w:rPr>
          <w:lang w:val="es-ES_tradnl"/>
        </w:rPr>
      </w:pPr>
      <w:r w:rsidRPr="002720D0">
        <w:rPr>
          <w:lang w:val="es-ES_tradnl"/>
        </w:rPr>
        <w:t>119.</w:t>
      </w:r>
      <w:r w:rsidRPr="002720D0">
        <w:rPr>
          <w:lang w:val="es-ES_tradnl"/>
        </w:rPr>
        <w:tab/>
      </w:r>
      <w:r w:rsidR="00D07003" w:rsidRPr="002720D0">
        <w:rPr>
          <w:lang w:val="es-ES_tradnl"/>
        </w:rPr>
        <w:t>El Estado p</w:t>
      </w:r>
      <w:r w:rsidR="00836628" w:rsidRPr="002720D0">
        <w:rPr>
          <w:lang w:val="es-ES_tradnl"/>
        </w:rPr>
        <w:t xml:space="preserve">arte ha cumplido con el artículo 11 de la Convención en lo relativo a los traslados ilícitos de niños y la retención ilícita de niños, en consonancia con los artículos 40 y 62 de la Ley de la </w:t>
      </w:r>
      <w:r w:rsidR="008412B7" w:rsidRPr="002720D0">
        <w:rPr>
          <w:lang w:val="es-ES_tradnl"/>
        </w:rPr>
        <w:t xml:space="preserve">Infancia </w:t>
      </w:r>
      <w:r w:rsidR="00151021" w:rsidRPr="002720D0">
        <w:rPr>
          <w:lang w:val="es-ES_tradnl"/>
        </w:rPr>
        <w:t xml:space="preserve">(2009) </w:t>
      </w:r>
      <w:r w:rsidR="00836628" w:rsidRPr="002720D0">
        <w:rPr>
          <w:lang w:val="es-ES_tradnl"/>
        </w:rPr>
        <w:t xml:space="preserve">y de la Ley del </w:t>
      </w:r>
      <w:r w:rsidR="008412B7" w:rsidRPr="002720D0">
        <w:rPr>
          <w:lang w:val="es-ES_tradnl"/>
        </w:rPr>
        <w:t xml:space="preserve">Niño </w:t>
      </w:r>
      <w:r w:rsidR="00836628" w:rsidRPr="002720D0">
        <w:rPr>
          <w:lang w:val="es-ES_tradnl"/>
        </w:rPr>
        <w:t xml:space="preserve">de Zanzíbar (2011); </w:t>
      </w:r>
      <w:r w:rsidR="00D07003" w:rsidRPr="002720D0">
        <w:rPr>
          <w:lang w:val="es-ES_tradnl"/>
        </w:rPr>
        <w:t>ambas</w:t>
      </w:r>
      <w:r w:rsidR="00836628" w:rsidRPr="002720D0">
        <w:rPr>
          <w:lang w:val="es-ES_tradnl"/>
        </w:rPr>
        <w:t xml:space="preserve"> leyes prohíben el </w:t>
      </w:r>
      <w:r w:rsidR="00D07003" w:rsidRPr="002720D0">
        <w:rPr>
          <w:lang w:val="es-ES_tradnl"/>
        </w:rPr>
        <w:t>alejamiento</w:t>
      </w:r>
      <w:r w:rsidR="00836628" w:rsidRPr="002720D0">
        <w:rPr>
          <w:lang w:val="es-ES_tradnl"/>
        </w:rPr>
        <w:t xml:space="preserve"> ilegal del niño de la custodia legal de un tercero, o de un hogar de guarda o institución residencial </w:t>
      </w:r>
      <w:r w:rsidR="00D07003" w:rsidRPr="002720D0">
        <w:rPr>
          <w:lang w:val="es-ES_tradnl"/>
        </w:rPr>
        <w:t>aprobados</w:t>
      </w:r>
      <w:r w:rsidR="00836628" w:rsidRPr="002720D0">
        <w:rPr>
          <w:lang w:val="es-ES_tradnl"/>
        </w:rPr>
        <w:t xml:space="preserve">. No obstante, </w:t>
      </w:r>
      <w:r w:rsidR="001412F8" w:rsidRPr="002720D0">
        <w:rPr>
          <w:lang w:val="es-ES_tradnl"/>
        </w:rPr>
        <w:t xml:space="preserve">en Zanzíbar </w:t>
      </w:r>
      <w:r w:rsidR="00836628" w:rsidRPr="002720D0">
        <w:rPr>
          <w:lang w:val="es-ES_tradnl"/>
        </w:rPr>
        <w:t xml:space="preserve">se está </w:t>
      </w:r>
      <w:r w:rsidR="001412F8" w:rsidRPr="002720D0">
        <w:rPr>
          <w:lang w:val="es-ES_tradnl"/>
        </w:rPr>
        <w:t xml:space="preserve">examinando en la actualidad </w:t>
      </w:r>
      <w:r w:rsidR="00574C4C" w:rsidRPr="002720D0">
        <w:rPr>
          <w:lang w:val="es-ES_tradnl"/>
        </w:rPr>
        <w:t>el procedimiento de los Tribunales</w:t>
      </w:r>
      <w:r w:rsidR="00836628" w:rsidRPr="002720D0">
        <w:rPr>
          <w:lang w:val="es-ES_tradnl"/>
        </w:rPr>
        <w:t xml:space="preserve"> islámico</w:t>
      </w:r>
      <w:r w:rsidR="00574C4C" w:rsidRPr="002720D0">
        <w:rPr>
          <w:lang w:val="es-ES_tradnl"/>
        </w:rPr>
        <w:t>s</w:t>
      </w:r>
      <w:r w:rsidR="001412F8" w:rsidRPr="002720D0">
        <w:rPr>
          <w:lang w:val="es-ES_tradnl"/>
        </w:rPr>
        <w:t>, de 1985</w:t>
      </w:r>
      <w:r w:rsidR="00836628" w:rsidRPr="002720D0">
        <w:rPr>
          <w:lang w:val="es-ES_tradnl"/>
        </w:rPr>
        <w:t xml:space="preserve">, en aras de dar acomodo a </w:t>
      </w:r>
      <w:r w:rsidR="001412F8" w:rsidRPr="002720D0">
        <w:rPr>
          <w:lang w:val="es-ES_tradnl"/>
        </w:rPr>
        <w:t>ciertos</w:t>
      </w:r>
      <w:r w:rsidR="00836628" w:rsidRPr="002720D0">
        <w:rPr>
          <w:lang w:val="es-ES_tradnl"/>
        </w:rPr>
        <w:t xml:space="preserve"> aspectos sociales, económicos y culturales. </w:t>
      </w:r>
    </w:p>
    <w:p w:rsidR="00151021" w:rsidRPr="002720D0" w:rsidRDefault="004F6364" w:rsidP="004F6364">
      <w:pPr>
        <w:pStyle w:val="SingleTxtG"/>
        <w:tabs>
          <w:tab w:val="left" w:pos="-360"/>
        </w:tabs>
        <w:rPr>
          <w:lang w:val="es-ES_tradnl"/>
        </w:rPr>
      </w:pPr>
      <w:r w:rsidRPr="002720D0">
        <w:rPr>
          <w:lang w:val="es-ES_tradnl"/>
        </w:rPr>
        <w:t>120.</w:t>
      </w:r>
      <w:r w:rsidRPr="002720D0">
        <w:rPr>
          <w:lang w:val="es-ES_tradnl"/>
        </w:rPr>
        <w:tab/>
      </w:r>
      <w:r w:rsidR="00D07003" w:rsidRPr="002720D0">
        <w:rPr>
          <w:lang w:val="es-ES_tradnl"/>
        </w:rPr>
        <w:t>Además, en 2008 el Estado p</w:t>
      </w:r>
      <w:r w:rsidR="00574C4C" w:rsidRPr="002720D0">
        <w:rPr>
          <w:lang w:val="es-ES_tradnl"/>
        </w:rPr>
        <w:t xml:space="preserve">arte promulgó la Ley de </w:t>
      </w:r>
      <w:r w:rsidR="008412B7" w:rsidRPr="002720D0">
        <w:rPr>
          <w:lang w:val="es-ES_tradnl"/>
        </w:rPr>
        <w:t xml:space="preserve">Lucha </w:t>
      </w:r>
      <w:r w:rsidR="00574C4C" w:rsidRPr="002720D0">
        <w:rPr>
          <w:lang w:val="es-ES_tradnl"/>
        </w:rPr>
        <w:t xml:space="preserve">contra la </w:t>
      </w:r>
      <w:r w:rsidR="008412B7" w:rsidRPr="002720D0">
        <w:rPr>
          <w:lang w:val="es-ES_tradnl"/>
        </w:rPr>
        <w:t xml:space="preserve">Trata </w:t>
      </w:r>
      <w:r w:rsidR="00574C4C" w:rsidRPr="002720D0">
        <w:rPr>
          <w:lang w:val="es-ES_tradnl"/>
        </w:rPr>
        <w:t xml:space="preserve">de </w:t>
      </w:r>
      <w:r w:rsidR="008412B7" w:rsidRPr="002720D0">
        <w:rPr>
          <w:lang w:val="es-ES_tradnl"/>
        </w:rPr>
        <w:t>Personas</w:t>
      </w:r>
      <w:r w:rsidR="00574C4C" w:rsidRPr="002720D0">
        <w:rPr>
          <w:lang w:val="es-ES_tradnl"/>
        </w:rPr>
        <w:t xml:space="preserve">, que en virtud de su artículo 2 1) es de aplicación tanto en Tanzanía continental como en Zanzíbar. Esta ley tipifica como delito, entre otras cosas, el </w:t>
      </w:r>
      <w:r w:rsidR="00D07003" w:rsidRPr="002720D0">
        <w:rPr>
          <w:lang w:val="es-ES_tradnl"/>
        </w:rPr>
        <w:t>traslado</w:t>
      </w:r>
      <w:r w:rsidR="00574C4C" w:rsidRPr="002720D0">
        <w:rPr>
          <w:lang w:val="es-ES_tradnl"/>
        </w:rPr>
        <w:t xml:space="preserve"> ilícito o la trata de personas (comprendidos los niños) tanto en </w:t>
      </w:r>
      <w:r w:rsidR="00D07003" w:rsidRPr="002720D0">
        <w:rPr>
          <w:lang w:val="es-ES_tradnl"/>
        </w:rPr>
        <w:t>la jurisdicción del Estado p</w:t>
      </w:r>
      <w:r w:rsidR="00574C4C" w:rsidRPr="002720D0">
        <w:rPr>
          <w:lang w:val="es-ES_tradnl"/>
        </w:rPr>
        <w:t>arte como fuera de ella</w:t>
      </w:r>
      <w:r w:rsidR="00151021" w:rsidRPr="002720D0">
        <w:rPr>
          <w:rStyle w:val="FootnoteReference"/>
          <w:lang w:val="es-ES_tradnl"/>
        </w:rPr>
        <w:footnoteReference w:id="76"/>
      </w:r>
      <w:r w:rsidR="00574C4C" w:rsidRPr="002720D0">
        <w:rPr>
          <w:lang w:val="es-ES_tradnl"/>
        </w:rPr>
        <w:t>.</w:t>
      </w:r>
    </w:p>
    <w:p w:rsidR="00151021" w:rsidRPr="002720D0" w:rsidRDefault="00B8321C" w:rsidP="00586395">
      <w:pPr>
        <w:pStyle w:val="H1G"/>
        <w:outlineLvl w:val="0"/>
        <w:rPr>
          <w:lang w:val="es-ES_tradnl"/>
        </w:rPr>
      </w:pPr>
      <w:bookmarkStart w:id="36" w:name="_Toc313470872"/>
      <w:r w:rsidRPr="002720D0">
        <w:rPr>
          <w:lang w:val="es-ES_tradnl"/>
        </w:rPr>
        <w:tab/>
      </w:r>
      <w:r w:rsidR="00151021" w:rsidRPr="002720D0">
        <w:rPr>
          <w:lang w:val="es-ES_tradnl"/>
        </w:rPr>
        <w:t>5.10</w:t>
      </w:r>
      <w:r w:rsidRPr="002720D0">
        <w:rPr>
          <w:lang w:val="es-ES_tradnl"/>
        </w:rPr>
        <w:tab/>
      </w:r>
      <w:bookmarkEnd w:id="36"/>
      <w:r w:rsidR="00020315" w:rsidRPr="002720D0">
        <w:rPr>
          <w:lang w:val="es-ES_tradnl"/>
        </w:rPr>
        <w:t>M</w:t>
      </w:r>
      <w:r w:rsidR="00D07003" w:rsidRPr="002720D0">
        <w:rPr>
          <w:lang w:val="es-ES_tradnl"/>
        </w:rPr>
        <w:t>alos tratos y descuido (art.</w:t>
      </w:r>
      <w:r w:rsidR="00020315" w:rsidRPr="002720D0">
        <w:rPr>
          <w:lang w:val="es-ES_tradnl"/>
        </w:rPr>
        <w:t xml:space="preserve"> 19), entre otras cosas en la </w:t>
      </w:r>
      <w:r w:rsidR="00410BB5">
        <w:rPr>
          <w:lang w:val="es-ES_tradnl"/>
        </w:rPr>
        <w:br/>
      </w:r>
      <w:r w:rsidR="00020315" w:rsidRPr="002720D0">
        <w:rPr>
          <w:lang w:val="es-ES_tradnl"/>
        </w:rPr>
        <w:t>recuperación física y psicológica y en la rei</w:t>
      </w:r>
      <w:r w:rsidR="00D07003" w:rsidRPr="002720D0">
        <w:rPr>
          <w:lang w:val="es-ES_tradnl"/>
        </w:rPr>
        <w:t xml:space="preserve">ntegración social </w:t>
      </w:r>
      <w:r w:rsidR="00410BB5">
        <w:rPr>
          <w:lang w:val="es-ES_tradnl"/>
        </w:rPr>
        <w:br/>
      </w:r>
      <w:r w:rsidR="00D07003" w:rsidRPr="002720D0">
        <w:rPr>
          <w:lang w:val="es-ES_tradnl"/>
        </w:rPr>
        <w:t>(art.</w:t>
      </w:r>
      <w:r w:rsidR="00EE52D6" w:rsidRPr="002720D0">
        <w:rPr>
          <w:lang w:val="es-ES_tradnl"/>
        </w:rPr>
        <w:t xml:space="preserve"> 39)</w:t>
      </w:r>
    </w:p>
    <w:p w:rsidR="00151021" w:rsidRPr="002720D0" w:rsidRDefault="004F6364" w:rsidP="004F6364">
      <w:pPr>
        <w:pStyle w:val="SingleTxtG"/>
        <w:tabs>
          <w:tab w:val="left" w:pos="-360"/>
        </w:tabs>
        <w:rPr>
          <w:lang w:val="es-ES_tradnl"/>
        </w:rPr>
      </w:pPr>
      <w:r w:rsidRPr="002720D0">
        <w:rPr>
          <w:lang w:val="es-ES_tradnl"/>
        </w:rPr>
        <w:t>121.</w:t>
      </w:r>
      <w:r w:rsidRPr="002720D0">
        <w:rPr>
          <w:lang w:val="es-ES_tradnl"/>
        </w:rPr>
        <w:tab/>
      </w:r>
      <w:r w:rsidR="00D07003" w:rsidRPr="002720D0">
        <w:rPr>
          <w:lang w:val="es-ES_tradnl"/>
        </w:rPr>
        <w:t>En sus O</w:t>
      </w:r>
      <w:r w:rsidR="000D007C" w:rsidRPr="002720D0">
        <w:rPr>
          <w:lang w:val="es-ES_tradnl"/>
        </w:rPr>
        <w:t xml:space="preserve">bservaciones finales previas, el Comité recomendó que el Estado </w:t>
      </w:r>
      <w:r w:rsidRPr="002720D0">
        <w:rPr>
          <w:lang w:val="es-ES_tradnl"/>
        </w:rPr>
        <w:t>parte</w:t>
      </w:r>
      <w:r w:rsidR="00151021" w:rsidRPr="002720D0">
        <w:rPr>
          <w:lang w:val="es-ES_tradnl"/>
        </w:rPr>
        <w:t>:</w:t>
      </w:r>
    </w:p>
    <w:p w:rsidR="00151021" w:rsidRPr="002720D0" w:rsidRDefault="00F2471A" w:rsidP="00F2471A">
      <w:pPr>
        <w:pStyle w:val="SingleTxtG"/>
        <w:rPr>
          <w:lang w:val="es-ES_tradnl"/>
        </w:rPr>
      </w:pPr>
      <w:r>
        <w:rPr>
          <w:lang w:val="es-ES_tradnl"/>
        </w:rPr>
        <w:tab/>
      </w:r>
      <w:r w:rsidR="00151021" w:rsidRPr="002720D0">
        <w:rPr>
          <w:lang w:val="es-ES_tradnl"/>
        </w:rPr>
        <w:t>a)</w:t>
      </w:r>
      <w:r w:rsidR="00B8321C" w:rsidRPr="002720D0">
        <w:rPr>
          <w:lang w:val="es-ES_tradnl"/>
        </w:rPr>
        <w:tab/>
      </w:r>
      <w:r w:rsidR="00024CE7" w:rsidRPr="002720D0">
        <w:rPr>
          <w:lang w:val="es-ES_tradnl"/>
        </w:rPr>
        <w:t>Pot</w:t>
      </w:r>
      <w:r w:rsidR="000D007C" w:rsidRPr="002720D0">
        <w:rPr>
          <w:lang w:val="es-ES_tradnl"/>
        </w:rPr>
        <w:t xml:space="preserve">enciase sus medidas en vigor para evitar el abuso y desamparo de los niños; </w:t>
      </w:r>
    </w:p>
    <w:p w:rsidR="00151021" w:rsidRPr="002720D0" w:rsidRDefault="00F2471A" w:rsidP="00F2471A">
      <w:pPr>
        <w:pStyle w:val="SingleTxtG"/>
        <w:rPr>
          <w:lang w:val="es-ES_tradnl"/>
        </w:rPr>
      </w:pPr>
      <w:r>
        <w:rPr>
          <w:lang w:val="es-ES_tradnl"/>
        </w:rPr>
        <w:tab/>
      </w:r>
      <w:r w:rsidR="00151021" w:rsidRPr="002720D0">
        <w:rPr>
          <w:lang w:val="es-ES_tradnl"/>
        </w:rPr>
        <w:t>b)</w:t>
      </w:r>
      <w:r w:rsidR="00B8321C" w:rsidRPr="002720D0">
        <w:rPr>
          <w:lang w:val="es-ES_tradnl"/>
        </w:rPr>
        <w:tab/>
      </w:r>
      <w:r w:rsidR="000D007C" w:rsidRPr="002720D0">
        <w:rPr>
          <w:lang w:val="es-ES_tradnl"/>
        </w:rPr>
        <w:t>Potenciase la unidad de la niñez en la Comisión</w:t>
      </w:r>
      <w:r w:rsidR="00024CE7" w:rsidRPr="002720D0">
        <w:rPr>
          <w:lang w:val="es-ES_tradnl"/>
        </w:rPr>
        <w:t xml:space="preserve"> </w:t>
      </w:r>
      <w:r w:rsidR="000D007C" w:rsidRPr="002720D0">
        <w:rPr>
          <w:lang w:val="es-ES_tradnl"/>
        </w:rPr>
        <w:t xml:space="preserve">de Derechos Humanos y Buen Gobierno para que investigara, examinara y resolviera las quejas referentes a los derechos del niño; </w:t>
      </w:r>
    </w:p>
    <w:p w:rsidR="00151021" w:rsidRPr="002720D0" w:rsidRDefault="00F2471A" w:rsidP="00F2471A">
      <w:pPr>
        <w:pStyle w:val="SingleTxtG"/>
        <w:rPr>
          <w:lang w:val="es-ES_tradnl"/>
        </w:rPr>
      </w:pPr>
      <w:r>
        <w:rPr>
          <w:lang w:val="es-ES_tradnl"/>
        </w:rPr>
        <w:tab/>
      </w:r>
      <w:r w:rsidR="00151021" w:rsidRPr="002720D0">
        <w:rPr>
          <w:lang w:val="es-ES_tradnl"/>
        </w:rPr>
        <w:t>c)</w:t>
      </w:r>
      <w:r w:rsidR="00B8321C" w:rsidRPr="002720D0">
        <w:rPr>
          <w:lang w:val="es-ES_tradnl"/>
        </w:rPr>
        <w:tab/>
      </w:r>
      <w:r w:rsidR="000D007C" w:rsidRPr="002720D0">
        <w:rPr>
          <w:lang w:val="es-ES_tradnl"/>
        </w:rPr>
        <w:t xml:space="preserve">Diera curso a las recomendaciones de la Comisión de Derechos Humanos y Buen Gobierno formuladas al cabo de su investigación pública de la violencia contra los niños; </w:t>
      </w:r>
    </w:p>
    <w:p w:rsidR="00151021" w:rsidRPr="002720D0" w:rsidRDefault="00F2471A" w:rsidP="00F2471A">
      <w:pPr>
        <w:pStyle w:val="SingleTxtG"/>
        <w:rPr>
          <w:lang w:val="es-ES_tradnl"/>
        </w:rPr>
      </w:pPr>
      <w:r>
        <w:rPr>
          <w:lang w:val="es-ES_tradnl"/>
        </w:rPr>
        <w:tab/>
      </w:r>
      <w:r w:rsidR="00151021" w:rsidRPr="002720D0">
        <w:rPr>
          <w:lang w:val="es-ES_tradnl"/>
        </w:rPr>
        <w:t>d)</w:t>
      </w:r>
      <w:r w:rsidR="00B8321C" w:rsidRPr="002720D0">
        <w:rPr>
          <w:lang w:val="es-ES_tradnl"/>
        </w:rPr>
        <w:tab/>
      </w:r>
      <w:r w:rsidR="000D007C" w:rsidRPr="002720D0">
        <w:rPr>
          <w:lang w:val="es-ES_tradnl"/>
        </w:rPr>
        <w:t xml:space="preserve">Se plantease la posibilidad de establecer una línea telefónica de asistencia, sin cobro, a los niños en todo el país, que fuera atendida por profesionales o voluntarios formados; y </w:t>
      </w:r>
    </w:p>
    <w:p w:rsidR="00151021" w:rsidRPr="002720D0" w:rsidRDefault="00F2471A" w:rsidP="00F2471A">
      <w:pPr>
        <w:pStyle w:val="SingleTxtG"/>
        <w:rPr>
          <w:lang w:val="es-ES_tradnl"/>
        </w:rPr>
      </w:pPr>
      <w:r>
        <w:rPr>
          <w:lang w:val="es-ES_tradnl"/>
        </w:rPr>
        <w:tab/>
      </w:r>
      <w:r w:rsidR="00151021" w:rsidRPr="002720D0">
        <w:rPr>
          <w:lang w:val="es-ES_tradnl"/>
        </w:rPr>
        <w:t>e)</w:t>
      </w:r>
      <w:r w:rsidR="00B8321C" w:rsidRPr="002720D0">
        <w:rPr>
          <w:lang w:val="es-ES_tradnl"/>
        </w:rPr>
        <w:tab/>
      </w:r>
      <w:r w:rsidR="000D007C" w:rsidRPr="002720D0">
        <w:rPr>
          <w:lang w:val="es-ES_tradnl"/>
        </w:rPr>
        <w:t xml:space="preserve">Fomentase la creación de redes y asociaciones para acabar con la violencia contra los niños. </w:t>
      </w:r>
    </w:p>
    <w:p w:rsidR="00151021" w:rsidRPr="002720D0" w:rsidRDefault="004F6364" w:rsidP="004F6364">
      <w:pPr>
        <w:pStyle w:val="SingleTxtG"/>
        <w:tabs>
          <w:tab w:val="left" w:pos="-360"/>
        </w:tabs>
        <w:rPr>
          <w:lang w:val="es-ES_tradnl"/>
        </w:rPr>
      </w:pPr>
      <w:r w:rsidRPr="002720D0">
        <w:rPr>
          <w:lang w:val="es-ES_tradnl"/>
        </w:rPr>
        <w:t>122.</w:t>
      </w:r>
      <w:r w:rsidRPr="002720D0">
        <w:rPr>
          <w:lang w:val="es-ES_tradnl"/>
        </w:rPr>
        <w:tab/>
      </w:r>
      <w:r w:rsidR="000D007C" w:rsidRPr="002720D0">
        <w:rPr>
          <w:lang w:val="es-ES_tradnl"/>
        </w:rPr>
        <w:t>El Comité t</w:t>
      </w:r>
      <w:r w:rsidR="00EC15FB" w:rsidRPr="002720D0">
        <w:rPr>
          <w:lang w:val="es-ES_tradnl"/>
        </w:rPr>
        <w:t>ambién recomendó que el Estado p</w:t>
      </w:r>
      <w:r w:rsidR="000D007C" w:rsidRPr="002720D0">
        <w:rPr>
          <w:lang w:val="es-ES_tradnl"/>
        </w:rPr>
        <w:t xml:space="preserve">arte utilizase el documento resultante del estudio a fondo del Secretario General de la cuestión de la violencia contra la niñez (véase la resolución 56/138 de la Asamblea General) para actuar, junto con la sociedad civil, a fin de que se protegiera a cada niño de todas las formas de violencia física o mental y se diera impulso a medidas concretas y, cuando </w:t>
      </w:r>
      <w:r w:rsidR="00D07003" w:rsidRPr="002720D0">
        <w:rPr>
          <w:lang w:val="es-ES_tradnl"/>
        </w:rPr>
        <w:t>cupiera</w:t>
      </w:r>
      <w:r w:rsidR="000D007C" w:rsidRPr="002720D0">
        <w:rPr>
          <w:lang w:val="es-ES_tradnl"/>
        </w:rPr>
        <w:t xml:space="preserve">, a plazo fijo para prevenir y responder a dicha violencia y abusos. </w:t>
      </w:r>
    </w:p>
    <w:p w:rsidR="00151021" w:rsidRPr="002720D0" w:rsidRDefault="004F6364" w:rsidP="004F6364">
      <w:pPr>
        <w:pStyle w:val="SingleTxtG"/>
        <w:tabs>
          <w:tab w:val="left" w:pos="-360"/>
        </w:tabs>
        <w:rPr>
          <w:lang w:val="es-ES_tradnl"/>
        </w:rPr>
      </w:pPr>
      <w:r w:rsidRPr="002720D0">
        <w:rPr>
          <w:lang w:val="es-ES_tradnl"/>
        </w:rPr>
        <w:t>123.</w:t>
      </w:r>
      <w:r w:rsidRPr="002720D0">
        <w:rPr>
          <w:lang w:val="es-ES_tradnl"/>
        </w:rPr>
        <w:tab/>
      </w:r>
      <w:r w:rsidR="004A6A66" w:rsidRPr="002720D0">
        <w:rPr>
          <w:lang w:val="es-ES_tradnl"/>
        </w:rPr>
        <w:t>En su empeño por aplicar el artículo 19 de la Convención, y en cumplimiento de las recomendaciones</w:t>
      </w:r>
      <w:r w:rsidR="00D07003" w:rsidRPr="002720D0">
        <w:rPr>
          <w:lang w:val="es-ES_tradnl"/>
        </w:rPr>
        <w:t xml:space="preserve"> previas del Comité, el Estado p</w:t>
      </w:r>
      <w:r w:rsidR="004A6A66" w:rsidRPr="002720D0">
        <w:rPr>
          <w:lang w:val="es-ES_tradnl"/>
        </w:rPr>
        <w:t>arte ha llevado a cabo un estudio sobre la violencia contra los niños; el informe</w:t>
      </w:r>
      <w:r w:rsidR="00151021" w:rsidRPr="002720D0">
        <w:rPr>
          <w:rStyle w:val="FootnoteReference"/>
          <w:lang w:val="es-ES_tradnl"/>
        </w:rPr>
        <w:footnoteReference w:id="77"/>
      </w:r>
      <w:r w:rsidR="00151021" w:rsidRPr="002720D0">
        <w:rPr>
          <w:lang w:val="es-ES_tradnl"/>
        </w:rPr>
        <w:t xml:space="preserve"> </w:t>
      </w:r>
      <w:r w:rsidR="004A6A66" w:rsidRPr="002720D0">
        <w:rPr>
          <w:lang w:val="es-ES_tradnl"/>
        </w:rPr>
        <w:t xml:space="preserve">sobre este estudio fue presentado, por lo que respecta a Tanzanía continental, por la Dra. </w:t>
      </w:r>
      <w:r w:rsidR="00EA74CA" w:rsidRPr="002720D0">
        <w:rPr>
          <w:lang w:val="es-ES_tradnl"/>
        </w:rPr>
        <w:t>Asha-Rose</w:t>
      </w:r>
      <w:r w:rsidR="001D2A53">
        <w:rPr>
          <w:lang w:val="es-ES_tradnl"/>
        </w:rPr>
        <w:t xml:space="preserve"> </w:t>
      </w:r>
      <w:r w:rsidR="00EA74CA" w:rsidRPr="002720D0">
        <w:rPr>
          <w:lang w:val="es-ES_tradnl"/>
        </w:rPr>
        <w:t xml:space="preserve">Migiro </w:t>
      </w:r>
      <w:r w:rsidR="00943188" w:rsidRPr="002720D0">
        <w:rPr>
          <w:lang w:val="es-ES_tradnl"/>
        </w:rPr>
        <w:t>(</w:t>
      </w:r>
      <w:r w:rsidR="004E5B2C" w:rsidRPr="002720D0">
        <w:rPr>
          <w:lang w:val="es-ES_tradnl"/>
        </w:rPr>
        <w:t>Vicesecretaria</w:t>
      </w:r>
      <w:r w:rsidR="00943188" w:rsidRPr="002720D0">
        <w:rPr>
          <w:lang w:val="es-ES_tradnl"/>
        </w:rPr>
        <w:t xml:space="preserve"> General de las Naciones Unidas) e</w:t>
      </w:r>
      <w:r w:rsidR="00151021" w:rsidRPr="002720D0">
        <w:rPr>
          <w:lang w:val="es-ES_tradnl"/>
        </w:rPr>
        <w:t xml:space="preserve">n </w:t>
      </w:r>
      <w:r w:rsidR="00943188" w:rsidRPr="002720D0">
        <w:rPr>
          <w:lang w:val="es-ES_tradnl"/>
        </w:rPr>
        <w:t>agosto de</w:t>
      </w:r>
      <w:r w:rsidR="00151021" w:rsidRPr="002720D0">
        <w:rPr>
          <w:lang w:val="es-ES_tradnl"/>
        </w:rPr>
        <w:t xml:space="preserve"> 2011. </w:t>
      </w:r>
      <w:r w:rsidR="00943188" w:rsidRPr="002720D0">
        <w:rPr>
          <w:lang w:val="es-ES_tradnl"/>
        </w:rPr>
        <w:t>Esta es la primera encuesta nacional sobre la violencia contra los niños qu</w:t>
      </w:r>
      <w:r w:rsidR="003C09A1" w:rsidRPr="002720D0">
        <w:rPr>
          <w:lang w:val="es-ES_tradnl"/>
        </w:rPr>
        <w:t>e se ha realizado en el Estado p</w:t>
      </w:r>
      <w:r w:rsidR="00943188" w:rsidRPr="002720D0">
        <w:rPr>
          <w:lang w:val="es-ES_tradnl"/>
        </w:rPr>
        <w:t xml:space="preserve">arte; en esta encuesta nacional, basada en un diseño de encuesta conjunta por hogares realizada en tres fases, participaron, 3.739 mujeres y varones con edades comprendidas entre los 13 y los 24 años. La encuesta </w:t>
      </w:r>
      <w:r w:rsidR="003C09A1" w:rsidRPr="002720D0">
        <w:rPr>
          <w:lang w:val="es-ES_tradnl"/>
        </w:rPr>
        <w:t xml:space="preserve">se </w:t>
      </w:r>
      <w:r w:rsidR="00943188" w:rsidRPr="002720D0">
        <w:rPr>
          <w:lang w:val="es-ES_tradnl"/>
        </w:rPr>
        <w:t xml:space="preserve">diseñó para </w:t>
      </w:r>
      <w:r w:rsidR="003C09A1" w:rsidRPr="002720D0">
        <w:rPr>
          <w:lang w:val="es-ES_tradnl"/>
        </w:rPr>
        <w:t xml:space="preserve">poder </w:t>
      </w:r>
      <w:r w:rsidR="00943188" w:rsidRPr="002720D0">
        <w:rPr>
          <w:lang w:val="es-ES_tradnl"/>
        </w:rPr>
        <w:t xml:space="preserve">calcular estimaciones </w:t>
      </w:r>
      <w:r w:rsidR="003C09A1" w:rsidRPr="002720D0">
        <w:rPr>
          <w:lang w:val="es-ES_tradnl"/>
        </w:rPr>
        <w:t>desglosadas</w:t>
      </w:r>
      <w:r w:rsidR="00943188" w:rsidRPr="002720D0">
        <w:rPr>
          <w:lang w:val="es-ES_tradnl"/>
        </w:rPr>
        <w:t xml:space="preserve"> de las experiencias de la violencia sexual, física y emocional antes de cumplir los 18 años de edad, para las mujeres y los varo</w:t>
      </w:r>
      <w:r w:rsidR="003C09A1" w:rsidRPr="002720D0">
        <w:rPr>
          <w:lang w:val="es-ES_tradnl"/>
        </w:rPr>
        <w:t>nes en ambas partes del Estado p</w:t>
      </w:r>
      <w:r w:rsidR="00943188" w:rsidRPr="002720D0">
        <w:rPr>
          <w:lang w:val="es-ES_tradnl"/>
        </w:rPr>
        <w:t xml:space="preserve">arte. </w:t>
      </w:r>
    </w:p>
    <w:p w:rsidR="00151021" w:rsidRPr="002720D0" w:rsidRDefault="004F6364" w:rsidP="004F6364">
      <w:pPr>
        <w:pStyle w:val="SingleTxtG"/>
        <w:tabs>
          <w:tab w:val="left" w:pos="-360"/>
        </w:tabs>
        <w:rPr>
          <w:lang w:val="es-ES_tradnl"/>
        </w:rPr>
      </w:pPr>
      <w:r w:rsidRPr="002720D0">
        <w:rPr>
          <w:lang w:val="es-ES_tradnl"/>
        </w:rPr>
        <w:t>124.</w:t>
      </w:r>
      <w:r w:rsidRPr="002720D0">
        <w:rPr>
          <w:lang w:val="es-ES_tradnl"/>
        </w:rPr>
        <w:tab/>
      </w:r>
      <w:r w:rsidR="005F4AA0" w:rsidRPr="002720D0">
        <w:rPr>
          <w:lang w:val="es-ES_tradnl"/>
        </w:rPr>
        <w:t>En el informe del estudio de la violencia contra los niños se identificaban todas las formas de violencia (sexual, física y emocional) y sus causas subyacentes; ello repr</w:t>
      </w:r>
      <w:r w:rsidR="00024CE7" w:rsidRPr="002720D0">
        <w:rPr>
          <w:lang w:val="es-ES_tradnl"/>
        </w:rPr>
        <w:t>e</w:t>
      </w:r>
      <w:r w:rsidR="003C09A1" w:rsidRPr="002720D0">
        <w:rPr>
          <w:lang w:val="es-ES_tradnl"/>
        </w:rPr>
        <w:t>senta</w:t>
      </w:r>
      <w:r w:rsidR="005F4AA0" w:rsidRPr="002720D0">
        <w:rPr>
          <w:lang w:val="es-ES_tradnl"/>
        </w:rPr>
        <w:t xml:space="preserve"> un paso fundamental hacia el desarrollo de las estrategias y políticas multisectoriales de prevención y respuesta, </w:t>
      </w:r>
      <w:r w:rsidR="003C09A1" w:rsidRPr="002720D0">
        <w:rPr>
          <w:lang w:val="es-ES_tradnl"/>
        </w:rPr>
        <w:t>en aras de lograr</w:t>
      </w:r>
      <w:r w:rsidR="005F4AA0" w:rsidRPr="002720D0">
        <w:rPr>
          <w:lang w:val="es-ES_tradnl"/>
        </w:rPr>
        <w:t xml:space="preserve"> una mejor protección de los niños en Tanzanía. Las conclusiones del estudio han permitido al Estado parte adquirir el compromiso de evitar la violencia contra los niños </w:t>
      </w:r>
      <w:r w:rsidR="003C09A1" w:rsidRPr="002720D0">
        <w:rPr>
          <w:lang w:val="es-ES_tradnl"/>
        </w:rPr>
        <w:t xml:space="preserve">y tomar medidas al respecto </w:t>
      </w:r>
      <w:r w:rsidR="005F4AA0" w:rsidRPr="002720D0">
        <w:rPr>
          <w:lang w:val="es-ES_tradnl"/>
        </w:rPr>
        <w:t xml:space="preserve">durante el período </w:t>
      </w:r>
      <w:r w:rsidR="00151021" w:rsidRPr="002720D0">
        <w:rPr>
          <w:lang w:val="es-ES_tradnl"/>
        </w:rPr>
        <w:t xml:space="preserve">2011-2016 </w:t>
      </w:r>
      <w:r w:rsidR="005F4AA0" w:rsidRPr="002720D0">
        <w:rPr>
          <w:lang w:val="es-ES_tradnl"/>
        </w:rPr>
        <w:t xml:space="preserve">mediante la creación de políticas propicias y </w:t>
      </w:r>
      <w:r w:rsidR="003C09A1" w:rsidRPr="002720D0">
        <w:rPr>
          <w:lang w:val="es-ES_tradnl"/>
        </w:rPr>
        <w:t xml:space="preserve">de </w:t>
      </w:r>
      <w:r w:rsidR="005F4AA0" w:rsidRPr="002720D0">
        <w:rPr>
          <w:lang w:val="es-ES_tradnl"/>
        </w:rPr>
        <w:t>un entorno legis</w:t>
      </w:r>
      <w:r w:rsidR="00024CE7" w:rsidRPr="002720D0">
        <w:rPr>
          <w:lang w:val="es-ES_tradnl"/>
        </w:rPr>
        <w:t>l</w:t>
      </w:r>
      <w:r w:rsidR="005F4AA0" w:rsidRPr="002720D0">
        <w:rPr>
          <w:lang w:val="es-ES_tradnl"/>
        </w:rPr>
        <w:t xml:space="preserve">ativo para </w:t>
      </w:r>
      <w:r w:rsidR="003C09A1" w:rsidRPr="002720D0">
        <w:rPr>
          <w:lang w:val="es-ES_tradnl"/>
        </w:rPr>
        <w:t>la instauración</w:t>
      </w:r>
      <w:r w:rsidR="005F4AA0" w:rsidRPr="002720D0">
        <w:rPr>
          <w:lang w:val="es-ES_tradnl"/>
        </w:rPr>
        <w:t xml:space="preserve"> de intervenciones sostenibles</w:t>
      </w:r>
      <w:r w:rsidR="003C09A1" w:rsidRPr="002720D0">
        <w:rPr>
          <w:lang w:val="es-ES_tradnl"/>
        </w:rPr>
        <w:t>,</w:t>
      </w:r>
      <w:r w:rsidR="005F4AA0" w:rsidRPr="002720D0">
        <w:rPr>
          <w:lang w:val="es-ES_tradnl"/>
        </w:rPr>
        <w:t xml:space="preserve"> destinadas a prevenir cualquier instancia de violencia contra los niños</w:t>
      </w:r>
      <w:r w:rsidR="003C09A1" w:rsidRPr="002720D0">
        <w:rPr>
          <w:lang w:val="es-ES_tradnl"/>
        </w:rPr>
        <w:t xml:space="preserve"> y adoptar medidas al respecto</w:t>
      </w:r>
      <w:r w:rsidR="005F4AA0" w:rsidRPr="002720D0">
        <w:rPr>
          <w:lang w:val="es-ES_tradnl"/>
        </w:rPr>
        <w:t xml:space="preserve">. También existe un marcado compromiso por parte de todos los interesados orientado hacia lo siguiente: </w:t>
      </w:r>
    </w:p>
    <w:p w:rsidR="00151021" w:rsidRPr="002720D0" w:rsidRDefault="00410BB5" w:rsidP="00410BB5">
      <w:pPr>
        <w:pStyle w:val="SingleTxtG"/>
        <w:rPr>
          <w:lang w:val="es-ES_tradnl"/>
        </w:rPr>
      </w:pPr>
      <w:r>
        <w:rPr>
          <w:lang w:val="es-ES_tradnl"/>
        </w:rPr>
        <w:tab/>
      </w:r>
      <w:r w:rsidR="00B8321C" w:rsidRPr="002720D0">
        <w:rPr>
          <w:lang w:val="es-ES_tradnl"/>
        </w:rPr>
        <w:t>a)</w:t>
      </w:r>
      <w:r w:rsidR="00B8321C" w:rsidRPr="002720D0">
        <w:rPr>
          <w:lang w:val="es-ES_tradnl"/>
        </w:rPr>
        <w:tab/>
      </w:r>
      <w:r w:rsidR="00151021" w:rsidRPr="002720D0">
        <w:rPr>
          <w:lang w:val="es-ES_tradnl"/>
        </w:rPr>
        <w:t>Red</w:t>
      </w:r>
      <w:r w:rsidR="00B8321C" w:rsidRPr="002720D0">
        <w:rPr>
          <w:lang w:val="es-ES_tradnl"/>
        </w:rPr>
        <w:t>uc</w:t>
      </w:r>
      <w:r w:rsidR="00024CE7" w:rsidRPr="002720D0">
        <w:rPr>
          <w:lang w:val="es-ES_tradnl"/>
        </w:rPr>
        <w:t>i</w:t>
      </w:r>
      <w:r w:rsidR="007C08C7" w:rsidRPr="002720D0">
        <w:rPr>
          <w:lang w:val="es-ES_tradnl"/>
        </w:rPr>
        <w:t xml:space="preserve">r la violencia contra los niños; </w:t>
      </w:r>
    </w:p>
    <w:p w:rsidR="00151021" w:rsidRPr="002720D0" w:rsidRDefault="007C08C7" w:rsidP="009D6096">
      <w:pPr>
        <w:pStyle w:val="SingleTxtG"/>
        <w:rPr>
          <w:lang w:val="es-ES_tradnl"/>
        </w:rPr>
      </w:pPr>
      <w:r w:rsidRPr="002720D0">
        <w:rPr>
          <w:lang w:val="es-ES_tradnl"/>
        </w:rPr>
        <w:tab/>
      </w:r>
      <w:r w:rsidR="00B8321C" w:rsidRPr="002720D0">
        <w:rPr>
          <w:lang w:val="es-ES_tradnl"/>
        </w:rPr>
        <w:t>b)</w:t>
      </w:r>
      <w:r w:rsidR="00B8321C" w:rsidRPr="002720D0">
        <w:rPr>
          <w:lang w:val="es-ES_tradnl"/>
        </w:rPr>
        <w:tab/>
      </w:r>
      <w:r w:rsidRPr="002720D0">
        <w:rPr>
          <w:lang w:val="es-ES_tradnl"/>
        </w:rPr>
        <w:t xml:space="preserve">Mejorar la cantidad y la calidad de los servicios destinados a las personas afectadas por la violencia contra los niños; </w:t>
      </w:r>
    </w:p>
    <w:p w:rsidR="00151021" w:rsidRPr="002720D0" w:rsidRDefault="007C08C7" w:rsidP="009D6096">
      <w:pPr>
        <w:pStyle w:val="SingleTxtG"/>
        <w:rPr>
          <w:lang w:val="es-ES_tradnl"/>
        </w:rPr>
      </w:pPr>
      <w:r w:rsidRPr="002720D0">
        <w:rPr>
          <w:lang w:val="es-ES_tradnl"/>
        </w:rPr>
        <w:tab/>
      </w:r>
      <w:r w:rsidR="00B8321C" w:rsidRPr="002720D0">
        <w:rPr>
          <w:lang w:val="es-ES_tradnl"/>
        </w:rPr>
        <w:t>c)</w:t>
      </w:r>
      <w:r w:rsidR="00B8321C" w:rsidRPr="002720D0">
        <w:rPr>
          <w:lang w:val="es-ES_tradnl"/>
        </w:rPr>
        <w:tab/>
      </w:r>
      <w:r w:rsidR="00151021" w:rsidRPr="002720D0">
        <w:rPr>
          <w:lang w:val="es-ES_tradnl"/>
        </w:rPr>
        <w:t>Mitiga</w:t>
      </w:r>
      <w:r w:rsidRPr="002720D0">
        <w:rPr>
          <w:lang w:val="es-ES_tradnl"/>
        </w:rPr>
        <w:t xml:space="preserve">r las graves consecuencias para la salud causadas por esa violencia; y </w:t>
      </w:r>
    </w:p>
    <w:p w:rsidR="00151021" w:rsidRPr="002720D0" w:rsidRDefault="007C08C7" w:rsidP="009D6096">
      <w:pPr>
        <w:pStyle w:val="SingleTxtG"/>
        <w:rPr>
          <w:lang w:val="es-ES_tradnl"/>
        </w:rPr>
      </w:pPr>
      <w:r w:rsidRPr="002720D0">
        <w:rPr>
          <w:lang w:val="es-ES_tradnl"/>
        </w:rPr>
        <w:tab/>
      </w:r>
      <w:r w:rsidR="00B8321C" w:rsidRPr="002720D0">
        <w:rPr>
          <w:lang w:val="es-ES_tradnl"/>
        </w:rPr>
        <w:t>d)</w:t>
      </w:r>
      <w:r w:rsidR="00B8321C" w:rsidRPr="002720D0">
        <w:rPr>
          <w:lang w:val="es-ES_tradnl"/>
        </w:rPr>
        <w:tab/>
      </w:r>
      <w:r w:rsidR="00151021" w:rsidRPr="002720D0">
        <w:rPr>
          <w:lang w:val="es-ES_tradnl"/>
        </w:rPr>
        <w:t>Re</w:t>
      </w:r>
      <w:r w:rsidRPr="002720D0">
        <w:rPr>
          <w:lang w:val="es-ES_tradnl"/>
        </w:rPr>
        <w:t xml:space="preserve">afirmar los derechos y la dignidad de los niños de Tanzanía. </w:t>
      </w:r>
    </w:p>
    <w:p w:rsidR="00151021" w:rsidRPr="002720D0" w:rsidRDefault="004F6364" w:rsidP="004F6364">
      <w:pPr>
        <w:pStyle w:val="SingleTxtG"/>
        <w:tabs>
          <w:tab w:val="left" w:pos="-360"/>
        </w:tabs>
        <w:rPr>
          <w:lang w:val="es-ES_tradnl"/>
        </w:rPr>
      </w:pPr>
      <w:r w:rsidRPr="002720D0">
        <w:rPr>
          <w:lang w:val="es-ES_tradnl"/>
        </w:rPr>
        <w:t>125.</w:t>
      </w:r>
      <w:r w:rsidRPr="002720D0">
        <w:rPr>
          <w:lang w:val="es-ES_tradnl"/>
        </w:rPr>
        <w:tab/>
      </w:r>
      <w:r w:rsidR="003C09A1" w:rsidRPr="002720D0">
        <w:rPr>
          <w:lang w:val="es-ES_tradnl"/>
        </w:rPr>
        <w:t>A estos efectos</w:t>
      </w:r>
      <w:r w:rsidR="00447412" w:rsidRPr="002720D0">
        <w:rPr>
          <w:lang w:val="es-ES_tradnl"/>
        </w:rPr>
        <w:t xml:space="preserve">, el resultado del estudio de Tanzanía </w:t>
      </w:r>
      <w:r w:rsidR="003C09A1" w:rsidRPr="002720D0">
        <w:rPr>
          <w:lang w:val="es-ES_tradnl"/>
        </w:rPr>
        <w:t>aporta</w:t>
      </w:r>
      <w:r w:rsidR="00447412" w:rsidRPr="002720D0">
        <w:rPr>
          <w:lang w:val="es-ES_tradnl"/>
        </w:rPr>
        <w:t xml:space="preserve"> pruebas </w:t>
      </w:r>
      <w:r w:rsidR="000E08BA" w:rsidRPr="002720D0">
        <w:rPr>
          <w:lang w:val="es-ES_tradnl"/>
        </w:rPr>
        <w:t>sólidas</w:t>
      </w:r>
      <w:r w:rsidR="00447412" w:rsidRPr="002720D0">
        <w:rPr>
          <w:lang w:val="es-ES_tradnl"/>
        </w:rPr>
        <w:t xml:space="preserve"> y validadas </w:t>
      </w:r>
      <w:r w:rsidR="00E9634D" w:rsidRPr="002720D0">
        <w:rPr>
          <w:lang w:val="es-ES_tradnl"/>
        </w:rPr>
        <w:t xml:space="preserve">para la elaboración de directrices y normas </w:t>
      </w:r>
      <w:r w:rsidR="000E08BA" w:rsidRPr="002720D0">
        <w:rPr>
          <w:lang w:val="es-ES_tradnl"/>
        </w:rPr>
        <w:t>destinadas a</w:t>
      </w:r>
      <w:r w:rsidR="003C09A1" w:rsidRPr="002720D0">
        <w:rPr>
          <w:lang w:val="es-ES_tradnl"/>
        </w:rPr>
        <w:t xml:space="preserve"> la aplicación de la Ley de la </w:t>
      </w:r>
      <w:r w:rsidR="008412B7" w:rsidRPr="002720D0">
        <w:rPr>
          <w:lang w:val="es-ES_tradnl"/>
        </w:rPr>
        <w:t>Infancia</w:t>
      </w:r>
      <w:r w:rsidR="00E9634D" w:rsidRPr="002720D0">
        <w:rPr>
          <w:lang w:val="es-ES_tradnl"/>
        </w:rPr>
        <w:t xml:space="preserve">. </w:t>
      </w:r>
      <w:r w:rsidR="003C09A1" w:rsidRPr="002720D0">
        <w:rPr>
          <w:lang w:val="es-ES_tradnl"/>
        </w:rPr>
        <w:t>También se llevó a cabo en todo el país</w:t>
      </w:r>
      <w:r w:rsidR="00976816" w:rsidRPr="002720D0">
        <w:rPr>
          <w:lang w:val="es-ES_tradnl"/>
        </w:rPr>
        <w:t xml:space="preserve"> una</w:t>
      </w:r>
      <w:r w:rsidR="000E08BA" w:rsidRPr="002720D0">
        <w:rPr>
          <w:lang w:val="es-ES_tradnl"/>
        </w:rPr>
        <w:t xml:space="preserve"> campaña de lucha contra la violencia contra las mujeres, los niños y las personas con albinismo, </w:t>
      </w:r>
      <w:r w:rsidR="00976816" w:rsidRPr="002720D0">
        <w:rPr>
          <w:lang w:val="es-ES_tradnl"/>
        </w:rPr>
        <w:t xml:space="preserve">que contó </w:t>
      </w:r>
      <w:r w:rsidR="000E08BA" w:rsidRPr="002720D0">
        <w:rPr>
          <w:lang w:val="es-ES_tradnl"/>
        </w:rPr>
        <w:t xml:space="preserve">con el apoyo de cinematógrafos móviles, programas de televisión y de radio, y </w:t>
      </w:r>
      <w:r w:rsidR="00976816" w:rsidRPr="002720D0">
        <w:rPr>
          <w:lang w:val="es-ES_tradnl"/>
        </w:rPr>
        <w:t xml:space="preserve">actividades de </w:t>
      </w:r>
      <w:r w:rsidR="000E08BA" w:rsidRPr="002720D0">
        <w:rPr>
          <w:lang w:val="es-ES_tradnl"/>
        </w:rPr>
        <w:t xml:space="preserve">sensibilización de las comunidades. </w:t>
      </w:r>
      <w:r w:rsidR="006E5081" w:rsidRPr="002720D0">
        <w:rPr>
          <w:lang w:val="es-ES_tradnl"/>
        </w:rPr>
        <w:t xml:space="preserve">De igual manera, las personas que participaron en las matanzas fueron demandadas, y algunas de ellas fueron condenadas. Como resultado, los asesinatos de albinos se redujeron en gran medida en un </w:t>
      </w:r>
      <w:r w:rsidR="00976816" w:rsidRPr="002720D0">
        <w:rPr>
          <w:lang w:val="es-ES_tradnl"/>
        </w:rPr>
        <w:t xml:space="preserve">breve </w:t>
      </w:r>
      <w:r w:rsidR="006E5081" w:rsidRPr="002720D0">
        <w:rPr>
          <w:lang w:val="es-ES_tradnl"/>
        </w:rPr>
        <w:t xml:space="preserve">período. </w:t>
      </w:r>
      <w:r w:rsidR="00976816" w:rsidRPr="002720D0">
        <w:rPr>
          <w:lang w:val="es-ES_tradnl"/>
        </w:rPr>
        <w:t>E</w:t>
      </w:r>
      <w:r w:rsidR="006E5081" w:rsidRPr="002720D0">
        <w:rPr>
          <w:lang w:val="es-ES_tradnl"/>
        </w:rPr>
        <w:t xml:space="preserve">n el Distrito de Misungwui </w:t>
      </w:r>
      <w:r w:rsidR="00976816" w:rsidRPr="002720D0">
        <w:rPr>
          <w:lang w:val="es-ES_tradnl"/>
        </w:rPr>
        <w:t xml:space="preserve">también </w:t>
      </w:r>
      <w:r w:rsidR="006E5081" w:rsidRPr="002720D0">
        <w:rPr>
          <w:lang w:val="es-ES_tradnl"/>
        </w:rPr>
        <w:t xml:space="preserve">se ha </w:t>
      </w:r>
      <w:r w:rsidR="00024CE7" w:rsidRPr="002720D0">
        <w:rPr>
          <w:lang w:val="es-ES_tradnl"/>
        </w:rPr>
        <w:t>creado</w:t>
      </w:r>
      <w:r w:rsidR="006E5081" w:rsidRPr="002720D0">
        <w:rPr>
          <w:lang w:val="es-ES_tradnl"/>
        </w:rPr>
        <w:t xml:space="preserve"> un internado específico para niños albinos, destinado a proporcionar un entorno más acogedor y más seguro </w:t>
      </w:r>
      <w:r w:rsidR="00976816" w:rsidRPr="002720D0">
        <w:rPr>
          <w:lang w:val="es-ES_tradnl"/>
        </w:rPr>
        <w:t>donde</w:t>
      </w:r>
      <w:r w:rsidR="006E5081" w:rsidRPr="002720D0">
        <w:rPr>
          <w:lang w:val="es-ES_tradnl"/>
        </w:rPr>
        <w:t xml:space="preserve"> los niños con albinismo puedan realizar sus estudios. </w:t>
      </w:r>
    </w:p>
    <w:p w:rsidR="00151021" w:rsidRPr="002720D0" w:rsidRDefault="004F6364" w:rsidP="004F6364">
      <w:pPr>
        <w:pStyle w:val="SingleTxtG"/>
        <w:tabs>
          <w:tab w:val="left" w:pos="-360"/>
        </w:tabs>
        <w:rPr>
          <w:lang w:val="es-ES_tradnl"/>
        </w:rPr>
      </w:pPr>
      <w:r w:rsidRPr="002720D0">
        <w:rPr>
          <w:lang w:val="es-ES_tradnl"/>
        </w:rPr>
        <w:t>126.</w:t>
      </w:r>
      <w:r w:rsidRPr="002720D0">
        <w:rPr>
          <w:lang w:val="es-ES_tradnl"/>
        </w:rPr>
        <w:tab/>
      </w:r>
      <w:r w:rsidR="006E5081" w:rsidRPr="002720D0">
        <w:rPr>
          <w:lang w:val="es-ES_tradnl"/>
        </w:rPr>
        <w:t>Asimismo, al e</w:t>
      </w:r>
      <w:r w:rsidR="00976816" w:rsidRPr="002720D0">
        <w:rPr>
          <w:lang w:val="es-ES_tradnl"/>
        </w:rPr>
        <w:t xml:space="preserve">stablecer </w:t>
      </w:r>
      <w:r w:rsidR="00976816" w:rsidRPr="00564559">
        <w:rPr>
          <w:lang w:val="es-ES_tradnl"/>
        </w:rPr>
        <w:t>la unidad de la niñez</w:t>
      </w:r>
      <w:r w:rsidR="006E5081" w:rsidRPr="00564559">
        <w:rPr>
          <w:lang w:val="es-ES_tradnl"/>
        </w:rPr>
        <w:t xml:space="preserve"> la</w:t>
      </w:r>
      <w:r w:rsidR="006E5081" w:rsidRPr="002720D0">
        <w:rPr>
          <w:lang w:val="es-ES_tradnl"/>
        </w:rPr>
        <w:t xml:space="preserve"> Comisión de Derechos Humanos</w:t>
      </w:r>
      <w:r w:rsidR="00B807C7" w:rsidRPr="002720D0">
        <w:rPr>
          <w:lang w:val="es-ES_tradnl"/>
        </w:rPr>
        <w:t xml:space="preserve"> y Buen Gobierno</w:t>
      </w:r>
      <w:r w:rsidR="006E5081" w:rsidRPr="002720D0">
        <w:rPr>
          <w:lang w:val="es-ES_tradnl"/>
        </w:rPr>
        <w:t xml:space="preserve"> llevó a cabo un estudio sobre los malos tratos a los niños y efectuó varias recomendaciones, respecto de las cuales el Estado </w:t>
      </w:r>
      <w:r w:rsidR="009729A3" w:rsidRPr="002720D0">
        <w:rPr>
          <w:lang w:val="es-ES_tradnl"/>
        </w:rPr>
        <w:t xml:space="preserve">parte </w:t>
      </w:r>
      <w:r w:rsidR="006E5081" w:rsidRPr="002720D0">
        <w:rPr>
          <w:lang w:val="es-ES_tradnl"/>
        </w:rPr>
        <w:t xml:space="preserve">tomó las medidas siguientes: </w:t>
      </w:r>
    </w:p>
    <w:p w:rsidR="00151021" w:rsidRPr="002720D0" w:rsidRDefault="009729A3" w:rsidP="009729A3">
      <w:pPr>
        <w:pStyle w:val="SingleTxtG"/>
        <w:rPr>
          <w:lang w:val="es-ES_tradnl"/>
        </w:rPr>
      </w:pPr>
      <w:r>
        <w:rPr>
          <w:lang w:val="es-ES_tradnl"/>
        </w:rPr>
        <w:tab/>
      </w:r>
      <w:r w:rsidR="00B8321C" w:rsidRPr="002720D0">
        <w:rPr>
          <w:lang w:val="es-ES_tradnl"/>
        </w:rPr>
        <w:t>a)</w:t>
      </w:r>
      <w:r w:rsidR="00B8321C" w:rsidRPr="002720D0">
        <w:rPr>
          <w:lang w:val="es-ES_tradnl"/>
        </w:rPr>
        <w:tab/>
      </w:r>
      <w:r w:rsidR="00B807C7" w:rsidRPr="002720D0">
        <w:rPr>
          <w:lang w:val="es-ES_tradnl"/>
        </w:rPr>
        <w:t>Se ha establecido la unidad de la niñez de la Comisión de Derechos Humanos y Buen Gobierno para la vulneración y el abuso de los derechos de los niños. Continúa la sensibilización en cuanto a la exi</w:t>
      </w:r>
      <w:r w:rsidR="00976816" w:rsidRPr="002720D0">
        <w:rPr>
          <w:lang w:val="es-ES_tradnl"/>
        </w:rPr>
        <w:t>stencia de unidades de la niñez, y</w:t>
      </w:r>
      <w:r w:rsidR="00B807C7" w:rsidRPr="002720D0">
        <w:rPr>
          <w:lang w:val="es-ES_tradnl"/>
        </w:rPr>
        <w:t xml:space="preserve"> se ha presentado </w:t>
      </w:r>
      <w:r>
        <w:rPr>
          <w:lang w:val="es-ES_tradnl"/>
        </w:rPr>
        <w:t>un número elevado de denuncias.</w:t>
      </w:r>
    </w:p>
    <w:p w:rsidR="00151021" w:rsidRPr="002720D0" w:rsidRDefault="009729A3" w:rsidP="009729A3">
      <w:pPr>
        <w:pStyle w:val="SingleTxtG"/>
        <w:rPr>
          <w:lang w:val="es-ES_tradnl"/>
        </w:rPr>
      </w:pPr>
      <w:r>
        <w:rPr>
          <w:lang w:val="es-ES_tradnl"/>
        </w:rPr>
        <w:tab/>
      </w:r>
      <w:r w:rsidR="00B8321C" w:rsidRPr="002720D0">
        <w:rPr>
          <w:lang w:val="es-ES_tradnl"/>
        </w:rPr>
        <w:t>b)</w:t>
      </w:r>
      <w:r w:rsidR="00B8321C" w:rsidRPr="002720D0">
        <w:rPr>
          <w:lang w:val="es-ES_tradnl"/>
        </w:rPr>
        <w:tab/>
      </w:r>
      <w:r w:rsidR="00B807C7" w:rsidRPr="002720D0">
        <w:rPr>
          <w:lang w:val="es-ES_tradnl"/>
        </w:rPr>
        <w:t>Las denunci</w:t>
      </w:r>
      <w:r w:rsidR="00976816" w:rsidRPr="002720D0">
        <w:rPr>
          <w:lang w:val="es-ES_tradnl"/>
        </w:rPr>
        <w:t>as se investigan, presentándose</w:t>
      </w:r>
      <w:r w:rsidR="00B807C7" w:rsidRPr="002720D0">
        <w:rPr>
          <w:lang w:val="es-ES_tradnl"/>
        </w:rPr>
        <w:t xml:space="preserve"> a las autoridades recomendaciones relat</w:t>
      </w:r>
      <w:r>
        <w:rPr>
          <w:lang w:val="es-ES_tradnl"/>
        </w:rPr>
        <w:t>ivas a las posibles soluciones.</w:t>
      </w:r>
    </w:p>
    <w:p w:rsidR="00151021" w:rsidRPr="002720D0" w:rsidRDefault="00B807C7" w:rsidP="009D6096">
      <w:pPr>
        <w:pStyle w:val="SingleTxtG"/>
        <w:rPr>
          <w:lang w:val="es-ES_tradnl"/>
        </w:rPr>
      </w:pPr>
      <w:r w:rsidRPr="002720D0">
        <w:rPr>
          <w:lang w:val="es-ES_tradnl"/>
        </w:rPr>
        <w:tab/>
      </w:r>
      <w:r w:rsidR="00B8321C" w:rsidRPr="002720D0">
        <w:rPr>
          <w:lang w:val="es-ES_tradnl"/>
        </w:rPr>
        <w:t>c)</w:t>
      </w:r>
      <w:r w:rsidR="00B8321C" w:rsidRPr="002720D0">
        <w:rPr>
          <w:lang w:val="es-ES_tradnl"/>
        </w:rPr>
        <w:tab/>
      </w:r>
      <w:r w:rsidR="00A365ED" w:rsidRPr="002720D0">
        <w:rPr>
          <w:lang w:val="es-ES_tradnl"/>
        </w:rPr>
        <w:t xml:space="preserve">En las comisarías y </w:t>
      </w:r>
      <w:r w:rsidR="00A365ED" w:rsidRPr="00B57F06">
        <w:rPr>
          <w:lang w:val="es-ES_tradnl"/>
        </w:rPr>
        <w:t>los puestos de policía se han establecido unidades de</w:t>
      </w:r>
      <w:r w:rsidR="00B57F06" w:rsidRPr="00B57F06">
        <w:rPr>
          <w:lang w:val="es-ES_tradnl"/>
        </w:rPr>
        <w:t xml:space="preserve"> asuntos de género y de</w:t>
      </w:r>
      <w:r w:rsidR="00A365ED" w:rsidRPr="00B57F06">
        <w:rPr>
          <w:lang w:val="es-ES_tradnl"/>
        </w:rPr>
        <w:t xml:space="preserve"> </w:t>
      </w:r>
      <w:r w:rsidR="007438DB" w:rsidRPr="00B57F06">
        <w:rPr>
          <w:lang w:val="es-ES_tradnl"/>
        </w:rPr>
        <w:t xml:space="preserve">la </w:t>
      </w:r>
      <w:r w:rsidR="00B57F06" w:rsidRPr="00B57F06">
        <w:rPr>
          <w:lang w:val="es-ES_tradnl"/>
        </w:rPr>
        <w:t>niñez</w:t>
      </w:r>
      <w:r w:rsidR="00A365ED" w:rsidRPr="00B57F06">
        <w:rPr>
          <w:lang w:val="es-ES_tradnl"/>
        </w:rPr>
        <w:t xml:space="preserve"> con</w:t>
      </w:r>
      <w:r w:rsidR="00A365ED" w:rsidRPr="002720D0">
        <w:rPr>
          <w:lang w:val="es-ES_tradnl"/>
        </w:rPr>
        <w:t xml:space="preserve"> el fin de verificar diversos tipos de violencia y malos tratos </w:t>
      </w:r>
      <w:r w:rsidR="007438DB" w:rsidRPr="002720D0">
        <w:rPr>
          <w:lang w:val="es-ES_tradnl"/>
        </w:rPr>
        <w:t>psicológicos</w:t>
      </w:r>
      <w:r w:rsidR="00A365ED" w:rsidRPr="002720D0">
        <w:rPr>
          <w:lang w:val="es-ES_tradnl"/>
        </w:rPr>
        <w:t xml:space="preserve"> y físicos cometidos contra los niños. Las consultas se realizan en oficinas privadas en las direcciones provinciales de la policía. Los niños </w:t>
      </w:r>
      <w:r w:rsidR="00976816" w:rsidRPr="002720D0">
        <w:rPr>
          <w:lang w:val="es-ES_tradnl"/>
        </w:rPr>
        <w:t>reciben</w:t>
      </w:r>
      <w:r w:rsidR="00A365ED" w:rsidRPr="002720D0">
        <w:rPr>
          <w:lang w:val="es-ES_tradnl"/>
        </w:rPr>
        <w:t xml:space="preserve"> un trato especial (confidencialidad) cuando presentan su testimonio ante la cámara. Además, las campañas de promoción que se llevan a cabo por medio de </w:t>
      </w:r>
      <w:r w:rsidR="004C22EB" w:rsidRPr="002720D0">
        <w:rPr>
          <w:lang w:val="es-ES_tradnl"/>
        </w:rPr>
        <w:t>reuniones, emisiones radiofónicas y televisivas, hojas informativas, folletos y carteles ejercen una importante función en la reducción de la violencia contra los niños, por ejemplo l</w:t>
      </w:r>
      <w:r w:rsidR="009729A3">
        <w:rPr>
          <w:lang w:val="es-ES_tradnl"/>
        </w:rPr>
        <w:t>a mutilación genital femenina.</w:t>
      </w:r>
    </w:p>
    <w:p w:rsidR="00151021" w:rsidRPr="002720D0" w:rsidRDefault="004C22EB" w:rsidP="009D6096">
      <w:pPr>
        <w:pStyle w:val="SingleTxtG"/>
        <w:rPr>
          <w:lang w:val="es-ES_tradnl"/>
        </w:rPr>
      </w:pPr>
      <w:r w:rsidRPr="002720D0">
        <w:rPr>
          <w:lang w:val="es-ES_tradnl"/>
        </w:rPr>
        <w:tab/>
      </w:r>
      <w:r w:rsidR="00B8321C" w:rsidRPr="002720D0">
        <w:rPr>
          <w:lang w:val="es-ES_tradnl"/>
        </w:rPr>
        <w:t>d)</w:t>
      </w:r>
      <w:r w:rsidR="00B8321C" w:rsidRPr="002720D0">
        <w:rPr>
          <w:lang w:val="es-ES_tradnl"/>
        </w:rPr>
        <w:tab/>
      </w:r>
      <w:r w:rsidRPr="002720D0">
        <w:rPr>
          <w:lang w:val="es-ES_tradnl"/>
        </w:rPr>
        <w:t xml:space="preserve">Se está estableciendo la línea </w:t>
      </w:r>
      <w:r w:rsidR="00B962C7" w:rsidRPr="002720D0">
        <w:rPr>
          <w:lang w:val="es-ES_tradnl"/>
        </w:rPr>
        <w:t xml:space="preserve">telefónica </w:t>
      </w:r>
      <w:r w:rsidRPr="002720D0">
        <w:rPr>
          <w:lang w:val="es-ES_tradnl"/>
        </w:rPr>
        <w:t xml:space="preserve">de </w:t>
      </w:r>
      <w:r w:rsidR="00B962C7" w:rsidRPr="002720D0">
        <w:rPr>
          <w:lang w:val="es-ES_tradnl"/>
        </w:rPr>
        <w:t xml:space="preserve">asistencia al niño en Tanzanía. Los niños podrán presentar quejas respecto de cualquier acto de violencia cometido contra ellos. </w:t>
      </w:r>
    </w:p>
    <w:p w:rsidR="00151021" w:rsidRPr="002720D0" w:rsidRDefault="004F6364" w:rsidP="004F6364">
      <w:pPr>
        <w:pStyle w:val="SingleTxtG"/>
        <w:tabs>
          <w:tab w:val="left" w:pos="-360"/>
        </w:tabs>
        <w:rPr>
          <w:lang w:val="es-ES_tradnl"/>
        </w:rPr>
      </w:pPr>
      <w:r w:rsidRPr="002720D0">
        <w:rPr>
          <w:lang w:val="es-ES_tradnl"/>
        </w:rPr>
        <w:t>127.</w:t>
      </w:r>
      <w:r w:rsidRPr="002720D0">
        <w:rPr>
          <w:lang w:val="es-ES_tradnl"/>
        </w:rPr>
        <w:tab/>
      </w:r>
      <w:r w:rsidR="00B962C7" w:rsidRPr="002720D0">
        <w:rPr>
          <w:lang w:val="es-ES_tradnl"/>
        </w:rPr>
        <w:t xml:space="preserve">Por lo que respecta a Zanzíbar, en septiembre de 2011 el </w:t>
      </w:r>
      <w:r w:rsidR="00303AFB" w:rsidRPr="002720D0">
        <w:rPr>
          <w:lang w:val="es-ES_tradnl"/>
        </w:rPr>
        <w:t xml:space="preserve">Excmo. Sr. </w:t>
      </w:r>
      <w:r w:rsidR="00B962C7" w:rsidRPr="002720D0">
        <w:rPr>
          <w:lang w:val="es-ES_tradnl"/>
        </w:rPr>
        <w:t xml:space="preserve">Embajador Seif Ali Iddi (Segundo Vicepresidente de Zanzíbar) lanzó el Estudio sobre la violencia contra los niños; también participó en este acto la Sra. </w:t>
      </w:r>
      <w:r w:rsidR="00151021" w:rsidRPr="002720D0">
        <w:rPr>
          <w:lang w:val="es-ES_tradnl"/>
        </w:rPr>
        <w:t>Marta Santos Pais (</w:t>
      </w:r>
      <w:r w:rsidR="00B962C7" w:rsidRPr="002720D0">
        <w:rPr>
          <w:lang w:val="es-ES_tradnl"/>
        </w:rPr>
        <w:t xml:space="preserve">Representante Especial del Secretario General </w:t>
      </w:r>
      <w:r w:rsidR="009F3826" w:rsidRPr="002720D0">
        <w:rPr>
          <w:lang w:val="es-ES_tradnl"/>
        </w:rPr>
        <w:t xml:space="preserve">de las Naciones Unidas </w:t>
      </w:r>
      <w:r w:rsidR="00B962C7" w:rsidRPr="002720D0">
        <w:rPr>
          <w:lang w:val="es-ES_tradnl"/>
        </w:rPr>
        <w:t>sobre la Violencia contra los Niños). Z</w:t>
      </w:r>
      <w:r w:rsidR="005A61D1">
        <w:rPr>
          <w:lang w:val="es-ES_tradnl"/>
        </w:rPr>
        <w:t>anzíbar ha creado la Unidad de P</w:t>
      </w:r>
      <w:r w:rsidR="00B962C7" w:rsidRPr="002720D0">
        <w:rPr>
          <w:lang w:val="es-ES_tradnl"/>
        </w:rPr>
        <w:t xml:space="preserve">rotección de </w:t>
      </w:r>
      <w:r w:rsidR="005A61D1">
        <w:rPr>
          <w:lang w:val="es-ES_tradnl"/>
        </w:rPr>
        <w:t>la N</w:t>
      </w:r>
      <w:r w:rsidR="00B962C7" w:rsidRPr="002720D0">
        <w:rPr>
          <w:lang w:val="es-ES_tradnl"/>
        </w:rPr>
        <w:t>iñez para tratar el abuso y el desamparo de los niños. Ha elaborado y puesto en operación lo siguiente:</w:t>
      </w:r>
      <w:r w:rsidR="001D2A53">
        <w:rPr>
          <w:lang w:val="es-ES_tradnl"/>
        </w:rPr>
        <w:t xml:space="preserve"> </w:t>
      </w:r>
    </w:p>
    <w:p w:rsidR="00151021" w:rsidRPr="002720D0" w:rsidRDefault="00410BB5" w:rsidP="00410BB5">
      <w:pPr>
        <w:pStyle w:val="SingleTxtG"/>
        <w:rPr>
          <w:lang w:val="es-ES_tradnl"/>
        </w:rPr>
      </w:pPr>
      <w:r>
        <w:rPr>
          <w:lang w:val="es-ES_tradnl"/>
        </w:rPr>
        <w:tab/>
      </w:r>
      <w:r w:rsidR="00B8321C" w:rsidRPr="002720D0">
        <w:rPr>
          <w:lang w:val="es-ES_tradnl"/>
        </w:rPr>
        <w:t>a)</w:t>
      </w:r>
      <w:r w:rsidR="00B8321C" w:rsidRPr="002720D0">
        <w:rPr>
          <w:lang w:val="es-ES_tradnl"/>
        </w:rPr>
        <w:tab/>
      </w:r>
      <w:r w:rsidR="00B962C7" w:rsidRPr="002720D0">
        <w:rPr>
          <w:lang w:val="es-ES_tradnl"/>
        </w:rPr>
        <w:t>Plan m</w:t>
      </w:r>
      <w:r w:rsidR="00151021" w:rsidRPr="002720D0">
        <w:rPr>
          <w:lang w:val="es-ES_tradnl"/>
        </w:rPr>
        <w:t>ultisector</w:t>
      </w:r>
      <w:r w:rsidR="00024CE7" w:rsidRPr="002720D0">
        <w:rPr>
          <w:lang w:val="es-ES_tradnl"/>
        </w:rPr>
        <w:t>i</w:t>
      </w:r>
      <w:r w:rsidR="00151021" w:rsidRPr="002720D0">
        <w:rPr>
          <w:lang w:val="es-ES_tradnl"/>
        </w:rPr>
        <w:t xml:space="preserve">al </w:t>
      </w:r>
      <w:r w:rsidR="00B962C7" w:rsidRPr="002720D0">
        <w:rPr>
          <w:lang w:val="es-ES_tradnl"/>
        </w:rPr>
        <w:t xml:space="preserve">sobre la violencia contra los niños; </w:t>
      </w:r>
    </w:p>
    <w:p w:rsidR="00151021" w:rsidRPr="002720D0" w:rsidRDefault="00410BB5" w:rsidP="00410BB5">
      <w:pPr>
        <w:pStyle w:val="SingleTxtG"/>
        <w:rPr>
          <w:lang w:val="es-ES_tradnl"/>
        </w:rPr>
      </w:pPr>
      <w:r>
        <w:rPr>
          <w:lang w:val="es-ES_tradnl"/>
        </w:rPr>
        <w:tab/>
      </w:r>
      <w:r w:rsidR="00B8321C" w:rsidRPr="002720D0">
        <w:rPr>
          <w:lang w:val="es-ES_tradnl"/>
        </w:rPr>
        <w:t>b)</w:t>
      </w:r>
      <w:r w:rsidR="00B8321C" w:rsidRPr="002720D0">
        <w:rPr>
          <w:lang w:val="es-ES_tradnl"/>
        </w:rPr>
        <w:tab/>
      </w:r>
      <w:r w:rsidR="009C7467" w:rsidRPr="002720D0">
        <w:rPr>
          <w:lang w:val="es-ES_tradnl"/>
        </w:rPr>
        <w:t>Comités regionales,</w:t>
      </w:r>
      <w:r w:rsidR="00B962C7" w:rsidRPr="002720D0">
        <w:rPr>
          <w:lang w:val="es-ES_tradnl"/>
        </w:rPr>
        <w:t xml:space="preserve"> de distrito </w:t>
      </w:r>
      <w:r w:rsidR="009C7467" w:rsidRPr="002720D0">
        <w:rPr>
          <w:lang w:val="es-ES_tradnl"/>
        </w:rPr>
        <w:t xml:space="preserve">y de </w:t>
      </w:r>
      <w:r w:rsidR="009C7467" w:rsidRPr="002720D0">
        <w:rPr>
          <w:i/>
          <w:lang w:val="es-ES_tradnl"/>
        </w:rPr>
        <w:t>s</w:t>
      </w:r>
      <w:r w:rsidR="00151021" w:rsidRPr="002720D0">
        <w:rPr>
          <w:i/>
          <w:lang w:val="es-ES_tradnl"/>
        </w:rPr>
        <w:t>hehia</w:t>
      </w:r>
      <w:r w:rsidR="00151021" w:rsidRPr="002720D0">
        <w:rPr>
          <w:lang w:val="es-ES_tradnl"/>
        </w:rPr>
        <w:t xml:space="preserve"> </w:t>
      </w:r>
      <w:r w:rsidR="009C7467" w:rsidRPr="002720D0">
        <w:rPr>
          <w:lang w:val="es-ES_tradnl"/>
        </w:rPr>
        <w:t xml:space="preserve">que se ocupan de la violencia de género y la violencia contra los niños; </w:t>
      </w:r>
    </w:p>
    <w:p w:rsidR="00151021" w:rsidRPr="002720D0" w:rsidRDefault="00410BB5" w:rsidP="00410BB5">
      <w:pPr>
        <w:pStyle w:val="SingleTxtG"/>
        <w:rPr>
          <w:lang w:val="es-ES_tradnl"/>
        </w:rPr>
      </w:pPr>
      <w:r>
        <w:rPr>
          <w:lang w:val="es-ES_tradnl"/>
        </w:rPr>
        <w:tab/>
      </w:r>
      <w:r w:rsidR="00B8321C" w:rsidRPr="002720D0">
        <w:rPr>
          <w:lang w:val="es-ES_tradnl"/>
        </w:rPr>
        <w:t>c)</w:t>
      </w:r>
      <w:r w:rsidR="00B8321C" w:rsidRPr="002720D0">
        <w:rPr>
          <w:lang w:val="es-ES_tradnl"/>
        </w:rPr>
        <w:tab/>
      </w:r>
      <w:r w:rsidR="009C7467" w:rsidRPr="002720D0">
        <w:rPr>
          <w:lang w:val="es-ES_tradnl"/>
        </w:rPr>
        <w:t xml:space="preserve">Dependencias de asesoramiento dentro del Departamento de Desarrollo de la Mujer y el Niño y de Bienestar Social; </w:t>
      </w:r>
    </w:p>
    <w:p w:rsidR="00151021" w:rsidRPr="002720D0" w:rsidRDefault="00410BB5" w:rsidP="00410BB5">
      <w:pPr>
        <w:pStyle w:val="SingleTxtG"/>
        <w:rPr>
          <w:lang w:val="es-ES_tradnl"/>
        </w:rPr>
      </w:pPr>
      <w:r>
        <w:rPr>
          <w:lang w:val="es-ES_tradnl"/>
        </w:rPr>
        <w:tab/>
      </w:r>
      <w:r w:rsidR="00B8321C" w:rsidRPr="002720D0">
        <w:rPr>
          <w:lang w:val="es-ES_tradnl"/>
        </w:rPr>
        <w:t>d)</w:t>
      </w:r>
      <w:r w:rsidR="00B8321C" w:rsidRPr="002720D0">
        <w:rPr>
          <w:lang w:val="es-ES_tradnl"/>
        </w:rPr>
        <w:tab/>
      </w:r>
      <w:r w:rsidR="009C7467" w:rsidRPr="002720D0">
        <w:rPr>
          <w:lang w:val="es-ES_tradnl"/>
        </w:rPr>
        <w:t xml:space="preserve">Dentro del Ministerio de Salud, Centro de atención integral en el Hospital de Mnazimmoja, destinado a prestar servicios a los niños víctimas de la violencia mediante agentes de policía, abogados, asesores y personal médico; y </w:t>
      </w:r>
    </w:p>
    <w:p w:rsidR="00151021" w:rsidRPr="002720D0" w:rsidRDefault="00410BB5" w:rsidP="00410BB5">
      <w:pPr>
        <w:pStyle w:val="SingleTxtG"/>
        <w:rPr>
          <w:lang w:val="es-ES_tradnl"/>
        </w:rPr>
      </w:pPr>
      <w:r>
        <w:rPr>
          <w:lang w:val="es-ES_tradnl"/>
        </w:rPr>
        <w:tab/>
      </w:r>
      <w:r w:rsidR="00B8321C" w:rsidRPr="002720D0">
        <w:rPr>
          <w:lang w:val="es-ES_tradnl"/>
        </w:rPr>
        <w:t>e)</w:t>
      </w:r>
      <w:r w:rsidR="00B8321C" w:rsidRPr="002720D0">
        <w:rPr>
          <w:lang w:val="es-ES_tradnl"/>
        </w:rPr>
        <w:tab/>
      </w:r>
      <w:r w:rsidR="00024CE7" w:rsidRPr="002720D0">
        <w:rPr>
          <w:lang w:val="es-ES_tradnl"/>
        </w:rPr>
        <w:t>Directrices nacionales para la protección y el bienestar de la infancia.</w:t>
      </w:r>
    </w:p>
    <w:p w:rsidR="00151021" w:rsidRPr="002720D0" w:rsidRDefault="00B8321C" w:rsidP="00410BB5">
      <w:pPr>
        <w:pStyle w:val="HChG"/>
        <w:rPr>
          <w:lang w:val="es-ES_tradnl"/>
        </w:rPr>
      </w:pPr>
      <w:bookmarkStart w:id="37" w:name="_Toc313470873"/>
      <w:r w:rsidRPr="002720D0">
        <w:rPr>
          <w:lang w:val="es-ES_tradnl"/>
        </w:rPr>
        <w:tab/>
        <w:t>6.</w:t>
      </w:r>
      <w:r w:rsidRPr="002720D0">
        <w:rPr>
          <w:lang w:val="es-ES_tradnl"/>
        </w:rPr>
        <w:tab/>
      </w:r>
      <w:bookmarkEnd w:id="37"/>
      <w:r w:rsidR="00EF7A3C" w:rsidRPr="002720D0">
        <w:rPr>
          <w:lang w:val="es-ES_tradnl"/>
        </w:rPr>
        <w:t>Discapacidad, salud bási</w:t>
      </w:r>
      <w:r w:rsidR="0082070D" w:rsidRPr="002720D0">
        <w:rPr>
          <w:lang w:val="es-ES_tradnl"/>
        </w:rPr>
        <w:t>ca y bienestar (art</w:t>
      </w:r>
      <w:r w:rsidR="00E424B1" w:rsidRPr="002720D0">
        <w:rPr>
          <w:lang w:val="es-ES_tradnl"/>
        </w:rPr>
        <w:t>s</w:t>
      </w:r>
      <w:r w:rsidR="0082070D" w:rsidRPr="002720D0">
        <w:rPr>
          <w:lang w:val="es-ES_tradnl"/>
        </w:rPr>
        <w:t>.</w:t>
      </w:r>
      <w:r w:rsidR="00E424B1" w:rsidRPr="002720D0">
        <w:rPr>
          <w:lang w:val="es-ES_tradnl"/>
        </w:rPr>
        <w:t xml:space="preserve"> 6, 18 </w:t>
      </w:r>
      <w:r w:rsidR="00410BB5">
        <w:rPr>
          <w:lang w:val="es-ES_tradnl"/>
        </w:rPr>
        <w:br/>
      </w:r>
      <w:r w:rsidR="0082070D" w:rsidRPr="002720D0">
        <w:rPr>
          <w:lang w:val="es-ES_tradnl"/>
        </w:rPr>
        <w:t>(párr.</w:t>
      </w:r>
      <w:r w:rsidR="00EF7A3C" w:rsidRPr="002720D0">
        <w:rPr>
          <w:lang w:val="es-ES_tradnl"/>
        </w:rPr>
        <w:t xml:space="preserve"> 3), 23, 24, 26, 27</w:t>
      </w:r>
      <w:r w:rsidR="005B66C3" w:rsidRPr="002720D0">
        <w:rPr>
          <w:lang w:val="es-ES_tradnl"/>
        </w:rPr>
        <w:t xml:space="preserve"> </w:t>
      </w:r>
      <w:r w:rsidR="0082070D" w:rsidRPr="002720D0">
        <w:rPr>
          <w:lang w:val="es-ES_tradnl"/>
        </w:rPr>
        <w:t>(párrs.</w:t>
      </w:r>
      <w:r w:rsidR="00EF7A3C" w:rsidRPr="002720D0">
        <w:rPr>
          <w:lang w:val="es-ES_tradnl"/>
        </w:rPr>
        <w:t xml:space="preserve"> 1 a 3) y 33)</w:t>
      </w:r>
    </w:p>
    <w:p w:rsidR="00151021" w:rsidRPr="002720D0" w:rsidRDefault="00012B57" w:rsidP="00814EF8">
      <w:pPr>
        <w:pStyle w:val="H1G"/>
        <w:outlineLvl w:val="0"/>
        <w:rPr>
          <w:lang w:val="es-ES_tradnl"/>
        </w:rPr>
      </w:pPr>
      <w:bookmarkStart w:id="38" w:name="_Toc313470874"/>
      <w:r w:rsidRPr="002720D0">
        <w:rPr>
          <w:lang w:val="es-ES_tradnl"/>
        </w:rPr>
        <w:tab/>
        <w:t>6.1</w:t>
      </w:r>
      <w:r w:rsidRPr="002720D0">
        <w:rPr>
          <w:lang w:val="es-ES_tradnl"/>
        </w:rPr>
        <w:tab/>
      </w:r>
      <w:bookmarkEnd w:id="38"/>
      <w:r w:rsidR="0082070D" w:rsidRPr="002720D0">
        <w:rPr>
          <w:lang w:val="es-ES_tradnl"/>
        </w:rPr>
        <w:t>S</w:t>
      </w:r>
      <w:r w:rsidR="00814EF8" w:rsidRPr="002720D0">
        <w:rPr>
          <w:lang w:val="es-ES_tradnl"/>
        </w:rPr>
        <w:t>upervivencia</w:t>
      </w:r>
      <w:r w:rsidR="004879F5" w:rsidRPr="002720D0">
        <w:rPr>
          <w:lang w:val="es-ES_tradnl"/>
        </w:rPr>
        <w:t xml:space="preserve"> y desarrollo (art. 6, párr. 2)</w:t>
      </w:r>
    </w:p>
    <w:p w:rsidR="00151021" w:rsidRPr="002720D0" w:rsidRDefault="004F6364" w:rsidP="004F6364">
      <w:pPr>
        <w:pStyle w:val="SingleTxtG"/>
        <w:tabs>
          <w:tab w:val="left" w:pos="-360"/>
        </w:tabs>
        <w:rPr>
          <w:lang w:val="es-ES_tradnl"/>
        </w:rPr>
      </w:pPr>
      <w:r w:rsidRPr="002720D0">
        <w:rPr>
          <w:lang w:val="es-ES_tradnl"/>
        </w:rPr>
        <w:t>128.</w:t>
      </w:r>
      <w:r w:rsidRPr="002720D0">
        <w:rPr>
          <w:lang w:val="es-ES_tradnl"/>
        </w:rPr>
        <w:tab/>
      </w:r>
      <w:r w:rsidR="00814EF8" w:rsidRPr="002720D0">
        <w:rPr>
          <w:lang w:val="es-ES_tradnl"/>
        </w:rPr>
        <w:t>Tanzaní</w:t>
      </w:r>
      <w:r w:rsidR="00151021" w:rsidRPr="002720D0">
        <w:rPr>
          <w:lang w:val="es-ES_tradnl"/>
        </w:rPr>
        <w:t>a ha</w:t>
      </w:r>
      <w:r w:rsidR="00814EF8" w:rsidRPr="002720D0">
        <w:rPr>
          <w:lang w:val="es-ES_tradnl"/>
        </w:rPr>
        <w:t xml:space="preserve"> acatado y aplicado el párrafo 2 del artículo 6 de la Convención, por </w:t>
      </w:r>
      <w:r w:rsidR="00571011" w:rsidRPr="002720D0">
        <w:rPr>
          <w:lang w:val="es-ES_tradnl"/>
        </w:rPr>
        <w:t>el que se obliga a los Estados p</w:t>
      </w:r>
      <w:r w:rsidR="00814EF8" w:rsidRPr="002720D0">
        <w:rPr>
          <w:lang w:val="es-ES_tradnl"/>
        </w:rPr>
        <w:t>artes a velar por la pr</w:t>
      </w:r>
      <w:r w:rsidR="00332869" w:rsidRPr="002720D0">
        <w:rPr>
          <w:lang w:val="es-ES_tradnl"/>
        </w:rPr>
        <w:t xml:space="preserve">otección del derecho a la </w:t>
      </w:r>
      <w:r w:rsidR="00025AD7" w:rsidRPr="002720D0">
        <w:rPr>
          <w:lang w:val="es-ES_tradnl"/>
        </w:rPr>
        <w:t>vida</w:t>
      </w:r>
      <w:r w:rsidR="00332869" w:rsidRPr="002720D0">
        <w:rPr>
          <w:lang w:val="es-ES_tradnl"/>
        </w:rPr>
        <w:t xml:space="preserve">, </w:t>
      </w:r>
      <w:r w:rsidR="00571011" w:rsidRPr="002720D0">
        <w:rPr>
          <w:lang w:val="es-ES_tradnl"/>
        </w:rPr>
        <w:t>consagrado</w:t>
      </w:r>
      <w:r w:rsidR="006F37F0" w:rsidRPr="002720D0">
        <w:rPr>
          <w:lang w:val="es-ES_tradnl"/>
        </w:rPr>
        <w:t xml:space="preserve"> tanto en el artículo 14 de la Constitución de la República Unida de Tanzanía como en la Constitución de Zanzí</w:t>
      </w:r>
      <w:r w:rsidR="00151021" w:rsidRPr="002720D0">
        <w:rPr>
          <w:lang w:val="es-ES_tradnl"/>
        </w:rPr>
        <w:t xml:space="preserve">bar. </w:t>
      </w:r>
      <w:r w:rsidR="006F37F0" w:rsidRPr="002720D0">
        <w:rPr>
          <w:lang w:val="es-ES_tradnl"/>
        </w:rPr>
        <w:t xml:space="preserve">Esta garantía constitucional subyace bajo todos los derechos básicos y libertades fundamentales en ambas constituciones, y </w:t>
      </w:r>
      <w:r w:rsidR="00332869" w:rsidRPr="002720D0">
        <w:rPr>
          <w:lang w:val="es-ES_tradnl"/>
        </w:rPr>
        <w:t xml:space="preserve">se ha consolidado en la Política de promoción del niño </w:t>
      </w:r>
      <w:r w:rsidR="004879F5" w:rsidRPr="002720D0">
        <w:rPr>
          <w:lang w:val="es-ES_tradnl"/>
        </w:rPr>
        <w:t xml:space="preserve">(2008), vigente en Tanzanía continental, así como en la Política de supervivencia, protección y promoción del niño </w:t>
      </w:r>
      <w:r w:rsidR="00332869" w:rsidRPr="002720D0">
        <w:rPr>
          <w:lang w:val="es-ES_tradnl"/>
        </w:rPr>
        <w:t>(2001)</w:t>
      </w:r>
      <w:r w:rsidR="004879F5" w:rsidRPr="002720D0">
        <w:rPr>
          <w:lang w:val="es-ES_tradnl"/>
        </w:rPr>
        <w:t>,</w:t>
      </w:r>
      <w:r w:rsidR="00332869" w:rsidRPr="002720D0">
        <w:rPr>
          <w:lang w:val="es-ES_tradnl"/>
        </w:rPr>
        <w:t xml:space="preserve"> vigente en Zanzí</w:t>
      </w:r>
      <w:r w:rsidR="00151021" w:rsidRPr="002720D0">
        <w:rPr>
          <w:lang w:val="es-ES_tradnl"/>
        </w:rPr>
        <w:t xml:space="preserve">bar. </w:t>
      </w:r>
      <w:r w:rsidR="00332869" w:rsidRPr="002720D0">
        <w:rPr>
          <w:lang w:val="es-ES_tradnl"/>
        </w:rPr>
        <w:t>Entre otros</w:t>
      </w:r>
      <w:r w:rsidR="00303AFB" w:rsidRPr="002720D0">
        <w:rPr>
          <w:lang w:val="es-ES_tradnl"/>
        </w:rPr>
        <w:t xml:space="preserve"> derechos</w:t>
      </w:r>
      <w:r w:rsidR="00332869" w:rsidRPr="002720D0">
        <w:rPr>
          <w:lang w:val="es-ES_tradnl"/>
        </w:rPr>
        <w:t xml:space="preserve">, estas políticas reconocen </w:t>
      </w:r>
      <w:r w:rsidR="00EF746E" w:rsidRPr="002720D0">
        <w:rPr>
          <w:lang w:val="es-ES_tradnl"/>
        </w:rPr>
        <w:t>los derechos relativos</w:t>
      </w:r>
      <w:r w:rsidR="00332869" w:rsidRPr="002720D0">
        <w:rPr>
          <w:lang w:val="es-ES_tradnl"/>
        </w:rPr>
        <w:t xml:space="preserve"> a la supervivencia, al desarrollo, a la protección, a la participación del niño y a la no discriminación. </w:t>
      </w:r>
    </w:p>
    <w:p w:rsidR="00151021" w:rsidRPr="002720D0" w:rsidRDefault="004F6364" w:rsidP="004F6364">
      <w:pPr>
        <w:pStyle w:val="SingleTxtG"/>
        <w:tabs>
          <w:tab w:val="left" w:pos="-360"/>
        </w:tabs>
        <w:rPr>
          <w:lang w:val="es-ES_tradnl"/>
        </w:rPr>
      </w:pPr>
      <w:r w:rsidRPr="002720D0">
        <w:rPr>
          <w:lang w:val="es-ES_tradnl"/>
        </w:rPr>
        <w:t>129.</w:t>
      </w:r>
      <w:r w:rsidRPr="002720D0">
        <w:rPr>
          <w:lang w:val="es-ES_tradnl"/>
        </w:rPr>
        <w:tab/>
      </w:r>
      <w:r w:rsidR="00332869" w:rsidRPr="002720D0">
        <w:rPr>
          <w:lang w:val="es-ES_tradnl"/>
        </w:rPr>
        <w:t xml:space="preserve">En el plano legislativo, tanto la Ley de la </w:t>
      </w:r>
      <w:r w:rsidR="008412B7" w:rsidRPr="002720D0">
        <w:rPr>
          <w:lang w:val="es-ES_tradnl"/>
        </w:rPr>
        <w:t xml:space="preserve">Infancia </w:t>
      </w:r>
      <w:r w:rsidR="00332869" w:rsidRPr="002720D0">
        <w:rPr>
          <w:lang w:val="es-ES_tradnl"/>
        </w:rPr>
        <w:t xml:space="preserve">como la Ley del </w:t>
      </w:r>
      <w:r w:rsidR="008412B7" w:rsidRPr="002720D0">
        <w:rPr>
          <w:lang w:val="es-ES_tradnl"/>
        </w:rPr>
        <w:t xml:space="preserve">Niño </w:t>
      </w:r>
      <w:r w:rsidR="00332869" w:rsidRPr="002720D0">
        <w:rPr>
          <w:lang w:val="es-ES_tradnl"/>
        </w:rPr>
        <w:t>de Zanzíbar incorporan los derechos básicos</w:t>
      </w:r>
      <w:r w:rsidR="00EF746E" w:rsidRPr="002720D0">
        <w:rPr>
          <w:lang w:val="es-ES_tradnl"/>
        </w:rPr>
        <w:t xml:space="preserve"> y las libertades fundamentales</w:t>
      </w:r>
      <w:r w:rsidR="00332869" w:rsidRPr="002720D0">
        <w:rPr>
          <w:lang w:val="es-ES_tradnl"/>
        </w:rPr>
        <w:t xml:space="preserve"> del niño, que incluyen la definició</w:t>
      </w:r>
      <w:r w:rsidR="005B66C3" w:rsidRPr="002720D0">
        <w:rPr>
          <w:lang w:val="es-ES_tradnl"/>
        </w:rPr>
        <w:t>n del niño, la no discriminació</w:t>
      </w:r>
      <w:r w:rsidR="00332869" w:rsidRPr="002720D0">
        <w:rPr>
          <w:lang w:val="es-ES_tradnl"/>
        </w:rPr>
        <w:t xml:space="preserve">n, el derecho a un nombre y una nacionalidad, el derecho a </w:t>
      </w:r>
      <w:r w:rsidR="00025AD7" w:rsidRPr="002720D0">
        <w:rPr>
          <w:lang w:val="es-ES_tradnl"/>
        </w:rPr>
        <w:t xml:space="preserve">no ser separado de sus padres, el deber de sustentar al niño, los deberes y responsabilidades parentales, el derecho a la propiedad parental, la prohibición del empleo perjudicial, y el derecho a protección de la tortura y los tratos degradantes. Además, en el artículo 94 de la Ley del </w:t>
      </w:r>
      <w:r w:rsidR="008412B7" w:rsidRPr="002720D0">
        <w:rPr>
          <w:lang w:val="es-ES_tradnl"/>
        </w:rPr>
        <w:t xml:space="preserve">Niño </w:t>
      </w:r>
      <w:r w:rsidR="00025AD7" w:rsidRPr="002720D0">
        <w:rPr>
          <w:lang w:val="es-ES_tradnl"/>
        </w:rPr>
        <w:t xml:space="preserve">se consagra el deber de las </w:t>
      </w:r>
      <w:r w:rsidR="00571011" w:rsidRPr="002720D0">
        <w:rPr>
          <w:lang w:val="es-ES_tradnl"/>
        </w:rPr>
        <w:t>autoridades ejecutivas locales de</w:t>
      </w:r>
      <w:r w:rsidR="00025AD7" w:rsidRPr="002720D0">
        <w:rPr>
          <w:lang w:val="es-ES_tradnl"/>
        </w:rPr>
        <w:t xml:space="preserve"> salvaguardar a l</w:t>
      </w:r>
      <w:r w:rsidR="00571011" w:rsidRPr="002720D0">
        <w:rPr>
          <w:lang w:val="es-ES_tradnl"/>
        </w:rPr>
        <w:t xml:space="preserve">os niños en su jurisdicción y </w:t>
      </w:r>
      <w:r w:rsidR="00025AD7" w:rsidRPr="002720D0">
        <w:rPr>
          <w:lang w:val="es-ES_tradnl"/>
        </w:rPr>
        <w:t xml:space="preserve">promover la reconciliación entre los padres y sus hijos. </w:t>
      </w:r>
    </w:p>
    <w:p w:rsidR="00151021" w:rsidRPr="002720D0" w:rsidRDefault="004F6364" w:rsidP="004F6364">
      <w:pPr>
        <w:pStyle w:val="SingleTxtG"/>
        <w:tabs>
          <w:tab w:val="left" w:pos="-360"/>
        </w:tabs>
        <w:rPr>
          <w:lang w:val="es-ES_tradnl"/>
        </w:rPr>
      </w:pPr>
      <w:r w:rsidRPr="002720D0">
        <w:rPr>
          <w:lang w:val="es-ES_tradnl"/>
        </w:rPr>
        <w:t>130.</w:t>
      </w:r>
      <w:r w:rsidRPr="002720D0">
        <w:rPr>
          <w:lang w:val="es-ES_tradnl"/>
        </w:rPr>
        <w:tab/>
      </w:r>
      <w:r w:rsidR="00025AD7" w:rsidRPr="002720D0">
        <w:rPr>
          <w:lang w:val="es-ES_tradnl"/>
        </w:rPr>
        <w:t xml:space="preserve">Asimismo, </w:t>
      </w:r>
      <w:r w:rsidR="009F4AA7" w:rsidRPr="002720D0">
        <w:rPr>
          <w:lang w:val="es-ES_tradnl"/>
        </w:rPr>
        <w:t xml:space="preserve">tanto </w:t>
      </w:r>
      <w:r w:rsidR="00151021" w:rsidRPr="002720D0">
        <w:rPr>
          <w:lang w:val="es-ES_tradnl"/>
        </w:rPr>
        <w:t xml:space="preserve">MKUKUTA </w:t>
      </w:r>
      <w:r w:rsidR="00025AD7" w:rsidRPr="002720D0">
        <w:rPr>
          <w:lang w:val="es-ES_tradnl"/>
        </w:rPr>
        <w:t>(</w:t>
      </w:r>
      <w:r w:rsidR="00025AD7" w:rsidRPr="002720D0">
        <w:rPr>
          <w:i/>
          <w:lang w:val="es-ES_tradnl"/>
        </w:rPr>
        <w:t>Mkakati wa Kukuza Uchumi na Kuondoa Umasikini Tanzania</w:t>
      </w:r>
      <w:r w:rsidR="009F4AA7" w:rsidRPr="00CB6CC3">
        <w:rPr>
          <w:lang w:val="es-ES_tradnl"/>
        </w:rPr>
        <w:t>,</w:t>
      </w:r>
      <w:r w:rsidR="00025AD7" w:rsidRPr="00CB6CC3">
        <w:rPr>
          <w:lang w:val="es-ES_tradnl"/>
        </w:rPr>
        <w:t xml:space="preserve"> </w:t>
      </w:r>
      <w:r w:rsidR="009F4AA7" w:rsidRPr="002720D0">
        <w:rPr>
          <w:lang w:val="es-ES_tradnl"/>
        </w:rPr>
        <w:t>estrategia nacional de crecimiento y reducción de la pobreza de Tanzanía) como</w:t>
      </w:r>
      <w:r w:rsidR="00151021" w:rsidRPr="002720D0">
        <w:rPr>
          <w:lang w:val="es-ES_tradnl"/>
        </w:rPr>
        <w:t xml:space="preserve"> MKUZA</w:t>
      </w:r>
      <w:r w:rsidR="009F4AA7" w:rsidRPr="002720D0">
        <w:rPr>
          <w:lang w:val="es-ES_tradnl"/>
        </w:rPr>
        <w:t xml:space="preserve"> (</w:t>
      </w:r>
      <w:r w:rsidR="009F4AA7" w:rsidRPr="002720D0">
        <w:rPr>
          <w:i/>
          <w:lang w:val="es-ES_tradnl"/>
        </w:rPr>
        <w:t>Mkakati wa Kukuza Uchumi Zanzibar</w:t>
      </w:r>
      <w:r w:rsidR="00151021" w:rsidRPr="002720D0">
        <w:rPr>
          <w:lang w:val="es-ES_tradnl"/>
        </w:rPr>
        <w:t xml:space="preserve">, </w:t>
      </w:r>
      <w:r w:rsidR="009F4AA7" w:rsidRPr="002720D0">
        <w:rPr>
          <w:lang w:val="es-ES_tradnl"/>
        </w:rPr>
        <w:t>estrategia de crecimiento y reducción de la pobreza de Zanzíbar) apor</w:t>
      </w:r>
      <w:r w:rsidR="005B66C3" w:rsidRPr="002720D0">
        <w:rPr>
          <w:lang w:val="es-ES_tradnl"/>
        </w:rPr>
        <w:t>tan estrategias para los asunto</w:t>
      </w:r>
      <w:r w:rsidR="009F4AA7" w:rsidRPr="002720D0">
        <w:rPr>
          <w:lang w:val="es-ES_tradnl"/>
        </w:rPr>
        <w:t>s relativos a la supervivencia y el desarrollo de los niños, con el propósito de mejorar la calidad de vida y su bienestar social. Del mismo modo, ambas estrategias procuran velar por la seguridad alimentaria y de la nutrición y promover asuntos relativos a los derechos humanos y la seguridad</w:t>
      </w:r>
      <w:r w:rsidR="002547A4" w:rsidRPr="002720D0">
        <w:rPr>
          <w:lang w:val="es-ES_tradnl"/>
        </w:rPr>
        <w:t xml:space="preserve"> tanto nacional como personal. En el último decenio, s</w:t>
      </w:r>
      <w:r w:rsidR="009F4AA7" w:rsidRPr="002720D0">
        <w:rPr>
          <w:lang w:val="es-ES_tradnl"/>
        </w:rPr>
        <w:t xml:space="preserve">e ha logrado un progreso </w:t>
      </w:r>
      <w:r w:rsidR="002547A4" w:rsidRPr="002720D0">
        <w:rPr>
          <w:lang w:val="es-ES_tradnl"/>
        </w:rPr>
        <w:t xml:space="preserve">señalado </w:t>
      </w:r>
      <w:r w:rsidR="009F4AA7" w:rsidRPr="002720D0">
        <w:rPr>
          <w:lang w:val="es-ES_tradnl"/>
        </w:rPr>
        <w:t xml:space="preserve">en la supervivencia infantil </w:t>
      </w:r>
      <w:r w:rsidR="00571011" w:rsidRPr="002720D0">
        <w:rPr>
          <w:lang w:val="es-ES_tradnl"/>
        </w:rPr>
        <w:t>relacionado con</w:t>
      </w:r>
      <w:r w:rsidR="009F4AA7" w:rsidRPr="002720D0">
        <w:rPr>
          <w:lang w:val="es-ES_tradnl"/>
        </w:rPr>
        <w:t xml:space="preserve"> el acc</w:t>
      </w:r>
      <w:r w:rsidR="00571011" w:rsidRPr="002720D0">
        <w:rPr>
          <w:lang w:val="es-ES_tradnl"/>
        </w:rPr>
        <w:t>eso a los servicios de salud y de nutrición y los correspondientes al</w:t>
      </w:r>
      <w:r w:rsidR="009F4AA7" w:rsidRPr="002720D0">
        <w:rPr>
          <w:lang w:val="es-ES_tradnl"/>
        </w:rPr>
        <w:t xml:space="preserve"> VIH, que constituyen los objetivos para la reducción en la mortalidad </w:t>
      </w:r>
      <w:r w:rsidR="00E424B1" w:rsidRPr="002720D0">
        <w:rPr>
          <w:lang w:val="es-ES_tradnl"/>
        </w:rPr>
        <w:t>infantil</w:t>
      </w:r>
      <w:r w:rsidR="009F4AA7" w:rsidRPr="002720D0">
        <w:rPr>
          <w:lang w:val="es-ES_tradnl"/>
        </w:rPr>
        <w:t xml:space="preserve"> y </w:t>
      </w:r>
      <w:r w:rsidR="00E424B1" w:rsidRPr="002720D0">
        <w:rPr>
          <w:lang w:val="es-ES_tradnl"/>
        </w:rPr>
        <w:t>de niños de menos</w:t>
      </w:r>
      <w:r w:rsidR="009F4AA7" w:rsidRPr="002720D0">
        <w:rPr>
          <w:lang w:val="es-ES_tradnl"/>
        </w:rPr>
        <w:t xml:space="preserve"> de </w:t>
      </w:r>
      <w:r w:rsidR="00E424B1" w:rsidRPr="002720D0">
        <w:rPr>
          <w:lang w:val="es-ES_tradnl"/>
        </w:rPr>
        <w:t>5</w:t>
      </w:r>
      <w:r w:rsidR="009F4AA7" w:rsidRPr="002720D0">
        <w:rPr>
          <w:lang w:val="es-ES_tradnl"/>
        </w:rPr>
        <w:t xml:space="preserve"> años de MKUKUTA y MK</w:t>
      </w:r>
      <w:r w:rsidR="0073698A" w:rsidRPr="002720D0">
        <w:rPr>
          <w:lang w:val="es-ES_tradnl"/>
        </w:rPr>
        <w:t>UZA al igual que lo son de los Objetivos de D</w:t>
      </w:r>
      <w:r w:rsidR="009F4AA7" w:rsidRPr="002720D0">
        <w:rPr>
          <w:lang w:val="es-ES_tradnl"/>
        </w:rPr>
        <w:t>esarrollo del</w:t>
      </w:r>
      <w:r w:rsidR="00980930" w:rsidRPr="002720D0">
        <w:rPr>
          <w:lang w:val="es-ES_tradnl"/>
        </w:rPr>
        <w:t xml:space="preserve"> Milenio</w:t>
      </w:r>
      <w:r w:rsidR="009F4AA7" w:rsidRPr="002720D0">
        <w:rPr>
          <w:lang w:val="es-ES_tradnl"/>
        </w:rPr>
        <w:t xml:space="preserve">. </w:t>
      </w:r>
      <w:r w:rsidR="00A65425" w:rsidRPr="002720D0">
        <w:rPr>
          <w:lang w:val="es-ES_tradnl"/>
        </w:rPr>
        <w:t xml:space="preserve">Las medidas de prevención como </w:t>
      </w:r>
      <w:r w:rsidR="006D2A4A" w:rsidRPr="002720D0">
        <w:rPr>
          <w:lang w:val="es-ES_tradnl"/>
        </w:rPr>
        <w:t>son la</w:t>
      </w:r>
      <w:r w:rsidR="00A65425" w:rsidRPr="002720D0">
        <w:rPr>
          <w:lang w:val="es-ES_tradnl"/>
        </w:rPr>
        <w:t xml:space="preserve"> vacunación, las campañas para la administración de suplementos de vitaminas y el control </w:t>
      </w:r>
      <w:r w:rsidR="006D2A4A" w:rsidRPr="002720D0">
        <w:rPr>
          <w:lang w:val="es-ES_tradnl"/>
        </w:rPr>
        <w:t>de la malaria</w:t>
      </w:r>
      <w:r w:rsidR="00A65425" w:rsidRPr="002720D0">
        <w:rPr>
          <w:lang w:val="es-ES_tradnl"/>
        </w:rPr>
        <w:t>, han contribuido al logro de esos progresos</w:t>
      </w:r>
      <w:r w:rsidR="00151021" w:rsidRPr="002720D0">
        <w:rPr>
          <w:rStyle w:val="FootnoteReference"/>
          <w:lang w:val="es-ES_tradnl"/>
        </w:rPr>
        <w:footnoteReference w:id="78"/>
      </w:r>
      <w:r w:rsidR="00A65425" w:rsidRPr="002720D0">
        <w:rPr>
          <w:lang w:val="es-ES_tradnl"/>
        </w:rPr>
        <w:t>.</w:t>
      </w:r>
      <w:r w:rsidR="003D2ED2" w:rsidRPr="002720D0">
        <w:rPr>
          <w:lang w:val="es-ES_tradnl"/>
        </w:rPr>
        <w:t xml:space="preserve"> </w:t>
      </w:r>
    </w:p>
    <w:p w:rsidR="00151021" w:rsidRPr="002720D0" w:rsidRDefault="00012B57" w:rsidP="00586395">
      <w:pPr>
        <w:pStyle w:val="H1G"/>
        <w:outlineLvl w:val="0"/>
        <w:rPr>
          <w:lang w:val="es-ES_tradnl"/>
        </w:rPr>
      </w:pPr>
      <w:bookmarkStart w:id="39" w:name="_Toc313470875"/>
      <w:r w:rsidRPr="002720D0">
        <w:rPr>
          <w:lang w:val="es-ES_tradnl"/>
        </w:rPr>
        <w:tab/>
        <w:t>6.2</w:t>
      </w:r>
      <w:r w:rsidRPr="002720D0">
        <w:rPr>
          <w:lang w:val="es-ES_tradnl"/>
        </w:rPr>
        <w:tab/>
      </w:r>
      <w:bookmarkEnd w:id="39"/>
      <w:r w:rsidR="00E424B1" w:rsidRPr="002720D0">
        <w:rPr>
          <w:lang w:val="es-ES_tradnl"/>
        </w:rPr>
        <w:t>La salud y lo</w:t>
      </w:r>
      <w:r w:rsidR="003665AB">
        <w:rPr>
          <w:lang w:val="es-ES_tradnl"/>
        </w:rPr>
        <w:t>s servicios sanitarios (art.</w:t>
      </w:r>
      <w:r w:rsidR="00E424B1" w:rsidRPr="002720D0">
        <w:rPr>
          <w:lang w:val="es-ES_tradnl"/>
        </w:rPr>
        <w:t xml:space="preserve"> 24)</w:t>
      </w:r>
    </w:p>
    <w:p w:rsidR="00151021" w:rsidRPr="002720D0" w:rsidRDefault="004F6364" w:rsidP="004F6364">
      <w:pPr>
        <w:pStyle w:val="SingleTxtG"/>
        <w:tabs>
          <w:tab w:val="left" w:pos="-360"/>
        </w:tabs>
        <w:rPr>
          <w:lang w:val="es-ES_tradnl"/>
        </w:rPr>
      </w:pPr>
      <w:r w:rsidRPr="002720D0">
        <w:rPr>
          <w:lang w:val="es-ES_tradnl"/>
        </w:rPr>
        <w:t>131.</w:t>
      </w:r>
      <w:r w:rsidRPr="002720D0">
        <w:rPr>
          <w:lang w:val="es-ES_tradnl"/>
        </w:rPr>
        <w:tab/>
      </w:r>
      <w:r w:rsidR="006D2A4A" w:rsidRPr="002720D0">
        <w:rPr>
          <w:lang w:val="es-ES_tradnl"/>
        </w:rPr>
        <w:t>En sus O</w:t>
      </w:r>
      <w:r w:rsidR="00E424B1" w:rsidRPr="002720D0">
        <w:rPr>
          <w:lang w:val="es-ES_tradnl"/>
        </w:rPr>
        <w:t>bservaciones finales previas,</w:t>
      </w:r>
      <w:r w:rsidR="006D2A4A" w:rsidRPr="002720D0">
        <w:rPr>
          <w:lang w:val="es-ES_tradnl"/>
        </w:rPr>
        <w:t xml:space="preserve"> el Comité recomendó al Estado p</w:t>
      </w:r>
      <w:r w:rsidR="00E424B1" w:rsidRPr="002720D0">
        <w:rPr>
          <w:lang w:val="es-ES_tradnl"/>
        </w:rPr>
        <w:t xml:space="preserve">arte que adoptara </w:t>
      </w:r>
      <w:r w:rsidR="00E424B1" w:rsidRPr="002720D0">
        <w:rPr>
          <w:bCs/>
          <w:lang w:val="es-ES_tradnl"/>
        </w:rPr>
        <w:t>todas las medidas pertinentes para reducir las tasas de mortalidad infantil y de niños de menos de 5 años, incluso mejorando la atención prenatal y preservando de las enfermedades transmisibles.</w:t>
      </w:r>
    </w:p>
    <w:p w:rsidR="00151021" w:rsidRPr="002720D0" w:rsidRDefault="004F6364" w:rsidP="004F6364">
      <w:pPr>
        <w:pStyle w:val="SingleTxtG"/>
        <w:tabs>
          <w:tab w:val="left" w:pos="-360"/>
        </w:tabs>
        <w:rPr>
          <w:lang w:val="es-ES_tradnl"/>
        </w:rPr>
      </w:pPr>
      <w:r w:rsidRPr="002720D0">
        <w:rPr>
          <w:lang w:val="es-ES_tradnl"/>
        </w:rPr>
        <w:t>132.</w:t>
      </w:r>
      <w:r w:rsidRPr="002720D0">
        <w:rPr>
          <w:lang w:val="es-ES_tradnl"/>
        </w:rPr>
        <w:tab/>
      </w:r>
      <w:r w:rsidR="00E424B1" w:rsidRPr="002720D0">
        <w:rPr>
          <w:lang w:val="es-ES_tradnl"/>
        </w:rPr>
        <w:t>En cumplimiento de es</w:t>
      </w:r>
      <w:r w:rsidR="006D2A4A" w:rsidRPr="002720D0">
        <w:rPr>
          <w:lang w:val="es-ES_tradnl"/>
        </w:rPr>
        <w:t>tas recomendaciones, el Estado p</w:t>
      </w:r>
      <w:r w:rsidR="00E424B1" w:rsidRPr="002720D0">
        <w:rPr>
          <w:lang w:val="es-ES_tradnl"/>
        </w:rPr>
        <w:t xml:space="preserve">arte ha emprendido varias medidas destinadas a reducir las tasas de mortalidad infantil y de niños de menos de 5 años, Las recientes estadísticas correspondientes a </w:t>
      </w:r>
      <w:r w:rsidR="00D166D6" w:rsidRPr="002720D0">
        <w:rPr>
          <w:lang w:val="es-ES_tradnl"/>
        </w:rPr>
        <w:t xml:space="preserve">la encuesta demográfica </w:t>
      </w:r>
      <w:r w:rsidR="002547A4" w:rsidRPr="002720D0">
        <w:rPr>
          <w:lang w:val="es-ES_tradnl"/>
        </w:rPr>
        <w:t xml:space="preserve">y </w:t>
      </w:r>
      <w:r w:rsidR="00D166D6" w:rsidRPr="002720D0">
        <w:rPr>
          <w:lang w:val="es-ES_tradnl"/>
        </w:rPr>
        <w:t xml:space="preserve">de salud de Tanzanía de 2010 indican que Tanzanía ha logrado considerables progresos en la reducción de la mortalidad infantil, </w:t>
      </w:r>
      <w:r w:rsidR="009D0099" w:rsidRPr="002720D0">
        <w:rPr>
          <w:lang w:val="es-ES_tradnl"/>
        </w:rPr>
        <w:t>como lo demuestra</w:t>
      </w:r>
      <w:r w:rsidR="006D2A4A" w:rsidRPr="002720D0">
        <w:rPr>
          <w:lang w:val="es-ES_tradnl"/>
        </w:rPr>
        <w:t>n</w:t>
      </w:r>
      <w:r w:rsidR="009D0099" w:rsidRPr="002720D0">
        <w:rPr>
          <w:lang w:val="es-ES_tradnl"/>
        </w:rPr>
        <w:t xml:space="preserve"> </w:t>
      </w:r>
      <w:r w:rsidR="002547A4" w:rsidRPr="002720D0">
        <w:rPr>
          <w:lang w:val="es-ES_tradnl"/>
        </w:rPr>
        <w:t xml:space="preserve">tanto </w:t>
      </w:r>
      <w:r w:rsidR="009D0099" w:rsidRPr="002720D0">
        <w:rPr>
          <w:lang w:val="es-ES_tradnl"/>
        </w:rPr>
        <w:t xml:space="preserve">la </w:t>
      </w:r>
      <w:r w:rsidR="006D2A4A" w:rsidRPr="002720D0">
        <w:rPr>
          <w:lang w:val="es-ES_tradnl"/>
        </w:rPr>
        <w:t>correspondiente reducción</w:t>
      </w:r>
      <w:r w:rsidR="009D0099" w:rsidRPr="002720D0">
        <w:rPr>
          <w:lang w:val="es-ES_tradnl"/>
        </w:rPr>
        <w:t xml:space="preserve"> de 71 a 51 muertes por cada 1.000 nacidos vivos durante el período comprendido entre 2001 y 2010 como la reducci</w:t>
      </w:r>
      <w:r w:rsidR="00B54390" w:rsidRPr="002720D0">
        <w:rPr>
          <w:lang w:val="es-ES_tradnl"/>
        </w:rPr>
        <w:t>ón de la tasa de mortalidad pos</w:t>
      </w:r>
      <w:r w:rsidR="009D0099" w:rsidRPr="002720D0">
        <w:rPr>
          <w:lang w:val="es-ES_tradnl"/>
        </w:rPr>
        <w:t>natal</w:t>
      </w:r>
      <w:r w:rsidR="006D2A4A" w:rsidRPr="002720D0">
        <w:rPr>
          <w:lang w:val="es-ES_tradnl"/>
        </w:rPr>
        <w:t>,</w:t>
      </w:r>
      <w:r w:rsidR="009D0099" w:rsidRPr="002720D0">
        <w:rPr>
          <w:lang w:val="es-ES_tradnl"/>
        </w:rPr>
        <w:t xml:space="preserve"> </w:t>
      </w:r>
      <w:r w:rsidR="002547A4" w:rsidRPr="002720D0">
        <w:rPr>
          <w:lang w:val="es-ES_tradnl"/>
        </w:rPr>
        <w:t xml:space="preserve">que se ha reducido </w:t>
      </w:r>
      <w:r w:rsidR="009D0099" w:rsidRPr="002720D0">
        <w:rPr>
          <w:lang w:val="es-ES_tradnl"/>
        </w:rPr>
        <w:t xml:space="preserve">de 36 a 25 muertes por 1.000 nacidos vivos durante el período comprendido entre 2004 y 2010. Existen pruebas adicionales </w:t>
      </w:r>
      <w:r w:rsidR="00B54390" w:rsidRPr="002720D0">
        <w:rPr>
          <w:lang w:val="es-ES_tradnl"/>
        </w:rPr>
        <w:t xml:space="preserve">de </w:t>
      </w:r>
      <w:r w:rsidR="009D0099" w:rsidRPr="002720D0">
        <w:rPr>
          <w:lang w:val="es-ES_tradnl"/>
        </w:rPr>
        <w:t>que la tasa de mortalidad de niños de menos de 5 años se redujo en un 41%, pasando de 137 muertes por cada 1.000 nacidos vivos en el período comprendido entre 1992 y 1996 a 81 muertes en el período comprendido entre 2006 y</w:t>
      </w:r>
      <w:r w:rsidR="00B54390" w:rsidRPr="002720D0">
        <w:rPr>
          <w:lang w:val="es-ES_tradnl"/>
        </w:rPr>
        <w:t xml:space="preserve"> 2010. A lo largo del mismo </w:t>
      </w:r>
      <w:r w:rsidR="00826D7A">
        <w:rPr>
          <w:lang w:val="es-ES_tradnl"/>
        </w:rPr>
        <w:t>período</w:t>
      </w:r>
      <w:r w:rsidR="009D0099" w:rsidRPr="002720D0">
        <w:rPr>
          <w:lang w:val="es-ES_tradnl"/>
        </w:rPr>
        <w:t>, la tasa de mortalidad infantil se redujo en un 42%, pasando de 88 a 51 muertes por 1.000 nacidos vivos. La disminución en la mortalidad infantil se puede atribuir a las mejoras ininterrumpidas en el sector de la salud, y especialmente en las e</w:t>
      </w:r>
      <w:r w:rsidR="002547A4" w:rsidRPr="002720D0">
        <w:rPr>
          <w:lang w:val="es-ES_tradnl"/>
        </w:rPr>
        <w:t xml:space="preserve">sferas de salud maternoinfantil, </w:t>
      </w:r>
      <w:r w:rsidR="00BD0F4C" w:rsidRPr="002720D0">
        <w:rPr>
          <w:lang w:val="es-ES_tradnl"/>
        </w:rPr>
        <w:t>con referencia específica a las iniciativas de inmunización y de prevención de la malaria</w:t>
      </w:r>
      <w:r w:rsidR="002547A4" w:rsidRPr="002720D0">
        <w:rPr>
          <w:lang w:val="es-ES_tradnl"/>
        </w:rPr>
        <w:t>.</w:t>
      </w:r>
      <w:r w:rsidR="009D0099" w:rsidRPr="002720D0">
        <w:rPr>
          <w:lang w:val="es-ES_tradnl"/>
        </w:rPr>
        <w:t xml:space="preserve"> </w:t>
      </w:r>
      <w:r w:rsidR="002547A4" w:rsidRPr="002720D0">
        <w:rPr>
          <w:lang w:val="es-ES_tradnl"/>
        </w:rPr>
        <w:t>Tanto</w:t>
      </w:r>
      <w:r w:rsidR="00157C97" w:rsidRPr="002720D0">
        <w:rPr>
          <w:lang w:val="es-ES_tradnl"/>
        </w:rPr>
        <w:t xml:space="preserve"> las tendencias como los niveles en las tasas de mortalidad para el período entre 1990 y 2010 correspondientes a los niños de menos de 5 años, </w:t>
      </w:r>
      <w:r w:rsidR="00B54390" w:rsidRPr="002720D0">
        <w:rPr>
          <w:lang w:val="es-ES_tradnl"/>
        </w:rPr>
        <w:t xml:space="preserve">los lactantes y los neonatos </w:t>
      </w:r>
      <w:r w:rsidR="00157C97" w:rsidRPr="002720D0">
        <w:rPr>
          <w:lang w:val="es-ES_tradnl"/>
        </w:rPr>
        <w:t xml:space="preserve">indican que se han logrado avances </w:t>
      </w:r>
      <w:r w:rsidR="00B54390" w:rsidRPr="002720D0">
        <w:rPr>
          <w:lang w:val="es-ES_tradnl"/>
        </w:rPr>
        <w:t xml:space="preserve">de cara al </w:t>
      </w:r>
      <w:r w:rsidR="00157C97" w:rsidRPr="002720D0">
        <w:rPr>
          <w:lang w:val="es-ES_tradnl"/>
        </w:rPr>
        <w:t>logro de los Objetivos de Desarrollo del Milenio relativos a la</w:t>
      </w:r>
      <w:r w:rsidR="005A6677" w:rsidRPr="002720D0">
        <w:rPr>
          <w:lang w:val="es-ES_tradnl"/>
        </w:rPr>
        <w:t>s tasas de mortalidad infantil</w:t>
      </w:r>
      <w:r w:rsidR="00157C97" w:rsidRPr="002720D0">
        <w:rPr>
          <w:lang w:val="es-ES_tradnl"/>
        </w:rPr>
        <w:t xml:space="preserve"> y de niños de meno</w:t>
      </w:r>
      <w:r w:rsidR="002547A4" w:rsidRPr="002720D0">
        <w:rPr>
          <w:lang w:val="es-ES_tradnl"/>
        </w:rPr>
        <w:t>s de 5 años; por ende,</w:t>
      </w:r>
      <w:r w:rsidR="00B54390" w:rsidRPr="002720D0">
        <w:rPr>
          <w:lang w:val="es-ES_tradnl"/>
        </w:rPr>
        <w:t xml:space="preserve"> </w:t>
      </w:r>
      <w:r w:rsidR="00157C97" w:rsidRPr="002720D0">
        <w:rPr>
          <w:lang w:val="es-ES_tradnl"/>
        </w:rPr>
        <w:t>la mayorí</w:t>
      </w:r>
      <w:r w:rsidR="00B54390" w:rsidRPr="002720D0">
        <w:rPr>
          <w:lang w:val="es-ES_tradnl"/>
        </w:rPr>
        <w:t xml:space="preserve">a de los expertos sostienen que, de mantenerse </w:t>
      </w:r>
      <w:r w:rsidR="00157C97" w:rsidRPr="002720D0">
        <w:rPr>
          <w:lang w:val="es-ES_tradnl"/>
        </w:rPr>
        <w:t xml:space="preserve">este ritmo </w:t>
      </w:r>
      <w:r w:rsidR="00B54390" w:rsidRPr="002720D0">
        <w:rPr>
          <w:lang w:val="es-ES_tradnl"/>
        </w:rPr>
        <w:t>de</w:t>
      </w:r>
      <w:r w:rsidR="00157C97" w:rsidRPr="002720D0">
        <w:rPr>
          <w:lang w:val="es-ES_tradnl"/>
        </w:rPr>
        <w:t xml:space="preserve"> reducción, Tanzanía será capaz de alcanzar los Objetivos de Desarrollo del Milenio correspondientes a los indicadores de la tasa de mortalidad </w:t>
      </w:r>
      <w:r w:rsidR="005A6677" w:rsidRPr="002720D0">
        <w:rPr>
          <w:lang w:val="es-ES_tradnl"/>
        </w:rPr>
        <w:t>infantil y de</w:t>
      </w:r>
      <w:r w:rsidR="00157C97" w:rsidRPr="002720D0">
        <w:rPr>
          <w:lang w:val="es-ES_tradnl"/>
        </w:rPr>
        <w:t xml:space="preserve"> los niños de menos de 5 años. </w:t>
      </w:r>
    </w:p>
    <w:p w:rsidR="00151021" w:rsidRPr="002720D0" w:rsidRDefault="004F6364" w:rsidP="004F6364">
      <w:pPr>
        <w:pStyle w:val="SingleTxtG"/>
        <w:tabs>
          <w:tab w:val="left" w:pos="-360"/>
        </w:tabs>
        <w:rPr>
          <w:lang w:val="es-ES_tradnl"/>
        </w:rPr>
      </w:pPr>
      <w:r w:rsidRPr="002720D0">
        <w:rPr>
          <w:lang w:val="es-ES_tradnl"/>
        </w:rPr>
        <w:t>133.</w:t>
      </w:r>
      <w:r w:rsidRPr="002720D0">
        <w:rPr>
          <w:lang w:val="es-ES_tradnl"/>
        </w:rPr>
        <w:tab/>
      </w:r>
      <w:r w:rsidR="00157C97" w:rsidRPr="002720D0">
        <w:rPr>
          <w:lang w:val="es-ES_tradnl"/>
        </w:rPr>
        <w:t xml:space="preserve">La tendencia </w:t>
      </w:r>
      <w:r w:rsidR="00EC5256" w:rsidRPr="002720D0">
        <w:rPr>
          <w:lang w:val="es-ES_tradnl"/>
        </w:rPr>
        <w:t xml:space="preserve">refleja una rápida reducción en la mortalidad infantil; las </w:t>
      </w:r>
      <w:r w:rsidR="006560C7" w:rsidRPr="002720D0">
        <w:rPr>
          <w:lang w:val="es-ES_tradnl"/>
        </w:rPr>
        <w:t xml:space="preserve">correspondientes </w:t>
      </w:r>
      <w:r w:rsidR="00EC5256" w:rsidRPr="002720D0">
        <w:rPr>
          <w:lang w:val="es-ES_tradnl"/>
        </w:rPr>
        <w:t xml:space="preserve">estimaciones </w:t>
      </w:r>
      <w:r w:rsidR="00E331FD" w:rsidRPr="002720D0">
        <w:rPr>
          <w:lang w:val="es-ES_tradnl"/>
        </w:rPr>
        <w:t>han disminuido</w:t>
      </w:r>
      <w:r w:rsidR="00EC5256" w:rsidRPr="002720D0">
        <w:rPr>
          <w:lang w:val="es-ES_tradnl"/>
        </w:rPr>
        <w:t xml:space="preserve"> de 71 </w:t>
      </w:r>
      <w:r w:rsidR="00E331FD" w:rsidRPr="002720D0">
        <w:rPr>
          <w:lang w:val="es-ES_tradnl"/>
        </w:rPr>
        <w:t xml:space="preserve">por 1.000 nacidos vivos </w:t>
      </w:r>
      <w:r w:rsidR="00EC5256" w:rsidRPr="002720D0">
        <w:rPr>
          <w:lang w:val="es-ES_tradnl"/>
        </w:rPr>
        <w:t xml:space="preserve">en el </w:t>
      </w:r>
      <w:r w:rsidR="00826D7A">
        <w:rPr>
          <w:lang w:val="es-ES_tradnl"/>
        </w:rPr>
        <w:t>período</w:t>
      </w:r>
      <w:r w:rsidR="00EC5256" w:rsidRPr="002720D0">
        <w:rPr>
          <w:lang w:val="es-ES_tradnl"/>
        </w:rPr>
        <w:t xml:space="preserve"> de </w:t>
      </w:r>
      <w:r w:rsidR="00727D22">
        <w:rPr>
          <w:lang w:val="es-ES_tradnl"/>
        </w:rPr>
        <w:t xml:space="preserve">cinco </w:t>
      </w:r>
      <w:r w:rsidR="00EC5256" w:rsidRPr="002720D0">
        <w:rPr>
          <w:lang w:val="es-ES_tradnl"/>
        </w:rPr>
        <w:t xml:space="preserve">a </w:t>
      </w:r>
      <w:r w:rsidR="00727D22">
        <w:rPr>
          <w:lang w:val="es-ES_tradnl"/>
        </w:rPr>
        <w:t xml:space="preserve">nueve </w:t>
      </w:r>
      <w:r w:rsidR="00EC5256" w:rsidRPr="002720D0">
        <w:rPr>
          <w:lang w:val="es-ES_tradnl"/>
        </w:rPr>
        <w:t xml:space="preserve">años previo al estudio (aproximadamente, </w:t>
      </w:r>
      <w:r w:rsidR="00151021" w:rsidRPr="002720D0">
        <w:rPr>
          <w:lang w:val="es-ES_tradnl"/>
        </w:rPr>
        <w:t xml:space="preserve">2001-2005) </w:t>
      </w:r>
      <w:r w:rsidR="00357ABE" w:rsidRPr="002720D0">
        <w:rPr>
          <w:lang w:val="es-ES_tradnl"/>
        </w:rPr>
        <w:t>a 51 por 1.</w:t>
      </w:r>
      <w:r w:rsidR="00151021" w:rsidRPr="002720D0">
        <w:rPr>
          <w:lang w:val="es-ES_tradnl"/>
        </w:rPr>
        <w:t xml:space="preserve">000 </w:t>
      </w:r>
      <w:r w:rsidR="00357ABE" w:rsidRPr="002720D0">
        <w:rPr>
          <w:lang w:val="es-ES_tradnl"/>
        </w:rPr>
        <w:t xml:space="preserve">nacidos vivos </w:t>
      </w:r>
      <w:r w:rsidR="00E331FD" w:rsidRPr="002720D0">
        <w:rPr>
          <w:lang w:val="es-ES_tradnl"/>
        </w:rPr>
        <w:t>en</w:t>
      </w:r>
      <w:r w:rsidR="00357ABE" w:rsidRPr="002720D0">
        <w:rPr>
          <w:lang w:val="es-ES_tradnl"/>
        </w:rPr>
        <w:t xml:space="preserve"> el período </w:t>
      </w:r>
      <w:r w:rsidR="00BD0F4C" w:rsidRPr="002720D0">
        <w:rPr>
          <w:lang w:val="es-ES_tradnl"/>
        </w:rPr>
        <w:t xml:space="preserve">de 2006 a </w:t>
      </w:r>
      <w:r w:rsidR="00151021" w:rsidRPr="002720D0">
        <w:rPr>
          <w:lang w:val="es-ES_tradnl"/>
        </w:rPr>
        <w:t xml:space="preserve">2010. </w:t>
      </w:r>
      <w:r w:rsidR="006560C7" w:rsidRPr="002720D0">
        <w:rPr>
          <w:lang w:val="es-ES_tradnl"/>
        </w:rPr>
        <w:t>La estimación de la encuesta demográfi</w:t>
      </w:r>
      <w:r w:rsidR="005A6677" w:rsidRPr="002720D0">
        <w:rPr>
          <w:lang w:val="es-ES_tradnl"/>
        </w:rPr>
        <w:t xml:space="preserve">ca </w:t>
      </w:r>
      <w:r w:rsidR="00BD0F4C" w:rsidRPr="002720D0">
        <w:rPr>
          <w:lang w:val="es-ES_tradnl"/>
        </w:rPr>
        <w:t xml:space="preserve">y </w:t>
      </w:r>
      <w:r w:rsidR="005A6677" w:rsidRPr="002720D0">
        <w:rPr>
          <w:lang w:val="es-ES_tradnl"/>
        </w:rPr>
        <w:t>de salud de Tanzanía de 2010</w:t>
      </w:r>
      <w:r w:rsidR="006560C7" w:rsidRPr="002720D0">
        <w:rPr>
          <w:lang w:val="es-ES_tradnl"/>
        </w:rPr>
        <w:t xml:space="preserve"> correspondiente al período de </w:t>
      </w:r>
      <w:r w:rsidR="005A6677" w:rsidRPr="002720D0">
        <w:rPr>
          <w:lang w:val="es-ES_tradnl"/>
        </w:rPr>
        <w:t>cinco a</w:t>
      </w:r>
      <w:r w:rsidR="006560C7" w:rsidRPr="002720D0">
        <w:rPr>
          <w:lang w:val="es-ES_tradnl"/>
        </w:rPr>
        <w:t xml:space="preserve"> nueve años previo al es</w:t>
      </w:r>
      <w:r w:rsidR="00E331FD" w:rsidRPr="002720D0">
        <w:rPr>
          <w:lang w:val="es-ES_tradnl"/>
        </w:rPr>
        <w:t>tudio</w:t>
      </w:r>
      <w:r w:rsidR="005A6677" w:rsidRPr="002720D0">
        <w:rPr>
          <w:lang w:val="es-ES_tradnl"/>
        </w:rPr>
        <w:t xml:space="preserve"> es prácticamente idéntica</w:t>
      </w:r>
      <w:r w:rsidR="006560C7" w:rsidRPr="002720D0">
        <w:rPr>
          <w:lang w:val="es-ES_tradnl"/>
        </w:rPr>
        <w:t xml:space="preserve"> a la </w:t>
      </w:r>
      <w:r w:rsidR="00E331FD" w:rsidRPr="002720D0">
        <w:rPr>
          <w:lang w:val="es-ES_tradnl"/>
        </w:rPr>
        <w:t>tasa de 68 muertes por 1.000 nacidos vivos</w:t>
      </w:r>
      <w:r w:rsidR="006560C7" w:rsidRPr="002720D0">
        <w:rPr>
          <w:lang w:val="es-ES_tradnl"/>
        </w:rPr>
        <w:t xml:space="preserve"> de la m</w:t>
      </w:r>
      <w:r w:rsidR="005A6677" w:rsidRPr="002720D0">
        <w:rPr>
          <w:lang w:val="es-ES_tradnl"/>
        </w:rPr>
        <w:t xml:space="preserve">isma encuesta de 2004-2005 </w:t>
      </w:r>
      <w:r w:rsidR="00E331FD" w:rsidRPr="002720D0">
        <w:rPr>
          <w:lang w:val="es-ES_tradnl"/>
        </w:rPr>
        <w:t xml:space="preserve">para un </w:t>
      </w:r>
      <w:r w:rsidR="00826D7A">
        <w:rPr>
          <w:lang w:val="es-ES_tradnl"/>
        </w:rPr>
        <w:t>período</w:t>
      </w:r>
      <w:r w:rsidR="00E331FD" w:rsidRPr="002720D0">
        <w:rPr>
          <w:lang w:val="es-ES_tradnl"/>
        </w:rPr>
        <w:t xml:space="preserve"> con igual duración </w:t>
      </w:r>
      <w:r w:rsidR="005A6677" w:rsidRPr="002720D0">
        <w:rPr>
          <w:lang w:val="es-ES_tradnl"/>
        </w:rPr>
        <w:t>(es decir, entre 0 y 4 años antes del estudio de 2004-05</w:t>
      </w:r>
      <w:r w:rsidR="00151021" w:rsidRPr="002720D0">
        <w:rPr>
          <w:lang w:val="es-ES_tradnl"/>
        </w:rPr>
        <w:t>).</w:t>
      </w:r>
      <w:r w:rsidR="005A6677" w:rsidRPr="002720D0">
        <w:rPr>
          <w:lang w:val="es-ES_tradnl"/>
        </w:rPr>
        <w:t xml:space="preserve"> Por consiguiente, los resultados de ambos estudios reflejan una considerable disminución de las tasas de mortalidad </w:t>
      </w:r>
      <w:r w:rsidR="00786EBC" w:rsidRPr="002720D0">
        <w:rPr>
          <w:lang w:val="es-ES_tradnl"/>
        </w:rPr>
        <w:t xml:space="preserve">en años recientes, </w:t>
      </w:r>
      <w:r w:rsidR="00BD0F4C" w:rsidRPr="002720D0">
        <w:rPr>
          <w:lang w:val="es-ES_tradnl"/>
        </w:rPr>
        <w:t>tanto en la primera infancia como</w:t>
      </w:r>
      <w:r w:rsidR="00786EBC" w:rsidRPr="002720D0">
        <w:rPr>
          <w:lang w:val="es-ES_tradnl"/>
        </w:rPr>
        <w:t xml:space="preserve"> en la niñez</w:t>
      </w:r>
      <w:r w:rsidR="00BD0F4C" w:rsidRPr="002720D0">
        <w:rPr>
          <w:lang w:val="es-ES_tradnl"/>
        </w:rPr>
        <w:t xml:space="preserve">. La mayor disminución </w:t>
      </w:r>
      <w:r w:rsidR="005A6677" w:rsidRPr="002720D0">
        <w:rPr>
          <w:lang w:val="es-ES_tradnl"/>
        </w:rPr>
        <w:t>corresponde a la tasa de mortalidad posneonatal, que se redujo de 36 muertes por 1.000 nacidos vivos en la encuesta demográfi</w:t>
      </w:r>
      <w:r w:rsidR="00E331FD" w:rsidRPr="002720D0">
        <w:rPr>
          <w:lang w:val="es-ES_tradnl"/>
        </w:rPr>
        <w:t xml:space="preserve">ca </w:t>
      </w:r>
      <w:r w:rsidR="00BD0F4C" w:rsidRPr="002720D0">
        <w:rPr>
          <w:lang w:val="es-ES_tradnl"/>
        </w:rPr>
        <w:t xml:space="preserve">y </w:t>
      </w:r>
      <w:r w:rsidR="00E331FD" w:rsidRPr="002720D0">
        <w:rPr>
          <w:lang w:val="es-ES_tradnl"/>
        </w:rPr>
        <w:t>de salud de Tanzanía de 2004</w:t>
      </w:r>
      <w:r w:rsidR="005A6677" w:rsidRPr="002720D0">
        <w:rPr>
          <w:lang w:val="es-ES_tradnl"/>
        </w:rPr>
        <w:t>-</w:t>
      </w:r>
      <w:r w:rsidR="00E331FD" w:rsidRPr="002720D0">
        <w:rPr>
          <w:lang w:val="es-ES_tradnl"/>
        </w:rPr>
        <w:t>20</w:t>
      </w:r>
      <w:r w:rsidR="005A6677" w:rsidRPr="002720D0">
        <w:rPr>
          <w:lang w:val="es-ES_tradnl"/>
        </w:rPr>
        <w:t>05 a 25 muertes por 1.000 nacidos vivos en la encuesta de 2010. La reducción en la mortalidad infantil se puede atribuir a las continuas m</w:t>
      </w:r>
      <w:r w:rsidR="005B66C3" w:rsidRPr="002720D0">
        <w:rPr>
          <w:lang w:val="es-ES_tradnl"/>
        </w:rPr>
        <w:t>ejoras en el sector de la salud</w:t>
      </w:r>
      <w:r w:rsidR="005A6677" w:rsidRPr="002720D0">
        <w:rPr>
          <w:lang w:val="es-ES_tradnl"/>
        </w:rPr>
        <w:t xml:space="preserve">, especialmente en las esferas correspondientes a la salud maternoinfantil, con referencia específica a las iniciativas de inmunización y de prevención de la malaria. </w:t>
      </w:r>
    </w:p>
    <w:p w:rsidR="00151021" w:rsidRPr="002720D0" w:rsidRDefault="004F6364" w:rsidP="004F6364">
      <w:pPr>
        <w:pStyle w:val="SingleTxtG"/>
        <w:tabs>
          <w:tab w:val="left" w:pos="-360"/>
        </w:tabs>
        <w:rPr>
          <w:lang w:val="es-ES_tradnl"/>
        </w:rPr>
      </w:pPr>
      <w:r w:rsidRPr="002720D0">
        <w:rPr>
          <w:lang w:val="es-ES_tradnl"/>
        </w:rPr>
        <w:t>134.</w:t>
      </w:r>
      <w:r w:rsidRPr="002720D0">
        <w:rPr>
          <w:lang w:val="es-ES_tradnl"/>
        </w:rPr>
        <w:tab/>
      </w:r>
      <w:r w:rsidR="00EA3D32" w:rsidRPr="002720D0">
        <w:rPr>
          <w:bCs/>
          <w:lang w:val="es-ES_tradnl"/>
        </w:rPr>
        <w:t xml:space="preserve">El </w:t>
      </w:r>
      <w:r w:rsidR="00BD0F4C" w:rsidRPr="002720D0">
        <w:rPr>
          <w:bCs/>
          <w:lang w:val="es-ES_tradnl"/>
        </w:rPr>
        <w:t>Comité también instó al Estado p</w:t>
      </w:r>
      <w:r w:rsidR="00EA3D32" w:rsidRPr="002720D0">
        <w:rPr>
          <w:bCs/>
          <w:lang w:val="es-ES_tradnl"/>
        </w:rPr>
        <w:t>arte a que destinara más recursos financieros a los servicios sanitarios, en particular a mejorar el acceso a agua potable apta para el consumo y el saneamiento.</w:t>
      </w:r>
    </w:p>
    <w:p w:rsidR="00151021" w:rsidRPr="002720D0" w:rsidRDefault="004F6364" w:rsidP="004F6364">
      <w:pPr>
        <w:pStyle w:val="SingleTxtG"/>
        <w:tabs>
          <w:tab w:val="left" w:pos="-360"/>
        </w:tabs>
        <w:rPr>
          <w:lang w:val="es-ES_tradnl"/>
        </w:rPr>
      </w:pPr>
      <w:r w:rsidRPr="002720D0">
        <w:rPr>
          <w:lang w:val="es-ES_tradnl"/>
        </w:rPr>
        <w:t>135.</w:t>
      </w:r>
      <w:r w:rsidRPr="002720D0">
        <w:rPr>
          <w:lang w:val="es-ES_tradnl"/>
        </w:rPr>
        <w:tab/>
      </w:r>
      <w:r w:rsidR="00EA3D32" w:rsidRPr="002720D0">
        <w:rPr>
          <w:lang w:val="es-ES_tradnl"/>
        </w:rPr>
        <w:t xml:space="preserve">En el período cubierto por </w:t>
      </w:r>
      <w:r w:rsidR="00E331FD" w:rsidRPr="002720D0">
        <w:rPr>
          <w:lang w:val="es-ES_tradnl"/>
        </w:rPr>
        <w:t>el presente informe, el Estado p</w:t>
      </w:r>
      <w:r w:rsidR="00EA3D32" w:rsidRPr="002720D0">
        <w:rPr>
          <w:lang w:val="es-ES_tradnl"/>
        </w:rPr>
        <w:t xml:space="preserve">arte aumentó su asignación presupuestaria </w:t>
      </w:r>
      <w:r w:rsidR="00E331FD" w:rsidRPr="002720D0">
        <w:rPr>
          <w:lang w:val="es-ES_tradnl"/>
        </w:rPr>
        <w:t>par</w:t>
      </w:r>
      <w:r w:rsidR="00EA3D32" w:rsidRPr="002720D0">
        <w:rPr>
          <w:lang w:val="es-ES_tradnl"/>
        </w:rPr>
        <w:t xml:space="preserve">a todos los sectores relativos a temas de la infancia, de manera que en 2010 ocupaba el primer lugar entre los países de África en cuanto al presupuesto destinado a la infancia, a tenor de un informe publicado por el </w:t>
      </w:r>
      <w:r w:rsidR="00151021" w:rsidRPr="002720D0">
        <w:rPr>
          <w:i/>
          <w:lang w:val="es-ES_tradnl"/>
        </w:rPr>
        <w:t>Afr</w:t>
      </w:r>
      <w:r w:rsidR="00EA3D32" w:rsidRPr="002720D0">
        <w:rPr>
          <w:i/>
          <w:lang w:val="es-ES_tradnl"/>
        </w:rPr>
        <w:t>ican Child Policy Forum</w:t>
      </w:r>
      <w:r w:rsidR="00EA3D32" w:rsidRPr="002720D0">
        <w:rPr>
          <w:lang w:val="es-ES_tradnl"/>
        </w:rPr>
        <w:t xml:space="preserve"> (ACPF) e</w:t>
      </w:r>
      <w:r w:rsidR="00151021" w:rsidRPr="002720D0">
        <w:rPr>
          <w:lang w:val="es-ES_tradnl"/>
        </w:rPr>
        <w:t>n 2011</w:t>
      </w:r>
      <w:r w:rsidR="00151021" w:rsidRPr="002720D0">
        <w:rPr>
          <w:rStyle w:val="FootnoteReference"/>
          <w:lang w:val="es-ES_tradnl"/>
        </w:rPr>
        <w:footnoteReference w:id="79"/>
      </w:r>
      <w:r w:rsidR="00BD0F4C" w:rsidRPr="002720D0">
        <w:rPr>
          <w:lang w:val="es-ES_tradnl"/>
        </w:rPr>
        <w:t>.</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136.</w:t>
      </w:r>
      <w:r w:rsidRPr="002720D0">
        <w:rPr>
          <w:lang w:val="es-ES_tradnl"/>
        </w:rPr>
        <w:tab/>
      </w:r>
      <w:r w:rsidR="00EA3D32" w:rsidRPr="002720D0">
        <w:rPr>
          <w:bCs/>
          <w:lang w:val="es-ES_tradnl"/>
        </w:rPr>
        <w:t>El Comité también instó al Estado parte a que confeccionase estrategias nacionales apropiadas para atender las necesidades nutricionales críticas de los niños, especialmente los grupos más vulnerables, en forma holística e intersectorial, aceptando la importancia de las prácticas alimentarias</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137.</w:t>
      </w:r>
      <w:r w:rsidRPr="002720D0">
        <w:rPr>
          <w:lang w:val="es-ES_tradnl"/>
        </w:rPr>
        <w:tab/>
      </w:r>
      <w:r w:rsidR="00E331FD" w:rsidRPr="002720D0">
        <w:rPr>
          <w:lang w:val="es-ES_tradnl"/>
        </w:rPr>
        <w:t>El Estado p</w:t>
      </w:r>
      <w:r w:rsidR="00EA3D32" w:rsidRPr="002720D0">
        <w:rPr>
          <w:lang w:val="es-ES_tradnl"/>
        </w:rPr>
        <w:t xml:space="preserve">arte ha dado cumplimiento a esta recomendación </w:t>
      </w:r>
      <w:r w:rsidR="00E331FD" w:rsidRPr="002720D0">
        <w:rPr>
          <w:lang w:val="es-ES_tradnl"/>
        </w:rPr>
        <w:t>por conducto</w:t>
      </w:r>
      <w:r w:rsidR="00EA3D32" w:rsidRPr="002720D0">
        <w:rPr>
          <w:lang w:val="es-ES_tradnl"/>
        </w:rPr>
        <w:t xml:space="preserve"> de varias iniciativas. </w:t>
      </w:r>
      <w:r w:rsidR="00E331FD" w:rsidRPr="002720D0">
        <w:rPr>
          <w:lang w:val="es-ES_tradnl"/>
        </w:rPr>
        <w:t>Se elaboró un</w:t>
      </w:r>
      <w:r w:rsidR="00EA3D32" w:rsidRPr="002720D0">
        <w:rPr>
          <w:lang w:val="es-ES_tradnl"/>
        </w:rPr>
        <w:t>a Estrategia nac</w:t>
      </w:r>
      <w:r w:rsidR="00E331FD" w:rsidRPr="002720D0">
        <w:rPr>
          <w:lang w:val="es-ES_tradnl"/>
        </w:rPr>
        <w:t>ional de nutrición (julio, 2011-2012, junio, 2015</w:t>
      </w:r>
      <w:r w:rsidR="00B24EC0">
        <w:rPr>
          <w:lang w:val="es-ES_tradnl"/>
        </w:rPr>
        <w:noBreakHyphen/>
      </w:r>
      <w:r w:rsidR="00E331FD" w:rsidRPr="002720D0">
        <w:rPr>
          <w:lang w:val="es-ES_tradnl"/>
        </w:rPr>
        <w:t>20</w:t>
      </w:r>
      <w:r w:rsidR="00BD0F4C" w:rsidRPr="002720D0">
        <w:rPr>
          <w:lang w:val="es-ES_tradnl"/>
        </w:rPr>
        <w:t>16),</w:t>
      </w:r>
      <w:r w:rsidR="001E06D8" w:rsidRPr="002720D0">
        <w:rPr>
          <w:lang w:val="es-ES_tradnl"/>
        </w:rPr>
        <w:t xml:space="preserve"> </w:t>
      </w:r>
      <w:r w:rsidR="00E331FD" w:rsidRPr="002720D0">
        <w:rPr>
          <w:lang w:val="es-ES_tradnl"/>
        </w:rPr>
        <w:t>inaugurada por el</w:t>
      </w:r>
      <w:r w:rsidR="00EA3D32" w:rsidRPr="002720D0">
        <w:rPr>
          <w:lang w:val="es-ES_tradnl"/>
        </w:rPr>
        <w:t xml:space="preserve"> Primer Ministro de Tanzanía, </w:t>
      </w:r>
      <w:r w:rsidR="00E331FD" w:rsidRPr="002720D0">
        <w:rPr>
          <w:lang w:val="es-ES_tradnl"/>
        </w:rPr>
        <w:t>Excmo. Sr. Mizengo Pinda, el</w:t>
      </w:r>
      <w:r w:rsidR="00EA3D32" w:rsidRPr="002720D0">
        <w:rPr>
          <w:lang w:val="es-ES_tradnl"/>
        </w:rPr>
        <w:t xml:space="preserve"> 20 de septiembre de 2010.</w:t>
      </w:r>
      <w:r w:rsidR="001D2A53">
        <w:rPr>
          <w:lang w:val="es-ES_tradnl"/>
        </w:rPr>
        <w:t xml:space="preserve"> </w:t>
      </w:r>
      <w:r w:rsidR="00EA3D32" w:rsidRPr="002720D0">
        <w:rPr>
          <w:lang w:val="es-ES_tradnl"/>
        </w:rPr>
        <w:t xml:space="preserve">Se han identificado ocho estrategias para el logro de la meta y los objetivos de la Estrategia: </w:t>
      </w:r>
    </w:p>
    <w:p w:rsidR="00151021" w:rsidRPr="002720D0" w:rsidRDefault="00151021" w:rsidP="00410BB5">
      <w:pPr>
        <w:pStyle w:val="Bullet1G"/>
        <w:rPr>
          <w:lang w:val="es-ES_tradnl"/>
        </w:rPr>
      </w:pPr>
      <w:r w:rsidRPr="002720D0">
        <w:rPr>
          <w:lang w:val="es-ES_tradnl"/>
        </w:rPr>
        <w:t>Acces</w:t>
      </w:r>
      <w:r w:rsidR="00752037" w:rsidRPr="002720D0">
        <w:rPr>
          <w:lang w:val="es-ES_tradnl"/>
        </w:rPr>
        <w:t xml:space="preserve">o a servicios de nutrición de calidad: Las intervenciones relativas a la nutrición se han de desarrollar a gran escala y con una cobertura considerable, si se desea que incidan </w:t>
      </w:r>
      <w:r w:rsidR="005B66C3" w:rsidRPr="002720D0">
        <w:rPr>
          <w:lang w:val="es-ES_tradnl"/>
        </w:rPr>
        <w:t>en la prevalencia de la malnutri</w:t>
      </w:r>
      <w:r w:rsidR="00752037" w:rsidRPr="002720D0">
        <w:rPr>
          <w:lang w:val="es-ES_tradnl"/>
        </w:rPr>
        <w:t xml:space="preserve">ción entre la población. </w:t>
      </w:r>
      <w:r w:rsidR="009A44D1" w:rsidRPr="002720D0">
        <w:rPr>
          <w:lang w:val="es-ES_tradnl"/>
        </w:rPr>
        <w:t>Las actividades correspondientes se</w:t>
      </w:r>
      <w:r w:rsidR="00752037" w:rsidRPr="002720D0">
        <w:rPr>
          <w:lang w:val="es-ES_tradnl"/>
        </w:rPr>
        <w:t xml:space="preserve"> </w:t>
      </w:r>
      <w:r w:rsidR="001E06D8" w:rsidRPr="002720D0">
        <w:rPr>
          <w:lang w:val="es-ES_tradnl"/>
        </w:rPr>
        <w:t>han de centrar</w:t>
      </w:r>
      <w:r w:rsidR="00752037" w:rsidRPr="002720D0">
        <w:rPr>
          <w:lang w:val="es-ES_tradnl"/>
        </w:rPr>
        <w:t xml:space="preserve"> en la prestación de un conjunto de servicios de nutrición de gran alcance. Los servicios de nutrición de distrito contarán con una buena gestión y </w:t>
      </w:r>
      <w:r w:rsidR="001E06D8" w:rsidRPr="002720D0">
        <w:rPr>
          <w:lang w:val="es-ES_tradnl"/>
        </w:rPr>
        <w:t>serán de gran</w:t>
      </w:r>
      <w:r w:rsidR="00752037" w:rsidRPr="002720D0">
        <w:rPr>
          <w:lang w:val="es-ES_tradnl"/>
        </w:rPr>
        <w:t xml:space="preserve"> calidad y accesibles para todos, en particular para las mujeres y los niños y para otros grupos vulnerables. </w:t>
      </w:r>
    </w:p>
    <w:p w:rsidR="00151021" w:rsidRPr="002720D0" w:rsidRDefault="000E4E20" w:rsidP="00410BB5">
      <w:pPr>
        <w:pStyle w:val="Bullet1G"/>
        <w:rPr>
          <w:lang w:val="es-ES_tradnl"/>
        </w:rPr>
      </w:pPr>
      <w:r w:rsidRPr="002720D0">
        <w:rPr>
          <w:lang w:val="es-ES_tradnl"/>
        </w:rPr>
        <w:t>Comunicación destinada a la promoción y el cambio en los comportamientos: Se intensificará la promoción en aras de dar mayor realce y visibilidad a la</w:t>
      </w:r>
      <w:r w:rsidR="009A44D1" w:rsidRPr="002720D0">
        <w:rPr>
          <w:lang w:val="es-ES_tradnl"/>
        </w:rPr>
        <w:t xml:space="preserve"> malnutrición en todos los plano</w:t>
      </w:r>
      <w:r w:rsidRPr="002720D0">
        <w:rPr>
          <w:lang w:val="es-ES_tradnl"/>
        </w:rPr>
        <w:t xml:space="preserve">s, y de aumentar tanto el compromiso con su mitigación como los recursos dedicados a este fin. En </w:t>
      </w:r>
      <w:r w:rsidR="009A44D1" w:rsidRPr="002720D0">
        <w:rPr>
          <w:lang w:val="es-ES_tradnl"/>
        </w:rPr>
        <w:t>el contexto</w:t>
      </w:r>
      <w:r w:rsidRPr="002720D0">
        <w:rPr>
          <w:lang w:val="es-ES_tradnl"/>
        </w:rPr>
        <w:t xml:space="preserve"> de los hogares y de la comunidad, la mejora en las práct</w:t>
      </w:r>
      <w:r w:rsidR="005B66C3" w:rsidRPr="002720D0">
        <w:rPr>
          <w:lang w:val="es-ES_tradnl"/>
        </w:rPr>
        <w:t>i</w:t>
      </w:r>
      <w:r w:rsidRPr="002720D0">
        <w:rPr>
          <w:lang w:val="es-ES_tradnl"/>
        </w:rPr>
        <w:t xml:space="preserve">cas relativas a los cuidados de los lactantes, los niños de corta edad y las mujeres en edad de procrear es un componente necesario de los esfuerzos sostenibles </w:t>
      </w:r>
      <w:r w:rsidR="009A44D1" w:rsidRPr="002720D0">
        <w:rPr>
          <w:lang w:val="es-ES_tradnl"/>
        </w:rPr>
        <w:t>para reducir</w:t>
      </w:r>
      <w:r w:rsidRPr="002720D0">
        <w:rPr>
          <w:lang w:val="es-ES_tradnl"/>
        </w:rPr>
        <w:t xml:space="preserve"> la malnutrición. </w:t>
      </w:r>
    </w:p>
    <w:p w:rsidR="00151021" w:rsidRPr="002720D0" w:rsidRDefault="00151021" w:rsidP="00410BB5">
      <w:pPr>
        <w:pStyle w:val="Bullet1G"/>
        <w:rPr>
          <w:lang w:val="es-ES_tradnl"/>
        </w:rPr>
      </w:pPr>
      <w:r w:rsidRPr="002720D0">
        <w:rPr>
          <w:lang w:val="es-ES_tradnl"/>
        </w:rPr>
        <w:t>Legisla</w:t>
      </w:r>
      <w:r w:rsidR="009A44D1" w:rsidRPr="002720D0">
        <w:rPr>
          <w:lang w:val="es-ES_tradnl"/>
        </w:rPr>
        <w:t>ción para un entorno favorable: P</w:t>
      </w:r>
      <w:r w:rsidR="00AB04D7" w:rsidRPr="002720D0">
        <w:rPr>
          <w:lang w:val="es-ES_tradnl"/>
        </w:rPr>
        <w:t>ara la creación de un entorno favorable y propicio para la buena nutrición</w:t>
      </w:r>
      <w:r w:rsidR="009A44D1" w:rsidRPr="002720D0">
        <w:rPr>
          <w:lang w:val="es-ES_tradnl"/>
        </w:rPr>
        <w:t xml:space="preserve"> se necesita contar con la legislación correspondiente, así como con políticas y normas</w:t>
      </w:r>
      <w:r w:rsidR="00AB04D7" w:rsidRPr="002720D0">
        <w:rPr>
          <w:lang w:val="es-ES_tradnl"/>
        </w:rPr>
        <w:t xml:space="preserve">. Entre ellas se cuentan medidas destinadas a evitar la comercialización sin ética de sustitutos de la leche materna, a proteger el derecho a la lactancia de las mujeres empleadas, a velar por el etiquetado y la calidad adecuadas de los productos destinados a su consumo por lactantes y niños de corta edad, y al enriquecimiento de los alimentos. </w:t>
      </w:r>
    </w:p>
    <w:p w:rsidR="00151021" w:rsidRPr="002720D0" w:rsidRDefault="00AB04D7" w:rsidP="00410BB5">
      <w:pPr>
        <w:pStyle w:val="Bullet1G"/>
        <w:rPr>
          <w:lang w:val="es-ES_tradnl"/>
        </w:rPr>
      </w:pPr>
      <w:r w:rsidRPr="002720D0">
        <w:rPr>
          <w:lang w:val="es-ES_tradnl"/>
        </w:rPr>
        <w:t>Incorporación transversal de la nutrición en las políticas, los planes y los programas</w:t>
      </w:r>
      <w:r w:rsidR="001D2A53">
        <w:rPr>
          <w:lang w:val="es-ES_tradnl"/>
        </w:rPr>
        <w:t xml:space="preserve"> </w:t>
      </w:r>
      <w:r w:rsidR="00410BB5">
        <w:rPr>
          <w:lang w:val="es-ES_tradnl"/>
        </w:rPr>
        <w:t>nacionales y sectoriales:</w:t>
      </w:r>
      <w:r w:rsidRPr="002720D0">
        <w:rPr>
          <w:lang w:val="es-ES_tradnl"/>
        </w:rPr>
        <w:t xml:space="preserve"> </w:t>
      </w:r>
      <w:r w:rsidR="00786EBC" w:rsidRPr="002720D0">
        <w:rPr>
          <w:lang w:val="es-ES_tradnl"/>
        </w:rPr>
        <w:t xml:space="preserve">La naturaleza multisectorial de la nutrición requiere esfuerzos de promoción de cara a su incorporación en las políticas y planes tanto nacionales como sectoriales. </w:t>
      </w:r>
      <w:r w:rsidRPr="002720D0">
        <w:rPr>
          <w:lang w:val="es-ES_tradnl"/>
        </w:rPr>
        <w:t>Se han incluido indicadores de nutrición en MUKTUTA, pero se requieren esfuerzos adicionales para que la nutrición se consolide como parte de las políticas y estrategias de los sectores de la sal</w:t>
      </w:r>
      <w:r w:rsidR="005B66C3" w:rsidRPr="002720D0">
        <w:rPr>
          <w:lang w:val="es-ES_tradnl"/>
        </w:rPr>
        <w:t>ud, la agricultura, la educació</w:t>
      </w:r>
      <w:r w:rsidRPr="002720D0">
        <w:rPr>
          <w:lang w:val="es-ES_tradnl"/>
        </w:rPr>
        <w:t xml:space="preserve">n, el desarrollo comunitario y la industria. </w:t>
      </w:r>
    </w:p>
    <w:p w:rsidR="00012B57" w:rsidRPr="002720D0" w:rsidRDefault="00AB04D7" w:rsidP="00410BB5">
      <w:pPr>
        <w:pStyle w:val="Bullet1G"/>
        <w:rPr>
          <w:lang w:val="es-ES_tradnl"/>
        </w:rPr>
      </w:pPr>
      <w:r w:rsidRPr="002720D0">
        <w:rPr>
          <w:lang w:val="es-ES_tradnl"/>
        </w:rPr>
        <w:t xml:space="preserve">Capacidad institucional y técnica para la nutrición: La nutrición </w:t>
      </w:r>
      <w:r w:rsidR="00786EBC" w:rsidRPr="002720D0">
        <w:rPr>
          <w:lang w:val="es-ES_tradnl"/>
        </w:rPr>
        <w:t xml:space="preserve">aún </w:t>
      </w:r>
      <w:r w:rsidRPr="002720D0">
        <w:rPr>
          <w:lang w:val="es-ES_tradnl"/>
        </w:rPr>
        <w:t xml:space="preserve">ha de alcanzar la capacidad institucional y técnica necesaria en el marco de la descentralización. Puesto que en la actualidad </w:t>
      </w:r>
      <w:r w:rsidR="009A44D1" w:rsidRPr="002720D0">
        <w:rPr>
          <w:lang w:val="es-ES_tradnl"/>
        </w:rPr>
        <w:t>los</w:t>
      </w:r>
      <w:r w:rsidR="00082CAA" w:rsidRPr="002720D0">
        <w:rPr>
          <w:lang w:val="es-ES_tradnl"/>
        </w:rPr>
        <w:t xml:space="preserve"> responsables de la aplicación de los servicios de nutrición</w:t>
      </w:r>
      <w:r w:rsidR="009A44D1" w:rsidRPr="002720D0">
        <w:rPr>
          <w:lang w:val="es-ES_tradnl"/>
        </w:rPr>
        <w:t xml:space="preserve"> son las administraciones locales</w:t>
      </w:r>
      <w:r w:rsidR="00082CAA" w:rsidRPr="002720D0">
        <w:rPr>
          <w:lang w:val="es-ES_tradnl"/>
        </w:rPr>
        <w:t xml:space="preserve">, es fundamental contar con coordinadores de </w:t>
      </w:r>
      <w:r w:rsidR="009A44D1" w:rsidRPr="002720D0">
        <w:rPr>
          <w:lang w:val="es-ES_tradnl"/>
        </w:rPr>
        <w:t xml:space="preserve">nutrición de </w:t>
      </w:r>
      <w:r w:rsidR="00082CAA" w:rsidRPr="002720D0">
        <w:rPr>
          <w:lang w:val="es-ES_tradnl"/>
        </w:rPr>
        <w:t xml:space="preserve">distrito que se responsabilicen de la prestación de </w:t>
      </w:r>
      <w:r w:rsidR="009A44D1" w:rsidRPr="002720D0">
        <w:rPr>
          <w:lang w:val="es-ES_tradnl"/>
        </w:rPr>
        <w:t xml:space="preserve">unos </w:t>
      </w:r>
      <w:r w:rsidR="00082CAA" w:rsidRPr="002720D0">
        <w:rPr>
          <w:lang w:val="es-ES_tradnl"/>
        </w:rPr>
        <w:t xml:space="preserve">servicios de nutrición de calidad, y también con estructuras de apoyo </w:t>
      </w:r>
      <w:r w:rsidR="009A44D1" w:rsidRPr="002720D0">
        <w:rPr>
          <w:lang w:val="es-ES_tradnl"/>
        </w:rPr>
        <w:t>regionales y</w:t>
      </w:r>
      <w:r w:rsidR="002D502F" w:rsidRPr="002720D0">
        <w:rPr>
          <w:lang w:val="es-ES_tradnl"/>
        </w:rPr>
        <w:t xml:space="preserve"> nacional</w:t>
      </w:r>
      <w:r w:rsidR="00786EBC" w:rsidRPr="002720D0">
        <w:rPr>
          <w:lang w:val="es-ES_tradnl"/>
        </w:rPr>
        <w:t>es</w:t>
      </w:r>
      <w:r w:rsidR="002D502F" w:rsidRPr="002720D0">
        <w:rPr>
          <w:lang w:val="es-ES_tradnl"/>
        </w:rPr>
        <w:t xml:space="preserve"> que presten</w:t>
      </w:r>
      <w:r w:rsidR="00082CAA" w:rsidRPr="002720D0">
        <w:rPr>
          <w:lang w:val="es-ES_tradnl"/>
        </w:rPr>
        <w:t xml:space="preserve"> apoyo técnico, orientaciones y supervisión de apoyo. El aumento tanto </w:t>
      </w:r>
      <w:r w:rsidR="002D502F" w:rsidRPr="002720D0">
        <w:rPr>
          <w:lang w:val="es-ES_tradnl"/>
        </w:rPr>
        <w:t xml:space="preserve">en </w:t>
      </w:r>
      <w:r w:rsidR="00082CAA" w:rsidRPr="002720D0">
        <w:rPr>
          <w:lang w:val="es-ES_tradnl"/>
        </w:rPr>
        <w:t xml:space="preserve">el número como </w:t>
      </w:r>
      <w:r w:rsidR="002D502F" w:rsidRPr="002720D0">
        <w:rPr>
          <w:lang w:val="es-ES_tradnl"/>
        </w:rPr>
        <w:t xml:space="preserve">en </w:t>
      </w:r>
      <w:r w:rsidR="00082CAA" w:rsidRPr="002720D0">
        <w:rPr>
          <w:lang w:val="es-ES_tradnl"/>
        </w:rPr>
        <w:t xml:space="preserve">la calidad de los recursos humanos que se ocupan de la nutrición en todos los planos y en todos los sectores pertinentes </w:t>
      </w:r>
      <w:r w:rsidR="002D502F" w:rsidRPr="002720D0">
        <w:rPr>
          <w:lang w:val="es-ES_tradnl"/>
        </w:rPr>
        <w:t>es fundamental</w:t>
      </w:r>
      <w:r w:rsidR="00082CAA" w:rsidRPr="002720D0">
        <w:rPr>
          <w:lang w:val="es-ES_tradnl"/>
        </w:rPr>
        <w:t xml:space="preserve"> para mejorar la calidad de los servicios de nutrición. </w:t>
      </w:r>
      <w:r w:rsidR="00D637F2" w:rsidRPr="002720D0">
        <w:rPr>
          <w:lang w:val="es-ES_tradnl"/>
        </w:rPr>
        <w:t>Respecto de</w:t>
      </w:r>
      <w:r w:rsidR="00082CAA" w:rsidRPr="002720D0">
        <w:rPr>
          <w:lang w:val="es-ES_tradnl"/>
        </w:rPr>
        <w:t xml:space="preserve"> los proveedores de servicios de salud, </w:t>
      </w:r>
      <w:r w:rsidR="00D637F2" w:rsidRPr="002720D0">
        <w:rPr>
          <w:lang w:val="es-ES_tradnl"/>
        </w:rPr>
        <w:t>los cursos tanto de formación previa a la incorporación al servicio como de formación permanente han de mantenerse al día respecto de las políticas, estrategias, directrices e información científica más recientes.</w:t>
      </w:r>
      <w:r w:rsidR="001D2A53">
        <w:rPr>
          <w:lang w:val="es-ES_tradnl"/>
        </w:rPr>
        <w:t xml:space="preserve"> </w:t>
      </w:r>
    </w:p>
    <w:p w:rsidR="00012B57" w:rsidRPr="002720D0" w:rsidRDefault="00D637F2" w:rsidP="00410BB5">
      <w:pPr>
        <w:pStyle w:val="Bullet1G"/>
        <w:rPr>
          <w:lang w:val="es-ES_tradnl"/>
        </w:rPr>
      </w:pPr>
      <w:r w:rsidRPr="002720D0">
        <w:rPr>
          <w:lang w:val="es-ES_tradnl"/>
        </w:rPr>
        <w:t xml:space="preserve">Movilización de recursos: El desfase presupuestario relativo a las necesidades de nutrición se ha de reducir mediante la movilización de </w:t>
      </w:r>
      <w:r w:rsidR="002D502F" w:rsidRPr="002720D0">
        <w:rPr>
          <w:lang w:val="es-ES_tradnl"/>
        </w:rPr>
        <w:t xml:space="preserve">unos </w:t>
      </w:r>
      <w:r w:rsidRPr="002720D0">
        <w:rPr>
          <w:lang w:val="es-ES_tradnl"/>
        </w:rPr>
        <w:t>recursos económicos suficientes y sostenibles</w:t>
      </w:r>
      <w:r w:rsidR="002D502F" w:rsidRPr="002720D0">
        <w:rPr>
          <w:lang w:val="es-ES_tradnl"/>
        </w:rPr>
        <w:t>,</w:t>
      </w:r>
      <w:r w:rsidRPr="002720D0">
        <w:rPr>
          <w:lang w:val="es-ES_tradnl"/>
        </w:rPr>
        <w:t xml:space="preserve"> y mediante la mejora en la eficiencia del empleo de los recursos </w:t>
      </w:r>
      <w:r w:rsidR="00C257CF" w:rsidRPr="002720D0">
        <w:rPr>
          <w:lang w:val="es-ES_tradnl"/>
        </w:rPr>
        <w:t>económicos para la nutrición A pesar de las rigurosas restricciones presupuestarias, existe un presupuesto adicional par</w:t>
      </w:r>
      <w:r w:rsidR="002D502F" w:rsidRPr="002720D0">
        <w:rPr>
          <w:lang w:val="es-ES_tradnl"/>
        </w:rPr>
        <w:t>a la nutrición, que incorpora un</w:t>
      </w:r>
      <w:r w:rsidR="00C257CF" w:rsidRPr="002720D0">
        <w:rPr>
          <w:lang w:val="es-ES_tradnl"/>
        </w:rPr>
        <w:t xml:space="preserve"> aumento </w:t>
      </w:r>
      <w:r w:rsidR="002D502F" w:rsidRPr="002720D0">
        <w:rPr>
          <w:lang w:val="es-ES_tradnl"/>
        </w:rPr>
        <w:t>de la ayuda</w:t>
      </w:r>
      <w:r w:rsidR="00C257CF" w:rsidRPr="002720D0">
        <w:rPr>
          <w:lang w:val="es-ES_tradnl"/>
        </w:rPr>
        <w:t xml:space="preserve"> </w:t>
      </w:r>
      <w:r w:rsidR="002D502F" w:rsidRPr="002720D0">
        <w:rPr>
          <w:lang w:val="es-ES_tradnl"/>
        </w:rPr>
        <w:t xml:space="preserve">de </w:t>
      </w:r>
      <w:r w:rsidR="00C257CF" w:rsidRPr="002720D0">
        <w:rPr>
          <w:lang w:val="es-ES_tradnl"/>
        </w:rPr>
        <w:t xml:space="preserve">los asociados para el desarrollo, el incremento en la consignación presupuestaria del Ministerio de Salud y Bienestar Social, y una mayor eficiencia en la prestación de intervenciones de nutrición y </w:t>
      </w:r>
      <w:r w:rsidR="002D502F" w:rsidRPr="002720D0">
        <w:rPr>
          <w:lang w:val="es-ES_tradnl"/>
        </w:rPr>
        <w:t xml:space="preserve">en la </w:t>
      </w:r>
      <w:r w:rsidR="00C257CF" w:rsidRPr="002720D0">
        <w:rPr>
          <w:lang w:val="es-ES_tradnl"/>
        </w:rPr>
        <w:t>colaboración con otros sectores y programas.</w:t>
      </w:r>
    </w:p>
    <w:p w:rsidR="00012B57" w:rsidRPr="002720D0" w:rsidRDefault="001002DC" w:rsidP="00410BB5">
      <w:pPr>
        <w:pStyle w:val="Bullet1G"/>
        <w:rPr>
          <w:lang w:val="es-ES_tradnl"/>
        </w:rPr>
      </w:pPr>
      <w:r w:rsidRPr="002720D0">
        <w:rPr>
          <w:lang w:val="es-ES_tradnl"/>
        </w:rPr>
        <w:t xml:space="preserve">Investigación, vigilancia y evaluación: La investigación, la vigilancia y la evaluación son esenciales para </w:t>
      </w:r>
      <w:r w:rsidR="002D502F" w:rsidRPr="002720D0">
        <w:rPr>
          <w:lang w:val="es-ES_tradnl"/>
        </w:rPr>
        <w:t>que la toma de decisiones se base</w:t>
      </w:r>
      <w:r w:rsidRPr="002720D0">
        <w:rPr>
          <w:lang w:val="es-ES_tradnl"/>
        </w:rPr>
        <w:t xml:space="preserve"> en pruebas, y también para consolidar la obligación de rendir cuentas </w:t>
      </w:r>
      <w:r w:rsidR="002D502F" w:rsidRPr="002720D0">
        <w:rPr>
          <w:lang w:val="es-ES_tradnl"/>
        </w:rPr>
        <w:t>correspondiente al</w:t>
      </w:r>
      <w:r w:rsidRPr="002720D0">
        <w:rPr>
          <w:lang w:val="es-ES_tradnl"/>
        </w:rPr>
        <w:t xml:space="preserve"> sector público. La vigilancia es ininterrumpida, y tiene por objeto la provisión tanto a la administración como a otras partes interesadas de indicaciones tempranas </w:t>
      </w:r>
      <w:r w:rsidR="002D502F" w:rsidRPr="002720D0">
        <w:rPr>
          <w:lang w:val="es-ES_tradnl"/>
        </w:rPr>
        <w:t xml:space="preserve">acerca </w:t>
      </w:r>
      <w:r w:rsidRPr="002720D0">
        <w:rPr>
          <w:lang w:val="es-ES_tradnl"/>
        </w:rPr>
        <w:t xml:space="preserve">del progreso alcanzado en el logro de las metas, los objetivos y los resultados. La evaluación consiste en un ejercicio periódico que pretende evaluar, de forma sistemática y objetiva, los progresos alcanzados en relación con el logro de los objetivos o las metas de un programa. La investigación evalúa las intervenciones y metodologías destinadas a la mejora del estado nutricional, y </w:t>
      </w:r>
      <w:r w:rsidR="002D502F" w:rsidRPr="002720D0">
        <w:rPr>
          <w:lang w:val="es-ES_tradnl"/>
        </w:rPr>
        <w:t>aporta</w:t>
      </w:r>
      <w:r w:rsidRPr="002720D0">
        <w:rPr>
          <w:lang w:val="es-ES_tradnl"/>
        </w:rPr>
        <w:t xml:space="preserve"> pruebas adicionales para las políticas y la programación. </w:t>
      </w:r>
    </w:p>
    <w:p w:rsidR="00151021" w:rsidRPr="002720D0" w:rsidRDefault="00151021" w:rsidP="00410BB5">
      <w:pPr>
        <w:pStyle w:val="Bullet1G"/>
        <w:rPr>
          <w:lang w:val="es-ES_tradnl"/>
        </w:rPr>
      </w:pPr>
      <w:r w:rsidRPr="002720D0">
        <w:rPr>
          <w:lang w:val="es-ES_tradnl"/>
        </w:rPr>
        <w:t>Coordina</w:t>
      </w:r>
      <w:r w:rsidR="001002DC" w:rsidRPr="002720D0">
        <w:rPr>
          <w:lang w:val="es-ES_tradnl"/>
        </w:rPr>
        <w:t xml:space="preserve">ción y alianzas: Puesto que la malnutrición tiene causas múltiples, se ha de tomar acción en una </w:t>
      </w:r>
      <w:r w:rsidR="00B023E0" w:rsidRPr="002720D0">
        <w:rPr>
          <w:lang w:val="es-ES_tradnl"/>
        </w:rPr>
        <w:t>serie de sectores, entre ellos los de la salud, la alimentación y la agricultura, el abastecimiento de agua potable y la educación. Una respuesta coordinada permite aprovechar al máximo los recursos técnicos y económicos disponibles, y puede crear una mayor sinergia de los esfuerzos. Las asociaciones público-privadas y la colaboración con las ONG puede</w:t>
      </w:r>
      <w:r w:rsidR="00CB6CC3">
        <w:rPr>
          <w:lang w:val="es-ES_tradnl"/>
        </w:rPr>
        <w:t>n</w:t>
      </w:r>
      <w:r w:rsidR="00B023E0" w:rsidRPr="002720D0">
        <w:rPr>
          <w:lang w:val="es-ES_tradnl"/>
        </w:rPr>
        <w:t xml:space="preserve"> aumentar las oportunidades para la prestación y la ampliación de los servicios de nutrición. </w:t>
      </w:r>
    </w:p>
    <w:p w:rsidR="00151021" w:rsidRPr="002720D0" w:rsidRDefault="004F6364" w:rsidP="004F6364">
      <w:pPr>
        <w:pStyle w:val="SingleTxtG"/>
        <w:tabs>
          <w:tab w:val="left" w:pos="-360"/>
        </w:tabs>
        <w:rPr>
          <w:lang w:val="es-ES_tradnl"/>
        </w:rPr>
      </w:pPr>
      <w:r w:rsidRPr="002720D0">
        <w:rPr>
          <w:lang w:val="es-ES_tradnl"/>
        </w:rPr>
        <w:t>138.</w:t>
      </w:r>
      <w:r w:rsidRPr="002720D0">
        <w:rPr>
          <w:lang w:val="es-ES_tradnl"/>
        </w:rPr>
        <w:tab/>
      </w:r>
      <w:r w:rsidR="00B023E0" w:rsidRPr="002720D0">
        <w:rPr>
          <w:bCs/>
          <w:lang w:val="es-ES_tradnl"/>
        </w:rPr>
        <w:t>El Comité re</w:t>
      </w:r>
      <w:r w:rsidR="002E4C90" w:rsidRPr="002720D0">
        <w:rPr>
          <w:bCs/>
          <w:lang w:val="es-ES_tradnl"/>
        </w:rPr>
        <w:t>comendó asimismo que el Estado p</w:t>
      </w:r>
      <w:r w:rsidR="00B023E0" w:rsidRPr="002720D0">
        <w:rPr>
          <w:bCs/>
          <w:lang w:val="es-ES_tradnl"/>
        </w:rPr>
        <w:t xml:space="preserve">arte velara por que los acuerdos regionales u otros acuerdos de libre comercio no repercutieran adversamente en </w:t>
      </w:r>
      <w:r w:rsidR="00B023E0" w:rsidRPr="00B57F06">
        <w:rPr>
          <w:bCs/>
          <w:lang w:val="es-ES_tradnl"/>
        </w:rPr>
        <w:t>el</w:t>
      </w:r>
      <w:r w:rsidR="00B023E0" w:rsidRPr="002720D0">
        <w:rPr>
          <w:bCs/>
          <w:lang w:val="es-ES_tradnl"/>
        </w:rPr>
        <w:t xml:space="preserve"> disfrute del derecho de los niños a la salud, en particular, el acceso a medicamentos </w:t>
      </w:r>
      <w:r w:rsidR="00B023E0" w:rsidRPr="00B57F06">
        <w:rPr>
          <w:bCs/>
          <w:lang w:val="es-ES_tradnl"/>
        </w:rPr>
        <w:t>genéricos.</w:t>
      </w:r>
      <w:r w:rsidR="002E4C90" w:rsidRPr="00B57F06">
        <w:rPr>
          <w:bCs/>
          <w:lang w:val="es-ES_tradnl"/>
        </w:rPr>
        <w:t xml:space="preserve"> También recomendó que</w:t>
      </w:r>
      <w:r w:rsidR="00B023E0" w:rsidRPr="00B57F06">
        <w:rPr>
          <w:bCs/>
          <w:lang w:val="es-ES_tradnl"/>
        </w:rPr>
        <w:t xml:space="preserve"> crease un medio en que se redujeran las distancias a los</w:t>
      </w:r>
      <w:r w:rsidR="00B023E0" w:rsidRPr="002720D0">
        <w:rPr>
          <w:bCs/>
          <w:lang w:val="es-ES_tradnl"/>
        </w:rPr>
        <w:t xml:space="preserve"> dispensarios para niños para las madres y las mujeres embarazadas.</w:t>
      </w:r>
    </w:p>
    <w:p w:rsidR="00151021" w:rsidRPr="002720D0" w:rsidRDefault="004F6364" w:rsidP="004F6364">
      <w:pPr>
        <w:pStyle w:val="SingleTxtG"/>
        <w:tabs>
          <w:tab w:val="left" w:pos="-360"/>
        </w:tabs>
        <w:rPr>
          <w:lang w:val="es-ES_tradnl"/>
        </w:rPr>
      </w:pPr>
      <w:r w:rsidRPr="002720D0">
        <w:rPr>
          <w:lang w:val="es-ES_tradnl"/>
        </w:rPr>
        <w:t>139.</w:t>
      </w:r>
      <w:r w:rsidRPr="002720D0">
        <w:rPr>
          <w:lang w:val="es-ES_tradnl"/>
        </w:rPr>
        <w:tab/>
      </w:r>
      <w:r w:rsidR="00B023E0" w:rsidRPr="002720D0">
        <w:rPr>
          <w:lang w:val="es-ES_tradnl"/>
        </w:rPr>
        <w:t>En sus empeños destinados a cumplir las anteriores recomendaciones y aplicar el artículo 24 de la Convención</w:t>
      </w:r>
      <w:r w:rsidR="002E4C90" w:rsidRPr="002720D0">
        <w:rPr>
          <w:lang w:val="es-ES_tradnl"/>
        </w:rPr>
        <w:t>, por el que se requiere que los Estados p</w:t>
      </w:r>
      <w:r w:rsidR="00B023E0" w:rsidRPr="002720D0">
        <w:rPr>
          <w:lang w:val="es-ES_tradnl"/>
        </w:rPr>
        <w:t xml:space="preserve">artes reconozcan el derecho del niño al disfrute del </w:t>
      </w:r>
      <w:r w:rsidR="002E4C90" w:rsidRPr="002720D0">
        <w:rPr>
          <w:lang w:val="es-ES_tradnl"/>
        </w:rPr>
        <w:t>máximo</w:t>
      </w:r>
      <w:r w:rsidR="00B023E0" w:rsidRPr="002720D0">
        <w:rPr>
          <w:lang w:val="es-ES_tradnl"/>
        </w:rPr>
        <w:t xml:space="preserve"> nivel posible </w:t>
      </w:r>
      <w:r w:rsidR="00DD192A" w:rsidRPr="002720D0">
        <w:rPr>
          <w:lang w:val="es-ES_tradnl"/>
        </w:rPr>
        <w:t>de salud y de instalaciones para el tratamiento de la enfermedad y la rehabilitación de la salud, el Estado</w:t>
      </w:r>
      <w:r w:rsidR="002E4C90" w:rsidRPr="002720D0">
        <w:rPr>
          <w:lang w:val="es-ES_tradnl"/>
        </w:rPr>
        <w:t xml:space="preserve"> p</w:t>
      </w:r>
      <w:r w:rsidR="00DD192A" w:rsidRPr="002720D0">
        <w:rPr>
          <w:lang w:val="es-ES_tradnl"/>
        </w:rPr>
        <w:t xml:space="preserve">arte ha llevado a cabo varias medidas (de política, así como legislativas y administrativas) destinadas a velar por que no se prive a ningún niño de su derecho de acceso a los servicios de salud y </w:t>
      </w:r>
      <w:r w:rsidR="002E4C90" w:rsidRPr="002720D0">
        <w:rPr>
          <w:lang w:val="es-ES_tradnl"/>
        </w:rPr>
        <w:t xml:space="preserve">a </w:t>
      </w:r>
      <w:r w:rsidR="00DD192A" w:rsidRPr="002720D0">
        <w:rPr>
          <w:lang w:val="es-ES_tradnl"/>
        </w:rPr>
        <w:t xml:space="preserve">las instalaciones de cuidados sanitarios. </w:t>
      </w:r>
    </w:p>
    <w:p w:rsidR="00151021" w:rsidRPr="002720D0" w:rsidRDefault="00012B57" w:rsidP="00586395">
      <w:pPr>
        <w:pStyle w:val="H23G"/>
        <w:outlineLvl w:val="0"/>
        <w:rPr>
          <w:lang w:val="es-ES_tradnl"/>
        </w:rPr>
      </w:pPr>
      <w:r w:rsidRPr="002720D0">
        <w:rPr>
          <w:lang w:val="es-ES_tradnl"/>
        </w:rPr>
        <w:tab/>
      </w:r>
      <w:r w:rsidR="00151021" w:rsidRPr="002720D0">
        <w:rPr>
          <w:lang w:val="es-ES_tradnl"/>
        </w:rPr>
        <w:t>a)</w:t>
      </w:r>
      <w:r w:rsidRPr="002720D0">
        <w:rPr>
          <w:lang w:val="es-ES_tradnl"/>
        </w:rPr>
        <w:tab/>
      </w:r>
      <w:r w:rsidR="00410BB5">
        <w:rPr>
          <w:lang w:val="es-ES_tradnl"/>
        </w:rPr>
        <w:t>Política sanitaria</w:t>
      </w:r>
    </w:p>
    <w:p w:rsidR="00151021" w:rsidRPr="002720D0" w:rsidRDefault="004F6364" w:rsidP="004F6364">
      <w:pPr>
        <w:pStyle w:val="SingleTxtG"/>
        <w:tabs>
          <w:tab w:val="left" w:pos="-360"/>
        </w:tabs>
        <w:rPr>
          <w:lang w:val="es-ES_tradnl"/>
        </w:rPr>
      </w:pPr>
      <w:r w:rsidRPr="002720D0">
        <w:rPr>
          <w:lang w:val="es-ES_tradnl"/>
        </w:rPr>
        <w:t>140.</w:t>
      </w:r>
      <w:r w:rsidRPr="002720D0">
        <w:rPr>
          <w:lang w:val="es-ES_tradnl"/>
        </w:rPr>
        <w:tab/>
      </w:r>
      <w:r w:rsidR="001251D0" w:rsidRPr="002720D0">
        <w:rPr>
          <w:lang w:val="es-ES_tradnl"/>
        </w:rPr>
        <w:t xml:space="preserve">El </w:t>
      </w:r>
      <w:r w:rsidR="005B66C3" w:rsidRPr="002720D0">
        <w:rPr>
          <w:lang w:val="es-ES_tradnl"/>
        </w:rPr>
        <w:t xml:space="preserve">Estado </w:t>
      </w:r>
      <w:r w:rsidR="009729A3" w:rsidRPr="002720D0">
        <w:rPr>
          <w:lang w:val="es-ES_tradnl"/>
        </w:rPr>
        <w:t xml:space="preserve">parte </w:t>
      </w:r>
      <w:r w:rsidR="005B66C3" w:rsidRPr="002720D0">
        <w:rPr>
          <w:lang w:val="es-ES_tradnl"/>
        </w:rPr>
        <w:t>cuenta con una Polí</w:t>
      </w:r>
      <w:r w:rsidR="001251D0" w:rsidRPr="002720D0">
        <w:rPr>
          <w:lang w:val="es-ES_tradnl"/>
        </w:rPr>
        <w:t xml:space="preserve">tica sanitaria nacional, formulada en </w:t>
      </w:r>
      <w:r w:rsidR="00151021" w:rsidRPr="002720D0">
        <w:rPr>
          <w:lang w:val="es-ES_tradnl"/>
        </w:rPr>
        <w:t xml:space="preserve">1990. </w:t>
      </w:r>
      <w:r w:rsidR="00C02F4B" w:rsidRPr="002720D0">
        <w:rPr>
          <w:lang w:val="es-ES_tradnl"/>
        </w:rPr>
        <w:t xml:space="preserve">Esta política se revisó por vez primera en 1990, y más recientemente en 2007, en aras de la incorporación de las novedades relativas a cambios socioeconómicos, directrices del </w:t>
      </w:r>
      <w:r w:rsidR="00056EB2" w:rsidRPr="002720D0">
        <w:rPr>
          <w:lang w:val="es-ES_tradnl"/>
        </w:rPr>
        <w:t>Gobierno</w:t>
      </w:r>
      <w:r w:rsidR="00C02F4B" w:rsidRPr="002720D0">
        <w:rPr>
          <w:lang w:val="es-ES_tradnl"/>
        </w:rPr>
        <w:t>, enfermedades emergentes y reemergentes e innovaciones en la ciencia y la tecnología, entre otras. En general, la política está dirigida a mejora</w:t>
      </w:r>
      <w:r w:rsidR="005B66C3" w:rsidRPr="002720D0">
        <w:rPr>
          <w:lang w:val="es-ES_tradnl"/>
        </w:rPr>
        <w:t>r</w:t>
      </w:r>
      <w:r w:rsidR="00C02F4B" w:rsidRPr="002720D0">
        <w:rPr>
          <w:lang w:val="es-ES_tradnl"/>
        </w:rPr>
        <w:t xml:space="preserve"> la salud y el bienestar de los ciudadanos, con incidencia especial sobre los </w:t>
      </w:r>
      <w:r w:rsidR="005B66C3" w:rsidRPr="002720D0">
        <w:rPr>
          <w:lang w:val="es-ES_tradnl"/>
        </w:rPr>
        <w:t xml:space="preserve">que están en situación de riesgo, y </w:t>
      </w:r>
      <w:r w:rsidR="002E4C90" w:rsidRPr="002720D0">
        <w:rPr>
          <w:lang w:val="es-ES_tradnl"/>
        </w:rPr>
        <w:t xml:space="preserve">a </w:t>
      </w:r>
      <w:r w:rsidR="005B66C3" w:rsidRPr="002720D0">
        <w:rPr>
          <w:lang w:val="es-ES_tradnl"/>
        </w:rPr>
        <w:t xml:space="preserve">alentar al sistema sanitario a ser más receptivo </w:t>
      </w:r>
      <w:r w:rsidR="002E4C90" w:rsidRPr="002720D0">
        <w:rPr>
          <w:lang w:val="es-ES_tradnl"/>
        </w:rPr>
        <w:t>respecto de</w:t>
      </w:r>
      <w:r w:rsidR="005B66C3" w:rsidRPr="002720D0">
        <w:rPr>
          <w:lang w:val="es-ES_tradnl"/>
        </w:rPr>
        <w:t xml:space="preserve"> las necesidades del pueblo. </w:t>
      </w:r>
      <w:r w:rsidR="002E4C90" w:rsidRPr="002720D0">
        <w:rPr>
          <w:lang w:val="es-ES_tradnl"/>
        </w:rPr>
        <w:t xml:space="preserve">Se persigue el suministro, </w:t>
      </w:r>
      <w:r w:rsidR="005B66C3" w:rsidRPr="002720D0">
        <w:rPr>
          <w:lang w:val="es-ES_tradnl"/>
        </w:rPr>
        <w:t xml:space="preserve">con arreglo a las condiciones geográficas, </w:t>
      </w:r>
      <w:r w:rsidR="002E4C90" w:rsidRPr="002720D0">
        <w:rPr>
          <w:lang w:val="es-ES_tradnl"/>
        </w:rPr>
        <w:t xml:space="preserve">de </w:t>
      </w:r>
      <w:r w:rsidR="005B66C3" w:rsidRPr="002720D0">
        <w:rPr>
          <w:lang w:val="es-ES_tradnl"/>
        </w:rPr>
        <w:t xml:space="preserve">unos servicios básicos de salud </w:t>
      </w:r>
      <w:r w:rsidR="002E4C90" w:rsidRPr="002720D0">
        <w:rPr>
          <w:lang w:val="es-ES_tradnl"/>
        </w:rPr>
        <w:t xml:space="preserve">que sean </w:t>
      </w:r>
      <w:r w:rsidR="005B66C3" w:rsidRPr="002720D0">
        <w:rPr>
          <w:lang w:val="es-ES_tradnl"/>
        </w:rPr>
        <w:t xml:space="preserve">aceptables, económicos y sostenibles. Específicamente, la política tiene el </w:t>
      </w:r>
      <w:r w:rsidR="002E4C90" w:rsidRPr="002720D0">
        <w:rPr>
          <w:lang w:val="es-ES_tradnl"/>
        </w:rPr>
        <w:t xml:space="preserve">siguiente </w:t>
      </w:r>
      <w:r w:rsidR="005B66C3" w:rsidRPr="002720D0">
        <w:rPr>
          <w:lang w:val="es-ES_tradnl"/>
        </w:rPr>
        <w:t xml:space="preserve">propósito: </w:t>
      </w:r>
    </w:p>
    <w:p w:rsidR="00151021" w:rsidRPr="002720D0" w:rsidRDefault="00151021" w:rsidP="00410BB5">
      <w:pPr>
        <w:pStyle w:val="Bullet1G"/>
        <w:rPr>
          <w:lang w:val="es-ES_tradnl"/>
        </w:rPr>
      </w:pPr>
      <w:r w:rsidRPr="002720D0">
        <w:rPr>
          <w:lang w:val="es-ES_tradnl"/>
        </w:rPr>
        <w:t>Reduc</w:t>
      </w:r>
      <w:r w:rsidR="005B66C3" w:rsidRPr="002720D0">
        <w:rPr>
          <w:lang w:val="es-ES_tradnl"/>
        </w:rPr>
        <w:t>ir la morbilidad y la mortalidad</w:t>
      </w:r>
      <w:r w:rsidR="002E4C90" w:rsidRPr="002720D0">
        <w:rPr>
          <w:lang w:val="es-ES_tradnl"/>
        </w:rPr>
        <w:t>,</w:t>
      </w:r>
      <w:r w:rsidR="005B66C3" w:rsidRPr="002720D0">
        <w:rPr>
          <w:lang w:val="es-ES_tradnl"/>
        </w:rPr>
        <w:t xml:space="preserve"> en aras de aumentar la duración de la vida de todos los ciudadanos de Tanzanía mediante la provisión de cuidados sanitarios de calidad; </w:t>
      </w:r>
    </w:p>
    <w:p w:rsidR="00151021" w:rsidRPr="002720D0" w:rsidRDefault="005B66C3" w:rsidP="00410BB5">
      <w:pPr>
        <w:pStyle w:val="Bullet1G"/>
        <w:rPr>
          <w:lang w:val="es-ES_tradnl"/>
        </w:rPr>
      </w:pPr>
      <w:r w:rsidRPr="002720D0">
        <w:rPr>
          <w:lang w:val="es-ES_tradnl"/>
        </w:rPr>
        <w:t xml:space="preserve">Velar por que los servicios sanitarios básicos estén disponibles y sean accesibles; </w:t>
      </w:r>
    </w:p>
    <w:p w:rsidR="00151021" w:rsidRPr="002720D0" w:rsidRDefault="00151021" w:rsidP="00410BB5">
      <w:pPr>
        <w:pStyle w:val="Bullet1G"/>
        <w:rPr>
          <w:lang w:val="es-ES_tradnl"/>
        </w:rPr>
      </w:pPr>
      <w:r w:rsidRPr="002720D0">
        <w:rPr>
          <w:lang w:val="es-ES_tradnl"/>
        </w:rPr>
        <w:t>Preven</w:t>
      </w:r>
      <w:r w:rsidR="005B66C3" w:rsidRPr="002720D0">
        <w:rPr>
          <w:lang w:val="es-ES_tradnl"/>
        </w:rPr>
        <w:t xml:space="preserve">ir y controlar las enfermedades transmisibles y las que no lo son; </w:t>
      </w:r>
    </w:p>
    <w:p w:rsidR="00151021" w:rsidRPr="002720D0" w:rsidRDefault="00151021" w:rsidP="00410BB5">
      <w:pPr>
        <w:pStyle w:val="Bullet1G"/>
        <w:rPr>
          <w:lang w:val="es-ES_tradnl"/>
        </w:rPr>
      </w:pPr>
      <w:r w:rsidRPr="002720D0">
        <w:rPr>
          <w:lang w:val="es-ES_tradnl"/>
        </w:rPr>
        <w:t>Sensi</w:t>
      </w:r>
      <w:r w:rsidR="005B66C3" w:rsidRPr="002720D0">
        <w:rPr>
          <w:lang w:val="es-ES_tradnl"/>
        </w:rPr>
        <w:t xml:space="preserve">bilizar a los ciudadanos en cuanto a las enfermedades prevenibles; </w:t>
      </w:r>
    </w:p>
    <w:p w:rsidR="00151021" w:rsidRPr="002720D0" w:rsidRDefault="00151021" w:rsidP="00410BB5">
      <w:pPr>
        <w:pStyle w:val="Bullet1G"/>
        <w:rPr>
          <w:lang w:val="es-ES_tradnl"/>
        </w:rPr>
      </w:pPr>
      <w:r w:rsidRPr="002720D0">
        <w:rPr>
          <w:lang w:val="es-ES_tradnl"/>
        </w:rPr>
        <w:t>C</w:t>
      </w:r>
      <w:r w:rsidR="005B66C3" w:rsidRPr="002720D0">
        <w:rPr>
          <w:lang w:val="es-ES_tradnl"/>
        </w:rPr>
        <w:t xml:space="preserve">oncienciar a los ciudadanos individuales respecto de su responsabilidad en cuanto a su propia salud y la de su familia; </w:t>
      </w:r>
    </w:p>
    <w:p w:rsidR="00151021" w:rsidRPr="002720D0" w:rsidRDefault="004E3DF3" w:rsidP="00410BB5">
      <w:pPr>
        <w:pStyle w:val="Bullet1G"/>
        <w:rPr>
          <w:lang w:val="es-ES_tradnl"/>
        </w:rPr>
      </w:pPr>
      <w:r w:rsidRPr="002720D0">
        <w:rPr>
          <w:lang w:val="es-ES_tradnl"/>
        </w:rPr>
        <w:t>Mejorar las alianzas entre el s</w:t>
      </w:r>
      <w:r w:rsidR="005B66C3" w:rsidRPr="002720D0">
        <w:rPr>
          <w:lang w:val="es-ES_tradnl"/>
        </w:rPr>
        <w:t xml:space="preserve">ector público, el sector privado, las instituciones religiosas, la sociedad civil y la comunidad en la provisión de servicios sanitarios; </w:t>
      </w:r>
    </w:p>
    <w:p w:rsidR="00151021" w:rsidRPr="002720D0" w:rsidRDefault="002E4C90" w:rsidP="00410BB5">
      <w:pPr>
        <w:pStyle w:val="Bullet1G"/>
        <w:rPr>
          <w:lang w:val="es-ES_tradnl"/>
        </w:rPr>
      </w:pPr>
      <w:r w:rsidRPr="002720D0">
        <w:rPr>
          <w:lang w:val="es-ES_tradnl"/>
        </w:rPr>
        <w:t>Planificar para</w:t>
      </w:r>
      <w:r w:rsidR="00E5048B" w:rsidRPr="002720D0">
        <w:rPr>
          <w:lang w:val="es-ES_tradnl"/>
        </w:rPr>
        <w:t xml:space="preserve"> un personal san</w:t>
      </w:r>
      <w:r w:rsidRPr="002720D0">
        <w:rPr>
          <w:lang w:val="es-ES_tradnl"/>
        </w:rPr>
        <w:t>itario competente, teniendo en cuenta</w:t>
      </w:r>
      <w:r w:rsidR="00E5048B" w:rsidRPr="002720D0">
        <w:rPr>
          <w:lang w:val="es-ES_tradnl"/>
        </w:rPr>
        <w:t xml:space="preserve"> su formación y el </w:t>
      </w:r>
      <w:r w:rsidRPr="002720D0">
        <w:rPr>
          <w:lang w:val="es-ES_tradnl"/>
        </w:rPr>
        <w:t>aumento</w:t>
      </w:r>
      <w:r w:rsidR="00E5048B" w:rsidRPr="002720D0">
        <w:rPr>
          <w:lang w:val="es-ES_tradnl"/>
        </w:rPr>
        <w:t xml:space="preserve"> de su número</w:t>
      </w:r>
      <w:r w:rsidR="00151021" w:rsidRPr="002720D0">
        <w:rPr>
          <w:lang w:val="es-ES_tradnl"/>
        </w:rPr>
        <w:t>;</w:t>
      </w:r>
    </w:p>
    <w:p w:rsidR="00151021" w:rsidRPr="002720D0" w:rsidRDefault="00151021" w:rsidP="00410BB5">
      <w:pPr>
        <w:pStyle w:val="Bullet1G"/>
        <w:rPr>
          <w:lang w:val="es-ES_tradnl"/>
        </w:rPr>
      </w:pPr>
      <w:r w:rsidRPr="002720D0">
        <w:rPr>
          <w:lang w:val="es-ES_tradnl"/>
        </w:rPr>
        <w:t>Identif</w:t>
      </w:r>
      <w:r w:rsidR="00E5048B" w:rsidRPr="002720D0">
        <w:rPr>
          <w:lang w:val="es-ES_tradnl"/>
        </w:rPr>
        <w:t xml:space="preserve">icar y mantener las infraestructuras y el equipamiento médico; y </w:t>
      </w:r>
    </w:p>
    <w:p w:rsidR="00151021" w:rsidRPr="002720D0" w:rsidRDefault="00E5048B" w:rsidP="00410BB5">
      <w:pPr>
        <w:pStyle w:val="Bullet1G"/>
        <w:rPr>
          <w:lang w:val="es-ES_tradnl"/>
        </w:rPr>
      </w:pPr>
      <w:r w:rsidRPr="002720D0">
        <w:rPr>
          <w:lang w:val="es-ES_tradnl"/>
        </w:rPr>
        <w:t>Examinar y evaluar la polí</w:t>
      </w:r>
      <w:r w:rsidR="006D303B" w:rsidRPr="002720D0">
        <w:rPr>
          <w:lang w:val="es-ES_tradnl"/>
        </w:rPr>
        <w:t>tica, las directrices y</w:t>
      </w:r>
      <w:r w:rsidRPr="002720D0">
        <w:rPr>
          <w:lang w:val="es-ES_tradnl"/>
        </w:rPr>
        <w:t xml:space="preserve"> la legi</w:t>
      </w:r>
      <w:r w:rsidR="006D303B" w:rsidRPr="002720D0">
        <w:rPr>
          <w:lang w:val="es-ES_tradnl"/>
        </w:rPr>
        <w:t>slación sanitaria, así como</w:t>
      </w:r>
      <w:r w:rsidRPr="002720D0">
        <w:rPr>
          <w:lang w:val="es-ES_tradnl"/>
        </w:rPr>
        <w:t xml:space="preserve"> la normativa relativa a la provisión de servicios sanitarios.</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141.</w:t>
      </w:r>
      <w:r w:rsidRPr="002720D0">
        <w:rPr>
          <w:lang w:val="es-ES_tradnl"/>
        </w:rPr>
        <w:tab/>
      </w:r>
      <w:r w:rsidR="00E46C77" w:rsidRPr="002720D0">
        <w:rPr>
          <w:lang w:val="es-ES_tradnl"/>
        </w:rPr>
        <w:t>Ademá</w:t>
      </w:r>
      <w:r w:rsidR="00E5048B" w:rsidRPr="002720D0">
        <w:rPr>
          <w:lang w:val="es-ES_tradnl"/>
        </w:rPr>
        <w:t xml:space="preserve">s de la Política sanitaria, el Estado parte ha adoptado diversas políticas y estrategias suplementarias </w:t>
      </w:r>
      <w:r w:rsidR="00564378" w:rsidRPr="002720D0">
        <w:rPr>
          <w:lang w:val="es-ES_tradnl"/>
        </w:rPr>
        <w:t xml:space="preserve">en apoyo del objetivo del logro de mejoras en la salud y el bienestar de sus ciudadanos, comprendidos los niños. Entre estas se incluyen la Política </w:t>
      </w:r>
      <w:r w:rsidR="00564378" w:rsidRPr="00B57F06">
        <w:rPr>
          <w:lang w:val="es-ES_tradnl"/>
        </w:rPr>
        <w:t xml:space="preserve">nacional de lucha contra el VIH/SIDA, adoptada en 2001; el Plan estratégico III del sector sanitario para el período comprendido entre julio de 2009 y junio de 2015, </w:t>
      </w:r>
      <w:r w:rsidR="004E3DF3" w:rsidRPr="00B57F06">
        <w:rPr>
          <w:lang w:val="es-ES_tradnl"/>
        </w:rPr>
        <w:t xml:space="preserve">la Visión 2025 y </w:t>
      </w:r>
      <w:r w:rsidR="00D7725E" w:rsidRPr="00B57F06">
        <w:rPr>
          <w:lang w:val="es-ES_tradnl"/>
        </w:rPr>
        <w:t>el programa</w:t>
      </w:r>
      <w:r w:rsidR="004E3DF3" w:rsidRPr="00B57F06">
        <w:rPr>
          <w:lang w:val="es-ES_tradnl"/>
        </w:rPr>
        <w:t xml:space="preserve"> nacional de crecimiento y reducción de la pobreza de Tanzanía (MKUKUTA, por sus siglas en </w:t>
      </w:r>
      <w:r w:rsidR="00D7725E" w:rsidRPr="00B57F06">
        <w:rPr>
          <w:i/>
          <w:lang w:val="es-ES_tradnl"/>
        </w:rPr>
        <w:t>swahili</w:t>
      </w:r>
      <w:r w:rsidR="004E3DF3" w:rsidRPr="00B57F06">
        <w:rPr>
          <w:lang w:val="es-ES_tradnl"/>
        </w:rPr>
        <w:t>).</w:t>
      </w:r>
      <w:r w:rsidR="001D2A53">
        <w:rPr>
          <w:lang w:val="es-ES_tradnl"/>
        </w:rPr>
        <w:t xml:space="preserve"> </w:t>
      </w:r>
    </w:p>
    <w:p w:rsidR="00151021" w:rsidRPr="002720D0" w:rsidRDefault="00012B57" w:rsidP="00410BB5">
      <w:pPr>
        <w:pStyle w:val="H23G"/>
        <w:rPr>
          <w:lang w:val="es-ES_tradnl"/>
        </w:rPr>
      </w:pPr>
      <w:r w:rsidRPr="002720D0">
        <w:rPr>
          <w:lang w:val="es-ES_tradnl"/>
        </w:rPr>
        <w:tab/>
      </w:r>
      <w:r w:rsidR="00151021" w:rsidRPr="002720D0">
        <w:rPr>
          <w:lang w:val="es-ES_tradnl"/>
        </w:rPr>
        <w:t>b)</w:t>
      </w:r>
      <w:r w:rsidRPr="002720D0">
        <w:rPr>
          <w:lang w:val="es-ES_tradnl"/>
        </w:rPr>
        <w:tab/>
      </w:r>
      <w:r w:rsidR="00E46C77" w:rsidRPr="002720D0">
        <w:rPr>
          <w:lang w:val="es-ES_tradnl"/>
        </w:rPr>
        <w:t>Po</w:t>
      </w:r>
      <w:r w:rsidR="00352E15" w:rsidRPr="002720D0">
        <w:rPr>
          <w:lang w:val="es-ES_tradnl"/>
        </w:rPr>
        <w:t>l</w:t>
      </w:r>
      <w:r w:rsidR="00E46C77" w:rsidRPr="002720D0">
        <w:rPr>
          <w:lang w:val="es-ES_tradnl"/>
        </w:rPr>
        <w:t>ít</w:t>
      </w:r>
      <w:r w:rsidR="00352E15" w:rsidRPr="002720D0">
        <w:rPr>
          <w:lang w:val="es-ES_tradnl"/>
        </w:rPr>
        <w:t>ica nacional contra el VIH/SIDA</w:t>
      </w:r>
    </w:p>
    <w:p w:rsidR="00151021" w:rsidRPr="002720D0" w:rsidRDefault="004F6364" w:rsidP="004F6364">
      <w:pPr>
        <w:pStyle w:val="SingleTxtG"/>
        <w:tabs>
          <w:tab w:val="left" w:pos="-360"/>
        </w:tabs>
        <w:rPr>
          <w:lang w:val="es-ES_tradnl"/>
        </w:rPr>
      </w:pPr>
      <w:r w:rsidRPr="002720D0">
        <w:rPr>
          <w:lang w:val="es-ES_tradnl"/>
        </w:rPr>
        <w:t>142.</w:t>
      </w:r>
      <w:r w:rsidRPr="002720D0">
        <w:rPr>
          <w:lang w:val="es-ES_tradnl"/>
        </w:rPr>
        <w:tab/>
      </w:r>
      <w:r w:rsidR="00352E15" w:rsidRPr="002720D0">
        <w:rPr>
          <w:lang w:val="es-ES_tradnl"/>
        </w:rPr>
        <w:t>En su respuesta</w:t>
      </w:r>
      <w:r w:rsidR="00151021" w:rsidRPr="002720D0">
        <w:rPr>
          <w:lang w:val="es-ES_tradnl"/>
        </w:rPr>
        <w:t xml:space="preserve"> </w:t>
      </w:r>
      <w:r w:rsidR="00352E15" w:rsidRPr="002720D0">
        <w:rPr>
          <w:lang w:val="es-ES_tradnl"/>
        </w:rPr>
        <w:t xml:space="preserve">a la pandemia de </w:t>
      </w:r>
      <w:r w:rsidR="00FE3F13" w:rsidRPr="002720D0">
        <w:rPr>
          <w:lang w:val="es-ES_tradnl"/>
        </w:rPr>
        <w:t>VIH/SIDA, el Gobierno de Tanzaní</w:t>
      </w:r>
      <w:r w:rsidR="00352E15" w:rsidRPr="002720D0">
        <w:rPr>
          <w:lang w:val="es-ES_tradnl"/>
        </w:rPr>
        <w:t xml:space="preserve">a ha logrado progresos en casi todas las esferas de prevención, cuidados y tratamiento del VIH/SIDA. También se han logrado progresos en la mitigación de las consecuencias </w:t>
      </w:r>
      <w:r w:rsidR="00D7725E" w:rsidRPr="002720D0">
        <w:rPr>
          <w:lang w:val="es-ES_tradnl"/>
        </w:rPr>
        <w:t>por medio de</w:t>
      </w:r>
      <w:r w:rsidR="00352E15" w:rsidRPr="002720D0">
        <w:rPr>
          <w:lang w:val="es-ES_tradnl"/>
        </w:rPr>
        <w:t xml:space="preserve"> la comunicación y la promoción, y en la participación de la comunidad </w:t>
      </w:r>
      <w:r w:rsidR="00D7725E" w:rsidRPr="002720D0">
        <w:rPr>
          <w:lang w:val="es-ES_tradnl"/>
        </w:rPr>
        <w:t>por medio de</w:t>
      </w:r>
      <w:r w:rsidR="00352E15" w:rsidRPr="002720D0">
        <w:rPr>
          <w:lang w:val="es-ES_tradnl"/>
        </w:rPr>
        <w:t xml:space="preserve"> respuestas multisectoriales. </w:t>
      </w:r>
      <w:r w:rsidR="00A049F5" w:rsidRPr="002720D0">
        <w:rPr>
          <w:lang w:val="es-ES_tradnl"/>
        </w:rPr>
        <w:t>El VIH/SIDA se incluye</w:t>
      </w:r>
      <w:r w:rsidR="002706BA" w:rsidRPr="002720D0">
        <w:rPr>
          <w:lang w:val="es-ES_tradnl"/>
        </w:rPr>
        <w:t xml:space="preserve"> </w:t>
      </w:r>
      <w:r w:rsidR="00463AD8" w:rsidRPr="002720D0">
        <w:rPr>
          <w:lang w:val="es-ES_tradnl"/>
        </w:rPr>
        <w:t xml:space="preserve">en </w:t>
      </w:r>
      <w:r w:rsidR="000B0BB0" w:rsidRPr="002720D0">
        <w:rPr>
          <w:lang w:val="es-ES_tradnl"/>
        </w:rPr>
        <w:t xml:space="preserve">la agenda para el desarrollo correspondiente a la estrategia nacional de reducción de la pobreza, conocida como MKUKUTA, por sus siglas en </w:t>
      </w:r>
      <w:r w:rsidR="00D7725E" w:rsidRPr="002720D0">
        <w:rPr>
          <w:i/>
          <w:lang w:val="es-ES_tradnl"/>
        </w:rPr>
        <w:t>swahili</w:t>
      </w:r>
      <w:r w:rsidR="000B0BB0" w:rsidRPr="002720D0">
        <w:rPr>
          <w:lang w:val="es-ES_tradnl"/>
        </w:rPr>
        <w:t xml:space="preserve">, y la Visión nacional </w:t>
      </w:r>
      <w:r w:rsidR="00753534" w:rsidRPr="002720D0">
        <w:rPr>
          <w:lang w:val="es-ES_tradnl"/>
        </w:rPr>
        <w:t xml:space="preserve">de desarrollo de 2025. La política hace hincapié en la incorporación de los pacientes afectados por el VIH/SIDA en todos los sectores. La elaboración de la directriz nacional sobre la prevención y el control del VIH/SIDA en el sector público constituye un esfuerzo del Gobierno destinado a llevar a la acción su compromiso con la lucha contra la epidemia y con la mejora del bienestar de la población. </w:t>
      </w:r>
    </w:p>
    <w:p w:rsidR="00151021" w:rsidRPr="002720D0" w:rsidRDefault="004F6364" w:rsidP="004F6364">
      <w:pPr>
        <w:pStyle w:val="SingleTxtG"/>
        <w:tabs>
          <w:tab w:val="left" w:pos="-360"/>
        </w:tabs>
        <w:rPr>
          <w:lang w:val="es-ES_tradnl"/>
        </w:rPr>
      </w:pPr>
      <w:r w:rsidRPr="002720D0">
        <w:rPr>
          <w:lang w:val="es-ES_tradnl"/>
        </w:rPr>
        <w:t>143.</w:t>
      </w:r>
      <w:r w:rsidRPr="002720D0">
        <w:rPr>
          <w:lang w:val="es-ES_tradnl"/>
        </w:rPr>
        <w:tab/>
      </w:r>
      <w:r w:rsidR="00753534" w:rsidRPr="002720D0">
        <w:rPr>
          <w:lang w:val="es-ES_tradnl"/>
        </w:rPr>
        <w:t xml:space="preserve">La Política nacional de lucha contra el VIH/SIDA </w:t>
      </w:r>
      <w:r w:rsidR="00617EE4" w:rsidRPr="002720D0">
        <w:rPr>
          <w:lang w:val="es-ES_tradnl"/>
        </w:rPr>
        <w:t>se aprobó en</w:t>
      </w:r>
      <w:r w:rsidR="00753534" w:rsidRPr="002720D0">
        <w:rPr>
          <w:lang w:val="es-ES_tradnl"/>
        </w:rPr>
        <w:t xml:space="preserve"> noviembre de </w:t>
      </w:r>
      <w:r w:rsidR="00D7725E" w:rsidRPr="002720D0">
        <w:rPr>
          <w:lang w:val="es-ES_tradnl"/>
        </w:rPr>
        <w:t>2001, con el</w:t>
      </w:r>
      <w:r w:rsidR="00617EE4" w:rsidRPr="002720D0">
        <w:rPr>
          <w:lang w:val="es-ES_tradnl"/>
        </w:rPr>
        <w:t xml:space="preserve"> objetivo </w:t>
      </w:r>
      <w:r w:rsidR="00D7725E" w:rsidRPr="002720D0">
        <w:rPr>
          <w:lang w:val="es-ES_tradnl"/>
        </w:rPr>
        <w:t>de</w:t>
      </w:r>
      <w:r w:rsidR="00617EE4" w:rsidRPr="002720D0">
        <w:rPr>
          <w:lang w:val="es-ES_tradnl"/>
        </w:rPr>
        <w:t xml:space="preserve"> proporcionar un marco nacional para el liderazgo y la coordinación de la respuesta multisectorial ante la epidemia de VIH/SIDA (Gabinete del Primer Ministro, 2001). </w:t>
      </w:r>
      <w:r w:rsidR="00D7725E" w:rsidRPr="002720D0">
        <w:rPr>
          <w:lang w:val="es-ES_tradnl"/>
        </w:rPr>
        <w:t>También aporta</w:t>
      </w:r>
      <w:r w:rsidR="00617EE4" w:rsidRPr="002720D0">
        <w:rPr>
          <w:lang w:val="es-ES_tradnl"/>
        </w:rPr>
        <w:t xml:space="preserve"> un marco para el fortalecimiento de la capacidad de las instituciones, las comunidades y los individuos en todos los sectores para poner fin a la </w:t>
      </w:r>
      <w:r w:rsidR="00D7725E" w:rsidRPr="002720D0">
        <w:rPr>
          <w:lang w:val="es-ES_tradnl"/>
        </w:rPr>
        <w:t>propagación de la epidemia; este marco</w:t>
      </w:r>
      <w:r w:rsidR="00617EE4" w:rsidRPr="002720D0">
        <w:rPr>
          <w:lang w:val="es-ES_tradnl"/>
        </w:rPr>
        <w:t xml:space="preserve"> incluye la formulación por todos los sectores de intervenciones apropiadas</w:t>
      </w:r>
      <w:r w:rsidR="00D7725E" w:rsidRPr="002720D0">
        <w:rPr>
          <w:lang w:val="es-ES_tradnl"/>
        </w:rPr>
        <w:t>,</w:t>
      </w:r>
      <w:r w:rsidR="00617EE4" w:rsidRPr="002720D0">
        <w:rPr>
          <w:lang w:val="es-ES_tradnl"/>
        </w:rPr>
        <w:t xml:space="preserve"> destinadas a evitar la transmisión del VIH/SIDA y otras infecciones de transmisión sexual, a proteger y apoyar a los grupos vulnerables, y a reducir el impacto social y económico del VIH/SIDA. </w:t>
      </w:r>
    </w:p>
    <w:p w:rsidR="00151021" w:rsidRPr="002720D0" w:rsidRDefault="004F6364" w:rsidP="004F6364">
      <w:pPr>
        <w:pStyle w:val="SingleTxtG"/>
        <w:tabs>
          <w:tab w:val="left" w:pos="-360"/>
        </w:tabs>
        <w:rPr>
          <w:lang w:val="es-ES_tradnl"/>
        </w:rPr>
      </w:pPr>
      <w:r w:rsidRPr="002720D0">
        <w:rPr>
          <w:lang w:val="es-ES_tradnl"/>
        </w:rPr>
        <w:t>144.</w:t>
      </w:r>
      <w:r w:rsidRPr="002720D0">
        <w:rPr>
          <w:lang w:val="es-ES_tradnl"/>
        </w:rPr>
        <w:tab/>
      </w:r>
      <w:r w:rsidR="00617EE4" w:rsidRPr="002720D0">
        <w:rPr>
          <w:lang w:val="es-ES_tradnl"/>
        </w:rPr>
        <w:t xml:space="preserve">La Política nacional de lucha contra el VIH/SIDA y el Marco estratégico nacional multisectorial son herramientas que </w:t>
      </w:r>
      <w:r w:rsidR="00320390" w:rsidRPr="002720D0">
        <w:rPr>
          <w:lang w:val="es-ES_tradnl"/>
        </w:rPr>
        <w:t>orientan la labor de aplicació</w:t>
      </w:r>
      <w:r w:rsidR="00BD1F73" w:rsidRPr="002720D0">
        <w:rPr>
          <w:lang w:val="es-ES_tradnl"/>
        </w:rPr>
        <w:t xml:space="preserve">n de las respuestas multisectoriales nacionales. La Comisión de Tanzanía para el </w:t>
      </w:r>
      <w:r w:rsidR="00950B30" w:rsidRPr="002720D0">
        <w:rPr>
          <w:lang w:val="es-ES_tradnl"/>
        </w:rPr>
        <w:t>Sida</w:t>
      </w:r>
      <w:r w:rsidR="00BD1F73" w:rsidRPr="002720D0">
        <w:rPr>
          <w:lang w:val="es-ES_tradnl"/>
        </w:rPr>
        <w:t xml:space="preserve"> </w:t>
      </w:r>
      <w:r w:rsidR="00151021" w:rsidRPr="002720D0">
        <w:rPr>
          <w:lang w:val="es-ES_tradnl"/>
        </w:rPr>
        <w:t>(TACAIDS) pro</w:t>
      </w:r>
      <w:r w:rsidR="00BD1F73" w:rsidRPr="002720D0">
        <w:rPr>
          <w:lang w:val="es-ES_tradnl"/>
        </w:rPr>
        <w:t>porciona el liderazgo estratégico y la coordinación de las respuestas multisectoriales, comprendida</w:t>
      </w:r>
      <w:r w:rsidR="00D7725E" w:rsidRPr="002720D0">
        <w:rPr>
          <w:lang w:val="es-ES_tradnl"/>
        </w:rPr>
        <w:t>s</w:t>
      </w:r>
      <w:r w:rsidR="00BD1F73" w:rsidRPr="002720D0">
        <w:rPr>
          <w:lang w:val="es-ES_tradnl"/>
        </w:rPr>
        <w:t xml:space="preserve"> la vigilancia y la evaluación, la investigación, la movilización de recursos y la promoción. </w:t>
      </w:r>
    </w:p>
    <w:p w:rsidR="00151021" w:rsidRPr="002720D0" w:rsidRDefault="00012B57" w:rsidP="00586395">
      <w:pPr>
        <w:pStyle w:val="H23G"/>
        <w:outlineLvl w:val="0"/>
        <w:rPr>
          <w:lang w:val="es-ES_tradnl"/>
        </w:rPr>
      </w:pPr>
      <w:r w:rsidRPr="002720D0">
        <w:rPr>
          <w:lang w:val="es-ES_tradnl"/>
        </w:rPr>
        <w:tab/>
      </w:r>
      <w:r w:rsidR="00151021" w:rsidRPr="002720D0">
        <w:rPr>
          <w:lang w:val="es-ES_tradnl"/>
        </w:rPr>
        <w:t>c)</w:t>
      </w:r>
      <w:r w:rsidRPr="002720D0">
        <w:rPr>
          <w:lang w:val="es-ES_tradnl"/>
        </w:rPr>
        <w:tab/>
      </w:r>
      <w:r w:rsidR="009960B8" w:rsidRPr="002720D0">
        <w:rPr>
          <w:lang w:val="es-ES_tradnl"/>
        </w:rPr>
        <w:t xml:space="preserve">Legislación </w:t>
      </w:r>
      <w:r w:rsidR="00BE356C" w:rsidRPr="002720D0">
        <w:rPr>
          <w:lang w:val="es-ES_tradnl"/>
        </w:rPr>
        <w:t>sanitaria</w:t>
      </w:r>
    </w:p>
    <w:p w:rsidR="00151021" w:rsidRPr="002720D0" w:rsidRDefault="004F6364" w:rsidP="004F6364">
      <w:pPr>
        <w:pStyle w:val="SingleTxtG"/>
        <w:tabs>
          <w:tab w:val="left" w:pos="-360"/>
        </w:tabs>
        <w:rPr>
          <w:lang w:val="es-ES_tradnl"/>
        </w:rPr>
      </w:pPr>
      <w:r w:rsidRPr="002720D0">
        <w:rPr>
          <w:lang w:val="es-ES_tradnl"/>
        </w:rPr>
        <w:t>145.</w:t>
      </w:r>
      <w:r w:rsidRPr="002720D0">
        <w:rPr>
          <w:lang w:val="es-ES_tradnl"/>
        </w:rPr>
        <w:tab/>
      </w:r>
      <w:r w:rsidR="00BE356C" w:rsidRPr="002720D0">
        <w:rPr>
          <w:lang w:val="es-ES_tradnl"/>
        </w:rPr>
        <w:t>Para aplicar las políticas sanitarias descritas</w:t>
      </w:r>
      <w:r w:rsidR="00D7725E" w:rsidRPr="002720D0">
        <w:rPr>
          <w:lang w:val="es-ES_tradnl"/>
        </w:rPr>
        <w:t xml:space="preserve"> anteriormente</w:t>
      </w:r>
      <w:r w:rsidR="00FE3F13" w:rsidRPr="002720D0">
        <w:rPr>
          <w:lang w:val="es-ES_tradnl"/>
        </w:rPr>
        <w:t>, el Estado p</w:t>
      </w:r>
      <w:r w:rsidR="00BE356C" w:rsidRPr="002720D0">
        <w:rPr>
          <w:lang w:val="es-ES_tradnl"/>
        </w:rPr>
        <w:t xml:space="preserve">arte ha promulgado legislación destinada a hacer cumplir los compromisos de política </w:t>
      </w:r>
      <w:r w:rsidR="00D7725E" w:rsidRPr="002720D0">
        <w:rPr>
          <w:lang w:val="es-ES_tradnl"/>
        </w:rPr>
        <w:t>expuestos</w:t>
      </w:r>
      <w:r w:rsidR="00BE356C" w:rsidRPr="002720D0">
        <w:rPr>
          <w:lang w:val="es-ES_tradnl"/>
        </w:rPr>
        <w:t xml:space="preserve">. La legislación vigente para el sector sanitario se divide en las siguientes esferas principales: </w:t>
      </w:r>
    </w:p>
    <w:p w:rsidR="00151021" w:rsidRPr="002720D0" w:rsidRDefault="00FE3F13" w:rsidP="00410BB5">
      <w:pPr>
        <w:pStyle w:val="Bullet1G"/>
        <w:rPr>
          <w:lang w:val="es-ES_tradnl"/>
        </w:rPr>
      </w:pPr>
      <w:r w:rsidRPr="002720D0">
        <w:rPr>
          <w:lang w:val="es-ES_tradnl"/>
        </w:rPr>
        <w:t>Legislación en materia de salud p</w:t>
      </w:r>
      <w:r w:rsidR="00BE356C" w:rsidRPr="002720D0">
        <w:rPr>
          <w:lang w:val="es-ES_tradnl"/>
        </w:rPr>
        <w:t>ública, cuyo objeto es el control de las epidemias y las enfermedades infecciosas, y la protección de la salud ambiental;</w:t>
      </w:r>
      <w:r w:rsidR="001D2A53">
        <w:rPr>
          <w:lang w:val="es-ES_tradnl"/>
        </w:rPr>
        <w:t xml:space="preserve"> </w:t>
      </w:r>
    </w:p>
    <w:p w:rsidR="00151021" w:rsidRPr="002720D0" w:rsidRDefault="00BE356C" w:rsidP="00410BB5">
      <w:pPr>
        <w:pStyle w:val="Bullet1G"/>
        <w:rPr>
          <w:lang w:val="es-ES_tradnl"/>
        </w:rPr>
      </w:pPr>
      <w:r w:rsidRPr="002720D0">
        <w:rPr>
          <w:lang w:val="es-ES_tradnl"/>
        </w:rPr>
        <w:t>Legislación sobre las profesiones sanitarias, que rige las actividades y la conducta profesionales d</w:t>
      </w:r>
      <w:r w:rsidR="00D7725E" w:rsidRPr="002720D0">
        <w:rPr>
          <w:lang w:val="es-ES_tradnl"/>
        </w:rPr>
        <w:t>e los profesionales de la salud,</w:t>
      </w:r>
      <w:r w:rsidRPr="002720D0">
        <w:rPr>
          <w:lang w:val="es-ES_tradnl"/>
        </w:rPr>
        <w:t xml:space="preserve"> como </w:t>
      </w:r>
      <w:r w:rsidR="00D7725E" w:rsidRPr="002720D0">
        <w:rPr>
          <w:lang w:val="es-ES_tradnl"/>
        </w:rPr>
        <w:t xml:space="preserve">son </w:t>
      </w:r>
      <w:r w:rsidRPr="002720D0">
        <w:rPr>
          <w:lang w:val="es-ES_tradnl"/>
        </w:rPr>
        <w:t xml:space="preserve">los médicos, los odontólogos, los farmacéuticos, el personal de enfermería, etc.; </w:t>
      </w:r>
    </w:p>
    <w:p w:rsidR="00151021" w:rsidRPr="002720D0" w:rsidRDefault="00151021" w:rsidP="00410BB5">
      <w:pPr>
        <w:pStyle w:val="Bullet1G"/>
        <w:rPr>
          <w:lang w:val="es-ES_tradnl"/>
        </w:rPr>
      </w:pPr>
      <w:r w:rsidRPr="002720D0">
        <w:rPr>
          <w:lang w:val="es-ES_tradnl"/>
        </w:rPr>
        <w:t>Legisla</w:t>
      </w:r>
      <w:r w:rsidR="00BE356C" w:rsidRPr="002720D0">
        <w:rPr>
          <w:lang w:val="es-ES_tradnl"/>
        </w:rPr>
        <w:t>ción por la que se establecen instituciones sanitarias autónomas para cubrir una necesidad específica, entre ellas las instituciones de investigación médica y los</w:t>
      </w:r>
      <w:r w:rsidR="001D2A53">
        <w:rPr>
          <w:lang w:val="es-ES_tradnl"/>
        </w:rPr>
        <w:t xml:space="preserve"> </w:t>
      </w:r>
      <w:r w:rsidR="00BE356C" w:rsidRPr="002720D0">
        <w:rPr>
          <w:lang w:val="es-ES_tradnl"/>
        </w:rPr>
        <w:t>hospitales nacionales y especializados; y</w:t>
      </w:r>
    </w:p>
    <w:p w:rsidR="00151021" w:rsidRPr="002720D0" w:rsidRDefault="00BE356C" w:rsidP="00410BB5">
      <w:pPr>
        <w:pStyle w:val="Bullet1G"/>
        <w:rPr>
          <w:lang w:val="es-ES_tradnl"/>
        </w:rPr>
      </w:pPr>
      <w:r w:rsidRPr="002720D0">
        <w:rPr>
          <w:lang w:val="es-ES_tradnl"/>
        </w:rPr>
        <w:t>Legislación de financiación de la sanidad, destinada a propo</w:t>
      </w:r>
      <w:r w:rsidR="00320390" w:rsidRPr="002720D0">
        <w:rPr>
          <w:lang w:val="es-ES_tradnl"/>
        </w:rPr>
        <w:t>r</w:t>
      </w:r>
      <w:r w:rsidRPr="002720D0">
        <w:rPr>
          <w:lang w:val="es-ES_tradnl"/>
        </w:rPr>
        <w:t>cionar un mecanismo alternativo de financiación de los servicios de salud</w:t>
      </w:r>
      <w:r w:rsidR="00FB6441" w:rsidRPr="002720D0">
        <w:rPr>
          <w:lang w:val="es-ES_tradnl"/>
        </w:rPr>
        <w:t>,</w:t>
      </w:r>
      <w:r w:rsidRPr="002720D0">
        <w:rPr>
          <w:lang w:val="es-ES_tradnl"/>
        </w:rPr>
        <w:t xml:space="preserve"> en aras de suplementar </w:t>
      </w:r>
      <w:r w:rsidR="00FB6441" w:rsidRPr="002720D0">
        <w:rPr>
          <w:lang w:val="es-ES_tradnl"/>
        </w:rPr>
        <w:t xml:space="preserve">las iniciativas gubernamentales para </w:t>
      </w:r>
      <w:r w:rsidRPr="002720D0">
        <w:rPr>
          <w:lang w:val="es-ES_tradnl"/>
        </w:rPr>
        <w:t xml:space="preserve">la financiación de los servicios sanitarios en el país. </w:t>
      </w:r>
    </w:p>
    <w:p w:rsidR="00151021" w:rsidRPr="002720D0" w:rsidRDefault="004F6364" w:rsidP="004F6364">
      <w:pPr>
        <w:pStyle w:val="SingleTxtG"/>
        <w:tabs>
          <w:tab w:val="left" w:pos="-360"/>
        </w:tabs>
        <w:rPr>
          <w:lang w:val="es-ES_tradnl"/>
        </w:rPr>
      </w:pPr>
      <w:r w:rsidRPr="002720D0">
        <w:rPr>
          <w:lang w:val="es-ES_tradnl"/>
        </w:rPr>
        <w:t>146.</w:t>
      </w:r>
      <w:r w:rsidRPr="002720D0">
        <w:rPr>
          <w:lang w:val="es-ES_tradnl"/>
        </w:rPr>
        <w:tab/>
      </w:r>
      <w:r w:rsidR="00FB6441" w:rsidRPr="002720D0">
        <w:rPr>
          <w:lang w:val="es-ES_tradnl"/>
        </w:rPr>
        <w:t>L</w:t>
      </w:r>
      <w:r w:rsidR="007E3456" w:rsidRPr="002720D0">
        <w:rPr>
          <w:lang w:val="es-ES_tradnl"/>
        </w:rPr>
        <w:t xml:space="preserve">a eficaz aplicación de esa legislación </w:t>
      </w:r>
      <w:r w:rsidR="00FB6441" w:rsidRPr="002720D0">
        <w:rPr>
          <w:lang w:val="es-ES_tradnl"/>
        </w:rPr>
        <w:t xml:space="preserve">es necesaria </w:t>
      </w:r>
      <w:r w:rsidR="007E3456" w:rsidRPr="002720D0">
        <w:rPr>
          <w:lang w:val="es-ES_tradnl"/>
        </w:rPr>
        <w:t xml:space="preserve">para </w:t>
      </w:r>
      <w:r w:rsidR="00FB6441" w:rsidRPr="002720D0">
        <w:rPr>
          <w:lang w:val="es-ES_tradnl"/>
        </w:rPr>
        <w:t>lograr</w:t>
      </w:r>
      <w:r w:rsidR="007E3456" w:rsidRPr="002720D0">
        <w:rPr>
          <w:lang w:val="es-ES_tradnl"/>
        </w:rPr>
        <w:t xml:space="preserve"> los objetivos para los que fue promulgada. Asimismo, debido a diversos cambios socioeconómicos, normativos y políticos, resulta evidente la necesidad tanto</w:t>
      </w:r>
      <w:r w:rsidR="00FB6441" w:rsidRPr="002720D0">
        <w:rPr>
          <w:lang w:val="es-ES_tradnl"/>
        </w:rPr>
        <w:t xml:space="preserve"> de promulgar como de revisar</w:t>
      </w:r>
      <w:r w:rsidR="007E3456" w:rsidRPr="002720D0">
        <w:rPr>
          <w:lang w:val="es-ES_tradnl"/>
        </w:rPr>
        <w:t xml:space="preserve"> la legislación sanitaria actual.</w:t>
      </w:r>
      <w:r w:rsidR="001D2A53">
        <w:rPr>
          <w:lang w:val="es-ES_tradnl"/>
        </w:rPr>
        <w:t xml:space="preserve"> </w:t>
      </w:r>
    </w:p>
    <w:p w:rsidR="00151021" w:rsidRPr="002720D0" w:rsidRDefault="00012B57" w:rsidP="00586395">
      <w:pPr>
        <w:pStyle w:val="H23G"/>
        <w:outlineLvl w:val="0"/>
        <w:rPr>
          <w:lang w:val="es-ES_tradnl"/>
        </w:rPr>
      </w:pPr>
      <w:r w:rsidRPr="002720D0">
        <w:rPr>
          <w:lang w:val="es-ES_tradnl"/>
        </w:rPr>
        <w:tab/>
      </w:r>
      <w:r w:rsidR="00151021" w:rsidRPr="002720D0">
        <w:rPr>
          <w:lang w:val="es-ES_tradnl"/>
        </w:rPr>
        <w:t>d)</w:t>
      </w:r>
      <w:r w:rsidRPr="002720D0">
        <w:rPr>
          <w:lang w:val="es-ES_tradnl"/>
        </w:rPr>
        <w:tab/>
      </w:r>
      <w:r w:rsidR="00980930" w:rsidRPr="002720D0">
        <w:rPr>
          <w:lang w:val="es-ES_tradnl"/>
        </w:rPr>
        <w:t xml:space="preserve">III </w:t>
      </w:r>
      <w:r w:rsidR="000231E3" w:rsidRPr="002720D0">
        <w:rPr>
          <w:lang w:val="es-ES_tradnl"/>
        </w:rPr>
        <w:t>Plan estratégico del sec</w:t>
      </w:r>
      <w:r w:rsidR="00980930" w:rsidRPr="002720D0">
        <w:rPr>
          <w:lang w:val="es-ES_tradnl"/>
        </w:rPr>
        <w:t>t</w:t>
      </w:r>
      <w:r w:rsidR="00410BB5">
        <w:rPr>
          <w:lang w:val="es-ES_tradnl"/>
        </w:rPr>
        <w:t>or de la salud</w:t>
      </w:r>
    </w:p>
    <w:p w:rsidR="00151021" w:rsidRPr="002720D0" w:rsidRDefault="004F6364" w:rsidP="004F6364">
      <w:pPr>
        <w:pStyle w:val="SingleTxtG"/>
        <w:tabs>
          <w:tab w:val="left" w:pos="-360"/>
        </w:tabs>
        <w:rPr>
          <w:lang w:val="es-ES_tradnl"/>
        </w:rPr>
      </w:pPr>
      <w:r w:rsidRPr="002720D0">
        <w:rPr>
          <w:lang w:val="es-ES_tradnl"/>
        </w:rPr>
        <w:t>147.</w:t>
      </w:r>
      <w:r w:rsidRPr="002720D0">
        <w:rPr>
          <w:lang w:val="es-ES_tradnl"/>
        </w:rPr>
        <w:tab/>
      </w:r>
      <w:r w:rsidR="00E83EAF" w:rsidRPr="002720D0">
        <w:rPr>
          <w:lang w:val="es-ES_tradnl"/>
        </w:rPr>
        <w:t>El Estado p</w:t>
      </w:r>
      <w:r w:rsidR="000231E3" w:rsidRPr="002720D0">
        <w:rPr>
          <w:lang w:val="es-ES_tradnl"/>
        </w:rPr>
        <w:t xml:space="preserve">arte </w:t>
      </w:r>
      <w:r w:rsidR="00980930" w:rsidRPr="002720D0">
        <w:rPr>
          <w:lang w:val="es-ES_tradnl"/>
        </w:rPr>
        <w:t xml:space="preserve">ha adoptado asimismo el III Plan estratégico del sector de la salud, que representa el plan estratégico transversal para el sector de la salud en Tanzanía para </w:t>
      </w:r>
      <w:r w:rsidR="00E83EAF" w:rsidRPr="002720D0">
        <w:rPr>
          <w:lang w:val="es-ES_tradnl"/>
        </w:rPr>
        <w:t>el período comprendido entre julio de 2009 y jun</w:t>
      </w:r>
      <w:r w:rsidR="00980930" w:rsidRPr="002720D0">
        <w:rPr>
          <w:lang w:val="es-ES_tradnl"/>
        </w:rPr>
        <w:t xml:space="preserve">io de </w:t>
      </w:r>
      <w:r w:rsidR="00151021" w:rsidRPr="002720D0">
        <w:rPr>
          <w:lang w:val="es-ES_tradnl"/>
        </w:rPr>
        <w:t xml:space="preserve">2015. </w:t>
      </w:r>
      <w:r w:rsidR="00980930" w:rsidRPr="002720D0">
        <w:rPr>
          <w:lang w:val="es-ES_tradnl"/>
        </w:rPr>
        <w:t xml:space="preserve">Aporta una visión global de las direcciones estratégicas </w:t>
      </w:r>
      <w:r w:rsidR="00980930" w:rsidRPr="00B57F06">
        <w:rPr>
          <w:lang w:val="es-ES_tradnl"/>
        </w:rPr>
        <w:t xml:space="preserve">prioritarias para todo el sector, que se rige por la Política nacional sanitaria, Visión 2025, el </w:t>
      </w:r>
      <w:r w:rsidR="0078795C" w:rsidRPr="00B57F06">
        <w:rPr>
          <w:lang w:val="es-ES_tradnl"/>
        </w:rPr>
        <w:t>p</w:t>
      </w:r>
      <w:r w:rsidR="00980930" w:rsidRPr="00B57F06">
        <w:rPr>
          <w:lang w:val="es-ES_tradnl"/>
        </w:rPr>
        <w:t>rograma nacional</w:t>
      </w:r>
      <w:r w:rsidR="00980930" w:rsidRPr="002720D0">
        <w:rPr>
          <w:lang w:val="es-ES_tradnl"/>
        </w:rPr>
        <w:t xml:space="preserve"> de crecimiento y reducción de la pobreza de Tanzanía (MKUKUTA, por sus siglas en </w:t>
      </w:r>
      <w:r w:rsidR="004775FF" w:rsidRPr="002720D0">
        <w:rPr>
          <w:i/>
          <w:lang w:val="es-ES_tradnl"/>
        </w:rPr>
        <w:t>swahili</w:t>
      </w:r>
      <w:r w:rsidR="00980930" w:rsidRPr="002720D0">
        <w:rPr>
          <w:lang w:val="es-ES_tradnl"/>
        </w:rPr>
        <w:t xml:space="preserve">) y los Objetivos de Desarrollo del Milenio. </w:t>
      </w:r>
      <w:r w:rsidR="0073698A" w:rsidRPr="002720D0">
        <w:rPr>
          <w:lang w:val="es-ES_tradnl"/>
        </w:rPr>
        <w:t>Existen políticas, estrategias y planes de trabajo detallados tanto para asuntos relacionados con la salud como para el control de las enfer</w:t>
      </w:r>
      <w:r w:rsidR="00E83EAF" w:rsidRPr="002720D0">
        <w:rPr>
          <w:lang w:val="es-ES_tradnl"/>
        </w:rPr>
        <w:t xml:space="preserve">medades. El III Plan estratégico </w:t>
      </w:r>
      <w:r w:rsidR="00410BB5" w:rsidRPr="00410BB5">
        <w:rPr>
          <w:lang w:val="es-ES"/>
        </w:rPr>
        <w:t>—</w:t>
      </w:r>
      <w:r w:rsidR="00E83EAF" w:rsidRPr="002720D0">
        <w:rPr>
          <w:lang w:val="es-ES_tradnl"/>
        </w:rPr>
        <w:t>que, si bien no la</w:t>
      </w:r>
      <w:r w:rsidR="000A5CE5" w:rsidRPr="002720D0">
        <w:rPr>
          <w:lang w:val="es-ES_tradnl"/>
        </w:rPr>
        <w:t xml:space="preserve">s </w:t>
      </w:r>
      <w:r w:rsidR="00E83EAF" w:rsidRPr="002720D0">
        <w:rPr>
          <w:lang w:val="es-ES_tradnl"/>
        </w:rPr>
        <w:t>repite,</w:t>
      </w:r>
      <w:r w:rsidR="0073698A" w:rsidRPr="002720D0">
        <w:rPr>
          <w:lang w:val="es-ES_tradnl"/>
        </w:rPr>
        <w:t xml:space="preserve"> resume</w:t>
      </w:r>
      <w:r w:rsidR="000A5CE5" w:rsidRPr="002720D0">
        <w:rPr>
          <w:lang w:val="es-ES_tradnl"/>
        </w:rPr>
        <w:t xml:space="preserve"> sus direc</w:t>
      </w:r>
      <w:r w:rsidR="00410BB5">
        <w:rPr>
          <w:lang w:val="es-ES_tradnl"/>
        </w:rPr>
        <w:t>ciones estratégicas</w:t>
      </w:r>
      <w:r w:rsidR="00410BB5" w:rsidRPr="00410BB5">
        <w:rPr>
          <w:lang w:val="es-ES"/>
        </w:rPr>
        <w:t>—</w:t>
      </w:r>
      <w:r w:rsidR="000A5CE5" w:rsidRPr="00B57F06">
        <w:rPr>
          <w:lang w:val="es-ES_tradnl"/>
        </w:rPr>
        <w:t xml:space="preserve"> s</w:t>
      </w:r>
      <w:r w:rsidR="0073698A" w:rsidRPr="00B57F06">
        <w:rPr>
          <w:lang w:val="es-ES_tradnl"/>
        </w:rPr>
        <w:t>irve como documento rector para la elaboración de los planes estratégicos tanto del Consejo</w:t>
      </w:r>
      <w:r w:rsidR="00FC24FC" w:rsidRPr="00B57F06">
        <w:rPr>
          <w:lang w:val="es-ES_tradnl"/>
        </w:rPr>
        <w:t xml:space="preserve"> como</w:t>
      </w:r>
      <w:r w:rsidR="00FC24FC" w:rsidRPr="002720D0">
        <w:rPr>
          <w:lang w:val="es-ES_tradnl"/>
        </w:rPr>
        <w:t xml:space="preserve"> de los hospitales, así como </w:t>
      </w:r>
      <w:r w:rsidR="0073698A" w:rsidRPr="002720D0">
        <w:rPr>
          <w:lang w:val="es-ES_tradnl"/>
        </w:rPr>
        <w:t xml:space="preserve">para el plan de trabajo anual. El Ministerio de Salud y Bienestar Social ha identificado 11 estrategias que el sector de la salud debería </w:t>
      </w:r>
      <w:r w:rsidR="00BE0431" w:rsidRPr="002720D0">
        <w:rPr>
          <w:lang w:val="es-ES_tradnl"/>
        </w:rPr>
        <w:t>llevar a cumplimiento</w:t>
      </w:r>
      <w:r w:rsidR="00151021" w:rsidRPr="002720D0">
        <w:rPr>
          <w:lang w:val="es-ES_tradnl"/>
        </w:rPr>
        <w:t xml:space="preserve"> </w:t>
      </w:r>
      <w:r w:rsidR="00BE0431" w:rsidRPr="002720D0">
        <w:rPr>
          <w:lang w:val="es-ES_tradnl"/>
        </w:rPr>
        <w:t xml:space="preserve">durante el período de aplicación, a saber: </w:t>
      </w:r>
    </w:p>
    <w:p w:rsidR="00151021" w:rsidRPr="002720D0" w:rsidRDefault="003006C8" w:rsidP="00410BB5">
      <w:pPr>
        <w:pStyle w:val="Bullet1G"/>
        <w:rPr>
          <w:lang w:val="es-ES_tradnl"/>
        </w:rPr>
      </w:pPr>
      <w:r w:rsidRPr="002720D0">
        <w:rPr>
          <w:lang w:val="es-ES_tradnl"/>
        </w:rPr>
        <w:t xml:space="preserve">Servicios de salud de distrito; </w:t>
      </w:r>
    </w:p>
    <w:p w:rsidR="00151021" w:rsidRPr="002720D0" w:rsidRDefault="003006C8" w:rsidP="00410BB5">
      <w:pPr>
        <w:pStyle w:val="Bullet1G"/>
        <w:rPr>
          <w:lang w:val="es-ES_tradnl"/>
        </w:rPr>
      </w:pPr>
      <w:r w:rsidRPr="002720D0">
        <w:rPr>
          <w:lang w:val="es-ES_tradnl"/>
        </w:rPr>
        <w:t xml:space="preserve">Servicios de hospital de derivación; </w:t>
      </w:r>
    </w:p>
    <w:p w:rsidR="00151021" w:rsidRPr="002720D0" w:rsidRDefault="003006C8" w:rsidP="00410BB5">
      <w:pPr>
        <w:pStyle w:val="Bullet1G"/>
        <w:rPr>
          <w:lang w:val="es-ES_tradnl"/>
        </w:rPr>
      </w:pPr>
      <w:r w:rsidRPr="002720D0">
        <w:rPr>
          <w:lang w:val="es-ES_tradnl"/>
        </w:rPr>
        <w:t>Apoyo c</w:t>
      </w:r>
      <w:r w:rsidR="00151021" w:rsidRPr="002720D0">
        <w:rPr>
          <w:lang w:val="es-ES_tradnl"/>
        </w:rPr>
        <w:t>entral;</w:t>
      </w:r>
    </w:p>
    <w:p w:rsidR="00151021" w:rsidRPr="002720D0" w:rsidRDefault="003006C8" w:rsidP="00410BB5">
      <w:pPr>
        <w:pStyle w:val="Bullet1G"/>
        <w:rPr>
          <w:lang w:val="es-ES_tradnl"/>
        </w:rPr>
      </w:pPr>
      <w:r w:rsidRPr="002720D0">
        <w:rPr>
          <w:lang w:val="es-ES_tradnl"/>
        </w:rPr>
        <w:t xml:space="preserve">Recursos humanos para la sanidad; </w:t>
      </w:r>
    </w:p>
    <w:p w:rsidR="00151021" w:rsidRPr="002720D0" w:rsidRDefault="003006C8" w:rsidP="00410BB5">
      <w:pPr>
        <w:pStyle w:val="Bullet1G"/>
        <w:rPr>
          <w:lang w:val="es-ES_tradnl"/>
        </w:rPr>
      </w:pPr>
      <w:r w:rsidRPr="002720D0">
        <w:rPr>
          <w:lang w:val="es-ES_tradnl"/>
        </w:rPr>
        <w:t xml:space="preserve">Financiación de los cuidados sanitarios; </w:t>
      </w:r>
    </w:p>
    <w:p w:rsidR="00151021" w:rsidRPr="002720D0" w:rsidRDefault="003006C8" w:rsidP="00410BB5">
      <w:pPr>
        <w:pStyle w:val="Bullet1G"/>
        <w:rPr>
          <w:lang w:val="es-ES_tradnl"/>
        </w:rPr>
      </w:pPr>
      <w:r w:rsidRPr="002720D0">
        <w:rPr>
          <w:lang w:val="es-ES_tradnl"/>
        </w:rPr>
        <w:t xml:space="preserve">Asociaciones público-privadas; </w:t>
      </w:r>
    </w:p>
    <w:p w:rsidR="00151021" w:rsidRPr="002720D0" w:rsidRDefault="003006C8" w:rsidP="00410BB5">
      <w:pPr>
        <w:pStyle w:val="Bullet1G"/>
        <w:rPr>
          <w:lang w:val="es-ES_tradnl"/>
        </w:rPr>
      </w:pPr>
      <w:r w:rsidRPr="002720D0">
        <w:rPr>
          <w:lang w:val="es-ES_tradnl"/>
        </w:rPr>
        <w:t xml:space="preserve">Servicios de salud materna, neonatal e infantil; </w:t>
      </w:r>
    </w:p>
    <w:p w:rsidR="00151021" w:rsidRPr="002720D0" w:rsidRDefault="009D2254" w:rsidP="00410BB5">
      <w:pPr>
        <w:pStyle w:val="Bullet1G"/>
        <w:rPr>
          <w:lang w:val="es-ES_tradnl"/>
        </w:rPr>
      </w:pPr>
      <w:r w:rsidRPr="002720D0">
        <w:rPr>
          <w:lang w:val="es-ES_tradnl"/>
        </w:rPr>
        <w:t xml:space="preserve">Prevención y control de las enfermedades; </w:t>
      </w:r>
    </w:p>
    <w:p w:rsidR="00151021" w:rsidRPr="002720D0" w:rsidRDefault="009D2254" w:rsidP="00410BB5">
      <w:pPr>
        <w:pStyle w:val="Bullet1G"/>
        <w:rPr>
          <w:lang w:val="es-ES_tradnl"/>
        </w:rPr>
      </w:pPr>
      <w:r w:rsidRPr="002720D0">
        <w:rPr>
          <w:lang w:val="es-ES_tradnl"/>
        </w:rPr>
        <w:t xml:space="preserve">Preparación y capacidad de respuesta para casos de emergencia; </w:t>
      </w:r>
    </w:p>
    <w:p w:rsidR="00151021" w:rsidRPr="002720D0" w:rsidRDefault="00151021" w:rsidP="00410BB5">
      <w:pPr>
        <w:pStyle w:val="Bullet1G"/>
        <w:rPr>
          <w:lang w:val="es-ES_tradnl"/>
        </w:rPr>
      </w:pPr>
      <w:r w:rsidRPr="002720D0">
        <w:rPr>
          <w:lang w:val="es-ES_tradnl"/>
        </w:rPr>
        <w:t>S</w:t>
      </w:r>
      <w:r w:rsidR="009D2254" w:rsidRPr="002720D0">
        <w:rPr>
          <w:lang w:val="es-ES_tradnl"/>
        </w:rPr>
        <w:t>ervicios s</w:t>
      </w:r>
      <w:r w:rsidRPr="002720D0">
        <w:rPr>
          <w:lang w:val="es-ES_tradnl"/>
        </w:rPr>
        <w:t>ocial</w:t>
      </w:r>
      <w:r w:rsidR="009D2254" w:rsidRPr="002720D0">
        <w:rPr>
          <w:lang w:val="es-ES_tradnl"/>
        </w:rPr>
        <w:t xml:space="preserve">es y protección social; y </w:t>
      </w:r>
    </w:p>
    <w:p w:rsidR="00151021" w:rsidRPr="002720D0" w:rsidRDefault="009D2254" w:rsidP="00410BB5">
      <w:pPr>
        <w:pStyle w:val="Bullet1G"/>
        <w:rPr>
          <w:lang w:val="es-ES_tradnl"/>
        </w:rPr>
      </w:pPr>
      <w:r w:rsidRPr="002720D0">
        <w:rPr>
          <w:lang w:val="es-ES_tradnl"/>
        </w:rPr>
        <w:t>Vigilancia y evaluación</w:t>
      </w:r>
      <w:r w:rsidR="000A5CE5" w:rsidRPr="002720D0">
        <w:rPr>
          <w:lang w:val="es-ES_tradnl"/>
        </w:rPr>
        <w:t>,</w:t>
      </w:r>
      <w:r w:rsidRPr="002720D0">
        <w:rPr>
          <w:lang w:val="es-ES_tradnl"/>
        </w:rPr>
        <w:t xml:space="preserve"> e investigación. </w:t>
      </w:r>
    </w:p>
    <w:p w:rsidR="00151021" w:rsidRPr="002720D0" w:rsidRDefault="00012B57" w:rsidP="00410BB5">
      <w:pPr>
        <w:pStyle w:val="H23G"/>
        <w:rPr>
          <w:lang w:val="es-ES_tradnl"/>
        </w:rPr>
      </w:pPr>
      <w:r w:rsidRPr="002720D0">
        <w:rPr>
          <w:lang w:val="es-ES_tradnl"/>
        </w:rPr>
        <w:tab/>
      </w:r>
      <w:r w:rsidR="00151021" w:rsidRPr="002720D0">
        <w:rPr>
          <w:lang w:val="es-ES_tradnl"/>
        </w:rPr>
        <w:t>e)</w:t>
      </w:r>
      <w:r w:rsidRPr="002720D0">
        <w:rPr>
          <w:lang w:val="es-ES_tradnl"/>
        </w:rPr>
        <w:tab/>
      </w:r>
      <w:r w:rsidR="00224560" w:rsidRPr="002720D0">
        <w:rPr>
          <w:lang w:val="es-ES_tradnl"/>
        </w:rPr>
        <w:t>Programa de desarrollo de los servicios integrados d</w:t>
      </w:r>
      <w:r w:rsidR="00410BB5">
        <w:rPr>
          <w:lang w:val="es-ES_tradnl"/>
        </w:rPr>
        <w:t xml:space="preserve">e atención primaria de la </w:t>
      </w:r>
      <w:r w:rsidR="00410BB5">
        <w:rPr>
          <w:lang w:val="es-ES_tradnl"/>
        </w:rPr>
        <w:br/>
        <w:t>salud</w:t>
      </w:r>
    </w:p>
    <w:p w:rsidR="00151021" w:rsidRPr="00B57F06" w:rsidRDefault="004F6364" w:rsidP="004F6364">
      <w:pPr>
        <w:pStyle w:val="SingleTxtG"/>
        <w:tabs>
          <w:tab w:val="left" w:pos="-360"/>
        </w:tabs>
        <w:rPr>
          <w:lang w:val="es-ES_tradnl"/>
        </w:rPr>
      </w:pPr>
      <w:r w:rsidRPr="00B57F06">
        <w:rPr>
          <w:lang w:val="es-ES_tradnl"/>
        </w:rPr>
        <w:t>148.</w:t>
      </w:r>
      <w:r w:rsidRPr="00B57F06">
        <w:rPr>
          <w:lang w:val="es-ES_tradnl"/>
        </w:rPr>
        <w:tab/>
      </w:r>
      <w:r w:rsidR="00224560" w:rsidRPr="00B57F06">
        <w:rPr>
          <w:lang w:val="es-ES_tradnl"/>
        </w:rPr>
        <w:t>E</w:t>
      </w:r>
      <w:r w:rsidR="00151021" w:rsidRPr="00B57F06">
        <w:rPr>
          <w:lang w:val="es-ES_tradnl"/>
        </w:rPr>
        <w:t xml:space="preserve">n 2007 </w:t>
      </w:r>
      <w:r w:rsidR="00224560" w:rsidRPr="00B57F06">
        <w:rPr>
          <w:lang w:val="es-ES_tradnl"/>
        </w:rPr>
        <w:t xml:space="preserve">el Ministerio de Salud y Bienestar Social desarrolló el Programa de desarrollo de los servicios </w:t>
      </w:r>
      <w:r w:rsidR="00811733" w:rsidRPr="00B57F06">
        <w:rPr>
          <w:lang w:val="es-ES_tradnl"/>
        </w:rPr>
        <w:t xml:space="preserve">primarios de salud </w:t>
      </w:r>
      <w:r w:rsidR="00224560" w:rsidRPr="00B57F06">
        <w:rPr>
          <w:lang w:val="es-ES_tradnl"/>
        </w:rPr>
        <w:t>integrados</w:t>
      </w:r>
      <w:r w:rsidR="00C7366E" w:rsidRPr="00B57F06">
        <w:rPr>
          <w:lang w:val="es-ES_tradnl"/>
        </w:rPr>
        <w:t xml:space="preserve">. Este programa es más conocido por su nombre en </w:t>
      </w:r>
      <w:r w:rsidR="004775FF" w:rsidRPr="00B57F06">
        <w:rPr>
          <w:i/>
          <w:lang w:val="es-ES_tradnl"/>
        </w:rPr>
        <w:t>swahili</w:t>
      </w:r>
      <w:r w:rsidR="00151021" w:rsidRPr="00B57F06">
        <w:rPr>
          <w:lang w:val="es-ES_tradnl"/>
        </w:rPr>
        <w:t xml:space="preserve">: </w:t>
      </w:r>
      <w:r w:rsidR="00151021" w:rsidRPr="00B57F06">
        <w:rPr>
          <w:i/>
          <w:lang w:val="es-ES_tradnl"/>
        </w:rPr>
        <w:t>Mpango wa Maendeleo ya Afya ya Msingi</w:t>
      </w:r>
      <w:r w:rsidR="00151021" w:rsidRPr="00B57F06">
        <w:rPr>
          <w:lang w:val="es-ES_tradnl"/>
        </w:rPr>
        <w:t xml:space="preserve"> 2007-2017 (MM</w:t>
      </w:r>
      <w:r w:rsidR="00C7366E" w:rsidRPr="00B57F06">
        <w:rPr>
          <w:lang w:val="es-ES_tradnl"/>
        </w:rPr>
        <w:t xml:space="preserve">AM). El objetivo del programa </w:t>
      </w:r>
      <w:r w:rsidR="00151021" w:rsidRPr="00B57F06">
        <w:rPr>
          <w:lang w:val="es-ES_tradnl"/>
        </w:rPr>
        <w:t xml:space="preserve">MMAM </w:t>
      </w:r>
      <w:r w:rsidR="00C7366E" w:rsidRPr="00B57F06">
        <w:rPr>
          <w:lang w:val="es-ES_tradnl"/>
        </w:rPr>
        <w:t xml:space="preserve">consiste en </w:t>
      </w:r>
      <w:r w:rsidR="00811733" w:rsidRPr="00B57F06">
        <w:rPr>
          <w:lang w:val="es-ES_tradnl"/>
        </w:rPr>
        <w:t>acelerar el suministro</w:t>
      </w:r>
      <w:r w:rsidR="00C7366E" w:rsidRPr="00B57F06">
        <w:rPr>
          <w:lang w:val="es-ES_tradnl"/>
        </w:rPr>
        <w:t xml:space="preserve"> de servicios </w:t>
      </w:r>
      <w:r w:rsidR="00811733" w:rsidRPr="00B57F06">
        <w:rPr>
          <w:lang w:val="es-ES_tradnl"/>
        </w:rPr>
        <w:t>primarios</w:t>
      </w:r>
      <w:r w:rsidR="00C7366E" w:rsidRPr="00B57F06">
        <w:rPr>
          <w:lang w:val="es-ES_tradnl"/>
        </w:rPr>
        <w:t xml:space="preserve"> de salud para todos</w:t>
      </w:r>
      <w:r w:rsidR="005B0317" w:rsidRPr="00B57F06">
        <w:rPr>
          <w:lang w:val="es-ES_tradnl"/>
        </w:rPr>
        <w:t>,</w:t>
      </w:r>
      <w:r w:rsidR="00811733" w:rsidRPr="00B57F06">
        <w:rPr>
          <w:lang w:val="es-ES_tradnl"/>
        </w:rPr>
        <w:t xml:space="preserve"> de manera que </w:t>
      </w:r>
      <w:r w:rsidR="005B0317" w:rsidRPr="00B57F06">
        <w:rPr>
          <w:lang w:val="es-ES_tradnl"/>
        </w:rPr>
        <w:t xml:space="preserve">esta meta </w:t>
      </w:r>
      <w:r w:rsidR="00811733" w:rsidRPr="00B57F06">
        <w:rPr>
          <w:lang w:val="es-ES_tradnl"/>
        </w:rPr>
        <w:t>se logre en 2012</w:t>
      </w:r>
      <w:r w:rsidR="00C7366E" w:rsidRPr="00B57F06">
        <w:rPr>
          <w:lang w:val="es-ES_tradnl"/>
        </w:rPr>
        <w:t>; los cinco años re</w:t>
      </w:r>
      <w:r w:rsidR="00811733" w:rsidRPr="00B57F06">
        <w:rPr>
          <w:lang w:val="es-ES_tradnl"/>
        </w:rPr>
        <w:t>stantes del programa se centraría</w:t>
      </w:r>
      <w:r w:rsidR="00C7366E" w:rsidRPr="00B57F06">
        <w:rPr>
          <w:lang w:val="es-ES_tradnl"/>
        </w:rPr>
        <w:t>n en la consolidación de los logros. Las ac</w:t>
      </w:r>
      <w:r w:rsidR="00811733" w:rsidRPr="00B57F06">
        <w:rPr>
          <w:lang w:val="es-ES_tradnl"/>
        </w:rPr>
        <w:t>tividades principales consistiría</w:t>
      </w:r>
      <w:r w:rsidR="00C7366E" w:rsidRPr="00B57F06">
        <w:rPr>
          <w:lang w:val="es-ES_tradnl"/>
        </w:rPr>
        <w:t>n en fortalecer los servicios de salud, la rehabilitación, el desarrollo de los recursos humanos y el sistema de derivaciones, aumentar la financiación de sector sanitario y mejorar la provisión de medicinas, equipos y suministros. La apl</w:t>
      </w:r>
      <w:r w:rsidR="00F85DC1" w:rsidRPr="00B57F06">
        <w:rPr>
          <w:lang w:val="es-ES_tradnl"/>
        </w:rPr>
        <w:t>icación de este programa correría</w:t>
      </w:r>
      <w:r w:rsidR="00C7366E" w:rsidRPr="00B57F06">
        <w:rPr>
          <w:lang w:val="es-ES_tradnl"/>
        </w:rPr>
        <w:t xml:space="preserve"> a cargo del Ministerio de Salud y Bienestar Social, en colaboración con otros sectores y por conducto de la estructura administrativa del Gobierno, comprendidos el Gabinete del Primer Ministro (Administración regional y gobierno local),</w:t>
      </w:r>
      <w:r w:rsidR="00084E2A" w:rsidRPr="00B57F06">
        <w:rPr>
          <w:lang w:val="es-ES_tradnl"/>
        </w:rPr>
        <w:t xml:space="preserve"> </w:t>
      </w:r>
      <w:r w:rsidR="00C7366E" w:rsidRPr="00B57F06">
        <w:rPr>
          <w:lang w:val="es-ES_tradnl"/>
        </w:rPr>
        <w:t xml:space="preserve">los ejecutivos locales y los comités de aldea. </w:t>
      </w:r>
      <w:r w:rsidR="00F85DC1" w:rsidRPr="00B57F06">
        <w:rPr>
          <w:lang w:val="es-ES_tradnl"/>
        </w:rPr>
        <w:t>La primera fase comprendería</w:t>
      </w:r>
      <w:r w:rsidR="00E3685E" w:rsidRPr="00B57F06">
        <w:rPr>
          <w:lang w:val="es-ES_tradnl"/>
        </w:rPr>
        <w:t xml:space="preserve"> el aumento de la fuerza de trabajo del sector de la salud mediante la ampliación en un 100% de la capacidad de las actuales instituciones de formación, la mejora de cuatro escuelas para </w:t>
      </w:r>
      <w:r w:rsidR="00F85DC1" w:rsidRPr="00B57F06">
        <w:rPr>
          <w:lang w:val="es-ES_tradnl"/>
        </w:rPr>
        <w:t xml:space="preserve">la formación de </w:t>
      </w:r>
      <w:r w:rsidR="00034271" w:rsidRPr="00B57F06">
        <w:rPr>
          <w:lang w:val="es-ES_tradnl"/>
        </w:rPr>
        <w:t xml:space="preserve">estudiantes de enfermería, la formación de tutores sanitarios y la puesta al día de las </w:t>
      </w:r>
      <w:r w:rsidR="00F85DC1" w:rsidRPr="00B57F06">
        <w:rPr>
          <w:lang w:val="es-ES_tradnl"/>
        </w:rPr>
        <w:t>cualificaciones</w:t>
      </w:r>
      <w:r w:rsidR="00034271" w:rsidRPr="00B57F06">
        <w:rPr>
          <w:lang w:val="es-ES_tradnl"/>
        </w:rPr>
        <w:t xml:space="preserve"> del personal actual mediante su capacitación en informática y su adquisición de nuevas tecnologías médicas. </w:t>
      </w:r>
    </w:p>
    <w:p w:rsidR="00151021" w:rsidRPr="002720D0" w:rsidRDefault="004F6364" w:rsidP="004F6364">
      <w:pPr>
        <w:pStyle w:val="SingleTxtG"/>
        <w:tabs>
          <w:tab w:val="left" w:pos="-360"/>
        </w:tabs>
        <w:rPr>
          <w:lang w:val="es-ES_tradnl"/>
        </w:rPr>
      </w:pPr>
      <w:r w:rsidRPr="002720D0">
        <w:rPr>
          <w:lang w:val="es-ES_tradnl"/>
        </w:rPr>
        <w:t>149.</w:t>
      </w:r>
      <w:r w:rsidRPr="002720D0">
        <w:rPr>
          <w:lang w:val="es-ES_tradnl"/>
        </w:rPr>
        <w:tab/>
      </w:r>
      <w:r w:rsidR="0099220D" w:rsidRPr="002720D0">
        <w:rPr>
          <w:lang w:val="es-ES_tradnl"/>
        </w:rPr>
        <w:t>Está</w:t>
      </w:r>
      <w:r w:rsidR="007B6132" w:rsidRPr="002720D0">
        <w:rPr>
          <w:lang w:val="es-ES_tradnl"/>
        </w:rPr>
        <w:t>n</w:t>
      </w:r>
      <w:r w:rsidR="0099220D" w:rsidRPr="002720D0">
        <w:rPr>
          <w:lang w:val="es-ES_tradnl"/>
        </w:rPr>
        <w:t xml:space="preserve"> prevista</w:t>
      </w:r>
      <w:r w:rsidR="007B6132" w:rsidRPr="002720D0">
        <w:rPr>
          <w:lang w:val="es-ES_tradnl"/>
        </w:rPr>
        <w:t>s tanto</w:t>
      </w:r>
      <w:r w:rsidR="0099220D" w:rsidRPr="002720D0">
        <w:rPr>
          <w:lang w:val="es-ES_tradnl"/>
        </w:rPr>
        <w:t xml:space="preserve"> la rehabilitación de las instalaciones sanitarias </w:t>
      </w:r>
      <w:r w:rsidR="007B6132" w:rsidRPr="002720D0">
        <w:rPr>
          <w:lang w:val="es-ES_tradnl"/>
        </w:rPr>
        <w:t>existentes como</w:t>
      </w:r>
      <w:r w:rsidR="0099220D" w:rsidRPr="002720D0">
        <w:rPr>
          <w:lang w:val="es-ES_tradnl"/>
        </w:rPr>
        <w:t xml:space="preserve"> la construcción de otras nuevas, </w:t>
      </w:r>
      <w:r w:rsidR="00F85DC1" w:rsidRPr="002720D0">
        <w:rPr>
          <w:lang w:val="es-ES_tradnl"/>
        </w:rPr>
        <w:t>al igual que</w:t>
      </w:r>
      <w:r w:rsidR="0099220D" w:rsidRPr="002720D0">
        <w:rPr>
          <w:lang w:val="es-ES_tradnl"/>
        </w:rPr>
        <w:t xml:space="preserve"> la disponibilidad de un dispensario en cada aldea y </w:t>
      </w:r>
      <w:r w:rsidR="007B6132" w:rsidRPr="002720D0">
        <w:rPr>
          <w:lang w:val="es-ES_tradnl"/>
        </w:rPr>
        <w:t xml:space="preserve">de </w:t>
      </w:r>
      <w:r w:rsidR="0099220D" w:rsidRPr="002720D0">
        <w:rPr>
          <w:lang w:val="es-ES_tradnl"/>
        </w:rPr>
        <w:t xml:space="preserve">un centro de salud en cada distrito; también </w:t>
      </w:r>
      <w:r w:rsidR="007B6132" w:rsidRPr="002720D0">
        <w:rPr>
          <w:lang w:val="es-ES_tradnl"/>
        </w:rPr>
        <w:t>está prevista la mejora de</w:t>
      </w:r>
      <w:r w:rsidR="0099220D" w:rsidRPr="002720D0">
        <w:rPr>
          <w:lang w:val="es-ES_tradnl"/>
        </w:rPr>
        <w:t xml:space="preserve"> los servicios de divulgación.</w:t>
      </w:r>
      <w:r w:rsidR="001D2A53">
        <w:rPr>
          <w:lang w:val="es-ES_tradnl"/>
        </w:rPr>
        <w:t xml:space="preserve"> </w:t>
      </w:r>
      <w:r w:rsidR="007B6132" w:rsidRPr="002720D0">
        <w:rPr>
          <w:lang w:val="es-ES_tradnl"/>
        </w:rPr>
        <w:t xml:space="preserve">Todo ello </w:t>
      </w:r>
      <w:r w:rsidR="00F85DC1" w:rsidRPr="002720D0">
        <w:rPr>
          <w:lang w:val="es-ES_tradnl"/>
        </w:rPr>
        <w:t>asciende a</w:t>
      </w:r>
      <w:r w:rsidR="007B6132" w:rsidRPr="002720D0">
        <w:rPr>
          <w:lang w:val="es-ES_tradnl"/>
        </w:rPr>
        <w:t xml:space="preserve"> 8.107 instalaciones de atención sanitaria primaria, 62 hospitales de distrito y 128 instituciones de formación para el año</w:t>
      </w:r>
      <w:r w:rsidR="00151021" w:rsidRPr="002720D0">
        <w:rPr>
          <w:lang w:val="es-ES_tradnl"/>
        </w:rPr>
        <w:t xml:space="preserve"> 2012. </w:t>
      </w:r>
      <w:r w:rsidR="007B6132" w:rsidRPr="002720D0">
        <w:rPr>
          <w:lang w:val="es-ES_tradnl"/>
        </w:rPr>
        <w:t>El sistema de derivación se verá fortalecido mediante la mejora del sistema d</w:t>
      </w:r>
      <w:r w:rsidR="005B0317" w:rsidRPr="002720D0">
        <w:rPr>
          <w:lang w:val="es-ES_tradnl"/>
        </w:rPr>
        <w:t xml:space="preserve">e información y comunicación y </w:t>
      </w:r>
      <w:r w:rsidR="007B6132" w:rsidRPr="002720D0">
        <w:rPr>
          <w:lang w:val="es-ES_tradnl"/>
        </w:rPr>
        <w:t>e</w:t>
      </w:r>
      <w:r w:rsidR="00F85DC1" w:rsidRPr="002720D0">
        <w:rPr>
          <w:lang w:val="es-ES_tradnl"/>
        </w:rPr>
        <w:t>l de</w:t>
      </w:r>
      <w:r w:rsidR="007B6132" w:rsidRPr="002720D0">
        <w:rPr>
          <w:lang w:val="es-ES_tradnl"/>
        </w:rPr>
        <w:t xml:space="preserve"> transporte. El Programa se ocupará de la política sanitaria y de los Objetivos de Desarrollo del Milenio relacionados con la salud</w:t>
      </w:r>
      <w:r w:rsidR="00F85DC1" w:rsidRPr="002720D0">
        <w:rPr>
          <w:lang w:val="es-ES_tradnl"/>
        </w:rPr>
        <w:t>,</w:t>
      </w:r>
      <w:r w:rsidR="007B6132" w:rsidRPr="002720D0">
        <w:rPr>
          <w:lang w:val="es-ES_tradnl"/>
        </w:rPr>
        <w:t xml:space="preserve"> en las esferas de la salud materna, la salud infantil y </w:t>
      </w:r>
      <w:r w:rsidR="00F85DC1" w:rsidRPr="002720D0">
        <w:rPr>
          <w:lang w:val="es-ES_tradnl"/>
        </w:rPr>
        <w:t xml:space="preserve">las </w:t>
      </w:r>
      <w:r w:rsidR="007B6132" w:rsidRPr="002720D0">
        <w:rPr>
          <w:lang w:val="es-ES_tradnl"/>
        </w:rPr>
        <w:t>enfermedades prioritarias.</w:t>
      </w:r>
      <w:r w:rsidR="001D2A53">
        <w:rPr>
          <w:lang w:val="es-ES_tradnl"/>
        </w:rPr>
        <w:t xml:space="preserve"> </w:t>
      </w:r>
      <w:r w:rsidR="007B6132" w:rsidRPr="002720D0">
        <w:rPr>
          <w:lang w:val="es-ES_tradnl"/>
        </w:rPr>
        <w:t>Se estima que los costos del programa ascenderán a unos 11,8 billones de chelines tanzanos, cantidad superior al presupuesto actualmente disponible. Por consiguiente, será necesario identificar modalidades innovadoras de financiación.</w:t>
      </w:r>
      <w:r w:rsidR="00151021" w:rsidRPr="002720D0">
        <w:rPr>
          <w:lang w:val="es-ES_tradnl"/>
        </w:rPr>
        <w:t xml:space="preserve"> </w:t>
      </w:r>
    </w:p>
    <w:p w:rsidR="00151021" w:rsidRPr="002720D0" w:rsidRDefault="00012B57" w:rsidP="00586395">
      <w:pPr>
        <w:pStyle w:val="H23G"/>
        <w:outlineLvl w:val="0"/>
        <w:rPr>
          <w:lang w:val="es-ES_tradnl"/>
        </w:rPr>
      </w:pPr>
      <w:r w:rsidRPr="002720D0">
        <w:rPr>
          <w:lang w:val="es-ES_tradnl"/>
        </w:rPr>
        <w:tab/>
      </w:r>
      <w:r w:rsidR="00151021" w:rsidRPr="002720D0">
        <w:rPr>
          <w:lang w:val="es-ES_tradnl"/>
        </w:rPr>
        <w:t>f)</w:t>
      </w:r>
      <w:r w:rsidRPr="002720D0">
        <w:rPr>
          <w:lang w:val="es-ES_tradnl"/>
        </w:rPr>
        <w:tab/>
      </w:r>
      <w:r w:rsidR="00151021" w:rsidRPr="002720D0">
        <w:rPr>
          <w:lang w:val="es-ES_tradnl"/>
        </w:rPr>
        <w:t>Program</w:t>
      </w:r>
      <w:r w:rsidR="00410BB5">
        <w:rPr>
          <w:lang w:val="es-ES_tradnl"/>
        </w:rPr>
        <w:t>as y servicios de apoyo</w:t>
      </w:r>
    </w:p>
    <w:p w:rsidR="00151021" w:rsidRPr="002720D0" w:rsidRDefault="00377FE1" w:rsidP="00410BB5">
      <w:pPr>
        <w:pStyle w:val="H4G"/>
        <w:rPr>
          <w:lang w:val="es-ES_tradnl"/>
        </w:rPr>
      </w:pPr>
      <w:r w:rsidRPr="002720D0">
        <w:rPr>
          <w:lang w:val="es-ES_tradnl"/>
        </w:rPr>
        <w:tab/>
      </w:r>
      <w:r w:rsidR="00151021" w:rsidRPr="002720D0">
        <w:rPr>
          <w:lang w:val="es-ES_tradnl"/>
        </w:rPr>
        <w:t>i)</w:t>
      </w:r>
      <w:r w:rsidR="00012B57" w:rsidRPr="002720D0">
        <w:rPr>
          <w:lang w:val="es-ES_tradnl"/>
        </w:rPr>
        <w:tab/>
      </w:r>
      <w:r w:rsidR="00151021" w:rsidRPr="002720D0">
        <w:rPr>
          <w:lang w:val="es-ES_tradnl"/>
        </w:rPr>
        <w:t>Prev</w:t>
      </w:r>
      <w:r w:rsidR="00BB7E7C" w:rsidRPr="002720D0">
        <w:rPr>
          <w:lang w:val="es-ES_tradnl"/>
        </w:rPr>
        <w:t xml:space="preserve">ención </w:t>
      </w:r>
      <w:r w:rsidR="00F85DC1" w:rsidRPr="002720D0">
        <w:rPr>
          <w:lang w:val="es-ES_tradnl"/>
        </w:rPr>
        <w:t>del paludismo</w:t>
      </w:r>
    </w:p>
    <w:p w:rsidR="00151021" w:rsidRPr="002720D0" w:rsidRDefault="004F6364" w:rsidP="004F6364">
      <w:pPr>
        <w:pStyle w:val="SingleTxtG"/>
        <w:tabs>
          <w:tab w:val="left" w:pos="-360"/>
        </w:tabs>
        <w:rPr>
          <w:lang w:val="es-ES_tradnl"/>
        </w:rPr>
      </w:pPr>
      <w:r w:rsidRPr="002720D0">
        <w:rPr>
          <w:lang w:val="es-ES_tradnl"/>
        </w:rPr>
        <w:t>150.</w:t>
      </w:r>
      <w:r w:rsidRPr="002720D0">
        <w:rPr>
          <w:lang w:val="es-ES_tradnl"/>
        </w:rPr>
        <w:tab/>
      </w:r>
      <w:r w:rsidR="00F85DC1" w:rsidRPr="002720D0">
        <w:rPr>
          <w:lang w:val="es-ES_tradnl"/>
        </w:rPr>
        <w:t>El paludismo</w:t>
      </w:r>
      <w:r w:rsidR="00151021" w:rsidRPr="002720D0">
        <w:rPr>
          <w:lang w:val="es-ES_tradnl"/>
        </w:rPr>
        <w:t xml:space="preserve"> </w:t>
      </w:r>
      <w:r w:rsidR="00D21832" w:rsidRPr="002720D0">
        <w:rPr>
          <w:lang w:val="es-ES_tradnl"/>
        </w:rPr>
        <w:t xml:space="preserve">es una causa de grave preocupación sanitaria para toda la población del Estado </w:t>
      </w:r>
      <w:r w:rsidR="009729A3" w:rsidRPr="002720D0">
        <w:rPr>
          <w:lang w:val="es-ES_tradnl"/>
        </w:rPr>
        <w:t>parte</w:t>
      </w:r>
      <w:r w:rsidR="00D21832" w:rsidRPr="002720D0">
        <w:rPr>
          <w:lang w:val="es-ES_tradnl"/>
        </w:rPr>
        <w:t>, en particular para las mujeres embarazadas y los niños menores de 5 años. Esta enfermedad es una causa principal de morbilidad y mortalidad entre los pacientes</w:t>
      </w:r>
      <w:r w:rsidR="00F85DC1" w:rsidRPr="002720D0">
        <w:rPr>
          <w:lang w:val="es-ES_tradnl"/>
        </w:rPr>
        <w:t>,</w:t>
      </w:r>
      <w:r w:rsidR="00D21832" w:rsidRPr="002720D0">
        <w:rPr>
          <w:lang w:val="es-ES_tradnl"/>
        </w:rPr>
        <w:t xml:space="preserve"> tanto ambulatorios como hospitalizados</w:t>
      </w:r>
      <w:r w:rsidR="00184159" w:rsidRPr="002720D0">
        <w:rPr>
          <w:lang w:val="es-ES_tradnl"/>
        </w:rPr>
        <w:t>;</w:t>
      </w:r>
      <w:r w:rsidR="00D21832" w:rsidRPr="002720D0">
        <w:rPr>
          <w:lang w:val="es-ES_tradnl"/>
        </w:rPr>
        <w:t xml:space="preserve"> </w:t>
      </w:r>
      <w:r w:rsidR="00184159" w:rsidRPr="002720D0">
        <w:rPr>
          <w:lang w:val="es-ES_tradnl"/>
        </w:rPr>
        <w:t xml:space="preserve">representa el 40% de los casos de atención ambulatoria </w:t>
      </w:r>
      <w:r w:rsidR="00D21832" w:rsidRPr="002720D0">
        <w:rPr>
          <w:lang w:val="es-ES_tradnl"/>
        </w:rPr>
        <w:t>(Ministerio de Salud y Bienestar Social</w:t>
      </w:r>
      <w:r w:rsidR="00151021" w:rsidRPr="002720D0">
        <w:rPr>
          <w:lang w:val="es-ES_tradnl"/>
        </w:rPr>
        <w:t>, 2006).</w:t>
      </w:r>
      <w:r w:rsidR="00184159" w:rsidRPr="002720D0">
        <w:rPr>
          <w:lang w:val="es-ES_tradnl"/>
        </w:rPr>
        <w:t xml:space="preserve"> </w:t>
      </w:r>
      <w:r w:rsidR="0018485C" w:rsidRPr="002720D0">
        <w:rPr>
          <w:lang w:val="es-ES_tradnl"/>
        </w:rPr>
        <w:t>El Ministerio de Salud y Bienestar Social, en colaboración con otros interesados, distribuyó</w:t>
      </w:r>
      <w:r w:rsidR="001D2A53">
        <w:rPr>
          <w:lang w:val="es-ES_tradnl"/>
        </w:rPr>
        <w:t xml:space="preserve"> </w:t>
      </w:r>
      <w:r w:rsidR="0018485C" w:rsidRPr="002720D0">
        <w:rPr>
          <w:lang w:val="es-ES_tradnl"/>
        </w:rPr>
        <w:t xml:space="preserve">mosquiteros tratados con insecticida a las comunidades de todo el país como medida preventiva contra la malaria. La Encuesta demográfica y de </w:t>
      </w:r>
      <w:r w:rsidR="00F85DC1" w:rsidRPr="002720D0">
        <w:rPr>
          <w:lang w:val="es-ES_tradnl"/>
        </w:rPr>
        <w:t>salud</w:t>
      </w:r>
      <w:r w:rsidR="0018485C" w:rsidRPr="002720D0">
        <w:rPr>
          <w:lang w:val="es-ES_tradnl"/>
        </w:rPr>
        <w:t xml:space="preserve"> de </w:t>
      </w:r>
      <w:r w:rsidR="00F96520" w:rsidRPr="00F96520">
        <w:rPr>
          <w:lang w:val="es-ES_tradnl"/>
        </w:rPr>
        <w:t>Tanzanía</w:t>
      </w:r>
      <w:r w:rsidR="0018485C" w:rsidRPr="002720D0">
        <w:rPr>
          <w:lang w:val="es-ES_tradnl"/>
        </w:rPr>
        <w:t xml:space="preserve"> de</w:t>
      </w:r>
      <w:r w:rsidR="00151021" w:rsidRPr="002720D0">
        <w:rPr>
          <w:lang w:val="es-ES_tradnl"/>
        </w:rPr>
        <w:t xml:space="preserve"> 2010 </w:t>
      </w:r>
      <w:r w:rsidR="0018485C" w:rsidRPr="002720D0">
        <w:rPr>
          <w:lang w:val="es-ES_tradnl"/>
        </w:rPr>
        <w:t xml:space="preserve">refleja que un </w:t>
      </w:r>
      <w:r w:rsidR="00151021" w:rsidRPr="002720D0">
        <w:rPr>
          <w:lang w:val="es-ES_tradnl"/>
        </w:rPr>
        <w:t>75</w:t>
      </w:r>
      <w:r w:rsidR="00153B23" w:rsidRPr="002720D0">
        <w:rPr>
          <w:lang w:val="es-ES_tradnl"/>
        </w:rPr>
        <w:t>%</w:t>
      </w:r>
      <w:r w:rsidR="00151021" w:rsidRPr="002720D0">
        <w:rPr>
          <w:lang w:val="es-ES_tradnl"/>
        </w:rPr>
        <w:t xml:space="preserve"> </w:t>
      </w:r>
      <w:r w:rsidR="00F85DC1" w:rsidRPr="002720D0">
        <w:rPr>
          <w:lang w:val="es-ES_tradnl"/>
        </w:rPr>
        <w:t>de los hogares de</w:t>
      </w:r>
      <w:r w:rsidR="0018485C" w:rsidRPr="002720D0">
        <w:rPr>
          <w:lang w:val="es-ES_tradnl"/>
        </w:rPr>
        <w:t xml:space="preserve"> Tanzanía continental y un 89% de los de Zanzíbar cuentan con un mosquitero como mínimo. En la Encuesta de 2010 se pone de manifiesto que </w:t>
      </w:r>
      <w:r w:rsidR="00F85DC1" w:rsidRPr="002720D0">
        <w:rPr>
          <w:lang w:val="es-ES_tradnl"/>
        </w:rPr>
        <w:t>hay menos</w:t>
      </w:r>
      <w:r w:rsidR="0018485C" w:rsidRPr="002720D0">
        <w:rPr>
          <w:lang w:val="es-ES_tradnl"/>
        </w:rPr>
        <w:t xml:space="preserve"> posibilidades de que los hogares rurales cuenten con un mosquitero que los hogares urbanos (72% y 84%, respectivamente). En comparación con las conclusiones de la Encuesta demográfica y de </w:t>
      </w:r>
      <w:r w:rsidR="00F85DC1" w:rsidRPr="002720D0">
        <w:rPr>
          <w:lang w:val="es-ES_tradnl"/>
        </w:rPr>
        <w:t>salud</w:t>
      </w:r>
      <w:r w:rsidR="0018485C" w:rsidRPr="002720D0">
        <w:rPr>
          <w:lang w:val="es-ES_tradnl"/>
        </w:rPr>
        <w:t xml:space="preserve"> </w:t>
      </w:r>
      <w:r w:rsidR="00F85DC1" w:rsidRPr="002720D0">
        <w:rPr>
          <w:lang w:val="es-ES_tradnl"/>
        </w:rPr>
        <w:t xml:space="preserve">de </w:t>
      </w:r>
      <w:r w:rsidR="00F96520" w:rsidRPr="00F96520">
        <w:rPr>
          <w:lang w:val="es-ES_tradnl"/>
        </w:rPr>
        <w:t>Tanzanía</w:t>
      </w:r>
      <w:r w:rsidR="00F85DC1" w:rsidRPr="002720D0">
        <w:rPr>
          <w:lang w:val="es-ES_tradnl"/>
        </w:rPr>
        <w:t xml:space="preserve"> de 2004-</w:t>
      </w:r>
      <w:r w:rsidR="0018485C" w:rsidRPr="002720D0">
        <w:rPr>
          <w:lang w:val="es-ES_tradnl"/>
        </w:rPr>
        <w:t xml:space="preserve">2005, la disparidad entre los hogares urbanos y rurales que cuentan con </w:t>
      </w:r>
      <w:r w:rsidR="00184159" w:rsidRPr="002720D0">
        <w:rPr>
          <w:lang w:val="es-ES_tradnl"/>
        </w:rPr>
        <w:t xml:space="preserve">al menos </w:t>
      </w:r>
      <w:r w:rsidR="0018485C" w:rsidRPr="002720D0">
        <w:rPr>
          <w:lang w:val="es-ES_tradnl"/>
        </w:rPr>
        <w:t xml:space="preserve">un mosquitero tratado con insecticida se ha reducido considerablemente. En </w:t>
      </w:r>
      <w:r w:rsidR="00F85DC1" w:rsidRPr="002720D0">
        <w:rPr>
          <w:lang w:val="es-ES_tradnl"/>
        </w:rPr>
        <w:t>2004-</w:t>
      </w:r>
      <w:r w:rsidR="0018485C" w:rsidRPr="002720D0">
        <w:rPr>
          <w:lang w:val="es-ES_tradnl"/>
        </w:rPr>
        <w:t>2005, los porcentajes ascendían</w:t>
      </w:r>
      <w:r w:rsidR="00C12407" w:rsidRPr="002720D0">
        <w:rPr>
          <w:lang w:val="es-ES_tradnl"/>
        </w:rPr>
        <w:t xml:space="preserve"> al 14% en las zonas rurales y a</w:t>
      </w:r>
      <w:r w:rsidR="0018485C" w:rsidRPr="002720D0">
        <w:rPr>
          <w:lang w:val="es-ES_tradnl"/>
        </w:rPr>
        <w:t xml:space="preserve">l 47% en las urbanas. En el cuadro 12.1 (página 195 de la Encuesta demográfica y de </w:t>
      </w:r>
      <w:r w:rsidR="008D1F43" w:rsidRPr="002720D0">
        <w:rPr>
          <w:lang w:val="es-ES_tradnl"/>
        </w:rPr>
        <w:t>salud de Tanzaní</w:t>
      </w:r>
      <w:r w:rsidR="0018485C" w:rsidRPr="002720D0">
        <w:rPr>
          <w:lang w:val="es-ES_tradnl"/>
        </w:rPr>
        <w:t xml:space="preserve">a de 2010) </w:t>
      </w:r>
      <w:r w:rsidR="00A22DC4" w:rsidRPr="002720D0">
        <w:rPr>
          <w:lang w:val="es-ES_tradnl"/>
        </w:rPr>
        <w:t xml:space="preserve">se puede ver que la posesión de cualquier tipo de mosquitero aumenta con arreglo al quintil de ingresos, </w:t>
      </w:r>
      <w:r w:rsidR="00C12407" w:rsidRPr="002720D0">
        <w:rPr>
          <w:lang w:val="es-ES_tradnl"/>
        </w:rPr>
        <w:t xml:space="preserve">desde el 65% hasta el 88%. </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ii)</w:t>
      </w:r>
      <w:r w:rsidR="00012B57" w:rsidRPr="002720D0">
        <w:rPr>
          <w:lang w:val="es-ES_tradnl"/>
        </w:rPr>
        <w:tab/>
      </w:r>
      <w:r w:rsidR="002B44B6" w:rsidRPr="002720D0">
        <w:rPr>
          <w:lang w:val="es-ES_tradnl"/>
        </w:rPr>
        <w:t>Posesión y utilizació</w:t>
      </w:r>
      <w:r w:rsidR="00410BB5">
        <w:rPr>
          <w:lang w:val="es-ES_tradnl"/>
        </w:rPr>
        <w:t>n de mosquiteros</w:t>
      </w:r>
    </w:p>
    <w:p w:rsidR="00151021" w:rsidRPr="002720D0" w:rsidRDefault="004F6364" w:rsidP="004F6364">
      <w:pPr>
        <w:pStyle w:val="SingleTxtG"/>
        <w:tabs>
          <w:tab w:val="left" w:pos="-360"/>
        </w:tabs>
        <w:rPr>
          <w:lang w:val="es-ES_tradnl"/>
        </w:rPr>
      </w:pPr>
      <w:r w:rsidRPr="002720D0">
        <w:rPr>
          <w:lang w:val="es-ES_tradnl"/>
        </w:rPr>
        <w:t>151.</w:t>
      </w:r>
      <w:r w:rsidRPr="002720D0">
        <w:rPr>
          <w:lang w:val="es-ES_tradnl"/>
        </w:rPr>
        <w:tab/>
      </w:r>
      <w:r w:rsidR="002B44B6" w:rsidRPr="002720D0">
        <w:rPr>
          <w:lang w:val="es-ES_tradnl"/>
        </w:rPr>
        <w:t xml:space="preserve">La Encuesta demográfica y de </w:t>
      </w:r>
      <w:r w:rsidR="008D1F43" w:rsidRPr="002720D0">
        <w:rPr>
          <w:lang w:val="es-ES_tradnl"/>
        </w:rPr>
        <w:t>salud</w:t>
      </w:r>
      <w:r w:rsidR="002B44B6" w:rsidRPr="002720D0">
        <w:rPr>
          <w:lang w:val="es-ES_tradnl"/>
        </w:rPr>
        <w:t xml:space="preserve"> de </w:t>
      </w:r>
      <w:r w:rsidR="00F96520" w:rsidRPr="00F96520">
        <w:rPr>
          <w:lang w:val="es-ES_tradnl"/>
        </w:rPr>
        <w:t>Tanzanía</w:t>
      </w:r>
      <w:r w:rsidR="002B44B6" w:rsidRPr="002720D0">
        <w:rPr>
          <w:lang w:val="es-ES_tradnl"/>
        </w:rPr>
        <w:t xml:space="preserve"> de 2010 indica que un 75% de los hogares de Tanzanía continental y un 89% de los de Zanzíbar poseen un mosquitero como mínimo. Estas cifras son muy superiores a las corresp</w:t>
      </w:r>
      <w:r w:rsidR="008D1F43" w:rsidRPr="002720D0">
        <w:rPr>
          <w:lang w:val="es-ES_tradnl"/>
        </w:rPr>
        <w:t>ondientes a la Encuesta de 2004-</w:t>
      </w:r>
      <w:r w:rsidR="002B44B6" w:rsidRPr="002720D0">
        <w:rPr>
          <w:lang w:val="es-ES_tradnl"/>
        </w:rPr>
        <w:t>2005</w:t>
      </w:r>
      <w:r w:rsidR="00151021" w:rsidRPr="002720D0">
        <w:rPr>
          <w:lang w:val="es-ES_tradnl"/>
        </w:rPr>
        <w:t xml:space="preserve"> (46</w:t>
      </w:r>
      <w:r w:rsidR="002B44B6" w:rsidRPr="002720D0">
        <w:rPr>
          <w:lang w:val="es-ES_tradnl"/>
        </w:rPr>
        <w:t>%</w:t>
      </w:r>
      <w:r w:rsidR="00151021" w:rsidRPr="002720D0">
        <w:rPr>
          <w:lang w:val="es-ES_tradnl"/>
        </w:rPr>
        <w:t xml:space="preserve"> </w:t>
      </w:r>
      <w:r w:rsidR="002B44B6" w:rsidRPr="002720D0">
        <w:rPr>
          <w:lang w:val="es-ES_tradnl"/>
        </w:rPr>
        <w:t>y</w:t>
      </w:r>
      <w:r w:rsidR="00151021" w:rsidRPr="002720D0">
        <w:rPr>
          <w:lang w:val="es-ES_tradnl"/>
        </w:rPr>
        <w:t xml:space="preserve"> 65</w:t>
      </w:r>
      <w:r w:rsidR="00153B23" w:rsidRPr="002720D0">
        <w:rPr>
          <w:lang w:val="es-ES_tradnl"/>
        </w:rPr>
        <w:t>%</w:t>
      </w:r>
      <w:r w:rsidR="00151021" w:rsidRPr="002720D0">
        <w:rPr>
          <w:lang w:val="es-ES_tradnl"/>
        </w:rPr>
        <w:t>, respectiv</w:t>
      </w:r>
      <w:r w:rsidR="008D1F43" w:rsidRPr="002720D0">
        <w:rPr>
          <w:lang w:val="es-ES_tradnl"/>
        </w:rPr>
        <w:t>amente). Para los fines de</w:t>
      </w:r>
      <w:r w:rsidR="002B44B6" w:rsidRPr="002720D0">
        <w:rPr>
          <w:lang w:val="es-ES_tradnl"/>
        </w:rPr>
        <w:t xml:space="preserve"> esta encuesta, se entiende por mosquitero tratado con insecticida un mosquitero tratado en la fábrica qu</w:t>
      </w:r>
      <w:r w:rsidR="00184159" w:rsidRPr="002720D0">
        <w:rPr>
          <w:lang w:val="es-ES_tradnl"/>
        </w:rPr>
        <w:t>e no necesita</w:t>
      </w:r>
      <w:r w:rsidR="002B44B6" w:rsidRPr="002720D0">
        <w:rPr>
          <w:lang w:val="es-ES_tradnl"/>
        </w:rPr>
        <w:t xml:space="preserve"> ningún tratamiento adicional, o un mosquitero que se ha</w:t>
      </w:r>
      <w:r w:rsidR="008D1F43" w:rsidRPr="002720D0">
        <w:rPr>
          <w:lang w:val="es-ES_tradnl"/>
        </w:rPr>
        <w:t>ya impregnado con</w:t>
      </w:r>
      <w:r w:rsidR="002B44B6" w:rsidRPr="002720D0">
        <w:rPr>
          <w:lang w:val="es-ES_tradnl"/>
        </w:rPr>
        <w:t xml:space="preserve"> insecticida </w:t>
      </w:r>
      <w:r w:rsidR="008D1F43" w:rsidRPr="002720D0">
        <w:rPr>
          <w:lang w:val="es-ES_tradnl"/>
        </w:rPr>
        <w:t>en</w:t>
      </w:r>
      <w:r w:rsidR="002B44B6" w:rsidRPr="002720D0">
        <w:rPr>
          <w:lang w:val="es-ES_tradnl"/>
        </w:rPr>
        <w:t xml:space="preserve"> los 12 meses anteriores. Entre la Encuesta demográfica y de </w:t>
      </w:r>
      <w:r w:rsidR="008D1F43" w:rsidRPr="002720D0">
        <w:rPr>
          <w:lang w:val="es-ES_tradnl"/>
        </w:rPr>
        <w:t>salud</w:t>
      </w:r>
      <w:r w:rsidR="002B44B6" w:rsidRPr="002720D0">
        <w:rPr>
          <w:lang w:val="es-ES_tradnl"/>
        </w:rPr>
        <w:t xml:space="preserve"> de </w:t>
      </w:r>
      <w:r w:rsidR="00F96520" w:rsidRPr="00F96520">
        <w:rPr>
          <w:lang w:val="es-ES_tradnl"/>
        </w:rPr>
        <w:t>Tanzanía</w:t>
      </w:r>
      <w:r w:rsidR="002B44B6" w:rsidRPr="002720D0">
        <w:rPr>
          <w:lang w:val="es-ES_tradnl"/>
        </w:rPr>
        <w:t xml:space="preserve"> de </w:t>
      </w:r>
      <w:r w:rsidR="003D2ED2" w:rsidRPr="002720D0">
        <w:rPr>
          <w:lang w:val="es-ES_tradnl"/>
        </w:rPr>
        <w:t>2</w:t>
      </w:r>
      <w:r w:rsidR="00151021" w:rsidRPr="002720D0">
        <w:rPr>
          <w:lang w:val="es-ES_tradnl"/>
        </w:rPr>
        <w:t>004</w:t>
      </w:r>
      <w:r w:rsidR="008D1F43" w:rsidRPr="002720D0">
        <w:rPr>
          <w:lang w:val="es-ES_tradnl"/>
        </w:rPr>
        <w:t>-</w:t>
      </w:r>
      <w:r w:rsidR="002B44B6" w:rsidRPr="002720D0">
        <w:rPr>
          <w:lang w:val="es-ES_tradnl"/>
        </w:rPr>
        <w:t>20</w:t>
      </w:r>
      <w:r w:rsidR="00151021" w:rsidRPr="002720D0">
        <w:rPr>
          <w:lang w:val="es-ES_tradnl"/>
        </w:rPr>
        <w:t xml:space="preserve">05 </w:t>
      </w:r>
      <w:r w:rsidR="002B44B6" w:rsidRPr="002720D0">
        <w:rPr>
          <w:lang w:val="es-ES_tradnl"/>
        </w:rPr>
        <w:t xml:space="preserve">y la de </w:t>
      </w:r>
      <w:r w:rsidR="00151021" w:rsidRPr="002720D0">
        <w:rPr>
          <w:lang w:val="es-ES_tradnl"/>
        </w:rPr>
        <w:t>2010</w:t>
      </w:r>
      <w:r w:rsidR="002B44B6" w:rsidRPr="002720D0">
        <w:rPr>
          <w:lang w:val="es-ES_tradnl"/>
        </w:rPr>
        <w:t xml:space="preserve">, la posesión de mosquiteros tratados con insecticida aumentó del 23% al 63% en Tanzanía </w:t>
      </w:r>
      <w:r w:rsidR="002B44B6" w:rsidRPr="00B57F06">
        <w:rPr>
          <w:lang w:val="es-ES_tradnl"/>
        </w:rPr>
        <w:t>continental, y del 28% al 76% en Zanzíbar. Este considerable aumento en la posesión de mosquiteros</w:t>
      </w:r>
      <w:r w:rsidR="002B44B6" w:rsidRPr="002720D0">
        <w:rPr>
          <w:lang w:val="es-ES_tradnl"/>
        </w:rPr>
        <w:t xml:space="preserve"> se puede atribuir a los programas sanitarios gubernamentales a los que se hace referencia</w:t>
      </w:r>
      <w:r w:rsidR="008D1F43" w:rsidRPr="002720D0">
        <w:rPr>
          <w:lang w:val="es-ES_tradnl"/>
        </w:rPr>
        <w:t xml:space="preserve"> más arriba</w:t>
      </w:r>
      <w:r w:rsidR="002B44B6" w:rsidRPr="002720D0">
        <w:rPr>
          <w:lang w:val="es-ES_tradnl"/>
        </w:rPr>
        <w:t>, que se iniciaron en</w:t>
      </w:r>
      <w:r w:rsidR="008D1F43" w:rsidRPr="002720D0">
        <w:rPr>
          <w:lang w:val="es-ES_tradnl"/>
        </w:rPr>
        <w:t xml:space="preserve"> Zanzíbar en septiembre de 2005 y en </w:t>
      </w:r>
      <w:r w:rsidR="002B44B6" w:rsidRPr="002720D0">
        <w:rPr>
          <w:lang w:val="es-ES_tradnl"/>
        </w:rPr>
        <w:t xml:space="preserve">Tanzanía continental en </w:t>
      </w:r>
      <w:r w:rsidR="00151021" w:rsidRPr="002720D0">
        <w:rPr>
          <w:lang w:val="es-ES_tradnl"/>
        </w:rPr>
        <w:t xml:space="preserve">2009. </w:t>
      </w:r>
      <w:r w:rsidR="002B44B6" w:rsidRPr="002720D0">
        <w:rPr>
          <w:lang w:val="es-ES_tradnl"/>
        </w:rPr>
        <w:t xml:space="preserve">La cobertura </w:t>
      </w:r>
      <w:r w:rsidR="008D1F43" w:rsidRPr="002720D0">
        <w:rPr>
          <w:lang w:val="es-ES_tradnl"/>
        </w:rPr>
        <w:t>de</w:t>
      </w:r>
      <w:r w:rsidR="002B44B6" w:rsidRPr="002720D0">
        <w:rPr>
          <w:lang w:val="es-ES_tradnl"/>
        </w:rPr>
        <w:t xml:space="preserve"> mosquiteros en Tanzanía ha mejorado considerablemente en todas las regiones desde el año 2004. En Shinyanga, Mwanza y</w:t>
      </w:r>
      <w:r w:rsidR="00151021" w:rsidRPr="002720D0">
        <w:rPr>
          <w:lang w:val="es-ES_tradnl"/>
        </w:rPr>
        <w:t xml:space="preserve"> Mara, </w:t>
      </w:r>
      <w:r w:rsidR="002B44B6" w:rsidRPr="002720D0">
        <w:rPr>
          <w:lang w:val="es-ES_tradnl"/>
        </w:rPr>
        <w:t xml:space="preserve">un </w:t>
      </w:r>
      <w:r w:rsidR="00151021" w:rsidRPr="002720D0">
        <w:rPr>
          <w:lang w:val="es-ES_tradnl"/>
        </w:rPr>
        <w:t>90</w:t>
      </w:r>
      <w:r w:rsidR="00153B23" w:rsidRPr="002720D0">
        <w:rPr>
          <w:lang w:val="es-ES_tradnl"/>
        </w:rPr>
        <w:t>%</w:t>
      </w:r>
      <w:r w:rsidR="00151021" w:rsidRPr="002720D0">
        <w:rPr>
          <w:lang w:val="es-ES_tradnl"/>
        </w:rPr>
        <w:t xml:space="preserve"> </w:t>
      </w:r>
      <w:r w:rsidR="002B44B6" w:rsidRPr="002720D0">
        <w:rPr>
          <w:lang w:val="es-ES_tradnl"/>
        </w:rPr>
        <w:t xml:space="preserve">o más de los hogares cuentan con un mosquitero como mínimo, mientras que en </w:t>
      </w:r>
      <w:r w:rsidR="00151021" w:rsidRPr="002720D0">
        <w:rPr>
          <w:lang w:val="es-ES_tradnl"/>
        </w:rPr>
        <w:t xml:space="preserve">Singida </w:t>
      </w:r>
      <w:r w:rsidR="002B44B6" w:rsidRPr="002720D0">
        <w:rPr>
          <w:lang w:val="es-ES_tradnl"/>
        </w:rPr>
        <w:t xml:space="preserve">la proporción no alcanza el </w:t>
      </w:r>
      <w:r w:rsidR="00151021" w:rsidRPr="002720D0">
        <w:rPr>
          <w:lang w:val="es-ES_tradnl"/>
        </w:rPr>
        <w:t>50</w:t>
      </w:r>
      <w:r w:rsidR="00153B23" w:rsidRPr="002720D0">
        <w:rPr>
          <w:lang w:val="es-ES_tradnl"/>
        </w:rPr>
        <w:t>%</w:t>
      </w:r>
      <w:r w:rsidR="00151021" w:rsidRPr="002720D0">
        <w:rPr>
          <w:lang w:val="es-ES_tradnl"/>
        </w:rPr>
        <w:t xml:space="preserve"> (47</w:t>
      </w:r>
      <w:r w:rsidR="00153B23" w:rsidRPr="002720D0">
        <w:rPr>
          <w:lang w:val="es-ES_tradnl"/>
        </w:rPr>
        <w:t>%</w:t>
      </w:r>
      <w:r w:rsidR="002B44B6" w:rsidRPr="002720D0">
        <w:rPr>
          <w:lang w:val="es-ES_tradnl"/>
        </w:rPr>
        <w:t xml:space="preserve">). En Tanzanía continental, la posesión de mosquiteros impregnados con insecticida </w:t>
      </w:r>
      <w:r w:rsidR="00626CDD" w:rsidRPr="002720D0">
        <w:rPr>
          <w:lang w:val="es-ES_tradnl"/>
        </w:rPr>
        <w:t xml:space="preserve">representa al menos el 50% en todas las regiones salvo en </w:t>
      </w:r>
      <w:r w:rsidR="00151021" w:rsidRPr="002720D0">
        <w:rPr>
          <w:lang w:val="es-ES_tradnl"/>
        </w:rPr>
        <w:t>Kilimanjaro (49</w:t>
      </w:r>
      <w:r w:rsidR="00153B23" w:rsidRPr="002720D0">
        <w:rPr>
          <w:lang w:val="es-ES_tradnl"/>
        </w:rPr>
        <w:t>%</w:t>
      </w:r>
      <w:r w:rsidR="00151021" w:rsidRPr="002720D0">
        <w:rPr>
          <w:lang w:val="es-ES_tradnl"/>
        </w:rPr>
        <w:t>), Morogoro (37</w:t>
      </w:r>
      <w:r w:rsidR="00153B23" w:rsidRPr="002720D0">
        <w:rPr>
          <w:lang w:val="es-ES_tradnl"/>
        </w:rPr>
        <w:t>%</w:t>
      </w:r>
      <w:r w:rsidR="00626CDD" w:rsidRPr="002720D0">
        <w:rPr>
          <w:lang w:val="es-ES_tradnl"/>
        </w:rPr>
        <w:t>) y</w:t>
      </w:r>
      <w:r w:rsidR="00151021" w:rsidRPr="002720D0">
        <w:rPr>
          <w:lang w:val="es-ES_tradnl"/>
        </w:rPr>
        <w:t xml:space="preserve"> Singida (34</w:t>
      </w:r>
      <w:r w:rsidR="00153B23" w:rsidRPr="002720D0">
        <w:rPr>
          <w:lang w:val="es-ES_tradnl"/>
        </w:rPr>
        <w:t>%</w:t>
      </w:r>
      <w:r w:rsidR="00151021" w:rsidRPr="002720D0">
        <w:rPr>
          <w:lang w:val="es-ES_tradnl"/>
        </w:rPr>
        <w:t xml:space="preserve">). </w:t>
      </w:r>
      <w:r w:rsidR="008D1F43" w:rsidRPr="002720D0">
        <w:rPr>
          <w:lang w:val="es-ES_tradnl"/>
        </w:rPr>
        <w:t xml:space="preserve">En Singida, el </w:t>
      </w:r>
      <w:r w:rsidR="004E5B2C" w:rsidRPr="002720D0">
        <w:rPr>
          <w:lang w:val="es-ES_tradnl"/>
        </w:rPr>
        <w:t>porcentaje</w:t>
      </w:r>
      <w:r w:rsidR="008D1F43" w:rsidRPr="002720D0">
        <w:rPr>
          <w:lang w:val="es-ES_tradnl"/>
        </w:rPr>
        <w:t xml:space="preserve"> de</w:t>
      </w:r>
      <w:r w:rsidR="00626CDD" w:rsidRPr="002720D0">
        <w:rPr>
          <w:lang w:val="es-ES_tradnl"/>
        </w:rPr>
        <w:t xml:space="preserve"> posesión de mosquitero</w:t>
      </w:r>
      <w:r w:rsidR="008D1F43" w:rsidRPr="002720D0">
        <w:rPr>
          <w:lang w:val="es-ES_tradnl"/>
        </w:rPr>
        <w:t>s impregnados con insecticida es reducido</w:t>
      </w:r>
      <w:r w:rsidR="00626CDD" w:rsidRPr="002720D0">
        <w:rPr>
          <w:lang w:val="es-ES_tradnl"/>
        </w:rPr>
        <w:t xml:space="preserve"> </w:t>
      </w:r>
      <w:r w:rsidR="00151021" w:rsidRPr="002720D0">
        <w:rPr>
          <w:lang w:val="es-ES_tradnl"/>
        </w:rPr>
        <w:t>(34</w:t>
      </w:r>
      <w:r w:rsidR="00153B23" w:rsidRPr="002720D0">
        <w:rPr>
          <w:lang w:val="es-ES_tradnl"/>
        </w:rPr>
        <w:t>%</w:t>
      </w:r>
      <w:r w:rsidR="00151021" w:rsidRPr="002720D0">
        <w:rPr>
          <w:lang w:val="es-ES_tradnl"/>
        </w:rPr>
        <w:t xml:space="preserve">). </w:t>
      </w:r>
      <w:r w:rsidR="00626CDD" w:rsidRPr="002720D0">
        <w:rPr>
          <w:lang w:val="es-ES_tradnl"/>
        </w:rPr>
        <w:t>El aumento más notable en la posesión de mosquiteros impregnados con insect</w:t>
      </w:r>
      <w:r w:rsidR="008D1F43" w:rsidRPr="002720D0">
        <w:rPr>
          <w:lang w:val="es-ES_tradnl"/>
        </w:rPr>
        <w:t>icida entre la encuesta de 2004-</w:t>
      </w:r>
      <w:r w:rsidR="00626CDD" w:rsidRPr="002720D0">
        <w:rPr>
          <w:lang w:val="es-ES_tradnl"/>
        </w:rPr>
        <w:t xml:space="preserve">2005 y la de 2010 corresponde a </w:t>
      </w:r>
      <w:r w:rsidR="00151021" w:rsidRPr="002720D0">
        <w:rPr>
          <w:lang w:val="es-ES_tradnl"/>
        </w:rPr>
        <w:t>Iringa (</w:t>
      </w:r>
      <w:r w:rsidR="00626CDD" w:rsidRPr="002720D0">
        <w:rPr>
          <w:lang w:val="es-ES_tradnl"/>
        </w:rPr>
        <w:t>del</w:t>
      </w:r>
      <w:r w:rsidR="00151021" w:rsidRPr="002720D0">
        <w:rPr>
          <w:lang w:val="es-ES_tradnl"/>
        </w:rPr>
        <w:t xml:space="preserve"> 7</w:t>
      </w:r>
      <w:r w:rsidR="00153B23" w:rsidRPr="002720D0">
        <w:rPr>
          <w:lang w:val="es-ES_tradnl"/>
        </w:rPr>
        <w:t>%</w:t>
      </w:r>
      <w:r w:rsidR="00626CDD" w:rsidRPr="002720D0">
        <w:rPr>
          <w:lang w:val="es-ES_tradnl"/>
        </w:rPr>
        <w:t xml:space="preserve"> al</w:t>
      </w:r>
      <w:r w:rsidR="00151021" w:rsidRPr="002720D0">
        <w:rPr>
          <w:lang w:val="es-ES_tradnl"/>
        </w:rPr>
        <w:t xml:space="preserve"> 53</w:t>
      </w:r>
      <w:r w:rsidR="00153B23" w:rsidRPr="002720D0">
        <w:rPr>
          <w:lang w:val="es-ES_tradnl"/>
        </w:rPr>
        <w:t>%</w:t>
      </w:r>
      <w:r w:rsidR="00151021" w:rsidRPr="002720D0">
        <w:rPr>
          <w:lang w:val="es-ES_tradnl"/>
        </w:rPr>
        <w:t xml:space="preserve">) </w:t>
      </w:r>
      <w:r w:rsidR="00626CDD" w:rsidRPr="002720D0">
        <w:rPr>
          <w:lang w:val="es-ES_tradnl"/>
        </w:rPr>
        <w:t>y</w:t>
      </w:r>
      <w:r w:rsidR="00151021" w:rsidRPr="002720D0">
        <w:rPr>
          <w:lang w:val="es-ES_tradnl"/>
        </w:rPr>
        <w:t xml:space="preserve"> Manyara (</w:t>
      </w:r>
      <w:r w:rsidR="00626CDD" w:rsidRPr="002720D0">
        <w:rPr>
          <w:lang w:val="es-ES_tradnl"/>
        </w:rPr>
        <w:t>del</w:t>
      </w:r>
      <w:r w:rsidR="00151021" w:rsidRPr="002720D0">
        <w:rPr>
          <w:lang w:val="es-ES_tradnl"/>
        </w:rPr>
        <w:t xml:space="preserve"> 8</w:t>
      </w:r>
      <w:r w:rsidR="00153B23" w:rsidRPr="002720D0">
        <w:rPr>
          <w:lang w:val="es-ES_tradnl"/>
        </w:rPr>
        <w:t>%</w:t>
      </w:r>
      <w:r w:rsidR="00626CDD" w:rsidRPr="002720D0">
        <w:rPr>
          <w:lang w:val="es-ES_tradnl"/>
        </w:rPr>
        <w:t xml:space="preserve"> al</w:t>
      </w:r>
      <w:r w:rsidR="00151021" w:rsidRPr="002720D0">
        <w:rPr>
          <w:lang w:val="es-ES_tradnl"/>
        </w:rPr>
        <w:t xml:space="preserve"> 73</w:t>
      </w:r>
      <w:r w:rsidR="00153B23" w:rsidRPr="002720D0">
        <w:rPr>
          <w:lang w:val="es-ES_tradnl"/>
        </w:rPr>
        <w:t>%</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152.</w:t>
      </w:r>
      <w:r w:rsidRPr="002720D0">
        <w:rPr>
          <w:lang w:val="es-ES_tradnl"/>
        </w:rPr>
        <w:tab/>
      </w:r>
      <w:r w:rsidR="00626CDD" w:rsidRPr="002720D0">
        <w:rPr>
          <w:lang w:val="es-ES_tradnl"/>
        </w:rPr>
        <w:t xml:space="preserve">La Encuesta demográfica y de </w:t>
      </w:r>
      <w:r w:rsidR="008D1F43" w:rsidRPr="002720D0">
        <w:rPr>
          <w:lang w:val="es-ES_tradnl"/>
        </w:rPr>
        <w:t>salud</w:t>
      </w:r>
      <w:r w:rsidR="00626CDD" w:rsidRPr="002720D0">
        <w:rPr>
          <w:lang w:val="es-ES_tradnl"/>
        </w:rPr>
        <w:t xml:space="preserve"> de </w:t>
      </w:r>
      <w:r w:rsidR="00F96520" w:rsidRPr="00F96520">
        <w:rPr>
          <w:lang w:val="es-ES_tradnl"/>
        </w:rPr>
        <w:t>Tanzanía</w:t>
      </w:r>
      <w:r w:rsidR="00626CDD" w:rsidRPr="002720D0">
        <w:rPr>
          <w:lang w:val="es-ES_tradnl"/>
        </w:rPr>
        <w:t xml:space="preserve"> de 2010 indica que es menos probable que los hogares rurales están en posesión de un mosquitero que los urbanos </w:t>
      </w:r>
      <w:r w:rsidR="00151021" w:rsidRPr="002720D0">
        <w:rPr>
          <w:lang w:val="es-ES_tradnl"/>
        </w:rPr>
        <w:t>(72</w:t>
      </w:r>
      <w:r w:rsidR="00626CDD" w:rsidRPr="002720D0">
        <w:rPr>
          <w:lang w:val="es-ES_tradnl"/>
        </w:rPr>
        <w:t>% y</w:t>
      </w:r>
      <w:r w:rsidR="00151021" w:rsidRPr="002720D0">
        <w:rPr>
          <w:lang w:val="es-ES_tradnl"/>
        </w:rPr>
        <w:t xml:space="preserve"> 84</w:t>
      </w:r>
      <w:r w:rsidR="00153B23" w:rsidRPr="002720D0">
        <w:rPr>
          <w:lang w:val="es-ES_tradnl"/>
        </w:rPr>
        <w:t>%</w:t>
      </w:r>
      <w:r w:rsidR="00151021" w:rsidRPr="002720D0">
        <w:rPr>
          <w:lang w:val="es-ES_tradnl"/>
        </w:rPr>
        <w:t>, respectiv</w:t>
      </w:r>
      <w:r w:rsidR="00626CDD" w:rsidRPr="002720D0">
        <w:rPr>
          <w:lang w:val="es-ES_tradnl"/>
        </w:rPr>
        <w:t>amente</w:t>
      </w:r>
      <w:r w:rsidR="00151021" w:rsidRPr="002720D0">
        <w:rPr>
          <w:lang w:val="es-ES_tradnl"/>
        </w:rPr>
        <w:t xml:space="preserve">). </w:t>
      </w:r>
      <w:r w:rsidR="00626CDD" w:rsidRPr="002720D0">
        <w:rPr>
          <w:lang w:val="es-ES_tradnl"/>
        </w:rPr>
        <w:t xml:space="preserve">No obstante, existe la misma probabilidad de que estén en posesión de </w:t>
      </w:r>
      <w:r w:rsidR="008D1F43" w:rsidRPr="002720D0">
        <w:rPr>
          <w:lang w:val="es-ES_tradnl"/>
        </w:rPr>
        <w:t xml:space="preserve">al menos </w:t>
      </w:r>
      <w:r w:rsidR="00626CDD" w:rsidRPr="002720D0">
        <w:rPr>
          <w:lang w:val="es-ES_tradnl"/>
        </w:rPr>
        <w:t xml:space="preserve">un mosquitero impregnado con insecticida (65% y 63%, </w:t>
      </w:r>
      <w:r w:rsidR="00B57F06">
        <w:rPr>
          <w:lang w:val="es-ES_tradnl"/>
        </w:rPr>
        <w:t>respectivamente).</w:t>
      </w:r>
      <w:r w:rsidR="00626CDD" w:rsidRPr="002720D0">
        <w:rPr>
          <w:lang w:val="es-ES_tradnl"/>
        </w:rPr>
        <w:t xml:space="preserve"> En comparación con las conclusiones de la Encuesta de </w:t>
      </w:r>
      <w:r w:rsidR="00151021" w:rsidRPr="002720D0">
        <w:rPr>
          <w:lang w:val="es-ES_tradnl"/>
        </w:rPr>
        <w:t>2004</w:t>
      </w:r>
      <w:r w:rsidR="008D1F43" w:rsidRPr="002720D0">
        <w:rPr>
          <w:lang w:val="es-ES_tradnl"/>
        </w:rPr>
        <w:t>-</w:t>
      </w:r>
      <w:r w:rsidR="00626CDD" w:rsidRPr="002720D0">
        <w:rPr>
          <w:lang w:val="es-ES_tradnl"/>
        </w:rPr>
        <w:t>20</w:t>
      </w:r>
      <w:r w:rsidR="00151021" w:rsidRPr="002720D0">
        <w:rPr>
          <w:lang w:val="es-ES_tradnl"/>
        </w:rPr>
        <w:t>05</w:t>
      </w:r>
      <w:r w:rsidR="00626CDD" w:rsidRPr="002720D0">
        <w:rPr>
          <w:lang w:val="es-ES_tradnl"/>
        </w:rPr>
        <w:t>, la disparidad entre los hogares urbanos y los rurales relativa a la posesión</w:t>
      </w:r>
      <w:r w:rsidR="008D1F43" w:rsidRPr="002720D0">
        <w:rPr>
          <w:lang w:val="es-ES_tradnl"/>
        </w:rPr>
        <w:t>,</w:t>
      </w:r>
      <w:r w:rsidR="00626CDD" w:rsidRPr="002720D0">
        <w:rPr>
          <w:lang w:val="es-ES_tradnl"/>
        </w:rPr>
        <w:t xml:space="preserve"> como mínimo</w:t>
      </w:r>
      <w:r w:rsidR="008D1F43" w:rsidRPr="002720D0">
        <w:rPr>
          <w:lang w:val="es-ES_tradnl"/>
        </w:rPr>
        <w:t>, de</w:t>
      </w:r>
      <w:r w:rsidR="00626CDD" w:rsidRPr="002720D0">
        <w:rPr>
          <w:lang w:val="es-ES_tradnl"/>
        </w:rPr>
        <w:t xml:space="preserve"> un mosquitero impregnado con insecticida se ha reducido considerablemente. En</w:t>
      </w:r>
      <w:r w:rsidR="00151021" w:rsidRPr="002720D0">
        <w:rPr>
          <w:lang w:val="es-ES_tradnl"/>
        </w:rPr>
        <w:t xml:space="preserve"> 2004</w:t>
      </w:r>
      <w:r w:rsidR="003D2ED2" w:rsidRPr="002720D0">
        <w:rPr>
          <w:lang w:val="es-ES_tradnl"/>
        </w:rPr>
        <w:t>/</w:t>
      </w:r>
      <w:r w:rsidR="00151021" w:rsidRPr="002720D0">
        <w:rPr>
          <w:lang w:val="es-ES_tradnl"/>
        </w:rPr>
        <w:t xml:space="preserve">05, </w:t>
      </w:r>
      <w:r w:rsidR="00626CDD" w:rsidRPr="002720D0">
        <w:rPr>
          <w:lang w:val="es-ES_tradnl"/>
        </w:rPr>
        <w:t xml:space="preserve">los correspondientes porcentajes ascendían al </w:t>
      </w:r>
      <w:r w:rsidR="00151021" w:rsidRPr="002720D0">
        <w:rPr>
          <w:lang w:val="es-ES_tradnl"/>
        </w:rPr>
        <w:t>14</w:t>
      </w:r>
      <w:r w:rsidR="00153B23" w:rsidRPr="002720D0">
        <w:rPr>
          <w:lang w:val="es-ES_tradnl"/>
        </w:rPr>
        <w:t>%</w:t>
      </w:r>
      <w:r w:rsidR="00151021" w:rsidRPr="002720D0">
        <w:rPr>
          <w:lang w:val="es-ES_tradnl"/>
        </w:rPr>
        <w:t xml:space="preserve"> </w:t>
      </w:r>
      <w:r w:rsidR="00626CDD" w:rsidRPr="002720D0">
        <w:rPr>
          <w:lang w:val="es-ES_tradnl"/>
        </w:rPr>
        <w:t xml:space="preserve">para las zonas rurales y el </w:t>
      </w:r>
      <w:r w:rsidR="00151021" w:rsidRPr="002720D0">
        <w:rPr>
          <w:lang w:val="es-ES_tradnl"/>
        </w:rPr>
        <w:t>47</w:t>
      </w:r>
      <w:r w:rsidR="00153B23" w:rsidRPr="002720D0">
        <w:rPr>
          <w:lang w:val="es-ES_tradnl"/>
        </w:rPr>
        <w:t>%</w:t>
      </w:r>
      <w:r w:rsidR="00151021" w:rsidRPr="002720D0">
        <w:rPr>
          <w:lang w:val="es-ES_tradnl"/>
        </w:rPr>
        <w:t xml:space="preserve"> </w:t>
      </w:r>
      <w:r w:rsidR="00626CDD" w:rsidRPr="002720D0">
        <w:rPr>
          <w:lang w:val="es-ES_tradnl"/>
        </w:rPr>
        <w:t xml:space="preserve">para las urbanas. Sorprendentemente, es más probable que los hogares rurales estén en posesión de más de un mosquitero impregnado con insecticida que </w:t>
      </w:r>
      <w:r w:rsidR="009C1F47" w:rsidRPr="002720D0">
        <w:rPr>
          <w:lang w:val="es-ES_tradnl"/>
        </w:rPr>
        <w:t xml:space="preserve">lo estén </w:t>
      </w:r>
      <w:r w:rsidR="00626CDD" w:rsidRPr="002720D0">
        <w:rPr>
          <w:lang w:val="es-ES_tradnl"/>
        </w:rPr>
        <w:t xml:space="preserve">los hogares urbanos </w:t>
      </w:r>
      <w:r w:rsidR="00151021" w:rsidRPr="002720D0">
        <w:rPr>
          <w:lang w:val="es-ES_tradnl"/>
        </w:rPr>
        <w:t>(38</w:t>
      </w:r>
      <w:r w:rsidR="009C1F47" w:rsidRPr="002720D0">
        <w:rPr>
          <w:lang w:val="es-ES_tradnl"/>
        </w:rPr>
        <w:t>% y</w:t>
      </w:r>
      <w:r w:rsidR="00151021" w:rsidRPr="002720D0">
        <w:rPr>
          <w:lang w:val="es-ES_tradnl"/>
        </w:rPr>
        <w:t xml:space="preserve"> 35</w:t>
      </w:r>
      <w:r w:rsidR="00153B23" w:rsidRPr="002720D0">
        <w:rPr>
          <w:lang w:val="es-ES_tradnl"/>
        </w:rPr>
        <w:t>%</w:t>
      </w:r>
      <w:r w:rsidR="00151021" w:rsidRPr="002720D0">
        <w:rPr>
          <w:lang w:val="es-ES_tradnl"/>
        </w:rPr>
        <w:t>, respectiv</w:t>
      </w:r>
      <w:r w:rsidR="009C1F47" w:rsidRPr="002720D0">
        <w:rPr>
          <w:lang w:val="es-ES_tradnl"/>
        </w:rPr>
        <w:t>amente</w:t>
      </w:r>
      <w:r w:rsidR="00151021" w:rsidRPr="002720D0">
        <w:rPr>
          <w:lang w:val="es-ES_tradnl"/>
        </w:rPr>
        <w:t xml:space="preserve">). </w:t>
      </w:r>
      <w:r w:rsidR="009C1F47" w:rsidRPr="002720D0">
        <w:rPr>
          <w:lang w:val="es-ES_tradnl"/>
        </w:rPr>
        <w:t xml:space="preserve">En el cuadro 12.1 (página 195 de la Encuesta demográfica y de </w:t>
      </w:r>
      <w:r w:rsidR="008D1F43" w:rsidRPr="002720D0">
        <w:rPr>
          <w:lang w:val="es-ES_tradnl"/>
        </w:rPr>
        <w:t>salud</w:t>
      </w:r>
      <w:r w:rsidR="009C1F47" w:rsidRPr="002720D0">
        <w:rPr>
          <w:lang w:val="es-ES_tradnl"/>
        </w:rPr>
        <w:t xml:space="preserve"> de </w:t>
      </w:r>
      <w:r w:rsidR="00F96520" w:rsidRPr="00F96520">
        <w:rPr>
          <w:lang w:val="es-ES_tradnl"/>
        </w:rPr>
        <w:t>Tanzanía</w:t>
      </w:r>
      <w:r w:rsidR="009C1F47" w:rsidRPr="002720D0">
        <w:rPr>
          <w:lang w:val="es-ES_tradnl"/>
        </w:rPr>
        <w:t xml:space="preserve"> de 2010) también se puede ver que la posesión de cualquier tipo de mosquitero aumenta con arreglo al quintil de ingresos, desde el 65% hasta el 88%.</w:t>
      </w:r>
    </w:p>
    <w:p w:rsidR="00151021" w:rsidRPr="002720D0" w:rsidRDefault="004F6364" w:rsidP="004F6364">
      <w:pPr>
        <w:pStyle w:val="SingleTxtG"/>
        <w:tabs>
          <w:tab w:val="left" w:pos="-360"/>
        </w:tabs>
        <w:rPr>
          <w:lang w:val="es-ES_tradnl"/>
        </w:rPr>
      </w:pPr>
      <w:r w:rsidRPr="002720D0">
        <w:rPr>
          <w:lang w:val="es-ES_tradnl"/>
        </w:rPr>
        <w:t>153.</w:t>
      </w:r>
      <w:r w:rsidRPr="002720D0">
        <w:rPr>
          <w:lang w:val="es-ES_tradnl"/>
        </w:rPr>
        <w:tab/>
      </w:r>
      <w:r w:rsidR="009C1F47" w:rsidRPr="002720D0">
        <w:rPr>
          <w:lang w:val="es-ES_tradnl"/>
        </w:rPr>
        <w:t xml:space="preserve">Una </w:t>
      </w:r>
      <w:r w:rsidR="009C1F47" w:rsidRPr="00B57F06">
        <w:rPr>
          <w:lang w:val="es-ES_tradnl"/>
        </w:rPr>
        <w:t>mayoría de los mosquiteros impregnados con insecticida son redes insecticidas de larga duración (54 del</w:t>
      </w:r>
      <w:r w:rsidR="00151021" w:rsidRPr="00B57F06">
        <w:rPr>
          <w:lang w:val="es-ES_tradnl"/>
        </w:rPr>
        <w:t xml:space="preserve"> 64</w:t>
      </w:r>
      <w:r w:rsidR="00153B23" w:rsidRPr="00B57F06">
        <w:rPr>
          <w:lang w:val="es-ES_tradnl"/>
        </w:rPr>
        <w:t>%</w:t>
      </w:r>
      <w:r w:rsidR="00151021" w:rsidRPr="00B57F06">
        <w:rPr>
          <w:lang w:val="es-ES_tradnl"/>
        </w:rPr>
        <w:t>).</w:t>
      </w:r>
      <w:r w:rsidR="00151021" w:rsidRPr="002720D0">
        <w:rPr>
          <w:lang w:val="es-ES_tradnl"/>
        </w:rPr>
        <w:t xml:space="preserve"> </w:t>
      </w:r>
      <w:r w:rsidR="009C1F47" w:rsidRPr="002720D0">
        <w:rPr>
          <w:lang w:val="es-ES_tradnl"/>
        </w:rPr>
        <w:t>Las variaciones en la posesión de redes insecticidas de larga duración entre los subgrupos de hogares son las mismas que se pueden observar respecto de los mosquiteros impregnados con insecticida. Las cifras reducidas corres</w:t>
      </w:r>
      <w:r w:rsidR="00320390" w:rsidRPr="002720D0">
        <w:rPr>
          <w:lang w:val="es-ES_tradnl"/>
        </w:rPr>
        <w:t>p</w:t>
      </w:r>
      <w:r w:rsidR="009C1F47" w:rsidRPr="002720D0">
        <w:rPr>
          <w:lang w:val="es-ES_tradnl"/>
        </w:rPr>
        <w:t xml:space="preserve">ondientes a la posesión y el empleo de los mosquiteros en las regiones de </w:t>
      </w:r>
      <w:r w:rsidR="00151021" w:rsidRPr="002720D0">
        <w:rPr>
          <w:lang w:val="es-ES_tradnl"/>
        </w:rPr>
        <w:t>Kilimanjaro, Singida, Ar</w:t>
      </w:r>
      <w:r w:rsidR="009C1F47" w:rsidRPr="002720D0">
        <w:rPr>
          <w:lang w:val="es-ES_tradnl"/>
        </w:rPr>
        <w:t>usha y</w:t>
      </w:r>
      <w:r w:rsidR="00151021" w:rsidRPr="002720D0">
        <w:rPr>
          <w:lang w:val="es-ES_tradnl"/>
        </w:rPr>
        <w:t xml:space="preserve"> Morogoro </w:t>
      </w:r>
      <w:r w:rsidR="009C1F47" w:rsidRPr="002720D0">
        <w:rPr>
          <w:lang w:val="es-ES_tradnl"/>
        </w:rPr>
        <w:t>se deben a que en esas regiones no se había inici</w:t>
      </w:r>
      <w:r w:rsidR="008D1F43" w:rsidRPr="002720D0">
        <w:rPr>
          <w:lang w:val="es-ES_tradnl"/>
        </w:rPr>
        <w:t>ado</w:t>
      </w:r>
      <w:r w:rsidR="009C1F47" w:rsidRPr="002720D0">
        <w:rPr>
          <w:lang w:val="es-ES_tradnl"/>
        </w:rPr>
        <w:t xml:space="preserve"> la distribución de las redes insecticidas de larga duración.</w:t>
      </w:r>
      <w:r w:rsidR="00151021" w:rsidRPr="002720D0">
        <w:rPr>
          <w:lang w:val="es-ES_tradnl"/>
        </w:rPr>
        <w:t xml:space="preserve"> </w:t>
      </w:r>
      <w:r w:rsidR="00782B12" w:rsidRPr="002720D0">
        <w:rPr>
          <w:lang w:val="es-ES_tradnl"/>
        </w:rPr>
        <w:t>Dar es Salaam</w:t>
      </w:r>
      <w:r w:rsidR="00151021" w:rsidRPr="002720D0">
        <w:rPr>
          <w:lang w:val="es-ES_tradnl"/>
        </w:rPr>
        <w:t xml:space="preserve">, </w:t>
      </w:r>
      <w:r w:rsidR="009C1F47" w:rsidRPr="002720D0">
        <w:rPr>
          <w:lang w:val="es-ES_tradnl"/>
        </w:rPr>
        <w:t xml:space="preserve">que contaba con la mayor proporción de hogares con mosquiteros impregnados con insecticida en Tanzanía continental en la Encuesta demográfica y de </w:t>
      </w:r>
      <w:r w:rsidR="00782B12" w:rsidRPr="002720D0">
        <w:rPr>
          <w:lang w:val="es-ES_tradnl"/>
        </w:rPr>
        <w:t>salud de 2004-</w:t>
      </w:r>
      <w:r w:rsidR="009C1F47" w:rsidRPr="002720D0">
        <w:rPr>
          <w:lang w:val="es-ES_tradnl"/>
        </w:rPr>
        <w:t>2005 y en l</w:t>
      </w:r>
      <w:r w:rsidR="00304518" w:rsidRPr="002720D0">
        <w:rPr>
          <w:lang w:val="es-ES_tradnl"/>
        </w:rPr>
        <w:t xml:space="preserve">a Encuesta de indicadores del VIH/SIDA y </w:t>
      </w:r>
      <w:r w:rsidR="00782B12" w:rsidRPr="002720D0">
        <w:rPr>
          <w:lang w:val="es-ES_tradnl"/>
        </w:rPr>
        <w:t>el paludismo</w:t>
      </w:r>
      <w:r w:rsidR="00304518" w:rsidRPr="002720D0">
        <w:rPr>
          <w:lang w:val="es-ES_tradnl"/>
        </w:rPr>
        <w:t xml:space="preserve"> de 2007/08, cuent</w:t>
      </w:r>
      <w:r w:rsidR="00BA7ADD" w:rsidRPr="002720D0">
        <w:rPr>
          <w:lang w:val="es-ES_tradnl"/>
        </w:rPr>
        <w:t xml:space="preserve">a con una posesión limitada de </w:t>
      </w:r>
      <w:r w:rsidR="00304518" w:rsidRPr="002720D0">
        <w:rPr>
          <w:lang w:val="es-ES_tradnl"/>
        </w:rPr>
        <w:t>r</w:t>
      </w:r>
      <w:r w:rsidR="00320390" w:rsidRPr="002720D0">
        <w:rPr>
          <w:lang w:val="es-ES_tradnl"/>
        </w:rPr>
        <w:t>e</w:t>
      </w:r>
      <w:r w:rsidR="00304518" w:rsidRPr="002720D0">
        <w:rPr>
          <w:lang w:val="es-ES_tradnl"/>
        </w:rPr>
        <w:t>des insecticidas de larga duración en 2010</w:t>
      </w:r>
      <w:r w:rsidR="00782B12" w:rsidRPr="002720D0">
        <w:rPr>
          <w:lang w:val="es-ES_tradnl"/>
        </w:rPr>
        <w:t>; ello se debe</w:t>
      </w:r>
      <w:r w:rsidR="00304518" w:rsidRPr="002720D0">
        <w:rPr>
          <w:lang w:val="es-ES_tradnl"/>
        </w:rPr>
        <w:t xml:space="preserve"> a que el correspondiente programa de distribución no había iniciado en esa región cuando se recopilaron los datos correspondientes a la Encuesta demográfica y de </w:t>
      </w:r>
      <w:r w:rsidR="00782B12" w:rsidRPr="002720D0">
        <w:rPr>
          <w:lang w:val="es-ES_tradnl"/>
        </w:rPr>
        <w:t>salud</w:t>
      </w:r>
      <w:r w:rsidR="00304518" w:rsidRPr="002720D0">
        <w:rPr>
          <w:lang w:val="es-ES_tradnl"/>
        </w:rPr>
        <w:t xml:space="preserve"> de 2010.</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iii)</w:t>
      </w:r>
      <w:r w:rsidR="00012B57" w:rsidRPr="002720D0">
        <w:rPr>
          <w:lang w:val="es-ES_tradnl"/>
        </w:rPr>
        <w:tab/>
      </w:r>
      <w:r w:rsidR="00151021" w:rsidRPr="002720D0">
        <w:rPr>
          <w:lang w:val="es-ES_tradnl"/>
        </w:rPr>
        <w:t>Propor</w:t>
      </w:r>
      <w:r w:rsidR="002D3A2F" w:rsidRPr="002720D0">
        <w:rPr>
          <w:lang w:val="es-ES_tradnl"/>
        </w:rPr>
        <w:t>ción de todas las mujeres embarazadas q</w:t>
      </w:r>
      <w:r w:rsidR="00410BB5">
        <w:rPr>
          <w:lang w:val="es-ES_tradnl"/>
        </w:rPr>
        <w:t>ue durmieron bajo un mosquitero</w:t>
      </w:r>
    </w:p>
    <w:p w:rsidR="00151021" w:rsidRPr="002720D0" w:rsidRDefault="004F6364" w:rsidP="004F6364">
      <w:pPr>
        <w:pStyle w:val="SingleTxtG"/>
        <w:tabs>
          <w:tab w:val="left" w:pos="-360"/>
        </w:tabs>
        <w:rPr>
          <w:lang w:val="es-ES_tradnl"/>
        </w:rPr>
      </w:pPr>
      <w:r w:rsidRPr="002720D0">
        <w:rPr>
          <w:lang w:val="es-ES_tradnl"/>
        </w:rPr>
        <w:t>154.</w:t>
      </w:r>
      <w:r w:rsidRPr="002720D0">
        <w:rPr>
          <w:lang w:val="es-ES_tradnl"/>
        </w:rPr>
        <w:tab/>
      </w:r>
      <w:r w:rsidR="002D3A2F" w:rsidRPr="002720D0">
        <w:rPr>
          <w:lang w:val="es-ES_tradnl"/>
        </w:rPr>
        <w:t>El 68% de la totalidad de las embarazadas en Tanzanía habían dormid</w:t>
      </w:r>
      <w:r w:rsidR="00B94C52" w:rsidRPr="002720D0">
        <w:rPr>
          <w:lang w:val="es-ES_tradnl"/>
        </w:rPr>
        <w:t>o bajo algún tipo de mosquitero</w:t>
      </w:r>
      <w:r w:rsidR="002D3A2F" w:rsidRPr="002720D0">
        <w:rPr>
          <w:lang w:val="es-ES_tradnl"/>
        </w:rPr>
        <w:t xml:space="preserve"> la noche anterior al estudio; el 57% durmieron bajo un mosquitero</w:t>
      </w:r>
      <w:r w:rsidR="001D2A53">
        <w:rPr>
          <w:lang w:val="es-ES_tradnl"/>
        </w:rPr>
        <w:t xml:space="preserve"> </w:t>
      </w:r>
      <w:r w:rsidR="002D3A2F" w:rsidRPr="002720D0">
        <w:rPr>
          <w:lang w:val="es-ES_tradnl"/>
        </w:rPr>
        <w:t>impregnado con insecticida y el 25% bajo una red insecticida de larga duración. En Tanzanía continental, hay más probabilidades de que las embarazadas duerman bajo un mosquitero tratado con insecticida que en Zanzíbar (57% y 50%, respectivamente)</w:t>
      </w:r>
      <w:r w:rsidR="00977488" w:rsidRPr="002720D0">
        <w:rPr>
          <w:lang w:val="es-ES_tradnl"/>
        </w:rPr>
        <w:t>.</w:t>
      </w:r>
      <w:r w:rsidR="002D3A2F" w:rsidRPr="002720D0">
        <w:rPr>
          <w:lang w:val="es-ES_tradnl"/>
        </w:rPr>
        <w:t xml:space="preserve"> También hay más probabilidades de que duerman bajo una red insecticida de larga duración (25% y 12%, respectivamente). Estas cifras arrojan un marcado incremento respecto de las correspondientes a las conclusiones de estudios anteriores. Por ejemplo, la proporción de mujeres embarazadas que </w:t>
      </w:r>
      <w:r w:rsidR="00977488" w:rsidRPr="002720D0">
        <w:rPr>
          <w:lang w:val="es-ES_tradnl"/>
        </w:rPr>
        <w:t xml:space="preserve">durmieron bajo un mosquitero impregnado con insecticida según la Encuesta de indicadores del VIH/SIDA y </w:t>
      </w:r>
      <w:r w:rsidR="00782B12" w:rsidRPr="002720D0">
        <w:rPr>
          <w:lang w:val="es-ES_tradnl"/>
        </w:rPr>
        <w:t>el paludismo de Tanzanía de 2007-</w:t>
      </w:r>
      <w:r w:rsidR="00977488" w:rsidRPr="002720D0">
        <w:rPr>
          <w:lang w:val="es-ES_tradnl"/>
        </w:rPr>
        <w:t xml:space="preserve">2008 era de un 26%. Cabe atribuir el mayor uso de mosquiteros impregnados con insecticida en Tanzanía a los programas de suministro de mosquiteros subvencionados a las mujeres embarazadas y los niños menores de 5 años. </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iv)</w:t>
      </w:r>
      <w:r w:rsidR="00012B57" w:rsidRPr="002720D0">
        <w:rPr>
          <w:lang w:val="es-ES_tradnl"/>
        </w:rPr>
        <w:tab/>
      </w:r>
      <w:r w:rsidR="00977488" w:rsidRPr="002720D0">
        <w:rPr>
          <w:lang w:val="es-ES_tradnl"/>
        </w:rPr>
        <w:t>Uso de medicamentos antipalúdicos durante el embarazo</w:t>
      </w:r>
    </w:p>
    <w:p w:rsidR="00151021" w:rsidRPr="002720D0" w:rsidRDefault="004F6364" w:rsidP="004F6364">
      <w:pPr>
        <w:pStyle w:val="SingleTxtG"/>
        <w:tabs>
          <w:tab w:val="left" w:pos="-360"/>
        </w:tabs>
        <w:rPr>
          <w:lang w:val="es-ES_tradnl"/>
        </w:rPr>
      </w:pPr>
      <w:r w:rsidRPr="002720D0">
        <w:rPr>
          <w:lang w:val="es-ES_tradnl"/>
        </w:rPr>
        <w:t>155.</w:t>
      </w:r>
      <w:r w:rsidRPr="002720D0">
        <w:rPr>
          <w:lang w:val="es-ES_tradnl"/>
        </w:rPr>
        <w:tab/>
      </w:r>
      <w:r w:rsidR="00977488" w:rsidRPr="002720D0">
        <w:rPr>
          <w:lang w:val="es-ES_tradnl"/>
        </w:rPr>
        <w:t>La m</w:t>
      </w:r>
      <w:r w:rsidR="00151021" w:rsidRPr="002720D0">
        <w:rPr>
          <w:lang w:val="es-ES_tradnl"/>
        </w:rPr>
        <w:t xml:space="preserve">alaria </w:t>
      </w:r>
      <w:r w:rsidR="00977488" w:rsidRPr="002720D0">
        <w:rPr>
          <w:lang w:val="es-ES_tradnl"/>
        </w:rPr>
        <w:t>es muy común durante el embarazo entre las mujeres que viven en países donde es endémica. Las emb</w:t>
      </w:r>
      <w:r w:rsidR="00077AF6" w:rsidRPr="002720D0">
        <w:rPr>
          <w:lang w:val="es-ES_tradnl"/>
        </w:rPr>
        <w:t xml:space="preserve">arazadas en esas zonas son parcialmente </w:t>
      </w:r>
      <w:r w:rsidR="00977488" w:rsidRPr="002720D0">
        <w:rPr>
          <w:lang w:val="es-ES_tradnl"/>
        </w:rPr>
        <w:t>inmunes a la malaria; entre ellas suele ser poco</w:t>
      </w:r>
      <w:r w:rsidR="002B1C79" w:rsidRPr="002720D0">
        <w:rPr>
          <w:lang w:val="es-ES_tradnl"/>
        </w:rPr>
        <w:t xml:space="preserve"> prevalente la parasitemia periférica pero muy prevalente la infección </w:t>
      </w:r>
      <w:r w:rsidR="00151021" w:rsidRPr="002720D0">
        <w:rPr>
          <w:lang w:val="es-ES_tradnl"/>
        </w:rPr>
        <w:t>d</w:t>
      </w:r>
      <w:r w:rsidR="002B1C79" w:rsidRPr="002720D0">
        <w:rPr>
          <w:lang w:val="es-ES_tradnl"/>
        </w:rPr>
        <w:t>e la placenta</w:t>
      </w:r>
      <w:r w:rsidR="00151021" w:rsidRPr="002720D0">
        <w:rPr>
          <w:rStyle w:val="FootnoteReference"/>
          <w:lang w:val="es-ES_tradnl"/>
        </w:rPr>
        <w:footnoteReference w:id="80"/>
      </w:r>
      <w:r w:rsidR="002B1C79" w:rsidRPr="002720D0">
        <w:rPr>
          <w:lang w:val="es-ES_tradnl"/>
        </w:rPr>
        <w:t>. La infección palúdica de la placenta contribuye en gran medida al peso bajo al nacer, la mortalidad infantil, la anemia materna, el aborto espontáneo y los partos de mortinatos. Los estudios demuestran que el tratamiento preventivo intermitente con dos dosis de sulfadoxina-pirimetamina</w:t>
      </w:r>
      <w:r w:rsidR="00151021" w:rsidRPr="002720D0">
        <w:rPr>
          <w:lang w:val="es-ES_tradnl"/>
        </w:rPr>
        <w:t xml:space="preserve"> </w:t>
      </w:r>
      <w:r w:rsidR="002B1C79" w:rsidRPr="002720D0">
        <w:rPr>
          <w:lang w:val="es-ES_tradnl"/>
        </w:rPr>
        <w:t>protege a las mujeres embarazadas</w:t>
      </w:r>
      <w:r w:rsidR="00B94C52" w:rsidRPr="002720D0">
        <w:rPr>
          <w:lang w:val="es-ES_tradnl"/>
        </w:rPr>
        <w:t xml:space="preserve"> de la anemia materna y la infec</w:t>
      </w:r>
      <w:r w:rsidR="002B1C79" w:rsidRPr="002720D0">
        <w:rPr>
          <w:lang w:val="es-ES_tradnl"/>
        </w:rPr>
        <w:t>ción palúdica de la placenta, y reduce la incidencia del peso bajo al nacer</w:t>
      </w:r>
      <w:r w:rsidR="00151021" w:rsidRPr="002720D0">
        <w:rPr>
          <w:rStyle w:val="FootnoteReference"/>
          <w:lang w:val="es-ES_tradnl"/>
        </w:rPr>
        <w:footnoteReference w:id="81"/>
      </w:r>
      <w:r w:rsidR="002B1C79" w:rsidRPr="002720D0">
        <w:rPr>
          <w:lang w:val="es-ES_tradnl"/>
        </w:rPr>
        <w:t xml:space="preserve">. Como medida de protección, se recomienda que todas las mujeres embarazadas de Tanzanía reciban como mínimo </w:t>
      </w:r>
      <w:r w:rsidR="000327D8" w:rsidRPr="002720D0">
        <w:rPr>
          <w:lang w:val="es-ES_tradnl"/>
        </w:rPr>
        <w:t xml:space="preserve">dos dosis de </w:t>
      </w:r>
      <w:r w:rsidR="003D3B43" w:rsidRPr="002720D0">
        <w:rPr>
          <w:lang w:val="es-ES_tradnl"/>
        </w:rPr>
        <w:t xml:space="preserve">tratamiento </w:t>
      </w:r>
      <w:r w:rsidR="00782B12" w:rsidRPr="002720D0">
        <w:rPr>
          <w:lang w:val="es-ES_tradnl"/>
        </w:rPr>
        <w:t xml:space="preserve">preventivo intermitente </w:t>
      </w:r>
      <w:r w:rsidR="00B94C52" w:rsidRPr="002720D0">
        <w:rPr>
          <w:lang w:val="es-ES_tradnl"/>
        </w:rPr>
        <w:t xml:space="preserve">de sulfadoxina-pirimetamina durante </w:t>
      </w:r>
      <w:r w:rsidR="00735C5B" w:rsidRPr="002720D0">
        <w:rPr>
          <w:lang w:val="es-ES_tradnl"/>
        </w:rPr>
        <w:t>el</w:t>
      </w:r>
      <w:r w:rsidR="00B94C52" w:rsidRPr="002720D0">
        <w:rPr>
          <w:lang w:val="es-ES_tradnl"/>
        </w:rPr>
        <w:t xml:space="preserve"> segundo y </w:t>
      </w:r>
      <w:r w:rsidR="00735C5B" w:rsidRPr="002720D0">
        <w:rPr>
          <w:lang w:val="es-ES_tradnl"/>
        </w:rPr>
        <w:t xml:space="preserve">el </w:t>
      </w:r>
      <w:r w:rsidR="00B94C52" w:rsidRPr="002720D0">
        <w:rPr>
          <w:lang w:val="es-ES_tradnl"/>
        </w:rPr>
        <w:t xml:space="preserve">tercer trimestres del embarazo. Durante la Encuesta demográfica y de salud de Tanzanía de 2010, una de las preguntas </w:t>
      </w:r>
      <w:r w:rsidR="00782B12" w:rsidRPr="002720D0">
        <w:rPr>
          <w:lang w:val="es-ES_tradnl"/>
        </w:rPr>
        <w:t>que se hicieron</w:t>
      </w:r>
      <w:r w:rsidR="00B94C52" w:rsidRPr="002720D0">
        <w:rPr>
          <w:lang w:val="es-ES_tradnl"/>
        </w:rPr>
        <w:t xml:space="preserve"> a las mujeres fue si habían tomado medicamentos antipalúdicos durante el embarazo previo a su parto más re</w:t>
      </w:r>
      <w:r w:rsidR="00782B12" w:rsidRPr="002720D0">
        <w:rPr>
          <w:lang w:val="es-ES_tradnl"/>
        </w:rPr>
        <w:t>ciente de un hijo nacido vivo;</w:t>
      </w:r>
      <w:r w:rsidR="00B94C52" w:rsidRPr="002720D0">
        <w:rPr>
          <w:lang w:val="es-ES_tradnl"/>
        </w:rPr>
        <w:t xml:space="preserve"> </w:t>
      </w:r>
      <w:r w:rsidR="00782B12" w:rsidRPr="002720D0">
        <w:rPr>
          <w:lang w:val="es-ES_tradnl"/>
        </w:rPr>
        <w:t>a las que respondieron afirmativamente</w:t>
      </w:r>
      <w:r w:rsidR="00B94C52" w:rsidRPr="002720D0">
        <w:rPr>
          <w:lang w:val="es-ES_tradnl"/>
        </w:rPr>
        <w:t xml:space="preserve"> </w:t>
      </w:r>
      <w:r w:rsidR="00782B12" w:rsidRPr="002720D0">
        <w:rPr>
          <w:lang w:val="es-ES_tradnl"/>
        </w:rPr>
        <w:t xml:space="preserve">se les pidió </w:t>
      </w:r>
      <w:r w:rsidR="00B94C52" w:rsidRPr="002720D0">
        <w:rPr>
          <w:lang w:val="es-ES_tradnl"/>
        </w:rPr>
        <w:t>que identificaran los medicamentos. También se les preguntó si los medicamentos les fueron recetados durante una visita de atención prenatal. Cabe señalar que la obtención de información sobre medicamentos puede ser dificultosa, ya que algu</w:t>
      </w:r>
      <w:r w:rsidR="003E1629" w:rsidRPr="002720D0">
        <w:rPr>
          <w:lang w:val="es-ES_tradnl"/>
        </w:rPr>
        <w:t>nas de las encuesta</w:t>
      </w:r>
      <w:r w:rsidR="00BE0AFA" w:rsidRPr="002720D0">
        <w:rPr>
          <w:lang w:val="es-ES_tradnl"/>
        </w:rPr>
        <w:t>das</w:t>
      </w:r>
      <w:r w:rsidR="003E1629" w:rsidRPr="002720D0">
        <w:rPr>
          <w:lang w:val="es-ES_tradnl"/>
        </w:rPr>
        <w:t xml:space="preserve"> </w:t>
      </w:r>
      <w:r w:rsidR="003E1629" w:rsidRPr="00B57F06">
        <w:rPr>
          <w:lang w:val="es-ES_tradnl"/>
        </w:rPr>
        <w:t xml:space="preserve">podrían no saber o no recordar el nombre o el tipo de medicamentos que les fue recetado. </w:t>
      </w:r>
      <w:r w:rsidR="00B57F06">
        <w:rPr>
          <w:lang w:val="es-ES_tradnl"/>
        </w:rPr>
        <w:t>Se consignaron tanto</w:t>
      </w:r>
      <w:r w:rsidR="003E1629" w:rsidRPr="002720D0">
        <w:rPr>
          <w:lang w:val="es-ES_tradnl"/>
        </w:rPr>
        <w:t xml:space="preserve"> el porcentaje de mujeres que tuvieron un hijo nacido vivo en los dos años anteriores al estudio que habían tomado cual</w:t>
      </w:r>
      <w:r w:rsidR="00B57F06">
        <w:rPr>
          <w:lang w:val="es-ES_tradnl"/>
        </w:rPr>
        <w:t>quier medicamento antipalúdico como</w:t>
      </w:r>
      <w:r w:rsidR="003E1629" w:rsidRPr="002720D0">
        <w:rPr>
          <w:lang w:val="es-ES_tradnl"/>
        </w:rPr>
        <w:t xml:space="preserve"> el porcentaje </w:t>
      </w:r>
      <w:r w:rsidR="00B57F06">
        <w:rPr>
          <w:lang w:val="es-ES_tradnl"/>
        </w:rPr>
        <w:t xml:space="preserve">de mujeres </w:t>
      </w:r>
      <w:r w:rsidR="003E1629" w:rsidRPr="002720D0">
        <w:rPr>
          <w:lang w:val="es-ES_tradnl"/>
        </w:rPr>
        <w:t xml:space="preserve">a quienes se les había administrado un tratamiento preventivo intermitente durante el embarazo. </w:t>
      </w:r>
    </w:p>
    <w:p w:rsidR="00151021" w:rsidRPr="002720D0" w:rsidRDefault="004F6364" w:rsidP="004F6364">
      <w:pPr>
        <w:pStyle w:val="SingleTxtG"/>
        <w:tabs>
          <w:tab w:val="left" w:pos="-360"/>
        </w:tabs>
        <w:rPr>
          <w:lang w:val="es-ES_tradnl"/>
        </w:rPr>
      </w:pPr>
      <w:r w:rsidRPr="002720D0">
        <w:rPr>
          <w:lang w:val="es-ES_tradnl"/>
        </w:rPr>
        <w:t>156.</w:t>
      </w:r>
      <w:r w:rsidRPr="002720D0">
        <w:rPr>
          <w:lang w:val="es-ES_tradnl"/>
        </w:rPr>
        <w:tab/>
      </w:r>
      <w:r w:rsidR="003E1629" w:rsidRPr="002720D0">
        <w:rPr>
          <w:lang w:val="es-ES_tradnl"/>
        </w:rPr>
        <w:t xml:space="preserve">En total, el 66% de las mujeres embarazadas tomaron un medicamento antipalúdico durante el embarazo </w:t>
      </w:r>
      <w:r w:rsidR="00151021" w:rsidRPr="002720D0">
        <w:rPr>
          <w:lang w:val="es-ES_tradnl"/>
        </w:rPr>
        <w:t>(66</w:t>
      </w:r>
      <w:r w:rsidR="00153B23" w:rsidRPr="002720D0">
        <w:rPr>
          <w:lang w:val="es-ES_tradnl"/>
        </w:rPr>
        <w:t>%</w:t>
      </w:r>
      <w:r w:rsidR="00151021" w:rsidRPr="002720D0">
        <w:rPr>
          <w:lang w:val="es-ES_tradnl"/>
        </w:rPr>
        <w:t xml:space="preserve"> </w:t>
      </w:r>
      <w:r w:rsidR="003E1629" w:rsidRPr="002720D0">
        <w:rPr>
          <w:lang w:val="es-ES_tradnl"/>
        </w:rPr>
        <w:t>en Tanzanía continental y 85% en Zanzí</w:t>
      </w:r>
      <w:r w:rsidR="00151021" w:rsidRPr="002720D0">
        <w:rPr>
          <w:lang w:val="es-ES_tradnl"/>
        </w:rPr>
        <w:t xml:space="preserve">bar). </w:t>
      </w:r>
      <w:r w:rsidR="003E1629" w:rsidRPr="002720D0">
        <w:rPr>
          <w:lang w:val="es-ES_tradnl"/>
        </w:rPr>
        <w:t xml:space="preserve">Estos datos sugieren que el uso de la </w:t>
      </w:r>
      <w:r w:rsidR="00735C5B" w:rsidRPr="002720D0">
        <w:rPr>
          <w:lang w:val="es-ES_tradnl"/>
        </w:rPr>
        <w:t>sulfadoxina-pirimetamina como tratamiento preventivo intermitente se integra en la atención prenatal</w:t>
      </w:r>
      <w:r w:rsidR="00782B12" w:rsidRPr="002720D0">
        <w:rPr>
          <w:lang w:val="es-ES_tradnl"/>
        </w:rPr>
        <w:t>:</w:t>
      </w:r>
      <w:r w:rsidR="00735C5B" w:rsidRPr="002720D0">
        <w:rPr>
          <w:lang w:val="es-ES_tradnl"/>
        </w:rPr>
        <w:t xml:space="preserve"> el 60% de las mujeres embarazadas en Tanzanía continental y el 84% en Zanzíbar declararon haber tomado al menos una dosis de sulfadoxina-pirimetamina (tratamiento preventivo intermitente 1) durante una visita de atención prenatal. Sin embargo, solo un 27% de las mujeres embarazadas de Tanzanía continental y un 47% de las embarazadas de Zanzíbar recibieron las dos dosis mínimas recomendadas de sulfadoxina-pirimetamina (tratamiento preventivo intermitente 2). Estas cifras indican un aumento en los porcentajes respecto de la Encuesta demográfica y de salud de Tanzanía</w:t>
      </w:r>
      <w:r w:rsidR="001D2A53">
        <w:rPr>
          <w:lang w:val="es-ES_tradnl"/>
        </w:rPr>
        <w:t xml:space="preserve"> </w:t>
      </w:r>
      <w:r w:rsidR="00735C5B" w:rsidRPr="002720D0">
        <w:rPr>
          <w:lang w:val="es-ES_tradnl"/>
        </w:rPr>
        <w:t xml:space="preserve">de </w:t>
      </w:r>
      <w:r w:rsidR="00151021" w:rsidRPr="002720D0">
        <w:rPr>
          <w:lang w:val="es-ES_tradnl"/>
        </w:rPr>
        <w:t>2004</w:t>
      </w:r>
      <w:r w:rsidR="00782B12" w:rsidRPr="002720D0">
        <w:rPr>
          <w:lang w:val="es-ES_tradnl"/>
        </w:rPr>
        <w:t>-</w:t>
      </w:r>
      <w:r w:rsidR="00735C5B" w:rsidRPr="002720D0">
        <w:rPr>
          <w:lang w:val="es-ES_tradnl"/>
        </w:rPr>
        <w:t>20</w:t>
      </w:r>
      <w:r w:rsidR="00151021" w:rsidRPr="002720D0">
        <w:rPr>
          <w:lang w:val="es-ES_tradnl"/>
        </w:rPr>
        <w:t>05</w:t>
      </w:r>
      <w:r w:rsidR="00BE0AFA" w:rsidRPr="002720D0">
        <w:rPr>
          <w:lang w:val="es-ES_tradnl"/>
        </w:rPr>
        <w:t xml:space="preserve">; en esta última, </w:t>
      </w:r>
      <w:r w:rsidR="00735C5B" w:rsidRPr="002720D0">
        <w:rPr>
          <w:lang w:val="es-ES_tradnl"/>
        </w:rPr>
        <w:t xml:space="preserve">un </w:t>
      </w:r>
      <w:r w:rsidR="00151021" w:rsidRPr="002720D0">
        <w:rPr>
          <w:lang w:val="es-ES_tradnl"/>
        </w:rPr>
        <w:t>22</w:t>
      </w:r>
      <w:r w:rsidR="00153B23" w:rsidRPr="002720D0">
        <w:rPr>
          <w:lang w:val="es-ES_tradnl"/>
        </w:rPr>
        <w:t>%</w:t>
      </w:r>
      <w:r w:rsidR="00151021" w:rsidRPr="002720D0">
        <w:rPr>
          <w:lang w:val="es-ES_tradnl"/>
        </w:rPr>
        <w:t xml:space="preserve"> </w:t>
      </w:r>
      <w:r w:rsidR="00735C5B" w:rsidRPr="002720D0">
        <w:rPr>
          <w:lang w:val="es-ES_tradnl"/>
        </w:rPr>
        <w:t>de las mujeres embarazadas de Tanzanía continental y un 14% de las de Zanzíbar recibieron dos o más dosis de sulfadoxina-pirimetamina.</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157.</w:t>
      </w:r>
      <w:r w:rsidRPr="002720D0">
        <w:rPr>
          <w:lang w:val="es-ES_tradnl"/>
        </w:rPr>
        <w:tab/>
      </w:r>
      <w:r w:rsidR="00735C5B" w:rsidRPr="002720D0">
        <w:rPr>
          <w:lang w:val="es-ES_tradnl"/>
        </w:rPr>
        <w:t>Existen unas diferencias considerables entre las mujeres que recibieron un tratamiento completo (tratamiento</w:t>
      </w:r>
      <w:r w:rsidR="00CB72B8" w:rsidRPr="002720D0">
        <w:rPr>
          <w:lang w:val="es-ES_tradnl"/>
        </w:rPr>
        <w:t xml:space="preserve"> preventivo intermitente 2); estas diferencias</w:t>
      </w:r>
      <w:r w:rsidR="00735C5B" w:rsidRPr="002720D0">
        <w:rPr>
          <w:lang w:val="es-ES_tradnl"/>
        </w:rPr>
        <w:t xml:space="preserve"> vienen determinadas por sus </w:t>
      </w:r>
      <w:r w:rsidR="00D62FC4" w:rsidRPr="002720D0">
        <w:rPr>
          <w:lang w:val="es-ES_tradnl"/>
        </w:rPr>
        <w:t xml:space="preserve">antecedentes. </w:t>
      </w:r>
      <w:r w:rsidR="00CB72B8" w:rsidRPr="002720D0">
        <w:rPr>
          <w:lang w:val="es-ES_tradnl"/>
        </w:rPr>
        <w:t xml:space="preserve">Hay </w:t>
      </w:r>
      <w:r w:rsidR="00D62FC4" w:rsidRPr="002720D0">
        <w:rPr>
          <w:lang w:val="es-ES_tradnl"/>
        </w:rPr>
        <w:t>más probab</w:t>
      </w:r>
      <w:r w:rsidR="00077AF6" w:rsidRPr="002720D0">
        <w:rPr>
          <w:lang w:val="es-ES_tradnl"/>
        </w:rPr>
        <w:t>i</w:t>
      </w:r>
      <w:r w:rsidR="00D62FC4" w:rsidRPr="002720D0">
        <w:rPr>
          <w:lang w:val="es-ES_tradnl"/>
        </w:rPr>
        <w:t xml:space="preserve">lidades de </w:t>
      </w:r>
      <w:r w:rsidR="00CB72B8" w:rsidRPr="002720D0">
        <w:rPr>
          <w:lang w:val="es-ES_tradnl"/>
        </w:rPr>
        <w:t>que las mujeres de las zonas urbanas reciban</w:t>
      </w:r>
      <w:r w:rsidR="00D62FC4" w:rsidRPr="002720D0">
        <w:rPr>
          <w:lang w:val="es-ES_tradnl"/>
        </w:rPr>
        <w:t xml:space="preserve"> el tratamiento preventivo intermitente 2 que las rurales (un 31% y un 25%, respectivamente). El mismo patrón se puede observar en </w:t>
      </w:r>
      <w:r w:rsidR="00BE0AFA" w:rsidRPr="002720D0">
        <w:rPr>
          <w:lang w:val="es-ES_tradnl"/>
        </w:rPr>
        <w:t>los resultados de</w:t>
      </w:r>
      <w:r w:rsidR="00D62FC4" w:rsidRPr="002720D0">
        <w:rPr>
          <w:lang w:val="es-ES_tradnl"/>
        </w:rPr>
        <w:t xml:space="preserve"> la Encuesta </w:t>
      </w:r>
      <w:r w:rsidR="00CB72B8" w:rsidRPr="002720D0">
        <w:rPr>
          <w:lang w:val="es-ES_tradnl"/>
        </w:rPr>
        <w:t>demográfica y de salud de</w:t>
      </w:r>
      <w:r w:rsidR="001D2A53">
        <w:rPr>
          <w:lang w:val="es-ES_tradnl"/>
        </w:rPr>
        <w:t xml:space="preserve"> </w:t>
      </w:r>
      <w:r w:rsidR="00CB72B8" w:rsidRPr="002720D0">
        <w:rPr>
          <w:lang w:val="es-ES_tradnl"/>
        </w:rPr>
        <w:t>2004-</w:t>
      </w:r>
      <w:r w:rsidR="00D62FC4" w:rsidRPr="002720D0">
        <w:rPr>
          <w:lang w:val="es-ES_tradnl"/>
        </w:rPr>
        <w:t>2005 (un 29% y un 20%, respectivamente).</w:t>
      </w:r>
      <w:r w:rsidR="00735C5B"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158.</w:t>
      </w:r>
      <w:r w:rsidRPr="002720D0">
        <w:rPr>
          <w:lang w:val="es-ES_tradnl"/>
        </w:rPr>
        <w:tab/>
      </w:r>
      <w:r w:rsidR="00D62FC4" w:rsidRPr="002720D0">
        <w:rPr>
          <w:lang w:val="es-ES_tradnl"/>
        </w:rPr>
        <w:t>En la región de</w:t>
      </w:r>
      <w:r w:rsidR="00151021" w:rsidRPr="002720D0">
        <w:rPr>
          <w:lang w:val="es-ES_tradnl"/>
        </w:rPr>
        <w:t xml:space="preserve"> Shinyanga</w:t>
      </w:r>
      <w:r w:rsidR="00D62FC4" w:rsidRPr="002720D0">
        <w:rPr>
          <w:lang w:val="es-ES_tradnl"/>
        </w:rPr>
        <w:t xml:space="preserve">, el porcentaje máximo </w:t>
      </w:r>
      <w:r w:rsidR="00CB72B8" w:rsidRPr="002720D0">
        <w:rPr>
          <w:lang w:val="es-ES_tradnl"/>
        </w:rPr>
        <w:t xml:space="preserve">asciende al </w:t>
      </w:r>
      <w:r w:rsidR="00151021" w:rsidRPr="002720D0">
        <w:rPr>
          <w:lang w:val="es-ES_tradnl"/>
        </w:rPr>
        <w:t>20</w:t>
      </w:r>
      <w:r w:rsidR="00153B23" w:rsidRPr="002720D0">
        <w:rPr>
          <w:lang w:val="es-ES_tradnl"/>
        </w:rPr>
        <w:t>%</w:t>
      </w:r>
      <w:r w:rsidR="00D62FC4" w:rsidRPr="002720D0">
        <w:rPr>
          <w:lang w:val="es-ES_tradnl"/>
        </w:rPr>
        <w:t>. Hay muchas más probabilidades de que las mujeres de Zanzíbar reciban el</w:t>
      </w:r>
      <w:r w:rsidR="00151021" w:rsidRPr="002720D0">
        <w:rPr>
          <w:lang w:val="es-ES_tradnl"/>
        </w:rPr>
        <w:t xml:space="preserve"> </w:t>
      </w:r>
      <w:r w:rsidR="00D62FC4" w:rsidRPr="002720D0">
        <w:rPr>
          <w:lang w:val="es-ES_tradnl"/>
        </w:rPr>
        <w:t xml:space="preserve">tratamiento preventivo intermitente 2 de que lo hagan las de Tanzanía continental. Los porcentajes oscilan entre el 34% en Pemba Norte al 68% en Unguja Sur. La cobertura del tratamiento preventivo intermitente 2 aumenta en proporción </w:t>
      </w:r>
      <w:r w:rsidR="00CB72B8" w:rsidRPr="002720D0">
        <w:rPr>
          <w:lang w:val="es-ES_tradnl"/>
        </w:rPr>
        <w:t>al</w:t>
      </w:r>
      <w:r w:rsidR="00D62FC4" w:rsidRPr="002720D0">
        <w:rPr>
          <w:lang w:val="es-ES_tradnl"/>
        </w:rPr>
        <w:t xml:space="preserve"> nivel educativo</w:t>
      </w:r>
      <w:r w:rsidR="00CB72B8" w:rsidRPr="002720D0">
        <w:rPr>
          <w:lang w:val="es-ES_tradnl"/>
        </w:rPr>
        <w:t xml:space="preserve"> y los ingresos de cada mujer. Hay más probabilidades de que l</w:t>
      </w:r>
      <w:r w:rsidR="00D62FC4" w:rsidRPr="002720D0">
        <w:rPr>
          <w:lang w:val="es-ES_tradnl"/>
        </w:rPr>
        <w:t xml:space="preserve">as mujeres de hogares con mayores ingresos y las que </w:t>
      </w:r>
      <w:r w:rsidR="00F931ED" w:rsidRPr="002720D0">
        <w:rPr>
          <w:lang w:val="es-ES_tradnl"/>
        </w:rPr>
        <w:t xml:space="preserve">cuentan con </w:t>
      </w:r>
      <w:r w:rsidR="00CB72B8" w:rsidRPr="002720D0">
        <w:rPr>
          <w:lang w:val="es-ES_tradnl"/>
        </w:rPr>
        <w:t>un mayor nivel de formación</w:t>
      </w:r>
      <w:r w:rsidR="00F931ED" w:rsidRPr="002720D0">
        <w:rPr>
          <w:lang w:val="es-ES_tradnl"/>
        </w:rPr>
        <w:t xml:space="preserve"> </w:t>
      </w:r>
      <w:r w:rsidR="00CB72B8" w:rsidRPr="002720D0">
        <w:rPr>
          <w:lang w:val="es-ES_tradnl"/>
        </w:rPr>
        <w:t>reciban</w:t>
      </w:r>
      <w:r w:rsidR="00F931ED" w:rsidRPr="002720D0">
        <w:rPr>
          <w:lang w:val="es-ES_tradnl"/>
        </w:rPr>
        <w:t xml:space="preserve"> el tratamiento preventivo intermitente 2.</w:t>
      </w:r>
      <w:r w:rsidR="00151021" w:rsidRPr="002720D0">
        <w:rPr>
          <w:lang w:val="es-ES_tradnl"/>
        </w:rPr>
        <w:t xml:space="preserve"> </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v)</w:t>
      </w:r>
      <w:r w:rsidR="00012B57" w:rsidRPr="002720D0">
        <w:rPr>
          <w:lang w:val="es-ES_tradnl"/>
        </w:rPr>
        <w:tab/>
      </w:r>
      <w:r w:rsidR="00F931ED" w:rsidRPr="002720D0">
        <w:rPr>
          <w:lang w:val="es-ES_tradnl"/>
        </w:rPr>
        <w:t>Gestión integrada</w:t>
      </w:r>
      <w:r w:rsidR="00410BB5">
        <w:rPr>
          <w:lang w:val="es-ES_tradnl"/>
        </w:rPr>
        <w:t xml:space="preserve"> de las enfermedades infantiles</w:t>
      </w:r>
    </w:p>
    <w:p w:rsidR="00151021" w:rsidRPr="00B57F06" w:rsidRDefault="004F6364" w:rsidP="004F6364">
      <w:pPr>
        <w:pStyle w:val="SingleTxtG"/>
        <w:tabs>
          <w:tab w:val="left" w:pos="-360"/>
        </w:tabs>
        <w:rPr>
          <w:lang w:val="es-ES_tradnl"/>
        </w:rPr>
      </w:pPr>
      <w:r w:rsidRPr="00B57F06">
        <w:rPr>
          <w:lang w:val="es-ES_tradnl"/>
        </w:rPr>
        <w:t>159.</w:t>
      </w:r>
      <w:r w:rsidRPr="00B57F06">
        <w:rPr>
          <w:lang w:val="es-ES_tradnl"/>
        </w:rPr>
        <w:tab/>
      </w:r>
      <w:r w:rsidR="00F931ED" w:rsidRPr="002720D0">
        <w:rPr>
          <w:lang w:val="es-ES_tradnl"/>
        </w:rPr>
        <w:t>La gestión integrada de las enfermedades infantiles desarrolla la capacidad de los cuidadores de niños en las instalaciones sanitarias de primer nivel para mejorar la ca</w:t>
      </w:r>
      <w:r w:rsidR="004B00AB" w:rsidRPr="002720D0">
        <w:rPr>
          <w:lang w:val="es-ES_tradnl"/>
        </w:rPr>
        <w:t>l</w:t>
      </w:r>
      <w:r w:rsidR="00F931ED" w:rsidRPr="002720D0">
        <w:rPr>
          <w:lang w:val="es-ES_tradnl"/>
        </w:rPr>
        <w:t>idad de los cuidados y buscar soluciones para las causas principales de la mortalidad y la morbili</w:t>
      </w:r>
      <w:r w:rsidR="00CB72B8" w:rsidRPr="002720D0">
        <w:rPr>
          <w:lang w:val="es-ES_tradnl"/>
        </w:rPr>
        <w:t>dad de los menores de 5 años. Esta modalidad de gestión se aplicó por vez primera</w:t>
      </w:r>
      <w:r w:rsidR="00F931ED" w:rsidRPr="002720D0">
        <w:rPr>
          <w:lang w:val="es-ES_tradnl"/>
        </w:rPr>
        <w:t xml:space="preserve"> en </w:t>
      </w:r>
      <w:r w:rsidR="00151021" w:rsidRPr="002720D0">
        <w:rPr>
          <w:lang w:val="es-ES_tradnl"/>
        </w:rPr>
        <w:t xml:space="preserve">1997 </w:t>
      </w:r>
      <w:r w:rsidR="00107C2F" w:rsidRPr="002720D0">
        <w:rPr>
          <w:lang w:val="es-ES_tradnl"/>
        </w:rPr>
        <w:t xml:space="preserve">en </w:t>
      </w:r>
      <w:r w:rsidR="00641C86" w:rsidRPr="002720D0">
        <w:rPr>
          <w:lang w:val="es-ES_tradnl"/>
        </w:rPr>
        <w:t>dos distritos piloto (Morogoro R</w:t>
      </w:r>
      <w:r w:rsidR="00151021" w:rsidRPr="002720D0">
        <w:rPr>
          <w:lang w:val="es-ES_tradnl"/>
        </w:rPr>
        <w:t xml:space="preserve">ural </w:t>
      </w:r>
      <w:r w:rsidR="00107C2F" w:rsidRPr="002720D0">
        <w:rPr>
          <w:lang w:val="es-ES_tradnl"/>
        </w:rPr>
        <w:t>y</w:t>
      </w:r>
      <w:r w:rsidR="00151021" w:rsidRPr="002720D0">
        <w:rPr>
          <w:lang w:val="es-ES_tradnl"/>
        </w:rPr>
        <w:t xml:space="preserve"> Rufiji)</w:t>
      </w:r>
      <w:r w:rsidR="00107C2F" w:rsidRPr="002720D0">
        <w:rPr>
          <w:lang w:val="es-ES_tradnl"/>
        </w:rPr>
        <w:t>, con el apoyo del proyecto</w:t>
      </w:r>
      <w:r w:rsidR="00151021" w:rsidRPr="002720D0">
        <w:rPr>
          <w:lang w:val="es-ES_tradnl"/>
        </w:rPr>
        <w:t xml:space="preserve"> </w:t>
      </w:r>
      <w:r w:rsidR="00151021" w:rsidRPr="002720D0">
        <w:rPr>
          <w:i/>
          <w:lang w:val="es-ES_tradnl"/>
        </w:rPr>
        <w:t>Tanzania Essential Health Interventions Project</w:t>
      </w:r>
      <w:r w:rsidR="00151021" w:rsidRPr="002720D0">
        <w:rPr>
          <w:lang w:val="es-ES_tradnl"/>
        </w:rPr>
        <w:t xml:space="preserve"> (TEHIP)</w:t>
      </w:r>
      <w:r w:rsidR="00107C2F" w:rsidRPr="002720D0">
        <w:rPr>
          <w:lang w:val="es-ES_tradnl"/>
        </w:rPr>
        <w:t>, financiado por Canadá</w:t>
      </w:r>
      <w:r w:rsidR="00151021" w:rsidRPr="002720D0">
        <w:rPr>
          <w:lang w:val="es-ES_tradnl"/>
        </w:rPr>
        <w:t xml:space="preserve">. </w:t>
      </w:r>
      <w:r w:rsidR="00107C2F" w:rsidRPr="002720D0">
        <w:rPr>
          <w:lang w:val="es-ES_tradnl"/>
        </w:rPr>
        <w:t xml:space="preserve">A finales de </w:t>
      </w:r>
      <w:r w:rsidR="00151021" w:rsidRPr="002720D0">
        <w:rPr>
          <w:lang w:val="es-ES_tradnl"/>
        </w:rPr>
        <w:t xml:space="preserve">2005, </w:t>
      </w:r>
      <w:r w:rsidR="00107C2F" w:rsidRPr="002720D0">
        <w:rPr>
          <w:lang w:val="es-ES_tradnl"/>
        </w:rPr>
        <w:t xml:space="preserve">la </w:t>
      </w:r>
      <w:r w:rsidR="00107C2F" w:rsidRPr="00B57F06">
        <w:rPr>
          <w:lang w:val="es-ES_tradnl"/>
        </w:rPr>
        <w:t xml:space="preserve">estrategia se había implantado en 107 distritos (un promedio del </w:t>
      </w:r>
      <w:r w:rsidR="00151021" w:rsidRPr="00B57F06">
        <w:rPr>
          <w:lang w:val="es-ES_tradnl"/>
        </w:rPr>
        <w:t xml:space="preserve">94% </w:t>
      </w:r>
      <w:r w:rsidR="00107C2F" w:rsidRPr="00B57F06">
        <w:rPr>
          <w:lang w:val="es-ES_tradnl"/>
        </w:rPr>
        <w:t>de los distritos</w:t>
      </w:r>
      <w:r w:rsidR="00151021" w:rsidRPr="00B57F06">
        <w:rPr>
          <w:lang w:val="es-ES_tradnl"/>
        </w:rPr>
        <w:t>).</w:t>
      </w:r>
    </w:p>
    <w:p w:rsidR="00151021" w:rsidRPr="002720D0" w:rsidRDefault="004F6364" w:rsidP="004F6364">
      <w:pPr>
        <w:pStyle w:val="SingleTxtG"/>
        <w:tabs>
          <w:tab w:val="left" w:pos="-360"/>
        </w:tabs>
        <w:rPr>
          <w:lang w:val="es-ES_tradnl"/>
        </w:rPr>
      </w:pPr>
      <w:r w:rsidRPr="002720D0">
        <w:rPr>
          <w:lang w:val="es-ES_tradnl"/>
        </w:rPr>
        <w:t>160.</w:t>
      </w:r>
      <w:r w:rsidRPr="002720D0">
        <w:rPr>
          <w:lang w:val="es-ES_tradnl"/>
        </w:rPr>
        <w:tab/>
      </w:r>
      <w:r w:rsidR="00107C2F" w:rsidRPr="002720D0">
        <w:rPr>
          <w:lang w:val="es-ES_tradnl"/>
        </w:rPr>
        <w:t xml:space="preserve">La información derivada de la gestión integrada de las enfermedades infantiles y del </w:t>
      </w:r>
      <w:r w:rsidR="00151021" w:rsidRPr="002720D0">
        <w:rPr>
          <w:lang w:val="es-ES_tradnl"/>
        </w:rPr>
        <w:t>TEHIP sug</w:t>
      </w:r>
      <w:r w:rsidR="00CB72B8" w:rsidRPr="002720D0">
        <w:rPr>
          <w:lang w:val="es-ES_tradnl"/>
        </w:rPr>
        <w:t>iere que, con el apoyo que representan</w:t>
      </w:r>
      <w:r w:rsidR="00107C2F" w:rsidRPr="002720D0">
        <w:rPr>
          <w:lang w:val="es-ES_tradnl"/>
        </w:rPr>
        <w:t xml:space="preserve"> la formación y los sistemas sanitarios, la productividad de los</w:t>
      </w:r>
      <w:r w:rsidR="00CB72B8" w:rsidRPr="002720D0">
        <w:rPr>
          <w:lang w:val="es-ES_tradnl"/>
        </w:rPr>
        <w:t xml:space="preserve"> trabajadores sanitarios mejora</w:t>
      </w:r>
      <w:r w:rsidR="00107C2F" w:rsidRPr="002720D0">
        <w:rPr>
          <w:lang w:val="es-ES_tradnl"/>
        </w:rPr>
        <w:t xml:space="preserve"> y </w:t>
      </w:r>
      <w:r w:rsidR="00CB72B8" w:rsidRPr="002720D0">
        <w:rPr>
          <w:lang w:val="es-ES_tradnl"/>
        </w:rPr>
        <w:t>se hace</w:t>
      </w:r>
      <w:r w:rsidR="00107C2F" w:rsidRPr="002720D0">
        <w:rPr>
          <w:lang w:val="es-ES_tradnl"/>
        </w:rPr>
        <w:t xml:space="preserve"> posible encarar de forma rentable la considerable </w:t>
      </w:r>
      <w:r w:rsidR="00CB72B8" w:rsidRPr="002720D0">
        <w:rPr>
          <w:lang w:val="es-ES_tradnl"/>
        </w:rPr>
        <w:t>carga que representan</w:t>
      </w:r>
      <w:r w:rsidR="00107C2F" w:rsidRPr="002720D0">
        <w:rPr>
          <w:lang w:val="es-ES_tradnl"/>
        </w:rPr>
        <w:t xml:space="preserve"> las enfermedades de los menores de 5 años. Las conclusiones de las evaluaciones de la gestión integrada de las enfermedades demostraron lo siguiente: </w:t>
      </w:r>
    </w:p>
    <w:p w:rsidR="00151021" w:rsidRPr="002720D0" w:rsidRDefault="00CB72B8" w:rsidP="00410BB5">
      <w:pPr>
        <w:pStyle w:val="Bullet1G"/>
        <w:rPr>
          <w:lang w:val="es-ES_tradnl"/>
        </w:rPr>
      </w:pPr>
      <w:r w:rsidRPr="002720D0">
        <w:rPr>
          <w:lang w:val="es-ES_tradnl"/>
        </w:rPr>
        <w:t>Transcurridos</w:t>
      </w:r>
      <w:r w:rsidR="000275E5" w:rsidRPr="002720D0">
        <w:rPr>
          <w:lang w:val="es-ES_tradnl"/>
        </w:rPr>
        <w:t xml:space="preserve"> dos años, los niveles de mortalidad se habían reducido en un 13% en los dos distritos piloto, en comparación con los distritos de control; también se dio una reducción considerable en el retraso en el desarrollo físico. </w:t>
      </w:r>
    </w:p>
    <w:p w:rsidR="00151021" w:rsidRPr="002720D0" w:rsidRDefault="000275E5" w:rsidP="00410BB5">
      <w:pPr>
        <w:pStyle w:val="Bullet1G"/>
        <w:rPr>
          <w:lang w:val="es-ES_tradnl"/>
        </w:rPr>
      </w:pPr>
      <w:r w:rsidRPr="002720D0">
        <w:rPr>
          <w:lang w:val="es-ES_tradnl"/>
        </w:rPr>
        <w:t xml:space="preserve">La gestión integrada de las enfermedades tiene un costo inferior al de los cuidados convencionales. En los distritos piloto, el costo de los cuidados para menores de 5 años, por niño, se estimaba en 11,19 dólares de los Estados Unidos, en comparación con los 16,09 dólares de los Estados Unidos en los distritos de control. </w:t>
      </w:r>
    </w:p>
    <w:p w:rsidR="00151021" w:rsidRPr="002720D0" w:rsidRDefault="000275E5" w:rsidP="00410BB5">
      <w:pPr>
        <w:pStyle w:val="Bullet1G"/>
        <w:rPr>
          <w:lang w:val="es-ES_tradnl"/>
        </w:rPr>
      </w:pPr>
      <w:r w:rsidRPr="002720D0">
        <w:rPr>
          <w:lang w:val="es-ES_tradnl"/>
        </w:rPr>
        <w:t xml:space="preserve">Los niños de los distritos piloto recibieron unas evaluaciones más completas, y contaron con más probabilidades de recibir un diagnóstico correcto y un tratamiento adecuado. </w:t>
      </w:r>
    </w:p>
    <w:p w:rsidR="00012B57" w:rsidRPr="002720D0" w:rsidRDefault="000275E5" w:rsidP="00410BB5">
      <w:pPr>
        <w:pStyle w:val="Bullet1G"/>
        <w:rPr>
          <w:lang w:val="es-ES_tradnl"/>
        </w:rPr>
      </w:pPr>
      <w:r w:rsidRPr="002720D0">
        <w:rPr>
          <w:lang w:val="es-ES_tradnl"/>
        </w:rPr>
        <w:t>Era mucho más común la supervisió</w:t>
      </w:r>
      <w:r w:rsidR="00151021" w:rsidRPr="002720D0">
        <w:rPr>
          <w:lang w:val="es-ES_tradnl"/>
        </w:rPr>
        <w:t xml:space="preserve">n </w:t>
      </w:r>
      <w:r w:rsidRPr="002720D0">
        <w:rPr>
          <w:lang w:val="es-ES_tradnl"/>
        </w:rPr>
        <w:t>de apoyo a los trabajadores sanitarios en los distritos piloto. La gestión de los casos de niños en</w:t>
      </w:r>
      <w:r w:rsidR="00077AF6" w:rsidRPr="002720D0">
        <w:rPr>
          <w:lang w:val="es-ES_tradnl"/>
        </w:rPr>
        <w:t>f</w:t>
      </w:r>
      <w:r w:rsidRPr="002720D0">
        <w:rPr>
          <w:lang w:val="es-ES_tradnl"/>
        </w:rPr>
        <w:t>ermos mejora con la formación en gestió</w:t>
      </w:r>
      <w:r w:rsidR="00CB72B8" w:rsidRPr="002720D0">
        <w:rPr>
          <w:lang w:val="es-ES_tradnl"/>
        </w:rPr>
        <w:t>n integrada de las enfermedades:</w:t>
      </w:r>
      <w:r w:rsidRPr="002720D0">
        <w:rPr>
          <w:lang w:val="es-ES_tradnl"/>
        </w:rPr>
        <w:t xml:space="preserve"> las personas que cuidan de los niños enfermos recibían información sistemática en cuanto al cuidado que debían prestar a los niños y la forma en que debían administrarles los medicamentos. </w:t>
      </w:r>
    </w:p>
    <w:p w:rsidR="00012B57" w:rsidRPr="002720D0" w:rsidRDefault="000275E5" w:rsidP="00410BB5">
      <w:pPr>
        <w:pStyle w:val="Bullet1G"/>
        <w:rPr>
          <w:lang w:val="es-ES_tradnl"/>
        </w:rPr>
      </w:pPr>
      <w:r w:rsidRPr="002720D0">
        <w:rPr>
          <w:lang w:val="es-ES_tradnl"/>
        </w:rPr>
        <w:t>La mejora en la calidad de los cuidados prestados a los niños en las instalaciones sanitarias con gestión integrada dio lugar a una mayor utilización de las instalacio</w:t>
      </w:r>
      <w:r w:rsidR="00077AF6" w:rsidRPr="002720D0">
        <w:rPr>
          <w:lang w:val="es-ES_tradnl"/>
        </w:rPr>
        <w:t>n</w:t>
      </w:r>
      <w:r w:rsidRPr="002720D0">
        <w:rPr>
          <w:lang w:val="es-ES_tradnl"/>
        </w:rPr>
        <w:t xml:space="preserve">es sanitarias; en los distritos </w:t>
      </w:r>
      <w:r w:rsidR="00641C86" w:rsidRPr="002720D0">
        <w:rPr>
          <w:lang w:val="es-ES_tradnl"/>
        </w:rPr>
        <w:t xml:space="preserve">de </w:t>
      </w:r>
      <w:r w:rsidR="00151021" w:rsidRPr="002720D0">
        <w:rPr>
          <w:lang w:val="es-ES_tradnl"/>
        </w:rPr>
        <w:t xml:space="preserve">Morogoro Rural </w:t>
      </w:r>
      <w:r w:rsidR="00641C86" w:rsidRPr="002720D0">
        <w:rPr>
          <w:lang w:val="es-ES_tradnl"/>
        </w:rPr>
        <w:t>y</w:t>
      </w:r>
      <w:r w:rsidR="00151021" w:rsidRPr="002720D0">
        <w:rPr>
          <w:lang w:val="es-ES_tradnl"/>
        </w:rPr>
        <w:t xml:space="preserve"> Rufiji</w:t>
      </w:r>
      <w:r w:rsidR="00641C86" w:rsidRPr="002720D0">
        <w:rPr>
          <w:lang w:val="es-ES_tradnl"/>
        </w:rPr>
        <w:t>,</w:t>
      </w:r>
      <w:r w:rsidR="001D2A53">
        <w:rPr>
          <w:lang w:val="es-ES_tradnl"/>
        </w:rPr>
        <w:t xml:space="preserve"> </w:t>
      </w:r>
      <w:r w:rsidR="00641C86" w:rsidRPr="002720D0">
        <w:rPr>
          <w:lang w:val="es-ES_tradnl"/>
        </w:rPr>
        <w:t xml:space="preserve">la utilización aumentó de un 30% en 1997 a un 70% en </w:t>
      </w:r>
      <w:r w:rsidR="00151021" w:rsidRPr="002720D0">
        <w:rPr>
          <w:lang w:val="es-ES_tradnl"/>
        </w:rPr>
        <w:t>2001.</w:t>
      </w:r>
    </w:p>
    <w:p w:rsidR="00151021" w:rsidRPr="00B57F06" w:rsidRDefault="00641C86" w:rsidP="00410BB5">
      <w:pPr>
        <w:pStyle w:val="Bullet1G"/>
        <w:rPr>
          <w:lang w:val="es-ES_tradnl"/>
        </w:rPr>
      </w:pPr>
      <w:r w:rsidRPr="00B57F06">
        <w:rPr>
          <w:lang w:val="es-ES_tradnl"/>
        </w:rPr>
        <w:t xml:space="preserve">Se introdujo una serie de herramientas prácticas de gestión y establecimiento de prioridades para la gestión sanitaria de 19 distritos. </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vi)</w:t>
      </w:r>
      <w:r w:rsidR="00012B57" w:rsidRPr="002720D0">
        <w:rPr>
          <w:lang w:val="es-ES_tradnl"/>
        </w:rPr>
        <w:tab/>
      </w:r>
      <w:r w:rsidR="004E5B2C" w:rsidRPr="002720D0">
        <w:rPr>
          <w:lang w:val="es-ES_tradnl"/>
        </w:rPr>
        <w:t>Inmunización</w:t>
      </w:r>
    </w:p>
    <w:p w:rsidR="00042A7D" w:rsidRPr="002720D0" w:rsidRDefault="004F6364" w:rsidP="004F6364">
      <w:pPr>
        <w:pStyle w:val="SingleTxtG"/>
        <w:tabs>
          <w:tab w:val="left" w:pos="-360"/>
        </w:tabs>
        <w:rPr>
          <w:lang w:val="es-ES_tradnl"/>
        </w:rPr>
      </w:pPr>
      <w:r w:rsidRPr="002720D0">
        <w:rPr>
          <w:lang w:val="es-ES_tradnl"/>
        </w:rPr>
        <w:t>161.</w:t>
      </w:r>
      <w:r w:rsidRPr="002720D0">
        <w:rPr>
          <w:lang w:val="es-ES_tradnl"/>
        </w:rPr>
        <w:tab/>
      </w:r>
      <w:r w:rsidR="00331555" w:rsidRPr="002720D0">
        <w:rPr>
          <w:lang w:val="es-ES_tradnl"/>
        </w:rPr>
        <w:t xml:space="preserve">El Programa ampliado de inmunización ha logrado buenos resultados desde el período abarcado por el último informe, alcanzándose la plena cobertura en el 75% de los niños con edades comprendidas entre los 12 y los 23 meses (Encuesta demográfica y de </w:t>
      </w:r>
      <w:r w:rsidR="0083134C" w:rsidRPr="002720D0">
        <w:rPr>
          <w:lang w:val="es-ES_tradnl"/>
        </w:rPr>
        <w:t>salud</w:t>
      </w:r>
      <w:r w:rsidR="00331555" w:rsidRPr="002720D0">
        <w:rPr>
          <w:lang w:val="es-ES_tradnl"/>
        </w:rPr>
        <w:t xml:space="preserve"> de Tanzanía de 2010), lo cual representa un modesto aumento respecto de los porcentajes referidos para la c</w:t>
      </w:r>
      <w:r w:rsidR="0083134C" w:rsidRPr="002720D0">
        <w:rPr>
          <w:lang w:val="es-ES_tradnl"/>
        </w:rPr>
        <w:t>orrespondiente encuesta de 2004-</w:t>
      </w:r>
      <w:r w:rsidR="00331555" w:rsidRPr="002720D0">
        <w:rPr>
          <w:lang w:val="es-ES_tradnl"/>
        </w:rPr>
        <w:t xml:space="preserve">2005 (71%) y para la </w:t>
      </w:r>
      <w:r w:rsidR="00042A7D" w:rsidRPr="002720D0">
        <w:rPr>
          <w:lang w:val="es-ES_tradnl"/>
        </w:rPr>
        <w:t xml:space="preserve">encuesta sobre salud reproductiva y </w:t>
      </w:r>
      <w:r w:rsidR="00042A7D" w:rsidRPr="00B57F06">
        <w:rPr>
          <w:lang w:val="es-ES_tradnl"/>
        </w:rPr>
        <w:t xml:space="preserve">salud de los niños de 1999 (68%) (Oficina Nacional de Estadística y Macro Internacional Inc., 2000; Oficina Nacional de Estadística y ORC Macro, </w:t>
      </w:r>
      <w:r w:rsidR="00151021" w:rsidRPr="00B57F06">
        <w:rPr>
          <w:lang w:val="es-ES_tradnl"/>
        </w:rPr>
        <w:t xml:space="preserve">2005). </w:t>
      </w:r>
      <w:r w:rsidR="00042A7D" w:rsidRPr="00B57F06">
        <w:rPr>
          <w:lang w:val="es-ES_tradnl"/>
        </w:rPr>
        <w:t>De cada diez niños, al menos n</w:t>
      </w:r>
      <w:r w:rsidR="00FB311E" w:rsidRPr="00B57F06">
        <w:rPr>
          <w:lang w:val="es-ES_tradnl"/>
        </w:rPr>
        <w:t xml:space="preserve">ueve recibieron las vacunas </w:t>
      </w:r>
      <w:r w:rsidR="00796188">
        <w:rPr>
          <w:lang w:val="es-ES_tradnl"/>
        </w:rPr>
        <w:t>BCG, DPT/DPT</w:t>
      </w:r>
      <w:r w:rsidR="00796188">
        <w:rPr>
          <w:lang w:val="es-ES_tradnl"/>
        </w:rPr>
        <w:noBreakHyphen/>
      </w:r>
      <w:r w:rsidR="00151021" w:rsidRPr="00B57F06">
        <w:rPr>
          <w:lang w:val="es-ES_tradnl"/>
        </w:rPr>
        <w:t xml:space="preserve">HB 1 </w:t>
      </w:r>
      <w:r w:rsidR="00FB311E" w:rsidRPr="00B57F06">
        <w:rPr>
          <w:lang w:val="es-ES_tradnl"/>
        </w:rPr>
        <w:t>y 2 (o</w:t>
      </w:r>
      <w:r w:rsidR="00151021" w:rsidRPr="00B57F06">
        <w:rPr>
          <w:lang w:val="es-ES_tradnl"/>
        </w:rPr>
        <w:t xml:space="preserve"> DPT-HB-Hib 1 </w:t>
      </w:r>
      <w:r w:rsidR="00FB311E" w:rsidRPr="00B57F06">
        <w:rPr>
          <w:lang w:val="es-ES_tradnl"/>
        </w:rPr>
        <w:t>y</w:t>
      </w:r>
      <w:r w:rsidR="00151021" w:rsidRPr="00B57F06">
        <w:rPr>
          <w:lang w:val="es-ES_tradnl"/>
        </w:rPr>
        <w:t xml:space="preserve"> 2), </w:t>
      </w:r>
      <w:r w:rsidR="00FB311E" w:rsidRPr="00B57F06">
        <w:rPr>
          <w:lang w:val="es-ES_tradnl"/>
        </w:rPr>
        <w:t xml:space="preserve">y Poliomielitis </w:t>
      </w:r>
      <w:r w:rsidR="00151021" w:rsidRPr="00B57F06">
        <w:rPr>
          <w:lang w:val="es-ES_tradnl"/>
        </w:rPr>
        <w:t>1</w:t>
      </w:r>
      <w:r w:rsidR="0083134C" w:rsidRPr="00B57F06">
        <w:rPr>
          <w:lang w:val="es-ES_tradnl"/>
        </w:rPr>
        <w:t xml:space="preserve"> y 2</w:t>
      </w:r>
      <w:r w:rsidR="00FB311E" w:rsidRPr="00B57F06">
        <w:rPr>
          <w:lang w:val="es-ES_tradnl"/>
        </w:rPr>
        <w:t>. Sin embargo, la proporción de niños que recibieron la tercera dosis de las vacunas DPT/DPT-HB (o</w:t>
      </w:r>
      <w:r w:rsidR="00796188">
        <w:rPr>
          <w:lang w:val="es-ES_tradnl"/>
        </w:rPr>
        <w:t> </w:t>
      </w:r>
      <w:r w:rsidR="00151021" w:rsidRPr="00B57F06">
        <w:rPr>
          <w:lang w:val="es-ES_tradnl"/>
        </w:rPr>
        <w:t>DP</w:t>
      </w:r>
      <w:r w:rsidR="00796188">
        <w:rPr>
          <w:lang w:val="es-ES_tradnl"/>
        </w:rPr>
        <w:t>T</w:t>
      </w:r>
      <w:r w:rsidR="00796188">
        <w:rPr>
          <w:lang w:val="es-ES_tradnl"/>
        </w:rPr>
        <w:noBreakHyphen/>
      </w:r>
      <w:r w:rsidR="00151021" w:rsidRPr="00B57F06">
        <w:rPr>
          <w:lang w:val="es-ES_tradnl"/>
        </w:rPr>
        <w:t xml:space="preserve">HB-Hib) </w:t>
      </w:r>
      <w:r w:rsidR="00FB311E" w:rsidRPr="00B57F06">
        <w:rPr>
          <w:lang w:val="es-ES_tradnl"/>
        </w:rPr>
        <w:t xml:space="preserve">y poliomielitis es inferior </w:t>
      </w:r>
      <w:r w:rsidR="00151021" w:rsidRPr="00B57F06">
        <w:rPr>
          <w:lang w:val="es-ES_tradnl"/>
        </w:rPr>
        <w:t>(88</w:t>
      </w:r>
      <w:r w:rsidR="00FB311E" w:rsidRPr="00B57F06">
        <w:rPr>
          <w:lang w:val="es-ES_tradnl"/>
        </w:rPr>
        <w:t>%</w:t>
      </w:r>
      <w:r w:rsidR="00151021" w:rsidRPr="00B57F06">
        <w:rPr>
          <w:lang w:val="es-ES_tradnl"/>
        </w:rPr>
        <w:t xml:space="preserve"> </w:t>
      </w:r>
      <w:r w:rsidR="00FB311E" w:rsidRPr="00B57F06">
        <w:rPr>
          <w:lang w:val="es-ES_tradnl"/>
        </w:rPr>
        <w:t>y</w:t>
      </w:r>
      <w:r w:rsidR="00151021" w:rsidRPr="00B57F06">
        <w:rPr>
          <w:lang w:val="es-ES_tradnl"/>
        </w:rPr>
        <w:t xml:space="preserve"> 85</w:t>
      </w:r>
      <w:r w:rsidR="00153B23" w:rsidRPr="00B57F06">
        <w:rPr>
          <w:lang w:val="es-ES_tradnl"/>
        </w:rPr>
        <w:t>%</w:t>
      </w:r>
      <w:r w:rsidR="00FB311E" w:rsidRPr="00B57F06">
        <w:rPr>
          <w:lang w:val="es-ES_tradnl"/>
        </w:rPr>
        <w:t>, respectivamente</w:t>
      </w:r>
      <w:r w:rsidR="00151021" w:rsidRPr="00B57F06">
        <w:rPr>
          <w:lang w:val="es-ES_tradnl"/>
        </w:rPr>
        <w:t>), a</w:t>
      </w:r>
      <w:r w:rsidR="00FB311E" w:rsidRPr="00B57F06">
        <w:rPr>
          <w:lang w:val="es-ES_tradnl"/>
        </w:rPr>
        <w:t>l igual que la proporción que recibieron la vacuna contra el sarampión</w:t>
      </w:r>
      <w:r w:rsidR="00071877" w:rsidRPr="00B57F06">
        <w:rPr>
          <w:lang w:val="es-ES_tradnl"/>
        </w:rPr>
        <w:t xml:space="preserve"> (85%)</w:t>
      </w:r>
      <w:r w:rsidR="00FB311E" w:rsidRPr="00B57F06">
        <w:rPr>
          <w:lang w:val="es-ES_tradnl"/>
        </w:rPr>
        <w:t xml:space="preserve">. La reducción en la cobertura entre la primera y la tercera dosis de </w:t>
      </w:r>
      <w:r w:rsidR="00151021" w:rsidRPr="00B57F06">
        <w:rPr>
          <w:lang w:val="es-ES_tradnl"/>
        </w:rPr>
        <w:t xml:space="preserve">DPT/DPT-HB/DPT-HB-Hib </w:t>
      </w:r>
      <w:r w:rsidR="00FB311E" w:rsidRPr="00B57F06">
        <w:rPr>
          <w:lang w:val="es-ES_tradnl"/>
        </w:rPr>
        <w:t>y poliomielitis es de 8 y 1</w:t>
      </w:r>
      <w:r w:rsidR="00B9003B" w:rsidRPr="00B57F06">
        <w:rPr>
          <w:lang w:val="es-ES_tradnl"/>
        </w:rPr>
        <w:t>2 puntos porcentuales, respecti</w:t>
      </w:r>
      <w:r w:rsidR="0083134C" w:rsidRPr="00B57F06">
        <w:rPr>
          <w:lang w:val="es-ES_tradnl"/>
        </w:rPr>
        <w:t>vamente. Solo el</w:t>
      </w:r>
      <w:r w:rsidR="00FB311E" w:rsidRPr="00B57F06">
        <w:rPr>
          <w:lang w:val="es-ES_tradnl"/>
        </w:rPr>
        <w:t xml:space="preserve"> 3% de los niños</w:t>
      </w:r>
      <w:r w:rsidR="00FB311E" w:rsidRPr="002720D0">
        <w:rPr>
          <w:lang w:val="es-ES_tradnl"/>
        </w:rPr>
        <w:t xml:space="preserve"> no han recibido vacuna alguna. Con la salvedad del sarampión, más del 80% de las vacunaciones habían tenido lugar a la edad recomendada, a saber, 12 meses. En total, un 66% de los niños estaban plena</w:t>
      </w:r>
      <w:r w:rsidR="00B9003B" w:rsidRPr="002720D0">
        <w:rPr>
          <w:lang w:val="es-ES_tradnl"/>
        </w:rPr>
        <w:t>mente vacunados a los 12 meses, porcentaje que arroja un pequeño incremento respecto del referido en el estudio demográfico y de salud de Tanzanía de</w:t>
      </w:r>
      <w:r w:rsidR="0083134C" w:rsidRPr="002720D0">
        <w:rPr>
          <w:lang w:val="es-ES_tradnl"/>
        </w:rPr>
        <w:t xml:space="preserve"> 2004</w:t>
      </w:r>
      <w:r w:rsidR="00B24EC0">
        <w:rPr>
          <w:lang w:val="es-ES_tradnl"/>
        </w:rPr>
        <w:noBreakHyphen/>
      </w:r>
      <w:r w:rsidR="00B9003B" w:rsidRPr="002720D0">
        <w:rPr>
          <w:lang w:val="es-ES_tradnl"/>
        </w:rPr>
        <w:t xml:space="preserve">2005 (62%). </w:t>
      </w:r>
    </w:p>
    <w:p w:rsidR="00151021" w:rsidRPr="002720D0" w:rsidRDefault="004F6364" w:rsidP="004F6364">
      <w:pPr>
        <w:pStyle w:val="SingleTxtG"/>
        <w:tabs>
          <w:tab w:val="left" w:pos="-360"/>
        </w:tabs>
        <w:rPr>
          <w:lang w:val="es-ES_tradnl"/>
        </w:rPr>
      </w:pPr>
      <w:r w:rsidRPr="002720D0">
        <w:rPr>
          <w:lang w:val="es-ES_tradnl"/>
        </w:rPr>
        <w:t>162.</w:t>
      </w:r>
      <w:r w:rsidRPr="002720D0">
        <w:rPr>
          <w:lang w:val="es-ES_tradnl"/>
        </w:rPr>
        <w:tab/>
      </w:r>
      <w:r w:rsidR="00B9003B" w:rsidRPr="002720D0">
        <w:rPr>
          <w:lang w:val="es-ES_tradnl"/>
        </w:rPr>
        <w:t xml:space="preserve">El estado de vacunación entre los niños con edades comprendidas entre los 12 y los 23 meses no varía significativamente con arreglo al sexo. La proporción de niños plenamente vacunados es inferior para los niños con un orden de nacimiento de 6 o superior que para los niños con paridades inferiores. </w:t>
      </w:r>
      <w:r w:rsidR="00B57608" w:rsidRPr="002720D0">
        <w:rPr>
          <w:lang w:val="es-ES_tradnl"/>
        </w:rPr>
        <w:t>Se produce</w:t>
      </w:r>
      <w:r w:rsidR="00B9003B" w:rsidRPr="002720D0">
        <w:rPr>
          <w:lang w:val="es-ES_tradnl"/>
        </w:rPr>
        <w:t xml:space="preserve"> una variación considerable por lugar de residencia: el 86% de los niños de zonas urbanas están plenamente inmunizados, en comparación con el 73% de los niños de zonas rurales. </w:t>
      </w:r>
      <w:r w:rsidR="00DC3BA9" w:rsidRPr="002720D0">
        <w:rPr>
          <w:lang w:val="es-ES_tradnl"/>
        </w:rPr>
        <w:t>Por el contrario, la cobertura de inmunización en Zanzíbar es ligeramente superior que en Tanzanía continental (un 77% y un 75%, respectivamente). La cobertura en la zona occidental (58%) es considerablemente inferior</w:t>
      </w:r>
      <w:r w:rsidR="004E5B2C" w:rsidRPr="002720D0">
        <w:rPr>
          <w:lang w:val="es-ES_tradnl"/>
        </w:rPr>
        <w:t xml:space="preserve"> a la cobertura en otras zonas</w:t>
      </w:r>
      <w:r w:rsidR="00B57608" w:rsidRPr="002720D0">
        <w:rPr>
          <w:lang w:val="es-ES_tradnl"/>
        </w:rPr>
        <w:t>;</w:t>
      </w:r>
      <w:r w:rsidR="004E5B2C" w:rsidRPr="002720D0">
        <w:rPr>
          <w:lang w:val="es-ES_tradnl"/>
        </w:rPr>
        <w:t xml:space="preserve"> </w:t>
      </w:r>
      <w:r w:rsidR="00B57608" w:rsidRPr="002720D0">
        <w:rPr>
          <w:lang w:val="es-ES_tradnl"/>
        </w:rPr>
        <w:t xml:space="preserve">al menos </w:t>
      </w:r>
      <w:r w:rsidR="00DC3BA9" w:rsidRPr="002720D0">
        <w:rPr>
          <w:lang w:val="es-ES_tradnl"/>
        </w:rPr>
        <w:t xml:space="preserve">en parte </w:t>
      </w:r>
      <w:r w:rsidR="00B57608" w:rsidRPr="002720D0">
        <w:rPr>
          <w:lang w:val="es-ES_tradnl"/>
        </w:rPr>
        <w:t>ello se debe</w:t>
      </w:r>
      <w:r w:rsidR="00DC3BA9" w:rsidRPr="002720D0">
        <w:rPr>
          <w:lang w:val="es-ES_tradnl"/>
        </w:rPr>
        <w:t xml:space="preserve"> a la b</w:t>
      </w:r>
      <w:r w:rsidR="002E6C33" w:rsidRPr="002720D0">
        <w:rPr>
          <w:lang w:val="es-ES_tradnl"/>
        </w:rPr>
        <w:t>a</w:t>
      </w:r>
      <w:r w:rsidR="00DC3BA9" w:rsidRPr="002720D0">
        <w:rPr>
          <w:lang w:val="es-ES_tradnl"/>
        </w:rPr>
        <w:t xml:space="preserve">ja cobertura de la vacunación contra el sarampión </w:t>
      </w:r>
      <w:r w:rsidR="00151021" w:rsidRPr="002720D0">
        <w:rPr>
          <w:lang w:val="es-ES_tradnl"/>
        </w:rPr>
        <w:t>(68</w:t>
      </w:r>
      <w:r w:rsidR="00153B23" w:rsidRPr="002720D0">
        <w:rPr>
          <w:lang w:val="es-ES_tradnl"/>
        </w:rPr>
        <w:t>%</w:t>
      </w:r>
      <w:r w:rsidR="00151021" w:rsidRPr="002720D0">
        <w:rPr>
          <w:lang w:val="es-ES_tradnl"/>
        </w:rPr>
        <w:t>)</w:t>
      </w:r>
      <w:r w:rsidR="00DC3BA9" w:rsidRPr="002720D0">
        <w:rPr>
          <w:lang w:val="es-ES_tradnl"/>
        </w:rPr>
        <w:t>.</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vii)</w:t>
      </w:r>
      <w:r w:rsidR="00012B57" w:rsidRPr="002720D0">
        <w:rPr>
          <w:lang w:val="es-ES_tradnl"/>
        </w:rPr>
        <w:tab/>
      </w:r>
      <w:r w:rsidR="00DC3BA9" w:rsidRPr="002720D0">
        <w:rPr>
          <w:lang w:val="es-ES_tradnl"/>
        </w:rPr>
        <w:t>Nutrició</w:t>
      </w:r>
      <w:r w:rsidR="00151021" w:rsidRPr="002720D0">
        <w:rPr>
          <w:lang w:val="es-ES_tradnl"/>
        </w:rPr>
        <w:t>n</w:t>
      </w:r>
    </w:p>
    <w:p w:rsidR="00151021" w:rsidRPr="002720D0" w:rsidRDefault="004F6364" w:rsidP="004F6364">
      <w:pPr>
        <w:pStyle w:val="SingleTxtG"/>
        <w:tabs>
          <w:tab w:val="left" w:pos="-360"/>
        </w:tabs>
        <w:rPr>
          <w:lang w:val="es-ES_tradnl"/>
        </w:rPr>
      </w:pPr>
      <w:r w:rsidRPr="002720D0">
        <w:rPr>
          <w:lang w:val="es-ES_tradnl"/>
        </w:rPr>
        <w:t>163.</w:t>
      </w:r>
      <w:r w:rsidRPr="002720D0">
        <w:rPr>
          <w:lang w:val="es-ES_tradnl"/>
        </w:rPr>
        <w:tab/>
      </w:r>
      <w:r w:rsidR="00DC3BA9" w:rsidRPr="002720D0">
        <w:rPr>
          <w:lang w:val="es-ES_tradnl"/>
        </w:rPr>
        <w:t>La malnutrición, en particular la malnutrición aguda grave, la anemia ferropénica</w:t>
      </w:r>
      <w:r w:rsidR="004E4394" w:rsidRPr="002720D0">
        <w:rPr>
          <w:lang w:val="es-ES_tradnl"/>
        </w:rPr>
        <w:t>,</w:t>
      </w:r>
      <w:r w:rsidR="00DC3BA9" w:rsidRPr="002720D0">
        <w:rPr>
          <w:lang w:val="es-ES_tradnl"/>
        </w:rPr>
        <w:t xml:space="preserve"> </w:t>
      </w:r>
      <w:r w:rsidR="004E4394" w:rsidRPr="002720D0">
        <w:rPr>
          <w:lang w:val="es-ES_tradnl"/>
        </w:rPr>
        <w:t>el trastorno causado por la deficiencia de yodo y la carencia de vitamina A</w:t>
      </w:r>
      <w:r w:rsidR="002E6C33" w:rsidRPr="002720D0">
        <w:rPr>
          <w:lang w:val="es-ES_tradnl"/>
        </w:rPr>
        <w:t>,</w:t>
      </w:r>
      <w:r w:rsidR="004E4394" w:rsidRPr="002720D0">
        <w:rPr>
          <w:lang w:val="es-ES_tradnl"/>
        </w:rPr>
        <w:t xml:space="preserve"> son algunos de los principales problemas </w:t>
      </w:r>
      <w:r w:rsidR="002E6C33" w:rsidRPr="002720D0">
        <w:rPr>
          <w:lang w:val="es-ES_tradnl"/>
        </w:rPr>
        <w:t>que afectan a los lactantes y niños de corta edad en Tanzanía. También existen otros trastornos nutricionales, entre ellos</w:t>
      </w:r>
      <w:r w:rsidR="00B77705" w:rsidRPr="002720D0">
        <w:rPr>
          <w:lang w:val="es-ES_tradnl"/>
        </w:rPr>
        <w:t xml:space="preserve"> ciertas</w:t>
      </w:r>
      <w:r w:rsidR="002E6C33" w:rsidRPr="002720D0">
        <w:rPr>
          <w:lang w:val="es-ES_tradnl"/>
        </w:rPr>
        <w:t xml:space="preserve"> enfermedades como la pelagra, el beribe</w:t>
      </w:r>
      <w:r w:rsidR="00B77705" w:rsidRPr="002720D0">
        <w:rPr>
          <w:lang w:val="es-ES_tradnl"/>
        </w:rPr>
        <w:t>ri, el escorbuto, el raquitismo;</w:t>
      </w:r>
      <w:r w:rsidR="002E6C33" w:rsidRPr="002720D0">
        <w:rPr>
          <w:lang w:val="es-ES_tradnl"/>
        </w:rPr>
        <w:t xml:space="preserve"> deficiencias de algunos</w:t>
      </w:r>
      <w:r w:rsidR="00B77705" w:rsidRPr="002720D0">
        <w:rPr>
          <w:lang w:val="es-ES_tradnl"/>
        </w:rPr>
        <w:t xml:space="preserve"> minerales, entre ellos el cinc;</w:t>
      </w:r>
      <w:r w:rsidR="002E6C33" w:rsidRPr="002720D0">
        <w:rPr>
          <w:lang w:val="es-ES_tradnl"/>
        </w:rPr>
        <w:t xml:space="preserve"> y absorción excesiva de flúor, que lleva a la fluorosis. La malnutrición aguda grave reduce la supervivencia y la p</w:t>
      </w:r>
      <w:r w:rsidR="00B77705" w:rsidRPr="002720D0">
        <w:rPr>
          <w:lang w:val="es-ES_tradnl"/>
        </w:rPr>
        <w:t>roductividad; entre los niños de edad escolar</w:t>
      </w:r>
      <w:r w:rsidR="002E6C33" w:rsidRPr="002720D0">
        <w:rPr>
          <w:lang w:val="es-ES_tradnl"/>
        </w:rPr>
        <w:t xml:space="preserve"> es una de las principales causas de </w:t>
      </w:r>
      <w:r w:rsidR="00AF1CE1" w:rsidRPr="002720D0">
        <w:rPr>
          <w:lang w:val="es-ES_tradnl"/>
        </w:rPr>
        <w:t xml:space="preserve">peores </w:t>
      </w:r>
      <w:r w:rsidR="002E6C33" w:rsidRPr="002720D0">
        <w:rPr>
          <w:lang w:val="es-ES_tradnl"/>
        </w:rPr>
        <w:t xml:space="preserve">resultados en las pruebas cognitivas, </w:t>
      </w:r>
      <w:r w:rsidR="0077542C" w:rsidRPr="002720D0">
        <w:rPr>
          <w:lang w:val="es-ES_tradnl"/>
        </w:rPr>
        <w:t>retraso en la</w:t>
      </w:r>
      <w:r w:rsidR="002E6C33" w:rsidRPr="002720D0">
        <w:rPr>
          <w:lang w:val="es-ES_tradnl"/>
        </w:rPr>
        <w:t xml:space="preserve"> matriculación</w:t>
      </w:r>
      <w:r w:rsidR="001D2A53">
        <w:rPr>
          <w:lang w:val="es-ES_tradnl"/>
        </w:rPr>
        <w:t xml:space="preserve"> </w:t>
      </w:r>
      <w:r w:rsidR="00B77705" w:rsidRPr="002720D0">
        <w:rPr>
          <w:lang w:val="es-ES_tradnl"/>
        </w:rPr>
        <w:t>escolar, aumento d</w:t>
      </w:r>
      <w:r w:rsidR="0077542C" w:rsidRPr="002720D0">
        <w:rPr>
          <w:lang w:val="es-ES_tradnl"/>
        </w:rPr>
        <w:t>el absentismo escolar y mayor incidencia de repetidores. La anemia ferropénica afecta tanto a la capacidad física como a la inteligencia de las mujeres embarazadas, resultando en la deficiencia intelectual del niño por nacer. Los trastornos causados por la deficiencia de yodo pueden causar diversas afecciones, entre ellas retraso mental leve, cretinismo, lesiones cerebrales graves, sordera y enanismo. La carencia de vitamina A reduce</w:t>
      </w:r>
      <w:r w:rsidR="001D2A53">
        <w:rPr>
          <w:lang w:val="es-ES_tradnl"/>
        </w:rPr>
        <w:t xml:space="preserve"> </w:t>
      </w:r>
      <w:r w:rsidR="0077542C" w:rsidRPr="002720D0">
        <w:rPr>
          <w:lang w:val="es-ES_tradnl"/>
        </w:rPr>
        <w:t xml:space="preserve">la inmunidad </w:t>
      </w:r>
      <w:r w:rsidR="00AF1CE1" w:rsidRPr="002720D0">
        <w:rPr>
          <w:lang w:val="es-ES_tradnl"/>
        </w:rPr>
        <w:t>física</w:t>
      </w:r>
      <w:r w:rsidR="0077542C" w:rsidRPr="002720D0">
        <w:rPr>
          <w:lang w:val="es-ES_tradnl"/>
        </w:rPr>
        <w:t xml:space="preserve"> </w:t>
      </w:r>
      <w:r w:rsidR="00696793" w:rsidRPr="002720D0">
        <w:rPr>
          <w:lang w:val="es-ES_tradnl"/>
        </w:rPr>
        <w:t>e incrementa</w:t>
      </w:r>
      <w:r w:rsidR="0077542C" w:rsidRPr="002720D0">
        <w:rPr>
          <w:lang w:val="es-ES_tradnl"/>
        </w:rPr>
        <w:t xml:space="preserve"> la incidencia y </w:t>
      </w:r>
      <w:r w:rsidR="00696793" w:rsidRPr="002720D0">
        <w:rPr>
          <w:lang w:val="es-ES_tradnl"/>
        </w:rPr>
        <w:t xml:space="preserve">la </w:t>
      </w:r>
      <w:r w:rsidR="0077542C" w:rsidRPr="002720D0">
        <w:rPr>
          <w:lang w:val="es-ES_tradnl"/>
        </w:rPr>
        <w:t>gravedad de las enfermedades, aumentando con ello la mortalidad infantil.</w:t>
      </w:r>
      <w:r w:rsidR="001D2A53">
        <w:rPr>
          <w:lang w:val="es-ES_tradnl"/>
        </w:rPr>
        <w:t xml:space="preserve"> </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viii)</w:t>
      </w:r>
      <w:r w:rsidR="00012B57" w:rsidRPr="002720D0">
        <w:rPr>
          <w:lang w:val="es-ES_tradnl"/>
        </w:rPr>
        <w:tab/>
      </w:r>
      <w:r w:rsidR="00410BB5">
        <w:rPr>
          <w:lang w:val="es-ES_tradnl"/>
        </w:rPr>
        <w:t>Malnutrición aguda grave</w:t>
      </w:r>
    </w:p>
    <w:p w:rsidR="00151021" w:rsidRPr="002720D0" w:rsidRDefault="004F6364" w:rsidP="005D0EA8">
      <w:pPr>
        <w:pStyle w:val="SingleTxtG"/>
        <w:tabs>
          <w:tab w:val="left" w:pos="-360"/>
        </w:tabs>
        <w:spacing w:after="240"/>
        <w:rPr>
          <w:lang w:val="es-ES_tradnl"/>
        </w:rPr>
      </w:pPr>
      <w:r w:rsidRPr="002720D0">
        <w:rPr>
          <w:lang w:val="es-ES_tradnl"/>
        </w:rPr>
        <w:t>164.</w:t>
      </w:r>
      <w:r w:rsidRPr="002720D0">
        <w:rPr>
          <w:lang w:val="es-ES_tradnl"/>
        </w:rPr>
        <w:tab/>
      </w:r>
      <w:r w:rsidR="00D011DA" w:rsidRPr="002720D0">
        <w:rPr>
          <w:lang w:val="es-ES_tradnl"/>
        </w:rPr>
        <w:t>La malnutrición aguda grave está causada por una ingesta insuficie</w:t>
      </w:r>
      <w:r w:rsidR="00AF1CE1" w:rsidRPr="002720D0">
        <w:rPr>
          <w:lang w:val="es-ES_tradnl"/>
        </w:rPr>
        <w:t xml:space="preserve">nte de energía y de </w:t>
      </w:r>
      <w:r w:rsidR="004E5B2C" w:rsidRPr="002720D0">
        <w:rPr>
          <w:lang w:val="es-ES_tradnl"/>
        </w:rPr>
        <w:t>proteínas</w:t>
      </w:r>
      <w:r w:rsidR="00AF1CE1" w:rsidRPr="002720D0">
        <w:rPr>
          <w:lang w:val="es-ES_tradnl"/>
        </w:rPr>
        <w:t>;</w:t>
      </w:r>
      <w:r w:rsidR="00D011DA" w:rsidRPr="002720D0">
        <w:rPr>
          <w:lang w:val="es-ES_tradnl"/>
        </w:rPr>
        <w:t xml:space="preserve"> a menudo está acompañada de deficiencias de otros nutrientes esenciales, entre ellos minerales y vitaminas. La malnutrición aguda grave afecta a todos los grupos de edades, pero es más frecuente </w:t>
      </w:r>
      <w:r w:rsidR="004E5B2C" w:rsidRPr="002720D0">
        <w:rPr>
          <w:lang w:val="es-ES_tradnl"/>
        </w:rPr>
        <w:t>entre</w:t>
      </w:r>
      <w:r w:rsidR="00D011DA" w:rsidRPr="002720D0">
        <w:rPr>
          <w:lang w:val="es-ES_tradnl"/>
        </w:rPr>
        <w:t xml:space="preserve"> los niños menores de 5 años; se manifiesta en unos niveles reducidos de crecimiento tanto mental como físico, peso insuficiente o marasmo </w:t>
      </w:r>
      <w:r w:rsidR="002C1A07" w:rsidRPr="002720D0">
        <w:rPr>
          <w:lang w:val="es-ES_tradnl"/>
        </w:rPr>
        <w:t>clínico, kwashiorkor o kwashiork</w:t>
      </w:r>
      <w:r w:rsidR="00D011DA" w:rsidRPr="002720D0">
        <w:rPr>
          <w:lang w:val="es-ES_tradnl"/>
        </w:rPr>
        <w:t xml:space="preserve">or marásmico. El estudio demográfico y de salud de Tanzanía de 2010 indicó que un 5% de los niños menores de 5 años padecían emaciación, un 42% </w:t>
      </w:r>
      <w:r w:rsidR="002C1A07" w:rsidRPr="002720D0">
        <w:rPr>
          <w:lang w:val="es-ES_tradnl"/>
        </w:rPr>
        <w:t xml:space="preserve">presentaban crecimiento </w:t>
      </w:r>
      <w:r w:rsidR="00F6492C" w:rsidRPr="002720D0">
        <w:rPr>
          <w:lang w:val="es-ES_tradnl"/>
        </w:rPr>
        <w:t xml:space="preserve">retardado </w:t>
      </w:r>
      <w:r w:rsidR="002C1A07" w:rsidRPr="002720D0">
        <w:rPr>
          <w:lang w:val="es-ES_tradnl"/>
        </w:rPr>
        <w:t>y un 16% tenían pesos inferiores a los normales. El crecimiento retardado representa los efectos a largo plazo en una población, y no responde a cambios recientes de corto plazo en la ingesta alimentaria. Según el estudio demográfico y de salud de Tanzanía de 2010, el crecimiento retardado constituía la principal deficiencia nutricional; por otra parte, el estado nutricional de los niños correspondiente al período comprendido entre 2005 y 2010 indica una disminución</w:t>
      </w:r>
      <w:r w:rsidR="00151021" w:rsidRPr="002720D0">
        <w:rPr>
          <w:rStyle w:val="FootnoteReference"/>
          <w:lang w:val="es-ES_tradnl"/>
        </w:rPr>
        <w:footnoteReference w:id="82"/>
      </w:r>
      <w:r w:rsidR="0023756B" w:rsidRPr="002720D0">
        <w:rPr>
          <w:lang w:val="es-ES_tradnl"/>
        </w:rPr>
        <w:t xml:space="preserve"> </w:t>
      </w:r>
      <w:r w:rsidR="002C1A07" w:rsidRPr="002720D0">
        <w:rPr>
          <w:lang w:val="es-ES_tradnl"/>
        </w:rPr>
        <w:t xml:space="preserve">en el crecimiento retardado y el peso inferior al normal. </w:t>
      </w:r>
      <w:r w:rsidR="0023756B" w:rsidRPr="002720D0">
        <w:rPr>
          <w:lang w:val="es-ES_tradnl"/>
        </w:rPr>
        <w:t>El crecimiento ret</w:t>
      </w:r>
      <w:r w:rsidR="00ED5043" w:rsidRPr="002720D0">
        <w:rPr>
          <w:lang w:val="es-ES_tradnl"/>
        </w:rPr>
        <w:t>a</w:t>
      </w:r>
      <w:r w:rsidR="0023756B" w:rsidRPr="002720D0">
        <w:rPr>
          <w:lang w:val="es-ES_tradnl"/>
        </w:rPr>
        <w:t>rda</w:t>
      </w:r>
      <w:r w:rsidR="00F6492C" w:rsidRPr="002720D0">
        <w:rPr>
          <w:lang w:val="es-ES_tradnl"/>
        </w:rPr>
        <w:t>do solo disminuyó ligeramente (3</w:t>
      </w:r>
      <w:r w:rsidR="0023756B" w:rsidRPr="002720D0">
        <w:rPr>
          <w:lang w:val="es-ES_tradnl"/>
        </w:rPr>
        <w:t xml:space="preserve">%) entre el estudio de 2004-2005 y el de 2010. Se observa un patrón similar </w:t>
      </w:r>
      <w:r w:rsidR="00AF1CE1" w:rsidRPr="002720D0">
        <w:rPr>
          <w:lang w:val="es-ES_tradnl"/>
        </w:rPr>
        <w:t>respecto del</w:t>
      </w:r>
      <w:r w:rsidR="0023756B" w:rsidRPr="002720D0">
        <w:rPr>
          <w:lang w:val="es-ES_tradnl"/>
        </w:rPr>
        <w:t xml:space="preserve"> peso inferior al normal, que disminuyó en un 1%, mientras que el porcentaje de emaciación </w:t>
      </w:r>
      <w:r w:rsidR="00AF1CE1" w:rsidRPr="002720D0">
        <w:rPr>
          <w:lang w:val="es-ES_tradnl"/>
        </w:rPr>
        <w:t>aumentó</w:t>
      </w:r>
      <w:r w:rsidR="0023756B" w:rsidRPr="002720D0">
        <w:rPr>
          <w:lang w:val="es-ES_tradnl"/>
        </w:rPr>
        <w:t xml:space="preserve"> ligeramente, en un 1%. El crecimiento retardado refleja una alimentación insuficiente a lo largo de un período </w:t>
      </w:r>
      <w:r w:rsidR="00AF1CE1" w:rsidRPr="002720D0">
        <w:rPr>
          <w:lang w:val="es-ES_tradnl"/>
        </w:rPr>
        <w:t>prolongado;</w:t>
      </w:r>
      <w:r w:rsidR="0023756B" w:rsidRPr="002720D0">
        <w:rPr>
          <w:lang w:val="es-ES_tradnl"/>
        </w:rPr>
        <w:t xml:space="preserve"> </w:t>
      </w:r>
      <w:r w:rsidR="002263BF" w:rsidRPr="002720D0">
        <w:rPr>
          <w:lang w:val="es-ES_tradnl"/>
        </w:rPr>
        <w:t>el sujeto se ve afectado por</w:t>
      </w:r>
      <w:r w:rsidR="0023756B" w:rsidRPr="002720D0">
        <w:rPr>
          <w:lang w:val="es-ES_tradnl"/>
        </w:rPr>
        <w:t xml:space="preserve"> </w:t>
      </w:r>
      <w:r w:rsidR="002263BF" w:rsidRPr="002720D0">
        <w:rPr>
          <w:lang w:val="es-ES_tradnl"/>
        </w:rPr>
        <w:t xml:space="preserve">enfermedades crónicas y recurrentes. </w:t>
      </w:r>
      <w:r w:rsidR="003B16D4" w:rsidRPr="002720D0">
        <w:rPr>
          <w:lang w:val="es-ES_tradnl"/>
        </w:rPr>
        <w:t>El oeste de</w:t>
      </w:r>
      <w:r w:rsidR="002263BF" w:rsidRPr="002720D0">
        <w:rPr>
          <w:lang w:val="es-ES_tradnl"/>
        </w:rPr>
        <w:t xml:space="preserve"> Zanzí</w:t>
      </w:r>
      <w:r w:rsidR="003B16D4" w:rsidRPr="002720D0">
        <w:rPr>
          <w:lang w:val="es-ES_tradnl"/>
        </w:rPr>
        <w:t xml:space="preserve">bar </w:t>
      </w:r>
      <w:r w:rsidR="002263BF" w:rsidRPr="002720D0">
        <w:rPr>
          <w:lang w:val="es-ES_tradnl"/>
        </w:rPr>
        <w:t xml:space="preserve">cuenta con la menor tasa de crecimiento retardado, </w:t>
      </w:r>
      <w:r w:rsidR="00AF1CE1" w:rsidRPr="002720D0">
        <w:rPr>
          <w:lang w:val="es-ES_tradnl"/>
        </w:rPr>
        <w:t xml:space="preserve">a saber, </w:t>
      </w:r>
      <w:r w:rsidR="002263BF" w:rsidRPr="002720D0">
        <w:rPr>
          <w:lang w:val="es-ES_tradnl"/>
        </w:rPr>
        <w:t>un 20%. El nivel de e</w:t>
      </w:r>
      <w:r w:rsidR="00ED5043" w:rsidRPr="002720D0">
        <w:rPr>
          <w:lang w:val="es-ES_tradnl"/>
        </w:rPr>
        <w:t xml:space="preserve">maciación </w:t>
      </w:r>
      <w:r w:rsidR="00F6492C" w:rsidRPr="002720D0">
        <w:rPr>
          <w:lang w:val="es-ES_tradnl"/>
        </w:rPr>
        <w:t xml:space="preserve">en </w:t>
      </w:r>
      <w:r w:rsidR="006E6B09" w:rsidRPr="002720D0">
        <w:rPr>
          <w:lang w:val="es-ES_tradnl"/>
        </w:rPr>
        <w:t xml:space="preserve">Tanzanía Zanzíbar </w:t>
      </w:r>
      <w:r w:rsidR="00ED5043" w:rsidRPr="002720D0">
        <w:rPr>
          <w:lang w:val="es-ES_tradnl"/>
        </w:rPr>
        <w:t>asciende al 12%, mie</w:t>
      </w:r>
      <w:r w:rsidR="00016C75" w:rsidRPr="002720D0">
        <w:rPr>
          <w:lang w:val="es-ES_tradnl"/>
        </w:rPr>
        <w:t>nt</w:t>
      </w:r>
      <w:r w:rsidR="002263BF" w:rsidRPr="002720D0">
        <w:rPr>
          <w:lang w:val="es-ES_tradnl"/>
        </w:rPr>
        <w:t xml:space="preserve">ras que el peso inferior al normal </w:t>
      </w:r>
      <w:r w:rsidR="00016C75" w:rsidRPr="002720D0">
        <w:rPr>
          <w:lang w:val="es-ES_tradnl"/>
        </w:rPr>
        <w:t>afecta al</w:t>
      </w:r>
      <w:r w:rsidR="00012B57" w:rsidRPr="002720D0">
        <w:rPr>
          <w:lang w:val="es-ES_tradnl"/>
        </w:rPr>
        <w:t xml:space="preserve"> 20</w:t>
      </w:r>
      <w:r w:rsidR="00153B23" w:rsidRPr="002720D0">
        <w:rPr>
          <w:lang w:val="es-ES_tradnl"/>
        </w:rPr>
        <w:t>%</w:t>
      </w:r>
      <w:r w:rsidR="00012B57" w:rsidRPr="002720D0">
        <w:rPr>
          <w:lang w:val="es-ES_tradnl"/>
        </w:rPr>
        <w:t>.</w:t>
      </w:r>
    </w:p>
    <w:p w:rsidR="005D0EA8" w:rsidRDefault="00D62405" w:rsidP="005D0EA8">
      <w:pPr>
        <w:pStyle w:val="Heading1"/>
        <w:rPr>
          <w:lang w:val="es-ES_tradnl"/>
        </w:rPr>
      </w:pPr>
      <w:r w:rsidRPr="002720D0">
        <w:rPr>
          <w:lang w:val="es-ES_tradnl"/>
        </w:rPr>
        <w:t>Gráfic</w:t>
      </w:r>
      <w:r w:rsidR="00016C75" w:rsidRPr="002720D0">
        <w:rPr>
          <w:lang w:val="es-ES_tradnl"/>
        </w:rPr>
        <w:t>o</w:t>
      </w:r>
      <w:r w:rsidR="00151021" w:rsidRPr="002720D0">
        <w:rPr>
          <w:lang w:val="es-ES_tradnl"/>
        </w:rPr>
        <w:t xml:space="preserve"> 2</w:t>
      </w:r>
    </w:p>
    <w:p w:rsidR="00151021" w:rsidRDefault="00151021" w:rsidP="005D0EA8">
      <w:pPr>
        <w:pStyle w:val="SingleTxtG"/>
        <w:jc w:val="left"/>
        <w:rPr>
          <w:b/>
          <w:lang w:val="es-ES_tradnl"/>
        </w:rPr>
      </w:pPr>
      <w:r w:rsidRPr="005D0EA8">
        <w:rPr>
          <w:b/>
          <w:lang w:val="es-ES_tradnl"/>
        </w:rPr>
        <w:t>T</w:t>
      </w:r>
      <w:r w:rsidR="00077AF6" w:rsidRPr="005D0EA8">
        <w:rPr>
          <w:b/>
          <w:lang w:val="es-ES_tradnl"/>
        </w:rPr>
        <w:t>endencias en el estado nutricional de los niño</w:t>
      </w:r>
      <w:r w:rsidR="00F96614">
        <w:rPr>
          <w:b/>
          <w:lang w:val="es-ES_tradnl"/>
        </w:rPr>
        <w:t>s menores de 5 años</w:t>
      </w:r>
    </w:p>
    <w:p w:rsidR="00371E57" w:rsidRDefault="00D31811" w:rsidP="00371E57">
      <w:pPr>
        <w:pStyle w:val="SingleTxtG"/>
        <w:jc w:val="left"/>
        <w:rPr>
          <w:b/>
          <w:lang w:val="es-ES_tradnl"/>
        </w:rPr>
      </w:pPr>
      <w:r>
        <w:rPr>
          <w:noProof/>
          <w:lang w:val="en-US"/>
        </w:rPr>
        <w:pict>
          <v:shapetype id="_x0000_t202" coordsize="21600,21600" o:spt="202" path="m,l,21600r21600,l21600,xe">
            <v:stroke joinstyle="miter"/>
            <v:path gradientshapeok="t" o:connecttype="rect"/>
          </v:shapetype>
          <v:shape id="_x0000_s1031" type="#_x0000_t202" style="position:absolute;left:0;text-align:left;margin-left:333.5pt;margin-top:232.4pt;width:84.35pt;height:12.95pt;z-index:3" stroked="f">
            <v:textbox style="mso-next-textbox:#_x0000_s1031" inset="0,0,0,0">
              <w:txbxContent>
                <w:p w:rsidR="00D31811" w:rsidRPr="00D31811" w:rsidRDefault="00D31811" w:rsidP="00D31811">
                  <w:pPr>
                    <w:spacing w:line="240" w:lineRule="auto"/>
                    <w:rPr>
                      <w:b/>
                      <w:bCs/>
                      <w:sz w:val="16"/>
                      <w:szCs w:val="16"/>
                      <w:lang w:val="es-ES"/>
                    </w:rPr>
                  </w:pPr>
                  <w:r>
                    <w:rPr>
                      <w:b/>
                      <w:bCs/>
                      <w:sz w:val="16"/>
                      <w:szCs w:val="16"/>
                      <w:lang w:val="es-ES"/>
                    </w:rPr>
                    <w:t>Peso inferior al normal</w:t>
                  </w:r>
                </w:p>
              </w:txbxContent>
            </v:textbox>
          </v:shape>
        </w:pict>
      </w:r>
      <w:r>
        <w:rPr>
          <w:b/>
          <w:noProof/>
          <w:lang w:val="en-US"/>
        </w:rPr>
        <w:pict>
          <v:shape id="_x0000_s1033" type="#_x0000_t202" style="position:absolute;left:0;text-align:left;margin-left:226.8pt;margin-top:232.15pt;width:45pt;height:9.4pt;z-index:4" stroked="f">
            <v:textbox style="mso-next-textbox:#_x0000_s1033" inset="0,0,0,0">
              <w:txbxContent>
                <w:p w:rsidR="00D31811" w:rsidRPr="00D31811" w:rsidRDefault="00D31811" w:rsidP="00D31811">
                  <w:pPr>
                    <w:spacing w:line="240" w:lineRule="auto"/>
                    <w:rPr>
                      <w:b/>
                      <w:bCs/>
                      <w:sz w:val="16"/>
                      <w:szCs w:val="16"/>
                      <w:lang w:val="es-ES"/>
                    </w:rPr>
                  </w:pPr>
                  <w:r>
                    <w:rPr>
                      <w:b/>
                      <w:bCs/>
                      <w:sz w:val="16"/>
                      <w:szCs w:val="16"/>
                      <w:lang w:val="es-ES"/>
                    </w:rPr>
                    <w:t>Emaciación</w:t>
                  </w:r>
                </w:p>
              </w:txbxContent>
            </v:textbox>
          </v:shape>
        </w:pict>
      </w:r>
      <w:r>
        <w:rPr>
          <w:noProof/>
          <w:lang w:val="en-US"/>
        </w:rPr>
        <w:pict>
          <v:shape id="_x0000_s1029" type="#_x0000_t202" style="position:absolute;left:0;text-align:left;margin-left:82.35pt;margin-top:233.65pt;width:89.2pt;height:8.95pt;z-index:2" stroked="f">
            <v:textbox style="mso-next-textbox:#_x0000_s1029" inset="0,0,0,0">
              <w:txbxContent>
                <w:p w:rsidR="00D31811" w:rsidRPr="00D31811" w:rsidRDefault="00D31811" w:rsidP="00D31811">
                  <w:pPr>
                    <w:spacing w:line="240" w:lineRule="auto"/>
                    <w:rPr>
                      <w:b/>
                      <w:bCs/>
                      <w:sz w:val="16"/>
                      <w:szCs w:val="16"/>
                      <w:lang w:val="es-ES"/>
                    </w:rPr>
                  </w:pPr>
                  <w:r>
                    <w:rPr>
                      <w:b/>
                      <w:bCs/>
                      <w:sz w:val="16"/>
                      <w:szCs w:val="16"/>
                      <w:lang w:val="es-ES"/>
                    </w:rPr>
                    <w:t>Crecimiento retardado</w:t>
                  </w:r>
                </w:p>
              </w:txbxContent>
            </v:textbox>
          </v:shape>
        </w:pict>
      </w:r>
      <w:r>
        <w:rPr>
          <w:noProof/>
          <w:lang w:val="en-US"/>
        </w:rPr>
        <w:pict>
          <v:shape id="_x0000_s1028" type="#_x0000_t202" style="position:absolute;left:0;text-align:left;margin-left:72.1pt;margin-top:.75pt;width:47.8pt;height:10.2pt;z-index:1" stroked="f">
            <v:textbox style="mso-next-textbox:#_x0000_s1028" inset="0,0,0,0">
              <w:txbxContent>
                <w:p w:rsidR="00D31811" w:rsidRPr="00D31811" w:rsidRDefault="00D31811" w:rsidP="00D31811">
                  <w:pPr>
                    <w:spacing w:line="240" w:lineRule="auto"/>
                    <w:rPr>
                      <w:b/>
                      <w:bCs/>
                      <w:sz w:val="16"/>
                      <w:szCs w:val="16"/>
                      <w:lang w:val="es-ES"/>
                    </w:rPr>
                  </w:pPr>
                  <w:r w:rsidRPr="00D31811">
                    <w:rPr>
                      <w:b/>
                      <w:bCs/>
                      <w:sz w:val="16"/>
                      <w:szCs w:val="16"/>
                      <w:lang w:val="es-ES"/>
                    </w:rPr>
                    <w:t>Porcentaje</w:t>
                  </w:r>
                </w:p>
              </w:txbxContent>
            </v:textbox>
          </v:shape>
        </w:pict>
      </w:r>
      <w:r w:rsidRPr="00D31811">
        <w:rPr>
          <w:b/>
          <w:lang w:val="es-ES_tradnl"/>
        </w:rPr>
        <w:pict>
          <v:shape id="_x0000_i1026" type="#_x0000_t75" style="width:389.25pt;height:252pt">
            <v:imagedata r:id="rId8" o:title=""/>
          </v:shape>
        </w:pict>
      </w:r>
    </w:p>
    <w:p w:rsidR="00D31811" w:rsidRPr="00D31811" w:rsidRDefault="00371E57" w:rsidP="00371E57">
      <w:pPr>
        <w:pStyle w:val="SingleTxtG"/>
        <w:spacing w:after="0"/>
        <w:ind w:firstLine="170"/>
        <w:rPr>
          <w:sz w:val="18"/>
          <w:szCs w:val="18"/>
        </w:rPr>
      </w:pPr>
      <w:r>
        <w:rPr>
          <w:sz w:val="18"/>
          <w:szCs w:val="18"/>
        </w:rPr>
        <w:t>TDHS:</w:t>
      </w:r>
      <w:r w:rsidR="00D31811" w:rsidRPr="00D31811">
        <w:rPr>
          <w:sz w:val="18"/>
          <w:szCs w:val="18"/>
        </w:rPr>
        <w:t xml:space="preserve"> </w:t>
      </w:r>
      <w:smartTag w:uri="urn:schemas-microsoft-com:office:smarttags" w:element="country-region">
        <w:smartTag w:uri="urn:schemas-microsoft-com:office:smarttags" w:element="place">
          <w:r w:rsidR="00D31811" w:rsidRPr="00D31811">
            <w:rPr>
              <w:i/>
              <w:sz w:val="18"/>
              <w:szCs w:val="18"/>
            </w:rPr>
            <w:t>Tanzania</w:t>
          </w:r>
        </w:smartTag>
      </w:smartTag>
      <w:r w:rsidR="00D31811" w:rsidRPr="00D31811">
        <w:rPr>
          <w:i/>
          <w:sz w:val="18"/>
          <w:szCs w:val="18"/>
        </w:rPr>
        <w:t xml:space="preserve"> Demographic and Health Survey</w:t>
      </w:r>
      <w:r w:rsidR="00D31811" w:rsidRPr="00D31811">
        <w:rPr>
          <w:sz w:val="18"/>
          <w:szCs w:val="18"/>
        </w:rPr>
        <w:t>, Encuesta demográfica y de salud de Tanzanía</w:t>
      </w:r>
      <w:r>
        <w:rPr>
          <w:sz w:val="18"/>
          <w:szCs w:val="18"/>
        </w:rPr>
        <w:t>.</w:t>
      </w:r>
    </w:p>
    <w:p w:rsidR="00D31811" w:rsidRPr="00D31811" w:rsidRDefault="00D31811" w:rsidP="00371E57">
      <w:pPr>
        <w:pStyle w:val="SingleTxtG"/>
        <w:spacing w:after="0"/>
        <w:ind w:firstLine="170"/>
        <w:rPr>
          <w:sz w:val="18"/>
          <w:szCs w:val="18"/>
        </w:rPr>
      </w:pPr>
      <w:r w:rsidRPr="00D31811">
        <w:rPr>
          <w:sz w:val="18"/>
          <w:szCs w:val="18"/>
        </w:rPr>
        <w:t>TRCHS</w:t>
      </w:r>
      <w:r w:rsidR="00371E57">
        <w:rPr>
          <w:sz w:val="18"/>
          <w:szCs w:val="18"/>
        </w:rPr>
        <w:t>:</w:t>
      </w:r>
      <w:r w:rsidRPr="00D31811">
        <w:rPr>
          <w:sz w:val="18"/>
          <w:szCs w:val="18"/>
        </w:rPr>
        <w:t xml:space="preserve"> </w:t>
      </w:r>
      <w:smartTag w:uri="urn:schemas-microsoft-com:office:smarttags" w:element="country-region">
        <w:smartTag w:uri="urn:schemas-microsoft-com:office:smarttags" w:element="place">
          <w:r w:rsidRPr="00D31811">
            <w:rPr>
              <w:i/>
              <w:sz w:val="18"/>
              <w:szCs w:val="18"/>
            </w:rPr>
            <w:t>Tanzania</w:t>
          </w:r>
        </w:smartTag>
      </w:smartTag>
      <w:r w:rsidRPr="00D31811">
        <w:rPr>
          <w:i/>
          <w:sz w:val="18"/>
          <w:szCs w:val="18"/>
        </w:rPr>
        <w:t xml:space="preserve"> Reproductive and Child Health Survey</w:t>
      </w:r>
      <w:r w:rsidRPr="00D31811">
        <w:rPr>
          <w:sz w:val="18"/>
          <w:szCs w:val="18"/>
        </w:rPr>
        <w:t>, Encuesta sobre salud reproductiva y salud de los niños de Tanzanía</w:t>
      </w:r>
      <w:r w:rsidR="00371E57">
        <w:rPr>
          <w:sz w:val="18"/>
          <w:szCs w:val="18"/>
        </w:rPr>
        <w:t>.</w:t>
      </w:r>
    </w:p>
    <w:p w:rsidR="00D31811" w:rsidRPr="00D31811" w:rsidRDefault="00D31811" w:rsidP="00D31811">
      <w:pPr>
        <w:pStyle w:val="SingleTxtG"/>
        <w:ind w:firstLine="170"/>
        <w:rPr>
          <w:sz w:val="18"/>
          <w:szCs w:val="18"/>
        </w:rPr>
      </w:pPr>
      <w:r w:rsidRPr="00D31811">
        <w:rPr>
          <w:i/>
          <w:iCs/>
          <w:sz w:val="18"/>
          <w:szCs w:val="18"/>
        </w:rPr>
        <w:t>Nota:</w:t>
      </w:r>
      <w:r w:rsidRPr="00D31811">
        <w:rPr>
          <w:sz w:val="18"/>
          <w:szCs w:val="18"/>
        </w:rPr>
        <w:t xml:space="preserve"> Datos basados en las pautas </w:t>
      </w:r>
      <w:smartTag w:uri="urn:schemas-microsoft-com:office:smarttags" w:element="place">
        <w:smartTag w:uri="urn:schemas-microsoft-com:office:smarttags" w:element="State">
          <w:r w:rsidRPr="00D31811">
            <w:rPr>
              <w:sz w:val="18"/>
              <w:szCs w:val="18"/>
            </w:rPr>
            <w:t>del</w:t>
          </w:r>
        </w:smartTag>
      </w:smartTag>
      <w:r w:rsidRPr="00D31811">
        <w:rPr>
          <w:sz w:val="18"/>
          <w:szCs w:val="18"/>
        </w:rPr>
        <w:t xml:space="preserve"> National Center for Health Statistics/Centers for Disease Control/OMS</w:t>
      </w:r>
      <w:r>
        <w:rPr>
          <w:sz w:val="18"/>
          <w:szCs w:val="18"/>
        </w:rPr>
        <w:t>.</w:t>
      </w:r>
    </w:p>
    <w:p w:rsidR="00151021" w:rsidRPr="002720D0" w:rsidRDefault="004F6364" w:rsidP="00D31811">
      <w:pPr>
        <w:pStyle w:val="SingleTxtG"/>
        <w:tabs>
          <w:tab w:val="left" w:pos="-360"/>
        </w:tabs>
        <w:spacing w:before="240"/>
        <w:rPr>
          <w:lang w:val="es-ES_tradnl"/>
        </w:rPr>
      </w:pPr>
      <w:r w:rsidRPr="002720D0">
        <w:rPr>
          <w:lang w:val="es-ES_tradnl"/>
        </w:rPr>
        <w:t>165.</w:t>
      </w:r>
      <w:r w:rsidRPr="002720D0">
        <w:rPr>
          <w:lang w:val="es-ES_tradnl"/>
        </w:rPr>
        <w:tab/>
      </w:r>
      <w:r w:rsidR="00932525" w:rsidRPr="002720D0">
        <w:rPr>
          <w:lang w:val="es-ES_tradnl"/>
        </w:rPr>
        <w:t xml:space="preserve">La nutrición materna insuficiente produce un efecto perjudicial sobre </w:t>
      </w:r>
      <w:r w:rsidR="00F0377B" w:rsidRPr="002720D0">
        <w:rPr>
          <w:lang w:val="es-ES_tradnl"/>
        </w:rPr>
        <w:t>el estado nutrici</w:t>
      </w:r>
      <w:r w:rsidR="00303AFB" w:rsidRPr="002720D0">
        <w:rPr>
          <w:lang w:val="es-ES_tradnl"/>
        </w:rPr>
        <w:t>onal del niño. Este efecto</w:t>
      </w:r>
      <w:r w:rsidR="00F0377B" w:rsidRPr="002720D0">
        <w:rPr>
          <w:lang w:val="es-ES_tradnl"/>
        </w:rPr>
        <w:t xml:space="preserve"> se puede identificar mediante </w:t>
      </w:r>
      <w:r w:rsidR="00FB65F1" w:rsidRPr="002720D0">
        <w:rPr>
          <w:lang w:val="es-ES_tradnl"/>
        </w:rPr>
        <w:t>el</w:t>
      </w:r>
      <w:r w:rsidR="00F0377B" w:rsidRPr="002720D0">
        <w:rPr>
          <w:lang w:val="es-ES_tradnl"/>
        </w:rPr>
        <w:t xml:space="preserve"> ín</w:t>
      </w:r>
      <w:r w:rsidR="00E322E2" w:rsidRPr="002720D0">
        <w:rPr>
          <w:lang w:val="es-ES_tradnl"/>
        </w:rPr>
        <w:t>d</w:t>
      </w:r>
      <w:r w:rsidR="00F0377B" w:rsidRPr="002720D0">
        <w:rPr>
          <w:lang w:val="es-ES_tradnl"/>
        </w:rPr>
        <w:t>i</w:t>
      </w:r>
      <w:r w:rsidR="00FB65F1" w:rsidRPr="002720D0">
        <w:rPr>
          <w:lang w:val="es-ES_tradnl"/>
        </w:rPr>
        <w:t xml:space="preserve">ce de masa corporal, definido como el peso en kilos dividido por la altura en metros </w:t>
      </w:r>
      <w:r w:rsidR="00303AFB" w:rsidRPr="002720D0">
        <w:rPr>
          <w:lang w:val="es-ES_tradnl"/>
        </w:rPr>
        <w:t xml:space="preserve">elevada </w:t>
      </w:r>
      <w:r w:rsidR="00FB65F1" w:rsidRPr="002720D0">
        <w:rPr>
          <w:lang w:val="es-ES_tradnl"/>
        </w:rPr>
        <w:t>al cuadrado (kg/m</w:t>
      </w:r>
      <w:r w:rsidR="00FB65F1" w:rsidRPr="002720D0">
        <w:rPr>
          <w:vertAlign w:val="superscript"/>
          <w:lang w:val="es-ES_tradnl"/>
        </w:rPr>
        <w:t>2</w:t>
      </w:r>
      <w:r w:rsidR="00151021" w:rsidRPr="002720D0">
        <w:rPr>
          <w:lang w:val="es-ES_tradnl"/>
        </w:rPr>
        <w:t xml:space="preserve">) </w:t>
      </w:r>
      <w:r w:rsidR="00FB65F1" w:rsidRPr="002720D0">
        <w:rPr>
          <w:lang w:val="es-ES_tradnl"/>
        </w:rPr>
        <w:t>y utilizado para med</w:t>
      </w:r>
      <w:r w:rsidR="00303AFB" w:rsidRPr="002720D0">
        <w:rPr>
          <w:lang w:val="es-ES_tradnl"/>
        </w:rPr>
        <w:t xml:space="preserve">ir la delgadez o la obesidad. Un </w:t>
      </w:r>
      <w:r w:rsidR="00FB65F1" w:rsidRPr="002720D0">
        <w:rPr>
          <w:lang w:val="es-ES_tradnl"/>
        </w:rPr>
        <w:t>índice de</w:t>
      </w:r>
      <w:r w:rsidR="009D2D2F" w:rsidRPr="002720D0">
        <w:rPr>
          <w:lang w:val="es-ES_tradnl"/>
        </w:rPr>
        <w:t xml:space="preserve"> masa corporal inferior a 18,5</w:t>
      </w:r>
      <w:r w:rsidR="00FB65F1" w:rsidRPr="002720D0">
        <w:rPr>
          <w:lang w:val="es-ES_tradnl"/>
        </w:rPr>
        <w:t xml:space="preserve"> indica </w:t>
      </w:r>
      <w:r w:rsidR="009D2D2F" w:rsidRPr="002720D0">
        <w:rPr>
          <w:lang w:val="es-ES_tradnl"/>
        </w:rPr>
        <w:t>delgadez o des</w:t>
      </w:r>
      <w:r w:rsidR="00303AFB" w:rsidRPr="002720D0">
        <w:rPr>
          <w:lang w:val="es-ES_tradnl"/>
        </w:rPr>
        <w:t>nutrición aguda, mientras que un índice</w:t>
      </w:r>
      <w:r w:rsidR="009D2D2F" w:rsidRPr="002720D0">
        <w:rPr>
          <w:lang w:val="es-ES_tradnl"/>
        </w:rPr>
        <w:t xml:space="preserve"> superior a 25,0</w:t>
      </w:r>
      <w:r w:rsidR="00303AFB" w:rsidRPr="002720D0">
        <w:rPr>
          <w:lang w:val="es-ES_tradnl"/>
        </w:rPr>
        <w:t xml:space="preserve"> indica sobrepeso u obesidad. Un</w:t>
      </w:r>
      <w:r w:rsidR="00927980" w:rsidRPr="002720D0">
        <w:rPr>
          <w:lang w:val="es-ES_tradnl"/>
        </w:rPr>
        <w:t xml:space="preserve"> índice de masa corporal inferior a 16 kg/m</w:t>
      </w:r>
      <w:r w:rsidR="00927980" w:rsidRPr="002720D0">
        <w:rPr>
          <w:vertAlign w:val="superscript"/>
          <w:lang w:val="es-ES_tradnl"/>
        </w:rPr>
        <w:t>2</w:t>
      </w:r>
      <w:r w:rsidR="009D2D2F" w:rsidRPr="002720D0">
        <w:rPr>
          <w:lang w:val="es-ES_tradnl"/>
        </w:rPr>
        <w:t xml:space="preserve"> </w:t>
      </w:r>
      <w:r w:rsidR="00927980" w:rsidRPr="002720D0">
        <w:rPr>
          <w:lang w:val="es-ES_tradnl"/>
        </w:rPr>
        <w:t xml:space="preserve">indica desnutrición severa y está asociado con un aumento en la mortalidad. El índice de masa corporal bajo antes del embarazo está relacionado con las complicaciones en el parto y las complicaciones obstétricas. El estudio demográfico y de salud de Tanzanía de 2010 puso de manifiesto que el 11% de las mujeres con edades comprendidas entre 15 y 49 años </w:t>
      </w:r>
      <w:r w:rsidR="00303AFB" w:rsidRPr="002720D0">
        <w:rPr>
          <w:lang w:val="es-ES_tradnl"/>
        </w:rPr>
        <w:t>eran</w:t>
      </w:r>
      <w:r w:rsidR="00927980" w:rsidRPr="002720D0">
        <w:rPr>
          <w:lang w:val="es-ES_tradnl"/>
        </w:rPr>
        <w:t xml:space="preserve"> delgadas (índice de masa </w:t>
      </w:r>
      <w:r w:rsidR="004E5B2C" w:rsidRPr="002720D0">
        <w:rPr>
          <w:lang w:val="es-ES_tradnl"/>
        </w:rPr>
        <w:t>corporal</w:t>
      </w:r>
      <w:r w:rsidR="002C0E55" w:rsidRPr="002720D0">
        <w:rPr>
          <w:lang w:val="es-ES_tradnl"/>
        </w:rPr>
        <w:t xml:space="preserve"> &lt; 18,5</w:t>
      </w:r>
      <w:r w:rsidR="00927980" w:rsidRPr="002720D0">
        <w:rPr>
          <w:lang w:val="es-ES_tradnl"/>
        </w:rPr>
        <w:t xml:space="preserve"> kg/m</w:t>
      </w:r>
      <w:r w:rsidR="00927980" w:rsidRPr="002720D0">
        <w:rPr>
          <w:vertAlign w:val="superscript"/>
          <w:lang w:val="es-ES_tradnl"/>
        </w:rPr>
        <w:t>2</w:t>
      </w:r>
      <w:r w:rsidR="00927980" w:rsidRPr="002720D0">
        <w:rPr>
          <w:lang w:val="es-ES_tradnl"/>
        </w:rPr>
        <w:t xml:space="preserve">) en comparación con el 10% </w:t>
      </w:r>
      <w:r w:rsidR="0019701A" w:rsidRPr="002720D0">
        <w:rPr>
          <w:lang w:val="es-ES_tradnl"/>
        </w:rPr>
        <w:t xml:space="preserve">que lo eran </w:t>
      </w:r>
      <w:r w:rsidR="00927980" w:rsidRPr="002720D0">
        <w:rPr>
          <w:lang w:val="es-ES_tradnl"/>
        </w:rPr>
        <w:t xml:space="preserve">en el año 2004. </w:t>
      </w:r>
      <w:r w:rsidR="0019701A" w:rsidRPr="002720D0">
        <w:rPr>
          <w:lang w:val="es-ES_tradnl"/>
        </w:rPr>
        <w:t xml:space="preserve">Asimismo, los datos indican que hay más probabilidades de que las adolescentes (grupo de edades comprendidas entre los 15 y los 19 años) </w:t>
      </w:r>
      <w:r w:rsidR="00E96169" w:rsidRPr="002720D0">
        <w:rPr>
          <w:lang w:val="es-ES_tradnl"/>
        </w:rPr>
        <w:t>sean delgadas, y de que las mujeres</w:t>
      </w:r>
      <w:r w:rsidR="00303AFB" w:rsidRPr="002720D0">
        <w:rPr>
          <w:lang w:val="es-ES_tradnl"/>
        </w:rPr>
        <w:t xml:space="preserve"> rurales sean delgadas (13%) </w:t>
      </w:r>
      <w:r w:rsidR="00E96169" w:rsidRPr="002720D0">
        <w:rPr>
          <w:lang w:val="es-ES_tradnl"/>
        </w:rPr>
        <w:t xml:space="preserve">que </w:t>
      </w:r>
      <w:r w:rsidR="00303AFB" w:rsidRPr="002720D0">
        <w:rPr>
          <w:lang w:val="es-ES_tradnl"/>
        </w:rPr>
        <w:t xml:space="preserve">lo sean </w:t>
      </w:r>
      <w:r w:rsidR="00E96169" w:rsidRPr="002720D0">
        <w:rPr>
          <w:lang w:val="es-ES_tradnl"/>
        </w:rPr>
        <w:t xml:space="preserve">las urbanas </w:t>
      </w:r>
      <w:r w:rsidR="00151021" w:rsidRPr="002720D0">
        <w:rPr>
          <w:lang w:val="es-ES_tradnl"/>
        </w:rPr>
        <w:t>(8</w:t>
      </w:r>
      <w:r w:rsidR="00153B23" w:rsidRPr="002720D0">
        <w:rPr>
          <w:lang w:val="es-ES_tradnl"/>
        </w:rPr>
        <w:t>%</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166.</w:t>
      </w:r>
      <w:r w:rsidRPr="002720D0">
        <w:rPr>
          <w:lang w:val="es-ES_tradnl"/>
        </w:rPr>
        <w:tab/>
      </w:r>
      <w:r w:rsidR="00E96169" w:rsidRPr="002720D0">
        <w:rPr>
          <w:lang w:val="es-ES_tradnl"/>
        </w:rPr>
        <w:t>La altura m</w:t>
      </w:r>
      <w:r w:rsidR="00151021" w:rsidRPr="002720D0">
        <w:rPr>
          <w:lang w:val="es-ES_tradnl"/>
        </w:rPr>
        <w:t>aterna</w:t>
      </w:r>
      <w:r w:rsidR="00E96169" w:rsidRPr="002720D0">
        <w:rPr>
          <w:lang w:val="es-ES_tradnl"/>
        </w:rPr>
        <w:t xml:space="preserve"> es un buen indicador de las mujeres en situación de riesgo nutric</w:t>
      </w:r>
      <w:r w:rsidR="00151021" w:rsidRPr="002720D0">
        <w:rPr>
          <w:lang w:val="es-ES_tradnl"/>
        </w:rPr>
        <w:t xml:space="preserve">ional. </w:t>
      </w:r>
      <w:r w:rsidR="00303AFB" w:rsidRPr="002720D0">
        <w:rPr>
          <w:lang w:val="es-ES_tradnl"/>
        </w:rPr>
        <w:t>Una baja estatura constituye</w:t>
      </w:r>
      <w:r w:rsidR="00E96169" w:rsidRPr="002720D0">
        <w:rPr>
          <w:lang w:val="es-ES_tradnl"/>
        </w:rPr>
        <w:t xml:space="preserve"> un indicio de nutrición insuficiente durante la infancia y la adolescencia. En la mujer, la baja es</w:t>
      </w:r>
      <w:r w:rsidR="00804BFF" w:rsidRPr="002720D0">
        <w:rPr>
          <w:lang w:val="es-ES_tradnl"/>
        </w:rPr>
        <w:t xml:space="preserve">tatura es un factor de riesgo </w:t>
      </w:r>
      <w:r w:rsidR="00303AFB" w:rsidRPr="002720D0">
        <w:rPr>
          <w:lang w:val="es-ES_tradnl"/>
        </w:rPr>
        <w:t>respecto de</w:t>
      </w:r>
      <w:r w:rsidR="00804BFF" w:rsidRPr="002720D0">
        <w:rPr>
          <w:lang w:val="es-ES_tradnl"/>
        </w:rPr>
        <w:t xml:space="preserve"> las</w:t>
      </w:r>
      <w:r w:rsidR="00E96169" w:rsidRPr="002720D0">
        <w:rPr>
          <w:lang w:val="es-ES_tradnl"/>
        </w:rPr>
        <w:t xml:space="preserve"> complicaciones en el parto y </w:t>
      </w:r>
      <w:r w:rsidR="00804BFF" w:rsidRPr="002720D0">
        <w:rPr>
          <w:lang w:val="es-ES_tradnl"/>
        </w:rPr>
        <w:t>las complicaciones obstétricas. Por ejemplo, l</w:t>
      </w:r>
      <w:r w:rsidR="00303AFB" w:rsidRPr="002720D0">
        <w:rPr>
          <w:lang w:val="es-ES_tradnl"/>
        </w:rPr>
        <w:t>a baja estatura se asocia con el</w:t>
      </w:r>
      <w:r w:rsidR="00804BFF" w:rsidRPr="002720D0">
        <w:rPr>
          <w:lang w:val="es-ES_tradnl"/>
        </w:rPr>
        <w:t xml:space="preserve"> tamaño pequeño de la pelvis, que a su vez está relacionado con el aumento en las di</w:t>
      </w:r>
      <w:r w:rsidR="00303AFB" w:rsidRPr="002720D0">
        <w:rPr>
          <w:lang w:val="es-ES_tradnl"/>
        </w:rPr>
        <w:t>ficultades durante el parto y con un</w:t>
      </w:r>
      <w:r w:rsidR="00804BFF" w:rsidRPr="002720D0">
        <w:rPr>
          <w:lang w:val="es-ES_tradnl"/>
        </w:rPr>
        <w:t xml:space="preserve"> mayor riesgo </w:t>
      </w:r>
      <w:r w:rsidR="00303AFB" w:rsidRPr="002720D0">
        <w:rPr>
          <w:lang w:val="es-ES_tradnl"/>
        </w:rPr>
        <w:t>de que los niños registren un peso</w:t>
      </w:r>
      <w:r w:rsidR="00804BFF" w:rsidRPr="002720D0">
        <w:rPr>
          <w:lang w:val="es-ES_tradnl"/>
        </w:rPr>
        <w:t xml:space="preserve"> </w:t>
      </w:r>
      <w:r w:rsidR="00303AFB" w:rsidRPr="002720D0">
        <w:rPr>
          <w:lang w:val="es-ES_tradnl"/>
        </w:rPr>
        <w:t>bajo al nacer</w:t>
      </w:r>
      <w:r w:rsidR="00C3124D" w:rsidRPr="002720D0">
        <w:rPr>
          <w:lang w:val="es-ES_tradnl"/>
        </w:rPr>
        <w:t>.</w:t>
      </w:r>
      <w:r w:rsidR="00804BFF" w:rsidRPr="002720D0">
        <w:rPr>
          <w:lang w:val="es-ES_tradnl"/>
        </w:rPr>
        <w:t xml:space="preserve"> Se considera que </w:t>
      </w:r>
      <w:r w:rsidR="00C3124D" w:rsidRPr="002720D0">
        <w:rPr>
          <w:lang w:val="es-ES_tradnl"/>
        </w:rPr>
        <w:t>las mujeres que miden menos de 145 cm están en situación de riesgo. Según el estudio demográfico y de salud de Tanzanía de 2010, el porcentaje de mujeres de menos de 145 cm de altura no ha variado respecto de la cifra de 2004 (3%).</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167.</w:t>
      </w:r>
      <w:r w:rsidRPr="002720D0">
        <w:rPr>
          <w:lang w:val="es-ES_tradnl"/>
        </w:rPr>
        <w:tab/>
      </w:r>
      <w:r w:rsidR="00C3124D" w:rsidRPr="002720D0">
        <w:rPr>
          <w:lang w:val="es-ES_tradnl"/>
        </w:rPr>
        <w:t xml:space="preserve">La nutrición en las mujeres embarazadas también se refleja en la proporción de niños que registran un peso </w:t>
      </w:r>
      <w:r w:rsidR="00303AFB" w:rsidRPr="002720D0">
        <w:rPr>
          <w:lang w:val="es-ES_tradnl"/>
        </w:rPr>
        <w:t xml:space="preserve">bajo </w:t>
      </w:r>
      <w:r w:rsidR="00C3124D" w:rsidRPr="002720D0">
        <w:rPr>
          <w:lang w:val="es-ES_tradnl"/>
        </w:rPr>
        <w:t xml:space="preserve">al nacer (menos de 2,5 kg.). El peso </w:t>
      </w:r>
      <w:r w:rsidR="00303AFB" w:rsidRPr="002720D0">
        <w:rPr>
          <w:lang w:val="es-ES_tradnl"/>
        </w:rPr>
        <w:t>bajo en el neonato</w:t>
      </w:r>
      <w:r w:rsidR="00C3124D" w:rsidRPr="002720D0">
        <w:rPr>
          <w:lang w:val="es-ES_tradnl"/>
        </w:rPr>
        <w:t xml:space="preserve"> es el resultado de las múltiples condiciones a las que están expuestas las mujeres durante el embarazo. Entre ellas se incluyen la desnutrición antes del embarazo, algunas </w:t>
      </w:r>
      <w:r w:rsidR="00303AFB" w:rsidRPr="002720D0">
        <w:rPr>
          <w:lang w:val="es-ES_tradnl"/>
        </w:rPr>
        <w:t>infecciones, la maternidad en</w:t>
      </w:r>
      <w:r w:rsidR="00C3124D" w:rsidRPr="002720D0">
        <w:rPr>
          <w:lang w:val="es-ES_tradnl"/>
        </w:rPr>
        <w:t xml:space="preserve"> las adolescentes, la anemia materna y el consumo de drogas y alcohol. Los niños </w:t>
      </w:r>
      <w:r w:rsidR="00303AFB" w:rsidRPr="002720D0">
        <w:rPr>
          <w:lang w:val="es-ES_tradnl"/>
        </w:rPr>
        <w:t>que registran un peso</w:t>
      </w:r>
      <w:r w:rsidR="00C3124D" w:rsidRPr="002720D0">
        <w:rPr>
          <w:lang w:val="es-ES_tradnl"/>
        </w:rPr>
        <w:t xml:space="preserve"> bajo al nacer corren un mayor riesgo de morbilidad prenatal y neonatal, así como de </w:t>
      </w:r>
      <w:r w:rsidR="00303AFB" w:rsidRPr="002720D0">
        <w:rPr>
          <w:lang w:val="es-ES_tradnl"/>
        </w:rPr>
        <w:t>otras consecuencias</w:t>
      </w:r>
      <w:r w:rsidR="00C3124D" w:rsidRPr="002720D0">
        <w:rPr>
          <w:lang w:val="es-ES_tradnl"/>
        </w:rPr>
        <w:t xml:space="preserve"> sobre su crecimiento y desarrollo. Los datos actualmente disponibles (correspondientes al estudio demográfico y de salud de Tanzanía de 2010) indican que en Tanzanía la prevalencia del peso </w:t>
      </w:r>
      <w:r w:rsidR="00303AFB" w:rsidRPr="002720D0">
        <w:rPr>
          <w:lang w:val="es-ES_tradnl"/>
        </w:rPr>
        <w:t>bajo en los neonatos</w:t>
      </w:r>
      <w:r w:rsidR="00C3124D" w:rsidRPr="002720D0">
        <w:rPr>
          <w:lang w:val="es-ES_tradnl"/>
        </w:rPr>
        <w:t xml:space="preserve"> se sitúa en el </w:t>
      </w:r>
      <w:r w:rsidR="00151021" w:rsidRPr="002720D0">
        <w:rPr>
          <w:lang w:val="es-ES_tradnl"/>
        </w:rPr>
        <w:t>7</w:t>
      </w:r>
      <w:r w:rsidR="00153B23" w:rsidRPr="002720D0">
        <w:rPr>
          <w:lang w:val="es-ES_tradnl"/>
        </w:rPr>
        <w:t>%</w:t>
      </w:r>
      <w:r w:rsidR="00151021" w:rsidRPr="002720D0">
        <w:rPr>
          <w:lang w:val="es-ES_tradnl"/>
        </w:rPr>
        <w:t>.</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ix)</w:t>
      </w:r>
      <w:r w:rsidR="00153B23" w:rsidRPr="002720D0">
        <w:rPr>
          <w:lang w:val="es-ES_tradnl"/>
        </w:rPr>
        <w:tab/>
      </w:r>
      <w:r w:rsidR="00C3124D" w:rsidRPr="002720D0">
        <w:rPr>
          <w:lang w:val="es-ES_tradnl"/>
        </w:rPr>
        <w:t>Anemia ferropénica</w:t>
      </w:r>
    </w:p>
    <w:p w:rsidR="00151021" w:rsidRPr="002720D0" w:rsidRDefault="004F6364" w:rsidP="004F6364">
      <w:pPr>
        <w:pStyle w:val="SingleTxtG"/>
        <w:tabs>
          <w:tab w:val="left" w:pos="-360"/>
        </w:tabs>
        <w:rPr>
          <w:lang w:val="es-ES_tradnl"/>
        </w:rPr>
      </w:pPr>
      <w:r w:rsidRPr="002720D0">
        <w:rPr>
          <w:lang w:val="es-ES_tradnl"/>
        </w:rPr>
        <w:t>168.</w:t>
      </w:r>
      <w:r w:rsidRPr="002720D0">
        <w:rPr>
          <w:lang w:val="es-ES_tradnl"/>
        </w:rPr>
        <w:tab/>
      </w:r>
      <w:r w:rsidR="006F4CE8" w:rsidRPr="002720D0">
        <w:rPr>
          <w:lang w:val="es-ES_tradnl"/>
        </w:rPr>
        <w:t xml:space="preserve">La anemia ferropénica es una forma común de anemia nutricional resultante de un insumo insuficiente de los nutrientes necesarios para la síntesis de la hemoglobina. La anemia también puede estar causada por la drepanocitosis, </w:t>
      </w:r>
      <w:r w:rsidR="003D13A3" w:rsidRPr="002720D0">
        <w:rPr>
          <w:lang w:val="es-ES_tradnl"/>
        </w:rPr>
        <w:t>el paludismo</w:t>
      </w:r>
      <w:r w:rsidR="006F4CE8" w:rsidRPr="002720D0">
        <w:rPr>
          <w:lang w:val="es-ES_tradnl"/>
        </w:rPr>
        <w:t xml:space="preserve"> o las infecciones parasitarias. No solo reduce la capacidad física y mental, sino que también contribuye a la mortalidad materna, los abortos espontáneos, los partos prematuros y el peso </w:t>
      </w:r>
      <w:r w:rsidR="003D13A3" w:rsidRPr="002720D0">
        <w:rPr>
          <w:lang w:val="es-ES_tradnl"/>
        </w:rPr>
        <w:t>bajo en los neonatos</w:t>
      </w:r>
      <w:r w:rsidR="006F4CE8" w:rsidRPr="002720D0">
        <w:rPr>
          <w:lang w:val="es-ES_tradnl"/>
        </w:rPr>
        <w:t xml:space="preserve">. La anemia ferropénica constituye un problema de gran magnitud entre los niños de corta edad y las mujeres embarazadas en Tanzanía. Según el estudio demográfico y de salud de Tanzanía de 2010, aproximadamente un 40% de las mujeres con edades comprendidas entre los 15 y los 49 años </w:t>
      </w:r>
      <w:r w:rsidR="00EF0BE2" w:rsidRPr="002720D0">
        <w:rPr>
          <w:lang w:val="es-ES_tradnl"/>
        </w:rPr>
        <w:t xml:space="preserve">padecen anemia, </w:t>
      </w:r>
      <w:r w:rsidR="003D13A3" w:rsidRPr="002720D0">
        <w:rPr>
          <w:lang w:val="es-ES_tradnl"/>
        </w:rPr>
        <w:t xml:space="preserve">de las cuales </w:t>
      </w:r>
      <w:r w:rsidR="00EF0BE2" w:rsidRPr="002720D0">
        <w:rPr>
          <w:lang w:val="es-ES_tradnl"/>
        </w:rPr>
        <w:t xml:space="preserve">un 1% </w:t>
      </w:r>
      <w:r w:rsidR="003D13A3" w:rsidRPr="002720D0">
        <w:rPr>
          <w:lang w:val="es-ES_tradnl"/>
        </w:rPr>
        <w:t>padece</w:t>
      </w:r>
      <w:r w:rsidR="00EF0BE2" w:rsidRPr="002720D0">
        <w:rPr>
          <w:lang w:val="es-ES_tradnl"/>
        </w:rPr>
        <w:t xml:space="preserve"> anemia grave; en 2004-20</w:t>
      </w:r>
      <w:r w:rsidR="003D13A3" w:rsidRPr="002720D0">
        <w:rPr>
          <w:lang w:val="es-ES_tradnl"/>
        </w:rPr>
        <w:t>05, el porcentaje era del 57%. Hay más probabilidades de que l</w:t>
      </w:r>
      <w:r w:rsidR="00EF0BE2" w:rsidRPr="002720D0">
        <w:rPr>
          <w:lang w:val="es-ES_tradnl"/>
        </w:rPr>
        <w:t xml:space="preserve">as mujeres embarazadas </w:t>
      </w:r>
      <w:r w:rsidR="003D13A3" w:rsidRPr="002720D0">
        <w:rPr>
          <w:lang w:val="es-ES_tradnl"/>
        </w:rPr>
        <w:t>padezcan</w:t>
      </w:r>
      <w:r w:rsidR="00EF0BE2" w:rsidRPr="002720D0">
        <w:rPr>
          <w:lang w:val="es-ES_tradnl"/>
        </w:rPr>
        <w:t xml:space="preserve"> anemia</w:t>
      </w:r>
      <w:r w:rsidR="00735233" w:rsidRPr="002720D0">
        <w:rPr>
          <w:lang w:val="es-ES_tradnl"/>
        </w:rPr>
        <w:t>,</w:t>
      </w:r>
      <w:r w:rsidR="00EF0BE2" w:rsidRPr="002720D0">
        <w:rPr>
          <w:lang w:val="es-ES_tradnl"/>
        </w:rPr>
        <w:t xml:space="preserve"> </w:t>
      </w:r>
      <w:r w:rsidR="00735233" w:rsidRPr="002720D0">
        <w:rPr>
          <w:lang w:val="es-ES_tradnl"/>
        </w:rPr>
        <w:t>en comparación con</w:t>
      </w:r>
      <w:r w:rsidR="00EF0BE2" w:rsidRPr="002720D0">
        <w:rPr>
          <w:lang w:val="es-ES_tradnl"/>
        </w:rPr>
        <w:t xml:space="preserve"> el 39% de las mujeres que no están embarazadas ni en período de lactancia.</w:t>
      </w:r>
    </w:p>
    <w:p w:rsidR="00151021" w:rsidRPr="002720D0" w:rsidRDefault="004F6364" w:rsidP="004F6364">
      <w:pPr>
        <w:pStyle w:val="SingleTxtG"/>
        <w:tabs>
          <w:tab w:val="left" w:pos="-360"/>
        </w:tabs>
        <w:rPr>
          <w:lang w:val="es-ES_tradnl"/>
        </w:rPr>
      </w:pPr>
      <w:r w:rsidRPr="002720D0">
        <w:rPr>
          <w:lang w:val="es-ES_tradnl"/>
        </w:rPr>
        <w:t>169.</w:t>
      </w:r>
      <w:r w:rsidRPr="002720D0">
        <w:rPr>
          <w:lang w:val="es-ES_tradnl"/>
        </w:rPr>
        <w:tab/>
      </w:r>
      <w:r w:rsidR="00EF0BE2" w:rsidRPr="002720D0">
        <w:rPr>
          <w:lang w:val="es-ES_tradnl"/>
        </w:rPr>
        <w:t>Según el estudio demográfico y de salud de Tanzanía de</w:t>
      </w:r>
      <w:r w:rsidR="00151021" w:rsidRPr="002720D0">
        <w:rPr>
          <w:lang w:val="es-ES_tradnl"/>
        </w:rPr>
        <w:t xml:space="preserve"> 2010</w:t>
      </w:r>
      <w:r w:rsidR="00EF0BE2" w:rsidRPr="002720D0">
        <w:rPr>
          <w:lang w:val="es-ES_tradnl"/>
        </w:rPr>
        <w:t>, seis de cada diez niños en Tanzanía padecen anemia. La prevalencia de la anemia leve entre los niños asciende al 27%;</w:t>
      </w:r>
      <w:r w:rsidR="00735233" w:rsidRPr="002720D0">
        <w:rPr>
          <w:lang w:val="es-ES_tradnl"/>
        </w:rPr>
        <w:t xml:space="preserve"> el 29% padecen anemia moderada</w:t>
      </w:r>
      <w:r w:rsidR="00EF0BE2" w:rsidRPr="002720D0">
        <w:rPr>
          <w:lang w:val="es-ES_tradnl"/>
        </w:rPr>
        <w:t xml:space="preserve"> y el 2% anemia grave. En comparación con el estudio demográfico y de salud de Tanzanía de 2004-20</w:t>
      </w:r>
      <w:r w:rsidR="00151021" w:rsidRPr="002720D0">
        <w:rPr>
          <w:lang w:val="es-ES_tradnl"/>
        </w:rPr>
        <w:t>05</w:t>
      </w:r>
      <w:r w:rsidR="00EF0BE2" w:rsidRPr="002720D0">
        <w:rPr>
          <w:lang w:val="es-ES_tradnl"/>
        </w:rPr>
        <w:t>, la prevalencia de la anemia se ha reducido en un 18% en los últimos cinco años, pasando del 72% al 59%. El descenso más marcado</w:t>
      </w:r>
      <w:r w:rsidR="00735233" w:rsidRPr="002720D0">
        <w:rPr>
          <w:lang w:val="es-ES_tradnl"/>
        </w:rPr>
        <w:t>, de unos 14 puntos,</w:t>
      </w:r>
      <w:r w:rsidR="00EF0BE2" w:rsidRPr="002720D0">
        <w:rPr>
          <w:lang w:val="es-ES_tradnl"/>
        </w:rPr>
        <w:t xml:space="preserve"> se ha producido en la preva</w:t>
      </w:r>
      <w:r w:rsidR="00735233" w:rsidRPr="002720D0">
        <w:rPr>
          <w:lang w:val="es-ES_tradnl"/>
        </w:rPr>
        <w:t>lencia de la anemia moderada</w:t>
      </w:r>
      <w:r w:rsidR="00EF0BE2" w:rsidRPr="002720D0">
        <w:rPr>
          <w:lang w:val="es-ES_tradnl"/>
        </w:rPr>
        <w:t xml:space="preserve"> (el 29% en 2010, en comparación con el 43% en </w:t>
      </w:r>
      <w:r w:rsidR="00151021" w:rsidRPr="002720D0">
        <w:rPr>
          <w:lang w:val="es-ES_tradnl"/>
        </w:rPr>
        <w:t xml:space="preserve">2004-2005). </w:t>
      </w:r>
      <w:r w:rsidR="00EF0BE2" w:rsidRPr="002720D0">
        <w:rPr>
          <w:lang w:val="es-ES_tradnl"/>
        </w:rPr>
        <w:t xml:space="preserve">Entre los niños, </w:t>
      </w:r>
      <w:r w:rsidR="00735233" w:rsidRPr="002720D0">
        <w:rPr>
          <w:lang w:val="es-ES_tradnl"/>
        </w:rPr>
        <w:t>los de</w:t>
      </w:r>
      <w:r w:rsidR="00EF0BE2" w:rsidRPr="002720D0">
        <w:rPr>
          <w:lang w:val="es-ES_tradnl"/>
        </w:rPr>
        <w:t xml:space="preserve"> edades comprendidas entre los 9 y los 11 meses son los más afectados por la anemia </w:t>
      </w:r>
      <w:r w:rsidR="00151021" w:rsidRPr="002720D0">
        <w:rPr>
          <w:lang w:val="es-ES_tradnl"/>
        </w:rPr>
        <w:t>(</w:t>
      </w:r>
      <w:r w:rsidR="00DE7F22">
        <w:rPr>
          <w:lang w:val="es-ES_tradnl"/>
        </w:rPr>
        <w:t>el </w:t>
      </w:r>
      <w:r w:rsidR="00151021" w:rsidRPr="002720D0">
        <w:rPr>
          <w:lang w:val="es-ES_tradnl"/>
        </w:rPr>
        <w:t>81</w:t>
      </w:r>
      <w:r w:rsidR="00153B23" w:rsidRPr="002720D0">
        <w:rPr>
          <w:lang w:val="es-ES_tradnl"/>
        </w:rPr>
        <w:t>%</w:t>
      </w:r>
      <w:r w:rsidR="00151021" w:rsidRPr="002720D0">
        <w:rPr>
          <w:lang w:val="es-ES_tradnl"/>
        </w:rPr>
        <w:t>)</w:t>
      </w:r>
      <w:r w:rsidR="00EF0BE2" w:rsidRPr="002720D0">
        <w:rPr>
          <w:lang w:val="es-ES_tradnl"/>
        </w:rPr>
        <w:t xml:space="preserve">. La </w:t>
      </w:r>
      <w:r w:rsidR="00735233" w:rsidRPr="002720D0">
        <w:rPr>
          <w:lang w:val="es-ES_tradnl"/>
        </w:rPr>
        <w:t xml:space="preserve">máxima incidencia de la </w:t>
      </w:r>
      <w:r w:rsidR="00EF0BE2" w:rsidRPr="002720D0">
        <w:rPr>
          <w:lang w:val="es-ES_tradnl"/>
        </w:rPr>
        <w:t xml:space="preserve">anemia grave, </w:t>
      </w:r>
      <w:r w:rsidR="00735233" w:rsidRPr="002720D0">
        <w:rPr>
          <w:lang w:val="es-ES_tradnl"/>
        </w:rPr>
        <w:t>con serias consecuencias</w:t>
      </w:r>
      <w:r w:rsidR="00EF0BE2" w:rsidRPr="002720D0">
        <w:rPr>
          <w:lang w:val="es-ES_tradnl"/>
        </w:rPr>
        <w:t xml:space="preserve"> </w:t>
      </w:r>
      <w:r w:rsidR="00735233" w:rsidRPr="002720D0">
        <w:rPr>
          <w:lang w:val="es-ES_tradnl"/>
        </w:rPr>
        <w:t>para</w:t>
      </w:r>
      <w:r w:rsidR="00EF0BE2" w:rsidRPr="002720D0">
        <w:rPr>
          <w:lang w:val="es-ES_tradnl"/>
        </w:rPr>
        <w:t xml:space="preserve"> la salud del ind</w:t>
      </w:r>
      <w:r w:rsidR="00735233" w:rsidRPr="002720D0">
        <w:rPr>
          <w:lang w:val="es-ES_tradnl"/>
        </w:rPr>
        <w:t xml:space="preserve">ividuo, también se produce </w:t>
      </w:r>
      <w:r w:rsidR="00EF0BE2" w:rsidRPr="002720D0">
        <w:rPr>
          <w:lang w:val="es-ES_tradnl"/>
        </w:rPr>
        <w:t xml:space="preserve">entre los niños con edades comprendidas entre los 9 y los 11 meses </w:t>
      </w:r>
      <w:r w:rsidR="00151021" w:rsidRPr="002720D0">
        <w:rPr>
          <w:lang w:val="es-ES_tradnl"/>
        </w:rPr>
        <w:t>(</w:t>
      </w:r>
      <w:r w:rsidR="00EF0BE2" w:rsidRPr="002720D0">
        <w:rPr>
          <w:lang w:val="es-ES_tradnl"/>
        </w:rPr>
        <w:t xml:space="preserve">el </w:t>
      </w:r>
      <w:r w:rsidR="00151021" w:rsidRPr="002720D0">
        <w:rPr>
          <w:lang w:val="es-ES_tradnl"/>
        </w:rPr>
        <w:t>6</w:t>
      </w:r>
      <w:r w:rsidR="00153B23" w:rsidRPr="002720D0">
        <w:rPr>
          <w:lang w:val="es-ES_tradnl"/>
        </w:rPr>
        <w:t>%</w:t>
      </w:r>
      <w:r w:rsidR="00735233" w:rsidRPr="002720D0">
        <w:rPr>
          <w:lang w:val="es-ES_tradnl"/>
        </w:rPr>
        <w:t xml:space="preserve">). Hay menos </w:t>
      </w:r>
      <w:r w:rsidR="004E5B2C" w:rsidRPr="002720D0">
        <w:rPr>
          <w:lang w:val="es-ES_tradnl"/>
        </w:rPr>
        <w:t>probabilidades</w:t>
      </w:r>
      <w:r w:rsidR="00735233" w:rsidRPr="002720D0">
        <w:rPr>
          <w:lang w:val="es-ES_tradnl"/>
        </w:rPr>
        <w:t xml:space="preserve"> de que padezcan anemia l</w:t>
      </w:r>
      <w:r w:rsidR="00EF0BE2" w:rsidRPr="002720D0">
        <w:rPr>
          <w:lang w:val="es-ES_tradnl"/>
        </w:rPr>
        <w:t>os niños de Tanzanía continental que los niños de Zanzí</w:t>
      </w:r>
      <w:r w:rsidR="00151021" w:rsidRPr="002720D0">
        <w:rPr>
          <w:lang w:val="es-ES_tradnl"/>
        </w:rPr>
        <w:t>bar (</w:t>
      </w:r>
      <w:r w:rsidR="00EF0BE2" w:rsidRPr="002720D0">
        <w:rPr>
          <w:lang w:val="es-ES_tradnl"/>
        </w:rPr>
        <w:t xml:space="preserve">el </w:t>
      </w:r>
      <w:r w:rsidR="00151021" w:rsidRPr="002720D0">
        <w:rPr>
          <w:lang w:val="es-ES_tradnl"/>
        </w:rPr>
        <w:t>58</w:t>
      </w:r>
      <w:r w:rsidR="00EF0BE2" w:rsidRPr="002720D0">
        <w:rPr>
          <w:lang w:val="es-ES_tradnl"/>
        </w:rPr>
        <w:t>% y el</w:t>
      </w:r>
      <w:r w:rsidR="00151021" w:rsidRPr="002720D0">
        <w:rPr>
          <w:lang w:val="es-ES_tradnl"/>
        </w:rPr>
        <w:t xml:space="preserve"> 69</w:t>
      </w:r>
      <w:r w:rsidR="00153B23" w:rsidRPr="002720D0">
        <w:rPr>
          <w:lang w:val="es-ES_tradnl"/>
        </w:rPr>
        <w:t>%</w:t>
      </w:r>
      <w:r w:rsidR="00EF0BE2" w:rsidRPr="002720D0">
        <w:rPr>
          <w:lang w:val="es-ES_tradnl"/>
        </w:rPr>
        <w:t>, respectivamente</w:t>
      </w:r>
      <w:r w:rsidR="00151021" w:rsidRPr="002720D0">
        <w:rPr>
          <w:lang w:val="es-ES_tradnl"/>
        </w:rPr>
        <w:t>).</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x)</w:t>
      </w:r>
      <w:r w:rsidR="00153B23" w:rsidRPr="002720D0">
        <w:rPr>
          <w:lang w:val="es-ES_tradnl"/>
        </w:rPr>
        <w:tab/>
      </w:r>
      <w:r w:rsidR="00A04EF2" w:rsidRPr="002720D0">
        <w:rPr>
          <w:lang w:val="es-ES_tradnl"/>
        </w:rPr>
        <w:t>Trastornos caus</w:t>
      </w:r>
      <w:r w:rsidR="00AE4A08">
        <w:rPr>
          <w:lang w:val="es-ES_tradnl"/>
        </w:rPr>
        <w:t>ados por la deficiencia de yodo</w:t>
      </w:r>
    </w:p>
    <w:p w:rsidR="00CB68E1" w:rsidRPr="002720D0" w:rsidRDefault="004F6364" w:rsidP="004F6364">
      <w:pPr>
        <w:pStyle w:val="SingleTxtG"/>
        <w:tabs>
          <w:tab w:val="left" w:pos="-360"/>
        </w:tabs>
        <w:rPr>
          <w:lang w:val="es-ES_tradnl"/>
        </w:rPr>
      </w:pPr>
      <w:r w:rsidRPr="002720D0">
        <w:rPr>
          <w:lang w:val="es-ES_tradnl"/>
        </w:rPr>
        <w:t>170.</w:t>
      </w:r>
      <w:r w:rsidRPr="002720D0">
        <w:rPr>
          <w:lang w:val="es-ES_tradnl"/>
        </w:rPr>
        <w:tab/>
      </w:r>
      <w:r w:rsidR="00A04EF2" w:rsidRPr="002720D0">
        <w:rPr>
          <w:lang w:val="es-ES_tradnl"/>
        </w:rPr>
        <w:t xml:space="preserve">Los trastornos causados por </w:t>
      </w:r>
      <w:r w:rsidR="00EE54AE" w:rsidRPr="002720D0">
        <w:rPr>
          <w:lang w:val="es-ES_tradnl"/>
        </w:rPr>
        <w:t xml:space="preserve">la deficiencia de yodo tienen consecuencias </w:t>
      </w:r>
      <w:r w:rsidR="00A04EF2" w:rsidRPr="002720D0">
        <w:rPr>
          <w:lang w:val="es-ES_tradnl"/>
        </w:rPr>
        <w:t xml:space="preserve">graves </w:t>
      </w:r>
      <w:r w:rsidR="00EE54AE" w:rsidRPr="002720D0">
        <w:rPr>
          <w:lang w:val="es-ES_tradnl"/>
        </w:rPr>
        <w:t>para</w:t>
      </w:r>
      <w:r w:rsidR="00A04EF2" w:rsidRPr="002720D0">
        <w:rPr>
          <w:lang w:val="es-ES_tradnl"/>
        </w:rPr>
        <w:t xml:space="preserve"> el crecimiento físico y el desarrollo mental, </w:t>
      </w:r>
      <w:r w:rsidR="00EE54AE" w:rsidRPr="002720D0">
        <w:rPr>
          <w:lang w:val="es-ES_tradnl"/>
        </w:rPr>
        <w:t>entre las que se cuentan</w:t>
      </w:r>
      <w:r w:rsidR="00A04EF2" w:rsidRPr="002720D0">
        <w:rPr>
          <w:lang w:val="es-ES_tradnl"/>
        </w:rPr>
        <w:t xml:space="preserve"> </w:t>
      </w:r>
      <w:r w:rsidR="00EE54AE" w:rsidRPr="002720D0">
        <w:rPr>
          <w:lang w:val="es-ES_tradnl"/>
        </w:rPr>
        <w:t xml:space="preserve">los </w:t>
      </w:r>
      <w:r w:rsidR="00A04EF2" w:rsidRPr="002720D0">
        <w:rPr>
          <w:lang w:val="es-ES_tradnl"/>
        </w:rPr>
        <w:t>d</w:t>
      </w:r>
      <w:r w:rsidR="00CE2D8A" w:rsidRPr="002720D0">
        <w:rPr>
          <w:lang w:val="es-ES_tradnl"/>
        </w:rPr>
        <w:t>efectos congénitos mentales y fí</w:t>
      </w:r>
      <w:r w:rsidR="00EE54AE" w:rsidRPr="002720D0">
        <w:rPr>
          <w:lang w:val="es-ES_tradnl"/>
        </w:rPr>
        <w:t>sicos en los neonatos</w:t>
      </w:r>
      <w:r w:rsidR="00A04EF2" w:rsidRPr="002720D0">
        <w:rPr>
          <w:lang w:val="es-ES_tradnl"/>
        </w:rPr>
        <w:t xml:space="preserve">, la </w:t>
      </w:r>
      <w:r w:rsidR="00EE54AE" w:rsidRPr="002720D0">
        <w:rPr>
          <w:lang w:val="es-ES_tradnl"/>
        </w:rPr>
        <w:t xml:space="preserve">merma en la </w:t>
      </w:r>
      <w:r w:rsidR="00A04EF2" w:rsidRPr="002720D0">
        <w:rPr>
          <w:lang w:val="es-ES_tradnl"/>
        </w:rPr>
        <w:t xml:space="preserve">capacidad de aprendizaje, el retraso en el crecimiento, y la mala salud y baja productividad </w:t>
      </w:r>
      <w:r w:rsidR="00EE54AE" w:rsidRPr="002720D0">
        <w:rPr>
          <w:lang w:val="es-ES_tradnl"/>
        </w:rPr>
        <w:t>en</w:t>
      </w:r>
      <w:r w:rsidR="00A04EF2" w:rsidRPr="002720D0">
        <w:rPr>
          <w:lang w:val="es-ES_tradnl"/>
        </w:rPr>
        <w:t xml:space="preserve"> la población </w:t>
      </w:r>
      <w:r w:rsidR="00EE54AE" w:rsidRPr="002720D0">
        <w:rPr>
          <w:lang w:val="es-ES_tradnl"/>
        </w:rPr>
        <w:t xml:space="preserve">en </w:t>
      </w:r>
      <w:r w:rsidR="00A04EF2" w:rsidRPr="002720D0">
        <w:rPr>
          <w:lang w:val="es-ES_tradnl"/>
        </w:rPr>
        <w:t xml:space="preserve">general. La principal causa de los trastornos causados por la deficiencia de yodo es la insuficiencia de yodo en los alimentos. El enriquecimiento de la sal con yodo es el método más común de prevención de la deficiencia de yodo. El programa de Tanzanía de enriquecimiento de la sal con yodo progresa adecuadamente </w:t>
      </w:r>
      <w:r w:rsidR="00EE54AE" w:rsidRPr="002720D0">
        <w:rPr>
          <w:lang w:val="es-ES_tradnl"/>
        </w:rPr>
        <w:t>hacia el logro de</w:t>
      </w:r>
      <w:r w:rsidR="00A04EF2" w:rsidRPr="002720D0">
        <w:rPr>
          <w:lang w:val="es-ES_tradnl"/>
        </w:rPr>
        <w:t xml:space="preserve"> la elimin</w:t>
      </w:r>
      <w:r w:rsidR="00EE54AE" w:rsidRPr="002720D0">
        <w:rPr>
          <w:lang w:val="es-ES_tradnl"/>
        </w:rPr>
        <w:t>ación de la deficiencia de yodo</w:t>
      </w:r>
      <w:r w:rsidR="00A4169E" w:rsidRPr="002720D0">
        <w:rPr>
          <w:lang w:val="es-ES_tradnl"/>
        </w:rPr>
        <w:t>,</w:t>
      </w:r>
      <w:r w:rsidR="00A04EF2" w:rsidRPr="002720D0">
        <w:rPr>
          <w:lang w:val="es-ES_tradnl"/>
        </w:rPr>
        <w:t xml:space="preserve"> cuando el 90% de los hogares </w:t>
      </w:r>
      <w:r w:rsidR="00EE54AE" w:rsidRPr="002720D0">
        <w:rPr>
          <w:lang w:val="es-ES_tradnl"/>
        </w:rPr>
        <w:t>utilicen</w:t>
      </w:r>
      <w:r w:rsidR="00A04EF2" w:rsidRPr="002720D0">
        <w:rPr>
          <w:lang w:val="es-ES_tradnl"/>
        </w:rPr>
        <w:t xml:space="preserve"> sal yodada. El estudio demográfico y de salud de Tanzanía de 2010 indica que el 55% de los niños viven en hogares que utilizan sal </w:t>
      </w:r>
      <w:r w:rsidR="002C0E55" w:rsidRPr="002720D0">
        <w:rPr>
          <w:lang w:val="es-ES_tradnl"/>
        </w:rPr>
        <w:t xml:space="preserve">debidamente </w:t>
      </w:r>
      <w:r w:rsidR="00A04EF2" w:rsidRPr="002720D0">
        <w:rPr>
          <w:lang w:val="es-ES_tradnl"/>
        </w:rPr>
        <w:t>yodada. La prevalencia de los trastornos causa</w:t>
      </w:r>
      <w:r w:rsidR="00EE54AE" w:rsidRPr="002720D0">
        <w:rPr>
          <w:lang w:val="es-ES_tradnl"/>
        </w:rPr>
        <w:t>dos por la deficiencia de yodo,</w:t>
      </w:r>
      <w:r w:rsidR="00A04EF2" w:rsidRPr="002720D0">
        <w:rPr>
          <w:lang w:val="es-ES_tradnl"/>
        </w:rPr>
        <w:t xml:space="preserve"> basada en la incidencia del bocio, </w:t>
      </w:r>
      <w:r w:rsidR="00CB68E1" w:rsidRPr="002720D0">
        <w:rPr>
          <w:lang w:val="es-ES_tradnl"/>
        </w:rPr>
        <w:t xml:space="preserve">se corresponde al </w:t>
      </w:r>
      <w:r w:rsidR="00A04EF2" w:rsidRPr="002720D0">
        <w:rPr>
          <w:lang w:val="es-ES_tradnl"/>
        </w:rPr>
        <w:t xml:space="preserve">7%, </w:t>
      </w:r>
      <w:r w:rsidR="00A4169E" w:rsidRPr="002720D0">
        <w:rPr>
          <w:lang w:val="es-ES_tradnl"/>
        </w:rPr>
        <w:t>por</w:t>
      </w:r>
      <w:r w:rsidR="00CB68E1" w:rsidRPr="002720D0">
        <w:rPr>
          <w:lang w:val="es-ES_tradnl"/>
        </w:rPr>
        <w:t xml:space="preserve">centaje </w:t>
      </w:r>
      <w:r w:rsidR="00A04EF2" w:rsidRPr="002720D0">
        <w:rPr>
          <w:lang w:val="es-ES_tradnl"/>
        </w:rPr>
        <w:t xml:space="preserve">de </w:t>
      </w:r>
      <w:r w:rsidR="00EE54AE" w:rsidRPr="002720D0">
        <w:rPr>
          <w:lang w:val="es-ES_tradnl"/>
        </w:rPr>
        <w:t>los escolares</w:t>
      </w:r>
      <w:r w:rsidR="00A04EF2" w:rsidRPr="002720D0">
        <w:rPr>
          <w:lang w:val="es-ES_tradnl"/>
        </w:rPr>
        <w:t xml:space="preserve"> </w:t>
      </w:r>
      <w:r w:rsidR="00CB68E1" w:rsidRPr="002720D0">
        <w:rPr>
          <w:lang w:val="es-ES_tradnl"/>
        </w:rPr>
        <w:t xml:space="preserve">que </w:t>
      </w:r>
      <w:r w:rsidR="00A04EF2" w:rsidRPr="002720D0">
        <w:rPr>
          <w:lang w:val="es-ES_tradnl"/>
        </w:rPr>
        <w:t xml:space="preserve">padecían bocio </w:t>
      </w:r>
      <w:r w:rsidR="00151021" w:rsidRPr="002720D0">
        <w:rPr>
          <w:lang w:val="es-ES_tradnl"/>
        </w:rPr>
        <w:t>(</w:t>
      </w:r>
      <w:r w:rsidR="0046223F" w:rsidRPr="002720D0">
        <w:rPr>
          <w:i/>
          <w:lang w:val="es-ES_tradnl"/>
        </w:rPr>
        <w:t>Tanzania Food and Nutrition Centre</w:t>
      </w:r>
      <w:r w:rsidR="0046223F" w:rsidRPr="002720D0">
        <w:rPr>
          <w:lang w:val="es-ES_tradnl"/>
        </w:rPr>
        <w:t xml:space="preserve"> (</w:t>
      </w:r>
      <w:r w:rsidR="001C7E1C">
        <w:rPr>
          <w:lang w:val="es-ES_tradnl"/>
        </w:rPr>
        <w:t>"</w:t>
      </w:r>
      <w:r w:rsidR="0046223F" w:rsidRPr="002720D0">
        <w:rPr>
          <w:lang w:val="es-ES_tradnl"/>
        </w:rPr>
        <w:t>Centro de Nutrición y Alimentación de Tanzanía</w:t>
      </w:r>
      <w:r w:rsidR="001C7E1C">
        <w:rPr>
          <w:lang w:val="es-ES_tradnl"/>
        </w:rPr>
        <w:t>"</w:t>
      </w:r>
      <w:r w:rsidR="0046223F" w:rsidRPr="002720D0">
        <w:rPr>
          <w:lang w:val="es-ES_tradnl"/>
        </w:rPr>
        <w:t>)</w:t>
      </w:r>
      <w:r w:rsidR="00151021" w:rsidRPr="002720D0">
        <w:rPr>
          <w:lang w:val="es-ES_tradnl"/>
        </w:rPr>
        <w:t>, 2004)</w:t>
      </w:r>
      <w:r w:rsidR="00151021" w:rsidRPr="002720D0">
        <w:rPr>
          <w:rStyle w:val="FootnoteReference"/>
          <w:lang w:val="es-ES_tradnl"/>
        </w:rPr>
        <w:footnoteReference w:id="83"/>
      </w:r>
      <w:r w:rsidR="002C0E55" w:rsidRPr="002720D0">
        <w:rPr>
          <w:lang w:val="es-ES_tradnl"/>
        </w:rPr>
        <w:t xml:space="preserve">. </w:t>
      </w:r>
    </w:p>
    <w:p w:rsidR="00151021" w:rsidRPr="002720D0" w:rsidRDefault="00377FE1" w:rsidP="00586395">
      <w:pPr>
        <w:pStyle w:val="H4G"/>
        <w:outlineLvl w:val="0"/>
        <w:rPr>
          <w:lang w:val="es-ES_tradnl"/>
        </w:rPr>
      </w:pPr>
      <w:r w:rsidRPr="002720D0">
        <w:rPr>
          <w:lang w:val="es-ES_tradnl"/>
        </w:rPr>
        <w:tab/>
      </w:r>
      <w:r w:rsidR="00151021" w:rsidRPr="002720D0">
        <w:rPr>
          <w:lang w:val="es-ES_tradnl"/>
        </w:rPr>
        <w:t>xi)</w:t>
      </w:r>
      <w:r w:rsidR="00153B23" w:rsidRPr="002720D0">
        <w:rPr>
          <w:lang w:val="es-ES_tradnl"/>
        </w:rPr>
        <w:tab/>
      </w:r>
      <w:r w:rsidR="00AE4A08">
        <w:rPr>
          <w:lang w:val="es-ES_tradnl"/>
        </w:rPr>
        <w:t>Carencia de vitamina A</w:t>
      </w:r>
    </w:p>
    <w:p w:rsidR="00151021" w:rsidRPr="002720D0" w:rsidRDefault="004F6364" w:rsidP="004F6364">
      <w:pPr>
        <w:pStyle w:val="SingleTxtG"/>
        <w:tabs>
          <w:tab w:val="left" w:pos="-360"/>
        </w:tabs>
        <w:rPr>
          <w:lang w:val="es-ES_tradnl"/>
        </w:rPr>
      </w:pPr>
      <w:r w:rsidRPr="002720D0">
        <w:rPr>
          <w:lang w:val="es-ES_tradnl"/>
        </w:rPr>
        <w:t>171.</w:t>
      </w:r>
      <w:r w:rsidRPr="002720D0">
        <w:rPr>
          <w:lang w:val="es-ES_tradnl"/>
        </w:rPr>
        <w:tab/>
      </w:r>
      <w:r w:rsidR="004B00AB" w:rsidRPr="002720D0">
        <w:rPr>
          <w:lang w:val="es-ES_tradnl"/>
        </w:rPr>
        <w:t xml:space="preserve">La carencia de vitamina A se manifiesta </w:t>
      </w:r>
      <w:r w:rsidR="00A84EAC" w:rsidRPr="002720D0">
        <w:rPr>
          <w:lang w:val="es-ES_tradnl"/>
        </w:rPr>
        <w:t>bajo la forma de</w:t>
      </w:r>
      <w:r w:rsidR="004B00AB" w:rsidRPr="002720D0">
        <w:rPr>
          <w:lang w:val="es-ES_tradnl"/>
        </w:rPr>
        <w:t xml:space="preserve"> </w:t>
      </w:r>
      <w:r w:rsidR="00A84EAC" w:rsidRPr="002720D0">
        <w:rPr>
          <w:lang w:val="es-ES_tradnl"/>
        </w:rPr>
        <w:t>niveles bajos de retinol sérico o de exoftalmia. La v</w:t>
      </w:r>
      <w:r w:rsidR="00B53294" w:rsidRPr="002720D0">
        <w:rPr>
          <w:lang w:val="es-ES_tradnl"/>
        </w:rPr>
        <w:t>itamin</w:t>
      </w:r>
      <w:r w:rsidR="00A84EAC" w:rsidRPr="002720D0">
        <w:rPr>
          <w:lang w:val="es-ES_tradnl"/>
        </w:rPr>
        <w:t>a</w:t>
      </w:r>
      <w:r w:rsidR="001D2A53">
        <w:rPr>
          <w:lang w:val="es-ES_tradnl"/>
        </w:rPr>
        <w:t xml:space="preserve"> </w:t>
      </w:r>
      <w:r w:rsidR="00151021" w:rsidRPr="002720D0">
        <w:rPr>
          <w:lang w:val="es-ES_tradnl"/>
        </w:rPr>
        <w:t xml:space="preserve">A </w:t>
      </w:r>
      <w:r w:rsidR="00A84EAC" w:rsidRPr="002720D0">
        <w:rPr>
          <w:lang w:val="es-ES_tradnl"/>
        </w:rPr>
        <w:t>es fundamental para el fortalecimiento del sistema inmune</w:t>
      </w:r>
      <w:r w:rsidR="00B325AD" w:rsidRPr="002720D0">
        <w:rPr>
          <w:lang w:val="es-ES_tradnl"/>
        </w:rPr>
        <w:t>,</w:t>
      </w:r>
      <w:r w:rsidR="00A84EAC" w:rsidRPr="002720D0">
        <w:rPr>
          <w:lang w:val="es-ES_tradnl"/>
        </w:rPr>
        <w:t xml:space="preserve"> y es importante para mantener el tejido epitelial del organismo. La carencia grave de vitamina A es una causa principal de </w:t>
      </w:r>
      <w:r w:rsidR="00B325AD" w:rsidRPr="002720D0">
        <w:rPr>
          <w:lang w:val="es-ES_tradnl"/>
        </w:rPr>
        <w:t>lesión</w:t>
      </w:r>
      <w:r w:rsidR="00A84EAC" w:rsidRPr="002720D0">
        <w:rPr>
          <w:lang w:val="es-ES_tradnl"/>
        </w:rPr>
        <w:t xml:space="preserve"> ocular y de ceguera prevenible; aumenta la seve</w:t>
      </w:r>
      <w:r w:rsidR="001C06BE" w:rsidRPr="002720D0">
        <w:rPr>
          <w:lang w:val="es-ES_tradnl"/>
        </w:rPr>
        <w:t xml:space="preserve">ridad de las infecciones, como </w:t>
      </w:r>
      <w:r w:rsidR="00A84EAC" w:rsidRPr="002720D0">
        <w:rPr>
          <w:lang w:val="es-ES_tradnl"/>
        </w:rPr>
        <w:t xml:space="preserve">el sarampión y las enfermedades diarreicas en los niños, y lentifica la recuperación de las enfermedades. La vitamina A se encuentra en la leche materna y en otras leches, </w:t>
      </w:r>
      <w:r w:rsidR="009A62F9" w:rsidRPr="002720D0">
        <w:rPr>
          <w:lang w:val="es-ES_tradnl"/>
        </w:rPr>
        <w:t xml:space="preserve">así como en </w:t>
      </w:r>
      <w:r w:rsidR="00A84EAC" w:rsidRPr="002720D0">
        <w:rPr>
          <w:lang w:val="es-ES_tradnl"/>
        </w:rPr>
        <w:t xml:space="preserve">el hígado, los huevos, el pescado, la mantequilla, el aceite de palma roja, los mangos, las papayas, las zanahorias, las calabazas y las </w:t>
      </w:r>
      <w:r w:rsidR="00D74E66" w:rsidRPr="002720D0">
        <w:rPr>
          <w:lang w:val="es-ES_tradnl"/>
        </w:rPr>
        <w:t xml:space="preserve">hortalizas de hoja verde oscura. El </w:t>
      </w:r>
      <w:r w:rsidR="001C06BE" w:rsidRPr="002720D0">
        <w:rPr>
          <w:lang w:val="es-ES_tradnl"/>
        </w:rPr>
        <w:t>h</w:t>
      </w:r>
      <w:r w:rsidR="00D74E66" w:rsidRPr="002720D0">
        <w:rPr>
          <w:lang w:val="es-ES_tradnl"/>
        </w:rPr>
        <w:t xml:space="preserve">ígado es </w:t>
      </w:r>
      <w:r w:rsidR="001C06BE" w:rsidRPr="002720D0">
        <w:rPr>
          <w:lang w:val="es-ES_tradnl"/>
        </w:rPr>
        <w:t>cap</w:t>
      </w:r>
      <w:r w:rsidR="00D74E66" w:rsidRPr="002720D0">
        <w:rPr>
          <w:lang w:val="es-ES_tradnl"/>
        </w:rPr>
        <w:t xml:space="preserve">az de almacenar esta vitamina </w:t>
      </w:r>
      <w:r w:rsidR="009A62F9" w:rsidRPr="002720D0">
        <w:rPr>
          <w:lang w:val="es-ES_tradnl"/>
        </w:rPr>
        <w:t xml:space="preserve">en una cantidad </w:t>
      </w:r>
      <w:r w:rsidR="00D74E66" w:rsidRPr="002720D0">
        <w:rPr>
          <w:lang w:val="es-ES_tradnl"/>
        </w:rPr>
        <w:t xml:space="preserve">suficiente para </w:t>
      </w:r>
      <w:r w:rsidR="009A62F9" w:rsidRPr="002720D0">
        <w:rPr>
          <w:lang w:val="es-ES_tradnl"/>
        </w:rPr>
        <w:t>entre cuatro y</w:t>
      </w:r>
      <w:r w:rsidR="00D74E66" w:rsidRPr="002720D0">
        <w:rPr>
          <w:lang w:val="es-ES_tradnl"/>
        </w:rPr>
        <w:t xml:space="preserve"> seis meses. El suministro de dosis periódicas </w:t>
      </w:r>
      <w:r w:rsidR="009A62F9" w:rsidRPr="002720D0">
        <w:rPr>
          <w:lang w:val="es-ES_tradnl"/>
        </w:rPr>
        <w:t xml:space="preserve">de suplementos de vitamina A </w:t>
      </w:r>
      <w:r w:rsidR="00D74E66" w:rsidRPr="002720D0">
        <w:rPr>
          <w:lang w:val="es-ES_tradnl"/>
        </w:rPr>
        <w:t>(por lo general, cada seis</w:t>
      </w:r>
      <w:r w:rsidR="001C06BE" w:rsidRPr="002720D0">
        <w:rPr>
          <w:lang w:val="es-ES_tradnl"/>
        </w:rPr>
        <w:t xml:space="preserve"> </w:t>
      </w:r>
      <w:r w:rsidR="00D74E66" w:rsidRPr="002720D0">
        <w:rPr>
          <w:lang w:val="es-ES_tradnl"/>
        </w:rPr>
        <w:t xml:space="preserve">meses) es uno de los métodos disponibles para velar por que los niños en situación de riesgo no desarrollen una carencia de </w:t>
      </w:r>
      <w:r w:rsidR="009A62F9" w:rsidRPr="002720D0">
        <w:rPr>
          <w:lang w:val="es-ES_tradnl"/>
        </w:rPr>
        <w:t>esta vitamina</w:t>
      </w:r>
      <w:r w:rsidR="00D74E66" w:rsidRPr="002720D0">
        <w:rPr>
          <w:lang w:val="es-ES_tradnl"/>
        </w:rPr>
        <w:t>. El estudio demográfico y de salud de Tanzanía de 2010 revela que un 62% de los niños con edades comprendidas entre los 6 y los 35 meses habían consumido alimentos ricos en vitamina A el día o la noche anteriores al estudio. La proporción de niños que co</w:t>
      </w:r>
      <w:r w:rsidR="001C06BE" w:rsidRPr="002720D0">
        <w:rPr>
          <w:lang w:val="es-ES_tradnl"/>
        </w:rPr>
        <w:t>n</w:t>
      </w:r>
      <w:r w:rsidR="00D74E66" w:rsidRPr="002720D0">
        <w:rPr>
          <w:lang w:val="es-ES_tradnl"/>
        </w:rPr>
        <w:t xml:space="preserve">sumen alimentos ricos vitamina A aumenta con la edad, pasando del 53% en niños con edades comprendidas entre 6 y 8 meses al 87% en los niños con edades comprendidas entre 18 y 23 meses, pero el consumo disminuye al 22% entre los 24 y los 35 meses de edad. </w:t>
      </w:r>
    </w:p>
    <w:p w:rsidR="00151021" w:rsidRPr="002720D0" w:rsidRDefault="004F6364" w:rsidP="004F6364">
      <w:pPr>
        <w:pStyle w:val="SingleTxtG"/>
        <w:tabs>
          <w:tab w:val="left" w:pos="-360"/>
        </w:tabs>
        <w:rPr>
          <w:lang w:val="es-ES_tradnl"/>
        </w:rPr>
      </w:pPr>
      <w:r w:rsidRPr="002720D0">
        <w:rPr>
          <w:lang w:val="es-ES_tradnl"/>
        </w:rPr>
        <w:t>172.</w:t>
      </w:r>
      <w:r w:rsidRPr="002720D0">
        <w:rPr>
          <w:lang w:val="es-ES_tradnl"/>
        </w:rPr>
        <w:tab/>
      </w:r>
      <w:r w:rsidR="00D74E66" w:rsidRPr="002720D0">
        <w:rPr>
          <w:lang w:val="es-ES_tradnl"/>
        </w:rPr>
        <w:t xml:space="preserve">La ceguera nocturna es un síntoma de carencia grave de vitamina A, a la que son especialmente proclives las mujeres embarazadas. Según el estudio demográfico y de salud de Tanzanía de 2010, el 4% de las mujeres que habían dado a luz recientemente informaron haber experimentado ceguera nocturna. Tras ajustar los datos para tener en cuenta a aquellas mujeres que también informaron haber experimentado problemas de visión durante el día, se concluyó que aproximadamente un 1% de las mujeres padecían ceguera nocturna. Además, es probable que la prevalencia de la carencia de vitamina A en los niños se haya reducido considerablemente durante el último decenio debido a la elevada </w:t>
      </w:r>
      <w:r w:rsidR="00ED5043" w:rsidRPr="002720D0">
        <w:rPr>
          <w:lang w:val="es-ES_tradnl"/>
        </w:rPr>
        <w:t>cobertura de los suplementos b</w:t>
      </w:r>
      <w:r w:rsidR="00D74E66" w:rsidRPr="002720D0">
        <w:rPr>
          <w:lang w:val="es-ES_tradnl"/>
        </w:rPr>
        <w:t xml:space="preserve">ianuales de vitamina A. Se estima que la carencia de vitamina A afecta a </w:t>
      </w:r>
      <w:r w:rsidR="00ED5043" w:rsidRPr="002720D0">
        <w:rPr>
          <w:lang w:val="es-ES_tradnl"/>
        </w:rPr>
        <w:t>la población general solamente a partir de un 5% de</w:t>
      </w:r>
      <w:r w:rsidR="00D74E66" w:rsidRPr="002720D0">
        <w:rPr>
          <w:lang w:val="es-ES_tradnl"/>
        </w:rPr>
        <w:t xml:space="preserve"> prevalencia de la ceguera nocturna entre las mujeres embarazadas </w:t>
      </w:r>
      <w:r w:rsidR="00ED5043" w:rsidRPr="002720D0">
        <w:rPr>
          <w:lang w:val="es-ES_tradnl"/>
        </w:rPr>
        <w:t>(Grupo consultivo internacional sobre la vitamina A</w:t>
      </w:r>
      <w:r w:rsidR="00151021" w:rsidRPr="002720D0">
        <w:rPr>
          <w:lang w:val="es-ES_tradnl"/>
        </w:rPr>
        <w:t>, 2001).</w:t>
      </w:r>
    </w:p>
    <w:p w:rsidR="00151021" w:rsidRPr="002720D0" w:rsidRDefault="004F6364" w:rsidP="004F6364">
      <w:pPr>
        <w:pStyle w:val="SingleTxtG"/>
        <w:tabs>
          <w:tab w:val="left" w:pos="-360"/>
        </w:tabs>
        <w:rPr>
          <w:lang w:val="es-ES_tradnl"/>
        </w:rPr>
      </w:pPr>
      <w:r w:rsidRPr="002720D0">
        <w:rPr>
          <w:lang w:val="es-ES_tradnl"/>
        </w:rPr>
        <w:t>173.</w:t>
      </w:r>
      <w:r w:rsidRPr="002720D0">
        <w:rPr>
          <w:lang w:val="es-ES_tradnl"/>
        </w:rPr>
        <w:tab/>
      </w:r>
      <w:r w:rsidR="00ED5043" w:rsidRPr="002720D0">
        <w:rPr>
          <w:lang w:val="es-ES_tradnl"/>
        </w:rPr>
        <w:t xml:space="preserve">La política del Ministerio de Salud y Bienestar Social relativa a </w:t>
      </w:r>
      <w:r w:rsidR="0087606D" w:rsidRPr="002720D0">
        <w:rPr>
          <w:lang w:val="es-ES_tradnl"/>
        </w:rPr>
        <w:t>los suplementos vitamínicos maternos</w:t>
      </w:r>
      <w:r w:rsidR="00ED5043" w:rsidRPr="002720D0">
        <w:rPr>
          <w:lang w:val="es-ES_tradnl"/>
        </w:rPr>
        <w:t xml:space="preserve"> consiste en administrar una dosis </w:t>
      </w:r>
      <w:r w:rsidR="00CA4BB6" w:rsidRPr="002720D0">
        <w:rPr>
          <w:lang w:val="es-ES_tradnl"/>
        </w:rPr>
        <w:t>elevada</w:t>
      </w:r>
      <w:r w:rsidR="00ED5043" w:rsidRPr="002720D0">
        <w:rPr>
          <w:lang w:val="es-ES_tradnl"/>
        </w:rPr>
        <w:t xml:space="preserve"> de vitamina A (200.000 UI) en forma de cápsula de</w:t>
      </w:r>
      <w:r w:rsidR="006F74D7" w:rsidRPr="002720D0">
        <w:rPr>
          <w:lang w:val="es-ES_tradnl"/>
        </w:rPr>
        <w:t xml:space="preserve">ntro de las cuatro semanas siguientes al parto (Ministerio de Salud y Bienestar Social, 1997). Con ello se </w:t>
      </w:r>
      <w:r w:rsidR="00CA4BB6" w:rsidRPr="002720D0">
        <w:rPr>
          <w:lang w:val="es-ES_tradnl"/>
        </w:rPr>
        <w:t>pretende</w:t>
      </w:r>
      <w:r w:rsidR="006F74D7" w:rsidRPr="002720D0">
        <w:rPr>
          <w:lang w:val="es-ES_tradnl"/>
        </w:rPr>
        <w:t xml:space="preserve"> me</w:t>
      </w:r>
      <w:r w:rsidR="001C06BE" w:rsidRPr="002720D0">
        <w:rPr>
          <w:lang w:val="es-ES_tradnl"/>
        </w:rPr>
        <w:t>j</w:t>
      </w:r>
      <w:r w:rsidR="006F74D7" w:rsidRPr="002720D0">
        <w:rPr>
          <w:lang w:val="es-ES_tradnl"/>
        </w:rPr>
        <w:t xml:space="preserve">orar la condición de la madre relativa a la vitamina A y </w:t>
      </w:r>
      <w:r w:rsidR="00CA4BB6" w:rsidRPr="002720D0">
        <w:rPr>
          <w:lang w:val="es-ES_tradnl"/>
        </w:rPr>
        <w:t xml:space="preserve">también </w:t>
      </w:r>
      <w:r w:rsidR="006F74D7" w:rsidRPr="002720D0">
        <w:rPr>
          <w:lang w:val="es-ES_tradnl"/>
        </w:rPr>
        <w:t xml:space="preserve">el contenido de la vitamina en la leche materna, en beneficio del niño. Sin embargo, </w:t>
      </w:r>
      <w:r w:rsidR="009663B4" w:rsidRPr="002720D0">
        <w:rPr>
          <w:lang w:val="es-ES_tradnl"/>
        </w:rPr>
        <w:t xml:space="preserve">en la actualidad </w:t>
      </w:r>
      <w:r w:rsidR="006F74D7" w:rsidRPr="002720D0">
        <w:rPr>
          <w:lang w:val="es-ES_tradnl"/>
        </w:rPr>
        <w:t xml:space="preserve">esta política se está </w:t>
      </w:r>
      <w:r w:rsidR="00CA4BB6" w:rsidRPr="002720D0">
        <w:rPr>
          <w:lang w:val="es-ES_tradnl"/>
        </w:rPr>
        <w:t>revisando para</w:t>
      </w:r>
      <w:r w:rsidR="006F74D7" w:rsidRPr="002720D0">
        <w:rPr>
          <w:lang w:val="es-ES_tradnl"/>
        </w:rPr>
        <w:t xml:space="preserve"> </w:t>
      </w:r>
      <w:r w:rsidR="00CA4BB6" w:rsidRPr="002720D0">
        <w:rPr>
          <w:lang w:val="es-ES_tradnl"/>
        </w:rPr>
        <w:t>adaptarla a</w:t>
      </w:r>
      <w:r w:rsidR="006F74D7" w:rsidRPr="002720D0">
        <w:rPr>
          <w:lang w:val="es-ES_tradnl"/>
        </w:rPr>
        <w:t xml:space="preserve"> las nuevas directrices de la </w:t>
      </w:r>
      <w:r w:rsidR="00CA4BB6" w:rsidRPr="002720D0">
        <w:rPr>
          <w:lang w:val="es-ES_tradnl"/>
        </w:rPr>
        <w:t>OMS</w:t>
      </w:r>
      <w:r w:rsidR="006F74D7" w:rsidRPr="002720D0">
        <w:rPr>
          <w:lang w:val="es-ES_tradnl"/>
        </w:rPr>
        <w:t xml:space="preserve">, </w:t>
      </w:r>
      <w:r w:rsidR="00CA4BB6" w:rsidRPr="002720D0">
        <w:rPr>
          <w:lang w:val="es-ES_tradnl"/>
        </w:rPr>
        <w:t>que disponen</w:t>
      </w:r>
      <w:r w:rsidR="009663B4" w:rsidRPr="002720D0">
        <w:rPr>
          <w:lang w:val="es-ES_tradnl"/>
        </w:rPr>
        <w:t xml:space="preserve"> </w:t>
      </w:r>
      <w:r w:rsidR="006F74D7" w:rsidRPr="002720D0">
        <w:rPr>
          <w:lang w:val="es-ES_tradnl"/>
        </w:rPr>
        <w:t xml:space="preserve">que </w:t>
      </w:r>
      <w:r w:rsidR="0087606D" w:rsidRPr="002720D0">
        <w:rPr>
          <w:lang w:val="es-ES_tradnl"/>
        </w:rPr>
        <w:t>se deben suministrar suplementos de</w:t>
      </w:r>
      <w:r w:rsidR="009663B4" w:rsidRPr="002720D0">
        <w:rPr>
          <w:lang w:val="es-ES_tradnl"/>
        </w:rPr>
        <w:t xml:space="preserve"> vitamina A a todas las puérperas dentro de las seis semanas siguientes al parto, o</w:t>
      </w:r>
      <w:r w:rsidR="001C06BE" w:rsidRPr="002720D0">
        <w:rPr>
          <w:lang w:val="es-ES_tradnl"/>
        </w:rPr>
        <w:t xml:space="preserve"> </w:t>
      </w:r>
      <w:r w:rsidR="009663B4" w:rsidRPr="002720D0">
        <w:rPr>
          <w:lang w:val="es-ES_tradnl"/>
        </w:rPr>
        <w:t xml:space="preserve">de las ocho semanas siguientes al parto </w:t>
      </w:r>
      <w:r w:rsidR="00CA4BB6" w:rsidRPr="002720D0">
        <w:rPr>
          <w:lang w:val="es-ES_tradnl"/>
        </w:rPr>
        <w:t>en el caso de</w:t>
      </w:r>
      <w:r w:rsidR="009663B4" w:rsidRPr="002720D0">
        <w:rPr>
          <w:lang w:val="es-ES_tradnl"/>
        </w:rPr>
        <w:t xml:space="preserve"> las madres lactantes (OMS, 2003). El estudio demográfico y de salud de Tanzanía de 2010 refleja que solo una de cada cuatro mujeres que </w:t>
      </w:r>
      <w:r w:rsidR="00CA4BB6" w:rsidRPr="002720D0">
        <w:rPr>
          <w:lang w:val="es-ES_tradnl"/>
        </w:rPr>
        <w:t>habían dado</w:t>
      </w:r>
      <w:r w:rsidR="009663B4" w:rsidRPr="002720D0">
        <w:rPr>
          <w:lang w:val="es-ES_tradnl"/>
        </w:rPr>
        <w:t xml:space="preserve"> a luz en los cinco años anteriores al estudio había recibido suplementos de vitamina A </w:t>
      </w:r>
      <w:r w:rsidR="00CA4BB6" w:rsidRPr="002720D0">
        <w:rPr>
          <w:lang w:val="es-ES_tradnl"/>
        </w:rPr>
        <w:t>en</w:t>
      </w:r>
      <w:r w:rsidR="009663B4" w:rsidRPr="002720D0">
        <w:rPr>
          <w:lang w:val="es-ES_tradnl"/>
        </w:rPr>
        <w:t xml:space="preserve"> los </w:t>
      </w:r>
      <w:r w:rsidR="008D458E" w:rsidRPr="002720D0">
        <w:rPr>
          <w:lang w:val="es-ES_tradnl"/>
        </w:rPr>
        <w:t xml:space="preserve">dos </w:t>
      </w:r>
      <w:r w:rsidR="009663B4" w:rsidRPr="002720D0">
        <w:rPr>
          <w:lang w:val="es-ES_tradnl"/>
        </w:rPr>
        <w:t>meses siguientes al parto. El estudio tamb</w:t>
      </w:r>
      <w:r w:rsidR="00CA4BB6" w:rsidRPr="002720D0">
        <w:rPr>
          <w:lang w:val="es-ES_tradnl"/>
        </w:rPr>
        <w:t>ién refleja que</w:t>
      </w:r>
      <w:r w:rsidR="0087606D" w:rsidRPr="002720D0">
        <w:rPr>
          <w:lang w:val="es-ES_tradnl"/>
        </w:rPr>
        <w:t xml:space="preserve"> el</w:t>
      </w:r>
      <w:r w:rsidR="00CA4BB6" w:rsidRPr="002720D0">
        <w:rPr>
          <w:lang w:val="es-ES_tradnl"/>
        </w:rPr>
        <w:t xml:space="preserve"> </w:t>
      </w:r>
      <w:r w:rsidR="0087606D" w:rsidRPr="002720D0">
        <w:rPr>
          <w:lang w:val="es-ES_tradnl"/>
        </w:rPr>
        <w:t>61% de los niños con edades comprendidas entre los 6 y los 59 meses reciben suplementos de vitamina A</w:t>
      </w:r>
      <w:r w:rsidR="009663B4" w:rsidRPr="002720D0">
        <w:rPr>
          <w:lang w:val="es-ES_tradnl"/>
        </w:rPr>
        <w:t xml:space="preserve">. </w:t>
      </w:r>
      <w:r w:rsidR="00151021" w:rsidRPr="002720D0">
        <w:rPr>
          <w:lang w:val="es-ES_tradnl"/>
        </w:rPr>
        <w:t>Pemba Nort</w:t>
      </w:r>
      <w:r w:rsidR="009663B4" w:rsidRPr="002720D0">
        <w:rPr>
          <w:lang w:val="es-ES_tradnl"/>
        </w:rPr>
        <w:t xml:space="preserve">e y </w:t>
      </w:r>
      <w:r w:rsidR="00151021" w:rsidRPr="002720D0">
        <w:rPr>
          <w:lang w:val="es-ES_tradnl"/>
        </w:rPr>
        <w:t>Unguja S</w:t>
      </w:r>
      <w:r w:rsidR="009663B4" w:rsidRPr="002720D0">
        <w:rPr>
          <w:lang w:val="es-ES_tradnl"/>
        </w:rPr>
        <w:t xml:space="preserve">ur cuentan con la mayor proporción de </w:t>
      </w:r>
      <w:r w:rsidR="0087606D" w:rsidRPr="002720D0">
        <w:rPr>
          <w:lang w:val="es-ES_tradnl"/>
        </w:rPr>
        <w:t>cobertura de suplementos</w:t>
      </w:r>
      <w:r w:rsidR="00CA4BB6" w:rsidRPr="002720D0">
        <w:rPr>
          <w:lang w:val="es-ES_tradnl"/>
        </w:rPr>
        <w:t xml:space="preserve"> de vitamina A (87</w:t>
      </w:r>
      <w:r w:rsidR="009663B4" w:rsidRPr="002720D0">
        <w:rPr>
          <w:lang w:val="es-ES_tradnl"/>
        </w:rPr>
        <w:t xml:space="preserve">% y 90%, respectivamente). </w:t>
      </w:r>
    </w:p>
    <w:p w:rsidR="00151021" w:rsidRPr="002720D0" w:rsidRDefault="004F6364" w:rsidP="004F6364">
      <w:pPr>
        <w:pStyle w:val="SingleTxtG"/>
        <w:tabs>
          <w:tab w:val="left" w:pos="-360"/>
        </w:tabs>
        <w:rPr>
          <w:lang w:val="es-ES_tradnl"/>
        </w:rPr>
      </w:pPr>
      <w:r w:rsidRPr="002720D0">
        <w:rPr>
          <w:lang w:val="es-ES_tradnl"/>
        </w:rPr>
        <w:t>174.</w:t>
      </w:r>
      <w:r w:rsidRPr="002720D0">
        <w:rPr>
          <w:lang w:val="es-ES_tradnl"/>
        </w:rPr>
        <w:tab/>
      </w:r>
      <w:r w:rsidR="00151021" w:rsidRPr="002720D0">
        <w:rPr>
          <w:lang w:val="es-ES_tradnl"/>
        </w:rPr>
        <w:t>No</w:t>
      </w:r>
      <w:r w:rsidR="00CA4BB6" w:rsidRPr="002720D0">
        <w:rPr>
          <w:lang w:val="es-ES_tradnl"/>
        </w:rPr>
        <w:t xml:space="preserve"> obstante, el Estado p</w:t>
      </w:r>
      <w:r w:rsidR="009663B4" w:rsidRPr="002720D0">
        <w:rPr>
          <w:lang w:val="es-ES_tradnl"/>
        </w:rPr>
        <w:t xml:space="preserve">arte encara las dificultades siguientes en relación con la implantación de actividades en materia de nutrición: </w:t>
      </w:r>
    </w:p>
    <w:p w:rsidR="00D562EC" w:rsidRPr="002720D0" w:rsidRDefault="00CE2D8A" w:rsidP="00AE4A08">
      <w:pPr>
        <w:pStyle w:val="Bullet1G"/>
        <w:rPr>
          <w:lang w:val="es-ES_tradnl"/>
        </w:rPr>
      </w:pPr>
      <w:r w:rsidRPr="002720D0">
        <w:rPr>
          <w:lang w:val="es-ES_tradnl"/>
        </w:rPr>
        <w:t xml:space="preserve">Existe una escasa cobertura de muchas de las intervenciones esenciales en materia de nutrición, comprendidas las de prevención y control de la anemia y de gestión de la malnutrición aguda grave </w:t>
      </w:r>
      <w:r w:rsidR="00CA4BB6" w:rsidRPr="002720D0">
        <w:rPr>
          <w:lang w:val="es-ES_tradnl"/>
        </w:rPr>
        <w:t>en los niños y las mujeres. Esta situación</w:t>
      </w:r>
      <w:r w:rsidRPr="002720D0">
        <w:rPr>
          <w:lang w:val="es-ES_tradnl"/>
        </w:rPr>
        <w:t xml:space="preserve"> es particularmente desfavorable cuando se han de enca</w:t>
      </w:r>
      <w:r w:rsidR="00CA4BB6" w:rsidRPr="002720D0">
        <w:rPr>
          <w:lang w:val="es-ES_tradnl"/>
        </w:rPr>
        <w:t>rar problemas de nutrición poli</w:t>
      </w:r>
      <w:r w:rsidRPr="002720D0">
        <w:rPr>
          <w:lang w:val="es-ES_tradnl"/>
        </w:rPr>
        <w:t xml:space="preserve">facéticos que requieren múltiples intervenciones </w:t>
      </w:r>
      <w:r w:rsidR="00CA4BB6" w:rsidRPr="002720D0">
        <w:rPr>
          <w:lang w:val="es-ES_tradnl"/>
        </w:rPr>
        <w:t>distintas</w:t>
      </w:r>
      <w:r w:rsidRPr="002720D0">
        <w:rPr>
          <w:lang w:val="es-ES_tradnl"/>
        </w:rPr>
        <w:t xml:space="preserve">, entre ellas la prevención y el control de la anemia. </w:t>
      </w:r>
    </w:p>
    <w:p w:rsidR="00D562EC" w:rsidRPr="002720D0" w:rsidRDefault="00CE2D8A" w:rsidP="00AE4A08">
      <w:pPr>
        <w:pStyle w:val="Bullet1G"/>
        <w:rPr>
          <w:lang w:val="es-ES_tradnl"/>
        </w:rPr>
      </w:pPr>
      <w:r w:rsidRPr="002720D0">
        <w:rPr>
          <w:lang w:val="es-ES_tradnl"/>
        </w:rPr>
        <w:t>Los enlaces con programas y proyectos de otros sectores que podrían prestar servicios sinérgicos para tratar las causas subyacentes de desnutrición son inadecuados. En estas circunstancias, las accio</w:t>
      </w:r>
      <w:r w:rsidR="00CA4BB6" w:rsidRPr="002720D0">
        <w:rPr>
          <w:lang w:val="es-ES_tradnl"/>
        </w:rPr>
        <w:t>nes no crean sinergia, y por en</w:t>
      </w:r>
      <w:r w:rsidRPr="002720D0">
        <w:rPr>
          <w:lang w:val="es-ES_tradnl"/>
        </w:rPr>
        <w:t xml:space="preserve">de no se acumulan para incidir de forma sustancial y duradera sobre la nutrición. Se </w:t>
      </w:r>
      <w:r w:rsidR="00CA4BB6" w:rsidRPr="002720D0">
        <w:rPr>
          <w:lang w:val="es-ES_tradnl"/>
        </w:rPr>
        <w:t>han de realizar</w:t>
      </w:r>
      <w:r w:rsidRPr="002720D0">
        <w:rPr>
          <w:lang w:val="es-ES_tradnl"/>
        </w:rPr>
        <w:t xml:space="preserve"> esfuerzos adicionales para asegurar que la nutrición se incorpore sólidamente en las</w:t>
      </w:r>
      <w:r w:rsidR="00A22AEF" w:rsidRPr="002720D0">
        <w:rPr>
          <w:lang w:val="es-ES_tradnl"/>
        </w:rPr>
        <w:t xml:space="preserve"> </w:t>
      </w:r>
      <w:r w:rsidRPr="002720D0">
        <w:rPr>
          <w:lang w:val="es-ES_tradnl"/>
        </w:rPr>
        <w:t>políticas, las estrategias y los programas sectoriales.</w:t>
      </w:r>
      <w:r w:rsidR="001D2A53">
        <w:rPr>
          <w:lang w:val="es-ES_tradnl"/>
        </w:rPr>
        <w:t xml:space="preserve"> </w:t>
      </w:r>
    </w:p>
    <w:p w:rsidR="00D562EC" w:rsidRPr="002720D0" w:rsidRDefault="00A22AEF" w:rsidP="00AE4A08">
      <w:pPr>
        <w:pStyle w:val="Bullet1G"/>
        <w:rPr>
          <w:lang w:val="es-ES_tradnl"/>
        </w:rPr>
      </w:pPr>
      <w:r w:rsidRPr="002720D0">
        <w:rPr>
          <w:lang w:val="es-ES_tradnl"/>
        </w:rPr>
        <w:t>En las zonas remotas y entre otros tipos de población difícilmente accesibles la cobertura de los servicios sanitarios es escasa</w:t>
      </w:r>
      <w:r w:rsidR="008D458E" w:rsidRPr="002720D0">
        <w:rPr>
          <w:lang w:val="es-ES_tradnl"/>
        </w:rPr>
        <w:t>.</w:t>
      </w:r>
      <w:r w:rsidRPr="002720D0">
        <w:rPr>
          <w:lang w:val="es-ES_tradnl"/>
        </w:rPr>
        <w:t xml:space="preserve"> Rara vez se aplican estrategias especiales para llegar a estos grupos. </w:t>
      </w:r>
    </w:p>
    <w:p w:rsidR="00D562EC" w:rsidRPr="002720D0" w:rsidRDefault="00A22AEF" w:rsidP="00AE4A08">
      <w:pPr>
        <w:pStyle w:val="Bullet1G"/>
        <w:rPr>
          <w:lang w:val="es-ES_tradnl"/>
        </w:rPr>
      </w:pPr>
      <w:r w:rsidRPr="002720D0">
        <w:rPr>
          <w:lang w:val="es-ES_tradnl"/>
        </w:rPr>
        <w:t xml:space="preserve">Las decisiones fundamentales en materia de prioridades y de asignación de los recursos se adoptan en el </w:t>
      </w:r>
      <w:r w:rsidR="00B57358" w:rsidRPr="002720D0">
        <w:rPr>
          <w:lang w:val="es-ES_tradnl"/>
        </w:rPr>
        <w:t>nivel</w:t>
      </w:r>
      <w:r w:rsidRPr="002720D0">
        <w:rPr>
          <w:lang w:val="es-ES_tradnl"/>
        </w:rPr>
        <w:t xml:space="preserve"> ejecutivo local, donde existe una comprensión limitada de la import</w:t>
      </w:r>
      <w:r w:rsidR="00151F51" w:rsidRPr="002720D0">
        <w:rPr>
          <w:lang w:val="es-ES_tradnl"/>
        </w:rPr>
        <w:t>ancia de la desnutrición y de có</w:t>
      </w:r>
      <w:r w:rsidRPr="002720D0">
        <w:rPr>
          <w:lang w:val="es-ES_tradnl"/>
        </w:rPr>
        <w:t>mo tr</w:t>
      </w:r>
      <w:r w:rsidR="00151F51" w:rsidRPr="002720D0">
        <w:rPr>
          <w:lang w:val="es-ES_tradnl"/>
        </w:rPr>
        <w:t xml:space="preserve">atar los problemas de nutrición. </w:t>
      </w:r>
      <w:r w:rsidR="00B57358" w:rsidRPr="002720D0">
        <w:rPr>
          <w:lang w:val="es-ES_tradnl"/>
        </w:rPr>
        <w:t>Hay</w:t>
      </w:r>
      <w:r w:rsidR="00151F51" w:rsidRPr="002720D0">
        <w:rPr>
          <w:lang w:val="es-ES_tradnl"/>
        </w:rPr>
        <w:t xml:space="preserve"> pocos profesionales de la nutrición disponibles para prestar un ap</w:t>
      </w:r>
      <w:r w:rsidR="00B57358" w:rsidRPr="002720D0">
        <w:rPr>
          <w:lang w:val="es-ES_tradnl"/>
        </w:rPr>
        <w:t>oyo técnico de elevada calidad en</w:t>
      </w:r>
      <w:r w:rsidR="00151F51" w:rsidRPr="002720D0">
        <w:rPr>
          <w:lang w:val="es-ES_tradnl"/>
        </w:rPr>
        <w:t xml:space="preserve"> </w:t>
      </w:r>
      <w:r w:rsidR="00B57358" w:rsidRPr="002720D0">
        <w:rPr>
          <w:lang w:val="es-ES_tradnl"/>
        </w:rPr>
        <w:t>las actividades de</w:t>
      </w:r>
      <w:r w:rsidR="00151F51" w:rsidRPr="002720D0">
        <w:rPr>
          <w:lang w:val="es-ES_tradnl"/>
        </w:rPr>
        <w:t xml:space="preserve"> las autoridades ejecutivas locales </w:t>
      </w:r>
      <w:r w:rsidR="00B57358" w:rsidRPr="002720D0">
        <w:rPr>
          <w:lang w:val="es-ES_tradnl"/>
        </w:rPr>
        <w:t xml:space="preserve">destinadas </w:t>
      </w:r>
      <w:r w:rsidR="00151F51" w:rsidRPr="002720D0">
        <w:rPr>
          <w:lang w:val="es-ES_tradnl"/>
        </w:rPr>
        <w:t>a hacer frente a la desnutrición. En particular, no existe personal de distrito</w:t>
      </w:r>
      <w:r w:rsidR="00B57358" w:rsidRPr="002720D0">
        <w:rPr>
          <w:lang w:val="es-ES_tradnl"/>
        </w:rPr>
        <w:t xml:space="preserve"> que sea</w:t>
      </w:r>
      <w:r w:rsidR="00FC3109" w:rsidRPr="002720D0">
        <w:rPr>
          <w:lang w:val="es-ES_tradnl"/>
        </w:rPr>
        <w:t xml:space="preserve"> </w:t>
      </w:r>
      <w:r w:rsidR="00151F51" w:rsidRPr="002720D0">
        <w:rPr>
          <w:lang w:val="es-ES_tradnl"/>
        </w:rPr>
        <w:t xml:space="preserve">responsable de la nutrición y </w:t>
      </w:r>
      <w:r w:rsidR="00FC3109" w:rsidRPr="002720D0">
        <w:rPr>
          <w:lang w:val="es-ES_tradnl"/>
        </w:rPr>
        <w:t>la coordinación del diseño</w:t>
      </w:r>
      <w:r w:rsidR="00B57358" w:rsidRPr="002720D0">
        <w:rPr>
          <w:lang w:val="es-ES_tradnl"/>
        </w:rPr>
        <w:t>,</w:t>
      </w:r>
      <w:r w:rsidR="00FC3109" w:rsidRPr="002720D0">
        <w:rPr>
          <w:lang w:val="es-ES_tradnl"/>
        </w:rPr>
        <w:t xml:space="preserve"> la planificación y la implantación de las intervenciones </w:t>
      </w:r>
      <w:r w:rsidR="00B57358" w:rsidRPr="002720D0">
        <w:rPr>
          <w:lang w:val="es-ES_tradnl"/>
        </w:rPr>
        <w:t>en materia de</w:t>
      </w:r>
      <w:r w:rsidR="00FC3109" w:rsidRPr="002720D0">
        <w:rPr>
          <w:lang w:val="es-ES_tradnl"/>
        </w:rPr>
        <w:t xml:space="preserve"> nutrición. Por consiguiente, los planes de los consejos, comprendidos los Planes integrales de los consejos sanitarios, adolecen de </w:t>
      </w:r>
      <w:r w:rsidR="00B57358" w:rsidRPr="002720D0">
        <w:rPr>
          <w:lang w:val="es-ES_tradnl"/>
        </w:rPr>
        <w:t>una ausencia</w:t>
      </w:r>
      <w:r w:rsidR="00FC3109" w:rsidRPr="002720D0">
        <w:rPr>
          <w:lang w:val="es-ES_tradnl"/>
        </w:rPr>
        <w:t xml:space="preserve"> de prioridades</w:t>
      </w:r>
      <w:r w:rsidR="00B57358" w:rsidRPr="002720D0">
        <w:rPr>
          <w:lang w:val="es-ES_tradnl"/>
        </w:rPr>
        <w:t>,</w:t>
      </w:r>
      <w:r w:rsidR="00FC3109" w:rsidRPr="002720D0">
        <w:rPr>
          <w:lang w:val="es-ES_tradnl"/>
        </w:rPr>
        <w:t xml:space="preserve"> y no consignan a la nutrición los recursos financieros y humanos adecuados para la prestación de </w:t>
      </w:r>
      <w:r w:rsidR="00B57358" w:rsidRPr="002720D0">
        <w:rPr>
          <w:lang w:val="es-ES_tradnl"/>
        </w:rPr>
        <w:t xml:space="preserve">unos </w:t>
      </w:r>
      <w:r w:rsidR="00FC3109" w:rsidRPr="002720D0">
        <w:rPr>
          <w:lang w:val="es-ES_tradnl"/>
        </w:rPr>
        <w:t xml:space="preserve">servicios de nutrición de calidad. En consideración del proceso de descentralización que está teniendo lugar en el país, las disposiciones institucionales relativas a la nutrición se han de someter a examen con miras a que los ejecutivos locales cuenten con la estructura institucional necesaria para la implantación de servicios de nutrición, y también con el apoyo de </w:t>
      </w:r>
      <w:r w:rsidR="00B57358" w:rsidRPr="002720D0">
        <w:rPr>
          <w:lang w:val="es-ES_tradnl"/>
        </w:rPr>
        <w:t>unas estructuras adecuadas en los</w:t>
      </w:r>
      <w:r w:rsidR="00FC3109" w:rsidRPr="002720D0">
        <w:rPr>
          <w:lang w:val="es-ES_tradnl"/>
        </w:rPr>
        <w:t xml:space="preserve"> plano</w:t>
      </w:r>
      <w:r w:rsidR="00B57358" w:rsidRPr="002720D0">
        <w:rPr>
          <w:lang w:val="es-ES_tradnl"/>
        </w:rPr>
        <w:t>s</w:t>
      </w:r>
      <w:r w:rsidR="00FC3109" w:rsidRPr="002720D0">
        <w:rPr>
          <w:lang w:val="es-ES_tradnl"/>
        </w:rPr>
        <w:t xml:space="preserve"> regional y nacional. </w:t>
      </w:r>
    </w:p>
    <w:p w:rsidR="00D562EC" w:rsidRPr="002720D0" w:rsidRDefault="00FC3109" w:rsidP="00AE4A08">
      <w:pPr>
        <w:pStyle w:val="Bullet1G"/>
        <w:rPr>
          <w:lang w:val="es-ES_tradnl"/>
        </w:rPr>
      </w:pPr>
      <w:r w:rsidRPr="002720D0">
        <w:rPr>
          <w:lang w:val="es-ES_tradnl"/>
        </w:rPr>
        <w:t>Existe una gran escasez de proveedores de servicios de salud que cuenten con la formación necesaria para realizar inter</w:t>
      </w:r>
      <w:r w:rsidR="001C06BE" w:rsidRPr="002720D0">
        <w:rPr>
          <w:lang w:val="es-ES_tradnl"/>
        </w:rPr>
        <w:t>v</w:t>
      </w:r>
      <w:r w:rsidRPr="002720D0">
        <w:rPr>
          <w:lang w:val="es-ES_tradnl"/>
        </w:rPr>
        <w:t>enciones de nutrición en las instalaciones y las comunidades. Se han de actualizar tanto los programas d</w:t>
      </w:r>
      <w:r w:rsidR="007D5937" w:rsidRPr="002720D0">
        <w:rPr>
          <w:lang w:val="es-ES_tradnl"/>
        </w:rPr>
        <w:t>e estudios previos al servicio como los de formación permanente, y también los materiales de formación, basándolos en las políticas, las directrices y los conocimientos científicos más recientes. El seguimiento destinado a velar por que los trabaj</w:t>
      </w:r>
      <w:r w:rsidR="00B57358" w:rsidRPr="002720D0">
        <w:rPr>
          <w:lang w:val="es-ES_tradnl"/>
        </w:rPr>
        <w:t>adores de la salud se sirvan de los</w:t>
      </w:r>
      <w:r w:rsidR="007D5937" w:rsidRPr="002720D0">
        <w:rPr>
          <w:lang w:val="es-ES_tradnl"/>
        </w:rPr>
        <w:t xml:space="preserve"> conocimiento</w:t>
      </w:r>
      <w:r w:rsidR="00B57358" w:rsidRPr="002720D0">
        <w:rPr>
          <w:lang w:val="es-ES_tradnl"/>
        </w:rPr>
        <w:t>s</w:t>
      </w:r>
      <w:r w:rsidR="007D5937" w:rsidRPr="002720D0">
        <w:rPr>
          <w:lang w:val="es-ES_tradnl"/>
        </w:rPr>
        <w:t xml:space="preserve"> y las capacidades adquiridas durante la formación permanente es escaso; por consiguiente, es necesario consolidar </w:t>
      </w:r>
      <w:r w:rsidR="00B57358" w:rsidRPr="002720D0">
        <w:rPr>
          <w:lang w:val="es-ES_tradnl"/>
        </w:rPr>
        <w:t>tanto el seguimiento como</w:t>
      </w:r>
      <w:r w:rsidR="007D5937" w:rsidRPr="002720D0">
        <w:rPr>
          <w:lang w:val="es-ES_tradnl"/>
        </w:rPr>
        <w:t xml:space="preserve"> la supervisión de apoyo. </w:t>
      </w:r>
    </w:p>
    <w:p w:rsidR="00D562EC" w:rsidRPr="002720D0" w:rsidRDefault="007D5937" w:rsidP="00AE4A08">
      <w:pPr>
        <w:pStyle w:val="Bullet1G"/>
        <w:rPr>
          <w:lang w:val="es-ES_tradnl"/>
        </w:rPr>
      </w:pPr>
      <w:r w:rsidRPr="002720D0">
        <w:rPr>
          <w:lang w:val="es-ES_tradnl"/>
        </w:rPr>
        <w:t>La legislación necesaria para crear un entorno favorable para la nutrición aún no se ha desarrollado, actualizado, promulgado y aplicado plenamente. Esta situa</w:t>
      </w:r>
      <w:r w:rsidR="00AA0DD7" w:rsidRPr="002720D0">
        <w:rPr>
          <w:lang w:val="es-ES_tradnl"/>
        </w:rPr>
        <w:t xml:space="preserve">ción afecta, entre otros, </w:t>
      </w:r>
      <w:r w:rsidR="002871C8" w:rsidRPr="002720D0">
        <w:rPr>
          <w:lang w:val="es-ES_tradnl"/>
        </w:rPr>
        <w:t xml:space="preserve">a </w:t>
      </w:r>
      <w:r w:rsidR="00AA0DD7" w:rsidRPr="002720D0">
        <w:rPr>
          <w:lang w:val="es-ES_tradnl"/>
        </w:rPr>
        <w:t xml:space="preserve">la Instrucción nacional para la comercialización de </w:t>
      </w:r>
      <w:r w:rsidR="002871C8" w:rsidRPr="002720D0">
        <w:rPr>
          <w:lang w:val="es-ES_tradnl"/>
        </w:rPr>
        <w:t xml:space="preserve">sucedáneos de leche materna y productos designados (1994); </w:t>
      </w:r>
      <w:r w:rsidR="00AE291E" w:rsidRPr="002720D0">
        <w:rPr>
          <w:lang w:val="es-ES_tradnl"/>
        </w:rPr>
        <w:t>el Código de prácticas higiénicas para los alimentos de lactantes y niños, la legislación relativa a la licencia por maternidad y la legislación relativa a los alimentos enriquecidos, comprendida la sal yodada. No existe una plena comprensión del proceso de legalización por parte de todos los responsables de su implantación y ejecución.</w:t>
      </w:r>
      <w:r w:rsidR="001D2A53">
        <w:rPr>
          <w:lang w:val="es-ES_tradnl"/>
        </w:rPr>
        <w:t xml:space="preserve"> </w:t>
      </w:r>
    </w:p>
    <w:p w:rsidR="00151021" w:rsidRPr="002720D0" w:rsidRDefault="00AE291E" w:rsidP="00AE4A08">
      <w:pPr>
        <w:pStyle w:val="Bullet1G"/>
        <w:rPr>
          <w:lang w:val="es-ES_tradnl"/>
        </w:rPr>
      </w:pPr>
      <w:r w:rsidRPr="002720D0">
        <w:rPr>
          <w:lang w:val="es-ES_tradnl"/>
        </w:rPr>
        <w:t>La nutrición se ha de integrar mejor en los estudios nacionales vigentes, en todos los sectores y sistemas de gestión de la información pertinentes. El sistema de vigilancia de la nutrición no está en un estado pl</w:t>
      </w:r>
      <w:r w:rsidR="000D2EF8" w:rsidRPr="002720D0">
        <w:rPr>
          <w:lang w:val="es-ES_tradnl"/>
        </w:rPr>
        <w:t>enamente operativo; necesita</w:t>
      </w:r>
      <w:r w:rsidRPr="002720D0">
        <w:rPr>
          <w:lang w:val="es-ES_tradnl"/>
        </w:rPr>
        <w:t xml:space="preserve"> una revitalización adicional para poder proporcionar datos oportunos y correctos </w:t>
      </w:r>
      <w:r w:rsidR="000D2EF8" w:rsidRPr="002720D0">
        <w:rPr>
          <w:lang w:val="es-ES_tradnl"/>
        </w:rPr>
        <w:t>que se puedan utilizar</w:t>
      </w:r>
      <w:r w:rsidRPr="002720D0">
        <w:rPr>
          <w:lang w:val="es-ES_tradnl"/>
        </w:rPr>
        <w:t xml:space="preserve"> para vigilar la nutrición y servir de or</w:t>
      </w:r>
      <w:r w:rsidR="000D2EF8" w:rsidRPr="002720D0">
        <w:rPr>
          <w:lang w:val="es-ES_tradnl"/>
        </w:rPr>
        <w:t>ientación para las decisiones. Se ha de consolidar e</w:t>
      </w:r>
      <w:r w:rsidRPr="002720D0">
        <w:rPr>
          <w:lang w:val="es-ES_tradnl"/>
        </w:rPr>
        <w:t xml:space="preserve">l uso de </w:t>
      </w:r>
      <w:r w:rsidR="000D2EF8" w:rsidRPr="002720D0">
        <w:rPr>
          <w:lang w:val="es-ES_tradnl"/>
        </w:rPr>
        <w:t xml:space="preserve">los </w:t>
      </w:r>
      <w:r w:rsidRPr="002720D0">
        <w:rPr>
          <w:lang w:val="es-ES_tradnl"/>
        </w:rPr>
        <w:t xml:space="preserve">datos </w:t>
      </w:r>
      <w:r w:rsidR="000D2EF8" w:rsidRPr="002720D0">
        <w:rPr>
          <w:lang w:val="es-ES_tradnl"/>
        </w:rPr>
        <w:t>en</w:t>
      </w:r>
      <w:r w:rsidRPr="002720D0">
        <w:rPr>
          <w:lang w:val="es-ES_tradnl"/>
        </w:rPr>
        <w:t xml:space="preserve"> la toma de decisiones en todos los planos, compren</w:t>
      </w:r>
      <w:r w:rsidR="000D2EF8" w:rsidRPr="002720D0">
        <w:rPr>
          <w:lang w:val="es-ES_tradnl"/>
        </w:rPr>
        <w:t xml:space="preserve">dido el de distrito, </w:t>
      </w:r>
      <w:r w:rsidRPr="002720D0">
        <w:rPr>
          <w:lang w:val="es-ES_tradnl"/>
        </w:rPr>
        <w:t xml:space="preserve">en aras de que los recursos se </w:t>
      </w:r>
      <w:r w:rsidR="003E37FE" w:rsidRPr="002720D0">
        <w:rPr>
          <w:lang w:val="es-ES_tradnl"/>
        </w:rPr>
        <w:t>hagan llegar</w:t>
      </w:r>
      <w:r w:rsidRPr="002720D0">
        <w:rPr>
          <w:lang w:val="es-ES_tradnl"/>
        </w:rPr>
        <w:t xml:space="preserve"> allí donde son más necesarios. </w:t>
      </w:r>
    </w:p>
    <w:p w:rsidR="00151021" w:rsidRPr="002720D0" w:rsidRDefault="004F6364" w:rsidP="004F6364">
      <w:pPr>
        <w:pStyle w:val="SingleTxtG"/>
        <w:tabs>
          <w:tab w:val="left" w:pos="-360"/>
        </w:tabs>
        <w:rPr>
          <w:lang w:val="es-ES_tradnl"/>
        </w:rPr>
      </w:pPr>
      <w:r w:rsidRPr="002720D0">
        <w:rPr>
          <w:lang w:val="es-ES_tradnl"/>
        </w:rPr>
        <w:t>175.</w:t>
      </w:r>
      <w:r w:rsidRPr="002720D0">
        <w:rPr>
          <w:lang w:val="es-ES_tradnl"/>
        </w:rPr>
        <w:tab/>
      </w:r>
      <w:r w:rsidR="003E37FE" w:rsidRPr="002720D0">
        <w:rPr>
          <w:lang w:val="es-ES_tradnl"/>
        </w:rPr>
        <w:t>En consideración de los retos que están aflorando en la esfera</w:t>
      </w:r>
      <w:r w:rsidR="00F30696" w:rsidRPr="002720D0">
        <w:rPr>
          <w:lang w:val="es-ES_tradnl"/>
        </w:rPr>
        <w:t xml:space="preserve"> de la nutrición, el Estado p</w:t>
      </w:r>
      <w:r w:rsidR="003E37FE" w:rsidRPr="002720D0">
        <w:rPr>
          <w:lang w:val="es-ES_tradnl"/>
        </w:rPr>
        <w:t xml:space="preserve">arte ha adoptado las medidas siguientes: </w:t>
      </w:r>
    </w:p>
    <w:p w:rsidR="00D562EC" w:rsidRPr="002720D0" w:rsidRDefault="003E37FE" w:rsidP="006340C3">
      <w:pPr>
        <w:pStyle w:val="Bullet1G"/>
        <w:rPr>
          <w:lang w:val="es-ES_tradnl"/>
        </w:rPr>
      </w:pPr>
      <w:r w:rsidRPr="002720D0">
        <w:rPr>
          <w:lang w:val="es-ES_tradnl"/>
        </w:rPr>
        <w:t xml:space="preserve">Creación de una Comisión Rectora nacional de alto nivel en materia de nutrición, dirigida por el Gobierno y con representantes de los ministerios, los </w:t>
      </w:r>
      <w:r w:rsidR="000D2EF8" w:rsidRPr="002720D0">
        <w:rPr>
          <w:lang w:val="es-ES_tradnl"/>
        </w:rPr>
        <w:t>asociados</w:t>
      </w:r>
      <w:r w:rsidRPr="002720D0">
        <w:rPr>
          <w:lang w:val="es-ES_tradnl"/>
        </w:rPr>
        <w:t xml:space="preserve"> para el desarrollo y las organ</w:t>
      </w:r>
      <w:r w:rsidR="006340C3">
        <w:rPr>
          <w:lang w:val="es-ES_tradnl"/>
        </w:rPr>
        <w:t>izaciones de la sociedad civil;</w:t>
      </w:r>
    </w:p>
    <w:p w:rsidR="00D562EC" w:rsidRPr="002720D0" w:rsidRDefault="003E37FE" w:rsidP="006340C3">
      <w:pPr>
        <w:pStyle w:val="Bullet1G"/>
        <w:rPr>
          <w:lang w:val="es-ES_tradnl"/>
        </w:rPr>
      </w:pPr>
      <w:r w:rsidRPr="002720D0">
        <w:rPr>
          <w:lang w:val="es-ES_tradnl"/>
        </w:rPr>
        <w:t>Con efectos del ejercicio económico 2012-2013, incorporación de una partida específica para la nutric</w:t>
      </w:r>
      <w:r w:rsidR="006340C3">
        <w:rPr>
          <w:lang w:val="es-ES_tradnl"/>
        </w:rPr>
        <w:t>ión en el presupuesto nacional;</w:t>
      </w:r>
    </w:p>
    <w:p w:rsidR="00D562EC" w:rsidRPr="002720D0" w:rsidRDefault="003E37FE" w:rsidP="006340C3">
      <w:pPr>
        <w:pStyle w:val="Bullet1G"/>
        <w:rPr>
          <w:lang w:val="es-ES_tradnl"/>
        </w:rPr>
      </w:pPr>
      <w:r w:rsidRPr="002720D0">
        <w:rPr>
          <w:lang w:val="es-ES_tradnl"/>
        </w:rPr>
        <w:t>Incorporación de fun</w:t>
      </w:r>
      <w:r w:rsidR="001C06BE" w:rsidRPr="002720D0">
        <w:rPr>
          <w:lang w:val="es-ES_tradnl"/>
        </w:rPr>
        <w:t>c</w:t>
      </w:r>
      <w:r w:rsidRPr="002720D0">
        <w:rPr>
          <w:lang w:val="es-ES_tradnl"/>
        </w:rPr>
        <w:t xml:space="preserve">ionarios responsables </w:t>
      </w:r>
      <w:r w:rsidR="008821D8" w:rsidRPr="002720D0">
        <w:rPr>
          <w:lang w:val="es-ES_tradnl"/>
        </w:rPr>
        <w:t>en materia</w:t>
      </w:r>
      <w:r w:rsidRPr="002720D0">
        <w:rPr>
          <w:lang w:val="es-ES_tradnl"/>
        </w:rPr>
        <w:t xml:space="preserve"> de nutrición en las secretarías regionales </w:t>
      </w:r>
      <w:r w:rsidR="006340C3">
        <w:rPr>
          <w:lang w:val="es-ES_tradnl"/>
        </w:rPr>
        <w:t>y las administraciones locales;</w:t>
      </w:r>
    </w:p>
    <w:p w:rsidR="00D562EC" w:rsidRPr="002720D0" w:rsidRDefault="003E37FE" w:rsidP="006340C3">
      <w:pPr>
        <w:pStyle w:val="Bullet1G"/>
        <w:rPr>
          <w:lang w:val="es-ES_tradnl"/>
        </w:rPr>
      </w:pPr>
      <w:r w:rsidRPr="002720D0">
        <w:rPr>
          <w:lang w:val="es-ES_tradnl"/>
        </w:rPr>
        <w:t>Desarrollo, divulgación e implantación de la Estrategia nacional de nutrición, y elaboración y divulgación de conjuntos de medidas de intervención esenciales relativas a la nutrición para</w:t>
      </w:r>
      <w:r w:rsidR="006340C3">
        <w:rPr>
          <w:lang w:val="es-ES_tradnl"/>
        </w:rPr>
        <w:t xml:space="preserve"> los ayuntamientos;</w:t>
      </w:r>
    </w:p>
    <w:p w:rsidR="00D562EC" w:rsidRPr="002720D0" w:rsidRDefault="00E055ED" w:rsidP="006340C3">
      <w:pPr>
        <w:pStyle w:val="Bullet1G"/>
        <w:rPr>
          <w:lang w:val="es-ES_tradnl"/>
        </w:rPr>
      </w:pPr>
      <w:r w:rsidRPr="002720D0">
        <w:rPr>
          <w:lang w:val="es-ES_tradnl"/>
        </w:rPr>
        <w:t>Identificación de metodologías innovadoras para controlar la malnutrición proteínica y energética y la deficiencia de micronutrientes, comprendida</w:t>
      </w:r>
      <w:r w:rsidR="00157681" w:rsidRPr="002720D0">
        <w:rPr>
          <w:lang w:val="es-ES_tradnl"/>
        </w:rPr>
        <w:t>s</w:t>
      </w:r>
      <w:r w:rsidRPr="002720D0">
        <w:rPr>
          <w:lang w:val="es-ES_tradnl"/>
        </w:rPr>
        <w:t xml:space="preserve"> la identificación y gestión de casos en fas</w:t>
      </w:r>
      <w:r w:rsidR="00157681" w:rsidRPr="002720D0">
        <w:rPr>
          <w:lang w:val="es-ES_tradnl"/>
        </w:rPr>
        <w:t>es tempranas y los suplementos</w:t>
      </w:r>
      <w:r w:rsidRPr="002720D0">
        <w:rPr>
          <w:lang w:val="es-ES_tradnl"/>
        </w:rPr>
        <w:t xml:space="preserve"> de micronut</w:t>
      </w:r>
      <w:r w:rsidR="006340C3">
        <w:rPr>
          <w:lang w:val="es-ES_tradnl"/>
        </w:rPr>
        <w:t>rientes;</w:t>
      </w:r>
    </w:p>
    <w:p w:rsidR="00D562EC" w:rsidRPr="002720D0" w:rsidRDefault="00E055ED" w:rsidP="006340C3">
      <w:pPr>
        <w:pStyle w:val="Bullet1G"/>
        <w:rPr>
          <w:lang w:val="es-ES_tradnl"/>
        </w:rPr>
      </w:pPr>
      <w:r w:rsidRPr="002720D0">
        <w:rPr>
          <w:lang w:val="es-ES_tradnl"/>
        </w:rPr>
        <w:t>Consolidación de la integración de la nutrición en las prácticas agrícolas, según se esboza en el Plan de inversiones en agricultura y seg</w:t>
      </w:r>
      <w:r w:rsidR="006340C3">
        <w:rPr>
          <w:lang w:val="es-ES_tradnl"/>
        </w:rPr>
        <w:t>uridad alimentaria de Tanzanía;</w:t>
      </w:r>
    </w:p>
    <w:p w:rsidR="00D562EC" w:rsidRPr="002720D0" w:rsidRDefault="00E055ED" w:rsidP="006340C3">
      <w:pPr>
        <w:pStyle w:val="Bullet1G"/>
        <w:rPr>
          <w:lang w:val="es-ES_tradnl"/>
        </w:rPr>
      </w:pPr>
      <w:r w:rsidRPr="002720D0">
        <w:rPr>
          <w:lang w:val="es-ES_tradnl"/>
        </w:rPr>
        <w:t xml:space="preserve">Publicación oficial y finalización de las normas nacionales relativas al aceite </w:t>
      </w:r>
      <w:r w:rsidR="006340C3">
        <w:rPr>
          <w:lang w:val="es-ES_tradnl"/>
        </w:rPr>
        <w:t>y la harina de trigo y de maíz;</w:t>
      </w:r>
    </w:p>
    <w:p w:rsidR="00D562EC" w:rsidRPr="002720D0" w:rsidRDefault="00E055ED" w:rsidP="006340C3">
      <w:pPr>
        <w:pStyle w:val="Bullet1G"/>
        <w:rPr>
          <w:lang w:val="es-ES_tradnl"/>
        </w:rPr>
      </w:pPr>
      <w:r w:rsidRPr="002720D0">
        <w:rPr>
          <w:lang w:val="es-ES_tradnl"/>
        </w:rPr>
        <w:t>Sensibilización y asesoramiento respecto de las mejores prácticas de alimentación y nutrición infantil y protección de las prestaciones por maternidad de las mujeres, comprendidas las que trabajan en el sector no regulado y en el sector privado</w:t>
      </w:r>
      <w:r w:rsidR="008821D8" w:rsidRPr="002720D0">
        <w:rPr>
          <w:lang w:val="es-ES_tradnl"/>
        </w:rPr>
        <w:t>,</w:t>
      </w:r>
      <w:r w:rsidRPr="002720D0">
        <w:rPr>
          <w:lang w:val="es-ES_tradnl"/>
        </w:rPr>
        <w:t xml:space="preserve"> por medio de los servicios de atención a la salud reproductiva e infantil, los medios de comunicación y las reuniones de divulgación a la comunidad</w:t>
      </w:r>
      <w:r w:rsidR="006340C3">
        <w:rPr>
          <w:lang w:val="es-ES_tradnl"/>
        </w:rPr>
        <w:t>;</w:t>
      </w:r>
    </w:p>
    <w:p w:rsidR="00D562EC" w:rsidRPr="002720D0" w:rsidRDefault="00151021" w:rsidP="006340C3">
      <w:pPr>
        <w:pStyle w:val="Bullet1G"/>
        <w:rPr>
          <w:lang w:val="es-ES_tradnl"/>
        </w:rPr>
      </w:pPr>
      <w:r w:rsidRPr="002720D0">
        <w:rPr>
          <w:lang w:val="es-ES_tradnl"/>
        </w:rPr>
        <w:t>C</w:t>
      </w:r>
      <w:r w:rsidR="00E055ED" w:rsidRPr="002720D0">
        <w:rPr>
          <w:lang w:val="es-ES_tradnl"/>
        </w:rPr>
        <w:t>reación de capacidades en los prove</w:t>
      </w:r>
      <w:r w:rsidR="008821D8" w:rsidRPr="002720D0">
        <w:rPr>
          <w:lang w:val="es-ES_tradnl"/>
        </w:rPr>
        <w:t>edores de cuidados sanitarios de</w:t>
      </w:r>
      <w:r w:rsidR="00E055ED" w:rsidRPr="002720D0">
        <w:rPr>
          <w:lang w:val="es-ES_tradnl"/>
        </w:rPr>
        <w:t xml:space="preserve"> todos los niveles para dotarlos de los conocimientos y las capacidades relativas a la nutrición infantil y materna</w:t>
      </w:r>
      <w:r w:rsidRPr="002720D0">
        <w:rPr>
          <w:lang w:val="es-ES_tradnl"/>
        </w:rPr>
        <w:t xml:space="preserve"> </w:t>
      </w:r>
      <w:r w:rsidR="00F30696" w:rsidRPr="002720D0">
        <w:rPr>
          <w:lang w:val="es-ES_tradnl"/>
        </w:rPr>
        <w:t>que necesitan para poder</w:t>
      </w:r>
      <w:r w:rsidR="008821D8" w:rsidRPr="002720D0">
        <w:rPr>
          <w:lang w:val="es-ES_tradnl"/>
        </w:rPr>
        <w:t xml:space="preserve"> </w:t>
      </w:r>
      <w:r w:rsidR="001C06BE" w:rsidRPr="002720D0">
        <w:rPr>
          <w:lang w:val="es-ES_tradnl"/>
        </w:rPr>
        <w:t>proporcionar asesoramiento, educación y apoyo a las madres, las personas que se ocupan de los niños, las familias y las</w:t>
      </w:r>
      <w:r w:rsidR="006340C3">
        <w:rPr>
          <w:lang w:val="es-ES_tradnl"/>
        </w:rPr>
        <w:t xml:space="preserve"> comunidades;</w:t>
      </w:r>
    </w:p>
    <w:p w:rsidR="00151021" w:rsidRPr="002720D0" w:rsidRDefault="008821D8" w:rsidP="006340C3">
      <w:pPr>
        <w:pStyle w:val="Bullet1G"/>
        <w:rPr>
          <w:lang w:val="es-ES_tradnl"/>
        </w:rPr>
      </w:pPr>
      <w:r w:rsidRPr="002720D0">
        <w:rPr>
          <w:lang w:val="es-ES_tradnl"/>
        </w:rPr>
        <w:t>Seguimiento</w:t>
      </w:r>
      <w:r w:rsidR="001C06BE" w:rsidRPr="002720D0">
        <w:rPr>
          <w:lang w:val="es-ES_tradnl"/>
        </w:rPr>
        <w:t xml:space="preserve"> y evaluación periódicas de las políticas, las directrices y las normativas destinadas a me</w:t>
      </w:r>
      <w:r w:rsidRPr="002720D0">
        <w:rPr>
          <w:lang w:val="es-ES_tradnl"/>
        </w:rPr>
        <w:t xml:space="preserve">jorar el estado de nutrición, </w:t>
      </w:r>
      <w:r w:rsidR="001C06BE" w:rsidRPr="002720D0">
        <w:rPr>
          <w:lang w:val="es-ES_tradnl"/>
        </w:rPr>
        <w:t xml:space="preserve">especialmente </w:t>
      </w:r>
      <w:r w:rsidRPr="002720D0">
        <w:rPr>
          <w:lang w:val="es-ES_tradnl"/>
        </w:rPr>
        <w:t>en</w:t>
      </w:r>
      <w:r w:rsidR="001C06BE" w:rsidRPr="002720D0">
        <w:rPr>
          <w:lang w:val="es-ES_tradnl"/>
        </w:rPr>
        <w:t xml:space="preserve"> las mujeres y los niños. </w:t>
      </w:r>
    </w:p>
    <w:p w:rsidR="00151021" w:rsidRPr="002720D0" w:rsidRDefault="00D562EC" w:rsidP="00586395">
      <w:pPr>
        <w:pStyle w:val="H1G"/>
        <w:outlineLvl w:val="0"/>
        <w:rPr>
          <w:lang w:val="es-ES_tradnl"/>
        </w:rPr>
      </w:pPr>
      <w:bookmarkStart w:id="40" w:name="_Toc313470876"/>
      <w:r w:rsidRPr="002720D0">
        <w:rPr>
          <w:lang w:val="es-ES_tradnl"/>
        </w:rPr>
        <w:tab/>
      </w:r>
      <w:r w:rsidR="00151021" w:rsidRPr="002720D0">
        <w:rPr>
          <w:lang w:val="es-ES_tradnl"/>
        </w:rPr>
        <w:t>6.3</w:t>
      </w:r>
      <w:r w:rsidRPr="002720D0">
        <w:rPr>
          <w:lang w:val="es-ES_tradnl"/>
        </w:rPr>
        <w:tab/>
      </w:r>
      <w:bookmarkEnd w:id="40"/>
      <w:r w:rsidR="00805C33" w:rsidRPr="002720D0">
        <w:rPr>
          <w:lang w:val="es-ES_tradnl"/>
        </w:rPr>
        <w:t>VIH/SIDA</w:t>
      </w:r>
    </w:p>
    <w:p w:rsidR="00151021" w:rsidRPr="002720D0" w:rsidRDefault="004F6364" w:rsidP="004F6364">
      <w:pPr>
        <w:pStyle w:val="SingleTxtG"/>
        <w:tabs>
          <w:tab w:val="left" w:pos="-360"/>
        </w:tabs>
        <w:rPr>
          <w:lang w:val="es-ES_tradnl"/>
        </w:rPr>
      </w:pPr>
      <w:r w:rsidRPr="002720D0">
        <w:rPr>
          <w:lang w:val="es-ES_tradnl"/>
        </w:rPr>
        <w:t>176.</w:t>
      </w:r>
      <w:r w:rsidRPr="002720D0">
        <w:rPr>
          <w:lang w:val="es-ES_tradnl"/>
        </w:rPr>
        <w:tab/>
      </w:r>
      <w:r w:rsidR="008821D8" w:rsidRPr="002720D0">
        <w:rPr>
          <w:bCs/>
          <w:lang w:val="es-ES_tradnl"/>
        </w:rPr>
        <w:t>En sus O</w:t>
      </w:r>
      <w:r w:rsidR="00805C33" w:rsidRPr="002720D0">
        <w:rPr>
          <w:bCs/>
          <w:lang w:val="es-ES_tradnl"/>
        </w:rPr>
        <w:t xml:space="preserve">bservaciones finales </w:t>
      </w:r>
      <w:r w:rsidR="00157681" w:rsidRPr="002720D0">
        <w:rPr>
          <w:bCs/>
          <w:lang w:val="es-ES_tradnl"/>
        </w:rPr>
        <w:t xml:space="preserve">previas, </w:t>
      </w:r>
      <w:r w:rsidR="00805C33" w:rsidRPr="002720D0">
        <w:rPr>
          <w:bCs/>
          <w:lang w:val="es-ES_tradnl"/>
        </w:rPr>
        <w:t xml:space="preserve">el </w:t>
      </w:r>
      <w:r w:rsidR="008821D8" w:rsidRPr="002720D0">
        <w:rPr>
          <w:bCs/>
          <w:lang w:val="es-ES_tradnl"/>
        </w:rPr>
        <w:t>Comité recomendó que el Estado p</w:t>
      </w:r>
      <w:r w:rsidR="00805C33" w:rsidRPr="002720D0">
        <w:rPr>
          <w:bCs/>
          <w:lang w:val="es-ES_tradnl"/>
        </w:rPr>
        <w:t>arte, teniendo en cuenta su Observación general Nº 3 sobre el VIH/SIDA y los derechos del niño (CRC/GC/2003/3) y las Directrices Internacionales sobre el VIH/SIDA y los derechos humanos (E/CN.4/1997/37), siguiera:</w:t>
      </w:r>
    </w:p>
    <w:p w:rsidR="00151021" w:rsidRPr="002720D0" w:rsidRDefault="006340C3" w:rsidP="006340C3">
      <w:pPr>
        <w:pStyle w:val="SingleTxtG"/>
        <w:rPr>
          <w:lang w:val="es-ES_tradnl"/>
        </w:rPr>
      </w:pPr>
      <w:r>
        <w:rPr>
          <w:lang w:val="es-ES_tradnl"/>
        </w:rPr>
        <w:tab/>
      </w:r>
      <w:r w:rsidR="00151021" w:rsidRPr="002720D0">
        <w:rPr>
          <w:lang w:val="es-ES_tradnl"/>
        </w:rPr>
        <w:t>a)</w:t>
      </w:r>
      <w:r w:rsidR="00151021" w:rsidRPr="002720D0">
        <w:rPr>
          <w:lang w:val="es-ES_tradnl"/>
        </w:rPr>
        <w:tab/>
      </w:r>
      <w:r w:rsidR="00805C33" w:rsidRPr="002720D0">
        <w:rPr>
          <w:lang w:val="es-ES_tradnl"/>
        </w:rPr>
        <w:t>Redoblando sus esfuerzos contra la propagación y los efectos del VIH/SIDA, en particular ejecutando efectivamente el programa de prevención de la transmisión de la madre al niño, prestando gratuitamente a todas las futuras madres servicios sanitarios y sociales adecuados y velando por que los lactantes dispongan de antirretrovirales y leche maternizada;</w:t>
      </w:r>
    </w:p>
    <w:p w:rsidR="00151021" w:rsidRPr="002720D0" w:rsidRDefault="006340C3" w:rsidP="006340C3">
      <w:pPr>
        <w:pStyle w:val="SingleTxtG"/>
        <w:rPr>
          <w:lang w:val="es-ES_tradnl"/>
        </w:rPr>
      </w:pPr>
      <w:r>
        <w:rPr>
          <w:lang w:val="es-ES_tradnl"/>
        </w:rPr>
        <w:tab/>
      </w:r>
      <w:r w:rsidR="00151021" w:rsidRPr="002720D0">
        <w:rPr>
          <w:lang w:val="es-ES_tradnl"/>
        </w:rPr>
        <w:t>b)</w:t>
      </w:r>
      <w:r w:rsidR="00151021" w:rsidRPr="002720D0">
        <w:rPr>
          <w:lang w:val="es-ES_tradnl"/>
        </w:rPr>
        <w:tab/>
      </w:r>
      <w:r w:rsidR="00805C33" w:rsidRPr="002720D0">
        <w:rPr>
          <w:lang w:val="es-ES_tradnl"/>
        </w:rPr>
        <w:t>Sensibilizando sistemática y exhaustivamente del VIH/SIDA y de la educación sexual, incluso promoviendo los condones, y capacitando a los docentes y demás personal educativo para que sepan enseñar lo que es el VIH/SIDA y la vida sexual;</w:t>
      </w:r>
    </w:p>
    <w:p w:rsidR="00151021" w:rsidRPr="002720D0" w:rsidRDefault="006340C3" w:rsidP="006340C3">
      <w:pPr>
        <w:pStyle w:val="SingleTxtG"/>
        <w:rPr>
          <w:lang w:val="es-ES_tradnl"/>
        </w:rPr>
      </w:pPr>
      <w:r>
        <w:rPr>
          <w:lang w:val="es-ES_tradnl"/>
        </w:rPr>
        <w:tab/>
      </w:r>
      <w:r w:rsidR="00151021" w:rsidRPr="002720D0">
        <w:rPr>
          <w:lang w:val="es-ES_tradnl"/>
        </w:rPr>
        <w:t>c)</w:t>
      </w:r>
      <w:r w:rsidR="00151021" w:rsidRPr="002720D0">
        <w:rPr>
          <w:lang w:val="es-ES_tradnl"/>
        </w:rPr>
        <w:tab/>
      </w:r>
      <w:r w:rsidR="00805C33" w:rsidRPr="002720D0">
        <w:rPr>
          <w:lang w:val="es-ES_tradnl"/>
        </w:rPr>
        <w:t>Incorporando el respeto de los derechos del niño en sus políticas y estrategias en torno al VIH/SIDA y haciendo participar a los niños en su elaboración y ejecución;</w:t>
      </w:r>
      <w:r w:rsidR="001D2A53">
        <w:rPr>
          <w:lang w:val="es-ES_tradnl"/>
        </w:rPr>
        <w:t xml:space="preserve"> </w:t>
      </w:r>
      <w:r w:rsidR="00805C33" w:rsidRPr="002720D0">
        <w:rPr>
          <w:lang w:val="es-ES_tradnl"/>
        </w:rPr>
        <w:t>y</w:t>
      </w:r>
    </w:p>
    <w:p w:rsidR="00151021" w:rsidRPr="002720D0" w:rsidRDefault="006340C3" w:rsidP="006340C3">
      <w:pPr>
        <w:pStyle w:val="SingleTxtG"/>
        <w:rPr>
          <w:lang w:val="es-ES_tradnl"/>
        </w:rPr>
      </w:pPr>
      <w:r>
        <w:rPr>
          <w:lang w:val="es-ES_tradnl"/>
        </w:rPr>
        <w:tab/>
      </w:r>
      <w:r w:rsidR="00151021" w:rsidRPr="002720D0">
        <w:rPr>
          <w:lang w:val="es-ES_tradnl"/>
        </w:rPr>
        <w:t>d)</w:t>
      </w:r>
      <w:r w:rsidR="00151021" w:rsidRPr="002720D0">
        <w:rPr>
          <w:lang w:val="es-ES_tradnl"/>
        </w:rPr>
        <w:tab/>
      </w:r>
      <w:r w:rsidR="00805C33" w:rsidRPr="002720D0">
        <w:rPr>
          <w:lang w:val="es-ES_tradnl"/>
        </w:rPr>
        <w:t>Ampliando la asistencia que se presta a los huérfanos o los niños vulnerables debido al VIH/SIDA.</w:t>
      </w:r>
    </w:p>
    <w:p w:rsidR="00151021" w:rsidRPr="002720D0" w:rsidRDefault="004F6364" w:rsidP="004F6364">
      <w:pPr>
        <w:pStyle w:val="SingleTxtG"/>
        <w:tabs>
          <w:tab w:val="left" w:pos="-360"/>
        </w:tabs>
        <w:rPr>
          <w:lang w:val="es-ES_tradnl"/>
        </w:rPr>
      </w:pPr>
      <w:r w:rsidRPr="002720D0">
        <w:rPr>
          <w:lang w:val="es-ES_tradnl"/>
        </w:rPr>
        <w:t>177.</w:t>
      </w:r>
      <w:r w:rsidRPr="002720D0">
        <w:rPr>
          <w:lang w:val="es-ES_tradnl"/>
        </w:rPr>
        <w:tab/>
      </w:r>
      <w:r w:rsidR="008821D8" w:rsidRPr="002720D0">
        <w:rPr>
          <w:lang w:val="es-ES_tradnl"/>
        </w:rPr>
        <w:t>El Estado p</w:t>
      </w:r>
      <w:r w:rsidR="00F77E6C" w:rsidRPr="002720D0">
        <w:rPr>
          <w:lang w:val="es-ES_tradnl"/>
        </w:rPr>
        <w:t xml:space="preserve">arte cumplió con estas observaciones del Comité emprendiendo una serie de </w:t>
      </w:r>
      <w:r w:rsidR="004E5B2C" w:rsidRPr="002720D0">
        <w:rPr>
          <w:lang w:val="es-ES_tradnl"/>
        </w:rPr>
        <w:t>políticas</w:t>
      </w:r>
      <w:r w:rsidR="00F77E6C" w:rsidRPr="002720D0">
        <w:rPr>
          <w:lang w:val="es-ES_tradnl"/>
        </w:rPr>
        <w:t xml:space="preserve"> y de medidas tanto legislativas como administrativas. Uno de los lo</w:t>
      </w:r>
      <w:r w:rsidR="008821D8" w:rsidRPr="002720D0">
        <w:rPr>
          <w:lang w:val="es-ES_tradnl"/>
        </w:rPr>
        <w:t>gros registrados por el Estado p</w:t>
      </w:r>
      <w:r w:rsidR="00F77E6C" w:rsidRPr="002720D0">
        <w:rPr>
          <w:lang w:val="es-ES_tradnl"/>
        </w:rPr>
        <w:t>arte durante el período que se examina fue la promulgación de la Ley (de prevención y control) del VIH/SIDA en 2008</w:t>
      </w:r>
      <w:r w:rsidR="00151021" w:rsidRPr="002720D0">
        <w:rPr>
          <w:rStyle w:val="FootnoteReference"/>
          <w:lang w:val="es-ES_tradnl"/>
        </w:rPr>
        <w:footnoteReference w:id="84"/>
      </w:r>
      <w:r w:rsidR="00F77E6C" w:rsidRPr="002720D0">
        <w:rPr>
          <w:lang w:val="es-ES_tradnl"/>
        </w:rPr>
        <w:t xml:space="preserve">, vigente únicamente en Tanzanía continental. Esta ley estipula los cuidados y los tratamientos que se han de proporcionar a las </w:t>
      </w:r>
      <w:r w:rsidR="00883E1F" w:rsidRPr="002720D0">
        <w:rPr>
          <w:lang w:val="es-ES_tradnl"/>
        </w:rPr>
        <w:t>víctimas del</w:t>
      </w:r>
      <w:r w:rsidR="00F77E6C" w:rsidRPr="002720D0">
        <w:rPr>
          <w:lang w:val="es-ES_tradnl"/>
        </w:rPr>
        <w:t xml:space="preserve"> VIH/SIDA o </w:t>
      </w:r>
      <w:r w:rsidR="00883E1F" w:rsidRPr="002720D0">
        <w:rPr>
          <w:lang w:val="es-ES_tradnl"/>
        </w:rPr>
        <w:t xml:space="preserve">a las personas afectadas por esta enfermedad; el apoyo y la promoción que se han de prestar a la salud pública en lo relativo al VIH/SIDA; y la prevención y el control que se han de proporcionar en relación con la enfermedad. </w:t>
      </w:r>
    </w:p>
    <w:p w:rsidR="00151021" w:rsidRPr="002720D0" w:rsidRDefault="004F6364" w:rsidP="004F6364">
      <w:pPr>
        <w:pStyle w:val="SingleTxtG"/>
        <w:tabs>
          <w:tab w:val="left" w:pos="-360"/>
        </w:tabs>
        <w:rPr>
          <w:lang w:val="es-ES_tradnl"/>
        </w:rPr>
      </w:pPr>
      <w:r w:rsidRPr="002720D0">
        <w:rPr>
          <w:lang w:val="es-ES_tradnl"/>
        </w:rPr>
        <w:t>178.</w:t>
      </w:r>
      <w:r w:rsidRPr="002720D0">
        <w:rPr>
          <w:lang w:val="es-ES_tradnl"/>
        </w:rPr>
        <w:tab/>
      </w:r>
      <w:r w:rsidR="00055C5C" w:rsidRPr="002720D0">
        <w:rPr>
          <w:lang w:val="es-ES_tradnl"/>
        </w:rPr>
        <w:t>E</w:t>
      </w:r>
      <w:r w:rsidR="005C2AF4" w:rsidRPr="002720D0">
        <w:rPr>
          <w:lang w:val="es-ES_tradnl"/>
        </w:rPr>
        <w:t>n Zanzíbar, e</w:t>
      </w:r>
      <w:r w:rsidR="00883E1F" w:rsidRPr="002720D0">
        <w:rPr>
          <w:lang w:val="es-ES_tradnl"/>
        </w:rPr>
        <w:t>l</w:t>
      </w:r>
      <w:r w:rsidR="005C2AF4" w:rsidRPr="002720D0">
        <w:rPr>
          <w:lang w:val="es-ES_tradnl"/>
        </w:rPr>
        <w:t xml:space="preserve"> Es</w:t>
      </w:r>
      <w:r w:rsidR="00157681" w:rsidRPr="002720D0">
        <w:rPr>
          <w:lang w:val="es-ES_tradnl"/>
        </w:rPr>
        <w:t>tado p</w:t>
      </w:r>
      <w:r w:rsidR="005C2AF4" w:rsidRPr="002720D0">
        <w:rPr>
          <w:lang w:val="es-ES_tradnl"/>
        </w:rPr>
        <w:t>arte</w:t>
      </w:r>
      <w:r w:rsidR="00883E1F" w:rsidRPr="002720D0">
        <w:rPr>
          <w:lang w:val="es-ES_tradnl"/>
        </w:rPr>
        <w:t xml:space="preserve"> </w:t>
      </w:r>
      <w:r w:rsidR="008C0B27" w:rsidRPr="002720D0">
        <w:rPr>
          <w:lang w:val="es-ES_tradnl"/>
        </w:rPr>
        <w:t xml:space="preserve">también ha </w:t>
      </w:r>
      <w:r w:rsidR="008C0B27" w:rsidRPr="00A74BF4">
        <w:rPr>
          <w:lang w:val="es-ES_tradnl"/>
        </w:rPr>
        <w:t xml:space="preserve">adoptado, por medio del </w:t>
      </w:r>
      <w:r w:rsidR="005C2AF4" w:rsidRPr="00A74BF4">
        <w:rPr>
          <w:lang w:val="es-ES_tradnl"/>
        </w:rPr>
        <w:t>Gobierno Revolucionario de Zanzíbar</w:t>
      </w:r>
      <w:r w:rsidR="008C0B27" w:rsidRPr="00A74BF4">
        <w:rPr>
          <w:lang w:val="es-ES_tradnl"/>
        </w:rPr>
        <w:t>,</w:t>
      </w:r>
      <w:r w:rsidR="005C2AF4" w:rsidRPr="00A74BF4">
        <w:rPr>
          <w:lang w:val="es-ES_tradnl"/>
        </w:rPr>
        <w:t xml:space="preserve"> </w:t>
      </w:r>
      <w:r w:rsidR="00055C5C" w:rsidRPr="00A74BF4">
        <w:rPr>
          <w:lang w:val="es-ES_tradnl"/>
        </w:rPr>
        <w:t>la Política nacional de lucha contra el VIH/SIDA</w:t>
      </w:r>
      <w:r w:rsidR="00804BE1" w:rsidRPr="00A74BF4">
        <w:rPr>
          <w:lang w:val="es-ES_tradnl"/>
        </w:rPr>
        <w:t>, de 2004.</w:t>
      </w:r>
      <w:r w:rsidR="00055C5C" w:rsidRPr="00A74BF4">
        <w:rPr>
          <w:lang w:val="es-ES_tradnl"/>
        </w:rPr>
        <w:t xml:space="preserve"> </w:t>
      </w:r>
      <w:r w:rsidR="005C2AF4" w:rsidRPr="00A74BF4">
        <w:rPr>
          <w:lang w:val="es-ES_tradnl"/>
        </w:rPr>
        <w:t>E</w:t>
      </w:r>
      <w:r w:rsidR="00055C5C" w:rsidRPr="00A74BF4">
        <w:rPr>
          <w:lang w:val="es-ES_tradnl"/>
        </w:rPr>
        <w:t>sta política</w:t>
      </w:r>
      <w:r w:rsidR="008C0B27" w:rsidRPr="00A74BF4">
        <w:rPr>
          <w:lang w:val="es-ES_tradnl"/>
        </w:rPr>
        <w:t>, que</w:t>
      </w:r>
      <w:r w:rsidR="00055C5C" w:rsidRPr="00A74BF4">
        <w:rPr>
          <w:lang w:val="es-ES_tradnl"/>
        </w:rPr>
        <w:t xml:space="preserve"> tiene por objeto poner fr</w:t>
      </w:r>
      <w:r w:rsidR="008C0B27" w:rsidRPr="00A74BF4">
        <w:rPr>
          <w:lang w:val="es-ES_tradnl"/>
        </w:rPr>
        <w:t>eno a la pandemia en Zanzíbar, dispone asimismo</w:t>
      </w:r>
      <w:r w:rsidR="008C0B27" w:rsidRPr="002720D0">
        <w:rPr>
          <w:lang w:val="es-ES_tradnl"/>
        </w:rPr>
        <w:t xml:space="preserve"> </w:t>
      </w:r>
      <w:r w:rsidR="00055C5C" w:rsidRPr="002720D0">
        <w:rPr>
          <w:lang w:val="es-ES_tradnl"/>
        </w:rPr>
        <w:t xml:space="preserve">las estrategias de prevención y de intervención relativas al VIH/SIDA, </w:t>
      </w:r>
      <w:r w:rsidR="008C0B27" w:rsidRPr="002720D0">
        <w:rPr>
          <w:lang w:val="es-ES_tradnl"/>
        </w:rPr>
        <w:t xml:space="preserve">por medio de la Comisión contra el </w:t>
      </w:r>
      <w:r w:rsidR="00950B30" w:rsidRPr="002720D0">
        <w:rPr>
          <w:lang w:val="es-ES_tradnl"/>
        </w:rPr>
        <w:t>Sida</w:t>
      </w:r>
      <w:r w:rsidR="008C0B27" w:rsidRPr="002720D0">
        <w:rPr>
          <w:lang w:val="es-ES_tradnl"/>
        </w:rPr>
        <w:t xml:space="preserve"> de Zanzíbar. En aras de conferir fuerza de </w:t>
      </w:r>
      <w:r w:rsidR="00157681" w:rsidRPr="002720D0">
        <w:rPr>
          <w:lang w:val="es-ES_tradnl"/>
        </w:rPr>
        <w:t>ley a esta política, el Estado p</w:t>
      </w:r>
      <w:r w:rsidR="008C0B27" w:rsidRPr="002720D0">
        <w:rPr>
          <w:lang w:val="es-ES_tradnl"/>
        </w:rPr>
        <w:t>arte ha concluido la elaboración de un proyecto de ley sobre el VIH/SIDA que ya ha sido objeto de debates consultivo</w:t>
      </w:r>
      <w:r w:rsidR="0094513E" w:rsidRPr="002720D0">
        <w:rPr>
          <w:lang w:val="es-ES_tradnl"/>
        </w:rPr>
        <w:t>s por las partes interesadas, lo</w:t>
      </w:r>
      <w:r w:rsidR="008C0B27" w:rsidRPr="002720D0">
        <w:rPr>
          <w:lang w:val="es-ES_tradnl"/>
        </w:rPr>
        <w:t xml:space="preserve">s correspondientes </w:t>
      </w:r>
      <w:r w:rsidR="0094513E" w:rsidRPr="002720D0">
        <w:rPr>
          <w:lang w:val="es-ES_tradnl"/>
        </w:rPr>
        <w:t>comités rectore</w:t>
      </w:r>
      <w:r w:rsidR="008C0B27" w:rsidRPr="002720D0">
        <w:rPr>
          <w:lang w:val="es-ES_tradnl"/>
        </w:rPr>
        <w:t>s p</w:t>
      </w:r>
      <w:r w:rsidR="0094513E" w:rsidRPr="002720D0">
        <w:rPr>
          <w:lang w:val="es-ES_tradnl"/>
        </w:rPr>
        <w:t xml:space="preserve">arlamentarios y el Comité de Secretarios Principales, y cuya presentación ante la Cámara de Representantes de Zanzíbar está prevista para el próximo período de sesiones. </w:t>
      </w:r>
    </w:p>
    <w:p w:rsidR="00151021" w:rsidRPr="002720D0" w:rsidRDefault="00D562EC" w:rsidP="00586395">
      <w:pPr>
        <w:pStyle w:val="H23G"/>
        <w:outlineLvl w:val="0"/>
        <w:rPr>
          <w:lang w:val="es-ES_tradnl"/>
        </w:rPr>
      </w:pPr>
      <w:r w:rsidRPr="002720D0">
        <w:rPr>
          <w:lang w:val="es-ES_tradnl"/>
        </w:rPr>
        <w:tab/>
      </w:r>
      <w:r w:rsidR="00151021" w:rsidRPr="002720D0">
        <w:rPr>
          <w:lang w:val="es-ES_tradnl"/>
        </w:rPr>
        <w:t>a)</w:t>
      </w:r>
      <w:r w:rsidRPr="002720D0">
        <w:rPr>
          <w:lang w:val="es-ES_tradnl"/>
        </w:rPr>
        <w:tab/>
      </w:r>
      <w:r w:rsidR="004D0F20" w:rsidRPr="002720D0">
        <w:rPr>
          <w:lang w:val="es-ES_tradnl"/>
        </w:rPr>
        <w:t>Concienciación respecto del VIH/SIDA</w:t>
      </w:r>
    </w:p>
    <w:p w:rsidR="00151021" w:rsidRPr="002720D0" w:rsidRDefault="004F6364" w:rsidP="004F6364">
      <w:pPr>
        <w:pStyle w:val="SingleTxtG"/>
        <w:tabs>
          <w:tab w:val="left" w:pos="-360"/>
        </w:tabs>
        <w:rPr>
          <w:lang w:val="es-ES_tradnl"/>
        </w:rPr>
      </w:pPr>
      <w:r w:rsidRPr="002720D0">
        <w:rPr>
          <w:lang w:val="es-ES_tradnl"/>
        </w:rPr>
        <w:t>179.</w:t>
      </w:r>
      <w:r w:rsidRPr="002720D0">
        <w:rPr>
          <w:lang w:val="es-ES_tradnl"/>
        </w:rPr>
        <w:tab/>
      </w:r>
      <w:r w:rsidR="004D0F20" w:rsidRPr="002720D0">
        <w:rPr>
          <w:lang w:val="es-ES_tradnl"/>
        </w:rPr>
        <w:t>En Tanzaní</w:t>
      </w:r>
      <w:r w:rsidR="00151021" w:rsidRPr="002720D0">
        <w:rPr>
          <w:lang w:val="es-ES_tradnl"/>
        </w:rPr>
        <w:t xml:space="preserve">a, </w:t>
      </w:r>
      <w:r w:rsidR="004D0F20" w:rsidRPr="002720D0">
        <w:rPr>
          <w:lang w:val="es-ES_tradnl"/>
        </w:rPr>
        <w:t xml:space="preserve">los </w:t>
      </w:r>
      <w:r w:rsidR="008821D8" w:rsidRPr="002720D0">
        <w:rPr>
          <w:lang w:val="es-ES_tradnl"/>
        </w:rPr>
        <w:t>programas de prevención del HIV/</w:t>
      </w:r>
      <w:r w:rsidR="004D0F20" w:rsidRPr="002720D0">
        <w:rPr>
          <w:lang w:val="es-ES_tradnl"/>
        </w:rPr>
        <w:t xml:space="preserve">SIDA centran tanto sus mensajes como sus esfuerzos en tres importantes aspectos del comportamiento: el empleo de los condones, la limitación del número de </w:t>
      </w:r>
      <w:r w:rsidR="0024759E" w:rsidRPr="002720D0">
        <w:rPr>
          <w:lang w:val="es-ES_tradnl"/>
        </w:rPr>
        <w:t xml:space="preserve">parejas sexuales (o la fidelidad a una persona) y </w:t>
      </w:r>
      <w:r w:rsidR="008821D8" w:rsidRPr="002720D0">
        <w:rPr>
          <w:lang w:val="es-ES_tradnl"/>
        </w:rPr>
        <w:t>el retraso</w:t>
      </w:r>
      <w:r w:rsidR="0024759E" w:rsidRPr="002720D0">
        <w:rPr>
          <w:lang w:val="es-ES_tradnl"/>
        </w:rPr>
        <w:t xml:space="preserve"> del inicio de las activ</w:t>
      </w:r>
      <w:r w:rsidR="008821D8" w:rsidRPr="002720D0">
        <w:rPr>
          <w:lang w:val="es-ES_tradnl"/>
        </w:rPr>
        <w:t>idades sexuales (abstinencia) por</w:t>
      </w:r>
      <w:r w:rsidR="0024759E" w:rsidRPr="002720D0">
        <w:rPr>
          <w:lang w:val="es-ES_tradnl"/>
        </w:rPr>
        <w:t xml:space="preserve"> las personas jóvenes y las que nunca han </w:t>
      </w:r>
      <w:r w:rsidR="004E5B2C" w:rsidRPr="002720D0">
        <w:rPr>
          <w:lang w:val="es-ES_tradnl"/>
        </w:rPr>
        <w:t>contraído</w:t>
      </w:r>
      <w:r w:rsidR="0024759E" w:rsidRPr="002720D0">
        <w:rPr>
          <w:lang w:val="es-ES_tradnl"/>
        </w:rPr>
        <w:t xml:space="preserve"> matrimonio. Para determinar si los programas han logrado comunicar al menos dos de estos mensajes, se </w:t>
      </w:r>
      <w:r w:rsidR="008821D8" w:rsidRPr="002720D0">
        <w:rPr>
          <w:lang w:val="es-ES_tradnl"/>
        </w:rPr>
        <w:t>realizaron</w:t>
      </w:r>
      <w:r w:rsidR="0024759E" w:rsidRPr="002720D0">
        <w:rPr>
          <w:lang w:val="es-ES_tradnl"/>
        </w:rPr>
        <w:t xml:space="preserve"> preguntas específicas a los encuestados </w:t>
      </w:r>
      <w:r w:rsidR="008821D8" w:rsidRPr="002720D0">
        <w:rPr>
          <w:lang w:val="es-ES_tradnl"/>
        </w:rPr>
        <w:t>acerca</w:t>
      </w:r>
      <w:r w:rsidR="0024759E" w:rsidRPr="002720D0">
        <w:rPr>
          <w:lang w:val="es-ES_tradnl"/>
        </w:rPr>
        <w:t xml:space="preserve"> de si se puede reducir la posibilidad de contagio del virus del </w:t>
      </w:r>
      <w:r w:rsidR="00950B30" w:rsidRPr="002720D0">
        <w:rPr>
          <w:lang w:val="es-ES_tradnl"/>
        </w:rPr>
        <w:t>sida</w:t>
      </w:r>
      <w:r w:rsidR="0024759E" w:rsidRPr="002720D0">
        <w:rPr>
          <w:lang w:val="es-ES_tradnl"/>
        </w:rPr>
        <w:t xml:space="preserve"> mediante la fidelidad a una única pareja sexual y mediante el uso de un condón en cada</w:t>
      </w:r>
      <w:r w:rsidR="001D2A53">
        <w:rPr>
          <w:lang w:val="es-ES_tradnl"/>
        </w:rPr>
        <w:t xml:space="preserve"> </w:t>
      </w:r>
      <w:r w:rsidR="0024759E" w:rsidRPr="002720D0">
        <w:rPr>
          <w:lang w:val="es-ES_tradnl"/>
        </w:rPr>
        <w:t xml:space="preserve">relación sexual. </w:t>
      </w:r>
    </w:p>
    <w:p w:rsidR="00151021" w:rsidRPr="002720D0" w:rsidRDefault="004F6364" w:rsidP="004F6364">
      <w:pPr>
        <w:pStyle w:val="SingleTxtG"/>
        <w:tabs>
          <w:tab w:val="left" w:pos="-360"/>
        </w:tabs>
        <w:rPr>
          <w:lang w:val="es-ES_tradnl"/>
        </w:rPr>
      </w:pPr>
      <w:r w:rsidRPr="002720D0">
        <w:rPr>
          <w:lang w:val="es-ES_tradnl"/>
        </w:rPr>
        <w:t>180.</w:t>
      </w:r>
      <w:r w:rsidRPr="002720D0">
        <w:rPr>
          <w:lang w:val="es-ES_tradnl"/>
        </w:rPr>
        <w:tab/>
      </w:r>
      <w:r w:rsidR="0024759E" w:rsidRPr="002720D0">
        <w:rPr>
          <w:lang w:val="es-ES_tradnl"/>
        </w:rPr>
        <w:t>Existe un conocimiento generalizado de los métodos de prevención del VI</w:t>
      </w:r>
      <w:r w:rsidR="008821D8" w:rsidRPr="002720D0">
        <w:rPr>
          <w:lang w:val="es-ES_tradnl"/>
        </w:rPr>
        <w:t>H</w:t>
      </w:r>
      <w:r w:rsidR="0024759E" w:rsidRPr="002720D0">
        <w:rPr>
          <w:lang w:val="es-ES_tradnl"/>
        </w:rPr>
        <w:t xml:space="preserve">/SIDA. Casi nueve de cada diez encuestados (el 87% de las mujeres y el 90% de los varones) saben que las posibilidades de quedar infectado por el virus del </w:t>
      </w:r>
      <w:r w:rsidR="00950B30" w:rsidRPr="002720D0">
        <w:rPr>
          <w:lang w:val="es-ES_tradnl"/>
        </w:rPr>
        <w:t>sida</w:t>
      </w:r>
      <w:r w:rsidR="0024759E" w:rsidRPr="002720D0">
        <w:rPr>
          <w:lang w:val="es-ES_tradnl"/>
        </w:rPr>
        <w:t xml:space="preserve"> se reduce</w:t>
      </w:r>
      <w:r w:rsidR="008821D8" w:rsidRPr="002720D0">
        <w:rPr>
          <w:lang w:val="es-ES_tradnl"/>
        </w:rPr>
        <w:t>n si se mantienen</w:t>
      </w:r>
      <w:r w:rsidR="0024759E" w:rsidRPr="002720D0">
        <w:rPr>
          <w:lang w:val="es-ES_tradnl"/>
        </w:rPr>
        <w:t xml:space="preserve"> relaciones sexuales con una única pareja sexual que no esté infectada y no</w:t>
      </w:r>
      <w:r w:rsidR="00804BE1">
        <w:rPr>
          <w:lang w:val="es-ES_tradnl"/>
        </w:rPr>
        <w:t xml:space="preserve"> tenga otras parejas sexuales. Las t</w:t>
      </w:r>
      <w:r w:rsidR="0024759E" w:rsidRPr="002720D0">
        <w:rPr>
          <w:lang w:val="es-ES_tradnl"/>
        </w:rPr>
        <w:t>res cuartas partes de los encuestados (el 76% tanto de las mujeres como de los varones) saben que la posibilidad de contraer el VIH/SIDA se reduce mediante el empleo de los condones.</w:t>
      </w:r>
    </w:p>
    <w:p w:rsidR="00151021" w:rsidRPr="002720D0" w:rsidRDefault="004F6364" w:rsidP="004F6364">
      <w:pPr>
        <w:pStyle w:val="SingleTxtG"/>
        <w:tabs>
          <w:tab w:val="left" w:pos="-360"/>
        </w:tabs>
        <w:rPr>
          <w:lang w:val="es-ES_tradnl"/>
        </w:rPr>
      </w:pPr>
      <w:r w:rsidRPr="002720D0">
        <w:rPr>
          <w:lang w:val="es-ES_tradnl"/>
        </w:rPr>
        <w:t>181.</w:t>
      </w:r>
      <w:r w:rsidRPr="002720D0">
        <w:rPr>
          <w:lang w:val="es-ES_tradnl"/>
        </w:rPr>
        <w:tab/>
      </w:r>
      <w:r w:rsidR="00357748" w:rsidRPr="002720D0">
        <w:rPr>
          <w:lang w:val="es-ES_tradnl"/>
        </w:rPr>
        <w:t xml:space="preserve">Las diferencias el cuanto a los conocimientos en materia de prevención del VIH/SIDA son considerables. Si bien </w:t>
      </w:r>
      <w:r w:rsidR="005C0FDB" w:rsidRPr="002720D0">
        <w:rPr>
          <w:lang w:val="es-ES_tradnl"/>
        </w:rPr>
        <w:t xml:space="preserve">las diferencias por edades no son constantes, parecería que los jóvenes en el grupo de edades comprendidas entre los 15 y los 19 años tienen unos niveles de conocimientos inferiores a los de grupos de más edad. El conocimiento más deficiente en materia de métodos de prevención del VIH se </w:t>
      </w:r>
      <w:r w:rsidR="00D47CF2" w:rsidRPr="002720D0">
        <w:rPr>
          <w:lang w:val="es-ES_tradnl"/>
        </w:rPr>
        <w:t>da entre quienes</w:t>
      </w:r>
      <w:r w:rsidR="005C0FDB" w:rsidRPr="002720D0">
        <w:rPr>
          <w:lang w:val="es-ES_tradnl"/>
        </w:rPr>
        <w:t xml:space="preserve"> nunca han mantenido relaciones sexuales. Los niveles de conocimiento</w:t>
      </w:r>
      <w:r w:rsidR="00D47CF2" w:rsidRPr="002720D0">
        <w:rPr>
          <w:lang w:val="es-ES_tradnl"/>
        </w:rPr>
        <w:t>s</w:t>
      </w:r>
      <w:r w:rsidR="005C0FDB" w:rsidRPr="002720D0">
        <w:rPr>
          <w:lang w:val="es-ES_tradnl"/>
        </w:rPr>
        <w:t xml:space="preserve"> relativo</w:t>
      </w:r>
      <w:r w:rsidR="00D47CF2" w:rsidRPr="002720D0">
        <w:rPr>
          <w:lang w:val="es-ES_tradnl"/>
        </w:rPr>
        <w:t>s</w:t>
      </w:r>
      <w:r w:rsidR="005C0FDB" w:rsidRPr="002720D0">
        <w:rPr>
          <w:lang w:val="es-ES_tradnl"/>
        </w:rPr>
        <w:t xml:space="preserve"> a los métodos preventivos son superiores en las zonas urbanas que en las rurales. Por norma general, </w:t>
      </w:r>
      <w:r w:rsidR="00D47CF2" w:rsidRPr="002720D0">
        <w:rPr>
          <w:lang w:val="es-ES_tradnl"/>
        </w:rPr>
        <w:t xml:space="preserve">son mayores las probabilidades de que </w:t>
      </w:r>
      <w:r w:rsidR="009619A4" w:rsidRPr="002720D0">
        <w:rPr>
          <w:lang w:val="es-ES_tradnl"/>
        </w:rPr>
        <w:t xml:space="preserve">los encuestados de Tanzanía continental </w:t>
      </w:r>
      <w:r w:rsidR="00D47CF2" w:rsidRPr="002720D0">
        <w:rPr>
          <w:lang w:val="es-ES_tradnl"/>
        </w:rPr>
        <w:t>tengan</w:t>
      </w:r>
      <w:r w:rsidR="005C0FDB" w:rsidRPr="002720D0">
        <w:rPr>
          <w:lang w:val="es-ES_tradnl"/>
        </w:rPr>
        <w:t xml:space="preserve"> conocimiento</w:t>
      </w:r>
      <w:r w:rsidR="00D47CF2" w:rsidRPr="002720D0">
        <w:rPr>
          <w:lang w:val="es-ES_tradnl"/>
        </w:rPr>
        <w:t>s sobre</w:t>
      </w:r>
      <w:r w:rsidR="005C0FDB" w:rsidRPr="002720D0">
        <w:rPr>
          <w:lang w:val="es-ES_tradnl"/>
        </w:rPr>
        <w:t xml:space="preserve"> diversos métodos de prevención del VIH </w:t>
      </w:r>
      <w:r w:rsidR="009619A4" w:rsidRPr="002720D0">
        <w:rPr>
          <w:lang w:val="es-ES_tradnl"/>
        </w:rPr>
        <w:t xml:space="preserve">que los de Zanzíbar. Por ejemplo, el 71% de los varones de Tanzanía continental, y el 44% de los de Zanzíbar, saben que tanto el empleo de condones como la limitación de las relaciones sexuales a una única pareja reducen el riesgo de contraer el VIH/SIDA. </w:t>
      </w:r>
    </w:p>
    <w:p w:rsidR="00151021" w:rsidRPr="002720D0" w:rsidRDefault="004F6364" w:rsidP="004F6364">
      <w:pPr>
        <w:pStyle w:val="SingleTxtG"/>
        <w:tabs>
          <w:tab w:val="left" w:pos="-360"/>
        </w:tabs>
        <w:rPr>
          <w:lang w:val="es-ES_tradnl"/>
        </w:rPr>
      </w:pPr>
      <w:r w:rsidRPr="002720D0">
        <w:rPr>
          <w:lang w:val="es-ES_tradnl"/>
        </w:rPr>
        <w:t>182.</w:t>
      </w:r>
      <w:r w:rsidRPr="002720D0">
        <w:rPr>
          <w:lang w:val="es-ES_tradnl"/>
        </w:rPr>
        <w:tab/>
      </w:r>
      <w:r w:rsidR="001425F9" w:rsidRPr="002720D0">
        <w:rPr>
          <w:lang w:val="es-ES_tradnl"/>
        </w:rPr>
        <w:t xml:space="preserve">Destaca en especial la variación por regiones. Por ejemplo, en Tanzanía continental el 88% de las mujeres de </w:t>
      </w:r>
      <w:r w:rsidR="00151021" w:rsidRPr="002720D0">
        <w:rPr>
          <w:lang w:val="es-ES_tradnl"/>
        </w:rPr>
        <w:t xml:space="preserve">Dodoma </w:t>
      </w:r>
      <w:r w:rsidR="001425F9" w:rsidRPr="002720D0">
        <w:rPr>
          <w:lang w:val="es-ES_tradnl"/>
        </w:rPr>
        <w:t xml:space="preserve">conocen ambos métodos de prevención del VIH/SIDA, en comparación con el 50% de las mujeres de </w:t>
      </w:r>
      <w:r w:rsidR="00151021" w:rsidRPr="002720D0">
        <w:rPr>
          <w:lang w:val="es-ES_tradnl"/>
        </w:rPr>
        <w:t xml:space="preserve">Mwanza. </w:t>
      </w:r>
      <w:r w:rsidR="001425F9" w:rsidRPr="002720D0">
        <w:rPr>
          <w:lang w:val="es-ES_tradnl"/>
        </w:rPr>
        <w:t>Por lo que respecta a los varones, la gama de porcentajes de conocimiento de ambos métodos va</w:t>
      </w:r>
      <w:r w:rsidR="00A47563">
        <w:rPr>
          <w:lang w:val="es-ES_tradnl"/>
        </w:rPr>
        <w:t>ría</w:t>
      </w:r>
      <w:r w:rsidR="001425F9" w:rsidRPr="002720D0">
        <w:rPr>
          <w:lang w:val="es-ES_tradnl"/>
        </w:rPr>
        <w:t xml:space="preserve"> </w:t>
      </w:r>
      <w:r w:rsidR="00A47563">
        <w:rPr>
          <w:lang w:val="es-ES_tradnl"/>
        </w:rPr>
        <w:t>entre</w:t>
      </w:r>
      <w:r w:rsidR="001425F9" w:rsidRPr="002720D0">
        <w:rPr>
          <w:lang w:val="es-ES_tradnl"/>
        </w:rPr>
        <w:t xml:space="preserve"> un </w:t>
      </w:r>
      <w:r w:rsidR="00151021" w:rsidRPr="002720D0">
        <w:rPr>
          <w:lang w:val="es-ES_tradnl"/>
        </w:rPr>
        <w:t>88</w:t>
      </w:r>
      <w:r w:rsidR="00153B23" w:rsidRPr="002720D0">
        <w:rPr>
          <w:lang w:val="es-ES_tradnl"/>
        </w:rPr>
        <w:t>%</w:t>
      </w:r>
      <w:r w:rsidR="001425F9" w:rsidRPr="002720D0">
        <w:rPr>
          <w:lang w:val="es-ES_tradnl"/>
        </w:rPr>
        <w:t xml:space="preserve"> en Dodoma</w:t>
      </w:r>
      <w:r w:rsidR="00A47563">
        <w:rPr>
          <w:lang w:val="es-ES_tradnl"/>
        </w:rPr>
        <w:t xml:space="preserve"> y</w:t>
      </w:r>
      <w:r w:rsidR="001425F9" w:rsidRPr="002720D0">
        <w:rPr>
          <w:lang w:val="es-ES_tradnl"/>
        </w:rPr>
        <w:t xml:space="preserve"> un</w:t>
      </w:r>
      <w:r w:rsidR="00151021" w:rsidRPr="002720D0">
        <w:rPr>
          <w:lang w:val="es-ES_tradnl"/>
        </w:rPr>
        <w:t xml:space="preserve"> 47</w:t>
      </w:r>
      <w:r w:rsidR="00153B23" w:rsidRPr="002720D0">
        <w:rPr>
          <w:lang w:val="es-ES_tradnl"/>
        </w:rPr>
        <w:t>%</w:t>
      </w:r>
      <w:r w:rsidR="001425F9" w:rsidRPr="002720D0">
        <w:rPr>
          <w:lang w:val="es-ES_tradnl"/>
        </w:rPr>
        <w:t xml:space="preserve"> e</w:t>
      </w:r>
      <w:r w:rsidR="00151021" w:rsidRPr="002720D0">
        <w:rPr>
          <w:lang w:val="es-ES_tradnl"/>
        </w:rPr>
        <w:t>n Arusha.</w:t>
      </w:r>
    </w:p>
    <w:p w:rsidR="00151021" w:rsidRPr="002720D0" w:rsidRDefault="00D562EC" w:rsidP="00586395">
      <w:pPr>
        <w:pStyle w:val="H23G"/>
        <w:outlineLvl w:val="0"/>
        <w:rPr>
          <w:lang w:val="es-ES_tradnl"/>
        </w:rPr>
      </w:pPr>
      <w:r w:rsidRPr="002720D0">
        <w:rPr>
          <w:lang w:val="es-ES_tradnl"/>
        </w:rPr>
        <w:tab/>
      </w:r>
      <w:r w:rsidR="00151021" w:rsidRPr="002720D0">
        <w:rPr>
          <w:lang w:val="es-ES_tradnl"/>
        </w:rPr>
        <w:t>b)</w:t>
      </w:r>
      <w:r w:rsidRPr="002720D0">
        <w:rPr>
          <w:lang w:val="es-ES_tradnl"/>
        </w:rPr>
        <w:tab/>
      </w:r>
      <w:r w:rsidR="00B93F35" w:rsidRPr="002720D0">
        <w:rPr>
          <w:lang w:val="es-ES_tradnl"/>
        </w:rPr>
        <w:t xml:space="preserve">Conocimientos relativos a la prevención de la transmisión </w:t>
      </w:r>
      <w:r w:rsidR="00A47563">
        <w:rPr>
          <w:lang w:val="es-ES_tradnl"/>
        </w:rPr>
        <w:t>de la madre al niño</w:t>
      </w:r>
      <w:r w:rsidR="006340C3">
        <w:rPr>
          <w:lang w:val="es-ES_tradnl"/>
        </w:rPr>
        <w:t xml:space="preserve"> </w:t>
      </w:r>
      <w:r w:rsidR="006340C3">
        <w:rPr>
          <w:lang w:val="es-ES_tradnl"/>
        </w:rPr>
        <w:br/>
        <w:t>del VIH</w:t>
      </w:r>
    </w:p>
    <w:p w:rsidR="00151021" w:rsidRPr="002720D0" w:rsidRDefault="004F6364" w:rsidP="004F6364">
      <w:pPr>
        <w:pStyle w:val="SingleTxtG"/>
        <w:tabs>
          <w:tab w:val="left" w:pos="-360"/>
        </w:tabs>
        <w:rPr>
          <w:lang w:val="es-ES_tradnl"/>
        </w:rPr>
      </w:pPr>
      <w:r w:rsidRPr="002720D0">
        <w:rPr>
          <w:lang w:val="es-ES_tradnl"/>
        </w:rPr>
        <w:t>183.</w:t>
      </w:r>
      <w:r w:rsidRPr="002720D0">
        <w:rPr>
          <w:lang w:val="es-ES_tradnl"/>
        </w:rPr>
        <w:tab/>
      </w:r>
      <w:r w:rsidR="006820A4" w:rsidRPr="002720D0">
        <w:rPr>
          <w:lang w:val="es-ES_tradnl"/>
        </w:rPr>
        <w:t xml:space="preserve">Tanto el aumento del nivel </w:t>
      </w:r>
      <w:r w:rsidR="00B93F35" w:rsidRPr="002720D0">
        <w:rPr>
          <w:lang w:val="es-ES_tradnl"/>
        </w:rPr>
        <w:t xml:space="preserve">de conocimiento general relativo a la </w:t>
      </w:r>
      <w:r w:rsidR="004E5B2C" w:rsidRPr="002720D0">
        <w:rPr>
          <w:lang w:val="es-ES_tradnl"/>
        </w:rPr>
        <w:t>transmisión</w:t>
      </w:r>
      <w:r w:rsidR="00B93F35" w:rsidRPr="002720D0">
        <w:rPr>
          <w:lang w:val="es-ES_tradnl"/>
        </w:rPr>
        <w:t xml:space="preserve"> </w:t>
      </w:r>
      <w:r w:rsidR="00A47563">
        <w:rPr>
          <w:lang w:val="es-ES_tradnl"/>
        </w:rPr>
        <w:t>de la madre al niño</w:t>
      </w:r>
      <w:r w:rsidR="00B93F35" w:rsidRPr="002720D0">
        <w:rPr>
          <w:lang w:val="es-ES_tradnl"/>
        </w:rPr>
        <w:t xml:space="preserve"> del VIH como la reducción del riesgo de transmisión mediante </w:t>
      </w:r>
      <w:r w:rsidR="006820A4" w:rsidRPr="002720D0">
        <w:rPr>
          <w:lang w:val="es-ES_tradnl"/>
        </w:rPr>
        <w:t>la administración</w:t>
      </w:r>
      <w:r w:rsidR="00B93F35" w:rsidRPr="002720D0">
        <w:rPr>
          <w:lang w:val="es-ES_tradnl"/>
        </w:rPr>
        <w:t xml:space="preserve"> de medicamentos antirretrovirales son fundamentales para la reducción de la transmisión maternoinfantil del VIH durante el embarazo, el parto y la lactancia. Para evaluar los conocimientos relativos a la transmisión </w:t>
      </w:r>
      <w:r w:rsidR="00A47563">
        <w:rPr>
          <w:lang w:val="es-ES_tradnl"/>
        </w:rPr>
        <w:t>de la madre al niño</w:t>
      </w:r>
      <w:r w:rsidR="00B93F35" w:rsidRPr="002720D0">
        <w:rPr>
          <w:lang w:val="es-ES_tradnl"/>
        </w:rPr>
        <w:t xml:space="preserve">, se preguntó a los encuestados si el virus que produce el </w:t>
      </w:r>
      <w:r w:rsidR="00950B30" w:rsidRPr="002720D0">
        <w:rPr>
          <w:lang w:val="es-ES_tradnl"/>
        </w:rPr>
        <w:t>sida</w:t>
      </w:r>
      <w:r w:rsidR="00B93F35" w:rsidRPr="002720D0">
        <w:rPr>
          <w:lang w:val="es-ES_tradnl"/>
        </w:rPr>
        <w:t xml:space="preserve"> se puede transmitir por la madre al lactante y si la madre con VIH puede reducir el riesgo de transmisión mediante </w:t>
      </w:r>
      <w:r w:rsidR="006820A4" w:rsidRPr="002720D0">
        <w:rPr>
          <w:lang w:val="es-ES_tradnl"/>
        </w:rPr>
        <w:t>el tratamiento</w:t>
      </w:r>
      <w:r w:rsidR="00B93F35" w:rsidRPr="002720D0">
        <w:rPr>
          <w:lang w:val="es-ES_tradnl"/>
        </w:rPr>
        <w:t xml:space="preserve"> con determinados </w:t>
      </w:r>
      <w:r w:rsidR="006820A4" w:rsidRPr="002720D0">
        <w:rPr>
          <w:lang w:val="es-ES_tradnl"/>
        </w:rPr>
        <w:t>medicamentos durante el embarazo</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184.</w:t>
      </w:r>
      <w:r w:rsidRPr="002720D0">
        <w:rPr>
          <w:lang w:val="es-ES_tradnl"/>
        </w:rPr>
        <w:tab/>
      </w:r>
      <w:r w:rsidR="006820A4" w:rsidRPr="002720D0">
        <w:rPr>
          <w:lang w:val="es-ES_tradnl"/>
        </w:rPr>
        <w:t xml:space="preserve">Los datos disponibles reflejan que el 89% de las mujeres y el 81% de los varones saben que el VIH se puede transmitir mediante la lactancia materna. Un número algo menor (el 75% de las mujeres y el 67% de los varones) sabe que el riesgo de transmisión </w:t>
      </w:r>
      <w:r w:rsidR="00A47563">
        <w:rPr>
          <w:lang w:val="es-ES_tradnl"/>
        </w:rPr>
        <w:t>de la madre al niño</w:t>
      </w:r>
      <w:r w:rsidR="006820A4" w:rsidRPr="002720D0">
        <w:rPr>
          <w:lang w:val="es-ES_tradnl"/>
        </w:rPr>
        <w:t xml:space="preserve"> se puede reducir mediante la administración de medicamentos antirretrovirales</w:t>
      </w:r>
      <w:r w:rsidR="00A47563">
        <w:rPr>
          <w:lang w:val="es-ES_tradnl"/>
        </w:rPr>
        <w:t xml:space="preserve"> durante el embarazo</w:t>
      </w:r>
      <w:r w:rsidR="006820A4" w:rsidRPr="002720D0">
        <w:rPr>
          <w:lang w:val="es-ES_tradnl"/>
        </w:rPr>
        <w:t>.</w:t>
      </w:r>
      <w:r w:rsidR="00A47563">
        <w:rPr>
          <w:lang w:val="es-ES_tradnl"/>
        </w:rPr>
        <w:t xml:space="preserve"> El 72% de las mujeres y el 61% de los varones saben que el CIH se puede transmitir por la madre al lactante, y que el riesgo de transmisión de la madre al niño se puede reducir mediante la administración de medicamentos antirretrovirales.</w:t>
      </w:r>
      <w:r w:rsidR="006820A4" w:rsidRPr="002720D0">
        <w:rPr>
          <w:lang w:val="es-ES_tradnl"/>
        </w:rPr>
        <w:t xml:space="preserve"> </w:t>
      </w:r>
      <w:r w:rsidR="00C16543" w:rsidRPr="002720D0">
        <w:rPr>
          <w:lang w:val="es-ES_tradnl"/>
        </w:rPr>
        <w:t>Ello</w:t>
      </w:r>
      <w:r w:rsidR="006820A4" w:rsidRPr="002720D0">
        <w:rPr>
          <w:lang w:val="es-ES_tradnl"/>
        </w:rPr>
        <w:t xml:space="preserve"> supone un aumento considerable respecto de los datos reflejados en el estudio demográfico</w:t>
      </w:r>
      <w:r w:rsidR="00C16543" w:rsidRPr="002720D0">
        <w:rPr>
          <w:lang w:val="es-ES_tradnl"/>
        </w:rPr>
        <w:t xml:space="preserve"> y de salud de Tanzanía de 2004-</w:t>
      </w:r>
      <w:r w:rsidR="006820A4" w:rsidRPr="002720D0">
        <w:rPr>
          <w:lang w:val="es-ES_tradnl"/>
        </w:rPr>
        <w:t>2005 (el 29% de las mujeres y el 30% de los varones) y la Encuesta de indicadores del VIH/SIDA y la malaria de Tan</w:t>
      </w:r>
      <w:r w:rsidR="00C16543" w:rsidRPr="002720D0">
        <w:rPr>
          <w:lang w:val="es-ES_tradnl"/>
        </w:rPr>
        <w:t>zanía de 2007-</w:t>
      </w:r>
      <w:r w:rsidR="006820A4" w:rsidRPr="002720D0">
        <w:rPr>
          <w:lang w:val="es-ES_tradnl"/>
        </w:rPr>
        <w:t xml:space="preserve">2008 (el 49% de las mujeres y el 38% de los varones). </w:t>
      </w:r>
    </w:p>
    <w:p w:rsidR="00151021" w:rsidRPr="002720D0" w:rsidRDefault="00D562EC" w:rsidP="00586395">
      <w:pPr>
        <w:pStyle w:val="H23G"/>
        <w:outlineLvl w:val="0"/>
        <w:rPr>
          <w:lang w:val="es-ES_tradnl"/>
        </w:rPr>
      </w:pPr>
      <w:r w:rsidRPr="002720D0">
        <w:rPr>
          <w:lang w:val="es-ES_tradnl"/>
        </w:rPr>
        <w:tab/>
      </w:r>
      <w:r w:rsidR="00151021" w:rsidRPr="002720D0">
        <w:rPr>
          <w:lang w:val="es-ES_tradnl"/>
        </w:rPr>
        <w:t>c)</w:t>
      </w:r>
      <w:r w:rsidRPr="002720D0">
        <w:rPr>
          <w:lang w:val="es-ES_tradnl"/>
        </w:rPr>
        <w:tab/>
      </w:r>
      <w:r w:rsidR="00151021" w:rsidRPr="002720D0">
        <w:rPr>
          <w:lang w:val="es-ES_tradnl"/>
        </w:rPr>
        <w:t>A</w:t>
      </w:r>
      <w:r w:rsidR="006820A4" w:rsidRPr="002720D0">
        <w:rPr>
          <w:lang w:val="es-ES_tradnl"/>
        </w:rPr>
        <w:t xml:space="preserve">ctitudes respecto de las personas afectadas por el </w:t>
      </w:r>
      <w:r w:rsidR="005D0EA8">
        <w:rPr>
          <w:lang w:val="es-ES_tradnl"/>
        </w:rPr>
        <w:t>sida</w:t>
      </w:r>
    </w:p>
    <w:p w:rsidR="00151021" w:rsidRPr="002720D0" w:rsidRDefault="004F6364" w:rsidP="004F6364">
      <w:pPr>
        <w:pStyle w:val="SingleTxtG"/>
        <w:tabs>
          <w:tab w:val="left" w:pos="-360"/>
        </w:tabs>
        <w:rPr>
          <w:lang w:val="es-ES_tradnl"/>
        </w:rPr>
      </w:pPr>
      <w:r w:rsidRPr="002720D0">
        <w:rPr>
          <w:lang w:val="es-ES_tradnl"/>
        </w:rPr>
        <w:t>185.</w:t>
      </w:r>
      <w:r w:rsidRPr="002720D0">
        <w:rPr>
          <w:lang w:val="es-ES_tradnl"/>
        </w:rPr>
        <w:tab/>
      </w:r>
      <w:r w:rsidR="009F418B" w:rsidRPr="002720D0">
        <w:rPr>
          <w:lang w:val="es-ES_tradnl"/>
        </w:rPr>
        <w:t xml:space="preserve">La estigmatización y discriminación generalizadas respecto de las personas </w:t>
      </w:r>
      <w:r w:rsidR="00344114">
        <w:rPr>
          <w:lang w:val="es-ES_tradnl"/>
        </w:rPr>
        <w:t xml:space="preserve">infectadas del </w:t>
      </w:r>
      <w:r w:rsidR="009F418B" w:rsidRPr="002720D0">
        <w:rPr>
          <w:lang w:val="es-ES_tradnl"/>
        </w:rPr>
        <w:t xml:space="preserve">VIH o </w:t>
      </w:r>
      <w:r w:rsidR="00344114">
        <w:rPr>
          <w:lang w:val="es-ES_tradnl"/>
        </w:rPr>
        <w:t>afectadas por el</w:t>
      </w:r>
      <w:r w:rsidR="009F418B" w:rsidRPr="002720D0">
        <w:rPr>
          <w:lang w:val="es-ES_tradnl"/>
        </w:rPr>
        <w:t xml:space="preserve"> </w:t>
      </w:r>
      <w:r w:rsidR="00950B30" w:rsidRPr="002720D0">
        <w:rPr>
          <w:lang w:val="es-ES_tradnl"/>
        </w:rPr>
        <w:t>sida</w:t>
      </w:r>
      <w:r w:rsidR="009F418B" w:rsidRPr="002720D0">
        <w:rPr>
          <w:lang w:val="es-ES_tradnl"/>
        </w:rPr>
        <w:t xml:space="preserve"> pueden tener efectos adversos tanto en la disposición de las personas a someterse a pruebas del VIH como en su constancia en la terapia con medicamentos antirretrovirales. Por consiguiente, la reducción del estigma y la discriminación es un indicador importante del éxito de los programas destinados a la prevención y el control del VIH/SIDA. </w:t>
      </w:r>
    </w:p>
    <w:p w:rsidR="00151021" w:rsidRPr="002720D0" w:rsidRDefault="004F6364" w:rsidP="004F6364">
      <w:pPr>
        <w:pStyle w:val="SingleTxtG"/>
        <w:tabs>
          <w:tab w:val="left" w:pos="-360"/>
        </w:tabs>
        <w:rPr>
          <w:lang w:val="es-ES_tradnl"/>
        </w:rPr>
      </w:pPr>
      <w:r w:rsidRPr="002720D0">
        <w:rPr>
          <w:lang w:val="es-ES_tradnl"/>
        </w:rPr>
        <w:t>186.</w:t>
      </w:r>
      <w:r w:rsidRPr="002720D0">
        <w:rPr>
          <w:lang w:val="es-ES_tradnl"/>
        </w:rPr>
        <w:tab/>
      </w:r>
      <w:r w:rsidR="009F418B" w:rsidRPr="002720D0">
        <w:rPr>
          <w:lang w:val="es-ES_tradnl"/>
        </w:rPr>
        <w:t xml:space="preserve">La mayoría de las mujeres y de los varones estarían dispuestos a ocuparse en su hogar </w:t>
      </w:r>
      <w:r w:rsidR="00AF77A9" w:rsidRPr="002720D0">
        <w:rPr>
          <w:lang w:val="es-ES_tradnl"/>
        </w:rPr>
        <w:t xml:space="preserve">de un familiar infectado de </w:t>
      </w:r>
      <w:r w:rsidR="00950B30" w:rsidRPr="002720D0">
        <w:rPr>
          <w:lang w:val="es-ES_tradnl"/>
        </w:rPr>
        <w:t>sida</w:t>
      </w:r>
      <w:r w:rsidR="00AF77A9" w:rsidRPr="002720D0">
        <w:rPr>
          <w:lang w:val="es-ES_tradnl"/>
        </w:rPr>
        <w:t xml:space="preserve"> (nueve de cada diez encuestados), siete de cada diez comprarían hortalizas frescas de un vendedor de mercado </w:t>
      </w:r>
      <w:r w:rsidR="00C16543" w:rsidRPr="002720D0">
        <w:rPr>
          <w:lang w:val="es-ES_tradnl"/>
        </w:rPr>
        <w:t xml:space="preserve">que estuviera infectado de </w:t>
      </w:r>
      <w:r w:rsidR="00950B30" w:rsidRPr="002720D0">
        <w:rPr>
          <w:lang w:val="es-ES_tradnl"/>
        </w:rPr>
        <w:t>sida</w:t>
      </w:r>
      <w:r w:rsidR="00AF77A9" w:rsidRPr="002720D0">
        <w:rPr>
          <w:lang w:val="es-ES_tradnl"/>
        </w:rPr>
        <w:t xml:space="preserve"> y ocho de cada diez consideran que se deber</w:t>
      </w:r>
      <w:r w:rsidR="00C16543" w:rsidRPr="002720D0">
        <w:rPr>
          <w:lang w:val="es-ES_tradnl"/>
        </w:rPr>
        <w:t>ía permitir que una maestra sero</w:t>
      </w:r>
      <w:r w:rsidR="00AF77A9" w:rsidRPr="002720D0">
        <w:rPr>
          <w:lang w:val="es-ES_tradnl"/>
        </w:rPr>
        <w:t>positiva sig</w:t>
      </w:r>
      <w:r w:rsidR="00344114">
        <w:rPr>
          <w:lang w:val="es-ES_tradnl"/>
        </w:rPr>
        <w:t>uier</w:t>
      </w:r>
      <w:r w:rsidR="00AF77A9" w:rsidRPr="002720D0">
        <w:rPr>
          <w:lang w:val="es-ES_tradnl"/>
        </w:rPr>
        <w:t xml:space="preserve">a enseñando. Si bien existen pequeñas diferencias motivadas por el sexo respecto de estos tres indicadores, menos de la mitad de las mujeres encuestadas (el 44%) y algo más de la mitad de los varones (el 57%) no querrían mantener secreto el hecho de que un miembro de su familia estaba infectado de </w:t>
      </w:r>
      <w:r w:rsidR="00950B30" w:rsidRPr="002720D0">
        <w:rPr>
          <w:lang w:val="es-ES_tradnl"/>
        </w:rPr>
        <w:t>sida</w:t>
      </w:r>
      <w:r w:rsidR="00AF77A9" w:rsidRPr="002720D0">
        <w:rPr>
          <w:lang w:val="es-ES_tradnl"/>
        </w:rPr>
        <w:t xml:space="preserve">. Solo el 30% de las mujeres y el 41% de los varones manifestaron su aceptación respecto de los cuatro indicadores, a saber: cuidarían de un familiar infectado de </w:t>
      </w:r>
      <w:r w:rsidR="00950B30" w:rsidRPr="002720D0">
        <w:rPr>
          <w:lang w:val="es-ES_tradnl"/>
        </w:rPr>
        <w:t>sida</w:t>
      </w:r>
      <w:r w:rsidR="00AF77A9" w:rsidRPr="002720D0">
        <w:rPr>
          <w:lang w:val="es-ES_tradnl"/>
        </w:rPr>
        <w:t xml:space="preserve"> en su hogar, compraría</w:t>
      </w:r>
      <w:r w:rsidR="00C16543" w:rsidRPr="002720D0">
        <w:rPr>
          <w:lang w:val="es-ES_tradnl"/>
        </w:rPr>
        <w:t>n</w:t>
      </w:r>
      <w:r w:rsidR="00AF77A9" w:rsidRPr="002720D0">
        <w:rPr>
          <w:lang w:val="es-ES_tradnl"/>
        </w:rPr>
        <w:t xml:space="preserve"> comida fresca de un vendedor con </w:t>
      </w:r>
      <w:r w:rsidR="00950B30" w:rsidRPr="002720D0">
        <w:rPr>
          <w:lang w:val="es-ES_tradnl"/>
        </w:rPr>
        <w:t>sida</w:t>
      </w:r>
      <w:r w:rsidR="00AF77A9" w:rsidRPr="002720D0">
        <w:rPr>
          <w:lang w:val="es-ES_tradnl"/>
        </w:rPr>
        <w:t xml:space="preserve">, </w:t>
      </w:r>
      <w:r w:rsidR="00C16543" w:rsidRPr="002720D0">
        <w:rPr>
          <w:lang w:val="es-ES_tradnl"/>
        </w:rPr>
        <w:t>permitirían que una maestra sero</w:t>
      </w:r>
      <w:r w:rsidR="00AF77A9" w:rsidRPr="002720D0">
        <w:rPr>
          <w:lang w:val="es-ES_tradnl"/>
        </w:rPr>
        <w:t>positiva siguiera enseñando y no mantendrían secreto el h</w:t>
      </w:r>
      <w:r w:rsidR="00C16543" w:rsidRPr="002720D0">
        <w:rPr>
          <w:lang w:val="es-ES_tradnl"/>
        </w:rPr>
        <w:t>echo de que un familiar era sero</w:t>
      </w:r>
      <w:r w:rsidR="00AF77A9" w:rsidRPr="002720D0">
        <w:rPr>
          <w:lang w:val="es-ES_tradnl"/>
        </w:rPr>
        <w:t xml:space="preserve">positivo. </w:t>
      </w:r>
    </w:p>
    <w:p w:rsidR="00151021" w:rsidRPr="002720D0" w:rsidRDefault="004F6364" w:rsidP="004F6364">
      <w:pPr>
        <w:pStyle w:val="SingleTxtG"/>
        <w:tabs>
          <w:tab w:val="left" w:pos="-360"/>
        </w:tabs>
        <w:rPr>
          <w:lang w:val="es-ES_tradnl"/>
        </w:rPr>
      </w:pPr>
      <w:r w:rsidRPr="002720D0">
        <w:rPr>
          <w:lang w:val="es-ES_tradnl"/>
        </w:rPr>
        <w:t>187.</w:t>
      </w:r>
      <w:r w:rsidRPr="002720D0">
        <w:rPr>
          <w:lang w:val="es-ES_tradnl"/>
        </w:rPr>
        <w:tab/>
      </w:r>
      <w:r w:rsidR="00AF77A9" w:rsidRPr="002720D0">
        <w:rPr>
          <w:lang w:val="es-ES_tradnl"/>
        </w:rPr>
        <w:t>Las mujeres y los varones de Zanzíbar muestran una mayor aceptación de estos cuatro indicadores de tolerancia (el 40% de las mujeres y el 53% de los varones), en comparación con los de Tanzanía continental (el 30% de las mujeres y el 41% de los varones). Entre la</w:t>
      </w:r>
      <w:r w:rsidR="00344114">
        <w:rPr>
          <w:lang w:val="es-ES_tradnl"/>
        </w:rPr>
        <w:t>s</w:t>
      </w:r>
      <w:r w:rsidR="00AF77A9" w:rsidRPr="002720D0">
        <w:rPr>
          <w:lang w:val="es-ES_tradnl"/>
        </w:rPr>
        <w:t xml:space="preserve"> mujeres, la mayor tasa de aceptación se en</w:t>
      </w:r>
      <w:r w:rsidR="00C45FCB">
        <w:rPr>
          <w:lang w:val="es-ES_tradnl"/>
        </w:rPr>
        <w:t>cuentra en la zona oriental (el </w:t>
      </w:r>
      <w:r w:rsidR="00AF77A9" w:rsidRPr="002720D0">
        <w:rPr>
          <w:lang w:val="es-ES_tradnl"/>
        </w:rPr>
        <w:t xml:space="preserve">39%), y la menor en las zonas </w:t>
      </w:r>
      <w:r w:rsidR="00A7068F" w:rsidRPr="002720D0">
        <w:rPr>
          <w:lang w:val="es-ES_tradnl"/>
        </w:rPr>
        <w:t>de los Lagos y Meridional (el 22%). Entre los varones, la mayor tasa de aceptación se halla en la zona Cen</w:t>
      </w:r>
      <w:r w:rsidR="00C16543" w:rsidRPr="002720D0">
        <w:rPr>
          <w:lang w:val="es-ES_tradnl"/>
        </w:rPr>
        <w:t xml:space="preserve">tral (el 54%), y la menor </w:t>
      </w:r>
      <w:r w:rsidR="00A7068F" w:rsidRPr="002720D0">
        <w:rPr>
          <w:lang w:val="es-ES_tradnl"/>
        </w:rPr>
        <w:t xml:space="preserve">en la zona de los Lagos (el </w:t>
      </w:r>
      <w:r w:rsidR="00151021" w:rsidRPr="002720D0">
        <w:rPr>
          <w:lang w:val="es-ES_tradnl"/>
        </w:rPr>
        <w:t>30</w:t>
      </w:r>
      <w:r w:rsidR="00153B23" w:rsidRPr="002720D0">
        <w:rPr>
          <w:lang w:val="es-ES_tradnl"/>
        </w:rPr>
        <w:t>%</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188.</w:t>
      </w:r>
      <w:r w:rsidRPr="002720D0">
        <w:rPr>
          <w:lang w:val="es-ES_tradnl"/>
        </w:rPr>
        <w:tab/>
      </w:r>
      <w:r w:rsidR="00A7068F" w:rsidRPr="002720D0">
        <w:rPr>
          <w:lang w:val="es-ES_tradnl"/>
        </w:rPr>
        <w:t xml:space="preserve">Entre los encuestados en las zonas urbanas existe un 150% de probabilidades de aceptación, respecto de los de zonas rurales, de los cuatro indicadores. </w:t>
      </w:r>
      <w:r w:rsidR="00C16543" w:rsidRPr="002720D0">
        <w:rPr>
          <w:lang w:val="es-ES_tradnl"/>
        </w:rPr>
        <w:t>Los niveles de formación y</w:t>
      </w:r>
      <w:r w:rsidR="00A7068F" w:rsidRPr="002720D0">
        <w:rPr>
          <w:lang w:val="es-ES_tradnl"/>
        </w:rPr>
        <w:t xml:space="preserve"> de ingresos guardan una relación directa con las actitudes positivas respecto de las personas </w:t>
      </w:r>
      <w:r w:rsidR="00C16543" w:rsidRPr="002720D0">
        <w:rPr>
          <w:lang w:val="es-ES_tradnl"/>
        </w:rPr>
        <w:t>seropositivas.</w:t>
      </w:r>
      <w:r w:rsidR="00A7068F" w:rsidRPr="002720D0">
        <w:rPr>
          <w:lang w:val="es-ES_tradnl"/>
        </w:rPr>
        <w:t xml:space="preserve"> Entre las mujeres y los varones con mayor nivel </w:t>
      </w:r>
      <w:r w:rsidR="00F41C42" w:rsidRPr="002720D0">
        <w:rPr>
          <w:lang w:val="es-ES_tradnl"/>
        </w:rPr>
        <w:t>de formación</w:t>
      </w:r>
      <w:r w:rsidR="00A7068F" w:rsidRPr="002720D0">
        <w:rPr>
          <w:lang w:val="es-ES_tradnl"/>
        </w:rPr>
        <w:t xml:space="preserve"> y que pertenecen a hogares más prósperos se dan más probabilidades de aceptar </w:t>
      </w:r>
      <w:r w:rsidR="00F41C42" w:rsidRPr="002720D0">
        <w:rPr>
          <w:lang w:val="es-ES_tradnl"/>
        </w:rPr>
        <w:t xml:space="preserve">en su totalidad </w:t>
      </w:r>
      <w:r w:rsidR="00A7068F" w:rsidRPr="002720D0">
        <w:rPr>
          <w:lang w:val="es-ES_tradnl"/>
        </w:rPr>
        <w:t xml:space="preserve">los cuatro indicadores que entre los demás encuestados. </w:t>
      </w:r>
    </w:p>
    <w:p w:rsidR="00151021" w:rsidRPr="002720D0" w:rsidRDefault="00D562EC" w:rsidP="00586395">
      <w:pPr>
        <w:pStyle w:val="H23G"/>
        <w:outlineLvl w:val="0"/>
        <w:rPr>
          <w:lang w:val="es-ES_tradnl"/>
        </w:rPr>
      </w:pPr>
      <w:r w:rsidRPr="002720D0">
        <w:rPr>
          <w:lang w:val="es-ES_tradnl"/>
        </w:rPr>
        <w:tab/>
      </w:r>
      <w:r w:rsidR="00151021" w:rsidRPr="002720D0">
        <w:rPr>
          <w:lang w:val="es-ES_tradnl"/>
        </w:rPr>
        <w:t>d)</w:t>
      </w:r>
      <w:r w:rsidRPr="002720D0">
        <w:rPr>
          <w:lang w:val="es-ES_tradnl"/>
        </w:rPr>
        <w:tab/>
      </w:r>
      <w:r w:rsidR="00151021" w:rsidRPr="002720D0">
        <w:rPr>
          <w:lang w:val="es-ES_tradnl"/>
        </w:rPr>
        <w:t>Co</w:t>
      </w:r>
      <w:r w:rsidR="00A7068F" w:rsidRPr="002720D0">
        <w:rPr>
          <w:lang w:val="es-ES_tradnl"/>
        </w:rPr>
        <w:t>bertura de l</w:t>
      </w:r>
      <w:r w:rsidR="005D0EA8">
        <w:rPr>
          <w:lang w:val="es-ES_tradnl"/>
        </w:rPr>
        <w:t>as pruebas de detección del VIH</w:t>
      </w:r>
    </w:p>
    <w:p w:rsidR="00151021" w:rsidRPr="002720D0" w:rsidRDefault="004F6364" w:rsidP="004F6364">
      <w:pPr>
        <w:pStyle w:val="SingleTxtG"/>
        <w:tabs>
          <w:tab w:val="left" w:pos="-360"/>
        </w:tabs>
        <w:rPr>
          <w:lang w:val="es-ES_tradnl"/>
        </w:rPr>
      </w:pPr>
      <w:r w:rsidRPr="002720D0">
        <w:rPr>
          <w:lang w:val="es-ES_tradnl"/>
        </w:rPr>
        <w:t>189.</w:t>
      </w:r>
      <w:r w:rsidRPr="002720D0">
        <w:rPr>
          <w:lang w:val="es-ES_tradnl"/>
        </w:rPr>
        <w:tab/>
      </w:r>
      <w:r w:rsidR="00F41C42" w:rsidRPr="002720D0">
        <w:rPr>
          <w:lang w:val="es-ES_tradnl"/>
        </w:rPr>
        <w:t>El</w:t>
      </w:r>
      <w:r w:rsidR="00A7068F" w:rsidRPr="002720D0">
        <w:rPr>
          <w:lang w:val="es-ES_tradnl"/>
        </w:rPr>
        <w:t xml:space="preserve"> conocimiento de su situación respecto del VIH ayuda a las personas seronegativas a adoptar decisiones específicas destinadas a reducir los riesgos y reforzar las</w:t>
      </w:r>
      <w:r w:rsidR="00F41C42" w:rsidRPr="002720D0">
        <w:rPr>
          <w:lang w:val="es-ES_tradnl"/>
        </w:rPr>
        <w:t xml:space="preserve"> prácticas sexuales seguras</w:t>
      </w:r>
      <w:r w:rsidR="00FE4482">
        <w:rPr>
          <w:lang w:val="es-ES_tradnl"/>
        </w:rPr>
        <w:t>,</w:t>
      </w:r>
      <w:r w:rsidR="00F41C42" w:rsidRPr="002720D0">
        <w:rPr>
          <w:lang w:val="es-ES_tradnl"/>
        </w:rPr>
        <w:t xml:space="preserve"> en aras</w:t>
      </w:r>
      <w:r w:rsidR="00A7068F" w:rsidRPr="002720D0">
        <w:rPr>
          <w:lang w:val="es-ES_tradnl"/>
        </w:rPr>
        <w:t xml:space="preserve"> de mantenerse libres de la enfermeda</w:t>
      </w:r>
      <w:r w:rsidR="00F41C42" w:rsidRPr="002720D0">
        <w:rPr>
          <w:lang w:val="es-ES_tradnl"/>
        </w:rPr>
        <w:t>d. En cuanto a las personas sero</w:t>
      </w:r>
      <w:r w:rsidR="00A7068F" w:rsidRPr="002720D0">
        <w:rPr>
          <w:lang w:val="es-ES_tradnl"/>
        </w:rPr>
        <w:t xml:space="preserve">positivas, el conocimiento de su situación les permite tomar medidas para proteger a sus parejas sexuales, acceder al tratamiento y hacer planes para el futuro. Para evaluar </w:t>
      </w:r>
      <w:r w:rsidR="009C6D93" w:rsidRPr="002720D0">
        <w:rPr>
          <w:lang w:val="es-ES_tradnl"/>
        </w:rPr>
        <w:t xml:space="preserve">la concienciación y la cobertura de los servicios de pruebas de detección de VIH, durante el estudio demográfico y de salud de Tanzanía de 2010 </w:t>
      </w:r>
      <w:r w:rsidR="00F41C42" w:rsidRPr="002720D0">
        <w:rPr>
          <w:lang w:val="es-ES_tradnl"/>
        </w:rPr>
        <w:t xml:space="preserve">se preguntó a los encuestados </w:t>
      </w:r>
      <w:r w:rsidR="009C6D93" w:rsidRPr="002720D0">
        <w:rPr>
          <w:lang w:val="es-ES_tradnl"/>
        </w:rPr>
        <w:t>si se habían sometido en algún momento a una prueba de detección del VIH. Si respondían positivamente, se les preguntaba si habían recibido los resultados de su prueba más reciente, y dónde se habían sometido a la prueba de detección. Si nunca se habían sometido a una prueba de</w:t>
      </w:r>
      <w:r w:rsidR="004E5B2C" w:rsidRPr="002720D0">
        <w:rPr>
          <w:lang w:val="es-ES_tradnl"/>
        </w:rPr>
        <w:t xml:space="preserve"> </w:t>
      </w:r>
      <w:r w:rsidR="009C6D93" w:rsidRPr="002720D0">
        <w:rPr>
          <w:lang w:val="es-ES_tradnl"/>
        </w:rPr>
        <w:t>detección, se les preguntaba si sabían de algún lugar donde pod</w:t>
      </w:r>
      <w:r w:rsidR="00F41C42" w:rsidRPr="002720D0">
        <w:rPr>
          <w:lang w:val="es-ES_tradnl"/>
        </w:rPr>
        <w:t>r</w:t>
      </w:r>
      <w:r w:rsidR="009C6D93" w:rsidRPr="002720D0">
        <w:rPr>
          <w:lang w:val="es-ES_tradnl"/>
        </w:rPr>
        <w:t>ían hacerlo.</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190.</w:t>
      </w:r>
      <w:r w:rsidRPr="002720D0">
        <w:rPr>
          <w:lang w:val="es-ES_tradnl"/>
        </w:rPr>
        <w:tab/>
      </w:r>
      <w:r w:rsidR="009C6D93" w:rsidRPr="002720D0">
        <w:rPr>
          <w:lang w:val="es-ES_tradnl"/>
        </w:rPr>
        <w:t xml:space="preserve">Los datos revelan que nueve de cada diez mujeres y varones saben dónde han de dirigirse para someterse a una prueba de detección del VIH. En los cuadros también se refleja que el 59% de las mujeres y el 43% de los varones se han sometido en algún momento a una prueba de detección del VIH, y que el 55% de las mujeres y el 40% de los varones se han sometido en algún momento a una prueba de detección del VIH y han recibido los resultados. Tres de cada diez mujeres, y el 25% de los varones, se habían sometido a pruebas de detección del VIH durante el año previo al estudio y habían recibido los resultados de sus pruebas. Estas cifras son muy superiores a las consignadas en el estudio demográfico y de </w:t>
      </w:r>
      <w:r w:rsidR="00F41C42" w:rsidRPr="002720D0">
        <w:rPr>
          <w:lang w:val="es-ES_tradnl"/>
        </w:rPr>
        <w:t>salud de Tanzanía de 2004-</w:t>
      </w:r>
      <w:r w:rsidR="009C6D93" w:rsidRPr="002720D0">
        <w:rPr>
          <w:lang w:val="es-ES_tradnl"/>
        </w:rPr>
        <w:t>2005 (el 6% de las mujeres y el 7% de los varones) y en la Encuesta de indicadores del VIH/SIDA y</w:t>
      </w:r>
      <w:r w:rsidR="00F41C42" w:rsidRPr="002720D0">
        <w:rPr>
          <w:lang w:val="es-ES_tradnl"/>
        </w:rPr>
        <w:t xml:space="preserve"> la malaria de Tanzanía de 2007-</w:t>
      </w:r>
      <w:r w:rsidR="009C6D93" w:rsidRPr="002720D0">
        <w:rPr>
          <w:lang w:val="es-ES_tradnl"/>
        </w:rPr>
        <w:t xml:space="preserve">2008 (el 19% de las mujeres y el 19% de los varones). Estos resultados parecen sugerir que la población de Tanzanía tiene un conocimiento cada vez mayor de las oportunidades de que disponen para someterse a una prueba de detección del VIH y conocer su </w:t>
      </w:r>
      <w:r w:rsidR="00F41C42" w:rsidRPr="002720D0">
        <w:rPr>
          <w:lang w:val="es-ES_tradnl"/>
        </w:rPr>
        <w:t xml:space="preserve">correspondiente </w:t>
      </w:r>
      <w:r w:rsidR="009C6D93" w:rsidRPr="002720D0">
        <w:rPr>
          <w:lang w:val="es-ES_tradnl"/>
        </w:rPr>
        <w:t>situación.</w:t>
      </w:r>
      <w:r w:rsidR="00151021" w:rsidRPr="002720D0">
        <w:rPr>
          <w:lang w:val="es-ES_tradnl"/>
        </w:rPr>
        <w:t xml:space="preserve"> </w:t>
      </w:r>
      <w:r w:rsidR="00F41C42" w:rsidRPr="002720D0">
        <w:rPr>
          <w:lang w:val="es-ES_tradnl"/>
        </w:rPr>
        <w:t>La mayor probabilidad</w:t>
      </w:r>
      <w:r w:rsidR="009C6D93" w:rsidRPr="002720D0">
        <w:rPr>
          <w:lang w:val="es-ES_tradnl"/>
        </w:rPr>
        <w:t xml:space="preserve"> </w:t>
      </w:r>
      <w:r w:rsidR="00F41C42" w:rsidRPr="002720D0">
        <w:rPr>
          <w:lang w:val="es-ES_tradnl"/>
        </w:rPr>
        <w:t xml:space="preserve">de haberse sometido a una prueba de detección del VIH se da entre las </w:t>
      </w:r>
      <w:r w:rsidR="009C6D93" w:rsidRPr="002720D0">
        <w:rPr>
          <w:lang w:val="es-ES_tradnl"/>
        </w:rPr>
        <w:t>mujeres con edades comprendidas entre los 20 y los 39 años y los varones con edades superi</w:t>
      </w:r>
      <w:r w:rsidR="00F41C42" w:rsidRPr="002720D0">
        <w:rPr>
          <w:lang w:val="es-ES_tradnl"/>
        </w:rPr>
        <w:t xml:space="preserve">ores a los 25 años. </w:t>
      </w:r>
      <w:r w:rsidR="00145C0B">
        <w:rPr>
          <w:lang w:val="es-ES_tradnl"/>
        </w:rPr>
        <w:t xml:space="preserve">Hay más probabilidades de que los encuestados de zonas urbanas se hayan sometido a una prueba de detección del VIH que los encuestados de zonas rurales. </w:t>
      </w:r>
      <w:r w:rsidR="009C6D93" w:rsidRPr="002720D0">
        <w:rPr>
          <w:lang w:val="es-ES_tradnl"/>
        </w:rPr>
        <w:t>L</w:t>
      </w:r>
      <w:r w:rsidR="00F41C42" w:rsidRPr="002720D0">
        <w:rPr>
          <w:lang w:val="es-ES_tradnl"/>
        </w:rPr>
        <w:t>a menor probabilidad de haberse sometido a esta prueba se da entre l</w:t>
      </w:r>
      <w:r w:rsidR="009C6D93" w:rsidRPr="002720D0">
        <w:rPr>
          <w:lang w:val="es-ES_tradnl"/>
        </w:rPr>
        <w:t>as mujeres y los varones que nunca han tenido relaciones sexuales. Se pueden observar patrones similares en cuanto a la realización de pruebas y la obtención de los correspondientes resultados entre las mujeres y los varones.</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191.</w:t>
      </w:r>
      <w:r w:rsidRPr="002720D0">
        <w:rPr>
          <w:lang w:val="es-ES_tradnl"/>
        </w:rPr>
        <w:tab/>
      </w:r>
      <w:r w:rsidR="00F024DC" w:rsidRPr="002720D0">
        <w:rPr>
          <w:lang w:val="es-ES_tradnl"/>
        </w:rPr>
        <w:t>Existen variaciones regionales y diferencias entre las mujeres y los varones</w:t>
      </w:r>
      <w:r w:rsidR="007F73C5">
        <w:rPr>
          <w:lang w:val="es-ES_tradnl"/>
        </w:rPr>
        <w:t xml:space="preserve">. </w:t>
      </w:r>
      <w:r w:rsidR="00F024DC" w:rsidRPr="002720D0">
        <w:rPr>
          <w:lang w:val="es-ES_tradnl"/>
        </w:rPr>
        <w:t xml:space="preserve">Es más probable que los habitantes de Tanzanía continental se hayan sometido a pruebas de detección y hayan recibido los correspondientes resultados que los habitantes de Zanzíbar. Por ejemplo, el 56% de las mujeres de Tanzanía continental y el 48% de las de Zanzíbar se han sometido a pruebas y han recibido los resultados. Solo existe una pequeña diferencia </w:t>
      </w:r>
      <w:r w:rsidR="00C624B1">
        <w:rPr>
          <w:lang w:val="es-ES_tradnl"/>
        </w:rPr>
        <w:t>en el caso de</w:t>
      </w:r>
      <w:r w:rsidR="00F024DC" w:rsidRPr="002720D0">
        <w:rPr>
          <w:lang w:val="es-ES_tradnl"/>
        </w:rPr>
        <w:t xml:space="preserve"> los varones encuestados </w:t>
      </w:r>
      <w:r w:rsidR="00151021" w:rsidRPr="002720D0">
        <w:rPr>
          <w:lang w:val="es-ES_tradnl"/>
        </w:rPr>
        <w:t>(</w:t>
      </w:r>
      <w:r w:rsidR="00F024DC" w:rsidRPr="002720D0">
        <w:rPr>
          <w:lang w:val="es-ES_tradnl"/>
        </w:rPr>
        <w:t xml:space="preserve">el </w:t>
      </w:r>
      <w:r w:rsidR="00151021" w:rsidRPr="002720D0">
        <w:rPr>
          <w:lang w:val="es-ES_tradnl"/>
        </w:rPr>
        <w:t>40</w:t>
      </w:r>
      <w:r w:rsidR="00153B23" w:rsidRPr="002720D0">
        <w:rPr>
          <w:lang w:val="es-ES_tradnl"/>
        </w:rPr>
        <w:t>%</w:t>
      </w:r>
      <w:r w:rsidR="00151021" w:rsidRPr="002720D0">
        <w:rPr>
          <w:lang w:val="es-ES_tradnl"/>
        </w:rPr>
        <w:t xml:space="preserve"> </w:t>
      </w:r>
      <w:r w:rsidR="00F024DC" w:rsidRPr="002720D0">
        <w:rPr>
          <w:lang w:val="es-ES_tradnl"/>
        </w:rPr>
        <w:t xml:space="preserve">en Tanzanía continental y el </w:t>
      </w:r>
      <w:r w:rsidR="00151021" w:rsidRPr="002720D0">
        <w:rPr>
          <w:lang w:val="es-ES_tradnl"/>
        </w:rPr>
        <w:t>39</w:t>
      </w:r>
      <w:r w:rsidR="00153B23" w:rsidRPr="002720D0">
        <w:rPr>
          <w:lang w:val="es-ES_tradnl"/>
        </w:rPr>
        <w:t>%</w:t>
      </w:r>
      <w:r w:rsidR="00F024DC" w:rsidRPr="002720D0">
        <w:rPr>
          <w:lang w:val="es-ES_tradnl"/>
        </w:rPr>
        <w:t xml:space="preserve"> en Zanzí</w:t>
      </w:r>
      <w:r w:rsidR="00151021" w:rsidRPr="002720D0">
        <w:rPr>
          <w:lang w:val="es-ES_tradnl"/>
        </w:rPr>
        <w:t>bar)</w:t>
      </w:r>
      <w:r w:rsidR="00F024DC" w:rsidRPr="002720D0">
        <w:rPr>
          <w:lang w:val="es-ES_tradnl"/>
        </w:rPr>
        <w:t xml:space="preserve">. La proporción de mujeres que se sometieron a </w:t>
      </w:r>
      <w:r w:rsidR="00F41C42" w:rsidRPr="002720D0">
        <w:rPr>
          <w:lang w:val="es-ES_tradnl"/>
        </w:rPr>
        <w:t>una</w:t>
      </w:r>
      <w:r w:rsidR="00F024DC" w:rsidRPr="002720D0">
        <w:rPr>
          <w:lang w:val="es-ES_tradnl"/>
        </w:rPr>
        <w:t xml:space="preserve"> prueba de detección y obtuvieron </w:t>
      </w:r>
      <w:r w:rsidR="00F41C42" w:rsidRPr="002720D0">
        <w:rPr>
          <w:lang w:val="es-ES_tradnl"/>
        </w:rPr>
        <w:t>el resultado</w:t>
      </w:r>
      <w:r w:rsidR="00F024DC" w:rsidRPr="002720D0">
        <w:rPr>
          <w:lang w:val="es-ES_tradnl"/>
        </w:rPr>
        <w:t xml:space="preserve"> oscila entre el 33% en Rukwa y el 69% en Kilimanjaro. Entre los varones, las tasas oscilan entre el 24% en Lindi y el 64% en </w:t>
      </w:r>
      <w:r w:rsidR="00151021" w:rsidRPr="002720D0">
        <w:rPr>
          <w:lang w:val="es-ES_tradnl"/>
        </w:rPr>
        <w:t xml:space="preserve">Ruvuma. </w:t>
      </w:r>
      <w:r w:rsidR="00F024DC" w:rsidRPr="002720D0">
        <w:rPr>
          <w:lang w:val="es-ES_tradnl"/>
        </w:rPr>
        <w:t>Las pruebas de detección del VIH son más comunes entre los encuestados con mayor nivel cultural y con ingresos más elevados.</w:t>
      </w:r>
    </w:p>
    <w:p w:rsidR="00151021" w:rsidRPr="006340C3" w:rsidRDefault="00D562EC" w:rsidP="006340C3">
      <w:pPr>
        <w:pStyle w:val="H1G"/>
      </w:pPr>
      <w:bookmarkStart w:id="41" w:name="_Toc313470877"/>
      <w:r w:rsidRPr="002720D0">
        <w:rPr>
          <w:lang w:val="es-ES_tradnl"/>
        </w:rPr>
        <w:tab/>
      </w:r>
      <w:r w:rsidR="00151021" w:rsidRPr="002720D0">
        <w:rPr>
          <w:lang w:val="es-ES_tradnl"/>
        </w:rPr>
        <w:t>6.4</w:t>
      </w:r>
      <w:r w:rsidRPr="002720D0">
        <w:rPr>
          <w:lang w:val="es-ES_tradnl"/>
        </w:rPr>
        <w:tab/>
      </w:r>
      <w:r w:rsidR="009A1FC4" w:rsidRPr="002720D0">
        <w:rPr>
          <w:lang w:val="es-ES_tradnl"/>
        </w:rPr>
        <w:t>Agua y saneamiento</w:t>
      </w:r>
      <w:bookmarkEnd w:id="41"/>
    </w:p>
    <w:p w:rsidR="00151021" w:rsidRPr="002720D0" w:rsidRDefault="00D562EC" w:rsidP="00586395">
      <w:pPr>
        <w:pStyle w:val="H23G"/>
        <w:outlineLvl w:val="0"/>
        <w:rPr>
          <w:lang w:val="es-ES_tradnl"/>
        </w:rPr>
      </w:pPr>
      <w:r w:rsidRPr="002720D0">
        <w:rPr>
          <w:lang w:val="es-ES_tradnl"/>
        </w:rPr>
        <w:tab/>
      </w:r>
      <w:r w:rsidR="00151021" w:rsidRPr="002720D0">
        <w:rPr>
          <w:lang w:val="es-ES_tradnl"/>
        </w:rPr>
        <w:t>a)</w:t>
      </w:r>
      <w:r w:rsidRPr="002720D0">
        <w:rPr>
          <w:lang w:val="es-ES_tradnl"/>
        </w:rPr>
        <w:tab/>
      </w:r>
      <w:r w:rsidR="004775FF" w:rsidRPr="002720D0">
        <w:rPr>
          <w:lang w:val="es-ES_tradnl"/>
        </w:rPr>
        <w:t>Agua potable</w:t>
      </w:r>
    </w:p>
    <w:p w:rsidR="00151021" w:rsidRPr="002720D0" w:rsidRDefault="004F6364" w:rsidP="004F6364">
      <w:pPr>
        <w:pStyle w:val="SingleTxtG"/>
        <w:tabs>
          <w:tab w:val="left" w:pos="-360"/>
        </w:tabs>
        <w:rPr>
          <w:lang w:val="es-ES_tradnl"/>
        </w:rPr>
      </w:pPr>
      <w:r w:rsidRPr="002720D0">
        <w:rPr>
          <w:lang w:val="es-ES_tradnl"/>
        </w:rPr>
        <w:t>192.</w:t>
      </w:r>
      <w:r w:rsidRPr="002720D0">
        <w:rPr>
          <w:lang w:val="es-ES_tradnl"/>
        </w:rPr>
        <w:tab/>
      </w:r>
      <w:r w:rsidR="00853740" w:rsidRPr="002720D0">
        <w:rPr>
          <w:lang w:val="es-ES_tradnl"/>
        </w:rPr>
        <w:t>Aumentar</w:t>
      </w:r>
      <w:r w:rsidR="00853740" w:rsidRPr="00CB6CC3">
        <w:t xml:space="preserve"> </w:t>
      </w:r>
      <w:r w:rsidR="00853740" w:rsidRPr="002720D0">
        <w:rPr>
          <w:lang w:val="es-ES_tradnl"/>
        </w:rPr>
        <w:t>el acceso sostenible al agua potable es uno de los Objetivos de Desarrollo del Milenio</w:t>
      </w:r>
      <w:r w:rsidR="00151021" w:rsidRPr="002720D0">
        <w:rPr>
          <w:lang w:val="es-ES_tradnl"/>
        </w:rPr>
        <w:t xml:space="preserve"> </w:t>
      </w:r>
      <w:r w:rsidR="00F41C42" w:rsidRPr="002720D0">
        <w:rPr>
          <w:lang w:val="es-ES_tradnl"/>
        </w:rPr>
        <w:t>adoptados por el Estado p</w:t>
      </w:r>
      <w:r w:rsidR="005E298C" w:rsidRPr="002720D0">
        <w:rPr>
          <w:lang w:val="es-ES_tradnl"/>
        </w:rPr>
        <w:t xml:space="preserve">arte, junto con otras naciones de todo el mundo (Asamblea General de las Naciones Unidas, </w:t>
      </w:r>
      <w:r w:rsidR="00151021" w:rsidRPr="002720D0">
        <w:rPr>
          <w:lang w:val="es-ES_tradnl"/>
        </w:rPr>
        <w:t xml:space="preserve">2002). </w:t>
      </w:r>
      <w:r w:rsidR="00051F3C" w:rsidRPr="002720D0">
        <w:rPr>
          <w:lang w:val="es-ES_tradnl"/>
        </w:rPr>
        <w:t>La fuente del agua potable es importante, ya que las enfermedades transmitidas por el agua, entre ellas la diarrea y la disentería, están muy extendidas en Tanzaní</w:t>
      </w:r>
      <w:r w:rsidR="00151021" w:rsidRPr="002720D0">
        <w:rPr>
          <w:lang w:val="es-ES_tradnl"/>
        </w:rPr>
        <w:t xml:space="preserve">a. </w:t>
      </w:r>
      <w:r w:rsidR="00051F3C" w:rsidRPr="002720D0">
        <w:rPr>
          <w:lang w:val="es-ES_tradnl"/>
        </w:rPr>
        <w:t xml:space="preserve">Las fuentes de agua que se espera estén relativamente libres de estas enfermedades son </w:t>
      </w:r>
      <w:r w:rsidR="00F41C42" w:rsidRPr="002720D0">
        <w:rPr>
          <w:lang w:val="es-ES_tradnl"/>
        </w:rPr>
        <w:t>las tuberías de abastecimiento de agua</w:t>
      </w:r>
      <w:r w:rsidR="00051F3C" w:rsidRPr="002720D0">
        <w:rPr>
          <w:lang w:val="es-ES_tradnl"/>
        </w:rPr>
        <w:t xml:space="preserve">, los pozos protegidos y los manantiales protegidos. Existe </w:t>
      </w:r>
      <w:r w:rsidR="00F41C42" w:rsidRPr="002720D0">
        <w:rPr>
          <w:lang w:val="es-ES_tradnl"/>
        </w:rPr>
        <w:t xml:space="preserve">una </w:t>
      </w:r>
      <w:r w:rsidR="00051F3C" w:rsidRPr="002720D0">
        <w:rPr>
          <w:lang w:val="es-ES_tradnl"/>
        </w:rPr>
        <w:t xml:space="preserve">mayor posibilidad de que las demás fuentes, entre ellas los pozos si protección, los ríos o </w:t>
      </w:r>
      <w:r w:rsidR="00F41C42" w:rsidRPr="002720D0">
        <w:rPr>
          <w:lang w:val="es-ES_tradnl"/>
        </w:rPr>
        <w:t>los arroyos, o</w:t>
      </w:r>
      <w:r w:rsidR="00051F3C" w:rsidRPr="002720D0">
        <w:rPr>
          <w:lang w:val="es-ES_tradnl"/>
        </w:rPr>
        <w:t xml:space="preserve"> los estanques, lagos o pantanos, sean portadores de agentes patógenos. </w:t>
      </w:r>
    </w:p>
    <w:p w:rsidR="00151021" w:rsidRPr="002720D0" w:rsidRDefault="004F6364" w:rsidP="004F6364">
      <w:pPr>
        <w:pStyle w:val="SingleTxtG"/>
        <w:tabs>
          <w:tab w:val="left" w:pos="-360"/>
        </w:tabs>
        <w:rPr>
          <w:lang w:val="es-ES_tradnl"/>
        </w:rPr>
      </w:pPr>
      <w:r w:rsidRPr="002720D0">
        <w:rPr>
          <w:lang w:val="es-ES_tradnl"/>
        </w:rPr>
        <w:t>193.</w:t>
      </w:r>
      <w:r w:rsidRPr="002720D0">
        <w:rPr>
          <w:lang w:val="es-ES_tradnl"/>
        </w:rPr>
        <w:tab/>
      </w:r>
      <w:r w:rsidR="002B4DA2" w:rsidRPr="002720D0">
        <w:rPr>
          <w:lang w:val="es-ES_tradnl"/>
        </w:rPr>
        <w:t xml:space="preserve">La </w:t>
      </w:r>
      <w:r w:rsidR="002B4DA2" w:rsidRPr="00A74BF4">
        <w:rPr>
          <w:lang w:val="es-ES_tradnl"/>
        </w:rPr>
        <w:t>mayoría de los hogares de Tanzanía cuentan con acceso a fuentes de agua potable (el 33% proveniente</w:t>
      </w:r>
      <w:r w:rsidR="002B4DA2" w:rsidRPr="002720D0">
        <w:rPr>
          <w:lang w:val="es-ES_tradnl"/>
        </w:rPr>
        <w:t xml:space="preserve"> de </w:t>
      </w:r>
      <w:r w:rsidR="00F41C42" w:rsidRPr="002720D0">
        <w:rPr>
          <w:lang w:val="es-ES_tradnl"/>
        </w:rPr>
        <w:t>tuberías de abastecimiento de agua</w:t>
      </w:r>
      <w:r w:rsidR="002B4DA2" w:rsidRPr="002720D0">
        <w:rPr>
          <w:lang w:val="es-ES_tradnl"/>
        </w:rPr>
        <w:t xml:space="preserve">, el 13% de pozos protegidos y el </w:t>
      </w:r>
      <w:r w:rsidR="00CB0852" w:rsidRPr="002720D0">
        <w:rPr>
          <w:lang w:val="es-ES_tradnl"/>
        </w:rPr>
        <w:t xml:space="preserve">8% de manantiales). Hay mayores probabilidades de que los hogares de Zanzíbar cuenten con acceso al agua potable que los del continente; por ejemplo, un 74% de los hogares utilizan agua </w:t>
      </w:r>
      <w:r w:rsidR="00F41C42" w:rsidRPr="002720D0">
        <w:rPr>
          <w:lang w:val="es-ES_tradnl"/>
        </w:rPr>
        <w:t xml:space="preserve">proveniente de tuberías de abastecimiento, </w:t>
      </w:r>
      <w:r w:rsidR="00CB0852" w:rsidRPr="002720D0">
        <w:rPr>
          <w:lang w:val="es-ES_tradnl"/>
        </w:rPr>
        <w:t>en comparación con el 32% en Tanzanía continental.</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194.</w:t>
      </w:r>
      <w:r w:rsidRPr="002720D0">
        <w:rPr>
          <w:lang w:val="es-ES_tradnl"/>
        </w:rPr>
        <w:tab/>
      </w:r>
      <w:r w:rsidR="00CB0852" w:rsidRPr="002720D0">
        <w:rPr>
          <w:lang w:val="es-ES_tradnl"/>
        </w:rPr>
        <w:t xml:space="preserve">Los resultados reflejan que dos de cada diez hogares informan </w:t>
      </w:r>
      <w:r w:rsidR="00B10F8C" w:rsidRPr="002720D0">
        <w:rPr>
          <w:lang w:val="es-ES_tradnl"/>
        </w:rPr>
        <w:t>que utilizan</w:t>
      </w:r>
      <w:r w:rsidR="00CB0852" w:rsidRPr="002720D0">
        <w:rPr>
          <w:lang w:val="es-ES_tradnl"/>
        </w:rPr>
        <w:t xml:space="preserve"> agua </w:t>
      </w:r>
      <w:r w:rsidR="00B10F8C" w:rsidRPr="002720D0">
        <w:rPr>
          <w:lang w:val="es-ES_tradnl"/>
        </w:rPr>
        <w:t>suministrada</w:t>
      </w:r>
      <w:r w:rsidR="00CB0852" w:rsidRPr="002720D0">
        <w:rPr>
          <w:lang w:val="es-ES_tradnl"/>
        </w:rPr>
        <w:t xml:space="preserve"> por </w:t>
      </w:r>
      <w:r w:rsidR="00B10F8C" w:rsidRPr="002720D0">
        <w:rPr>
          <w:lang w:val="es-ES_tradnl"/>
        </w:rPr>
        <w:t>el organismo de abastecimiento de agua</w:t>
      </w:r>
      <w:r w:rsidR="00CB0852" w:rsidRPr="002720D0">
        <w:rPr>
          <w:lang w:val="es-ES_tradnl"/>
        </w:rPr>
        <w:t xml:space="preserve">. </w:t>
      </w:r>
      <w:r w:rsidR="007F021D">
        <w:rPr>
          <w:lang w:val="es-ES_tradnl"/>
        </w:rPr>
        <w:t>Son más elevadas las</w:t>
      </w:r>
      <w:r w:rsidR="00CB0852" w:rsidRPr="002720D0">
        <w:rPr>
          <w:lang w:val="es-ES_tradnl"/>
        </w:rPr>
        <w:t xml:space="preserve"> probabilidades de que los hogares de Zanzíbar indiquen que su agua potable procede de </w:t>
      </w:r>
      <w:r w:rsidR="00B10F8C" w:rsidRPr="002720D0">
        <w:rPr>
          <w:lang w:val="es-ES_tradnl"/>
        </w:rPr>
        <w:t>un organismo de abastecimiento de agua</w:t>
      </w:r>
      <w:r w:rsidR="00CB0852" w:rsidRPr="002720D0">
        <w:rPr>
          <w:lang w:val="es-ES_tradnl"/>
        </w:rPr>
        <w:t xml:space="preserve"> </w:t>
      </w:r>
      <w:r w:rsidR="007F021D">
        <w:rPr>
          <w:lang w:val="es-ES_tradnl"/>
        </w:rPr>
        <w:t>que los de Tanzanía continental (el 63% en comparación con el 18%)</w:t>
      </w:r>
      <w:r w:rsidR="00CB0852" w:rsidRPr="002720D0">
        <w:rPr>
          <w:lang w:val="es-ES_tradnl"/>
        </w:rPr>
        <w:t xml:space="preserve">. </w:t>
      </w:r>
      <w:r w:rsidR="00975855">
        <w:rPr>
          <w:lang w:val="es-ES_tradnl"/>
        </w:rPr>
        <w:t xml:space="preserve">Hay más probabilidades de que los </w:t>
      </w:r>
      <w:r w:rsidR="00975855" w:rsidRPr="002720D0">
        <w:rPr>
          <w:lang w:val="es-ES_tradnl"/>
        </w:rPr>
        <w:t xml:space="preserve">hogares </w:t>
      </w:r>
      <w:r w:rsidR="00975855">
        <w:rPr>
          <w:lang w:val="es-ES_tradnl"/>
        </w:rPr>
        <w:t>urbanos informe</w:t>
      </w:r>
      <w:r w:rsidR="00975855" w:rsidRPr="002720D0">
        <w:rPr>
          <w:lang w:val="es-ES_tradnl"/>
        </w:rPr>
        <w:t xml:space="preserve">n que utilizan agua </w:t>
      </w:r>
      <w:r w:rsidR="00975855">
        <w:rPr>
          <w:lang w:val="es-ES_tradnl"/>
        </w:rPr>
        <w:t xml:space="preserve">potable </w:t>
      </w:r>
      <w:r w:rsidR="00975855" w:rsidRPr="002720D0">
        <w:rPr>
          <w:lang w:val="es-ES_tradnl"/>
        </w:rPr>
        <w:t xml:space="preserve">suministrada por el organismo de abastecimiento de agua </w:t>
      </w:r>
      <w:r w:rsidR="00975855">
        <w:rPr>
          <w:lang w:val="es-ES_tradnl"/>
        </w:rPr>
        <w:t xml:space="preserve">que los hogares rurales. </w:t>
      </w:r>
      <w:r w:rsidR="00B10F8C" w:rsidRPr="002720D0">
        <w:rPr>
          <w:lang w:val="es-ES_tradnl"/>
        </w:rPr>
        <w:t>En</w:t>
      </w:r>
      <w:r w:rsidR="00CB0852" w:rsidRPr="002720D0">
        <w:rPr>
          <w:lang w:val="es-ES_tradnl"/>
        </w:rPr>
        <w:t xml:space="preserve"> el 9% de los hogares de Tanzanía continental</w:t>
      </w:r>
      <w:r w:rsidR="00B10F8C" w:rsidRPr="002720D0">
        <w:rPr>
          <w:lang w:val="es-ES_tradnl"/>
        </w:rPr>
        <w:t>,</w:t>
      </w:r>
      <w:r w:rsidR="00CB0852" w:rsidRPr="002720D0">
        <w:rPr>
          <w:lang w:val="es-ES_tradnl"/>
        </w:rPr>
        <w:t xml:space="preserve"> y el 28% de Zanzíbar, la fuente de agua está situada en su </w:t>
      </w:r>
      <w:r w:rsidR="00975855">
        <w:rPr>
          <w:lang w:val="es-ES_tradnl"/>
        </w:rPr>
        <w:t>residencia</w:t>
      </w:r>
      <w:r w:rsidR="00CB0852" w:rsidRPr="002720D0">
        <w:rPr>
          <w:lang w:val="es-ES_tradnl"/>
        </w:rPr>
        <w:t xml:space="preserve">. En total, el 46% de los hogares de Tanzanía </w:t>
      </w:r>
      <w:r w:rsidR="00B10F8C" w:rsidRPr="002720D0">
        <w:rPr>
          <w:lang w:val="es-ES_tradnl"/>
        </w:rPr>
        <w:t>se hallan</w:t>
      </w:r>
      <w:r w:rsidR="00CB0852" w:rsidRPr="002720D0">
        <w:rPr>
          <w:lang w:val="es-ES_tradnl"/>
        </w:rPr>
        <w:t xml:space="preserve"> a </w:t>
      </w:r>
      <w:r w:rsidR="00B10F8C" w:rsidRPr="002720D0">
        <w:rPr>
          <w:lang w:val="es-ES_tradnl"/>
        </w:rPr>
        <w:t xml:space="preserve">menos de 30 </w:t>
      </w:r>
      <w:r w:rsidR="00CB0852" w:rsidRPr="002720D0">
        <w:rPr>
          <w:lang w:val="es-ES_tradnl"/>
        </w:rPr>
        <w:t>minut</w:t>
      </w:r>
      <w:r w:rsidR="0095782E" w:rsidRPr="002720D0">
        <w:rPr>
          <w:lang w:val="es-ES_tradnl"/>
        </w:rPr>
        <w:t xml:space="preserve">os de </w:t>
      </w:r>
      <w:r w:rsidR="00B10F8C" w:rsidRPr="002720D0">
        <w:rPr>
          <w:lang w:val="es-ES_tradnl"/>
        </w:rPr>
        <w:t xml:space="preserve">distancia de </w:t>
      </w:r>
      <w:r w:rsidR="0095782E" w:rsidRPr="002720D0">
        <w:rPr>
          <w:lang w:val="es-ES_tradnl"/>
        </w:rPr>
        <w:t xml:space="preserve">una fuente de agua, y el 45% tardan al menos 30 minutos en obtener agua potable. </w:t>
      </w:r>
    </w:p>
    <w:p w:rsidR="00151021" w:rsidRPr="002720D0" w:rsidRDefault="00D562EC" w:rsidP="00586395">
      <w:pPr>
        <w:pStyle w:val="H23G"/>
        <w:outlineLvl w:val="0"/>
        <w:rPr>
          <w:lang w:val="es-ES_tradnl"/>
        </w:rPr>
      </w:pPr>
      <w:r w:rsidRPr="002720D0">
        <w:rPr>
          <w:lang w:val="es-ES_tradnl"/>
        </w:rPr>
        <w:tab/>
      </w:r>
      <w:r w:rsidR="00151021" w:rsidRPr="002720D0">
        <w:rPr>
          <w:lang w:val="es-ES_tradnl"/>
        </w:rPr>
        <w:t>b)</w:t>
      </w:r>
      <w:r w:rsidRPr="002720D0">
        <w:rPr>
          <w:lang w:val="es-ES_tradnl"/>
        </w:rPr>
        <w:tab/>
      </w:r>
      <w:r w:rsidR="0095782E" w:rsidRPr="002720D0">
        <w:rPr>
          <w:lang w:val="es-ES_tradnl"/>
        </w:rPr>
        <w:t xml:space="preserve">Instalaciones </w:t>
      </w:r>
      <w:r w:rsidR="00B10F8C" w:rsidRPr="002720D0">
        <w:rPr>
          <w:lang w:val="es-ES_tradnl"/>
        </w:rPr>
        <w:t xml:space="preserve">domésticas </w:t>
      </w:r>
      <w:r w:rsidR="006340C3">
        <w:rPr>
          <w:lang w:val="es-ES_tradnl"/>
        </w:rPr>
        <w:t>de saneamiento</w:t>
      </w:r>
    </w:p>
    <w:p w:rsidR="00151021" w:rsidRPr="002720D0" w:rsidRDefault="004F6364" w:rsidP="004F6364">
      <w:pPr>
        <w:pStyle w:val="SingleTxtG"/>
        <w:tabs>
          <w:tab w:val="left" w:pos="-360"/>
        </w:tabs>
        <w:rPr>
          <w:lang w:val="es-ES_tradnl"/>
        </w:rPr>
      </w:pPr>
      <w:r w:rsidRPr="002720D0">
        <w:rPr>
          <w:lang w:val="es-ES_tradnl"/>
        </w:rPr>
        <w:t>195.</w:t>
      </w:r>
      <w:r w:rsidRPr="002720D0">
        <w:rPr>
          <w:lang w:val="es-ES_tradnl"/>
        </w:rPr>
        <w:tab/>
      </w:r>
      <w:r w:rsidR="0095782E" w:rsidRPr="002720D0">
        <w:rPr>
          <w:lang w:val="es-ES_tradnl"/>
        </w:rPr>
        <w:t xml:space="preserve">Asegurar unos servicios de saneamiento adecuados es otro de los Objetivos de Desarrollo del Milenio que Tanzanía comparte con otros países. Según los datos, el 13% de los hogares de Tanzanía se sirven de instalaciones de </w:t>
      </w:r>
      <w:r w:rsidR="00090ADC" w:rsidRPr="002720D0">
        <w:rPr>
          <w:lang w:val="es-ES_tradnl"/>
        </w:rPr>
        <w:t>saneamiento mejoradas que no com</w:t>
      </w:r>
      <w:r w:rsidR="0095782E" w:rsidRPr="002720D0">
        <w:rPr>
          <w:lang w:val="es-ES_tradnl"/>
        </w:rPr>
        <w:t xml:space="preserve">parten con otros hogares. En las zonas urbanas de Tanzanía continental, el 22% de los hogares disponen de instalaciones de saneamiento mejoradas, en comparación con el 9% en las zonas rurales. El tipo más común de instalación de saneamiento que no se ha sometido a mejoras es una letrina de pozo abierto o sin losa, que es la </w:t>
      </w:r>
      <w:r w:rsidR="00B10F8C" w:rsidRPr="002720D0">
        <w:rPr>
          <w:lang w:val="es-ES_tradnl"/>
        </w:rPr>
        <w:t>que utilizan el</w:t>
      </w:r>
      <w:r w:rsidR="0095782E" w:rsidRPr="002720D0">
        <w:rPr>
          <w:lang w:val="es-ES_tradnl"/>
        </w:rPr>
        <w:t xml:space="preserve"> 71% de los h</w:t>
      </w:r>
      <w:r w:rsidR="00B10F8C" w:rsidRPr="002720D0">
        <w:rPr>
          <w:lang w:val="es-ES_tradnl"/>
        </w:rPr>
        <w:t>ogares de las zonas rurales y el</w:t>
      </w:r>
      <w:r w:rsidR="0095782E" w:rsidRPr="002720D0">
        <w:rPr>
          <w:lang w:val="es-ES_tradnl"/>
        </w:rPr>
        <w:t xml:space="preserve"> 50% de los hogares de las zonas urbanas. En total, el 14% de los hogares no cuentan con instalaciones de saneamiento. La mayoría de estos hogares están situados en zonas rurales </w:t>
      </w:r>
      <w:r w:rsidR="00151021" w:rsidRPr="002720D0">
        <w:rPr>
          <w:lang w:val="es-ES_tradnl"/>
        </w:rPr>
        <w:t>(18</w:t>
      </w:r>
      <w:r w:rsidR="00153B23" w:rsidRPr="002720D0">
        <w:rPr>
          <w:lang w:val="es-ES_tradnl"/>
        </w:rPr>
        <w:t>%</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196.</w:t>
      </w:r>
      <w:r w:rsidRPr="002720D0">
        <w:rPr>
          <w:lang w:val="es-ES_tradnl"/>
        </w:rPr>
        <w:tab/>
      </w:r>
      <w:r w:rsidR="0095782E" w:rsidRPr="002720D0">
        <w:rPr>
          <w:lang w:val="es-ES_tradnl"/>
        </w:rPr>
        <w:t>Además, siete d</w:t>
      </w:r>
      <w:r w:rsidR="00B10F8C" w:rsidRPr="002720D0">
        <w:rPr>
          <w:lang w:val="es-ES_tradnl"/>
        </w:rPr>
        <w:t>e cada diez hogares del Estado p</w:t>
      </w:r>
      <w:r w:rsidR="0095782E" w:rsidRPr="002720D0">
        <w:rPr>
          <w:lang w:val="es-ES_tradnl"/>
        </w:rPr>
        <w:t>arte no compar</w:t>
      </w:r>
      <w:r w:rsidR="00975855">
        <w:rPr>
          <w:lang w:val="es-ES_tradnl"/>
        </w:rPr>
        <w:t>t</w:t>
      </w:r>
      <w:r w:rsidR="0095782E" w:rsidRPr="002720D0">
        <w:rPr>
          <w:lang w:val="es-ES_tradnl"/>
        </w:rPr>
        <w:t xml:space="preserve">en sus instalaciones de saneamiento, el 13% las comparten con otro hogar, el 12% las comparten con </w:t>
      </w:r>
      <w:r w:rsidR="00B10F8C" w:rsidRPr="002720D0">
        <w:rPr>
          <w:lang w:val="es-ES_tradnl"/>
        </w:rPr>
        <w:t>dos a</w:t>
      </w:r>
      <w:r w:rsidR="0095782E" w:rsidRPr="002720D0">
        <w:rPr>
          <w:lang w:val="es-ES_tradnl"/>
        </w:rPr>
        <w:t xml:space="preserve"> cuatro hogares, y el 5% comparten la instalación con cinco o más hogares. Si bien la probabilidad de compartir una instalación de saneamiento con otro hogar en el caso de los hogares tanto urbanos como rurales de Tanzanía continental es la misma, es mucho más probable que los hogares urbanos compartan la instalación con dos o más hogares que lo hagan los hogares rurales. Por ejemplo, el 28% de los </w:t>
      </w:r>
      <w:r w:rsidR="00512720" w:rsidRPr="002720D0">
        <w:rPr>
          <w:lang w:val="es-ES_tradnl"/>
        </w:rPr>
        <w:t>hogares urbanos comp</w:t>
      </w:r>
      <w:r w:rsidR="00090ADC" w:rsidRPr="002720D0">
        <w:rPr>
          <w:lang w:val="es-ES_tradnl"/>
        </w:rPr>
        <w:t>arten la instalación de saneamie</w:t>
      </w:r>
      <w:r w:rsidR="00512720" w:rsidRPr="002720D0">
        <w:rPr>
          <w:lang w:val="es-ES_tradnl"/>
        </w:rPr>
        <w:t xml:space="preserve">nto con </w:t>
      </w:r>
      <w:r w:rsidR="00B10F8C" w:rsidRPr="002720D0">
        <w:rPr>
          <w:lang w:val="es-ES_tradnl"/>
        </w:rPr>
        <w:t>dos a</w:t>
      </w:r>
      <w:r w:rsidR="00512720" w:rsidRPr="002720D0">
        <w:rPr>
          <w:lang w:val="es-ES_tradnl"/>
        </w:rPr>
        <w:t xml:space="preserve"> cuatro hogares, en comparación con el 6% de los hogares rurales. </w:t>
      </w:r>
    </w:p>
    <w:p w:rsidR="00151021" w:rsidRPr="002720D0" w:rsidRDefault="00D562EC" w:rsidP="00586395">
      <w:pPr>
        <w:pStyle w:val="H1G"/>
        <w:outlineLvl w:val="0"/>
        <w:rPr>
          <w:lang w:val="es-ES_tradnl"/>
        </w:rPr>
      </w:pPr>
      <w:bookmarkStart w:id="42" w:name="_Toc313470878"/>
      <w:r w:rsidRPr="002720D0">
        <w:rPr>
          <w:lang w:val="es-ES_tradnl"/>
        </w:rPr>
        <w:tab/>
      </w:r>
      <w:r w:rsidR="00151021" w:rsidRPr="002720D0">
        <w:rPr>
          <w:lang w:val="es-ES_tradnl"/>
        </w:rPr>
        <w:t>6.5</w:t>
      </w:r>
      <w:r w:rsidRPr="002720D0">
        <w:rPr>
          <w:lang w:val="es-ES_tradnl"/>
        </w:rPr>
        <w:tab/>
      </w:r>
      <w:r w:rsidR="00512720" w:rsidRPr="002720D0">
        <w:rPr>
          <w:lang w:val="es-ES_tradnl"/>
        </w:rPr>
        <w:t>Salud en la a</w:t>
      </w:r>
      <w:r w:rsidR="00151021" w:rsidRPr="002720D0">
        <w:rPr>
          <w:lang w:val="es-ES_tradnl"/>
        </w:rPr>
        <w:t>dolescen</w:t>
      </w:r>
      <w:r w:rsidR="00512720" w:rsidRPr="002720D0">
        <w:rPr>
          <w:lang w:val="es-ES_tradnl"/>
        </w:rPr>
        <w:t>cia</w:t>
      </w:r>
      <w:bookmarkEnd w:id="42"/>
    </w:p>
    <w:p w:rsidR="00151021" w:rsidRPr="002720D0" w:rsidRDefault="004F6364" w:rsidP="004F6364">
      <w:pPr>
        <w:pStyle w:val="SingleTxtG"/>
        <w:tabs>
          <w:tab w:val="left" w:pos="-360"/>
        </w:tabs>
        <w:rPr>
          <w:lang w:val="es-ES_tradnl"/>
        </w:rPr>
      </w:pPr>
      <w:r w:rsidRPr="002720D0">
        <w:rPr>
          <w:lang w:val="es-ES_tradnl"/>
        </w:rPr>
        <w:t>197.</w:t>
      </w:r>
      <w:r w:rsidRPr="002720D0">
        <w:rPr>
          <w:lang w:val="es-ES_tradnl"/>
        </w:rPr>
        <w:tab/>
      </w:r>
      <w:r w:rsidR="00512720" w:rsidRPr="002720D0">
        <w:rPr>
          <w:lang w:val="es-ES_tradnl"/>
        </w:rPr>
        <w:t xml:space="preserve">El </w:t>
      </w:r>
      <w:r w:rsidR="00B10F8C" w:rsidRPr="002720D0">
        <w:rPr>
          <w:lang w:val="es-ES_tradnl"/>
        </w:rPr>
        <w:t>Comité recomendó que el Estado p</w:t>
      </w:r>
      <w:r w:rsidR="00512720" w:rsidRPr="002720D0">
        <w:rPr>
          <w:lang w:val="es-ES_tradnl"/>
        </w:rPr>
        <w:t xml:space="preserve">arte: </w:t>
      </w:r>
    </w:p>
    <w:p w:rsidR="00151021" w:rsidRPr="002720D0" w:rsidRDefault="006340C3" w:rsidP="006340C3">
      <w:pPr>
        <w:pStyle w:val="SingleTxtG"/>
        <w:rPr>
          <w:lang w:val="es-ES_tradnl"/>
        </w:rPr>
      </w:pPr>
      <w:r>
        <w:rPr>
          <w:lang w:val="es-ES_tradnl"/>
        </w:rPr>
        <w:tab/>
      </w:r>
      <w:r w:rsidR="00151021" w:rsidRPr="002720D0">
        <w:rPr>
          <w:lang w:val="es-ES_tradnl"/>
        </w:rPr>
        <w:t>a)</w:t>
      </w:r>
      <w:r w:rsidR="00151021" w:rsidRPr="002720D0">
        <w:rPr>
          <w:lang w:val="es-ES_tradnl"/>
        </w:rPr>
        <w:tab/>
      </w:r>
      <w:r w:rsidR="00512720" w:rsidRPr="002720D0">
        <w:rPr>
          <w:lang w:val="es-ES_tradnl"/>
        </w:rPr>
        <w:t>Hiciera un estudio exhaustivo para evaluar el carácter y el alcance de los problemas de salud en la adolescencia y, con la plena participación de los adolescentes, lo utilizara como base para formular políticas y programas de salud para ellos en que se insistiera sobre todo en la prevención del VIH/SIDA y otras enfermedades sexualmente transmisibles, tomando en cuenta la Observación general Nº 4 (2003) del Comité sobre la salud y el desarrollo de los adolescentes;</w:t>
      </w:r>
    </w:p>
    <w:p w:rsidR="00151021" w:rsidRPr="002720D0" w:rsidRDefault="006340C3" w:rsidP="006340C3">
      <w:pPr>
        <w:pStyle w:val="SingleTxtG"/>
        <w:rPr>
          <w:lang w:val="es-ES_tradnl"/>
        </w:rPr>
      </w:pPr>
      <w:r>
        <w:rPr>
          <w:lang w:val="es-ES_tradnl"/>
        </w:rPr>
        <w:tab/>
      </w:r>
      <w:r w:rsidR="00151021" w:rsidRPr="002720D0">
        <w:rPr>
          <w:lang w:val="es-ES_tradnl"/>
        </w:rPr>
        <w:t>b)</w:t>
      </w:r>
      <w:r w:rsidR="00151021" w:rsidRPr="002720D0">
        <w:rPr>
          <w:lang w:val="es-ES_tradnl"/>
        </w:rPr>
        <w:tab/>
      </w:r>
      <w:r w:rsidR="00512720" w:rsidRPr="002720D0">
        <w:rPr>
          <w:lang w:val="es-ES_tradnl"/>
        </w:rPr>
        <w:t>Incrementase sus servicios de asesoramiento sobre desarrollo y salud mental, así como en materia de reproducción, y sensibilizase a los adolescentes al respecto y permitiera que tuvieran acceso a ellos;</w:t>
      </w:r>
    </w:p>
    <w:p w:rsidR="00151021" w:rsidRPr="002720D0" w:rsidRDefault="006340C3" w:rsidP="006340C3">
      <w:pPr>
        <w:pStyle w:val="SingleTxtG"/>
        <w:rPr>
          <w:lang w:val="es-ES_tradnl"/>
        </w:rPr>
      </w:pPr>
      <w:r>
        <w:rPr>
          <w:lang w:val="es-ES_tradnl"/>
        </w:rPr>
        <w:tab/>
      </w:r>
      <w:r w:rsidR="00151021" w:rsidRPr="002720D0">
        <w:rPr>
          <w:lang w:val="es-ES_tradnl"/>
        </w:rPr>
        <w:t>c)</w:t>
      </w:r>
      <w:r w:rsidR="00151021" w:rsidRPr="002720D0">
        <w:rPr>
          <w:lang w:val="es-ES_tradnl"/>
        </w:rPr>
        <w:tab/>
      </w:r>
      <w:r w:rsidR="00512720" w:rsidRPr="002720D0">
        <w:rPr>
          <w:lang w:val="es-ES_tradnl"/>
        </w:rPr>
        <w:t>Velara por que se estudiase la salud genésica como parte del currículo y se dieran a conocer cabalmente a los adolescentes sus derechos a la salud, incluida la prevención del embarazo en la adolescencia y de las enfermedades sexualmente transmisibles como el VIH/SIDA; y</w:t>
      </w:r>
    </w:p>
    <w:p w:rsidR="00151021" w:rsidRPr="002720D0" w:rsidRDefault="006340C3" w:rsidP="006340C3">
      <w:pPr>
        <w:pStyle w:val="SingleTxtG"/>
        <w:rPr>
          <w:lang w:val="es-ES_tradnl"/>
        </w:rPr>
      </w:pPr>
      <w:r>
        <w:rPr>
          <w:lang w:val="es-ES_tradnl"/>
        </w:rPr>
        <w:tab/>
      </w:r>
      <w:r w:rsidR="00151021" w:rsidRPr="002720D0">
        <w:rPr>
          <w:lang w:val="es-ES_tradnl"/>
        </w:rPr>
        <w:t>d)</w:t>
      </w:r>
      <w:r w:rsidR="00151021" w:rsidRPr="002720D0">
        <w:rPr>
          <w:lang w:val="es-ES_tradnl"/>
        </w:rPr>
        <w:tab/>
      </w:r>
      <w:r w:rsidR="00512720" w:rsidRPr="002720D0">
        <w:rPr>
          <w:lang w:val="es-ES_tradnl"/>
        </w:rPr>
        <w:t>Siguiera apoyando a las adolescentes encintas y se cerciorase de que continuasen sus estudios.</w:t>
      </w:r>
    </w:p>
    <w:p w:rsidR="00151021" w:rsidRPr="002720D0" w:rsidRDefault="004F6364" w:rsidP="004F6364">
      <w:pPr>
        <w:pStyle w:val="SingleTxtG"/>
        <w:tabs>
          <w:tab w:val="left" w:pos="-360"/>
        </w:tabs>
        <w:rPr>
          <w:lang w:val="es-ES_tradnl"/>
        </w:rPr>
      </w:pPr>
      <w:r w:rsidRPr="002720D0">
        <w:rPr>
          <w:lang w:val="es-ES_tradnl"/>
        </w:rPr>
        <w:t>198.</w:t>
      </w:r>
      <w:r w:rsidRPr="002720D0">
        <w:rPr>
          <w:lang w:val="es-ES_tradnl"/>
        </w:rPr>
        <w:tab/>
      </w:r>
      <w:r w:rsidR="00425939" w:rsidRPr="002720D0">
        <w:rPr>
          <w:lang w:val="es-ES_tradnl"/>
        </w:rPr>
        <w:t>El Estado p</w:t>
      </w:r>
      <w:r w:rsidR="00616177" w:rsidRPr="002720D0">
        <w:rPr>
          <w:lang w:val="es-ES_tradnl"/>
        </w:rPr>
        <w:t xml:space="preserve">arte sigue cumpliendo con las anteriores recomendaciones del Comité y vela por que las dificultades que encaran los adolescentes </w:t>
      </w:r>
      <w:r w:rsidR="00425939" w:rsidRPr="002720D0">
        <w:rPr>
          <w:lang w:val="es-ES_tradnl"/>
        </w:rPr>
        <w:t>obtengan</w:t>
      </w:r>
      <w:r w:rsidR="00616177" w:rsidRPr="002720D0">
        <w:rPr>
          <w:lang w:val="es-ES_tradnl"/>
        </w:rPr>
        <w:t xml:space="preserve"> mayor visibilidad y atención de los elaboradores de políticas. Los jóvenes de Tanzanía han de hacer frente a varias amenazas para su salud, </w:t>
      </w:r>
      <w:r w:rsidR="00425939" w:rsidRPr="002720D0">
        <w:rPr>
          <w:lang w:val="es-ES_tradnl"/>
        </w:rPr>
        <w:t>entre ellas</w:t>
      </w:r>
      <w:r w:rsidR="00616177" w:rsidRPr="002720D0">
        <w:rPr>
          <w:lang w:val="es-ES_tradnl"/>
        </w:rPr>
        <w:t xml:space="preserve"> las infecciones por el VIH. </w:t>
      </w:r>
      <w:r w:rsidR="00425939" w:rsidRPr="002720D0">
        <w:rPr>
          <w:lang w:val="es-ES_tradnl"/>
        </w:rPr>
        <w:t>Se cuentan en los millones los</w:t>
      </w:r>
      <w:r w:rsidR="00616177" w:rsidRPr="002720D0">
        <w:rPr>
          <w:lang w:val="es-ES_tradnl"/>
        </w:rPr>
        <w:t xml:space="preserve"> que padecen enfermedades de transmisión sexual, que pueden dejar estériles a las jóvenes y hacer que tanto sus familias como sus comunidades las estigmaticen. Las madres adolescentes corren un riesgo mucho </w:t>
      </w:r>
      <w:r w:rsidR="00425939" w:rsidRPr="002720D0">
        <w:rPr>
          <w:lang w:val="es-ES_tradnl"/>
        </w:rPr>
        <w:t>más elevado</w:t>
      </w:r>
      <w:r w:rsidR="00616177" w:rsidRPr="002720D0">
        <w:rPr>
          <w:lang w:val="es-ES_tradnl"/>
        </w:rPr>
        <w:t xml:space="preserve"> </w:t>
      </w:r>
      <w:r w:rsidR="00425939" w:rsidRPr="002720D0">
        <w:rPr>
          <w:lang w:val="es-ES_tradnl"/>
        </w:rPr>
        <w:t xml:space="preserve">de mortalidad </w:t>
      </w:r>
      <w:r w:rsidR="00616177" w:rsidRPr="002720D0">
        <w:rPr>
          <w:lang w:val="es-ES_tradnl"/>
        </w:rPr>
        <w:t>por causas relacionad</w:t>
      </w:r>
      <w:r w:rsidR="00EF7EFA" w:rsidRPr="002720D0">
        <w:rPr>
          <w:lang w:val="es-ES_tradnl"/>
        </w:rPr>
        <w:t xml:space="preserve">as con el embarazo. El aumento </w:t>
      </w:r>
      <w:r w:rsidR="00616177" w:rsidRPr="002720D0">
        <w:rPr>
          <w:lang w:val="es-ES_tradnl"/>
        </w:rPr>
        <w:t xml:space="preserve">del conocimiento de la salud sexual y genésica entre los jóvenes reviste </w:t>
      </w:r>
      <w:r w:rsidR="00425939" w:rsidRPr="002720D0">
        <w:rPr>
          <w:lang w:val="es-ES_tradnl"/>
        </w:rPr>
        <w:t xml:space="preserve">una </w:t>
      </w:r>
      <w:r w:rsidR="00C3317B" w:rsidRPr="002720D0">
        <w:rPr>
          <w:lang w:val="es-ES_tradnl"/>
        </w:rPr>
        <w:t>importancia crítica en sí mismo. Teniendo en cuenta la incidencia de la morbilidad y la mortalidad entre los jóvenes y la mayor probabilidad de</w:t>
      </w:r>
      <w:r w:rsidR="00975855">
        <w:rPr>
          <w:lang w:val="es-ES_tradnl"/>
        </w:rPr>
        <w:t xml:space="preserve"> comportamientos de riesgo en</w:t>
      </w:r>
      <w:r w:rsidR="00C3317B" w:rsidRPr="002720D0">
        <w:rPr>
          <w:lang w:val="es-ES_tradnl"/>
        </w:rPr>
        <w:t xml:space="preserve"> este sector de la población, no se deberían escatimar esfuerzos para facilitar su acceso a los servicios de salud sexual y genésica. Al mismo tiempo, el conocimiento por sí solo no reduce la exposición a la infección.</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199.</w:t>
      </w:r>
      <w:r w:rsidRPr="002720D0">
        <w:rPr>
          <w:lang w:val="es-ES_tradnl"/>
        </w:rPr>
        <w:tab/>
      </w:r>
      <w:r w:rsidR="00B160B7" w:rsidRPr="002720D0">
        <w:rPr>
          <w:lang w:val="es-ES_tradnl"/>
        </w:rPr>
        <w:t>Las pruebas apuntan a la importancia de las intervenciones tanto estructurales como</w:t>
      </w:r>
      <w:r w:rsidR="001D2A53">
        <w:rPr>
          <w:lang w:val="es-ES_tradnl"/>
        </w:rPr>
        <w:t xml:space="preserve"> </w:t>
      </w:r>
      <w:r w:rsidR="00B160B7" w:rsidRPr="002720D0">
        <w:rPr>
          <w:lang w:val="es-ES_tradnl"/>
        </w:rPr>
        <w:t xml:space="preserve">cognitivas. Las costumbres sociales y de género, </w:t>
      </w:r>
      <w:r w:rsidR="00425939" w:rsidRPr="002720D0">
        <w:rPr>
          <w:lang w:val="es-ES_tradnl"/>
        </w:rPr>
        <w:t xml:space="preserve">así como </w:t>
      </w:r>
      <w:r w:rsidR="00B160B7" w:rsidRPr="002720D0">
        <w:rPr>
          <w:lang w:val="es-ES_tradnl"/>
        </w:rPr>
        <w:t>la pobreza y la vulnerab</w:t>
      </w:r>
      <w:r w:rsidR="00090ADC" w:rsidRPr="002720D0">
        <w:rPr>
          <w:lang w:val="es-ES_tradnl"/>
        </w:rPr>
        <w:t>ilidad</w:t>
      </w:r>
      <w:r w:rsidR="00425939" w:rsidRPr="002720D0">
        <w:rPr>
          <w:lang w:val="es-ES_tradnl"/>
        </w:rPr>
        <w:t>,</w:t>
      </w:r>
      <w:r w:rsidR="00090ADC" w:rsidRPr="002720D0">
        <w:rPr>
          <w:lang w:val="es-ES_tradnl"/>
        </w:rPr>
        <w:t xml:space="preserve"> </w:t>
      </w:r>
      <w:r w:rsidR="007F7AAA" w:rsidRPr="002720D0">
        <w:rPr>
          <w:lang w:val="es-ES_tradnl"/>
        </w:rPr>
        <w:t>con</w:t>
      </w:r>
      <w:r w:rsidR="00425939" w:rsidRPr="002720D0">
        <w:rPr>
          <w:lang w:val="es-ES_tradnl"/>
        </w:rPr>
        <w:t xml:space="preserve"> consecuencias desproporcionadas para</w:t>
      </w:r>
      <w:r w:rsidR="00B160B7" w:rsidRPr="002720D0">
        <w:rPr>
          <w:lang w:val="es-ES_tradnl"/>
        </w:rPr>
        <w:t xml:space="preserve"> las mujeres jóvenes</w:t>
      </w:r>
      <w:r w:rsidR="00425939" w:rsidRPr="002720D0">
        <w:rPr>
          <w:lang w:val="es-ES_tradnl"/>
        </w:rPr>
        <w:t>,</w:t>
      </w:r>
      <w:r w:rsidR="00B160B7" w:rsidRPr="002720D0">
        <w:rPr>
          <w:lang w:val="es-ES_tradnl"/>
        </w:rPr>
        <w:t xml:space="preserve"> también se han de tomar en consideración. La población de jóvenes de Tanzanía está alcanzando unos niveles sin precedentes, y los sistemas de enseñanza convencionales no pueden satisfacer la demanda creciente. </w:t>
      </w:r>
      <w:r w:rsidR="007F7AAA" w:rsidRPr="002720D0">
        <w:rPr>
          <w:lang w:val="es-ES_tradnl"/>
        </w:rPr>
        <w:t>El resultado es que</w:t>
      </w:r>
      <w:r w:rsidR="00B160B7" w:rsidRPr="002720D0">
        <w:rPr>
          <w:lang w:val="es-ES_tradnl"/>
        </w:rPr>
        <w:t xml:space="preserve"> muchos jóvenes no concluyen los estudios primarios; el acceso a los estudios secundarios y superiores es aún más limitado.</w:t>
      </w:r>
      <w:r w:rsidR="00975855">
        <w:rPr>
          <w:lang w:val="es-ES_tradnl"/>
        </w:rPr>
        <w:t xml:space="preserve"> Por consiguiente, los jóvenes </w:t>
      </w:r>
      <w:r w:rsidR="008629DB" w:rsidRPr="002720D0">
        <w:rPr>
          <w:lang w:val="es-ES_tradnl"/>
        </w:rPr>
        <w:t xml:space="preserve">han de </w:t>
      </w:r>
      <w:r w:rsidR="00975855">
        <w:rPr>
          <w:lang w:val="es-ES_tradnl"/>
        </w:rPr>
        <w:t>encarar</w:t>
      </w:r>
      <w:r w:rsidR="008629DB" w:rsidRPr="002720D0">
        <w:rPr>
          <w:lang w:val="es-ES_tradnl"/>
        </w:rPr>
        <w:t xml:space="preserve"> grandes dificultades para poder obtener los conocimientos y la experiencia </w:t>
      </w:r>
      <w:r w:rsidR="007F7AAA" w:rsidRPr="002720D0">
        <w:rPr>
          <w:lang w:val="es-ES_tradnl"/>
        </w:rPr>
        <w:t>que son necesarios</w:t>
      </w:r>
      <w:r w:rsidR="008629DB" w:rsidRPr="002720D0">
        <w:rPr>
          <w:lang w:val="es-ES_tradnl"/>
        </w:rPr>
        <w:t xml:space="preserve"> para competir en el mercado laboral o para ganarse la vida como trabajadores por cuenta propia. La mayoría de los jóvenes acaban trabajando en el sector no regulado, y </w:t>
      </w:r>
      <w:r w:rsidR="007F7AAA" w:rsidRPr="002720D0">
        <w:rPr>
          <w:lang w:val="es-ES_tradnl"/>
        </w:rPr>
        <w:t>sus</w:t>
      </w:r>
      <w:r w:rsidR="008629DB" w:rsidRPr="002720D0">
        <w:rPr>
          <w:lang w:val="es-ES_tradnl"/>
        </w:rPr>
        <w:t xml:space="preserve"> oportunidades para obtener los ingresos suficientes para salir del ciclo de la pobreza</w:t>
      </w:r>
      <w:r w:rsidR="007F7AAA" w:rsidRPr="002720D0">
        <w:rPr>
          <w:lang w:val="es-ES_tradnl"/>
        </w:rPr>
        <w:t xml:space="preserve"> son limitadas</w:t>
      </w:r>
      <w:r w:rsidR="008629DB" w:rsidRPr="002720D0">
        <w:rPr>
          <w:lang w:val="es-ES_tradnl"/>
        </w:rPr>
        <w:t xml:space="preserve">. Es fundamental que </w:t>
      </w:r>
      <w:r w:rsidR="0080079E" w:rsidRPr="002720D0">
        <w:rPr>
          <w:lang w:val="es-ES_tradnl"/>
        </w:rPr>
        <w:t>se realicen inversiones adicionales en enseñanza, formación profesional y formación para la vida diaria, y en la creación de oportunidades de empleo reales para los jóvenes, si se desea que</w:t>
      </w:r>
      <w:r w:rsidR="00C95A89" w:rsidRPr="002720D0">
        <w:rPr>
          <w:lang w:val="es-ES_tradnl"/>
        </w:rPr>
        <w:t xml:space="preserve"> estos</w:t>
      </w:r>
      <w:r w:rsidR="0080079E" w:rsidRPr="002720D0">
        <w:rPr>
          <w:lang w:val="es-ES_tradnl"/>
        </w:rPr>
        <w:t xml:space="preserve"> </w:t>
      </w:r>
      <w:r w:rsidR="007F7AAA" w:rsidRPr="002720D0">
        <w:rPr>
          <w:lang w:val="es-ES_tradnl"/>
        </w:rPr>
        <w:t xml:space="preserve">lleguen a prosperar, estar debidamente informados, </w:t>
      </w:r>
      <w:r w:rsidR="00C95A89" w:rsidRPr="002720D0">
        <w:rPr>
          <w:lang w:val="es-ES_tradnl"/>
        </w:rPr>
        <w:t>ser</w:t>
      </w:r>
      <w:r w:rsidR="007F7AAA" w:rsidRPr="002720D0">
        <w:rPr>
          <w:lang w:val="es-ES_tradnl"/>
        </w:rPr>
        <w:t xml:space="preserve"> activos,</w:t>
      </w:r>
      <w:r w:rsidR="0080079E" w:rsidRPr="002720D0">
        <w:rPr>
          <w:lang w:val="es-ES_tradnl"/>
        </w:rPr>
        <w:t xml:space="preserve"> y convertirse en los ciudadanos </w:t>
      </w:r>
      <w:r w:rsidR="007F7AAA" w:rsidRPr="002720D0">
        <w:rPr>
          <w:lang w:val="es-ES_tradnl"/>
        </w:rPr>
        <w:t>de bien del mañana.</w:t>
      </w:r>
      <w:r w:rsidR="0080079E" w:rsidRPr="002720D0">
        <w:rPr>
          <w:lang w:val="es-ES_tradnl"/>
        </w:rPr>
        <w:t xml:space="preserve"> </w:t>
      </w:r>
    </w:p>
    <w:p w:rsidR="009676D2" w:rsidRPr="002720D0" w:rsidRDefault="00D562EC" w:rsidP="00EF7EFA">
      <w:pPr>
        <w:pStyle w:val="H1G"/>
        <w:outlineLvl w:val="0"/>
        <w:rPr>
          <w:lang w:val="es-ES_tradnl"/>
        </w:rPr>
      </w:pPr>
      <w:bookmarkStart w:id="43" w:name="_Toc313470879"/>
      <w:r w:rsidRPr="002720D0">
        <w:rPr>
          <w:lang w:val="es-ES_tradnl"/>
        </w:rPr>
        <w:tab/>
      </w:r>
      <w:r w:rsidR="00151021" w:rsidRPr="002720D0">
        <w:rPr>
          <w:lang w:val="es-ES_tradnl"/>
        </w:rPr>
        <w:t>6.6</w:t>
      </w:r>
      <w:r w:rsidRPr="002720D0">
        <w:rPr>
          <w:lang w:val="es-ES_tradnl"/>
        </w:rPr>
        <w:tab/>
      </w:r>
      <w:r w:rsidR="00151021" w:rsidRPr="002720D0">
        <w:rPr>
          <w:lang w:val="es-ES_tradnl"/>
        </w:rPr>
        <w:t>Me</w:t>
      </w:r>
      <w:r w:rsidR="006D46DD" w:rsidRPr="002720D0">
        <w:rPr>
          <w:lang w:val="es-ES_tradnl"/>
        </w:rPr>
        <w:t xml:space="preserve">didas para prohibir </w:t>
      </w:r>
      <w:r w:rsidR="003665AB">
        <w:rPr>
          <w:lang w:val="es-ES_tradnl"/>
        </w:rPr>
        <w:t xml:space="preserve">y eliminar </w:t>
      </w:r>
      <w:r w:rsidR="006D46DD" w:rsidRPr="002720D0">
        <w:rPr>
          <w:lang w:val="es-ES_tradnl"/>
        </w:rPr>
        <w:t xml:space="preserve">las prácticas tradicionales </w:t>
      </w:r>
      <w:r w:rsidR="006340C3">
        <w:rPr>
          <w:lang w:val="es-ES_tradnl"/>
        </w:rPr>
        <w:br/>
      </w:r>
      <w:r w:rsidR="006D46DD" w:rsidRPr="002720D0">
        <w:rPr>
          <w:lang w:val="es-ES_tradnl"/>
        </w:rPr>
        <w:t xml:space="preserve">nocivas </w:t>
      </w:r>
      <w:bookmarkEnd w:id="43"/>
      <w:r w:rsidR="00151021" w:rsidRPr="002720D0">
        <w:rPr>
          <w:lang w:val="es-ES_tradnl"/>
        </w:rPr>
        <w:t>(</w:t>
      </w:r>
      <w:r w:rsidR="003A0B14" w:rsidRPr="002720D0">
        <w:rPr>
          <w:lang w:val="es-ES_tradnl"/>
        </w:rPr>
        <w:t>a</w:t>
      </w:r>
      <w:r w:rsidR="003665AB">
        <w:rPr>
          <w:lang w:val="es-ES_tradnl"/>
        </w:rPr>
        <w:t>rt.</w:t>
      </w:r>
      <w:r w:rsidR="006D46DD" w:rsidRPr="002720D0">
        <w:rPr>
          <w:lang w:val="es-ES_tradnl"/>
        </w:rPr>
        <w:t xml:space="preserve"> 24, párr. </w:t>
      </w:r>
      <w:r w:rsidR="00151021" w:rsidRPr="002720D0">
        <w:rPr>
          <w:lang w:val="es-ES_tradnl"/>
        </w:rPr>
        <w:t>3)</w:t>
      </w:r>
    </w:p>
    <w:p w:rsidR="006D46DD" w:rsidRPr="002720D0" w:rsidRDefault="004F6364" w:rsidP="004F6364">
      <w:pPr>
        <w:pStyle w:val="SingleTxtG"/>
        <w:tabs>
          <w:tab w:val="left" w:pos="-360"/>
        </w:tabs>
        <w:rPr>
          <w:lang w:val="es-ES_tradnl"/>
        </w:rPr>
      </w:pPr>
      <w:r w:rsidRPr="002720D0">
        <w:rPr>
          <w:lang w:val="es-ES_tradnl"/>
        </w:rPr>
        <w:t>200.</w:t>
      </w:r>
      <w:r w:rsidRPr="002720D0">
        <w:rPr>
          <w:lang w:val="es-ES_tradnl"/>
        </w:rPr>
        <w:tab/>
      </w:r>
      <w:r w:rsidR="009676D2" w:rsidRPr="002720D0">
        <w:rPr>
          <w:lang w:val="es-ES_tradnl"/>
        </w:rPr>
        <w:t>El</w:t>
      </w:r>
      <w:r w:rsidR="00151021" w:rsidRPr="002720D0">
        <w:rPr>
          <w:lang w:val="es-ES_tradnl"/>
        </w:rPr>
        <w:t xml:space="preserve"> </w:t>
      </w:r>
      <w:r w:rsidR="00C95A89" w:rsidRPr="002720D0">
        <w:rPr>
          <w:bCs/>
          <w:lang w:val="es-ES_tradnl"/>
        </w:rPr>
        <w:t>Comité recomendó que el Estado p</w:t>
      </w:r>
      <w:r w:rsidR="009676D2" w:rsidRPr="002720D0">
        <w:rPr>
          <w:bCs/>
          <w:lang w:val="es-ES_tradnl"/>
        </w:rPr>
        <w:t xml:space="preserve">arte diera más fuerza a sus disposiciones legislativas relativas a la mutilación genital de la mujer y realizara campañas de sensibilización para combatir y suprimir </w:t>
      </w:r>
      <w:r w:rsidR="00042443">
        <w:rPr>
          <w:bCs/>
          <w:lang w:val="es-ES_tradnl"/>
        </w:rPr>
        <w:t>esta y otras</w:t>
      </w:r>
      <w:r w:rsidR="009676D2" w:rsidRPr="002720D0">
        <w:rPr>
          <w:bCs/>
          <w:lang w:val="es-ES_tradnl"/>
        </w:rPr>
        <w:t xml:space="preserve"> prácticas tradicionales nocivas para la salud, la supervivencia y el desarrollo de los niños, en especial de las chicas.</w:t>
      </w:r>
      <w:r w:rsidR="001D2A53">
        <w:rPr>
          <w:bCs/>
          <w:lang w:val="es-ES_tradnl"/>
        </w:rPr>
        <w:t xml:space="preserve"> </w:t>
      </w:r>
      <w:r w:rsidR="009676D2" w:rsidRPr="002720D0">
        <w:rPr>
          <w:bCs/>
          <w:lang w:val="es-ES_tradnl"/>
        </w:rPr>
        <w:t xml:space="preserve">El Comité también recomendó que el Estado parte adoptara programas de sensibilización para facultativos y para el público en general para motivarlos a cambiar las actitudes tradicionales y prohibiera las prácticas nocivas, en colaboración con la familia ampliada y los dirigentes tradicionales y religiosos. El Comité recomendó </w:t>
      </w:r>
      <w:r w:rsidR="002649D7" w:rsidRPr="002720D0">
        <w:rPr>
          <w:bCs/>
          <w:lang w:val="es-ES_tradnl"/>
        </w:rPr>
        <w:t xml:space="preserve">asimismo </w:t>
      </w:r>
      <w:r w:rsidR="009676D2" w:rsidRPr="002720D0">
        <w:rPr>
          <w:bCs/>
          <w:lang w:val="es-ES_tradnl"/>
        </w:rPr>
        <w:t>que el</w:t>
      </w:r>
      <w:r w:rsidR="00157681" w:rsidRPr="002720D0">
        <w:rPr>
          <w:bCs/>
          <w:lang w:val="es-ES_tradnl"/>
        </w:rPr>
        <w:t xml:space="preserve"> Estado p</w:t>
      </w:r>
      <w:r w:rsidR="009676D2" w:rsidRPr="002720D0">
        <w:rPr>
          <w:bCs/>
          <w:lang w:val="es-ES_tradnl"/>
        </w:rPr>
        <w:t xml:space="preserve">arte ratificase la Convención contra la Tortura y Otros Tratos o Penas Crueles, Inhumanos o Degradantes. </w:t>
      </w:r>
    </w:p>
    <w:p w:rsidR="00151021" w:rsidRPr="002720D0" w:rsidRDefault="004F6364" w:rsidP="004F6364">
      <w:pPr>
        <w:pStyle w:val="SingleTxtG"/>
        <w:tabs>
          <w:tab w:val="left" w:pos="-360"/>
        </w:tabs>
        <w:rPr>
          <w:lang w:val="es-ES_tradnl"/>
        </w:rPr>
      </w:pPr>
      <w:r w:rsidRPr="002720D0">
        <w:rPr>
          <w:lang w:val="es-ES_tradnl"/>
        </w:rPr>
        <w:t>201.</w:t>
      </w:r>
      <w:r w:rsidRPr="002720D0">
        <w:rPr>
          <w:lang w:val="es-ES_tradnl"/>
        </w:rPr>
        <w:tab/>
      </w:r>
      <w:r w:rsidR="009676D2" w:rsidRPr="002720D0">
        <w:rPr>
          <w:lang w:val="es-ES_tradnl"/>
        </w:rPr>
        <w:t>Al aplicar el párrafo 3 del artículo 24, y en el contex</w:t>
      </w:r>
      <w:r w:rsidR="00090ADC" w:rsidRPr="002720D0">
        <w:rPr>
          <w:lang w:val="es-ES_tradnl"/>
        </w:rPr>
        <w:t>t</w:t>
      </w:r>
      <w:r w:rsidR="009676D2" w:rsidRPr="002720D0">
        <w:rPr>
          <w:lang w:val="es-ES_tradnl"/>
        </w:rPr>
        <w:t>o de las recomen</w:t>
      </w:r>
      <w:r w:rsidR="002649D7" w:rsidRPr="002720D0">
        <w:rPr>
          <w:lang w:val="es-ES_tradnl"/>
        </w:rPr>
        <w:t>daciones del Comité, el Estado p</w:t>
      </w:r>
      <w:r w:rsidR="009676D2" w:rsidRPr="002720D0">
        <w:rPr>
          <w:lang w:val="es-ES_tradnl"/>
        </w:rPr>
        <w:t xml:space="preserve">arte ha reforzado sus medidas legislativas relativas a la mutilación genital de la mujer. Entre estas medidas se cuentan la Ley de </w:t>
      </w:r>
      <w:r w:rsidR="008412B7" w:rsidRPr="002720D0">
        <w:rPr>
          <w:lang w:val="es-ES_tradnl"/>
        </w:rPr>
        <w:t xml:space="preserve">Disposiciones Especiales </w:t>
      </w:r>
      <w:r w:rsidR="009676D2" w:rsidRPr="002720D0">
        <w:rPr>
          <w:lang w:val="es-ES_tradnl"/>
        </w:rPr>
        <w:t xml:space="preserve">sobre </w:t>
      </w:r>
      <w:r w:rsidR="008412B7" w:rsidRPr="002720D0">
        <w:rPr>
          <w:lang w:val="es-ES_tradnl"/>
        </w:rPr>
        <w:t xml:space="preserve">Delitos Sexuales </w:t>
      </w:r>
      <w:r w:rsidR="00090ADC" w:rsidRPr="002720D0">
        <w:rPr>
          <w:lang w:val="es-ES_tradnl"/>
        </w:rPr>
        <w:t>(1998), que prohí</w:t>
      </w:r>
      <w:r w:rsidR="009676D2" w:rsidRPr="002720D0">
        <w:rPr>
          <w:lang w:val="es-ES_tradnl"/>
        </w:rPr>
        <w:t xml:space="preserve">be la mutilación genital de las niñas menores de 18 años, la Ley de la </w:t>
      </w:r>
      <w:r w:rsidR="008412B7" w:rsidRPr="002720D0">
        <w:rPr>
          <w:lang w:val="es-ES_tradnl"/>
        </w:rPr>
        <w:t xml:space="preserve">Infancia </w:t>
      </w:r>
      <w:r w:rsidR="009676D2" w:rsidRPr="002720D0">
        <w:rPr>
          <w:lang w:val="es-ES_tradnl"/>
        </w:rPr>
        <w:t xml:space="preserve">y la Ley del </w:t>
      </w:r>
      <w:r w:rsidR="008412B7" w:rsidRPr="002720D0">
        <w:rPr>
          <w:lang w:val="es-ES_tradnl"/>
        </w:rPr>
        <w:t xml:space="preserve">Niño </w:t>
      </w:r>
      <w:r w:rsidR="009676D2" w:rsidRPr="002720D0">
        <w:rPr>
          <w:lang w:val="es-ES_tradnl"/>
        </w:rPr>
        <w:t>de Z</w:t>
      </w:r>
      <w:r w:rsidR="00090ADC" w:rsidRPr="002720D0">
        <w:rPr>
          <w:lang w:val="es-ES_tradnl"/>
        </w:rPr>
        <w:t>anzíbar; estas dos últimas prohí</w:t>
      </w:r>
      <w:r w:rsidR="009676D2" w:rsidRPr="002720D0">
        <w:rPr>
          <w:lang w:val="es-ES_tradnl"/>
        </w:rPr>
        <w:t>ben las prácticas tradicionales nocivas para los niños</w:t>
      </w:r>
      <w:r w:rsidR="00151021" w:rsidRPr="002720D0">
        <w:rPr>
          <w:rStyle w:val="FootnoteReference"/>
          <w:lang w:val="es-ES_tradnl"/>
        </w:rPr>
        <w:footnoteReference w:id="85"/>
      </w:r>
      <w:r w:rsidR="002649D7" w:rsidRPr="002720D0">
        <w:rPr>
          <w:lang w:val="es-ES_tradnl"/>
        </w:rPr>
        <w:t>. Asimismo, el Estado p</w:t>
      </w:r>
      <w:r w:rsidR="009676D2" w:rsidRPr="002720D0">
        <w:rPr>
          <w:lang w:val="es-ES_tradnl"/>
        </w:rPr>
        <w:t>arte ha realizado campañas de sensibilización destinadas a luchar contra la mutilación genital de la mujer y suprimir esta y otras</w:t>
      </w:r>
      <w:r w:rsidR="00151021" w:rsidRPr="002720D0">
        <w:rPr>
          <w:lang w:val="es-ES_tradnl"/>
        </w:rPr>
        <w:t xml:space="preserve"> </w:t>
      </w:r>
      <w:r w:rsidR="009676D2" w:rsidRPr="002720D0">
        <w:rPr>
          <w:lang w:val="es-ES_tradnl"/>
        </w:rPr>
        <w:t xml:space="preserve">prácticas tradicionales nocivas para la salud, la supervivencia y el desarrollo de los niños, en especial de las chicas. Todo ello se está </w:t>
      </w:r>
      <w:r w:rsidR="002649D7" w:rsidRPr="002720D0">
        <w:rPr>
          <w:lang w:val="es-ES_tradnl"/>
        </w:rPr>
        <w:t>llevando a cabo</w:t>
      </w:r>
      <w:r w:rsidR="009676D2" w:rsidRPr="002720D0">
        <w:rPr>
          <w:lang w:val="es-ES_tradnl"/>
        </w:rPr>
        <w:t xml:space="preserve"> mediante diálogos destinados a motivar la renuncia </w:t>
      </w:r>
      <w:r w:rsidR="007B7274" w:rsidRPr="002720D0">
        <w:rPr>
          <w:lang w:val="es-ES_tradnl"/>
        </w:rPr>
        <w:t xml:space="preserve">a esta práctica por parte de toda la comunidad. </w:t>
      </w:r>
    </w:p>
    <w:p w:rsidR="00151021" w:rsidRPr="002720D0" w:rsidRDefault="004F6364" w:rsidP="004F6364">
      <w:pPr>
        <w:pStyle w:val="SingleTxtG"/>
        <w:tabs>
          <w:tab w:val="left" w:pos="-360"/>
        </w:tabs>
        <w:rPr>
          <w:lang w:val="es-ES_tradnl"/>
        </w:rPr>
      </w:pPr>
      <w:r w:rsidRPr="002720D0">
        <w:rPr>
          <w:lang w:val="es-ES_tradnl"/>
        </w:rPr>
        <w:t>202.</w:t>
      </w:r>
      <w:r w:rsidRPr="002720D0">
        <w:rPr>
          <w:lang w:val="es-ES_tradnl"/>
        </w:rPr>
        <w:tab/>
      </w:r>
      <w:r w:rsidR="00E82A94" w:rsidRPr="002720D0">
        <w:rPr>
          <w:lang w:val="es-ES_tradnl"/>
        </w:rPr>
        <w:t>Asimismo, e</w:t>
      </w:r>
      <w:r w:rsidR="002649D7" w:rsidRPr="002720D0">
        <w:rPr>
          <w:lang w:val="es-ES_tradnl"/>
        </w:rPr>
        <w:t>l Estado p</w:t>
      </w:r>
      <w:r w:rsidR="007B7274" w:rsidRPr="002720D0">
        <w:rPr>
          <w:lang w:val="es-ES_tradnl"/>
        </w:rPr>
        <w:t>arte ha introducido el Día Internacional de Tolerancia Cero con la Mutilación Genital Femenina, conmemora</w:t>
      </w:r>
      <w:r w:rsidR="00E82A94" w:rsidRPr="002720D0">
        <w:rPr>
          <w:lang w:val="es-ES_tradnl"/>
        </w:rPr>
        <w:t>c</w:t>
      </w:r>
      <w:r w:rsidR="007B7274" w:rsidRPr="002720D0">
        <w:rPr>
          <w:lang w:val="es-ES_tradnl"/>
        </w:rPr>
        <w:t>ión anual que se celebra el 6 de febrero.</w:t>
      </w:r>
      <w:r w:rsidR="001D2A53">
        <w:rPr>
          <w:lang w:val="es-ES_tradnl"/>
        </w:rPr>
        <w:t xml:space="preserve"> </w:t>
      </w:r>
      <w:r w:rsidR="00E82A94" w:rsidRPr="002720D0">
        <w:rPr>
          <w:lang w:val="es-ES_tradnl"/>
        </w:rPr>
        <w:t xml:space="preserve">También ha introducido el Plan de acción nacional para combatir la mutilación genital femenina </w:t>
      </w:r>
      <w:r w:rsidR="00151021" w:rsidRPr="002720D0">
        <w:rPr>
          <w:lang w:val="es-ES_tradnl"/>
        </w:rPr>
        <w:t>(2001-2015)</w:t>
      </w:r>
      <w:r w:rsidR="00D77E77" w:rsidRPr="002720D0">
        <w:rPr>
          <w:lang w:val="es-ES_tradnl"/>
        </w:rPr>
        <w:t xml:space="preserve">, que apoya la eliminación de la práctica. Este plan requiere la acción de todas las partes interesadas para sensibilizar a la comunidad y abogar por la eliminación de la mutilación genital femenina a través de los medios, a saber, la radio, la televisión y el cine. Además, se imparten formaciones a los agentes de la ley y a las personas que llevan a cabo la mutilación genital femenina en las zonas donde esta práctica es común. </w:t>
      </w:r>
    </w:p>
    <w:p w:rsidR="00151021" w:rsidRPr="002720D0" w:rsidRDefault="004F6364" w:rsidP="004F6364">
      <w:pPr>
        <w:pStyle w:val="SingleTxtG"/>
        <w:tabs>
          <w:tab w:val="left" w:pos="-360"/>
        </w:tabs>
        <w:rPr>
          <w:lang w:val="es-ES_tradnl"/>
        </w:rPr>
      </w:pPr>
      <w:r w:rsidRPr="002720D0">
        <w:rPr>
          <w:lang w:val="es-ES_tradnl"/>
        </w:rPr>
        <w:t>203.</w:t>
      </w:r>
      <w:r w:rsidRPr="002720D0">
        <w:rPr>
          <w:lang w:val="es-ES_tradnl"/>
        </w:rPr>
        <w:tab/>
      </w:r>
      <w:r w:rsidR="002649D7" w:rsidRPr="002720D0">
        <w:rPr>
          <w:lang w:val="es-ES_tradnl"/>
        </w:rPr>
        <w:t>El Estado p</w:t>
      </w:r>
      <w:r w:rsidR="00A00C03" w:rsidRPr="002720D0">
        <w:rPr>
          <w:lang w:val="es-ES_tradnl"/>
        </w:rPr>
        <w:t xml:space="preserve">arte ha aportado </w:t>
      </w:r>
      <w:r w:rsidR="00056568" w:rsidRPr="002720D0">
        <w:rPr>
          <w:lang w:val="es-ES_tradnl"/>
        </w:rPr>
        <w:t>unas metodologías</w:t>
      </w:r>
      <w:r w:rsidR="00A00C03" w:rsidRPr="002720D0">
        <w:rPr>
          <w:lang w:val="es-ES_tradnl"/>
        </w:rPr>
        <w:t xml:space="preserve"> más coordinadas para tratar los asuntos relacionados con la mutilación genital femenina mediante la creación de una Secretaría Nacional para la eliminación de la mutilación genital femenina, integrada por entidades </w:t>
      </w:r>
      <w:r w:rsidR="00042443">
        <w:rPr>
          <w:lang w:val="es-ES_tradnl"/>
        </w:rPr>
        <w:t>públicas</w:t>
      </w:r>
      <w:r w:rsidR="00A00C03" w:rsidRPr="002720D0">
        <w:rPr>
          <w:lang w:val="es-ES_tradnl"/>
        </w:rPr>
        <w:t xml:space="preserve">, ONG, organizaciones confesionales y los medios de comunicación. El Ministerio de Desarrollo Comunitario, de Asuntos de Género y del Niño se encarga de la coordinación de la Secretaría. </w:t>
      </w:r>
    </w:p>
    <w:p w:rsidR="00151021" w:rsidRPr="002720D0" w:rsidRDefault="004F6364" w:rsidP="004F6364">
      <w:pPr>
        <w:pStyle w:val="SingleTxtG"/>
        <w:tabs>
          <w:tab w:val="left" w:pos="-360"/>
        </w:tabs>
        <w:rPr>
          <w:lang w:val="es-ES_tradnl"/>
        </w:rPr>
      </w:pPr>
      <w:r w:rsidRPr="002720D0">
        <w:rPr>
          <w:lang w:val="es-ES_tradnl"/>
        </w:rPr>
        <w:t>204.</w:t>
      </w:r>
      <w:r w:rsidRPr="002720D0">
        <w:rPr>
          <w:lang w:val="es-ES_tradnl"/>
        </w:rPr>
        <w:tab/>
      </w:r>
      <w:r w:rsidR="00A00C03" w:rsidRPr="002720D0">
        <w:rPr>
          <w:lang w:val="es-ES_tradnl"/>
        </w:rPr>
        <w:t>También existe una coalición contra la mutilación genital femenina, formada por las sociedades civiles para acelerar la eliminación de esta práctica en los lugares donde ya se han implantado programas de sensibilización</w:t>
      </w:r>
      <w:r w:rsidR="00D1395A" w:rsidRPr="002720D0">
        <w:rPr>
          <w:lang w:val="es-ES_tradnl"/>
        </w:rPr>
        <w:t>, que actúa</w:t>
      </w:r>
      <w:r w:rsidR="00A00C03" w:rsidRPr="002720D0">
        <w:rPr>
          <w:lang w:val="es-ES_tradnl"/>
        </w:rPr>
        <w:t xml:space="preserve"> mediante la interacción con los miembros de la comunidad, las niñas en situación de riesgo y otros niños, las mujeres y los varones, los ancianos de los clanes, las dirigentes de grupos de mujeres, las personas que llevan a cabo la mutilación genital femenina </w:t>
      </w:r>
      <w:r w:rsidR="00151021" w:rsidRPr="00CB6CC3">
        <w:rPr>
          <w:i/>
          <w:lang w:val="es-ES_tradnl"/>
        </w:rPr>
        <w:t>(</w:t>
      </w:r>
      <w:r w:rsidR="00A00C03" w:rsidRPr="00CB6CC3">
        <w:rPr>
          <w:i/>
          <w:lang w:val="es-ES_tradnl"/>
        </w:rPr>
        <w:t>ngariba</w:t>
      </w:r>
      <w:r w:rsidR="00151021" w:rsidRPr="00CB6CC3">
        <w:rPr>
          <w:i/>
          <w:lang w:val="es-ES_tradnl"/>
        </w:rPr>
        <w:t>s)</w:t>
      </w:r>
      <w:r w:rsidR="00151021" w:rsidRPr="002720D0">
        <w:rPr>
          <w:lang w:val="es-ES_tradnl"/>
        </w:rPr>
        <w:t xml:space="preserve">, </w:t>
      </w:r>
      <w:r w:rsidR="00A00C03" w:rsidRPr="002720D0">
        <w:rPr>
          <w:lang w:val="es-ES_tradnl"/>
        </w:rPr>
        <w:t xml:space="preserve">los docentes, los trabajadores sociales, el personal de enfermería, los dirigentes religiosos y los políticos (parlamentarios y concejales). </w:t>
      </w:r>
    </w:p>
    <w:p w:rsidR="00151021" w:rsidRPr="002720D0" w:rsidRDefault="004F6364" w:rsidP="004F6364">
      <w:pPr>
        <w:pStyle w:val="SingleTxtG"/>
        <w:tabs>
          <w:tab w:val="left" w:pos="-360"/>
        </w:tabs>
        <w:rPr>
          <w:lang w:val="es-ES_tradnl"/>
        </w:rPr>
      </w:pPr>
      <w:r w:rsidRPr="002720D0">
        <w:rPr>
          <w:lang w:val="es-ES_tradnl"/>
        </w:rPr>
        <w:t>205.</w:t>
      </w:r>
      <w:r w:rsidRPr="002720D0">
        <w:rPr>
          <w:lang w:val="es-ES_tradnl"/>
        </w:rPr>
        <w:tab/>
      </w:r>
      <w:r w:rsidR="00027837" w:rsidRPr="002720D0">
        <w:rPr>
          <w:lang w:val="es-ES_tradnl"/>
        </w:rPr>
        <w:t xml:space="preserve">Asimismo, </w:t>
      </w:r>
      <w:r w:rsidR="00516E50" w:rsidRPr="002720D0">
        <w:rPr>
          <w:lang w:val="es-ES_tradnl"/>
        </w:rPr>
        <w:t xml:space="preserve">en </w:t>
      </w:r>
      <w:r w:rsidR="00027837" w:rsidRPr="002720D0">
        <w:rPr>
          <w:lang w:val="es-ES_tradnl"/>
        </w:rPr>
        <w:t xml:space="preserve">la memoria de la encuesta demográfica y de salud de Tanzanía de 2010 </w:t>
      </w:r>
      <w:r w:rsidR="00516E50" w:rsidRPr="002720D0">
        <w:rPr>
          <w:lang w:val="es-ES_tradnl"/>
        </w:rPr>
        <w:t>se expone</w:t>
      </w:r>
      <w:r w:rsidR="00027837" w:rsidRPr="002720D0">
        <w:rPr>
          <w:lang w:val="es-ES_tradnl"/>
        </w:rPr>
        <w:t xml:space="preserve"> que la prevalencia de la mutilación genital femenina </w:t>
      </w:r>
      <w:r w:rsidR="00516E50" w:rsidRPr="002720D0">
        <w:rPr>
          <w:lang w:val="es-ES_tradnl"/>
        </w:rPr>
        <w:t xml:space="preserve">en el país </w:t>
      </w:r>
      <w:r w:rsidR="00027837" w:rsidRPr="002720D0">
        <w:rPr>
          <w:lang w:val="es-ES_tradnl"/>
        </w:rPr>
        <w:t xml:space="preserve">parece haber disminuido ligeramente, pasando del 18% recogido </w:t>
      </w:r>
      <w:r w:rsidR="00027837" w:rsidRPr="00A74BF4">
        <w:rPr>
          <w:lang w:val="es-ES_tradnl"/>
        </w:rPr>
        <w:t xml:space="preserve">en la encuesta demográfica y de salud de 1996 al 15% </w:t>
      </w:r>
      <w:r w:rsidR="00516E50" w:rsidRPr="00A74BF4">
        <w:rPr>
          <w:lang w:val="es-ES_tradnl"/>
        </w:rPr>
        <w:t xml:space="preserve">recogido </w:t>
      </w:r>
      <w:r w:rsidR="00027837" w:rsidRPr="00A74BF4">
        <w:rPr>
          <w:lang w:val="es-ES_tradnl"/>
        </w:rPr>
        <w:t>en la encuesta de 2010.</w:t>
      </w:r>
      <w:r w:rsidR="001D2A53">
        <w:rPr>
          <w:lang w:val="es-ES_tradnl"/>
        </w:rPr>
        <w:t xml:space="preserve"> </w:t>
      </w:r>
      <w:r w:rsidR="00027837" w:rsidRPr="00A74BF4">
        <w:rPr>
          <w:lang w:val="es-ES_tradnl"/>
        </w:rPr>
        <w:t xml:space="preserve">Esto se debe a la </w:t>
      </w:r>
      <w:r w:rsidR="00292BD0" w:rsidRPr="00A74BF4">
        <w:rPr>
          <w:lang w:val="es-ES_tradnl"/>
        </w:rPr>
        <w:t xml:space="preserve">creciente </w:t>
      </w:r>
      <w:r w:rsidR="00027837" w:rsidRPr="00A74BF4">
        <w:rPr>
          <w:lang w:val="es-ES_tradnl"/>
        </w:rPr>
        <w:t xml:space="preserve">presencia de infraestructuras, entre ellas las de comunicación e información como son la televisión y la radio, que hacen posible que la población rural acceda a la información. Al mismo tiempo, </w:t>
      </w:r>
      <w:r w:rsidR="00292BD0" w:rsidRPr="00A74BF4">
        <w:rPr>
          <w:lang w:val="es-ES_tradnl"/>
        </w:rPr>
        <w:t>la llegada de las campañas a las zonas remotas y el trabajo que allí realizan los activistas han logrado que las mujeres rurales y la comunidad rural en general adquieran conocimientos suficientes relativo</w:t>
      </w:r>
      <w:r w:rsidR="00090ADC" w:rsidRPr="00A74BF4">
        <w:rPr>
          <w:lang w:val="es-ES_tradnl"/>
        </w:rPr>
        <w:t>s a los efectos de la mutilació</w:t>
      </w:r>
      <w:r w:rsidR="00292BD0" w:rsidRPr="00A74BF4">
        <w:rPr>
          <w:lang w:val="es-ES_tradnl"/>
        </w:rPr>
        <w:t>n genital femenina.</w:t>
      </w:r>
      <w:r w:rsidR="00292BD0" w:rsidRPr="002720D0">
        <w:rPr>
          <w:lang w:val="es-ES_tradnl"/>
        </w:rPr>
        <w:t xml:space="preserve"> </w:t>
      </w:r>
    </w:p>
    <w:p w:rsidR="00EF7EFA" w:rsidRPr="002720D0" w:rsidRDefault="00D562EC" w:rsidP="00EF7EFA">
      <w:pPr>
        <w:pStyle w:val="H1G"/>
        <w:outlineLvl w:val="0"/>
        <w:rPr>
          <w:lang w:val="es-ES_tradnl"/>
        </w:rPr>
      </w:pPr>
      <w:bookmarkStart w:id="44" w:name="_Toc313470880"/>
      <w:r w:rsidRPr="002720D0">
        <w:rPr>
          <w:lang w:val="es-ES_tradnl"/>
        </w:rPr>
        <w:tab/>
      </w:r>
      <w:r w:rsidR="00151021" w:rsidRPr="002720D0">
        <w:rPr>
          <w:lang w:val="es-ES_tradnl"/>
        </w:rPr>
        <w:t>6.7</w:t>
      </w:r>
      <w:r w:rsidRPr="002720D0">
        <w:rPr>
          <w:lang w:val="es-ES_tradnl"/>
        </w:rPr>
        <w:tab/>
      </w:r>
      <w:r w:rsidR="00EE52D6" w:rsidRPr="002720D0">
        <w:rPr>
          <w:lang w:val="es-ES_tradnl"/>
        </w:rPr>
        <w:t>M</w:t>
      </w:r>
      <w:r w:rsidR="00EF7EFA" w:rsidRPr="002720D0">
        <w:rPr>
          <w:lang w:val="es-ES_tradnl"/>
        </w:rPr>
        <w:t>edidas para proteger a los niños del uso indebido de sustancias psicotrópicas (art. 33)</w:t>
      </w:r>
      <w:bookmarkEnd w:id="44"/>
    </w:p>
    <w:p w:rsidR="00151021" w:rsidRPr="002720D0" w:rsidRDefault="004F6364" w:rsidP="004F6364">
      <w:pPr>
        <w:pStyle w:val="SingleTxtG"/>
        <w:tabs>
          <w:tab w:val="left" w:pos="-360"/>
        </w:tabs>
        <w:rPr>
          <w:lang w:val="es-ES_tradnl"/>
        </w:rPr>
      </w:pPr>
      <w:r w:rsidRPr="002720D0">
        <w:rPr>
          <w:lang w:val="es-ES_tradnl"/>
        </w:rPr>
        <w:t>206.</w:t>
      </w:r>
      <w:r w:rsidRPr="002720D0">
        <w:rPr>
          <w:lang w:val="es-ES_tradnl"/>
        </w:rPr>
        <w:tab/>
      </w:r>
      <w:r w:rsidR="00EF7EFA" w:rsidRPr="002720D0">
        <w:rPr>
          <w:lang w:val="es-ES_tradnl"/>
        </w:rPr>
        <w:t>Dando cumplimiento al artículo 33 de la Co</w:t>
      </w:r>
      <w:r w:rsidR="00516E50" w:rsidRPr="002720D0">
        <w:rPr>
          <w:lang w:val="es-ES_tradnl"/>
        </w:rPr>
        <w:t>nvención, el Estado p</w:t>
      </w:r>
      <w:r w:rsidR="00EF7EFA" w:rsidRPr="002720D0">
        <w:rPr>
          <w:lang w:val="es-ES_tradnl"/>
        </w:rPr>
        <w:t xml:space="preserve">arte ha promulgado la Ley de la </w:t>
      </w:r>
      <w:r w:rsidR="008412B7" w:rsidRPr="002720D0">
        <w:rPr>
          <w:lang w:val="es-ES_tradnl"/>
        </w:rPr>
        <w:t xml:space="preserve">Infancia </w:t>
      </w:r>
      <w:r w:rsidR="0053760B" w:rsidRPr="002720D0">
        <w:rPr>
          <w:lang w:val="es-ES_tradnl"/>
        </w:rPr>
        <w:t xml:space="preserve">y la Ley del </w:t>
      </w:r>
      <w:r w:rsidR="008412B7" w:rsidRPr="002720D0">
        <w:rPr>
          <w:lang w:val="es-ES_tradnl"/>
        </w:rPr>
        <w:t xml:space="preserve">Niño </w:t>
      </w:r>
      <w:r w:rsidR="0053760B" w:rsidRPr="002720D0">
        <w:rPr>
          <w:lang w:val="es-ES_tradnl"/>
        </w:rPr>
        <w:t>de Zanzí</w:t>
      </w:r>
      <w:r w:rsidR="00EF7EFA" w:rsidRPr="002720D0">
        <w:rPr>
          <w:lang w:val="es-ES_tradnl"/>
        </w:rPr>
        <w:t xml:space="preserve">bar. Entre otras cosas, estas leyes </w:t>
      </w:r>
      <w:r w:rsidR="004E5B2C" w:rsidRPr="002720D0">
        <w:rPr>
          <w:lang w:val="es-ES_tradnl"/>
        </w:rPr>
        <w:t>prohíben</w:t>
      </w:r>
      <w:r w:rsidR="00EF7EFA" w:rsidRPr="002720D0">
        <w:rPr>
          <w:lang w:val="es-ES_tradnl"/>
        </w:rPr>
        <w:t xml:space="preserve"> la venta de cigarrillos, alcohol, bebidas espirituosas, drogas prohibidas o cualquier estupefaciente a los niños</w:t>
      </w:r>
      <w:r w:rsidR="00151021" w:rsidRPr="002720D0">
        <w:rPr>
          <w:rStyle w:val="FootnoteReference"/>
          <w:lang w:val="es-ES_tradnl"/>
        </w:rPr>
        <w:footnoteReference w:id="86"/>
      </w:r>
      <w:r w:rsidR="00151021" w:rsidRPr="002720D0">
        <w:rPr>
          <w:lang w:val="es-ES_tradnl"/>
        </w:rPr>
        <w:t xml:space="preserve">. </w:t>
      </w:r>
      <w:r w:rsidR="00516E50" w:rsidRPr="002720D0">
        <w:rPr>
          <w:lang w:val="es-ES_tradnl"/>
        </w:rPr>
        <w:t>Asimismo,</w:t>
      </w:r>
      <w:r w:rsidR="00EF7EFA" w:rsidRPr="002720D0">
        <w:rPr>
          <w:lang w:val="es-ES_tradnl"/>
        </w:rPr>
        <w:t xml:space="preserve"> la Ley de </w:t>
      </w:r>
      <w:r w:rsidR="00C725B0" w:rsidRPr="002720D0">
        <w:rPr>
          <w:lang w:val="es-ES_tradnl"/>
        </w:rPr>
        <w:t xml:space="preserve">Prevención </w:t>
      </w:r>
      <w:r w:rsidR="00EF7EFA" w:rsidRPr="002720D0">
        <w:rPr>
          <w:lang w:val="es-ES_tradnl"/>
        </w:rPr>
        <w:t xml:space="preserve">en </w:t>
      </w:r>
      <w:r w:rsidR="00C725B0" w:rsidRPr="002720D0">
        <w:rPr>
          <w:lang w:val="es-ES_tradnl"/>
        </w:rPr>
        <w:t xml:space="preserve">Materia </w:t>
      </w:r>
      <w:r w:rsidR="00EF7EFA" w:rsidRPr="002720D0">
        <w:rPr>
          <w:lang w:val="es-ES_tradnl"/>
        </w:rPr>
        <w:t xml:space="preserve">de </w:t>
      </w:r>
      <w:r w:rsidR="00C725B0" w:rsidRPr="002720D0">
        <w:rPr>
          <w:lang w:val="es-ES_tradnl"/>
        </w:rPr>
        <w:t xml:space="preserve">Drogas </w:t>
      </w:r>
      <w:r w:rsidR="00EF7EFA" w:rsidRPr="002720D0">
        <w:rPr>
          <w:lang w:val="es-ES_tradnl"/>
        </w:rPr>
        <w:t xml:space="preserve">y del </w:t>
      </w:r>
      <w:r w:rsidR="00C725B0" w:rsidRPr="002720D0">
        <w:rPr>
          <w:lang w:val="es-ES_tradnl"/>
        </w:rPr>
        <w:t xml:space="preserve">Tráfico </w:t>
      </w:r>
      <w:r w:rsidR="00EF7EFA" w:rsidRPr="002720D0">
        <w:rPr>
          <w:lang w:val="es-ES_tradnl"/>
        </w:rPr>
        <w:t xml:space="preserve">de </w:t>
      </w:r>
      <w:r w:rsidR="00C725B0" w:rsidRPr="002720D0">
        <w:rPr>
          <w:lang w:val="es-ES_tradnl"/>
        </w:rPr>
        <w:t>Drogas</w:t>
      </w:r>
      <w:r w:rsidR="00151021" w:rsidRPr="002720D0">
        <w:rPr>
          <w:rStyle w:val="FootnoteReference"/>
          <w:lang w:val="es-ES_tradnl"/>
        </w:rPr>
        <w:footnoteReference w:id="87"/>
      </w:r>
      <w:r w:rsidR="00EF7EFA" w:rsidRPr="002720D0">
        <w:rPr>
          <w:lang w:val="es-ES_tradnl"/>
        </w:rPr>
        <w:t xml:space="preserve"> incluye una prohibición general del uso por cualquier persona de los estupefacientes y las sustancias psicotrópicas. </w:t>
      </w:r>
    </w:p>
    <w:p w:rsidR="00151021" w:rsidRPr="002720D0" w:rsidRDefault="004F6364" w:rsidP="004F6364">
      <w:pPr>
        <w:pStyle w:val="SingleTxtG"/>
        <w:tabs>
          <w:tab w:val="left" w:pos="-360"/>
        </w:tabs>
        <w:rPr>
          <w:lang w:val="es-ES_tradnl"/>
        </w:rPr>
      </w:pPr>
      <w:r w:rsidRPr="002720D0">
        <w:rPr>
          <w:lang w:val="es-ES_tradnl"/>
        </w:rPr>
        <w:t>207.</w:t>
      </w:r>
      <w:r w:rsidRPr="002720D0">
        <w:rPr>
          <w:lang w:val="es-ES_tradnl"/>
        </w:rPr>
        <w:tab/>
      </w:r>
      <w:r w:rsidR="00090ADC" w:rsidRPr="002720D0">
        <w:rPr>
          <w:lang w:val="es-ES_tradnl"/>
        </w:rPr>
        <w:t>En Zanzí</w:t>
      </w:r>
      <w:r w:rsidR="00151021" w:rsidRPr="002720D0">
        <w:rPr>
          <w:lang w:val="es-ES_tradnl"/>
        </w:rPr>
        <w:t xml:space="preserve">bar, </w:t>
      </w:r>
      <w:r w:rsidR="00157681" w:rsidRPr="002720D0">
        <w:rPr>
          <w:lang w:val="es-ES_tradnl"/>
        </w:rPr>
        <w:t>el Estado p</w:t>
      </w:r>
      <w:r w:rsidR="00090ADC" w:rsidRPr="002720D0">
        <w:rPr>
          <w:lang w:val="es-ES_tradnl"/>
        </w:rPr>
        <w:t>arte ha puesto en marcha un programa</w:t>
      </w:r>
      <w:r w:rsidR="00516E50" w:rsidRPr="002720D0">
        <w:rPr>
          <w:lang w:val="es-ES_tradnl"/>
        </w:rPr>
        <w:t>,</w:t>
      </w:r>
      <w:r w:rsidR="00090ADC" w:rsidRPr="002720D0">
        <w:rPr>
          <w:lang w:val="es-ES_tradnl"/>
        </w:rPr>
        <w:t xml:space="preserve"> denominado</w:t>
      </w:r>
      <w:r w:rsidR="00151021" w:rsidRPr="002720D0">
        <w:rPr>
          <w:lang w:val="es-ES_tradnl"/>
        </w:rPr>
        <w:t xml:space="preserve"> </w:t>
      </w:r>
      <w:r w:rsidR="00151021" w:rsidRPr="002720D0">
        <w:rPr>
          <w:i/>
          <w:lang w:val="es-ES_tradnl"/>
        </w:rPr>
        <w:t>Pamoja Tuwalee</w:t>
      </w:r>
      <w:r w:rsidR="00516E50" w:rsidRPr="00CB6CC3">
        <w:rPr>
          <w:lang w:val="es-ES_tradnl"/>
        </w:rPr>
        <w:t>,</w:t>
      </w:r>
      <w:r w:rsidR="00151021" w:rsidRPr="002720D0">
        <w:rPr>
          <w:lang w:val="es-ES_tradnl"/>
        </w:rPr>
        <w:t xml:space="preserve"> </w:t>
      </w:r>
      <w:r w:rsidR="00090ADC" w:rsidRPr="002720D0">
        <w:rPr>
          <w:lang w:val="es-ES_tradnl"/>
        </w:rPr>
        <w:t xml:space="preserve">cuyo objeto es asistir a los niños más vulnerables y prestar asistencia en el hogar en relación con el VIH. Existe una estrategia conocida como </w:t>
      </w:r>
      <w:r w:rsidR="00151021" w:rsidRPr="002720D0">
        <w:rPr>
          <w:i/>
          <w:lang w:val="es-ES_tradnl"/>
        </w:rPr>
        <w:t>Utii wa Sheria Bila Shuruti</w:t>
      </w:r>
      <w:r w:rsidR="00151021" w:rsidRPr="002720D0">
        <w:rPr>
          <w:lang w:val="es-ES_tradnl"/>
        </w:rPr>
        <w:t xml:space="preserve"> (</w:t>
      </w:r>
      <w:r w:rsidR="00090ADC" w:rsidRPr="002720D0">
        <w:rPr>
          <w:lang w:val="es-ES_tradnl"/>
        </w:rPr>
        <w:t>es</w:t>
      </w:r>
      <w:r w:rsidR="00CB6CC3">
        <w:rPr>
          <w:lang w:val="es-ES_tradnl"/>
        </w:rPr>
        <w:t> </w:t>
      </w:r>
      <w:r w:rsidR="00516E50" w:rsidRPr="002720D0">
        <w:rPr>
          <w:lang w:val="es-ES_tradnl"/>
        </w:rPr>
        <w:t>decir, obediencia voluntaria a</w:t>
      </w:r>
      <w:r w:rsidR="00090ADC" w:rsidRPr="002720D0">
        <w:rPr>
          <w:lang w:val="es-ES_tradnl"/>
        </w:rPr>
        <w:t xml:space="preserve"> las leyes), adoptada por la policía de Tanzanía continental (2011), por la que se pone de relieve la importancia y el deber </w:t>
      </w:r>
      <w:r w:rsidR="00516E50" w:rsidRPr="002720D0">
        <w:rPr>
          <w:lang w:val="es-ES_tradnl"/>
        </w:rPr>
        <w:t>para</w:t>
      </w:r>
      <w:r w:rsidR="00090ADC" w:rsidRPr="002720D0">
        <w:rPr>
          <w:lang w:val="es-ES_tradnl"/>
        </w:rPr>
        <w:t xml:space="preserve"> la población </w:t>
      </w:r>
      <w:r w:rsidR="00516E50" w:rsidRPr="002720D0">
        <w:rPr>
          <w:lang w:val="es-ES_tradnl"/>
        </w:rPr>
        <w:t>de crear</w:t>
      </w:r>
      <w:r w:rsidR="00090ADC" w:rsidRPr="002720D0">
        <w:rPr>
          <w:lang w:val="es-ES_tradnl"/>
        </w:rPr>
        <w:t xml:space="preserve"> una cultura de obediencia de las leyes y normativas del país sin </w:t>
      </w:r>
      <w:r w:rsidR="00516E50" w:rsidRPr="002720D0">
        <w:rPr>
          <w:lang w:val="es-ES_tradnl"/>
        </w:rPr>
        <w:t xml:space="preserve">necesidad de </w:t>
      </w:r>
      <w:r w:rsidR="00090ADC" w:rsidRPr="002720D0">
        <w:rPr>
          <w:lang w:val="es-ES_tradnl"/>
        </w:rPr>
        <w:t xml:space="preserve">que </w:t>
      </w:r>
      <w:r w:rsidR="00516E50" w:rsidRPr="002720D0">
        <w:rPr>
          <w:lang w:val="es-ES_tradnl"/>
        </w:rPr>
        <w:t xml:space="preserve">las fuerzas de seguridad </w:t>
      </w:r>
      <w:r w:rsidR="00090ADC" w:rsidRPr="002720D0">
        <w:rPr>
          <w:lang w:val="es-ES_tradnl"/>
        </w:rPr>
        <w:t>les obliguen a hacerlo.</w:t>
      </w:r>
      <w:r w:rsidR="00151021" w:rsidRPr="002720D0">
        <w:rPr>
          <w:lang w:val="es-ES_tradnl"/>
        </w:rPr>
        <w:t xml:space="preserve"> </w:t>
      </w:r>
    </w:p>
    <w:p w:rsidR="0005611D" w:rsidRPr="002720D0" w:rsidRDefault="00D562EC" w:rsidP="00F738C9">
      <w:pPr>
        <w:pStyle w:val="H1G"/>
        <w:outlineLvl w:val="0"/>
        <w:rPr>
          <w:lang w:val="es-ES_tradnl"/>
        </w:rPr>
      </w:pPr>
      <w:bookmarkStart w:id="45" w:name="_Toc313470881"/>
      <w:r w:rsidRPr="002720D0">
        <w:rPr>
          <w:lang w:val="es-ES_tradnl"/>
        </w:rPr>
        <w:tab/>
      </w:r>
      <w:r w:rsidR="00151021" w:rsidRPr="002720D0">
        <w:rPr>
          <w:lang w:val="es-ES_tradnl"/>
        </w:rPr>
        <w:t>6.8</w:t>
      </w:r>
      <w:r w:rsidRPr="002720D0">
        <w:rPr>
          <w:lang w:val="es-ES_tradnl"/>
        </w:rPr>
        <w:tab/>
      </w:r>
      <w:r w:rsidR="00151021" w:rsidRPr="002720D0">
        <w:rPr>
          <w:lang w:val="es-ES_tradnl"/>
        </w:rPr>
        <w:t>Me</w:t>
      </w:r>
      <w:r w:rsidR="0053760B" w:rsidRPr="002720D0">
        <w:rPr>
          <w:lang w:val="es-ES_tradnl"/>
        </w:rPr>
        <w:t>d</w:t>
      </w:r>
      <w:r w:rsidR="00F738C9" w:rsidRPr="002720D0">
        <w:rPr>
          <w:lang w:val="es-ES_tradnl"/>
        </w:rPr>
        <w:t>idas para garantizar la protección de los niños con padres encarcelados y los niños que acompañan a</w:t>
      </w:r>
      <w:r w:rsidR="00FE027F" w:rsidRPr="002720D0">
        <w:rPr>
          <w:lang w:val="es-ES_tradnl"/>
        </w:rPr>
        <w:t xml:space="preserve"> su </w:t>
      </w:r>
      <w:r w:rsidR="00F738C9" w:rsidRPr="002720D0">
        <w:rPr>
          <w:lang w:val="es-ES_tradnl"/>
        </w:rPr>
        <w:t>madre en prisión</w:t>
      </w:r>
      <w:bookmarkEnd w:id="45"/>
    </w:p>
    <w:p w:rsidR="00151021" w:rsidRPr="002720D0" w:rsidRDefault="004F6364" w:rsidP="004F6364">
      <w:pPr>
        <w:pStyle w:val="SingleTxtG"/>
        <w:tabs>
          <w:tab w:val="left" w:pos="-360"/>
        </w:tabs>
        <w:rPr>
          <w:lang w:val="es-ES_tradnl"/>
        </w:rPr>
      </w:pPr>
      <w:r w:rsidRPr="002720D0">
        <w:rPr>
          <w:lang w:val="es-ES_tradnl"/>
        </w:rPr>
        <w:t>208.</w:t>
      </w:r>
      <w:r w:rsidRPr="002720D0">
        <w:rPr>
          <w:lang w:val="es-ES_tradnl"/>
        </w:rPr>
        <w:tab/>
      </w:r>
      <w:r w:rsidR="00516E50" w:rsidRPr="002720D0">
        <w:rPr>
          <w:lang w:val="es-ES_tradnl"/>
        </w:rPr>
        <w:t>El Estado p</w:t>
      </w:r>
      <w:r w:rsidR="00FE027F" w:rsidRPr="002720D0">
        <w:rPr>
          <w:lang w:val="es-ES_tradnl"/>
        </w:rPr>
        <w:t>arte ha pr</w:t>
      </w:r>
      <w:r w:rsidR="00516E50" w:rsidRPr="002720D0">
        <w:rPr>
          <w:lang w:val="es-ES_tradnl"/>
        </w:rPr>
        <w:t xml:space="preserve">omulgado la Ley de la </w:t>
      </w:r>
      <w:r w:rsidR="00C725B0" w:rsidRPr="002720D0">
        <w:rPr>
          <w:lang w:val="es-ES_tradnl"/>
        </w:rPr>
        <w:t xml:space="preserve">Infancia </w:t>
      </w:r>
      <w:r w:rsidR="00516E50" w:rsidRPr="002720D0">
        <w:rPr>
          <w:lang w:val="es-ES_tradnl"/>
        </w:rPr>
        <w:t>(</w:t>
      </w:r>
      <w:r w:rsidR="00FE027F" w:rsidRPr="002720D0">
        <w:rPr>
          <w:lang w:val="es-ES_tradnl"/>
        </w:rPr>
        <w:t xml:space="preserve">2009) y la Ley del </w:t>
      </w:r>
      <w:r w:rsidR="00C725B0" w:rsidRPr="002720D0">
        <w:rPr>
          <w:lang w:val="es-ES_tradnl"/>
        </w:rPr>
        <w:t xml:space="preserve">Niño </w:t>
      </w:r>
      <w:r w:rsidR="00FE027F" w:rsidRPr="002720D0">
        <w:rPr>
          <w:lang w:val="es-ES_tradnl"/>
        </w:rPr>
        <w:t xml:space="preserve">de </w:t>
      </w:r>
      <w:r w:rsidR="004E5B2C" w:rsidRPr="002720D0">
        <w:rPr>
          <w:lang w:val="es-ES_tradnl"/>
        </w:rPr>
        <w:t>Zanzíbar</w:t>
      </w:r>
      <w:r w:rsidR="00FE027F" w:rsidRPr="002720D0">
        <w:rPr>
          <w:lang w:val="es-ES_tradnl"/>
        </w:rPr>
        <w:t xml:space="preserve"> (2011).</w:t>
      </w:r>
      <w:r w:rsidR="00151021" w:rsidRPr="002720D0">
        <w:rPr>
          <w:lang w:val="es-ES_tradnl"/>
        </w:rPr>
        <w:t xml:space="preserve"> </w:t>
      </w:r>
      <w:r w:rsidR="00516E50" w:rsidRPr="002720D0">
        <w:rPr>
          <w:lang w:val="es-ES_tradnl"/>
        </w:rPr>
        <w:t xml:space="preserve">La Ley de la </w:t>
      </w:r>
      <w:r w:rsidR="00C725B0" w:rsidRPr="002720D0">
        <w:rPr>
          <w:lang w:val="es-ES_tradnl"/>
        </w:rPr>
        <w:t xml:space="preserve">Infancia </w:t>
      </w:r>
      <w:r w:rsidR="00FE027F" w:rsidRPr="002720D0">
        <w:rPr>
          <w:lang w:val="es-ES_tradnl"/>
        </w:rPr>
        <w:t>exige que las autoridades penitenciarias adopten todas las medidas necesarias respecto de las madres a quienes sus hijos acompañan en prisión para asegurar que el niño reciba los cuidados</w:t>
      </w:r>
      <w:r w:rsidR="00ED7182" w:rsidRPr="002720D0">
        <w:rPr>
          <w:lang w:val="es-ES_tradnl"/>
        </w:rPr>
        <w:t xml:space="preserve"> infantiles necesarios, en forma</w:t>
      </w:r>
      <w:r w:rsidR="00FE027F" w:rsidRPr="002720D0">
        <w:rPr>
          <w:lang w:val="es-ES_tradnl"/>
        </w:rPr>
        <w:t xml:space="preserve"> de una dieta adecuada, nutrición y cuidados sanitarios infantiles, comprendida la inmunización</w:t>
      </w:r>
      <w:r w:rsidR="00151021" w:rsidRPr="002720D0">
        <w:rPr>
          <w:rStyle w:val="FootnoteReference"/>
          <w:lang w:val="es-ES_tradnl"/>
        </w:rPr>
        <w:footnoteReference w:id="88"/>
      </w:r>
      <w:r w:rsidR="00FE027F" w:rsidRPr="002720D0">
        <w:rPr>
          <w:lang w:val="es-ES_tradnl"/>
        </w:rPr>
        <w:t xml:space="preserve">. La Ley del </w:t>
      </w:r>
      <w:r w:rsidR="00C725B0" w:rsidRPr="002720D0">
        <w:rPr>
          <w:lang w:val="es-ES_tradnl"/>
        </w:rPr>
        <w:t xml:space="preserve">Niño </w:t>
      </w:r>
      <w:r w:rsidR="00FE027F" w:rsidRPr="002720D0">
        <w:rPr>
          <w:lang w:val="es-ES_tradnl"/>
        </w:rPr>
        <w:t xml:space="preserve">de Zanzíbar dispone que </w:t>
      </w:r>
      <w:r w:rsidR="00ED7182" w:rsidRPr="002720D0">
        <w:rPr>
          <w:lang w:val="es-ES_tradnl"/>
        </w:rPr>
        <w:t xml:space="preserve">los niños cuyos padres han sido privados </w:t>
      </w:r>
      <w:r w:rsidR="00516E50" w:rsidRPr="002720D0">
        <w:rPr>
          <w:lang w:val="es-ES_tradnl"/>
        </w:rPr>
        <w:t>d</w:t>
      </w:r>
      <w:r w:rsidR="00ED7182" w:rsidRPr="002720D0">
        <w:rPr>
          <w:lang w:val="es-ES_tradnl"/>
        </w:rPr>
        <w:t xml:space="preserve">e libertad y que carecen de un cuidador adecuado </w:t>
      </w:r>
      <w:r w:rsidR="00516E50" w:rsidRPr="002720D0">
        <w:rPr>
          <w:lang w:val="es-ES_tradnl"/>
        </w:rPr>
        <w:t>necesitan</w:t>
      </w:r>
      <w:r w:rsidR="00ED7182" w:rsidRPr="002720D0">
        <w:rPr>
          <w:lang w:val="es-ES_tradnl"/>
        </w:rPr>
        <w:t xml:space="preserve"> cuidado y protección</w:t>
      </w:r>
      <w:r w:rsidR="00516E50" w:rsidRPr="002720D0">
        <w:rPr>
          <w:lang w:val="es-ES_tradnl"/>
        </w:rPr>
        <w:t>,</w:t>
      </w:r>
      <w:r w:rsidR="00ED7182" w:rsidRPr="002720D0">
        <w:rPr>
          <w:lang w:val="es-ES_tradnl"/>
        </w:rPr>
        <w:t xml:space="preserve"> y han de ser derivados a un funcionario de bienestar </w:t>
      </w:r>
      <w:r w:rsidR="00516E50" w:rsidRPr="002720D0">
        <w:rPr>
          <w:lang w:val="es-ES_tradnl"/>
        </w:rPr>
        <w:t xml:space="preserve">social </w:t>
      </w:r>
      <w:r w:rsidR="00ED7182" w:rsidRPr="002720D0">
        <w:rPr>
          <w:lang w:val="es-ES_tradnl"/>
        </w:rPr>
        <w:t xml:space="preserve">para que este efectúe </w:t>
      </w:r>
      <w:r w:rsidR="00516E50" w:rsidRPr="002720D0">
        <w:rPr>
          <w:lang w:val="es-ES_tradnl"/>
        </w:rPr>
        <w:t>la correspondiente</w:t>
      </w:r>
      <w:r w:rsidR="00ED7182" w:rsidRPr="002720D0">
        <w:rPr>
          <w:lang w:val="es-ES_tradnl"/>
        </w:rPr>
        <w:t xml:space="preserve"> valoración</w:t>
      </w:r>
      <w:r w:rsidR="00151021" w:rsidRPr="002720D0">
        <w:rPr>
          <w:rStyle w:val="FootnoteReference"/>
          <w:lang w:val="es-ES_tradnl"/>
        </w:rPr>
        <w:footnoteReference w:id="89"/>
      </w:r>
      <w:r w:rsidR="00ED7182" w:rsidRPr="002720D0">
        <w:rPr>
          <w:lang w:val="es-ES_tradnl"/>
        </w:rPr>
        <w:t>.</w:t>
      </w:r>
    </w:p>
    <w:p w:rsidR="00151021" w:rsidRPr="002720D0" w:rsidRDefault="00D562EC" w:rsidP="00586395">
      <w:pPr>
        <w:pStyle w:val="H1G"/>
        <w:outlineLvl w:val="0"/>
        <w:rPr>
          <w:lang w:val="es-ES_tradnl"/>
        </w:rPr>
      </w:pPr>
      <w:bookmarkStart w:id="46" w:name="_Toc313470882"/>
      <w:r w:rsidRPr="002720D0">
        <w:rPr>
          <w:lang w:val="es-ES_tradnl"/>
        </w:rPr>
        <w:tab/>
      </w:r>
      <w:r w:rsidR="00151021" w:rsidRPr="002720D0">
        <w:rPr>
          <w:lang w:val="es-ES_tradnl"/>
        </w:rPr>
        <w:t>6.9</w:t>
      </w:r>
      <w:r w:rsidRPr="002720D0">
        <w:rPr>
          <w:lang w:val="es-ES_tradnl"/>
        </w:rPr>
        <w:tab/>
      </w:r>
      <w:r w:rsidR="00EB0C66" w:rsidRPr="002720D0">
        <w:rPr>
          <w:lang w:val="es-ES_tradnl"/>
        </w:rPr>
        <w:t>Niños con discapacidad</w:t>
      </w:r>
      <w:bookmarkEnd w:id="46"/>
    </w:p>
    <w:p w:rsidR="00151021" w:rsidRPr="002720D0" w:rsidRDefault="004F6364" w:rsidP="004F6364">
      <w:pPr>
        <w:pStyle w:val="SingleTxtG"/>
        <w:tabs>
          <w:tab w:val="left" w:pos="-360"/>
        </w:tabs>
        <w:rPr>
          <w:lang w:val="es-ES_tradnl"/>
        </w:rPr>
      </w:pPr>
      <w:r w:rsidRPr="002720D0">
        <w:rPr>
          <w:lang w:val="es-ES_tradnl"/>
        </w:rPr>
        <w:t>209.</w:t>
      </w:r>
      <w:r w:rsidRPr="002720D0">
        <w:rPr>
          <w:lang w:val="es-ES_tradnl"/>
        </w:rPr>
        <w:tab/>
      </w:r>
      <w:r w:rsidR="00EB0C66" w:rsidRPr="002720D0">
        <w:rPr>
          <w:lang w:val="es-ES_tradnl"/>
        </w:rPr>
        <w:t xml:space="preserve">A la luz de las Normas Uniformes sobre la Igualdad de Oportunidades para las Personas con Discapacidad </w:t>
      </w:r>
      <w:r w:rsidR="00151021" w:rsidRPr="002720D0">
        <w:rPr>
          <w:lang w:val="es-ES_tradnl"/>
        </w:rPr>
        <w:t>(</w:t>
      </w:r>
      <w:r w:rsidR="00732C7A" w:rsidRPr="002720D0">
        <w:rPr>
          <w:lang w:val="es-ES_tradnl"/>
        </w:rPr>
        <w:t>r</w:t>
      </w:r>
      <w:r w:rsidR="00EB0C66" w:rsidRPr="002720D0">
        <w:rPr>
          <w:lang w:val="es-ES_tradnl"/>
        </w:rPr>
        <w:t xml:space="preserve">esolución 48/96 de la Asamblea </w:t>
      </w:r>
      <w:r w:rsidR="00151021" w:rsidRPr="002720D0">
        <w:rPr>
          <w:lang w:val="es-ES_tradnl"/>
        </w:rPr>
        <w:t xml:space="preserve">General) </w:t>
      </w:r>
      <w:r w:rsidR="00EB0C66" w:rsidRPr="002720D0">
        <w:rPr>
          <w:lang w:val="es-ES_tradnl"/>
        </w:rPr>
        <w:t xml:space="preserve">y de las recomendaciones aprobadas en su día de debate general sobre los derechos de los niños con discapacidad </w:t>
      </w:r>
      <w:r w:rsidR="00151021" w:rsidRPr="002720D0">
        <w:rPr>
          <w:lang w:val="es-ES_tradnl"/>
        </w:rPr>
        <w:t xml:space="preserve">(CRC/C/69, </w:t>
      </w:r>
      <w:r w:rsidR="00EB0C66" w:rsidRPr="002720D0">
        <w:rPr>
          <w:lang w:val="es-ES_tradnl"/>
        </w:rPr>
        <w:t>párrs.</w:t>
      </w:r>
      <w:r w:rsidR="001D2A53">
        <w:rPr>
          <w:lang w:val="es-ES_tradnl"/>
        </w:rPr>
        <w:t xml:space="preserve"> </w:t>
      </w:r>
      <w:r w:rsidR="00EB0C66" w:rsidRPr="002720D0">
        <w:rPr>
          <w:lang w:val="es-ES_tradnl"/>
        </w:rPr>
        <w:t xml:space="preserve">310 a </w:t>
      </w:r>
      <w:r w:rsidR="00151021" w:rsidRPr="002720D0">
        <w:rPr>
          <w:lang w:val="es-ES_tradnl"/>
        </w:rPr>
        <w:t xml:space="preserve">339), </w:t>
      </w:r>
      <w:r w:rsidR="00EB0C66" w:rsidRPr="002720D0">
        <w:rPr>
          <w:lang w:val="es-ES_tradnl"/>
        </w:rPr>
        <w:t xml:space="preserve">el </w:t>
      </w:r>
      <w:r w:rsidR="00732C7A" w:rsidRPr="002720D0">
        <w:rPr>
          <w:lang w:val="es-ES_tradnl"/>
        </w:rPr>
        <w:t>Comité recomendó que el Estado p</w:t>
      </w:r>
      <w:r w:rsidR="00EB0C66" w:rsidRPr="002720D0">
        <w:rPr>
          <w:lang w:val="es-ES_tradnl"/>
        </w:rPr>
        <w:t>arte:</w:t>
      </w:r>
    </w:p>
    <w:p w:rsidR="00151021" w:rsidRPr="002720D0" w:rsidRDefault="006340C3" w:rsidP="006340C3">
      <w:pPr>
        <w:pStyle w:val="SingleTxtG"/>
        <w:rPr>
          <w:lang w:val="es-ES_tradnl"/>
        </w:rPr>
      </w:pPr>
      <w:r>
        <w:rPr>
          <w:lang w:val="es-ES_tradnl"/>
        </w:rPr>
        <w:tab/>
      </w:r>
      <w:r w:rsidR="00151021" w:rsidRPr="002720D0">
        <w:rPr>
          <w:lang w:val="es-ES_tradnl"/>
        </w:rPr>
        <w:t>a)</w:t>
      </w:r>
      <w:r w:rsidR="00D562EC" w:rsidRPr="002720D0">
        <w:rPr>
          <w:lang w:val="es-ES_tradnl"/>
        </w:rPr>
        <w:tab/>
      </w:r>
      <w:r w:rsidR="00FA5C56" w:rsidRPr="002720D0">
        <w:rPr>
          <w:lang w:val="es-ES_tradnl"/>
        </w:rPr>
        <w:t xml:space="preserve">Siguiera fomentando la integración de los niños con discapacidad en el sistema educativo general y en la sociedad; </w:t>
      </w:r>
    </w:p>
    <w:p w:rsidR="00151021" w:rsidRPr="002720D0" w:rsidRDefault="006340C3" w:rsidP="006340C3">
      <w:pPr>
        <w:pStyle w:val="SingleTxtG"/>
        <w:rPr>
          <w:lang w:val="es-ES_tradnl"/>
        </w:rPr>
      </w:pPr>
      <w:r>
        <w:rPr>
          <w:lang w:val="es-ES_tradnl"/>
        </w:rPr>
        <w:tab/>
      </w:r>
      <w:r w:rsidR="00151021" w:rsidRPr="002720D0">
        <w:rPr>
          <w:lang w:val="es-ES_tradnl"/>
        </w:rPr>
        <w:t>b)</w:t>
      </w:r>
      <w:r w:rsidR="00D562EC" w:rsidRPr="002720D0">
        <w:rPr>
          <w:lang w:val="es-ES_tradnl"/>
        </w:rPr>
        <w:tab/>
      </w:r>
      <w:r w:rsidR="00FA5C56" w:rsidRPr="002720D0">
        <w:rPr>
          <w:lang w:val="es-ES_tradnl"/>
        </w:rPr>
        <w:t xml:space="preserve">Prestara más atención a la formación especial de los docentes e hiciera que el medio físico, comprensivo de las escuelas, las instalaciones deportivas y de esparcimiento y todos los demás lugares públicos, fuera accesible a los </w:t>
      </w:r>
      <w:r w:rsidR="00FA5C56" w:rsidRPr="00A74BF4">
        <w:rPr>
          <w:lang w:val="es-ES_tradnl"/>
        </w:rPr>
        <w:t>niños con discapacidad;</w:t>
      </w:r>
      <w:r w:rsidR="00FA5C56" w:rsidRPr="002720D0">
        <w:rPr>
          <w:lang w:val="es-ES_tradnl"/>
        </w:rPr>
        <w:t xml:space="preserve"> y </w:t>
      </w:r>
    </w:p>
    <w:p w:rsidR="00EB0C66" w:rsidRPr="002720D0" w:rsidRDefault="006340C3" w:rsidP="006340C3">
      <w:pPr>
        <w:pStyle w:val="SingleTxtG"/>
        <w:rPr>
          <w:b/>
          <w:bCs/>
          <w:lang w:val="es-ES_tradnl"/>
        </w:rPr>
      </w:pPr>
      <w:r>
        <w:rPr>
          <w:lang w:val="es-ES_tradnl"/>
        </w:rPr>
        <w:tab/>
      </w:r>
      <w:r w:rsidR="00FA5C56" w:rsidRPr="002720D0">
        <w:rPr>
          <w:lang w:val="es-ES_tradnl"/>
        </w:rPr>
        <w:t>c)</w:t>
      </w:r>
      <w:r w:rsidR="00D562EC" w:rsidRPr="002720D0">
        <w:rPr>
          <w:lang w:val="es-ES_tradnl"/>
        </w:rPr>
        <w:tab/>
      </w:r>
      <w:r w:rsidR="00FA5C56" w:rsidRPr="002720D0">
        <w:rPr>
          <w:lang w:val="es-ES_tradnl"/>
        </w:rPr>
        <w:t xml:space="preserve">Mejorase y potenciase los servicios de detección y tratamiento precoces en el sector de la salud y la educación. </w:t>
      </w:r>
    </w:p>
    <w:p w:rsidR="00151021" w:rsidRPr="002720D0" w:rsidRDefault="004F6364" w:rsidP="004F6364">
      <w:pPr>
        <w:pStyle w:val="SingleTxtG"/>
        <w:tabs>
          <w:tab w:val="left" w:pos="-360"/>
        </w:tabs>
        <w:rPr>
          <w:lang w:val="es-ES_tradnl"/>
        </w:rPr>
      </w:pPr>
      <w:r w:rsidRPr="002720D0">
        <w:rPr>
          <w:lang w:val="es-ES_tradnl"/>
        </w:rPr>
        <w:t>210.</w:t>
      </w:r>
      <w:r w:rsidRPr="002720D0">
        <w:rPr>
          <w:lang w:val="es-ES_tradnl"/>
        </w:rPr>
        <w:tab/>
      </w:r>
      <w:r w:rsidR="00151021" w:rsidRPr="002720D0">
        <w:rPr>
          <w:lang w:val="es-ES_tradnl"/>
        </w:rPr>
        <w:t>Dur</w:t>
      </w:r>
      <w:r w:rsidR="00B75AF4" w:rsidRPr="002720D0">
        <w:rPr>
          <w:lang w:val="es-ES_tradnl"/>
        </w:rPr>
        <w:t>ante el período que se examina</w:t>
      </w:r>
      <w:r w:rsidR="00FA5C56" w:rsidRPr="002720D0">
        <w:rPr>
          <w:lang w:val="es-ES_tradnl"/>
        </w:rPr>
        <w:t xml:space="preserve"> el </w:t>
      </w:r>
      <w:r w:rsidR="00732C7A" w:rsidRPr="002720D0">
        <w:rPr>
          <w:lang w:val="es-ES_tradnl"/>
        </w:rPr>
        <w:t>Estado p</w:t>
      </w:r>
      <w:r w:rsidR="00115314" w:rsidRPr="002720D0">
        <w:rPr>
          <w:lang w:val="es-ES_tradnl"/>
        </w:rPr>
        <w:t xml:space="preserve">arte ha emprendido varias </w:t>
      </w:r>
      <w:r w:rsidR="00B75AF4" w:rsidRPr="002720D0">
        <w:rPr>
          <w:lang w:val="es-ES_tradnl"/>
        </w:rPr>
        <w:t xml:space="preserve">medidas </w:t>
      </w:r>
      <w:r w:rsidR="00732C7A" w:rsidRPr="002720D0">
        <w:rPr>
          <w:lang w:val="es-ES_tradnl"/>
        </w:rPr>
        <w:t>destinadas a</w:t>
      </w:r>
      <w:r w:rsidR="00B75AF4" w:rsidRPr="002720D0">
        <w:rPr>
          <w:lang w:val="es-ES_tradnl"/>
        </w:rPr>
        <w:t xml:space="preserve"> ejecutar las recomendaciones anteriores. En</w:t>
      </w:r>
      <w:r w:rsidR="00732C7A" w:rsidRPr="002720D0">
        <w:rPr>
          <w:lang w:val="es-ES_tradnl"/>
        </w:rPr>
        <w:t xml:space="preserve"> el plano normativo, el Estado p</w:t>
      </w:r>
      <w:r w:rsidR="00B75AF4" w:rsidRPr="002720D0">
        <w:rPr>
          <w:lang w:val="es-ES_tradnl"/>
        </w:rPr>
        <w:t xml:space="preserve">arte promulgó la Política nacional de discapacidad. En 2010 también promulgó la Ley de </w:t>
      </w:r>
      <w:r w:rsidR="00C725B0" w:rsidRPr="002720D0">
        <w:rPr>
          <w:lang w:val="es-ES_tradnl"/>
        </w:rPr>
        <w:t xml:space="preserve">Personas </w:t>
      </w:r>
      <w:r w:rsidR="00B75AF4" w:rsidRPr="002720D0">
        <w:rPr>
          <w:lang w:val="es-ES_tradnl"/>
        </w:rPr>
        <w:t xml:space="preserve">con </w:t>
      </w:r>
      <w:r w:rsidR="00C725B0" w:rsidRPr="002720D0">
        <w:rPr>
          <w:lang w:val="es-ES_tradnl"/>
        </w:rPr>
        <w:t>Discapacidad</w:t>
      </w:r>
      <w:r w:rsidR="00B75AF4" w:rsidRPr="002720D0">
        <w:rPr>
          <w:lang w:val="es-ES_tradnl"/>
        </w:rPr>
        <w:t xml:space="preserve">, que dispone los derechos básicos y las libertades fundamentales de las personas con discapacidad, comprendidos los niños. También </w:t>
      </w:r>
      <w:r w:rsidR="00FC4508" w:rsidRPr="002720D0">
        <w:rPr>
          <w:lang w:val="es-ES_tradnl"/>
        </w:rPr>
        <w:t>estipula</w:t>
      </w:r>
      <w:r w:rsidR="00B75AF4" w:rsidRPr="002720D0">
        <w:rPr>
          <w:lang w:val="es-ES_tradnl"/>
        </w:rPr>
        <w:t xml:space="preserve"> las obligaciones estatales de velar por que las personas con discapacidad (comprendidos los niños) disfruten de sus derechos sin discriminación alguna. Respecto de la integración y la inclusión de las personas con discapacidad (comprendidos los niños) en la comunidad, en su artículo 15 esta ley dispone que todas las personas con discapacidad </w:t>
      </w:r>
      <w:r w:rsidR="00FC4508" w:rsidRPr="002720D0">
        <w:rPr>
          <w:lang w:val="es-ES_tradnl"/>
        </w:rPr>
        <w:t>han de recibir</w:t>
      </w:r>
      <w:r w:rsidR="00B75AF4" w:rsidRPr="002720D0">
        <w:rPr>
          <w:lang w:val="es-ES_tradnl"/>
        </w:rPr>
        <w:t xml:space="preserve"> asistencia de su ejecutivo local, sus familiares, las organizaciones de defensa de las personas con discapacidad, la sociedad o cualquier otra persona</w:t>
      </w:r>
      <w:r w:rsidR="00FC4508" w:rsidRPr="002720D0">
        <w:rPr>
          <w:lang w:val="es-ES_tradnl"/>
        </w:rPr>
        <w:t>,</w:t>
      </w:r>
      <w:r w:rsidR="00B75AF4" w:rsidRPr="002720D0">
        <w:rPr>
          <w:lang w:val="es-ES_tradnl"/>
        </w:rPr>
        <w:t xml:space="preserve"> para </w:t>
      </w:r>
      <w:r w:rsidR="00FC4508" w:rsidRPr="002720D0">
        <w:rPr>
          <w:lang w:val="es-ES_tradnl"/>
        </w:rPr>
        <w:t xml:space="preserve">poder </w:t>
      </w:r>
      <w:r w:rsidR="00B75AF4" w:rsidRPr="002720D0">
        <w:rPr>
          <w:lang w:val="es-ES_tradnl"/>
        </w:rPr>
        <w:t xml:space="preserve">vivir </w:t>
      </w:r>
      <w:r w:rsidR="00157118" w:rsidRPr="002720D0">
        <w:rPr>
          <w:lang w:val="es-ES_tradnl"/>
        </w:rPr>
        <w:t xml:space="preserve">con la mayor independencia posible </w:t>
      </w:r>
      <w:r w:rsidR="00FC4508" w:rsidRPr="002720D0">
        <w:rPr>
          <w:lang w:val="es-ES_tradnl"/>
        </w:rPr>
        <w:t>e</w:t>
      </w:r>
      <w:r w:rsidR="00157118" w:rsidRPr="002720D0">
        <w:rPr>
          <w:lang w:val="es-ES_tradnl"/>
        </w:rPr>
        <w:t xml:space="preserve"> integrarse en la comunidad. También dispone que no es obligatorio el ingreso </w:t>
      </w:r>
      <w:r w:rsidR="00FC4508" w:rsidRPr="002720D0">
        <w:rPr>
          <w:lang w:val="es-ES_tradnl"/>
        </w:rPr>
        <w:t xml:space="preserve">en una institución </w:t>
      </w:r>
      <w:r w:rsidR="00157118" w:rsidRPr="002720D0">
        <w:rPr>
          <w:lang w:val="es-ES_tradnl"/>
        </w:rPr>
        <w:t>de la persona con discapacidad</w:t>
      </w:r>
      <w:r w:rsidR="00FC4508" w:rsidRPr="002720D0">
        <w:rPr>
          <w:lang w:val="es-ES_tradnl"/>
        </w:rPr>
        <w:t xml:space="preserve">, que </w:t>
      </w:r>
      <w:r w:rsidR="00157118" w:rsidRPr="002720D0">
        <w:rPr>
          <w:lang w:val="es-ES_tradnl"/>
        </w:rPr>
        <w:t>tampoco está obligada a acogerse a una modalidad residencial específica, comprendidos los asentamientos para personas que necesitan protección especial.</w:t>
      </w:r>
      <w:r w:rsidR="001D2A53">
        <w:rPr>
          <w:lang w:val="es-ES_tradnl"/>
        </w:rPr>
        <w:t xml:space="preserve"> </w:t>
      </w:r>
      <w:r w:rsidR="00FC4508" w:rsidRPr="002720D0">
        <w:rPr>
          <w:lang w:val="es-ES_tradnl"/>
        </w:rPr>
        <w:t>Las medidas anteriores han</w:t>
      </w:r>
      <w:r w:rsidR="00157118" w:rsidRPr="002720D0">
        <w:rPr>
          <w:lang w:val="es-ES_tradnl"/>
        </w:rPr>
        <w:t xml:space="preserve"> de inclui</w:t>
      </w:r>
      <w:r w:rsidR="000B1C65" w:rsidRPr="002720D0">
        <w:rPr>
          <w:lang w:val="es-ES_tradnl"/>
        </w:rPr>
        <w:t xml:space="preserve">r lo </w:t>
      </w:r>
      <w:r w:rsidR="00FC4508" w:rsidRPr="002720D0">
        <w:rPr>
          <w:lang w:val="es-ES_tradnl"/>
        </w:rPr>
        <w:t>siguiente</w:t>
      </w:r>
      <w:r w:rsidR="000B1C65" w:rsidRPr="002720D0">
        <w:rPr>
          <w:lang w:val="es-ES_tradnl"/>
        </w:rPr>
        <w:t xml:space="preserve">: </w:t>
      </w:r>
    </w:p>
    <w:p w:rsidR="00151021" w:rsidRPr="002720D0" w:rsidRDefault="00D562EC" w:rsidP="00D562EC">
      <w:pPr>
        <w:pStyle w:val="SingleTxtG"/>
        <w:ind w:left="1701"/>
        <w:rPr>
          <w:lang w:val="es-ES_tradnl"/>
        </w:rPr>
      </w:pPr>
      <w:r w:rsidRPr="002720D0">
        <w:rPr>
          <w:lang w:val="es-ES_tradnl"/>
        </w:rPr>
        <w:t>i)</w:t>
      </w:r>
      <w:r w:rsidRPr="002720D0">
        <w:rPr>
          <w:lang w:val="es-ES_tradnl"/>
        </w:rPr>
        <w:tab/>
      </w:r>
      <w:r w:rsidR="000B1C65" w:rsidRPr="002720D0">
        <w:rPr>
          <w:lang w:val="es-ES_tradnl"/>
        </w:rPr>
        <w:t xml:space="preserve">Provisión de igualdad de oportunidades para todas las personas con discapacidad para que </w:t>
      </w:r>
      <w:r w:rsidR="00FC4508" w:rsidRPr="002720D0">
        <w:rPr>
          <w:lang w:val="es-ES_tradnl"/>
        </w:rPr>
        <w:t>puedan elegir</w:t>
      </w:r>
      <w:r w:rsidR="000B1C65" w:rsidRPr="002720D0">
        <w:rPr>
          <w:lang w:val="es-ES_tradnl"/>
        </w:rPr>
        <w:t xml:space="preserve"> su lugar de residencia y sus arreglos residenciales, en cumplimiento de cualquier legislación vigente; </w:t>
      </w:r>
    </w:p>
    <w:p w:rsidR="00151021" w:rsidRPr="002720D0" w:rsidRDefault="00151021" w:rsidP="00D562EC">
      <w:pPr>
        <w:pStyle w:val="SingleTxtG"/>
        <w:ind w:left="1701"/>
        <w:rPr>
          <w:lang w:val="es-ES_tradnl"/>
        </w:rPr>
      </w:pPr>
      <w:r w:rsidRPr="002720D0">
        <w:rPr>
          <w:lang w:val="es-ES_tradnl"/>
        </w:rPr>
        <w:t>ii)</w:t>
      </w:r>
      <w:r w:rsidR="00D562EC" w:rsidRPr="002720D0">
        <w:rPr>
          <w:lang w:val="es-ES_tradnl"/>
        </w:rPr>
        <w:tab/>
      </w:r>
      <w:r w:rsidR="000B1C65" w:rsidRPr="002720D0">
        <w:rPr>
          <w:lang w:val="es-ES_tradnl"/>
        </w:rPr>
        <w:t xml:space="preserve">Disponibilidad de los servicios </w:t>
      </w:r>
      <w:r w:rsidR="00FC4508" w:rsidRPr="002720D0">
        <w:rPr>
          <w:lang w:val="es-ES_tradnl"/>
        </w:rPr>
        <w:t>para el</w:t>
      </w:r>
      <w:r w:rsidR="000B1C65" w:rsidRPr="002720D0">
        <w:rPr>
          <w:lang w:val="es-ES_tradnl"/>
        </w:rPr>
        <w:t xml:space="preserve"> público en general para las personas con discapacidad, sin discriminación alguna y respondiendo a sus necesidades básicas; y </w:t>
      </w:r>
    </w:p>
    <w:p w:rsidR="00151021" w:rsidRPr="002720D0" w:rsidRDefault="00151021" w:rsidP="00D562EC">
      <w:pPr>
        <w:pStyle w:val="SingleTxtG"/>
        <w:ind w:left="1701"/>
        <w:rPr>
          <w:lang w:val="es-ES_tradnl"/>
        </w:rPr>
      </w:pPr>
      <w:r w:rsidRPr="002720D0">
        <w:rPr>
          <w:lang w:val="es-ES_tradnl"/>
        </w:rPr>
        <w:t>iii)</w:t>
      </w:r>
      <w:r w:rsidR="00D562EC" w:rsidRPr="002720D0">
        <w:rPr>
          <w:lang w:val="es-ES_tradnl"/>
        </w:rPr>
        <w:tab/>
      </w:r>
      <w:r w:rsidRPr="002720D0">
        <w:rPr>
          <w:lang w:val="es-ES_tradnl"/>
        </w:rPr>
        <w:t>Acces</w:t>
      </w:r>
      <w:r w:rsidR="000B1C65" w:rsidRPr="002720D0">
        <w:rPr>
          <w:lang w:val="es-ES_tradnl"/>
        </w:rPr>
        <w:t>ibilidad a una diversidad de servicios comunitarios d</w:t>
      </w:r>
      <w:r w:rsidR="00FC4508" w:rsidRPr="002720D0">
        <w:rPr>
          <w:lang w:val="es-ES_tradnl"/>
        </w:rPr>
        <w:t>e rehabilitación y de inclusión</w:t>
      </w:r>
      <w:r w:rsidR="000B1C65" w:rsidRPr="002720D0">
        <w:rPr>
          <w:lang w:val="es-ES_tradnl"/>
        </w:rPr>
        <w:t xml:space="preserve"> </w:t>
      </w:r>
      <w:r w:rsidR="00FC4508" w:rsidRPr="002720D0">
        <w:rPr>
          <w:lang w:val="es-ES_tradnl"/>
        </w:rPr>
        <w:t>(</w:t>
      </w:r>
      <w:r w:rsidR="000B1C65" w:rsidRPr="002720D0">
        <w:rPr>
          <w:lang w:val="es-ES_tradnl"/>
        </w:rPr>
        <w:t xml:space="preserve">entre ellos los servicios comunitarios de apoyo en el hogar, residenciales y </w:t>
      </w:r>
      <w:r w:rsidR="000B1C65" w:rsidRPr="00A74BF4">
        <w:rPr>
          <w:lang w:val="es-ES_tradnl"/>
        </w:rPr>
        <w:t>otros, comprendida la asistencia personal y la interpretación en la lengua de signos</w:t>
      </w:r>
      <w:r w:rsidR="00FC4508" w:rsidRPr="00A74BF4">
        <w:rPr>
          <w:lang w:val="es-ES_tradnl"/>
        </w:rPr>
        <w:t>)</w:t>
      </w:r>
      <w:r w:rsidR="000B1C65" w:rsidRPr="00A74BF4">
        <w:rPr>
          <w:lang w:val="es-ES_tradnl"/>
        </w:rPr>
        <w:t xml:space="preserve">, en la medida necesaria para </w:t>
      </w:r>
      <w:r w:rsidR="00FC4508" w:rsidRPr="00A74BF4">
        <w:rPr>
          <w:lang w:val="es-ES_tradnl"/>
        </w:rPr>
        <w:t>dar</w:t>
      </w:r>
      <w:r w:rsidR="000B1C65" w:rsidRPr="00A74BF4">
        <w:rPr>
          <w:lang w:val="es-ES_tradnl"/>
        </w:rPr>
        <w:t xml:space="preserve"> apoyo a la vida </w:t>
      </w:r>
      <w:r w:rsidR="00FC4508" w:rsidRPr="00A74BF4">
        <w:rPr>
          <w:lang w:val="es-ES_tradnl"/>
        </w:rPr>
        <w:t xml:space="preserve">y la integración en la comunidad y </w:t>
      </w:r>
      <w:r w:rsidR="000B1C65" w:rsidRPr="00A74BF4">
        <w:rPr>
          <w:lang w:val="es-ES_tradnl"/>
        </w:rPr>
        <w:t>acceso a la información relativa a los</w:t>
      </w:r>
      <w:r w:rsidR="005B2150" w:rsidRPr="00A74BF4">
        <w:rPr>
          <w:lang w:val="es-ES_tradnl"/>
        </w:rPr>
        <w:t xml:space="preserve"> servicios de apoyo disponibles</w:t>
      </w:r>
      <w:r w:rsidR="00FC4508" w:rsidRPr="00A74BF4">
        <w:rPr>
          <w:lang w:val="es-ES_tradnl"/>
        </w:rPr>
        <w:t>,</w:t>
      </w:r>
      <w:r w:rsidR="000B1C65" w:rsidRPr="00A74BF4">
        <w:rPr>
          <w:lang w:val="es-ES_tradnl"/>
        </w:rPr>
        <w:t xml:space="preserve"> y </w:t>
      </w:r>
      <w:r w:rsidR="00FC4508" w:rsidRPr="00A74BF4">
        <w:rPr>
          <w:lang w:val="es-ES_tradnl"/>
        </w:rPr>
        <w:t>para prevenir</w:t>
      </w:r>
      <w:r w:rsidR="000B1C65" w:rsidRPr="00A74BF4">
        <w:rPr>
          <w:lang w:val="es-ES_tradnl"/>
        </w:rPr>
        <w:t xml:space="preserve"> la discriminación por motivo de discapacidad</w:t>
      </w:r>
      <w:r w:rsidR="00FC4508" w:rsidRPr="00A74BF4">
        <w:rPr>
          <w:lang w:val="es-ES_tradnl"/>
        </w:rPr>
        <w:t xml:space="preserve"> en el seno de la comunidad</w:t>
      </w:r>
      <w:r w:rsidR="000B1C65" w:rsidRPr="00A74BF4">
        <w:rPr>
          <w:lang w:val="es-ES_tradnl"/>
        </w:rPr>
        <w:t>.</w:t>
      </w:r>
      <w:r w:rsidR="000B1C65" w:rsidRPr="002720D0">
        <w:rPr>
          <w:lang w:val="es-ES_tradnl"/>
        </w:rPr>
        <w:t xml:space="preserve"> </w:t>
      </w:r>
    </w:p>
    <w:p w:rsidR="00581F55" w:rsidRPr="002720D0" w:rsidRDefault="004F6364" w:rsidP="004F6364">
      <w:pPr>
        <w:pStyle w:val="SingleTxtG"/>
        <w:tabs>
          <w:tab w:val="left" w:pos="-360"/>
        </w:tabs>
        <w:rPr>
          <w:lang w:val="es-ES_tradnl"/>
        </w:rPr>
      </w:pPr>
      <w:r w:rsidRPr="002720D0">
        <w:rPr>
          <w:lang w:val="es-ES_tradnl"/>
        </w:rPr>
        <w:t>211.</w:t>
      </w:r>
      <w:r w:rsidRPr="002720D0">
        <w:rPr>
          <w:lang w:val="es-ES_tradnl"/>
        </w:rPr>
        <w:tab/>
      </w:r>
      <w:r w:rsidR="005B2150" w:rsidRPr="002720D0">
        <w:rPr>
          <w:lang w:val="es-ES_tradnl"/>
        </w:rPr>
        <w:t>En su artículo 27</w:t>
      </w:r>
      <w:r w:rsidR="00FC4508" w:rsidRPr="002720D0">
        <w:rPr>
          <w:lang w:val="es-ES_tradnl"/>
        </w:rPr>
        <w:t>,</w:t>
      </w:r>
      <w:r w:rsidR="005B2150" w:rsidRPr="002720D0">
        <w:rPr>
          <w:lang w:val="es-ES_tradnl"/>
        </w:rPr>
        <w:t xml:space="preserve"> la Ley de </w:t>
      </w:r>
      <w:r w:rsidR="00C725B0" w:rsidRPr="002720D0">
        <w:rPr>
          <w:lang w:val="es-ES_tradnl"/>
        </w:rPr>
        <w:t xml:space="preserve">Personas </w:t>
      </w:r>
      <w:r w:rsidR="00A05892" w:rsidRPr="002720D0">
        <w:rPr>
          <w:lang w:val="es-ES_tradnl"/>
        </w:rPr>
        <w:t xml:space="preserve">con </w:t>
      </w:r>
      <w:r w:rsidR="00C725B0" w:rsidRPr="002720D0">
        <w:rPr>
          <w:lang w:val="es-ES_tradnl"/>
        </w:rPr>
        <w:t xml:space="preserve">Discapacidad </w:t>
      </w:r>
      <w:r w:rsidR="005B2150" w:rsidRPr="002720D0">
        <w:rPr>
          <w:lang w:val="es-ES_tradnl"/>
        </w:rPr>
        <w:t xml:space="preserve">dispone que las personas con discapacidad (comprendidos los niños), con independencia de su edad y su sexo, gozan de igualdad de derechos respecto de los demás ciudadanos en relación con la enseñanza, la formación en entornos integradores y los beneficios de la investigación. </w:t>
      </w:r>
      <w:r w:rsidR="00D63073" w:rsidRPr="002720D0">
        <w:rPr>
          <w:lang w:val="es-ES_tradnl"/>
        </w:rPr>
        <w:t xml:space="preserve">Estipula igualmente que todos los niños con discapacidad han de ser admitidos a las escuelas públicas o privadas, salvo cuando surja una necesidad </w:t>
      </w:r>
      <w:r w:rsidR="00FC4508" w:rsidRPr="002720D0">
        <w:rPr>
          <w:lang w:val="es-ES_tradnl"/>
        </w:rPr>
        <w:t>de</w:t>
      </w:r>
      <w:r w:rsidR="00D63073" w:rsidRPr="002720D0">
        <w:rPr>
          <w:lang w:val="es-ES_tradnl"/>
        </w:rPr>
        <w:t xml:space="preserve"> comunicación especial. Asimismo, este artículo dispone que se habrá</w:t>
      </w:r>
      <w:r w:rsidR="00950B30">
        <w:rPr>
          <w:lang w:val="es-ES_tradnl"/>
        </w:rPr>
        <w:t>n</w:t>
      </w:r>
      <w:r w:rsidR="00D63073" w:rsidRPr="002720D0">
        <w:rPr>
          <w:lang w:val="es-ES_tradnl"/>
        </w:rPr>
        <w:t xml:space="preserve"> de proporcionar a todos los niños con discapacidad </w:t>
      </w:r>
      <w:r w:rsidR="003142D4" w:rsidRPr="002720D0">
        <w:rPr>
          <w:lang w:val="es-ES_tradnl"/>
        </w:rPr>
        <w:t xml:space="preserve">servicios de apoyo adecuados relacionados con la discapacidad u otros servicios de aprendizaje necesarios, que </w:t>
      </w:r>
      <w:r w:rsidR="00A05892" w:rsidRPr="002720D0">
        <w:rPr>
          <w:lang w:val="es-ES_tradnl"/>
        </w:rPr>
        <w:t>serán prestados por</w:t>
      </w:r>
      <w:r w:rsidR="003142D4" w:rsidRPr="002720D0">
        <w:rPr>
          <w:lang w:val="es-ES_tradnl"/>
        </w:rPr>
        <w:t xml:space="preserve"> un maestro cualificado o un maestro </w:t>
      </w:r>
      <w:r w:rsidR="00A05892" w:rsidRPr="002720D0">
        <w:rPr>
          <w:lang w:val="es-ES_tradnl"/>
        </w:rPr>
        <w:t>designado a estos efectos</w:t>
      </w:r>
      <w:r w:rsidR="003142D4" w:rsidRPr="002720D0">
        <w:rPr>
          <w:lang w:val="es-ES_tradnl"/>
        </w:rPr>
        <w:t xml:space="preserve">. En virtud del </w:t>
      </w:r>
      <w:r w:rsidR="00A05892" w:rsidRPr="002720D0">
        <w:rPr>
          <w:lang w:val="es-ES_tradnl"/>
        </w:rPr>
        <w:t xml:space="preserve">párrafo 3) del artículo 29 </w:t>
      </w:r>
      <w:r w:rsidR="003142D4" w:rsidRPr="002720D0">
        <w:rPr>
          <w:lang w:val="es-ES_tradnl"/>
        </w:rPr>
        <w:t xml:space="preserve">de esta ley, se presta más atención a la educación inclusiva como método para asegurar el acceso a la educación </w:t>
      </w:r>
      <w:r w:rsidR="00A05892" w:rsidRPr="002720D0">
        <w:rPr>
          <w:lang w:val="es-ES_tradnl"/>
        </w:rPr>
        <w:t>par</w:t>
      </w:r>
      <w:r w:rsidR="003142D4" w:rsidRPr="002720D0">
        <w:rPr>
          <w:lang w:val="es-ES_tradnl"/>
        </w:rPr>
        <w:t xml:space="preserve">a un </w:t>
      </w:r>
      <w:r w:rsidR="00662055" w:rsidRPr="002720D0">
        <w:rPr>
          <w:lang w:val="es-ES_tradnl"/>
        </w:rPr>
        <w:t xml:space="preserve">mayor </w:t>
      </w:r>
      <w:r w:rsidR="003142D4" w:rsidRPr="002720D0">
        <w:rPr>
          <w:lang w:val="es-ES_tradnl"/>
        </w:rPr>
        <w:t xml:space="preserve">número de personas con discapacidad. Con arreglo a esta disposición, la Ley de </w:t>
      </w:r>
      <w:r w:rsidR="00C04BD0" w:rsidRPr="002720D0">
        <w:rPr>
          <w:lang w:val="es-ES_tradnl"/>
        </w:rPr>
        <w:t xml:space="preserve">Personas </w:t>
      </w:r>
      <w:r w:rsidR="003142D4" w:rsidRPr="002720D0">
        <w:rPr>
          <w:lang w:val="es-ES_tradnl"/>
        </w:rPr>
        <w:t xml:space="preserve">con </w:t>
      </w:r>
      <w:r w:rsidR="00C04BD0" w:rsidRPr="002720D0">
        <w:rPr>
          <w:lang w:val="es-ES_tradnl"/>
        </w:rPr>
        <w:t xml:space="preserve">Discapacidad </w:t>
      </w:r>
      <w:r w:rsidR="003142D4" w:rsidRPr="002720D0">
        <w:rPr>
          <w:lang w:val="es-ES_tradnl"/>
        </w:rPr>
        <w:t xml:space="preserve">dispone </w:t>
      </w:r>
      <w:r w:rsidR="00A05892" w:rsidRPr="002720D0">
        <w:rPr>
          <w:lang w:val="es-ES_tradnl"/>
        </w:rPr>
        <w:t>la utilización</w:t>
      </w:r>
      <w:r w:rsidR="00581F55" w:rsidRPr="002720D0">
        <w:rPr>
          <w:lang w:val="es-ES_tradnl"/>
        </w:rPr>
        <w:t xml:space="preserve"> de las</w:t>
      </w:r>
      <w:r w:rsidR="003142D4" w:rsidRPr="002720D0">
        <w:rPr>
          <w:lang w:val="es-ES_tradnl"/>
        </w:rPr>
        <w:t xml:space="preserve"> escuelas especiales </w:t>
      </w:r>
      <w:r w:rsidR="00581F55" w:rsidRPr="002720D0">
        <w:rPr>
          <w:lang w:val="es-ES_tradnl"/>
        </w:rPr>
        <w:t>durante un período de transición hacia las escuelas inclusivas. En Zanzí</w:t>
      </w:r>
      <w:r w:rsidR="00151021" w:rsidRPr="002720D0">
        <w:rPr>
          <w:lang w:val="es-ES_tradnl"/>
        </w:rPr>
        <w:t>bar</w:t>
      </w:r>
      <w:r w:rsidR="00A05892" w:rsidRPr="002720D0">
        <w:rPr>
          <w:lang w:val="es-ES_tradnl"/>
        </w:rPr>
        <w:t>,</w:t>
      </w:r>
      <w:r w:rsidR="00151021" w:rsidRPr="002720D0">
        <w:rPr>
          <w:lang w:val="es-ES_tradnl"/>
        </w:rPr>
        <w:t xml:space="preserve"> </w:t>
      </w:r>
      <w:r w:rsidR="00581F55" w:rsidRPr="002720D0">
        <w:rPr>
          <w:lang w:val="es-ES_tradnl"/>
        </w:rPr>
        <w:t>todos los niños con necesidades especiales en materia de educación (niños con discapacidad) disfrutan de su derecho a la enseñanza en escuelas inclusivas.</w:t>
      </w:r>
      <w:r w:rsidR="003D2ED2" w:rsidRPr="002720D0">
        <w:rPr>
          <w:lang w:val="es-ES_tradnl"/>
        </w:rPr>
        <w:t xml:space="preserve"> </w:t>
      </w:r>
      <w:r w:rsidR="00A05892" w:rsidRPr="002720D0">
        <w:rPr>
          <w:lang w:val="es-ES_tradnl"/>
        </w:rPr>
        <w:t>Desde 2003, e</w:t>
      </w:r>
      <w:r w:rsidR="00581F55" w:rsidRPr="002720D0">
        <w:rPr>
          <w:lang w:val="es-ES_tradnl"/>
        </w:rPr>
        <w:t>l Ministerio cuenta con una Unidad de Protección Especial integrada por</w:t>
      </w:r>
      <w:r w:rsidR="00A05892" w:rsidRPr="002720D0">
        <w:rPr>
          <w:lang w:val="es-ES_tradnl"/>
        </w:rPr>
        <w:t xml:space="preserve"> 20 escuelas piloto que imparte</w:t>
      </w:r>
      <w:r w:rsidR="00581F55" w:rsidRPr="002720D0">
        <w:rPr>
          <w:lang w:val="es-ES_tradnl"/>
        </w:rPr>
        <w:t>n educación inclusiva (dos escuelas por distrito). En la actualidad, el número de escuelas que ofrecen educación inclusiva asciende a 86; además, el número de alumnos ha aumentado, pasando de 450 a 3.883; y 2.390 maestros han recibido formación e</w:t>
      </w:r>
      <w:r w:rsidR="00151021" w:rsidRPr="002720D0">
        <w:rPr>
          <w:lang w:val="es-ES_tradnl"/>
        </w:rPr>
        <w:t xml:space="preserve">n </w:t>
      </w:r>
      <w:r w:rsidR="00581F55" w:rsidRPr="002720D0">
        <w:rPr>
          <w:lang w:val="es-ES_tradnl"/>
        </w:rPr>
        <w:t xml:space="preserve">el lenguaje de signos y el sistema Braille. </w:t>
      </w:r>
      <w:r w:rsidR="00056568" w:rsidRPr="002720D0">
        <w:rPr>
          <w:lang w:val="es-ES_tradnl"/>
        </w:rPr>
        <w:t xml:space="preserve">Además, se está elaborando una Política de educación inclusiva en colaboración con distintas </w:t>
      </w:r>
      <w:r w:rsidR="00A05892" w:rsidRPr="002720D0">
        <w:rPr>
          <w:lang w:val="es-ES_tradnl"/>
        </w:rPr>
        <w:t>instancias, tanto públicas como privadas.</w:t>
      </w:r>
      <w:r w:rsidR="00056568"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212.</w:t>
      </w:r>
      <w:r w:rsidRPr="002720D0">
        <w:rPr>
          <w:lang w:val="es-ES_tradnl"/>
        </w:rPr>
        <w:tab/>
      </w:r>
      <w:r w:rsidR="00056568" w:rsidRPr="002720D0">
        <w:rPr>
          <w:lang w:val="es-ES_tradnl"/>
        </w:rPr>
        <w:t>Zanzí</w:t>
      </w:r>
      <w:r w:rsidR="00151021" w:rsidRPr="002720D0">
        <w:rPr>
          <w:lang w:val="es-ES_tradnl"/>
        </w:rPr>
        <w:t xml:space="preserve">bar </w:t>
      </w:r>
      <w:r w:rsidR="00056568" w:rsidRPr="002720D0">
        <w:rPr>
          <w:lang w:val="es-ES_tradnl"/>
        </w:rPr>
        <w:t>cuenta desde 2006 con una ley de discapacidad específica, destinada a ocuparse de asuntos como la educa</w:t>
      </w:r>
      <w:r w:rsidR="00A05892" w:rsidRPr="002720D0">
        <w:rPr>
          <w:lang w:val="es-ES_tradnl"/>
        </w:rPr>
        <w:t>ción, la familia y el empleo.</w:t>
      </w:r>
      <w:r w:rsidR="001D2A53">
        <w:rPr>
          <w:lang w:val="es-ES_tradnl"/>
        </w:rPr>
        <w:t xml:space="preserve"> </w:t>
      </w:r>
      <w:r w:rsidR="00A05892" w:rsidRPr="002720D0">
        <w:rPr>
          <w:lang w:val="es-ES_tradnl"/>
        </w:rPr>
        <w:t>Esta ley t</w:t>
      </w:r>
      <w:r w:rsidR="00056568" w:rsidRPr="002720D0">
        <w:rPr>
          <w:lang w:val="es-ES_tradnl"/>
        </w:rPr>
        <w:t xml:space="preserve">ambién hace hincapié en los mecanismos para el empleo de las personas con discapacidad (véase el documento básico común). Para lograr el cumplimiento de los derechos de los niños con discapacidad, </w:t>
      </w:r>
      <w:r w:rsidR="00056568" w:rsidRPr="00A74BF4">
        <w:rPr>
          <w:lang w:val="es-ES_tradnl"/>
        </w:rPr>
        <w:t>durante los años 2009 y 2010 el Ministerio de Educación y Formación Profesional impartió formación a 2.390 personas, entre ellas 1.582 mujeres, en el sistema Braille; ese mismo curso académico</w:t>
      </w:r>
      <w:r w:rsidR="0053760B" w:rsidRPr="00A74BF4">
        <w:rPr>
          <w:lang w:val="es-ES_tradnl"/>
        </w:rPr>
        <w:t>, 51 maestros acc</w:t>
      </w:r>
      <w:r w:rsidR="00056568" w:rsidRPr="00A74BF4">
        <w:rPr>
          <w:lang w:val="es-ES_tradnl"/>
        </w:rPr>
        <w:t>edieron a instituciones</w:t>
      </w:r>
      <w:r w:rsidR="00A05892" w:rsidRPr="00A74BF4">
        <w:rPr>
          <w:lang w:val="es-ES_tradnl"/>
        </w:rPr>
        <w:t xml:space="preserve"> universitarias para cursar estos mismos estudios</w:t>
      </w:r>
      <w:r w:rsidR="00056568" w:rsidRPr="00A74BF4">
        <w:rPr>
          <w:lang w:val="es-ES_tradnl"/>
        </w:rPr>
        <w:t>, y 8 más obtuvieron el correspondiente certificado o diploma.</w:t>
      </w:r>
      <w:r w:rsidR="00056568" w:rsidRPr="002720D0">
        <w:rPr>
          <w:lang w:val="es-ES_tradnl"/>
        </w:rPr>
        <w:t xml:space="preserve"> </w:t>
      </w:r>
    </w:p>
    <w:p w:rsidR="00151021" w:rsidRPr="002720D0" w:rsidRDefault="00D562EC" w:rsidP="00586395">
      <w:pPr>
        <w:pStyle w:val="HChG"/>
        <w:outlineLvl w:val="0"/>
        <w:rPr>
          <w:sz w:val="20"/>
          <w:lang w:val="es-ES_tradnl"/>
        </w:rPr>
      </w:pPr>
      <w:bookmarkStart w:id="47" w:name="_Toc313470883"/>
      <w:r w:rsidRPr="002720D0">
        <w:rPr>
          <w:lang w:val="es-ES_tradnl"/>
        </w:rPr>
        <w:tab/>
      </w:r>
      <w:r w:rsidR="00151021" w:rsidRPr="002720D0">
        <w:rPr>
          <w:lang w:val="es-ES_tradnl"/>
        </w:rPr>
        <w:t>7.</w:t>
      </w:r>
      <w:r w:rsidRPr="002720D0">
        <w:rPr>
          <w:lang w:val="es-ES_tradnl"/>
        </w:rPr>
        <w:tab/>
      </w:r>
      <w:r w:rsidR="003A5DEB" w:rsidRPr="002720D0">
        <w:rPr>
          <w:lang w:val="es-ES_tradnl"/>
        </w:rPr>
        <w:t xml:space="preserve">Educación, esparcimiento y </w:t>
      </w:r>
      <w:r w:rsidR="00A05892" w:rsidRPr="002720D0">
        <w:rPr>
          <w:lang w:val="es-ES_tradnl"/>
        </w:rPr>
        <w:t xml:space="preserve">actividades culturales </w:t>
      </w:r>
      <w:r w:rsidR="006340C3">
        <w:rPr>
          <w:lang w:val="es-ES_tradnl"/>
        </w:rPr>
        <w:br/>
      </w:r>
      <w:r w:rsidR="00A05892" w:rsidRPr="002720D0">
        <w:rPr>
          <w:lang w:val="es-ES_tradnl"/>
        </w:rPr>
        <w:t>(art</w:t>
      </w:r>
      <w:r w:rsidR="003A5DEB" w:rsidRPr="002720D0">
        <w:rPr>
          <w:lang w:val="es-ES_tradnl"/>
        </w:rPr>
        <w:t>s</w:t>
      </w:r>
      <w:r w:rsidR="00A05892" w:rsidRPr="002720D0">
        <w:rPr>
          <w:lang w:val="es-ES_tradnl"/>
        </w:rPr>
        <w:t>.</w:t>
      </w:r>
      <w:r w:rsidR="003A5DEB" w:rsidRPr="002720D0">
        <w:rPr>
          <w:lang w:val="es-ES_tradnl"/>
        </w:rPr>
        <w:t xml:space="preserve"> 28 a 31)</w:t>
      </w:r>
      <w:bookmarkEnd w:id="47"/>
    </w:p>
    <w:p w:rsidR="00151021" w:rsidRPr="002720D0" w:rsidRDefault="00612835" w:rsidP="00586395">
      <w:pPr>
        <w:pStyle w:val="H1G"/>
        <w:outlineLvl w:val="0"/>
        <w:rPr>
          <w:lang w:val="es-ES_tradnl"/>
        </w:rPr>
      </w:pPr>
      <w:bookmarkStart w:id="48" w:name="_Toc313470884"/>
      <w:r w:rsidRPr="002720D0">
        <w:rPr>
          <w:lang w:val="es-ES_tradnl"/>
        </w:rPr>
        <w:tab/>
      </w:r>
      <w:r w:rsidR="00151021" w:rsidRPr="002720D0">
        <w:rPr>
          <w:lang w:val="es-ES_tradnl"/>
        </w:rPr>
        <w:t>7.1</w:t>
      </w:r>
      <w:r w:rsidRPr="002720D0">
        <w:rPr>
          <w:lang w:val="es-ES_tradnl"/>
        </w:rPr>
        <w:tab/>
      </w:r>
      <w:r w:rsidR="005944AA" w:rsidRPr="002720D0">
        <w:rPr>
          <w:lang w:val="es-ES_tradnl"/>
        </w:rPr>
        <w:t>Mejora en la calidad general de la enseñanza</w:t>
      </w:r>
      <w:bookmarkEnd w:id="48"/>
    </w:p>
    <w:p w:rsidR="005944AA" w:rsidRPr="002720D0" w:rsidRDefault="00612835" w:rsidP="00994CF1">
      <w:pPr>
        <w:pStyle w:val="H23G"/>
        <w:outlineLvl w:val="0"/>
        <w:rPr>
          <w:lang w:val="es-ES_tradnl"/>
        </w:rPr>
      </w:pPr>
      <w:r w:rsidRPr="002720D0">
        <w:rPr>
          <w:lang w:val="es-ES_tradnl"/>
        </w:rPr>
        <w:tab/>
      </w:r>
      <w:r w:rsidR="00151021" w:rsidRPr="002720D0">
        <w:rPr>
          <w:lang w:val="es-ES_tradnl"/>
        </w:rPr>
        <w:t>a)</w:t>
      </w:r>
      <w:r w:rsidRPr="002720D0">
        <w:rPr>
          <w:lang w:val="es-ES_tradnl"/>
        </w:rPr>
        <w:tab/>
      </w:r>
      <w:r w:rsidR="005944AA" w:rsidRPr="002720D0">
        <w:rPr>
          <w:lang w:val="es-ES_tradnl"/>
        </w:rPr>
        <w:t>Medi</w:t>
      </w:r>
      <w:r w:rsidR="008F0DEF" w:rsidRPr="002720D0">
        <w:rPr>
          <w:lang w:val="es-ES_tradnl"/>
        </w:rPr>
        <w:t xml:space="preserve">das legislativas y de política </w:t>
      </w:r>
      <w:r w:rsidR="005944AA" w:rsidRPr="002720D0">
        <w:rPr>
          <w:lang w:val="es-ES_tradnl"/>
        </w:rPr>
        <w:t>para mejorar la calidad de la enseñanza</w:t>
      </w:r>
    </w:p>
    <w:p w:rsidR="00151021" w:rsidRPr="002720D0" w:rsidRDefault="004F6364" w:rsidP="004F6364">
      <w:pPr>
        <w:pStyle w:val="SingleTxtG"/>
        <w:tabs>
          <w:tab w:val="left" w:pos="-360"/>
        </w:tabs>
        <w:rPr>
          <w:lang w:val="es-ES_tradnl"/>
        </w:rPr>
      </w:pPr>
      <w:r w:rsidRPr="002720D0">
        <w:rPr>
          <w:lang w:val="es-ES_tradnl"/>
        </w:rPr>
        <w:t>213.</w:t>
      </w:r>
      <w:r w:rsidRPr="002720D0">
        <w:rPr>
          <w:lang w:val="es-ES_tradnl"/>
        </w:rPr>
        <w:tab/>
      </w:r>
      <w:r w:rsidR="005944AA" w:rsidRPr="002720D0">
        <w:rPr>
          <w:lang w:val="es-ES_tradnl"/>
        </w:rPr>
        <w:t>En sus anteriores Observaciones finales, el Comité</w:t>
      </w:r>
      <w:r w:rsidR="00151021" w:rsidRPr="002720D0">
        <w:rPr>
          <w:lang w:val="es-ES_tradnl"/>
        </w:rPr>
        <w:t xml:space="preserve"> i</w:t>
      </w:r>
      <w:r w:rsidR="004E5B2C" w:rsidRPr="002720D0">
        <w:rPr>
          <w:lang w:val="es-ES_tradnl"/>
        </w:rPr>
        <w:t>nstó al Estado p</w:t>
      </w:r>
      <w:r w:rsidR="005944AA" w:rsidRPr="002720D0">
        <w:rPr>
          <w:lang w:val="es-ES_tradnl"/>
        </w:rPr>
        <w:t>arte a mejorar la calidad general de la enseñanza. En cumplimiento de</w:t>
      </w:r>
      <w:r w:rsidR="004E5B2C" w:rsidRPr="002720D0">
        <w:rPr>
          <w:lang w:val="es-ES_tradnl"/>
        </w:rPr>
        <w:t xml:space="preserve"> esta recomendación, el Estado p</w:t>
      </w:r>
      <w:r w:rsidR="005944AA" w:rsidRPr="002720D0">
        <w:rPr>
          <w:lang w:val="es-ES_tradnl"/>
        </w:rPr>
        <w:t xml:space="preserve">arte ha emprendido varias </w:t>
      </w:r>
      <w:r w:rsidR="00CA4A26">
        <w:rPr>
          <w:lang w:val="es-ES_tradnl"/>
        </w:rPr>
        <w:t xml:space="preserve">políticas y </w:t>
      </w:r>
      <w:r w:rsidR="005944AA" w:rsidRPr="002720D0">
        <w:rPr>
          <w:lang w:val="es-ES_tradnl"/>
        </w:rPr>
        <w:t>medidas legislativas y administrativas destinadas a la eficaz aplicación de las disposiciones del artículo 28 de la Convención, en vi</w:t>
      </w:r>
      <w:r w:rsidR="004E5B2C" w:rsidRPr="002720D0">
        <w:rPr>
          <w:lang w:val="es-ES_tradnl"/>
        </w:rPr>
        <w:t>rtud de las cuales los Estados p</w:t>
      </w:r>
      <w:r w:rsidR="005944AA" w:rsidRPr="002720D0">
        <w:rPr>
          <w:lang w:val="es-ES_tradnl"/>
        </w:rPr>
        <w:t>artes están obligados a velar por que los niños de sus jurisdicciones gocen del derecho a la educación, comprendida</w:t>
      </w:r>
      <w:r w:rsidR="00205EDE" w:rsidRPr="002720D0">
        <w:rPr>
          <w:lang w:val="es-ES_tradnl"/>
        </w:rPr>
        <w:t>s</w:t>
      </w:r>
      <w:r w:rsidR="005944AA" w:rsidRPr="002720D0">
        <w:rPr>
          <w:lang w:val="es-ES_tradnl"/>
        </w:rPr>
        <w:t xml:space="preserve"> la formación </w:t>
      </w:r>
      <w:r w:rsidR="001A1749" w:rsidRPr="002720D0">
        <w:rPr>
          <w:lang w:val="es-ES_tradnl"/>
        </w:rPr>
        <w:t>y la orientación profesional</w:t>
      </w:r>
      <w:r w:rsidR="004E5B2C" w:rsidRPr="002720D0">
        <w:rPr>
          <w:lang w:val="es-ES_tradnl"/>
        </w:rPr>
        <w:t>. El Estado p</w:t>
      </w:r>
      <w:r w:rsidR="00205EDE" w:rsidRPr="002720D0">
        <w:rPr>
          <w:lang w:val="es-ES_tradnl"/>
        </w:rPr>
        <w:t>arte ha hecho obligatoria la matriculación y la asistencia a la escuela primaria para los niños con edades comprendidas entre los 7 y los 13 años</w:t>
      </w:r>
      <w:r w:rsidR="00151021" w:rsidRPr="002720D0">
        <w:rPr>
          <w:rStyle w:val="FootnoteReference"/>
          <w:lang w:val="es-ES_tradnl"/>
        </w:rPr>
        <w:footnoteReference w:id="90"/>
      </w:r>
      <w:r w:rsidR="00205EDE" w:rsidRPr="002720D0">
        <w:rPr>
          <w:lang w:val="es-ES_tradnl"/>
        </w:rPr>
        <w:t>. Por consiguiente, durante el período cubierto por e</w:t>
      </w:r>
      <w:r w:rsidR="004E5B2C" w:rsidRPr="002720D0">
        <w:rPr>
          <w:lang w:val="es-ES_tradnl"/>
        </w:rPr>
        <w:t>ste informe el Estado p</w:t>
      </w:r>
      <w:r w:rsidR="00205EDE" w:rsidRPr="002720D0">
        <w:rPr>
          <w:lang w:val="es-ES_tradnl"/>
        </w:rPr>
        <w:t>arte siguió implantando la enseñanza primaria obligatoria</w:t>
      </w:r>
      <w:r w:rsidR="00151021" w:rsidRPr="002720D0">
        <w:rPr>
          <w:rStyle w:val="FootnoteReference"/>
          <w:lang w:val="es-ES_tradnl"/>
        </w:rPr>
        <w:footnoteReference w:id="91"/>
      </w:r>
      <w:r w:rsidR="00151021" w:rsidRPr="002720D0">
        <w:rPr>
          <w:lang w:val="es-ES_tradnl"/>
        </w:rPr>
        <w:t xml:space="preserve"> </w:t>
      </w:r>
      <w:r w:rsidR="00205EDE" w:rsidRPr="002720D0">
        <w:rPr>
          <w:lang w:val="es-ES_tradnl"/>
        </w:rPr>
        <w:t>y gratuita para todos los niños. En virtud de</w:t>
      </w:r>
      <w:r w:rsidR="00151021" w:rsidRPr="002720D0">
        <w:rPr>
          <w:lang w:val="es-ES_tradnl"/>
        </w:rPr>
        <w:t xml:space="preserve"> </w:t>
      </w:r>
      <w:r w:rsidR="009A5634" w:rsidRPr="002720D0">
        <w:rPr>
          <w:lang w:val="es-ES_tradnl"/>
        </w:rPr>
        <w:t>la regla 6 de las Reglas de matriculación y asistencia obligatorias a la escuela primaria (1979), el funcionario ejecutivo del distrito o poblado tiene la obligación de velar por que todos los niños de su área de jurisdicción estén matriculados en la escuela y asistan a ella con regularidad</w:t>
      </w:r>
      <w:r w:rsidR="00151021" w:rsidRPr="002720D0">
        <w:rPr>
          <w:rStyle w:val="FootnoteReference"/>
          <w:lang w:val="es-ES_tradnl"/>
        </w:rPr>
        <w:footnoteReference w:id="92"/>
      </w:r>
      <w:r w:rsidR="009A5634" w:rsidRPr="002720D0">
        <w:rPr>
          <w:lang w:val="es-ES_tradnl"/>
        </w:rPr>
        <w:t>. Además, este precepto impone al funcionario ejecutivo del distrito o poblado la obligación de incoar medidas legales co</w:t>
      </w:r>
      <w:r w:rsidR="00256095" w:rsidRPr="002720D0">
        <w:rPr>
          <w:lang w:val="es-ES_tradnl"/>
        </w:rPr>
        <w:t>ntra cualquier padre de familia</w:t>
      </w:r>
      <w:r w:rsidR="00CA4A26">
        <w:rPr>
          <w:lang w:val="es-ES_tradnl"/>
        </w:rPr>
        <w:t>,</w:t>
      </w:r>
      <w:r w:rsidR="00256095" w:rsidRPr="002720D0">
        <w:rPr>
          <w:lang w:val="es-ES_tradnl"/>
        </w:rPr>
        <w:t xml:space="preserve"> u</w:t>
      </w:r>
      <w:r w:rsidR="009A5634" w:rsidRPr="002720D0">
        <w:rPr>
          <w:lang w:val="es-ES_tradnl"/>
        </w:rPr>
        <w:t xml:space="preserve"> otra persona distinta a los padres, o </w:t>
      </w:r>
      <w:r w:rsidR="00256095" w:rsidRPr="002720D0">
        <w:rPr>
          <w:lang w:val="es-ES_tradnl"/>
        </w:rPr>
        <w:t xml:space="preserve">contra </w:t>
      </w:r>
      <w:r w:rsidR="009A5634" w:rsidRPr="002720D0">
        <w:rPr>
          <w:lang w:val="es-ES_tradnl"/>
        </w:rPr>
        <w:t>cualquier niño que contravenga el requisito de matriculación</w:t>
      </w:r>
      <w:r w:rsidR="001D2A53">
        <w:rPr>
          <w:lang w:val="es-ES_tradnl"/>
        </w:rPr>
        <w:t xml:space="preserve"> </w:t>
      </w:r>
      <w:r w:rsidR="009A5634" w:rsidRPr="002720D0">
        <w:rPr>
          <w:lang w:val="es-ES_tradnl"/>
        </w:rPr>
        <w:t>o de velar por que los niños asistan a la escuela con regularidad</w:t>
      </w:r>
      <w:r w:rsidR="00151021" w:rsidRPr="002720D0">
        <w:rPr>
          <w:rStyle w:val="FootnoteReference"/>
          <w:lang w:val="es-ES_tradnl"/>
        </w:rPr>
        <w:footnoteReference w:id="93"/>
      </w:r>
      <w:r w:rsidR="009A5634"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214.</w:t>
      </w:r>
      <w:r w:rsidRPr="002720D0">
        <w:rPr>
          <w:lang w:val="es-ES_tradnl"/>
        </w:rPr>
        <w:tab/>
      </w:r>
      <w:r w:rsidR="00994CF1" w:rsidRPr="002720D0">
        <w:rPr>
          <w:lang w:val="es-ES_tradnl"/>
        </w:rPr>
        <w:t>En Zanzí</w:t>
      </w:r>
      <w:r w:rsidR="00151021" w:rsidRPr="002720D0">
        <w:rPr>
          <w:lang w:val="es-ES_tradnl"/>
        </w:rPr>
        <w:t xml:space="preserve">bar, </w:t>
      </w:r>
      <w:r w:rsidR="00994CF1" w:rsidRPr="002720D0">
        <w:rPr>
          <w:lang w:val="es-ES_tradnl"/>
        </w:rPr>
        <w:t>la Constitución reconoce</w:t>
      </w:r>
      <w:r w:rsidR="00157681" w:rsidRPr="002720D0">
        <w:rPr>
          <w:lang w:val="es-ES_tradnl"/>
        </w:rPr>
        <w:t>,</w:t>
      </w:r>
      <w:r w:rsidR="00151021" w:rsidRPr="002720D0">
        <w:rPr>
          <w:lang w:val="es-ES_tradnl"/>
        </w:rPr>
        <w:t xml:space="preserve"> </w:t>
      </w:r>
      <w:r w:rsidR="00157681" w:rsidRPr="002720D0">
        <w:rPr>
          <w:lang w:val="es-ES_tradnl"/>
        </w:rPr>
        <w:t xml:space="preserve">en </w:t>
      </w:r>
      <w:r w:rsidR="00CA4A26">
        <w:rPr>
          <w:lang w:val="es-ES_tradnl"/>
        </w:rPr>
        <w:t>el párrafo 1) de su artículo 28</w:t>
      </w:r>
      <w:r w:rsidR="00157681" w:rsidRPr="002720D0">
        <w:rPr>
          <w:lang w:val="es-ES_tradnl"/>
        </w:rPr>
        <w:t>,</w:t>
      </w:r>
      <w:r w:rsidR="00994CF1" w:rsidRPr="002720D0">
        <w:rPr>
          <w:lang w:val="es-ES_tradnl"/>
        </w:rPr>
        <w:t xml:space="preserve"> el derecho del niño a la enseñanza, con miras a alcanzar este derecho progresivamente y </w:t>
      </w:r>
      <w:r w:rsidR="00EF58AE" w:rsidRPr="002720D0">
        <w:rPr>
          <w:lang w:val="es-ES_tradnl"/>
        </w:rPr>
        <w:t>respetando</w:t>
      </w:r>
      <w:r w:rsidR="00994CF1" w:rsidRPr="002720D0">
        <w:rPr>
          <w:lang w:val="es-ES_tradnl"/>
        </w:rPr>
        <w:t xml:space="preserve"> la igualdad de oportunidades. Según el párrafo 4.2.2 de la Política de educación de Zanzíbar (2006), </w:t>
      </w:r>
      <w:r w:rsidR="001D2A53">
        <w:rPr>
          <w:lang w:val="es-ES_tradnl"/>
        </w:rPr>
        <w:t>"</w:t>
      </w:r>
      <w:r w:rsidR="00994CF1" w:rsidRPr="002720D0">
        <w:rPr>
          <w:lang w:val="es-ES_tradnl"/>
        </w:rPr>
        <w:t>La escuela primaria forma parte de la enseñanza básica universal y gratuita ofrecida a todos los niños del grupo de edades compren</w:t>
      </w:r>
      <w:r w:rsidR="00F53CF2" w:rsidRPr="002720D0">
        <w:rPr>
          <w:lang w:val="es-ES_tradnl"/>
        </w:rPr>
        <w:t>didas entre los 7 y los 13 años</w:t>
      </w:r>
      <w:r w:rsidR="001D2A53">
        <w:rPr>
          <w:lang w:val="es-ES_tradnl"/>
        </w:rPr>
        <w:t>"</w:t>
      </w:r>
      <w:r w:rsidR="00994CF1" w:rsidRPr="002720D0">
        <w:rPr>
          <w:lang w:val="es-ES_tradnl"/>
        </w:rPr>
        <w:t xml:space="preserve">. No obstante, los padres efectúan una pequeña aportación dineraria para la educación de sus hijos. Con arreglo a una directriz de la administración del </w:t>
      </w:r>
      <w:r w:rsidR="00056EB2" w:rsidRPr="002720D0">
        <w:rPr>
          <w:lang w:val="es-ES_tradnl"/>
        </w:rPr>
        <w:t>Gobierno</w:t>
      </w:r>
      <w:r w:rsidR="00994CF1" w:rsidRPr="002720D0">
        <w:rPr>
          <w:lang w:val="es-ES_tradnl"/>
        </w:rPr>
        <w:t xml:space="preserve"> </w:t>
      </w:r>
      <w:r w:rsidR="00994CF1" w:rsidRPr="00CB6CC3">
        <w:rPr>
          <w:i/>
          <w:lang w:val="es-ES_tradnl"/>
        </w:rPr>
        <w:t>(</w:t>
      </w:r>
      <w:r w:rsidR="00151021" w:rsidRPr="00CB6CC3">
        <w:rPr>
          <w:i/>
          <w:lang w:val="es-ES_tradnl"/>
        </w:rPr>
        <w:t>Sera na Uratibu wa Uchangiaji wa Gharama za Elimu katika Skuli za Serikali</w:t>
      </w:r>
      <w:r w:rsidR="00994CF1" w:rsidRPr="00CB6CC3">
        <w:rPr>
          <w:i/>
          <w:lang w:val="es-ES_tradnl"/>
        </w:rPr>
        <w:t>)</w:t>
      </w:r>
      <w:r w:rsidR="00151021" w:rsidRPr="002720D0">
        <w:rPr>
          <w:rStyle w:val="FootnoteReference"/>
          <w:lang w:val="es-ES_tradnl"/>
        </w:rPr>
        <w:footnoteReference w:id="94"/>
      </w:r>
      <w:r w:rsidR="00994CF1" w:rsidRPr="002720D0">
        <w:rPr>
          <w:lang w:val="es-ES_tradnl"/>
        </w:rPr>
        <w:t xml:space="preserve">, publicada por el Ministerio de Educación, los </w:t>
      </w:r>
      <w:r w:rsidR="008E41AA" w:rsidRPr="002720D0">
        <w:rPr>
          <w:lang w:val="es-ES_tradnl"/>
        </w:rPr>
        <w:t>padres</w:t>
      </w:r>
      <w:r w:rsidR="00994CF1" w:rsidRPr="002720D0">
        <w:rPr>
          <w:lang w:val="es-ES_tradnl"/>
        </w:rPr>
        <w:t xml:space="preserve"> solamente aportan 3.000 </w:t>
      </w:r>
      <w:r w:rsidR="008E41AA" w:rsidRPr="002720D0">
        <w:rPr>
          <w:lang w:val="es-ES_tradnl"/>
        </w:rPr>
        <w:t xml:space="preserve">chelines anuales en la fase primaria en la totalidad de las escuelas públicas. Esta cantidad se destina a fines relacionados con el entorno físico de la escuela, comprendida la limpieza, así como a </w:t>
      </w:r>
      <w:r w:rsidR="00EF58AE" w:rsidRPr="002720D0">
        <w:rPr>
          <w:lang w:val="es-ES_tradnl"/>
        </w:rPr>
        <w:t>actividades</w:t>
      </w:r>
      <w:r w:rsidR="008E41AA" w:rsidRPr="002720D0">
        <w:rPr>
          <w:lang w:val="es-ES_tradnl"/>
        </w:rPr>
        <w:t xml:space="preserve"> extracurriculares como son las visitas de estudios y los deportes. Sin embargo, cuando resulta </w:t>
      </w:r>
      <w:r w:rsidR="00EF58AE" w:rsidRPr="002720D0">
        <w:rPr>
          <w:lang w:val="es-ES_tradnl"/>
        </w:rPr>
        <w:t>evidente</w:t>
      </w:r>
      <w:r w:rsidR="008E41AA" w:rsidRPr="002720D0">
        <w:rPr>
          <w:lang w:val="es-ES_tradnl"/>
        </w:rPr>
        <w:t xml:space="preserve"> que los padres de un niño no pueden efectuar esta aporta</w:t>
      </w:r>
      <w:r w:rsidR="00EF58AE" w:rsidRPr="002720D0">
        <w:rPr>
          <w:lang w:val="es-ES_tradnl"/>
        </w:rPr>
        <w:t>ción económica</w:t>
      </w:r>
      <w:r w:rsidR="008E41AA" w:rsidRPr="002720D0">
        <w:rPr>
          <w:lang w:val="es-ES_tradnl"/>
        </w:rPr>
        <w:t xml:space="preserve"> no se suspe</w:t>
      </w:r>
      <w:r w:rsidR="00EF58AE" w:rsidRPr="002720D0">
        <w:rPr>
          <w:lang w:val="es-ES_tradnl"/>
        </w:rPr>
        <w:t>nde la asistencia escolar del</w:t>
      </w:r>
      <w:r w:rsidR="008E41AA" w:rsidRPr="002720D0">
        <w:rPr>
          <w:lang w:val="es-ES_tradnl"/>
        </w:rPr>
        <w:t xml:space="preserve"> niño</w:t>
      </w:r>
      <w:r w:rsidR="00EF58AE" w:rsidRPr="002720D0">
        <w:rPr>
          <w:lang w:val="es-ES_tradnl"/>
        </w:rPr>
        <w:t xml:space="preserve"> afectado</w:t>
      </w:r>
      <w:r w:rsidR="008E41AA" w:rsidRPr="002720D0">
        <w:rPr>
          <w:lang w:val="es-ES_tradnl"/>
        </w:rPr>
        <w:t xml:space="preserve">, que continúa sus estudios; </w:t>
      </w:r>
      <w:r w:rsidR="00EF58AE" w:rsidRPr="002720D0">
        <w:rPr>
          <w:lang w:val="es-ES_tradnl"/>
        </w:rPr>
        <w:t xml:space="preserve">en estos casos, </w:t>
      </w:r>
      <w:r w:rsidR="008E41AA" w:rsidRPr="002720D0">
        <w:rPr>
          <w:lang w:val="es-ES_tradnl"/>
        </w:rPr>
        <w:t xml:space="preserve">el comité escolar </w:t>
      </w:r>
      <w:r w:rsidR="00EF58AE" w:rsidRPr="002720D0">
        <w:rPr>
          <w:lang w:val="es-ES_tradnl"/>
        </w:rPr>
        <w:t>determina</w:t>
      </w:r>
      <w:r w:rsidR="0053760B" w:rsidRPr="002720D0">
        <w:rPr>
          <w:lang w:val="es-ES_tradnl"/>
        </w:rPr>
        <w:t xml:space="preserve"> los correspondientes medios de asistencia. La situación es diferente en el caso de las escuelas privadas, donde los costos de asistencia varían entre una escuela y otra; el costo mínimo anual asciende a 13.000 chelines en la etapa primaria</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215.</w:t>
      </w:r>
      <w:r w:rsidRPr="002720D0">
        <w:rPr>
          <w:lang w:val="es-ES_tradnl"/>
        </w:rPr>
        <w:tab/>
      </w:r>
      <w:r w:rsidR="00F8716D" w:rsidRPr="002720D0">
        <w:rPr>
          <w:lang w:val="es-ES_tradnl"/>
        </w:rPr>
        <w:t>La Política de educación de Zanzí</w:t>
      </w:r>
      <w:r w:rsidR="00151021" w:rsidRPr="002720D0">
        <w:rPr>
          <w:lang w:val="es-ES_tradnl"/>
        </w:rPr>
        <w:t xml:space="preserve">bar (2006) </w:t>
      </w:r>
      <w:r w:rsidR="00F8716D" w:rsidRPr="002720D0">
        <w:rPr>
          <w:lang w:val="es-ES_tradnl"/>
        </w:rPr>
        <w:t xml:space="preserve">tiene por objeto proporcionar una educación de calidad en todas las etapas, desde la preescolar hasta la educación </w:t>
      </w:r>
      <w:r w:rsidR="00EF58AE" w:rsidRPr="002720D0">
        <w:rPr>
          <w:lang w:val="es-ES_tradnl"/>
        </w:rPr>
        <w:t>de</w:t>
      </w:r>
      <w:r w:rsidR="00F8716D" w:rsidRPr="002720D0">
        <w:rPr>
          <w:lang w:val="es-ES_tradnl"/>
        </w:rPr>
        <w:t xml:space="preserve"> adultos. La visión de esta política es como sigue: </w:t>
      </w:r>
      <w:r w:rsidR="001D2A53">
        <w:rPr>
          <w:lang w:val="es-ES_tradnl"/>
        </w:rPr>
        <w:t>"</w:t>
      </w:r>
      <w:r w:rsidR="00F8716D" w:rsidRPr="002720D0">
        <w:rPr>
          <w:lang w:val="es-ES_tradnl"/>
        </w:rPr>
        <w:t xml:space="preserve">Una sociedad democrática y pacífica que cuenta con educación y medios de vida de alto nivel y está comprometida con la educación permanente para responder </w:t>
      </w:r>
      <w:r w:rsidR="00B23A6F">
        <w:rPr>
          <w:lang w:val="es-ES_tradnl"/>
        </w:rPr>
        <w:t>con eficacia</w:t>
      </w:r>
      <w:r w:rsidR="00F8716D" w:rsidRPr="002720D0">
        <w:rPr>
          <w:lang w:val="es-ES_tradnl"/>
        </w:rPr>
        <w:t xml:space="preserve"> a los desafíos del desarrollo</w:t>
      </w:r>
      <w:r w:rsidR="001D2A53">
        <w:rPr>
          <w:lang w:val="es-ES_tradnl"/>
        </w:rPr>
        <w:t>"</w:t>
      </w:r>
      <w:r w:rsidR="00605CAE" w:rsidRPr="002720D0">
        <w:rPr>
          <w:lang w:val="es-ES_tradnl"/>
        </w:rPr>
        <w:t xml:space="preserve">. Su misión consiste en procurar el acceso </w:t>
      </w:r>
      <w:r w:rsidR="00C32892" w:rsidRPr="002720D0">
        <w:rPr>
          <w:lang w:val="es-ES_tradnl"/>
        </w:rPr>
        <w:t>igualitario</w:t>
      </w:r>
      <w:r w:rsidR="00605CAE" w:rsidRPr="002720D0">
        <w:rPr>
          <w:lang w:val="es-ES_tradnl"/>
        </w:rPr>
        <w:t>, la educación de calidad para todos y la promoción de la educación permanente. Entre sus objetivos se cuentan los siguientes:</w:t>
      </w:r>
      <w:r w:rsidR="001D2A53">
        <w:rPr>
          <w:lang w:val="es-ES_tradnl"/>
        </w:rPr>
        <w:t xml:space="preserve"> </w:t>
      </w:r>
    </w:p>
    <w:p w:rsidR="00151021" w:rsidRPr="002720D0" w:rsidRDefault="006340C3" w:rsidP="006340C3">
      <w:pPr>
        <w:pStyle w:val="SingleTxtG"/>
        <w:rPr>
          <w:lang w:val="es-ES_tradnl"/>
        </w:rPr>
      </w:pPr>
      <w:r>
        <w:rPr>
          <w:lang w:val="es-ES_tradnl"/>
        </w:rPr>
        <w:tab/>
      </w:r>
      <w:r w:rsidR="00612835" w:rsidRPr="002720D0">
        <w:rPr>
          <w:lang w:val="es-ES_tradnl"/>
        </w:rPr>
        <w:t>a)</w:t>
      </w:r>
      <w:r w:rsidR="00612835" w:rsidRPr="002720D0">
        <w:rPr>
          <w:lang w:val="es-ES_tradnl"/>
        </w:rPr>
        <w:tab/>
      </w:r>
      <w:r w:rsidR="00F8247D" w:rsidRPr="002720D0">
        <w:rPr>
          <w:lang w:val="es-ES_tradnl"/>
        </w:rPr>
        <w:t>Promover la adquisición y utilización adecuada de todo tipo de conocimientos y capacidades</w:t>
      </w:r>
      <w:r w:rsidR="001A1749" w:rsidRPr="002720D0">
        <w:rPr>
          <w:lang w:val="es-ES_tradnl"/>
        </w:rPr>
        <w:t>,</w:t>
      </w:r>
      <w:r w:rsidR="00F8247D" w:rsidRPr="002720D0">
        <w:rPr>
          <w:lang w:val="es-ES_tradnl"/>
        </w:rPr>
        <w:t xml:space="preserve"> en aras del desarrollo pleno de la personalidad humana y la mejora de la calidad de vida de la sociedad;</w:t>
      </w:r>
      <w:r w:rsidR="001D2A53">
        <w:rPr>
          <w:lang w:val="es-ES_tradnl"/>
        </w:rPr>
        <w:t xml:space="preserve"> </w:t>
      </w:r>
      <w:r w:rsidR="00EF58AE" w:rsidRPr="002720D0">
        <w:rPr>
          <w:lang w:val="es-ES_tradnl"/>
        </w:rPr>
        <w:t>y</w:t>
      </w:r>
    </w:p>
    <w:p w:rsidR="00151021" w:rsidRPr="002720D0" w:rsidRDefault="006340C3" w:rsidP="006340C3">
      <w:pPr>
        <w:pStyle w:val="SingleTxtG"/>
        <w:rPr>
          <w:lang w:val="es-ES_tradnl"/>
        </w:rPr>
      </w:pPr>
      <w:r>
        <w:rPr>
          <w:lang w:val="es-ES_tradnl"/>
        </w:rPr>
        <w:tab/>
      </w:r>
      <w:r w:rsidR="00612835" w:rsidRPr="002720D0">
        <w:rPr>
          <w:lang w:val="es-ES_tradnl"/>
        </w:rPr>
        <w:t>b)</w:t>
      </w:r>
      <w:r w:rsidR="00BD1FD6" w:rsidRPr="002720D0">
        <w:rPr>
          <w:lang w:val="es-ES_tradnl"/>
        </w:rPr>
        <w:tab/>
      </w:r>
      <w:r w:rsidR="00F8247D" w:rsidRPr="002720D0">
        <w:rPr>
          <w:lang w:val="es-ES_tradnl"/>
        </w:rPr>
        <w:t xml:space="preserve">Incorporar los principios y la práctica de la tolerancia, la paz, el amor, la justicia, el entendimiento, los derechos humanos y las libertades fundamentales, la unidad nacional y la cooperación </w:t>
      </w:r>
      <w:r w:rsidR="00B23A6F">
        <w:rPr>
          <w:lang w:val="es-ES_tradnl"/>
        </w:rPr>
        <w:t>inter</w:t>
      </w:r>
      <w:r w:rsidR="00F8247D" w:rsidRPr="002720D0">
        <w:rPr>
          <w:lang w:val="es-ES_tradnl"/>
        </w:rPr>
        <w:t>nacional, según se consagran en las cartas o acuerdos básicos internacionales.</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216.</w:t>
      </w:r>
      <w:r w:rsidRPr="002720D0">
        <w:rPr>
          <w:lang w:val="es-ES_tradnl"/>
        </w:rPr>
        <w:tab/>
      </w:r>
      <w:r w:rsidR="00B0796E" w:rsidRPr="002720D0">
        <w:rPr>
          <w:lang w:val="es-ES_tradnl"/>
        </w:rPr>
        <w:t>En aras de alcanzar los objetivos, la política hace hincapié en las consideraciones siguientes</w:t>
      </w:r>
      <w:r w:rsidR="00151021" w:rsidRPr="002720D0">
        <w:rPr>
          <w:lang w:val="es-ES_tradnl"/>
        </w:rPr>
        <w:t>:</w:t>
      </w:r>
    </w:p>
    <w:p w:rsidR="00151021" w:rsidRPr="002720D0" w:rsidRDefault="006340C3" w:rsidP="006340C3">
      <w:pPr>
        <w:pStyle w:val="SingleTxtG"/>
        <w:rPr>
          <w:lang w:val="es-ES_tradnl"/>
        </w:rPr>
      </w:pPr>
      <w:r>
        <w:rPr>
          <w:lang w:val="es-ES_tradnl"/>
        </w:rPr>
        <w:tab/>
      </w:r>
      <w:r w:rsidR="00612835" w:rsidRPr="002720D0">
        <w:rPr>
          <w:lang w:val="es-ES_tradnl"/>
        </w:rPr>
        <w:t>a)</w:t>
      </w:r>
      <w:r w:rsidR="00612835" w:rsidRPr="002720D0">
        <w:rPr>
          <w:lang w:val="es-ES_tradnl"/>
        </w:rPr>
        <w:tab/>
      </w:r>
      <w:r w:rsidR="00B0796E" w:rsidRPr="002720D0">
        <w:rPr>
          <w:lang w:val="es-ES_tradnl"/>
        </w:rPr>
        <w:t xml:space="preserve">Ampliar el acceso </w:t>
      </w:r>
      <w:r w:rsidR="009B4A45" w:rsidRPr="002720D0">
        <w:rPr>
          <w:lang w:val="es-ES_tradnl"/>
        </w:rPr>
        <w:t>igualitario a la enseñanza en todos los niveles;</w:t>
      </w:r>
      <w:r w:rsidR="001D2A53">
        <w:rPr>
          <w:lang w:val="es-ES_tradnl"/>
        </w:rPr>
        <w:t xml:space="preserve"> </w:t>
      </w:r>
    </w:p>
    <w:p w:rsidR="00151021" w:rsidRPr="002720D0" w:rsidRDefault="006340C3" w:rsidP="006340C3">
      <w:pPr>
        <w:pStyle w:val="SingleTxtG"/>
        <w:rPr>
          <w:lang w:val="es-ES_tradnl"/>
        </w:rPr>
      </w:pPr>
      <w:r>
        <w:rPr>
          <w:lang w:val="es-ES_tradnl"/>
        </w:rPr>
        <w:tab/>
      </w:r>
      <w:r w:rsidR="00612835" w:rsidRPr="002720D0">
        <w:rPr>
          <w:lang w:val="es-ES_tradnl"/>
        </w:rPr>
        <w:t>b)</w:t>
      </w:r>
      <w:r w:rsidR="00612835" w:rsidRPr="002720D0">
        <w:rPr>
          <w:lang w:val="es-ES_tradnl"/>
        </w:rPr>
        <w:tab/>
      </w:r>
      <w:r w:rsidR="009B4A45" w:rsidRPr="002720D0">
        <w:rPr>
          <w:lang w:val="es-ES_tradnl"/>
        </w:rPr>
        <w:t>Mejorar tanto la calidad como la eficacia del sistema educativo;</w:t>
      </w:r>
      <w:r w:rsidR="001D2A53">
        <w:rPr>
          <w:lang w:val="es-ES_tradnl"/>
        </w:rPr>
        <w:t xml:space="preserve"> </w:t>
      </w:r>
    </w:p>
    <w:p w:rsidR="00151021" w:rsidRPr="002720D0" w:rsidRDefault="006340C3" w:rsidP="006340C3">
      <w:pPr>
        <w:pStyle w:val="SingleTxtG"/>
        <w:rPr>
          <w:lang w:val="es-ES_tradnl"/>
        </w:rPr>
      </w:pPr>
      <w:r>
        <w:rPr>
          <w:lang w:val="es-ES_tradnl"/>
        </w:rPr>
        <w:tab/>
      </w:r>
      <w:r w:rsidR="00612835" w:rsidRPr="002720D0">
        <w:rPr>
          <w:lang w:val="es-ES_tradnl"/>
        </w:rPr>
        <w:t>c)</w:t>
      </w:r>
      <w:r w:rsidR="00612835" w:rsidRPr="002720D0">
        <w:rPr>
          <w:lang w:val="es-ES_tradnl"/>
        </w:rPr>
        <w:tab/>
      </w:r>
      <w:r w:rsidR="009B4A45" w:rsidRPr="002720D0">
        <w:rPr>
          <w:lang w:val="es-ES_tradnl"/>
        </w:rPr>
        <w:t>Velar por que los docentes, los estudiantes y el personal educativo tengan acceso a la tecnología de la información y la comunicación</w:t>
      </w:r>
      <w:r w:rsidR="00612835" w:rsidRPr="002720D0">
        <w:rPr>
          <w:lang w:val="es-ES_tradnl"/>
        </w:rPr>
        <w:t>;</w:t>
      </w:r>
    </w:p>
    <w:p w:rsidR="00151021" w:rsidRPr="002720D0" w:rsidRDefault="006340C3" w:rsidP="006340C3">
      <w:pPr>
        <w:pStyle w:val="SingleTxtG"/>
        <w:rPr>
          <w:lang w:val="es-ES_tradnl"/>
        </w:rPr>
      </w:pPr>
      <w:r>
        <w:rPr>
          <w:lang w:val="es-ES_tradnl"/>
        </w:rPr>
        <w:tab/>
      </w:r>
      <w:r w:rsidR="00612835" w:rsidRPr="002720D0">
        <w:rPr>
          <w:lang w:val="es-ES_tradnl"/>
        </w:rPr>
        <w:t>d)</w:t>
      </w:r>
      <w:r w:rsidR="00612835" w:rsidRPr="002720D0">
        <w:rPr>
          <w:lang w:val="es-ES_tradnl"/>
        </w:rPr>
        <w:tab/>
      </w:r>
      <w:r w:rsidR="00151021" w:rsidRPr="002720D0">
        <w:rPr>
          <w:lang w:val="es-ES_tradnl"/>
        </w:rPr>
        <w:t>De</w:t>
      </w:r>
      <w:r w:rsidR="0032231A" w:rsidRPr="002720D0">
        <w:rPr>
          <w:lang w:val="es-ES_tradnl"/>
        </w:rPr>
        <w:t xml:space="preserve">sarrollar la competencia científica y tecnológica; </w:t>
      </w:r>
    </w:p>
    <w:p w:rsidR="00151021" w:rsidRPr="002720D0" w:rsidRDefault="006340C3" w:rsidP="006340C3">
      <w:pPr>
        <w:pStyle w:val="SingleTxtG"/>
        <w:rPr>
          <w:lang w:val="es-ES_tradnl"/>
        </w:rPr>
      </w:pPr>
      <w:r>
        <w:rPr>
          <w:lang w:val="es-ES_tradnl"/>
        </w:rPr>
        <w:tab/>
      </w:r>
      <w:r w:rsidR="00612835" w:rsidRPr="002720D0">
        <w:rPr>
          <w:lang w:val="es-ES_tradnl"/>
        </w:rPr>
        <w:t>e)</w:t>
      </w:r>
      <w:r w:rsidR="00612835" w:rsidRPr="002720D0">
        <w:rPr>
          <w:lang w:val="es-ES_tradnl"/>
        </w:rPr>
        <w:tab/>
      </w:r>
      <w:r w:rsidR="0032231A" w:rsidRPr="002720D0">
        <w:rPr>
          <w:lang w:val="es-ES_tradnl"/>
        </w:rPr>
        <w:t>Ampliar la educación terciaria;</w:t>
      </w:r>
      <w:r w:rsidR="001D2A53">
        <w:rPr>
          <w:lang w:val="es-ES_tradnl"/>
        </w:rPr>
        <w:t xml:space="preserve"> </w:t>
      </w:r>
    </w:p>
    <w:p w:rsidR="00151021" w:rsidRPr="002720D0" w:rsidRDefault="006340C3" w:rsidP="006340C3">
      <w:pPr>
        <w:pStyle w:val="SingleTxtG"/>
        <w:rPr>
          <w:lang w:val="es-ES_tradnl"/>
        </w:rPr>
      </w:pPr>
      <w:r>
        <w:rPr>
          <w:lang w:val="es-ES_tradnl"/>
        </w:rPr>
        <w:tab/>
      </w:r>
      <w:r w:rsidR="0032231A" w:rsidRPr="002720D0">
        <w:rPr>
          <w:lang w:val="es-ES_tradnl"/>
        </w:rPr>
        <w:t>f</w:t>
      </w:r>
      <w:r w:rsidR="00612835" w:rsidRPr="002720D0">
        <w:rPr>
          <w:lang w:val="es-ES_tradnl"/>
        </w:rPr>
        <w:t>)</w:t>
      </w:r>
      <w:r w:rsidR="00612835" w:rsidRPr="002720D0">
        <w:rPr>
          <w:lang w:val="es-ES_tradnl"/>
        </w:rPr>
        <w:tab/>
      </w:r>
      <w:r w:rsidR="00151021" w:rsidRPr="002720D0">
        <w:rPr>
          <w:lang w:val="es-ES_tradnl"/>
        </w:rPr>
        <w:t>Promo</w:t>
      </w:r>
      <w:r w:rsidR="0032231A" w:rsidRPr="002720D0">
        <w:rPr>
          <w:lang w:val="es-ES_tradnl"/>
        </w:rPr>
        <w:t xml:space="preserve">ver la buena gobernanza en la educación; </w:t>
      </w:r>
    </w:p>
    <w:p w:rsidR="00151021" w:rsidRPr="002720D0" w:rsidRDefault="006340C3" w:rsidP="006340C3">
      <w:pPr>
        <w:pStyle w:val="SingleTxtG"/>
        <w:rPr>
          <w:lang w:val="es-ES_tradnl"/>
        </w:rPr>
      </w:pPr>
      <w:r>
        <w:rPr>
          <w:lang w:val="es-ES_tradnl"/>
        </w:rPr>
        <w:tab/>
      </w:r>
      <w:r w:rsidR="00612835" w:rsidRPr="002720D0">
        <w:rPr>
          <w:lang w:val="es-ES_tradnl"/>
        </w:rPr>
        <w:t>g)</w:t>
      </w:r>
      <w:r w:rsidR="00612835" w:rsidRPr="002720D0">
        <w:rPr>
          <w:lang w:val="es-ES_tradnl"/>
        </w:rPr>
        <w:tab/>
      </w:r>
      <w:r w:rsidR="00151021" w:rsidRPr="002720D0">
        <w:rPr>
          <w:lang w:val="es-ES_tradnl"/>
        </w:rPr>
        <w:t>Pro</w:t>
      </w:r>
      <w:r w:rsidR="0032231A" w:rsidRPr="002720D0">
        <w:rPr>
          <w:lang w:val="es-ES_tradnl"/>
        </w:rPr>
        <w:t>porcionar un entorno seguro y sano para la enseñanza y el aprendizaje; y</w:t>
      </w:r>
    </w:p>
    <w:p w:rsidR="00151021" w:rsidRPr="002720D0" w:rsidRDefault="006340C3" w:rsidP="006340C3">
      <w:pPr>
        <w:pStyle w:val="SingleTxtG"/>
        <w:rPr>
          <w:lang w:val="es-ES_tradnl"/>
        </w:rPr>
      </w:pPr>
      <w:r>
        <w:rPr>
          <w:lang w:val="es-ES_tradnl"/>
        </w:rPr>
        <w:tab/>
      </w:r>
      <w:r w:rsidR="00612835" w:rsidRPr="002720D0">
        <w:rPr>
          <w:lang w:val="es-ES_tradnl"/>
        </w:rPr>
        <w:t>h)</w:t>
      </w:r>
      <w:r w:rsidR="00612835" w:rsidRPr="002720D0">
        <w:rPr>
          <w:lang w:val="es-ES_tradnl"/>
        </w:rPr>
        <w:tab/>
      </w:r>
      <w:r w:rsidR="001A1749" w:rsidRPr="002720D0">
        <w:rPr>
          <w:lang w:val="es-ES_tradnl"/>
        </w:rPr>
        <w:t xml:space="preserve">Hacer </w:t>
      </w:r>
      <w:r w:rsidR="0032231A" w:rsidRPr="002720D0">
        <w:rPr>
          <w:lang w:val="es-ES_tradnl"/>
        </w:rPr>
        <w:t xml:space="preserve">uso óptimo y eficiente de los recursos. </w:t>
      </w:r>
    </w:p>
    <w:p w:rsidR="00151021" w:rsidRPr="002720D0" w:rsidRDefault="004F6364" w:rsidP="004F6364">
      <w:pPr>
        <w:pStyle w:val="SingleTxtG"/>
        <w:tabs>
          <w:tab w:val="left" w:pos="-360"/>
        </w:tabs>
        <w:rPr>
          <w:lang w:val="es-ES_tradnl"/>
        </w:rPr>
      </w:pPr>
      <w:r w:rsidRPr="002720D0">
        <w:rPr>
          <w:lang w:val="es-ES_tradnl"/>
        </w:rPr>
        <w:t>217.</w:t>
      </w:r>
      <w:r w:rsidRPr="002720D0">
        <w:rPr>
          <w:lang w:val="es-ES_tradnl"/>
        </w:rPr>
        <w:tab/>
      </w:r>
      <w:r w:rsidR="0032231A" w:rsidRPr="002720D0">
        <w:rPr>
          <w:lang w:val="es-ES_tradnl"/>
        </w:rPr>
        <w:t xml:space="preserve">El sistema educativo </w:t>
      </w:r>
      <w:r w:rsidR="00EF58AE" w:rsidRPr="002720D0">
        <w:rPr>
          <w:lang w:val="es-ES_tradnl"/>
        </w:rPr>
        <w:t>es uno de</w:t>
      </w:r>
      <w:r w:rsidR="0032231A" w:rsidRPr="002720D0">
        <w:rPr>
          <w:lang w:val="es-ES_tradnl"/>
        </w:rPr>
        <w:t xml:space="preserve"> los asuntos más importantes </w:t>
      </w:r>
      <w:r w:rsidR="00EF58AE" w:rsidRPr="002720D0">
        <w:rPr>
          <w:lang w:val="es-ES_tradnl"/>
        </w:rPr>
        <w:t>expuestos</w:t>
      </w:r>
      <w:r w:rsidR="002544AD" w:rsidRPr="002720D0">
        <w:rPr>
          <w:lang w:val="es-ES_tradnl"/>
        </w:rPr>
        <w:t xml:space="preserve"> en la Política de educación de 2006. Con arreglo a esta política, el sistema </w:t>
      </w:r>
      <w:r w:rsidR="00EF58AE" w:rsidRPr="002720D0">
        <w:rPr>
          <w:lang w:val="es-ES_tradnl"/>
        </w:rPr>
        <w:t>se ordena en</w:t>
      </w:r>
      <w:r w:rsidR="002544AD" w:rsidRPr="002720D0">
        <w:rPr>
          <w:lang w:val="es-ES_tradnl"/>
        </w:rPr>
        <w:t xml:space="preserve"> dos años de </w:t>
      </w:r>
      <w:r w:rsidR="00C8353C">
        <w:rPr>
          <w:lang w:val="es-ES_tradnl"/>
        </w:rPr>
        <w:t>enseñanza</w:t>
      </w:r>
      <w:r w:rsidR="002544AD" w:rsidRPr="002720D0">
        <w:rPr>
          <w:lang w:val="es-ES_tradnl"/>
        </w:rPr>
        <w:t xml:space="preserve"> preescolar, seis de </w:t>
      </w:r>
      <w:r w:rsidR="00C8353C">
        <w:rPr>
          <w:lang w:val="es-ES_tradnl"/>
        </w:rPr>
        <w:t>enseñanza</w:t>
      </w:r>
      <w:r w:rsidR="002544AD" w:rsidRPr="002720D0">
        <w:rPr>
          <w:lang w:val="es-ES_tradnl"/>
        </w:rPr>
        <w:t xml:space="preserve"> primaria, cuatro de </w:t>
      </w:r>
      <w:r w:rsidR="00C8353C">
        <w:rPr>
          <w:lang w:val="es-ES_tradnl"/>
        </w:rPr>
        <w:t>enseñanza</w:t>
      </w:r>
      <w:r w:rsidR="002544AD" w:rsidRPr="002720D0">
        <w:rPr>
          <w:lang w:val="es-ES_tradnl"/>
        </w:rPr>
        <w:t xml:space="preserve"> secundaria básica, dos años de </w:t>
      </w:r>
      <w:r w:rsidR="00C8353C">
        <w:rPr>
          <w:lang w:val="es-ES_tradnl"/>
        </w:rPr>
        <w:t xml:space="preserve">enseñanza </w:t>
      </w:r>
      <w:r w:rsidR="002544AD" w:rsidRPr="002720D0">
        <w:rPr>
          <w:lang w:val="es-ES_tradnl"/>
        </w:rPr>
        <w:t xml:space="preserve">secundaria superior y tres años de educación universitaria; es un sistema 2 – 6 – 4 – 2 – 3+. En MKUZA II (2010) se hace hincapié en la educación primaria. </w:t>
      </w:r>
      <w:r w:rsidR="00D93A5F" w:rsidRPr="002720D0">
        <w:rPr>
          <w:lang w:val="es-ES_tradnl"/>
        </w:rPr>
        <w:t xml:space="preserve">Entre el conjunto básico de estrategias correspondientes al objetivo 2.1 de este documento figura la siguiente: </w:t>
      </w:r>
      <w:r w:rsidR="001D2A53">
        <w:rPr>
          <w:lang w:val="es-ES_tradnl"/>
        </w:rPr>
        <w:t>"</w:t>
      </w:r>
      <w:r w:rsidR="00D93A5F" w:rsidRPr="002720D0">
        <w:rPr>
          <w:lang w:val="es-ES_tradnl"/>
        </w:rPr>
        <w:t>Velar por un acceso igualitario a la enseñanza primaria de calidad para todos los</w:t>
      </w:r>
      <w:r w:rsidR="001D2A53">
        <w:rPr>
          <w:lang w:val="es-ES_tradnl"/>
        </w:rPr>
        <w:t xml:space="preserve"> </w:t>
      </w:r>
      <w:r w:rsidR="00D93A5F" w:rsidRPr="002720D0">
        <w:rPr>
          <w:lang w:val="es-ES_tradnl"/>
        </w:rPr>
        <w:t>niños con edades comprendidas entre los 6 y los 11 años</w:t>
      </w:r>
      <w:r w:rsidR="001D2A53">
        <w:rPr>
          <w:lang w:val="es-ES_tradnl"/>
        </w:rPr>
        <w:t>"</w:t>
      </w:r>
      <w:r w:rsidR="00D93A5F" w:rsidRPr="002720D0">
        <w:rPr>
          <w:lang w:val="es-ES_tradnl"/>
        </w:rPr>
        <w:t>.</w:t>
      </w:r>
      <w:r w:rsidR="005175B6"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218.</w:t>
      </w:r>
      <w:r w:rsidRPr="002720D0">
        <w:rPr>
          <w:lang w:val="es-ES_tradnl"/>
        </w:rPr>
        <w:tab/>
      </w:r>
      <w:r w:rsidR="00D93A5F" w:rsidRPr="002720D0">
        <w:rPr>
          <w:lang w:val="es-ES_tradnl"/>
        </w:rPr>
        <w:t>En el contexto legislativo, la L</w:t>
      </w:r>
      <w:r w:rsidR="00C8353C">
        <w:rPr>
          <w:lang w:val="es-ES_tradnl"/>
        </w:rPr>
        <w:t xml:space="preserve">ey de la </w:t>
      </w:r>
      <w:r w:rsidR="00C04BD0">
        <w:rPr>
          <w:lang w:val="es-ES_tradnl"/>
        </w:rPr>
        <w:t xml:space="preserve">Infancia </w:t>
      </w:r>
      <w:r w:rsidR="00C8353C">
        <w:rPr>
          <w:lang w:val="es-ES_tradnl"/>
        </w:rPr>
        <w:t xml:space="preserve">y la Ley del </w:t>
      </w:r>
      <w:r w:rsidR="00C04BD0">
        <w:rPr>
          <w:lang w:val="es-ES_tradnl"/>
        </w:rPr>
        <w:t>N</w:t>
      </w:r>
      <w:r w:rsidR="00C04BD0" w:rsidRPr="002720D0">
        <w:rPr>
          <w:lang w:val="es-ES_tradnl"/>
        </w:rPr>
        <w:t xml:space="preserve">iño </w:t>
      </w:r>
      <w:r w:rsidR="00D93A5F" w:rsidRPr="002720D0">
        <w:rPr>
          <w:lang w:val="es-ES_tradnl"/>
        </w:rPr>
        <w:t xml:space="preserve">de Zanzíbar han </w:t>
      </w:r>
      <w:r w:rsidR="00424D98" w:rsidRPr="002720D0">
        <w:rPr>
          <w:lang w:val="es-ES_tradnl"/>
        </w:rPr>
        <w:t>puesto de manifiesto</w:t>
      </w:r>
      <w:r w:rsidR="00D93A5F" w:rsidRPr="002720D0">
        <w:rPr>
          <w:lang w:val="es-ES_tradnl"/>
        </w:rPr>
        <w:t xml:space="preserve"> que la responsabilidad principal relativa </w:t>
      </w:r>
      <w:r w:rsidR="00424D98" w:rsidRPr="002720D0">
        <w:rPr>
          <w:lang w:val="es-ES_tradnl"/>
        </w:rPr>
        <w:t xml:space="preserve">a la manutención </w:t>
      </w:r>
      <w:r w:rsidR="00D93A5F" w:rsidRPr="002720D0">
        <w:rPr>
          <w:lang w:val="es-ES_tradnl"/>
        </w:rPr>
        <w:t>del niño</w:t>
      </w:r>
      <w:r w:rsidR="008B3B84" w:rsidRPr="002720D0">
        <w:rPr>
          <w:lang w:val="es-ES_tradnl"/>
        </w:rPr>
        <w:t xml:space="preserve">, que </w:t>
      </w:r>
      <w:r w:rsidR="00CB072E" w:rsidRPr="002720D0">
        <w:rPr>
          <w:lang w:val="es-ES_tradnl"/>
        </w:rPr>
        <w:t xml:space="preserve">comprende tanto su educación como su orientación, incumbe a los padres, a un tutor o a cualquier otra persona </w:t>
      </w:r>
      <w:r w:rsidR="00F50AEE" w:rsidRPr="002720D0">
        <w:rPr>
          <w:lang w:val="es-ES_tradnl"/>
        </w:rPr>
        <w:t xml:space="preserve">que tenga </w:t>
      </w:r>
      <w:r w:rsidR="00424D98" w:rsidRPr="002720D0">
        <w:rPr>
          <w:lang w:val="es-ES_tradnl"/>
        </w:rPr>
        <w:t>a un niño bajo su custodia</w:t>
      </w:r>
      <w:r w:rsidR="00151021" w:rsidRPr="002720D0">
        <w:rPr>
          <w:rStyle w:val="FootnoteReference"/>
          <w:lang w:val="es-ES_tradnl"/>
        </w:rPr>
        <w:footnoteReference w:id="95"/>
      </w:r>
      <w:r w:rsidR="00F50AEE" w:rsidRPr="002720D0">
        <w:rPr>
          <w:lang w:val="es-ES_tradnl"/>
        </w:rPr>
        <w:t>.</w:t>
      </w:r>
    </w:p>
    <w:p w:rsidR="00151021" w:rsidRPr="002720D0" w:rsidRDefault="00612835" w:rsidP="00F50AEE">
      <w:pPr>
        <w:pStyle w:val="H23G"/>
        <w:outlineLvl w:val="0"/>
        <w:rPr>
          <w:lang w:val="es-ES_tradnl"/>
        </w:rPr>
      </w:pPr>
      <w:r w:rsidRPr="002720D0">
        <w:rPr>
          <w:lang w:val="es-ES_tradnl"/>
        </w:rPr>
        <w:tab/>
      </w:r>
      <w:r w:rsidR="00151021" w:rsidRPr="002720D0">
        <w:rPr>
          <w:lang w:val="es-ES_tradnl"/>
        </w:rPr>
        <w:t>b)</w:t>
      </w:r>
      <w:r w:rsidRPr="002720D0">
        <w:rPr>
          <w:lang w:val="es-ES_tradnl"/>
        </w:rPr>
        <w:tab/>
      </w:r>
      <w:r w:rsidR="00F50AEE" w:rsidRPr="002720D0">
        <w:rPr>
          <w:lang w:val="es-ES_tradnl"/>
        </w:rPr>
        <w:t>Tasas de matrícula en la enseñanza secundaria y en los c</w:t>
      </w:r>
      <w:r w:rsidR="00EC0EA1">
        <w:rPr>
          <w:lang w:val="es-ES_tradnl"/>
        </w:rPr>
        <w:t>entros de formación profesional</w:t>
      </w:r>
    </w:p>
    <w:p w:rsidR="00424D98" w:rsidRPr="002720D0" w:rsidRDefault="004F6364" w:rsidP="004F6364">
      <w:pPr>
        <w:pStyle w:val="SingleTxtG"/>
        <w:tabs>
          <w:tab w:val="left" w:pos="-360"/>
        </w:tabs>
        <w:rPr>
          <w:lang w:val="es-ES_tradnl"/>
        </w:rPr>
      </w:pPr>
      <w:r w:rsidRPr="002720D0">
        <w:rPr>
          <w:lang w:val="es-ES_tradnl"/>
        </w:rPr>
        <w:t>219.</w:t>
      </w:r>
      <w:r w:rsidRPr="002720D0">
        <w:rPr>
          <w:lang w:val="es-ES_tradnl"/>
        </w:rPr>
        <w:tab/>
      </w:r>
      <w:r w:rsidR="00424D98" w:rsidRPr="002720D0">
        <w:rPr>
          <w:lang w:val="es-ES_tradnl"/>
        </w:rPr>
        <w:t xml:space="preserve">En sus Observaciones finales previas, el Comité instó al Estado parte a que incrementase </w:t>
      </w:r>
      <w:r w:rsidR="00424D98" w:rsidRPr="002720D0">
        <w:rPr>
          <w:bCs/>
          <w:lang w:val="es-ES_tradnl"/>
        </w:rPr>
        <w:t>las tasas de matrícula en la enseñanza secundaria, así como los intentos de conseguir que quienes hubieran abandonado los estudios volvieran a la escuela u otros centros de formación profesional.</w:t>
      </w:r>
      <w:r w:rsidR="00424D98"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220.</w:t>
      </w:r>
      <w:r w:rsidRPr="002720D0">
        <w:rPr>
          <w:lang w:val="es-ES_tradnl"/>
        </w:rPr>
        <w:tab/>
      </w:r>
      <w:r w:rsidR="00F50AEE" w:rsidRPr="002720D0">
        <w:rPr>
          <w:lang w:val="es-ES_tradnl"/>
        </w:rPr>
        <w:t>En su empeño por aplicar el artículo 28 de la Convención, y en cumplimiento de la recomendación</w:t>
      </w:r>
      <w:r w:rsidR="00424D98" w:rsidRPr="002720D0">
        <w:rPr>
          <w:lang w:val="es-ES_tradnl"/>
        </w:rPr>
        <w:t xml:space="preserve"> precedente</w:t>
      </w:r>
      <w:r w:rsidR="00F50AEE" w:rsidRPr="002720D0">
        <w:rPr>
          <w:lang w:val="es-ES_tradnl"/>
        </w:rPr>
        <w:t xml:space="preserve"> del Comité</w:t>
      </w:r>
      <w:r w:rsidR="00424D98" w:rsidRPr="002720D0">
        <w:rPr>
          <w:lang w:val="es-ES_tradnl"/>
        </w:rPr>
        <w:t>,</w:t>
      </w:r>
      <w:r w:rsidR="00F50AEE" w:rsidRPr="002720D0">
        <w:rPr>
          <w:lang w:val="es-ES_tradnl"/>
        </w:rPr>
        <w:t xml:space="preserve"> </w:t>
      </w:r>
      <w:r w:rsidR="00157681" w:rsidRPr="002720D0">
        <w:rPr>
          <w:lang w:val="es-ES_tradnl"/>
        </w:rPr>
        <w:t>el Estado p</w:t>
      </w:r>
      <w:r w:rsidR="00F50AEE" w:rsidRPr="002720D0">
        <w:rPr>
          <w:lang w:val="es-ES_tradnl"/>
        </w:rPr>
        <w:t xml:space="preserve">arte ha </w:t>
      </w:r>
      <w:r w:rsidR="00BA1E0A" w:rsidRPr="002720D0">
        <w:rPr>
          <w:lang w:val="es-ES_tradnl"/>
        </w:rPr>
        <w:t>participado en la aplicación de diversas estrategias y planes destinados a garantizar la en</w:t>
      </w:r>
      <w:r w:rsidR="00C32892" w:rsidRPr="002720D0">
        <w:rPr>
          <w:lang w:val="es-ES_tradnl"/>
        </w:rPr>
        <w:t>señanza preescolar gratuita y l</w:t>
      </w:r>
      <w:r w:rsidR="00BA1E0A" w:rsidRPr="002720D0">
        <w:rPr>
          <w:lang w:val="es-ES_tradnl"/>
        </w:rPr>
        <w:t xml:space="preserve">a enseñanza primaria obligatoria y gratuita para todos. En relación con la calidad de la educación, y en el contexto de la recomendación del Comité, el </w:t>
      </w:r>
      <w:r w:rsidR="00EC0EA1">
        <w:rPr>
          <w:lang w:val="es-ES_tradnl"/>
        </w:rPr>
        <w:t>Estado parte ha adopta</w:t>
      </w:r>
      <w:r w:rsidR="00424D98" w:rsidRPr="002720D0">
        <w:rPr>
          <w:lang w:val="es-ES_tradnl"/>
        </w:rPr>
        <w:t>do las siguientes medidas</w:t>
      </w:r>
      <w:r w:rsidR="00BA1E0A" w:rsidRPr="002720D0">
        <w:rPr>
          <w:lang w:val="es-ES_tradnl"/>
        </w:rPr>
        <w:t xml:space="preserve"> para mejorar la calidad de la educación preescolar</w:t>
      </w:r>
      <w:r w:rsidR="00151021" w:rsidRPr="002720D0">
        <w:rPr>
          <w:lang w:val="es-ES_tradnl"/>
        </w:rPr>
        <w:t>:</w:t>
      </w:r>
    </w:p>
    <w:p w:rsidR="00151021" w:rsidRPr="002720D0" w:rsidRDefault="006340C3" w:rsidP="006340C3">
      <w:pPr>
        <w:pStyle w:val="SingleTxtG"/>
        <w:rPr>
          <w:lang w:val="es-ES_tradnl"/>
        </w:rPr>
      </w:pPr>
      <w:r>
        <w:rPr>
          <w:lang w:val="es-ES_tradnl"/>
        </w:rPr>
        <w:tab/>
      </w:r>
      <w:r w:rsidR="00612835" w:rsidRPr="002720D0">
        <w:rPr>
          <w:lang w:val="es-ES_tradnl"/>
        </w:rPr>
        <w:t>a)</w:t>
      </w:r>
      <w:r w:rsidR="00612835" w:rsidRPr="002720D0">
        <w:rPr>
          <w:lang w:val="es-ES_tradnl"/>
        </w:rPr>
        <w:tab/>
      </w:r>
      <w:r w:rsidR="00424D98" w:rsidRPr="002720D0">
        <w:rPr>
          <w:lang w:val="es-ES_tradnl"/>
        </w:rPr>
        <w:t xml:space="preserve">Elaboración de </w:t>
      </w:r>
      <w:r w:rsidR="00BA1E0A" w:rsidRPr="002720D0">
        <w:rPr>
          <w:lang w:val="es-ES_tradnl"/>
        </w:rPr>
        <w:t xml:space="preserve">directrices operacionales integradas </w:t>
      </w:r>
      <w:r w:rsidR="00C8031F" w:rsidRPr="002720D0">
        <w:rPr>
          <w:lang w:val="es-ES_tradnl"/>
        </w:rPr>
        <w:t xml:space="preserve">para el desarrollo en la primera infancia y </w:t>
      </w:r>
      <w:r w:rsidR="00424D98" w:rsidRPr="002720D0">
        <w:rPr>
          <w:lang w:val="es-ES_tradnl"/>
        </w:rPr>
        <w:t xml:space="preserve">de </w:t>
      </w:r>
      <w:r w:rsidR="00C8031F" w:rsidRPr="002720D0">
        <w:rPr>
          <w:lang w:val="es-ES_tradnl"/>
        </w:rPr>
        <w:t xml:space="preserve">las normas mínimas para los niños con edades comprendidas entre los 0 y los 8 años; </w:t>
      </w:r>
    </w:p>
    <w:p w:rsidR="00151021" w:rsidRPr="002720D0" w:rsidRDefault="006340C3" w:rsidP="006340C3">
      <w:pPr>
        <w:pStyle w:val="SingleTxtG"/>
        <w:rPr>
          <w:lang w:val="es-ES_tradnl"/>
        </w:rPr>
      </w:pPr>
      <w:r>
        <w:rPr>
          <w:lang w:val="es-ES_tradnl"/>
        </w:rPr>
        <w:tab/>
      </w:r>
      <w:r w:rsidR="00612835" w:rsidRPr="002720D0">
        <w:rPr>
          <w:lang w:val="es-ES_tradnl"/>
        </w:rPr>
        <w:t>b)</w:t>
      </w:r>
      <w:r w:rsidR="00612835" w:rsidRPr="002720D0">
        <w:rPr>
          <w:lang w:val="es-ES_tradnl"/>
        </w:rPr>
        <w:tab/>
      </w:r>
      <w:r w:rsidR="00424D98" w:rsidRPr="002720D0">
        <w:rPr>
          <w:lang w:val="es-ES_tradnl"/>
        </w:rPr>
        <w:t>Elaboración de</w:t>
      </w:r>
      <w:r w:rsidR="00C8031F" w:rsidRPr="002720D0">
        <w:rPr>
          <w:lang w:val="es-ES_tradnl"/>
        </w:rPr>
        <w:t xml:space="preserve">l programa de formación en el servicio relativa a las directrices operacionales </w:t>
      </w:r>
      <w:r w:rsidR="00424D98" w:rsidRPr="002720D0">
        <w:rPr>
          <w:lang w:val="es-ES_tradnl"/>
        </w:rPr>
        <w:t>precedentes</w:t>
      </w:r>
      <w:r w:rsidR="00C8031F" w:rsidRPr="002720D0">
        <w:rPr>
          <w:lang w:val="es-ES_tradnl"/>
        </w:rPr>
        <w:t xml:space="preserve"> para el personal de guardería y los docentes de educación preescolar; </w:t>
      </w:r>
    </w:p>
    <w:p w:rsidR="00151021" w:rsidRPr="002720D0" w:rsidRDefault="006340C3" w:rsidP="006340C3">
      <w:pPr>
        <w:pStyle w:val="SingleTxtG"/>
        <w:rPr>
          <w:lang w:val="es-ES_tradnl"/>
        </w:rPr>
      </w:pPr>
      <w:r>
        <w:rPr>
          <w:lang w:val="es-ES_tradnl"/>
        </w:rPr>
        <w:tab/>
      </w:r>
      <w:r w:rsidR="00612835" w:rsidRPr="002720D0">
        <w:rPr>
          <w:lang w:val="es-ES_tradnl"/>
        </w:rPr>
        <w:t>c)</w:t>
      </w:r>
      <w:r w:rsidR="00612835" w:rsidRPr="002720D0">
        <w:rPr>
          <w:lang w:val="es-ES_tradnl"/>
        </w:rPr>
        <w:tab/>
      </w:r>
      <w:r w:rsidR="00424D98" w:rsidRPr="002720D0">
        <w:rPr>
          <w:lang w:val="es-ES_tradnl"/>
        </w:rPr>
        <w:t>Elaboración de l</w:t>
      </w:r>
      <w:r w:rsidR="00C8031F" w:rsidRPr="002720D0">
        <w:rPr>
          <w:lang w:val="es-ES_tradnl"/>
        </w:rPr>
        <w:t>a guía de juego/enseñanza/aprendizaje para las directrices operacionales</w:t>
      </w:r>
      <w:r w:rsidR="00151021" w:rsidRPr="002720D0">
        <w:rPr>
          <w:rStyle w:val="FootnoteReference"/>
          <w:lang w:val="es-ES_tradnl"/>
        </w:rPr>
        <w:footnoteReference w:id="96"/>
      </w:r>
      <w:r w:rsidR="00C8031F" w:rsidRPr="002720D0">
        <w:rPr>
          <w:lang w:val="es-ES_tradnl"/>
        </w:rPr>
        <w:t>;</w:t>
      </w:r>
      <w:r w:rsidR="00EC0EA1">
        <w:rPr>
          <w:lang w:val="es-ES_tradnl"/>
        </w:rPr>
        <w:t xml:space="preserve"> y</w:t>
      </w:r>
    </w:p>
    <w:p w:rsidR="00151021" w:rsidRPr="002720D0" w:rsidRDefault="006340C3" w:rsidP="006340C3">
      <w:pPr>
        <w:pStyle w:val="SingleTxtG"/>
        <w:rPr>
          <w:lang w:val="es-ES_tradnl"/>
        </w:rPr>
      </w:pPr>
      <w:r>
        <w:rPr>
          <w:lang w:val="es-ES_tradnl"/>
        </w:rPr>
        <w:tab/>
      </w:r>
      <w:r w:rsidR="00612835" w:rsidRPr="002720D0">
        <w:rPr>
          <w:lang w:val="es-ES_tradnl"/>
        </w:rPr>
        <w:t>d)</w:t>
      </w:r>
      <w:r w:rsidR="00612835" w:rsidRPr="002720D0">
        <w:rPr>
          <w:lang w:val="es-ES_tradnl"/>
        </w:rPr>
        <w:tab/>
      </w:r>
      <w:r w:rsidR="00C8031F" w:rsidRPr="002720D0">
        <w:rPr>
          <w:lang w:val="es-ES_tradnl"/>
        </w:rPr>
        <w:t>Contratación anual de los maestros de enseñanza primaria, con la resultante mejora registrada entre 2007 y 2012 en el promedio anual relativo a la proporción entre docentes y alumnos</w:t>
      </w:r>
      <w:r w:rsidR="00612835" w:rsidRPr="002720D0">
        <w:rPr>
          <w:lang w:val="es-ES_tradnl"/>
        </w:rPr>
        <w:t>.</w:t>
      </w:r>
    </w:p>
    <w:p w:rsidR="00151021" w:rsidRPr="002720D0" w:rsidRDefault="00C32892" w:rsidP="00153B23">
      <w:pPr>
        <w:pStyle w:val="SingleTxtG"/>
        <w:rPr>
          <w:lang w:val="es-ES_tradnl"/>
        </w:rPr>
      </w:pPr>
      <w:r w:rsidRPr="002720D0">
        <w:rPr>
          <w:lang w:val="es-ES_tradnl"/>
        </w:rPr>
        <w:t xml:space="preserve">Para mejorar la calidad de la enseñanza en la escuela primaria, el </w:t>
      </w:r>
      <w:r w:rsidR="00157681" w:rsidRPr="002720D0">
        <w:rPr>
          <w:lang w:val="es-ES_tradnl"/>
        </w:rPr>
        <w:t>Estado p</w:t>
      </w:r>
      <w:r w:rsidRPr="002720D0">
        <w:rPr>
          <w:lang w:val="es-ES_tradnl"/>
        </w:rPr>
        <w:t xml:space="preserve">arte ha </w:t>
      </w:r>
      <w:r w:rsidR="00424D98" w:rsidRPr="002720D0">
        <w:rPr>
          <w:lang w:val="es-ES_tradnl"/>
        </w:rPr>
        <w:t>adoptado</w:t>
      </w:r>
      <w:r w:rsidRPr="002720D0">
        <w:rPr>
          <w:lang w:val="es-ES_tradnl"/>
        </w:rPr>
        <w:t xml:space="preserve"> las siguientes medidas: </w:t>
      </w:r>
    </w:p>
    <w:p w:rsidR="00151021" w:rsidRPr="002720D0" w:rsidRDefault="006340C3" w:rsidP="006340C3">
      <w:pPr>
        <w:pStyle w:val="SingleTxtG"/>
        <w:rPr>
          <w:lang w:val="es-ES_tradnl"/>
        </w:rPr>
      </w:pPr>
      <w:r>
        <w:rPr>
          <w:lang w:val="es-ES_tradnl"/>
        </w:rPr>
        <w:tab/>
      </w:r>
      <w:r w:rsidR="004F6364" w:rsidRPr="002720D0">
        <w:rPr>
          <w:lang w:val="es-ES_tradnl"/>
        </w:rPr>
        <w:t>a)</w:t>
      </w:r>
      <w:r w:rsidR="004F6364" w:rsidRPr="002720D0">
        <w:rPr>
          <w:lang w:val="es-ES_tradnl"/>
        </w:rPr>
        <w:tab/>
      </w:r>
      <w:r w:rsidR="00424D98" w:rsidRPr="002720D0">
        <w:rPr>
          <w:lang w:val="es-ES_tradnl"/>
        </w:rPr>
        <w:t>Desarrollo de</w:t>
      </w:r>
      <w:r w:rsidR="00C32892" w:rsidRPr="002720D0">
        <w:rPr>
          <w:lang w:val="es-ES_tradnl"/>
        </w:rPr>
        <w:t xml:space="preserve"> los servicios correspondientes al programa de formación para maestros de la escuela primaria;</w:t>
      </w:r>
      <w:r w:rsidR="00EC0EA1">
        <w:rPr>
          <w:lang w:val="es-ES_tradnl"/>
        </w:rPr>
        <w:t xml:space="preserve"> y</w:t>
      </w:r>
    </w:p>
    <w:p w:rsidR="00151021" w:rsidRPr="002720D0" w:rsidRDefault="006340C3" w:rsidP="006340C3">
      <w:pPr>
        <w:pStyle w:val="SingleTxtG"/>
        <w:rPr>
          <w:lang w:val="es-ES_tradnl"/>
        </w:rPr>
      </w:pPr>
      <w:r>
        <w:rPr>
          <w:lang w:val="es-ES_tradnl"/>
        </w:rPr>
        <w:tab/>
      </w:r>
      <w:r w:rsidR="004F6364" w:rsidRPr="002720D0">
        <w:rPr>
          <w:lang w:val="es-ES_tradnl"/>
        </w:rPr>
        <w:t>b)</w:t>
      </w:r>
      <w:r w:rsidR="004F6364" w:rsidRPr="002720D0">
        <w:rPr>
          <w:lang w:val="es-ES_tradnl"/>
        </w:rPr>
        <w:tab/>
      </w:r>
      <w:r w:rsidR="00424D98" w:rsidRPr="002720D0">
        <w:rPr>
          <w:lang w:val="es-ES_tradnl"/>
        </w:rPr>
        <w:t>Contratación de</w:t>
      </w:r>
      <w:r w:rsidR="00C32892" w:rsidRPr="002720D0">
        <w:rPr>
          <w:lang w:val="es-ES_tradnl"/>
        </w:rPr>
        <w:t xml:space="preserve"> un mayor número de maestros, con la resultante mejora en el promedio nacional de maestros. </w:t>
      </w:r>
    </w:p>
    <w:p w:rsidR="00151021" w:rsidRPr="002720D0" w:rsidRDefault="004F6364" w:rsidP="004F6364">
      <w:pPr>
        <w:pStyle w:val="SingleTxtG"/>
        <w:tabs>
          <w:tab w:val="left" w:pos="-360"/>
        </w:tabs>
        <w:rPr>
          <w:lang w:val="es-ES_tradnl"/>
        </w:rPr>
      </w:pPr>
      <w:r w:rsidRPr="002720D0">
        <w:rPr>
          <w:lang w:val="es-ES_tradnl"/>
        </w:rPr>
        <w:t>221.</w:t>
      </w:r>
      <w:r w:rsidRPr="002720D0">
        <w:rPr>
          <w:lang w:val="es-ES_tradnl"/>
        </w:rPr>
        <w:tab/>
      </w:r>
      <w:r w:rsidR="00C32892" w:rsidRPr="002720D0">
        <w:rPr>
          <w:lang w:val="es-ES_tradnl"/>
        </w:rPr>
        <w:t xml:space="preserve">En </w:t>
      </w:r>
      <w:r w:rsidR="00424D98" w:rsidRPr="002720D0">
        <w:rPr>
          <w:lang w:val="es-ES_tradnl"/>
        </w:rPr>
        <w:t>el contexto de</w:t>
      </w:r>
      <w:r w:rsidR="00C32892" w:rsidRPr="002720D0">
        <w:rPr>
          <w:lang w:val="es-ES_tradnl"/>
        </w:rPr>
        <w:t xml:space="preserve"> la educación secundaria, en Tanzanía continental se han alcanzado los hitos siguientes: </w:t>
      </w:r>
    </w:p>
    <w:p w:rsidR="00151021" w:rsidRPr="002720D0" w:rsidRDefault="00612835" w:rsidP="00612835">
      <w:pPr>
        <w:pStyle w:val="SingleTxtG"/>
        <w:ind w:left="1701"/>
        <w:rPr>
          <w:lang w:val="es-ES_tradnl"/>
        </w:rPr>
      </w:pPr>
      <w:r w:rsidRPr="002720D0">
        <w:rPr>
          <w:lang w:val="es-ES_tradnl"/>
        </w:rPr>
        <w:t>i)</w:t>
      </w:r>
      <w:r w:rsidRPr="002720D0">
        <w:rPr>
          <w:lang w:val="es-ES_tradnl"/>
        </w:rPr>
        <w:tab/>
      </w:r>
      <w:r w:rsidR="00424D98" w:rsidRPr="002720D0">
        <w:rPr>
          <w:lang w:val="es-ES_tradnl"/>
        </w:rPr>
        <w:t>Con respecto a</w:t>
      </w:r>
      <w:r w:rsidR="00157681" w:rsidRPr="002720D0">
        <w:rPr>
          <w:lang w:val="es-ES_tradnl"/>
        </w:rPr>
        <w:t xml:space="preserve"> las mejoras, el Estado p</w:t>
      </w:r>
      <w:r w:rsidR="00C32892" w:rsidRPr="002720D0">
        <w:rPr>
          <w:lang w:val="es-ES_tradnl"/>
        </w:rPr>
        <w:t xml:space="preserve">arte ha aumentado el número de universidades en las que se imparten programas de magisterio; </w:t>
      </w:r>
    </w:p>
    <w:p w:rsidR="00151021" w:rsidRPr="002720D0" w:rsidRDefault="00151021" w:rsidP="00612835">
      <w:pPr>
        <w:pStyle w:val="SingleTxtG"/>
        <w:ind w:left="1701"/>
        <w:rPr>
          <w:lang w:val="es-ES_tradnl"/>
        </w:rPr>
      </w:pPr>
      <w:r w:rsidRPr="002720D0">
        <w:rPr>
          <w:lang w:val="es-ES_tradnl"/>
        </w:rPr>
        <w:t>ii)</w:t>
      </w:r>
      <w:r w:rsidR="00612835" w:rsidRPr="002720D0">
        <w:rPr>
          <w:lang w:val="es-ES_tradnl"/>
        </w:rPr>
        <w:tab/>
      </w:r>
      <w:r w:rsidR="00C32892" w:rsidRPr="002720D0">
        <w:rPr>
          <w:lang w:val="es-ES_tradnl"/>
        </w:rPr>
        <w:t xml:space="preserve">La contratación de docentes de enseñanza secundaria ha </w:t>
      </w:r>
      <w:r w:rsidR="00424D98" w:rsidRPr="002720D0">
        <w:rPr>
          <w:lang w:val="es-ES_tradnl"/>
        </w:rPr>
        <w:t>experimentado un</w:t>
      </w:r>
      <w:r w:rsidR="00C32892" w:rsidRPr="002720D0">
        <w:rPr>
          <w:lang w:val="es-ES_tradnl"/>
        </w:rPr>
        <w:t xml:space="preserve"> aumento entre 2007 y 2011; </w:t>
      </w:r>
    </w:p>
    <w:p w:rsidR="00151021" w:rsidRPr="002720D0" w:rsidRDefault="00151021" w:rsidP="00612835">
      <w:pPr>
        <w:pStyle w:val="SingleTxtG"/>
        <w:ind w:left="1701"/>
        <w:rPr>
          <w:lang w:val="es-ES_tradnl"/>
        </w:rPr>
      </w:pPr>
      <w:r w:rsidRPr="002720D0">
        <w:rPr>
          <w:lang w:val="es-ES_tradnl"/>
        </w:rPr>
        <w:t>iii)</w:t>
      </w:r>
      <w:r w:rsidR="00612835" w:rsidRPr="002720D0">
        <w:rPr>
          <w:lang w:val="es-ES_tradnl"/>
        </w:rPr>
        <w:tab/>
      </w:r>
      <w:r w:rsidR="00C32892" w:rsidRPr="002720D0">
        <w:rPr>
          <w:lang w:val="es-ES_tradnl"/>
        </w:rPr>
        <w:t xml:space="preserve">Se ha elaborado y puesto en práctica un programa de formación en el servicio para los docentes que imparten asignaturas científicas; </w:t>
      </w:r>
    </w:p>
    <w:p w:rsidR="00151021" w:rsidRPr="002720D0" w:rsidRDefault="00151021" w:rsidP="00612835">
      <w:pPr>
        <w:pStyle w:val="SingleTxtG"/>
        <w:ind w:left="1701"/>
        <w:rPr>
          <w:lang w:val="es-ES_tradnl"/>
        </w:rPr>
      </w:pPr>
      <w:r w:rsidRPr="002720D0">
        <w:rPr>
          <w:lang w:val="es-ES_tradnl"/>
        </w:rPr>
        <w:t>iv)</w:t>
      </w:r>
      <w:r w:rsidR="00612835" w:rsidRPr="002720D0">
        <w:rPr>
          <w:lang w:val="es-ES_tradnl"/>
        </w:rPr>
        <w:tab/>
      </w:r>
      <w:r w:rsidR="00157681" w:rsidRPr="002720D0">
        <w:rPr>
          <w:lang w:val="es-ES_tradnl"/>
        </w:rPr>
        <w:t>El Estado p</w:t>
      </w:r>
      <w:r w:rsidR="00C32892" w:rsidRPr="002720D0">
        <w:rPr>
          <w:lang w:val="es-ES_tradnl"/>
        </w:rPr>
        <w:t xml:space="preserve">arte está </w:t>
      </w:r>
      <w:r w:rsidR="00C32892" w:rsidRPr="00EC0EA1">
        <w:rPr>
          <w:lang w:val="es-ES_tradnl"/>
        </w:rPr>
        <w:t>construyendo laboratorios para las escuelas secundarias de todas las comunidades.</w:t>
      </w:r>
      <w:r w:rsidR="00C32892"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222.</w:t>
      </w:r>
      <w:r w:rsidRPr="002720D0">
        <w:rPr>
          <w:lang w:val="es-ES_tradnl"/>
        </w:rPr>
        <w:tab/>
      </w:r>
      <w:r w:rsidR="005A30AA" w:rsidRPr="002720D0">
        <w:rPr>
          <w:lang w:val="es-ES_tradnl"/>
        </w:rPr>
        <w:t xml:space="preserve">En cumplimiento de la recomendación </w:t>
      </w:r>
      <w:r w:rsidR="00674E0C" w:rsidRPr="002720D0">
        <w:rPr>
          <w:lang w:val="es-ES_tradnl"/>
        </w:rPr>
        <w:t xml:space="preserve">precedente </w:t>
      </w:r>
      <w:r w:rsidR="005A30AA" w:rsidRPr="002720D0">
        <w:rPr>
          <w:lang w:val="es-ES_tradnl"/>
        </w:rPr>
        <w:t>del Comité relativa al incremento de las tasas de matrícula, en Zanzíbar están aumentando las matriculaciones para este nivel de enseñanza, y el porcentaje de matriculación de las niñas parece superar al de niños varones. Tanto la concienciación de los padres de familia en cuanto a los derechos de sus niños a la enseñ</w:t>
      </w:r>
      <w:r w:rsidR="00674E0C" w:rsidRPr="002720D0">
        <w:rPr>
          <w:lang w:val="es-ES_tradnl"/>
        </w:rPr>
        <w:t>anza como el apoyo que prestan en</w:t>
      </w:r>
      <w:r w:rsidR="005A30AA" w:rsidRPr="002720D0">
        <w:rPr>
          <w:lang w:val="es-ES_tradnl"/>
        </w:rPr>
        <w:t xml:space="preserve"> la construcción de las aulas facilita esta situación. Con el apoyo del Ministerio, de la comunidad y de los donantes, el número de aulas aumentó a 240 en 2010. El cuadro </w:t>
      </w:r>
      <w:r w:rsidR="005A30AA" w:rsidRPr="00A74BF4">
        <w:rPr>
          <w:lang w:val="es-ES_tradnl"/>
        </w:rPr>
        <w:t xml:space="preserve">12 </w:t>
      </w:r>
      <w:r w:rsidR="00674E0C" w:rsidRPr="00A74BF4">
        <w:rPr>
          <w:lang w:val="es-ES_tradnl"/>
        </w:rPr>
        <w:t>que figura a continuación</w:t>
      </w:r>
      <w:r w:rsidR="00674E0C" w:rsidRPr="00A74BF4">
        <w:rPr>
          <w:i/>
          <w:lang w:val="es-ES_tradnl"/>
        </w:rPr>
        <w:t xml:space="preserve"> </w:t>
      </w:r>
      <w:r w:rsidR="005A30AA" w:rsidRPr="00A74BF4">
        <w:rPr>
          <w:lang w:val="es-ES_tradnl"/>
        </w:rPr>
        <w:t>refleja la</w:t>
      </w:r>
      <w:r w:rsidR="005A30AA" w:rsidRPr="002720D0">
        <w:rPr>
          <w:lang w:val="es-ES_tradnl"/>
        </w:rPr>
        <w:t xml:space="preserve"> tasa de matriculación por género para los cursos académicos comprendidos entre 2007-2008</w:t>
      </w:r>
      <w:r w:rsidR="00151021" w:rsidRPr="002720D0">
        <w:rPr>
          <w:lang w:val="es-ES_tradnl"/>
        </w:rPr>
        <w:t xml:space="preserve"> </w:t>
      </w:r>
      <w:r w:rsidR="005A30AA" w:rsidRPr="002720D0">
        <w:rPr>
          <w:lang w:val="es-ES_tradnl"/>
        </w:rPr>
        <w:t xml:space="preserve">y 2009-2010. </w:t>
      </w:r>
    </w:p>
    <w:p w:rsidR="00151021" w:rsidRPr="002720D0" w:rsidRDefault="004F6364" w:rsidP="004F6364">
      <w:pPr>
        <w:pStyle w:val="SingleTxtG"/>
        <w:tabs>
          <w:tab w:val="left" w:pos="-360"/>
        </w:tabs>
        <w:rPr>
          <w:lang w:val="es-ES_tradnl"/>
        </w:rPr>
      </w:pPr>
      <w:r w:rsidRPr="002720D0">
        <w:rPr>
          <w:lang w:val="es-ES_tradnl"/>
        </w:rPr>
        <w:t>223.</w:t>
      </w:r>
      <w:r w:rsidRPr="002720D0">
        <w:rPr>
          <w:lang w:val="es-ES_tradnl"/>
        </w:rPr>
        <w:tab/>
      </w:r>
      <w:r w:rsidR="00674E0C" w:rsidRPr="002720D0">
        <w:rPr>
          <w:lang w:val="es-ES_tradnl"/>
        </w:rPr>
        <w:t>En Zanzíbar,</w:t>
      </w:r>
      <w:r w:rsidR="005A30AA" w:rsidRPr="002720D0">
        <w:rPr>
          <w:lang w:val="es-ES_tradnl"/>
        </w:rPr>
        <w:t xml:space="preserve"> </w:t>
      </w:r>
      <w:r w:rsidR="00674E0C" w:rsidRPr="002720D0">
        <w:rPr>
          <w:lang w:val="es-ES_tradnl"/>
        </w:rPr>
        <w:t xml:space="preserve">la </w:t>
      </w:r>
      <w:r w:rsidR="005A30AA" w:rsidRPr="002720D0">
        <w:rPr>
          <w:lang w:val="es-ES_tradnl"/>
        </w:rPr>
        <w:t xml:space="preserve">educación preescolar </w:t>
      </w:r>
      <w:r w:rsidR="00674E0C" w:rsidRPr="002720D0">
        <w:rPr>
          <w:lang w:val="es-ES_tradnl"/>
        </w:rPr>
        <w:t xml:space="preserve">se imparte </w:t>
      </w:r>
      <w:r w:rsidR="005A30AA" w:rsidRPr="002720D0">
        <w:rPr>
          <w:lang w:val="es-ES_tradnl"/>
        </w:rPr>
        <w:t>a los niños</w:t>
      </w:r>
      <w:r w:rsidR="00674E0C" w:rsidRPr="002720D0">
        <w:rPr>
          <w:lang w:val="es-ES_tradnl"/>
        </w:rPr>
        <w:t xml:space="preserve"> con edades a partir de 4 años;</w:t>
      </w:r>
      <w:r w:rsidR="005A30AA" w:rsidRPr="002720D0">
        <w:rPr>
          <w:lang w:val="es-ES_tradnl"/>
        </w:rPr>
        <w:t xml:space="preserve"> forma parte de la </w:t>
      </w:r>
      <w:r w:rsidR="00EC0EA1">
        <w:rPr>
          <w:lang w:val="es-ES_tradnl"/>
        </w:rPr>
        <w:t>enseñanza</w:t>
      </w:r>
      <w:r w:rsidR="005A30AA" w:rsidRPr="002720D0">
        <w:rPr>
          <w:lang w:val="es-ES_tradnl"/>
        </w:rPr>
        <w:t xml:space="preserve"> básica. </w:t>
      </w:r>
      <w:r w:rsidR="00674E0C" w:rsidRPr="002720D0">
        <w:rPr>
          <w:lang w:val="es-ES_tradnl"/>
        </w:rPr>
        <w:t>Entre</w:t>
      </w:r>
      <w:r w:rsidR="005A30AA" w:rsidRPr="002720D0">
        <w:rPr>
          <w:lang w:val="es-ES_tradnl"/>
        </w:rPr>
        <w:t xml:space="preserve"> 2006 </w:t>
      </w:r>
      <w:r w:rsidR="00674E0C" w:rsidRPr="002720D0">
        <w:rPr>
          <w:lang w:val="es-ES_tradnl"/>
        </w:rPr>
        <w:t>y 2010</w:t>
      </w:r>
      <w:r w:rsidR="005A30AA" w:rsidRPr="002720D0">
        <w:rPr>
          <w:lang w:val="es-ES_tradnl"/>
        </w:rPr>
        <w:t xml:space="preserve"> el n</w:t>
      </w:r>
      <w:r w:rsidR="00504CE5" w:rsidRPr="002720D0">
        <w:rPr>
          <w:lang w:val="es-ES_tradnl"/>
        </w:rPr>
        <w:t>úmero de centros preescolares pú</w:t>
      </w:r>
      <w:r w:rsidR="005A30AA" w:rsidRPr="002720D0">
        <w:rPr>
          <w:lang w:val="es-ES_tradnl"/>
        </w:rPr>
        <w:t>blicos aumen</w:t>
      </w:r>
      <w:r w:rsidR="007A152B" w:rsidRPr="002720D0">
        <w:rPr>
          <w:lang w:val="es-ES_tradnl"/>
        </w:rPr>
        <w:t>t</w:t>
      </w:r>
      <w:r w:rsidR="005A30AA" w:rsidRPr="002720D0">
        <w:rPr>
          <w:lang w:val="es-ES_tradnl"/>
        </w:rPr>
        <w:t xml:space="preserve">ó de 25 a 27, y de 160 a 211 en el caso de los centros preescolares privados. El número total de escuelas que ofrecen educación preescolar </w:t>
      </w:r>
      <w:r w:rsidR="00674E0C" w:rsidRPr="002720D0">
        <w:rPr>
          <w:lang w:val="es-ES_tradnl"/>
        </w:rPr>
        <w:t>se incrementó</w:t>
      </w:r>
      <w:r w:rsidR="005A30AA" w:rsidRPr="002720D0">
        <w:rPr>
          <w:lang w:val="es-ES_tradnl"/>
        </w:rPr>
        <w:t>, pasando de 185 en 2006 a 238 en 2010. Una vez más, la tasa de matriculación en este nivel de enseñanza aumentó</w:t>
      </w:r>
      <w:r w:rsidR="00674E0C" w:rsidRPr="002720D0">
        <w:rPr>
          <w:lang w:val="es-ES_tradnl"/>
        </w:rPr>
        <w:t>, pasando</w:t>
      </w:r>
      <w:r w:rsidR="005A30AA" w:rsidRPr="002720D0">
        <w:rPr>
          <w:lang w:val="es-ES_tradnl"/>
        </w:rPr>
        <w:t xml:space="preserve"> del 13,9% en </w:t>
      </w:r>
      <w:r w:rsidR="00EC0EA1">
        <w:rPr>
          <w:lang w:val="es-ES_tradnl"/>
        </w:rPr>
        <w:t>2006</w:t>
      </w:r>
      <w:r w:rsidR="005A30AA" w:rsidRPr="002720D0">
        <w:rPr>
          <w:lang w:val="es-ES_tradnl"/>
        </w:rPr>
        <w:t xml:space="preserve"> al 33,9% en 2010 para las escuelas públicas, y del 76,0% al 80,0% para las escuelas privadas. </w:t>
      </w:r>
    </w:p>
    <w:p w:rsidR="00151021" w:rsidRPr="002720D0" w:rsidRDefault="004F6364" w:rsidP="004F6364">
      <w:pPr>
        <w:pStyle w:val="SingleTxtG"/>
        <w:tabs>
          <w:tab w:val="left" w:pos="-360"/>
        </w:tabs>
        <w:rPr>
          <w:lang w:val="es-ES_tradnl"/>
        </w:rPr>
      </w:pPr>
      <w:r w:rsidRPr="002720D0">
        <w:rPr>
          <w:lang w:val="es-ES_tradnl"/>
        </w:rPr>
        <w:t>224.</w:t>
      </w:r>
      <w:r w:rsidRPr="002720D0">
        <w:rPr>
          <w:lang w:val="es-ES_tradnl"/>
        </w:rPr>
        <w:tab/>
      </w:r>
      <w:r w:rsidR="003A03BB" w:rsidRPr="002720D0">
        <w:rPr>
          <w:lang w:val="es-ES_tradnl"/>
        </w:rPr>
        <w:t>En Zanzí</w:t>
      </w:r>
      <w:r w:rsidR="00151021" w:rsidRPr="002720D0">
        <w:rPr>
          <w:lang w:val="es-ES_tradnl"/>
        </w:rPr>
        <w:t xml:space="preserve">bar, </w:t>
      </w:r>
      <w:r w:rsidR="00157681" w:rsidRPr="002720D0">
        <w:rPr>
          <w:lang w:val="es-ES_tradnl"/>
        </w:rPr>
        <w:t>el Estado p</w:t>
      </w:r>
      <w:r w:rsidR="003A03BB" w:rsidRPr="002720D0">
        <w:rPr>
          <w:lang w:val="es-ES_tradnl"/>
        </w:rPr>
        <w:t xml:space="preserve">arte alienta el desarrollo de distintas formas de educación secundaria y formación profesional, asegura </w:t>
      </w:r>
      <w:r w:rsidR="00640702" w:rsidRPr="002720D0">
        <w:rPr>
          <w:lang w:val="es-ES_tradnl"/>
        </w:rPr>
        <w:t>que estén disponibles y sean accesibles</w:t>
      </w:r>
      <w:r w:rsidR="003A03BB" w:rsidRPr="002720D0">
        <w:rPr>
          <w:lang w:val="es-ES_tradnl"/>
        </w:rPr>
        <w:t xml:space="preserve"> para todos los niños, y adopta medidas adecuadas como son la introducción de la enseñanza gratuita y el ofrecimiento de asistencia económica cuando esta fuera necesaria. La </w:t>
      </w:r>
      <w:r w:rsidR="00EC0EA1">
        <w:rPr>
          <w:lang w:val="es-ES_tradnl"/>
        </w:rPr>
        <w:t>enseñanza</w:t>
      </w:r>
      <w:r w:rsidR="003A03BB" w:rsidRPr="002720D0">
        <w:rPr>
          <w:lang w:val="es-ES_tradnl"/>
        </w:rPr>
        <w:t xml:space="preserve"> secundaria en Zanzíbar </w:t>
      </w:r>
      <w:r w:rsidR="00640702" w:rsidRPr="002720D0">
        <w:rPr>
          <w:lang w:val="es-ES_tradnl"/>
        </w:rPr>
        <w:t>consta de una</w:t>
      </w:r>
      <w:r w:rsidR="003A03BB" w:rsidRPr="002720D0">
        <w:rPr>
          <w:lang w:val="es-ES_tradnl"/>
        </w:rPr>
        <w:t xml:space="preserve"> etapa </w:t>
      </w:r>
      <w:r w:rsidR="00640702" w:rsidRPr="002720D0">
        <w:rPr>
          <w:lang w:val="es-ES_tradnl"/>
        </w:rPr>
        <w:t xml:space="preserve">secundaria </w:t>
      </w:r>
      <w:r w:rsidR="003A03BB" w:rsidRPr="002720D0">
        <w:rPr>
          <w:lang w:val="es-ES_tradnl"/>
        </w:rPr>
        <w:t>inferior (</w:t>
      </w:r>
      <w:r w:rsidR="00BA1A90" w:rsidRPr="002720D0">
        <w:rPr>
          <w:lang w:val="es-ES_tradnl"/>
        </w:rPr>
        <w:t>Grado</w:t>
      </w:r>
      <w:r w:rsidR="003A03BB" w:rsidRPr="002720D0">
        <w:rPr>
          <w:lang w:val="es-ES_tradnl"/>
        </w:rPr>
        <w:t xml:space="preserve"> I y </w:t>
      </w:r>
      <w:r w:rsidR="00BA1A90" w:rsidRPr="002720D0">
        <w:rPr>
          <w:lang w:val="es-ES_tradnl"/>
        </w:rPr>
        <w:t>Grado</w:t>
      </w:r>
      <w:r w:rsidR="002472F1">
        <w:rPr>
          <w:lang w:val="es-ES_tradnl"/>
        </w:rPr>
        <w:t> </w:t>
      </w:r>
      <w:r w:rsidR="00640702" w:rsidRPr="002720D0">
        <w:rPr>
          <w:lang w:val="es-ES_tradnl"/>
        </w:rPr>
        <w:t>II), una</w:t>
      </w:r>
      <w:r w:rsidR="003A03BB" w:rsidRPr="002720D0">
        <w:rPr>
          <w:lang w:val="es-ES_tradnl"/>
        </w:rPr>
        <w:t xml:space="preserve"> etapa secundaria </w:t>
      </w:r>
      <w:r w:rsidR="00640702" w:rsidRPr="002720D0">
        <w:rPr>
          <w:lang w:val="es-ES_tradnl"/>
        </w:rPr>
        <w:t xml:space="preserve">superior </w:t>
      </w:r>
      <w:r w:rsidR="003A03BB" w:rsidRPr="002720D0">
        <w:rPr>
          <w:lang w:val="es-ES_tradnl"/>
        </w:rPr>
        <w:t>(</w:t>
      </w:r>
      <w:r w:rsidR="00BA1A90" w:rsidRPr="002720D0">
        <w:rPr>
          <w:lang w:val="es-ES_tradnl"/>
        </w:rPr>
        <w:t>Grado</w:t>
      </w:r>
      <w:r w:rsidR="003A03BB" w:rsidRPr="002720D0">
        <w:rPr>
          <w:lang w:val="es-ES_tradnl"/>
        </w:rPr>
        <w:t xml:space="preserve"> III y </w:t>
      </w:r>
      <w:r w:rsidR="00BA1A90" w:rsidRPr="002720D0">
        <w:rPr>
          <w:lang w:val="es-ES_tradnl"/>
        </w:rPr>
        <w:t>Grado</w:t>
      </w:r>
      <w:r w:rsidR="00640702" w:rsidRPr="002720D0">
        <w:rPr>
          <w:lang w:val="es-ES_tradnl"/>
        </w:rPr>
        <w:t xml:space="preserve"> IV) y una</w:t>
      </w:r>
      <w:r w:rsidR="003A03BB" w:rsidRPr="002720D0">
        <w:rPr>
          <w:lang w:val="es-ES_tradnl"/>
        </w:rPr>
        <w:t xml:space="preserve"> etapa avanzada o superior (</w:t>
      </w:r>
      <w:r w:rsidR="00BA1A90" w:rsidRPr="002720D0">
        <w:rPr>
          <w:lang w:val="es-ES_tradnl"/>
        </w:rPr>
        <w:t>Grado</w:t>
      </w:r>
      <w:r w:rsidR="003A03BB" w:rsidRPr="002720D0">
        <w:rPr>
          <w:lang w:val="es-ES_tradnl"/>
        </w:rPr>
        <w:t xml:space="preserve"> V y </w:t>
      </w:r>
      <w:r w:rsidR="00BA1A90" w:rsidRPr="002720D0">
        <w:rPr>
          <w:lang w:val="es-ES_tradnl"/>
        </w:rPr>
        <w:t>Grado</w:t>
      </w:r>
      <w:r w:rsidR="003A03BB" w:rsidRPr="002720D0">
        <w:rPr>
          <w:lang w:val="es-ES_tradnl"/>
        </w:rPr>
        <w:t xml:space="preserve"> VI). Con arreglo a la nueva política de edu</w:t>
      </w:r>
      <w:r w:rsidR="00640702" w:rsidRPr="002720D0">
        <w:rPr>
          <w:lang w:val="es-ES_tradnl"/>
        </w:rPr>
        <w:t>cación</w:t>
      </w:r>
      <w:r w:rsidR="003A03BB" w:rsidRPr="002720D0">
        <w:rPr>
          <w:lang w:val="es-ES_tradnl"/>
        </w:rPr>
        <w:t xml:space="preserve"> de 2006, la </w:t>
      </w:r>
      <w:r w:rsidR="00EC0EA1">
        <w:rPr>
          <w:lang w:val="es-ES_tradnl"/>
        </w:rPr>
        <w:t>enseñanza</w:t>
      </w:r>
      <w:r w:rsidR="003A03BB" w:rsidRPr="002720D0">
        <w:rPr>
          <w:lang w:val="es-ES_tradnl"/>
        </w:rPr>
        <w:t xml:space="preserve"> básica y obligatoria comprende </w:t>
      </w:r>
      <w:r w:rsidR="00640702" w:rsidRPr="002720D0">
        <w:rPr>
          <w:lang w:val="es-ES_tradnl"/>
        </w:rPr>
        <w:t>desde primero de primaria a Grado</w:t>
      </w:r>
      <w:r w:rsidR="003A03BB" w:rsidRPr="002720D0">
        <w:rPr>
          <w:lang w:val="es-ES_tradnl"/>
        </w:rPr>
        <w:t xml:space="preserve"> IV</w:t>
      </w:r>
      <w:r w:rsidR="00640702" w:rsidRPr="002720D0">
        <w:rPr>
          <w:lang w:val="es-ES_tradnl"/>
        </w:rPr>
        <w:t xml:space="preserve"> de secundaria</w:t>
      </w:r>
      <w:r w:rsidR="003A03BB" w:rsidRPr="002720D0">
        <w:rPr>
          <w:lang w:val="es-ES_tradnl"/>
        </w:rPr>
        <w:t xml:space="preserve">. </w:t>
      </w:r>
      <w:r w:rsidR="00BA1A90" w:rsidRPr="002720D0">
        <w:rPr>
          <w:lang w:val="es-ES_tradnl"/>
        </w:rPr>
        <w:t>La matriculación en la enseñanza secundaria ha aumentado, pasando de 82.796 alumnos (43.157 niñas y 39.</w:t>
      </w:r>
      <w:r w:rsidR="00151021" w:rsidRPr="002720D0">
        <w:rPr>
          <w:lang w:val="es-ES_tradnl"/>
        </w:rPr>
        <w:t>639</w:t>
      </w:r>
      <w:r w:rsidR="00BA1A90" w:rsidRPr="002720D0">
        <w:rPr>
          <w:lang w:val="es-ES_tradnl"/>
        </w:rPr>
        <w:t xml:space="preserve"> niños varones</w:t>
      </w:r>
      <w:r w:rsidR="00151021" w:rsidRPr="002720D0">
        <w:rPr>
          <w:lang w:val="es-ES_tradnl"/>
        </w:rPr>
        <w:t xml:space="preserve">) </w:t>
      </w:r>
      <w:r w:rsidR="00640702" w:rsidRPr="002720D0">
        <w:rPr>
          <w:lang w:val="es-ES_tradnl"/>
        </w:rPr>
        <w:t>en el curso 2009-</w:t>
      </w:r>
      <w:r w:rsidR="00BA1A90" w:rsidRPr="002720D0">
        <w:rPr>
          <w:lang w:val="es-ES_tradnl"/>
        </w:rPr>
        <w:t xml:space="preserve">2010 a 84.099 </w:t>
      </w:r>
      <w:r w:rsidR="00640702" w:rsidRPr="002720D0">
        <w:rPr>
          <w:lang w:val="es-ES_tradnl"/>
        </w:rPr>
        <w:t xml:space="preserve">alumnos </w:t>
      </w:r>
      <w:r w:rsidR="00BA1A90" w:rsidRPr="002720D0">
        <w:rPr>
          <w:lang w:val="es-ES_tradnl"/>
        </w:rPr>
        <w:t>(44.</w:t>
      </w:r>
      <w:r w:rsidR="00151021" w:rsidRPr="002720D0">
        <w:rPr>
          <w:lang w:val="es-ES_tradnl"/>
        </w:rPr>
        <w:t xml:space="preserve">209 </w:t>
      </w:r>
      <w:r w:rsidR="00BA1A90" w:rsidRPr="002720D0">
        <w:rPr>
          <w:lang w:val="es-ES_tradnl"/>
        </w:rPr>
        <w:t>niñas y 39.</w:t>
      </w:r>
      <w:r w:rsidR="00151021" w:rsidRPr="002720D0">
        <w:rPr>
          <w:lang w:val="es-ES_tradnl"/>
        </w:rPr>
        <w:t xml:space="preserve">890 </w:t>
      </w:r>
      <w:r w:rsidR="00BA1A90" w:rsidRPr="002720D0">
        <w:rPr>
          <w:lang w:val="es-ES_tradnl"/>
        </w:rPr>
        <w:t>niños varones) en el curso</w:t>
      </w:r>
      <w:r w:rsidR="00640702" w:rsidRPr="002720D0">
        <w:rPr>
          <w:lang w:val="es-ES_tradnl"/>
        </w:rPr>
        <w:t xml:space="preserve"> 2010-</w:t>
      </w:r>
      <w:r w:rsidR="00151021" w:rsidRPr="002720D0">
        <w:rPr>
          <w:lang w:val="es-ES_tradnl"/>
        </w:rPr>
        <w:t>2011.</w:t>
      </w:r>
    </w:p>
    <w:p w:rsidR="00151021" w:rsidRPr="002720D0" w:rsidRDefault="004F6364" w:rsidP="004F6364">
      <w:pPr>
        <w:pStyle w:val="SingleTxtG"/>
        <w:tabs>
          <w:tab w:val="left" w:pos="-360"/>
        </w:tabs>
        <w:rPr>
          <w:lang w:val="es-ES_tradnl"/>
        </w:rPr>
      </w:pPr>
      <w:r w:rsidRPr="002720D0">
        <w:rPr>
          <w:lang w:val="es-ES_tradnl"/>
        </w:rPr>
        <w:t>225.</w:t>
      </w:r>
      <w:r w:rsidRPr="002720D0">
        <w:rPr>
          <w:lang w:val="es-ES_tradnl"/>
        </w:rPr>
        <w:tab/>
      </w:r>
      <w:r w:rsidR="00BA1A90" w:rsidRPr="002720D0">
        <w:rPr>
          <w:lang w:val="es-ES_tradnl"/>
        </w:rPr>
        <w:t xml:space="preserve">La disponibilidad </w:t>
      </w:r>
      <w:r w:rsidR="00640702" w:rsidRPr="002720D0">
        <w:rPr>
          <w:lang w:val="es-ES_tradnl"/>
        </w:rPr>
        <w:t>tanto de maestros c</w:t>
      </w:r>
      <w:r w:rsidR="000C44A8">
        <w:rPr>
          <w:lang w:val="es-ES_tradnl"/>
        </w:rPr>
        <w:t>u</w:t>
      </w:r>
      <w:r w:rsidR="00640702" w:rsidRPr="002720D0">
        <w:rPr>
          <w:lang w:val="es-ES_tradnl"/>
        </w:rPr>
        <w:t>alificados como</w:t>
      </w:r>
      <w:r w:rsidR="00BA1A90" w:rsidRPr="002720D0">
        <w:rPr>
          <w:lang w:val="es-ES_tradnl"/>
        </w:rPr>
        <w:t xml:space="preserve"> de materiales de enseñanza y de aprendizaje ha contribuido </w:t>
      </w:r>
      <w:r w:rsidR="00640702" w:rsidRPr="002720D0">
        <w:rPr>
          <w:lang w:val="es-ES_tradnl"/>
        </w:rPr>
        <w:t xml:space="preserve">en Zanzíbar </w:t>
      </w:r>
      <w:r w:rsidR="00BA1A90" w:rsidRPr="002720D0">
        <w:rPr>
          <w:lang w:val="es-ES_tradnl"/>
        </w:rPr>
        <w:t>a esta mejora, por conducto del Proyecto de mejora de la enseñanza básica en Zanzíbar. Este proyecto quinquenal (2008 a 2013) está integrado por dos componentes: a) aumento de la matriculación y b) mejora en la calidad de la enseñanza secundaria mediante la dotación de infraestructuras, la formación de los docentes, la reforma de los planes de estudio y la pr</w:t>
      </w:r>
      <w:r w:rsidR="00504CE5" w:rsidRPr="002720D0">
        <w:rPr>
          <w:lang w:val="es-ES_tradnl"/>
        </w:rPr>
        <w:t>o</w:t>
      </w:r>
      <w:r w:rsidR="00BA1A90" w:rsidRPr="002720D0">
        <w:rPr>
          <w:lang w:val="es-ES_tradnl"/>
        </w:rPr>
        <w:t xml:space="preserve">visión de materiales de aprendizaje. </w:t>
      </w:r>
    </w:p>
    <w:p w:rsidR="00151021" w:rsidRPr="002720D0" w:rsidRDefault="004F6364" w:rsidP="004F6364">
      <w:pPr>
        <w:pStyle w:val="SingleTxtG"/>
        <w:tabs>
          <w:tab w:val="left" w:pos="-360"/>
        </w:tabs>
        <w:rPr>
          <w:lang w:val="es-ES_tradnl"/>
        </w:rPr>
      </w:pPr>
      <w:r w:rsidRPr="002720D0">
        <w:rPr>
          <w:lang w:val="es-ES_tradnl"/>
        </w:rPr>
        <w:t>226.</w:t>
      </w:r>
      <w:r w:rsidRPr="002720D0">
        <w:rPr>
          <w:lang w:val="es-ES_tradnl"/>
        </w:rPr>
        <w:tab/>
      </w:r>
      <w:r w:rsidR="007A152B" w:rsidRPr="002720D0">
        <w:rPr>
          <w:lang w:val="es-ES_tradnl"/>
        </w:rPr>
        <w:t xml:space="preserve">Durante el ejercicio fiscal de </w:t>
      </w:r>
      <w:r w:rsidR="00640702" w:rsidRPr="002720D0">
        <w:rPr>
          <w:lang w:val="es-ES_tradnl"/>
        </w:rPr>
        <w:t>2011-</w:t>
      </w:r>
      <w:r w:rsidR="00151021" w:rsidRPr="002720D0">
        <w:rPr>
          <w:lang w:val="es-ES_tradnl"/>
        </w:rPr>
        <w:t xml:space="preserve">2012 </w:t>
      </w:r>
      <w:r w:rsidR="007A152B" w:rsidRPr="002720D0">
        <w:rPr>
          <w:lang w:val="es-ES_tradnl"/>
        </w:rPr>
        <w:t>se registraron 227 escuelas secundarias en Zanzíbar, mient</w:t>
      </w:r>
      <w:r w:rsidR="00640702" w:rsidRPr="002720D0">
        <w:rPr>
          <w:lang w:val="es-ES_tradnl"/>
        </w:rPr>
        <w:t>ras que en el de 2009-</w:t>
      </w:r>
      <w:r w:rsidR="007A152B" w:rsidRPr="002720D0">
        <w:rPr>
          <w:lang w:val="es-ES_tradnl"/>
        </w:rPr>
        <w:t>2010 solo se registraron 219 de estas escuelas. E</w:t>
      </w:r>
      <w:r w:rsidR="00640702" w:rsidRPr="002720D0">
        <w:rPr>
          <w:lang w:val="es-ES_tradnl"/>
        </w:rPr>
        <w:t>n 2009, e</w:t>
      </w:r>
      <w:r w:rsidR="007A152B" w:rsidRPr="002720D0">
        <w:rPr>
          <w:lang w:val="es-ES_tradnl"/>
        </w:rPr>
        <w:t xml:space="preserve">l Ministerio de Educación y Formación Profesional </w:t>
      </w:r>
      <w:r w:rsidR="00640702" w:rsidRPr="002720D0">
        <w:rPr>
          <w:lang w:val="es-ES_tradnl"/>
        </w:rPr>
        <w:t>creó</w:t>
      </w:r>
      <w:r w:rsidR="007A152B" w:rsidRPr="002720D0">
        <w:rPr>
          <w:lang w:val="es-ES_tradnl"/>
        </w:rPr>
        <w:t xml:space="preserve"> centros </w:t>
      </w:r>
      <w:r w:rsidR="00640702" w:rsidRPr="002720D0">
        <w:rPr>
          <w:lang w:val="es-ES_tradnl"/>
        </w:rPr>
        <w:t>de formación profesional</w:t>
      </w:r>
      <w:r w:rsidR="007A152B" w:rsidRPr="002720D0">
        <w:rPr>
          <w:lang w:val="es-ES_tradnl"/>
        </w:rPr>
        <w:t xml:space="preserve">; el propósito de esta actividad </w:t>
      </w:r>
      <w:r w:rsidR="000C44A8">
        <w:rPr>
          <w:lang w:val="es-ES_tradnl"/>
        </w:rPr>
        <w:t>era</w:t>
      </w:r>
      <w:r w:rsidR="007A152B" w:rsidRPr="002720D0">
        <w:rPr>
          <w:lang w:val="es-ES_tradnl"/>
        </w:rPr>
        <w:t xml:space="preserve"> mejorar la formación profesional de los jóvenes </w:t>
      </w:r>
      <w:r w:rsidR="00050326" w:rsidRPr="002720D0">
        <w:rPr>
          <w:lang w:val="es-ES_tradnl"/>
        </w:rPr>
        <w:t>para</w:t>
      </w:r>
      <w:r w:rsidR="007A152B" w:rsidRPr="002720D0">
        <w:rPr>
          <w:lang w:val="es-ES_tradnl"/>
        </w:rPr>
        <w:t xml:space="preserve"> que </w:t>
      </w:r>
      <w:r w:rsidR="000C44A8">
        <w:rPr>
          <w:lang w:val="es-ES_tradnl"/>
        </w:rPr>
        <w:t>pudieran</w:t>
      </w:r>
      <w:r w:rsidR="007A152B" w:rsidRPr="002720D0">
        <w:rPr>
          <w:lang w:val="es-ES_tradnl"/>
        </w:rPr>
        <w:t xml:space="preserve"> convertirse en trabajadores autónomos. Por el momento, existen tres centros de formación profesional con 449 alumnos matriculados (279 niños varones, 170 niñas). </w:t>
      </w:r>
    </w:p>
    <w:p w:rsidR="00151021" w:rsidRPr="002720D0" w:rsidRDefault="004F6364" w:rsidP="004F6364">
      <w:pPr>
        <w:pStyle w:val="SingleTxtG"/>
        <w:tabs>
          <w:tab w:val="left" w:pos="-360"/>
        </w:tabs>
        <w:rPr>
          <w:lang w:val="es-ES_tradnl"/>
        </w:rPr>
      </w:pPr>
      <w:r w:rsidRPr="002720D0">
        <w:rPr>
          <w:lang w:val="es-ES_tradnl"/>
        </w:rPr>
        <w:t>227.</w:t>
      </w:r>
      <w:r w:rsidRPr="002720D0">
        <w:rPr>
          <w:lang w:val="es-ES_tradnl"/>
        </w:rPr>
        <w:tab/>
      </w:r>
      <w:r w:rsidR="00157681" w:rsidRPr="002720D0">
        <w:rPr>
          <w:lang w:val="es-ES_tradnl"/>
        </w:rPr>
        <w:t>El Estado p</w:t>
      </w:r>
      <w:r w:rsidR="007A152B" w:rsidRPr="002720D0">
        <w:rPr>
          <w:lang w:val="es-ES_tradnl"/>
        </w:rPr>
        <w:t xml:space="preserve">arte ha logrado un incremento en el número de niños matriculados en la enseñanza </w:t>
      </w:r>
      <w:r w:rsidR="007A152B" w:rsidRPr="000C44A8">
        <w:rPr>
          <w:lang w:val="es-ES_tradnl"/>
        </w:rPr>
        <w:t>secu</w:t>
      </w:r>
      <w:r w:rsidR="00504CE5" w:rsidRPr="000C44A8">
        <w:rPr>
          <w:lang w:val="es-ES_tradnl"/>
        </w:rPr>
        <w:t>n</w:t>
      </w:r>
      <w:r w:rsidR="007A152B" w:rsidRPr="000C44A8">
        <w:rPr>
          <w:lang w:val="es-ES_tradnl"/>
        </w:rPr>
        <w:t xml:space="preserve">daria </w:t>
      </w:r>
      <w:r w:rsidR="00050326" w:rsidRPr="000C44A8">
        <w:rPr>
          <w:lang w:val="es-ES_tradnl"/>
        </w:rPr>
        <w:t>en</w:t>
      </w:r>
      <w:r w:rsidR="007A152B" w:rsidRPr="000C44A8">
        <w:rPr>
          <w:lang w:val="es-ES_tradnl"/>
        </w:rPr>
        <w:t xml:space="preserve"> el período comprendido entre 2007 y 2011, debido a la creación de centros comunitarios de enseñanza secundaria en el plano del distrito.</w:t>
      </w:r>
      <w:r w:rsidR="007A152B" w:rsidRPr="002720D0">
        <w:rPr>
          <w:lang w:val="es-ES_tradnl"/>
        </w:rPr>
        <w:t xml:space="preserve"> En el artículo 107 de la Ley del </w:t>
      </w:r>
      <w:r w:rsidR="00C04BD0" w:rsidRPr="002720D0">
        <w:rPr>
          <w:lang w:val="es-ES_tradnl"/>
        </w:rPr>
        <w:t xml:space="preserve">Niño </w:t>
      </w:r>
      <w:r w:rsidR="007A152B" w:rsidRPr="002720D0">
        <w:rPr>
          <w:lang w:val="es-ES_tradnl"/>
        </w:rPr>
        <w:t xml:space="preserve">de Zanzíbar se </w:t>
      </w:r>
      <w:r w:rsidR="00050326" w:rsidRPr="002720D0">
        <w:rPr>
          <w:lang w:val="es-ES_tradnl"/>
        </w:rPr>
        <w:t>dispone que, cuando ello redunde en su</w:t>
      </w:r>
      <w:r w:rsidR="007A152B" w:rsidRPr="002720D0">
        <w:rPr>
          <w:lang w:val="es-ES_tradnl"/>
        </w:rPr>
        <w:t xml:space="preserve"> in</w:t>
      </w:r>
      <w:r w:rsidR="00050326" w:rsidRPr="002720D0">
        <w:rPr>
          <w:lang w:val="es-ES_tradnl"/>
        </w:rPr>
        <w:t>terés superior</w:t>
      </w:r>
      <w:r w:rsidR="007A152B" w:rsidRPr="002720D0">
        <w:rPr>
          <w:lang w:val="es-ES_tradnl"/>
        </w:rPr>
        <w:t xml:space="preserve">, un niño de 16 años puede realizar prácticas </w:t>
      </w:r>
      <w:r w:rsidR="00050326" w:rsidRPr="002720D0">
        <w:rPr>
          <w:lang w:val="es-ES_tradnl"/>
        </w:rPr>
        <w:t>de</w:t>
      </w:r>
      <w:r w:rsidR="007A152B" w:rsidRPr="002720D0">
        <w:rPr>
          <w:lang w:val="es-ES_tradnl"/>
        </w:rPr>
        <w:t xml:space="preserve"> aprendiz</w:t>
      </w:r>
      <w:r w:rsidR="00050326" w:rsidRPr="002720D0">
        <w:rPr>
          <w:lang w:val="es-ES_tradnl"/>
        </w:rPr>
        <w:t>aje</w:t>
      </w:r>
      <w:r w:rsidR="007A152B" w:rsidRPr="002720D0">
        <w:rPr>
          <w:lang w:val="es-ES_tradnl"/>
        </w:rPr>
        <w:t xml:space="preserve"> en el conte</w:t>
      </w:r>
      <w:r w:rsidR="009D4B89" w:rsidRPr="002720D0">
        <w:rPr>
          <w:lang w:val="es-ES_tradnl"/>
        </w:rPr>
        <w:t>x</w:t>
      </w:r>
      <w:r w:rsidR="007A152B" w:rsidRPr="002720D0">
        <w:rPr>
          <w:lang w:val="es-ES_tradnl"/>
        </w:rPr>
        <w:t xml:space="preserve">to de la formación profesional, con arreglo a las disposiciones de la </w:t>
      </w:r>
      <w:r w:rsidR="00C1302C" w:rsidRPr="002720D0">
        <w:rPr>
          <w:lang w:val="es-ES_tradnl"/>
        </w:rPr>
        <w:t xml:space="preserve">Ley de Formación Profesional </w:t>
      </w:r>
      <w:r w:rsidR="00151021" w:rsidRPr="002720D0">
        <w:rPr>
          <w:lang w:val="es-ES_tradnl"/>
        </w:rPr>
        <w:t>(2006)</w:t>
      </w:r>
      <w:r w:rsidR="00151021" w:rsidRPr="002720D0">
        <w:rPr>
          <w:rStyle w:val="FootnoteReference"/>
          <w:lang w:val="es-ES_tradnl"/>
        </w:rPr>
        <w:footnoteReference w:id="97"/>
      </w:r>
      <w:r w:rsidR="00050326" w:rsidRPr="002720D0">
        <w:rPr>
          <w:lang w:val="es-ES_tradnl"/>
        </w:rPr>
        <w:t xml:space="preserve">. </w:t>
      </w:r>
      <w:r w:rsidR="00C1302C" w:rsidRPr="002720D0">
        <w:rPr>
          <w:lang w:val="es-ES_tradnl"/>
        </w:rPr>
        <w:t>En Tanzaní</w:t>
      </w:r>
      <w:r w:rsidR="00151021" w:rsidRPr="002720D0">
        <w:rPr>
          <w:lang w:val="es-ES_tradnl"/>
        </w:rPr>
        <w:t xml:space="preserve">a </w:t>
      </w:r>
      <w:r w:rsidR="00C1302C" w:rsidRPr="002720D0">
        <w:rPr>
          <w:lang w:val="es-ES_tradnl"/>
        </w:rPr>
        <w:t xml:space="preserve">continental, el derecho del niño a una formación profesional también queda recogido en la Ley de </w:t>
      </w:r>
      <w:r w:rsidR="00C04BD0" w:rsidRPr="002720D0">
        <w:rPr>
          <w:lang w:val="es-ES_tradnl"/>
        </w:rPr>
        <w:t xml:space="preserve">Formación </w:t>
      </w:r>
      <w:r w:rsidR="00C1302C" w:rsidRPr="002720D0">
        <w:rPr>
          <w:lang w:val="es-ES_tradnl"/>
        </w:rPr>
        <w:t xml:space="preserve">y </w:t>
      </w:r>
      <w:r w:rsidR="00C04BD0" w:rsidRPr="002720D0">
        <w:rPr>
          <w:lang w:val="es-ES_tradnl"/>
        </w:rPr>
        <w:t>Educación Profesional</w:t>
      </w:r>
      <w:r w:rsidR="00151021" w:rsidRPr="002720D0">
        <w:rPr>
          <w:rStyle w:val="FootnoteReference"/>
          <w:lang w:val="es-ES_tradnl"/>
        </w:rPr>
        <w:footnoteReference w:id="98"/>
      </w:r>
      <w:r w:rsidR="00151021" w:rsidRPr="002720D0">
        <w:rPr>
          <w:lang w:val="es-ES_tradnl"/>
        </w:rPr>
        <w:t xml:space="preserve"> </w:t>
      </w:r>
      <w:r w:rsidR="00C1302C" w:rsidRPr="002720D0">
        <w:rPr>
          <w:lang w:val="es-ES_tradnl"/>
        </w:rPr>
        <w:t xml:space="preserve">y en los términos del artículo 88 de la Ley de la </w:t>
      </w:r>
      <w:r w:rsidR="00C04BD0" w:rsidRPr="002720D0">
        <w:rPr>
          <w:lang w:val="es-ES_tradnl"/>
        </w:rPr>
        <w:t>Infancia</w:t>
      </w:r>
      <w:r w:rsidR="00C1302C" w:rsidRPr="002720D0">
        <w:rPr>
          <w:lang w:val="es-ES_tradnl"/>
        </w:rPr>
        <w:t>, que especifica una edad mínima para el aprendizaje, vinculada con los</w:t>
      </w:r>
      <w:r w:rsidR="00050326" w:rsidRPr="002720D0">
        <w:rPr>
          <w:lang w:val="es-ES_tradnl"/>
        </w:rPr>
        <w:t xml:space="preserve"> </w:t>
      </w:r>
      <w:r w:rsidR="00C1302C" w:rsidRPr="002720D0">
        <w:rPr>
          <w:lang w:val="es-ES_tradnl"/>
        </w:rPr>
        <w:t>14 años del niño</w:t>
      </w:r>
      <w:r w:rsidR="00151021" w:rsidRPr="002720D0">
        <w:rPr>
          <w:lang w:val="es-ES_tradnl"/>
        </w:rPr>
        <w:t xml:space="preserve"> </w:t>
      </w:r>
      <w:r w:rsidR="001D4BE1">
        <w:rPr>
          <w:lang w:val="es-ES_tradnl"/>
        </w:rPr>
        <w:t>o su terminación de la</w:t>
      </w:r>
      <w:r w:rsidR="00C1302C" w:rsidRPr="002720D0">
        <w:rPr>
          <w:lang w:val="es-ES_tradnl"/>
        </w:rPr>
        <w:t xml:space="preserve"> enseñanza</w:t>
      </w:r>
      <w:r w:rsidR="00157681" w:rsidRPr="002720D0">
        <w:rPr>
          <w:lang w:val="es-ES_tradnl"/>
        </w:rPr>
        <w:t xml:space="preserve"> primaria. Asimismo, el Estado p</w:t>
      </w:r>
      <w:r w:rsidR="00C1302C" w:rsidRPr="002720D0">
        <w:rPr>
          <w:lang w:val="es-ES_tradnl"/>
        </w:rPr>
        <w:t xml:space="preserve">arte ha creado un departamento dentro del Ministerio de Educación y Formación Profesional destinado a supervisar la formación profesional. Existen también </w:t>
      </w:r>
      <w:r w:rsidR="00050326" w:rsidRPr="002720D0">
        <w:rPr>
          <w:lang w:val="es-ES_tradnl"/>
        </w:rPr>
        <w:t>academias</w:t>
      </w:r>
      <w:r w:rsidR="00C1302C" w:rsidRPr="002720D0">
        <w:rPr>
          <w:lang w:val="es-ES_tradnl"/>
        </w:rPr>
        <w:t xml:space="preserve"> populares de desarrollo</w:t>
      </w:r>
      <w:r w:rsidR="00050326" w:rsidRPr="002720D0">
        <w:rPr>
          <w:lang w:val="es-ES_tradnl"/>
        </w:rPr>
        <w:t xml:space="preserve"> destinada</w:t>
      </w:r>
      <w:r w:rsidR="008F0AAC" w:rsidRPr="002720D0">
        <w:rPr>
          <w:lang w:val="es-ES_tradnl"/>
        </w:rPr>
        <w:t>s a estos fines</w:t>
      </w:r>
      <w:r w:rsidR="00C1302C" w:rsidRPr="002720D0">
        <w:rPr>
          <w:lang w:val="es-ES_tradnl"/>
        </w:rPr>
        <w:t xml:space="preserve">, que </w:t>
      </w:r>
      <w:r w:rsidR="00050326" w:rsidRPr="002720D0">
        <w:rPr>
          <w:lang w:val="es-ES_tradnl"/>
        </w:rPr>
        <w:t>están siendo reforzada</w:t>
      </w:r>
      <w:r w:rsidR="008F0AAC" w:rsidRPr="002720D0">
        <w:rPr>
          <w:lang w:val="es-ES_tradnl"/>
        </w:rPr>
        <w:t xml:space="preserve">s por </w:t>
      </w:r>
      <w:r w:rsidR="00C1302C" w:rsidRPr="002720D0">
        <w:rPr>
          <w:lang w:val="es-ES_tradnl"/>
        </w:rPr>
        <w:t>el Ministerio de Desarrollo Comunitario, de Asuntos de Género y del Niño</w:t>
      </w:r>
      <w:r w:rsidR="001D4BE1">
        <w:rPr>
          <w:lang w:val="es-ES_tradnl"/>
        </w:rPr>
        <w:t xml:space="preserve"> para los fines señalados</w:t>
      </w:r>
      <w:r w:rsidR="00151021" w:rsidRPr="002720D0">
        <w:rPr>
          <w:lang w:val="es-ES_tradnl"/>
        </w:rPr>
        <w:t>.</w:t>
      </w:r>
    </w:p>
    <w:p w:rsidR="00151021" w:rsidRPr="002720D0" w:rsidRDefault="00BB7FA7" w:rsidP="00586395">
      <w:pPr>
        <w:pStyle w:val="H23G"/>
        <w:outlineLvl w:val="0"/>
        <w:rPr>
          <w:lang w:val="es-ES_tradnl"/>
        </w:rPr>
      </w:pPr>
      <w:r w:rsidRPr="002720D0">
        <w:rPr>
          <w:lang w:val="es-ES_tradnl"/>
        </w:rPr>
        <w:tab/>
      </w:r>
      <w:r w:rsidR="00151021" w:rsidRPr="002720D0">
        <w:rPr>
          <w:lang w:val="es-ES_tradnl"/>
        </w:rPr>
        <w:t>c)</w:t>
      </w:r>
      <w:r w:rsidRPr="002720D0">
        <w:rPr>
          <w:lang w:val="es-ES_tradnl"/>
        </w:rPr>
        <w:tab/>
      </w:r>
      <w:r w:rsidR="008F0AAC" w:rsidRPr="002720D0">
        <w:rPr>
          <w:bCs/>
          <w:lang w:val="es-ES_tradnl"/>
        </w:rPr>
        <w:t xml:space="preserve">Reforma de la Ley de </w:t>
      </w:r>
      <w:r w:rsidR="00C04BD0" w:rsidRPr="002720D0">
        <w:rPr>
          <w:bCs/>
          <w:lang w:val="es-ES_tradnl"/>
        </w:rPr>
        <w:t xml:space="preserve">Educación </w:t>
      </w:r>
      <w:r w:rsidR="008F0AAC" w:rsidRPr="002720D0">
        <w:rPr>
          <w:bCs/>
          <w:lang w:val="es-ES_tradnl"/>
        </w:rPr>
        <w:t xml:space="preserve">en Tanzanía continental para que quede </w:t>
      </w:r>
      <w:r w:rsidR="00C04BD0">
        <w:rPr>
          <w:bCs/>
          <w:lang w:val="es-ES_tradnl"/>
        </w:rPr>
        <w:br/>
      </w:r>
      <w:r w:rsidR="008F0AAC" w:rsidRPr="002720D0">
        <w:rPr>
          <w:bCs/>
          <w:lang w:val="es-ES_tradnl"/>
        </w:rPr>
        <w:t>prohibido expulsar de las escuelas a las adolescentes que estén embarazadas</w:t>
      </w:r>
    </w:p>
    <w:p w:rsidR="00151021" w:rsidRPr="002720D0" w:rsidRDefault="004F6364" w:rsidP="004F6364">
      <w:pPr>
        <w:pStyle w:val="SingleTxtG"/>
        <w:tabs>
          <w:tab w:val="left" w:pos="-360"/>
        </w:tabs>
        <w:rPr>
          <w:lang w:val="es-ES_tradnl"/>
        </w:rPr>
      </w:pPr>
      <w:r w:rsidRPr="002720D0">
        <w:rPr>
          <w:lang w:val="es-ES_tradnl"/>
        </w:rPr>
        <w:t>228.</w:t>
      </w:r>
      <w:r w:rsidRPr="002720D0">
        <w:rPr>
          <w:lang w:val="es-ES_tradnl"/>
        </w:rPr>
        <w:tab/>
      </w:r>
      <w:r w:rsidR="008F0AAC" w:rsidRPr="002720D0">
        <w:rPr>
          <w:lang w:val="es-ES_tradnl"/>
        </w:rPr>
        <w:t xml:space="preserve">El Comité instó al Estado parte a que </w:t>
      </w:r>
      <w:r w:rsidR="008F0AAC" w:rsidRPr="002720D0">
        <w:rPr>
          <w:bCs/>
          <w:lang w:val="es-ES_tradnl"/>
        </w:rPr>
        <w:t xml:space="preserve">reformase la Ley de </w:t>
      </w:r>
      <w:r w:rsidR="00C04BD0" w:rsidRPr="002720D0">
        <w:rPr>
          <w:bCs/>
          <w:lang w:val="es-ES_tradnl"/>
        </w:rPr>
        <w:t xml:space="preserve">Educación </w:t>
      </w:r>
      <w:r w:rsidR="008F0AAC" w:rsidRPr="002720D0">
        <w:rPr>
          <w:bCs/>
          <w:lang w:val="es-ES_tradnl"/>
        </w:rPr>
        <w:t>en Tanzanía continental para que quedase prohibido expulsar de las escuelas a las adolescentes que estuvieran embarazadas</w:t>
      </w:r>
      <w:r w:rsidR="006D2FAC" w:rsidRPr="002720D0">
        <w:rPr>
          <w:lang w:val="es-ES_tradnl"/>
        </w:rPr>
        <w:t>. Si bien l</w:t>
      </w:r>
      <w:r w:rsidR="008F0AAC" w:rsidRPr="002720D0">
        <w:rPr>
          <w:lang w:val="es-ES_tradnl"/>
        </w:rPr>
        <w:t>a ley reformada aú</w:t>
      </w:r>
      <w:r w:rsidR="00762CBA" w:rsidRPr="002720D0">
        <w:rPr>
          <w:lang w:val="es-ES_tradnl"/>
        </w:rPr>
        <w:t>n no se ha promulgado, el E</w:t>
      </w:r>
      <w:r w:rsidR="008F0AAC" w:rsidRPr="002720D0">
        <w:rPr>
          <w:lang w:val="es-ES_tradnl"/>
        </w:rPr>
        <w:t>sta</w:t>
      </w:r>
      <w:r w:rsidR="00157681" w:rsidRPr="002720D0">
        <w:rPr>
          <w:lang w:val="es-ES_tradnl"/>
        </w:rPr>
        <w:t>do p</w:t>
      </w:r>
      <w:r w:rsidR="008F0AAC" w:rsidRPr="002720D0">
        <w:rPr>
          <w:lang w:val="es-ES_tradnl"/>
        </w:rPr>
        <w:t xml:space="preserve">arte </w:t>
      </w:r>
      <w:r w:rsidR="006D2FAC" w:rsidRPr="002720D0">
        <w:rPr>
          <w:lang w:val="es-ES_tradnl"/>
        </w:rPr>
        <w:t>ha emprendi</w:t>
      </w:r>
      <w:r w:rsidR="00762CBA" w:rsidRPr="002720D0">
        <w:rPr>
          <w:lang w:val="es-ES_tradnl"/>
        </w:rPr>
        <w:t xml:space="preserve">do diversas medidas, entre ellas la de permitir a las alumnas asistir a la escuela mediante otro programa, conocido como </w:t>
      </w:r>
      <w:r w:rsidR="006D2FAC" w:rsidRPr="002720D0">
        <w:rPr>
          <w:lang w:val="es-ES_tradnl"/>
        </w:rPr>
        <w:t>Enseñanza Básica Complementaria</w:t>
      </w:r>
      <w:r w:rsidR="00762CBA" w:rsidRPr="002720D0">
        <w:rPr>
          <w:lang w:val="es-ES_tradnl"/>
        </w:rPr>
        <w:t xml:space="preserve"> en el caso de las niñas en la escuela primaria, así como mediante la enseñanza secundaria complementaria. Estos programas permiten que los niños concluyan sus estudios primarios y secun</w:t>
      </w:r>
      <w:r w:rsidR="00157681" w:rsidRPr="002720D0">
        <w:rPr>
          <w:lang w:val="es-ES_tradnl"/>
        </w:rPr>
        <w:t>darios. No obstante, el Estado p</w:t>
      </w:r>
      <w:r w:rsidR="00762CBA" w:rsidRPr="002720D0">
        <w:rPr>
          <w:lang w:val="es-ES_tradnl"/>
        </w:rPr>
        <w:t xml:space="preserve">arte sigue debatiendo la mejor forma de revisar esta política y de promulgar una ley que </w:t>
      </w:r>
      <w:r w:rsidR="006D2FAC" w:rsidRPr="002720D0">
        <w:rPr>
          <w:lang w:val="es-ES_tradnl"/>
        </w:rPr>
        <w:t>haga posible que</w:t>
      </w:r>
      <w:r w:rsidR="00762CBA" w:rsidRPr="002720D0">
        <w:rPr>
          <w:lang w:val="es-ES_tradnl"/>
        </w:rPr>
        <w:t xml:space="preserve"> las adolescentes que </w:t>
      </w:r>
      <w:r w:rsidR="006D2FAC" w:rsidRPr="002720D0">
        <w:rPr>
          <w:lang w:val="es-ES_tradnl"/>
        </w:rPr>
        <w:t>queden</w:t>
      </w:r>
      <w:r w:rsidR="00762CBA" w:rsidRPr="002720D0">
        <w:rPr>
          <w:lang w:val="es-ES_tradnl"/>
        </w:rPr>
        <w:t xml:space="preserve"> embarazadas reg</w:t>
      </w:r>
      <w:r w:rsidR="006D2FAC" w:rsidRPr="002720D0">
        <w:rPr>
          <w:lang w:val="es-ES_tradnl"/>
        </w:rPr>
        <w:t>resen</w:t>
      </w:r>
      <w:r w:rsidR="00762CBA" w:rsidRPr="002720D0">
        <w:rPr>
          <w:lang w:val="es-ES_tradnl"/>
        </w:rPr>
        <w:t xml:space="preserve"> a la escuela después del parto.</w:t>
      </w:r>
    </w:p>
    <w:p w:rsidR="00151021" w:rsidRPr="002720D0" w:rsidRDefault="004F6364" w:rsidP="004F6364">
      <w:pPr>
        <w:pStyle w:val="SingleTxtG"/>
        <w:tabs>
          <w:tab w:val="left" w:pos="-360"/>
        </w:tabs>
        <w:rPr>
          <w:lang w:val="es-ES_tradnl"/>
        </w:rPr>
      </w:pPr>
      <w:r w:rsidRPr="002720D0">
        <w:rPr>
          <w:lang w:val="es-ES_tradnl"/>
        </w:rPr>
        <w:t>229.</w:t>
      </w:r>
      <w:r w:rsidRPr="002720D0">
        <w:rPr>
          <w:lang w:val="es-ES_tradnl"/>
        </w:rPr>
        <w:tab/>
      </w:r>
      <w:r w:rsidR="00151021" w:rsidRPr="002720D0">
        <w:rPr>
          <w:lang w:val="es-ES_tradnl"/>
        </w:rPr>
        <w:t>M</w:t>
      </w:r>
      <w:r w:rsidR="00762CBA" w:rsidRPr="002720D0">
        <w:rPr>
          <w:lang w:val="es-ES_tradnl"/>
        </w:rPr>
        <w:t>ientras tanto, en el contexto de la a</w:t>
      </w:r>
      <w:r w:rsidR="00504CE5" w:rsidRPr="002720D0">
        <w:rPr>
          <w:lang w:val="es-ES_tradnl"/>
        </w:rPr>
        <w:t>m</w:t>
      </w:r>
      <w:r w:rsidR="00762CBA" w:rsidRPr="002720D0">
        <w:rPr>
          <w:lang w:val="es-ES_tradnl"/>
        </w:rPr>
        <w:t>pliación de la protección de este grupo específico el Estado ha elaborado directrices na</w:t>
      </w:r>
      <w:r w:rsidR="006D2FAC" w:rsidRPr="002720D0">
        <w:rPr>
          <w:lang w:val="es-ES_tradnl"/>
        </w:rPr>
        <w:t>cionales destinadas a permitir que</w:t>
      </w:r>
      <w:r w:rsidR="00762CBA" w:rsidRPr="002720D0">
        <w:rPr>
          <w:lang w:val="es-ES_tradnl"/>
        </w:rPr>
        <w:t xml:space="preserve"> la</w:t>
      </w:r>
      <w:r w:rsidR="006D2FAC" w:rsidRPr="002720D0">
        <w:rPr>
          <w:lang w:val="es-ES_tradnl"/>
        </w:rPr>
        <w:t>s</w:t>
      </w:r>
      <w:r w:rsidR="00762CBA" w:rsidRPr="002720D0">
        <w:rPr>
          <w:lang w:val="es-ES_tradnl"/>
        </w:rPr>
        <w:t xml:space="preserve"> adolescentes embarazadas continúen su educación después del parto. Estas directrices se </w:t>
      </w:r>
      <w:r w:rsidR="006D2FAC" w:rsidRPr="002720D0">
        <w:rPr>
          <w:lang w:val="es-ES_tradnl"/>
        </w:rPr>
        <w:t>aplicarán</w:t>
      </w:r>
      <w:r w:rsidR="00762CBA" w:rsidRPr="002720D0">
        <w:rPr>
          <w:lang w:val="es-ES_tradnl"/>
        </w:rPr>
        <w:t xml:space="preserve"> una vez </w:t>
      </w:r>
      <w:r w:rsidR="006D2FAC" w:rsidRPr="002720D0">
        <w:rPr>
          <w:lang w:val="es-ES_tradnl"/>
        </w:rPr>
        <w:t>quede</w:t>
      </w:r>
      <w:r w:rsidR="00762CBA" w:rsidRPr="002720D0">
        <w:rPr>
          <w:lang w:val="es-ES_tradnl"/>
        </w:rPr>
        <w:t xml:space="preserve"> aprobada la política de educación y formación profesional que se está estudiando en la actualidad. En el contexto admini</w:t>
      </w:r>
      <w:r w:rsidR="00157681" w:rsidRPr="002720D0">
        <w:rPr>
          <w:lang w:val="es-ES_tradnl"/>
        </w:rPr>
        <w:t>strativo, desde 2009 el Estado p</w:t>
      </w:r>
      <w:r w:rsidR="00762CBA" w:rsidRPr="002720D0">
        <w:rPr>
          <w:lang w:val="es-ES_tradnl"/>
        </w:rPr>
        <w:t xml:space="preserve">arte ha permitido que las alumnas de escuela primaria que </w:t>
      </w:r>
      <w:r w:rsidR="006D2FAC" w:rsidRPr="002720D0">
        <w:rPr>
          <w:lang w:val="es-ES_tradnl"/>
        </w:rPr>
        <w:t>quedaran</w:t>
      </w:r>
      <w:r w:rsidR="00762CBA" w:rsidRPr="002720D0">
        <w:rPr>
          <w:lang w:val="es-ES_tradnl"/>
        </w:rPr>
        <w:t xml:space="preserve"> embarazadas se presentaran a su último examen, correspondiente al curso séptimo</w:t>
      </w:r>
      <w:r w:rsidR="00852772" w:rsidRPr="002720D0">
        <w:rPr>
          <w:lang w:val="es-ES_tradnl"/>
        </w:rPr>
        <w:t xml:space="preserve"> de primaria</w:t>
      </w:r>
      <w:r w:rsidR="00762CBA" w:rsidRPr="002720D0">
        <w:rPr>
          <w:lang w:val="es-ES_tradnl"/>
        </w:rPr>
        <w:t>. Esta medida provisional se aplica hasta tanto se aprueben las directrices.</w:t>
      </w:r>
    </w:p>
    <w:p w:rsidR="00151021" w:rsidRPr="002720D0" w:rsidRDefault="00BB7FA7" w:rsidP="00586395">
      <w:pPr>
        <w:pStyle w:val="H23G"/>
        <w:outlineLvl w:val="0"/>
        <w:rPr>
          <w:lang w:val="es-ES_tradnl"/>
        </w:rPr>
      </w:pPr>
      <w:r w:rsidRPr="002720D0">
        <w:rPr>
          <w:lang w:val="es-ES_tradnl"/>
        </w:rPr>
        <w:tab/>
      </w:r>
      <w:r w:rsidR="00151021" w:rsidRPr="002720D0">
        <w:rPr>
          <w:lang w:val="es-ES_tradnl"/>
        </w:rPr>
        <w:t>d)</w:t>
      </w:r>
      <w:r w:rsidRPr="002720D0">
        <w:rPr>
          <w:lang w:val="es-ES_tradnl"/>
        </w:rPr>
        <w:tab/>
      </w:r>
      <w:r w:rsidR="007B2AB5" w:rsidRPr="002720D0">
        <w:rPr>
          <w:bCs/>
          <w:lang w:val="es-ES_tradnl"/>
        </w:rPr>
        <w:t xml:space="preserve">Programas en </w:t>
      </w:r>
      <w:r w:rsidR="00852772" w:rsidRPr="002720D0">
        <w:rPr>
          <w:bCs/>
          <w:lang w:val="es-ES_tradnl"/>
        </w:rPr>
        <w:t xml:space="preserve">los </w:t>
      </w:r>
      <w:r w:rsidR="007B2AB5" w:rsidRPr="002720D0">
        <w:rPr>
          <w:bCs/>
          <w:lang w:val="es-ES_tradnl"/>
        </w:rPr>
        <w:t>que se estudia y se aprende a ganarse la vida</w:t>
      </w:r>
    </w:p>
    <w:p w:rsidR="00151021" w:rsidRPr="002720D0" w:rsidRDefault="004F6364" w:rsidP="004F6364">
      <w:pPr>
        <w:pStyle w:val="SingleTxtG"/>
        <w:tabs>
          <w:tab w:val="left" w:pos="-360"/>
        </w:tabs>
        <w:rPr>
          <w:lang w:val="es-ES_tradnl"/>
        </w:rPr>
      </w:pPr>
      <w:r w:rsidRPr="002720D0">
        <w:rPr>
          <w:lang w:val="es-ES_tradnl"/>
        </w:rPr>
        <w:t>230.</w:t>
      </w:r>
      <w:r w:rsidRPr="002720D0">
        <w:rPr>
          <w:lang w:val="es-ES_tradnl"/>
        </w:rPr>
        <w:tab/>
      </w:r>
      <w:r w:rsidR="00157681" w:rsidRPr="002720D0">
        <w:rPr>
          <w:lang w:val="es-ES_tradnl"/>
        </w:rPr>
        <w:t>El Estado p</w:t>
      </w:r>
      <w:r w:rsidR="007B2AB5" w:rsidRPr="002720D0">
        <w:rPr>
          <w:lang w:val="es-ES_tradnl"/>
        </w:rPr>
        <w:t xml:space="preserve">arte está dando inicio a los preparativos para un marco de competencias vitales destinado a la escuela primaria y secundaria y a </w:t>
      </w:r>
      <w:r w:rsidR="004151DB" w:rsidRPr="002720D0">
        <w:rPr>
          <w:lang w:val="es-ES_tradnl"/>
        </w:rPr>
        <w:t>las escuelas superiores de magisterio</w:t>
      </w:r>
      <w:r w:rsidR="007B2AB5" w:rsidRPr="002720D0">
        <w:rPr>
          <w:lang w:val="es-ES_tradnl"/>
        </w:rPr>
        <w:t>.</w:t>
      </w:r>
      <w:r w:rsidR="001D2A53">
        <w:rPr>
          <w:lang w:val="es-ES_tradnl"/>
        </w:rPr>
        <w:t xml:space="preserve"> </w:t>
      </w:r>
    </w:p>
    <w:p w:rsidR="00151021" w:rsidRPr="002720D0" w:rsidRDefault="00BB7FA7" w:rsidP="00586395">
      <w:pPr>
        <w:pStyle w:val="H23G"/>
        <w:outlineLvl w:val="0"/>
        <w:rPr>
          <w:lang w:val="es-ES_tradnl"/>
        </w:rPr>
      </w:pPr>
      <w:r w:rsidRPr="002720D0">
        <w:rPr>
          <w:lang w:val="es-ES_tradnl"/>
        </w:rPr>
        <w:tab/>
      </w:r>
      <w:r w:rsidR="00151021" w:rsidRPr="002720D0">
        <w:rPr>
          <w:lang w:val="es-ES_tradnl"/>
        </w:rPr>
        <w:t>e)</w:t>
      </w:r>
      <w:r w:rsidRPr="002720D0">
        <w:rPr>
          <w:lang w:val="es-ES_tradnl"/>
        </w:rPr>
        <w:tab/>
      </w:r>
      <w:r w:rsidR="007B2AB5" w:rsidRPr="002720D0">
        <w:rPr>
          <w:lang w:val="es-ES_tradnl"/>
        </w:rPr>
        <w:t>Debida formación</w:t>
      </w:r>
      <w:r w:rsidR="006340C3">
        <w:rPr>
          <w:lang w:val="es-ES_tradnl"/>
        </w:rPr>
        <w:t xml:space="preserve"> y remuneración de los docentes</w:t>
      </w:r>
    </w:p>
    <w:p w:rsidR="00151021" w:rsidRPr="002720D0" w:rsidRDefault="004F6364" w:rsidP="004F6364">
      <w:pPr>
        <w:pStyle w:val="SingleTxtG"/>
        <w:tabs>
          <w:tab w:val="left" w:pos="-360"/>
        </w:tabs>
        <w:rPr>
          <w:lang w:val="es-ES_tradnl"/>
        </w:rPr>
      </w:pPr>
      <w:r w:rsidRPr="002720D0">
        <w:rPr>
          <w:lang w:val="es-ES_tradnl"/>
        </w:rPr>
        <w:t>231.</w:t>
      </w:r>
      <w:r w:rsidRPr="002720D0">
        <w:rPr>
          <w:lang w:val="es-ES_tradnl"/>
        </w:rPr>
        <w:tab/>
      </w:r>
      <w:r w:rsidR="007B2AB5" w:rsidRPr="002720D0">
        <w:rPr>
          <w:lang w:val="es-ES_tradnl"/>
        </w:rPr>
        <w:t>El Est</w:t>
      </w:r>
      <w:r w:rsidR="00157681" w:rsidRPr="002720D0">
        <w:rPr>
          <w:lang w:val="es-ES_tradnl"/>
        </w:rPr>
        <w:t>ado p</w:t>
      </w:r>
      <w:r w:rsidR="007B2AB5" w:rsidRPr="002720D0">
        <w:rPr>
          <w:lang w:val="es-ES_tradnl"/>
        </w:rPr>
        <w:t xml:space="preserve">arte ha </w:t>
      </w:r>
      <w:r w:rsidR="00852772" w:rsidRPr="002720D0">
        <w:rPr>
          <w:lang w:val="es-ES_tradnl"/>
        </w:rPr>
        <w:t xml:space="preserve">venido </w:t>
      </w:r>
      <w:r w:rsidR="007B2AB5" w:rsidRPr="002720D0">
        <w:rPr>
          <w:lang w:val="es-ES_tradnl"/>
        </w:rPr>
        <w:t>aumenta</w:t>
      </w:r>
      <w:r w:rsidR="00852772" w:rsidRPr="002720D0">
        <w:rPr>
          <w:lang w:val="es-ES_tradnl"/>
        </w:rPr>
        <w:t>n</w:t>
      </w:r>
      <w:r w:rsidR="007B2AB5" w:rsidRPr="002720D0">
        <w:rPr>
          <w:lang w:val="es-ES_tradnl"/>
        </w:rPr>
        <w:t>do la remuneración de los docentes anualmente desde 2006 hasta 2011, si bien este aumento está vinculado a la situación</w:t>
      </w:r>
      <w:r w:rsidR="00157681" w:rsidRPr="002720D0">
        <w:rPr>
          <w:lang w:val="es-ES_tradnl"/>
        </w:rPr>
        <w:t xml:space="preserve"> económica del país. El Estado p</w:t>
      </w:r>
      <w:r w:rsidR="007B2AB5" w:rsidRPr="002720D0">
        <w:rPr>
          <w:lang w:val="es-ES_tradnl"/>
        </w:rPr>
        <w:t xml:space="preserve">arte </w:t>
      </w:r>
      <w:r w:rsidR="00157681" w:rsidRPr="002720D0">
        <w:rPr>
          <w:lang w:val="es-ES_tradnl"/>
        </w:rPr>
        <w:t>dedica</w:t>
      </w:r>
      <w:r w:rsidR="007B2AB5" w:rsidRPr="002720D0">
        <w:rPr>
          <w:lang w:val="es-ES_tradnl"/>
        </w:rPr>
        <w:t xml:space="preserve"> esfuerzos adicionales a las instalaciones de enseñanza y la educación para los grupos vulnerables, comprendidos los niños de la calle, los huérfanos</w:t>
      </w:r>
      <w:r w:rsidR="003F6C96" w:rsidRPr="002720D0">
        <w:rPr>
          <w:lang w:val="es-ES_tradnl"/>
        </w:rPr>
        <w:t>, los niños</w:t>
      </w:r>
      <w:r w:rsidR="007B2AB5" w:rsidRPr="002720D0">
        <w:rPr>
          <w:lang w:val="es-ES_tradnl"/>
        </w:rPr>
        <w:t xml:space="preserve"> con discap</w:t>
      </w:r>
      <w:r w:rsidR="003F6C96" w:rsidRPr="002720D0">
        <w:rPr>
          <w:lang w:val="es-ES_tradnl"/>
        </w:rPr>
        <w:t>acidad o</w:t>
      </w:r>
      <w:r w:rsidR="007B2AB5" w:rsidRPr="002720D0">
        <w:rPr>
          <w:lang w:val="es-ES_tradnl"/>
        </w:rPr>
        <w:t xml:space="preserve"> los niños </w:t>
      </w:r>
      <w:r w:rsidR="003F6C96" w:rsidRPr="002720D0">
        <w:rPr>
          <w:lang w:val="es-ES_tradnl"/>
        </w:rPr>
        <w:t>que trabajan</w:t>
      </w:r>
      <w:r w:rsidR="007B2AB5" w:rsidRPr="002720D0">
        <w:rPr>
          <w:lang w:val="es-ES_tradnl"/>
        </w:rPr>
        <w:t xml:space="preserve">, </w:t>
      </w:r>
      <w:r w:rsidR="006F03E1" w:rsidRPr="002720D0">
        <w:rPr>
          <w:lang w:val="es-ES_tradnl"/>
        </w:rPr>
        <w:t xml:space="preserve">aplicando la estrategia de la educación de adultos y la enseñanza extraescolar, cuyo objetivo general consiste en velar por que los grupos desfavorecidos tengan acceso a </w:t>
      </w:r>
      <w:r w:rsidR="00852772" w:rsidRPr="002720D0">
        <w:rPr>
          <w:lang w:val="es-ES_tradnl"/>
        </w:rPr>
        <w:t xml:space="preserve">unas </w:t>
      </w:r>
      <w:r w:rsidR="006F03E1" w:rsidRPr="002720D0">
        <w:rPr>
          <w:lang w:val="es-ES_tradnl"/>
        </w:rPr>
        <w:t xml:space="preserve">oportunidades de educación de calidad, con </w:t>
      </w:r>
      <w:r w:rsidR="00852772" w:rsidRPr="002720D0">
        <w:rPr>
          <w:lang w:val="es-ES_tradnl"/>
        </w:rPr>
        <w:t>miras</w:t>
      </w:r>
      <w:r w:rsidR="006F03E1" w:rsidRPr="002720D0">
        <w:rPr>
          <w:lang w:val="es-ES_tradnl"/>
        </w:rPr>
        <w:t xml:space="preserve"> a mejorar la tasa de alfabetización en un 20%. Esta </w:t>
      </w:r>
      <w:r w:rsidR="00852772" w:rsidRPr="002720D0">
        <w:rPr>
          <w:lang w:val="es-ES_tradnl"/>
        </w:rPr>
        <w:t xml:space="preserve">es una </w:t>
      </w:r>
      <w:r w:rsidR="006F03E1" w:rsidRPr="002720D0">
        <w:rPr>
          <w:lang w:val="es-ES_tradnl"/>
        </w:rPr>
        <w:t xml:space="preserve">estrategia transversal </w:t>
      </w:r>
      <w:r w:rsidR="00852772" w:rsidRPr="002720D0">
        <w:rPr>
          <w:lang w:val="es-ES_tradnl"/>
        </w:rPr>
        <w:t xml:space="preserve">que </w:t>
      </w:r>
      <w:r w:rsidR="006F03E1" w:rsidRPr="002720D0">
        <w:rPr>
          <w:lang w:val="es-ES_tradnl"/>
        </w:rPr>
        <w:t xml:space="preserve">se aplica en el plano municipal. </w:t>
      </w:r>
    </w:p>
    <w:p w:rsidR="00151021" w:rsidRPr="002720D0" w:rsidRDefault="00BB7FA7" w:rsidP="00586395">
      <w:pPr>
        <w:pStyle w:val="H23G"/>
        <w:outlineLvl w:val="0"/>
        <w:rPr>
          <w:lang w:val="es-ES_tradnl"/>
        </w:rPr>
      </w:pPr>
      <w:r w:rsidRPr="002720D0">
        <w:rPr>
          <w:lang w:val="es-ES_tradnl"/>
        </w:rPr>
        <w:tab/>
      </w:r>
      <w:r w:rsidR="00151021" w:rsidRPr="002720D0">
        <w:rPr>
          <w:lang w:val="es-ES_tradnl"/>
        </w:rPr>
        <w:t>f)</w:t>
      </w:r>
      <w:r w:rsidRPr="002720D0">
        <w:rPr>
          <w:lang w:val="es-ES_tradnl"/>
        </w:rPr>
        <w:tab/>
      </w:r>
      <w:r w:rsidR="004151DB" w:rsidRPr="002720D0">
        <w:rPr>
          <w:lang w:val="es-ES_tradnl"/>
        </w:rPr>
        <w:t>El</w:t>
      </w:r>
      <w:r w:rsidR="003F6C96" w:rsidRPr="002720D0">
        <w:rPr>
          <w:b w:val="0"/>
          <w:bCs/>
          <w:lang w:val="es-ES_tradnl"/>
        </w:rPr>
        <w:t xml:space="preserve"> </w:t>
      </w:r>
      <w:r w:rsidR="003F6C96" w:rsidRPr="002720D0">
        <w:rPr>
          <w:bCs/>
          <w:lang w:val="es-ES_tradnl"/>
        </w:rPr>
        <w:t xml:space="preserve">estudio de los derechos humanos </w:t>
      </w:r>
      <w:r w:rsidR="004151DB" w:rsidRPr="002720D0">
        <w:rPr>
          <w:bCs/>
          <w:lang w:val="es-ES_tradnl"/>
        </w:rPr>
        <w:t>como parte</w:t>
      </w:r>
      <w:r w:rsidR="003F6C96" w:rsidRPr="002720D0">
        <w:rPr>
          <w:bCs/>
          <w:lang w:val="es-ES_tradnl"/>
        </w:rPr>
        <w:t xml:space="preserve"> </w:t>
      </w:r>
      <w:r w:rsidR="004151DB" w:rsidRPr="002720D0">
        <w:rPr>
          <w:bCs/>
          <w:lang w:val="es-ES_tradnl"/>
        </w:rPr>
        <w:t>d</w:t>
      </w:r>
      <w:r w:rsidR="003F6C96" w:rsidRPr="002720D0">
        <w:rPr>
          <w:bCs/>
          <w:lang w:val="es-ES_tradnl"/>
        </w:rPr>
        <w:t>el currículo</w:t>
      </w:r>
    </w:p>
    <w:p w:rsidR="00151021" w:rsidRPr="002720D0" w:rsidRDefault="004F6364" w:rsidP="004F6364">
      <w:pPr>
        <w:pStyle w:val="SingleTxtG"/>
        <w:tabs>
          <w:tab w:val="left" w:pos="-360"/>
        </w:tabs>
        <w:rPr>
          <w:lang w:val="es-ES_tradnl"/>
        </w:rPr>
      </w:pPr>
      <w:r w:rsidRPr="002720D0">
        <w:rPr>
          <w:lang w:val="es-ES_tradnl"/>
        </w:rPr>
        <w:t>232.</w:t>
      </w:r>
      <w:r w:rsidRPr="002720D0">
        <w:rPr>
          <w:lang w:val="es-ES_tradnl"/>
        </w:rPr>
        <w:tab/>
      </w:r>
      <w:r w:rsidR="00157681" w:rsidRPr="002720D0">
        <w:rPr>
          <w:lang w:val="es-ES_tradnl"/>
        </w:rPr>
        <w:t>El Estado p</w:t>
      </w:r>
      <w:r w:rsidR="00ED1AFD">
        <w:rPr>
          <w:lang w:val="es-ES_tradnl"/>
        </w:rPr>
        <w:t>arte ha procurado que se</w:t>
      </w:r>
      <w:r w:rsidR="004151DB" w:rsidRPr="002720D0">
        <w:rPr>
          <w:lang w:val="es-ES_tradnl"/>
        </w:rPr>
        <w:t xml:space="preserve"> incluya el estudio de los derechos humanos en el currículo correspondiente a los ciclos preescolar y primario, la </w:t>
      </w:r>
      <w:r w:rsidR="00ED1AFD">
        <w:rPr>
          <w:lang w:val="es-ES_tradnl"/>
        </w:rPr>
        <w:t>enseñanza</w:t>
      </w:r>
      <w:r w:rsidR="004151DB" w:rsidRPr="002720D0">
        <w:rPr>
          <w:lang w:val="es-ES_tradnl"/>
        </w:rPr>
        <w:t xml:space="preserve"> secundaria y las escuelas superiores de magisterio, en las asignat</w:t>
      </w:r>
      <w:r w:rsidR="002720D0">
        <w:rPr>
          <w:lang w:val="es-ES_tradnl"/>
        </w:rPr>
        <w:t>uras de educación cívica así</w:t>
      </w:r>
      <w:r w:rsidR="004151DB" w:rsidRPr="002720D0">
        <w:rPr>
          <w:lang w:val="es-ES_tradnl"/>
        </w:rPr>
        <w:t xml:space="preserve"> como en las asign</w:t>
      </w:r>
      <w:r w:rsidR="00AC095C" w:rsidRPr="002720D0">
        <w:rPr>
          <w:lang w:val="es-ES_tradnl"/>
        </w:rPr>
        <w:t>aturas generales y de estudios sobre el desarrollo. Asimismo, se ha elaborado el currículo correspondiente a los derechos del niño para profesionales, lanzado en 2010 en el contexto del esparcimiento, la recreación y las actividades culturales. Por aña</w:t>
      </w:r>
      <w:r w:rsidR="00852772" w:rsidRPr="002720D0">
        <w:rPr>
          <w:lang w:val="es-ES_tradnl"/>
        </w:rPr>
        <w:t>didura, el Estado p</w:t>
      </w:r>
      <w:r w:rsidR="00AC095C" w:rsidRPr="002720D0">
        <w:rPr>
          <w:lang w:val="es-ES_tradnl"/>
        </w:rPr>
        <w:t>arte ha incorporado el estudio de los derechos humanos en sus centros de desarrollo comunitario y academias populares de todo el país.</w:t>
      </w:r>
      <w:r w:rsidR="001D2A53">
        <w:rPr>
          <w:lang w:val="es-ES_tradnl"/>
        </w:rPr>
        <w:t xml:space="preserve"> </w:t>
      </w:r>
    </w:p>
    <w:p w:rsidR="00151021" w:rsidRPr="002720D0" w:rsidRDefault="00BB7FA7" w:rsidP="00586395">
      <w:pPr>
        <w:pStyle w:val="H23G"/>
        <w:outlineLvl w:val="0"/>
        <w:rPr>
          <w:lang w:val="es-ES_tradnl"/>
        </w:rPr>
      </w:pPr>
      <w:r w:rsidRPr="002720D0">
        <w:rPr>
          <w:lang w:val="es-ES_tradnl"/>
        </w:rPr>
        <w:tab/>
      </w:r>
      <w:r w:rsidR="004E5B3D" w:rsidRPr="002720D0">
        <w:rPr>
          <w:lang w:val="es-ES_tradnl"/>
        </w:rPr>
        <w:t>g</w:t>
      </w:r>
      <w:r w:rsidR="00151021" w:rsidRPr="002720D0">
        <w:rPr>
          <w:lang w:val="es-ES_tradnl"/>
        </w:rPr>
        <w:t>)</w:t>
      </w:r>
      <w:r w:rsidRPr="002720D0">
        <w:rPr>
          <w:lang w:val="es-ES_tradnl"/>
        </w:rPr>
        <w:tab/>
      </w:r>
      <w:r w:rsidR="00AC095C" w:rsidRPr="002720D0">
        <w:rPr>
          <w:lang w:val="es-ES_tradnl"/>
        </w:rPr>
        <w:t>Aprendizaje alt</w:t>
      </w:r>
      <w:r w:rsidR="006340C3">
        <w:rPr>
          <w:lang w:val="es-ES_tradnl"/>
        </w:rPr>
        <w:t>ernativo y educación de adultos</w:t>
      </w:r>
    </w:p>
    <w:p w:rsidR="00151021" w:rsidRPr="00D129D6" w:rsidRDefault="004F6364" w:rsidP="004F6364">
      <w:pPr>
        <w:pStyle w:val="SingleTxtG"/>
        <w:tabs>
          <w:tab w:val="left" w:pos="-360"/>
        </w:tabs>
        <w:rPr>
          <w:lang w:val="es-ES_tradnl"/>
        </w:rPr>
      </w:pPr>
      <w:r w:rsidRPr="00D129D6">
        <w:rPr>
          <w:lang w:val="es-ES_tradnl"/>
        </w:rPr>
        <w:t>233.</w:t>
      </w:r>
      <w:r w:rsidRPr="00D129D6">
        <w:rPr>
          <w:lang w:val="es-ES_tradnl"/>
        </w:rPr>
        <w:tab/>
      </w:r>
      <w:r w:rsidR="00AC095C" w:rsidRPr="002720D0">
        <w:rPr>
          <w:lang w:val="es-ES_tradnl"/>
        </w:rPr>
        <w:t>E</w:t>
      </w:r>
      <w:r w:rsidR="00852772" w:rsidRPr="002720D0">
        <w:rPr>
          <w:lang w:val="es-ES_tradnl"/>
        </w:rPr>
        <w:t>n 2006</w:t>
      </w:r>
      <w:r w:rsidR="00151021" w:rsidRPr="002720D0">
        <w:rPr>
          <w:lang w:val="es-ES_tradnl"/>
        </w:rPr>
        <w:t xml:space="preserve"> </w:t>
      </w:r>
      <w:r w:rsidR="00852772" w:rsidRPr="002720D0">
        <w:rPr>
          <w:lang w:val="es-ES_tradnl"/>
        </w:rPr>
        <w:t>el Estado p</w:t>
      </w:r>
      <w:r w:rsidR="00AC095C" w:rsidRPr="002720D0">
        <w:rPr>
          <w:lang w:val="es-ES_tradnl"/>
        </w:rPr>
        <w:t xml:space="preserve">arte, por conducto del Ministerio de Educación y Formación Profesional, estableció el Departamento de Aprendizaje Alternativo y Educación de Adultos en Zanzíbar. La implantación del aprendizaje alternativo </w:t>
      </w:r>
      <w:r w:rsidR="00852772" w:rsidRPr="002720D0">
        <w:rPr>
          <w:lang w:val="es-ES_tradnl"/>
        </w:rPr>
        <w:t>tiene el objetivo de</w:t>
      </w:r>
      <w:r w:rsidR="00AC095C" w:rsidRPr="002720D0">
        <w:rPr>
          <w:lang w:val="es-ES_tradnl"/>
        </w:rPr>
        <w:t xml:space="preserve"> </w:t>
      </w:r>
      <w:r w:rsidR="00786C54" w:rsidRPr="002720D0">
        <w:rPr>
          <w:lang w:val="es-ES_tradnl"/>
        </w:rPr>
        <w:t xml:space="preserve">brindar una oportunidad </w:t>
      </w:r>
      <w:r w:rsidR="00852772" w:rsidRPr="002720D0">
        <w:rPr>
          <w:lang w:val="es-ES_tradnl"/>
        </w:rPr>
        <w:t>a</w:t>
      </w:r>
      <w:r w:rsidR="00786C54" w:rsidRPr="002720D0">
        <w:rPr>
          <w:lang w:val="es-ES_tradnl"/>
        </w:rPr>
        <w:t xml:space="preserve"> aquel</w:t>
      </w:r>
      <w:r w:rsidR="00AC095C" w:rsidRPr="002720D0">
        <w:rPr>
          <w:lang w:val="es-ES_tradnl"/>
        </w:rPr>
        <w:t>los niños que por uno u otro motivo abandonaron la escuela antes de haber concluido sus estudios básicos.</w:t>
      </w:r>
      <w:r w:rsidR="00786C54" w:rsidRPr="002720D0">
        <w:rPr>
          <w:lang w:val="es-ES_tradnl"/>
        </w:rPr>
        <w:t xml:space="preserve"> También </w:t>
      </w:r>
      <w:r w:rsidR="00852772" w:rsidRPr="002720D0">
        <w:rPr>
          <w:lang w:val="es-ES_tradnl"/>
        </w:rPr>
        <w:t xml:space="preserve">persigue </w:t>
      </w:r>
      <w:r w:rsidR="00786C54" w:rsidRPr="002720D0">
        <w:rPr>
          <w:lang w:val="es-ES_tradnl"/>
        </w:rPr>
        <w:t>dar a aquellos niños que no se matricularon en las escuelas durante la edad escolar</w:t>
      </w:r>
      <w:r w:rsidR="00852772" w:rsidRPr="002720D0">
        <w:rPr>
          <w:lang w:val="es-ES_tradnl"/>
        </w:rPr>
        <w:t xml:space="preserve"> la oportunidad de obtener una educación</w:t>
      </w:r>
      <w:r w:rsidR="00786C54" w:rsidRPr="002720D0">
        <w:rPr>
          <w:lang w:val="es-ES_tradnl"/>
        </w:rPr>
        <w:t xml:space="preserve">. El aprendizaje alternativo se está extendiendo progresivamente: </w:t>
      </w:r>
      <w:r w:rsidR="00852772" w:rsidRPr="002720D0">
        <w:rPr>
          <w:lang w:val="es-ES_tradnl"/>
        </w:rPr>
        <w:t>antes de</w:t>
      </w:r>
      <w:r w:rsidR="00786C54" w:rsidRPr="002720D0">
        <w:rPr>
          <w:lang w:val="es-ES_tradnl"/>
        </w:rPr>
        <w:t xml:space="preserve"> 2010, existían 49 aulas con 1.789 alumnos, de los cuales 277 eran niñas y 1.512 eran niños varones. Además, el Ministerio </w:t>
      </w:r>
      <w:r w:rsidR="00504CE5" w:rsidRPr="002720D0">
        <w:rPr>
          <w:lang w:val="es-ES_tradnl"/>
        </w:rPr>
        <w:t>construyó el Centro de Educació</w:t>
      </w:r>
      <w:r w:rsidR="00786C54" w:rsidRPr="002720D0">
        <w:rPr>
          <w:lang w:val="es-ES_tradnl"/>
        </w:rPr>
        <w:t xml:space="preserve">n Alternativa en Unguja; esta institución imparte distintas </w:t>
      </w:r>
      <w:r w:rsidR="00786C54" w:rsidRPr="00D129D6">
        <w:rPr>
          <w:lang w:val="es-ES_tradnl"/>
        </w:rPr>
        <w:t xml:space="preserve">formaciones a los niños. </w:t>
      </w:r>
      <w:r w:rsidR="00852772" w:rsidRPr="00D129D6">
        <w:rPr>
          <w:lang w:val="es-ES_tradnl"/>
        </w:rPr>
        <w:t>Está en fase de construcción u</w:t>
      </w:r>
      <w:r w:rsidR="00786C54" w:rsidRPr="00D129D6">
        <w:rPr>
          <w:lang w:val="es-ES_tradnl"/>
        </w:rPr>
        <w:t>n centro similar en</w:t>
      </w:r>
      <w:r w:rsidR="00151021" w:rsidRPr="00D129D6">
        <w:rPr>
          <w:lang w:val="es-ES_tradnl"/>
        </w:rPr>
        <w:t xml:space="preserve"> Wingwi Pemba.</w:t>
      </w:r>
    </w:p>
    <w:p w:rsidR="00151021" w:rsidRPr="002720D0" w:rsidRDefault="00BB7FA7" w:rsidP="00586395">
      <w:pPr>
        <w:pStyle w:val="H23G"/>
        <w:outlineLvl w:val="0"/>
        <w:rPr>
          <w:lang w:val="es-ES_tradnl"/>
        </w:rPr>
      </w:pPr>
      <w:r w:rsidRPr="002720D0">
        <w:rPr>
          <w:lang w:val="es-ES_tradnl"/>
        </w:rPr>
        <w:tab/>
      </w:r>
      <w:r w:rsidR="004E5B3D" w:rsidRPr="002720D0">
        <w:rPr>
          <w:lang w:val="es-ES_tradnl"/>
        </w:rPr>
        <w:t>h</w:t>
      </w:r>
      <w:r w:rsidR="00151021" w:rsidRPr="002720D0">
        <w:rPr>
          <w:lang w:val="es-ES_tradnl"/>
        </w:rPr>
        <w:t>)</w:t>
      </w:r>
      <w:r w:rsidRPr="002720D0">
        <w:rPr>
          <w:lang w:val="es-ES_tradnl"/>
        </w:rPr>
        <w:tab/>
      </w:r>
      <w:r w:rsidR="008A0313" w:rsidRPr="002720D0">
        <w:rPr>
          <w:lang w:val="es-ES_tradnl"/>
        </w:rPr>
        <w:t>Formación en</w:t>
      </w:r>
      <w:r w:rsidR="00786C54" w:rsidRPr="002720D0">
        <w:rPr>
          <w:lang w:val="es-ES_tradnl"/>
        </w:rPr>
        <w:t xml:space="preserve"> competencias </w:t>
      </w:r>
      <w:r w:rsidR="00D129D6">
        <w:rPr>
          <w:lang w:val="es-ES_tradnl"/>
        </w:rPr>
        <w:t>vitales</w:t>
      </w:r>
    </w:p>
    <w:p w:rsidR="00151021" w:rsidRPr="002720D0" w:rsidRDefault="004F6364" w:rsidP="004F6364">
      <w:pPr>
        <w:pStyle w:val="SingleTxtG"/>
        <w:tabs>
          <w:tab w:val="left" w:pos="-360"/>
        </w:tabs>
        <w:rPr>
          <w:lang w:val="es-ES_tradnl"/>
        </w:rPr>
      </w:pPr>
      <w:r w:rsidRPr="002720D0">
        <w:rPr>
          <w:lang w:val="es-ES_tradnl"/>
        </w:rPr>
        <w:t>234.</w:t>
      </w:r>
      <w:r w:rsidRPr="002720D0">
        <w:rPr>
          <w:lang w:val="es-ES_tradnl"/>
        </w:rPr>
        <w:tab/>
      </w:r>
      <w:r w:rsidR="00852772" w:rsidRPr="002720D0">
        <w:rPr>
          <w:lang w:val="es-ES_tradnl"/>
        </w:rPr>
        <w:t>El Estado p</w:t>
      </w:r>
      <w:r w:rsidR="009F4A38" w:rsidRPr="002720D0">
        <w:rPr>
          <w:lang w:val="es-ES_tradnl"/>
        </w:rPr>
        <w:t xml:space="preserve">arte ha </w:t>
      </w:r>
      <w:r w:rsidR="00852772" w:rsidRPr="002720D0">
        <w:rPr>
          <w:lang w:val="es-ES_tradnl"/>
        </w:rPr>
        <w:t>iniciado</w:t>
      </w:r>
      <w:r w:rsidR="009F4A38" w:rsidRPr="002720D0">
        <w:rPr>
          <w:lang w:val="es-ES_tradnl"/>
        </w:rPr>
        <w:t xml:space="preserve"> varias acciones, por conducto del Ministerio de Educación y Formación Profesional en Zanzíbar, para garantizar el derecho a la educación de los niños. Se han establecido la Dependencia de Orientación y Asesoramiento, y la del Secretario de Educación; la Sección para asuntos de Género y la Sección para</w:t>
      </w:r>
      <w:r w:rsidR="006B4D70" w:rsidRPr="002720D0">
        <w:rPr>
          <w:lang w:val="es-ES_tradnl"/>
        </w:rPr>
        <w:t xml:space="preserve"> </w:t>
      </w:r>
      <w:r w:rsidR="009F4A38" w:rsidRPr="002720D0">
        <w:rPr>
          <w:lang w:val="es-ES_tradnl"/>
        </w:rPr>
        <w:t xml:space="preserve">asuntos del VIH. Todas ellas trabajan de consuno para velar por que los niños cuenten con un entorno propicio en su proceso de aprendizaje. Se </w:t>
      </w:r>
      <w:r w:rsidR="008A0313" w:rsidRPr="002720D0">
        <w:rPr>
          <w:lang w:val="es-ES_tradnl"/>
        </w:rPr>
        <w:t>imparte a los niños formación en</w:t>
      </w:r>
      <w:r w:rsidR="009F4A38" w:rsidRPr="002720D0">
        <w:rPr>
          <w:lang w:val="es-ES_tradnl"/>
        </w:rPr>
        <w:t xml:space="preserve"> competencias </w:t>
      </w:r>
      <w:r w:rsidR="00D129D6">
        <w:rPr>
          <w:lang w:val="es-ES_tradnl"/>
        </w:rPr>
        <w:t>vitales</w:t>
      </w:r>
      <w:r w:rsidR="009F4A38" w:rsidRPr="002720D0">
        <w:rPr>
          <w:lang w:val="es-ES_tradnl"/>
        </w:rPr>
        <w:t xml:space="preserve"> </w:t>
      </w:r>
      <w:r w:rsidR="002C0DCF" w:rsidRPr="002720D0">
        <w:rPr>
          <w:lang w:val="es-ES_tradnl"/>
        </w:rPr>
        <w:t>con el fin de que se puedan enfrentar a todas las dificultades que obstaculizar</w:t>
      </w:r>
      <w:r w:rsidR="008A0313" w:rsidRPr="002720D0">
        <w:rPr>
          <w:lang w:val="es-ES_tradnl"/>
        </w:rPr>
        <w:t>án</w:t>
      </w:r>
      <w:r w:rsidR="002C0DCF" w:rsidRPr="002720D0">
        <w:rPr>
          <w:lang w:val="es-ES_tradnl"/>
        </w:rPr>
        <w:t xml:space="preserve"> su proceso de aprendizaje. Entre estas dificultades se cuentan el matrimonio temprano y el embarazo temprano, los abusos y hostigamientos sexuales, la violación y las enfermedades, comprendido el VIH/SIDA, y las peores formas</w:t>
      </w:r>
      <w:r w:rsidR="001D2A53">
        <w:rPr>
          <w:lang w:val="es-ES_tradnl"/>
        </w:rPr>
        <w:t xml:space="preserve"> </w:t>
      </w:r>
      <w:r w:rsidR="008A0313" w:rsidRPr="002720D0">
        <w:rPr>
          <w:lang w:val="es-ES_tradnl"/>
        </w:rPr>
        <w:t>de trabajo infantil. El nú</w:t>
      </w:r>
      <w:r w:rsidR="002C0DCF" w:rsidRPr="002720D0">
        <w:rPr>
          <w:lang w:val="es-ES_tradnl"/>
        </w:rPr>
        <w:t xml:space="preserve">mero de casos de matrimonios y embarazos tempranos se redujo en Zanzíbar a lo largo del </w:t>
      </w:r>
      <w:r w:rsidR="008A0313" w:rsidRPr="002720D0">
        <w:rPr>
          <w:lang w:val="es-ES_tradnl"/>
        </w:rPr>
        <w:t>quinquenio</w:t>
      </w:r>
      <w:r w:rsidR="002C0DCF" w:rsidRPr="002720D0">
        <w:rPr>
          <w:lang w:val="es-ES_tradnl"/>
        </w:rPr>
        <w:t xml:space="preserve">. </w:t>
      </w:r>
    </w:p>
    <w:p w:rsidR="00914E2E" w:rsidRPr="002720D0" w:rsidRDefault="004F6364" w:rsidP="004F6364">
      <w:pPr>
        <w:pStyle w:val="SingleTxtG"/>
        <w:tabs>
          <w:tab w:val="left" w:pos="-360"/>
        </w:tabs>
        <w:rPr>
          <w:lang w:val="es-ES_tradnl"/>
        </w:rPr>
      </w:pPr>
      <w:r w:rsidRPr="002720D0">
        <w:rPr>
          <w:lang w:val="es-ES_tradnl"/>
        </w:rPr>
        <w:t>235.</w:t>
      </w:r>
      <w:r w:rsidRPr="002720D0">
        <w:rPr>
          <w:lang w:val="es-ES_tradnl"/>
        </w:rPr>
        <w:tab/>
      </w:r>
      <w:r w:rsidR="002C0DCF" w:rsidRPr="002720D0">
        <w:rPr>
          <w:lang w:val="es-ES_tradnl"/>
        </w:rPr>
        <w:t xml:space="preserve">Además, el Ministerio de Educación y Formación Profesional en Zanzíbar ya ha iniciado la aplicación de la Ley de </w:t>
      </w:r>
      <w:r w:rsidR="00C04BD0" w:rsidRPr="002720D0">
        <w:rPr>
          <w:lang w:val="es-ES_tradnl"/>
        </w:rPr>
        <w:t xml:space="preserve">Protección </w:t>
      </w:r>
      <w:r w:rsidR="002C0DCF" w:rsidRPr="002720D0">
        <w:rPr>
          <w:lang w:val="es-ES_tradnl"/>
        </w:rPr>
        <w:t xml:space="preserve">de los </w:t>
      </w:r>
      <w:r w:rsidR="00C04BD0" w:rsidRPr="002720D0">
        <w:rPr>
          <w:lang w:val="es-ES_tradnl"/>
        </w:rPr>
        <w:t xml:space="preserve">Niños </w:t>
      </w:r>
      <w:r w:rsidR="002C0DCF" w:rsidRPr="002720D0">
        <w:rPr>
          <w:lang w:val="es-ES_tradnl"/>
        </w:rPr>
        <w:t xml:space="preserve">de </w:t>
      </w:r>
      <w:r w:rsidR="00C04BD0" w:rsidRPr="002720D0">
        <w:rPr>
          <w:lang w:val="es-ES_tradnl"/>
        </w:rPr>
        <w:t xml:space="preserve">Mujeres Solteras </w:t>
      </w:r>
      <w:r w:rsidR="008A0313" w:rsidRPr="002720D0">
        <w:rPr>
          <w:lang w:val="es-ES_tradnl"/>
        </w:rPr>
        <w:t xml:space="preserve">y </w:t>
      </w:r>
      <w:r w:rsidR="00C04BD0" w:rsidRPr="002720D0">
        <w:rPr>
          <w:lang w:val="es-ES_tradnl"/>
        </w:rPr>
        <w:t xml:space="preserve">Hogares Monoparentales </w:t>
      </w:r>
      <w:r w:rsidR="002C0DCF" w:rsidRPr="002720D0">
        <w:rPr>
          <w:lang w:val="es-ES_tradnl"/>
        </w:rPr>
        <w:t xml:space="preserve">de 2005, </w:t>
      </w:r>
      <w:r w:rsidR="008A0313" w:rsidRPr="002720D0">
        <w:rPr>
          <w:lang w:val="es-ES_tradnl"/>
        </w:rPr>
        <w:t>ya</w:t>
      </w:r>
      <w:r w:rsidR="002C0DCF" w:rsidRPr="002720D0">
        <w:rPr>
          <w:lang w:val="es-ES_tradnl"/>
        </w:rPr>
        <w:t xml:space="preserve"> que, con arreglo a su artículo 4 2), cuando </w:t>
      </w:r>
      <w:r w:rsidR="008A0313" w:rsidRPr="002720D0">
        <w:rPr>
          <w:lang w:val="es-ES_tradnl"/>
        </w:rPr>
        <w:t>una adolescente queda</w:t>
      </w:r>
      <w:r w:rsidR="002C0DCF" w:rsidRPr="002720D0">
        <w:rPr>
          <w:lang w:val="es-ES_tradnl"/>
        </w:rPr>
        <w:t xml:space="preserve"> embarazada mientras cursa sus estudios escolares, puede vol</w:t>
      </w:r>
      <w:r w:rsidR="008A0313" w:rsidRPr="002720D0">
        <w:rPr>
          <w:lang w:val="es-ES_tradnl"/>
        </w:rPr>
        <w:t>ver a ser admitida a la escuela</w:t>
      </w:r>
      <w:r w:rsidR="002C0DCF" w:rsidRPr="002720D0">
        <w:rPr>
          <w:lang w:val="es-ES_tradnl"/>
        </w:rPr>
        <w:t xml:space="preserve"> durante el curso académico siguiente a su alumbramiento o en aquel momento que la autoridad educativa considere idóneo. Durante el período de cinco años comprendido entre 2006 y 2010, se </w:t>
      </w:r>
      <w:r w:rsidR="001A1749" w:rsidRPr="002720D0">
        <w:rPr>
          <w:lang w:val="es-ES_tradnl"/>
        </w:rPr>
        <w:t>consignaron y gestionaron</w:t>
      </w:r>
      <w:r w:rsidR="002C0DCF" w:rsidRPr="002720D0">
        <w:rPr>
          <w:lang w:val="es-ES_tradnl"/>
        </w:rPr>
        <w:t xml:space="preserve"> 97 casos de embarazo temprano</w:t>
      </w:r>
      <w:r w:rsidR="001A1749" w:rsidRPr="002720D0">
        <w:rPr>
          <w:lang w:val="es-ES_tradnl"/>
        </w:rPr>
        <w:t>. De estos caso</w:t>
      </w:r>
      <w:r w:rsidR="00D129D6">
        <w:rPr>
          <w:lang w:val="es-ES_tradnl"/>
        </w:rPr>
        <w:t xml:space="preserve">s, 73 </w:t>
      </w:r>
      <w:r w:rsidR="00AC273B" w:rsidRPr="00AC273B">
        <w:rPr>
          <w:lang w:val="es-ES"/>
        </w:rPr>
        <w:t>—</w:t>
      </w:r>
      <w:r w:rsidR="00AC273B">
        <w:rPr>
          <w:lang w:val="es-ES_tradnl"/>
        </w:rPr>
        <w:t>es decir, el 75,3%</w:t>
      </w:r>
      <w:r w:rsidR="00AC273B" w:rsidRPr="00AC273B">
        <w:rPr>
          <w:lang w:val="es-ES"/>
        </w:rPr>
        <w:t>—</w:t>
      </w:r>
      <w:r w:rsidR="00D129D6">
        <w:rPr>
          <w:lang w:val="es-ES_tradnl"/>
        </w:rPr>
        <w:t xml:space="preserve"> eran </w:t>
      </w:r>
      <w:r w:rsidR="001A1749" w:rsidRPr="002720D0">
        <w:rPr>
          <w:lang w:val="es-ES_tradnl"/>
        </w:rPr>
        <w:t xml:space="preserve">adolescentes que decidieron continuar sus estudios, mientras que </w:t>
      </w:r>
      <w:r w:rsidR="008A0313" w:rsidRPr="002720D0">
        <w:rPr>
          <w:lang w:val="es-ES_tradnl"/>
        </w:rPr>
        <w:t xml:space="preserve">la vergüenza llevó a </w:t>
      </w:r>
      <w:r w:rsidR="001A1749" w:rsidRPr="002720D0">
        <w:rPr>
          <w:lang w:val="es-ES_tradnl"/>
        </w:rPr>
        <w:t xml:space="preserve">las 24 adolescentes </w:t>
      </w:r>
      <w:r w:rsidR="008A0313" w:rsidRPr="002720D0">
        <w:rPr>
          <w:lang w:val="es-ES_tradnl"/>
        </w:rPr>
        <w:t>restantes a negarse a continuarlos.</w:t>
      </w:r>
      <w:bookmarkStart w:id="49" w:name="_Toc313470885"/>
    </w:p>
    <w:p w:rsidR="004E5B3D" w:rsidRPr="002720D0" w:rsidRDefault="006B4D70" w:rsidP="00586395">
      <w:pPr>
        <w:pStyle w:val="H1G"/>
        <w:outlineLvl w:val="0"/>
        <w:rPr>
          <w:lang w:val="es-ES_tradnl"/>
        </w:rPr>
      </w:pPr>
      <w:r w:rsidRPr="002720D0">
        <w:rPr>
          <w:lang w:val="es-ES_tradnl"/>
        </w:rPr>
        <w:tab/>
        <w:t>7.2</w:t>
      </w:r>
      <w:r w:rsidRPr="002720D0">
        <w:rPr>
          <w:lang w:val="es-ES_tradnl"/>
        </w:rPr>
        <w:tab/>
        <w:t>Esparcimiento, recr</w:t>
      </w:r>
      <w:r w:rsidR="006340C3">
        <w:rPr>
          <w:lang w:val="es-ES_tradnl"/>
        </w:rPr>
        <w:t>eación y actividades culturales</w:t>
      </w:r>
    </w:p>
    <w:p w:rsidR="004E5B3D" w:rsidRPr="002720D0" w:rsidRDefault="004F6364" w:rsidP="004F6364">
      <w:pPr>
        <w:pStyle w:val="SingleTxtG"/>
        <w:tabs>
          <w:tab w:val="left" w:pos="-360"/>
        </w:tabs>
        <w:rPr>
          <w:lang w:val="es-ES_tradnl"/>
        </w:rPr>
      </w:pPr>
      <w:r w:rsidRPr="002720D0">
        <w:rPr>
          <w:lang w:val="es-ES_tradnl"/>
        </w:rPr>
        <w:t>236.</w:t>
      </w:r>
      <w:r w:rsidRPr="002720D0">
        <w:rPr>
          <w:lang w:val="es-ES_tradnl"/>
        </w:rPr>
        <w:tab/>
      </w:r>
      <w:r w:rsidR="00F83F63" w:rsidRPr="002720D0">
        <w:rPr>
          <w:lang w:val="es-ES_tradnl"/>
        </w:rPr>
        <w:t>El Estado p</w:t>
      </w:r>
      <w:r w:rsidR="006B4D70" w:rsidRPr="002720D0">
        <w:rPr>
          <w:lang w:val="es-ES_tradnl"/>
        </w:rPr>
        <w:t>arte ha adoptado algunas medidas destinadas a la recuperación de terrenos para los deportes, en aras de que los niños puedan tener acceso al esparcimiento, la recreación y las actividades</w:t>
      </w:r>
      <w:r w:rsidR="00F83F63" w:rsidRPr="002720D0">
        <w:rPr>
          <w:lang w:val="es-ES_tradnl"/>
        </w:rPr>
        <w:t xml:space="preserve"> culturales. Además, el Estado p</w:t>
      </w:r>
      <w:r w:rsidR="006B4D70" w:rsidRPr="002720D0">
        <w:rPr>
          <w:lang w:val="es-ES_tradnl"/>
        </w:rPr>
        <w:t xml:space="preserve">arte ha elaborado un currículo que integra el desarrollo personal y los deportes como una de las asignaturas que se ha de enseñar en las escuelas. </w:t>
      </w:r>
    </w:p>
    <w:p w:rsidR="00151021" w:rsidRPr="002720D0" w:rsidRDefault="00914E2E" w:rsidP="00586395">
      <w:pPr>
        <w:pStyle w:val="HChG"/>
        <w:outlineLvl w:val="0"/>
        <w:rPr>
          <w:lang w:val="es-ES_tradnl"/>
        </w:rPr>
      </w:pPr>
      <w:r w:rsidRPr="002720D0">
        <w:rPr>
          <w:lang w:val="es-ES_tradnl"/>
        </w:rPr>
        <w:tab/>
      </w:r>
      <w:r w:rsidR="00151021" w:rsidRPr="002720D0">
        <w:rPr>
          <w:lang w:val="es-ES_tradnl"/>
        </w:rPr>
        <w:t>8.</w:t>
      </w:r>
      <w:r w:rsidRPr="002720D0">
        <w:rPr>
          <w:lang w:val="es-ES_tradnl"/>
        </w:rPr>
        <w:tab/>
      </w:r>
      <w:bookmarkEnd w:id="49"/>
      <w:r w:rsidR="006B4D70" w:rsidRPr="002720D0">
        <w:rPr>
          <w:lang w:val="es-ES_tradnl"/>
        </w:rPr>
        <w:t>Medidas esp</w:t>
      </w:r>
      <w:r w:rsidR="00F83F63" w:rsidRPr="002720D0">
        <w:rPr>
          <w:lang w:val="es-ES_tradnl"/>
        </w:rPr>
        <w:t>eciales de protección (arts. 22, 30, 32 a 36, 37 (párr</w:t>
      </w:r>
      <w:r w:rsidR="006B4D70" w:rsidRPr="002720D0">
        <w:rPr>
          <w:lang w:val="es-ES_tradnl"/>
        </w:rPr>
        <w:t>s</w:t>
      </w:r>
      <w:r w:rsidR="0065208D" w:rsidRPr="002720D0">
        <w:rPr>
          <w:lang w:val="es-ES_tradnl"/>
        </w:rPr>
        <w:t>.</w:t>
      </w:r>
      <w:r w:rsidR="006B4D70" w:rsidRPr="002720D0">
        <w:rPr>
          <w:lang w:val="es-ES_tradnl"/>
        </w:rPr>
        <w:t xml:space="preserve"> b) a </w:t>
      </w:r>
      <w:r w:rsidR="00C65617" w:rsidRPr="002720D0">
        <w:rPr>
          <w:lang w:val="es-ES_tradnl"/>
        </w:rPr>
        <w:t>d)</w:t>
      </w:r>
      <w:r w:rsidR="0045162B">
        <w:rPr>
          <w:lang w:val="es-ES_tradnl"/>
        </w:rPr>
        <w:t>)</w:t>
      </w:r>
      <w:r w:rsidR="00C65617" w:rsidRPr="002720D0">
        <w:rPr>
          <w:lang w:val="es-ES_tradnl"/>
        </w:rPr>
        <w:t>, 38, 39 y 40</w:t>
      </w:r>
      <w:r w:rsidR="006B4D70" w:rsidRPr="002720D0">
        <w:rPr>
          <w:lang w:val="es-ES_tradnl"/>
        </w:rPr>
        <w:t>)</w:t>
      </w:r>
    </w:p>
    <w:p w:rsidR="00151021" w:rsidRPr="002720D0" w:rsidRDefault="00914E2E" w:rsidP="00586395">
      <w:pPr>
        <w:pStyle w:val="H1G"/>
        <w:outlineLvl w:val="0"/>
        <w:rPr>
          <w:lang w:val="es-ES_tradnl"/>
        </w:rPr>
      </w:pPr>
      <w:bookmarkStart w:id="50" w:name="_Toc313470886"/>
      <w:r w:rsidRPr="002720D0">
        <w:rPr>
          <w:lang w:val="es-ES_tradnl"/>
        </w:rPr>
        <w:tab/>
        <w:t>8.1</w:t>
      </w:r>
      <w:r w:rsidRPr="002720D0">
        <w:rPr>
          <w:lang w:val="es-ES_tradnl"/>
        </w:rPr>
        <w:tab/>
      </w:r>
      <w:r w:rsidR="006B4D70" w:rsidRPr="002720D0">
        <w:rPr>
          <w:lang w:val="es-ES_tradnl"/>
        </w:rPr>
        <w:t xml:space="preserve">Niños refugiados, que buscan asilo </w:t>
      </w:r>
      <w:r w:rsidR="0085154F">
        <w:rPr>
          <w:lang w:val="es-ES_tradnl"/>
        </w:rPr>
        <w:t>o no están acompañados (art.</w:t>
      </w:r>
      <w:r w:rsidR="006B4D70" w:rsidRPr="002720D0">
        <w:rPr>
          <w:lang w:val="es-ES_tradnl"/>
        </w:rPr>
        <w:t xml:space="preserve"> 23)</w:t>
      </w:r>
      <w:bookmarkEnd w:id="50"/>
    </w:p>
    <w:p w:rsidR="00EA46D9" w:rsidRPr="002720D0" w:rsidRDefault="004F6364" w:rsidP="004F6364">
      <w:pPr>
        <w:pStyle w:val="SingleTxtG"/>
        <w:tabs>
          <w:tab w:val="left" w:pos="-360"/>
        </w:tabs>
        <w:rPr>
          <w:lang w:val="es-ES_tradnl"/>
        </w:rPr>
      </w:pPr>
      <w:r w:rsidRPr="002720D0">
        <w:rPr>
          <w:lang w:val="es-ES_tradnl"/>
        </w:rPr>
        <w:t>237.</w:t>
      </w:r>
      <w:r w:rsidRPr="002720D0">
        <w:rPr>
          <w:lang w:val="es-ES_tradnl"/>
        </w:rPr>
        <w:tab/>
      </w:r>
      <w:r w:rsidR="00EA46D9" w:rsidRPr="002720D0">
        <w:rPr>
          <w:lang w:val="es-ES_tradnl"/>
        </w:rPr>
        <w:t xml:space="preserve">En sus </w:t>
      </w:r>
      <w:r w:rsidR="009D4B89" w:rsidRPr="002720D0">
        <w:rPr>
          <w:lang w:val="es-ES_tradnl"/>
        </w:rPr>
        <w:t>Observaciones finales</w:t>
      </w:r>
      <w:r w:rsidR="00F83F63" w:rsidRPr="002720D0">
        <w:rPr>
          <w:lang w:val="es-ES_tradnl"/>
        </w:rPr>
        <w:t xml:space="preserve"> previas</w:t>
      </w:r>
      <w:r w:rsidR="009D4B89" w:rsidRPr="002720D0">
        <w:rPr>
          <w:lang w:val="es-ES_tradnl"/>
        </w:rPr>
        <w:t xml:space="preserve">, el </w:t>
      </w:r>
      <w:r w:rsidR="00F83F63" w:rsidRPr="002720D0">
        <w:rPr>
          <w:lang w:val="es-ES_tradnl"/>
        </w:rPr>
        <w:t>Comité recomendó que el Estado p</w:t>
      </w:r>
      <w:r w:rsidR="009D4B89" w:rsidRPr="002720D0">
        <w:rPr>
          <w:lang w:val="es-ES_tradnl"/>
        </w:rPr>
        <w:t>arte redoblara sus esfuerzos para superar el retraso en la tramitación de las solicitudes de asilo de quienes acaban de llegar de Burundi o del Congo instituyendo comités especiales. También le recomendó que mejorase la protección que aport</w:t>
      </w:r>
      <w:r w:rsidR="00D129D6">
        <w:rPr>
          <w:lang w:val="es-ES_tradnl"/>
        </w:rPr>
        <w:t>ab</w:t>
      </w:r>
      <w:r w:rsidR="009D4B89" w:rsidRPr="002720D0">
        <w:rPr>
          <w:lang w:val="es-ES_tradnl"/>
        </w:rPr>
        <w:t xml:space="preserve">a y el seguimiento que se </w:t>
      </w:r>
      <w:r w:rsidR="00D129D6">
        <w:rPr>
          <w:lang w:val="es-ES_tradnl"/>
        </w:rPr>
        <w:t>daba</w:t>
      </w:r>
      <w:r w:rsidR="009D4B89" w:rsidRPr="002720D0">
        <w:rPr>
          <w:lang w:val="es-ES_tradnl"/>
        </w:rPr>
        <w:t xml:space="preserve"> a los casos de violencia sexual o en razón de género, en particular tratándose de menores, y que acelerase la reforma de su legislación concerniente a los refugiados. Le recomendó además que siguiera pidiendo asistencia internacional y cooperación al </w:t>
      </w:r>
      <w:r w:rsidR="00D129D6">
        <w:rPr>
          <w:lang w:val="es-ES_tradnl"/>
        </w:rPr>
        <w:t>ACNUR</w:t>
      </w:r>
      <w:r w:rsidR="009D4B89" w:rsidRPr="002720D0">
        <w:rPr>
          <w:lang w:val="es-ES_tradnl"/>
        </w:rPr>
        <w:t xml:space="preserve">. </w:t>
      </w:r>
    </w:p>
    <w:p w:rsidR="00151021" w:rsidRPr="00D129D6" w:rsidRDefault="004F6364" w:rsidP="004F6364">
      <w:pPr>
        <w:pStyle w:val="SingleTxtG"/>
        <w:tabs>
          <w:tab w:val="left" w:pos="-360"/>
        </w:tabs>
        <w:rPr>
          <w:lang w:val="es-ES_tradnl"/>
        </w:rPr>
      </w:pPr>
      <w:r w:rsidRPr="00D129D6">
        <w:rPr>
          <w:lang w:val="es-ES_tradnl"/>
        </w:rPr>
        <w:t>238.</w:t>
      </w:r>
      <w:r w:rsidRPr="00D129D6">
        <w:rPr>
          <w:lang w:val="es-ES_tradnl"/>
        </w:rPr>
        <w:tab/>
      </w:r>
      <w:r w:rsidR="009D4B89" w:rsidRPr="00D129D6">
        <w:rPr>
          <w:lang w:val="es-ES_tradnl"/>
        </w:rPr>
        <w:t xml:space="preserve">El Estado </w:t>
      </w:r>
      <w:r w:rsidR="00F83F63" w:rsidRPr="00D129D6">
        <w:rPr>
          <w:lang w:val="es-ES_tradnl"/>
        </w:rPr>
        <w:t>p</w:t>
      </w:r>
      <w:r w:rsidR="009D4B89" w:rsidRPr="00D129D6">
        <w:rPr>
          <w:lang w:val="es-ES_tradnl"/>
        </w:rPr>
        <w:t>arte</w:t>
      </w:r>
      <w:r w:rsidR="004F2108" w:rsidRPr="00D129D6">
        <w:rPr>
          <w:lang w:val="es-ES_tradnl"/>
        </w:rPr>
        <w:t xml:space="preserve"> desearía señalar a la atención del Comité que </w:t>
      </w:r>
      <w:r w:rsidR="00D129D6">
        <w:rPr>
          <w:lang w:val="es-ES_tradnl"/>
        </w:rPr>
        <w:t>ha estado a</w:t>
      </w:r>
      <w:r w:rsidR="00F83F63" w:rsidRPr="00D129D6">
        <w:rPr>
          <w:lang w:val="es-ES_tradnl"/>
        </w:rPr>
        <w:t xml:space="preserve"> la vanguardia </w:t>
      </w:r>
      <w:r w:rsidR="00D129D6">
        <w:rPr>
          <w:lang w:val="es-ES_tradnl"/>
        </w:rPr>
        <w:t>de</w:t>
      </w:r>
      <w:r w:rsidR="00663FDF" w:rsidRPr="00D129D6">
        <w:rPr>
          <w:lang w:val="es-ES_tradnl"/>
        </w:rPr>
        <w:t xml:space="preserve"> los países africanos en lo relativo a la acogida a los refugiados o las personas que solicitan asistencia de esta índole en el país. </w:t>
      </w:r>
      <w:r w:rsidR="00F83F63" w:rsidRPr="00D129D6">
        <w:rPr>
          <w:lang w:val="es-ES_tradnl"/>
        </w:rPr>
        <w:t>Ha</w:t>
      </w:r>
      <w:r w:rsidR="00663FDF" w:rsidRPr="00D129D6">
        <w:rPr>
          <w:lang w:val="es-ES_tradnl"/>
        </w:rPr>
        <w:t xml:space="preserve"> acatado y dado cumplimiento a las leyes y acuerdos tanto nacionales como internacionales que salvaguardan los derechos de los refugiados, comprendidos</w:t>
      </w:r>
      <w:r w:rsidR="00F929E6" w:rsidRPr="00D129D6">
        <w:rPr>
          <w:lang w:val="es-ES_tradnl"/>
        </w:rPr>
        <w:t xml:space="preserve"> los niños refugiados que llegan</w:t>
      </w:r>
      <w:r w:rsidR="00663FDF" w:rsidRPr="00D129D6">
        <w:rPr>
          <w:lang w:val="es-ES_tradnl"/>
        </w:rPr>
        <w:t xml:space="preserve"> al país, con miras a garantizar su seguridad sin discriminación. </w:t>
      </w:r>
      <w:r w:rsidR="00F83F63" w:rsidRPr="00D129D6">
        <w:rPr>
          <w:lang w:val="es-ES_tradnl"/>
        </w:rPr>
        <w:t>Asimismo,</w:t>
      </w:r>
      <w:r w:rsidR="00663FDF" w:rsidRPr="00D129D6">
        <w:rPr>
          <w:lang w:val="es-ES_tradnl"/>
        </w:rPr>
        <w:t xml:space="preserve"> en los campamentos </w:t>
      </w:r>
      <w:r w:rsidR="00F83F63" w:rsidRPr="00D129D6">
        <w:rPr>
          <w:lang w:val="es-ES_tradnl"/>
        </w:rPr>
        <w:t xml:space="preserve">se han prestado </w:t>
      </w:r>
      <w:r w:rsidR="00663FDF" w:rsidRPr="00D129D6">
        <w:rPr>
          <w:lang w:val="es-ES_tradnl"/>
        </w:rPr>
        <w:t>servicios de salud, inoculación, educación, alimentos, alojamiento y asistencia letrada, en colaboración con organizaciones como el ACNUR, el Programa Mundial de Alimentos y el UNICEF; cada uno de ellos lleva a cabo una función esencial en la promoción de los derechos y el bienestar de lo</w:t>
      </w:r>
      <w:r w:rsidR="00F83F63" w:rsidRPr="00D129D6">
        <w:rPr>
          <w:lang w:val="es-ES_tradnl"/>
        </w:rPr>
        <w:t>s niños refugiados. El Estado p</w:t>
      </w:r>
      <w:r w:rsidR="00663FDF" w:rsidRPr="00D129D6">
        <w:rPr>
          <w:lang w:val="es-ES_tradnl"/>
        </w:rPr>
        <w:t xml:space="preserve">arte reconoce </w:t>
      </w:r>
      <w:r w:rsidR="00F83F63" w:rsidRPr="00D129D6">
        <w:rPr>
          <w:lang w:val="es-ES_tradnl"/>
        </w:rPr>
        <w:t>también</w:t>
      </w:r>
      <w:r w:rsidR="00663FDF" w:rsidRPr="00D129D6">
        <w:rPr>
          <w:lang w:val="es-ES_tradnl"/>
        </w:rPr>
        <w:t xml:space="preserve"> la contribución de otros asociados </w:t>
      </w:r>
      <w:r w:rsidR="00206FF2" w:rsidRPr="00D129D6">
        <w:rPr>
          <w:lang w:val="es-ES_tradnl"/>
        </w:rPr>
        <w:t>activos</w:t>
      </w:r>
      <w:r w:rsidR="00B3298B" w:rsidRPr="00D129D6">
        <w:rPr>
          <w:lang w:val="es-ES_tradnl"/>
        </w:rPr>
        <w:t xml:space="preserve">, nacionales e internacionales por igual, como CARE International, la </w:t>
      </w:r>
      <w:r w:rsidR="00B3298B" w:rsidRPr="00D129D6">
        <w:rPr>
          <w:i/>
          <w:lang w:val="es-ES_tradnl"/>
        </w:rPr>
        <w:t xml:space="preserve">National Organisation for Legal Assistance </w:t>
      </w:r>
      <w:r w:rsidR="00B3298B" w:rsidRPr="00D129D6">
        <w:rPr>
          <w:lang w:val="es-ES_tradnl"/>
        </w:rPr>
        <w:t>(NOLA), Visión Mundial, el Movimiento Internacional de la Cruz Roja y de la Media Luna Roja,</w:t>
      </w:r>
      <w:r w:rsidR="00151021" w:rsidRPr="00D129D6">
        <w:rPr>
          <w:lang w:val="es-ES_tradnl"/>
        </w:rPr>
        <w:t xml:space="preserve"> Women</w:t>
      </w:r>
      <w:r w:rsidR="001C7E1C">
        <w:rPr>
          <w:lang w:val="es-ES_tradnl"/>
        </w:rPr>
        <w:t>'</w:t>
      </w:r>
      <w:r w:rsidR="00151021" w:rsidRPr="00D129D6">
        <w:rPr>
          <w:lang w:val="es-ES_tradnl"/>
        </w:rPr>
        <w:t xml:space="preserve">s Legal Aid Centre </w:t>
      </w:r>
      <w:r w:rsidR="00B3298B" w:rsidRPr="00D129D6">
        <w:rPr>
          <w:lang w:val="es-ES_tradnl"/>
        </w:rPr>
        <w:t xml:space="preserve">y Radio Kwizera. Estos socios han sido fundamentales </w:t>
      </w:r>
      <w:r w:rsidR="00F83F63" w:rsidRPr="00D129D6">
        <w:rPr>
          <w:lang w:val="es-ES_tradnl"/>
        </w:rPr>
        <w:t>en</w:t>
      </w:r>
      <w:r w:rsidR="00B3298B" w:rsidRPr="00D129D6">
        <w:rPr>
          <w:lang w:val="es-ES_tradnl"/>
        </w:rPr>
        <w:t xml:space="preserve"> la provisión, entre otras cosas, de servicios de salud, asistencia letrada, protección social y sensibilización del público respecto de los niños refugiados situados en varios campamentos de refugiados </w:t>
      </w:r>
      <w:r w:rsidR="004C256C" w:rsidRPr="00D129D6">
        <w:rPr>
          <w:lang w:val="es-ES_tradnl"/>
        </w:rPr>
        <w:t>en su jurisdicción.</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239.</w:t>
      </w:r>
      <w:r w:rsidRPr="002720D0">
        <w:rPr>
          <w:lang w:val="es-ES_tradnl"/>
        </w:rPr>
        <w:tab/>
      </w:r>
      <w:r w:rsidR="00151021" w:rsidRPr="002720D0">
        <w:rPr>
          <w:lang w:val="es-ES_tradnl"/>
        </w:rPr>
        <w:t>D</w:t>
      </w:r>
      <w:r w:rsidR="00B0454C" w:rsidRPr="002720D0">
        <w:rPr>
          <w:lang w:val="es-ES_tradnl"/>
        </w:rPr>
        <w:t>urante el per</w:t>
      </w:r>
      <w:r w:rsidR="00F83F63" w:rsidRPr="002720D0">
        <w:rPr>
          <w:lang w:val="es-ES_tradnl"/>
        </w:rPr>
        <w:t>íodo que se examina, el Estado p</w:t>
      </w:r>
      <w:r w:rsidR="00B0454C" w:rsidRPr="002720D0">
        <w:rPr>
          <w:lang w:val="es-ES_tradnl"/>
        </w:rPr>
        <w:t>arte se ocupó de los retrasos en la tramitación de los solicitantes de asilo que acababan de llegar de Burundi o del Congo mediante la institución de comités especiales, que tramitan las solicitudes de asilo y de reconocimiento de la condi</w:t>
      </w:r>
      <w:r w:rsidR="00F83F63" w:rsidRPr="002720D0">
        <w:rPr>
          <w:lang w:val="es-ES_tradnl"/>
        </w:rPr>
        <w:t>ción de refugiado en el Estado p</w:t>
      </w:r>
      <w:r w:rsidR="0009388C">
        <w:rPr>
          <w:lang w:val="es-ES_tradnl"/>
        </w:rPr>
        <w:t>arte.</w:t>
      </w:r>
    </w:p>
    <w:p w:rsidR="00151021" w:rsidRPr="002720D0" w:rsidRDefault="004F6364" w:rsidP="004F6364">
      <w:pPr>
        <w:pStyle w:val="SingleTxtG"/>
        <w:tabs>
          <w:tab w:val="left" w:pos="-360"/>
        </w:tabs>
        <w:rPr>
          <w:lang w:val="es-ES_tradnl"/>
        </w:rPr>
      </w:pPr>
      <w:r w:rsidRPr="002720D0">
        <w:rPr>
          <w:lang w:val="es-ES_tradnl"/>
        </w:rPr>
        <w:t>240.</w:t>
      </w:r>
      <w:r w:rsidRPr="002720D0">
        <w:rPr>
          <w:lang w:val="es-ES_tradnl"/>
        </w:rPr>
        <w:tab/>
      </w:r>
      <w:r w:rsidR="00B0454C" w:rsidRPr="002720D0">
        <w:rPr>
          <w:lang w:val="es-ES_tradnl"/>
        </w:rPr>
        <w:t xml:space="preserve">Para velar por la reunificación de las familias </w:t>
      </w:r>
      <w:r w:rsidR="00422971" w:rsidRPr="002720D0">
        <w:rPr>
          <w:lang w:val="es-ES_tradnl"/>
        </w:rPr>
        <w:t xml:space="preserve">en el caso de los niños no </w:t>
      </w:r>
      <w:r w:rsidR="002720D0" w:rsidRPr="002720D0">
        <w:rPr>
          <w:lang w:val="es-ES_tradnl"/>
        </w:rPr>
        <w:t>acompañados</w:t>
      </w:r>
      <w:r w:rsidR="00422971" w:rsidRPr="002720D0">
        <w:rPr>
          <w:lang w:val="es-ES_tradnl"/>
        </w:rPr>
        <w:t xml:space="preserve">, se </w:t>
      </w:r>
      <w:r w:rsidR="00F83F63" w:rsidRPr="002720D0">
        <w:rPr>
          <w:lang w:val="es-ES_tradnl"/>
        </w:rPr>
        <w:t>procuró asegurar</w:t>
      </w:r>
      <w:r w:rsidR="00422971" w:rsidRPr="002720D0">
        <w:rPr>
          <w:lang w:val="es-ES_tradnl"/>
        </w:rPr>
        <w:t xml:space="preserve"> que esos niños se </w:t>
      </w:r>
      <w:r w:rsidR="00F83F63" w:rsidRPr="002720D0">
        <w:rPr>
          <w:lang w:val="es-ES_tradnl"/>
        </w:rPr>
        <w:t>reunieran</w:t>
      </w:r>
      <w:r w:rsidR="00422971" w:rsidRPr="002720D0">
        <w:rPr>
          <w:lang w:val="es-ES_tradnl"/>
        </w:rPr>
        <w:t xml:space="preserve"> con sus familias o con sus</w:t>
      </w:r>
      <w:r w:rsidR="001D2A53">
        <w:rPr>
          <w:lang w:val="es-ES_tradnl"/>
        </w:rPr>
        <w:t xml:space="preserve"> </w:t>
      </w:r>
      <w:r w:rsidR="00F83F63" w:rsidRPr="002720D0">
        <w:rPr>
          <w:lang w:val="es-ES_tradnl"/>
        </w:rPr>
        <w:t>padres adoptivos. El Estado p</w:t>
      </w:r>
      <w:r w:rsidR="00422971" w:rsidRPr="002720D0">
        <w:rPr>
          <w:lang w:val="es-ES_tradnl"/>
        </w:rPr>
        <w:t>arte</w:t>
      </w:r>
      <w:r w:rsidR="00B7203A" w:rsidRPr="002720D0">
        <w:rPr>
          <w:lang w:val="es-ES_tradnl"/>
        </w:rPr>
        <w:t xml:space="preserve"> </w:t>
      </w:r>
      <w:r w:rsidR="00422971" w:rsidRPr="002720D0">
        <w:rPr>
          <w:lang w:val="es-ES_tradnl"/>
        </w:rPr>
        <w:t xml:space="preserve">defiende el principio de la repatriación voluntaria de los refugiados, y por tanto su ley en materia de refugiados obliga al país a dar </w:t>
      </w:r>
      <w:r w:rsidR="002720D0" w:rsidRPr="002720D0">
        <w:rPr>
          <w:lang w:val="es-ES_tradnl"/>
        </w:rPr>
        <w:t>cumplimiento</w:t>
      </w:r>
      <w:r w:rsidR="00F83F63" w:rsidRPr="002720D0">
        <w:rPr>
          <w:lang w:val="es-ES_tradnl"/>
        </w:rPr>
        <w:t xml:space="preserve"> al debido proces</w:t>
      </w:r>
      <w:r w:rsidR="00422971" w:rsidRPr="002720D0">
        <w:rPr>
          <w:lang w:val="es-ES_tradnl"/>
        </w:rPr>
        <w:t>o legal antes de proceder a la repatriación de los refugiados a sus países de orige</w:t>
      </w:r>
      <w:r w:rsidR="00F83F63" w:rsidRPr="002720D0">
        <w:rPr>
          <w:lang w:val="es-ES_tradnl"/>
        </w:rPr>
        <w:t>n. Por consiguiente, el Estado p</w:t>
      </w:r>
      <w:r w:rsidR="00422971" w:rsidRPr="002720D0">
        <w:rPr>
          <w:lang w:val="es-ES_tradnl"/>
        </w:rPr>
        <w:t xml:space="preserve">arte alienta a los refugiados a regresar a sus países de origen por voluntad propia. La mejora en la </w:t>
      </w:r>
      <w:r w:rsidR="00F83F63" w:rsidRPr="002720D0">
        <w:rPr>
          <w:lang w:val="es-ES_tradnl"/>
        </w:rPr>
        <w:t>estabilidad</w:t>
      </w:r>
      <w:r w:rsidR="00422971" w:rsidRPr="002720D0">
        <w:rPr>
          <w:lang w:val="es-ES_tradnl"/>
        </w:rPr>
        <w:t xml:space="preserve"> política </w:t>
      </w:r>
      <w:r w:rsidR="00F83F63" w:rsidRPr="002720D0">
        <w:rPr>
          <w:lang w:val="es-ES_tradnl"/>
        </w:rPr>
        <w:t>en</w:t>
      </w:r>
      <w:r w:rsidR="00422971" w:rsidRPr="002720D0">
        <w:rPr>
          <w:lang w:val="es-ES_tradnl"/>
        </w:rPr>
        <w:t xml:space="preserve"> los estados vecinos ha </w:t>
      </w:r>
      <w:r w:rsidR="00F83F63" w:rsidRPr="002720D0">
        <w:rPr>
          <w:lang w:val="es-ES_tradnl"/>
        </w:rPr>
        <w:t>llevado al Estado p</w:t>
      </w:r>
      <w:r w:rsidR="00422971" w:rsidRPr="002720D0">
        <w:rPr>
          <w:lang w:val="es-ES_tradnl"/>
        </w:rPr>
        <w:t>arte a alentar a los refugiados</w:t>
      </w:r>
      <w:r w:rsidR="00B7203A" w:rsidRPr="002720D0">
        <w:rPr>
          <w:lang w:val="es-ES_tradnl"/>
        </w:rPr>
        <w:t xml:space="preserve"> y a sus hijos a regresar a sus</w:t>
      </w:r>
      <w:r w:rsidR="00422971" w:rsidRPr="002720D0">
        <w:rPr>
          <w:lang w:val="es-ES_tradnl"/>
        </w:rPr>
        <w:t xml:space="preserve"> países de origen, </w:t>
      </w:r>
      <w:r w:rsidR="00F83F63" w:rsidRPr="002720D0">
        <w:rPr>
          <w:lang w:val="es-ES_tradnl"/>
        </w:rPr>
        <w:t>aún cuando algunos de ellos dude</w:t>
      </w:r>
      <w:r w:rsidR="00422971" w:rsidRPr="002720D0">
        <w:rPr>
          <w:lang w:val="es-ES_tradnl"/>
        </w:rPr>
        <w:t xml:space="preserve">n en hacerlo </w:t>
      </w:r>
      <w:r w:rsidR="00F83F63" w:rsidRPr="002720D0">
        <w:rPr>
          <w:lang w:val="es-ES_tradnl"/>
        </w:rPr>
        <w:t>por</w:t>
      </w:r>
      <w:r w:rsidR="00422971" w:rsidRPr="002720D0">
        <w:rPr>
          <w:lang w:val="es-ES_tradnl"/>
        </w:rPr>
        <w:t xml:space="preserve"> temor </w:t>
      </w:r>
      <w:r w:rsidR="00F83F63" w:rsidRPr="002720D0">
        <w:rPr>
          <w:lang w:val="es-ES_tradnl"/>
        </w:rPr>
        <w:t>a</w:t>
      </w:r>
      <w:r w:rsidR="00422971" w:rsidRPr="002720D0">
        <w:rPr>
          <w:lang w:val="es-ES_tradnl"/>
        </w:rPr>
        <w:t xml:space="preserve"> que se </w:t>
      </w:r>
      <w:r w:rsidR="00114893" w:rsidRPr="002720D0">
        <w:rPr>
          <w:lang w:val="es-ES_tradnl"/>
        </w:rPr>
        <w:t>vuelva a producir una</w:t>
      </w:r>
      <w:r w:rsidR="00422971" w:rsidRPr="002720D0">
        <w:rPr>
          <w:lang w:val="es-ES_tradnl"/>
        </w:rPr>
        <w:t xml:space="preserve"> situación de inestabilidad política. </w:t>
      </w:r>
    </w:p>
    <w:p w:rsidR="00151021" w:rsidRPr="002720D0" w:rsidRDefault="004F6364" w:rsidP="004F6364">
      <w:pPr>
        <w:pStyle w:val="SingleTxtG"/>
        <w:tabs>
          <w:tab w:val="left" w:pos="-360"/>
        </w:tabs>
        <w:rPr>
          <w:lang w:val="es-ES_tradnl"/>
        </w:rPr>
      </w:pPr>
      <w:r w:rsidRPr="002720D0">
        <w:rPr>
          <w:lang w:val="es-ES_tradnl"/>
        </w:rPr>
        <w:t>241.</w:t>
      </w:r>
      <w:r w:rsidRPr="002720D0">
        <w:rPr>
          <w:lang w:val="es-ES_tradnl"/>
        </w:rPr>
        <w:tab/>
      </w:r>
      <w:r w:rsidR="00B7203A" w:rsidRPr="002720D0">
        <w:rPr>
          <w:lang w:val="es-ES_tradnl"/>
        </w:rPr>
        <w:t>En cumplimiento de la recomendación del Comité a efectos de que</w:t>
      </w:r>
      <w:r w:rsidR="00B7203A" w:rsidRPr="002720D0">
        <w:rPr>
          <w:bCs/>
          <w:lang w:val="es-ES_tradnl"/>
        </w:rPr>
        <w:t xml:space="preserve"> mejore la protección que aporta y el seguimiento que se da a los casos de violencia sexual o en razón del género, en particular tratándose de niños, el Estado parte, en colaboración con el ACNUR </w:t>
      </w:r>
      <w:r w:rsidR="00206FF2" w:rsidRPr="002720D0">
        <w:rPr>
          <w:bCs/>
          <w:lang w:val="es-ES_tradnl"/>
        </w:rPr>
        <w:t>y</w:t>
      </w:r>
      <w:r w:rsidR="00B7203A" w:rsidRPr="002720D0">
        <w:rPr>
          <w:bCs/>
          <w:lang w:val="es-ES_tradnl"/>
        </w:rPr>
        <w:t xml:space="preserve"> con sus asociados activos, ha llevado a cabo programas contra la violencia sexual o en razón de género en todos los campamentos de refugiados de su jurisdicción. </w:t>
      </w:r>
    </w:p>
    <w:p w:rsidR="00151021" w:rsidRPr="002720D0" w:rsidRDefault="004F6364" w:rsidP="004F6364">
      <w:pPr>
        <w:pStyle w:val="SingleTxtG"/>
        <w:tabs>
          <w:tab w:val="left" w:pos="-360"/>
        </w:tabs>
        <w:rPr>
          <w:lang w:val="es-ES_tradnl"/>
        </w:rPr>
      </w:pPr>
      <w:r w:rsidRPr="002720D0">
        <w:rPr>
          <w:lang w:val="es-ES_tradnl"/>
        </w:rPr>
        <w:t>242.</w:t>
      </w:r>
      <w:r w:rsidRPr="002720D0">
        <w:rPr>
          <w:lang w:val="es-ES_tradnl"/>
        </w:rPr>
        <w:tab/>
      </w:r>
      <w:r w:rsidR="00206FF2" w:rsidRPr="002720D0">
        <w:rPr>
          <w:lang w:val="es-ES_tradnl"/>
        </w:rPr>
        <w:t>Además, el Estado p</w:t>
      </w:r>
      <w:r w:rsidR="00B7203A" w:rsidRPr="002720D0">
        <w:rPr>
          <w:lang w:val="es-ES_tradnl"/>
        </w:rPr>
        <w:t>arte continúa obteniendo la máxima asistencia y cooperación</w:t>
      </w:r>
      <w:r w:rsidR="001D2A53">
        <w:rPr>
          <w:lang w:val="es-ES_tradnl"/>
        </w:rPr>
        <w:t xml:space="preserve"> </w:t>
      </w:r>
      <w:r w:rsidR="00B7203A" w:rsidRPr="002720D0">
        <w:rPr>
          <w:lang w:val="es-ES_tradnl"/>
        </w:rPr>
        <w:t xml:space="preserve">del ACNUR y sus asociados </w:t>
      </w:r>
      <w:r w:rsidR="00206FF2" w:rsidRPr="002720D0">
        <w:rPr>
          <w:lang w:val="es-ES_tradnl"/>
        </w:rPr>
        <w:t>activos,</w:t>
      </w:r>
      <w:r w:rsidR="00B7203A" w:rsidRPr="002720D0">
        <w:rPr>
          <w:lang w:val="es-ES_tradnl"/>
        </w:rPr>
        <w:t xml:space="preserve"> tanto nacionales como int</w:t>
      </w:r>
      <w:r w:rsidR="00656BAB" w:rsidRPr="002720D0">
        <w:rPr>
          <w:lang w:val="es-ES_tradnl"/>
        </w:rPr>
        <w:t>e</w:t>
      </w:r>
      <w:r w:rsidR="00B7203A" w:rsidRPr="002720D0">
        <w:rPr>
          <w:lang w:val="es-ES_tradnl"/>
        </w:rPr>
        <w:t xml:space="preserve">rnacionales. En este contexto, </w:t>
      </w:r>
      <w:r w:rsidR="00656BAB" w:rsidRPr="002720D0">
        <w:rPr>
          <w:lang w:val="es-ES_tradnl"/>
        </w:rPr>
        <w:t>y como parte</w:t>
      </w:r>
      <w:r w:rsidR="00B7203A" w:rsidRPr="002720D0">
        <w:rPr>
          <w:lang w:val="es-ES_tradnl"/>
        </w:rPr>
        <w:t xml:space="preserve"> de su prestación de servicios a los re</w:t>
      </w:r>
      <w:r w:rsidR="00656BAB" w:rsidRPr="002720D0">
        <w:rPr>
          <w:lang w:val="es-ES_tradnl"/>
        </w:rPr>
        <w:t>f</w:t>
      </w:r>
      <w:r w:rsidR="00B7203A" w:rsidRPr="002720D0">
        <w:rPr>
          <w:lang w:val="es-ES_tradnl"/>
        </w:rPr>
        <w:t>ugiados</w:t>
      </w:r>
      <w:r w:rsidR="00656BAB" w:rsidRPr="002720D0">
        <w:rPr>
          <w:lang w:val="es-ES_tradnl"/>
        </w:rPr>
        <w:t>,</w:t>
      </w:r>
      <w:r w:rsidR="00B7203A" w:rsidRPr="002720D0">
        <w:rPr>
          <w:lang w:val="es-ES_tradnl"/>
        </w:rPr>
        <w:t xml:space="preserve"> </w:t>
      </w:r>
      <w:r w:rsidR="00206FF2" w:rsidRPr="002720D0">
        <w:rPr>
          <w:lang w:val="es-ES_tradnl"/>
        </w:rPr>
        <w:t>el Estado p</w:t>
      </w:r>
      <w:r w:rsidR="00656BAB" w:rsidRPr="002720D0">
        <w:rPr>
          <w:lang w:val="es-ES_tradnl"/>
        </w:rPr>
        <w:t xml:space="preserve">arte inició nuevas intervenciones </w:t>
      </w:r>
      <w:r w:rsidR="00B7203A" w:rsidRPr="002720D0">
        <w:rPr>
          <w:lang w:val="es-ES_tradnl"/>
        </w:rPr>
        <w:t xml:space="preserve">relativas a la provisión de asistencia letrada </w:t>
      </w:r>
      <w:r w:rsidR="00206FF2" w:rsidRPr="002720D0">
        <w:rPr>
          <w:lang w:val="es-ES_tradnl"/>
        </w:rPr>
        <w:t>tanto a los refugiados como</w:t>
      </w:r>
      <w:r w:rsidR="00B7203A" w:rsidRPr="002720D0">
        <w:rPr>
          <w:lang w:val="es-ES_tradnl"/>
        </w:rPr>
        <w:t xml:space="preserve"> a los miembros de las comunidades de acogida de </w:t>
      </w:r>
      <w:r w:rsidR="00206FF2" w:rsidRPr="002720D0">
        <w:rPr>
          <w:lang w:val="es-ES_tradnl"/>
        </w:rPr>
        <w:t>refugiados</w:t>
      </w:r>
      <w:r w:rsidR="00B7203A" w:rsidRPr="002720D0">
        <w:rPr>
          <w:lang w:val="es-ES_tradnl"/>
        </w:rPr>
        <w:t xml:space="preserve">. Dos ONG locales </w:t>
      </w:r>
      <w:r w:rsidR="00206FF2" w:rsidRPr="002720D0">
        <w:rPr>
          <w:lang w:val="es-ES_tradnl"/>
        </w:rPr>
        <w:t>participan en esta actividad desde que se inició</w:t>
      </w:r>
      <w:r w:rsidR="00B7203A" w:rsidRPr="002720D0">
        <w:rPr>
          <w:lang w:val="es-ES_tradnl"/>
        </w:rPr>
        <w:t xml:space="preserve"> en 2006, a saber: </w:t>
      </w:r>
      <w:r w:rsidR="00B7203A" w:rsidRPr="002720D0">
        <w:rPr>
          <w:i/>
          <w:lang w:val="es-ES_tradnl"/>
        </w:rPr>
        <w:t xml:space="preserve">National Organisation for Legal Assistance </w:t>
      </w:r>
      <w:r w:rsidR="00B7203A" w:rsidRPr="002720D0">
        <w:rPr>
          <w:lang w:val="es-ES_tradnl"/>
        </w:rPr>
        <w:t xml:space="preserve">(NOLA) y </w:t>
      </w:r>
      <w:r w:rsidR="00151021" w:rsidRPr="002720D0">
        <w:rPr>
          <w:lang w:val="es-ES_tradnl"/>
        </w:rPr>
        <w:t>Women</w:t>
      </w:r>
      <w:r w:rsidR="001C7E1C">
        <w:rPr>
          <w:lang w:val="es-ES_tradnl"/>
        </w:rPr>
        <w:t>'</w:t>
      </w:r>
      <w:r w:rsidR="00151021" w:rsidRPr="002720D0">
        <w:rPr>
          <w:lang w:val="es-ES_tradnl"/>
        </w:rPr>
        <w:t xml:space="preserve">s Legal Aid Centre (WLAC). </w:t>
      </w:r>
    </w:p>
    <w:p w:rsidR="00151021" w:rsidRPr="002720D0" w:rsidRDefault="004F6364" w:rsidP="004F6364">
      <w:pPr>
        <w:pStyle w:val="SingleTxtG"/>
        <w:tabs>
          <w:tab w:val="left" w:pos="-360"/>
        </w:tabs>
        <w:rPr>
          <w:lang w:val="es-ES_tradnl"/>
        </w:rPr>
      </w:pPr>
      <w:r w:rsidRPr="002720D0">
        <w:rPr>
          <w:lang w:val="es-ES_tradnl"/>
        </w:rPr>
        <w:t>243.</w:t>
      </w:r>
      <w:r w:rsidRPr="002720D0">
        <w:rPr>
          <w:lang w:val="es-ES_tradnl"/>
        </w:rPr>
        <w:tab/>
      </w:r>
      <w:r w:rsidR="00B7203A" w:rsidRPr="002720D0">
        <w:rPr>
          <w:lang w:val="es-ES_tradnl"/>
        </w:rPr>
        <w:t xml:space="preserve">Respecto de los </w:t>
      </w:r>
      <w:r w:rsidR="00151021" w:rsidRPr="002720D0">
        <w:rPr>
          <w:lang w:val="es-ES_tradnl"/>
        </w:rPr>
        <w:t>n</w:t>
      </w:r>
      <w:r w:rsidR="00B7203A" w:rsidRPr="002720D0">
        <w:rPr>
          <w:lang w:val="es-ES_tradnl"/>
        </w:rPr>
        <w:t>iños d</w:t>
      </w:r>
      <w:r w:rsidR="00206FF2" w:rsidRPr="002720D0">
        <w:rPr>
          <w:lang w:val="es-ES_tradnl"/>
        </w:rPr>
        <w:t>esplazados internos, el Estado p</w:t>
      </w:r>
      <w:r w:rsidR="00B7203A" w:rsidRPr="002720D0">
        <w:rPr>
          <w:lang w:val="es-ES_tradnl"/>
        </w:rPr>
        <w:t xml:space="preserve">arte ha instituido Departamentos de Gestión de </w:t>
      </w:r>
      <w:r w:rsidR="00206FF2" w:rsidRPr="002720D0">
        <w:rPr>
          <w:lang w:val="es-ES_tradnl"/>
        </w:rPr>
        <w:t>Catástrofes</w:t>
      </w:r>
      <w:r w:rsidR="00B7203A" w:rsidRPr="002720D0">
        <w:rPr>
          <w:lang w:val="es-ES_tradnl"/>
        </w:rPr>
        <w:t xml:space="preserve"> tanto en el Gabinete del Primer Ministro, en Tanzanía continental, como en el Gabinete del Segundo Vicepresidente en las Islas, desde donde se coordina la </w:t>
      </w:r>
      <w:r w:rsidR="00206FF2" w:rsidRPr="002720D0">
        <w:rPr>
          <w:lang w:val="es-ES_tradnl"/>
        </w:rPr>
        <w:t>correspondiente gestión</w:t>
      </w:r>
      <w:r w:rsidR="00B7203A" w:rsidRPr="002720D0">
        <w:rPr>
          <w:lang w:val="es-ES_tradnl"/>
        </w:rPr>
        <w:t>. Estos departamento</w:t>
      </w:r>
      <w:r w:rsidR="00206FF2" w:rsidRPr="002720D0">
        <w:rPr>
          <w:lang w:val="es-ES_tradnl"/>
        </w:rPr>
        <w:t>s responden ante las catástrofes</w:t>
      </w:r>
      <w:r w:rsidR="00B7203A" w:rsidRPr="002720D0">
        <w:rPr>
          <w:lang w:val="es-ES_tradnl"/>
        </w:rPr>
        <w:t xml:space="preserve">; por ejemplo, cuando se produjeron explosiones en las instalaciones militares de </w:t>
      </w:r>
      <w:r w:rsidR="00151021" w:rsidRPr="002720D0">
        <w:rPr>
          <w:lang w:val="es-ES_tradnl"/>
        </w:rPr>
        <w:t xml:space="preserve">Gongo la Mboto </w:t>
      </w:r>
      <w:r w:rsidR="00B7203A" w:rsidRPr="002720D0">
        <w:rPr>
          <w:lang w:val="es-ES_tradnl"/>
        </w:rPr>
        <w:t>y</w:t>
      </w:r>
      <w:r w:rsidR="00151021" w:rsidRPr="002720D0">
        <w:rPr>
          <w:lang w:val="es-ES_tradnl"/>
        </w:rPr>
        <w:t xml:space="preserve"> Mbagala, </w:t>
      </w:r>
      <w:r w:rsidR="00B7203A" w:rsidRPr="002720D0">
        <w:rPr>
          <w:lang w:val="es-ES_tradnl"/>
        </w:rPr>
        <w:t xml:space="preserve">en las afueras de la ciudad de </w:t>
      </w:r>
      <w:r w:rsidR="00782B12" w:rsidRPr="002720D0">
        <w:rPr>
          <w:lang w:val="es-ES_tradnl"/>
        </w:rPr>
        <w:t>Dar es Salaam</w:t>
      </w:r>
      <w:r w:rsidR="00151021" w:rsidRPr="002720D0">
        <w:rPr>
          <w:lang w:val="es-ES_tradnl"/>
        </w:rPr>
        <w:t xml:space="preserve">, </w:t>
      </w:r>
      <w:r w:rsidR="008B0EBB" w:rsidRPr="002720D0">
        <w:rPr>
          <w:lang w:val="es-ES_tradnl"/>
        </w:rPr>
        <w:t xml:space="preserve">las inundaciones en </w:t>
      </w:r>
      <w:r w:rsidR="00151021" w:rsidRPr="002720D0">
        <w:rPr>
          <w:lang w:val="es-ES_tradnl"/>
        </w:rPr>
        <w:t xml:space="preserve">Morogoro </w:t>
      </w:r>
      <w:r w:rsidR="008B0EBB" w:rsidRPr="002720D0">
        <w:rPr>
          <w:lang w:val="es-ES_tradnl"/>
        </w:rPr>
        <w:t>y el accidente de transbordador en el Océano Índico próximo a Zanzíbar, los departamentos desplegaron a su personal para prestar asistencia a los militares y al depart</w:t>
      </w:r>
      <w:r w:rsidR="00206FF2" w:rsidRPr="002720D0">
        <w:rPr>
          <w:lang w:val="es-ES_tradnl"/>
        </w:rPr>
        <w:t>amento de bienestar social en la</w:t>
      </w:r>
      <w:r w:rsidR="008B0EBB" w:rsidRPr="002720D0">
        <w:rPr>
          <w:lang w:val="es-ES_tradnl"/>
        </w:rPr>
        <w:t xml:space="preserve"> atención a las víctimas, en particular los niños y los ancianos. </w:t>
      </w:r>
    </w:p>
    <w:p w:rsidR="00151021" w:rsidRPr="002720D0" w:rsidRDefault="008B0EBB" w:rsidP="00586395">
      <w:pPr>
        <w:pStyle w:val="H1G"/>
        <w:outlineLvl w:val="0"/>
        <w:rPr>
          <w:lang w:val="es-ES_tradnl"/>
        </w:rPr>
      </w:pPr>
      <w:bookmarkStart w:id="51" w:name="_Toc313470887"/>
      <w:r w:rsidRPr="002720D0">
        <w:rPr>
          <w:lang w:val="es-ES_tradnl"/>
        </w:rPr>
        <w:tab/>
        <w:t>8.2</w:t>
      </w:r>
      <w:r w:rsidRPr="002720D0">
        <w:rPr>
          <w:lang w:val="es-ES_tradnl"/>
        </w:rPr>
        <w:tab/>
        <w:t>Niños</w:t>
      </w:r>
      <w:r w:rsidR="0065208D" w:rsidRPr="002720D0">
        <w:rPr>
          <w:lang w:val="es-ES_tradnl"/>
        </w:rPr>
        <w:t xml:space="preserve"> en conflictos armados (art</w:t>
      </w:r>
      <w:r w:rsidRPr="002720D0">
        <w:rPr>
          <w:lang w:val="es-ES_tradnl"/>
        </w:rPr>
        <w:t>s</w:t>
      </w:r>
      <w:r w:rsidR="0065208D" w:rsidRPr="002720D0">
        <w:rPr>
          <w:lang w:val="es-ES_tradnl"/>
        </w:rPr>
        <w:t>.</w:t>
      </w:r>
      <w:r w:rsidRPr="002720D0">
        <w:rPr>
          <w:lang w:val="es-ES_tradnl"/>
        </w:rPr>
        <w:t xml:space="preserve"> 38 y 39)</w:t>
      </w:r>
      <w:bookmarkEnd w:id="51"/>
    </w:p>
    <w:p w:rsidR="00151021" w:rsidRPr="002720D0" w:rsidRDefault="007202A1" w:rsidP="00586395">
      <w:pPr>
        <w:pStyle w:val="H23G"/>
        <w:outlineLvl w:val="0"/>
        <w:rPr>
          <w:lang w:val="es-ES_tradnl"/>
        </w:rPr>
      </w:pPr>
      <w:r w:rsidRPr="002720D0">
        <w:rPr>
          <w:lang w:val="es-ES_tradnl"/>
        </w:rPr>
        <w:tab/>
      </w:r>
      <w:r w:rsidR="00914E2E" w:rsidRPr="002720D0">
        <w:rPr>
          <w:lang w:val="es-ES_tradnl"/>
        </w:rPr>
        <w:t>a)</w:t>
      </w:r>
      <w:r w:rsidR="00914E2E" w:rsidRPr="002720D0">
        <w:rPr>
          <w:lang w:val="es-ES_tradnl"/>
        </w:rPr>
        <w:tab/>
      </w:r>
      <w:r w:rsidRPr="002720D0">
        <w:rPr>
          <w:lang w:val="es-ES_tradnl"/>
        </w:rPr>
        <w:t>Edad mínima para el alistamiento militar</w:t>
      </w:r>
    </w:p>
    <w:p w:rsidR="00151021" w:rsidRPr="002720D0" w:rsidRDefault="004F6364" w:rsidP="004F6364">
      <w:pPr>
        <w:pStyle w:val="SingleTxtG"/>
        <w:tabs>
          <w:tab w:val="left" w:pos="-360"/>
        </w:tabs>
        <w:rPr>
          <w:lang w:val="es-ES_tradnl"/>
        </w:rPr>
      </w:pPr>
      <w:r w:rsidRPr="002720D0">
        <w:rPr>
          <w:lang w:val="es-ES_tradnl"/>
        </w:rPr>
        <w:t>244.</w:t>
      </w:r>
      <w:r w:rsidRPr="002720D0">
        <w:rPr>
          <w:lang w:val="es-ES_tradnl"/>
        </w:rPr>
        <w:tab/>
      </w:r>
      <w:r w:rsidR="007202A1" w:rsidRPr="002720D0">
        <w:rPr>
          <w:lang w:val="es-ES_tradnl"/>
        </w:rPr>
        <w:t xml:space="preserve">En sus Observaciones </w:t>
      </w:r>
      <w:r w:rsidR="007202A1" w:rsidRPr="0074022F">
        <w:rPr>
          <w:lang w:val="es-ES_tradnl"/>
        </w:rPr>
        <w:t xml:space="preserve">finales </w:t>
      </w:r>
      <w:r w:rsidR="00206FF2" w:rsidRPr="0074022F">
        <w:rPr>
          <w:lang w:val="es-ES_tradnl"/>
        </w:rPr>
        <w:t xml:space="preserve">previas </w:t>
      </w:r>
      <w:r w:rsidR="007202A1" w:rsidRPr="0074022F">
        <w:rPr>
          <w:lang w:val="es-ES_tradnl"/>
        </w:rPr>
        <w:t xml:space="preserve">sobre el </w:t>
      </w:r>
      <w:r w:rsidR="009C1BCC" w:rsidRPr="0074022F">
        <w:rPr>
          <w:lang w:val="es-ES_tradnl"/>
        </w:rPr>
        <w:t xml:space="preserve">Protocolo </w:t>
      </w:r>
      <w:r w:rsidR="00C45F16" w:rsidRPr="0074022F">
        <w:rPr>
          <w:lang w:val="es-ES_tradnl"/>
        </w:rPr>
        <w:t xml:space="preserve">facultativo </w:t>
      </w:r>
      <w:r w:rsidR="007202A1" w:rsidRPr="0074022F">
        <w:rPr>
          <w:lang w:val="es-ES_tradnl"/>
        </w:rPr>
        <w:t xml:space="preserve">de la Convención sobre los Derechos del Niño relativo a la participación de niños en los conflictos armados, el Comité recomendó </w:t>
      </w:r>
      <w:r w:rsidR="00B25211" w:rsidRPr="0074022F">
        <w:rPr>
          <w:lang w:val="es-ES_tradnl"/>
        </w:rPr>
        <w:t>al</w:t>
      </w:r>
      <w:r w:rsidR="00B25211" w:rsidRPr="002720D0">
        <w:rPr>
          <w:lang w:val="es-ES_tradnl"/>
        </w:rPr>
        <w:t xml:space="preserve"> </w:t>
      </w:r>
      <w:r w:rsidR="007202A1" w:rsidRPr="002720D0">
        <w:rPr>
          <w:lang w:val="es-ES_tradnl"/>
        </w:rPr>
        <w:t>Estad</w:t>
      </w:r>
      <w:r w:rsidR="00206FF2" w:rsidRPr="002720D0">
        <w:rPr>
          <w:lang w:val="es-ES_tradnl"/>
        </w:rPr>
        <w:t>o p</w:t>
      </w:r>
      <w:r w:rsidR="007202A1" w:rsidRPr="002720D0">
        <w:rPr>
          <w:lang w:val="es-ES_tradnl"/>
        </w:rPr>
        <w:t xml:space="preserve">arte </w:t>
      </w:r>
      <w:r w:rsidR="00B25211" w:rsidRPr="002720D0">
        <w:rPr>
          <w:lang w:val="es-ES_tradnl"/>
        </w:rPr>
        <w:t>que estudiara</w:t>
      </w:r>
      <w:r w:rsidR="007202A1" w:rsidRPr="002720D0">
        <w:rPr>
          <w:lang w:val="es-ES_tradnl"/>
        </w:rPr>
        <w:t xml:space="preserve"> la posibilidad de revisar su legislación para </w:t>
      </w:r>
      <w:r w:rsidR="00833233">
        <w:rPr>
          <w:lang w:val="es-ES_tradnl"/>
        </w:rPr>
        <w:t>cerciorarse de que fuera</w:t>
      </w:r>
      <w:r w:rsidR="007202A1" w:rsidRPr="002720D0">
        <w:rPr>
          <w:lang w:val="es-ES_tradnl"/>
        </w:rPr>
        <w:t xml:space="preserve"> absoluta</w:t>
      </w:r>
      <w:r w:rsidR="00B25211" w:rsidRPr="002720D0">
        <w:rPr>
          <w:lang w:val="es-ES_tradnl"/>
        </w:rPr>
        <w:t>mente</w:t>
      </w:r>
      <w:r w:rsidR="007202A1" w:rsidRPr="002720D0">
        <w:rPr>
          <w:lang w:val="es-ES_tradnl"/>
        </w:rPr>
        <w:t xml:space="preserve"> </w:t>
      </w:r>
      <w:r w:rsidR="00B25211" w:rsidRPr="002720D0">
        <w:rPr>
          <w:lang w:val="es-ES_tradnl"/>
        </w:rPr>
        <w:t>imposible</w:t>
      </w:r>
      <w:r w:rsidR="007202A1" w:rsidRPr="002720D0">
        <w:rPr>
          <w:lang w:val="es-ES_tradnl"/>
        </w:rPr>
        <w:t xml:space="preserve"> reclutar a </w:t>
      </w:r>
      <w:r w:rsidR="00B25211" w:rsidRPr="002720D0">
        <w:rPr>
          <w:lang w:val="es-ES_tradnl"/>
        </w:rPr>
        <w:t>menores de</w:t>
      </w:r>
      <w:r w:rsidR="007202A1" w:rsidRPr="002720D0">
        <w:rPr>
          <w:lang w:val="es-ES_tradnl"/>
        </w:rPr>
        <w:t xml:space="preserve"> 18 años. </w:t>
      </w:r>
    </w:p>
    <w:p w:rsidR="00151021" w:rsidRPr="002720D0" w:rsidRDefault="004F6364" w:rsidP="004F6364">
      <w:pPr>
        <w:pStyle w:val="SingleTxtG"/>
        <w:tabs>
          <w:tab w:val="left" w:pos="-360"/>
        </w:tabs>
        <w:rPr>
          <w:lang w:val="es-ES_tradnl"/>
        </w:rPr>
      </w:pPr>
      <w:r w:rsidRPr="002720D0">
        <w:rPr>
          <w:lang w:val="es-ES_tradnl"/>
        </w:rPr>
        <w:t>245.</w:t>
      </w:r>
      <w:r w:rsidRPr="002720D0">
        <w:rPr>
          <w:lang w:val="es-ES_tradnl"/>
        </w:rPr>
        <w:tab/>
      </w:r>
      <w:r w:rsidR="00BF646C" w:rsidRPr="002720D0">
        <w:rPr>
          <w:lang w:val="es-ES_tradnl"/>
        </w:rPr>
        <w:t xml:space="preserve">La legislación vigente relativa a la edad mínima para el alistamiento militar se promulgó en el artículo 29 6) de la Ley de </w:t>
      </w:r>
      <w:r w:rsidR="00C04BD0" w:rsidRPr="002720D0">
        <w:rPr>
          <w:lang w:val="es-ES_tradnl"/>
        </w:rPr>
        <w:t>Defensa Nacional</w:t>
      </w:r>
      <w:r w:rsidR="00151021" w:rsidRPr="002720D0">
        <w:rPr>
          <w:rStyle w:val="FootnoteReference"/>
          <w:lang w:val="es-ES_tradnl"/>
        </w:rPr>
        <w:footnoteReference w:id="99"/>
      </w:r>
      <w:r w:rsidR="00BF646C" w:rsidRPr="002720D0">
        <w:rPr>
          <w:lang w:val="es-ES_tradnl"/>
        </w:rPr>
        <w:t xml:space="preserve">, por el que se dispone lo siguiente: </w:t>
      </w:r>
      <w:r w:rsidR="001D2A53">
        <w:rPr>
          <w:lang w:val="es-ES_tradnl"/>
        </w:rPr>
        <w:t>"</w:t>
      </w:r>
      <w:r w:rsidR="00BF646C" w:rsidRPr="002720D0">
        <w:rPr>
          <w:lang w:val="es-ES_tradnl"/>
        </w:rPr>
        <w:t>Ninguna persona que aparente tener menos de 18 años de edad se alistará sin</w:t>
      </w:r>
      <w:r w:rsidR="001D2A53">
        <w:rPr>
          <w:lang w:val="es-ES_tradnl"/>
        </w:rPr>
        <w:t xml:space="preserve"> </w:t>
      </w:r>
      <w:r w:rsidR="00BF646C" w:rsidRPr="002720D0">
        <w:rPr>
          <w:lang w:val="es-ES_tradnl"/>
        </w:rPr>
        <w:t xml:space="preserve">que obre el consentimiento por escrito de uno de sus progenitores o de su tutor, o, en el supuesto de que los padres hayan fallecido o de que </w:t>
      </w:r>
      <w:r w:rsidR="00B11C81" w:rsidRPr="002720D0">
        <w:rPr>
          <w:lang w:val="es-ES_tradnl"/>
        </w:rPr>
        <w:t>se desconozca su identidad, d</w:t>
      </w:r>
      <w:r w:rsidR="00BF646C" w:rsidRPr="002720D0">
        <w:rPr>
          <w:lang w:val="es-ES_tradnl"/>
        </w:rPr>
        <w:t>el Comisionado de Distrito del Distri</w:t>
      </w:r>
      <w:r w:rsidR="00B11C81" w:rsidRPr="002720D0">
        <w:rPr>
          <w:lang w:val="es-ES_tradnl"/>
        </w:rPr>
        <w:t>to en el que resida esa persona</w:t>
      </w:r>
      <w:r w:rsidR="001D2A53">
        <w:rPr>
          <w:lang w:val="es-ES_tradnl"/>
        </w:rPr>
        <w:t>"</w:t>
      </w:r>
      <w:r w:rsidR="00B11C81" w:rsidRPr="002720D0">
        <w:rPr>
          <w:lang w:val="es-ES_tradnl"/>
        </w:rPr>
        <w:t>.</w:t>
      </w:r>
      <w:r w:rsidR="00BF646C" w:rsidRPr="002720D0">
        <w:rPr>
          <w:lang w:val="es-ES_tradnl"/>
        </w:rPr>
        <w:t xml:space="preserve"> Esta ley se ha de aplicar conjuntamente con las disposiciones de la Ley </w:t>
      </w:r>
      <w:r w:rsidR="00B11C81" w:rsidRPr="002720D0">
        <w:rPr>
          <w:lang w:val="es-ES_tradnl"/>
        </w:rPr>
        <w:t xml:space="preserve">de la </w:t>
      </w:r>
      <w:r w:rsidR="00C04BD0" w:rsidRPr="002720D0">
        <w:rPr>
          <w:lang w:val="es-ES_tradnl"/>
        </w:rPr>
        <w:t xml:space="preserve">Infancia </w:t>
      </w:r>
      <w:r w:rsidR="00B11C81" w:rsidRPr="002720D0">
        <w:rPr>
          <w:lang w:val="es-ES_tradnl"/>
        </w:rPr>
        <w:t xml:space="preserve">y de la Ley del </w:t>
      </w:r>
      <w:r w:rsidR="00C04BD0" w:rsidRPr="002720D0">
        <w:rPr>
          <w:lang w:val="es-ES_tradnl"/>
        </w:rPr>
        <w:t xml:space="preserve">Niño </w:t>
      </w:r>
      <w:r w:rsidR="00BF646C" w:rsidRPr="002720D0">
        <w:rPr>
          <w:lang w:val="es-ES_tradnl"/>
        </w:rPr>
        <w:t xml:space="preserve">de </w:t>
      </w:r>
      <w:r w:rsidR="002720D0" w:rsidRPr="002720D0">
        <w:rPr>
          <w:lang w:val="es-ES_tradnl"/>
        </w:rPr>
        <w:t>Zanzíbar</w:t>
      </w:r>
      <w:r w:rsidR="00BF646C" w:rsidRPr="002720D0">
        <w:rPr>
          <w:lang w:val="es-ES_tradnl"/>
        </w:rPr>
        <w:t xml:space="preserve"> correspondientes al empleo de los niños. Ambas leyes de la </w:t>
      </w:r>
      <w:r w:rsidR="00B11C81" w:rsidRPr="002720D0">
        <w:rPr>
          <w:lang w:val="es-ES_tradnl"/>
        </w:rPr>
        <w:t>niñez</w:t>
      </w:r>
      <w:r w:rsidR="00BF646C" w:rsidRPr="002720D0">
        <w:rPr>
          <w:lang w:val="es-ES_tradnl"/>
        </w:rPr>
        <w:t xml:space="preserve"> prohíben tanto el trabajo</w:t>
      </w:r>
      <w:r w:rsidR="001D2A53">
        <w:rPr>
          <w:lang w:val="es-ES_tradnl"/>
        </w:rPr>
        <w:t xml:space="preserve"> </w:t>
      </w:r>
      <w:r w:rsidR="00BF646C" w:rsidRPr="002720D0">
        <w:rPr>
          <w:lang w:val="es-ES_tradnl"/>
        </w:rPr>
        <w:t>forzoso de los niños</w:t>
      </w:r>
      <w:r w:rsidR="00151021" w:rsidRPr="002720D0">
        <w:rPr>
          <w:rStyle w:val="FootnoteReference"/>
          <w:lang w:val="es-ES_tradnl"/>
        </w:rPr>
        <w:footnoteReference w:id="100"/>
      </w:r>
      <w:r w:rsidR="00151021" w:rsidRPr="002720D0">
        <w:rPr>
          <w:lang w:val="es-ES_tradnl"/>
        </w:rPr>
        <w:t xml:space="preserve"> </w:t>
      </w:r>
      <w:r w:rsidR="00BF646C" w:rsidRPr="002720D0">
        <w:rPr>
          <w:lang w:val="es-ES_tradnl"/>
        </w:rPr>
        <w:t xml:space="preserve">como el empleo de los niños en </w:t>
      </w:r>
      <w:r w:rsidR="00AD793A" w:rsidRPr="002720D0">
        <w:rPr>
          <w:lang w:val="es-ES_tradnl"/>
        </w:rPr>
        <w:t>trabajos abusivos</w:t>
      </w:r>
      <w:r w:rsidR="00151021" w:rsidRPr="002720D0">
        <w:rPr>
          <w:rStyle w:val="FootnoteReference"/>
          <w:lang w:val="es-ES_tradnl"/>
        </w:rPr>
        <w:footnoteReference w:id="101"/>
      </w:r>
      <w:r w:rsidR="00AD793A" w:rsidRPr="002720D0">
        <w:rPr>
          <w:lang w:val="es-ES_tradnl"/>
        </w:rPr>
        <w:t>. Por consiguiente, el alistamiento mil</w:t>
      </w:r>
      <w:r w:rsidR="00B11C81" w:rsidRPr="002720D0">
        <w:rPr>
          <w:lang w:val="es-ES_tradnl"/>
        </w:rPr>
        <w:t>itar de los niños en el Estado p</w:t>
      </w:r>
      <w:r w:rsidR="00AD793A" w:rsidRPr="002720D0">
        <w:rPr>
          <w:lang w:val="es-ES_tradnl"/>
        </w:rPr>
        <w:t xml:space="preserve">arte </w:t>
      </w:r>
      <w:r w:rsidR="00B11C81" w:rsidRPr="002720D0">
        <w:rPr>
          <w:lang w:val="es-ES_tradnl"/>
        </w:rPr>
        <w:t>podría no ajustarse a</w:t>
      </w:r>
      <w:r w:rsidR="00AD793A" w:rsidRPr="002720D0">
        <w:rPr>
          <w:lang w:val="es-ES_tradnl"/>
        </w:rPr>
        <w:t xml:space="preserve"> estas leyes. </w:t>
      </w:r>
      <w:r w:rsidR="00B11C81" w:rsidRPr="002720D0">
        <w:rPr>
          <w:lang w:val="es-ES_tradnl"/>
        </w:rPr>
        <w:t>Por otra parte</w:t>
      </w:r>
      <w:r w:rsidR="00AD793A" w:rsidRPr="002720D0">
        <w:rPr>
          <w:lang w:val="es-ES_tradnl"/>
        </w:rPr>
        <w:t>, las f</w:t>
      </w:r>
      <w:r w:rsidR="00B11C81" w:rsidRPr="002720D0">
        <w:rPr>
          <w:lang w:val="es-ES_tradnl"/>
        </w:rPr>
        <w:t>uerzas de defensa del Estado p</w:t>
      </w:r>
      <w:r w:rsidR="00AD793A" w:rsidRPr="002720D0">
        <w:rPr>
          <w:lang w:val="es-ES_tradnl"/>
        </w:rPr>
        <w:t xml:space="preserve">arte no han reclutado a ningún </w:t>
      </w:r>
      <w:r w:rsidR="00B11C81" w:rsidRPr="002720D0">
        <w:rPr>
          <w:lang w:val="es-ES_tradnl"/>
        </w:rPr>
        <w:t>niño durante el período que se examina</w:t>
      </w:r>
      <w:r w:rsidR="00833233">
        <w:rPr>
          <w:lang w:val="es-ES_tradnl"/>
        </w:rPr>
        <w:t xml:space="preserve"> en virtud de las disposiciones</w:t>
      </w:r>
      <w:r w:rsidR="00AD793A" w:rsidRPr="002720D0">
        <w:rPr>
          <w:lang w:val="es-ES_tradnl"/>
        </w:rPr>
        <w:t xml:space="preserve"> del </w:t>
      </w:r>
      <w:r w:rsidR="00833233">
        <w:rPr>
          <w:lang w:val="es-ES_tradnl"/>
        </w:rPr>
        <w:t xml:space="preserve">párrafo 6) del </w:t>
      </w:r>
      <w:r w:rsidR="002720D0" w:rsidRPr="002720D0">
        <w:rPr>
          <w:lang w:val="es-ES_tradnl"/>
        </w:rPr>
        <w:t>artículo</w:t>
      </w:r>
      <w:r w:rsidR="00833233">
        <w:rPr>
          <w:lang w:val="es-ES_tradnl"/>
        </w:rPr>
        <w:t xml:space="preserve"> 29 </w:t>
      </w:r>
      <w:r w:rsidR="00AD793A" w:rsidRPr="002720D0">
        <w:rPr>
          <w:lang w:val="es-ES_tradnl"/>
        </w:rPr>
        <w:t xml:space="preserve">de la Ley de </w:t>
      </w:r>
      <w:r w:rsidR="00C04BD0" w:rsidRPr="002720D0">
        <w:rPr>
          <w:lang w:val="es-ES_tradnl"/>
        </w:rPr>
        <w:t>Defensa Nacional</w:t>
      </w:r>
      <w:r w:rsidR="00C04BD0">
        <w:rPr>
          <w:lang w:val="es-ES_tradnl"/>
        </w:rPr>
        <w:t>.</w:t>
      </w:r>
    </w:p>
    <w:p w:rsidR="00151021" w:rsidRPr="002720D0" w:rsidRDefault="00AD793A" w:rsidP="00586395">
      <w:pPr>
        <w:pStyle w:val="H23G"/>
        <w:outlineLvl w:val="0"/>
        <w:rPr>
          <w:lang w:val="es-ES_tradnl"/>
        </w:rPr>
      </w:pPr>
      <w:r w:rsidRPr="002720D0">
        <w:rPr>
          <w:lang w:val="es-ES_tradnl"/>
        </w:rPr>
        <w:tab/>
      </w:r>
      <w:r w:rsidR="00914E2E" w:rsidRPr="002720D0">
        <w:rPr>
          <w:lang w:val="es-ES_tradnl"/>
        </w:rPr>
        <w:t>b)</w:t>
      </w:r>
      <w:r w:rsidR="00914E2E" w:rsidRPr="002720D0">
        <w:rPr>
          <w:lang w:val="es-ES_tradnl"/>
        </w:rPr>
        <w:tab/>
      </w:r>
      <w:r w:rsidR="00B25211" w:rsidRPr="002720D0">
        <w:rPr>
          <w:lang w:val="es-ES_tradnl"/>
        </w:rPr>
        <w:t>Inscripción de</w:t>
      </w:r>
      <w:r w:rsidR="00444122" w:rsidRPr="002720D0">
        <w:rPr>
          <w:lang w:val="es-ES_tradnl"/>
        </w:rPr>
        <w:t xml:space="preserve"> nacimiento</w:t>
      </w:r>
      <w:r w:rsidR="00B25211" w:rsidRPr="002720D0">
        <w:rPr>
          <w:lang w:val="es-ES_tradnl"/>
        </w:rPr>
        <w:t>s</w:t>
      </w:r>
    </w:p>
    <w:p w:rsidR="00151021" w:rsidRPr="002720D0" w:rsidRDefault="004F6364" w:rsidP="004F6364">
      <w:pPr>
        <w:pStyle w:val="SingleTxtG"/>
        <w:tabs>
          <w:tab w:val="left" w:pos="-360"/>
        </w:tabs>
        <w:rPr>
          <w:lang w:val="es-ES_tradnl"/>
        </w:rPr>
      </w:pPr>
      <w:r w:rsidRPr="002720D0">
        <w:rPr>
          <w:lang w:val="es-ES_tradnl"/>
        </w:rPr>
        <w:t>246.</w:t>
      </w:r>
      <w:r w:rsidRPr="002720D0">
        <w:rPr>
          <w:lang w:val="es-ES_tradnl"/>
        </w:rPr>
        <w:tab/>
      </w:r>
      <w:r w:rsidR="00B11C81" w:rsidRPr="002720D0">
        <w:rPr>
          <w:lang w:val="es-ES_tradnl"/>
        </w:rPr>
        <w:t>El Comité alentó al Estado p</w:t>
      </w:r>
      <w:r w:rsidR="00444122" w:rsidRPr="002720D0">
        <w:rPr>
          <w:lang w:val="es-ES_tradnl"/>
        </w:rPr>
        <w:t xml:space="preserve">arte a </w:t>
      </w:r>
      <w:r w:rsidR="00B25211" w:rsidRPr="002720D0">
        <w:rPr>
          <w:lang w:val="es-ES_tradnl"/>
        </w:rPr>
        <w:t>que mejorase su sistema de inscripción de</w:t>
      </w:r>
      <w:r w:rsidR="00444122" w:rsidRPr="002720D0">
        <w:rPr>
          <w:lang w:val="es-ES_tradnl"/>
        </w:rPr>
        <w:t xml:space="preserve"> nacimiento</w:t>
      </w:r>
      <w:r w:rsidR="00B25211" w:rsidRPr="002720D0">
        <w:rPr>
          <w:lang w:val="es-ES_tradnl"/>
        </w:rPr>
        <w:t>s</w:t>
      </w:r>
      <w:r w:rsidR="00444122" w:rsidRPr="002720D0">
        <w:rPr>
          <w:lang w:val="es-ES_tradnl"/>
        </w:rPr>
        <w:t xml:space="preserve"> en el contexto de sus Observaciones finales sobre el segundo informe</w:t>
      </w:r>
      <w:r w:rsidR="009861DC" w:rsidRPr="002720D0">
        <w:rPr>
          <w:lang w:val="es-ES_tradnl"/>
        </w:rPr>
        <w:t xml:space="preserve"> </w:t>
      </w:r>
      <w:r w:rsidR="00B25211" w:rsidRPr="002720D0">
        <w:rPr>
          <w:lang w:val="es-ES_tradnl"/>
        </w:rPr>
        <w:t>periódico</w:t>
      </w:r>
      <w:r w:rsidR="009861DC" w:rsidRPr="002720D0">
        <w:rPr>
          <w:lang w:val="es-ES_tradnl"/>
        </w:rPr>
        <w:t xml:space="preserve"> de Tanz</w:t>
      </w:r>
      <w:r w:rsidR="00444122" w:rsidRPr="002720D0">
        <w:rPr>
          <w:lang w:val="es-ES_tradnl"/>
        </w:rPr>
        <w:t xml:space="preserve">anía en virtud de la Convención </w:t>
      </w:r>
      <w:r w:rsidR="00151021" w:rsidRPr="002720D0">
        <w:rPr>
          <w:lang w:val="es-ES_tradnl"/>
        </w:rPr>
        <w:t xml:space="preserve">(CRC/C/TZA/CO/2, </w:t>
      </w:r>
      <w:r w:rsidR="00444122" w:rsidRPr="002720D0">
        <w:rPr>
          <w:lang w:val="es-ES_tradnl"/>
        </w:rPr>
        <w:t>párr</w:t>
      </w:r>
      <w:r w:rsidR="00796188">
        <w:rPr>
          <w:lang w:val="es-ES_tradnl"/>
        </w:rPr>
        <w:t>.</w:t>
      </w:r>
      <w:r w:rsidR="00444122" w:rsidRPr="002720D0">
        <w:rPr>
          <w:lang w:val="es-ES_tradnl"/>
        </w:rPr>
        <w:t xml:space="preserve"> 32). E</w:t>
      </w:r>
      <w:r w:rsidR="00151021" w:rsidRPr="002720D0">
        <w:rPr>
          <w:lang w:val="es-ES_tradnl"/>
        </w:rPr>
        <w:t xml:space="preserve">n particular, </w:t>
      </w:r>
      <w:r w:rsidR="00B11C81" w:rsidRPr="002720D0">
        <w:rPr>
          <w:lang w:val="es-ES_tradnl"/>
        </w:rPr>
        <w:t>el Estado p</w:t>
      </w:r>
      <w:r w:rsidR="00444122" w:rsidRPr="002720D0">
        <w:rPr>
          <w:lang w:val="es-ES_tradnl"/>
        </w:rPr>
        <w:t xml:space="preserve">arte debía asegurar la gratuidad de la inscripción del nacimiento e </w:t>
      </w:r>
      <w:r w:rsidR="00444122" w:rsidRPr="002720D0">
        <w:rPr>
          <w:bCs/>
          <w:lang w:val="es-ES_tradnl"/>
        </w:rPr>
        <w:t>introducir unidades móviles para inscribir el nacimiento en las zonas apartadas</w:t>
      </w:r>
      <w:r w:rsidR="00444122" w:rsidRPr="002720D0">
        <w:rPr>
          <w:lang w:val="es-ES_tradnl"/>
        </w:rPr>
        <w:t xml:space="preserve"> y rurales de </w:t>
      </w:r>
      <w:r w:rsidR="00444122" w:rsidRPr="002720D0">
        <w:rPr>
          <w:bCs/>
          <w:lang w:val="es-ES_tradnl"/>
        </w:rPr>
        <w:t>todo el territorio del país.</w:t>
      </w:r>
    </w:p>
    <w:p w:rsidR="00151021" w:rsidRPr="002720D0" w:rsidRDefault="004F6364" w:rsidP="004F6364">
      <w:pPr>
        <w:pStyle w:val="SingleTxtG"/>
        <w:tabs>
          <w:tab w:val="left" w:pos="-360"/>
        </w:tabs>
        <w:rPr>
          <w:lang w:val="es-ES_tradnl"/>
        </w:rPr>
      </w:pPr>
      <w:r w:rsidRPr="002720D0">
        <w:rPr>
          <w:lang w:val="es-ES_tradnl"/>
        </w:rPr>
        <w:t>247.</w:t>
      </w:r>
      <w:r w:rsidRPr="002720D0">
        <w:rPr>
          <w:lang w:val="es-ES_tradnl"/>
        </w:rPr>
        <w:tab/>
      </w:r>
      <w:r w:rsidR="00444122" w:rsidRPr="002720D0">
        <w:rPr>
          <w:lang w:val="es-ES_tradnl"/>
        </w:rPr>
        <w:t xml:space="preserve">Como se declara en </w:t>
      </w:r>
      <w:r w:rsidR="00EA7DD2" w:rsidRPr="002720D0">
        <w:rPr>
          <w:lang w:val="es-ES_tradnl"/>
        </w:rPr>
        <w:t xml:space="preserve">la </w:t>
      </w:r>
      <w:r w:rsidR="00975AEA">
        <w:rPr>
          <w:lang w:val="es-ES_tradnl"/>
        </w:rPr>
        <w:t>sección</w:t>
      </w:r>
      <w:r w:rsidR="00EA7DD2" w:rsidRPr="002720D0">
        <w:rPr>
          <w:lang w:val="es-ES_tradnl"/>
        </w:rPr>
        <w:t xml:space="preserve"> </w:t>
      </w:r>
      <w:r w:rsidR="00444122" w:rsidRPr="002720D0">
        <w:rPr>
          <w:lang w:val="es-ES_tradnl"/>
        </w:rPr>
        <w:t xml:space="preserve">4 de estos </w:t>
      </w:r>
      <w:r w:rsidR="00EA7DD2" w:rsidRPr="002720D0">
        <w:rPr>
          <w:lang w:val="es-ES_tradnl"/>
        </w:rPr>
        <w:t>informes combinados, el Estado p</w:t>
      </w:r>
      <w:r w:rsidR="00444122" w:rsidRPr="002720D0">
        <w:rPr>
          <w:lang w:val="es-ES_tradnl"/>
        </w:rPr>
        <w:t xml:space="preserve">arte ha dado cumplimiento a esta observación final. </w:t>
      </w:r>
    </w:p>
    <w:p w:rsidR="00151021" w:rsidRPr="002720D0" w:rsidRDefault="00444122" w:rsidP="00586395">
      <w:pPr>
        <w:pStyle w:val="H23G"/>
        <w:outlineLvl w:val="0"/>
        <w:rPr>
          <w:lang w:val="es-ES_tradnl"/>
        </w:rPr>
      </w:pPr>
      <w:r w:rsidRPr="002720D0">
        <w:rPr>
          <w:lang w:val="es-ES_tradnl"/>
        </w:rPr>
        <w:tab/>
      </w:r>
      <w:r w:rsidR="00914E2E" w:rsidRPr="002720D0">
        <w:rPr>
          <w:lang w:val="es-ES_tradnl"/>
        </w:rPr>
        <w:t>c)</w:t>
      </w:r>
      <w:r w:rsidR="00914E2E" w:rsidRPr="002720D0">
        <w:rPr>
          <w:lang w:val="es-ES_tradnl"/>
        </w:rPr>
        <w:tab/>
      </w:r>
      <w:r w:rsidR="009861DC" w:rsidRPr="002720D0">
        <w:rPr>
          <w:lang w:val="es-ES_tradnl"/>
        </w:rPr>
        <w:t xml:space="preserve">Principales disposiciones legislativas y </w:t>
      </w:r>
      <w:r w:rsidR="00975AEA">
        <w:rPr>
          <w:lang w:val="es-ES_tradnl"/>
        </w:rPr>
        <w:t>de política</w:t>
      </w:r>
      <w:r w:rsidR="009861DC" w:rsidRPr="002720D0">
        <w:rPr>
          <w:lang w:val="es-ES_tradnl"/>
        </w:rPr>
        <w:t xml:space="preserve"> para la aplicación del </w:t>
      </w:r>
      <w:r w:rsidR="00A1193D">
        <w:rPr>
          <w:lang w:val="es-ES_tradnl"/>
        </w:rPr>
        <w:br/>
      </w:r>
      <w:r w:rsidR="009861DC" w:rsidRPr="002720D0">
        <w:rPr>
          <w:lang w:val="es-ES_tradnl"/>
        </w:rPr>
        <w:t xml:space="preserve">Protocolo </w:t>
      </w:r>
      <w:r w:rsidR="00C45F16" w:rsidRPr="002720D0">
        <w:rPr>
          <w:lang w:val="es-ES_tradnl"/>
        </w:rPr>
        <w:t>facultativo</w:t>
      </w:r>
    </w:p>
    <w:p w:rsidR="00151021" w:rsidRPr="002720D0" w:rsidRDefault="004F6364" w:rsidP="004F6364">
      <w:pPr>
        <w:pStyle w:val="SingleTxtG"/>
        <w:tabs>
          <w:tab w:val="left" w:pos="-360"/>
        </w:tabs>
        <w:rPr>
          <w:lang w:val="es-ES_tradnl"/>
        </w:rPr>
      </w:pPr>
      <w:r w:rsidRPr="002720D0">
        <w:rPr>
          <w:lang w:val="es-ES_tradnl"/>
        </w:rPr>
        <w:t>248.</w:t>
      </w:r>
      <w:r w:rsidRPr="002720D0">
        <w:rPr>
          <w:lang w:val="es-ES_tradnl"/>
        </w:rPr>
        <w:tab/>
      </w:r>
      <w:r w:rsidR="009861DC" w:rsidRPr="002720D0">
        <w:rPr>
          <w:lang w:val="es-ES_tradnl"/>
        </w:rPr>
        <w:t xml:space="preserve">El </w:t>
      </w:r>
      <w:r w:rsidR="00EA7DD2" w:rsidRPr="002720D0">
        <w:rPr>
          <w:lang w:val="es-ES_tradnl"/>
        </w:rPr>
        <w:t>Comité recomendó que el Estado p</w:t>
      </w:r>
      <w:r w:rsidR="009861DC" w:rsidRPr="002720D0">
        <w:rPr>
          <w:lang w:val="es-ES_tradnl"/>
        </w:rPr>
        <w:t xml:space="preserve">arte continuara y concluyera el proceso de promulgación de la Ley de la </w:t>
      </w:r>
      <w:r w:rsidR="00C04BD0" w:rsidRPr="002720D0">
        <w:rPr>
          <w:lang w:val="es-ES_tradnl"/>
        </w:rPr>
        <w:t xml:space="preserve">Infancia </w:t>
      </w:r>
      <w:r w:rsidR="009861DC" w:rsidRPr="002720D0">
        <w:rPr>
          <w:lang w:val="es-ES_tradnl"/>
        </w:rPr>
        <w:t>y lo exhortó a conclu</w:t>
      </w:r>
      <w:r w:rsidR="00B25211" w:rsidRPr="002720D0">
        <w:rPr>
          <w:lang w:val="es-ES_tradnl"/>
        </w:rPr>
        <w:t>i</w:t>
      </w:r>
      <w:r w:rsidR="009861DC" w:rsidRPr="002720D0">
        <w:rPr>
          <w:lang w:val="es-ES_tradnl"/>
        </w:rPr>
        <w:t xml:space="preserve">r el examen de la legislación nacional de conformidad con las disposiciones del </w:t>
      </w:r>
      <w:r w:rsidR="009C1BCC" w:rsidRPr="002720D0">
        <w:rPr>
          <w:lang w:val="es-ES_tradnl"/>
        </w:rPr>
        <w:t xml:space="preserve">Protocolo </w:t>
      </w:r>
      <w:r w:rsidR="00C45F16" w:rsidRPr="002720D0">
        <w:rPr>
          <w:lang w:val="es-ES_tradnl"/>
        </w:rPr>
        <w:t xml:space="preserve">facultativo </w:t>
      </w:r>
      <w:r w:rsidR="00EA7DD2" w:rsidRPr="002720D0">
        <w:rPr>
          <w:lang w:val="es-ES_tradnl"/>
        </w:rPr>
        <w:t>relativo a</w:t>
      </w:r>
      <w:r w:rsidR="009861DC" w:rsidRPr="002720D0">
        <w:rPr>
          <w:lang w:val="es-ES_tradnl"/>
        </w:rPr>
        <w:t xml:space="preserve"> la participación de niños en los conflictos armados.</w:t>
      </w:r>
    </w:p>
    <w:p w:rsidR="00151021" w:rsidRPr="002720D0" w:rsidRDefault="004F6364" w:rsidP="004F6364">
      <w:pPr>
        <w:pStyle w:val="SingleTxtG"/>
        <w:tabs>
          <w:tab w:val="left" w:pos="-360"/>
        </w:tabs>
        <w:rPr>
          <w:lang w:val="es-ES_tradnl"/>
        </w:rPr>
      </w:pPr>
      <w:r w:rsidRPr="002720D0">
        <w:rPr>
          <w:lang w:val="es-ES_tradnl"/>
        </w:rPr>
        <w:t>249.</w:t>
      </w:r>
      <w:r w:rsidRPr="002720D0">
        <w:rPr>
          <w:lang w:val="es-ES_tradnl"/>
        </w:rPr>
        <w:tab/>
      </w:r>
      <w:r w:rsidR="00151021" w:rsidRPr="002720D0">
        <w:rPr>
          <w:lang w:val="es-ES_tradnl"/>
        </w:rPr>
        <w:t>Dur</w:t>
      </w:r>
      <w:r w:rsidR="009861DC" w:rsidRPr="002720D0">
        <w:rPr>
          <w:lang w:val="es-ES_tradnl"/>
        </w:rPr>
        <w:t>ante el período que se examina, el Esta</w:t>
      </w:r>
      <w:r w:rsidR="003D6F26" w:rsidRPr="002720D0">
        <w:rPr>
          <w:lang w:val="es-ES_tradnl"/>
        </w:rPr>
        <w:t>do cumplió con esta recomendació</w:t>
      </w:r>
      <w:r w:rsidR="009861DC" w:rsidRPr="002720D0">
        <w:rPr>
          <w:lang w:val="es-ES_tradnl"/>
        </w:rPr>
        <w:t xml:space="preserve">n mediante la promulgación de la Ley de la </w:t>
      </w:r>
      <w:r w:rsidR="00C04BD0" w:rsidRPr="002720D0">
        <w:rPr>
          <w:lang w:val="es-ES_tradnl"/>
        </w:rPr>
        <w:t xml:space="preserve">Infancia </w:t>
      </w:r>
      <w:r w:rsidR="009861DC" w:rsidRPr="002720D0">
        <w:rPr>
          <w:lang w:val="es-ES_tradnl"/>
        </w:rPr>
        <w:t xml:space="preserve">en 2009, de aplicación en Tanzanía continental, y de la Ley del </w:t>
      </w:r>
      <w:r w:rsidR="00C04BD0" w:rsidRPr="002720D0">
        <w:rPr>
          <w:lang w:val="es-ES_tradnl"/>
        </w:rPr>
        <w:t xml:space="preserve">Niño </w:t>
      </w:r>
      <w:r w:rsidR="009861DC" w:rsidRPr="002720D0">
        <w:rPr>
          <w:lang w:val="es-ES_tradnl"/>
        </w:rPr>
        <w:t xml:space="preserve">en 2011, de aplicación a Zanzíbar. Ambas leyes han </w:t>
      </w:r>
      <w:r w:rsidR="003D6F26" w:rsidRPr="002720D0">
        <w:rPr>
          <w:lang w:val="es-ES_tradnl"/>
        </w:rPr>
        <w:t>tenido en</w:t>
      </w:r>
      <w:r w:rsidR="00B25211" w:rsidRPr="002720D0">
        <w:rPr>
          <w:lang w:val="es-ES_tradnl"/>
        </w:rPr>
        <w:t xml:space="preserve"> cuenta las disposiciones consag</w:t>
      </w:r>
      <w:r w:rsidR="00EA7DD2" w:rsidRPr="002720D0">
        <w:rPr>
          <w:lang w:val="es-ES_tradnl"/>
        </w:rPr>
        <w:t xml:space="preserve">radas en el Protocolo </w:t>
      </w:r>
      <w:r w:rsidR="00C45F16" w:rsidRPr="002720D0">
        <w:rPr>
          <w:lang w:val="es-ES_tradnl"/>
        </w:rPr>
        <w:t xml:space="preserve">facultativo </w:t>
      </w:r>
      <w:r w:rsidR="003D6F26" w:rsidRPr="002720D0">
        <w:rPr>
          <w:lang w:val="es-ES_tradnl"/>
        </w:rPr>
        <w:t>relativo a la participación de niños en los conflictos armados</w:t>
      </w:r>
      <w:r w:rsidR="00151021" w:rsidRPr="002720D0">
        <w:rPr>
          <w:lang w:val="es-ES_tradnl"/>
        </w:rPr>
        <w:t>.</w:t>
      </w:r>
    </w:p>
    <w:p w:rsidR="00151021" w:rsidRPr="002720D0" w:rsidRDefault="003D6F26" w:rsidP="00586395">
      <w:pPr>
        <w:pStyle w:val="H23G"/>
        <w:outlineLvl w:val="0"/>
        <w:rPr>
          <w:lang w:val="es-ES_tradnl"/>
        </w:rPr>
      </w:pPr>
      <w:r w:rsidRPr="002720D0">
        <w:rPr>
          <w:lang w:val="es-ES_tradnl"/>
        </w:rPr>
        <w:tab/>
      </w:r>
      <w:r w:rsidR="00914E2E" w:rsidRPr="002720D0">
        <w:rPr>
          <w:lang w:val="es-ES_tradnl"/>
        </w:rPr>
        <w:t>d)</w:t>
      </w:r>
      <w:r w:rsidR="00914E2E" w:rsidRPr="002720D0">
        <w:rPr>
          <w:lang w:val="es-ES_tradnl"/>
        </w:rPr>
        <w:tab/>
      </w:r>
      <w:r w:rsidR="00151021" w:rsidRPr="002720D0">
        <w:rPr>
          <w:lang w:val="es-ES_tradnl"/>
        </w:rPr>
        <w:t>As</w:t>
      </w:r>
      <w:r w:rsidRPr="002720D0">
        <w:rPr>
          <w:lang w:val="es-ES_tradnl"/>
        </w:rPr>
        <w:t xml:space="preserve">istencia para la </w:t>
      </w:r>
      <w:r w:rsidR="00B25211" w:rsidRPr="002720D0">
        <w:rPr>
          <w:lang w:val="es-ES_tradnl"/>
        </w:rPr>
        <w:t>re</w:t>
      </w:r>
      <w:r w:rsidR="00A1193D">
        <w:rPr>
          <w:lang w:val="es-ES_tradnl"/>
        </w:rPr>
        <w:t>cuperación física y psicológica</w:t>
      </w:r>
    </w:p>
    <w:p w:rsidR="00151021" w:rsidRPr="002720D0" w:rsidRDefault="004F6364" w:rsidP="004F6364">
      <w:pPr>
        <w:pStyle w:val="SingleTxtG"/>
        <w:tabs>
          <w:tab w:val="left" w:pos="-360"/>
        </w:tabs>
        <w:rPr>
          <w:lang w:val="es-ES_tradnl"/>
        </w:rPr>
      </w:pPr>
      <w:r w:rsidRPr="002720D0">
        <w:rPr>
          <w:lang w:val="es-ES_tradnl"/>
        </w:rPr>
        <w:t>250.</w:t>
      </w:r>
      <w:r w:rsidRPr="002720D0">
        <w:rPr>
          <w:lang w:val="es-ES_tradnl"/>
        </w:rPr>
        <w:tab/>
      </w:r>
      <w:r w:rsidR="006D5D1F" w:rsidRPr="002720D0">
        <w:rPr>
          <w:lang w:val="es-ES_tradnl"/>
        </w:rPr>
        <w:t>El Comité, en sus ant</w:t>
      </w:r>
      <w:r w:rsidR="00E87A11" w:rsidRPr="002720D0">
        <w:rPr>
          <w:lang w:val="es-ES_tradnl"/>
        </w:rPr>
        <w:t>e</w:t>
      </w:r>
      <w:r w:rsidR="006D5D1F" w:rsidRPr="002720D0">
        <w:rPr>
          <w:lang w:val="es-ES_tradnl"/>
        </w:rPr>
        <w:t xml:space="preserve">riores Observaciones finales sobre el </w:t>
      </w:r>
      <w:r w:rsidR="009C1BCC" w:rsidRPr="002720D0">
        <w:rPr>
          <w:lang w:val="es-ES_tradnl"/>
        </w:rPr>
        <w:t xml:space="preserve">Protocolo </w:t>
      </w:r>
      <w:r w:rsidR="00C45F16" w:rsidRPr="002720D0">
        <w:rPr>
          <w:lang w:val="es-ES_tradnl"/>
        </w:rPr>
        <w:t xml:space="preserve">facultativo </w:t>
      </w:r>
      <w:r w:rsidR="00E87A11" w:rsidRPr="002720D0">
        <w:rPr>
          <w:lang w:val="es-ES_tradnl"/>
        </w:rPr>
        <w:t xml:space="preserve">sobre la participación de niños en los conflictos armados, instó al Estado </w:t>
      </w:r>
      <w:r w:rsidR="0009388C" w:rsidRPr="002720D0">
        <w:rPr>
          <w:lang w:val="es-ES_tradnl"/>
        </w:rPr>
        <w:t xml:space="preserve">parte </w:t>
      </w:r>
      <w:r w:rsidR="00E87A11" w:rsidRPr="002720D0">
        <w:rPr>
          <w:lang w:val="es-ES_tradnl"/>
        </w:rPr>
        <w:t xml:space="preserve">a que evaluara la situación de los niños que entraran en Tanzanía y que pudieran haber sido reclutados o utilizados en hostilidades en el extranjero y que les prestara </w:t>
      </w:r>
      <w:r w:rsidR="009C1BCC" w:rsidRPr="002720D0">
        <w:rPr>
          <w:lang w:val="es-ES_tradnl"/>
        </w:rPr>
        <w:t xml:space="preserve">una asistencia multidisciplinaria y respetuosa de su cultura para </w:t>
      </w:r>
      <w:r w:rsidR="006D5D1F" w:rsidRPr="002720D0">
        <w:rPr>
          <w:snapToGrid w:val="0"/>
          <w:lang w:val="es-ES_tradnl"/>
        </w:rPr>
        <w:t xml:space="preserve">lograr su recuperación física y psicológica y su reintegración social, de conformidad con el párrafo 3 del artículo 6 del Protocolo </w:t>
      </w:r>
      <w:r w:rsidR="00C45F16" w:rsidRPr="002720D0">
        <w:rPr>
          <w:snapToGrid w:val="0"/>
          <w:lang w:val="es-ES_tradnl"/>
        </w:rPr>
        <w:t>facultativo</w:t>
      </w:r>
      <w:r w:rsidR="006D5D1F" w:rsidRPr="002720D0">
        <w:rPr>
          <w:snapToGrid w:val="0"/>
          <w:lang w:val="es-ES_tradnl"/>
        </w:rPr>
        <w:t>.</w:t>
      </w:r>
    </w:p>
    <w:p w:rsidR="00CA209A" w:rsidRPr="002720D0" w:rsidRDefault="004F6364" w:rsidP="004F6364">
      <w:pPr>
        <w:pStyle w:val="SingleTxtG"/>
        <w:tabs>
          <w:tab w:val="left" w:pos="-360"/>
        </w:tabs>
        <w:rPr>
          <w:lang w:val="es-ES_tradnl"/>
        </w:rPr>
      </w:pPr>
      <w:r w:rsidRPr="002720D0">
        <w:rPr>
          <w:lang w:val="es-ES_tradnl"/>
        </w:rPr>
        <w:t>251.</w:t>
      </w:r>
      <w:r w:rsidRPr="002720D0">
        <w:rPr>
          <w:lang w:val="es-ES_tradnl"/>
        </w:rPr>
        <w:tab/>
      </w:r>
      <w:r w:rsidR="00D62405" w:rsidRPr="002720D0">
        <w:rPr>
          <w:lang w:val="es-ES_tradnl"/>
        </w:rPr>
        <w:t xml:space="preserve">Como se expone en la sección 8.1 </w:t>
      </w:r>
      <w:r w:rsidR="00494796" w:rsidRPr="002720D0">
        <w:rPr>
          <w:lang w:val="es-ES_tradnl"/>
        </w:rPr>
        <w:t>anterior,</w:t>
      </w:r>
      <w:r w:rsidR="00494796" w:rsidRPr="002720D0">
        <w:rPr>
          <w:i/>
          <w:lang w:val="es-ES_tradnl"/>
        </w:rPr>
        <w:t xml:space="preserve"> </w:t>
      </w:r>
      <w:r w:rsidR="00D62405" w:rsidRPr="002720D0">
        <w:rPr>
          <w:lang w:val="es-ES_tradnl"/>
        </w:rPr>
        <w:t xml:space="preserve">el Estado </w:t>
      </w:r>
      <w:r w:rsidR="0009388C" w:rsidRPr="002720D0">
        <w:rPr>
          <w:lang w:val="es-ES_tradnl"/>
        </w:rPr>
        <w:t>parte</w:t>
      </w:r>
      <w:r w:rsidR="00D62405" w:rsidRPr="002720D0">
        <w:rPr>
          <w:lang w:val="es-ES_tradnl"/>
        </w:rPr>
        <w:t xml:space="preserve">, en colaboración con el ACNUR y sus </w:t>
      </w:r>
      <w:r w:rsidR="00F929E6" w:rsidRPr="002720D0">
        <w:rPr>
          <w:lang w:val="es-ES_tradnl"/>
        </w:rPr>
        <w:t xml:space="preserve">asociados </w:t>
      </w:r>
      <w:r w:rsidR="00206FF2" w:rsidRPr="002720D0">
        <w:rPr>
          <w:lang w:val="es-ES_tradnl"/>
        </w:rPr>
        <w:t>activos</w:t>
      </w:r>
      <w:r w:rsidR="00F929E6" w:rsidRPr="002720D0">
        <w:rPr>
          <w:lang w:val="es-ES_tradnl"/>
        </w:rPr>
        <w:t>,</w:t>
      </w:r>
      <w:r w:rsidR="00D62405" w:rsidRPr="002720D0">
        <w:rPr>
          <w:lang w:val="es-ES_tradnl"/>
        </w:rPr>
        <w:t xml:space="preserve"> proporciona varios servicios a los niños refugiados </w:t>
      </w:r>
      <w:r w:rsidR="00F929E6" w:rsidRPr="002720D0">
        <w:rPr>
          <w:lang w:val="es-ES_tradnl"/>
        </w:rPr>
        <w:t>que</w:t>
      </w:r>
      <w:r w:rsidR="00494796" w:rsidRPr="002720D0">
        <w:rPr>
          <w:lang w:val="es-ES_tradnl"/>
        </w:rPr>
        <w:t xml:space="preserve"> se encuentran en campamentos de</w:t>
      </w:r>
      <w:r w:rsidR="00F929E6" w:rsidRPr="002720D0">
        <w:rPr>
          <w:lang w:val="es-ES_tradnl"/>
        </w:rPr>
        <w:t xml:space="preserve"> su jurisdicción. Entre estos servicios se cuenta la provisión a l</w:t>
      </w:r>
      <w:r w:rsidR="00494796" w:rsidRPr="002720D0">
        <w:rPr>
          <w:lang w:val="es-ES_tradnl"/>
        </w:rPr>
        <w:t>os niños que entran en Tanzanía</w:t>
      </w:r>
      <w:r w:rsidR="00F929E6" w:rsidRPr="002720D0">
        <w:rPr>
          <w:lang w:val="es-ES_tradnl"/>
        </w:rPr>
        <w:t xml:space="preserve"> y que pudieran haber sido reclutados o utiliz</w:t>
      </w:r>
      <w:r w:rsidR="007638FB" w:rsidRPr="002720D0">
        <w:rPr>
          <w:lang w:val="es-ES_tradnl"/>
        </w:rPr>
        <w:t>ados en hostilidades en el extra</w:t>
      </w:r>
      <w:r w:rsidR="00494796" w:rsidRPr="002720D0">
        <w:rPr>
          <w:lang w:val="es-ES_tradnl"/>
        </w:rPr>
        <w:t xml:space="preserve">njero de </w:t>
      </w:r>
      <w:r w:rsidR="00F929E6" w:rsidRPr="002720D0">
        <w:rPr>
          <w:lang w:val="es-ES_tradnl"/>
        </w:rPr>
        <w:t>asistencia</w:t>
      </w:r>
      <w:r w:rsidR="00494796" w:rsidRPr="002720D0">
        <w:rPr>
          <w:lang w:val="es-ES_tradnl"/>
        </w:rPr>
        <w:t>,</w:t>
      </w:r>
      <w:r w:rsidR="00F929E6" w:rsidRPr="002720D0">
        <w:rPr>
          <w:lang w:val="es-ES_tradnl"/>
        </w:rPr>
        <w:t xml:space="preserve"> multidisciplinaria y resp</w:t>
      </w:r>
      <w:r w:rsidR="007638FB" w:rsidRPr="002720D0">
        <w:rPr>
          <w:lang w:val="es-ES_tradnl"/>
        </w:rPr>
        <w:t>e</w:t>
      </w:r>
      <w:r w:rsidR="00F929E6" w:rsidRPr="002720D0">
        <w:rPr>
          <w:lang w:val="es-ES_tradnl"/>
        </w:rPr>
        <w:t>tuosa de su cultura</w:t>
      </w:r>
      <w:r w:rsidR="00494796" w:rsidRPr="002720D0">
        <w:rPr>
          <w:lang w:val="es-ES_tradnl"/>
        </w:rPr>
        <w:t>,</w:t>
      </w:r>
      <w:r w:rsidR="00F929E6" w:rsidRPr="002720D0">
        <w:rPr>
          <w:lang w:val="es-ES_tradnl"/>
        </w:rPr>
        <w:t xml:space="preserve"> para lograr su rec</w:t>
      </w:r>
      <w:r w:rsidR="00494796" w:rsidRPr="002720D0">
        <w:rPr>
          <w:lang w:val="es-ES_tradnl"/>
        </w:rPr>
        <w:t>uperación física y psicológica así como</w:t>
      </w:r>
      <w:r w:rsidR="00F929E6" w:rsidRPr="002720D0">
        <w:rPr>
          <w:lang w:val="es-ES_tradnl"/>
        </w:rPr>
        <w:t xml:space="preserve"> </w:t>
      </w:r>
      <w:r w:rsidR="007638FB" w:rsidRPr="002720D0">
        <w:rPr>
          <w:lang w:val="es-ES_tradnl"/>
        </w:rPr>
        <w:t>su reintegració</w:t>
      </w:r>
      <w:r w:rsidR="00F929E6" w:rsidRPr="002720D0">
        <w:rPr>
          <w:lang w:val="es-ES_tradnl"/>
        </w:rPr>
        <w:t xml:space="preserve">n social. </w:t>
      </w:r>
      <w:bookmarkStart w:id="52" w:name="_Toc313469608"/>
      <w:bookmarkStart w:id="53" w:name="_Toc313470888"/>
    </w:p>
    <w:p w:rsidR="00151021" w:rsidRPr="002720D0" w:rsidRDefault="00F929E6" w:rsidP="00CA209A">
      <w:pPr>
        <w:pStyle w:val="H23G"/>
        <w:outlineLvl w:val="0"/>
        <w:rPr>
          <w:lang w:val="es-ES_tradnl"/>
        </w:rPr>
      </w:pPr>
      <w:r w:rsidRPr="002720D0">
        <w:rPr>
          <w:lang w:val="es-ES_tradnl"/>
        </w:rPr>
        <w:tab/>
      </w:r>
      <w:r w:rsidR="00914E2E" w:rsidRPr="002720D0">
        <w:rPr>
          <w:lang w:val="es-ES_tradnl"/>
        </w:rPr>
        <w:t>e)</w:t>
      </w:r>
      <w:r w:rsidR="00914E2E" w:rsidRPr="002720D0">
        <w:rPr>
          <w:lang w:val="es-ES_tradnl"/>
        </w:rPr>
        <w:tab/>
      </w:r>
      <w:r w:rsidR="00D73A7E" w:rsidRPr="002720D0">
        <w:rPr>
          <w:lang w:val="es-ES_tradnl"/>
        </w:rPr>
        <w:t>Asistencia y cooperación internacionales</w:t>
      </w:r>
      <w:bookmarkEnd w:id="52"/>
      <w:bookmarkEnd w:id="53"/>
    </w:p>
    <w:p w:rsidR="00151021" w:rsidRPr="002720D0" w:rsidRDefault="004F6364" w:rsidP="004F6364">
      <w:pPr>
        <w:pStyle w:val="SingleTxtG"/>
        <w:tabs>
          <w:tab w:val="left" w:pos="-360"/>
        </w:tabs>
        <w:rPr>
          <w:lang w:val="es-ES_tradnl"/>
        </w:rPr>
      </w:pPr>
      <w:r w:rsidRPr="002720D0">
        <w:rPr>
          <w:lang w:val="es-ES_tradnl"/>
        </w:rPr>
        <w:t>252.</w:t>
      </w:r>
      <w:r w:rsidRPr="002720D0">
        <w:rPr>
          <w:lang w:val="es-ES_tradnl"/>
        </w:rPr>
        <w:tab/>
      </w:r>
      <w:r w:rsidR="00CA209A" w:rsidRPr="002720D0">
        <w:rPr>
          <w:lang w:val="es-ES_tradnl"/>
        </w:rPr>
        <w:t xml:space="preserve">En sus anteriores Observaciones finales sobre el Protocolo </w:t>
      </w:r>
      <w:r w:rsidR="00C45F16" w:rsidRPr="002720D0">
        <w:rPr>
          <w:lang w:val="es-ES_tradnl"/>
        </w:rPr>
        <w:t xml:space="preserve">facultativo </w:t>
      </w:r>
      <w:r w:rsidR="00CA209A" w:rsidRPr="002720D0">
        <w:rPr>
          <w:lang w:val="es-ES_tradnl"/>
        </w:rPr>
        <w:t xml:space="preserve">sobre la participación de niños en los conflictos armados, el </w:t>
      </w:r>
      <w:r w:rsidR="00494796" w:rsidRPr="002720D0">
        <w:rPr>
          <w:lang w:val="es-ES_tradnl"/>
        </w:rPr>
        <w:t>Comité recomendó que el Estado p</w:t>
      </w:r>
      <w:r w:rsidR="00CA209A" w:rsidRPr="002720D0">
        <w:rPr>
          <w:lang w:val="es-ES_tradnl"/>
        </w:rPr>
        <w:t xml:space="preserve">arte reforzara más aún su marco normativo, estudiando la posibilidad de introducir una prohibición específica en relación con la venta de armas a países donde se sepa que se recluta o utiliza o donde se puede reclutar o utilizar a niños en las </w:t>
      </w:r>
      <w:r w:rsidR="00BD48F2" w:rsidRPr="002720D0">
        <w:rPr>
          <w:lang w:val="es-ES_tradnl"/>
        </w:rPr>
        <w:t>hostilidades</w:t>
      </w:r>
      <w:r w:rsidR="00CA209A" w:rsidRPr="002720D0">
        <w:rPr>
          <w:lang w:val="es-ES_tradnl"/>
        </w:rPr>
        <w:t>.</w:t>
      </w:r>
      <w:r w:rsidR="00151021" w:rsidRPr="002720D0">
        <w:rPr>
          <w:lang w:val="es-ES_tradnl"/>
        </w:rPr>
        <w:t xml:space="preserve"> </w:t>
      </w:r>
      <w:r w:rsidR="00494796" w:rsidRPr="002720D0">
        <w:rPr>
          <w:lang w:val="es-ES_tradnl"/>
        </w:rPr>
        <w:t>El Comité instó al Estado p</w:t>
      </w:r>
      <w:r w:rsidR="00CA209A" w:rsidRPr="002720D0">
        <w:rPr>
          <w:lang w:val="es-ES_tradnl"/>
        </w:rPr>
        <w:t xml:space="preserve">arte, de conformidad con el artículo 7 del Protocolo </w:t>
      </w:r>
      <w:r w:rsidR="00C45F16" w:rsidRPr="002720D0">
        <w:rPr>
          <w:lang w:val="es-ES_tradnl"/>
        </w:rPr>
        <w:t>facultativo</w:t>
      </w:r>
      <w:r w:rsidR="00CA209A" w:rsidRPr="002720D0">
        <w:rPr>
          <w:lang w:val="es-ES_tradnl"/>
        </w:rPr>
        <w:t xml:space="preserve">, a que intensificara su cooperación en la aplicación del Protocolo </w:t>
      </w:r>
      <w:r w:rsidR="00C45F16" w:rsidRPr="002720D0">
        <w:rPr>
          <w:lang w:val="es-ES_tradnl"/>
        </w:rPr>
        <w:t>facultativo</w:t>
      </w:r>
      <w:r w:rsidR="00CA209A" w:rsidRPr="002720D0">
        <w:rPr>
          <w:lang w:val="es-ES_tradnl"/>
        </w:rPr>
        <w:t>, incluso en la preve</w:t>
      </w:r>
      <w:r w:rsidR="00CA2FBC" w:rsidRPr="002720D0">
        <w:rPr>
          <w:lang w:val="es-ES_tradnl"/>
        </w:rPr>
        <w:t>nción de toda actividad contrar</w:t>
      </w:r>
      <w:r w:rsidR="00CA209A" w:rsidRPr="002720D0">
        <w:rPr>
          <w:lang w:val="es-ES_tradnl"/>
        </w:rPr>
        <w:t>ia al mismo y en la rehabilitación y reintegración social de las víctimas de actos contrarios a sus disposiciones, entre otras cosas mediante la cooperación técnica y la asistencia financiera</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253.</w:t>
      </w:r>
      <w:r w:rsidRPr="002720D0">
        <w:rPr>
          <w:lang w:val="es-ES_tradnl"/>
        </w:rPr>
        <w:tab/>
      </w:r>
      <w:r w:rsidR="00CA209A" w:rsidRPr="002720D0">
        <w:rPr>
          <w:lang w:val="es-ES_tradnl"/>
        </w:rPr>
        <w:t>Durante el per</w:t>
      </w:r>
      <w:r w:rsidR="00494796" w:rsidRPr="002720D0">
        <w:rPr>
          <w:lang w:val="es-ES_tradnl"/>
        </w:rPr>
        <w:t>íodo que se examina, el Estado p</w:t>
      </w:r>
      <w:r w:rsidR="00CA209A" w:rsidRPr="002720D0">
        <w:rPr>
          <w:lang w:val="es-ES_tradnl"/>
        </w:rPr>
        <w:t xml:space="preserve">arte siguió aplicando la Ley de </w:t>
      </w:r>
      <w:r w:rsidR="00C04BD0" w:rsidRPr="002720D0">
        <w:rPr>
          <w:lang w:val="es-ES_tradnl"/>
        </w:rPr>
        <w:t xml:space="preserve">Armamento </w:t>
      </w:r>
      <w:r w:rsidR="00CA209A" w:rsidRPr="002720D0">
        <w:rPr>
          <w:lang w:val="es-ES_tradnl"/>
        </w:rPr>
        <w:t xml:space="preserve">y </w:t>
      </w:r>
      <w:r w:rsidR="00C04BD0" w:rsidRPr="002720D0">
        <w:rPr>
          <w:lang w:val="es-ES_tradnl"/>
        </w:rPr>
        <w:t>Municiones</w:t>
      </w:r>
      <w:r w:rsidR="00151021" w:rsidRPr="002720D0">
        <w:rPr>
          <w:rStyle w:val="FootnoteReference"/>
          <w:lang w:val="es-ES_tradnl"/>
        </w:rPr>
        <w:footnoteReference w:id="102"/>
      </w:r>
      <w:r w:rsidR="00BD48F2" w:rsidRPr="002720D0">
        <w:rPr>
          <w:lang w:val="es-ES_tradnl"/>
        </w:rPr>
        <w:t xml:space="preserve">, por la que se prohíbe el comercio en pequeñas armas y </w:t>
      </w:r>
      <w:r w:rsidR="00494796" w:rsidRPr="002720D0">
        <w:rPr>
          <w:lang w:val="es-ES_tradnl"/>
        </w:rPr>
        <w:t>su</w:t>
      </w:r>
      <w:r w:rsidR="00BD48F2" w:rsidRPr="002720D0">
        <w:rPr>
          <w:lang w:val="es-ES_tradnl"/>
        </w:rPr>
        <w:t xml:space="preserve"> exportación sin permiso. Durante el período del presente informe, el Estado ha colaborado con otros países en la región de los Grandes Lagos para er</w:t>
      </w:r>
      <w:r w:rsidR="007638FB" w:rsidRPr="002720D0">
        <w:rPr>
          <w:lang w:val="es-ES_tradnl"/>
        </w:rPr>
        <w:t>r</w:t>
      </w:r>
      <w:r w:rsidR="00BD48F2" w:rsidRPr="002720D0">
        <w:rPr>
          <w:lang w:val="es-ES_tradnl"/>
        </w:rPr>
        <w:t xml:space="preserve">adicar el transporte de pequeñas armas a través </w:t>
      </w:r>
      <w:r w:rsidR="00494796" w:rsidRPr="002720D0">
        <w:rPr>
          <w:lang w:val="es-ES_tradnl"/>
        </w:rPr>
        <w:t>del territorio bajo</w:t>
      </w:r>
      <w:r w:rsidR="00BD48F2" w:rsidRPr="002720D0">
        <w:rPr>
          <w:lang w:val="es-ES_tradnl"/>
        </w:rPr>
        <w:t xml:space="preserve"> su jurisd</w:t>
      </w:r>
      <w:r w:rsidR="00F834D7" w:rsidRPr="002720D0">
        <w:rPr>
          <w:lang w:val="es-ES_tradnl"/>
        </w:rPr>
        <w:t>icción a su</w:t>
      </w:r>
      <w:r w:rsidR="00BD48F2" w:rsidRPr="002720D0">
        <w:rPr>
          <w:lang w:val="es-ES_tradnl"/>
        </w:rPr>
        <w:t>s países vecinos, donde se puede reclutar o utilizar a niños en las hostilidades</w:t>
      </w:r>
      <w:r w:rsidR="00151021" w:rsidRPr="002720D0">
        <w:rPr>
          <w:lang w:val="es-ES_tradnl"/>
        </w:rPr>
        <w:t>.</w:t>
      </w:r>
    </w:p>
    <w:p w:rsidR="00151021" w:rsidRPr="002720D0" w:rsidRDefault="00914E2E" w:rsidP="00586395">
      <w:pPr>
        <w:pStyle w:val="H1G"/>
        <w:outlineLvl w:val="0"/>
        <w:rPr>
          <w:lang w:val="es-ES_tradnl"/>
        </w:rPr>
      </w:pPr>
      <w:bookmarkStart w:id="54" w:name="_Toc313470889"/>
      <w:r w:rsidRPr="002720D0">
        <w:rPr>
          <w:lang w:val="es-ES_tradnl"/>
        </w:rPr>
        <w:tab/>
      </w:r>
      <w:r w:rsidR="00151021" w:rsidRPr="002720D0">
        <w:rPr>
          <w:lang w:val="es-ES_tradnl"/>
        </w:rPr>
        <w:t>8.3</w:t>
      </w:r>
      <w:r w:rsidRPr="002720D0">
        <w:rPr>
          <w:lang w:val="es-ES_tradnl"/>
        </w:rPr>
        <w:tab/>
      </w:r>
      <w:r w:rsidR="00C65617" w:rsidRPr="002720D0">
        <w:rPr>
          <w:lang w:val="es-ES_tradnl"/>
        </w:rPr>
        <w:t>N</w:t>
      </w:r>
      <w:r w:rsidR="00BD48F2" w:rsidRPr="002720D0">
        <w:rPr>
          <w:lang w:val="es-ES_tradnl"/>
        </w:rPr>
        <w:t>iños de la calle</w:t>
      </w:r>
      <w:bookmarkEnd w:id="54"/>
    </w:p>
    <w:p w:rsidR="00151021" w:rsidRPr="002720D0" w:rsidRDefault="004F6364" w:rsidP="004F6364">
      <w:pPr>
        <w:pStyle w:val="SingleTxtG"/>
        <w:tabs>
          <w:tab w:val="left" w:pos="-360"/>
        </w:tabs>
        <w:rPr>
          <w:lang w:val="es-ES_tradnl"/>
        </w:rPr>
      </w:pPr>
      <w:r w:rsidRPr="002720D0">
        <w:rPr>
          <w:lang w:val="es-ES_tradnl"/>
        </w:rPr>
        <w:t>254.</w:t>
      </w:r>
      <w:r w:rsidRPr="002720D0">
        <w:rPr>
          <w:lang w:val="es-ES_tradnl"/>
        </w:rPr>
        <w:tab/>
      </w:r>
      <w:r w:rsidR="00BD48F2" w:rsidRPr="002720D0">
        <w:rPr>
          <w:lang w:val="es-ES_tradnl"/>
        </w:rPr>
        <w:t>En sus Observaciones finales</w:t>
      </w:r>
      <w:r w:rsidR="00494796" w:rsidRPr="002720D0">
        <w:rPr>
          <w:lang w:val="es-ES_tradnl"/>
        </w:rPr>
        <w:t xml:space="preserve"> previas</w:t>
      </w:r>
      <w:r w:rsidR="00BD48F2" w:rsidRPr="002720D0">
        <w:rPr>
          <w:lang w:val="es-ES_tradnl"/>
        </w:rPr>
        <w:t xml:space="preserve">, el </w:t>
      </w:r>
      <w:r w:rsidR="00494796" w:rsidRPr="002720D0">
        <w:rPr>
          <w:lang w:val="es-ES_tradnl"/>
        </w:rPr>
        <w:t>Comité recomendó que el Estado p</w:t>
      </w:r>
      <w:r w:rsidR="00BD48F2" w:rsidRPr="002720D0">
        <w:rPr>
          <w:lang w:val="es-ES_tradnl"/>
        </w:rPr>
        <w:t xml:space="preserve">arte: </w:t>
      </w:r>
    </w:p>
    <w:p w:rsidR="00151021" w:rsidRPr="005D08D7" w:rsidRDefault="00493086" w:rsidP="00493086">
      <w:pPr>
        <w:pStyle w:val="SingleTxtG"/>
        <w:rPr>
          <w:lang w:val="es-ES_tradnl"/>
        </w:rPr>
      </w:pPr>
      <w:r>
        <w:rPr>
          <w:lang w:val="es-ES_tradnl"/>
        </w:rPr>
        <w:tab/>
      </w:r>
      <w:r w:rsidR="00203441" w:rsidRPr="002720D0">
        <w:rPr>
          <w:lang w:val="es-ES_tradnl"/>
        </w:rPr>
        <w:t>a)</w:t>
      </w:r>
      <w:r w:rsidR="00203441" w:rsidRPr="002720D0">
        <w:rPr>
          <w:lang w:val="es-ES_tradnl"/>
        </w:rPr>
        <w:tab/>
      </w:r>
      <w:r w:rsidR="00BD48F2" w:rsidRPr="002720D0">
        <w:rPr>
          <w:lang w:val="es-ES_tradnl"/>
        </w:rPr>
        <w:t>Elaborase una estrategia general con respecto a la gran cantidad de niños de la calle, con el propósito de reducir y prevenir esta situación;</w:t>
      </w:r>
    </w:p>
    <w:p w:rsidR="00151021" w:rsidRPr="002720D0" w:rsidRDefault="00493086" w:rsidP="00493086">
      <w:pPr>
        <w:pStyle w:val="SingleTxtG"/>
        <w:rPr>
          <w:lang w:val="es-ES_tradnl"/>
        </w:rPr>
      </w:pPr>
      <w:r>
        <w:rPr>
          <w:lang w:val="es-ES_tradnl"/>
        </w:rPr>
        <w:tab/>
      </w:r>
      <w:r w:rsidR="00203441" w:rsidRPr="002720D0">
        <w:rPr>
          <w:lang w:val="es-ES_tradnl"/>
        </w:rPr>
        <w:t>b)</w:t>
      </w:r>
      <w:r w:rsidR="00203441" w:rsidRPr="002720D0">
        <w:rPr>
          <w:lang w:val="es-ES_tradnl"/>
        </w:rPr>
        <w:tab/>
      </w:r>
      <w:r w:rsidR="00CA2FBC" w:rsidRPr="002720D0">
        <w:rPr>
          <w:lang w:val="es-ES_tradnl"/>
        </w:rPr>
        <w:t>Velase por que se proporcionara a los niños de la calle una nutrición y alojamiento adecuados, así como atención de la salud y oportunidades de enseñanza, a fin de contribuir a su pleno desarrollo;</w:t>
      </w:r>
    </w:p>
    <w:p w:rsidR="00151021" w:rsidRPr="002720D0" w:rsidRDefault="00493086" w:rsidP="00493086">
      <w:pPr>
        <w:pStyle w:val="SingleTxtG"/>
        <w:rPr>
          <w:lang w:val="es-ES_tradnl"/>
        </w:rPr>
      </w:pPr>
      <w:r>
        <w:rPr>
          <w:lang w:val="es-ES_tradnl"/>
        </w:rPr>
        <w:tab/>
      </w:r>
      <w:r w:rsidR="00203441" w:rsidRPr="002720D0">
        <w:rPr>
          <w:lang w:val="es-ES_tradnl"/>
        </w:rPr>
        <w:t>c)</w:t>
      </w:r>
      <w:r w:rsidR="00203441" w:rsidRPr="002720D0">
        <w:rPr>
          <w:lang w:val="es-ES_tradnl"/>
        </w:rPr>
        <w:tab/>
      </w:r>
      <w:r w:rsidR="00CA2FBC" w:rsidRPr="002720D0">
        <w:rPr>
          <w:lang w:val="es-ES_tradnl"/>
        </w:rPr>
        <w:t>Sensibilizase de la problemática de los niños de la calle para mudar las actitudes negativas en torno a ellos de la generalidad de la población, en particular los agentes del orden; y</w:t>
      </w:r>
    </w:p>
    <w:p w:rsidR="00151021" w:rsidRPr="002720D0" w:rsidRDefault="00493086" w:rsidP="00493086">
      <w:pPr>
        <w:pStyle w:val="SingleTxtG"/>
        <w:rPr>
          <w:lang w:val="es-ES_tradnl"/>
        </w:rPr>
      </w:pPr>
      <w:r>
        <w:rPr>
          <w:lang w:val="es-ES_tradnl"/>
        </w:rPr>
        <w:tab/>
      </w:r>
      <w:r w:rsidR="00203441" w:rsidRPr="002720D0">
        <w:rPr>
          <w:lang w:val="es-ES_tradnl"/>
        </w:rPr>
        <w:t>d)</w:t>
      </w:r>
      <w:r w:rsidR="00203441" w:rsidRPr="002720D0">
        <w:rPr>
          <w:lang w:val="es-ES_tradnl"/>
        </w:rPr>
        <w:tab/>
      </w:r>
      <w:r w:rsidR="00CA2FBC" w:rsidRPr="002720D0">
        <w:rPr>
          <w:lang w:val="es-ES_tradnl"/>
        </w:rPr>
        <w:t>Velase por que se les prestaran servicios de recuperación y rehabilitación, como asistencia psicosocial en caso de abuso físico o deshonesto o de drogodependencia, y, cuando fuera posible y redundara en su interés superior, servicios de reconciliación a fin de que se reincorporasen en el seno de la familia.</w:t>
      </w:r>
    </w:p>
    <w:p w:rsidR="00151021" w:rsidRPr="002720D0" w:rsidRDefault="004F6364" w:rsidP="004F6364">
      <w:pPr>
        <w:pStyle w:val="SingleTxtG"/>
        <w:tabs>
          <w:tab w:val="left" w:pos="-360"/>
        </w:tabs>
        <w:rPr>
          <w:lang w:val="es-ES_tradnl"/>
        </w:rPr>
      </w:pPr>
      <w:r w:rsidRPr="002720D0">
        <w:rPr>
          <w:lang w:val="es-ES_tradnl"/>
        </w:rPr>
        <w:t>255.</w:t>
      </w:r>
      <w:r w:rsidRPr="002720D0">
        <w:rPr>
          <w:lang w:val="es-ES_tradnl"/>
        </w:rPr>
        <w:tab/>
      </w:r>
      <w:r w:rsidR="00CA2FBC" w:rsidRPr="002720D0">
        <w:rPr>
          <w:lang w:val="es-ES_tradnl"/>
        </w:rPr>
        <w:t>En cumplimiento de las recomendaciones</w:t>
      </w:r>
      <w:r w:rsidR="00494796" w:rsidRPr="002720D0">
        <w:rPr>
          <w:lang w:val="es-ES_tradnl"/>
        </w:rPr>
        <w:t xml:space="preserve"> anteriores,</w:t>
      </w:r>
      <w:r w:rsidR="00CA2FBC" w:rsidRPr="002720D0">
        <w:rPr>
          <w:lang w:val="es-ES_tradnl"/>
        </w:rPr>
        <w:t xml:space="preserve"> </w:t>
      </w:r>
      <w:r w:rsidR="00494796" w:rsidRPr="002720D0">
        <w:rPr>
          <w:lang w:val="es-ES_tradnl"/>
        </w:rPr>
        <w:t>el</w:t>
      </w:r>
      <w:r w:rsidR="00CA2FBC" w:rsidRPr="002720D0">
        <w:rPr>
          <w:lang w:val="es-ES_tradnl"/>
        </w:rPr>
        <w:t xml:space="preserve"> </w:t>
      </w:r>
      <w:r w:rsidR="00494796" w:rsidRPr="002720D0">
        <w:rPr>
          <w:lang w:val="es-ES_tradnl"/>
        </w:rPr>
        <w:t>Estado p</w:t>
      </w:r>
      <w:r w:rsidR="00CA2FBC" w:rsidRPr="002720D0">
        <w:rPr>
          <w:lang w:val="es-ES_tradnl"/>
        </w:rPr>
        <w:t xml:space="preserve">arte, en colaboración con socios tanto internacionales como locales, llevó a cabo varias encuestas </w:t>
      </w:r>
      <w:r w:rsidR="004A3E79" w:rsidRPr="002720D0">
        <w:rPr>
          <w:lang w:val="es-ES_tradnl"/>
        </w:rPr>
        <w:t>para</w:t>
      </w:r>
      <w:r w:rsidR="00CA2FBC" w:rsidRPr="002720D0">
        <w:rPr>
          <w:lang w:val="es-ES_tradnl"/>
        </w:rPr>
        <w:t xml:space="preserve"> determinar el número de niños de la calle </w:t>
      </w:r>
      <w:r w:rsidR="004A3E79" w:rsidRPr="002720D0">
        <w:rPr>
          <w:lang w:val="es-ES_tradnl"/>
        </w:rPr>
        <w:t xml:space="preserve">que había </w:t>
      </w:r>
      <w:r w:rsidR="00CA2FBC" w:rsidRPr="002720D0">
        <w:rPr>
          <w:lang w:val="es-ES_tradnl"/>
        </w:rPr>
        <w:t xml:space="preserve">en su jurisdicción, </w:t>
      </w:r>
      <w:r w:rsidR="004A3E79" w:rsidRPr="002720D0">
        <w:rPr>
          <w:lang w:val="es-ES_tradnl"/>
        </w:rPr>
        <w:t>con miras,</w:t>
      </w:r>
      <w:r w:rsidR="00CA2FBC" w:rsidRPr="002720D0">
        <w:rPr>
          <w:lang w:val="es-ES_tradnl"/>
        </w:rPr>
        <w:t xml:space="preserve"> entre otras cosas, a tener una idea </w:t>
      </w:r>
      <w:r w:rsidR="004A3E79" w:rsidRPr="002720D0">
        <w:rPr>
          <w:lang w:val="es-ES_tradnl"/>
        </w:rPr>
        <w:t xml:space="preserve">clara de ese número </w:t>
      </w:r>
      <w:r w:rsidR="00CA2FBC" w:rsidRPr="002720D0">
        <w:rPr>
          <w:lang w:val="es-ES_tradnl"/>
        </w:rPr>
        <w:t xml:space="preserve">para fines de planificación y asistencia. A este respecto, en agosto de 2009 el Ministerio de Desarrollo Comunitario, de Asuntos de Género y del Niño, en colaboración con el </w:t>
      </w:r>
      <w:r w:rsidR="00151021" w:rsidRPr="002720D0">
        <w:rPr>
          <w:i/>
          <w:lang w:val="es-ES_tradnl"/>
        </w:rPr>
        <w:t>Consortium for Street Children</w:t>
      </w:r>
      <w:r w:rsidR="00151021" w:rsidRPr="002720D0">
        <w:rPr>
          <w:lang w:val="es-ES_tradnl"/>
        </w:rPr>
        <w:t xml:space="preserve"> </w:t>
      </w:r>
      <w:r w:rsidR="004A3E79" w:rsidRPr="002720D0">
        <w:rPr>
          <w:lang w:val="es-ES_tradnl"/>
        </w:rPr>
        <w:t>(</w:t>
      </w:r>
      <w:r w:rsidR="001C7E1C">
        <w:rPr>
          <w:lang w:val="es-ES_tradnl"/>
        </w:rPr>
        <w:t>"</w:t>
      </w:r>
      <w:r w:rsidR="00CA2FBC" w:rsidRPr="002720D0">
        <w:rPr>
          <w:lang w:val="es-ES_tradnl"/>
        </w:rPr>
        <w:t>Conso</w:t>
      </w:r>
      <w:r w:rsidR="004A3E79" w:rsidRPr="002720D0">
        <w:rPr>
          <w:lang w:val="es-ES_tradnl"/>
        </w:rPr>
        <w:t>rcio para los niños de la calle</w:t>
      </w:r>
      <w:r w:rsidR="001C7E1C">
        <w:rPr>
          <w:lang w:val="es-ES_tradnl"/>
        </w:rPr>
        <w:t>"</w:t>
      </w:r>
      <w:r w:rsidR="00CA2FBC" w:rsidRPr="002720D0">
        <w:rPr>
          <w:lang w:val="es-ES_tradnl"/>
        </w:rPr>
        <w:t xml:space="preserve">), con </w:t>
      </w:r>
      <w:r w:rsidR="00C23DB1" w:rsidRPr="002720D0">
        <w:rPr>
          <w:lang w:val="es-ES_tradnl"/>
        </w:rPr>
        <w:t>sede</w:t>
      </w:r>
      <w:r w:rsidR="00CA2FBC" w:rsidRPr="002720D0">
        <w:rPr>
          <w:lang w:val="es-ES_tradnl"/>
        </w:rPr>
        <w:t xml:space="preserve"> en Inglaterra, </w:t>
      </w:r>
      <w:r w:rsidR="00C23DB1" w:rsidRPr="002720D0">
        <w:rPr>
          <w:lang w:val="es-ES_tradnl"/>
        </w:rPr>
        <w:t>realizó una encuesta en siete grandes ciudades y pobl</w:t>
      </w:r>
      <w:r w:rsidR="004A3E79" w:rsidRPr="002720D0">
        <w:rPr>
          <w:lang w:val="es-ES_tradnl"/>
        </w:rPr>
        <w:t xml:space="preserve">aciones de Tanzanía continental, </w:t>
      </w:r>
      <w:r w:rsidR="00C23DB1" w:rsidRPr="002720D0">
        <w:rPr>
          <w:lang w:val="es-ES_tradnl"/>
        </w:rPr>
        <w:t xml:space="preserve">a saber, </w:t>
      </w:r>
      <w:r w:rsidR="00782B12" w:rsidRPr="002720D0">
        <w:rPr>
          <w:lang w:val="es-ES_tradnl"/>
        </w:rPr>
        <w:t>Dar es Salaam</w:t>
      </w:r>
      <w:r w:rsidR="00151021" w:rsidRPr="002720D0">
        <w:rPr>
          <w:lang w:val="es-ES_tradnl"/>
        </w:rPr>
        <w:t>, Dodoma, Iringa, Kilimanjaro, Mbeya, Morogoro</w:t>
      </w:r>
      <w:r w:rsidR="00C23DB1" w:rsidRPr="002720D0">
        <w:rPr>
          <w:lang w:val="es-ES_tradnl"/>
        </w:rPr>
        <w:t xml:space="preserve"> y Singida. Esta encuesta puso de manifiesto la existencia de 2.</w:t>
      </w:r>
      <w:r w:rsidR="00151021" w:rsidRPr="002720D0">
        <w:rPr>
          <w:lang w:val="es-ES_tradnl"/>
        </w:rPr>
        <w:t xml:space="preserve">288 </w:t>
      </w:r>
      <w:r w:rsidR="00C23DB1" w:rsidRPr="002720D0">
        <w:rPr>
          <w:lang w:val="es-ES_tradnl"/>
        </w:rPr>
        <w:t xml:space="preserve">niños de la calle, </w:t>
      </w:r>
      <w:r w:rsidR="00151021" w:rsidRPr="002720D0">
        <w:rPr>
          <w:lang w:val="es-ES_tradnl"/>
        </w:rPr>
        <w:t xml:space="preserve">538 </w:t>
      </w:r>
      <w:r w:rsidR="00C23DB1" w:rsidRPr="002720D0">
        <w:rPr>
          <w:lang w:val="es-ES_tradnl"/>
        </w:rPr>
        <w:t>de ellos niñas y lo</w:t>
      </w:r>
      <w:r w:rsidR="004A3E79" w:rsidRPr="002720D0">
        <w:rPr>
          <w:lang w:val="es-ES_tradnl"/>
        </w:rPr>
        <w:t>s restantes 1.750 niños varones</w:t>
      </w:r>
      <w:r w:rsidR="00151021" w:rsidRPr="002720D0">
        <w:rPr>
          <w:rStyle w:val="FootnoteReference"/>
          <w:lang w:val="es-ES_tradnl"/>
        </w:rPr>
        <w:footnoteReference w:id="103"/>
      </w:r>
      <w:r w:rsidR="004A3E79" w:rsidRPr="002720D0">
        <w:rPr>
          <w:lang w:val="es-ES_tradnl"/>
        </w:rPr>
        <w:t>.</w:t>
      </w:r>
      <w:r w:rsidR="00C23DB1" w:rsidRPr="002720D0">
        <w:rPr>
          <w:lang w:val="es-ES_tradnl"/>
        </w:rPr>
        <w:t xml:space="preserve"> En colaboración con el Ministerio de Desarrollo Comunitario, de Asuntos de Género y del Niño, </w:t>
      </w:r>
      <w:r w:rsidR="00F26FD4" w:rsidRPr="002720D0">
        <w:rPr>
          <w:lang w:val="es-ES_tradnl"/>
        </w:rPr>
        <w:t xml:space="preserve">junto </w:t>
      </w:r>
      <w:r w:rsidR="00C23DB1" w:rsidRPr="002720D0">
        <w:rPr>
          <w:lang w:val="es-ES_tradnl"/>
        </w:rPr>
        <w:t xml:space="preserve">con </w:t>
      </w:r>
      <w:r w:rsidR="00151021" w:rsidRPr="002720D0">
        <w:rPr>
          <w:i/>
          <w:lang w:val="es-ES_tradnl"/>
        </w:rPr>
        <w:t>Railway Children Africa</w:t>
      </w:r>
      <w:r w:rsidR="00F26FD4" w:rsidRPr="002720D0">
        <w:rPr>
          <w:lang w:val="es-ES_tradnl"/>
        </w:rPr>
        <w:t xml:space="preserve"> y con</w:t>
      </w:r>
      <w:r w:rsidR="00151021" w:rsidRPr="002720D0">
        <w:rPr>
          <w:lang w:val="es-ES_tradnl"/>
        </w:rPr>
        <w:t xml:space="preserve"> Adilisha, </w:t>
      </w:r>
      <w:r w:rsidR="00F26FD4" w:rsidRPr="002720D0">
        <w:rPr>
          <w:lang w:val="es-ES_tradnl"/>
        </w:rPr>
        <w:t xml:space="preserve">una ONG local con base en la ciudad de </w:t>
      </w:r>
      <w:r w:rsidR="00151021" w:rsidRPr="002720D0">
        <w:rPr>
          <w:lang w:val="es-ES_tradnl"/>
        </w:rPr>
        <w:t xml:space="preserve">Mwanza, </w:t>
      </w:r>
      <w:r w:rsidR="002D27EB" w:rsidRPr="002720D0">
        <w:rPr>
          <w:lang w:val="es-ES_tradnl"/>
        </w:rPr>
        <w:t xml:space="preserve">en 2008 </w:t>
      </w:r>
      <w:r w:rsidR="00F26FD4" w:rsidRPr="002720D0">
        <w:rPr>
          <w:lang w:val="es-ES_tradnl"/>
        </w:rPr>
        <w:t xml:space="preserve">realizó una encuesta de los niños de la calle de la ciudad de </w:t>
      </w:r>
      <w:r w:rsidR="002D27EB" w:rsidRPr="002720D0">
        <w:rPr>
          <w:lang w:val="es-ES_tradnl"/>
        </w:rPr>
        <w:t>Mwanza</w:t>
      </w:r>
      <w:r w:rsidR="00151021" w:rsidRPr="002720D0">
        <w:rPr>
          <w:lang w:val="es-ES_tradnl"/>
        </w:rPr>
        <w:t xml:space="preserve">, </w:t>
      </w:r>
      <w:r w:rsidR="00F26FD4" w:rsidRPr="002720D0">
        <w:rPr>
          <w:lang w:val="es-ES_tradnl"/>
        </w:rPr>
        <w:t xml:space="preserve">que reveló la existencia de 443 niños en la ciudad cuya vida se desarrollaba exclusivamente en la calle, 411 de ellos niños varones y 32 niñas. Esta última encuesta </w:t>
      </w:r>
      <w:r w:rsidR="002D27EB" w:rsidRPr="002720D0">
        <w:rPr>
          <w:lang w:val="es-ES_tradnl"/>
        </w:rPr>
        <w:t>puso de manifiesto</w:t>
      </w:r>
      <w:r w:rsidR="00F26FD4" w:rsidRPr="002720D0">
        <w:rPr>
          <w:lang w:val="es-ES_tradnl"/>
        </w:rPr>
        <w:t xml:space="preserve"> que un 88,</w:t>
      </w:r>
      <w:r w:rsidR="00151021" w:rsidRPr="002720D0">
        <w:rPr>
          <w:lang w:val="es-ES_tradnl"/>
        </w:rPr>
        <w:t xml:space="preserve">7% </w:t>
      </w:r>
      <w:r w:rsidR="00F26FD4" w:rsidRPr="002720D0">
        <w:rPr>
          <w:lang w:val="es-ES_tradnl"/>
        </w:rPr>
        <w:t xml:space="preserve">del total </w:t>
      </w:r>
      <w:r w:rsidR="002D27EB" w:rsidRPr="002720D0">
        <w:rPr>
          <w:lang w:val="es-ES_tradnl"/>
        </w:rPr>
        <w:t>de estos</w:t>
      </w:r>
      <w:r w:rsidR="00F26FD4" w:rsidRPr="002720D0">
        <w:rPr>
          <w:lang w:val="es-ES_tradnl"/>
        </w:rPr>
        <w:t xml:space="preserve"> niños vivían en la calle exclusivamente, mientras que el 11,</w:t>
      </w:r>
      <w:r w:rsidR="00151021" w:rsidRPr="002720D0">
        <w:rPr>
          <w:lang w:val="es-ES_tradnl"/>
        </w:rPr>
        <w:t xml:space="preserve">3% </w:t>
      </w:r>
      <w:r w:rsidR="00F26FD4" w:rsidRPr="002720D0">
        <w:rPr>
          <w:lang w:val="es-ES_tradnl"/>
        </w:rPr>
        <w:t xml:space="preserve">lo hacían solo </w:t>
      </w:r>
      <w:r w:rsidR="002D27EB" w:rsidRPr="002720D0">
        <w:rPr>
          <w:lang w:val="es-ES_tradnl"/>
        </w:rPr>
        <w:t>a tiempo parcial</w:t>
      </w:r>
      <w:r w:rsidR="00F26FD4" w:rsidRPr="002720D0">
        <w:rPr>
          <w:lang w:val="es-ES_tradnl"/>
        </w:rPr>
        <w:t xml:space="preserve">, apareciendo en la calle durante el día para regresar a sus casas por la noche. Otra encuesta, realizada en 2005 por el Centro </w:t>
      </w:r>
      <w:r w:rsidR="00151021" w:rsidRPr="002720D0">
        <w:rPr>
          <w:lang w:val="es-ES_tradnl"/>
        </w:rPr>
        <w:t xml:space="preserve">Mkombozi </w:t>
      </w:r>
      <w:r w:rsidR="002D27EB" w:rsidRPr="002720D0">
        <w:rPr>
          <w:lang w:val="es-ES_tradnl"/>
        </w:rPr>
        <w:t>para los niños de la c</w:t>
      </w:r>
      <w:r w:rsidR="00F26FD4" w:rsidRPr="002720D0">
        <w:rPr>
          <w:lang w:val="es-ES_tradnl"/>
        </w:rPr>
        <w:t xml:space="preserve">alle, de la ciudad de </w:t>
      </w:r>
      <w:r w:rsidR="00151021" w:rsidRPr="002720D0">
        <w:rPr>
          <w:lang w:val="es-ES_tradnl"/>
        </w:rPr>
        <w:t>Arusha</w:t>
      </w:r>
      <w:r w:rsidR="002D27EB" w:rsidRPr="002720D0">
        <w:rPr>
          <w:lang w:val="es-ES_tradnl"/>
        </w:rPr>
        <w:t>,</w:t>
      </w:r>
      <w:r w:rsidR="00151021" w:rsidRPr="002720D0">
        <w:rPr>
          <w:lang w:val="es-ES_tradnl"/>
        </w:rPr>
        <w:t xml:space="preserve"> </w:t>
      </w:r>
      <w:r w:rsidR="00F26FD4" w:rsidRPr="002720D0">
        <w:rPr>
          <w:lang w:val="es-ES_tradnl"/>
        </w:rPr>
        <w:t xml:space="preserve">bajo los auspicios del Ministerio de Desarrollo Comunitario, de Asuntos de Género y del Niño, </w:t>
      </w:r>
      <w:r w:rsidR="002D27EB" w:rsidRPr="002720D0">
        <w:rPr>
          <w:lang w:val="es-ES_tradnl"/>
        </w:rPr>
        <w:t>reveló</w:t>
      </w:r>
      <w:r w:rsidR="00F26FD4" w:rsidRPr="002720D0">
        <w:rPr>
          <w:lang w:val="es-ES_tradnl"/>
        </w:rPr>
        <w:t xml:space="preserve"> que en la ciudad de Arusha había 522 niños de la calle. En </w:t>
      </w:r>
      <w:r w:rsidR="00151021" w:rsidRPr="002720D0">
        <w:rPr>
          <w:lang w:val="es-ES_tradnl"/>
        </w:rPr>
        <w:t>2006</w:t>
      </w:r>
      <w:r w:rsidR="00F26FD4" w:rsidRPr="002720D0">
        <w:rPr>
          <w:lang w:val="es-ES_tradnl"/>
        </w:rPr>
        <w:t>,</w:t>
      </w:r>
      <w:r w:rsidR="00151021" w:rsidRPr="002720D0">
        <w:rPr>
          <w:lang w:val="es-ES_tradnl"/>
        </w:rPr>
        <w:t xml:space="preserve"> Mkombozi </w:t>
      </w:r>
      <w:r w:rsidR="00F26FD4" w:rsidRPr="002720D0">
        <w:rPr>
          <w:lang w:val="es-ES_tradnl"/>
        </w:rPr>
        <w:t xml:space="preserve">realizó otra encuesta en la misma ciudad; en esta ocasión, el número de niños de </w:t>
      </w:r>
      <w:r w:rsidR="002D27EB" w:rsidRPr="002720D0">
        <w:rPr>
          <w:lang w:val="es-ES_tradnl"/>
        </w:rPr>
        <w:t>la calle ascendía a 457. En 2005</w:t>
      </w:r>
      <w:r w:rsidR="00F26FD4" w:rsidRPr="002720D0">
        <w:rPr>
          <w:lang w:val="es-ES_tradnl"/>
        </w:rPr>
        <w:t xml:space="preserve"> el número de niños que vivían permanentemente en la c</w:t>
      </w:r>
      <w:r w:rsidR="002D27EB" w:rsidRPr="002720D0">
        <w:rPr>
          <w:lang w:val="es-ES_tradnl"/>
        </w:rPr>
        <w:t>alle ascendía a 354 en Arusha;</w:t>
      </w:r>
      <w:r w:rsidR="00F26FD4" w:rsidRPr="002720D0">
        <w:rPr>
          <w:lang w:val="es-ES_tradnl"/>
        </w:rPr>
        <w:t xml:space="preserve"> en 2006 </w:t>
      </w:r>
      <w:r w:rsidR="002D27EB" w:rsidRPr="002720D0">
        <w:rPr>
          <w:lang w:val="es-ES_tradnl"/>
        </w:rPr>
        <w:t>eran</w:t>
      </w:r>
      <w:r w:rsidR="00F26FD4" w:rsidRPr="002720D0">
        <w:rPr>
          <w:lang w:val="es-ES_tradnl"/>
        </w:rPr>
        <w:t xml:space="preserve"> </w:t>
      </w:r>
      <w:r w:rsidR="00151021" w:rsidRPr="002720D0">
        <w:rPr>
          <w:lang w:val="es-ES_tradnl"/>
        </w:rPr>
        <w:t>173.</w:t>
      </w:r>
      <w:r w:rsidR="003D2ED2" w:rsidRPr="002720D0">
        <w:rPr>
          <w:lang w:val="es-ES_tradnl"/>
        </w:rPr>
        <w:t xml:space="preserve"> </w:t>
      </w:r>
    </w:p>
    <w:p w:rsidR="008861F4" w:rsidRPr="002720D0" w:rsidRDefault="004F6364" w:rsidP="004F6364">
      <w:pPr>
        <w:pStyle w:val="SingleTxtG"/>
        <w:tabs>
          <w:tab w:val="left" w:pos="-360"/>
        </w:tabs>
        <w:rPr>
          <w:lang w:val="es-ES_tradnl"/>
        </w:rPr>
      </w:pPr>
      <w:r w:rsidRPr="002720D0">
        <w:rPr>
          <w:lang w:val="es-ES_tradnl"/>
        </w:rPr>
        <w:t>256.</w:t>
      </w:r>
      <w:r w:rsidRPr="002720D0">
        <w:rPr>
          <w:lang w:val="es-ES_tradnl"/>
        </w:rPr>
        <w:tab/>
      </w:r>
      <w:r w:rsidR="002D27EB" w:rsidRPr="002720D0">
        <w:rPr>
          <w:lang w:val="es-ES_tradnl"/>
        </w:rPr>
        <w:t>En 2011</w:t>
      </w:r>
      <w:r w:rsidR="00A96717" w:rsidRPr="002720D0">
        <w:rPr>
          <w:lang w:val="es-ES_tradnl"/>
        </w:rPr>
        <w:t>,</w:t>
      </w:r>
      <w:r w:rsidR="002D27EB" w:rsidRPr="002720D0">
        <w:rPr>
          <w:lang w:val="es-ES_tradnl"/>
        </w:rPr>
        <w:t xml:space="preserve"> el Estado p</w:t>
      </w:r>
      <w:r w:rsidR="008861F4" w:rsidRPr="002720D0">
        <w:rPr>
          <w:lang w:val="es-ES_tradnl"/>
        </w:rPr>
        <w:t xml:space="preserve">arte también elaboró un plan estratégico comunitario destinado a controlar el problema de los niños que viven en la calle; este plan se ha de presentar al Comité Técnico Interministerial para su aprobación. Asimismo, tanto la Ley </w:t>
      </w:r>
      <w:r w:rsidR="00A96717" w:rsidRPr="002720D0">
        <w:rPr>
          <w:lang w:val="es-ES_tradnl"/>
        </w:rPr>
        <w:t xml:space="preserve">de la </w:t>
      </w:r>
      <w:r w:rsidR="00C04BD0" w:rsidRPr="002720D0">
        <w:rPr>
          <w:lang w:val="es-ES_tradnl"/>
        </w:rPr>
        <w:t xml:space="preserve">Infancia </w:t>
      </w:r>
      <w:r w:rsidR="00A96717" w:rsidRPr="002720D0">
        <w:rPr>
          <w:lang w:val="es-ES_tradnl"/>
        </w:rPr>
        <w:t xml:space="preserve">como la Ley del </w:t>
      </w:r>
      <w:r w:rsidR="00C04BD0" w:rsidRPr="002720D0">
        <w:rPr>
          <w:lang w:val="es-ES_tradnl"/>
        </w:rPr>
        <w:t xml:space="preserve">Niño </w:t>
      </w:r>
      <w:r w:rsidR="008861F4" w:rsidRPr="002720D0">
        <w:rPr>
          <w:lang w:val="es-ES_tradnl"/>
        </w:rPr>
        <w:t>de Zanzíbar cuentan con disposiciones por las que se regula tanto la</w:t>
      </w:r>
      <w:r w:rsidR="001D2A53">
        <w:rPr>
          <w:lang w:val="es-ES_tradnl"/>
        </w:rPr>
        <w:t xml:space="preserve"> </w:t>
      </w:r>
      <w:r w:rsidR="008861F4" w:rsidRPr="002720D0">
        <w:rPr>
          <w:lang w:val="es-ES_tradnl"/>
        </w:rPr>
        <w:t xml:space="preserve">instauración como la gestión de las </w:t>
      </w:r>
      <w:r w:rsidR="00A96717" w:rsidRPr="002720D0">
        <w:rPr>
          <w:lang w:val="es-ES_tradnl"/>
        </w:rPr>
        <w:t xml:space="preserve">instalaciones residenciales, educativas y sanitarias de las </w:t>
      </w:r>
      <w:r w:rsidR="008861F4" w:rsidRPr="002720D0">
        <w:rPr>
          <w:lang w:val="es-ES_tradnl"/>
        </w:rPr>
        <w:t>re</w:t>
      </w:r>
      <w:r w:rsidR="00A96717" w:rsidRPr="002720D0">
        <w:rPr>
          <w:lang w:val="es-ES_tradnl"/>
        </w:rPr>
        <w:t>sidencias infantiles aprobadas</w:t>
      </w:r>
      <w:r w:rsidR="008861F4"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257.</w:t>
      </w:r>
      <w:r w:rsidRPr="002720D0">
        <w:rPr>
          <w:lang w:val="es-ES_tradnl"/>
        </w:rPr>
        <w:tab/>
      </w:r>
      <w:r w:rsidR="00A96717" w:rsidRPr="002720D0">
        <w:rPr>
          <w:lang w:val="es-ES_tradnl"/>
        </w:rPr>
        <w:t>El Estado p</w:t>
      </w:r>
      <w:r w:rsidR="008861F4" w:rsidRPr="002720D0">
        <w:rPr>
          <w:lang w:val="es-ES_tradnl"/>
        </w:rPr>
        <w:t xml:space="preserve">arte también aprovechó el tema de 2011 para el Día del Niño Africano, </w:t>
      </w:r>
      <w:r w:rsidR="001D2A53">
        <w:rPr>
          <w:lang w:val="es-ES_tradnl"/>
        </w:rPr>
        <w:t>"</w:t>
      </w:r>
      <w:r w:rsidR="008861F4" w:rsidRPr="002720D0">
        <w:rPr>
          <w:lang w:val="es-ES_tradnl"/>
        </w:rPr>
        <w:t>Todos juntos para tomar acción urgente en pro de los niños de la calle</w:t>
      </w:r>
      <w:r w:rsidR="001D2A53">
        <w:rPr>
          <w:lang w:val="es-ES_tradnl"/>
        </w:rPr>
        <w:t>"</w:t>
      </w:r>
      <w:r w:rsidR="008861F4" w:rsidRPr="002720D0">
        <w:rPr>
          <w:lang w:val="es-ES_tradnl"/>
        </w:rPr>
        <w:t>, con miras a sensibilizar a la generalidad de la población respecto de las dificultades q</w:t>
      </w:r>
      <w:r w:rsidR="00A96717" w:rsidRPr="002720D0">
        <w:rPr>
          <w:lang w:val="es-ES_tradnl"/>
        </w:rPr>
        <w:t>ue encaran estos niños</w:t>
      </w:r>
      <w:r w:rsidR="008861F4" w:rsidRPr="002720D0">
        <w:rPr>
          <w:lang w:val="es-ES_tradnl"/>
        </w:rPr>
        <w:t>. En este contexto se hizo uso extenso de los medios de comunicación, entre ellos la radio</w:t>
      </w:r>
      <w:r w:rsidR="00A96717" w:rsidRPr="002720D0">
        <w:rPr>
          <w:lang w:val="es-ES_tradnl"/>
        </w:rPr>
        <w:t>,</w:t>
      </w:r>
      <w:r w:rsidR="008861F4" w:rsidRPr="002720D0">
        <w:rPr>
          <w:lang w:val="es-ES_tradnl"/>
        </w:rPr>
        <w:t xml:space="preserve"> la televisión y los periódicos, </w:t>
      </w:r>
      <w:r w:rsidR="00A96717" w:rsidRPr="002720D0">
        <w:rPr>
          <w:lang w:val="es-ES_tradnl"/>
        </w:rPr>
        <w:t xml:space="preserve">para </w:t>
      </w:r>
      <w:r w:rsidR="00A96717" w:rsidRPr="002720D0">
        <w:rPr>
          <w:bCs/>
          <w:lang w:val="es-ES_tradnl"/>
        </w:rPr>
        <w:t xml:space="preserve">crear sensibilidades destinadas a </w:t>
      </w:r>
      <w:r w:rsidR="007638FB" w:rsidRPr="002720D0">
        <w:rPr>
          <w:bCs/>
          <w:lang w:val="es-ES_tradnl"/>
        </w:rPr>
        <w:t xml:space="preserve">mudar las actitudes negativas </w:t>
      </w:r>
      <w:r w:rsidR="00A96717" w:rsidRPr="002720D0">
        <w:rPr>
          <w:bCs/>
          <w:lang w:val="es-ES_tradnl"/>
        </w:rPr>
        <w:t>de la generalidad de la población respecto de</w:t>
      </w:r>
      <w:r w:rsidR="007638FB" w:rsidRPr="002720D0">
        <w:rPr>
          <w:bCs/>
          <w:lang w:val="es-ES_tradnl"/>
        </w:rPr>
        <w:t xml:space="preserve"> los</w:t>
      </w:r>
      <w:r w:rsidR="00A96717" w:rsidRPr="002720D0">
        <w:rPr>
          <w:bCs/>
          <w:lang w:val="es-ES_tradnl"/>
        </w:rPr>
        <w:t xml:space="preserve"> niños de la calle</w:t>
      </w:r>
      <w:r w:rsidR="007638FB" w:rsidRPr="002720D0">
        <w:rPr>
          <w:bCs/>
          <w:lang w:val="es-ES_tradnl"/>
        </w:rPr>
        <w:t xml:space="preserve">. </w:t>
      </w:r>
      <w:r w:rsidR="00A96717" w:rsidRPr="002720D0">
        <w:rPr>
          <w:bCs/>
          <w:lang w:val="es-ES_tradnl"/>
        </w:rPr>
        <w:t>También</w:t>
      </w:r>
      <w:r w:rsidR="007638FB" w:rsidRPr="002720D0">
        <w:rPr>
          <w:bCs/>
          <w:lang w:val="es-ES_tradnl"/>
        </w:rPr>
        <w:t xml:space="preserve"> se impartieron formaciones a agentes de policía, abogados y funcionarios penitenciarios, </w:t>
      </w:r>
      <w:r w:rsidR="00A96717" w:rsidRPr="002720D0">
        <w:rPr>
          <w:bCs/>
          <w:lang w:val="es-ES_tradnl"/>
        </w:rPr>
        <w:t>destinadas asimismo a</w:t>
      </w:r>
      <w:r w:rsidR="007638FB" w:rsidRPr="002720D0">
        <w:rPr>
          <w:bCs/>
          <w:lang w:val="es-ES_tradnl"/>
        </w:rPr>
        <w:t xml:space="preserve"> mudar las actitudes negativas respecto de los niños de la calle. </w:t>
      </w:r>
    </w:p>
    <w:p w:rsidR="00151021" w:rsidRPr="002720D0" w:rsidRDefault="004F6364" w:rsidP="004F6364">
      <w:pPr>
        <w:pStyle w:val="SingleTxtG"/>
        <w:tabs>
          <w:tab w:val="left" w:pos="-360"/>
        </w:tabs>
        <w:rPr>
          <w:lang w:val="es-ES_tradnl"/>
        </w:rPr>
      </w:pPr>
      <w:r w:rsidRPr="002720D0">
        <w:rPr>
          <w:lang w:val="es-ES_tradnl"/>
        </w:rPr>
        <w:t>258.</w:t>
      </w:r>
      <w:r w:rsidRPr="002720D0">
        <w:rPr>
          <w:lang w:val="es-ES_tradnl"/>
        </w:rPr>
        <w:tab/>
      </w:r>
      <w:r w:rsidR="007638FB" w:rsidRPr="002720D0">
        <w:rPr>
          <w:lang w:val="es-ES_tradnl"/>
        </w:rPr>
        <w:t>En Zanzí</w:t>
      </w:r>
      <w:r w:rsidR="00151021" w:rsidRPr="002720D0">
        <w:rPr>
          <w:lang w:val="es-ES_tradnl"/>
        </w:rPr>
        <w:t xml:space="preserve">bar, </w:t>
      </w:r>
      <w:r w:rsidR="007638FB" w:rsidRPr="002720D0">
        <w:rPr>
          <w:lang w:val="es-ES_tradnl"/>
        </w:rPr>
        <w:t xml:space="preserve">donde los niños de la calle no constituyen un problema </w:t>
      </w:r>
      <w:r w:rsidR="00A96717" w:rsidRPr="002720D0">
        <w:rPr>
          <w:lang w:val="es-ES_tradnl"/>
        </w:rPr>
        <w:t>destacado, el Estado p</w:t>
      </w:r>
      <w:r w:rsidR="007638FB" w:rsidRPr="002720D0">
        <w:rPr>
          <w:lang w:val="es-ES_tradnl"/>
        </w:rPr>
        <w:t xml:space="preserve">arte ha esbozado estrategias destinadas a la gestión de los niños </w:t>
      </w:r>
      <w:r w:rsidR="00134896">
        <w:rPr>
          <w:lang w:val="es-ES_tradnl"/>
        </w:rPr>
        <w:t>que piden limosna</w:t>
      </w:r>
      <w:r w:rsidR="007638FB" w:rsidRPr="002720D0">
        <w:rPr>
          <w:lang w:val="es-ES_tradnl"/>
        </w:rPr>
        <w:t xml:space="preserve"> principalmente durante la oración de los viernes. </w:t>
      </w:r>
    </w:p>
    <w:p w:rsidR="00151021" w:rsidRPr="002720D0" w:rsidRDefault="00914E2E" w:rsidP="00586395">
      <w:pPr>
        <w:pStyle w:val="H1G"/>
        <w:outlineLvl w:val="0"/>
        <w:rPr>
          <w:lang w:val="es-ES_tradnl"/>
        </w:rPr>
      </w:pPr>
      <w:bookmarkStart w:id="55" w:name="_Toc313470890"/>
      <w:r w:rsidRPr="002720D0">
        <w:rPr>
          <w:lang w:val="es-ES_tradnl"/>
        </w:rPr>
        <w:tab/>
      </w:r>
      <w:r w:rsidR="00151021" w:rsidRPr="002720D0">
        <w:rPr>
          <w:lang w:val="es-ES_tradnl"/>
        </w:rPr>
        <w:t>8.4</w:t>
      </w:r>
      <w:r w:rsidRPr="002720D0">
        <w:rPr>
          <w:lang w:val="es-ES_tradnl"/>
        </w:rPr>
        <w:tab/>
      </w:r>
      <w:r w:rsidR="007F5DC7" w:rsidRPr="002720D0">
        <w:rPr>
          <w:lang w:val="es-ES_tradnl"/>
        </w:rPr>
        <w:t xml:space="preserve">Niños en situaciones de explotación, comprendida su recuperación </w:t>
      </w:r>
      <w:r w:rsidR="00493086">
        <w:rPr>
          <w:lang w:val="es-ES_tradnl"/>
        </w:rPr>
        <w:br/>
      </w:r>
      <w:r w:rsidR="007F5DC7" w:rsidRPr="002720D0">
        <w:rPr>
          <w:lang w:val="es-ES_tradnl"/>
        </w:rPr>
        <w:t>física y psicológica y su reintegración social</w:t>
      </w:r>
      <w:bookmarkEnd w:id="55"/>
    </w:p>
    <w:p w:rsidR="00151021" w:rsidRPr="002720D0" w:rsidRDefault="00914E2E" w:rsidP="00586395">
      <w:pPr>
        <w:pStyle w:val="H23G"/>
        <w:outlineLvl w:val="0"/>
        <w:rPr>
          <w:lang w:val="es-ES_tradnl"/>
        </w:rPr>
      </w:pPr>
      <w:r w:rsidRPr="002720D0">
        <w:rPr>
          <w:lang w:val="es-ES_tradnl"/>
        </w:rPr>
        <w:tab/>
      </w:r>
      <w:r w:rsidR="00151021" w:rsidRPr="002720D0">
        <w:rPr>
          <w:lang w:val="es-ES_tradnl"/>
        </w:rPr>
        <w:t>a)</w:t>
      </w:r>
      <w:r w:rsidRPr="002720D0">
        <w:rPr>
          <w:lang w:val="es-ES_tradnl"/>
        </w:rPr>
        <w:tab/>
      </w:r>
      <w:r w:rsidR="00151021" w:rsidRPr="002720D0">
        <w:rPr>
          <w:lang w:val="es-ES_tradnl"/>
        </w:rPr>
        <w:t>E</w:t>
      </w:r>
      <w:r w:rsidR="00F834D7" w:rsidRPr="002720D0">
        <w:rPr>
          <w:lang w:val="es-ES_tradnl"/>
        </w:rPr>
        <w:t>xplotación económica, inclui</w:t>
      </w:r>
      <w:r w:rsidR="0065208D" w:rsidRPr="002720D0">
        <w:rPr>
          <w:lang w:val="es-ES_tradnl"/>
        </w:rPr>
        <w:t>do el trabajo infantil (art.</w:t>
      </w:r>
      <w:r w:rsidR="00F834D7" w:rsidRPr="002720D0">
        <w:rPr>
          <w:lang w:val="es-ES_tradnl"/>
        </w:rPr>
        <w:t xml:space="preserve"> 32), con referencia </w:t>
      </w:r>
      <w:r w:rsidR="00493086">
        <w:rPr>
          <w:lang w:val="es-ES_tradnl"/>
        </w:rPr>
        <w:br/>
      </w:r>
      <w:r w:rsidR="00F834D7" w:rsidRPr="002720D0">
        <w:rPr>
          <w:lang w:val="es-ES_tradnl"/>
        </w:rPr>
        <w:t>espec</w:t>
      </w:r>
      <w:r w:rsidR="00493086">
        <w:rPr>
          <w:lang w:val="es-ES_tradnl"/>
        </w:rPr>
        <w:t>ífica al salario mínimo vigente</w:t>
      </w:r>
    </w:p>
    <w:p w:rsidR="00151021" w:rsidRPr="002720D0" w:rsidRDefault="004F6364" w:rsidP="004F6364">
      <w:pPr>
        <w:pStyle w:val="SingleTxtG"/>
        <w:tabs>
          <w:tab w:val="left" w:pos="-360"/>
        </w:tabs>
        <w:rPr>
          <w:lang w:val="es-ES_tradnl"/>
        </w:rPr>
      </w:pPr>
      <w:r w:rsidRPr="002720D0">
        <w:rPr>
          <w:lang w:val="es-ES_tradnl"/>
        </w:rPr>
        <w:t>259.</w:t>
      </w:r>
      <w:r w:rsidRPr="002720D0">
        <w:rPr>
          <w:lang w:val="es-ES_tradnl"/>
        </w:rPr>
        <w:tab/>
      </w:r>
      <w:r w:rsidR="007F5DC7" w:rsidRPr="002720D0">
        <w:rPr>
          <w:lang w:val="es-ES_tradnl"/>
        </w:rPr>
        <w:t>El Comité exhortó al Estado</w:t>
      </w:r>
      <w:r w:rsidR="00151021" w:rsidRPr="002720D0">
        <w:rPr>
          <w:lang w:val="es-ES_tradnl"/>
        </w:rPr>
        <w:t xml:space="preserve"> </w:t>
      </w:r>
      <w:r w:rsidR="00A96717" w:rsidRPr="002720D0">
        <w:rPr>
          <w:bCs/>
          <w:lang w:val="es-ES_tradnl"/>
        </w:rPr>
        <w:t>p</w:t>
      </w:r>
      <w:r w:rsidR="00F834D7" w:rsidRPr="002720D0">
        <w:rPr>
          <w:bCs/>
          <w:lang w:val="es-ES_tradnl"/>
        </w:rPr>
        <w:t xml:space="preserve">arte a potenciar las instituciones encargadas de supervisar y proteger a los niños que </w:t>
      </w:r>
      <w:r w:rsidR="007F5DC7" w:rsidRPr="002720D0">
        <w:rPr>
          <w:bCs/>
          <w:lang w:val="es-ES_tradnl"/>
        </w:rPr>
        <w:t>trabajan.</w:t>
      </w:r>
      <w:r w:rsidR="001D2A53">
        <w:rPr>
          <w:bCs/>
          <w:lang w:val="es-ES_tradnl"/>
        </w:rPr>
        <w:t xml:space="preserve"> </w:t>
      </w:r>
      <w:r w:rsidR="007F5DC7" w:rsidRPr="002720D0">
        <w:rPr>
          <w:bCs/>
          <w:lang w:val="es-ES_tradnl"/>
        </w:rPr>
        <w:t>También le recomendó</w:t>
      </w:r>
      <w:r w:rsidR="00F834D7" w:rsidRPr="002720D0">
        <w:rPr>
          <w:bCs/>
          <w:lang w:val="es-ES_tradnl"/>
        </w:rPr>
        <w:t xml:space="preserve"> que, con el apoyo de la OIT, del</w:t>
      </w:r>
      <w:r w:rsidR="001D2A53">
        <w:rPr>
          <w:bCs/>
          <w:lang w:val="es-ES_tradnl"/>
        </w:rPr>
        <w:t xml:space="preserve"> </w:t>
      </w:r>
      <w:r w:rsidR="00F834D7" w:rsidRPr="002720D0">
        <w:rPr>
          <w:bCs/>
          <w:lang w:val="es-ES_tradnl"/>
        </w:rPr>
        <w:t>UNICEF y de las ONG nacionales e internacionales, elabor</w:t>
      </w:r>
      <w:r w:rsidR="007F5DC7" w:rsidRPr="002720D0">
        <w:rPr>
          <w:bCs/>
          <w:lang w:val="es-ES_tradnl"/>
        </w:rPr>
        <w:t>as</w:t>
      </w:r>
      <w:r w:rsidR="00F834D7" w:rsidRPr="002720D0">
        <w:rPr>
          <w:bCs/>
          <w:lang w:val="es-ES_tradnl"/>
        </w:rPr>
        <w:t>e un programa general de prevención y lucha contra el trabajo infantil, que cumpl</w:t>
      </w:r>
      <w:r w:rsidR="007F5DC7" w:rsidRPr="002720D0">
        <w:rPr>
          <w:bCs/>
          <w:lang w:val="es-ES_tradnl"/>
        </w:rPr>
        <w:t>ier</w:t>
      </w:r>
      <w:r w:rsidR="00F834D7" w:rsidRPr="002720D0">
        <w:rPr>
          <w:bCs/>
          <w:lang w:val="es-ES_tradnl"/>
        </w:rPr>
        <w:t xml:space="preserve">a a cabalidad el Convenio Nº 182 </w:t>
      </w:r>
      <w:r w:rsidR="007F5DC7" w:rsidRPr="002720D0">
        <w:rPr>
          <w:bCs/>
          <w:lang w:val="es-ES_tradnl"/>
        </w:rPr>
        <w:t xml:space="preserve">(1999) </w:t>
      </w:r>
      <w:r w:rsidR="00F834D7" w:rsidRPr="002720D0">
        <w:rPr>
          <w:bCs/>
          <w:lang w:val="es-ES_tradnl"/>
        </w:rPr>
        <w:t>de la OIT sobre la prohibición de las peores formas de trabajo infantil y la acción inmediata para su eliminación y el Convenio N</w:t>
      </w:r>
      <w:r w:rsidR="00F629B4">
        <w:rPr>
          <w:bCs/>
          <w:lang w:val="es-ES_tradnl"/>
        </w:rPr>
        <w:t>º</w:t>
      </w:r>
      <w:r w:rsidR="00F834D7" w:rsidRPr="002720D0">
        <w:rPr>
          <w:bCs/>
          <w:lang w:val="es-ES_tradnl"/>
        </w:rPr>
        <w:t xml:space="preserve"> 138 (1973) de la OIT sobre la edad mínima de admisión al empleo.</w:t>
      </w:r>
    </w:p>
    <w:p w:rsidR="00151021" w:rsidRPr="002720D0" w:rsidRDefault="004F6364" w:rsidP="004F6364">
      <w:pPr>
        <w:pStyle w:val="SingleTxtG"/>
        <w:tabs>
          <w:tab w:val="left" w:pos="-360"/>
        </w:tabs>
        <w:rPr>
          <w:lang w:val="es-ES_tradnl"/>
        </w:rPr>
      </w:pPr>
      <w:r w:rsidRPr="002720D0">
        <w:rPr>
          <w:lang w:val="es-ES_tradnl"/>
        </w:rPr>
        <w:t>260.</w:t>
      </w:r>
      <w:r w:rsidRPr="002720D0">
        <w:rPr>
          <w:lang w:val="es-ES_tradnl"/>
        </w:rPr>
        <w:tab/>
      </w:r>
      <w:r w:rsidR="00A96717" w:rsidRPr="002720D0">
        <w:rPr>
          <w:lang w:val="es-ES_tradnl"/>
        </w:rPr>
        <w:t>El Estado p</w:t>
      </w:r>
      <w:r w:rsidR="007F5DC7" w:rsidRPr="002720D0">
        <w:rPr>
          <w:lang w:val="es-ES_tradnl"/>
        </w:rPr>
        <w:t xml:space="preserve">arte ha </w:t>
      </w:r>
      <w:r w:rsidR="00A96717" w:rsidRPr="002720D0">
        <w:rPr>
          <w:lang w:val="es-ES_tradnl"/>
        </w:rPr>
        <w:t>dado cumplimiento a</w:t>
      </w:r>
      <w:r w:rsidR="007F5DC7" w:rsidRPr="002720D0">
        <w:rPr>
          <w:lang w:val="es-ES_tradnl"/>
        </w:rPr>
        <w:t xml:space="preserve"> ambas recomendaciones, </w:t>
      </w:r>
      <w:r w:rsidR="00A96717" w:rsidRPr="002720D0">
        <w:rPr>
          <w:lang w:val="es-ES_tradnl"/>
        </w:rPr>
        <w:t>ante todo derogando en su totalidad</w:t>
      </w:r>
      <w:r w:rsidR="00530A09" w:rsidRPr="002720D0">
        <w:rPr>
          <w:lang w:val="es-ES_tradnl"/>
        </w:rPr>
        <w:t xml:space="preserve"> la legislación relativa al trabajo infantil, en particular la recogida en las dos leyes del niño: la Ley de la </w:t>
      </w:r>
      <w:r w:rsidR="00C04BD0" w:rsidRPr="002720D0">
        <w:rPr>
          <w:lang w:val="es-ES_tradnl"/>
        </w:rPr>
        <w:t xml:space="preserve">Infancia </w:t>
      </w:r>
      <w:r w:rsidR="00530A09" w:rsidRPr="002720D0">
        <w:rPr>
          <w:lang w:val="es-ES_tradnl"/>
        </w:rPr>
        <w:t xml:space="preserve">en 2009 y la Ley del </w:t>
      </w:r>
      <w:r w:rsidR="00F629B4" w:rsidRPr="002720D0">
        <w:rPr>
          <w:lang w:val="es-ES_tradnl"/>
        </w:rPr>
        <w:t xml:space="preserve">Niño </w:t>
      </w:r>
      <w:r w:rsidR="00530A09" w:rsidRPr="002720D0">
        <w:rPr>
          <w:lang w:val="es-ES_tradnl"/>
        </w:rPr>
        <w:t>de Zanzíbar en 2011. La legislación en materia de empleo también ha sido derog</w:t>
      </w:r>
      <w:r w:rsidR="00720316" w:rsidRPr="002720D0">
        <w:rPr>
          <w:lang w:val="es-ES_tradnl"/>
        </w:rPr>
        <w:t>ada y susti</w:t>
      </w:r>
      <w:r w:rsidR="00530A09" w:rsidRPr="002720D0">
        <w:rPr>
          <w:lang w:val="es-ES_tradnl"/>
        </w:rPr>
        <w:t xml:space="preserve">tuida por unas leyes más eficaces: la Ley de </w:t>
      </w:r>
      <w:r w:rsidR="00F629B4" w:rsidRPr="002720D0">
        <w:rPr>
          <w:lang w:val="es-ES_tradnl"/>
        </w:rPr>
        <w:t xml:space="preserve">Empleo </w:t>
      </w:r>
      <w:r w:rsidR="00530A09" w:rsidRPr="002720D0">
        <w:rPr>
          <w:lang w:val="es-ES_tradnl"/>
        </w:rPr>
        <w:t xml:space="preserve">y </w:t>
      </w:r>
      <w:r w:rsidR="00F629B4" w:rsidRPr="002720D0">
        <w:rPr>
          <w:lang w:val="es-ES_tradnl"/>
        </w:rPr>
        <w:t>Relaciones Laborales</w:t>
      </w:r>
      <w:r w:rsidR="00151021" w:rsidRPr="002720D0">
        <w:rPr>
          <w:rStyle w:val="FootnoteReference"/>
          <w:lang w:val="es-ES_tradnl"/>
        </w:rPr>
        <w:footnoteReference w:id="104"/>
      </w:r>
      <w:r w:rsidR="00151021" w:rsidRPr="002720D0">
        <w:rPr>
          <w:lang w:val="es-ES_tradnl"/>
        </w:rPr>
        <w:t xml:space="preserve"> </w:t>
      </w:r>
      <w:r w:rsidR="00720316" w:rsidRPr="002720D0">
        <w:rPr>
          <w:lang w:val="es-ES_tradnl"/>
        </w:rPr>
        <w:t xml:space="preserve">y la Ley de </w:t>
      </w:r>
      <w:r w:rsidR="00F629B4" w:rsidRPr="002720D0">
        <w:rPr>
          <w:lang w:val="es-ES_tradnl"/>
        </w:rPr>
        <w:t>Instituciones Laborales</w:t>
      </w:r>
      <w:r w:rsidR="00151021" w:rsidRPr="002720D0">
        <w:rPr>
          <w:rStyle w:val="FootnoteReference"/>
          <w:lang w:val="es-ES_tradnl"/>
        </w:rPr>
        <w:footnoteReference w:id="105"/>
      </w:r>
      <w:r w:rsidR="00720316" w:rsidRPr="002720D0">
        <w:rPr>
          <w:lang w:val="es-ES_tradnl"/>
        </w:rPr>
        <w:t xml:space="preserve"> e</w:t>
      </w:r>
      <w:r w:rsidR="00151021" w:rsidRPr="002720D0">
        <w:rPr>
          <w:lang w:val="es-ES_tradnl"/>
        </w:rPr>
        <w:t xml:space="preserve">n 2004, </w:t>
      </w:r>
      <w:r w:rsidR="00720316" w:rsidRPr="002720D0">
        <w:rPr>
          <w:lang w:val="es-ES_tradnl"/>
        </w:rPr>
        <w:t xml:space="preserve">ambas de aplicación en Tanzanía continental; y la Ley de </w:t>
      </w:r>
      <w:r w:rsidR="00F629B4" w:rsidRPr="002720D0">
        <w:rPr>
          <w:lang w:val="es-ES_tradnl"/>
        </w:rPr>
        <w:t>Relaciones Laborales</w:t>
      </w:r>
      <w:r w:rsidR="00151021" w:rsidRPr="002720D0">
        <w:rPr>
          <w:rStyle w:val="FootnoteReference"/>
          <w:lang w:val="es-ES_tradnl"/>
        </w:rPr>
        <w:footnoteReference w:id="106"/>
      </w:r>
      <w:r w:rsidR="00151021" w:rsidRPr="002720D0">
        <w:rPr>
          <w:lang w:val="es-ES_tradnl"/>
        </w:rPr>
        <w:t xml:space="preserve"> </w:t>
      </w:r>
      <w:r w:rsidR="00720316" w:rsidRPr="002720D0">
        <w:rPr>
          <w:lang w:val="es-ES_tradnl"/>
        </w:rPr>
        <w:t xml:space="preserve">y la Ley de </w:t>
      </w:r>
      <w:r w:rsidR="00F629B4" w:rsidRPr="002720D0">
        <w:rPr>
          <w:lang w:val="es-ES_tradnl"/>
        </w:rPr>
        <w:t>Empleo</w:t>
      </w:r>
      <w:r w:rsidR="00151021" w:rsidRPr="002720D0">
        <w:rPr>
          <w:rStyle w:val="FootnoteReference"/>
          <w:lang w:val="es-ES_tradnl"/>
        </w:rPr>
        <w:footnoteReference w:id="107"/>
      </w:r>
      <w:r w:rsidR="00720316" w:rsidRPr="002720D0">
        <w:rPr>
          <w:lang w:val="es-ES_tradnl"/>
        </w:rPr>
        <w:t xml:space="preserve"> e</w:t>
      </w:r>
      <w:r w:rsidR="00151021" w:rsidRPr="002720D0">
        <w:rPr>
          <w:lang w:val="es-ES_tradnl"/>
        </w:rPr>
        <w:t xml:space="preserve">n 2005, </w:t>
      </w:r>
      <w:r w:rsidR="00720316" w:rsidRPr="002720D0">
        <w:rPr>
          <w:lang w:val="es-ES_tradnl"/>
        </w:rPr>
        <w:t>de aplicación en Zanzíbar. E</w:t>
      </w:r>
      <w:r w:rsidR="00151021" w:rsidRPr="002720D0">
        <w:rPr>
          <w:lang w:val="es-ES_tradnl"/>
        </w:rPr>
        <w:t>n T</w:t>
      </w:r>
      <w:r w:rsidR="00720316" w:rsidRPr="002720D0">
        <w:rPr>
          <w:lang w:val="es-ES_tradnl"/>
        </w:rPr>
        <w:t>anzaní</w:t>
      </w:r>
      <w:r w:rsidR="00151021" w:rsidRPr="002720D0">
        <w:rPr>
          <w:lang w:val="es-ES_tradnl"/>
        </w:rPr>
        <w:t xml:space="preserve">a </w:t>
      </w:r>
      <w:r w:rsidR="00720316" w:rsidRPr="002720D0">
        <w:rPr>
          <w:lang w:val="es-ES_tradnl"/>
        </w:rPr>
        <w:t xml:space="preserve">continental, </w:t>
      </w:r>
      <w:r w:rsidR="00A96717" w:rsidRPr="002720D0">
        <w:rPr>
          <w:lang w:val="es-ES_tradnl"/>
        </w:rPr>
        <w:t xml:space="preserve">tanto la Ley de la </w:t>
      </w:r>
      <w:r w:rsidR="00F629B4" w:rsidRPr="002720D0">
        <w:rPr>
          <w:lang w:val="es-ES_tradnl"/>
        </w:rPr>
        <w:t xml:space="preserve">Infancia </w:t>
      </w:r>
      <w:r w:rsidR="00A96717" w:rsidRPr="002720D0">
        <w:rPr>
          <w:lang w:val="es-ES_tradnl"/>
        </w:rPr>
        <w:t>como</w:t>
      </w:r>
      <w:r w:rsidR="00720316" w:rsidRPr="002720D0">
        <w:rPr>
          <w:lang w:val="es-ES_tradnl"/>
        </w:rPr>
        <w:t xml:space="preserve"> la legislación laboral fijan en 14 años la edad mínima de contratación,</w:t>
      </w:r>
      <w:r w:rsidR="00A96717" w:rsidRPr="002720D0">
        <w:rPr>
          <w:lang w:val="es-ES_tradnl"/>
        </w:rPr>
        <w:t xml:space="preserve"> mientras que en Zanzíbar</w:t>
      </w:r>
      <w:r w:rsidR="00720316" w:rsidRPr="002720D0">
        <w:rPr>
          <w:lang w:val="es-ES_tradnl"/>
        </w:rPr>
        <w:t xml:space="preserve"> la edad mínima de contratación está fijada en 15 años por la Ley del </w:t>
      </w:r>
      <w:r w:rsidR="004023E6" w:rsidRPr="002720D0">
        <w:rPr>
          <w:lang w:val="es-ES_tradnl"/>
        </w:rPr>
        <w:t>Niño</w:t>
      </w:r>
      <w:r w:rsidR="00720316"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261.</w:t>
      </w:r>
      <w:r w:rsidRPr="002720D0">
        <w:rPr>
          <w:lang w:val="es-ES_tradnl"/>
        </w:rPr>
        <w:tab/>
      </w:r>
      <w:r w:rsidR="00720316" w:rsidRPr="002720D0">
        <w:rPr>
          <w:lang w:val="es-ES_tradnl"/>
        </w:rPr>
        <w:t xml:space="preserve">La </w:t>
      </w:r>
      <w:r w:rsidR="00134896">
        <w:rPr>
          <w:lang w:val="es-ES_tradnl"/>
        </w:rPr>
        <w:t xml:space="preserve">Encuesta integrada de la población activa </w:t>
      </w:r>
      <w:r w:rsidR="00720316" w:rsidRPr="002720D0">
        <w:rPr>
          <w:lang w:val="es-ES_tradnl"/>
        </w:rPr>
        <w:t xml:space="preserve">de </w:t>
      </w:r>
      <w:r w:rsidR="00151021" w:rsidRPr="002720D0">
        <w:rPr>
          <w:lang w:val="es-ES_tradnl"/>
        </w:rPr>
        <w:t xml:space="preserve">2006 </w:t>
      </w:r>
      <w:r w:rsidR="00720316" w:rsidRPr="002720D0">
        <w:rPr>
          <w:lang w:val="es-ES_tradnl"/>
        </w:rPr>
        <w:t xml:space="preserve">determinó que </w:t>
      </w:r>
      <w:r w:rsidR="0087029E" w:rsidRPr="002720D0">
        <w:rPr>
          <w:lang w:val="es-ES_tradnl"/>
        </w:rPr>
        <w:t>en el conjunto de los trabajadores</w:t>
      </w:r>
      <w:r w:rsidR="00720316" w:rsidRPr="002720D0">
        <w:rPr>
          <w:lang w:val="es-ES_tradnl"/>
        </w:rPr>
        <w:t xml:space="preserve"> </w:t>
      </w:r>
      <w:r w:rsidR="0087029E" w:rsidRPr="002720D0">
        <w:rPr>
          <w:lang w:val="es-ES_tradnl"/>
        </w:rPr>
        <w:t xml:space="preserve">se </w:t>
      </w:r>
      <w:r w:rsidR="002262B8" w:rsidRPr="002720D0">
        <w:rPr>
          <w:lang w:val="es-ES_tradnl"/>
        </w:rPr>
        <w:t>contaban</w:t>
      </w:r>
      <w:r w:rsidR="00720316" w:rsidRPr="002720D0">
        <w:rPr>
          <w:lang w:val="es-ES_tradnl"/>
        </w:rPr>
        <w:t xml:space="preserve"> </w:t>
      </w:r>
      <w:r w:rsidR="0087029E" w:rsidRPr="002720D0">
        <w:rPr>
          <w:lang w:val="es-ES_tradnl"/>
        </w:rPr>
        <w:t>2.468.</w:t>
      </w:r>
      <w:r w:rsidR="00151021" w:rsidRPr="002720D0">
        <w:rPr>
          <w:lang w:val="es-ES_tradnl"/>
        </w:rPr>
        <w:t xml:space="preserve">488 </w:t>
      </w:r>
      <w:r w:rsidR="0087029E" w:rsidRPr="002720D0">
        <w:rPr>
          <w:lang w:val="es-ES_tradnl"/>
        </w:rPr>
        <w:t>niños, de los cuales 591.</w:t>
      </w:r>
      <w:r w:rsidR="00151021" w:rsidRPr="002720D0">
        <w:rPr>
          <w:lang w:val="es-ES_tradnl"/>
        </w:rPr>
        <w:t xml:space="preserve">846 </w:t>
      </w:r>
      <w:r w:rsidR="0087029E" w:rsidRPr="002720D0">
        <w:rPr>
          <w:lang w:val="es-ES_tradnl"/>
        </w:rPr>
        <w:t xml:space="preserve">trabajaban en condiciones peligrosas. Como respuesta tanto a estos datos como a la recomendación correspondiente del Comité, la República Unida de Tanzanía adoptó una Estrategia nacional para la eliminación </w:t>
      </w:r>
      <w:r w:rsidR="00134896">
        <w:rPr>
          <w:lang w:val="es-ES_tradnl"/>
        </w:rPr>
        <w:t>de las peores formas de</w:t>
      </w:r>
      <w:r w:rsidR="0087029E" w:rsidRPr="002720D0">
        <w:rPr>
          <w:lang w:val="es-ES_tradnl"/>
        </w:rPr>
        <w:t xml:space="preserve"> trabajo infantil en 2005; entre otras cosas, </w:t>
      </w:r>
      <w:r w:rsidR="002262B8" w:rsidRPr="002720D0">
        <w:rPr>
          <w:lang w:val="es-ES_tradnl"/>
        </w:rPr>
        <w:t xml:space="preserve">en </w:t>
      </w:r>
      <w:r w:rsidR="0087029E" w:rsidRPr="002720D0">
        <w:rPr>
          <w:lang w:val="es-ES_tradnl"/>
        </w:rPr>
        <w:t xml:space="preserve">esta estrategia </w:t>
      </w:r>
      <w:r w:rsidR="002262B8" w:rsidRPr="002720D0">
        <w:rPr>
          <w:lang w:val="es-ES_tradnl"/>
        </w:rPr>
        <w:t xml:space="preserve">se </w:t>
      </w:r>
      <w:r w:rsidR="0087029E" w:rsidRPr="002720D0">
        <w:rPr>
          <w:lang w:val="es-ES_tradnl"/>
        </w:rPr>
        <w:t>dispone</w:t>
      </w:r>
      <w:r w:rsidR="002262B8" w:rsidRPr="002720D0">
        <w:rPr>
          <w:lang w:val="es-ES_tradnl"/>
        </w:rPr>
        <w:t>n</w:t>
      </w:r>
      <w:r w:rsidR="0087029E" w:rsidRPr="002720D0">
        <w:rPr>
          <w:lang w:val="es-ES_tradnl"/>
        </w:rPr>
        <w:t xml:space="preserve"> medidas destinadas a controlar los asuntos relativos al trabajo infantil en el país. Además, la República Unida de Tanzanía ha elaborado una Política nacional de empleo por la que se prohíbe el trabajo infantil. </w:t>
      </w:r>
    </w:p>
    <w:p w:rsidR="00151021" w:rsidRPr="002720D0" w:rsidRDefault="004F6364" w:rsidP="004F6364">
      <w:pPr>
        <w:pStyle w:val="SingleTxtG"/>
        <w:tabs>
          <w:tab w:val="left" w:pos="-360"/>
        </w:tabs>
        <w:rPr>
          <w:lang w:val="es-ES_tradnl"/>
        </w:rPr>
      </w:pPr>
      <w:r w:rsidRPr="002720D0">
        <w:rPr>
          <w:lang w:val="es-ES_tradnl"/>
        </w:rPr>
        <w:t>262.</w:t>
      </w:r>
      <w:r w:rsidRPr="002720D0">
        <w:rPr>
          <w:lang w:val="es-ES_tradnl"/>
        </w:rPr>
        <w:tab/>
      </w:r>
      <w:r w:rsidR="002262B8" w:rsidRPr="002720D0">
        <w:rPr>
          <w:lang w:val="es-ES_tradnl"/>
        </w:rPr>
        <w:t>El Estado p</w:t>
      </w:r>
      <w:r w:rsidR="003C45D5" w:rsidRPr="002720D0">
        <w:rPr>
          <w:lang w:val="es-ES_tradnl"/>
        </w:rPr>
        <w:t>arte, c</w:t>
      </w:r>
      <w:r w:rsidR="0087029E" w:rsidRPr="002720D0">
        <w:rPr>
          <w:lang w:val="es-ES_tradnl"/>
        </w:rPr>
        <w:t xml:space="preserve">on el apoyo de la OIT, </w:t>
      </w:r>
      <w:r w:rsidR="002262B8" w:rsidRPr="002720D0">
        <w:rPr>
          <w:lang w:val="es-ES_tradnl"/>
        </w:rPr>
        <w:t>puso en ejecución</w:t>
      </w:r>
      <w:r w:rsidR="0087029E" w:rsidRPr="002720D0">
        <w:rPr>
          <w:lang w:val="es-ES_tradnl"/>
        </w:rPr>
        <w:t xml:space="preserve"> el </w:t>
      </w:r>
      <w:r w:rsidR="003C45D5" w:rsidRPr="002720D0">
        <w:rPr>
          <w:lang w:val="es-ES_tradnl"/>
        </w:rPr>
        <w:t xml:space="preserve">Programa Internacional para la Erradicación del Trabajo Infantil (IPEC). </w:t>
      </w:r>
      <w:r w:rsidR="0087029E" w:rsidRPr="002720D0">
        <w:rPr>
          <w:lang w:val="es-ES_tradnl"/>
        </w:rPr>
        <w:t xml:space="preserve">Este programa con plazos </w:t>
      </w:r>
      <w:r w:rsidR="003C45D5" w:rsidRPr="002720D0">
        <w:rPr>
          <w:lang w:val="es-ES_tradnl"/>
        </w:rPr>
        <w:t xml:space="preserve">se ejecutó en colaboración con la OIT. Mediante esta y otras iniciativas se ha </w:t>
      </w:r>
      <w:r w:rsidR="002262B8" w:rsidRPr="002720D0">
        <w:rPr>
          <w:lang w:val="es-ES_tradnl"/>
        </w:rPr>
        <w:t>podido reducir</w:t>
      </w:r>
      <w:r w:rsidR="003C45D5" w:rsidRPr="002720D0">
        <w:rPr>
          <w:lang w:val="es-ES_tradnl"/>
        </w:rPr>
        <w:t xml:space="preserve"> el número de niños empleados en actividades peligrosas, entre ellas la explotación sexual comercial, el trabajo doméstico, la minería, las actividades comerciales y la agricultura. Por otra parte, el Gobierno, en colaboración con </w:t>
      </w:r>
      <w:r w:rsidR="00151021" w:rsidRPr="002720D0">
        <w:rPr>
          <w:i/>
          <w:lang w:val="es-ES_tradnl"/>
        </w:rPr>
        <w:t>KIOTA</w:t>
      </w:r>
      <w:r w:rsidR="003D2ED2" w:rsidRPr="002720D0">
        <w:rPr>
          <w:i/>
          <w:lang w:val="es-ES_tradnl"/>
        </w:rPr>
        <w:t xml:space="preserve"> </w:t>
      </w:r>
      <w:r w:rsidR="00151021" w:rsidRPr="002720D0">
        <w:rPr>
          <w:i/>
          <w:lang w:val="es-ES_tradnl"/>
        </w:rPr>
        <w:t>Women</w:t>
      </w:r>
      <w:r w:rsidR="001C7E1C">
        <w:rPr>
          <w:i/>
          <w:lang w:val="es-ES_tradnl"/>
        </w:rPr>
        <w:t>'</w:t>
      </w:r>
      <w:r w:rsidR="003C45D5" w:rsidRPr="002720D0">
        <w:rPr>
          <w:i/>
          <w:lang w:val="es-ES_tradnl"/>
        </w:rPr>
        <w:t>s</w:t>
      </w:r>
      <w:r w:rsidR="00151021" w:rsidRPr="002720D0">
        <w:rPr>
          <w:i/>
          <w:lang w:val="es-ES_tradnl"/>
        </w:rPr>
        <w:t xml:space="preserve"> Health </w:t>
      </w:r>
      <w:r w:rsidR="003C45D5" w:rsidRPr="002720D0">
        <w:rPr>
          <w:i/>
          <w:lang w:val="es-ES_tradnl"/>
        </w:rPr>
        <w:t xml:space="preserve">and </w:t>
      </w:r>
      <w:r w:rsidR="00151021" w:rsidRPr="002720D0">
        <w:rPr>
          <w:i/>
          <w:lang w:val="es-ES_tradnl"/>
        </w:rPr>
        <w:t>Development</w:t>
      </w:r>
      <w:r w:rsidR="003C45D5" w:rsidRPr="002720D0">
        <w:rPr>
          <w:lang w:val="es-ES_tradnl"/>
        </w:rPr>
        <w:t xml:space="preserve">, pudo retirar a un total de 6.083 niños de la prostitución durante los años </w:t>
      </w:r>
      <w:r w:rsidR="00151021" w:rsidRPr="002720D0">
        <w:rPr>
          <w:lang w:val="es-ES_tradnl"/>
        </w:rPr>
        <w:t>2005,</w:t>
      </w:r>
      <w:r w:rsidR="00203441" w:rsidRPr="002720D0">
        <w:rPr>
          <w:lang w:val="es-ES_tradnl"/>
        </w:rPr>
        <w:t xml:space="preserve"> </w:t>
      </w:r>
      <w:r w:rsidR="00151021" w:rsidRPr="002720D0">
        <w:rPr>
          <w:lang w:val="es-ES_tradnl"/>
        </w:rPr>
        <w:t xml:space="preserve">2006 </w:t>
      </w:r>
      <w:r w:rsidR="003C45D5" w:rsidRPr="002720D0">
        <w:rPr>
          <w:lang w:val="es-ES_tradnl"/>
        </w:rPr>
        <w:t>y</w:t>
      </w:r>
      <w:r w:rsidR="00151021" w:rsidRPr="002720D0">
        <w:rPr>
          <w:lang w:val="es-ES_tradnl"/>
        </w:rPr>
        <w:t xml:space="preserve"> 2007 (</w:t>
      </w:r>
      <w:r w:rsidR="00134896">
        <w:rPr>
          <w:lang w:val="es-ES_tradnl"/>
        </w:rPr>
        <w:t>I</w:t>
      </w:r>
      <w:r w:rsidR="003C45D5" w:rsidRPr="002720D0">
        <w:rPr>
          <w:lang w:val="es-ES_tradnl"/>
        </w:rPr>
        <w:t xml:space="preserve">nforme sobre mujeres y niños, </w:t>
      </w:r>
      <w:r w:rsidR="00151021" w:rsidRPr="002720D0">
        <w:rPr>
          <w:lang w:val="es-ES_tradnl"/>
        </w:rPr>
        <w:t xml:space="preserve">2010). </w:t>
      </w:r>
    </w:p>
    <w:p w:rsidR="00151021" w:rsidRPr="002720D0" w:rsidRDefault="004F6364" w:rsidP="004F6364">
      <w:pPr>
        <w:pStyle w:val="SingleTxtG"/>
        <w:tabs>
          <w:tab w:val="left" w:pos="-360"/>
        </w:tabs>
        <w:rPr>
          <w:lang w:val="es-ES_tradnl"/>
        </w:rPr>
      </w:pPr>
      <w:r w:rsidRPr="002720D0">
        <w:rPr>
          <w:lang w:val="es-ES_tradnl"/>
        </w:rPr>
        <w:t>263.</w:t>
      </w:r>
      <w:r w:rsidRPr="002720D0">
        <w:rPr>
          <w:lang w:val="es-ES_tradnl"/>
        </w:rPr>
        <w:tab/>
      </w:r>
      <w:r w:rsidR="003C45D5" w:rsidRPr="002720D0">
        <w:rPr>
          <w:lang w:val="es-ES_tradnl"/>
        </w:rPr>
        <w:t>En Zanzí</w:t>
      </w:r>
      <w:r w:rsidR="00151021" w:rsidRPr="002720D0">
        <w:rPr>
          <w:lang w:val="es-ES_tradnl"/>
        </w:rPr>
        <w:t xml:space="preserve">bar, </w:t>
      </w:r>
      <w:r w:rsidR="00B057BF" w:rsidRPr="002720D0">
        <w:rPr>
          <w:lang w:val="es-ES_tradnl"/>
        </w:rPr>
        <w:t xml:space="preserve">en 2010 </w:t>
      </w:r>
      <w:r w:rsidR="002262B8" w:rsidRPr="002720D0">
        <w:rPr>
          <w:lang w:val="es-ES_tradnl"/>
        </w:rPr>
        <w:t>el Estado p</w:t>
      </w:r>
      <w:r w:rsidR="003C45D5" w:rsidRPr="002720D0">
        <w:rPr>
          <w:lang w:val="es-ES_tradnl"/>
        </w:rPr>
        <w:t>arte</w:t>
      </w:r>
      <w:r w:rsidR="00B057BF" w:rsidRPr="002720D0">
        <w:rPr>
          <w:lang w:val="es-ES_tradnl"/>
        </w:rPr>
        <w:t xml:space="preserve"> creó</w:t>
      </w:r>
      <w:r w:rsidR="003C45D5" w:rsidRPr="002720D0">
        <w:rPr>
          <w:lang w:val="es-ES_tradnl"/>
        </w:rPr>
        <w:t xml:space="preserve">, por conducto </w:t>
      </w:r>
      <w:r w:rsidR="00B057BF" w:rsidRPr="002720D0">
        <w:rPr>
          <w:lang w:val="es-ES_tradnl"/>
        </w:rPr>
        <w:t>d</w:t>
      </w:r>
      <w:r w:rsidR="003C45D5" w:rsidRPr="002720D0">
        <w:rPr>
          <w:lang w:val="es-ES_tradnl"/>
        </w:rPr>
        <w:t xml:space="preserve">el Ministerio de </w:t>
      </w:r>
      <w:r w:rsidR="00B057BF" w:rsidRPr="002720D0">
        <w:rPr>
          <w:lang w:val="es-ES_tradnl"/>
        </w:rPr>
        <w:t xml:space="preserve">Trabajo, Potenciación Económica y Cooperativas, una dependencia especial destinada a coordinar </w:t>
      </w:r>
      <w:r w:rsidR="002262B8" w:rsidRPr="002720D0">
        <w:rPr>
          <w:lang w:val="es-ES_tradnl"/>
        </w:rPr>
        <w:t>las medidas destinadas a</w:t>
      </w:r>
      <w:r w:rsidR="00B057BF" w:rsidRPr="002720D0">
        <w:rPr>
          <w:lang w:val="es-ES_tradnl"/>
        </w:rPr>
        <w:t xml:space="preserve"> la eliminación del trabajo infantil. El Plan de acción nacional para la eliminac</w:t>
      </w:r>
      <w:r w:rsidR="002262B8" w:rsidRPr="002720D0">
        <w:rPr>
          <w:lang w:val="es-ES_tradnl"/>
        </w:rPr>
        <w:t>ión del trabajo infantil 2009-</w:t>
      </w:r>
      <w:r w:rsidR="00151021" w:rsidRPr="002720D0">
        <w:rPr>
          <w:lang w:val="es-ES_tradnl"/>
        </w:rPr>
        <w:t xml:space="preserve">2015 </w:t>
      </w:r>
      <w:r w:rsidR="00B057BF" w:rsidRPr="002720D0">
        <w:rPr>
          <w:lang w:val="es-ES_tradnl"/>
        </w:rPr>
        <w:t xml:space="preserve">se ha establecido para encarar el problema del trabajo infantil, igualmente en colaboración con la OIT; el Gobierno ha identificado a más de 200 niños, a los que ha provisto de lo necesario en materia de uniformes y libros y devuelto a la escuela. </w:t>
      </w:r>
    </w:p>
    <w:p w:rsidR="00151021" w:rsidRPr="002720D0" w:rsidRDefault="00914E2E" w:rsidP="00586395">
      <w:pPr>
        <w:pStyle w:val="H23G"/>
        <w:outlineLvl w:val="0"/>
        <w:rPr>
          <w:lang w:val="es-ES_tradnl"/>
        </w:rPr>
      </w:pPr>
      <w:bookmarkStart w:id="56" w:name="_Toc313469611"/>
      <w:bookmarkStart w:id="57" w:name="_Toc313470891"/>
      <w:r w:rsidRPr="002720D0">
        <w:rPr>
          <w:lang w:val="es-ES_tradnl"/>
        </w:rPr>
        <w:tab/>
      </w:r>
      <w:r w:rsidR="00151021" w:rsidRPr="002720D0">
        <w:rPr>
          <w:lang w:val="es-ES_tradnl"/>
        </w:rPr>
        <w:t>b)</w:t>
      </w:r>
      <w:r w:rsidRPr="002720D0">
        <w:rPr>
          <w:lang w:val="es-ES_tradnl"/>
        </w:rPr>
        <w:tab/>
      </w:r>
      <w:r w:rsidR="00B057BF" w:rsidRPr="002720D0">
        <w:rPr>
          <w:lang w:val="es-ES_tradnl"/>
        </w:rPr>
        <w:t>Explotación y abuso sexuales (</w:t>
      </w:r>
      <w:r w:rsidR="00727D22">
        <w:rPr>
          <w:lang w:val="es-ES_tradnl"/>
        </w:rPr>
        <w:t xml:space="preserve">art. </w:t>
      </w:r>
      <w:r w:rsidR="00B057BF" w:rsidRPr="002720D0">
        <w:rPr>
          <w:lang w:val="es-ES_tradnl"/>
        </w:rPr>
        <w:t>34)</w:t>
      </w:r>
      <w:bookmarkEnd w:id="56"/>
      <w:bookmarkEnd w:id="57"/>
    </w:p>
    <w:p w:rsidR="00B057BF" w:rsidRPr="002720D0" w:rsidRDefault="004F6364" w:rsidP="004F6364">
      <w:pPr>
        <w:pStyle w:val="SingleTxtG"/>
        <w:tabs>
          <w:tab w:val="left" w:pos="-360"/>
        </w:tabs>
        <w:rPr>
          <w:b/>
          <w:bCs/>
          <w:lang w:val="es-ES_tradnl"/>
        </w:rPr>
      </w:pPr>
      <w:r w:rsidRPr="002720D0">
        <w:rPr>
          <w:bCs/>
          <w:lang w:val="es-ES_tradnl"/>
        </w:rPr>
        <w:t>264.</w:t>
      </w:r>
      <w:r w:rsidRPr="002720D0">
        <w:rPr>
          <w:bCs/>
          <w:lang w:val="es-ES_tradnl"/>
        </w:rPr>
        <w:tab/>
      </w:r>
      <w:r w:rsidR="00B057BF" w:rsidRPr="002720D0">
        <w:rPr>
          <w:lang w:val="es-ES_tradnl"/>
        </w:rPr>
        <w:t xml:space="preserve">En sus anteriores Observaciones finales relativas al segundo informe </w:t>
      </w:r>
      <w:r w:rsidR="002720D0" w:rsidRPr="002720D0">
        <w:rPr>
          <w:lang w:val="es-ES_tradnl"/>
        </w:rPr>
        <w:t>periódico</w:t>
      </w:r>
      <w:r w:rsidR="00B057BF" w:rsidRPr="002720D0">
        <w:rPr>
          <w:lang w:val="es-ES_tradnl"/>
        </w:rPr>
        <w:t xml:space="preserve"> del Estado </w:t>
      </w:r>
      <w:r w:rsidR="0009388C" w:rsidRPr="002720D0">
        <w:rPr>
          <w:lang w:val="es-ES_tradnl"/>
        </w:rPr>
        <w:t>parte</w:t>
      </w:r>
      <w:r w:rsidR="00B057BF" w:rsidRPr="002720D0">
        <w:rPr>
          <w:lang w:val="es-ES_tradnl"/>
        </w:rPr>
        <w:t xml:space="preserve">, el Comité recomendó que el Estado </w:t>
      </w:r>
      <w:r w:rsidR="0009388C" w:rsidRPr="002720D0">
        <w:rPr>
          <w:lang w:val="es-ES_tradnl"/>
        </w:rPr>
        <w:t>parte</w:t>
      </w:r>
      <w:r w:rsidR="00B057BF" w:rsidRPr="002720D0">
        <w:rPr>
          <w:lang w:val="es-ES_tradnl"/>
        </w:rPr>
        <w:t xml:space="preserve">: </w:t>
      </w:r>
    </w:p>
    <w:p w:rsidR="00151021" w:rsidRPr="002720D0" w:rsidRDefault="00D10951" w:rsidP="00D10951">
      <w:pPr>
        <w:pStyle w:val="SingleTxtG"/>
        <w:rPr>
          <w:lang w:val="es-ES_tradnl"/>
        </w:rPr>
      </w:pPr>
      <w:r>
        <w:rPr>
          <w:lang w:val="es-ES_tradnl"/>
        </w:rPr>
        <w:tab/>
      </w:r>
      <w:r w:rsidR="00203441" w:rsidRPr="002720D0">
        <w:rPr>
          <w:lang w:val="es-ES_tradnl"/>
        </w:rPr>
        <w:t>a)</w:t>
      </w:r>
      <w:r w:rsidR="00203441" w:rsidRPr="002720D0">
        <w:rPr>
          <w:lang w:val="es-ES_tradnl"/>
        </w:rPr>
        <w:tab/>
      </w:r>
      <w:r w:rsidR="008D6920" w:rsidRPr="002720D0">
        <w:rPr>
          <w:lang w:val="es-ES_tradnl"/>
        </w:rPr>
        <w:t>Fortaleciera sus disposiciones legislativas y elaborase una política efectiva y general para abordar la explotación sexual de la infancia, como los factores que exponen a ella;</w:t>
      </w:r>
    </w:p>
    <w:p w:rsidR="00151021" w:rsidRPr="002720D0" w:rsidRDefault="00D10951" w:rsidP="00D10951">
      <w:pPr>
        <w:pStyle w:val="SingleTxtG"/>
        <w:rPr>
          <w:lang w:val="es-ES_tradnl"/>
        </w:rPr>
      </w:pPr>
      <w:r>
        <w:rPr>
          <w:lang w:val="es-ES_tradnl"/>
        </w:rPr>
        <w:tab/>
      </w:r>
      <w:r w:rsidR="00151021" w:rsidRPr="002720D0">
        <w:rPr>
          <w:lang w:val="es-ES_tradnl"/>
        </w:rPr>
        <w:t>b)</w:t>
      </w:r>
      <w:r w:rsidR="00914E2E" w:rsidRPr="002720D0">
        <w:rPr>
          <w:lang w:val="es-ES_tradnl"/>
        </w:rPr>
        <w:tab/>
      </w:r>
      <w:r w:rsidR="008D6920" w:rsidRPr="002720D0">
        <w:rPr>
          <w:lang w:val="es-ES_tradnl"/>
        </w:rPr>
        <w:t>Evitase criminalizar a las víctimas de la explotación sexual; y</w:t>
      </w:r>
    </w:p>
    <w:p w:rsidR="00151021" w:rsidRPr="002720D0" w:rsidRDefault="00D10951" w:rsidP="00D10951">
      <w:pPr>
        <w:pStyle w:val="SingleTxtG"/>
        <w:rPr>
          <w:lang w:val="es-ES_tradnl"/>
        </w:rPr>
      </w:pPr>
      <w:r>
        <w:rPr>
          <w:lang w:val="es-ES_tradnl"/>
        </w:rPr>
        <w:tab/>
      </w:r>
      <w:r w:rsidR="00203441" w:rsidRPr="002720D0">
        <w:rPr>
          <w:lang w:val="es-ES_tradnl"/>
        </w:rPr>
        <w:t>c)</w:t>
      </w:r>
      <w:r w:rsidR="00203441" w:rsidRPr="002720D0">
        <w:rPr>
          <w:lang w:val="es-ES_tradnl"/>
        </w:rPr>
        <w:tab/>
      </w:r>
      <w:r w:rsidR="008D6920" w:rsidRPr="002720D0">
        <w:rPr>
          <w:lang w:val="es-ES_tradnl"/>
        </w:rPr>
        <w:t>Ejecutase políticas y programas apropiados de prevención, recuperación y reinserción de los niños victim</w:t>
      </w:r>
      <w:r w:rsidR="002262B8" w:rsidRPr="002720D0">
        <w:rPr>
          <w:lang w:val="es-ES_tradnl"/>
        </w:rPr>
        <w:t>iz</w:t>
      </w:r>
      <w:r w:rsidR="008D6920" w:rsidRPr="002720D0">
        <w:rPr>
          <w:lang w:val="es-ES_tradnl"/>
        </w:rPr>
        <w:t>ados, en conformidad con la Declaración y el Programa de Acción y el compromiso mundial asumidos en 1996 y 2001 en el Congreso Mundial contra la Explotación Sexual Comercial de los Niños.</w:t>
      </w:r>
    </w:p>
    <w:p w:rsidR="00151021" w:rsidRPr="002720D0" w:rsidRDefault="004F6364" w:rsidP="004F6364">
      <w:pPr>
        <w:pStyle w:val="SingleTxtG"/>
        <w:tabs>
          <w:tab w:val="left" w:pos="-360"/>
        </w:tabs>
        <w:rPr>
          <w:lang w:val="es-ES_tradnl"/>
        </w:rPr>
      </w:pPr>
      <w:r w:rsidRPr="002720D0">
        <w:rPr>
          <w:lang w:val="es-ES_tradnl"/>
        </w:rPr>
        <w:t>265.</w:t>
      </w:r>
      <w:r w:rsidRPr="002720D0">
        <w:rPr>
          <w:lang w:val="es-ES_tradnl"/>
        </w:rPr>
        <w:tab/>
      </w:r>
      <w:r w:rsidR="002262B8" w:rsidRPr="002720D0">
        <w:rPr>
          <w:lang w:val="es-ES_tradnl"/>
        </w:rPr>
        <w:t>El Estado parte ha adoptado varias medidas e</w:t>
      </w:r>
      <w:r w:rsidR="009B5E14" w:rsidRPr="002720D0">
        <w:rPr>
          <w:lang w:val="es-ES_tradnl"/>
        </w:rPr>
        <w:t xml:space="preserve">n aras de aplicar </w:t>
      </w:r>
      <w:r w:rsidR="002262B8" w:rsidRPr="002720D0">
        <w:rPr>
          <w:lang w:val="es-ES_tradnl"/>
        </w:rPr>
        <w:t>el artículo 34 de la Convención</w:t>
      </w:r>
      <w:r w:rsidR="009B5E14" w:rsidRPr="002720D0">
        <w:rPr>
          <w:lang w:val="es-ES_tradnl"/>
        </w:rPr>
        <w:t xml:space="preserve"> y en cumplimiento de las recomendaciones</w:t>
      </w:r>
      <w:r w:rsidR="002262B8" w:rsidRPr="002720D0">
        <w:rPr>
          <w:lang w:val="es-ES_tradnl"/>
        </w:rPr>
        <w:t xml:space="preserve"> que anteceden</w:t>
      </w:r>
      <w:r w:rsidR="009B5E14" w:rsidRPr="002720D0">
        <w:rPr>
          <w:lang w:val="es-ES_tradnl"/>
        </w:rPr>
        <w:t xml:space="preserve">. Entre estas medidas se cuenta la promulgación de medidas de protección para aquellos niños que necesitan protección especial, </w:t>
      </w:r>
      <w:r w:rsidR="002262B8" w:rsidRPr="002720D0">
        <w:rPr>
          <w:lang w:val="es-ES_tradnl"/>
        </w:rPr>
        <w:t xml:space="preserve">reconociendo </w:t>
      </w:r>
      <w:r w:rsidR="009B5E14" w:rsidRPr="002720D0">
        <w:rPr>
          <w:lang w:val="es-ES_tradnl"/>
        </w:rPr>
        <w:t>a los niños expuestos al riesgo de explotación y abuso sexuales</w:t>
      </w:r>
      <w:r w:rsidR="002262B8" w:rsidRPr="002720D0">
        <w:rPr>
          <w:lang w:val="es-ES_tradnl"/>
        </w:rPr>
        <w:t xml:space="preserve"> </w:t>
      </w:r>
      <w:r w:rsidR="009B5E14" w:rsidRPr="002720D0">
        <w:rPr>
          <w:lang w:val="es-ES_tradnl"/>
        </w:rPr>
        <w:t xml:space="preserve">en virtud de la Ley de la </w:t>
      </w:r>
      <w:r w:rsidR="00654B55" w:rsidRPr="002720D0">
        <w:rPr>
          <w:lang w:val="es-ES_tradnl"/>
        </w:rPr>
        <w:t>Infancia</w:t>
      </w:r>
      <w:r w:rsidR="00151021" w:rsidRPr="002720D0">
        <w:rPr>
          <w:rStyle w:val="FootnoteReference"/>
          <w:lang w:val="es-ES_tradnl"/>
        </w:rPr>
        <w:footnoteReference w:id="108"/>
      </w:r>
      <w:r w:rsidR="00151021" w:rsidRPr="002720D0">
        <w:rPr>
          <w:lang w:val="es-ES_tradnl"/>
        </w:rPr>
        <w:t xml:space="preserve"> </w:t>
      </w:r>
      <w:r w:rsidR="009B5E14" w:rsidRPr="002720D0">
        <w:rPr>
          <w:lang w:val="es-ES_tradnl"/>
        </w:rPr>
        <w:t xml:space="preserve">y de la Ley del </w:t>
      </w:r>
      <w:r w:rsidR="00654B55" w:rsidRPr="002720D0">
        <w:rPr>
          <w:lang w:val="es-ES_tradnl"/>
        </w:rPr>
        <w:t xml:space="preserve">Niño </w:t>
      </w:r>
      <w:r w:rsidR="009B5E14" w:rsidRPr="002720D0">
        <w:rPr>
          <w:lang w:val="es-ES_tradnl"/>
        </w:rPr>
        <w:t>de Zanzí</w:t>
      </w:r>
      <w:r w:rsidR="00151021" w:rsidRPr="002720D0">
        <w:rPr>
          <w:lang w:val="es-ES_tradnl"/>
        </w:rPr>
        <w:t>bar</w:t>
      </w:r>
      <w:r w:rsidR="00151021" w:rsidRPr="002720D0">
        <w:rPr>
          <w:rStyle w:val="FootnoteReference"/>
          <w:lang w:val="es-ES_tradnl"/>
        </w:rPr>
        <w:footnoteReference w:id="109"/>
      </w:r>
      <w:r w:rsidR="009B5E14" w:rsidRPr="002720D0">
        <w:rPr>
          <w:lang w:val="es-ES_tradnl"/>
        </w:rPr>
        <w:t xml:space="preserve">. La Ley de la </w:t>
      </w:r>
      <w:r w:rsidR="00654B55" w:rsidRPr="002720D0">
        <w:rPr>
          <w:lang w:val="es-ES_tradnl"/>
        </w:rPr>
        <w:t xml:space="preserve">Infancia </w:t>
      </w:r>
      <w:r w:rsidR="009E34D2">
        <w:rPr>
          <w:lang w:val="es-ES_tradnl"/>
        </w:rPr>
        <w:t>no permite</w:t>
      </w:r>
      <w:r w:rsidR="009B5E14" w:rsidRPr="002720D0">
        <w:rPr>
          <w:lang w:val="es-ES_tradnl"/>
        </w:rPr>
        <w:t xml:space="preserve"> la participación de los niños en actividades sexual</w:t>
      </w:r>
      <w:r w:rsidR="002262B8" w:rsidRPr="002720D0">
        <w:rPr>
          <w:lang w:val="es-ES_tradnl"/>
        </w:rPr>
        <w:t>es</w:t>
      </w:r>
      <w:r w:rsidR="009B5E14" w:rsidRPr="002720D0">
        <w:rPr>
          <w:lang w:val="es-ES_tradnl"/>
        </w:rPr>
        <w:t xml:space="preserve"> y tipifica como un delito hacer o intentar que un niño desempeñe este tipo de actos. </w:t>
      </w:r>
    </w:p>
    <w:p w:rsidR="00151021" w:rsidRPr="002720D0" w:rsidRDefault="004F6364" w:rsidP="004F6364">
      <w:pPr>
        <w:pStyle w:val="SingleTxtG"/>
        <w:tabs>
          <w:tab w:val="left" w:pos="-360"/>
        </w:tabs>
        <w:rPr>
          <w:lang w:val="es-ES_tradnl"/>
        </w:rPr>
      </w:pPr>
      <w:r w:rsidRPr="002720D0">
        <w:rPr>
          <w:lang w:val="es-ES_tradnl"/>
        </w:rPr>
        <w:t>266.</w:t>
      </w:r>
      <w:r w:rsidRPr="002720D0">
        <w:rPr>
          <w:lang w:val="es-ES_tradnl"/>
        </w:rPr>
        <w:tab/>
      </w:r>
      <w:r w:rsidR="009B5E14" w:rsidRPr="002720D0">
        <w:rPr>
          <w:lang w:val="es-ES_tradnl"/>
        </w:rPr>
        <w:t>Asimismo</w:t>
      </w:r>
      <w:r w:rsidR="009E34D2">
        <w:rPr>
          <w:lang w:val="es-ES_tradnl"/>
        </w:rPr>
        <w:t>,</w:t>
      </w:r>
      <w:r w:rsidR="009B5E14" w:rsidRPr="002720D0">
        <w:rPr>
          <w:lang w:val="es-ES_tradnl"/>
        </w:rPr>
        <w:t xml:space="preserve"> el Estado </w:t>
      </w:r>
      <w:r w:rsidR="00D10951" w:rsidRPr="002720D0">
        <w:rPr>
          <w:lang w:val="es-ES_tradnl"/>
        </w:rPr>
        <w:t>parte</w:t>
      </w:r>
      <w:r w:rsidR="009B5E14" w:rsidRPr="002720D0">
        <w:rPr>
          <w:lang w:val="es-ES_tradnl"/>
        </w:rPr>
        <w:t xml:space="preserve">, con el apoyo técnico y </w:t>
      </w:r>
      <w:r w:rsidR="00737C6D" w:rsidRPr="002720D0">
        <w:rPr>
          <w:lang w:val="es-ES_tradnl"/>
        </w:rPr>
        <w:t xml:space="preserve">económico de la UNICEF, </w:t>
      </w:r>
      <w:r w:rsidR="009B5E14" w:rsidRPr="002720D0">
        <w:rPr>
          <w:lang w:val="es-ES_tradnl"/>
        </w:rPr>
        <w:t xml:space="preserve">llevó a cabo </w:t>
      </w:r>
      <w:r w:rsidR="00737C6D" w:rsidRPr="002720D0">
        <w:rPr>
          <w:lang w:val="es-ES_tradnl"/>
        </w:rPr>
        <w:t xml:space="preserve">en 2009 </w:t>
      </w:r>
      <w:r w:rsidR="009B5E14" w:rsidRPr="002720D0">
        <w:rPr>
          <w:lang w:val="es-ES_tradnl"/>
        </w:rPr>
        <w:t>un estudio nacional sobre l</w:t>
      </w:r>
      <w:r w:rsidR="00737C6D" w:rsidRPr="002720D0">
        <w:rPr>
          <w:lang w:val="es-ES_tradnl"/>
        </w:rPr>
        <w:t>a violencia contra los niños, abarcando</w:t>
      </w:r>
      <w:r w:rsidR="009B5E14" w:rsidRPr="002720D0">
        <w:rPr>
          <w:lang w:val="es-ES_tradnl"/>
        </w:rPr>
        <w:t xml:space="preserve"> tanto Tanzanía continental como Zanzíbar. </w:t>
      </w:r>
      <w:r w:rsidR="00737C6D" w:rsidRPr="002720D0">
        <w:rPr>
          <w:lang w:val="es-ES_tradnl"/>
        </w:rPr>
        <w:t>Por lo que respecta a</w:t>
      </w:r>
      <w:r w:rsidR="009B5E14" w:rsidRPr="002720D0">
        <w:rPr>
          <w:lang w:val="es-ES_tradnl"/>
        </w:rPr>
        <w:t xml:space="preserve"> Tanzanía continental, las </w:t>
      </w:r>
      <w:r w:rsidR="002720D0" w:rsidRPr="002720D0">
        <w:rPr>
          <w:lang w:val="es-ES_tradnl"/>
        </w:rPr>
        <w:t>conclusiones</w:t>
      </w:r>
      <w:r w:rsidR="009B5E14" w:rsidRPr="002720D0">
        <w:rPr>
          <w:lang w:val="es-ES_tradnl"/>
        </w:rPr>
        <w:t xml:space="preserve"> reflejaron lo siguiente: </w:t>
      </w:r>
    </w:p>
    <w:p w:rsidR="00151021" w:rsidRPr="002720D0" w:rsidRDefault="003261CE" w:rsidP="00493086">
      <w:pPr>
        <w:pStyle w:val="Bullet1G"/>
        <w:rPr>
          <w:lang w:val="es-ES_tradnl"/>
        </w:rPr>
      </w:pPr>
      <w:r w:rsidRPr="002720D0">
        <w:rPr>
          <w:lang w:val="es-ES_tradnl"/>
        </w:rPr>
        <w:t>En relación con</w:t>
      </w:r>
      <w:r w:rsidR="009F3715" w:rsidRPr="002720D0">
        <w:rPr>
          <w:lang w:val="es-ES_tradnl"/>
        </w:rPr>
        <w:t xml:space="preserve"> la violencia sexual, aproximadamente 3 de cada 10 mujeres y 1 de cada 7 varones indicaron haber experimentado al menos un incidente de violencia sexual antes de cumplir 18 años; </w:t>
      </w:r>
    </w:p>
    <w:p w:rsidR="00151021" w:rsidRPr="002720D0" w:rsidRDefault="009F3715" w:rsidP="00493086">
      <w:pPr>
        <w:pStyle w:val="Bullet1G"/>
        <w:rPr>
          <w:lang w:val="es-ES_tradnl"/>
        </w:rPr>
      </w:pPr>
      <w:r w:rsidRPr="002720D0">
        <w:rPr>
          <w:lang w:val="es-ES_tradnl"/>
        </w:rPr>
        <w:t>Cerca del</w:t>
      </w:r>
      <w:r w:rsidR="00151021" w:rsidRPr="002720D0">
        <w:rPr>
          <w:lang w:val="es-ES_tradnl"/>
        </w:rPr>
        <w:t xml:space="preserve"> 6% </w:t>
      </w:r>
      <w:r w:rsidRPr="002720D0">
        <w:rPr>
          <w:lang w:val="es-ES_tradnl"/>
        </w:rPr>
        <w:t>de las mujeres ha</w:t>
      </w:r>
      <w:r w:rsidR="00737C6D" w:rsidRPr="002720D0">
        <w:rPr>
          <w:lang w:val="es-ES_tradnl"/>
        </w:rPr>
        <w:t>bía</w:t>
      </w:r>
      <w:r w:rsidRPr="002720D0">
        <w:rPr>
          <w:lang w:val="es-ES_tradnl"/>
        </w:rPr>
        <w:t xml:space="preserve">n sido obligadas físicamente a mantener relaciones sexuales antes de cumplir 18 años; </w:t>
      </w:r>
    </w:p>
    <w:p w:rsidR="00151021" w:rsidRPr="002720D0" w:rsidRDefault="00737C6D" w:rsidP="00493086">
      <w:pPr>
        <w:pStyle w:val="Bullet1G"/>
        <w:rPr>
          <w:lang w:val="es-ES_tradnl"/>
        </w:rPr>
      </w:pPr>
      <w:r w:rsidRPr="002720D0">
        <w:rPr>
          <w:lang w:val="es-ES_tradnl"/>
        </w:rPr>
        <w:t>Cerca de</w:t>
      </w:r>
      <w:r w:rsidR="009F3715" w:rsidRPr="002720D0">
        <w:rPr>
          <w:lang w:val="es-ES_tradnl"/>
        </w:rPr>
        <w:t xml:space="preserve"> las tres cuartas partes de los niños de ambos sexos fueron objeto de violencia física antes de cumplir 18 años; y</w:t>
      </w:r>
    </w:p>
    <w:p w:rsidR="00151021" w:rsidRPr="002720D0" w:rsidRDefault="009F3715" w:rsidP="00493086">
      <w:pPr>
        <w:pStyle w:val="Bullet1G"/>
        <w:rPr>
          <w:lang w:val="es-ES_tradnl"/>
        </w:rPr>
      </w:pPr>
      <w:r w:rsidRPr="002720D0">
        <w:rPr>
          <w:lang w:val="es-ES_tradnl"/>
        </w:rPr>
        <w:t xml:space="preserve">La cuarta parte de los niños de ambos sexos, aproximadamente, fueron objeto de violencia emocional antes de cumplir 18 años. </w:t>
      </w:r>
    </w:p>
    <w:p w:rsidR="00151021" w:rsidRPr="002720D0" w:rsidRDefault="004F6364" w:rsidP="004F6364">
      <w:pPr>
        <w:pStyle w:val="SingleTxtG"/>
        <w:tabs>
          <w:tab w:val="left" w:pos="-360"/>
        </w:tabs>
        <w:rPr>
          <w:lang w:val="es-ES_tradnl"/>
        </w:rPr>
      </w:pPr>
      <w:r w:rsidRPr="002720D0">
        <w:rPr>
          <w:lang w:val="es-ES_tradnl"/>
        </w:rPr>
        <w:t>267.</w:t>
      </w:r>
      <w:r w:rsidRPr="002720D0">
        <w:rPr>
          <w:lang w:val="es-ES_tradnl"/>
        </w:rPr>
        <w:tab/>
      </w:r>
      <w:r w:rsidR="009F3715" w:rsidRPr="002720D0">
        <w:rPr>
          <w:lang w:val="es-ES_tradnl"/>
        </w:rPr>
        <w:t>En Zanzí</w:t>
      </w:r>
      <w:r w:rsidR="00151021" w:rsidRPr="002720D0">
        <w:rPr>
          <w:lang w:val="es-ES_tradnl"/>
        </w:rPr>
        <w:t xml:space="preserve">bar, </w:t>
      </w:r>
      <w:r w:rsidR="009F3715" w:rsidRPr="002720D0">
        <w:rPr>
          <w:lang w:val="es-ES_tradnl"/>
        </w:rPr>
        <w:t xml:space="preserve">el estudio reflejó que más de 1 de cada 20 mujeres y aproximadamente 1 de cada 10 varones con edades comprendidas entre los 13 </w:t>
      </w:r>
      <w:r w:rsidR="00E47BEF" w:rsidRPr="002720D0">
        <w:rPr>
          <w:lang w:val="es-ES_tradnl"/>
        </w:rPr>
        <w:t>y</w:t>
      </w:r>
      <w:r w:rsidR="009F3715" w:rsidRPr="002720D0">
        <w:rPr>
          <w:lang w:val="es-ES_tradnl"/>
        </w:rPr>
        <w:t xml:space="preserve"> los 24 años declararon haber sido objeto de al menos un incidente de violencia sexual antes de cumplir 18 años. Aproximadamente 6 de cada 10 mujeres y 7 de cada 10 varones declararon haber sido objeto de violencia física antes de cumplir 18 años. </w:t>
      </w:r>
      <w:r w:rsidR="00E47BEF" w:rsidRPr="002720D0">
        <w:rPr>
          <w:lang w:val="es-ES_tradnl"/>
        </w:rPr>
        <w:t>Cerca de 1 de cada 2 mujeres y más de 4 de cada 10 varones con edades comprendidas entre los 13 y los 17 años declararon haber sido objeto de violencia física</w:t>
      </w:r>
      <w:r w:rsidR="00D73C16" w:rsidRPr="002720D0">
        <w:rPr>
          <w:lang w:val="es-ES_tradnl"/>
        </w:rPr>
        <w:t xml:space="preserve"> en los 12 meses anteriores, causada por un </w:t>
      </w:r>
      <w:r w:rsidR="009E34D2">
        <w:rPr>
          <w:lang w:val="es-ES_tradnl"/>
        </w:rPr>
        <w:t>familiar</w:t>
      </w:r>
      <w:r w:rsidR="00D73C16" w:rsidRPr="002720D0">
        <w:rPr>
          <w:lang w:val="es-ES_tradnl"/>
        </w:rPr>
        <w:t xml:space="preserve">, </w:t>
      </w:r>
      <w:r w:rsidR="00E47BEF" w:rsidRPr="002720D0">
        <w:rPr>
          <w:lang w:val="es-ES_tradnl"/>
        </w:rPr>
        <w:t>una figura de autoridad</w:t>
      </w:r>
      <w:r w:rsidR="00D73C16" w:rsidRPr="002720D0">
        <w:rPr>
          <w:lang w:val="es-ES_tradnl"/>
        </w:rPr>
        <w:t xml:space="preserve"> (por ejemplo, un maestro) o </w:t>
      </w:r>
      <w:r w:rsidR="00E47BEF" w:rsidRPr="002720D0">
        <w:rPr>
          <w:lang w:val="es-ES_tradnl"/>
        </w:rPr>
        <w:t xml:space="preserve">su pareja. El estudio también </w:t>
      </w:r>
      <w:r w:rsidR="00D73C16" w:rsidRPr="002720D0">
        <w:rPr>
          <w:lang w:val="es-ES_tradnl"/>
        </w:rPr>
        <w:t>reflejó</w:t>
      </w:r>
      <w:r w:rsidR="00E47BEF" w:rsidRPr="002720D0">
        <w:rPr>
          <w:lang w:val="es-ES_tradnl"/>
        </w:rPr>
        <w:t xml:space="preserve"> que aproximadamente 1 de cada 7 mujeres con edades comprendidas entre los 13 y los 24 años, y 1 de cada 5 varones, declararon haber sido objeto de violencia emocional antes de cumplir 18 años. En respuesta a las conclusiones de ambos estudios, los Ministerios </w:t>
      </w:r>
      <w:r w:rsidR="009E34D2">
        <w:rPr>
          <w:lang w:val="es-ES_tradnl"/>
        </w:rPr>
        <w:t>tanto en Zanzíbar como</w:t>
      </w:r>
      <w:r w:rsidR="00E47BEF" w:rsidRPr="002720D0">
        <w:rPr>
          <w:lang w:val="es-ES_tradnl"/>
        </w:rPr>
        <w:t xml:space="preserve"> en el continente se comprometieron</w:t>
      </w:r>
      <w:r w:rsidR="00D73C16" w:rsidRPr="002720D0">
        <w:rPr>
          <w:lang w:val="es-ES_tradnl"/>
        </w:rPr>
        <w:t xml:space="preserve"> a hacer frente a la explotació</w:t>
      </w:r>
      <w:r w:rsidR="00E47BEF" w:rsidRPr="002720D0">
        <w:rPr>
          <w:lang w:val="es-ES_tradnl"/>
        </w:rPr>
        <w:t>n y el abuso sexuales. Estas conclusiones se han incorporado al Plan nacional de respuesta a la violencia contra los niños (2011-2015) en Zanzí</w:t>
      </w:r>
      <w:r w:rsidR="00151021" w:rsidRPr="002720D0">
        <w:rPr>
          <w:lang w:val="es-ES_tradnl"/>
        </w:rPr>
        <w:t xml:space="preserve">bar </w:t>
      </w:r>
      <w:r w:rsidR="00E47BEF" w:rsidRPr="002720D0">
        <w:rPr>
          <w:lang w:val="es-ES_tradnl"/>
        </w:rPr>
        <w:t xml:space="preserve">y se están </w:t>
      </w:r>
      <w:r w:rsidR="002720D0" w:rsidRPr="002720D0">
        <w:rPr>
          <w:lang w:val="es-ES_tradnl"/>
        </w:rPr>
        <w:t>convirtiendo</w:t>
      </w:r>
      <w:r w:rsidR="00E47BEF" w:rsidRPr="002720D0">
        <w:rPr>
          <w:lang w:val="es-ES_tradnl"/>
        </w:rPr>
        <w:t xml:space="preserve"> en un plan de acción en Tanzanía continental. </w:t>
      </w:r>
    </w:p>
    <w:p w:rsidR="00151021" w:rsidRPr="002720D0" w:rsidRDefault="004F6364" w:rsidP="004F6364">
      <w:pPr>
        <w:pStyle w:val="SingleTxtG"/>
        <w:tabs>
          <w:tab w:val="left" w:pos="-360"/>
        </w:tabs>
        <w:rPr>
          <w:lang w:val="es-ES_tradnl"/>
        </w:rPr>
      </w:pPr>
      <w:r w:rsidRPr="002720D0">
        <w:rPr>
          <w:lang w:val="es-ES_tradnl"/>
        </w:rPr>
        <w:t>268.</w:t>
      </w:r>
      <w:r w:rsidRPr="002720D0">
        <w:rPr>
          <w:lang w:val="es-ES_tradnl"/>
        </w:rPr>
        <w:tab/>
      </w:r>
      <w:r w:rsidR="00E47BEF" w:rsidRPr="002720D0">
        <w:rPr>
          <w:lang w:val="es-ES_tradnl"/>
        </w:rPr>
        <w:t xml:space="preserve">En el Hospital Nacional de Zanzíbar se ha creado un centro de atención múltiple, </w:t>
      </w:r>
      <w:r w:rsidR="00D73C16" w:rsidRPr="002720D0">
        <w:rPr>
          <w:lang w:val="es-ES_tradnl"/>
        </w:rPr>
        <w:t>que tiene su</w:t>
      </w:r>
      <w:r w:rsidR="00E47BEF" w:rsidRPr="002720D0">
        <w:rPr>
          <w:lang w:val="es-ES_tradnl"/>
        </w:rPr>
        <w:t xml:space="preserve"> sede en el hospital y cu</w:t>
      </w:r>
      <w:r w:rsidR="00C16B0A" w:rsidRPr="002720D0">
        <w:rPr>
          <w:lang w:val="es-ES_tradnl"/>
        </w:rPr>
        <w:t xml:space="preserve">enta con un agente de policía de guardia, para prestar servicios holísticos para los niños, comprendidos el asesoramiento, la asistencia letrada y los cuidados médicos para las víctimas de abusos, entre ellos los </w:t>
      </w:r>
      <w:r w:rsidR="009E34D2">
        <w:rPr>
          <w:lang w:val="es-ES_tradnl"/>
        </w:rPr>
        <w:t>abusos sexuales</w:t>
      </w:r>
      <w:r w:rsidR="00C16B0A" w:rsidRPr="002720D0">
        <w:rPr>
          <w:lang w:val="es-ES_tradnl"/>
        </w:rPr>
        <w:t xml:space="preserve">. Existen tres centros experimentales de atención múltiple en </w:t>
      </w:r>
      <w:r w:rsidR="00151021" w:rsidRPr="002720D0">
        <w:rPr>
          <w:lang w:val="es-ES_tradnl"/>
        </w:rPr>
        <w:t xml:space="preserve">Magu, Temeke </w:t>
      </w:r>
      <w:r w:rsidR="00C16B0A" w:rsidRPr="002720D0">
        <w:rPr>
          <w:lang w:val="es-ES_tradnl"/>
        </w:rPr>
        <w:t>y uno en</w:t>
      </w:r>
      <w:r w:rsidR="00151021" w:rsidRPr="002720D0">
        <w:rPr>
          <w:lang w:val="es-ES_tradnl"/>
        </w:rPr>
        <w:t xml:space="preserve"> Hai</w:t>
      </w:r>
      <w:r w:rsidR="00C16B0A" w:rsidRPr="002720D0">
        <w:rPr>
          <w:lang w:val="es-ES_tradnl"/>
        </w:rPr>
        <w:t>, con intención de ampliar los esfuerzos a otros distritos. Asimismo, la Policía de Tanzanía ha establecido unidades de asuntos de género y de la niñez tanto en el continente como en Zanzíbar, para mejorar la ge</w:t>
      </w:r>
      <w:r w:rsidR="00D73C16" w:rsidRPr="002720D0">
        <w:rPr>
          <w:lang w:val="es-ES_tradnl"/>
        </w:rPr>
        <w:t xml:space="preserve">stión de los casos por </w:t>
      </w:r>
      <w:r w:rsidR="00C16B0A" w:rsidRPr="002720D0">
        <w:rPr>
          <w:lang w:val="es-ES_tradnl"/>
        </w:rPr>
        <w:t xml:space="preserve">la policía así como para alentar la denuncia de </w:t>
      </w:r>
      <w:r w:rsidR="00D73C16" w:rsidRPr="002720D0">
        <w:rPr>
          <w:lang w:val="es-ES_tradnl"/>
        </w:rPr>
        <w:t xml:space="preserve">actos de </w:t>
      </w:r>
      <w:r w:rsidR="00C16B0A" w:rsidRPr="002720D0">
        <w:rPr>
          <w:lang w:val="es-ES_tradnl"/>
        </w:rPr>
        <w:t>violencia motivada en el género e incidentes de maltrato infantil. Los agentes que llevan estas unidades están dedicados exclusivame</w:t>
      </w:r>
      <w:r w:rsidR="008C6F2B" w:rsidRPr="002720D0">
        <w:rPr>
          <w:lang w:val="es-ES_tradnl"/>
        </w:rPr>
        <w:t>nte a ellas. Se ha impa</w:t>
      </w:r>
      <w:r w:rsidR="00C16B0A" w:rsidRPr="002720D0">
        <w:rPr>
          <w:lang w:val="es-ES_tradnl"/>
        </w:rPr>
        <w:t>rtido formación a policías de 193 de las 366 comisarías de Tanzanía continental. E</w:t>
      </w:r>
      <w:r w:rsidR="0086028D" w:rsidRPr="002720D0">
        <w:rPr>
          <w:lang w:val="es-ES_tradnl"/>
        </w:rPr>
        <w:t>stá previsto que e</w:t>
      </w:r>
      <w:r w:rsidR="00C16B0A" w:rsidRPr="002720D0">
        <w:rPr>
          <w:lang w:val="es-ES_tradnl"/>
        </w:rPr>
        <w:t>l proceso de implantación de estas unidades en todos los distritos de la nación</w:t>
      </w:r>
      <w:r w:rsidR="0086028D" w:rsidRPr="002720D0">
        <w:rPr>
          <w:lang w:val="es-ES_tradnl"/>
        </w:rPr>
        <w:t>, que</w:t>
      </w:r>
      <w:r w:rsidR="00C16B0A" w:rsidRPr="002720D0">
        <w:rPr>
          <w:lang w:val="es-ES_tradnl"/>
        </w:rPr>
        <w:t xml:space="preserve"> forma parte del plan estratégico de la policía tanto para Tanzanía cont</w:t>
      </w:r>
      <w:r w:rsidR="0086028D" w:rsidRPr="002720D0">
        <w:rPr>
          <w:lang w:val="es-ES_tradnl"/>
        </w:rPr>
        <w:t xml:space="preserve">inental como para Zanzíbar, se haya concluido en </w:t>
      </w:r>
      <w:r w:rsidR="00151021" w:rsidRPr="002720D0">
        <w:rPr>
          <w:lang w:val="es-ES_tradnl"/>
        </w:rPr>
        <w:t xml:space="preserve">2013. </w:t>
      </w:r>
      <w:r w:rsidR="0086028D" w:rsidRPr="002720D0">
        <w:rPr>
          <w:lang w:val="es-ES_tradnl"/>
        </w:rPr>
        <w:t xml:space="preserve">El plan comprende la asignación y renovación de salas </w:t>
      </w:r>
      <w:r w:rsidR="00D73C16" w:rsidRPr="002720D0">
        <w:rPr>
          <w:lang w:val="es-ES_tradnl"/>
        </w:rPr>
        <w:t xml:space="preserve">tanto </w:t>
      </w:r>
      <w:r w:rsidR="0086028D" w:rsidRPr="002720D0">
        <w:rPr>
          <w:lang w:val="es-ES_tradnl"/>
        </w:rPr>
        <w:t>para l</w:t>
      </w:r>
      <w:r w:rsidR="00D73C16" w:rsidRPr="002720D0">
        <w:rPr>
          <w:lang w:val="es-ES_tradnl"/>
        </w:rPr>
        <w:t>as unidades como</w:t>
      </w:r>
      <w:r w:rsidR="0086028D" w:rsidRPr="002720D0">
        <w:rPr>
          <w:lang w:val="es-ES_tradnl"/>
        </w:rPr>
        <w:t xml:space="preserve"> para realizar entrevistas a los niños, ya sean estos víctimas, niños en conflicto con la ley o testigos. Por medio del Gobierno Revolucionario de Zanzíbar, y en el seno del </w:t>
      </w:r>
      <w:r w:rsidR="003A1A5F" w:rsidRPr="002720D0">
        <w:rPr>
          <w:lang w:val="es-ES_tradnl"/>
        </w:rPr>
        <w:t xml:space="preserve">Ministerio de </w:t>
      </w:r>
      <w:r w:rsidR="0086028D" w:rsidRPr="002720D0">
        <w:rPr>
          <w:lang w:val="es-ES_tradnl"/>
        </w:rPr>
        <w:t>Bienestar Social y de Desarrollo de la Juventud, la Muj</w:t>
      </w:r>
      <w:r w:rsidR="00D73C16" w:rsidRPr="002720D0">
        <w:rPr>
          <w:lang w:val="es-ES_tradnl"/>
        </w:rPr>
        <w:t>er y el Niño, en 2010 el Estado p</w:t>
      </w:r>
      <w:r w:rsidR="0086028D" w:rsidRPr="002720D0">
        <w:rPr>
          <w:lang w:val="es-ES_tradnl"/>
        </w:rPr>
        <w:t>arte estableció una dependencia</w:t>
      </w:r>
      <w:r w:rsidR="00D73C16" w:rsidRPr="002720D0">
        <w:rPr>
          <w:lang w:val="es-ES_tradnl"/>
        </w:rPr>
        <w:t xml:space="preserve"> de protección del niño</w:t>
      </w:r>
      <w:r w:rsidR="0086028D" w:rsidRPr="002720D0">
        <w:rPr>
          <w:lang w:val="es-ES_tradnl"/>
        </w:rPr>
        <w:t xml:space="preserve"> destinada a proporcionar apoyo psicológico a los niños víctimas de mal</w:t>
      </w:r>
      <w:r w:rsidR="00D73C16" w:rsidRPr="002720D0">
        <w:rPr>
          <w:lang w:val="es-ES_tradnl"/>
        </w:rPr>
        <w:t xml:space="preserve">os </w:t>
      </w:r>
      <w:r w:rsidR="0086028D" w:rsidRPr="002720D0">
        <w:rPr>
          <w:lang w:val="es-ES_tradnl"/>
        </w:rPr>
        <w:t>trato</w:t>
      </w:r>
      <w:r w:rsidR="00D73C16" w:rsidRPr="002720D0">
        <w:rPr>
          <w:lang w:val="es-ES_tradnl"/>
        </w:rPr>
        <w:t>s</w:t>
      </w:r>
      <w:r w:rsidR="0086028D" w:rsidRPr="002720D0">
        <w:rPr>
          <w:lang w:val="es-ES_tradnl"/>
        </w:rPr>
        <w:t xml:space="preserve"> y a sus padres. Esta dependencia proporciona asesoramiento a las víctimas de </w:t>
      </w:r>
      <w:r w:rsidR="009D7D39" w:rsidRPr="002720D0">
        <w:rPr>
          <w:lang w:val="es-ES_tradnl"/>
        </w:rPr>
        <w:t>malos tratos</w:t>
      </w:r>
      <w:r w:rsidR="0086028D" w:rsidRPr="002720D0">
        <w:rPr>
          <w:lang w:val="es-ES_tradnl"/>
        </w:rPr>
        <w:t xml:space="preserve"> y </w:t>
      </w:r>
      <w:r w:rsidR="00D73C16" w:rsidRPr="002720D0">
        <w:rPr>
          <w:lang w:val="es-ES_tradnl"/>
        </w:rPr>
        <w:t>las</w:t>
      </w:r>
      <w:r w:rsidR="0086028D" w:rsidRPr="002720D0">
        <w:rPr>
          <w:lang w:val="es-ES_tradnl"/>
        </w:rPr>
        <w:t xml:space="preserve"> deriva según proceda. Entre las derivaciones se incluyen las efectuadas al centro de atención múltiple del Hospital Nacional para fines de atención médica.</w:t>
      </w:r>
    </w:p>
    <w:p w:rsidR="00151021" w:rsidRPr="002720D0" w:rsidRDefault="00490FA9" w:rsidP="00586395">
      <w:pPr>
        <w:pStyle w:val="H1G"/>
        <w:outlineLvl w:val="0"/>
        <w:rPr>
          <w:lang w:val="es-ES_tradnl"/>
        </w:rPr>
      </w:pPr>
      <w:bookmarkStart w:id="58" w:name="_Toc313470892"/>
      <w:r w:rsidRPr="002720D0">
        <w:rPr>
          <w:lang w:val="es-ES_tradnl"/>
        </w:rPr>
        <w:tab/>
      </w:r>
      <w:r w:rsidR="00151021" w:rsidRPr="002720D0">
        <w:rPr>
          <w:lang w:val="es-ES_tradnl"/>
        </w:rPr>
        <w:t>8.5</w:t>
      </w:r>
      <w:r w:rsidRPr="002720D0">
        <w:rPr>
          <w:lang w:val="es-ES_tradnl"/>
        </w:rPr>
        <w:tab/>
      </w:r>
      <w:r w:rsidR="00151021" w:rsidRPr="002720D0">
        <w:rPr>
          <w:lang w:val="es-ES_tradnl"/>
        </w:rPr>
        <w:t>Dr</w:t>
      </w:r>
      <w:r w:rsidR="003A1A5F" w:rsidRPr="002720D0">
        <w:rPr>
          <w:lang w:val="es-ES_tradnl"/>
        </w:rPr>
        <w:t>ogodependencia</w:t>
      </w:r>
      <w:bookmarkEnd w:id="58"/>
    </w:p>
    <w:p w:rsidR="00151021" w:rsidRPr="002720D0" w:rsidRDefault="004F6364" w:rsidP="004F6364">
      <w:pPr>
        <w:pStyle w:val="SingleTxtG"/>
        <w:tabs>
          <w:tab w:val="left" w:pos="-360"/>
        </w:tabs>
        <w:rPr>
          <w:lang w:val="es-ES_tradnl"/>
        </w:rPr>
      </w:pPr>
      <w:r w:rsidRPr="002720D0">
        <w:rPr>
          <w:lang w:val="es-ES_tradnl"/>
        </w:rPr>
        <w:t>269.</w:t>
      </w:r>
      <w:r w:rsidRPr="002720D0">
        <w:rPr>
          <w:lang w:val="es-ES_tradnl"/>
        </w:rPr>
        <w:tab/>
      </w:r>
      <w:r w:rsidR="003A1A5F" w:rsidRPr="002720D0">
        <w:rPr>
          <w:bCs/>
          <w:lang w:val="es-ES_tradnl"/>
        </w:rPr>
        <w:t xml:space="preserve">El </w:t>
      </w:r>
      <w:r w:rsidR="00D73C16" w:rsidRPr="002720D0">
        <w:rPr>
          <w:bCs/>
          <w:lang w:val="es-ES_tradnl"/>
        </w:rPr>
        <w:t>Comité recomendó que el Estado p</w:t>
      </w:r>
      <w:r w:rsidR="003A1A5F" w:rsidRPr="002720D0">
        <w:rPr>
          <w:bCs/>
          <w:lang w:val="es-ES_tradnl"/>
        </w:rPr>
        <w:t>arte incrementase sus medidas para prevenir y acabar con la drogodependencia en la niñez y para apoyar los programas de</w:t>
      </w:r>
      <w:r w:rsidR="00D73C16" w:rsidRPr="002720D0">
        <w:rPr>
          <w:bCs/>
          <w:lang w:val="es-ES_tradnl"/>
        </w:rPr>
        <w:t xml:space="preserve"> recuperación de las víctimas. También instó al Estado p</w:t>
      </w:r>
      <w:r w:rsidR="003A1A5F" w:rsidRPr="002720D0">
        <w:rPr>
          <w:bCs/>
          <w:lang w:val="es-ES_tradnl"/>
        </w:rPr>
        <w:t>arte a que pi</w:t>
      </w:r>
      <w:r w:rsidR="00D73C16" w:rsidRPr="002720D0">
        <w:rPr>
          <w:bCs/>
          <w:lang w:val="es-ES_tradnl"/>
        </w:rPr>
        <w:t xml:space="preserve">diera cooperación técnica a la </w:t>
      </w:r>
      <w:r w:rsidR="006128BC" w:rsidRPr="002720D0">
        <w:rPr>
          <w:bCs/>
          <w:lang w:val="es-ES_tradnl"/>
        </w:rPr>
        <w:t>OMS</w:t>
      </w:r>
      <w:r w:rsidR="00D73C16" w:rsidRPr="002720D0">
        <w:rPr>
          <w:bCs/>
          <w:lang w:val="es-ES_tradnl"/>
        </w:rPr>
        <w:t xml:space="preserve"> </w:t>
      </w:r>
      <w:r w:rsidR="003A1A5F" w:rsidRPr="002720D0">
        <w:rPr>
          <w:bCs/>
          <w:lang w:val="es-ES_tradnl"/>
        </w:rPr>
        <w:t>y al UNICEF, entre otros.</w:t>
      </w:r>
    </w:p>
    <w:p w:rsidR="00151021" w:rsidRPr="002720D0" w:rsidRDefault="004F6364" w:rsidP="004F6364">
      <w:pPr>
        <w:pStyle w:val="SingleTxtG"/>
        <w:tabs>
          <w:tab w:val="left" w:pos="-360"/>
        </w:tabs>
        <w:rPr>
          <w:lang w:val="es-ES_tradnl"/>
        </w:rPr>
      </w:pPr>
      <w:r w:rsidRPr="002720D0">
        <w:rPr>
          <w:lang w:val="es-ES_tradnl"/>
        </w:rPr>
        <w:t>270.</w:t>
      </w:r>
      <w:r w:rsidRPr="002720D0">
        <w:rPr>
          <w:lang w:val="es-ES_tradnl"/>
        </w:rPr>
        <w:tab/>
      </w:r>
      <w:r w:rsidR="006128BC" w:rsidRPr="002720D0">
        <w:rPr>
          <w:lang w:val="es-ES_tradnl"/>
        </w:rPr>
        <w:t>En cumplimiento de</w:t>
      </w:r>
      <w:r w:rsidR="00D73C16" w:rsidRPr="002720D0">
        <w:rPr>
          <w:lang w:val="es-ES_tradnl"/>
        </w:rPr>
        <w:t xml:space="preserve"> esta recomendación, el Estado p</w:t>
      </w:r>
      <w:r w:rsidR="006128BC" w:rsidRPr="002720D0">
        <w:rPr>
          <w:lang w:val="es-ES_tradnl"/>
        </w:rPr>
        <w:t xml:space="preserve">arte ha </w:t>
      </w:r>
      <w:r w:rsidR="00D73C16" w:rsidRPr="002720D0">
        <w:rPr>
          <w:lang w:val="es-ES_tradnl"/>
        </w:rPr>
        <w:t>emprendido</w:t>
      </w:r>
      <w:r w:rsidR="006128BC" w:rsidRPr="002720D0">
        <w:rPr>
          <w:lang w:val="es-ES_tradnl"/>
        </w:rPr>
        <w:t xml:space="preserve"> varias </w:t>
      </w:r>
      <w:r w:rsidR="00D73C16" w:rsidRPr="002720D0">
        <w:rPr>
          <w:lang w:val="es-ES_tradnl"/>
        </w:rPr>
        <w:t>actividades</w:t>
      </w:r>
      <w:r w:rsidR="006128BC" w:rsidRPr="002720D0">
        <w:rPr>
          <w:lang w:val="es-ES_tradnl"/>
        </w:rPr>
        <w:t>, entre las que se</w:t>
      </w:r>
      <w:r w:rsidR="00D73C16" w:rsidRPr="002720D0">
        <w:rPr>
          <w:lang w:val="es-ES_tradnl"/>
        </w:rPr>
        <w:t xml:space="preserve"> cuenta el fortalecimiento de la</w:t>
      </w:r>
      <w:r w:rsidR="006128BC" w:rsidRPr="002720D0">
        <w:rPr>
          <w:lang w:val="es-ES_tradnl"/>
        </w:rPr>
        <w:t>s medidas para prevenir y acabar con la drogodependencia en la niñez y para apoyar los programas de recuperación de los niños víctimas de la drogodependencia, en colaboración con la OMS y el UNICEF, entre otros, en lo relativo a la drogodependencia. E</w:t>
      </w:r>
      <w:r w:rsidR="00151021" w:rsidRPr="002720D0">
        <w:rPr>
          <w:lang w:val="es-ES_tradnl"/>
        </w:rPr>
        <w:t>n Za</w:t>
      </w:r>
      <w:r w:rsidR="006128BC" w:rsidRPr="002720D0">
        <w:rPr>
          <w:lang w:val="es-ES_tradnl"/>
        </w:rPr>
        <w:t>nzí</w:t>
      </w:r>
      <w:r w:rsidR="00FB48C3" w:rsidRPr="002720D0">
        <w:rPr>
          <w:lang w:val="es-ES_tradnl"/>
        </w:rPr>
        <w:t xml:space="preserve">bar, </w:t>
      </w:r>
      <w:r w:rsidR="006128BC" w:rsidRPr="002720D0">
        <w:rPr>
          <w:lang w:val="es-ES_tradnl"/>
        </w:rPr>
        <w:t>para el año</w:t>
      </w:r>
      <w:r w:rsidR="00FB48C3" w:rsidRPr="002720D0">
        <w:rPr>
          <w:lang w:val="es-ES_tradnl"/>
        </w:rPr>
        <w:t xml:space="preserve"> 2010, </w:t>
      </w:r>
      <w:r w:rsidR="00126832" w:rsidRPr="002720D0">
        <w:rPr>
          <w:lang w:val="es-ES_tradnl"/>
        </w:rPr>
        <w:t xml:space="preserve">el Gobierno estableció </w:t>
      </w:r>
      <w:r w:rsidR="006128BC" w:rsidRPr="002720D0">
        <w:rPr>
          <w:lang w:val="es-ES_tradnl"/>
        </w:rPr>
        <w:t>bajo el Primer Vicepresidente</w:t>
      </w:r>
      <w:r w:rsidR="00126832" w:rsidRPr="002720D0">
        <w:rPr>
          <w:lang w:val="es-ES_tradnl"/>
        </w:rPr>
        <w:t xml:space="preserve"> </w:t>
      </w:r>
      <w:r w:rsidR="006128BC" w:rsidRPr="002720D0">
        <w:rPr>
          <w:lang w:val="es-ES_tradnl"/>
        </w:rPr>
        <w:t>un centro específico para las víctimas de la drogodependencia</w:t>
      </w:r>
      <w:r w:rsidR="00126832" w:rsidRPr="002720D0">
        <w:rPr>
          <w:lang w:val="es-ES_tradnl"/>
        </w:rPr>
        <w:t>,</w:t>
      </w:r>
      <w:r w:rsidR="006128BC" w:rsidRPr="002720D0">
        <w:rPr>
          <w:lang w:val="es-ES_tradnl"/>
        </w:rPr>
        <w:t xml:space="preserve"> donde se proporcionan servicios de pruebas y tratamiento, cuidado y rehabilitación, que comprenden tanto centros de rehabilitación como reintegración positiva a la comunidad para las personas que se han recuperado de la drogodependencia. </w:t>
      </w:r>
    </w:p>
    <w:p w:rsidR="00151021" w:rsidRPr="002720D0" w:rsidRDefault="00490FA9" w:rsidP="00586395">
      <w:pPr>
        <w:pStyle w:val="H1G"/>
        <w:outlineLvl w:val="0"/>
        <w:rPr>
          <w:lang w:val="es-ES_tradnl"/>
        </w:rPr>
      </w:pPr>
      <w:bookmarkStart w:id="59" w:name="_Toc313470893"/>
      <w:r w:rsidRPr="002720D0">
        <w:rPr>
          <w:lang w:val="es-ES_tradnl"/>
        </w:rPr>
        <w:tab/>
      </w:r>
      <w:r w:rsidR="00151021" w:rsidRPr="002720D0">
        <w:rPr>
          <w:lang w:val="es-ES_tradnl"/>
        </w:rPr>
        <w:t>8.6</w:t>
      </w:r>
      <w:r w:rsidRPr="002720D0">
        <w:rPr>
          <w:lang w:val="es-ES_tradnl"/>
        </w:rPr>
        <w:tab/>
      </w:r>
      <w:r w:rsidR="00AD3761" w:rsidRPr="002720D0">
        <w:rPr>
          <w:lang w:val="es-ES_tradnl"/>
        </w:rPr>
        <w:t>La venta, la trata y el secuestro</w:t>
      </w:r>
      <w:bookmarkEnd w:id="59"/>
    </w:p>
    <w:p w:rsidR="00151021" w:rsidRPr="002720D0" w:rsidRDefault="00490FA9" w:rsidP="00586395">
      <w:pPr>
        <w:pStyle w:val="H23G"/>
        <w:outlineLvl w:val="0"/>
        <w:rPr>
          <w:lang w:val="es-ES_tradnl"/>
        </w:rPr>
      </w:pPr>
      <w:r w:rsidRPr="002720D0">
        <w:rPr>
          <w:lang w:val="es-ES_tradnl"/>
        </w:rPr>
        <w:tab/>
      </w:r>
      <w:r w:rsidR="00151021" w:rsidRPr="002720D0">
        <w:rPr>
          <w:lang w:val="es-ES_tradnl"/>
        </w:rPr>
        <w:t>a)</w:t>
      </w:r>
      <w:r w:rsidRPr="002720D0">
        <w:rPr>
          <w:lang w:val="es-ES_tradnl"/>
        </w:rPr>
        <w:tab/>
      </w:r>
      <w:r w:rsidR="00AD3761" w:rsidRPr="002720D0">
        <w:rPr>
          <w:lang w:val="es-ES_tradnl"/>
        </w:rPr>
        <w:t>Legislació</w:t>
      </w:r>
      <w:r w:rsidR="00151021" w:rsidRPr="002720D0">
        <w:rPr>
          <w:lang w:val="es-ES_tradnl"/>
        </w:rPr>
        <w:t>n</w:t>
      </w:r>
    </w:p>
    <w:p w:rsidR="00151021" w:rsidRPr="002720D0" w:rsidRDefault="004F6364" w:rsidP="004F6364">
      <w:pPr>
        <w:pStyle w:val="SingleTxtG"/>
        <w:tabs>
          <w:tab w:val="left" w:pos="-360"/>
        </w:tabs>
        <w:rPr>
          <w:lang w:val="es-ES_tradnl"/>
        </w:rPr>
      </w:pPr>
      <w:r w:rsidRPr="002720D0">
        <w:rPr>
          <w:lang w:val="es-ES_tradnl"/>
        </w:rPr>
        <w:t>271.</w:t>
      </w:r>
      <w:r w:rsidRPr="002720D0">
        <w:rPr>
          <w:lang w:val="es-ES_tradnl"/>
        </w:rPr>
        <w:tab/>
      </w:r>
      <w:r w:rsidR="00AD3761" w:rsidRPr="002720D0">
        <w:rPr>
          <w:lang w:val="es-ES_tradnl"/>
        </w:rPr>
        <w:t xml:space="preserve">En sus Observaciones finales </w:t>
      </w:r>
      <w:r w:rsidR="00F554CE" w:rsidRPr="002720D0">
        <w:rPr>
          <w:lang w:val="es-ES_tradnl"/>
        </w:rPr>
        <w:t>relativas al</w:t>
      </w:r>
      <w:r w:rsidR="00AD3761" w:rsidRPr="002720D0">
        <w:rPr>
          <w:lang w:val="es-ES_tradnl"/>
        </w:rPr>
        <w:t xml:space="preserve"> informe inicial del E</w:t>
      </w:r>
      <w:r w:rsidR="00231E18">
        <w:rPr>
          <w:lang w:val="es-ES_tradnl"/>
        </w:rPr>
        <w:t xml:space="preserve">stado </w:t>
      </w:r>
      <w:r w:rsidR="00D10951">
        <w:rPr>
          <w:lang w:val="es-ES_tradnl"/>
        </w:rPr>
        <w:t xml:space="preserve">parte </w:t>
      </w:r>
      <w:r w:rsidR="00231E18">
        <w:rPr>
          <w:lang w:val="es-ES_tradnl"/>
        </w:rPr>
        <w:t xml:space="preserve">sobre el Protocolo </w:t>
      </w:r>
      <w:r w:rsidR="00C45F16">
        <w:rPr>
          <w:lang w:val="es-ES_tradnl"/>
        </w:rPr>
        <w:t>f</w:t>
      </w:r>
      <w:r w:rsidR="00C45F16" w:rsidRPr="002720D0">
        <w:rPr>
          <w:lang w:val="es-ES_tradnl"/>
        </w:rPr>
        <w:t xml:space="preserve">acultativo </w:t>
      </w:r>
      <w:r w:rsidR="00AD3761" w:rsidRPr="002720D0">
        <w:rPr>
          <w:lang w:val="es-ES_tradnl"/>
        </w:rPr>
        <w:t xml:space="preserve">de la Convención sobre los Derechos del Niño relativo a la venta de niños, la prostitución infantil y la utilización de niños en la pornografía, el Comité </w:t>
      </w:r>
      <w:r w:rsidR="00884975" w:rsidRPr="002720D0">
        <w:rPr>
          <w:lang w:val="es-ES_tradnl"/>
        </w:rPr>
        <w:t>instó</w:t>
      </w:r>
      <w:r w:rsidR="00126832" w:rsidRPr="002720D0">
        <w:rPr>
          <w:lang w:val="es-ES_tradnl"/>
        </w:rPr>
        <w:t xml:space="preserve"> al Estado p</w:t>
      </w:r>
      <w:r w:rsidR="00AD3761" w:rsidRPr="002720D0">
        <w:rPr>
          <w:lang w:val="es-ES_tradnl"/>
        </w:rPr>
        <w:t xml:space="preserve">arte a que </w:t>
      </w:r>
      <w:r w:rsidR="00884975" w:rsidRPr="002720D0">
        <w:rPr>
          <w:lang w:val="es-ES_tradnl"/>
        </w:rPr>
        <w:t xml:space="preserve">completara la revisión de la legislación nacional para armonizarla con las </w:t>
      </w:r>
      <w:r w:rsidR="00AD3761" w:rsidRPr="002720D0">
        <w:rPr>
          <w:lang w:val="es-ES_tradnl"/>
        </w:rPr>
        <w:t xml:space="preserve">definiciones de los delitos </w:t>
      </w:r>
      <w:r w:rsidR="00F8109E" w:rsidRPr="002720D0">
        <w:rPr>
          <w:lang w:val="es-ES_tradnl"/>
        </w:rPr>
        <w:t>contenidas</w:t>
      </w:r>
      <w:r w:rsidR="00163A77" w:rsidRPr="002720D0">
        <w:rPr>
          <w:lang w:val="es-ES_tradnl"/>
        </w:rPr>
        <w:t xml:space="preserve"> en los</w:t>
      </w:r>
      <w:r w:rsidR="00126832" w:rsidRPr="002720D0">
        <w:rPr>
          <w:lang w:val="es-ES_tradnl"/>
        </w:rPr>
        <w:t xml:space="preserve"> artículos 2 y 3 del Protocolo </w:t>
      </w:r>
      <w:r w:rsidR="00C45F16" w:rsidRPr="002720D0">
        <w:rPr>
          <w:lang w:val="es-ES_tradnl"/>
        </w:rPr>
        <w:t>facultativo</w:t>
      </w:r>
      <w:r w:rsidR="00163A77" w:rsidRPr="002720D0">
        <w:rPr>
          <w:lang w:val="es-ES_tradnl"/>
        </w:rPr>
        <w:t>,</w:t>
      </w:r>
      <w:r w:rsidR="00163A77" w:rsidRPr="002720D0">
        <w:rPr>
          <w:rFonts w:ascii="Arial" w:hAnsi="Arial" w:cs="Arial"/>
          <w:color w:val="0B0B0B"/>
          <w:sz w:val="24"/>
          <w:szCs w:val="24"/>
          <w:lang w:val="es-ES_tradnl" w:eastAsia="es-ES"/>
        </w:rPr>
        <w:t xml:space="preserve"> </w:t>
      </w:r>
      <w:r w:rsidR="00F8109E" w:rsidRPr="002720D0">
        <w:rPr>
          <w:lang w:val="es-ES_tradnl"/>
        </w:rPr>
        <w:t>en aras de</w:t>
      </w:r>
      <w:r w:rsidR="00163A77" w:rsidRPr="002720D0">
        <w:rPr>
          <w:lang w:val="es-ES_tradnl"/>
        </w:rPr>
        <w:t xml:space="preserve"> hacer efectivas y aplicar debidamente las disposiciones de ese instrumento. El Comité también recomendó</w:t>
      </w:r>
      <w:r w:rsidR="00126832" w:rsidRPr="002720D0">
        <w:rPr>
          <w:lang w:val="es-ES_tradnl"/>
        </w:rPr>
        <w:t xml:space="preserve"> que el Estado p</w:t>
      </w:r>
      <w:r w:rsidR="00163A77" w:rsidRPr="002720D0">
        <w:rPr>
          <w:lang w:val="es-ES_tradnl"/>
        </w:rPr>
        <w:t xml:space="preserve">arte </w:t>
      </w:r>
      <w:r w:rsidR="00884975" w:rsidRPr="002720D0">
        <w:rPr>
          <w:lang w:val="es-ES_tradnl"/>
        </w:rPr>
        <w:t>continuara y concluyera</w:t>
      </w:r>
      <w:r w:rsidR="00163A77" w:rsidRPr="002720D0">
        <w:rPr>
          <w:lang w:val="es-ES_tradnl"/>
        </w:rPr>
        <w:t xml:space="preserve"> el proceso de </w:t>
      </w:r>
      <w:r w:rsidR="00B034BE" w:rsidRPr="002720D0">
        <w:rPr>
          <w:lang w:val="es-ES_tradnl"/>
        </w:rPr>
        <w:t>aprobación de la Ley sobre</w:t>
      </w:r>
      <w:r w:rsidR="00163A77" w:rsidRPr="002720D0">
        <w:rPr>
          <w:lang w:val="es-ES_tradnl"/>
        </w:rPr>
        <w:t xml:space="preserve"> la </w:t>
      </w:r>
      <w:r w:rsidR="00654B55" w:rsidRPr="002720D0">
        <w:rPr>
          <w:lang w:val="es-ES_tradnl"/>
        </w:rPr>
        <w:t>Infancia</w:t>
      </w:r>
      <w:r w:rsidR="00163A77"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272.</w:t>
      </w:r>
      <w:r w:rsidRPr="002720D0">
        <w:rPr>
          <w:lang w:val="es-ES_tradnl"/>
        </w:rPr>
        <w:tab/>
      </w:r>
      <w:r w:rsidR="00163A77" w:rsidRPr="002720D0">
        <w:rPr>
          <w:lang w:val="es-ES_tradnl"/>
        </w:rPr>
        <w:t>Dentro de sus actividades para combatir y ocuparse de la venta, la trata y el secuestro de niños</w:t>
      </w:r>
      <w:r w:rsidR="00C645B4" w:rsidRPr="002720D0">
        <w:rPr>
          <w:lang w:val="es-ES_tradnl"/>
        </w:rPr>
        <w:t>, en 2008</w:t>
      </w:r>
      <w:r w:rsidR="00231E18">
        <w:rPr>
          <w:lang w:val="es-ES_tradnl"/>
        </w:rPr>
        <w:t xml:space="preserve"> el Estado p</w:t>
      </w:r>
      <w:r w:rsidR="00163A77" w:rsidRPr="002720D0">
        <w:rPr>
          <w:lang w:val="es-ES_tradnl"/>
        </w:rPr>
        <w:t xml:space="preserve">arte promulgó la Ley de </w:t>
      </w:r>
      <w:r w:rsidR="00654B55" w:rsidRPr="002720D0">
        <w:rPr>
          <w:lang w:val="es-ES_tradnl"/>
        </w:rPr>
        <w:t xml:space="preserve">Lucha </w:t>
      </w:r>
      <w:r w:rsidR="00163A77" w:rsidRPr="002720D0">
        <w:rPr>
          <w:lang w:val="es-ES_tradnl"/>
        </w:rPr>
        <w:t xml:space="preserve">contra la </w:t>
      </w:r>
      <w:r w:rsidR="00654B55" w:rsidRPr="002720D0">
        <w:rPr>
          <w:lang w:val="es-ES_tradnl"/>
        </w:rPr>
        <w:t xml:space="preserve">Trata </w:t>
      </w:r>
      <w:r w:rsidR="00163A77" w:rsidRPr="002720D0">
        <w:rPr>
          <w:lang w:val="es-ES_tradnl"/>
        </w:rPr>
        <w:t xml:space="preserve">de </w:t>
      </w:r>
      <w:r w:rsidR="00654B55" w:rsidRPr="002720D0">
        <w:rPr>
          <w:lang w:val="es-ES_tradnl"/>
        </w:rPr>
        <w:t>Personas</w:t>
      </w:r>
      <w:r w:rsidR="00C645B4" w:rsidRPr="002720D0">
        <w:rPr>
          <w:lang w:val="es-ES_tradnl"/>
        </w:rPr>
        <w:t>, por la que se tipifican como delitos la trata de personas, comprendidos los niños</w:t>
      </w:r>
      <w:r w:rsidR="00151021" w:rsidRPr="002720D0">
        <w:rPr>
          <w:rStyle w:val="FootnoteReference"/>
          <w:lang w:val="es-ES_tradnl"/>
        </w:rPr>
        <w:footnoteReference w:id="110"/>
      </w:r>
      <w:r w:rsidR="00C645B4" w:rsidRPr="002720D0">
        <w:rPr>
          <w:lang w:val="es-ES_tradnl"/>
        </w:rPr>
        <w:t>,</w:t>
      </w:r>
      <w:r w:rsidR="00151021" w:rsidRPr="002720D0">
        <w:rPr>
          <w:lang w:val="es-ES_tradnl"/>
        </w:rPr>
        <w:t xml:space="preserve"> as</w:t>
      </w:r>
      <w:r w:rsidR="00C645B4" w:rsidRPr="002720D0">
        <w:rPr>
          <w:lang w:val="es-ES_tradnl"/>
        </w:rPr>
        <w:t xml:space="preserve">í como los actos que promueven la trata de personas, tanto dentro como fuera de la jurisdicción del Estado </w:t>
      </w:r>
      <w:r w:rsidR="00D10951" w:rsidRPr="002720D0">
        <w:rPr>
          <w:lang w:val="es-ES_tradnl"/>
        </w:rPr>
        <w:t>parte</w:t>
      </w:r>
      <w:r w:rsidR="00151021" w:rsidRPr="002720D0">
        <w:rPr>
          <w:rStyle w:val="FootnoteReference"/>
          <w:lang w:val="es-ES_tradnl"/>
        </w:rPr>
        <w:footnoteReference w:id="111"/>
      </w:r>
      <w:r w:rsidR="00C645B4" w:rsidRPr="002720D0">
        <w:rPr>
          <w:lang w:val="es-ES_tradnl"/>
        </w:rPr>
        <w:t>. Asimismo, el Ministerio del Interior instauró un comité contra la trata integrado por miembro</w:t>
      </w:r>
      <w:r w:rsidR="00D63ABF" w:rsidRPr="002720D0">
        <w:rPr>
          <w:lang w:val="es-ES_tradnl"/>
        </w:rPr>
        <w:t xml:space="preserve">s de ambas partes del país, </w:t>
      </w:r>
      <w:r w:rsidR="00126832" w:rsidRPr="002720D0">
        <w:rPr>
          <w:lang w:val="es-ES_tradnl"/>
        </w:rPr>
        <w:t>con el</w:t>
      </w:r>
      <w:r w:rsidR="00C645B4" w:rsidRPr="002720D0">
        <w:rPr>
          <w:lang w:val="es-ES_tradnl"/>
        </w:rPr>
        <w:t xml:space="preserve"> propósito </w:t>
      </w:r>
      <w:r w:rsidR="00126832" w:rsidRPr="002720D0">
        <w:rPr>
          <w:lang w:val="es-ES_tradnl"/>
        </w:rPr>
        <w:t>de</w:t>
      </w:r>
      <w:r w:rsidR="00C645B4" w:rsidRPr="002720D0">
        <w:rPr>
          <w:lang w:val="es-ES_tradnl"/>
        </w:rPr>
        <w:t xml:space="preserve"> ocuparse de los asuntos relativos a la trata dentro del país. El </w:t>
      </w:r>
      <w:r w:rsidR="00F554CE" w:rsidRPr="002720D0">
        <w:rPr>
          <w:lang w:val="es-ES_tradnl"/>
        </w:rPr>
        <w:t>Ministro del Interior</w:t>
      </w:r>
      <w:r w:rsidR="00166B10" w:rsidRPr="002720D0">
        <w:rPr>
          <w:lang w:val="es-ES_tradnl"/>
        </w:rPr>
        <w:t>,</w:t>
      </w:r>
      <w:r w:rsidR="00F554CE" w:rsidRPr="002720D0">
        <w:rPr>
          <w:lang w:val="es-ES_tradnl"/>
        </w:rPr>
        <w:t xml:space="preserve"> </w:t>
      </w:r>
      <w:r w:rsidR="00126832" w:rsidRPr="002720D0">
        <w:rPr>
          <w:lang w:val="es-ES_tradnl"/>
        </w:rPr>
        <w:t>Excmo. Sr.</w:t>
      </w:r>
      <w:r w:rsidR="00C645B4" w:rsidRPr="002720D0">
        <w:rPr>
          <w:lang w:val="es-ES_tradnl"/>
        </w:rPr>
        <w:t xml:space="preserve"> Shamsi Vuai Nahodha, inauguró este comité el 23 de diciembre de 2011. </w:t>
      </w:r>
    </w:p>
    <w:p w:rsidR="00151021" w:rsidRPr="002720D0" w:rsidRDefault="00490FA9" w:rsidP="00586395">
      <w:pPr>
        <w:pStyle w:val="H23G"/>
        <w:outlineLvl w:val="0"/>
        <w:rPr>
          <w:lang w:val="es-ES_tradnl"/>
        </w:rPr>
      </w:pPr>
      <w:bookmarkStart w:id="60" w:name="_Toc313469614"/>
      <w:bookmarkStart w:id="61" w:name="_Toc313470894"/>
      <w:r w:rsidRPr="002720D0">
        <w:rPr>
          <w:lang w:val="es-ES_tradnl"/>
        </w:rPr>
        <w:tab/>
      </w:r>
      <w:r w:rsidR="00151021" w:rsidRPr="002720D0">
        <w:rPr>
          <w:lang w:val="es-ES_tradnl"/>
        </w:rPr>
        <w:t>b)</w:t>
      </w:r>
      <w:r w:rsidRPr="002720D0">
        <w:rPr>
          <w:lang w:val="es-ES_tradnl"/>
        </w:rPr>
        <w:tab/>
      </w:r>
      <w:r w:rsidR="00F554CE" w:rsidRPr="002720D0">
        <w:rPr>
          <w:lang w:val="es-ES_tradnl"/>
        </w:rPr>
        <w:t>Vigilancia independiente</w:t>
      </w:r>
      <w:bookmarkEnd w:id="60"/>
      <w:bookmarkEnd w:id="61"/>
    </w:p>
    <w:p w:rsidR="00151021" w:rsidRPr="002720D0" w:rsidRDefault="004F6364" w:rsidP="004F6364">
      <w:pPr>
        <w:pStyle w:val="SingleTxtG"/>
        <w:tabs>
          <w:tab w:val="left" w:pos="-360"/>
        </w:tabs>
        <w:rPr>
          <w:lang w:val="es-ES_tradnl"/>
        </w:rPr>
      </w:pPr>
      <w:r w:rsidRPr="002720D0">
        <w:rPr>
          <w:lang w:val="es-ES_tradnl"/>
        </w:rPr>
        <w:t>273.</w:t>
      </w:r>
      <w:r w:rsidRPr="002720D0">
        <w:rPr>
          <w:lang w:val="es-ES_tradnl"/>
        </w:rPr>
        <w:tab/>
      </w:r>
      <w:r w:rsidR="00F554CE" w:rsidRPr="002720D0">
        <w:rPr>
          <w:lang w:val="es-ES_tradnl"/>
        </w:rPr>
        <w:t>En sus Observaciones finales relativas</w:t>
      </w:r>
      <w:r w:rsidR="00126832" w:rsidRPr="002720D0">
        <w:rPr>
          <w:lang w:val="es-ES_tradnl"/>
        </w:rPr>
        <w:t xml:space="preserve"> al informe inicial del Estado p</w:t>
      </w:r>
      <w:r w:rsidR="00F554CE" w:rsidRPr="002720D0">
        <w:rPr>
          <w:lang w:val="es-ES_tradnl"/>
        </w:rPr>
        <w:t xml:space="preserve">arte </w:t>
      </w:r>
      <w:r w:rsidR="00126832" w:rsidRPr="002720D0">
        <w:rPr>
          <w:lang w:val="es-ES_tradnl"/>
        </w:rPr>
        <w:t xml:space="preserve">sobre el Protocolo </w:t>
      </w:r>
      <w:r w:rsidR="00C45F16" w:rsidRPr="002720D0">
        <w:rPr>
          <w:lang w:val="es-ES_tradnl"/>
        </w:rPr>
        <w:t xml:space="preserve">facultativo </w:t>
      </w:r>
      <w:r w:rsidR="00F8109E" w:rsidRPr="002720D0">
        <w:rPr>
          <w:lang w:val="es-ES_tradnl"/>
        </w:rPr>
        <w:t>relativo a la venta de niños, la prostitución infantil y la utilización de niños en la pornografí</w:t>
      </w:r>
      <w:r w:rsidR="00126832" w:rsidRPr="002720D0">
        <w:rPr>
          <w:lang w:val="es-ES_tradnl"/>
        </w:rPr>
        <w:t>a, el Comité exhortó al Estado p</w:t>
      </w:r>
      <w:r w:rsidR="00F8109E" w:rsidRPr="002720D0">
        <w:rPr>
          <w:lang w:val="es-ES_tradnl"/>
        </w:rPr>
        <w:t xml:space="preserve">arte a que </w:t>
      </w:r>
      <w:r w:rsidR="00B034BE" w:rsidRPr="002720D0">
        <w:rPr>
          <w:lang w:val="es-ES_tradnl"/>
        </w:rPr>
        <w:t>dotara de</w:t>
      </w:r>
      <w:r w:rsidR="00F8109E" w:rsidRPr="002720D0">
        <w:rPr>
          <w:lang w:val="es-ES_tradnl"/>
        </w:rPr>
        <w:t xml:space="preserve"> recursos humanos y financieros </w:t>
      </w:r>
      <w:r w:rsidR="00B034BE" w:rsidRPr="002720D0">
        <w:rPr>
          <w:lang w:val="es-ES_tradnl"/>
        </w:rPr>
        <w:t>suficientes</w:t>
      </w:r>
      <w:r w:rsidR="00F8109E" w:rsidRPr="002720D0">
        <w:rPr>
          <w:lang w:val="es-ES_tradnl"/>
        </w:rPr>
        <w:t xml:space="preserve"> a la </w:t>
      </w:r>
      <w:r w:rsidR="00151021" w:rsidRPr="002720D0">
        <w:rPr>
          <w:lang w:val="es-ES_tradnl"/>
        </w:rPr>
        <w:t>Co</w:t>
      </w:r>
      <w:r w:rsidR="00F554CE" w:rsidRPr="002720D0">
        <w:rPr>
          <w:lang w:val="es-ES_tradnl"/>
        </w:rPr>
        <w:t>misión de Derechos Humanos y Buen Gobierno</w:t>
      </w:r>
      <w:r w:rsidR="00B034BE" w:rsidRPr="002720D0">
        <w:rPr>
          <w:lang w:val="es-ES_tradnl"/>
        </w:rPr>
        <w:t>, de modo</w:t>
      </w:r>
      <w:r w:rsidR="00F8109E" w:rsidRPr="002720D0">
        <w:rPr>
          <w:lang w:val="es-ES_tradnl"/>
        </w:rPr>
        <w:t xml:space="preserve"> que todos los niños pudieran denunciar cualquier violación de sus derechos, </w:t>
      </w:r>
      <w:r w:rsidR="00B034BE" w:rsidRPr="002720D0">
        <w:rPr>
          <w:lang w:val="es-ES_tradnl"/>
        </w:rPr>
        <w:t>incluidos los que ampara el</w:t>
      </w:r>
      <w:r w:rsidR="00F8109E" w:rsidRPr="002720D0">
        <w:rPr>
          <w:lang w:val="es-ES_tradnl"/>
        </w:rPr>
        <w:t xml:space="preserve"> Protocolo </w:t>
      </w:r>
      <w:r w:rsidR="00C45F16" w:rsidRPr="002720D0">
        <w:rPr>
          <w:lang w:val="es-ES_tradnl"/>
        </w:rPr>
        <w:t>facultativo</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274.</w:t>
      </w:r>
      <w:r w:rsidRPr="002720D0">
        <w:rPr>
          <w:lang w:val="es-ES_tradnl"/>
        </w:rPr>
        <w:tab/>
      </w:r>
      <w:r w:rsidR="00151021" w:rsidRPr="002720D0">
        <w:rPr>
          <w:lang w:val="es-ES_tradnl"/>
        </w:rPr>
        <w:t>Dur</w:t>
      </w:r>
      <w:r w:rsidR="00C3128B" w:rsidRPr="002720D0">
        <w:rPr>
          <w:lang w:val="es-ES_tradnl"/>
        </w:rPr>
        <w:t>ante el per</w:t>
      </w:r>
      <w:r w:rsidR="00126832" w:rsidRPr="002720D0">
        <w:rPr>
          <w:lang w:val="es-ES_tradnl"/>
        </w:rPr>
        <w:t>íodo que se examina, el Estado p</w:t>
      </w:r>
      <w:r w:rsidR="00C3128B" w:rsidRPr="002720D0">
        <w:rPr>
          <w:lang w:val="es-ES_tradnl"/>
        </w:rPr>
        <w:t>arte fortaleció la Comisión de Derechos Humanos y Buen Gobierno para hacerla más accesible y dotarla de mayor capacidad para procesar las denuncias de los niños relativas a cualquier violación de sus derechos, comprendidos aquellos que est</w:t>
      </w:r>
      <w:r w:rsidR="00126832" w:rsidRPr="002720D0">
        <w:rPr>
          <w:lang w:val="es-ES_tradnl"/>
        </w:rPr>
        <w:t xml:space="preserve">án consagrados en el Protocolo </w:t>
      </w:r>
      <w:r w:rsidR="00C45F16" w:rsidRPr="002720D0">
        <w:rPr>
          <w:lang w:val="es-ES_tradnl"/>
        </w:rPr>
        <w:t xml:space="preserve">facultativo </w:t>
      </w:r>
      <w:r w:rsidR="00C3128B" w:rsidRPr="002720D0">
        <w:rPr>
          <w:lang w:val="es-ES_tradnl"/>
        </w:rPr>
        <w:t xml:space="preserve">relativo a la venta de niños, la prostitución infantil y la utilización de niños en la pornografía. En colaboración con el UNICEF y otras partes interesadas, la Comisión ha podido ampliar sus servicios en todo el país mediante la instauración de una unidad de la niñez con centros de información </w:t>
      </w:r>
      <w:r w:rsidR="00126832" w:rsidRPr="002720D0">
        <w:rPr>
          <w:lang w:val="es-ES_tradnl"/>
        </w:rPr>
        <w:t>de</w:t>
      </w:r>
      <w:r w:rsidR="00C3128B" w:rsidRPr="002720D0">
        <w:rPr>
          <w:lang w:val="es-ES_tradnl"/>
        </w:rPr>
        <w:t xml:space="preserve"> la infancia en cuatro zonas, a saber, </w:t>
      </w:r>
      <w:r w:rsidR="00782B12" w:rsidRPr="002720D0">
        <w:rPr>
          <w:lang w:val="es-ES_tradnl"/>
        </w:rPr>
        <w:t>Dar es Salaam</w:t>
      </w:r>
      <w:r w:rsidR="00C3128B" w:rsidRPr="002720D0">
        <w:rPr>
          <w:lang w:val="es-ES_tradnl"/>
        </w:rPr>
        <w:t>, Zanzí</w:t>
      </w:r>
      <w:r w:rsidR="00151021" w:rsidRPr="002720D0">
        <w:rPr>
          <w:lang w:val="es-ES_tradnl"/>
        </w:rPr>
        <w:t xml:space="preserve">bar, Lindi </w:t>
      </w:r>
      <w:r w:rsidR="00C3128B" w:rsidRPr="002720D0">
        <w:rPr>
          <w:lang w:val="es-ES_tradnl"/>
        </w:rPr>
        <w:t>y</w:t>
      </w:r>
      <w:r w:rsidR="00151021" w:rsidRPr="002720D0">
        <w:rPr>
          <w:lang w:val="es-ES_tradnl"/>
        </w:rPr>
        <w:t xml:space="preserve"> Mwanza. </w:t>
      </w:r>
      <w:r w:rsidR="00C3128B" w:rsidRPr="002720D0">
        <w:rPr>
          <w:lang w:val="es-ES_tradnl"/>
        </w:rPr>
        <w:t>La Universidad de Zanzí</w:t>
      </w:r>
      <w:r w:rsidR="00151021" w:rsidRPr="002720D0">
        <w:rPr>
          <w:lang w:val="es-ES_tradnl"/>
        </w:rPr>
        <w:t xml:space="preserve">bar </w:t>
      </w:r>
      <w:r w:rsidR="00C3128B" w:rsidRPr="002720D0">
        <w:rPr>
          <w:lang w:val="es-ES_tradnl"/>
        </w:rPr>
        <w:t xml:space="preserve">ha creado una diplomatura sobre Derechos del Niño, que se empezará a impartir durante el presente curso y está destinada a agentes de policía y </w:t>
      </w:r>
      <w:r w:rsidR="006A0CCD" w:rsidRPr="002720D0">
        <w:rPr>
          <w:lang w:val="es-ES_tradnl"/>
        </w:rPr>
        <w:t>oficiales jurídicos.</w:t>
      </w:r>
      <w:r w:rsidR="00C3128B" w:rsidRPr="002720D0">
        <w:rPr>
          <w:lang w:val="es-ES_tradnl"/>
        </w:rPr>
        <w:t xml:space="preserve"> </w:t>
      </w:r>
    </w:p>
    <w:p w:rsidR="00151021" w:rsidRPr="002720D0" w:rsidRDefault="00490FA9" w:rsidP="00586395">
      <w:pPr>
        <w:pStyle w:val="H23G"/>
        <w:outlineLvl w:val="0"/>
        <w:rPr>
          <w:lang w:val="es-ES_tradnl"/>
        </w:rPr>
      </w:pPr>
      <w:r w:rsidRPr="002720D0">
        <w:rPr>
          <w:lang w:val="es-ES_tradnl"/>
        </w:rPr>
        <w:tab/>
      </w:r>
      <w:r w:rsidR="00151021" w:rsidRPr="002720D0">
        <w:rPr>
          <w:lang w:val="es-ES_tradnl"/>
        </w:rPr>
        <w:t>c)</w:t>
      </w:r>
      <w:r w:rsidRPr="002720D0">
        <w:rPr>
          <w:lang w:val="es-ES_tradnl"/>
        </w:rPr>
        <w:tab/>
      </w:r>
      <w:r w:rsidR="00151021" w:rsidRPr="002720D0">
        <w:rPr>
          <w:lang w:val="es-ES_tradnl"/>
        </w:rPr>
        <w:t xml:space="preserve">Plan </w:t>
      </w:r>
      <w:r w:rsidR="00493086">
        <w:rPr>
          <w:lang w:val="es-ES_tradnl"/>
        </w:rPr>
        <w:t>de acción nacional</w:t>
      </w:r>
    </w:p>
    <w:p w:rsidR="00151021" w:rsidRPr="002720D0" w:rsidRDefault="004F6364" w:rsidP="004F6364">
      <w:pPr>
        <w:pStyle w:val="SingleTxtG"/>
        <w:tabs>
          <w:tab w:val="left" w:pos="-360"/>
        </w:tabs>
        <w:rPr>
          <w:lang w:val="es-ES_tradnl"/>
        </w:rPr>
      </w:pPr>
      <w:r w:rsidRPr="002720D0">
        <w:rPr>
          <w:lang w:val="es-ES_tradnl"/>
        </w:rPr>
        <w:t>275.</w:t>
      </w:r>
      <w:r w:rsidRPr="002720D0">
        <w:rPr>
          <w:lang w:val="es-ES_tradnl"/>
        </w:rPr>
        <w:tab/>
      </w:r>
      <w:r w:rsidR="006A0CCD" w:rsidRPr="002720D0">
        <w:rPr>
          <w:lang w:val="es-ES_tradnl"/>
        </w:rPr>
        <w:t xml:space="preserve">En sus Observaciones finales </w:t>
      </w:r>
      <w:r w:rsidR="00126832" w:rsidRPr="002720D0">
        <w:rPr>
          <w:lang w:val="es-ES_tradnl"/>
        </w:rPr>
        <w:t xml:space="preserve">sobre el informe inicial del Estado parte sobre el Protocolo </w:t>
      </w:r>
      <w:r w:rsidR="00C45F16" w:rsidRPr="002720D0">
        <w:rPr>
          <w:lang w:val="es-ES_tradnl"/>
        </w:rPr>
        <w:t xml:space="preserve">facultativo </w:t>
      </w:r>
      <w:r w:rsidR="006A0CCD" w:rsidRPr="002720D0">
        <w:rPr>
          <w:lang w:val="es-ES_tradnl"/>
        </w:rPr>
        <w:t>relativo a la venta de niños, la prostitución infantil y la utilización de niños en la pornografía, el Comité recom</w:t>
      </w:r>
      <w:r w:rsidR="00126832" w:rsidRPr="002720D0">
        <w:rPr>
          <w:lang w:val="es-ES_tradnl"/>
        </w:rPr>
        <w:t>endó que el Estado p</w:t>
      </w:r>
      <w:r w:rsidR="006A0CCD" w:rsidRPr="002720D0">
        <w:rPr>
          <w:lang w:val="es-ES_tradnl"/>
        </w:rPr>
        <w:t xml:space="preserve">arte elaborase e implantase, como cuestión prioritaria, planes de acción específicos con calendarios de aplicación para combatir en todo su territorio la venta de niños, la prostitución infantil y la </w:t>
      </w:r>
      <w:r w:rsidR="00126832" w:rsidRPr="002720D0">
        <w:rPr>
          <w:lang w:val="es-ES_tradnl"/>
        </w:rPr>
        <w:t>utilización</w:t>
      </w:r>
      <w:r w:rsidR="006A0CCD" w:rsidRPr="002720D0">
        <w:rPr>
          <w:lang w:val="es-ES_tradnl"/>
        </w:rPr>
        <w:t xml:space="preserve"> de niños en la pornografía</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276.</w:t>
      </w:r>
      <w:r w:rsidRPr="002720D0">
        <w:rPr>
          <w:lang w:val="es-ES_tradnl"/>
        </w:rPr>
        <w:tab/>
      </w:r>
      <w:r w:rsidR="006A0CCD" w:rsidRPr="002720D0">
        <w:rPr>
          <w:lang w:val="es-ES_tradnl"/>
        </w:rPr>
        <w:t>En cumplimiento de</w:t>
      </w:r>
      <w:r w:rsidR="00126832" w:rsidRPr="002720D0">
        <w:rPr>
          <w:lang w:val="es-ES_tradnl"/>
        </w:rPr>
        <w:t xml:space="preserve"> esta recomendación, el Estado p</w:t>
      </w:r>
      <w:r w:rsidR="006A0CCD" w:rsidRPr="002720D0">
        <w:rPr>
          <w:lang w:val="es-ES_tradnl"/>
        </w:rPr>
        <w:t xml:space="preserve">arte ha </w:t>
      </w:r>
      <w:r w:rsidR="00274260" w:rsidRPr="002720D0">
        <w:rPr>
          <w:lang w:val="es-ES_tradnl"/>
        </w:rPr>
        <w:t>instaurado</w:t>
      </w:r>
      <w:r w:rsidR="006A0CCD" w:rsidRPr="002720D0">
        <w:rPr>
          <w:lang w:val="es-ES_tradnl"/>
        </w:rPr>
        <w:t xml:space="preserve"> un comité de coordinación nacional, promulgado legislación sobre la infancia y </w:t>
      </w:r>
      <w:r w:rsidR="00274260" w:rsidRPr="002720D0">
        <w:rPr>
          <w:lang w:val="es-ES_tradnl"/>
        </w:rPr>
        <w:t>fundado</w:t>
      </w:r>
      <w:r w:rsidR="006A0CCD" w:rsidRPr="002720D0">
        <w:rPr>
          <w:lang w:val="es-ES_tradnl"/>
        </w:rPr>
        <w:t xml:space="preserve"> </w:t>
      </w:r>
      <w:r w:rsidR="00FC5FB8" w:rsidRPr="002720D0">
        <w:rPr>
          <w:lang w:val="es-ES_tradnl"/>
        </w:rPr>
        <w:t>un Centro social contra la trata de niños</w:t>
      </w:r>
      <w:r w:rsidR="00126832" w:rsidRPr="002720D0">
        <w:rPr>
          <w:lang w:val="es-ES_tradnl"/>
        </w:rPr>
        <w:t>,</w:t>
      </w:r>
      <w:r w:rsidR="00FC5FB8" w:rsidRPr="002720D0">
        <w:rPr>
          <w:lang w:val="es-ES_tradnl"/>
        </w:rPr>
        <w:t xml:space="preserve"> </w:t>
      </w:r>
      <w:r w:rsidR="001D4A06">
        <w:rPr>
          <w:lang w:val="es-ES_tradnl"/>
        </w:rPr>
        <w:t xml:space="preserve">todo ello </w:t>
      </w:r>
      <w:r w:rsidR="00FC5FB8" w:rsidRPr="002720D0">
        <w:rPr>
          <w:lang w:val="es-ES_tradnl"/>
        </w:rPr>
        <w:t xml:space="preserve">para ocuparse de este problema. En total, </w:t>
      </w:r>
      <w:r w:rsidR="00126832" w:rsidRPr="002720D0">
        <w:rPr>
          <w:lang w:val="es-ES_tradnl"/>
        </w:rPr>
        <w:t>durante</w:t>
      </w:r>
      <w:r w:rsidR="00FC5FB8" w:rsidRPr="002720D0">
        <w:rPr>
          <w:lang w:val="es-ES_tradnl"/>
        </w:rPr>
        <w:t xml:space="preserve"> el período comprendido entre 2005 y 2009 se ha recuperado de la trata y reintegrado a sus familias a 246 niños. E</w:t>
      </w:r>
      <w:r w:rsidR="00151021" w:rsidRPr="002720D0">
        <w:rPr>
          <w:lang w:val="es-ES_tradnl"/>
        </w:rPr>
        <w:t>n 2008</w:t>
      </w:r>
      <w:r w:rsidR="00FC5FB8" w:rsidRPr="002720D0">
        <w:rPr>
          <w:lang w:val="es-ES_tradnl"/>
        </w:rPr>
        <w:t>, la reintegración de los niños se llevó a cabo a distintos niveles en T</w:t>
      </w:r>
      <w:r w:rsidR="00274260" w:rsidRPr="002720D0">
        <w:rPr>
          <w:lang w:val="es-ES_tradnl"/>
        </w:rPr>
        <w:t xml:space="preserve">anzanía continental; </w:t>
      </w:r>
      <w:r w:rsidR="001D4A06">
        <w:rPr>
          <w:lang w:val="es-ES_tradnl"/>
        </w:rPr>
        <w:t>de resultas,</w:t>
      </w:r>
      <w:r w:rsidR="00FC5FB8" w:rsidRPr="002720D0">
        <w:rPr>
          <w:lang w:val="es-ES_tradnl"/>
        </w:rPr>
        <w:t xml:space="preserve"> aquellos que habían sido separados de sus familias por causa de la trata pudieron reunificarse con ellas. </w:t>
      </w:r>
    </w:p>
    <w:p w:rsidR="00151021" w:rsidRPr="002720D0" w:rsidRDefault="00FD142E" w:rsidP="00586395">
      <w:pPr>
        <w:pStyle w:val="H23G"/>
        <w:outlineLvl w:val="0"/>
        <w:rPr>
          <w:lang w:val="es-ES_tradnl"/>
        </w:rPr>
      </w:pPr>
      <w:r w:rsidRPr="002720D0">
        <w:rPr>
          <w:lang w:val="es-ES_tradnl"/>
        </w:rPr>
        <w:tab/>
      </w:r>
      <w:r w:rsidR="00151021" w:rsidRPr="002720D0">
        <w:rPr>
          <w:lang w:val="es-ES_tradnl"/>
        </w:rPr>
        <w:t>d)</w:t>
      </w:r>
      <w:r w:rsidRPr="002720D0">
        <w:rPr>
          <w:lang w:val="es-ES_tradnl"/>
        </w:rPr>
        <w:tab/>
      </w:r>
      <w:r w:rsidR="00274260" w:rsidRPr="002720D0">
        <w:rPr>
          <w:lang w:val="es-ES_tradnl"/>
        </w:rPr>
        <w:t>Coordinació</w:t>
      </w:r>
      <w:r w:rsidR="00151021" w:rsidRPr="002720D0">
        <w:rPr>
          <w:lang w:val="es-ES_tradnl"/>
        </w:rPr>
        <w:t xml:space="preserve">n </w:t>
      </w:r>
      <w:r w:rsidR="00274260" w:rsidRPr="002720D0">
        <w:rPr>
          <w:lang w:val="es-ES_tradnl"/>
        </w:rPr>
        <w:t>y evaluació</w:t>
      </w:r>
      <w:r w:rsidR="00151021" w:rsidRPr="002720D0">
        <w:rPr>
          <w:lang w:val="es-ES_tradnl"/>
        </w:rPr>
        <w:t>n</w:t>
      </w:r>
    </w:p>
    <w:p w:rsidR="00151021" w:rsidRPr="002720D0" w:rsidRDefault="004F6364" w:rsidP="004F6364">
      <w:pPr>
        <w:pStyle w:val="SingleTxtG"/>
        <w:tabs>
          <w:tab w:val="left" w:pos="-360"/>
        </w:tabs>
        <w:rPr>
          <w:lang w:val="es-ES_tradnl"/>
        </w:rPr>
      </w:pPr>
      <w:r w:rsidRPr="002720D0">
        <w:rPr>
          <w:lang w:val="es-ES_tradnl"/>
        </w:rPr>
        <w:t>277.</w:t>
      </w:r>
      <w:r w:rsidRPr="002720D0">
        <w:rPr>
          <w:lang w:val="es-ES_tradnl"/>
        </w:rPr>
        <w:tab/>
      </w:r>
      <w:r w:rsidR="00274260" w:rsidRPr="002720D0">
        <w:rPr>
          <w:lang w:val="es-ES_tradnl"/>
        </w:rPr>
        <w:t xml:space="preserve">El </w:t>
      </w:r>
      <w:r w:rsidR="00126832" w:rsidRPr="002720D0">
        <w:rPr>
          <w:lang w:val="es-ES_tradnl"/>
        </w:rPr>
        <w:t>Comité recomendó que el Estado p</w:t>
      </w:r>
      <w:r w:rsidR="00274260" w:rsidRPr="002720D0">
        <w:rPr>
          <w:lang w:val="es-ES_tradnl"/>
        </w:rPr>
        <w:t>arte tomara todas las medi</w:t>
      </w:r>
      <w:r w:rsidR="00EF532F">
        <w:rPr>
          <w:lang w:val="es-ES_tradnl"/>
        </w:rPr>
        <w:t>d</w:t>
      </w:r>
      <w:r w:rsidR="00274260" w:rsidRPr="002720D0">
        <w:rPr>
          <w:lang w:val="es-ES_tradnl"/>
        </w:rPr>
        <w:t xml:space="preserve">as necesarias </w:t>
      </w:r>
      <w:r w:rsidR="00B034BE" w:rsidRPr="002720D0">
        <w:rPr>
          <w:lang w:val="es-ES_tradnl"/>
        </w:rPr>
        <w:t>para el establecimiento de un órgano nacional de alto nivel</w:t>
      </w:r>
      <w:r w:rsidR="00EF532F" w:rsidRPr="00EF532F">
        <w:rPr>
          <w:lang w:val="es-ES_tradnl"/>
        </w:rPr>
        <w:t xml:space="preserve"> </w:t>
      </w:r>
      <w:r w:rsidR="00EF532F" w:rsidRPr="002720D0">
        <w:rPr>
          <w:lang w:val="es-ES_tradnl"/>
        </w:rPr>
        <w:t xml:space="preserve">con el mandato claro de coordinar y evaluar la aplicación por el Estado parte de las disposiciones del Protocolo </w:t>
      </w:r>
      <w:r w:rsidR="00C45F16" w:rsidRPr="002720D0">
        <w:rPr>
          <w:lang w:val="es-ES_tradnl"/>
        </w:rPr>
        <w:t>facultativo</w:t>
      </w:r>
      <w:r w:rsidR="008D3288">
        <w:rPr>
          <w:lang w:val="es-ES_tradnl"/>
        </w:rPr>
        <w:t>, dotándolo</w:t>
      </w:r>
      <w:r w:rsidR="00B034BE" w:rsidRPr="002720D0">
        <w:rPr>
          <w:lang w:val="es-ES_tradnl"/>
        </w:rPr>
        <w:t xml:space="preserve"> de recursos hu</w:t>
      </w:r>
      <w:r w:rsidR="00FD1438">
        <w:rPr>
          <w:lang w:val="es-ES_tradnl"/>
        </w:rPr>
        <w:t>manos y financieros suficientes</w:t>
      </w:r>
      <w:r w:rsidR="003261CE"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278.</w:t>
      </w:r>
      <w:r w:rsidRPr="002720D0">
        <w:rPr>
          <w:lang w:val="es-ES_tradnl"/>
        </w:rPr>
        <w:tab/>
      </w:r>
      <w:r w:rsidR="003261CE" w:rsidRPr="002720D0">
        <w:rPr>
          <w:lang w:val="es-ES_tradnl"/>
        </w:rPr>
        <w:t xml:space="preserve">Dando cumplimiento </w:t>
      </w:r>
      <w:r w:rsidR="00126832" w:rsidRPr="002720D0">
        <w:rPr>
          <w:lang w:val="es-ES_tradnl"/>
        </w:rPr>
        <w:t>a esa recomendación, el Estado p</w:t>
      </w:r>
      <w:r w:rsidR="003261CE" w:rsidRPr="002720D0">
        <w:rPr>
          <w:lang w:val="es-ES_tradnl"/>
        </w:rPr>
        <w:t xml:space="preserve">arte se halla en proceso de constitución de un órgano nacional de alto nivel, </w:t>
      </w:r>
      <w:r w:rsidR="00FD1438">
        <w:rPr>
          <w:lang w:val="es-ES_tradnl"/>
        </w:rPr>
        <w:t xml:space="preserve">que contará con </w:t>
      </w:r>
      <w:r w:rsidR="003261CE" w:rsidRPr="002720D0">
        <w:rPr>
          <w:lang w:val="es-ES_tradnl"/>
        </w:rPr>
        <w:t>recursos humanos y financieros suficie</w:t>
      </w:r>
      <w:r w:rsidR="00FD1438">
        <w:rPr>
          <w:lang w:val="es-ES_tradnl"/>
        </w:rPr>
        <w:t xml:space="preserve">ntes. El </w:t>
      </w:r>
      <w:r w:rsidR="00126832" w:rsidRPr="002720D0">
        <w:rPr>
          <w:lang w:val="es-ES_tradnl"/>
        </w:rPr>
        <w:t xml:space="preserve">órgano </w:t>
      </w:r>
      <w:r w:rsidR="00FD1438">
        <w:rPr>
          <w:lang w:val="es-ES_tradnl"/>
        </w:rPr>
        <w:t xml:space="preserve">en cuestión </w:t>
      </w:r>
      <w:r w:rsidR="00126832" w:rsidRPr="002720D0">
        <w:rPr>
          <w:lang w:val="es-ES_tradnl"/>
        </w:rPr>
        <w:t>contará con el</w:t>
      </w:r>
      <w:r w:rsidR="003261CE" w:rsidRPr="002720D0">
        <w:rPr>
          <w:lang w:val="es-ES_tradnl"/>
        </w:rPr>
        <w:t xml:space="preserve"> mandato claro de coordinar y evalu</w:t>
      </w:r>
      <w:r w:rsidR="00126832" w:rsidRPr="002720D0">
        <w:rPr>
          <w:lang w:val="es-ES_tradnl"/>
        </w:rPr>
        <w:t>ar la aplicación por el Estado p</w:t>
      </w:r>
      <w:r w:rsidR="003261CE" w:rsidRPr="002720D0">
        <w:rPr>
          <w:lang w:val="es-ES_tradnl"/>
        </w:rPr>
        <w:t>arte de l</w:t>
      </w:r>
      <w:r w:rsidR="00126832" w:rsidRPr="002720D0">
        <w:rPr>
          <w:lang w:val="es-ES_tradnl"/>
        </w:rPr>
        <w:t xml:space="preserve">as disposiciones del Protocolo </w:t>
      </w:r>
      <w:r w:rsidR="00C45F16" w:rsidRPr="002720D0">
        <w:rPr>
          <w:lang w:val="es-ES_tradnl"/>
        </w:rPr>
        <w:t xml:space="preserve">facultativo </w:t>
      </w:r>
      <w:r w:rsidR="003261CE" w:rsidRPr="002720D0">
        <w:rPr>
          <w:lang w:val="es-ES_tradnl"/>
        </w:rPr>
        <w:t>de la Convención sobre los Derechos del Niño relativo a la venta de niños, la prostitución infantil y la utilización de niños en la pornografía. Ello no obstante, existe en el seno del Ministerio del Interior un comité contra la trata, integrado por miembros de ambas partes del país y cuyo objeto es hacer frente a la t</w:t>
      </w:r>
      <w:r w:rsidR="00126832" w:rsidRPr="002720D0">
        <w:rPr>
          <w:lang w:val="es-ES_tradnl"/>
        </w:rPr>
        <w:t>rata de seres humanos en todo su territorio</w:t>
      </w:r>
      <w:r w:rsidR="003261CE" w:rsidRPr="002720D0">
        <w:rPr>
          <w:lang w:val="es-ES_tradnl"/>
        </w:rPr>
        <w:t xml:space="preserve">. </w:t>
      </w:r>
    </w:p>
    <w:p w:rsidR="00151021" w:rsidRPr="002720D0" w:rsidRDefault="00FD142E" w:rsidP="00586395">
      <w:pPr>
        <w:pStyle w:val="H23G"/>
        <w:outlineLvl w:val="0"/>
        <w:rPr>
          <w:lang w:val="es-ES_tradnl"/>
        </w:rPr>
      </w:pPr>
      <w:r w:rsidRPr="002720D0">
        <w:rPr>
          <w:lang w:val="es-ES_tradnl"/>
        </w:rPr>
        <w:tab/>
      </w:r>
      <w:r w:rsidR="00151021" w:rsidRPr="002720D0">
        <w:rPr>
          <w:lang w:val="es-ES_tradnl"/>
        </w:rPr>
        <w:t>e)</w:t>
      </w:r>
      <w:r w:rsidRPr="002720D0">
        <w:rPr>
          <w:lang w:val="es-ES_tradnl"/>
        </w:rPr>
        <w:tab/>
      </w:r>
      <w:r w:rsidR="00151021" w:rsidRPr="002720D0">
        <w:rPr>
          <w:lang w:val="es-ES_tradnl"/>
        </w:rPr>
        <w:t>Di</w:t>
      </w:r>
      <w:r w:rsidR="00D10951">
        <w:rPr>
          <w:lang w:val="es-ES_tradnl"/>
        </w:rPr>
        <w:t>fusión y formación</w:t>
      </w:r>
    </w:p>
    <w:p w:rsidR="00151021" w:rsidRPr="002720D0" w:rsidRDefault="004F6364" w:rsidP="004F6364">
      <w:pPr>
        <w:pStyle w:val="SingleTxtG"/>
        <w:tabs>
          <w:tab w:val="left" w:pos="-360"/>
        </w:tabs>
        <w:rPr>
          <w:lang w:val="es-ES_tradnl"/>
        </w:rPr>
      </w:pPr>
      <w:r w:rsidRPr="002720D0">
        <w:rPr>
          <w:lang w:val="es-ES_tradnl"/>
        </w:rPr>
        <w:t>279.</w:t>
      </w:r>
      <w:r w:rsidRPr="002720D0">
        <w:rPr>
          <w:lang w:val="es-ES_tradnl"/>
        </w:rPr>
        <w:tab/>
      </w:r>
      <w:r w:rsidR="003261CE" w:rsidRPr="002720D0">
        <w:rPr>
          <w:lang w:val="es-ES_tradnl"/>
        </w:rPr>
        <w:t xml:space="preserve">El </w:t>
      </w:r>
      <w:r w:rsidR="00126832" w:rsidRPr="002720D0">
        <w:rPr>
          <w:lang w:val="es-ES_tradnl"/>
        </w:rPr>
        <w:t>Comité recomendó que el Estado p</w:t>
      </w:r>
      <w:r w:rsidR="003261CE" w:rsidRPr="002720D0">
        <w:rPr>
          <w:lang w:val="es-ES_tradnl"/>
        </w:rPr>
        <w:t xml:space="preserve">arte: </w:t>
      </w:r>
    </w:p>
    <w:p w:rsidR="00151021" w:rsidRPr="002720D0" w:rsidRDefault="00D10951" w:rsidP="00D10951">
      <w:pPr>
        <w:pStyle w:val="SingleTxtG"/>
        <w:rPr>
          <w:lang w:val="es-ES_tradnl"/>
        </w:rPr>
      </w:pPr>
      <w:r>
        <w:rPr>
          <w:lang w:val="es-ES_tradnl"/>
        </w:rPr>
        <w:tab/>
      </w:r>
      <w:r w:rsidR="00151021" w:rsidRPr="002720D0">
        <w:rPr>
          <w:lang w:val="es-ES_tradnl"/>
        </w:rPr>
        <w:t>a)</w:t>
      </w:r>
      <w:r w:rsidR="00FD142E" w:rsidRPr="002720D0">
        <w:rPr>
          <w:lang w:val="es-ES_tradnl"/>
        </w:rPr>
        <w:tab/>
      </w:r>
      <w:r w:rsidR="003261CE" w:rsidRPr="002720D0">
        <w:rPr>
          <w:lang w:val="es-ES_tradnl"/>
        </w:rPr>
        <w:t>Consolidara la formación y capacitación sistemáticas sobre las disposiciones del</w:t>
      </w:r>
      <w:r w:rsidR="00E4266B" w:rsidRPr="002720D0">
        <w:rPr>
          <w:lang w:val="es-ES_tradnl"/>
        </w:rPr>
        <w:t xml:space="preserve"> Protocolo </w:t>
      </w:r>
      <w:r w:rsidR="00C45F16" w:rsidRPr="002720D0">
        <w:rPr>
          <w:lang w:val="es-ES_tradnl"/>
        </w:rPr>
        <w:t xml:space="preserve">facultativo </w:t>
      </w:r>
      <w:r w:rsidR="00E4266B" w:rsidRPr="002720D0">
        <w:rPr>
          <w:lang w:val="es-ES_tradnl"/>
        </w:rPr>
        <w:t>para todos los grupos profesionales pertinentes, como los maestros, los trabajadores sociales, los abogados y los jueces, los representantes de los medios de comunicación y la policía en todo el país, entre otras cosas mediante la elaboración</w:t>
      </w:r>
      <w:r w:rsidR="00AE23FF" w:rsidRPr="002720D0">
        <w:rPr>
          <w:lang w:val="es-ES_tradnl"/>
        </w:rPr>
        <w:t xml:space="preserve"> de una versión del Protocolo </w:t>
      </w:r>
      <w:r w:rsidR="00C45F16" w:rsidRPr="002720D0">
        <w:rPr>
          <w:lang w:val="es-ES_tradnl"/>
        </w:rPr>
        <w:t xml:space="preserve">facultativo </w:t>
      </w:r>
      <w:r w:rsidR="00E4266B" w:rsidRPr="002720D0">
        <w:rPr>
          <w:lang w:val="es-ES_tradnl"/>
        </w:rPr>
        <w:t xml:space="preserve">más fácil de consultar; </w:t>
      </w:r>
    </w:p>
    <w:p w:rsidR="00151021" w:rsidRPr="002720D0" w:rsidRDefault="00D10951" w:rsidP="00D10951">
      <w:pPr>
        <w:pStyle w:val="SingleTxtG"/>
        <w:rPr>
          <w:lang w:val="es-ES_tradnl"/>
        </w:rPr>
      </w:pPr>
      <w:r>
        <w:rPr>
          <w:lang w:val="es-ES_tradnl"/>
        </w:rPr>
        <w:tab/>
      </w:r>
      <w:r w:rsidR="00151021" w:rsidRPr="002720D0">
        <w:rPr>
          <w:lang w:val="es-ES_tradnl"/>
        </w:rPr>
        <w:t>b)</w:t>
      </w:r>
      <w:r w:rsidR="00FD142E" w:rsidRPr="002720D0">
        <w:rPr>
          <w:lang w:val="es-ES_tradnl"/>
        </w:rPr>
        <w:tab/>
      </w:r>
      <w:r w:rsidR="00E4266B" w:rsidRPr="002720D0">
        <w:rPr>
          <w:lang w:val="es-ES_tradnl"/>
        </w:rPr>
        <w:t>Intensificara sus esfuerzos para dar a conocer l</w:t>
      </w:r>
      <w:r w:rsidR="00AE23FF" w:rsidRPr="002720D0">
        <w:rPr>
          <w:lang w:val="es-ES_tradnl"/>
        </w:rPr>
        <w:t xml:space="preserve">as disposiciones del Protocolo </w:t>
      </w:r>
      <w:r w:rsidR="00C45F16" w:rsidRPr="002720D0">
        <w:rPr>
          <w:lang w:val="es-ES_tradnl"/>
        </w:rPr>
        <w:t xml:space="preserve">facultativo </w:t>
      </w:r>
      <w:r w:rsidR="00E4266B" w:rsidRPr="002720D0">
        <w:rPr>
          <w:lang w:val="es-ES_tradnl"/>
        </w:rPr>
        <w:t>al público en</w:t>
      </w:r>
      <w:r w:rsidR="00AE23FF" w:rsidRPr="002720D0">
        <w:rPr>
          <w:lang w:val="es-ES_tradnl"/>
        </w:rPr>
        <w:t xml:space="preserve"> </w:t>
      </w:r>
      <w:r w:rsidR="00E4266B" w:rsidRPr="002720D0">
        <w:rPr>
          <w:lang w:val="es-ES_tradnl"/>
        </w:rPr>
        <w:t>general y en particular a los niños y a sus padres, mediante la integración en los planes de estudios escolares y la elabor</w:t>
      </w:r>
      <w:r w:rsidR="00A527E3" w:rsidRPr="002720D0">
        <w:rPr>
          <w:lang w:val="es-ES_tradnl"/>
        </w:rPr>
        <w:t xml:space="preserve">ación de un material apropiado </w:t>
      </w:r>
      <w:r w:rsidR="00E4266B" w:rsidRPr="002720D0">
        <w:rPr>
          <w:lang w:val="es-ES_tradnl"/>
        </w:rPr>
        <w:t xml:space="preserve">diseñado especialmente para los niños, comprendida una versión del Protocolo en </w:t>
      </w:r>
      <w:r w:rsidR="00AE23FF" w:rsidRPr="002720D0">
        <w:rPr>
          <w:i/>
          <w:lang w:val="es-ES_tradnl"/>
        </w:rPr>
        <w:t>swahili</w:t>
      </w:r>
      <w:r w:rsidR="00E4266B" w:rsidRPr="002720D0">
        <w:rPr>
          <w:lang w:val="es-ES_tradnl"/>
        </w:rPr>
        <w:t xml:space="preserve"> más </w:t>
      </w:r>
      <w:r w:rsidR="00AE23FF" w:rsidRPr="002720D0">
        <w:rPr>
          <w:lang w:val="es-ES_tradnl"/>
        </w:rPr>
        <w:t>accesible</w:t>
      </w:r>
      <w:r w:rsidR="00E4266B" w:rsidRPr="002720D0">
        <w:rPr>
          <w:lang w:val="es-ES_tradnl"/>
        </w:rPr>
        <w:t xml:space="preserve"> para los niños; </w:t>
      </w:r>
    </w:p>
    <w:p w:rsidR="00151021" w:rsidRPr="002720D0" w:rsidRDefault="00D10951" w:rsidP="00D10951">
      <w:pPr>
        <w:pStyle w:val="SingleTxtG"/>
        <w:rPr>
          <w:lang w:val="es-ES_tradnl"/>
        </w:rPr>
      </w:pPr>
      <w:r>
        <w:rPr>
          <w:lang w:val="es-ES_tradnl"/>
        </w:rPr>
        <w:tab/>
      </w:r>
      <w:r w:rsidR="00151021" w:rsidRPr="002720D0">
        <w:rPr>
          <w:lang w:val="es-ES_tradnl"/>
        </w:rPr>
        <w:t>c)</w:t>
      </w:r>
      <w:r w:rsidR="00FD142E" w:rsidRPr="002720D0">
        <w:rPr>
          <w:lang w:val="es-ES_tradnl"/>
        </w:rPr>
        <w:tab/>
      </w:r>
      <w:r w:rsidR="000D57C7" w:rsidRPr="002720D0">
        <w:rPr>
          <w:lang w:val="es-ES_tradnl"/>
        </w:rPr>
        <w:t>Reforzara</w:t>
      </w:r>
      <w:r w:rsidR="00E4266B" w:rsidRPr="002720D0">
        <w:rPr>
          <w:lang w:val="es-ES_tradnl"/>
        </w:rPr>
        <w:t xml:space="preserve"> la educación y formación que tenga en cuenta las cuestiones de género para t</w:t>
      </w:r>
      <w:r w:rsidR="000D57C7" w:rsidRPr="002720D0">
        <w:rPr>
          <w:lang w:val="es-ES_tradnl"/>
        </w:rPr>
        <w:t>o</w:t>
      </w:r>
      <w:r w:rsidR="00E4266B" w:rsidRPr="002720D0">
        <w:rPr>
          <w:lang w:val="es-ES_tradnl"/>
        </w:rPr>
        <w:t>dos los grupos profesionales que trabajen con niños víctimas de los delito</w:t>
      </w:r>
      <w:r w:rsidR="00AE23FF" w:rsidRPr="002720D0">
        <w:rPr>
          <w:lang w:val="es-ES_tradnl"/>
        </w:rPr>
        <w:t xml:space="preserve">s comprendidos en el Protocolo </w:t>
      </w:r>
      <w:r w:rsidR="00C45F16" w:rsidRPr="002720D0">
        <w:rPr>
          <w:lang w:val="es-ES_tradnl"/>
        </w:rPr>
        <w:t>facultativo</w:t>
      </w:r>
      <w:r w:rsidR="00E4266B" w:rsidRPr="002720D0">
        <w:rPr>
          <w:lang w:val="es-ES_tradnl"/>
        </w:rPr>
        <w:t xml:space="preserve">; y </w:t>
      </w:r>
    </w:p>
    <w:p w:rsidR="00151021" w:rsidRPr="002720D0" w:rsidRDefault="00D10951" w:rsidP="00D10951">
      <w:pPr>
        <w:pStyle w:val="SingleTxtG"/>
        <w:rPr>
          <w:lang w:val="es-ES_tradnl"/>
        </w:rPr>
      </w:pPr>
      <w:r>
        <w:rPr>
          <w:lang w:val="es-ES_tradnl"/>
        </w:rPr>
        <w:tab/>
      </w:r>
      <w:r w:rsidR="00151021" w:rsidRPr="002720D0">
        <w:rPr>
          <w:lang w:val="es-ES_tradnl"/>
        </w:rPr>
        <w:t>d)</w:t>
      </w:r>
      <w:r w:rsidR="00FD142E" w:rsidRPr="002720D0">
        <w:rPr>
          <w:lang w:val="es-ES_tradnl"/>
        </w:rPr>
        <w:tab/>
      </w:r>
      <w:r w:rsidR="00E4266B" w:rsidRPr="002720D0">
        <w:rPr>
          <w:lang w:val="es-ES_tradnl"/>
        </w:rPr>
        <w:t>En colaboración con la sociedad civil, promoviera</w:t>
      </w:r>
      <w:r w:rsidR="00F036AB" w:rsidRPr="002720D0">
        <w:rPr>
          <w:lang w:val="es-ES_tradnl"/>
        </w:rPr>
        <w:t xml:space="preserve"> </w:t>
      </w:r>
      <w:r w:rsidRPr="00D10951">
        <w:rPr>
          <w:lang w:val="es-ES"/>
        </w:rPr>
        <w:t>—</w:t>
      </w:r>
      <w:r w:rsidR="00F036AB" w:rsidRPr="002720D0">
        <w:rPr>
          <w:lang w:val="es-ES_tradnl"/>
        </w:rPr>
        <w:t>en consonancia con el párrafo 2 del artículo 9 del Pr</w:t>
      </w:r>
      <w:r w:rsidR="00AE23FF" w:rsidRPr="002720D0">
        <w:rPr>
          <w:lang w:val="es-ES_tradnl"/>
        </w:rPr>
        <w:t xml:space="preserve">otocolo </w:t>
      </w:r>
      <w:r w:rsidR="00C45F16" w:rsidRPr="002720D0">
        <w:rPr>
          <w:lang w:val="es-ES_tradnl"/>
        </w:rPr>
        <w:t xml:space="preserve">facultativo </w:t>
      </w:r>
      <w:r w:rsidRPr="00D10951">
        <w:rPr>
          <w:lang w:val="es-ES"/>
        </w:rPr>
        <w:t>—</w:t>
      </w:r>
      <w:r w:rsidR="00F036AB" w:rsidRPr="002720D0">
        <w:rPr>
          <w:lang w:val="es-ES_tradnl"/>
        </w:rPr>
        <w:t>la sensibilización del público en general, incluidos los niños, mediante la información por todos los medios apropiados y la educación y adiestramiento acerca de las medidas preventivas y los efectos perjudiciales de los delitos a los</w:t>
      </w:r>
      <w:r w:rsidR="00AE23FF" w:rsidRPr="002720D0">
        <w:rPr>
          <w:lang w:val="es-ES_tradnl"/>
        </w:rPr>
        <w:t xml:space="preserve"> que se refiere el Protocolo </w:t>
      </w:r>
      <w:r w:rsidR="00C45F16" w:rsidRPr="002720D0">
        <w:rPr>
          <w:lang w:val="es-ES_tradnl"/>
        </w:rPr>
        <w:t>facultativo</w:t>
      </w:r>
      <w:r w:rsidR="00F036AB" w:rsidRPr="002720D0">
        <w:rPr>
          <w:lang w:val="es-ES_tradnl"/>
        </w:rPr>
        <w:t>, incluso alentando la participación de la comunidad y, en parti</w:t>
      </w:r>
      <w:r w:rsidR="00A527E3" w:rsidRPr="002720D0">
        <w:rPr>
          <w:lang w:val="es-ES_tradnl"/>
        </w:rPr>
        <w:t>cular, de los niños y de los niñ</w:t>
      </w:r>
      <w:r w:rsidR="00F036AB" w:rsidRPr="002720D0">
        <w:rPr>
          <w:lang w:val="es-ES_tradnl"/>
        </w:rPr>
        <w:t xml:space="preserve">os víctimas de ambos sexos, en tales programas de información, educación y adiestramiento. </w:t>
      </w:r>
    </w:p>
    <w:p w:rsidR="00151021" w:rsidRPr="002720D0" w:rsidRDefault="004F6364" w:rsidP="004F6364">
      <w:pPr>
        <w:pStyle w:val="SingleTxtG"/>
        <w:tabs>
          <w:tab w:val="left" w:pos="-360"/>
        </w:tabs>
        <w:rPr>
          <w:lang w:val="es-ES_tradnl"/>
        </w:rPr>
      </w:pPr>
      <w:r w:rsidRPr="002720D0">
        <w:rPr>
          <w:lang w:val="es-ES_tradnl"/>
        </w:rPr>
        <w:t>280.</w:t>
      </w:r>
      <w:r w:rsidRPr="002720D0">
        <w:rPr>
          <w:lang w:val="es-ES_tradnl"/>
        </w:rPr>
        <w:tab/>
      </w:r>
      <w:r w:rsidR="00AE23FF" w:rsidRPr="002720D0">
        <w:rPr>
          <w:lang w:val="es-ES_tradnl"/>
        </w:rPr>
        <w:t>El Estado p</w:t>
      </w:r>
      <w:r w:rsidR="00A527E3" w:rsidRPr="002720D0">
        <w:rPr>
          <w:lang w:val="es-ES_tradnl"/>
        </w:rPr>
        <w:t xml:space="preserve">arte ha puesto en práctica esta recomendación, comprendida la ejecución de medidas destinadas a </w:t>
      </w:r>
      <w:r w:rsidR="000D57C7" w:rsidRPr="002720D0">
        <w:rPr>
          <w:lang w:val="es-ES_tradnl"/>
        </w:rPr>
        <w:t>dar a conocer</w:t>
      </w:r>
      <w:r w:rsidR="00A527E3" w:rsidRPr="002720D0">
        <w:rPr>
          <w:lang w:val="es-ES_tradnl"/>
        </w:rPr>
        <w:t xml:space="preserve"> l</w:t>
      </w:r>
      <w:r w:rsidR="00AE23FF" w:rsidRPr="002720D0">
        <w:rPr>
          <w:lang w:val="es-ES_tradnl"/>
        </w:rPr>
        <w:t xml:space="preserve">as disposiciones del Protocolo </w:t>
      </w:r>
      <w:r w:rsidR="00C45F16" w:rsidRPr="002720D0">
        <w:rPr>
          <w:lang w:val="es-ES_tradnl"/>
        </w:rPr>
        <w:t xml:space="preserve">facultativo </w:t>
      </w:r>
      <w:r w:rsidR="000D57C7" w:rsidRPr="002720D0">
        <w:rPr>
          <w:lang w:val="es-ES_tradnl"/>
        </w:rPr>
        <w:t>al público en general y en particular a los niños y a sus padres. Se han elaborado planes de estudios escolares y material apropiado diseñado especialmente para los niños, comprendida</w:t>
      </w:r>
      <w:r w:rsidR="000A5CE5" w:rsidRPr="002720D0">
        <w:rPr>
          <w:lang w:val="es-ES_tradnl"/>
        </w:rPr>
        <w:t xml:space="preserve"> una versión del Protocolo en </w:t>
      </w:r>
      <w:r w:rsidR="000D57C7" w:rsidRPr="002720D0">
        <w:rPr>
          <w:i/>
          <w:lang w:val="es-ES_tradnl"/>
        </w:rPr>
        <w:t>swahili</w:t>
      </w:r>
      <w:r w:rsidR="000D57C7" w:rsidRPr="002720D0">
        <w:rPr>
          <w:lang w:val="es-ES_tradnl"/>
        </w:rPr>
        <w:t xml:space="preserve"> asequ</w:t>
      </w:r>
      <w:r w:rsidR="00AE23FF" w:rsidRPr="002720D0">
        <w:rPr>
          <w:lang w:val="es-ES_tradnl"/>
        </w:rPr>
        <w:t>ible para los niños. El Estado p</w:t>
      </w:r>
      <w:r w:rsidR="000D57C7" w:rsidRPr="002720D0">
        <w:rPr>
          <w:lang w:val="es-ES_tradnl"/>
        </w:rPr>
        <w:t>arte también ha reforzado la educación y formación que tiene en cuenta las cuestiones de género para todos los grupos profesionales que trabajan con niños víctimas de los delito</w:t>
      </w:r>
      <w:r w:rsidR="00AE23FF" w:rsidRPr="002720D0">
        <w:rPr>
          <w:lang w:val="es-ES_tradnl"/>
        </w:rPr>
        <w:t xml:space="preserve">s comprendidos en el Protocolo </w:t>
      </w:r>
      <w:r w:rsidR="00C45F16" w:rsidRPr="002720D0">
        <w:rPr>
          <w:lang w:val="es-ES_tradnl"/>
        </w:rPr>
        <w:t>facultativo</w:t>
      </w:r>
      <w:r w:rsidR="000D57C7" w:rsidRPr="002720D0">
        <w:rPr>
          <w:lang w:val="es-ES_tradnl"/>
        </w:rPr>
        <w:t>, en Tanzanía continental por medio del Ministerio de Desarrollo Comunitario, de Asuntos de Género y del Niño, y en Zanzíb</w:t>
      </w:r>
      <w:r w:rsidR="003C43B8" w:rsidRPr="002720D0">
        <w:rPr>
          <w:lang w:val="es-ES_tradnl"/>
        </w:rPr>
        <w:t xml:space="preserve">ar por medio del Ministerio de </w:t>
      </w:r>
      <w:r w:rsidR="000D57C7" w:rsidRPr="002720D0">
        <w:rPr>
          <w:lang w:val="es-ES_tradnl"/>
        </w:rPr>
        <w:t xml:space="preserve">Bienestar Social y de Desarrollo de la Juventud, la Mujer </w:t>
      </w:r>
      <w:r w:rsidR="00AE23FF" w:rsidRPr="002720D0">
        <w:rPr>
          <w:lang w:val="es-ES_tradnl"/>
        </w:rPr>
        <w:t>y el Niño. Asimismo, el Estado p</w:t>
      </w:r>
      <w:r w:rsidR="000D57C7" w:rsidRPr="002720D0">
        <w:rPr>
          <w:lang w:val="es-ES_tradnl"/>
        </w:rPr>
        <w:t>arte ha consolidado su colaboración con la sociedad civil en la esfera de la promoción</w:t>
      </w:r>
      <w:r w:rsidR="00AE23FF" w:rsidRPr="002720D0">
        <w:rPr>
          <w:lang w:val="es-ES_tradnl"/>
        </w:rPr>
        <w:t>,</w:t>
      </w:r>
      <w:r w:rsidR="000D57C7" w:rsidRPr="002720D0">
        <w:rPr>
          <w:lang w:val="es-ES_tradnl"/>
        </w:rPr>
        <w:t xml:space="preserve"> en consonancia con el párrafo </w:t>
      </w:r>
      <w:r w:rsidR="00AE23FF" w:rsidRPr="002720D0">
        <w:rPr>
          <w:lang w:val="es-ES_tradnl"/>
        </w:rPr>
        <w:t xml:space="preserve">2 del artículo 9 del Protocolo </w:t>
      </w:r>
      <w:r w:rsidR="00C45F16" w:rsidRPr="002720D0">
        <w:rPr>
          <w:lang w:val="es-ES_tradnl"/>
        </w:rPr>
        <w:t>facultativo</w:t>
      </w:r>
      <w:r w:rsidR="000D57C7" w:rsidRPr="002720D0">
        <w:rPr>
          <w:lang w:val="es-ES_tradnl"/>
        </w:rPr>
        <w:t xml:space="preserve">. Esto último se ha logrado mediante la </w:t>
      </w:r>
      <w:r w:rsidR="002720D0" w:rsidRPr="002720D0">
        <w:rPr>
          <w:lang w:val="es-ES_tradnl"/>
        </w:rPr>
        <w:t>sensibilización</w:t>
      </w:r>
      <w:r w:rsidR="000D57C7" w:rsidRPr="002720D0">
        <w:rPr>
          <w:lang w:val="es-ES_tradnl"/>
        </w:rPr>
        <w:t xml:space="preserve"> del público en general, incluidos los niños, </w:t>
      </w:r>
      <w:r w:rsidR="00AE23FF" w:rsidRPr="002720D0">
        <w:rPr>
          <w:lang w:val="es-ES_tradnl"/>
        </w:rPr>
        <w:t>a través</w:t>
      </w:r>
      <w:r w:rsidR="000D57C7" w:rsidRPr="002720D0">
        <w:rPr>
          <w:lang w:val="es-ES_tradnl"/>
        </w:rPr>
        <w:t xml:space="preserve"> </w:t>
      </w:r>
      <w:r w:rsidR="00AE23FF" w:rsidRPr="002720D0">
        <w:rPr>
          <w:lang w:val="es-ES_tradnl"/>
        </w:rPr>
        <w:t>de</w:t>
      </w:r>
      <w:r w:rsidR="000D57C7" w:rsidRPr="002720D0">
        <w:rPr>
          <w:lang w:val="es-ES_tradnl"/>
        </w:rPr>
        <w:t xml:space="preserve"> información </w:t>
      </w:r>
      <w:r w:rsidR="00AE23FF" w:rsidRPr="002720D0">
        <w:rPr>
          <w:lang w:val="es-ES_tradnl"/>
        </w:rPr>
        <w:t xml:space="preserve">divulgada </w:t>
      </w:r>
      <w:r w:rsidR="000D57C7" w:rsidRPr="002720D0">
        <w:rPr>
          <w:lang w:val="es-ES_tradnl"/>
        </w:rPr>
        <w:t xml:space="preserve">por todos los medios apropiados, y mediante la educación y el adiestramiento. </w:t>
      </w:r>
      <w:r w:rsidR="00AE23FF" w:rsidRPr="002720D0">
        <w:rPr>
          <w:lang w:val="es-ES_tradnl"/>
        </w:rPr>
        <w:t>En l</w:t>
      </w:r>
      <w:r w:rsidR="00676B88" w:rsidRPr="002720D0">
        <w:rPr>
          <w:lang w:val="es-ES_tradnl"/>
        </w:rPr>
        <w:t xml:space="preserve">a sensibilización también </w:t>
      </w:r>
      <w:r w:rsidR="00AE23FF" w:rsidRPr="002720D0">
        <w:rPr>
          <w:lang w:val="es-ES_tradnl"/>
        </w:rPr>
        <w:t>se ha</w:t>
      </w:r>
      <w:r w:rsidR="00676B88" w:rsidRPr="002720D0">
        <w:rPr>
          <w:lang w:val="es-ES_tradnl"/>
        </w:rPr>
        <w:t xml:space="preserve"> incluido</w:t>
      </w:r>
      <w:r w:rsidR="00AE23FF" w:rsidRPr="002720D0">
        <w:rPr>
          <w:lang w:val="es-ES_tradnl"/>
        </w:rPr>
        <w:t xml:space="preserve"> información sobre</w:t>
      </w:r>
      <w:r w:rsidR="00676B88" w:rsidRPr="002720D0">
        <w:rPr>
          <w:lang w:val="es-ES_tradnl"/>
        </w:rPr>
        <w:t xml:space="preserve"> las medidas preventivas y los efectos perjudiciales de los delitos a l</w:t>
      </w:r>
      <w:r w:rsidR="00AE23FF" w:rsidRPr="002720D0">
        <w:rPr>
          <w:lang w:val="es-ES_tradnl"/>
        </w:rPr>
        <w:t xml:space="preserve">os que se refiere el Protocolo </w:t>
      </w:r>
      <w:r w:rsidR="00C45F16" w:rsidRPr="002720D0">
        <w:rPr>
          <w:lang w:val="es-ES_tradnl"/>
        </w:rPr>
        <w:t>facultativo</w:t>
      </w:r>
      <w:r w:rsidR="00676B88" w:rsidRPr="002720D0">
        <w:rPr>
          <w:lang w:val="es-ES_tradnl"/>
        </w:rPr>
        <w:t>, incluso alentando la</w:t>
      </w:r>
      <w:r w:rsidR="00AE23FF" w:rsidRPr="002720D0">
        <w:rPr>
          <w:lang w:val="es-ES_tradnl"/>
        </w:rPr>
        <w:t xml:space="preserve"> participación de la comunidad</w:t>
      </w:r>
      <w:r w:rsidR="00676B88" w:rsidRPr="002720D0">
        <w:rPr>
          <w:lang w:val="es-ES_tradnl"/>
        </w:rPr>
        <w:t>, en particular</w:t>
      </w:r>
      <w:r w:rsidR="00AE23FF" w:rsidRPr="002720D0">
        <w:rPr>
          <w:lang w:val="es-ES_tradnl"/>
        </w:rPr>
        <w:t xml:space="preserve"> </w:t>
      </w:r>
      <w:r w:rsidR="00676B88" w:rsidRPr="002720D0">
        <w:rPr>
          <w:lang w:val="es-ES_tradnl"/>
        </w:rPr>
        <w:t>de los niños y de los niños víctimas de ambos sexos</w:t>
      </w:r>
      <w:r w:rsidR="00AE23FF" w:rsidRPr="002720D0">
        <w:rPr>
          <w:lang w:val="es-ES_tradnl"/>
        </w:rPr>
        <w:t>,</w:t>
      </w:r>
      <w:r w:rsidR="00676B88" w:rsidRPr="002720D0">
        <w:rPr>
          <w:lang w:val="es-ES_tradnl"/>
        </w:rPr>
        <w:t xml:space="preserve"> en esos programas de educación y adiestramiento. </w:t>
      </w:r>
    </w:p>
    <w:p w:rsidR="00151021" w:rsidRPr="002720D0" w:rsidRDefault="00FD142E" w:rsidP="00586395">
      <w:pPr>
        <w:pStyle w:val="H23G"/>
        <w:outlineLvl w:val="0"/>
        <w:rPr>
          <w:lang w:val="es-ES_tradnl"/>
        </w:rPr>
      </w:pPr>
      <w:r w:rsidRPr="002720D0">
        <w:rPr>
          <w:lang w:val="es-ES_tradnl"/>
        </w:rPr>
        <w:tab/>
      </w:r>
      <w:r w:rsidR="00151021" w:rsidRPr="002720D0">
        <w:rPr>
          <w:lang w:val="es-ES_tradnl"/>
        </w:rPr>
        <w:t>f)</w:t>
      </w:r>
      <w:r w:rsidRPr="002720D0">
        <w:rPr>
          <w:lang w:val="es-ES_tradnl"/>
        </w:rPr>
        <w:tab/>
      </w:r>
      <w:r w:rsidR="00151021" w:rsidRPr="002720D0">
        <w:rPr>
          <w:lang w:val="es-ES_tradnl"/>
        </w:rPr>
        <w:t>A</w:t>
      </w:r>
      <w:r w:rsidR="00C45F16">
        <w:rPr>
          <w:lang w:val="es-ES_tradnl"/>
        </w:rPr>
        <w:t>signación de recursos</w:t>
      </w:r>
    </w:p>
    <w:p w:rsidR="00151021" w:rsidRPr="002720D0" w:rsidRDefault="004F6364" w:rsidP="004F6364">
      <w:pPr>
        <w:pStyle w:val="SingleTxtG"/>
        <w:tabs>
          <w:tab w:val="left" w:pos="-360"/>
        </w:tabs>
        <w:rPr>
          <w:lang w:val="es-ES_tradnl"/>
        </w:rPr>
      </w:pPr>
      <w:r w:rsidRPr="002720D0">
        <w:rPr>
          <w:lang w:val="es-ES_tradnl"/>
        </w:rPr>
        <w:t>281.</w:t>
      </w:r>
      <w:r w:rsidRPr="002720D0">
        <w:rPr>
          <w:lang w:val="es-ES_tradnl"/>
        </w:rPr>
        <w:tab/>
      </w:r>
      <w:r w:rsidR="00370AC3" w:rsidRPr="002720D0">
        <w:rPr>
          <w:lang w:val="es-ES_tradnl"/>
        </w:rPr>
        <w:t xml:space="preserve">Tomando en cuenta las recomendaciones formuladas por el Comité como continuación de su Día de Debate General en 2007 sobre el artículo 4 de la Convención, el </w:t>
      </w:r>
      <w:r w:rsidR="001E0B14" w:rsidRPr="002720D0">
        <w:rPr>
          <w:lang w:val="es-ES_tradnl"/>
        </w:rPr>
        <w:t>Comité recomendó que el Estado p</w:t>
      </w:r>
      <w:r w:rsidR="00370AC3" w:rsidRPr="002720D0">
        <w:rPr>
          <w:lang w:val="es-ES_tradnl"/>
        </w:rPr>
        <w:t xml:space="preserve">arte: </w:t>
      </w:r>
    </w:p>
    <w:p w:rsidR="00370AC3" w:rsidRPr="002720D0" w:rsidRDefault="00493086" w:rsidP="00493086">
      <w:pPr>
        <w:pStyle w:val="SingleTxtG"/>
        <w:rPr>
          <w:lang w:val="es-ES_tradnl"/>
        </w:rPr>
      </w:pPr>
      <w:r>
        <w:rPr>
          <w:lang w:val="es-ES_tradnl"/>
        </w:rPr>
        <w:tab/>
      </w:r>
      <w:r w:rsidR="00151021" w:rsidRPr="002720D0">
        <w:rPr>
          <w:lang w:val="es-ES_tradnl"/>
        </w:rPr>
        <w:t>a)</w:t>
      </w:r>
      <w:r w:rsidR="00FD142E" w:rsidRPr="002720D0">
        <w:rPr>
          <w:lang w:val="es-ES_tradnl"/>
        </w:rPr>
        <w:tab/>
      </w:r>
      <w:r w:rsidR="00370AC3" w:rsidRPr="002720D0">
        <w:rPr>
          <w:lang w:val="es-ES_tradnl"/>
        </w:rPr>
        <w:t>Facilitara los recursos humanos y financieros necesarios para el desarrollo y la ejecución de proyectos y planes, especialmente en el plano local, destinados a la prevención, protección, recuperación física y psicológica y reintegración social de las víctimas</w:t>
      </w:r>
      <w:r w:rsidR="003B04ED" w:rsidRPr="002720D0">
        <w:rPr>
          <w:lang w:val="es-ES_tradnl"/>
        </w:rPr>
        <w:t>,</w:t>
      </w:r>
      <w:r w:rsidR="00370AC3" w:rsidRPr="002720D0">
        <w:rPr>
          <w:lang w:val="es-ES_tradnl"/>
        </w:rPr>
        <w:t xml:space="preserve"> y </w:t>
      </w:r>
      <w:r w:rsidR="001E0B14" w:rsidRPr="002720D0">
        <w:rPr>
          <w:lang w:val="es-ES_tradnl"/>
        </w:rPr>
        <w:t>enjuiciamiento</w:t>
      </w:r>
      <w:r w:rsidR="00370AC3" w:rsidRPr="002720D0">
        <w:rPr>
          <w:lang w:val="es-ES_tradnl"/>
        </w:rPr>
        <w:t xml:space="preserve"> de los delito</w:t>
      </w:r>
      <w:r w:rsidR="001E0B14" w:rsidRPr="002720D0">
        <w:rPr>
          <w:lang w:val="es-ES_tradnl"/>
        </w:rPr>
        <w:t xml:space="preserve">s comprendidos en el Protocolo </w:t>
      </w:r>
      <w:r w:rsidR="00C45F16" w:rsidRPr="002720D0">
        <w:rPr>
          <w:lang w:val="es-ES_tradnl"/>
        </w:rPr>
        <w:t>facultativo</w:t>
      </w:r>
      <w:r w:rsidR="00370AC3" w:rsidRPr="002720D0">
        <w:rPr>
          <w:lang w:val="es-ES_tradnl"/>
        </w:rPr>
        <w:t xml:space="preserve">; y </w:t>
      </w:r>
    </w:p>
    <w:p w:rsidR="00151021" w:rsidRPr="002720D0" w:rsidRDefault="00493086" w:rsidP="00493086">
      <w:pPr>
        <w:pStyle w:val="SingleTxtG"/>
        <w:rPr>
          <w:lang w:val="es-ES_tradnl"/>
        </w:rPr>
      </w:pPr>
      <w:r>
        <w:rPr>
          <w:lang w:val="es-ES_tradnl"/>
        </w:rPr>
        <w:tab/>
      </w:r>
      <w:r w:rsidR="00151021" w:rsidRPr="002720D0">
        <w:rPr>
          <w:lang w:val="es-ES_tradnl"/>
        </w:rPr>
        <w:t>b)</w:t>
      </w:r>
      <w:r w:rsidR="00FD142E" w:rsidRPr="002720D0">
        <w:rPr>
          <w:lang w:val="es-ES_tradnl"/>
        </w:rPr>
        <w:tab/>
      </w:r>
      <w:r w:rsidR="009D2E22" w:rsidRPr="002720D0">
        <w:rPr>
          <w:lang w:val="es-ES_tradnl"/>
        </w:rPr>
        <w:t>Adoptase en la preparación de su presupuesto un enfoque basado en los derechos humanos y centrado en los niños, en particular con respecto a la ejecución de la Estrategia nacional de crecimiento y reducción de la pobreza de Tanzanía (MKUKUTA en Tanzaní</w:t>
      </w:r>
      <w:r w:rsidR="00151021" w:rsidRPr="002720D0">
        <w:rPr>
          <w:lang w:val="es-ES_tradnl"/>
        </w:rPr>
        <w:t xml:space="preserve">a </w:t>
      </w:r>
      <w:r w:rsidR="009D2E22" w:rsidRPr="002720D0">
        <w:rPr>
          <w:lang w:val="es-ES_tradnl"/>
        </w:rPr>
        <w:t>continental y</w:t>
      </w:r>
      <w:r w:rsidR="00151021" w:rsidRPr="002720D0">
        <w:rPr>
          <w:lang w:val="es-ES_tradnl"/>
        </w:rPr>
        <w:t xml:space="preserve"> MKUZA </w:t>
      </w:r>
      <w:r w:rsidR="009D2E22" w:rsidRPr="002720D0">
        <w:rPr>
          <w:lang w:val="es-ES_tradnl"/>
        </w:rPr>
        <w:t>en Zanzí</w:t>
      </w:r>
      <w:r w:rsidR="00151021" w:rsidRPr="002720D0">
        <w:rPr>
          <w:lang w:val="es-ES_tradnl"/>
        </w:rPr>
        <w:t>bar).</w:t>
      </w:r>
    </w:p>
    <w:p w:rsidR="00151021" w:rsidRPr="002720D0" w:rsidRDefault="004F6364" w:rsidP="004F6364">
      <w:pPr>
        <w:pStyle w:val="SingleTxtG"/>
        <w:tabs>
          <w:tab w:val="left" w:pos="-360"/>
        </w:tabs>
        <w:rPr>
          <w:lang w:val="es-ES_tradnl"/>
        </w:rPr>
      </w:pPr>
      <w:r w:rsidRPr="002720D0">
        <w:rPr>
          <w:lang w:val="es-ES_tradnl"/>
        </w:rPr>
        <w:t>282.</w:t>
      </w:r>
      <w:r w:rsidRPr="002720D0">
        <w:rPr>
          <w:lang w:val="es-ES_tradnl"/>
        </w:rPr>
        <w:tab/>
      </w:r>
      <w:r w:rsidR="001E0B14" w:rsidRPr="002720D0">
        <w:rPr>
          <w:lang w:val="es-ES_tradnl"/>
        </w:rPr>
        <w:t>El Estado p</w:t>
      </w:r>
      <w:r w:rsidR="00321F22" w:rsidRPr="002720D0">
        <w:rPr>
          <w:lang w:val="es-ES_tradnl"/>
        </w:rPr>
        <w:t xml:space="preserve">arte ha dado </w:t>
      </w:r>
      <w:r w:rsidR="003B04ED" w:rsidRPr="002720D0">
        <w:rPr>
          <w:lang w:val="es-ES_tradnl"/>
        </w:rPr>
        <w:t xml:space="preserve">cumplimiento a esta recomendación, en particular comprometiéndose a facilitar los recursos humanos y financieros necesarios para el desarrollo y la ejecución de proyectos y planes, especialmente en el plano local, destinados a la prevención, protección, recuperación física y psicológica y reintegración de las víctimas, y </w:t>
      </w:r>
      <w:r w:rsidR="001E0B14" w:rsidRPr="002720D0">
        <w:rPr>
          <w:lang w:val="es-ES_tradnl"/>
        </w:rPr>
        <w:t>enjuiciamiento</w:t>
      </w:r>
      <w:r w:rsidR="003B04ED" w:rsidRPr="002720D0">
        <w:rPr>
          <w:lang w:val="es-ES_tradnl"/>
        </w:rPr>
        <w:t xml:space="preserve"> de los delito</w:t>
      </w:r>
      <w:r w:rsidR="001E0B14" w:rsidRPr="002720D0">
        <w:rPr>
          <w:lang w:val="es-ES_tradnl"/>
        </w:rPr>
        <w:t xml:space="preserve">s comprendidos en el Protocolo </w:t>
      </w:r>
      <w:r w:rsidR="00C45F16" w:rsidRPr="002720D0">
        <w:rPr>
          <w:lang w:val="es-ES_tradnl"/>
        </w:rPr>
        <w:t>facultativo</w:t>
      </w:r>
      <w:r w:rsidR="003B04ED" w:rsidRPr="002720D0">
        <w:rPr>
          <w:lang w:val="es-ES_tradnl"/>
        </w:rPr>
        <w:t xml:space="preserve">. También ha velado por la adopción, en la preparación de su presupuesto, de un enfoque basado en los derechos humanos y centrado en los niños, en particular con respecto a la ejecución de la Estrategia nacional de crecimiento y reducción de la pobreza de Tanzanía (MKUKUTA en Tanzanía continental y MKUZA en Zanzíbar); con ello, </w:t>
      </w:r>
      <w:r w:rsidR="001E0B14" w:rsidRPr="002720D0">
        <w:rPr>
          <w:lang w:val="es-ES_tradnl"/>
        </w:rPr>
        <w:t xml:space="preserve">en 2010 </w:t>
      </w:r>
      <w:r w:rsidR="003B04ED" w:rsidRPr="002720D0">
        <w:rPr>
          <w:lang w:val="es-ES_tradnl"/>
        </w:rPr>
        <w:t>ha pasado a ocupar el primer puesto entre los gobiernos africanos en lo relativo a la presupuestación para los niños</w:t>
      </w:r>
      <w:r w:rsidR="00151021" w:rsidRPr="002720D0">
        <w:rPr>
          <w:rStyle w:val="FootnoteReference"/>
          <w:lang w:val="es-ES_tradnl"/>
        </w:rPr>
        <w:footnoteReference w:id="112"/>
      </w:r>
      <w:r w:rsidR="003B04ED" w:rsidRPr="002720D0">
        <w:rPr>
          <w:lang w:val="es-ES_tradnl"/>
        </w:rPr>
        <w:t>.</w:t>
      </w:r>
      <w:r w:rsidR="00BA1A90" w:rsidRPr="002720D0">
        <w:rPr>
          <w:lang w:val="es-ES_tradnl"/>
        </w:rPr>
        <w:t xml:space="preserve"> </w:t>
      </w:r>
    </w:p>
    <w:p w:rsidR="00151021" w:rsidRPr="002720D0" w:rsidRDefault="00FD142E" w:rsidP="00586395">
      <w:pPr>
        <w:pStyle w:val="H23G"/>
        <w:outlineLvl w:val="0"/>
        <w:rPr>
          <w:lang w:val="es-ES_tradnl"/>
        </w:rPr>
      </w:pPr>
      <w:r w:rsidRPr="002720D0">
        <w:rPr>
          <w:lang w:val="es-ES_tradnl"/>
        </w:rPr>
        <w:tab/>
      </w:r>
      <w:r w:rsidR="00151021" w:rsidRPr="002720D0">
        <w:rPr>
          <w:lang w:val="es-ES_tradnl"/>
        </w:rPr>
        <w:t>g)</w:t>
      </w:r>
      <w:r w:rsidRPr="002720D0">
        <w:rPr>
          <w:lang w:val="es-ES_tradnl"/>
        </w:rPr>
        <w:tab/>
      </w:r>
      <w:r w:rsidR="00151021" w:rsidRPr="002720D0">
        <w:rPr>
          <w:lang w:val="es-ES_tradnl"/>
        </w:rPr>
        <w:t>Preven</w:t>
      </w:r>
      <w:r w:rsidR="00AD3ABD" w:rsidRPr="002720D0">
        <w:rPr>
          <w:lang w:val="es-ES_tradnl"/>
        </w:rPr>
        <w:t xml:space="preserve">ción de la venta de niños, la prostitución infantil y la utilización de niños </w:t>
      </w:r>
      <w:r w:rsidR="00493086">
        <w:rPr>
          <w:lang w:val="es-ES_tradnl"/>
        </w:rPr>
        <w:br/>
        <w:t>en la pornografía</w:t>
      </w:r>
    </w:p>
    <w:p w:rsidR="00151021" w:rsidRPr="002720D0" w:rsidRDefault="004F6364" w:rsidP="004F6364">
      <w:pPr>
        <w:pStyle w:val="SingleTxtG"/>
        <w:tabs>
          <w:tab w:val="left" w:pos="-360"/>
        </w:tabs>
        <w:rPr>
          <w:lang w:val="es-ES_tradnl"/>
        </w:rPr>
      </w:pPr>
      <w:r w:rsidRPr="002720D0">
        <w:rPr>
          <w:lang w:val="es-ES_tradnl"/>
        </w:rPr>
        <w:t>283.</w:t>
      </w:r>
      <w:r w:rsidRPr="002720D0">
        <w:rPr>
          <w:lang w:val="es-ES_tradnl"/>
        </w:rPr>
        <w:tab/>
      </w:r>
      <w:r w:rsidR="00E831D4" w:rsidRPr="002720D0">
        <w:rPr>
          <w:lang w:val="es-ES_tradnl"/>
        </w:rPr>
        <w:t xml:space="preserve">El Comité recomendó que el Estado parte </w:t>
      </w:r>
      <w:r w:rsidR="00AD3ABD" w:rsidRPr="002720D0">
        <w:rPr>
          <w:lang w:val="es-ES_tradnl"/>
        </w:rPr>
        <w:t xml:space="preserve">redoblara las medidas preventivas, comprendida la asignación de recursos humanos y financieros destinados a la investigación </w:t>
      </w:r>
      <w:r w:rsidR="006517B8" w:rsidRPr="002720D0">
        <w:rPr>
          <w:lang w:val="es-ES_tradnl"/>
        </w:rPr>
        <w:t>en los planos regional y local</w:t>
      </w:r>
      <w:r w:rsidR="00AD3ABD" w:rsidRPr="002720D0">
        <w:rPr>
          <w:lang w:val="es-ES_tradnl"/>
        </w:rPr>
        <w:t>,</w:t>
      </w:r>
      <w:r w:rsidR="006517B8" w:rsidRPr="002720D0">
        <w:rPr>
          <w:lang w:val="es-ES_tradnl"/>
        </w:rPr>
        <w:t xml:space="preserve"> </w:t>
      </w:r>
      <w:r w:rsidR="00AD3ABD" w:rsidRPr="002720D0">
        <w:rPr>
          <w:lang w:val="es-ES_tradnl"/>
        </w:rPr>
        <w:t>destinadas a</w:t>
      </w:r>
      <w:r w:rsidR="00151021" w:rsidRPr="002720D0">
        <w:rPr>
          <w:lang w:val="es-ES_tradnl"/>
        </w:rPr>
        <w:t xml:space="preserve"> </w:t>
      </w:r>
      <w:r w:rsidR="00E831D4" w:rsidRPr="002720D0">
        <w:rPr>
          <w:lang w:val="es-ES_tradnl"/>
        </w:rPr>
        <w:t xml:space="preserve">luchar contra las causas </w:t>
      </w:r>
      <w:r w:rsidR="00AD3ABD" w:rsidRPr="002720D0">
        <w:rPr>
          <w:lang w:val="es-ES_tradnl"/>
        </w:rPr>
        <w:t>de origen, en particular la pobreza y determinadas prácticas culturales, que contribuyen a la vulnera</w:t>
      </w:r>
      <w:r w:rsidR="00453576" w:rsidRPr="002720D0">
        <w:rPr>
          <w:lang w:val="es-ES_tradnl"/>
        </w:rPr>
        <w:t>bilidad de los niños a la venta y</w:t>
      </w:r>
      <w:r w:rsidR="00AD3ABD" w:rsidRPr="002720D0">
        <w:rPr>
          <w:lang w:val="es-ES_tradnl"/>
        </w:rPr>
        <w:t xml:space="preserve"> la prostitución, </w:t>
      </w:r>
      <w:r w:rsidR="00453576" w:rsidRPr="002720D0">
        <w:rPr>
          <w:lang w:val="es-ES_tradnl"/>
        </w:rPr>
        <w:t xml:space="preserve">así como a su utilización en </w:t>
      </w:r>
      <w:r w:rsidR="00AD3ABD" w:rsidRPr="002720D0">
        <w:rPr>
          <w:lang w:val="es-ES_tradnl"/>
        </w:rPr>
        <w:t>la p</w:t>
      </w:r>
      <w:r w:rsidR="00453576" w:rsidRPr="002720D0">
        <w:rPr>
          <w:lang w:val="es-ES_tradnl"/>
        </w:rPr>
        <w:t>ornografía y el turismo sexual. Asimismo,</w:t>
      </w:r>
      <w:r w:rsidR="001E0B14" w:rsidRPr="002720D0">
        <w:rPr>
          <w:lang w:val="es-ES_tradnl"/>
        </w:rPr>
        <w:t xml:space="preserve"> el Comité instó al Estado p</w:t>
      </w:r>
      <w:r w:rsidR="00453576" w:rsidRPr="002720D0">
        <w:rPr>
          <w:lang w:val="es-ES_tradnl"/>
        </w:rPr>
        <w:t xml:space="preserve">arte a emprender investigaciones relativas a las informaciones según las cuales </w:t>
      </w:r>
      <w:r w:rsidR="00310A54" w:rsidRPr="002720D0">
        <w:rPr>
          <w:lang w:val="es-ES_tradnl"/>
        </w:rPr>
        <w:t>se producen</w:t>
      </w:r>
      <w:r w:rsidR="00453576" w:rsidRPr="002720D0">
        <w:rPr>
          <w:lang w:val="es-ES_tradnl"/>
        </w:rPr>
        <w:t xml:space="preserve"> ventas de niños para fines rituales y a llevar a los autores de este delito ante la justicia.</w:t>
      </w:r>
    </w:p>
    <w:p w:rsidR="00151021" w:rsidRPr="002720D0" w:rsidRDefault="004F6364" w:rsidP="004F6364">
      <w:pPr>
        <w:pStyle w:val="SingleTxtG"/>
        <w:tabs>
          <w:tab w:val="left" w:pos="-360"/>
        </w:tabs>
        <w:rPr>
          <w:lang w:val="es-ES_tradnl"/>
        </w:rPr>
      </w:pPr>
      <w:r w:rsidRPr="002720D0">
        <w:rPr>
          <w:lang w:val="es-ES_tradnl"/>
        </w:rPr>
        <w:t>284.</w:t>
      </w:r>
      <w:r w:rsidRPr="002720D0">
        <w:rPr>
          <w:lang w:val="es-ES_tradnl"/>
        </w:rPr>
        <w:tab/>
      </w:r>
      <w:r w:rsidR="001E0B14" w:rsidRPr="002720D0">
        <w:rPr>
          <w:lang w:val="es-ES_tradnl"/>
        </w:rPr>
        <w:t>El Estado p</w:t>
      </w:r>
      <w:r w:rsidR="003905C4" w:rsidRPr="002720D0">
        <w:rPr>
          <w:lang w:val="es-ES_tradnl"/>
        </w:rPr>
        <w:t xml:space="preserve">arte </w:t>
      </w:r>
      <w:r w:rsidR="00151021" w:rsidRPr="002720D0">
        <w:rPr>
          <w:lang w:val="es-ES_tradnl"/>
        </w:rPr>
        <w:t>h</w:t>
      </w:r>
      <w:r w:rsidR="003905C4" w:rsidRPr="002720D0">
        <w:rPr>
          <w:lang w:val="es-ES_tradnl"/>
        </w:rPr>
        <w:t xml:space="preserve">a aplicado esta </w:t>
      </w:r>
      <w:r w:rsidR="002720D0" w:rsidRPr="002720D0">
        <w:rPr>
          <w:lang w:val="es-ES_tradnl"/>
        </w:rPr>
        <w:t>recomendación</w:t>
      </w:r>
      <w:r w:rsidR="003905C4" w:rsidRPr="002720D0">
        <w:rPr>
          <w:lang w:val="es-ES_tradnl"/>
        </w:rPr>
        <w:t xml:space="preserve">, ante todo redoblando la protección jurídica </w:t>
      </w:r>
      <w:r w:rsidR="00E101BD" w:rsidRPr="002720D0">
        <w:rPr>
          <w:lang w:val="es-ES_tradnl"/>
        </w:rPr>
        <w:t>de</w:t>
      </w:r>
      <w:r w:rsidR="003905C4" w:rsidRPr="002720D0">
        <w:rPr>
          <w:lang w:val="es-ES_tradnl"/>
        </w:rPr>
        <w:t xml:space="preserve"> </w:t>
      </w:r>
      <w:r w:rsidR="001F07AF" w:rsidRPr="002720D0">
        <w:rPr>
          <w:lang w:val="es-ES_tradnl"/>
        </w:rPr>
        <w:t>los</w:t>
      </w:r>
      <w:r w:rsidR="003905C4" w:rsidRPr="002720D0">
        <w:rPr>
          <w:lang w:val="es-ES_tradnl"/>
        </w:rPr>
        <w:t xml:space="preserve"> niños que </w:t>
      </w:r>
      <w:r w:rsidR="001F07AF" w:rsidRPr="002720D0">
        <w:rPr>
          <w:lang w:val="es-ES_tradnl"/>
        </w:rPr>
        <w:t xml:space="preserve">se ven obligados a ejercer la prostitución o a participar en la pornografía infantil. El Decreto de </w:t>
      </w:r>
      <w:r w:rsidR="00E44E59" w:rsidRPr="002720D0">
        <w:rPr>
          <w:lang w:val="es-ES_tradnl"/>
        </w:rPr>
        <w:t xml:space="preserve">Aplicación </w:t>
      </w:r>
      <w:r w:rsidR="001F07AF" w:rsidRPr="002720D0">
        <w:rPr>
          <w:lang w:val="es-ES_tradnl"/>
        </w:rPr>
        <w:t xml:space="preserve">del Código de Penal de Zanzíbar, el propio Código Penal, mediante la Ley de </w:t>
      </w:r>
      <w:r w:rsidR="00654B55" w:rsidRPr="002720D0">
        <w:rPr>
          <w:lang w:val="es-ES_tradnl"/>
        </w:rPr>
        <w:t xml:space="preserve">Delitos Sexuales </w:t>
      </w:r>
      <w:r w:rsidR="001F07AF" w:rsidRPr="002720D0">
        <w:rPr>
          <w:lang w:val="es-ES_tradnl"/>
        </w:rPr>
        <w:t xml:space="preserve">(disposiciones especiales) de 1998 (vigente en Tanzanía continental), la Ley de </w:t>
      </w:r>
      <w:r w:rsidR="00654B55" w:rsidRPr="002720D0">
        <w:rPr>
          <w:lang w:val="es-ES_tradnl"/>
        </w:rPr>
        <w:t xml:space="preserve">Lucha </w:t>
      </w:r>
      <w:r w:rsidR="001F07AF" w:rsidRPr="002720D0">
        <w:rPr>
          <w:lang w:val="es-ES_tradnl"/>
        </w:rPr>
        <w:t xml:space="preserve">contra la </w:t>
      </w:r>
      <w:r w:rsidR="00654B55" w:rsidRPr="002720D0">
        <w:rPr>
          <w:lang w:val="es-ES_tradnl"/>
        </w:rPr>
        <w:t xml:space="preserve">Trata </w:t>
      </w:r>
      <w:r w:rsidR="001F07AF" w:rsidRPr="002720D0">
        <w:rPr>
          <w:lang w:val="es-ES_tradnl"/>
        </w:rPr>
        <w:t xml:space="preserve">de </w:t>
      </w:r>
      <w:r w:rsidR="00654B55" w:rsidRPr="002720D0">
        <w:rPr>
          <w:lang w:val="es-ES_tradnl"/>
        </w:rPr>
        <w:t>Personas</w:t>
      </w:r>
      <w:r w:rsidR="001F07AF" w:rsidRPr="002720D0">
        <w:rPr>
          <w:lang w:val="es-ES_tradnl"/>
        </w:rPr>
        <w:t xml:space="preserve">, la Ley del </w:t>
      </w:r>
      <w:r w:rsidR="00654B55" w:rsidRPr="002720D0">
        <w:rPr>
          <w:lang w:val="es-ES_tradnl"/>
        </w:rPr>
        <w:t xml:space="preserve">Niño </w:t>
      </w:r>
      <w:r w:rsidR="001F07AF" w:rsidRPr="002720D0">
        <w:rPr>
          <w:lang w:val="es-ES_tradnl"/>
        </w:rPr>
        <w:t xml:space="preserve">de Zanzíbar y la Ley de la </w:t>
      </w:r>
      <w:r w:rsidR="00654B55" w:rsidRPr="002720D0">
        <w:rPr>
          <w:lang w:val="es-ES_tradnl"/>
        </w:rPr>
        <w:t xml:space="preserve">Infancia </w:t>
      </w:r>
      <w:r w:rsidR="001F07AF" w:rsidRPr="002720D0">
        <w:rPr>
          <w:lang w:val="es-ES_tradnl"/>
        </w:rPr>
        <w:t>recogen actos tipificados como delitos relacionados con la venta de niños, la prostitución infantil y la utilización de niños en la pornografía</w:t>
      </w:r>
      <w:r w:rsidR="00B22838">
        <w:rPr>
          <w:lang w:val="es-ES_tradnl"/>
        </w:rPr>
        <w:t>,</w:t>
      </w:r>
      <w:r w:rsidR="001F07AF" w:rsidRPr="002720D0">
        <w:rPr>
          <w:lang w:val="es-ES_tradnl"/>
        </w:rPr>
        <w:t xml:space="preserve"> en el mismo contexto que </w:t>
      </w:r>
      <w:r w:rsidR="00E101BD" w:rsidRPr="002720D0">
        <w:rPr>
          <w:lang w:val="es-ES_tradnl"/>
        </w:rPr>
        <w:t xml:space="preserve">en </w:t>
      </w:r>
      <w:r w:rsidR="001E0B14" w:rsidRPr="002720D0">
        <w:rPr>
          <w:lang w:val="es-ES_tradnl"/>
        </w:rPr>
        <w:t xml:space="preserve">el Protocolo </w:t>
      </w:r>
      <w:r w:rsidR="00C45F16" w:rsidRPr="002720D0">
        <w:rPr>
          <w:lang w:val="es-ES_tradnl"/>
        </w:rPr>
        <w:t>facultativo</w:t>
      </w:r>
      <w:r w:rsidR="001F07AF" w:rsidRPr="002720D0">
        <w:rPr>
          <w:lang w:val="es-ES_tradnl"/>
        </w:rPr>
        <w:t>.</w:t>
      </w:r>
      <w:r w:rsidR="001D2A53">
        <w:rPr>
          <w:lang w:val="es-ES_tradnl"/>
        </w:rPr>
        <w:t xml:space="preserve"> </w:t>
      </w:r>
      <w:r w:rsidR="007438DB" w:rsidRPr="002720D0">
        <w:rPr>
          <w:lang w:val="es-ES_tradnl"/>
        </w:rPr>
        <w:t>También</w:t>
      </w:r>
      <w:r w:rsidR="00E101BD" w:rsidRPr="002720D0">
        <w:rPr>
          <w:lang w:val="es-ES_tradnl"/>
        </w:rPr>
        <w:t xml:space="preserve"> se han consolidado las asignaciones presupuestarias para los ministerios competentes en estos asuntos, aumentándose el número de personal en formación que está recibiendo capacitación específica relativa a la aplicación de estas leyes.</w:t>
      </w:r>
    </w:p>
    <w:p w:rsidR="00151021" w:rsidRPr="002720D0" w:rsidRDefault="00FD142E" w:rsidP="00586395">
      <w:pPr>
        <w:pStyle w:val="H23G"/>
        <w:outlineLvl w:val="0"/>
        <w:rPr>
          <w:lang w:val="es-ES_tradnl"/>
        </w:rPr>
      </w:pPr>
      <w:r w:rsidRPr="002720D0">
        <w:rPr>
          <w:lang w:val="es-ES_tradnl"/>
        </w:rPr>
        <w:tab/>
      </w:r>
      <w:r w:rsidR="00151021" w:rsidRPr="002720D0">
        <w:rPr>
          <w:lang w:val="es-ES_tradnl"/>
        </w:rPr>
        <w:t>h)</w:t>
      </w:r>
      <w:r w:rsidRPr="002720D0">
        <w:rPr>
          <w:lang w:val="es-ES_tradnl"/>
        </w:rPr>
        <w:tab/>
      </w:r>
      <w:r w:rsidR="00151021" w:rsidRPr="002720D0">
        <w:rPr>
          <w:lang w:val="es-ES_tradnl"/>
        </w:rPr>
        <w:t>Prohibi</w:t>
      </w:r>
      <w:r w:rsidR="00493086">
        <w:rPr>
          <w:lang w:val="es-ES_tradnl"/>
        </w:rPr>
        <w:t>ción y asuntos conexos</w:t>
      </w:r>
    </w:p>
    <w:p w:rsidR="00151021" w:rsidRPr="002720D0" w:rsidRDefault="004F6364" w:rsidP="004F6364">
      <w:pPr>
        <w:pStyle w:val="SingleTxtG"/>
        <w:tabs>
          <w:tab w:val="left" w:pos="-360"/>
        </w:tabs>
        <w:rPr>
          <w:lang w:val="es-ES_tradnl"/>
        </w:rPr>
      </w:pPr>
      <w:r w:rsidRPr="002720D0">
        <w:rPr>
          <w:lang w:val="es-ES_tradnl"/>
        </w:rPr>
        <w:t>285.</w:t>
      </w:r>
      <w:r w:rsidRPr="002720D0">
        <w:rPr>
          <w:lang w:val="es-ES_tradnl"/>
        </w:rPr>
        <w:tab/>
      </w:r>
      <w:r w:rsidR="001E0B14" w:rsidRPr="002720D0">
        <w:rPr>
          <w:lang w:val="es-ES_tradnl"/>
        </w:rPr>
        <w:t>El Comité instó al Estado p</w:t>
      </w:r>
      <w:r w:rsidR="002C7E2A" w:rsidRPr="002720D0">
        <w:rPr>
          <w:lang w:val="es-ES_tradnl"/>
        </w:rPr>
        <w:t xml:space="preserve">arte a </w:t>
      </w:r>
      <w:r w:rsidR="007438DB" w:rsidRPr="002720D0">
        <w:rPr>
          <w:lang w:val="es-ES_tradnl"/>
        </w:rPr>
        <w:t xml:space="preserve">que </w:t>
      </w:r>
      <w:r w:rsidR="002C7E2A" w:rsidRPr="002720D0">
        <w:rPr>
          <w:lang w:val="es-ES_tradnl"/>
        </w:rPr>
        <w:t>agilizar</w:t>
      </w:r>
      <w:r w:rsidR="007438DB" w:rsidRPr="002720D0">
        <w:rPr>
          <w:lang w:val="es-ES_tradnl"/>
        </w:rPr>
        <w:t>a</w:t>
      </w:r>
      <w:r w:rsidR="002C7E2A" w:rsidRPr="002720D0">
        <w:rPr>
          <w:lang w:val="es-ES_tradnl"/>
        </w:rPr>
        <w:t xml:space="preserve"> sus procesos de revisión de la legislación con miras a </w:t>
      </w:r>
      <w:r w:rsidR="005C7C6B" w:rsidRPr="002720D0">
        <w:rPr>
          <w:lang w:val="es-ES_tradnl"/>
        </w:rPr>
        <w:t>dar efectividad a la prohibición de</w:t>
      </w:r>
      <w:r w:rsidR="002C7E2A" w:rsidRPr="002720D0">
        <w:rPr>
          <w:lang w:val="es-ES_tradnl"/>
        </w:rPr>
        <w:t xml:space="preserve"> los delitos contra los niños en </w:t>
      </w:r>
      <w:r w:rsidR="005C7C6B" w:rsidRPr="002720D0">
        <w:rPr>
          <w:lang w:val="es-ES_tradnl"/>
        </w:rPr>
        <w:t xml:space="preserve">virtud del Protocolo </w:t>
      </w:r>
      <w:r w:rsidR="00C45F16" w:rsidRPr="002720D0">
        <w:rPr>
          <w:lang w:val="es-ES_tradnl"/>
        </w:rPr>
        <w:t xml:space="preserve">facultativo </w:t>
      </w:r>
      <w:r w:rsidR="002C7E2A" w:rsidRPr="002720D0">
        <w:rPr>
          <w:lang w:val="es-ES_tradnl"/>
        </w:rPr>
        <w:t>y velar</w:t>
      </w:r>
      <w:r w:rsidR="007438DB" w:rsidRPr="002720D0">
        <w:rPr>
          <w:lang w:val="es-ES_tradnl"/>
        </w:rPr>
        <w:t>a</w:t>
      </w:r>
      <w:r w:rsidR="002C7E2A" w:rsidRPr="002720D0">
        <w:rPr>
          <w:lang w:val="es-ES_tradnl"/>
        </w:rPr>
        <w:t xml:space="preserve"> por que los autores de esos delitos, incluidos los propietarios de prostíbulos en el caso de la prostitución infantil, </w:t>
      </w:r>
      <w:r w:rsidR="007438DB" w:rsidRPr="002720D0">
        <w:rPr>
          <w:lang w:val="es-ES_tradnl"/>
        </w:rPr>
        <w:t>fueran</w:t>
      </w:r>
      <w:r w:rsidR="005C7C6B" w:rsidRPr="002720D0">
        <w:rPr>
          <w:lang w:val="es-ES_tradnl"/>
        </w:rPr>
        <w:t xml:space="preserve"> debidamente enjuiciados</w:t>
      </w:r>
      <w:r w:rsidR="002C7E2A" w:rsidRPr="002720D0">
        <w:rPr>
          <w:lang w:val="es-ES_tradnl"/>
        </w:rPr>
        <w:t>.</w:t>
      </w:r>
      <w:r w:rsidR="00151021"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286.</w:t>
      </w:r>
      <w:r w:rsidRPr="002720D0">
        <w:rPr>
          <w:lang w:val="es-ES_tradnl"/>
        </w:rPr>
        <w:tab/>
      </w:r>
      <w:r w:rsidR="002C7E2A" w:rsidRPr="002720D0">
        <w:rPr>
          <w:lang w:val="es-ES_tradnl"/>
        </w:rPr>
        <w:t>En el contexto de su cumplimiento de</w:t>
      </w:r>
      <w:r w:rsidR="005C7C6B" w:rsidRPr="002720D0">
        <w:rPr>
          <w:lang w:val="es-ES_tradnl"/>
        </w:rPr>
        <w:t xml:space="preserve"> esta recomendación, el Estado p</w:t>
      </w:r>
      <w:r w:rsidR="002C7E2A" w:rsidRPr="002720D0">
        <w:rPr>
          <w:lang w:val="es-ES_tradnl"/>
        </w:rPr>
        <w:t xml:space="preserve">arte promulgó en 2008 la Ley de </w:t>
      </w:r>
      <w:r w:rsidR="00654B55" w:rsidRPr="002720D0">
        <w:rPr>
          <w:lang w:val="es-ES_tradnl"/>
        </w:rPr>
        <w:t xml:space="preserve">Lucha </w:t>
      </w:r>
      <w:r w:rsidR="002C7E2A" w:rsidRPr="002720D0">
        <w:rPr>
          <w:lang w:val="es-ES_tradnl"/>
        </w:rPr>
        <w:t xml:space="preserve">contra la </w:t>
      </w:r>
      <w:r w:rsidR="00654B55" w:rsidRPr="002720D0">
        <w:rPr>
          <w:lang w:val="es-ES_tradnl"/>
        </w:rPr>
        <w:t xml:space="preserve">Trata </w:t>
      </w:r>
      <w:r w:rsidR="002C7E2A" w:rsidRPr="002720D0">
        <w:rPr>
          <w:lang w:val="es-ES_tradnl"/>
        </w:rPr>
        <w:t xml:space="preserve">de </w:t>
      </w:r>
      <w:r w:rsidR="00654B55" w:rsidRPr="002720D0">
        <w:rPr>
          <w:lang w:val="es-ES_tradnl"/>
        </w:rPr>
        <w:t>Personas</w:t>
      </w:r>
      <w:r w:rsidR="002C7E2A" w:rsidRPr="002720D0">
        <w:rPr>
          <w:lang w:val="es-ES_tradnl"/>
        </w:rPr>
        <w:t>, en la que se incorpora</w:t>
      </w:r>
      <w:r w:rsidR="00151021" w:rsidRPr="002720D0">
        <w:rPr>
          <w:lang w:val="es-ES_tradnl"/>
        </w:rPr>
        <w:t xml:space="preserve">n </w:t>
      </w:r>
      <w:r w:rsidR="002C7E2A" w:rsidRPr="002720D0">
        <w:rPr>
          <w:lang w:val="es-ES_tradnl"/>
        </w:rPr>
        <w:t>todos los delit</w:t>
      </w:r>
      <w:r w:rsidR="005C7C6B" w:rsidRPr="002720D0">
        <w:rPr>
          <w:lang w:val="es-ES_tradnl"/>
        </w:rPr>
        <w:t xml:space="preserve">os tipificados en el Protocolo </w:t>
      </w:r>
      <w:r w:rsidR="00C45F16" w:rsidRPr="002720D0">
        <w:rPr>
          <w:lang w:val="es-ES_tradnl"/>
        </w:rPr>
        <w:t xml:space="preserve">facultativo </w:t>
      </w:r>
      <w:r w:rsidR="002C7E2A" w:rsidRPr="002720D0">
        <w:rPr>
          <w:lang w:val="es-ES_tradnl"/>
        </w:rPr>
        <w:t>relativo a la venta de niños, la prostitución infantil y la utilización de niños en la pornografía</w:t>
      </w:r>
      <w:r w:rsidR="00151021" w:rsidRPr="002720D0">
        <w:rPr>
          <w:lang w:val="es-ES_tradnl"/>
        </w:rPr>
        <w:t>.</w:t>
      </w:r>
      <w:r w:rsidR="00BA1A90" w:rsidRPr="002720D0">
        <w:rPr>
          <w:lang w:val="es-ES_tradnl"/>
        </w:rPr>
        <w:t xml:space="preserve"> </w:t>
      </w:r>
    </w:p>
    <w:p w:rsidR="00151021" w:rsidRPr="002720D0" w:rsidRDefault="00FD142E" w:rsidP="009A30F3">
      <w:pPr>
        <w:pStyle w:val="H23G"/>
        <w:tabs>
          <w:tab w:val="left" w:pos="1560"/>
        </w:tabs>
        <w:outlineLvl w:val="0"/>
        <w:rPr>
          <w:lang w:val="es-ES_tradnl"/>
        </w:rPr>
      </w:pPr>
      <w:r w:rsidRPr="002720D0">
        <w:rPr>
          <w:lang w:val="es-ES_tradnl"/>
        </w:rPr>
        <w:tab/>
      </w:r>
      <w:r w:rsidR="002C7E2A" w:rsidRPr="002720D0">
        <w:rPr>
          <w:lang w:val="es-ES_tradnl"/>
        </w:rPr>
        <w:t>i</w:t>
      </w:r>
      <w:r w:rsidR="00151021" w:rsidRPr="002720D0">
        <w:rPr>
          <w:lang w:val="es-ES_tradnl"/>
        </w:rPr>
        <w:t>)</w:t>
      </w:r>
      <w:r w:rsidRPr="002720D0">
        <w:rPr>
          <w:lang w:val="es-ES_tradnl"/>
        </w:rPr>
        <w:tab/>
      </w:r>
      <w:r w:rsidR="00151021" w:rsidRPr="002720D0">
        <w:rPr>
          <w:lang w:val="es-ES_tradnl"/>
        </w:rPr>
        <w:t>Protec</w:t>
      </w:r>
      <w:r w:rsidR="009A30F3" w:rsidRPr="002720D0">
        <w:rPr>
          <w:lang w:val="es-ES_tradnl"/>
        </w:rPr>
        <w:t xml:space="preserve">ción de los derechos de </w:t>
      </w:r>
      <w:r w:rsidR="00493086">
        <w:rPr>
          <w:lang w:val="es-ES_tradnl"/>
        </w:rPr>
        <w:t>los niños víctimas</w:t>
      </w:r>
    </w:p>
    <w:p w:rsidR="00151021" w:rsidRPr="002720D0" w:rsidRDefault="004F6364" w:rsidP="004F6364">
      <w:pPr>
        <w:pStyle w:val="SingleTxtG"/>
        <w:tabs>
          <w:tab w:val="left" w:pos="-360"/>
        </w:tabs>
        <w:rPr>
          <w:lang w:val="es-ES_tradnl"/>
        </w:rPr>
      </w:pPr>
      <w:r w:rsidRPr="002720D0">
        <w:rPr>
          <w:lang w:val="es-ES_tradnl"/>
        </w:rPr>
        <w:t>287.</w:t>
      </w:r>
      <w:r w:rsidRPr="002720D0">
        <w:rPr>
          <w:lang w:val="es-ES_tradnl"/>
        </w:rPr>
        <w:tab/>
      </w:r>
      <w:r w:rsidR="000D1C91" w:rsidRPr="002720D0">
        <w:rPr>
          <w:lang w:val="es-ES_tradnl"/>
        </w:rPr>
        <w:t xml:space="preserve">El </w:t>
      </w:r>
      <w:r w:rsidR="005C7C6B" w:rsidRPr="002720D0">
        <w:rPr>
          <w:lang w:val="es-ES_tradnl"/>
        </w:rPr>
        <w:t>Comité recomendó que el Estado p</w:t>
      </w:r>
      <w:r w:rsidR="000D1C91" w:rsidRPr="002720D0">
        <w:rPr>
          <w:lang w:val="es-ES_tradnl"/>
        </w:rPr>
        <w:t xml:space="preserve">arte: </w:t>
      </w:r>
    </w:p>
    <w:p w:rsidR="00151021" w:rsidRPr="002720D0" w:rsidRDefault="00493086" w:rsidP="00493086">
      <w:pPr>
        <w:pStyle w:val="SingleTxtG"/>
        <w:rPr>
          <w:lang w:val="es-ES_tradnl"/>
        </w:rPr>
      </w:pPr>
      <w:r>
        <w:rPr>
          <w:lang w:val="es-ES_tradnl"/>
        </w:rPr>
        <w:tab/>
      </w:r>
      <w:r w:rsidR="00151021" w:rsidRPr="002720D0">
        <w:rPr>
          <w:lang w:val="es-ES_tradnl"/>
        </w:rPr>
        <w:t>a)</w:t>
      </w:r>
      <w:r w:rsidR="00FD142E" w:rsidRPr="002720D0">
        <w:rPr>
          <w:lang w:val="es-ES_tradnl"/>
        </w:rPr>
        <w:tab/>
      </w:r>
      <w:r w:rsidR="000D1C91" w:rsidRPr="002720D0">
        <w:rPr>
          <w:lang w:val="es-ES_tradnl"/>
        </w:rPr>
        <w:t xml:space="preserve">Velara por la protección de los </w:t>
      </w:r>
      <w:r w:rsidR="00151021" w:rsidRPr="002720D0">
        <w:rPr>
          <w:lang w:val="es-ES_tradnl"/>
        </w:rPr>
        <w:t>n</w:t>
      </w:r>
      <w:r w:rsidR="000D1C91" w:rsidRPr="002720D0">
        <w:rPr>
          <w:lang w:val="es-ES_tradnl"/>
        </w:rPr>
        <w:t>iños víctimas en todas las fases el proceso de justicia penal, con arreg</w:t>
      </w:r>
      <w:r w:rsidR="005C7C6B" w:rsidRPr="002720D0">
        <w:rPr>
          <w:lang w:val="es-ES_tradnl"/>
        </w:rPr>
        <w:t xml:space="preserve">lo al artículo 8 del Protocolo </w:t>
      </w:r>
      <w:r w:rsidR="00C45F16" w:rsidRPr="002720D0">
        <w:rPr>
          <w:lang w:val="es-ES_tradnl"/>
        </w:rPr>
        <w:t>facultativo</w:t>
      </w:r>
      <w:r w:rsidR="000D1C91" w:rsidRPr="002720D0">
        <w:rPr>
          <w:lang w:val="es-ES_tradnl"/>
        </w:rPr>
        <w:t>, y por que la consider</w:t>
      </w:r>
      <w:r w:rsidR="005C7C6B" w:rsidRPr="002720D0">
        <w:rPr>
          <w:lang w:val="es-ES_tradnl"/>
        </w:rPr>
        <w:t>a</w:t>
      </w:r>
      <w:r w:rsidR="000D1C91" w:rsidRPr="002720D0">
        <w:rPr>
          <w:lang w:val="es-ES_tradnl"/>
        </w:rPr>
        <w:t xml:space="preserve">ción primordial a que se </w:t>
      </w:r>
      <w:r w:rsidR="005C7C6B" w:rsidRPr="002720D0">
        <w:rPr>
          <w:lang w:val="es-ES_tradnl"/>
        </w:rPr>
        <w:t>atendiera fuera</w:t>
      </w:r>
      <w:r w:rsidR="000D1C91" w:rsidRPr="002720D0">
        <w:rPr>
          <w:lang w:val="es-ES_tradnl"/>
        </w:rPr>
        <w:t xml:space="preserve"> el interés superior del niñ</w:t>
      </w:r>
      <w:r w:rsidR="005C7C6B" w:rsidRPr="002720D0">
        <w:rPr>
          <w:lang w:val="es-ES_tradnl"/>
        </w:rPr>
        <w:t xml:space="preserve">o. En este contexto, el Estado </w:t>
      </w:r>
      <w:r w:rsidR="00305729" w:rsidRPr="002720D0">
        <w:rPr>
          <w:lang w:val="es-ES_tradnl"/>
        </w:rPr>
        <w:t xml:space="preserve">parte </w:t>
      </w:r>
      <w:r w:rsidR="005C7C6B" w:rsidRPr="002720D0">
        <w:rPr>
          <w:lang w:val="es-ES_tradnl"/>
        </w:rPr>
        <w:t>debería</w:t>
      </w:r>
      <w:r w:rsidR="000D1C91" w:rsidRPr="002720D0">
        <w:rPr>
          <w:lang w:val="es-ES_tradnl"/>
        </w:rPr>
        <w:t xml:space="preserve"> guiarse por las Directrices de las Naciones Unidas sobre la Justicia en Asuntos Concernientes a los Niños Víctimas y Testigos de Delitos </w:t>
      </w:r>
      <w:r w:rsidR="00151021" w:rsidRPr="002720D0">
        <w:rPr>
          <w:lang w:val="es-ES_tradnl"/>
        </w:rPr>
        <w:t>(ECOSOC</w:t>
      </w:r>
      <w:r w:rsidR="000D1C91" w:rsidRPr="002720D0">
        <w:rPr>
          <w:lang w:val="es-ES_tradnl"/>
        </w:rPr>
        <w:t>, R</w:t>
      </w:r>
      <w:r w:rsidR="00796188">
        <w:rPr>
          <w:lang w:val="es-ES_tradnl"/>
        </w:rPr>
        <w:t>es. </w:t>
      </w:r>
      <w:r>
        <w:rPr>
          <w:lang w:val="es-ES_tradnl"/>
        </w:rPr>
        <w:t>2005/20).</w:t>
      </w:r>
    </w:p>
    <w:p w:rsidR="00151021" w:rsidRPr="002720D0" w:rsidRDefault="006051B8" w:rsidP="006051B8">
      <w:pPr>
        <w:pStyle w:val="SingleTxtG"/>
        <w:rPr>
          <w:lang w:val="es-ES_tradnl"/>
        </w:rPr>
      </w:pPr>
      <w:r>
        <w:rPr>
          <w:lang w:val="es-ES_tradnl"/>
        </w:rPr>
        <w:tab/>
      </w:r>
      <w:r w:rsidR="00151021" w:rsidRPr="002720D0">
        <w:rPr>
          <w:lang w:val="es-ES_tradnl"/>
        </w:rPr>
        <w:t>b)</w:t>
      </w:r>
      <w:r w:rsidR="00FD142E" w:rsidRPr="002720D0">
        <w:rPr>
          <w:lang w:val="es-ES_tradnl"/>
        </w:rPr>
        <w:tab/>
      </w:r>
      <w:r w:rsidR="00255107" w:rsidRPr="002720D0">
        <w:rPr>
          <w:lang w:val="es-ES_tradnl"/>
        </w:rPr>
        <w:t xml:space="preserve">Adoptara todas las medidas necesarias para la asignación de recursos humanos y financieros suficientes con miras a mejorar la representación </w:t>
      </w:r>
      <w:r>
        <w:rPr>
          <w:lang w:val="es-ES_tradnl"/>
        </w:rPr>
        <w:t>jurídica de los niños víctimas.</w:t>
      </w:r>
    </w:p>
    <w:p w:rsidR="00151021" w:rsidRPr="002720D0" w:rsidRDefault="006051B8" w:rsidP="006051B8">
      <w:pPr>
        <w:pStyle w:val="SingleTxtG"/>
        <w:rPr>
          <w:lang w:val="es-ES_tradnl"/>
        </w:rPr>
      </w:pPr>
      <w:r>
        <w:rPr>
          <w:lang w:val="es-ES_tradnl"/>
        </w:rPr>
        <w:tab/>
      </w:r>
      <w:r w:rsidR="00151021" w:rsidRPr="002720D0">
        <w:rPr>
          <w:lang w:val="es-ES_tradnl"/>
        </w:rPr>
        <w:t>c)</w:t>
      </w:r>
      <w:r w:rsidR="00FD142E" w:rsidRPr="002720D0">
        <w:rPr>
          <w:lang w:val="es-ES_tradnl"/>
        </w:rPr>
        <w:tab/>
      </w:r>
      <w:r w:rsidR="007438DB" w:rsidRPr="002720D0">
        <w:rPr>
          <w:lang w:val="es-ES_tradnl"/>
        </w:rPr>
        <w:t>Velara por que todos los niños v</w:t>
      </w:r>
      <w:r w:rsidR="00255107" w:rsidRPr="002720D0">
        <w:rPr>
          <w:lang w:val="es-ES_tradnl"/>
        </w:rPr>
        <w:t>íctimas de los deli</w:t>
      </w:r>
      <w:r w:rsidR="005C7C6B" w:rsidRPr="002720D0">
        <w:rPr>
          <w:lang w:val="es-ES_tradnl"/>
        </w:rPr>
        <w:t xml:space="preserve">tos enunciados en el Protocolo </w:t>
      </w:r>
      <w:r w:rsidR="00C45F16" w:rsidRPr="002720D0">
        <w:rPr>
          <w:lang w:val="es-ES_tradnl"/>
        </w:rPr>
        <w:t xml:space="preserve">facultativo </w:t>
      </w:r>
      <w:r w:rsidR="007438DB" w:rsidRPr="002720D0">
        <w:rPr>
          <w:lang w:val="es-ES_tradnl"/>
        </w:rPr>
        <w:t>tuvieran</w:t>
      </w:r>
      <w:r w:rsidR="00255107" w:rsidRPr="002720D0">
        <w:rPr>
          <w:lang w:val="es-ES_tradnl"/>
        </w:rPr>
        <w:t xml:space="preserve"> acceso a procedimientos adecuados para obtener</w:t>
      </w:r>
      <w:r w:rsidR="005C7C6B" w:rsidRPr="002720D0">
        <w:rPr>
          <w:lang w:val="es-ES_tradnl"/>
        </w:rPr>
        <w:t>,</w:t>
      </w:r>
      <w:r w:rsidR="00255107" w:rsidRPr="002720D0">
        <w:rPr>
          <w:lang w:val="es-ES_tradnl"/>
        </w:rPr>
        <w:t xml:space="preserve"> sin</w:t>
      </w:r>
      <w:r w:rsidR="005C7C6B" w:rsidRPr="002720D0">
        <w:rPr>
          <w:lang w:val="es-ES_tradnl"/>
        </w:rPr>
        <w:t xml:space="preserve"> </w:t>
      </w:r>
      <w:r w:rsidR="00255107" w:rsidRPr="002720D0">
        <w:rPr>
          <w:lang w:val="es-ES_tradnl"/>
        </w:rPr>
        <w:t>discriminación</w:t>
      </w:r>
      <w:r w:rsidR="005C7C6B" w:rsidRPr="002720D0">
        <w:rPr>
          <w:lang w:val="es-ES_tradnl"/>
        </w:rPr>
        <w:t>,</w:t>
      </w:r>
      <w:r w:rsidR="00255107" w:rsidRPr="002720D0">
        <w:rPr>
          <w:lang w:val="es-ES_tradnl"/>
        </w:rPr>
        <w:t xml:space="preserve"> reparación </w:t>
      </w:r>
      <w:r w:rsidR="005C7C6B" w:rsidRPr="002720D0">
        <w:rPr>
          <w:lang w:val="es-ES_tradnl"/>
        </w:rPr>
        <w:t xml:space="preserve">de las personas legalmente responsables </w:t>
      </w:r>
      <w:r w:rsidR="00255107" w:rsidRPr="002720D0">
        <w:rPr>
          <w:lang w:val="es-ES_tradnl"/>
        </w:rPr>
        <w:t xml:space="preserve">por los daños sufridos, con arreglo al párrafo </w:t>
      </w:r>
      <w:r w:rsidR="005C7C6B" w:rsidRPr="002720D0">
        <w:rPr>
          <w:lang w:val="es-ES_tradnl"/>
        </w:rPr>
        <w:t xml:space="preserve">4 del artículo 9 del Protocolo </w:t>
      </w:r>
      <w:r w:rsidR="00C45F16" w:rsidRPr="002720D0">
        <w:rPr>
          <w:lang w:val="es-ES_tradnl"/>
        </w:rPr>
        <w:t>facultativo</w:t>
      </w:r>
      <w:r>
        <w:rPr>
          <w:lang w:val="es-ES_tradnl"/>
        </w:rPr>
        <w:t>.</w:t>
      </w:r>
    </w:p>
    <w:p w:rsidR="00151021" w:rsidRPr="002720D0" w:rsidRDefault="00BF1D0B" w:rsidP="00BF1D0B">
      <w:pPr>
        <w:pStyle w:val="SingleTxtG"/>
        <w:rPr>
          <w:lang w:val="es-ES_tradnl"/>
        </w:rPr>
      </w:pPr>
      <w:r>
        <w:rPr>
          <w:lang w:val="es-ES_tradnl"/>
        </w:rPr>
        <w:tab/>
      </w:r>
      <w:r w:rsidR="00151021" w:rsidRPr="002720D0">
        <w:rPr>
          <w:lang w:val="es-ES_tradnl"/>
        </w:rPr>
        <w:t>d)</w:t>
      </w:r>
      <w:r w:rsidR="0082715D" w:rsidRPr="002720D0">
        <w:rPr>
          <w:lang w:val="es-ES_tradnl"/>
        </w:rPr>
        <w:tab/>
      </w:r>
      <w:r w:rsidR="00255107" w:rsidRPr="002720D0">
        <w:rPr>
          <w:lang w:val="es-ES_tradnl"/>
        </w:rPr>
        <w:t>Utilizara procedimientos adaptados a lo</w:t>
      </w:r>
      <w:r w:rsidR="005C7C6B" w:rsidRPr="002720D0">
        <w:rPr>
          <w:lang w:val="es-ES_tradnl"/>
        </w:rPr>
        <w:t>s niños para protegerlo</w:t>
      </w:r>
      <w:r w:rsidR="00255107" w:rsidRPr="002720D0">
        <w:rPr>
          <w:lang w:val="es-ES_tradnl"/>
        </w:rPr>
        <w:t xml:space="preserve">s de experiencias traumatizantes durante el proceso </w:t>
      </w:r>
      <w:r w:rsidR="00A22638" w:rsidRPr="002720D0">
        <w:rPr>
          <w:lang w:val="es-ES_tradnl"/>
        </w:rPr>
        <w:t xml:space="preserve">de justicia, por ejemplo, celebrando las entrevistas con niños en salas especiales, aplicando </w:t>
      </w:r>
      <w:r w:rsidR="005C7C6B" w:rsidRPr="002720D0">
        <w:rPr>
          <w:lang w:val="es-ES_tradnl"/>
        </w:rPr>
        <w:t>en los interrogatorios métodos</w:t>
      </w:r>
      <w:r w:rsidR="00A22638" w:rsidRPr="002720D0">
        <w:rPr>
          <w:lang w:val="es-ES_tradnl"/>
        </w:rPr>
        <w:t xml:space="preserve"> adaptados a la psicología infantil, y reduciendo el número de entrevistas, declaraciones y vistas.</w:t>
      </w:r>
      <w:r w:rsidR="00A22638" w:rsidRPr="002720D0">
        <w:rPr>
          <w:rFonts w:ascii="Arial" w:hAnsi="Arial" w:cs="Arial"/>
          <w:color w:val="2E2E2E"/>
          <w:sz w:val="24"/>
          <w:szCs w:val="24"/>
          <w:lang w:val="es-ES_tradnl" w:eastAsia="es-ES"/>
        </w:rPr>
        <w:t xml:space="preserve"> </w:t>
      </w:r>
    </w:p>
    <w:p w:rsidR="00151021" w:rsidRPr="002720D0" w:rsidRDefault="004F6364" w:rsidP="004F6364">
      <w:pPr>
        <w:pStyle w:val="SingleTxtG"/>
        <w:tabs>
          <w:tab w:val="left" w:pos="-360"/>
        </w:tabs>
        <w:rPr>
          <w:lang w:val="es-ES_tradnl"/>
        </w:rPr>
      </w:pPr>
      <w:r w:rsidRPr="002720D0">
        <w:rPr>
          <w:lang w:val="es-ES_tradnl"/>
        </w:rPr>
        <w:t>288.</w:t>
      </w:r>
      <w:r w:rsidRPr="002720D0">
        <w:rPr>
          <w:lang w:val="es-ES_tradnl"/>
        </w:rPr>
        <w:tab/>
      </w:r>
      <w:r w:rsidR="005C7C6B" w:rsidRPr="002720D0">
        <w:rPr>
          <w:lang w:val="es-ES_tradnl"/>
        </w:rPr>
        <w:t xml:space="preserve">El Estado parte ha atendido </w:t>
      </w:r>
      <w:r w:rsidR="00A22638" w:rsidRPr="002720D0">
        <w:rPr>
          <w:lang w:val="es-ES_tradnl"/>
        </w:rPr>
        <w:t xml:space="preserve">estas recomendaciones mediante la </w:t>
      </w:r>
      <w:r w:rsidR="002720D0" w:rsidRPr="002720D0">
        <w:rPr>
          <w:lang w:val="es-ES_tradnl"/>
        </w:rPr>
        <w:t>promulgación</w:t>
      </w:r>
      <w:r w:rsidR="005C7C6B" w:rsidRPr="002720D0">
        <w:rPr>
          <w:lang w:val="es-ES_tradnl"/>
        </w:rPr>
        <w:t>,</w:t>
      </w:r>
      <w:r w:rsidR="00A22638" w:rsidRPr="002720D0">
        <w:rPr>
          <w:lang w:val="es-ES_tradnl"/>
        </w:rPr>
        <w:t xml:space="preserve"> en la Ley de </w:t>
      </w:r>
      <w:r w:rsidR="00654B55" w:rsidRPr="002720D0">
        <w:rPr>
          <w:lang w:val="es-ES_tradnl"/>
        </w:rPr>
        <w:t xml:space="preserve">Lucha </w:t>
      </w:r>
      <w:r w:rsidR="00A22638" w:rsidRPr="002720D0">
        <w:rPr>
          <w:lang w:val="es-ES_tradnl"/>
        </w:rPr>
        <w:t xml:space="preserve">contra la </w:t>
      </w:r>
      <w:r w:rsidR="00654B55" w:rsidRPr="002720D0">
        <w:rPr>
          <w:lang w:val="es-ES_tradnl"/>
        </w:rPr>
        <w:t xml:space="preserve">Trata </w:t>
      </w:r>
      <w:r w:rsidR="00A22638" w:rsidRPr="002720D0">
        <w:rPr>
          <w:lang w:val="es-ES_tradnl"/>
        </w:rPr>
        <w:t xml:space="preserve">de </w:t>
      </w:r>
      <w:r w:rsidR="00654B55" w:rsidRPr="002720D0">
        <w:rPr>
          <w:lang w:val="es-ES_tradnl"/>
        </w:rPr>
        <w:t xml:space="preserve">Personas </w:t>
      </w:r>
      <w:r w:rsidR="00A22638" w:rsidRPr="002720D0">
        <w:rPr>
          <w:lang w:val="es-ES_tradnl"/>
        </w:rPr>
        <w:t>de 2008</w:t>
      </w:r>
      <w:r w:rsidR="005C7C6B" w:rsidRPr="002720D0">
        <w:rPr>
          <w:lang w:val="es-ES_tradnl"/>
        </w:rPr>
        <w:t>,</w:t>
      </w:r>
      <w:r w:rsidR="00A22638" w:rsidRPr="002720D0">
        <w:rPr>
          <w:lang w:val="es-ES_tradnl"/>
        </w:rPr>
        <w:t xml:space="preserve"> de unas disposiciones que velan por que se indemnice a las víctimas de la trata de seres humanos</w:t>
      </w:r>
      <w:r w:rsidR="00151021" w:rsidRPr="002720D0">
        <w:rPr>
          <w:rStyle w:val="FootnoteReference"/>
          <w:lang w:val="es-ES_tradnl"/>
        </w:rPr>
        <w:footnoteReference w:id="113"/>
      </w:r>
      <w:r w:rsidR="00A22638" w:rsidRPr="002720D0">
        <w:rPr>
          <w:lang w:val="es-ES_tradnl"/>
        </w:rPr>
        <w:t>, y por que las instituciones públicas apropiad</w:t>
      </w:r>
      <w:r w:rsidR="007438DB" w:rsidRPr="002720D0">
        <w:rPr>
          <w:lang w:val="es-ES_tradnl"/>
        </w:rPr>
        <w:t>a</w:t>
      </w:r>
      <w:r w:rsidR="00A22638" w:rsidRPr="002720D0">
        <w:rPr>
          <w:lang w:val="es-ES_tradnl"/>
        </w:rPr>
        <w:t xml:space="preserve">s les presten cuidados y </w:t>
      </w:r>
      <w:r w:rsidR="002720D0" w:rsidRPr="002720D0">
        <w:rPr>
          <w:lang w:val="es-ES_tradnl"/>
        </w:rPr>
        <w:t>rehabilitación</w:t>
      </w:r>
      <w:r w:rsidR="00151021" w:rsidRPr="002720D0">
        <w:rPr>
          <w:rStyle w:val="FootnoteReference"/>
          <w:lang w:val="es-ES_tradnl"/>
        </w:rPr>
        <w:footnoteReference w:id="114"/>
      </w:r>
      <w:r w:rsidR="00A22638" w:rsidRPr="002720D0">
        <w:rPr>
          <w:lang w:val="es-ES_tradnl"/>
        </w:rPr>
        <w:t xml:space="preserve">; </w:t>
      </w:r>
      <w:r w:rsidR="007438DB" w:rsidRPr="002720D0">
        <w:rPr>
          <w:lang w:val="es-ES_tradnl"/>
        </w:rPr>
        <w:t>y cuando la</w:t>
      </w:r>
      <w:r w:rsidR="00A22638" w:rsidRPr="002720D0">
        <w:rPr>
          <w:lang w:val="es-ES_tradnl"/>
        </w:rPr>
        <w:t xml:space="preserve"> víctima fuera un niño o una persona con discapacidad, por que se le brinde</w:t>
      </w:r>
      <w:r w:rsidR="005C7C6B" w:rsidRPr="002720D0">
        <w:rPr>
          <w:lang w:val="es-ES_tradnl"/>
        </w:rPr>
        <w:t>n</w:t>
      </w:r>
      <w:r w:rsidR="00A22638" w:rsidRPr="002720D0">
        <w:rPr>
          <w:lang w:val="es-ES_tradnl"/>
        </w:rPr>
        <w:t xml:space="preserve"> protección, asistencia y cuidados especiales con arreglo a su vulnerabilidad o a la naturaleza de la discapacidad</w:t>
      </w:r>
      <w:r w:rsidR="00151021" w:rsidRPr="002720D0">
        <w:rPr>
          <w:rStyle w:val="FootnoteReference"/>
          <w:lang w:val="es-ES_tradnl"/>
        </w:rPr>
        <w:footnoteReference w:id="115"/>
      </w:r>
      <w:r w:rsidR="00A22638" w:rsidRPr="002720D0">
        <w:rPr>
          <w:lang w:val="es-ES_tradnl"/>
        </w:rPr>
        <w:t>.</w:t>
      </w:r>
    </w:p>
    <w:p w:rsidR="00151021" w:rsidRPr="002720D0" w:rsidRDefault="00FD142E" w:rsidP="00586395">
      <w:pPr>
        <w:pStyle w:val="H23G"/>
        <w:outlineLvl w:val="0"/>
        <w:rPr>
          <w:lang w:val="es-ES_tradnl"/>
        </w:rPr>
      </w:pPr>
      <w:r w:rsidRPr="002720D0">
        <w:rPr>
          <w:lang w:val="es-ES_tradnl"/>
        </w:rPr>
        <w:tab/>
      </w:r>
      <w:r w:rsidR="00151021" w:rsidRPr="002720D0">
        <w:rPr>
          <w:lang w:val="es-ES_tradnl"/>
        </w:rPr>
        <w:t>j)</w:t>
      </w:r>
      <w:r w:rsidRPr="002720D0">
        <w:rPr>
          <w:lang w:val="es-ES_tradnl"/>
        </w:rPr>
        <w:tab/>
      </w:r>
      <w:r w:rsidR="00151021" w:rsidRPr="002720D0">
        <w:rPr>
          <w:lang w:val="es-ES_tradnl"/>
        </w:rPr>
        <w:t>Rec</w:t>
      </w:r>
      <w:r w:rsidR="00310A54" w:rsidRPr="002720D0">
        <w:rPr>
          <w:lang w:val="es-ES_tradnl"/>
        </w:rPr>
        <w:t xml:space="preserve">uperación </w:t>
      </w:r>
      <w:r w:rsidR="00BF1D0B">
        <w:rPr>
          <w:lang w:val="es-ES_tradnl"/>
        </w:rPr>
        <w:t>y reintegración de las víctimas</w:t>
      </w:r>
    </w:p>
    <w:p w:rsidR="00151021" w:rsidRPr="002720D0" w:rsidRDefault="004F6364" w:rsidP="004F6364">
      <w:pPr>
        <w:pStyle w:val="SingleTxtG"/>
        <w:tabs>
          <w:tab w:val="left" w:pos="-360"/>
        </w:tabs>
        <w:rPr>
          <w:lang w:val="es-ES_tradnl"/>
        </w:rPr>
      </w:pPr>
      <w:r w:rsidRPr="002720D0">
        <w:rPr>
          <w:lang w:val="es-ES_tradnl"/>
        </w:rPr>
        <w:t>289.</w:t>
      </w:r>
      <w:r w:rsidRPr="002720D0">
        <w:rPr>
          <w:lang w:val="es-ES_tradnl"/>
        </w:rPr>
        <w:tab/>
      </w:r>
      <w:r w:rsidR="00310A54" w:rsidRPr="002720D0">
        <w:rPr>
          <w:lang w:val="es-ES_tradnl"/>
        </w:rPr>
        <w:t xml:space="preserve">En sus Observaciones finales </w:t>
      </w:r>
      <w:r w:rsidR="005C7C6B" w:rsidRPr="002720D0">
        <w:rPr>
          <w:lang w:val="es-ES_tradnl"/>
        </w:rPr>
        <w:t>relativas al</w:t>
      </w:r>
      <w:r w:rsidR="00310A54" w:rsidRPr="002720D0">
        <w:rPr>
          <w:lang w:val="es-ES_tradnl"/>
        </w:rPr>
        <w:t xml:space="preserve"> informe inicial del Estado parte sobre el Protocolo facultativo relativo a la venta de niños, la prostitución infantil y la utilización de niños en la pornografía, el Comité exhortó al Estado parte a que: </w:t>
      </w:r>
    </w:p>
    <w:p w:rsidR="00151021" w:rsidRPr="002720D0" w:rsidRDefault="00BF1D0B" w:rsidP="00BF1D0B">
      <w:pPr>
        <w:pStyle w:val="SingleTxtG"/>
        <w:rPr>
          <w:lang w:val="es-ES_tradnl"/>
        </w:rPr>
      </w:pPr>
      <w:r>
        <w:rPr>
          <w:lang w:val="es-ES_tradnl"/>
        </w:rPr>
        <w:tab/>
      </w:r>
      <w:r w:rsidR="00151021" w:rsidRPr="002720D0">
        <w:rPr>
          <w:lang w:val="es-ES_tradnl"/>
        </w:rPr>
        <w:t>a)</w:t>
      </w:r>
      <w:r w:rsidR="00FD142E" w:rsidRPr="002720D0">
        <w:rPr>
          <w:lang w:val="es-ES_tradnl"/>
        </w:rPr>
        <w:tab/>
      </w:r>
      <w:r w:rsidR="00310A54" w:rsidRPr="002720D0">
        <w:rPr>
          <w:lang w:val="es-ES_tradnl"/>
        </w:rPr>
        <w:t>Velara por que se asignaran recursos suficientes para asegurar la asistencia a todos los niños y niñas víctimas, comprendidos los necesarios para lograr su plena reintegración social y su plena recuperación física y psicológica, de conformidad con el párrafo 3 del artículo 9 d</w:t>
      </w:r>
      <w:r w:rsidR="005C7C6B" w:rsidRPr="002720D0">
        <w:rPr>
          <w:lang w:val="es-ES_tradnl"/>
        </w:rPr>
        <w:t xml:space="preserve">el Protocolo </w:t>
      </w:r>
      <w:r w:rsidR="00C45F16" w:rsidRPr="002720D0">
        <w:rPr>
          <w:lang w:val="es-ES_tradnl"/>
        </w:rPr>
        <w:t>facultativo</w:t>
      </w:r>
      <w:r w:rsidR="00310A54" w:rsidRPr="002720D0">
        <w:rPr>
          <w:lang w:val="es-ES_tradnl"/>
        </w:rPr>
        <w:t xml:space="preserve">; y </w:t>
      </w:r>
    </w:p>
    <w:p w:rsidR="00151021" w:rsidRPr="002720D0" w:rsidRDefault="00BF1D0B" w:rsidP="00BF1D0B">
      <w:pPr>
        <w:pStyle w:val="SingleTxtG"/>
        <w:rPr>
          <w:lang w:val="es-ES_tradnl"/>
        </w:rPr>
      </w:pPr>
      <w:r>
        <w:rPr>
          <w:lang w:val="es-ES_tradnl"/>
        </w:rPr>
        <w:tab/>
      </w:r>
      <w:r w:rsidR="00151021" w:rsidRPr="002720D0">
        <w:rPr>
          <w:lang w:val="es-ES_tradnl"/>
        </w:rPr>
        <w:t>b)</w:t>
      </w:r>
      <w:r w:rsidR="00FD142E" w:rsidRPr="002720D0">
        <w:rPr>
          <w:lang w:val="es-ES_tradnl"/>
        </w:rPr>
        <w:tab/>
      </w:r>
      <w:r w:rsidR="003C43B8" w:rsidRPr="002720D0">
        <w:rPr>
          <w:lang w:val="es-ES_tradnl"/>
        </w:rPr>
        <w:t>Adoptara medidas para asegurar una formación apropiada, particularmente en los ámbitos jurídico y psicológico, de las personas que trabajen con víctimas de los delitos proh</w:t>
      </w:r>
      <w:r w:rsidR="005C7C6B" w:rsidRPr="002720D0">
        <w:rPr>
          <w:lang w:val="es-ES_tradnl"/>
        </w:rPr>
        <w:t xml:space="preserve">ibidos en virtud del Protocolo </w:t>
      </w:r>
      <w:r w:rsidR="00C45F16" w:rsidRPr="002720D0">
        <w:rPr>
          <w:lang w:val="es-ES_tradnl"/>
        </w:rPr>
        <w:t>facultativo</w:t>
      </w:r>
      <w:r w:rsidR="003C43B8" w:rsidRPr="002720D0">
        <w:rPr>
          <w:lang w:val="es-ES_tradnl"/>
        </w:rPr>
        <w:t xml:space="preserve">, de conformidad con el párrafo 4 de su artículo 8. </w:t>
      </w:r>
    </w:p>
    <w:p w:rsidR="00151021" w:rsidRPr="002720D0" w:rsidRDefault="004F6364" w:rsidP="004F6364">
      <w:pPr>
        <w:pStyle w:val="SingleTxtG"/>
        <w:tabs>
          <w:tab w:val="left" w:pos="-360"/>
        </w:tabs>
        <w:rPr>
          <w:lang w:val="es-ES_tradnl"/>
        </w:rPr>
      </w:pPr>
      <w:r w:rsidRPr="002720D0">
        <w:rPr>
          <w:lang w:val="es-ES_tradnl"/>
        </w:rPr>
        <w:t>290.</w:t>
      </w:r>
      <w:r w:rsidRPr="002720D0">
        <w:rPr>
          <w:lang w:val="es-ES_tradnl"/>
        </w:rPr>
        <w:tab/>
      </w:r>
      <w:r w:rsidR="003C43B8" w:rsidRPr="002720D0">
        <w:rPr>
          <w:lang w:val="es-ES_tradnl"/>
        </w:rPr>
        <w:t xml:space="preserve">En aras de </w:t>
      </w:r>
      <w:r w:rsidR="005C7C6B" w:rsidRPr="002720D0">
        <w:rPr>
          <w:lang w:val="es-ES_tradnl"/>
        </w:rPr>
        <w:t>lograr</w:t>
      </w:r>
      <w:r w:rsidR="003C43B8" w:rsidRPr="002720D0">
        <w:rPr>
          <w:lang w:val="es-ES_tradnl"/>
        </w:rPr>
        <w:t xml:space="preserve"> el pleno cumplimiento de las recomendac</w:t>
      </w:r>
      <w:r w:rsidR="005C7C6B" w:rsidRPr="002720D0">
        <w:rPr>
          <w:lang w:val="es-ES_tradnl"/>
        </w:rPr>
        <w:t>iones que anteceden, el Estado p</w:t>
      </w:r>
      <w:r w:rsidR="003C43B8" w:rsidRPr="002720D0">
        <w:rPr>
          <w:lang w:val="es-ES_tradnl"/>
        </w:rPr>
        <w:t xml:space="preserve">arte ha promulgado, en la Ley de </w:t>
      </w:r>
      <w:r w:rsidR="004F55C2" w:rsidRPr="002720D0">
        <w:rPr>
          <w:lang w:val="es-ES_tradnl"/>
        </w:rPr>
        <w:t xml:space="preserve">Lucha </w:t>
      </w:r>
      <w:r w:rsidR="003C43B8" w:rsidRPr="002720D0">
        <w:rPr>
          <w:lang w:val="es-ES_tradnl"/>
        </w:rPr>
        <w:t xml:space="preserve">contra la </w:t>
      </w:r>
      <w:r w:rsidR="004F55C2" w:rsidRPr="002720D0">
        <w:rPr>
          <w:lang w:val="es-ES_tradnl"/>
        </w:rPr>
        <w:t xml:space="preserve">Trata </w:t>
      </w:r>
      <w:r w:rsidR="003C43B8" w:rsidRPr="002720D0">
        <w:rPr>
          <w:lang w:val="es-ES_tradnl"/>
        </w:rPr>
        <w:t xml:space="preserve">de </w:t>
      </w:r>
      <w:r w:rsidR="004F55C2" w:rsidRPr="002720D0">
        <w:rPr>
          <w:lang w:val="es-ES_tradnl"/>
        </w:rPr>
        <w:t>Personas</w:t>
      </w:r>
      <w:r w:rsidR="003C43B8" w:rsidRPr="002720D0">
        <w:rPr>
          <w:lang w:val="es-ES_tradnl"/>
        </w:rPr>
        <w:t>, disposiciones que otorgan fuerza de ley al requisito de repatriación de las víctimas de la trata de seres humanos y su reintegración a su sociedad</w:t>
      </w:r>
      <w:r w:rsidR="00151021" w:rsidRPr="002720D0">
        <w:rPr>
          <w:rStyle w:val="FootnoteReference"/>
          <w:lang w:val="es-ES_tradnl"/>
        </w:rPr>
        <w:footnoteReference w:id="116"/>
      </w:r>
      <w:r w:rsidR="003C43B8" w:rsidRPr="002720D0">
        <w:rPr>
          <w:lang w:val="es-ES_tradnl"/>
        </w:rPr>
        <w:t>;</w:t>
      </w:r>
      <w:r w:rsidR="00151021" w:rsidRPr="002720D0">
        <w:rPr>
          <w:lang w:val="es-ES_tradnl"/>
        </w:rPr>
        <w:t xml:space="preserve"> o</w:t>
      </w:r>
      <w:r w:rsidR="003C43B8" w:rsidRPr="002720D0">
        <w:rPr>
          <w:lang w:val="es-ES_tradnl"/>
        </w:rPr>
        <w:t>, cuando la víctima fuera extranjera, su devolución a su país de residencia</w:t>
      </w:r>
      <w:r w:rsidR="00151021" w:rsidRPr="002720D0">
        <w:rPr>
          <w:rStyle w:val="FootnoteReference"/>
          <w:lang w:val="es-ES_tradnl"/>
        </w:rPr>
        <w:footnoteReference w:id="117"/>
      </w:r>
      <w:r w:rsidR="003C43B8" w:rsidRPr="002720D0">
        <w:rPr>
          <w:lang w:val="es-ES_tradnl"/>
        </w:rPr>
        <w:t xml:space="preserve">. En particular, </w:t>
      </w:r>
      <w:r w:rsidR="00CF6E13" w:rsidRPr="002720D0">
        <w:rPr>
          <w:lang w:val="es-ES_tradnl"/>
        </w:rPr>
        <w:t xml:space="preserve">en su artículo 22 </w:t>
      </w:r>
      <w:r w:rsidR="003C43B8" w:rsidRPr="002720D0">
        <w:rPr>
          <w:lang w:val="es-ES_tradnl"/>
        </w:rPr>
        <w:t xml:space="preserve">esta ley </w:t>
      </w:r>
      <w:r w:rsidR="00CF6E13" w:rsidRPr="002720D0">
        <w:rPr>
          <w:lang w:val="es-ES_tradnl"/>
        </w:rPr>
        <w:t>entraña</w:t>
      </w:r>
      <w:r w:rsidR="003C43B8" w:rsidRPr="002720D0">
        <w:rPr>
          <w:lang w:val="es-ES_tradnl"/>
        </w:rPr>
        <w:t xml:space="preserve"> disposiciones especiales relativas a la repatriación de los niños a s</w:t>
      </w:r>
      <w:r w:rsidR="00CF6E13" w:rsidRPr="002720D0">
        <w:rPr>
          <w:lang w:val="es-ES_tradnl"/>
        </w:rPr>
        <w:t>us comunidades</w:t>
      </w:r>
      <w:r w:rsidR="003C43B8" w:rsidRPr="002720D0">
        <w:rPr>
          <w:lang w:val="es-ES_tradnl"/>
        </w:rPr>
        <w:t xml:space="preserve">. El Estado </w:t>
      </w:r>
      <w:r w:rsidR="00CF6E13" w:rsidRPr="002720D0">
        <w:rPr>
          <w:lang w:val="es-ES_tradnl"/>
        </w:rPr>
        <w:t>p</w:t>
      </w:r>
      <w:r w:rsidR="007438DB" w:rsidRPr="002720D0">
        <w:rPr>
          <w:lang w:val="es-ES_tradnl"/>
        </w:rPr>
        <w:t>arte ha impartido formación a los funcionarios que trabajan con</w:t>
      </w:r>
      <w:r w:rsidR="001D2A53">
        <w:rPr>
          <w:lang w:val="es-ES_tradnl"/>
        </w:rPr>
        <w:t xml:space="preserve"> </w:t>
      </w:r>
      <w:r w:rsidR="007438DB" w:rsidRPr="002720D0">
        <w:rPr>
          <w:lang w:val="es-ES_tradnl"/>
        </w:rPr>
        <w:t>la Unidad de Trata de Seres Humanos así como con el Departamento de Bienestar Social</w:t>
      </w:r>
      <w:r w:rsidR="00CF6E13" w:rsidRPr="002720D0">
        <w:rPr>
          <w:lang w:val="es-ES_tradnl"/>
        </w:rPr>
        <w:t>,</w:t>
      </w:r>
      <w:r w:rsidR="007438DB" w:rsidRPr="002720D0">
        <w:rPr>
          <w:lang w:val="es-ES_tradnl"/>
        </w:rPr>
        <w:t xml:space="preserve"> como medida preparatoria </w:t>
      </w:r>
      <w:r w:rsidR="00CF6E13" w:rsidRPr="002720D0">
        <w:rPr>
          <w:lang w:val="es-ES_tradnl"/>
        </w:rPr>
        <w:t>previa a</w:t>
      </w:r>
      <w:r w:rsidR="007438DB" w:rsidRPr="002720D0">
        <w:rPr>
          <w:lang w:val="es-ES_tradnl"/>
        </w:rPr>
        <w:t xml:space="preserve"> la creación de un mecanismo nacional de respuesta para las víctimas de la trata. </w:t>
      </w:r>
    </w:p>
    <w:p w:rsidR="00151021" w:rsidRPr="002720D0" w:rsidRDefault="00D16814" w:rsidP="00586395">
      <w:pPr>
        <w:pStyle w:val="H23G"/>
        <w:outlineLvl w:val="0"/>
        <w:rPr>
          <w:lang w:val="es-ES_tradnl"/>
        </w:rPr>
      </w:pPr>
      <w:r w:rsidRPr="002720D0">
        <w:rPr>
          <w:lang w:val="es-ES_tradnl"/>
        </w:rPr>
        <w:tab/>
      </w:r>
      <w:r w:rsidR="00151021" w:rsidRPr="002720D0">
        <w:rPr>
          <w:lang w:val="es-ES_tradnl"/>
        </w:rPr>
        <w:t>k)</w:t>
      </w:r>
      <w:r w:rsidRPr="002720D0">
        <w:rPr>
          <w:lang w:val="es-ES_tradnl"/>
        </w:rPr>
        <w:tab/>
      </w:r>
      <w:r w:rsidR="007438DB" w:rsidRPr="002720D0">
        <w:rPr>
          <w:lang w:val="es-ES_tradnl"/>
        </w:rPr>
        <w:t>Servicio telefónico de asistencia a la infancia</w:t>
      </w:r>
    </w:p>
    <w:p w:rsidR="003168D4" w:rsidRPr="002720D0" w:rsidRDefault="004F6364" w:rsidP="004F6364">
      <w:pPr>
        <w:pStyle w:val="SingleTxtG"/>
        <w:tabs>
          <w:tab w:val="left" w:pos="-360"/>
        </w:tabs>
        <w:rPr>
          <w:lang w:val="es-ES_tradnl"/>
        </w:rPr>
      </w:pPr>
      <w:r w:rsidRPr="002720D0">
        <w:rPr>
          <w:lang w:val="es-ES_tradnl"/>
        </w:rPr>
        <w:t>291.</w:t>
      </w:r>
      <w:r w:rsidRPr="002720D0">
        <w:rPr>
          <w:lang w:val="es-ES_tradnl"/>
        </w:rPr>
        <w:tab/>
      </w:r>
      <w:r w:rsidR="007438DB" w:rsidRPr="002720D0">
        <w:rPr>
          <w:lang w:val="es-ES_tradnl"/>
        </w:rPr>
        <w:t>El Comité celebró la información proporcionad</w:t>
      </w:r>
      <w:r w:rsidR="006729F5" w:rsidRPr="002720D0">
        <w:rPr>
          <w:lang w:val="es-ES_tradnl"/>
        </w:rPr>
        <w:t>a por la delegación del Estado p</w:t>
      </w:r>
      <w:r w:rsidR="007438DB" w:rsidRPr="002720D0">
        <w:rPr>
          <w:lang w:val="es-ES_tradnl"/>
        </w:rPr>
        <w:t>arte a efectos de la creación prevista de un servicio telefónico de asistencia a la i</w:t>
      </w:r>
      <w:r w:rsidR="003168D4" w:rsidRPr="002720D0">
        <w:rPr>
          <w:lang w:val="es-ES_tradnl"/>
        </w:rPr>
        <w:t>nfancia, y recomendó que se asi</w:t>
      </w:r>
      <w:r w:rsidR="007438DB" w:rsidRPr="002720D0">
        <w:rPr>
          <w:lang w:val="es-ES_tradnl"/>
        </w:rPr>
        <w:t xml:space="preserve">gnara a ese servicio </w:t>
      </w:r>
      <w:r w:rsidR="003168D4" w:rsidRPr="002720D0">
        <w:rPr>
          <w:lang w:val="es-ES_tradnl"/>
        </w:rPr>
        <w:t>una línea gratuita, con un número de tres dígitos, que funcion</w:t>
      </w:r>
      <w:r w:rsidR="006729F5" w:rsidRPr="002720D0">
        <w:rPr>
          <w:lang w:val="es-ES_tradnl"/>
        </w:rPr>
        <w:t>as</w:t>
      </w:r>
      <w:r w:rsidR="003168D4" w:rsidRPr="002720D0">
        <w:rPr>
          <w:lang w:val="es-ES_tradnl"/>
        </w:rPr>
        <w:t>e las 24 horas del día para asistir a los niños víctimas.</w:t>
      </w:r>
      <w:r w:rsidR="001D2A53">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292.</w:t>
      </w:r>
      <w:r w:rsidRPr="002720D0">
        <w:rPr>
          <w:lang w:val="es-ES_tradnl"/>
        </w:rPr>
        <w:tab/>
      </w:r>
      <w:r w:rsidR="006729F5" w:rsidRPr="002720D0">
        <w:rPr>
          <w:lang w:val="es-ES_tradnl"/>
        </w:rPr>
        <w:t>El Estado p</w:t>
      </w:r>
      <w:r w:rsidR="003168D4" w:rsidRPr="002720D0">
        <w:rPr>
          <w:lang w:val="es-ES_tradnl"/>
        </w:rPr>
        <w:t>arte ha finalizado la creación del servicio telefónico de asistencia a la infancia, que ya cuenta con un número asignado por la Autoridad Reguladora de las</w:t>
      </w:r>
      <w:r w:rsidR="00E3018C">
        <w:rPr>
          <w:lang w:val="es-ES_tradnl"/>
        </w:rPr>
        <w:t xml:space="preserve"> Comunicaciones de Tanzanía, </w:t>
      </w:r>
      <w:r w:rsidR="003168D4" w:rsidRPr="002720D0">
        <w:rPr>
          <w:lang w:val="es-ES_tradnl"/>
        </w:rPr>
        <w:t xml:space="preserve">entidad encargada de regular y vigilar a los proveedores de servicios en el sector de las comunicaciones. Se ha asignado a este servicio telefónico una línea gratuita </w:t>
      </w:r>
      <w:r w:rsidR="0061329B" w:rsidRPr="002720D0">
        <w:rPr>
          <w:lang w:val="es-ES_tradnl"/>
        </w:rPr>
        <w:t xml:space="preserve">que funcionará las 24 horas del día, </w:t>
      </w:r>
      <w:r w:rsidR="003168D4" w:rsidRPr="002720D0">
        <w:rPr>
          <w:lang w:val="es-ES_tradnl"/>
        </w:rPr>
        <w:t>con u</w:t>
      </w:r>
      <w:r w:rsidR="0061329B" w:rsidRPr="002720D0">
        <w:rPr>
          <w:lang w:val="es-ES_tradnl"/>
        </w:rPr>
        <w:t xml:space="preserve">n número de tres dígitos (116); la entrada en funcionamiento de este servicio está prevista para </w:t>
      </w:r>
      <w:r w:rsidR="00151021" w:rsidRPr="002720D0">
        <w:rPr>
          <w:lang w:val="es-ES_tradnl"/>
        </w:rPr>
        <w:t>2012.</w:t>
      </w:r>
    </w:p>
    <w:p w:rsidR="00151021" w:rsidRPr="002720D0" w:rsidRDefault="00D16814" w:rsidP="00586395">
      <w:pPr>
        <w:pStyle w:val="H1G"/>
        <w:outlineLvl w:val="0"/>
        <w:rPr>
          <w:lang w:val="es-ES_tradnl"/>
        </w:rPr>
      </w:pPr>
      <w:bookmarkStart w:id="62" w:name="_Toc313470895"/>
      <w:r w:rsidRPr="002720D0">
        <w:rPr>
          <w:lang w:val="es-ES_tradnl"/>
        </w:rPr>
        <w:tab/>
      </w:r>
      <w:r w:rsidR="00151021" w:rsidRPr="002720D0">
        <w:rPr>
          <w:lang w:val="es-ES_tradnl"/>
        </w:rPr>
        <w:t>8.7</w:t>
      </w:r>
      <w:r w:rsidRPr="002720D0">
        <w:rPr>
          <w:lang w:val="es-ES_tradnl"/>
        </w:rPr>
        <w:tab/>
      </w:r>
      <w:r w:rsidR="00151021" w:rsidRPr="002720D0">
        <w:rPr>
          <w:lang w:val="es-ES_tradnl"/>
        </w:rPr>
        <w:t>Ot</w:t>
      </w:r>
      <w:r w:rsidR="00F974F4" w:rsidRPr="002720D0">
        <w:rPr>
          <w:lang w:val="es-ES_tradnl"/>
        </w:rPr>
        <w:t xml:space="preserve">ras formas de </w:t>
      </w:r>
      <w:r w:rsidR="00C00D82" w:rsidRPr="002720D0">
        <w:rPr>
          <w:lang w:val="es-ES_tradnl"/>
        </w:rPr>
        <w:t>e</w:t>
      </w:r>
      <w:r w:rsidR="00F974F4" w:rsidRPr="002720D0">
        <w:rPr>
          <w:lang w:val="es-ES_tradnl"/>
        </w:rPr>
        <w:t>xplotació</w:t>
      </w:r>
      <w:r w:rsidR="00151021" w:rsidRPr="002720D0">
        <w:rPr>
          <w:lang w:val="es-ES_tradnl"/>
        </w:rPr>
        <w:t>n (</w:t>
      </w:r>
      <w:r w:rsidR="00C00D82" w:rsidRPr="002720D0">
        <w:rPr>
          <w:lang w:val="es-ES_tradnl"/>
        </w:rPr>
        <w:t>a</w:t>
      </w:r>
      <w:r w:rsidR="0045162B">
        <w:rPr>
          <w:lang w:val="es-ES_tradnl"/>
        </w:rPr>
        <w:t>rt.</w:t>
      </w:r>
      <w:r w:rsidR="00151021" w:rsidRPr="002720D0">
        <w:rPr>
          <w:lang w:val="es-ES_tradnl"/>
        </w:rPr>
        <w:t xml:space="preserve"> 36)</w:t>
      </w:r>
      <w:bookmarkEnd w:id="62"/>
    </w:p>
    <w:p w:rsidR="00151021" w:rsidRPr="002720D0" w:rsidRDefault="004F6364" w:rsidP="004F6364">
      <w:pPr>
        <w:pStyle w:val="SingleTxtG"/>
        <w:tabs>
          <w:tab w:val="left" w:pos="-360"/>
        </w:tabs>
        <w:rPr>
          <w:lang w:val="es-ES_tradnl"/>
        </w:rPr>
      </w:pPr>
      <w:r w:rsidRPr="002720D0">
        <w:rPr>
          <w:lang w:val="es-ES_tradnl"/>
        </w:rPr>
        <w:t>293.</w:t>
      </w:r>
      <w:r w:rsidRPr="002720D0">
        <w:rPr>
          <w:lang w:val="es-ES_tradnl"/>
        </w:rPr>
        <w:tab/>
      </w:r>
      <w:r w:rsidR="00F974F4" w:rsidRPr="002720D0">
        <w:rPr>
          <w:lang w:val="es-ES_tradnl"/>
        </w:rPr>
        <w:t>En</w:t>
      </w:r>
      <w:r w:rsidR="00151021" w:rsidRPr="002720D0">
        <w:rPr>
          <w:lang w:val="es-ES_tradnl"/>
        </w:rPr>
        <w:t xml:space="preserve"> </w:t>
      </w:r>
      <w:r w:rsidR="00F974F4" w:rsidRPr="002720D0">
        <w:rPr>
          <w:lang w:val="es-ES_tradnl"/>
        </w:rPr>
        <w:t>Tanzaní</w:t>
      </w:r>
      <w:r w:rsidR="00151021" w:rsidRPr="002720D0">
        <w:rPr>
          <w:lang w:val="es-ES_tradnl"/>
        </w:rPr>
        <w:t xml:space="preserve">a </w:t>
      </w:r>
      <w:r w:rsidR="00F974F4" w:rsidRPr="002720D0">
        <w:rPr>
          <w:lang w:val="es-ES_tradnl"/>
        </w:rPr>
        <w:t>continental, al igual que en Zanzí</w:t>
      </w:r>
      <w:r w:rsidR="00151021" w:rsidRPr="002720D0">
        <w:rPr>
          <w:lang w:val="es-ES_tradnl"/>
        </w:rPr>
        <w:t>bar</w:t>
      </w:r>
      <w:r w:rsidR="00F974F4" w:rsidRPr="002720D0">
        <w:rPr>
          <w:lang w:val="es-ES_tradnl"/>
        </w:rPr>
        <w:t xml:space="preserve">, existen otras formas de explotación infantil, como la sexual, y también </w:t>
      </w:r>
      <w:r w:rsidR="002B6A70" w:rsidRPr="002720D0">
        <w:rPr>
          <w:lang w:val="es-ES_tradnl"/>
        </w:rPr>
        <w:t>se dan las peores formas de trabajo infantil, como ya se ha expuesto</w:t>
      </w:r>
      <w:r w:rsidR="006729F5" w:rsidRPr="002720D0">
        <w:rPr>
          <w:lang w:val="es-ES_tradnl"/>
        </w:rPr>
        <w:t xml:space="preserve"> anteriormente.</w:t>
      </w:r>
      <w:r w:rsidR="002B6A70" w:rsidRPr="002720D0">
        <w:rPr>
          <w:lang w:val="es-ES_tradnl"/>
        </w:rPr>
        <w:t xml:space="preserve"> Tanto en la Ley de </w:t>
      </w:r>
      <w:r w:rsidR="00325617" w:rsidRPr="002720D0">
        <w:rPr>
          <w:lang w:val="es-ES_tradnl"/>
        </w:rPr>
        <w:t xml:space="preserve">Empleo </w:t>
      </w:r>
      <w:r w:rsidR="002B6A70" w:rsidRPr="002720D0">
        <w:rPr>
          <w:lang w:val="es-ES_tradnl"/>
        </w:rPr>
        <w:t xml:space="preserve">de Zanzíbar </w:t>
      </w:r>
      <w:r w:rsidR="00151021" w:rsidRPr="002720D0">
        <w:rPr>
          <w:lang w:val="es-ES_tradnl"/>
        </w:rPr>
        <w:t>(2005)</w:t>
      </w:r>
      <w:r w:rsidR="002B6A70" w:rsidRPr="002720D0">
        <w:rPr>
          <w:lang w:val="es-ES_tradnl"/>
        </w:rPr>
        <w:t xml:space="preserve"> como en la Ley de </w:t>
      </w:r>
      <w:r w:rsidR="00325617" w:rsidRPr="002720D0">
        <w:rPr>
          <w:lang w:val="es-ES_tradnl"/>
        </w:rPr>
        <w:t xml:space="preserve">Empleo </w:t>
      </w:r>
      <w:r w:rsidR="002B6A70" w:rsidRPr="002720D0">
        <w:rPr>
          <w:lang w:val="es-ES_tradnl"/>
        </w:rPr>
        <w:t xml:space="preserve">y </w:t>
      </w:r>
      <w:r w:rsidR="00325617" w:rsidRPr="002720D0">
        <w:rPr>
          <w:lang w:val="es-ES_tradnl"/>
        </w:rPr>
        <w:t xml:space="preserve">Relaciones Laborales </w:t>
      </w:r>
      <w:r w:rsidR="002B6A70" w:rsidRPr="002720D0">
        <w:rPr>
          <w:lang w:val="es-ES_tradnl"/>
        </w:rPr>
        <w:t xml:space="preserve">de Tanzanía continental se consagran disposiciones que protegen a los niños de la explotación en el contexto del empleo y las relaciones laborales. Estas disposiciones comprenden el trabajo infantil y las peores formas de trabajo infantil; estipulan la normativa de empleo infantil y reconocen a los niños el derecho a la remuneración. En la Ley de la </w:t>
      </w:r>
      <w:r w:rsidR="00325617" w:rsidRPr="002720D0">
        <w:rPr>
          <w:lang w:val="es-ES_tradnl"/>
        </w:rPr>
        <w:t xml:space="preserve">Infancia </w:t>
      </w:r>
      <w:r w:rsidR="002B6A70" w:rsidRPr="002720D0">
        <w:rPr>
          <w:lang w:val="es-ES_tradnl"/>
        </w:rPr>
        <w:t xml:space="preserve">y en la Ley del </w:t>
      </w:r>
      <w:r w:rsidR="00325617" w:rsidRPr="002720D0">
        <w:rPr>
          <w:lang w:val="es-ES_tradnl"/>
        </w:rPr>
        <w:t xml:space="preserve">Niño </w:t>
      </w:r>
      <w:r w:rsidR="002B6A70" w:rsidRPr="002720D0">
        <w:rPr>
          <w:lang w:val="es-ES_tradnl"/>
        </w:rPr>
        <w:t xml:space="preserve">de Zanzíbar, de reciente promulgación, también se reconoce </w:t>
      </w:r>
      <w:r w:rsidR="006729F5" w:rsidRPr="002720D0">
        <w:rPr>
          <w:lang w:val="es-ES_tradnl"/>
        </w:rPr>
        <w:t xml:space="preserve">a los niños </w:t>
      </w:r>
      <w:r w:rsidR="002B6A70" w:rsidRPr="002720D0">
        <w:rPr>
          <w:lang w:val="es-ES_tradnl"/>
        </w:rPr>
        <w:t xml:space="preserve">la protección jurídica </w:t>
      </w:r>
      <w:r w:rsidR="006729F5" w:rsidRPr="002720D0">
        <w:rPr>
          <w:lang w:val="es-ES_tradnl"/>
        </w:rPr>
        <w:t>de</w:t>
      </w:r>
      <w:r w:rsidR="002B6A70" w:rsidRPr="002720D0">
        <w:rPr>
          <w:lang w:val="es-ES_tradnl"/>
        </w:rPr>
        <w:t xml:space="preserve"> estos tipos de explotación (véa</w:t>
      </w:r>
      <w:r w:rsidR="00B75326" w:rsidRPr="002720D0">
        <w:rPr>
          <w:lang w:val="es-ES_tradnl"/>
        </w:rPr>
        <w:t xml:space="preserve">nse las observaciones al margen izquierdo). </w:t>
      </w:r>
    </w:p>
    <w:p w:rsidR="00151021" w:rsidRPr="002720D0" w:rsidRDefault="00D16814" w:rsidP="00586395">
      <w:pPr>
        <w:pStyle w:val="H1G"/>
        <w:outlineLvl w:val="0"/>
        <w:rPr>
          <w:lang w:val="es-ES_tradnl"/>
        </w:rPr>
      </w:pPr>
      <w:bookmarkStart w:id="63" w:name="_Toc313469616"/>
      <w:bookmarkStart w:id="64" w:name="_Toc313470896"/>
      <w:r w:rsidRPr="002720D0">
        <w:rPr>
          <w:lang w:val="es-ES_tradnl"/>
        </w:rPr>
        <w:tab/>
      </w:r>
      <w:r w:rsidR="00151021" w:rsidRPr="002720D0">
        <w:rPr>
          <w:lang w:val="es-ES_tradnl"/>
        </w:rPr>
        <w:t>8.8</w:t>
      </w:r>
      <w:r w:rsidRPr="002720D0">
        <w:rPr>
          <w:lang w:val="es-ES_tradnl"/>
        </w:rPr>
        <w:tab/>
      </w:r>
      <w:r w:rsidR="004C4C24" w:rsidRPr="002720D0">
        <w:rPr>
          <w:lang w:val="es-ES_tradnl"/>
        </w:rPr>
        <w:t>Niños en conflicto con la ley, víctimas y testigos</w:t>
      </w:r>
      <w:bookmarkEnd w:id="63"/>
      <w:bookmarkEnd w:id="64"/>
    </w:p>
    <w:p w:rsidR="00151021" w:rsidRPr="002720D0" w:rsidRDefault="004F6364" w:rsidP="004F6364">
      <w:pPr>
        <w:pStyle w:val="SingleTxtG"/>
        <w:tabs>
          <w:tab w:val="left" w:pos="-360"/>
        </w:tabs>
        <w:rPr>
          <w:lang w:val="es-ES_tradnl"/>
        </w:rPr>
      </w:pPr>
      <w:r w:rsidRPr="002720D0">
        <w:rPr>
          <w:lang w:val="es-ES_tradnl"/>
        </w:rPr>
        <w:t>294.</w:t>
      </w:r>
      <w:r w:rsidRPr="002720D0">
        <w:rPr>
          <w:lang w:val="es-ES_tradnl"/>
        </w:rPr>
        <w:tab/>
      </w:r>
      <w:r w:rsidR="004C4C24" w:rsidRPr="002720D0">
        <w:rPr>
          <w:lang w:val="es-ES_tradnl"/>
        </w:rPr>
        <w:t>Para ocuparse de los niños en c</w:t>
      </w:r>
      <w:r w:rsidR="006729F5" w:rsidRPr="002720D0">
        <w:rPr>
          <w:lang w:val="es-ES_tradnl"/>
        </w:rPr>
        <w:t>onflicto con la ley, el Estado p</w:t>
      </w:r>
      <w:r w:rsidR="004C4C24" w:rsidRPr="002720D0">
        <w:rPr>
          <w:lang w:val="es-ES_tradnl"/>
        </w:rPr>
        <w:t>arte ha adoptado medidas especiale</w:t>
      </w:r>
      <w:r w:rsidR="006729F5" w:rsidRPr="002720D0">
        <w:rPr>
          <w:lang w:val="es-ES_tradnl"/>
        </w:rPr>
        <w:t>s que cubren la fase de detención, la de</w:t>
      </w:r>
      <w:r w:rsidR="004C4C24" w:rsidRPr="002720D0">
        <w:rPr>
          <w:lang w:val="es-ES_tradnl"/>
        </w:rPr>
        <w:t xml:space="preserve"> </w:t>
      </w:r>
      <w:r w:rsidR="006729F5" w:rsidRPr="002720D0">
        <w:rPr>
          <w:lang w:val="es-ES_tradnl"/>
        </w:rPr>
        <w:t>enjuiciamiento</w:t>
      </w:r>
      <w:r w:rsidR="004C4C24" w:rsidRPr="002720D0">
        <w:rPr>
          <w:lang w:val="es-ES_tradnl"/>
        </w:rPr>
        <w:t xml:space="preserve"> y la de imposición de la </w:t>
      </w:r>
      <w:r w:rsidR="006729F5" w:rsidRPr="002720D0">
        <w:rPr>
          <w:lang w:val="es-ES_tradnl"/>
        </w:rPr>
        <w:t>pena</w:t>
      </w:r>
      <w:r w:rsidR="004C4C24" w:rsidRPr="002720D0">
        <w:rPr>
          <w:lang w:val="es-ES_tradnl"/>
        </w:rPr>
        <w:t xml:space="preserve">. Estas medidas están consagradas en la Ley de la </w:t>
      </w:r>
      <w:r w:rsidR="00325617" w:rsidRPr="002720D0">
        <w:rPr>
          <w:lang w:val="es-ES_tradnl"/>
        </w:rPr>
        <w:t>Infancia</w:t>
      </w:r>
      <w:r w:rsidR="00151021" w:rsidRPr="002720D0">
        <w:rPr>
          <w:rStyle w:val="FootnoteReference"/>
          <w:lang w:val="es-ES_tradnl"/>
        </w:rPr>
        <w:footnoteReference w:id="118"/>
      </w:r>
      <w:r w:rsidR="00151021" w:rsidRPr="002720D0">
        <w:rPr>
          <w:lang w:val="es-ES_tradnl"/>
        </w:rPr>
        <w:t xml:space="preserve"> </w:t>
      </w:r>
      <w:r w:rsidR="004C4C24" w:rsidRPr="002720D0">
        <w:rPr>
          <w:lang w:val="es-ES_tradnl"/>
        </w:rPr>
        <w:t xml:space="preserve">y en la Ley del </w:t>
      </w:r>
      <w:r w:rsidR="00325617" w:rsidRPr="002720D0">
        <w:rPr>
          <w:lang w:val="es-ES_tradnl"/>
        </w:rPr>
        <w:t xml:space="preserve">Niño </w:t>
      </w:r>
      <w:r w:rsidR="004C4C24" w:rsidRPr="002720D0">
        <w:rPr>
          <w:lang w:val="es-ES_tradnl"/>
        </w:rPr>
        <w:t>de Zanzíbar</w:t>
      </w:r>
      <w:r w:rsidR="00151021" w:rsidRPr="002720D0">
        <w:rPr>
          <w:rStyle w:val="FootnoteReference"/>
          <w:lang w:val="es-ES_tradnl"/>
        </w:rPr>
        <w:footnoteReference w:id="119"/>
      </w:r>
      <w:r w:rsidR="004C4C24" w:rsidRPr="002720D0">
        <w:rPr>
          <w:lang w:val="es-ES_tradnl"/>
        </w:rPr>
        <w:t>.</w:t>
      </w:r>
      <w:r w:rsidR="00151021" w:rsidRPr="002720D0">
        <w:rPr>
          <w:lang w:val="es-ES_tradnl"/>
        </w:rPr>
        <w:t xml:space="preserve"> </w:t>
      </w:r>
      <w:r w:rsidR="004C4C24" w:rsidRPr="002720D0">
        <w:rPr>
          <w:lang w:val="es-ES_tradnl"/>
        </w:rPr>
        <w:t xml:space="preserve">Ambas leyes disponen penas alternativas a la privación de libertad para los niños condenados por la comisión de delitos. Entre </w:t>
      </w:r>
      <w:r w:rsidR="006729F5" w:rsidRPr="002720D0">
        <w:rPr>
          <w:lang w:val="es-ES_tradnl"/>
        </w:rPr>
        <w:t>esas</w:t>
      </w:r>
      <w:r w:rsidR="004C4C24" w:rsidRPr="002720D0">
        <w:rPr>
          <w:lang w:val="es-ES_tradnl"/>
        </w:rPr>
        <w:t xml:space="preserve"> penas se incluyen la puesta en libertad y entrega del niño </w:t>
      </w:r>
      <w:r w:rsidR="00B73448" w:rsidRPr="002720D0">
        <w:rPr>
          <w:lang w:val="es-ES_tradnl"/>
        </w:rPr>
        <w:t xml:space="preserve">para su custodia por un padre o tutor u otra persona apta, el pago de una multa, de daños o de reparaciones, o el servicio comunitario. </w:t>
      </w:r>
    </w:p>
    <w:p w:rsidR="00151021" w:rsidRPr="002720D0" w:rsidRDefault="004F6364" w:rsidP="004F6364">
      <w:pPr>
        <w:pStyle w:val="SingleTxtG"/>
        <w:tabs>
          <w:tab w:val="left" w:pos="-360"/>
        </w:tabs>
        <w:rPr>
          <w:lang w:val="es-ES_tradnl"/>
        </w:rPr>
      </w:pPr>
      <w:bookmarkStart w:id="65" w:name="_Toc313469617"/>
      <w:bookmarkStart w:id="66" w:name="_Toc313470897"/>
      <w:r w:rsidRPr="002720D0">
        <w:rPr>
          <w:lang w:val="es-ES_tradnl"/>
        </w:rPr>
        <w:t>295.</w:t>
      </w:r>
      <w:r w:rsidRPr="002720D0">
        <w:rPr>
          <w:lang w:val="es-ES_tradnl"/>
        </w:rPr>
        <w:tab/>
      </w:r>
      <w:r w:rsidR="006729F5" w:rsidRPr="002720D0">
        <w:rPr>
          <w:lang w:val="es-ES_tradnl"/>
        </w:rPr>
        <w:t xml:space="preserve">En la Ley del </w:t>
      </w:r>
      <w:r w:rsidR="00325617" w:rsidRPr="002720D0">
        <w:rPr>
          <w:lang w:val="es-ES_tradnl"/>
        </w:rPr>
        <w:t xml:space="preserve">Niño </w:t>
      </w:r>
      <w:r w:rsidR="00F30876" w:rsidRPr="002720D0">
        <w:rPr>
          <w:lang w:val="es-ES_tradnl"/>
        </w:rPr>
        <w:t xml:space="preserve">de Zanzíbar </w:t>
      </w:r>
      <w:r w:rsidR="00B73448" w:rsidRPr="002720D0">
        <w:rPr>
          <w:lang w:val="es-ES_tradnl"/>
        </w:rPr>
        <w:t xml:space="preserve">se han introducido disposiciones por las que se regula la </w:t>
      </w:r>
      <w:r w:rsidR="00F30876" w:rsidRPr="002720D0">
        <w:rPr>
          <w:lang w:val="es-ES_tradnl"/>
        </w:rPr>
        <w:t>desviación de los niños en conflicto con la ley del sistema formal de justicia penal. En este contexto, la desviación se puede aplicar</w:t>
      </w:r>
      <w:r w:rsidR="007B0216" w:rsidRPr="002720D0">
        <w:rPr>
          <w:lang w:val="es-ES_tradnl"/>
        </w:rPr>
        <w:t xml:space="preserve"> en cualquier fase del proceso d</w:t>
      </w:r>
      <w:r w:rsidR="00F30876" w:rsidRPr="002720D0">
        <w:rPr>
          <w:lang w:val="es-ES_tradnl"/>
        </w:rPr>
        <w:t xml:space="preserve">e justicia penal. Por ejemplo, </w:t>
      </w:r>
      <w:r w:rsidR="007B0216" w:rsidRPr="002720D0">
        <w:rPr>
          <w:lang w:val="es-ES_tradnl"/>
        </w:rPr>
        <w:t xml:space="preserve">cuando un niño entra en conflicto con la ley cabe la posibilidad de que un agente de policía consigne los hechos del delito con una advertencia al niño para que </w:t>
      </w:r>
      <w:r w:rsidR="006729F5" w:rsidRPr="002720D0">
        <w:rPr>
          <w:lang w:val="es-ES_tradnl"/>
        </w:rPr>
        <w:t xml:space="preserve">este </w:t>
      </w:r>
      <w:r w:rsidR="007B0216" w:rsidRPr="002720D0">
        <w:rPr>
          <w:lang w:val="es-ES_tradnl"/>
        </w:rPr>
        <w:t xml:space="preserve">no reincida, en lugar de incoar un proceso contra al niño. Además, la Ley del </w:t>
      </w:r>
      <w:r w:rsidR="00325617" w:rsidRPr="002720D0">
        <w:rPr>
          <w:lang w:val="es-ES_tradnl"/>
        </w:rPr>
        <w:t xml:space="preserve">Niño </w:t>
      </w:r>
      <w:r w:rsidR="007B0216" w:rsidRPr="002720D0">
        <w:rPr>
          <w:lang w:val="es-ES_tradnl"/>
        </w:rPr>
        <w:t xml:space="preserve">prohíbe </w:t>
      </w:r>
      <w:r w:rsidR="001B3AC7" w:rsidRPr="002720D0">
        <w:rPr>
          <w:lang w:val="es-ES_tradnl"/>
        </w:rPr>
        <w:t xml:space="preserve">la </w:t>
      </w:r>
      <w:r w:rsidR="006729F5" w:rsidRPr="002720D0">
        <w:rPr>
          <w:lang w:val="es-ES_tradnl"/>
        </w:rPr>
        <w:t>inscripción</w:t>
      </w:r>
      <w:r w:rsidR="001B3AC7" w:rsidRPr="002720D0">
        <w:rPr>
          <w:lang w:val="es-ES_tradnl"/>
        </w:rPr>
        <w:t xml:space="preserve"> de </w:t>
      </w:r>
      <w:r w:rsidR="007B0216" w:rsidRPr="002720D0">
        <w:rPr>
          <w:lang w:val="es-ES_tradnl"/>
        </w:rPr>
        <w:t xml:space="preserve">antecedentes penales </w:t>
      </w:r>
      <w:r w:rsidR="001B3AC7" w:rsidRPr="002720D0">
        <w:rPr>
          <w:lang w:val="es-ES_tradnl"/>
        </w:rPr>
        <w:t>relativos a</w:t>
      </w:r>
      <w:r w:rsidR="007B0216" w:rsidRPr="002720D0">
        <w:rPr>
          <w:lang w:val="es-ES_tradnl"/>
        </w:rPr>
        <w:t xml:space="preserve"> las desviaciones, condenas </w:t>
      </w:r>
      <w:r w:rsidR="001B3AC7" w:rsidRPr="002720D0">
        <w:rPr>
          <w:lang w:val="es-ES_tradnl"/>
        </w:rPr>
        <w:t xml:space="preserve">o penas </w:t>
      </w:r>
      <w:r w:rsidR="007B0216" w:rsidRPr="002720D0">
        <w:rPr>
          <w:lang w:val="es-ES_tradnl"/>
        </w:rPr>
        <w:t>respecto de un</w:t>
      </w:r>
      <w:r w:rsidR="001B3AC7" w:rsidRPr="002720D0">
        <w:rPr>
          <w:lang w:val="es-ES_tradnl"/>
        </w:rPr>
        <w:t xml:space="preserve"> niño que haya sido procesado por</w:t>
      </w:r>
      <w:r w:rsidR="007B0216" w:rsidRPr="002720D0">
        <w:rPr>
          <w:lang w:val="es-ES_tradnl"/>
        </w:rPr>
        <w:t xml:space="preserve"> un sistema de justicia penal. </w:t>
      </w:r>
      <w:r w:rsidR="00E3018C">
        <w:rPr>
          <w:lang w:val="es-ES_tradnl"/>
        </w:rPr>
        <w:t xml:space="preserve">El Ministerio de </w:t>
      </w:r>
      <w:r w:rsidR="001B3AC7" w:rsidRPr="002720D0">
        <w:rPr>
          <w:lang w:val="es-ES_tradnl"/>
        </w:rPr>
        <w:t xml:space="preserve">Bienestar Social y de Desarrollo de la Juventud, la Mujer y el Niño ha colaborado con otros ministerios competentes en la elaboración de un plan de aplicación de la Ley del </w:t>
      </w:r>
      <w:r w:rsidR="00325617" w:rsidRPr="002720D0">
        <w:rPr>
          <w:lang w:val="es-ES_tradnl"/>
        </w:rPr>
        <w:t>Niño</w:t>
      </w:r>
      <w:r w:rsidR="006729F5" w:rsidRPr="002720D0">
        <w:rPr>
          <w:lang w:val="es-ES_tradnl"/>
        </w:rPr>
        <w:t>,</w:t>
      </w:r>
      <w:r w:rsidR="001B3AC7" w:rsidRPr="002720D0">
        <w:rPr>
          <w:lang w:val="es-ES_tradnl"/>
        </w:rPr>
        <w:t xml:space="preserve"> promulgada recientemente. Está prevista para 2012 la elaboración de un plan específico para la reforma del sistema de la justicia de menores.</w:t>
      </w:r>
      <w:bookmarkEnd w:id="65"/>
      <w:bookmarkEnd w:id="66"/>
    </w:p>
    <w:p w:rsidR="00151021" w:rsidRPr="002720D0" w:rsidRDefault="00BF1D0B" w:rsidP="00BF1D0B">
      <w:pPr>
        <w:pStyle w:val="H4G"/>
        <w:rPr>
          <w:lang w:val="es-ES_tradnl"/>
        </w:rPr>
      </w:pPr>
      <w:bookmarkStart w:id="67" w:name="_Toc313469618"/>
      <w:bookmarkStart w:id="68" w:name="_Toc313470898"/>
      <w:r>
        <w:rPr>
          <w:lang w:val="es-ES_tradnl"/>
        </w:rPr>
        <w:tab/>
      </w:r>
      <w:r>
        <w:rPr>
          <w:lang w:val="es-ES_tradnl"/>
        </w:rPr>
        <w:tab/>
      </w:r>
      <w:r w:rsidR="001B3AC7" w:rsidRPr="002720D0">
        <w:rPr>
          <w:lang w:val="es-ES_tradnl"/>
        </w:rPr>
        <w:t>Niños testigos</w:t>
      </w:r>
      <w:bookmarkEnd w:id="67"/>
      <w:bookmarkEnd w:id="68"/>
    </w:p>
    <w:p w:rsidR="00151021" w:rsidRPr="002720D0" w:rsidRDefault="004F6364" w:rsidP="004F6364">
      <w:pPr>
        <w:pStyle w:val="SingleTxtG"/>
        <w:tabs>
          <w:tab w:val="left" w:pos="-360"/>
        </w:tabs>
        <w:rPr>
          <w:lang w:val="es-ES_tradnl"/>
        </w:rPr>
      </w:pPr>
      <w:r w:rsidRPr="002720D0">
        <w:rPr>
          <w:lang w:val="es-ES_tradnl"/>
        </w:rPr>
        <w:t>296.</w:t>
      </w:r>
      <w:r w:rsidRPr="002720D0">
        <w:rPr>
          <w:lang w:val="es-ES_tradnl"/>
        </w:rPr>
        <w:tab/>
      </w:r>
      <w:r w:rsidR="00EC349E" w:rsidRPr="002720D0">
        <w:rPr>
          <w:lang w:val="es-ES_tradnl"/>
        </w:rPr>
        <w:t>En el párrafo 2</w:t>
      </w:r>
      <w:r w:rsidR="004001C7">
        <w:rPr>
          <w:lang w:val="es-ES_tradnl"/>
        </w:rPr>
        <w:t>)</w:t>
      </w:r>
      <w:r w:rsidR="00EC349E" w:rsidRPr="002720D0">
        <w:rPr>
          <w:lang w:val="es-ES_tradnl"/>
        </w:rPr>
        <w:t xml:space="preserve"> </w:t>
      </w:r>
      <w:r w:rsidR="006729F5" w:rsidRPr="002720D0">
        <w:rPr>
          <w:lang w:val="es-ES_tradnl"/>
        </w:rPr>
        <w:t>del</w:t>
      </w:r>
      <w:r w:rsidR="00EC349E" w:rsidRPr="002720D0">
        <w:rPr>
          <w:lang w:val="es-ES_tradnl"/>
        </w:rPr>
        <w:t xml:space="preserve"> artículo 49, la Ley del </w:t>
      </w:r>
      <w:r w:rsidR="00325617" w:rsidRPr="002720D0">
        <w:rPr>
          <w:lang w:val="es-ES_tradnl"/>
        </w:rPr>
        <w:t xml:space="preserve">Niño </w:t>
      </w:r>
      <w:r w:rsidR="00EC349E" w:rsidRPr="002720D0">
        <w:rPr>
          <w:lang w:val="es-ES_tradnl"/>
        </w:rPr>
        <w:t>de Zanzí</w:t>
      </w:r>
      <w:r w:rsidR="00151021" w:rsidRPr="002720D0">
        <w:rPr>
          <w:lang w:val="es-ES_tradnl"/>
        </w:rPr>
        <w:t xml:space="preserve">bar </w:t>
      </w:r>
      <w:r w:rsidR="006729F5" w:rsidRPr="002720D0">
        <w:rPr>
          <w:lang w:val="es-ES_tradnl"/>
        </w:rPr>
        <w:t>dispone que</w:t>
      </w:r>
      <w:r w:rsidR="00EC349E" w:rsidRPr="002720D0">
        <w:rPr>
          <w:lang w:val="es-ES_tradnl"/>
        </w:rPr>
        <w:t xml:space="preserve"> </w:t>
      </w:r>
      <w:r w:rsidR="001D2A53">
        <w:rPr>
          <w:lang w:val="es-ES_tradnl"/>
        </w:rPr>
        <w:t>"</w:t>
      </w:r>
      <w:r w:rsidR="006729F5" w:rsidRPr="002720D0">
        <w:rPr>
          <w:lang w:val="es-ES_tradnl"/>
        </w:rPr>
        <w:t>c</w:t>
      </w:r>
      <w:r w:rsidR="00C33669" w:rsidRPr="002720D0">
        <w:rPr>
          <w:lang w:val="es-ES_tradnl"/>
        </w:rPr>
        <w:t>ualquier</w:t>
      </w:r>
      <w:r w:rsidR="00EC349E" w:rsidRPr="002720D0">
        <w:rPr>
          <w:lang w:val="es-ES_tradnl"/>
        </w:rPr>
        <w:t xml:space="preserve"> niño </w:t>
      </w:r>
      <w:r w:rsidR="00C33669" w:rsidRPr="002720D0">
        <w:rPr>
          <w:lang w:val="es-ES_tradnl"/>
        </w:rPr>
        <w:t>p</w:t>
      </w:r>
      <w:r w:rsidR="00EC349E" w:rsidRPr="002720D0">
        <w:rPr>
          <w:lang w:val="es-ES_tradnl"/>
        </w:rPr>
        <w:t xml:space="preserve">odrá </w:t>
      </w:r>
      <w:r w:rsidR="00C33669" w:rsidRPr="002720D0">
        <w:rPr>
          <w:lang w:val="es-ES_tradnl"/>
        </w:rPr>
        <w:t>ser admitido para testificar en actuaciones</w:t>
      </w:r>
      <w:r w:rsidR="006729F5" w:rsidRPr="002720D0">
        <w:rPr>
          <w:lang w:val="es-ES_tradnl"/>
        </w:rPr>
        <w:t xml:space="preserve"> penales sin prestar juramento ni</w:t>
      </w:r>
      <w:r w:rsidR="00C33669" w:rsidRPr="002720D0">
        <w:rPr>
          <w:lang w:val="es-ES_tradnl"/>
        </w:rPr>
        <w:t xml:space="preserve"> declaración solemne, a condición de que </w:t>
      </w:r>
      <w:r w:rsidR="006729F5" w:rsidRPr="002720D0">
        <w:rPr>
          <w:lang w:val="es-ES_tradnl"/>
        </w:rPr>
        <w:t>sea capaz de</w:t>
      </w:r>
      <w:r w:rsidR="00C33669" w:rsidRPr="002720D0">
        <w:rPr>
          <w:lang w:val="es-ES_tradnl"/>
        </w:rPr>
        <w:t xml:space="preserve"> co</w:t>
      </w:r>
      <w:r w:rsidR="006729F5" w:rsidRPr="002720D0">
        <w:rPr>
          <w:lang w:val="es-ES_tradnl"/>
        </w:rPr>
        <w:t>m</w:t>
      </w:r>
      <w:r w:rsidR="00C33669" w:rsidRPr="002720D0">
        <w:rPr>
          <w:lang w:val="es-ES_tradnl"/>
        </w:rPr>
        <w:t>prender las preguntas que se le hagan y respon</w:t>
      </w:r>
      <w:r w:rsidR="006729F5" w:rsidRPr="002720D0">
        <w:rPr>
          <w:lang w:val="es-ES_tradnl"/>
        </w:rPr>
        <w:t>d</w:t>
      </w:r>
      <w:r w:rsidR="00C33669" w:rsidRPr="002720D0">
        <w:rPr>
          <w:lang w:val="es-ES_tradnl"/>
        </w:rPr>
        <w:t>er a el</w:t>
      </w:r>
      <w:r w:rsidR="006729F5" w:rsidRPr="002720D0">
        <w:rPr>
          <w:lang w:val="es-ES_tradnl"/>
        </w:rPr>
        <w:t xml:space="preserve">las de forma inteligible; y </w:t>
      </w:r>
      <w:r w:rsidR="002720D0" w:rsidRPr="002720D0">
        <w:rPr>
          <w:lang w:val="es-ES_tradnl"/>
        </w:rPr>
        <w:t>también</w:t>
      </w:r>
      <w:r w:rsidR="00C33669" w:rsidRPr="002720D0">
        <w:rPr>
          <w:lang w:val="es-ES_tradnl"/>
        </w:rPr>
        <w:t xml:space="preserve"> a condición de que, en lugar de prestar juramento o declaración solemne, el fu</w:t>
      </w:r>
      <w:r w:rsidR="00E3018C">
        <w:rPr>
          <w:lang w:val="es-ES_tradnl"/>
        </w:rPr>
        <w:t xml:space="preserve">ncionario que presida el acto le exhorte </w:t>
      </w:r>
      <w:r w:rsidR="00C33669" w:rsidRPr="002720D0">
        <w:rPr>
          <w:lang w:val="es-ES_tradnl"/>
        </w:rPr>
        <w:t xml:space="preserve">a decir la verdad, toda la </w:t>
      </w:r>
      <w:r w:rsidR="006729F5" w:rsidRPr="002720D0">
        <w:rPr>
          <w:lang w:val="es-ES_tradnl"/>
        </w:rPr>
        <w:t>verdad y nada más que la verdad</w:t>
      </w:r>
      <w:r w:rsidR="001D2A53">
        <w:rPr>
          <w:lang w:val="es-ES_tradnl"/>
        </w:rPr>
        <w:t>"</w:t>
      </w:r>
      <w:r w:rsidR="006729F5"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297.</w:t>
      </w:r>
      <w:r w:rsidRPr="002720D0">
        <w:rPr>
          <w:lang w:val="es-ES_tradnl"/>
        </w:rPr>
        <w:tab/>
      </w:r>
      <w:r w:rsidR="00151021" w:rsidRPr="002720D0">
        <w:rPr>
          <w:lang w:val="es-ES_tradnl"/>
        </w:rPr>
        <w:t>E</w:t>
      </w:r>
      <w:r w:rsidR="00C33669" w:rsidRPr="002720D0">
        <w:rPr>
          <w:lang w:val="es-ES_tradnl"/>
        </w:rPr>
        <w:t>xistirá la presunción de competencia para prestar declaración en las actuaciones judiciales</w:t>
      </w:r>
      <w:r w:rsidR="002F257C" w:rsidRPr="002720D0">
        <w:rPr>
          <w:lang w:val="es-ES_tradnl"/>
        </w:rPr>
        <w:t xml:space="preserve"> respecto de todos los niños</w:t>
      </w:r>
      <w:r w:rsidR="00C33669" w:rsidRPr="002720D0">
        <w:rPr>
          <w:lang w:val="es-ES_tradnl"/>
        </w:rPr>
        <w:t>, y no se excluirá a ningún niño de prestar declar</w:t>
      </w:r>
      <w:r w:rsidR="002F257C" w:rsidRPr="002720D0">
        <w:rPr>
          <w:lang w:val="es-ES_tradnl"/>
        </w:rPr>
        <w:t>ación a no ser que se determine</w:t>
      </w:r>
      <w:r w:rsidR="00C33669" w:rsidRPr="002720D0">
        <w:rPr>
          <w:lang w:val="es-ES_tradnl"/>
        </w:rPr>
        <w:t xml:space="preserve"> en cualquier fase de las actuaciones que el niño no cuenta con la facultad o la capacidad mental, ya sea verbal o de </w:t>
      </w:r>
      <w:r w:rsidR="002F257C" w:rsidRPr="002720D0">
        <w:rPr>
          <w:lang w:val="es-ES_tradnl"/>
        </w:rPr>
        <w:t>otro tipo,</w:t>
      </w:r>
      <w:r w:rsidR="00C33669" w:rsidRPr="002720D0">
        <w:rPr>
          <w:lang w:val="es-ES_tradnl"/>
        </w:rPr>
        <w:t xml:space="preserve"> para responder a las preguntas de manera comprensible para el tribunal. El testimonio presentado por un niño con arreglo al párrafo 2) será admisible en actuaciones penales, y el tribunal concederá a ese testimonio el peso que estime conveniente</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298.</w:t>
      </w:r>
      <w:r w:rsidRPr="002720D0">
        <w:rPr>
          <w:lang w:val="es-ES_tradnl"/>
        </w:rPr>
        <w:tab/>
      </w:r>
      <w:r w:rsidR="00D50B8B" w:rsidRPr="002720D0">
        <w:rPr>
          <w:lang w:val="es-ES_tradnl"/>
        </w:rPr>
        <w:t xml:space="preserve">Sin perjuicio de cualquier principio de legalidad o práctica en contrario, cuando el testimonio obtenido en virtud del párrafo 2) sea un testimonio de cargo que no </w:t>
      </w:r>
      <w:r w:rsidR="002F257C" w:rsidRPr="002720D0">
        <w:rPr>
          <w:lang w:val="es-ES_tradnl"/>
        </w:rPr>
        <w:t>esté</w:t>
      </w:r>
      <w:r w:rsidR="00D50B8B" w:rsidRPr="002720D0">
        <w:rPr>
          <w:lang w:val="es-ES_tradnl"/>
        </w:rPr>
        <w:t xml:space="preserve"> corroborado por ninguna otra prueba material que justifique </w:t>
      </w:r>
      <w:r w:rsidR="002F257C" w:rsidRPr="002720D0">
        <w:rPr>
          <w:lang w:val="es-ES_tradnl"/>
        </w:rPr>
        <w:t>la implicación del</w:t>
      </w:r>
      <w:r w:rsidR="00D50B8B" w:rsidRPr="002720D0">
        <w:rPr>
          <w:lang w:val="es-ES_tradnl"/>
        </w:rPr>
        <w:t xml:space="preserve"> acusado, el tribunal podrá, </w:t>
      </w:r>
      <w:r w:rsidR="002F257C" w:rsidRPr="002720D0">
        <w:rPr>
          <w:lang w:val="es-ES_tradnl"/>
        </w:rPr>
        <w:t>una vez efectuadas</w:t>
      </w:r>
      <w:r w:rsidR="00D50B8B" w:rsidRPr="002720D0">
        <w:rPr>
          <w:lang w:val="es-ES_tradnl"/>
        </w:rPr>
        <w:t xml:space="preserve"> las correspondientes advertencias, actuar sobre la base del testimonio para condenar al acusado, siempre y cuando esté plenamente convencido de que el niño está diciendo la verdad. </w:t>
      </w:r>
    </w:p>
    <w:p w:rsidR="00151021" w:rsidRPr="002720D0" w:rsidRDefault="00D16814" w:rsidP="00586395">
      <w:pPr>
        <w:pStyle w:val="H1G"/>
        <w:outlineLvl w:val="0"/>
        <w:rPr>
          <w:lang w:val="es-ES_tradnl"/>
        </w:rPr>
      </w:pPr>
      <w:bookmarkStart w:id="69" w:name="_Toc313470899"/>
      <w:r w:rsidRPr="002720D0">
        <w:rPr>
          <w:lang w:val="es-ES_tradnl"/>
        </w:rPr>
        <w:tab/>
      </w:r>
      <w:r w:rsidR="00151021" w:rsidRPr="002720D0">
        <w:rPr>
          <w:lang w:val="es-ES_tradnl"/>
        </w:rPr>
        <w:t>8.9</w:t>
      </w:r>
      <w:r w:rsidRPr="002720D0">
        <w:rPr>
          <w:lang w:val="es-ES_tradnl"/>
        </w:rPr>
        <w:tab/>
      </w:r>
      <w:r w:rsidR="00151021" w:rsidRPr="002720D0">
        <w:rPr>
          <w:lang w:val="es-ES_tradnl"/>
        </w:rPr>
        <w:t>Administra</w:t>
      </w:r>
      <w:r w:rsidR="00D50B8B" w:rsidRPr="002720D0">
        <w:rPr>
          <w:lang w:val="es-ES_tradnl"/>
        </w:rPr>
        <w:t>ción de la justicia de menores</w:t>
      </w:r>
      <w:bookmarkEnd w:id="69"/>
    </w:p>
    <w:p w:rsidR="00151021" w:rsidRPr="002720D0" w:rsidRDefault="004F6364" w:rsidP="004F6364">
      <w:pPr>
        <w:pStyle w:val="SingleTxtG"/>
        <w:tabs>
          <w:tab w:val="left" w:pos="-360"/>
        </w:tabs>
        <w:rPr>
          <w:lang w:val="es-ES_tradnl"/>
        </w:rPr>
      </w:pPr>
      <w:r w:rsidRPr="002720D0">
        <w:rPr>
          <w:lang w:val="es-ES_tradnl"/>
        </w:rPr>
        <w:t>299.</w:t>
      </w:r>
      <w:r w:rsidRPr="002720D0">
        <w:rPr>
          <w:lang w:val="es-ES_tradnl"/>
        </w:rPr>
        <w:tab/>
      </w:r>
      <w:r w:rsidR="00D50B8B" w:rsidRPr="002720D0">
        <w:rPr>
          <w:lang w:val="es-ES_tradnl"/>
        </w:rPr>
        <w:t xml:space="preserve">La Ley del </w:t>
      </w:r>
      <w:r w:rsidR="00325617" w:rsidRPr="002720D0">
        <w:rPr>
          <w:lang w:val="es-ES_tradnl"/>
        </w:rPr>
        <w:t xml:space="preserve">Niño </w:t>
      </w:r>
      <w:r w:rsidR="00D50B8B" w:rsidRPr="002720D0">
        <w:rPr>
          <w:lang w:val="es-ES_tradnl"/>
        </w:rPr>
        <w:t xml:space="preserve">vino a derogar el Decreto sobre la </w:t>
      </w:r>
      <w:r w:rsidR="00E44E59" w:rsidRPr="002720D0">
        <w:rPr>
          <w:lang w:val="es-ES_tradnl"/>
        </w:rPr>
        <w:t xml:space="preserve">Niñez </w:t>
      </w:r>
      <w:r w:rsidR="00D50B8B" w:rsidRPr="002720D0">
        <w:rPr>
          <w:lang w:val="es-ES_tradnl"/>
        </w:rPr>
        <w:t xml:space="preserve">y la </w:t>
      </w:r>
      <w:r w:rsidR="00E44E59" w:rsidRPr="002720D0">
        <w:rPr>
          <w:lang w:val="es-ES_tradnl"/>
        </w:rPr>
        <w:t>Adolescencia</w:t>
      </w:r>
      <w:r w:rsidR="00151021" w:rsidRPr="002720D0">
        <w:rPr>
          <w:rStyle w:val="FootnoteReference"/>
          <w:lang w:val="es-ES_tradnl"/>
        </w:rPr>
        <w:footnoteReference w:id="120"/>
      </w:r>
      <w:r w:rsidR="00D50B8B" w:rsidRPr="002720D0">
        <w:rPr>
          <w:lang w:val="es-ES_tradnl"/>
        </w:rPr>
        <w:t xml:space="preserve">, introduciendo </w:t>
      </w:r>
      <w:r w:rsidR="003959FE" w:rsidRPr="002720D0">
        <w:rPr>
          <w:lang w:val="es-ES_tradnl"/>
        </w:rPr>
        <w:t>un sistema distinto para los menores de 18 años en Zanzíbar. En virtud de esta ley se instauró un Tribunal de Menores en todas las regiones, para entender en causas que afecten a niños en conflicto con la ley</w:t>
      </w:r>
      <w:r w:rsidR="002F257C" w:rsidRPr="002720D0">
        <w:rPr>
          <w:lang w:val="es-ES_tradnl"/>
        </w:rPr>
        <w:t xml:space="preserve"> </w:t>
      </w:r>
      <w:r w:rsidR="003959FE" w:rsidRPr="002720D0">
        <w:rPr>
          <w:lang w:val="es-ES_tradnl"/>
        </w:rPr>
        <w:t xml:space="preserve">o en causas de protección y bienestar de los niños. La creación del Tribunal de Menores no </w:t>
      </w:r>
      <w:r w:rsidR="00C41C0E" w:rsidRPr="002720D0">
        <w:rPr>
          <w:lang w:val="es-ES_tradnl"/>
        </w:rPr>
        <w:t>afecta a</w:t>
      </w:r>
      <w:r w:rsidR="003959FE" w:rsidRPr="002720D0">
        <w:rPr>
          <w:lang w:val="es-ES_tradnl"/>
        </w:rPr>
        <w:t xml:space="preserve"> la jurisdicción de </w:t>
      </w:r>
      <w:r w:rsidR="00586B45">
        <w:rPr>
          <w:lang w:val="es-ES_tradnl"/>
        </w:rPr>
        <w:t>T</w:t>
      </w:r>
      <w:r w:rsidR="00586B45" w:rsidRPr="002720D0">
        <w:rPr>
          <w:lang w:val="es-ES_tradnl"/>
        </w:rPr>
        <w:t xml:space="preserve">ribunal del </w:t>
      </w:r>
      <w:r w:rsidR="00586B45">
        <w:rPr>
          <w:lang w:val="es-ES_tradnl"/>
        </w:rPr>
        <w:t xml:space="preserve">Cadí </w:t>
      </w:r>
      <w:r w:rsidR="003959FE" w:rsidRPr="002720D0">
        <w:rPr>
          <w:lang w:val="es-ES_tradnl"/>
        </w:rPr>
        <w:t xml:space="preserve">para entender en asuntos de derecho islámico relativos al estatuto personal, el matrimonio, el divorcio y los alimentos o las herencias. </w:t>
      </w:r>
      <w:r w:rsidR="00C41C0E" w:rsidRPr="002720D0">
        <w:rPr>
          <w:lang w:val="es-ES_tradnl"/>
        </w:rPr>
        <w:t xml:space="preserve">Por otra parte, Tanzanía continental ha establecido un Tribunal de Menores para entender en asuntos relativos a la infancia y dictaminar al respecto. Sin embargo, en aras de velar por que los derechos de los niños se realicen y </w:t>
      </w:r>
      <w:r w:rsidR="002F257C" w:rsidRPr="002720D0">
        <w:rPr>
          <w:lang w:val="es-ES_tradnl"/>
        </w:rPr>
        <w:t xml:space="preserve">que </w:t>
      </w:r>
      <w:r w:rsidR="00FC4BDD">
        <w:rPr>
          <w:lang w:val="es-ES_tradnl"/>
        </w:rPr>
        <w:t>las causas se evacu</w:t>
      </w:r>
      <w:r w:rsidR="00C41C0E" w:rsidRPr="002720D0">
        <w:rPr>
          <w:lang w:val="es-ES_tradnl"/>
        </w:rPr>
        <w:t xml:space="preserve">en sin dilación indebida, el Presidente del Tribunal Supremo podrá designar los locales de un tribunal ordinario para </w:t>
      </w:r>
      <w:r w:rsidR="00586B45">
        <w:rPr>
          <w:lang w:val="es-ES_tradnl"/>
        </w:rPr>
        <w:t>que sirvan</w:t>
      </w:r>
      <w:r w:rsidR="00C41C0E" w:rsidRPr="002720D0">
        <w:rPr>
          <w:lang w:val="es-ES_tradnl"/>
        </w:rPr>
        <w:t xml:space="preserve"> como tribunal de menores. </w:t>
      </w:r>
    </w:p>
    <w:p w:rsidR="00151021" w:rsidRPr="002720D0" w:rsidRDefault="004F6364" w:rsidP="004F6364">
      <w:pPr>
        <w:pStyle w:val="SingleTxtG"/>
        <w:tabs>
          <w:tab w:val="left" w:pos="-360"/>
        </w:tabs>
        <w:rPr>
          <w:lang w:val="es-ES_tradnl"/>
        </w:rPr>
      </w:pPr>
      <w:r w:rsidRPr="002720D0">
        <w:rPr>
          <w:lang w:val="es-ES_tradnl"/>
        </w:rPr>
        <w:t>300.</w:t>
      </w:r>
      <w:r w:rsidRPr="002720D0">
        <w:rPr>
          <w:lang w:val="es-ES_tradnl"/>
        </w:rPr>
        <w:tab/>
      </w:r>
      <w:r w:rsidR="00C41C0E" w:rsidRPr="002720D0">
        <w:rPr>
          <w:lang w:val="es-ES_tradnl"/>
        </w:rPr>
        <w:t>En Tanzaní</w:t>
      </w:r>
      <w:r w:rsidR="00151021" w:rsidRPr="002720D0">
        <w:rPr>
          <w:lang w:val="es-ES_tradnl"/>
        </w:rPr>
        <w:t xml:space="preserve">a </w:t>
      </w:r>
      <w:r w:rsidR="00C41C0E" w:rsidRPr="002720D0">
        <w:rPr>
          <w:lang w:val="es-ES_tradnl"/>
        </w:rPr>
        <w:t xml:space="preserve">continental, la </w:t>
      </w:r>
      <w:r w:rsidR="002F257C" w:rsidRPr="002720D0">
        <w:rPr>
          <w:lang w:val="es-ES_tradnl"/>
        </w:rPr>
        <w:t>constitución</w:t>
      </w:r>
      <w:r w:rsidR="00C41C0E" w:rsidRPr="002720D0">
        <w:rPr>
          <w:lang w:val="es-ES_tradnl"/>
        </w:rPr>
        <w:t xml:space="preserve"> de la Sección de Servicios de Justicia </w:t>
      </w:r>
      <w:r w:rsidR="00F07FB4">
        <w:rPr>
          <w:lang w:val="es-ES_tradnl"/>
        </w:rPr>
        <w:t>de Menores</w:t>
      </w:r>
      <w:r w:rsidR="00C41C0E" w:rsidRPr="002720D0">
        <w:rPr>
          <w:lang w:val="es-ES_tradnl"/>
        </w:rPr>
        <w:t xml:space="preserve"> en el seno del Ministerio de Salud y Bienestar Social tiene por objeto elaborar y examinar políticas, leyes y reglamentos para la justicia </w:t>
      </w:r>
      <w:r w:rsidR="00F07FB4">
        <w:rPr>
          <w:lang w:val="es-ES_tradnl"/>
        </w:rPr>
        <w:t>de menores</w:t>
      </w:r>
      <w:r w:rsidR="00C41C0E" w:rsidRPr="002720D0">
        <w:rPr>
          <w:lang w:val="es-ES_tradnl"/>
        </w:rPr>
        <w:t xml:space="preserve">. Esta </w:t>
      </w:r>
      <w:r w:rsidR="00EE2796" w:rsidRPr="002720D0">
        <w:rPr>
          <w:lang w:val="es-ES_tradnl"/>
        </w:rPr>
        <w:t>sección</w:t>
      </w:r>
      <w:r w:rsidR="00C41C0E" w:rsidRPr="002720D0">
        <w:rPr>
          <w:lang w:val="es-ES_tradnl"/>
        </w:rPr>
        <w:t xml:space="preserve"> elabora planes sostenibles, </w:t>
      </w:r>
      <w:r w:rsidR="00036993" w:rsidRPr="002720D0">
        <w:rPr>
          <w:lang w:val="es-ES_tradnl"/>
        </w:rPr>
        <w:t xml:space="preserve">y </w:t>
      </w:r>
      <w:r w:rsidR="00C41C0E" w:rsidRPr="002720D0">
        <w:rPr>
          <w:lang w:val="es-ES_tradnl"/>
        </w:rPr>
        <w:t xml:space="preserve">coordina la custodia y el cuidado de los niños acusados en </w:t>
      </w:r>
      <w:r w:rsidR="00036993" w:rsidRPr="002720D0">
        <w:rPr>
          <w:lang w:val="es-ES_tradnl"/>
        </w:rPr>
        <w:t xml:space="preserve">los hogares de internamiento y las escuelas aprobadas. También coordina la </w:t>
      </w:r>
      <w:r w:rsidR="002F257C" w:rsidRPr="002720D0">
        <w:rPr>
          <w:lang w:val="es-ES_tradnl"/>
        </w:rPr>
        <w:t>orientación</w:t>
      </w:r>
      <w:r w:rsidR="00036993" w:rsidRPr="002720D0">
        <w:rPr>
          <w:lang w:val="es-ES_tradnl"/>
        </w:rPr>
        <w:t xml:space="preserve">, </w:t>
      </w:r>
      <w:r w:rsidR="002F257C" w:rsidRPr="002720D0">
        <w:rPr>
          <w:lang w:val="es-ES_tradnl"/>
        </w:rPr>
        <w:t xml:space="preserve">la </w:t>
      </w:r>
      <w:r w:rsidR="00036993" w:rsidRPr="002720D0">
        <w:rPr>
          <w:lang w:val="es-ES_tradnl"/>
        </w:rPr>
        <w:t xml:space="preserve">rehabilitación y </w:t>
      </w:r>
      <w:r w:rsidR="002F257C" w:rsidRPr="002720D0">
        <w:rPr>
          <w:lang w:val="es-ES_tradnl"/>
        </w:rPr>
        <w:t xml:space="preserve">el </w:t>
      </w:r>
      <w:r w:rsidR="00036993" w:rsidRPr="002720D0">
        <w:rPr>
          <w:lang w:val="es-ES_tradnl"/>
        </w:rPr>
        <w:t xml:space="preserve">asesoramiento a los alcohólicos y drogodependientes. Además, lleva a cabo la rehabilitación cognitiva de los niños y </w:t>
      </w:r>
      <w:r w:rsidR="002F257C" w:rsidRPr="002720D0">
        <w:rPr>
          <w:lang w:val="es-ES_tradnl"/>
        </w:rPr>
        <w:t>realiza estudios de resultados y de investigaciones</w:t>
      </w:r>
      <w:r w:rsidR="00036993" w:rsidRPr="002720D0">
        <w:rPr>
          <w:lang w:val="es-ES_tradnl"/>
        </w:rPr>
        <w:t xml:space="preserve"> relativa</w:t>
      </w:r>
      <w:r w:rsidR="002F257C" w:rsidRPr="002720D0">
        <w:rPr>
          <w:lang w:val="es-ES_tradnl"/>
        </w:rPr>
        <w:t>s</w:t>
      </w:r>
      <w:r w:rsidR="00036993" w:rsidRPr="002720D0">
        <w:rPr>
          <w:lang w:val="es-ES_tradnl"/>
        </w:rPr>
        <w:t xml:space="preserve"> a varias intervenciones de la justicia </w:t>
      </w:r>
      <w:r w:rsidR="00F07FB4">
        <w:rPr>
          <w:lang w:val="es-ES_tradnl"/>
        </w:rPr>
        <w:t>de menores</w:t>
      </w:r>
      <w:r w:rsidR="00036993" w:rsidRPr="002720D0">
        <w:rPr>
          <w:lang w:val="es-ES_tradnl"/>
        </w:rPr>
        <w:t xml:space="preserve">. </w:t>
      </w:r>
    </w:p>
    <w:p w:rsidR="00151021" w:rsidRPr="00A74BF4" w:rsidRDefault="004F6364" w:rsidP="004F6364">
      <w:pPr>
        <w:pStyle w:val="SingleTxtG"/>
        <w:tabs>
          <w:tab w:val="left" w:pos="-360"/>
        </w:tabs>
        <w:rPr>
          <w:lang w:val="es-ES_tradnl"/>
        </w:rPr>
      </w:pPr>
      <w:r w:rsidRPr="00A74BF4">
        <w:rPr>
          <w:lang w:val="es-ES_tradnl"/>
        </w:rPr>
        <w:t>301.</w:t>
      </w:r>
      <w:r w:rsidRPr="00A74BF4">
        <w:rPr>
          <w:lang w:val="es-ES_tradnl"/>
        </w:rPr>
        <w:tab/>
      </w:r>
      <w:r w:rsidR="00036993" w:rsidRPr="00A74BF4">
        <w:rPr>
          <w:lang w:val="es-ES_tradnl"/>
        </w:rPr>
        <w:t>En T</w:t>
      </w:r>
      <w:r w:rsidR="002F257C" w:rsidRPr="00A74BF4">
        <w:rPr>
          <w:lang w:val="es-ES_tradnl"/>
        </w:rPr>
        <w:t>anzanía continental, el Estado p</w:t>
      </w:r>
      <w:r w:rsidR="00036993" w:rsidRPr="00A74BF4">
        <w:rPr>
          <w:lang w:val="es-ES_tradnl"/>
        </w:rPr>
        <w:t xml:space="preserve">arte ha creado seis hogares de internamiento en todo el territorio, y una escuela aprobada. Se han tomado medidas para construir hogares de internamiento en cada una de las siete zonas. La Ley de la </w:t>
      </w:r>
      <w:r w:rsidR="00325617" w:rsidRPr="00A74BF4">
        <w:rPr>
          <w:lang w:val="es-ES_tradnl"/>
        </w:rPr>
        <w:t xml:space="preserve">Infancia </w:t>
      </w:r>
      <w:r w:rsidR="00036993" w:rsidRPr="00A74BF4">
        <w:rPr>
          <w:lang w:val="es-ES_tradnl"/>
        </w:rPr>
        <w:t xml:space="preserve">de 2009 prohíbe la pena capital y la cadena perpetua para los niños. Las sentencias </w:t>
      </w:r>
      <w:r w:rsidR="00A74BF4">
        <w:rPr>
          <w:lang w:val="es-ES_tradnl"/>
        </w:rPr>
        <w:t>que no conllevan pena de</w:t>
      </w:r>
      <w:r w:rsidR="00036993" w:rsidRPr="00A74BF4">
        <w:rPr>
          <w:lang w:val="es-ES_tradnl"/>
        </w:rPr>
        <w:t xml:space="preserve"> reclusión solamente se aplican en circunstancias excepcionales, en consideración del interés superior del niño</w:t>
      </w:r>
      <w:r w:rsidR="00A74BF4">
        <w:rPr>
          <w:lang w:val="es-ES_tradnl"/>
        </w:rPr>
        <w:t xml:space="preserve">. </w:t>
      </w:r>
      <w:r w:rsidR="00036993" w:rsidRPr="00A74BF4">
        <w:rPr>
          <w:lang w:val="es-ES_tradnl"/>
        </w:rPr>
        <w:t>L</w:t>
      </w:r>
      <w:r w:rsidR="002F257C" w:rsidRPr="00A74BF4">
        <w:rPr>
          <w:lang w:val="es-ES_tradnl"/>
        </w:rPr>
        <w:t>a L</w:t>
      </w:r>
      <w:r w:rsidR="00036993" w:rsidRPr="00A74BF4">
        <w:rPr>
          <w:lang w:val="es-ES_tradnl"/>
        </w:rPr>
        <w:t xml:space="preserve">ey de la </w:t>
      </w:r>
      <w:r w:rsidR="00325617" w:rsidRPr="00A74BF4">
        <w:rPr>
          <w:lang w:val="es-ES_tradnl"/>
        </w:rPr>
        <w:t xml:space="preserve">Infancia </w:t>
      </w:r>
      <w:r w:rsidR="00036993" w:rsidRPr="00A74BF4">
        <w:rPr>
          <w:lang w:val="es-ES_tradnl"/>
        </w:rPr>
        <w:t xml:space="preserve">dispone </w:t>
      </w:r>
      <w:r w:rsidR="002F257C" w:rsidRPr="00A74BF4">
        <w:rPr>
          <w:lang w:val="es-ES_tradnl"/>
        </w:rPr>
        <w:t>la reclusión del</w:t>
      </w:r>
      <w:r w:rsidR="00036993" w:rsidRPr="00A74BF4">
        <w:rPr>
          <w:lang w:val="es-ES_tradnl"/>
        </w:rPr>
        <w:t xml:space="preserve"> niño bajo la custodia de una escuela aprobada. Un </w:t>
      </w:r>
      <w:r w:rsidR="00116DC9" w:rsidRPr="00A74BF4">
        <w:rPr>
          <w:lang w:val="es-ES_tradnl"/>
        </w:rPr>
        <w:t xml:space="preserve">niño en estas circunstancias </w:t>
      </w:r>
      <w:r w:rsidR="00036993" w:rsidRPr="00A74BF4">
        <w:rPr>
          <w:lang w:val="es-ES_tradnl"/>
        </w:rPr>
        <w:t xml:space="preserve">permanecerá privado de libertad durante un plazo </w:t>
      </w:r>
      <w:r w:rsidR="00116DC9" w:rsidRPr="00A74BF4">
        <w:rPr>
          <w:lang w:val="es-ES_tradnl"/>
        </w:rPr>
        <w:t>máximo de</w:t>
      </w:r>
      <w:r w:rsidR="00036993" w:rsidRPr="00A74BF4">
        <w:rPr>
          <w:lang w:val="es-ES_tradnl"/>
        </w:rPr>
        <w:t xml:space="preserve"> </w:t>
      </w:r>
      <w:r w:rsidR="00116DC9" w:rsidRPr="00A74BF4">
        <w:rPr>
          <w:lang w:val="es-ES_tradnl"/>
        </w:rPr>
        <w:t xml:space="preserve">tres años. </w:t>
      </w:r>
    </w:p>
    <w:p w:rsidR="00151021" w:rsidRPr="002720D0" w:rsidRDefault="004F6364" w:rsidP="004F6364">
      <w:pPr>
        <w:pStyle w:val="SingleTxtG"/>
        <w:tabs>
          <w:tab w:val="left" w:pos="-360"/>
        </w:tabs>
        <w:rPr>
          <w:lang w:val="es-ES_tradnl"/>
        </w:rPr>
      </w:pPr>
      <w:r w:rsidRPr="002720D0">
        <w:rPr>
          <w:lang w:val="es-ES_tradnl"/>
        </w:rPr>
        <w:t>302.</w:t>
      </w:r>
      <w:r w:rsidRPr="002720D0">
        <w:rPr>
          <w:lang w:val="es-ES_tradnl"/>
        </w:rPr>
        <w:tab/>
      </w:r>
      <w:r w:rsidR="00093A4F" w:rsidRPr="002720D0">
        <w:rPr>
          <w:lang w:val="es-ES_tradnl"/>
        </w:rPr>
        <w:t>Por lo que respecta a la recuperación física y psicológica y la r</w:t>
      </w:r>
      <w:r w:rsidR="00F55E50" w:rsidRPr="002720D0">
        <w:rPr>
          <w:lang w:val="es-ES_tradnl"/>
        </w:rPr>
        <w:t>eintegración social, el Estado p</w:t>
      </w:r>
      <w:r w:rsidR="00093A4F" w:rsidRPr="002720D0">
        <w:rPr>
          <w:lang w:val="es-ES_tradnl"/>
        </w:rPr>
        <w:t>arte está tomando medidas para velar por que los niños contra quienes se dicten penas de</w:t>
      </w:r>
      <w:r w:rsidR="00F55E50" w:rsidRPr="002720D0">
        <w:rPr>
          <w:lang w:val="es-ES_tradnl"/>
        </w:rPr>
        <w:t xml:space="preserve"> privación de libertad reciban a</w:t>
      </w:r>
      <w:r w:rsidR="00093A4F" w:rsidRPr="002720D0">
        <w:rPr>
          <w:lang w:val="es-ES_tradnl"/>
        </w:rPr>
        <w:t xml:space="preserve">poyo físico y psicológico. Antes de </w:t>
      </w:r>
      <w:r w:rsidR="00F55E50" w:rsidRPr="002720D0">
        <w:rPr>
          <w:lang w:val="es-ES_tradnl"/>
        </w:rPr>
        <w:t>que abandonen</w:t>
      </w:r>
      <w:r w:rsidR="00093A4F" w:rsidRPr="002720D0">
        <w:rPr>
          <w:lang w:val="es-ES_tradnl"/>
        </w:rPr>
        <w:t xml:space="preserve"> la escuela aprobada, se vincula a los niños con funcionarios de bienestar </w:t>
      </w:r>
      <w:r w:rsidR="00F55E50" w:rsidRPr="002720D0">
        <w:rPr>
          <w:lang w:val="es-ES_tradnl"/>
        </w:rPr>
        <w:t>social de su zona de residencia</w:t>
      </w:r>
      <w:r w:rsidR="00093A4F" w:rsidRPr="002720D0">
        <w:rPr>
          <w:lang w:val="es-ES_tradnl"/>
        </w:rPr>
        <w:t xml:space="preserve"> y se elabora conjuntamente con el niño</w:t>
      </w:r>
      <w:r w:rsidR="00F55E50" w:rsidRPr="002720D0">
        <w:rPr>
          <w:lang w:val="es-ES_tradnl"/>
        </w:rPr>
        <w:t xml:space="preserve"> un plan de libertad</w:t>
      </w:r>
      <w:r w:rsidR="00093A4F" w:rsidRPr="002720D0">
        <w:rPr>
          <w:lang w:val="es-ES_tradnl"/>
        </w:rPr>
        <w:t xml:space="preserve">. Los hogares de internamiento y la escuela aprobada cuentan con funcionarios de bienestar social empleados a tiempo completo, quienes </w:t>
      </w:r>
      <w:r w:rsidR="00F55E50" w:rsidRPr="002720D0">
        <w:rPr>
          <w:lang w:val="es-ES_tradnl"/>
        </w:rPr>
        <w:t>proporcionan</w:t>
      </w:r>
      <w:r w:rsidR="00093A4F" w:rsidRPr="002720D0">
        <w:rPr>
          <w:lang w:val="es-ES_tradnl"/>
        </w:rPr>
        <w:t xml:space="preserve"> a los niños orientaciones y asesoramiento psicosociales y los preparan para su reintegración en la comunidad. </w:t>
      </w:r>
    </w:p>
    <w:p w:rsidR="00151021" w:rsidRPr="002720D0" w:rsidRDefault="004F6364" w:rsidP="004F6364">
      <w:pPr>
        <w:pStyle w:val="SingleTxtG"/>
        <w:tabs>
          <w:tab w:val="left" w:pos="-360"/>
        </w:tabs>
        <w:rPr>
          <w:lang w:val="es-ES_tradnl"/>
        </w:rPr>
      </w:pPr>
      <w:r w:rsidRPr="002720D0">
        <w:rPr>
          <w:lang w:val="es-ES_tradnl"/>
        </w:rPr>
        <w:t>303.</w:t>
      </w:r>
      <w:r w:rsidRPr="002720D0">
        <w:rPr>
          <w:lang w:val="es-ES_tradnl"/>
        </w:rPr>
        <w:tab/>
      </w:r>
      <w:r w:rsidR="00F55E50" w:rsidRPr="002720D0">
        <w:rPr>
          <w:lang w:val="es-ES_tradnl"/>
        </w:rPr>
        <w:t>En 2011 el Estado p</w:t>
      </w:r>
      <w:r w:rsidR="00596103" w:rsidRPr="002720D0">
        <w:rPr>
          <w:lang w:val="es-ES_tradnl"/>
        </w:rPr>
        <w:t xml:space="preserve">arte realizó, por conducto de la Comisión </w:t>
      </w:r>
      <w:r w:rsidR="00596103" w:rsidRPr="002720D0">
        <w:rPr>
          <w:bCs/>
          <w:lang w:val="es-ES_tradnl"/>
        </w:rPr>
        <w:t>de Derechos Humanos y Buen Gobierno, una inspección destinada a los niños en las instalaciones de privación de libertad de Tanzanía, que puso de manifiesto la pr</w:t>
      </w:r>
      <w:r w:rsidR="00F55E50" w:rsidRPr="002720D0">
        <w:rPr>
          <w:bCs/>
          <w:lang w:val="es-ES_tradnl"/>
        </w:rPr>
        <w:t>e</w:t>
      </w:r>
      <w:r w:rsidR="00586B45">
        <w:rPr>
          <w:bCs/>
          <w:lang w:val="es-ES_tradnl"/>
        </w:rPr>
        <w:t>sencia de 1.400</w:t>
      </w:r>
      <w:r w:rsidR="00596103" w:rsidRPr="002720D0">
        <w:rPr>
          <w:bCs/>
          <w:lang w:val="es-ES_tradnl"/>
        </w:rPr>
        <w:t xml:space="preserve"> niños en establecimientos penitenciarios e instalaciones de detención para adultos</w:t>
      </w:r>
      <w:r w:rsidR="00151021" w:rsidRPr="002720D0">
        <w:rPr>
          <w:rStyle w:val="FootnoteReference"/>
          <w:lang w:val="es-ES_tradnl"/>
        </w:rPr>
        <w:footnoteReference w:id="121"/>
      </w:r>
      <w:r w:rsidR="00596103" w:rsidRPr="002720D0">
        <w:rPr>
          <w:bCs/>
          <w:lang w:val="es-ES_tradnl"/>
        </w:rPr>
        <w:t xml:space="preserve">. También realizó, por conducto del Ministerio de Asuntos Constitucionales y </w:t>
      </w:r>
      <w:r w:rsidR="00F55E50" w:rsidRPr="002720D0">
        <w:rPr>
          <w:bCs/>
          <w:lang w:val="es-ES_tradnl"/>
        </w:rPr>
        <w:t xml:space="preserve">de </w:t>
      </w:r>
      <w:r w:rsidR="00596103" w:rsidRPr="002720D0">
        <w:rPr>
          <w:bCs/>
          <w:lang w:val="es-ES_tradnl"/>
        </w:rPr>
        <w:t xml:space="preserve">Justicia, una evaluación de la justicia </w:t>
      </w:r>
      <w:r w:rsidR="00F07FB4">
        <w:rPr>
          <w:bCs/>
          <w:lang w:val="es-ES_tradnl"/>
        </w:rPr>
        <w:t>de menores</w:t>
      </w:r>
      <w:r w:rsidR="00596103" w:rsidRPr="002720D0">
        <w:rPr>
          <w:bCs/>
          <w:lang w:val="es-ES_tradnl"/>
        </w:rPr>
        <w:t xml:space="preserve"> y </w:t>
      </w:r>
      <w:r w:rsidR="00F55E50" w:rsidRPr="002720D0">
        <w:rPr>
          <w:bCs/>
          <w:lang w:val="es-ES_tradnl"/>
        </w:rPr>
        <w:t>d</w:t>
      </w:r>
      <w:r w:rsidR="00596103" w:rsidRPr="002720D0">
        <w:rPr>
          <w:bCs/>
          <w:lang w:val="es-ES_tradnl"/>
        </w:rPr>
        <w:t xml:space="preserve">el acceso </w:t>
      </w:r>
      <w:r w:rsidR="00F55E50" w:rsidRPr="002720D0">
        <w:rPr>
          <w:bCs/>
          <w:lang w:val="es-ES_tradnl"/>
        </w:rPr>
        <w:t>a la justicia por</w:t>
      </w:r>
      <w:r w:rsidR="00596103" w:rsidRPr="002720D0">
        <w:rPr>
          <w:bCs/>
          <w:lang w:val="es-ES_tradnl"/>
        </w:rPr>
        <w:t xml:space="preserve"> los niños</w:t>
      </w:r>
      <w:r w:rsidR="00F55E50" w:rsidRPr="002720D0">
        <w:rPr>
          <w:bCs/>
          <w:lang w:val="es-ES_tradnl"/>
        </w:rPr>
        <w:t>. Esta evaluación sirvió para determinar</w:t>
      </w:r>
      <w:r w:rsidR="00596103" w:rsidRPr="002720D0">
        <w:rPr>
          <w:bCs/>
          <w:lang w:val="es-ES_tradnl"/>
        </w:rPr>
        <w:t xml:space="preserve"> </w:t>
      </w:r>
      <w:r w:rsidR="00F55E50" w:rsidRPr="002720D0">
        <w:rPr>
          <w:bCs/>
          <w:lang w:val="es-ES_tradnl"/>
        </w:rPr>
        <w:t>que el Estado p</w:t>
      </w:r>
      <w:r w:rsidR="00596103" w:rsidRPr="002720D0">
        <w:rPr>
          <w:bCs/>
          <w:lang w:val="es-ES_tradnl"/>
        </w:rPr>
        <w:t xml:space="preserve">arte </w:t>
      </w:r>
      <w:r w:rsidR="00F55E50" w:rsidRPr="002720D0">
        <w:rPr>
          <w:bCs/>
          <w:lang w:val="es-ES_tradnl"/>
        </w:rPr>
        <w:t>se enfrentaba con</w:t>
      </w:r>
      <w:r w:rsidR="00596103" w:rsidRPr="002720D0">
        <w:rPr>
          <w:bCs/>
          <w:lang w:val="es-ES_tradnl"/>
        </w:rPr>
        <w:t xml:space="preserve"> varias dificultades, en particular la falta de </w:t>
      </w:r>
      <w:r w:rsidR="00F55E50" w:rsidRPr="002720D0">
        <w:rPr>
          <w:bCs/>
          <w:lang w:val="es-ES_tradnl"/>
        </w:rPr>
        <w:t xml:space="preserve">unos </w:t>
      </w:r>
      <w:r w:rsidR="00596103" w:rsidRPr="002720D0">
        <w:rPr>
          <w:bCs/>
          <w:lang w:val="es-ES_tradnl"/>
        </w:rPr>
        <w:t>servicios de asistencia l</w:t>
      </w:r>
      <w:r w:rsidR="00F55E50" w:rsidRPr="002720D0">
        <w:rPr>
          <w:bCs/>
          <w:lang w:val="es-ES_tradnl"/>
        </w:rPr>
        <w:t>etrada fiables para los niños, así como</w:t>
      </w:r>
      <w:r w:rsidR="00596103" w:rsidRPr="002720D0">
        <w:rPr>
          <w:bCs/>
          <w:lang w:val="es-ES_tradnl"/>
        </w:rPr>
        <w:t xml:space="preserve"> un número insuficiente tanto de funcionarios de bienestar social como de personal con formación especializada en justicia </w:t>
      </w:r>
      <w:r w:rsidR="00F07FB4">
        <w:rPr>
          <w:bCs/>
          <w:lang w:val="es-ES_tradnl"/>
        </w:rPr>
        <w:t>de menores</w:t>
      </w:r>
      <w:r w:rsidR="00596103" w:rsidRPr="002720D0">
        <w:rPr>
          <w:bCs/>
          <w:lang w:val="es-ES_tradnl"/>
        </w:rPr>
        <w:t>. El estudio también puso de manifiesto la falta de equipos e instal</w:t>
      </w:r>
      <w:r w:rsidR="00F55E50" w:rsidRPr="002720D0">
        <w:rPr>
          <w:bCs/>
          <w:lang w:val="es-ES_tradnl"/>
        </w:rPr>
        <w:t xml:space="preserve">aciones para la </w:t>
      </w:r>
      <w:r w:rsidR="002720D0" w:rsidRPr="002720D0">
        <w:rPr>
          <w:bCs/>
          <w:lang w:val="es-ES_tradnl"/>
        </w:rPr>
        <w:t>administración</w:t>
      </w:r>
      <w:r w:rsidR="00F55E50" w:rsidRPr="002720D0">
        <w:rPr>
          <w:bCs/>
          <w:lang w:val="es-ES_tradnl"/>
        </w:rPr>
        <w:t xml:space="preserve"> de </w:t>
      </w:r>
      <w:r w:rsidR="00596103" w:rsidRPr="002720D0">
        <w:rPr>
          <w:bCs/>
          <w:lang w:val="es-ES_tradnl"/>
        </w:rPr>
        <w:t xml:space="preserve">la justicia </w:t>
      </w:r>
      <w:r w:rsidR="00F07FB4">
        <w:rPr>
          <w:bCs/>
          <w:lang w:val="es-ES_tradnl"/>
        </w:rPr>
        <w:t>de menores</w:t>
      </w:r>
      <w:r w:rsidR="00596103" w:rsidRPr="002720D0">
        <w:rPr>
          <w:bCs/>
          <w:lang w:val="es-ES_tradnl"/>
        </w:rPr>
        <w:t>. El</w:t>
      </w:r>
      <w:r w:rsidR="001D2A53">
        <w:rPr>
          <w:bCs/>
          <w:lang w:val="es-ES_tradnl"/>
        </w:rPr>
        <w:t xml:space="preserve"> </w:t>
      </w:r>
      <w:r w:rsidR="00596103" w:rsidRPr="002720D0">
        <w:rPr>
          <w:bCs/>
          <w:lang w:val="es-ES_tradnl"/>
        </w:rPr>
        <w:t>Foro de Justicia Infantil, de reciente creación, ha elaborado estrategias para la intervención relativa a las lagunas identificadas mediante este estudio</w:t>
      </w:r>
      <w:r w:rsidR="00151021" w:rsidRPr="002720D0">
        <w:rPr>
          <w:lang w:val="es-ES_tradnl"/>
        </w:rPr>
        <w:t xml:space="preserve">. </w:t>
      </w:r>
      <w:r w:rsidR="00F55E50" w:rsidRPr="002720D0">
        <w:rPr>
          <w:lang w:val="es-ES_tradnl"/>
        </w:rPr>
        <w:t>El Estado p</w:t>
      </w:r>
      <w:r w:rsidR="00596103" w:rsidRPr="002720D0">
        <w:rPr>
          <w:lang w:val="es-ES_tradnl"/>
        </w:rPr>
        <w:t>arte también ha creado unidades de asuntos de género y de la niñez, que se han puesto en marcha de forma experimental en las comisarías de policía</w:t>
      </w:r>
      <w:r w:rsidR="00151021" w:rsidRPr="002720D0">
        <w:rPr>
          <w:lang w:val="es-ES_tradnl"/>
        </w:rPr>
        <w:t xml:space="preserve">. </w:t>
      </w:r>
      <w:r w:rsidR="00596103" w:rsidRPr="002720D0">
        <w:rPr>
          <w:lang w:val="es-ES_tradnl"/>
        </w:rPr>
        <w:t>Está previst</w:t>
      </w:r>
      <w:r w:rsidR="006D7A91" w:rsidRPr="002720D0">
        <w:rPr>
          <w:lang w:val="es-ES_tradnl"/>
        </w:rPr>
        <w:t xml:space="preserve">o ampliar </w:t>
      </w:r>
      <w:r w:rsidR="00596103" w:rsidRPr="002720D0">
        <w:rPr>
          <w:lang w:val="es-ES_tradnl"/>
        </w:rPr>
        <w:t xml:space="preserve">estas unidades </w:t>
      </w:r>
      <w:r w:rsidR="00F55E50" w:rsidRPr="002720D0">
        <w:rPr>
          <w:lang w:val="es-ES_tradnl"/>
        </w:rPr>
        <w:t>a</w:t>
      </w:r>
      <w:r w:rsidR="00596103" w:rsidRPr="002720D0">
        <w:rPr>
          <w:lang w:val="es-ES_tradnl"/>
        </w:rPr>
        <w:t xml:space="preserve"> todas las comisarías del país</w:t>
      </w:r>
      <w:r w:rsidR="006D7A91" w:rsidRPr="002720D0">
        <w:rPr>
          <w:lang w:val="es-ES_tradnl"/>
        </w:rPr>
        <w:t xml:space="preserve"> y elaborar los correspondientes procedimientos operativos normalizados. El Departamento de Bienestar Social está colaborando con el UNICEF para crear un programa de rehabilitación en la comunidad para jóvenes infractores y para niños</w:t>
      </w:r>
      <w:r w:rsidR="001D2A53">
        <w:rPr>
          <w:lang w:val="es-ES_tradnl"/>
        </w:rPr>
        <w:t xml:space="preserve"> </w:t>
      </w:r>
      <w:r w:rsidR="006D7A91" w:rsidRPr="002720D0">
        <w:rPr>
          <w:lang w:val="es-ES_tradnl"/>
        </w:rPr>
        <w:t>en situación de riesgo de infringir.</w:t>
      </w:r>
    </w:p>
    <w:p w:rsidR="00151021" w:rsidRPr="002720D0" w:rsidRDefault="004F6364" w:rsidP="004F6364">
      <w:pPr>
        <w:pStyle w:val="SingleTxtG"/>
        <w:tabs>
          <w:tab w:val="left" w:pos="-360"/>
        </w:tabs>
        <w:rPr>
          <w:lang w:val="es-ES_tradnl"/>
        </w:rPr>
      </w:pPr>
      <w:r w:rsidRPr="002720D0">
        <w:rPr>
          <w:lang w:val="es-ES_tradnl"/>
        </w:rPr>
        <w:t>304.</w:t>
      </w:r>
      <w:r w:rsidRPr="002720D0">
        <w:rPr>
          <w:lang w:val="es-ES_tradnl"/>
        </w:rPr>
        <w:tab/>
      </w:r>
      <w:r w:rsidR="006D7A91" w:rsidRPr="002720D0">
        <w:rPr>
          <w:lang w:val="es-ES_tradnl"/>
        </w:rPr>
        <w:t xml:space="preserve">Antes de la promulgación de la Ley de la </w:t>
      </w:r>
      <w:r w:rsidR="00325617" w:rsidRPr="002720D0">
        <w:rPr>
          <w:lang w:val="es-ES_tradnl"/>
        </w:rPr>
        <w:t xml:space="preserve">Infancia </w:t>
      </w:r>
      <w:r w:rsidR="006D7A91" w:rsidRPr="002720D0">
        <w:rPr>
          <w:lang w:val="es-ES_tradnl"/>
        </w:rPr>
        <w:t xml:space="preserve">en </w:t>
      </w:r>
      <w:r w:rsidR="00151021" w:rsidRPr="002720D0">
        <w:rPr>
          <w:lang w:val="es-ES_tradnl"/>
        </w:rPr>
        <w:t xml:space="preserve">2009, </w:t>
      </w:r>
      <w:r w:rsidR="006D7A91" w:rsidRPr="002720D0">
        <w:rPr>
          <w:lang w:val="es-ES_tradnl"/>
        </w:rPr>
        <w:t xml:space="preserve">se impartía formación descoordinada para los profesionales de la administración de la justicia </w:t>
      </w:r>
      <w:r w:rsidR="00F07FB4">
        <w:rPr>
          <w:lang w:val="es-ES_tradnl"/>
        </w:rPr>
        <w:t>de menores</w:t>
      </w:r>
      <w:r w:rsidR="006D7A91" w:rsidRPr="002720D0">
        <w:rPr>
          <w:lang w:val="es-ES_tradnl"/>
        </w:rPr>
        <w:t>. Tras la promulgación de esa ley se están tomando medidas para organizar programas de formación coordinados en el sector de la justicia</w:t>
      </w:r>
      <w:r w:rsidR="00F55E50" w:rsidRPr="002720D0">
        <w:rPr>
          <w:lang w:val="es-ES_tradnl"/>
        </w:rPr>
        <w:t>,</w:t>
      </w:r>
      <w:r w:rsidR="006D7A91" w:rsidRPr="002720D0">
        <w:rPr>
          <w:lang w:val="es-ES_tradnl"/>
        </w:rPr>
        <w:t xml:space="preserve"> que comprendan a jueces, fiscales, funcionarios de bienestar social, funcionarios de trabajo, funcionarios de instituciones penitenciarias y abogados. El Foro de Justicia Infantil, creado en 2011 bajo la coordinación del Ministerio de Asuntos Constitucionales y de Justicia para identificar las lagunas en la administración de la justicia </w:t>
      </w:r>
      <w:r w:rsidR="00F07FB4">
        <w:rPr>
          <w:lang w:val="es-ES_tradnl"/>
        </w:rPr>
        <w:t>de menores</w:t>
      </w:r>
      <w:r w:rsidR="006D7A91" w:rsidRPr="002720D0">
        <w:rPr>
          <w:lang w:val="es-ES_tradnl"/>
        </w:rPr>
        <w:t xml:space="preserve">, ha elaborado una estrategia para la reforma del sistema de la justicia de menores. La Ley de la </w:t>
      </w:r>
      <w:r w:rsidR="00325617" w:rsidRPr="002720D0">
        <w:rPr>
          <w:lang w:val="es-ES_tradnl"/>
        </w:rPr>
        <w:t xml:space="preserve">Infancia </w:t>
      </w:r>
      <w:r w:rsidR="006D7A91" w:rsidRPr="002720D0">
        <w:rPr>
          <w:lang w:val="es-ES_tradnl"/>
        </w:rPr>
        <w:t xml:space="preserve">incluye una clara prohibición de cualquier tipo de discriminación, </w:t>
      </w:r>
      <w:r w:rsidR="00F55E50" w:rsidRPr="002720D0">
        <w:rPr>
          <w:lang w:val="es-ES_tradnl"/>
        </w:rPr>
        <w:t>comprendida la discriminación</w:t>
      </w:r>
      <w:r w:rsidR="006D7A91" w:rsidRPr="002720D0">
        <w:rPr>
          <w:lang w:val="es-ES_tradnl"/>
        </w:rPr>
        <w:t xml:space="preserve"> contra los niños pertenecientes a una minoría o contra individuos dentro de un grupo. </w:t>
      </w:r>
    </w:p>
    <w:p w:rsidR="00151021" w:rsidRPr="002720D0" w:rsidRDefault="00D16814" w:rsidP="00586395">
      <w:pPr>
        <w:pStyle w:val="H1G"/>
        <w:outlineLvl w:val="0"/>
        <w:rPr>
          <w:lang w:val="es-ES_tradnl"/>
        </w:rPr>
      </w:pPr>
      <w:bookmarkStart w:id="70" w:name="_Toc313470900"/>
      <w:r w:rsidRPr="002720D0">
        <w:rPr>
          <w:lang w:val="es-ES_tradnl"/>
        </w:rPr>
        <w:tab/>
      </w:r>
      <w:r w:rsidR="00151021" w:rsidRPr="002720D0">
        <w:rPr>
          <w:lang w:val="es-ES_tradnl"/>
        </w:rPr>
        <w:t>8.10</w:t>
      </w:r>
      <w:r w:rsidRPr="002720D0">
        <w:rPr>
          <w:lang w:val="es-ES_tradnl"/>
        </w:rPr>
        <w:tab/>
      </w:r>
      <w:r w:rsidR="002D6D67" w:rsidRPr="002720D0">
        <w:rPr>
          <w:lang w:val="es-ES_tradnl"/>
        </w:rPr>
        <w:t xml:space="preserve">Derecho a no ser sometido a torturas ni a otros tratos o penas </w:t>
      </w:r>
      <w:r w:rsidR="00BF1D0B">
        <w:rPr>
          <w:lang w:val="es-ES_tradnl"/>
        </w:rPr>
        <w:br/>
      </w:r>
      <w:r w:rsidR="002D6D67" w:rsidRPr="002720D0">
        <w:rPr>
          <w:lang w:val="es-ES_tradnl"/>
        </w:rPr>
        <w:t>crueles, inhumanos o degradantes, compren</w:t>
      </w:r>
      <w:r w:rsidR="0065208D" w:rsidRPr="002720D0">
        <w:rPr>
          <w:lang w:val="es-ES_tradnl"/>
        </w:rPr>
        <w:t xml:space="preserve">dido el castigo físico </w:t>
      </w:r>
      <w:r w:rsidR="00BF1D0B">
        <w:rPr>
          <w:lang w:val="es-ES_tradnl"/>
        </w:rPr>
        <w:br/>
      </w:r>
      <w:r w:rsidR="0065208D" w:rsidRPr="002720D0">
        <w:rPr>
          <w:lang w:val="es-ES_tradnl"/>
        </w:rPr>
        <w:t>(art</w:t>
      </w:r>
      <w:r w:rsidR="00643847">
        <w:rPr>
          <w:lang w:val="es-ES_tradnl"/>
        </w:rPr>
        <w:t>s</w:t>
      </w:r>
      <w:r w:rsidR="0065208D" w:rsidRPr="002720D0">
        <w:rPr>
          <w:lang w:val="es-ES_tradnl"/>
        </w:rPr>
        <w:t xml:space="preserve">. 37 </w:t>
      </w:r>
      <w:r w:rsidR="0045162B">
        <w:rPr>
          <w:lang w:val="es-ES_tradnl"/>
        </w:rPr>
        <w:t xml:space="preserve">a) </w:t>
      </w:r>
      <w:r w:rsidR="0065208D" w:rsidRPr="002720D0">
        <w:rPr>
          <w:lang w:val="es-ES_tradnl"/>
        </w:rPr>
        <w:t>y</w:t>
      </w:r>
      <w:r w:rsidR="0045162B">
        <w:rPr>
          <w:lang w:val="es-ES_tradnl"/>
        </w:rPr>
        <w:t xml:space="preserve"> </w:t>
      </w:r>
      <w:r w:rsidR="0065208D" w:rsidRPr="002720D0">
        <w:rPr>
          <w:lang w:val="es-ES_tradnl"/>
        </w:rPr>
        <w:t>28</w:t>
      </w:r>
      <w:r w:rsidR="00643847">
        <w:rPr>
          <w:lang w:val="es-ES_tradnl"/>
        </w:rPr>
        <w:t>, párr. 2</w:t>
      </w:r>
      <w:r w:rsidR="0065208D" w:rsidRPr="002720D0">
        <w:rPr>
          <w:lang w:val="es-ES_tradnl"/>
        </w:rPr>
        <w:t>)</w:t>
      </w:r>
      <w:bookmarkEnd w:id="70"/>
    </w:p>
    <w:p w:rsidR="00151021" w:rsidRPr="002720D0" w:rsidRDefault="004F6364" w:rsidP="004F6364">
      <w:pPr>
        <w:pStyle w:val="SingleTxtG"/>
        <w:tabs>
          <w:tab w:val="left" w:pos="-360"/>
        </w:tabs>
        <w:rPr>
          <w:lang w:val="es-ES_tradnl"/>
        </w:rPr>
      </w:pPr>
      <w:r w:rsidRPr="002720D0">
        <w:rPr>
          <w:lang w:val="es-ES_tradnl"/>
        </w:rPr>
        <w:t>305.</w:t>
      </w:r>
      <w:r w:rsidRPr="002720D0">
        <w:rPr>
          <w:lang w:val="es-ES_tradnl"/>
        </w:rPr>
        <w:tab/>
      </w:r>
      <w:r w:rsidR="0065208D" w:rsidRPr="002720D0">
        <w:rPr>
          <w:lang w:val="es-ES_tradnl"/>
        </w:rPr>
        <w:t>El Estado parte está comprometido con la eliminación</w:t>
      </w:r>
      <w:r w:rsidR="002D6D67" w:rsidRPr="002720D0">
        <w:rPr>
          <w:lang w:val="es-ES_tradnl"/>
        </w:rPr>
        <w:t xml:space="preserve"> </w:t>
      </w:r>
      <w:r w:rsidR="0065208D" w:rsidRPr="002720D0">
        <w:rPr>
          <w:lang w:val="es-ES_tradnl"/>
        </w:rPr>
        <w:t>d</w:t>
      </w:r>
      <w:r w:rsidR="002D6D67" w:rsidRPr="002720D0">
        <w:rPr>
          <w:lang w:val="es-ES_tradnl"/>
        </w:rPr>
        <w:t>el castigo físico en todas las escuelas. P</w:t>
      </w:r>
      <w:r w:rsidR="0065208D" w:rsidRPr="002720D0">
        <w:rPr>
          <w:lang w:val="es-ES_tradnl"/>
        </w:rPr>
        <w:t>or ejemplo, para este fin el Estado p</w:t>
      </w:r>
      <w:r w:rsidR="002D6D67" w:rsidRPr="002720D0">
        <w:rPr>
          <w:lang w:val="es-ES_tradnl"/>
        </w:rPr>
        <w:t xml:space="preserve">arte ha introducido en Zanzíbar el concepto de escuelas que tienen en cuenta las necesidades de los niños, en las cuales se hace hincapié en que las escuelas </w:t>
      </w:r>
      <w:r w:rsidR="0065208D" w:rsidRPr="002720D0">
        <w:rPr>
          <w:lang w:val="es-ES_tradnl"/>
        </w:rPr>
        <w:t>han de contar</w:t>
      </w:r>
      <w:r w:rsidR="002D6D67" w:rsidRPr="002720D0">
        <w:rPr>
          <w:lang w:val="es-ES_tradnl"/>
        </w:rPr>
        <w:t xml:space="preserve"> con formas alternativas al castigo físico para </w:t>
      </w:r>
      <w:r w:rsidR="0065208D" w:rsidRPr="002720D0">
        <w:rPr>
          <w:lang w:val="es-ES_tradnl"/>
        </w:rPr>
        <w:t>disciplinar a los niños. El Estado p</w:t>
      </w:r>
      <w:r w:rsidR="002D6D67" w:rsidRPr="002720D0">
        <w:rPr>
          <w:lang w:val="es-ES_tradnl"/>
        </w:rPr>
        <w:t xml:space="preserve">arte, en el contexto de sus medidas para poner fin a la violencia contra la infancia, está examinando el empleo del castigo físico por los maestros, y ha elaborado y </w:t>
      </w:r>
      <w:r w:rsidR="00F2636C" w:rsidRPr="002720D0">
        <w:rPr>
          <w:lang w:val="es-ES_tradnl"/>
        </w:rPr>
        <w:t xml:space="preserve">puesto en funcionamiento unas directrices </w:t>
      </w:r>
      <w:r w:rsidR="0065208D" w:rsidRPr="002720D0">
        <w:rPr>
          <w:lang w:val="es-ES_tradnl"/>
        </w:rPr>
        <w:t>destinadas a</w:t>
      </w:r>
      <w:r w:rsidR="00F2636C" w:rsidRPr="002720D0">
        <w:rPr>
          <w:lang w:val="es-ES_tradnl"/>
        </w:rPr>
        <w:t xml:space="preserve"> los maestros relativas a formas alternativas de imponer la disciplina que incluyen métodos de aprendizaje no violentos. </w:t>
      </w:r>
      <w:r w:rsidR="0065208D" w:rsidRPr="002720D0">
        <w:rPr>
          <w:lang w:val="es-ES_tradnl"/>
        </w:rPr>
        <w:t>Una de las alternativas que está introduciendo</w:t>
      </w:r>
      <w:r w:rsidR="00F2636C" w:rsidRPr="002720D0">
        <w:rPr>
          <w:lang w:val="es-ES_tradnl"/>
        </w:rPr>
        <w:t xml:space="preserve"> el Gobierno </w:t>
      </w:r>
      <w:r w:rsidR="0065208D" w:rsidRPr="002720D0">
        <w:rPr>
          <w:lang w:val="es-ES_tradnl"/>
        </w:rPr>
        <w:t>es</w:t>
      </w:r>
      <w:r w:rsidR="00F2636C" w:rsidRPr="002720D0">
        <w:rPr>
          <w:lang w:val="es-ES_tradnl"/>
        </w:rPr>
        <w:t xml:space="preserve"> una unidad destinada a </w:t>
      </w:r>
      <w:r w:rsidR="0065208D" w:rsidRPr="002720D0">
        <w:rPr>
          <w:lang w:val="es-ES_tradnl"/>
        </w:rPr>
        <w:t>proporcionar</w:t>
      </w:r>
      <w:r w:rsidR="00F2636C" w:rsidRPr="002720D0">
        <w:rPr>
          <w:lang w:val="es-ES_tradnl"/>
        </w:rPr>
        <w:t xml:space="preserve"> orientación y asesoramiento en todas las escuelas. </w:t>
      </w:r>
    </w:p>
    <w:p w:rsidR="00151021" w:rsidRPr="002720D0" w:rsidRDefault="004F6364" w:rsidP="004F6364">
      <w:pPr>
        <w:pStyle w:val="SingleTxtG"/>
        <w:tabs>
          <w:tab w:val="left" w:pos="-360"/>
        </w:tabs>
        <w:rPr>
          <w:lang w:val="es-ES_tradnl"/>
        </w:rPr>
      </w:pPr>
      <w:r w:rsidRPr="002720D0">
        <w:rPr>
          <w:lang w:val="es-ES_tradnl"/>
        </w:rPr>
        <w:t>306.</w:t>
      </w:r>
      <w:r w:rsidRPr="002720D0">
        <w:rPr>
          <w:lang w:val="es-ES_tradnl"/>
        </w:rPr>
        <w:tab/>
      </w:r>
      <w:r w:rsidR="00A912B5">
        <w:rPr>
          <w:lang w:val="es-ES_tradnl"/>
        </w:rPr>
        <w:t>Por otra parte</w:t>
      </w:r>
      <w:r w:rsidR="00F2636C" w:rsidRPr="002720D0">
        <w:rPr>
          <w:lang w:val="es-ES_tradnl"/>
        </w:rPr>
        <w:t xml:space="preserve">, el Gobierno ha elaborado directrices </w:t>
      </w:r>
      <w:r w:rsidR="0065208D" w:rsidRPr="002720D0">
        <w:rPr>
          <w:lang w:val="es-ES_tradnl"/>
        </w:rPr>
        <w:t>para</w:t>
      </w:r>
      <w:r w:rsidR="00F2636C" w:rsidRPr="002720D0">
        <w:rPr>
          <w:lang w:val="es-ES_tradnl"/>
        </w:rPr>
        <w:t xml:space="preserve"> la formación de los padres de familia en relación con la educación y los cuidados parentales, destinada</w:t>
      </w:r>
      <w:r w:rsidR="0065208D" w:rsidRPr="002720D0">
        <w:rPr>
          <w:lang w:val="es-ES_tradnl"/>
        </w:rPr>
        <w:t>s</w:t>
      </w:r>
      <w:r w:rsidR="00F2636C" w:rsidRPr="002720D0">
        <w:rPr>
          <w:lang w:val="es-ES_tradnl"/>
        </w:rPr>
        <w:t xml:space="preserve"> a </w:t>
      </w:r>
      <w:r w:rsidR="0065208D" w:rsidRPr="002720D0">
        <w:rPr>
          <w:lang w:val="es-ES_tradnl"/>
        </w:rPr>
        <w:t>su adquisición de</w:t>
      </w:r>
      <w:r w:rsidR="00F2636C" w:rsidRPr="002720D0">
        <w:rPr>
          <w:lang w:val="es-ES_tradnl"/>
        </w:rPr>
        <w:t xml:space="preserve"> capacidades para la crianza de los hijos y también </w:t>
      </w:r>
      <w:r w:rsidR="0065208D" w:rsidRPr="002720D0">
        <w:rPr>
          <w:lang w:val="es-ES_tradnl"/>
        </w:rPr>
        <w:t xml:space="preserve">para </w:t>
      </w:r>
      <w:r w:rsidR="00F2636C" w:rsidRPr="002720D0">
        <w:rPr>
          <w:lang w:val="es-ES_tradnl"/>
        </w:rPr>
        <w:t xml:space="preserve">orientar y asesorar a sus hijos desde la primera infancia. </w:t>
      </w:r>
    </w:p>
    <w:p w:rsidR="00151021" w:rsidRPr="002720D0" w:rsidRDefault="004F6364" w:rsidP="004F6364">
      <w:pPr>
        <w:pStyle w:val="SingleTxtG"/>
        <w:tabs>
          <w:tab w:val="left" w:pos="-360"/>
        </w:tabs>
        <w:rPr>
          <w:lang w:val="es-ES_tradnl"/>
        </w:rPr>
      </w:pPr>
      <w:r w:rsidRPr="002720D0">
        <w:rPr>
          <w:lang w:val="es-ES_tradnl"/>
        </w:rPr>
        <w:t>307.</w:t>
      </w:r>
      <w:r w:rsidRPr="002720D0">
        <w:rPr>
          <w:lang w:val="es-ES_tradnl"/>
        </w:rPr>
        <w:tab/>
      </w:r>
      <w:r w:rsidR="0065208D" w:rsidRPr="002720D0">
        <w:rPr>
          <w:lang w:val="es-ES_tradnl"/>
        </w:rPr>
        <w:t>El Estado p</w:t>
      </w:r>
      <w:r w:rsidR="00F2636C" w:rsidRPr="002720D0">
        <w:rPr>
          <w:lang w:val="es-ES_tradnl"/>
        </w:rPr>
        <w:t>arte, por conducto del Gobierno Revolucionario de Zanzí</w:t>
      </w:r>
      <w:r w:rsidR="00151021" w:rsidRPr="002720D0">
        <w:rPr>
          <w:lang w:val="es-ES_tradnl"/>
        </w:rPr>
        <w:t xml:space="preserve">bar </w:t>
      </w:r>
      <w:r w:rsidR="00F2636C" w:rsidRPr="002720D0">
        <w:rPr>
          <w:lang w:val="es-ES_tradnl"/>
        </w:rPr>
        <w:t xml:space="preserve">y en </w:t>
      </w:r>
      <w:r w:rsidR="002720D0" w:rsidRPr="002720D0">
        <w:rPr>
          <w:lang w:val="es-ES_tradnl"/>
        </w:rPr>
        <w:t>cumplimiento</w:t>
      </w:r>
      <w:r w:rsidR="00F2636C" w:rsidRPr="002720D0">
        <w:rPr>
          <w:lang w:val="es-ES_tradnl"/>
        </w:rPr>
        <w:t xml:space="preserve"> de las disposiciones de la Convención en materia de castigo físico, ha tomado medidas e</w:t>
      </w:r>
      <w:r w:rsidR="00C51A75" w:rsidRPr="002720D0">
        <w:rPr>
          <w:lang w:val="es-ES_tradnl"/>
        </w:rPr>
        <w:t>xtraordinarias para poner fin a esta forma de</w:t>
      </w:r>
      <w:r w:rsidR="00F2636C" w:rsidRPr="002720D0">
        <w:rPr>
          <w:lang w:val="es-ES_tradnl"/>
        </w:rPr>
        <w:t xml:space="preserve"> castigo. El Gobierno ha introducido en las escuelas de Zanzíbar</w:t>
      </w:r>
      <w:r w:rsidR="00C51A75" w:rsidRPr="002720D0">
        <w:rPr>
          <w:lang w:val="es-ES_tradnl"/>
        </w:rPr>
        <w:t xml:space="preserve"> el programa conocido como </w:t>
      </w:r>
      <w:r w:rsidR="001D2A53">
        <w:rPr>
          <w:lang w:val="es-ES_tradnl"/>
        </w:rPr>
        <w:t>"</w:t>
      </w:r>
      <w:r w:rsidR="00C51A75" w:rsidRPr="002720D0">
        <w:rPr>
          <w:lang w:val="es-ES_tradnl"/>
        </w:rPr>
        <w:t>Promoción de formas alternativas de disciplina</w:t>
      </w:r>
      <w:r w:rsidR="001D2A53">
        <w:rPr>
          <w:lang w:val="es-ES_tradnl"/>
        </w:rPr>
        <w:t>"</w:t>
      </w:r>
      <w:r w:rsidR="00F2636C" w:rsidRPr="002720D0">
        <w:rPr>
          <w:lang w:val="es-ES_tradnl"/>
        </w:rPr>
        <w:t xml:space="preserve">. Este programa </w:t>
      </w:r>
      <w:r w:rsidR="00C51A75" w:rsidRPr="002720D0">
        <w:rPr>
          <w:lang w:val="es-ES_tradnl"/>
        </w:rPr>
        <w:t>experimental, que</w:t>
      </w:r>
      <w:r w:rsidR="00F2636C" w:rsidRPr="002720D0">
        <w:rPr>
          <w:lang w:val="es-ES_tradnl"/>
        </w:rPr>
        <w:t xml:space="preserve"> se </w:t>
      </w:r>
      <w:r w:rsidR="00C51A75" w:rsidRPr="002720D0">
        <w:rPr>
          <w:lang w:val="es-ES_tradnl"/>
        </w:rPr>
        <w:t>inauguró en agosto de 2010,</w:t>
      </w:r>
      <w:r w:rsidR="00F2636C" w:rsidRPr="002720D0">
        <w:rPr>
          <w:lang w:val="es-ES_tradnl"/>
        </w:rPr>
        <w:t xml:space="preserve"> abarca 10 escuelas tanto en </w:t>
      </w:r>
      <w:r w:rsidR="00151021" w:rsidRPr="002720D0">
        <w:rPr>
          <w:lang w:val="es-ES_tradnl"/>
        </w:rPr>
        <w:t xml:space="preserve">Unguja </w:t>
      </w:r>
      <w:r w:rsidR="00F2636C" w:rsidRPr="002720D0">
        <w:rPr>
          <w:lang w:val="es-ES_tradnl"/>
        </w:rPr>
        <w:t>como en</w:t>
      </w:r>
      <w:r w:rsidR="00151021" w:rsidRPr="002720D0">
        <w:rPr>
          <w:lang w:val="es-ES_tradnl"/>
        </w:rPr>
        <w:t xml:space="preserve"> Pemba. </w:t>
      </w:r>
      <w:r w:rsidR="00F2636C" w:rsidRPr="002720D0">
        <w:rPr>
          <w:lang w:val="es-ES_tradnl"/>
        </w:rPr>
        <w:t xml:space="preserve">El principal </w:t>
      </w:r>
      <w:r w:rsidR="00C51A75" w:rsidRPr="002720D0">
        <w:rPr>
          <w:lang w:val="es-ES_tradnl"/>
        </w:rPr>
        <w:t>objetivo del</w:t>
      </w:r>
      <w:r w:rsidR="00F2636C" w:rsidRPr="002720D0">
        <w:rPr>
          <w:lang w:val="es-ES_tradnl"/>
        </w:rPr>
        <w:t xml:space="preserve"> programa consiste en poner fin a los castigos físicos en todas las escuelas de Zanzí</w:t>
      </w:r>
      <w:r w:rsidR="00151021" w:rsidRPr="002720D0">
        <w:rPr>
          <w:lang w:val="es-ES_tradnl"/>
        </w:rPr>
        <w:t>bar.</w:t>
      </w:r>
      <w:r w:rsidR="003D2ED2" w:rsidRPr="002720D0">
        <w:rPr>
          <w:lang w:val="es-ES_tradnl"/>
        </w:rPr>
        <w:t xml:space="preserve"> </w:t>
      </w:r>
      <w:r w:rsidR="00C51A75" w:rsidRPr="002720D0">
        <w:rPr>
          <w:lang w:val="es-ES_tradnl"/>
        </w:rPr>
        <w:t>En le actualidad, t</w:t>
      </w:r>
      <w:r w:rsidR="00F2636C" w:rsidRPr="002720D0">
        <w:rPr>
          <w:lang w:val="es-ES_tradnl"/>
        </w:rPr>
        <w:t xml:space="preserve">odas las escuelas primarias públicas de Zanzíbar cuentan, como mínimo, con un maestro que ha recibido </w:t>
      </w:r>
      <w:r w:rsidR="002720D0" w:rsidRPr="002720D0">
        <w:rPr>
          <w:lang w:val="es-ES_tradnl"/>
        </w:rPr>
        <w:t>formación</w:t>
      </w:r>
      <w:r w:rsidR="00F2636C" w:rsidRPr="002720D0">
        <w:rPr>
          <w:lang w:val="es-ES_tradnl"/>
        </w:rPr>
        <w:t xml:space="preserve"> relativa al empleo de formas positivas de disciplina. Además, la Ley del </w:t>
      </w:r>
      <w:r w:rsidR="00325617" w:rsidRPr="002720D0">
        <w:rPr>
          <w:lang w:val="es-ES_tradnl"/>
        </w:rPr>
        <w:t xml:space="preserve">Niño </w:t>
      </w:r>
      <w:r w:rsidR="00F2636C" w:rsidRPr="002720D0">
        <w:rPr>
          <w:lang w:val="es-ES_tradnl"/>
        </w:rPr>
        <w:t xml:space="preserve">de Zanzíbar prohíbe que se someta a los niños a cualquier </w:t>
      </w:r>
      <w:r w:rsidR="008C6F2B" w:rsidRPr="002720D0">
        <w:rPr>
          <w:lang w:val="es-ES_tradnl"/>
        </w:rPr>
        <w:t xml:space="preserve">trato inhumano: </w:t>
      </w:r>
      <w:r w:rsidR="001D2A53">
        <w:rPr>
          <w:lang w:val="es-ES_tradnl"/>
        </w:rPr>
        <w:t>"</w:t>
      </w:r>
      <w:r w:rsidR="008C6F2B" w:rsidRPr="002720D0">
        <w:rPr>
          <w:lang w:val="es-ES_tradnl"/>
        </w:rPr>
        <w:t>No se someterá a ningún niño a actos violentos, tortura, u otros tratos o castigos crueles, inhumanos o degradantes, ni a cualquier práctica cultural o tradicional que lo deshumanice o resulte perjudicial para el bienestar físico o mental del niño</w:t>
      </w:r>
      <w:r w:rsidR="001D2A53">
        <w:rPr>
          <w:lang w:val="es-ES_tradnl"/>
        </w:rPr>
        <w:t>"</w:t>
      </w:r>
      <w:r w:rsidR="008C6F2B" w:rsidRPr="002720D0">
        <w:rPr>
          <w:lang w:val="es-ES_tradnl"/>
        </w:rPr>
        <w:t xml:space="preserve">. </w:t>
      </w:r>
    </w:p>
    <w:p w:rsidR="00151021" w:rsidRPr="002720D0" w:rsidRDefault="004F6364" w:rsidP="004F6364">
      <w:pPr>
        <w:pStyle w:val="SingleTxtG"/>
        <w:tabs>
          <w:tab w:val="left" w:pos="-360"/>
        </w:tabs>
        <w:rPr>
          <w:lang w:val="es-ES_tradnl"/>
        </w:rPr>
      </w:pPr>
      <w:r w:rsidRPr="002720D0">
        <w:rPr>
          <w:lang w:val="es-ES_tradnl"/>
        </w:rPr>
        <w:t>308.</w:t>
      </w:r>
      <w:r w:rsidRPr="002720D0">
        <w:rPr>
          <w:lang w:val="es-ES_tradnl"/>
        </w:rPr>
        <w:tab/>
      </w:r>
      <w:r w:rsidR="008C6F2B" w:rsidRPr="002720D0">
        <w:rPr>
          <w:lang w:val="es-ES_tradnl"/>
        </w:rPr>
        <w:t xml:space="preserve">De igual manera, el </w:t>
      </w:r>
      <w:r w:rsidR="007A260F">
        <w:rPr>
          <w:lang w:val="es-ES_tradnl"/>
        </w:rPr>
        <w:t xml:space="preserve">párrafo 1) del artículo 13 </w:t>
      </w:r>
      <w:r w:rsidR="00C51A75" w:rsidRPr="002720D0">
        <w:rPr>
          <w:lang w:val="es-ES_tradnl"/>
        </w:rPr>
        <w:t xml:space="preserve">de la Ley de la </w:t>
      </w:r>
      <w:r w:rsidR="00325617" w:rsidRPr="002720D0">
        <w:rPr>
          <w:lang w:val="es-ES_tradnl"/>
        </w:rPr>
        <w:t>Infancia</w:t>
      </w:r>
      <w:r w:rsidR="008C6F2B" w:rsidRPr="002720D0">
        <w:rPr>
          <w:lang w:val="es-ES_tradnl"/>
        </w:rPr>
        <w:t xml:space="preserve">, en Tanzanía continental, también prohíbe que se someta a un niño a un trato similar: </w:t>
      </w:r>
      <w:r w:rsidR="001D2A53">
        <w:rPr>
          <w:lang w:val="es-ES_tradnl"/>
        </w:rPr>
        <w:t>"</w:t>
      </w:r>
      <w:r w:rsidR="008C6F2B" w:rsidRPr="002720D0">
        <w:rPr>
          <w:lang w:val="es-ES_tradnl"/>
        </w:rPr>
        <w:t xml:space="preserve">Ninguna persona </w:t>
      </w:r>
      <w:r w:rsidR="00C51A75" w:rsidRPr="002720D0">
        <w:rPr>
          <w:lang w:val="es-ES_tradnl"/>
        </w:rPr>
        <w:t>someterá a un niño a torturas, ni</w:t>
      </w:r>
      <w:r w:rsidR="008C6F2B" w:rsidRPr="002720D0">
        <w:rPr>
          <w:lang w:val="es-ES_tradnl"/>
        </w:rPr>
        <w:t xml:space="preserve"> a cualquier otro castigo cruel o inhumano o trato degradante, comprendida cualquier práctica cultural que lo deshumanice o resulte perjudicial para el biene</w:t>
      </w:r>
      <w:r w:rsidR="001D2A53">
        <w:rPr>
          <w:lang w:val="es-ES_tradnl"/>
        </w:rPr>
        <w:t>star físico o mental del niño".</w:t>
      </w:r>
    </w:p>
    <w:p w:rsidR="00151021" w:rsidRPr="002720D0" w:rsidRDefault="00D16814" w:rsidP="00586395">
      <w:pPr>
        <w:pStyle w:val="H1G"/>
        <w:outlineLvl w:val="0"/>
        <w:rPr>
          <w:lang w:val="es-ES_tradnl"/>
        </w:rPr>
      </w:pPr>
      <w:bookmarkStart w:id="71" w:name="_Toc313470901"/>
      <w:r w:rsidRPr="002720D0">
        <w:rPr>
          <w:lang w:val="es-ES_tradnl"/>
        </w:rPr>
        <w:tab/>
      </w:r>
      <w:r w:rsidR="00151021" w:rsidRPr="002720D0">
        <w:rPr>
          <w:lang w:val="es-ES_tradnl"/>
        </w:rPr>
        <w:t>8.11</w:t>
      </w:r>
      <w:r w:rsidRPr="002720D0">
        <w:rPr>
          <w:lang w:val="es-ES_tradnl"/>
        </w:rPr>
        <w:tab/>
      </w:r>
      <w:r w:rsidR="00151021" w:rsidRPr="002720D0">
        <w:rPr>
          <w:lang w:val="es-ES_tradnl"/>
        </w:rPr>
        <w:t>Me</w:t>
      </w:r>
      <w:r w:rsidR="008C6F2B" w:rsidRPr="002720D0">
        <w:rPr>
          <w:lang w:val="es-ES_tradnl"/>
        </w:rPr>
        <w:t xml:space="preserve">didas para promover la recuperación física y </w:t>
      </w:r>
      <w:r w:rsidR="007A260F">
        <w:rPr>
          <w:lang w:val="es-ES_tradnl"/>
        </w:rPr>
        <w:t>psicológica</w:t>
      </w:r>
      <w:r w:rsidR="008C6F2B" w:rsidRPr="002720D0">
        <w:rPr>
          <w:lang w:val="es-ES_tradnl"/>
        </w:rPr>
        <w:t xml:space="preserve"> y la reintegración social</w:t>
      </w:r>
      <w:r w:rsidR="00C51A75" w:rsidRPr="002720D0">
        <w:rPr>
          <w:lang w:val="es-ES_tradnl"/>
        </w:rPr>
        <w:t xml:space="preserve"> de los niños víctimas (art.</w:t>
      </w:r>
      <w:r w:rsidR="008C6F2B" w:rsidRPr="002720D0">
        <w:rPr>
          <w:lang w:val="es-ES_tradnl"/>
        </w:rPr>
        <w:t xml:space="preserve"> </w:t>
      </w:r>
      <w:bookmarkEnd w:id="71"/>
      <w:r w:rsidR="00151021" w:rsidRPr="002720D0">
        <w:rPr>
          <w:lang w:val="es-ES_tradnl"/>
        </w:rPr>
        <w:t>39)</w:t>
      </w:r>
    </w:p>
    <w:p w:rsidR="00151021" w:rsidRPr="002720D0" w:rsidRDefault="004F6364" w:rsidP="004F6364">
      <w:pPr>
        <w:pStyle w:val="SingleTxtG"/>
        <w:tabs>
          <w:tab w:val="left" w:pos="-360"/>
        </w:tabs>
        <w:rPr>
          <w:lang w:val="es-ES_tradnl"/>
        </w:rPr>
      </w:pPr>
      <w:r w:rsidRPr="002720D0">
        <w:rPr>
          <w:lang w:val="es-ES_tradnl"/>
        </w:rPr>
        <w:t>309.</w:t>
      </w:r>
      <w:r w:rsidRPr="002720D0">
        <w:rPr>
          <w:lang w:val="es-ES_tradnl"/>
        </w:rPr>
        <w:tab/>
      </w:r>
      <w:r w:rsidR="00C51A75" w:rsidRPr="002720D0">
        <w:rPr>
          <w:lang w:val="es-ES_tradnl"/>
        </w:rPr>
        <w:t>En 2010 el Estado p</w:t>
      </w:r>
      <w:r w:rsidR="008C6F2B" w:rsidRPr="002720D0">
        <w:rPr>
          <w:lang w:val="es-ES_tradnl"/>
        </w:rPr>
        <w:t xml:space="preserve">arte, por medio del Gobierno Revolucionario de Zanzíbar, instauró la </w:t>
      </w:r>
      <w:r w:rsidR="00C51A75" w:rsidRPr="002720D0">
        <w:rPr>
          <w:lang w:val="es-ES_tradnl"/>
        </w:rPr>
        <w:t>Unidad de Protección de la Niñez,</w:t>
      </w:r>
      <w:r w:rsidR="008C6F2B" w:rsidRPr="002720D0">
        <w:rPr>
          <w:lang w:val="es-ES_tradnl"/>
        </w:rPr>
        <w:t xml:space="preserve"> destinada a proporcionar apoyo psicológico a los niños víctimas de </w:t>
      </w:r>
      <w:r w:rsidR="00C51A75" w:rsidRPr="002720D0">
        <w:rPr>
          <w:lang w:val="es-ES_tradnl"/>
        </w:rPr>
        <w:t>malos tratos</w:t>
      </w:r>
      <w:r w:rsidR="008C6F2B" w:rsidRPr="002720D0">
        <w:rPr>
          <w:lang w:val="es-ES_tradnl"/>
        </w:rPr>
        <w:t xml:space="preserve"> y a sus padres. Esta dependencia proporciona asesoramiento a las víctimas de malos tratos y los deriva según proceda. Como se ha dicho</w:t>
      </w:r>
      <w:r w:rsidR="00C51A75" w:rsidRPr="002720D0">
        <w:rPr>
          <w:lang w:val="es-ES_tradnl"/>
        </w:rPr>
        <w:t xml:space="preserve"> anteriormente,</w:t>
      </w:r>
      <w:r w:rsidR="008C6F2B" w:rsidRPr="002720D0">
        <w:rPr>
          <w:lang w:val="es-ES_tradnl"/>
        </w:rPr>
        <w:t xml:space="preserve"> entre las </w:t>
      </w:r>
      <w:r w:rsidR="009D7D39" w:rsidRPr="002720D0">
        <w:rPr>
          <w:lang w:val="es-ES_tradnl"/>
        </w:rPr>
        <w:t>derivaciones se incluyen las efectuadas al centro de atención múltiple del Hospital Nacional Mnazi Mmoja para fines de atención médica</w:t>
      </w:r>
      <w:r w:rsidR="00151021" w:rsidRPr="002720D0">
        <w:rPr>
          <w:lang w:val="es-ES_tradnl"/>
        </w:rPr>
        <w:t>.</w:t>
      </w:r>
    </w:p>
    <w:p w:rsidR="00151021" w:rsidRPr="002720D0" w:rsidRDefault="004F6364" w:rsidP="004F6364">
      <w:pPr>
        <w:pStyle w:val="SingleTxtG"/>
        <w:tabs>
          <w:tab w:val="left" w:pos="-360"/>
        </w:tabs>
        <w:rPr>
          <w:lang w:val="es-ES_tradnl"/>
        </w:rPr>
      </w:pPr>
      <w:r w:rsidRPr="002720D0">
        <w:rPr>
          <w:lang w:val="es-ES_tradnl"/>
        </w:rPr>
        <w:t>310.</w:t>
      </w:r>
      <w:r w:rsidRPr="002720D0">
        <w:rPr>
          <w:lang w:val="es-ES_tradnl"/>
        </w:rPr>
        <w:tab/>
      </w:r>
      <w:r w:rsidR="009D7D39" w:rsidRPr="002720D0">
        <w:rPr>
          <w:lang w:val="es-ES_tradnl"/>
        </w:rPr>
        <w:t>En T</w:t>
      </w:r>
      <w:r w:rsidR="00C51A75" w:rsidRPr="002720D0">
        <w:rPr>
          <w:lang w:val="es-ES_tradnl"/>
        </w:rPr>
        <w:t>anzanía continental, el Estado p</w:t>
      </w:r>
      <w:r w:rsidR="009D7D39" w:rsidRPr="002720D0">
        <w:rPr>
          <w:lang w:val="es-ES_tradnl"/>
        </w:rPr>
        <w:t>arte, en colaboración con el ACNUR, ha establecido un mecanismo destinado a ocuparse de los niños víctimas de conflicto</w:t>
      </w:r>
      <w:r w:rsidR="00C51A75" w:rsidRPr="002720D0">
        <w:rPr>
          <w:lang w:val="es-ES_tradnl"/>
        </w:rPr>
        <w:t>s armados</w:t>
      </w:r>
      <w:r w:rsidR="009D7D39" w:rsidRPr="002720D0">
        <w:rPr>
          <w:lang w:val="es-ES_tradnl"/>
        </w:rPr>
        <w:t xml:space="preserve"> que haya</w:t>
      </w:r>
      <w:r w:rsidR="00C51A75" w:rsidRPr="002720D0">
        <w:rPr>
          <w:lang w:val="es-ES_tradnl"/>
        </w:rPr>
        <w:t>n</w:t>
      </w:r>
      <w:r w:rsidR="009D7D39" w:rsidRPr="002720D0">
        <w:rPr>
          <w:lang w:val="es-ES_tradnl"/>
        </w:rPr>
        <w:t xml:space="preserve"> sido reclutados o utilizados en el contexto de las hostilidades en los países de origen. </w:t>
      </w:r>
      <w:r w:rsidR="00C51A75" w:rsidRPr="002720D0">
        <w:rPr>
          <w:lang w:val="es-ES_tradnl"/>
        </w:rPr>
        <w:t>En</w:t>
      </w:r>
      <w:r w:rsidR="009D7D39" w:rsidRPr="002720D0">
        <w:rPr>
          <w:lang w:val="es-ES_tradnl"/>
        </w:rPr>
        <w:t xml:space="preserve"> los campamentos de refugiados, los niños víctimas reciben orientaciones </w:t>
      </w:r>
      <w:r w:rsidR="00C51A75" w:rsidRPr="002720D0">
        <w:rPr>
          <w:lang w:val="es-ES_tradnl"/>
        </w:rPr>
        <w:t>y asesoramiento psicológico</w:t>
      </w:r>
      <w:r w:rsidR="009D7D39" w:rsidRPr="002720D0">
        <w:rPr>
          <w:lang w:val="es-ES_tradnl"/>
        </w:rPr>
        <w:t xml:space="preserve"> </w:t>
      </w:r>
      <w:r w:rsidR="00C51A75" w:rsidRPr="002720D0">
        <w:rPr>
          <w:lang w:val="es-ES_tradnl"/>
        </w:rPr>
        <w:t>de</w:t>
      </w:r>
      <w:r w:rsidR="009D7D39" w:rsidRPr="002720D0">
        <w:rPr>
          <w:lang w:val="es-ES_tradnl"/>
        </w:rPr>
        <w:t xml:space="preserve"> profesionales de la salud mental y funcionarios </w:t>
      </w:r>
      <w:r w:rsidR="007531CC" w:rsidRPr="002720D0">
        <w:rPr>
          <w:lang w:val="es-ES_tradnl"/>
        </w:rPr>
        <w:t>de bienestar social. El Estado p</w:t>
      </w:r>
      <w:r w:rsidR="009D7D39" w:rsidRPr="002720D0">
        <w:rPr>
          <w:lang w:val="es-ES_tradnl"/>
        </w:rPr>
        <w:t xml:space="preserve">arte proporciona personal </w:t>
      </w:r>
      <w:r w:rsidR="007531CC" w:rsidRPr="002720D0">
        <w:rPr>
          <w:lang w:val="es-ES_tradnl"/>
        </w:rPr>
        <w:t>formado</w:t>
      </w:r>
      <w:r w:rsidR="009D7D39" w:rsidRPr="002720D0">
        <w:rPr>
          <w:lang w:val="es-ES_tradnl"/>
        </w:rPr>
        <w:t xml:space="preserve"> cuya función consiste en identificar a los niños de aquellos países donde se libran conflictos armados</w:t>
      </w:r>
      <w:r w:rsidR="007531CC" w:rsidRPr="002720D0">
        <w:rPr>
          <w:lang w:val="es-ES_tradnl"/>
        </w:rPr>
        <w:t>,</w:t>
      </w:r>
      <w:r w:rsidR="009D7D39" w:rsidRPr="002720D0">
        <w:rPr>
          <w:lang w:val="es-ES_tradnl"/>
        </w:rPr>
        <w:t xml:space="preserve"> con el propósito de reintegrarlos y reunificarlos con sus familias. </w:t>
      </w:r>
    </w:p>
    <w:p w:rsidR="0005727A" w:rsidRPr="002720D0" w:rsidRDefault="00153B23" w:rsidP="001D2A53">
      <w:pPr>
        <w:pStyle w:val="HChG"/>
        <w:rPr>
          <w:lang w:val="es-ES_tradnl"/>
        </w:rPr>
      </w:pPr>
      <w:r w:rsidRPr="002720D0">
        <w:rPr>
          <w:lang w:val="es-ES_tradnl"/>
        </w:rPr>
        <w:br w:type="page"/>
      </w:r>
      <w:bookmarkStart w:id="72" w:name="_Toc313470902"/>
      <w:r w:rsidR="00BB7FA7" w:rsidRPr="002720D0">
        <w:rPr>
          <w:lang w:val="es-ES_tradnl"/>
        </w:rPr>
        <w:tab/>
      </w:r>
      <w:r w:rsidR="0005727A" w:rsidRPr="002720D0">
        <w:rPr>
          <w:lang w:val="es-ES_tradnl"/>
        </w:rPr>
        <w:t>9.</w:t>
      </w:r>
      <w:r w:rsidR="0005727A" w:rsidRPr="002720D0">
        <w:rPr>
          <w:lang w:val="es-ES_tradnl"/>
        </w:rPr>
        <w:tab/>
      </w:r>
      <w:r w:rsidR="003E72DA" w:rsidRPr="002720D0">
        <w:rPr>
          <w:lang w:val="es-ES_tradnl"/>
        </w:rPr>
        <w:t>Referencia</w:t>
      </w:r>
      <w:r w:rsidR="00A640C0" w:rsidRPr="002720D0">
        <w:rPr>
          <w:lang w:val="es-ES_tradnl"/>
        </w:rPr>
        <w:t>s</w:t>
      </w:r>
    </w:p>
    <w:p w:rsidR="00151021" w:rsidRPr="001D2A53" w:rsidRDefault="0005727A" w:rsidP="001D2A53">
      <w:pPr>
        <w:pStyle w:val="H1G"/>
      </w:pPr>
      <w:r w:rsidRPr="002720D0">
        <w:rPr>
          <w:lang w:val="es-ES_tradnl"/>
        </w:rPr>
        <w:tab/>
        <w:t>9.1</w:t>
      </w:r>
      <w:r w:rsidR="00BB7FA7" w:rsidRPr="002720D0">
        <w:rPr>
          <w:lang w:val="es-ES_tradnl"/>
        </w:rPr>
        <w:tab/>
      </w:r>
      <w:bookmarkEnd w:id="72"/>
      <w:r w:rsidR="003E72DA" w:rsidRPr="002720D0">
        <w:rPr>
          <w:lang w:val="es-ES_tradnl"/>
        </w:rPr>
        <w:t>Instrument</w:t>
      </w:r>
      <w:r w:rsidR="001D2A53">
        <w:rPr>
          <w:lang w:val="es-ES_tradnl"/>
        </w:rPr>
        <w:t>os regionales e internacionales</w:t>
      </w:r>
    </w:p>
    <w:p w:rsidR="00151021" w:rsidRPr="002720D0" w:rsidRDefault="00916EDE" w:rsidP="00BF070F">
      <w:pPr>
        <w:pStyle w:val="SingleTxtG"/>
        <w:ind w:left="1418" w:hanging="284"/>
        <w:jc w:val="left"/>
        <w:rPr>
          <w:lang w:val="es-ES_tradnl"/>
        </w:rPr>
      </w:pPr>
      <w:r w:rsidRPr="002720D0">
        <w:rPr>
          <w:lang w:val="es-ES_tradnl"/>
        </w:rPr>
        <w:t>Carta Africana sobre los Derechos y el Bienestar del Niño</w:t>
      </w:r>
    </w:p>
    <w:p w:rsidR="00151021" w:rsidRPr="002720D0" w:rsidRDefault="00485EE7" w:rsidP="00BF070F">
      <w:pPr>
        <w:pStyle w:val="SingleTxtG"/>
        <w:ind w:left="1418" w:hanging="284"/>
        <w:jc w:val="left"/>
        <w:rPr>
          <w:lang w:val="es-ES_tradnl"/>
        </w:rPr>
      </w:pPr>
      <w:r w:rsidRPr="002720D0">
        <w:rPr>
          <w:lang w:val="es-ES_tradnl"/>
        </w:rPr>
        <w:t xml:space="preserve">Convención contra la Tortura y Otros Tratos o Penas Crueles, Inhumanos o Degradantes </w:t>
      </w:r>
    </w:p>
    <w:p w:rsidR="00151021" w:rsidRPr="002720D0" w:rsidRDefault="00485EE7" w:rsidP="00BF070F">
      <w:pPr>
        <w:pStyle w:val="SingleTxtG"/>
        <w:ind w:left="1418" w:hanging="284"/>
        <w:jc w:val="left"/>
        <w:rPr>
          <w:lang w:val="es-ES_tradnl"/>
        </w:rPr>
      </w:pPr>
      <w:r w:rsidRPr="002720D0">
        <w:rPr>
          <w:lang w:val="es-ES_tradnl"/>
        </w:rPr>
        <w:t>Convenio de la OIT sobre las peores formas de trabajo infantil, 1999 (</w:t>
      </w:r>
      <w:r w:rsidR="002720D0">
        <w:rPr>
          <w:lang w:val="es-ES_tradnl"/>
        </w:rPr>
        <w:t>Nº</w:t>
      </w:r>
      <w:r w:rsidRPr="002720D0">
        <w:rPr>
          <w:lang w:val="es-ES_tradnl"/>
        </w:rPr>
        <w:t xml:space="preserve"> 182)</w:t>
      </w:r>
    </w:p>
    <w:p w:rsidR="00151021" w:rsidRPr="002720D0" w:rsidRDefault="00485EE7" w:rsidP="00BF070F">
      <w:pPr>
        <w:pStyle w:val="SingleTxtG"/>
        <w:ind w:left="1418" w:hanging="284"/>
        <w:jc w:val="left"/>
        <w:rPr>
          <w:lang w:val="es-ES_tradnl"/>
        </w:rPr>
      </w:pPr>
      <w:r w:rsidRPr="002720D0">
        <w:rPr>
          <w:lang w:val="es-ES_tradnl"/>
        </w:rPr>
        <w:t>Convenio de la OIT sobre la edad mínima, 1973 (</w:t>
      </w:r>
      <w:r w:rsidR="002720D0">
        <w:rPr>
          <w:lang w:val="es-ES_tradnl"/>
        </w:rPr>
        <w:t>Nº</w:t>
      </w:r>
      <w:r w:rsidRPr="002720D0">
        <w:rPr>
          <w:lang w:val="es-ES_tradnl"/>
        </w:rPr>
        <w:t xml:space="preserve"> 138) </w:t>
      </w:r>
    </w:p>
    <w:p w:rsidR="00151021" w:rsidRPr="002720D0" w:rsidRDefault="00485EE7" w:rsidP="00BF070F">
      <w:pPr>
        <w:pStyle w:val="SingleTxtG"/>
        <w:ind w:left="1418" w:hanging="284"/>
        <w:jc w:val="left"/>
        <w:rPr>
          <w:lang w:val="es-ES_tradnl"/>
        </w:rPr>
      </w:pPr>
      <w:r w:rsidRPr="002720D0">
        <w:rPr>
          <w:lang w:val="es-ES_tradnl"/>
        </w:rPr>
        <w:t xml:space="preserve">Convención de las Naciones Unidas sobre los Derechos del Niño </w:t>
      </w:r>
    </w:p>
    <w:p w:rsidR="00151021" w:rsidRPr="002720D0" w:rsidRDefault="00B9432A" w:rsidP="00BF070F">
      <w:pPr>
        <w:pStyle w:val="SingleTxtG"/>
        <w:jc w:val="left"/>
        <w:rPr>
          <w:lang w:val="es-ES_tradnl"/>
        </w:rPr>
      </w:pPr>
      <w:r w:rsidRPr="002720D0">
        <w:rPr>
          <w:lang w:val="es-ES_tradnl"/>
        </w:rPr>
        <w:t>Convención de las Naciones Unidas sobre los Derechos de las Personas con Discapacidad</w:t>
      </w:r>
      <w:r w:rsidRPr="00812375">
        <w:rPr>
          <w:lang w:val="es-ES"/>
        </w:rPr>
        <w:t xml:space="preserve"> </w:t>
      </w:r>
      <w:r w:rsidR="00151021" w:rsidRPr="002720D0">
        <w:rPr>
          <w:lang w:val="es-ES_tradnl"/>
        </w:rPr>
        <w:t xml:space="preserve">(2006), </w:t>
      </w:r>
      <w:r w:rsidR="004C69C4" w:rsidRPr="002720D0">
        <w:rPr>
          <w:lang w:val="es-ES_tradnl"/>
        </w:rPr>
        <w:t xml:space="preserve">resolución </w:t>
      </w:r>
      <w:r w:rsidRPr="002720D0">
        <w:rPr>
          <w:lang w:val="es-ES_tradnl"/>
        </w:rPr>
        <w:t>A/RES/61/106 de la Asamblea General de las Naciones Unidas</w:t>
      </w:r>
      <w:hyperlink r:id="rId9" w:tgtFrame="_blank" w:history="1">
        <w:r w:rsidR="00151021" w:rsidRPr="002720D0">
          <w:rPr>
            <w:lang w:val="es-ES_tradnl"/>
          </w:rPr>
          <w:t xml:space="preserve"> </w:t>
        </w:r>
      </w:hyperlink>
    </w:p>
    <w:p w:rsidR="00151021" w:rsidRPr="001D2A53" w:rsidRDefault="00D16814" w:rsidP="001D2A53">
      <w:pPr>
        <w:pStyle w:val="H1G"/>
      </w:pPr>
      <w:r w:rsidRPr="002720D0">
        <w:rPr>
          <w:lang w:val="es-ES_tradnl"/>
        </w:rPr>
        <w:tab/>
      </w:r>
      <w:r w:rsidR="00A640C0" w:rsidRPr="002720D0">
        <w:rPr>
          <w:lang w:val="es-ES_tradnl"/>
        </w:rPr>
        <w:t>9.2</w:t>
      </w:r>
      <w:r w:rsidRPr="002720D0">
        <w:rPr>
          <w:lang w:val="es-ES_tradnl"/>
        </w:rPr>
        <w:tab/>
      </w:r>
      <w:r w:rsidR="003E72DA" w:rsidRPr="002720D0">
        <w:rPr>
          <w:lang w:val="es-ES_tradnl"/>
        </w:rPr>
        <w:t>Legislación nacional</w:t>
      </w:r>
    </w:p>
    <w:p w:rsidR="00151021" w:rsidRPr="001D2A53" w:rsidRDefault="00D16814" w:rsidP="001D2A53">
      <w:pPr>
        <w:pStyle w:val="H23G"/>
      </w:pPr>
      <w:r w:rsidRPr="002720D0">
        <w:rPr>
          <w:i/>
          <w:lang w:val="es-ES_tradnl"/>
        </w:rPr>
        <w:tab/>
      </w:r>
      <w:r w:rsidRPr="002720D0">
        <w:rPr>
          <w:lang w:val="es-ES_tradnl"/>
        </w:rPr>
        <w:t>a)</w:t>
      </w:r>
      <w:r w:rsidRPr="002720D0">
        <w:rPr>
          <w:lang w:val="es-ES_tradnl"/>
        </w:rPr>
        <w:tab/>
      </w:r>
      <w:r w:rsidR="003E72DA" w:rsidRPr="002720D0">
        <w:rPr>
          <w:lang w:val="es-ES_tradnl"/>
        </w:rPr>
        <w:t>Estatutos principal</w:t>
      </w:r>
      <w:r w:rsidR="00151021" w:rsidRPr="002720D0">
        <w:rPr>
          <w:lang w:val="es-ES_tradnl"/>
        </w:rPr>
        <w:t>es</w:t>
      </w:r>
    </w:p>
    <w:p w:rsidR="00151021" w:rsidRPr="002720D0" w:rsidRDefault="00EA1ECE" w:rsidP="00BF070F">
      <w:pPr>
        <w:pStyle w:val="SingleTxtG"/>
        <w:ind w:left="1418" w:hanging="284"/>
        <w:jc w:val="left"/>
        <w:rPr>
          <w:lang w:val="es-ES_tradnl"/>
        </w:rPr>
      </w:pPr>
      <w:r w:rsidRPr="002720D0">
        <w:rPr>
          <w:lang w:val="es-ES_tradnl"/>
        </w:rPr>
        <w:t xml:space="preserve">Ley </w:t>
      </w:r>
      <w:r w:rsidR="0042358A" w:rsidRPr="002720D0">
        <w:rPr>
          <w:lang w:val="es-ES_tradnl"/>
        </w:rPr>
        <w:t xml:space="preserve">de </w:t>
      </w:r>
      <w:r w:rsidR="00325617" w:rsidRPr="002720D0">
        <w:rPr>
          <w:lang w:val="es-ES_tradnl"/>
        </w:rPr>
        <w:t xml:space="preserve">Lucha </w:t>
      </w:r>
      <w:r w:rsidR="0042358A" w:rsidRPr="002720D0">
        <w:rPr>
          <w:lang w:val="es-ES_tradnl"/>
        </w:rPr>
        <w:t xml:space="preserve">contra la </w:t>
      </w:r>
      <w:r w:rsidR="00325617" w:rsidRPr="002720D0">
        <w:rPr>
          <w:lang w:val="es-ES_tradnl"/>
        </w:rPr>
        <w:t xml:space="preserve">Trata </w:t>
      </w:r>
      <w:r w:rsidR="0042358A" w:rsidRPr="002720D0">
        <w:rPr>
          <w:lang w:val="es-ES_tradnl"/>
        </w:rPr>
        <w:t xml:space="preserve">de </w:t>
      </w:r>
      <w:r w:rsidR="00325617" w:rsidRPr="002720D0">
        <w:rPr>
          <w:lang w:val="es-ES_tradnl"/>
        </w:rPr>
        <w:t xml:space="preserve">Personas </w:t>
      </w:r>
      <w:r w:rsidR="0042358A" w:rsidRPr="002720D0">
        <w:rPr>
          <w:lang w:val="es-ES_tradnl"/>
        </w:rPr>
        <w:t>(</w:t>
      </w:r>
      <w:r w:rsidR="002720D0">
        <w:rPr>
          <w:lang w:val="es-ES_tradnl"/>
        </w:rPr>
        <w:t>Nº</w:t>
      </w:r>
      <w:r w:rsidRPr="002720D0">
        <w:rPr>
          <w:lang w:val="es-ES_tradnl"/>
        </w:rPr>
        <w:t xml:space="preserve"> 6, </w:t>
      </w:r>
      <w:r w:rsidR="0042358A" w:rsidRPr="002720D0">
        <w:rPr>
          <w:lang w:val="es-ES_tradnl"/>
        </w:rPr>
        <w:t>2008)</w:t>
      </w:r>
    </w:p>
    <w:p w:rsidR="00151021" w:rsidRPr="002720D0" w:rsidRDefault="0042358A"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Competencia </w:t>
      </w:r>
      <w:r w:rsidRPr="002720D0">
        <w:rPr>
          <w:lang w:val="es-ES_tradnl"/>
        </w:rPr>
        <w:t xml:space="preserve">en </w:t>
      </w:r>
      <w:r w:rsidR="00325617" w:rsidRPr="002720D0">
        <w:rPr>
          <w:lang w:val="es-ES_tradnl"/>
        </w:rPr>
        <w:t xml:space="preserve">Materia </w:t>
      </w:r>
      <w:r w:rsidRPr="002720D0">
        <w:rPr>
          <w:lang w:val="es-ES_tradnl"/>
        </w:rPr>
        <w:t xml:space="preserve">de </w:t>
      </w:r>
      <w:r w:rsidR="00325617" w:rsidRPr="002720D0">
        <w:rPr>
          <w:lang w:val="es-ES_tradnl"/>
        </w:rPr>
        <w:t xml:space="preserve">Apelación </w:t>
      </w:r>
      <w:r w:rsidR="005E3F1A" w:rsidRPr="002720D0">
        <w:rPr>
          <w:lang w:val="es-ES_tradnl"/>
        </w:rPr>
        <w:t xml:space="preserve">(1979), </w:t>
      </w:r>
      <w:r w:rsidR="002720D0">
        <w:rPr>
          <w:lang w:val="es-ES_tradnl"/>
        </w:rPr>
        <w:t>sección</w:t>
      </w:r>
      <w:r w:rsidR="005E3F1A" w:rsidRPr="002720D0">
        <w:rPr>
          <w:lang w:val="es-ES_tradnl"/>
        </w:rPr>
        <w:t xml:space="preserve"> 141, E.R</w:t>
      </w:r>
      <w:r w:rsidR="00151021" w:rsidRPr="002720D0">
        <w:rPr>
          <w:lang w:val="es-ES_tradnl"/>
        </w:rPr>
        <w:t>. 2002</w:t>
      </w:r>
    </w:p>
    <w:p w:rsidR="00151021" w:rsidRPr="002720D0" w:rsidRDefault="005E3F1A"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Cumplimiento </w:t>
      </w:r>
      <w:r w:rsidRPr="002720D0">
        <w:rPr>
          <w:lang w:val="es-ES_tradnl"/>
        </w:rPr>
        <w:t xml:space="preserve">de los </w:t>
      </w:r>
      <w:r w:rsidR="00325617" w:rsidRPr="002720D0">
        <w:rPr>
          <w:lang w:val="es-ES_tradnl"/>
        </w:rPr>
        <w:t xml:space="preserve">Derechos </w:t>
      </w:r>
      <w:r w:rsidRPr="002720D0">
        <w:rPr>
          <w:lang w:val="es-ES_tradnl"/>
        </w:rPr>
        <w:t xml:space="preserve">y </w:t>
      </w:r>
      <w:r w:rsidR="00325617" w:rsidRPr="002720D0">
        <w:rPr>
          <w:lang w:val="es-ES_tradnl"/>
        </w:rPr>
        <w:t>Deberes Fundamentales</w:t>
      </w:r>
      <w:r w:rsidRPr="002720D0">
        <w:rPr>
          <w:lang w:val="es-ES_tradnl"/>
        </w:rPr>
        <w:t xml:space="preserve">, </w:t>
      </w:r>
      <w:r w:rsidR="002720D0">
        <w:rPr>
          <w:lang w:val="es-ES_tradnl"/>
        </w:rPr>
        <w:t xml:space="preserve">sección </w:t>
      </w:r>
      <w:r w:rsidRPr="002720D0">
        <w:rPr>
          <w:lang w:val="es-ES_tradnl"/>
        </w:rPr>
        <w:t>3, E.R</w:t>
      </w:r>
      <w:r w:rsidR="00151021" w:rsidRPr="002720D0">
        <w:rPr>
          <w:lang w:val="es-ES_tradnl"/>
        </w:rPr>
        <w:t>. 2002</w:t>
      </w:r>
    </w:p>
    <w:p w:rsidR="00151021" w:rsidRPr="002720D0" w:rsidRDefault="00EA1ECE" w:rsidP="00BF070F">
      <w:pPr>
        <w:pStyle w:val="SingleTxtG"/>
        <w:ind w:left="1418" w:hanging="284"/>
        <w:jc w:val="left"/>
        <w:rPr>
          <w:lang w:val="es-ES_tradnl"/>
        </w:rPr>
      </w:pPr>
      <w:r w:rsidRPr="002720D0">
        <w:rPr>
          <w:lang w:val="es-ES_tradnl"/>
        </w:rPr>
        <w:t xml:space="preserve">Ley </w:t>
      </w:r>
      <w:r w:rsidR="005E3F1A" w:rsidRPr="002720D0">
        <w:rPr>
          <w:lang w:val="es-ES_tradnl"/>
        </w:rPr>
        <w:t xml:space="preserve">de </w:t>
      </w:r>
      <w:r w:rsidR="00325617" w:rsidRPr="002720D0">
        <w:rPr>
          <w:lang w:val="es-ES_tradnl"/>
        </w:rPr>
        <w:t xml:space="preserve">Inscripción </w:t>
      </w:r>
      <w:r w:rsidR="005E3F1A" w:rsidRPr="002720D0">
        <w:rPr>
          <w:lang w:val="es-ES_tradnl"/>
        </w:rPr>
        <w:t xml:space="preserve">de </w:t>
      </w:r>
      <w:r w:rsidR="00325617" w:rsidRPr="002720D0">
        <w:rPr>
          <w:lang w:val="es-ES_tradnl"/>
        </w:rPr>
        <w:t xml:space="preserve">Nacimientos </w:t>
      </w:r>
      <w:r w:rsidR="005E3F1A" w:rsidRPr="002720D0">
        <w:rPr>
          <w:lang w:val="es-ES_tradnl"/>
        </w:rPr>
        <w:t xml:space="preserve">y </w:t>
      </w:r>
      <w:r w:rsidR="00325617" w:rsidRPr="002720D0">
        <w:rPr>
          <w:lang w:val="es-ES_tradnl"/>
        </w:rPr>
        <w:t xml:space="preserve">Defunciones </w:t>
      </w:r>
      <w:r w:rsidR="005E3F1A" w:rsidRPr="002720D0">
        <w:rPr>
          <w:lang w:val="es-ES_tradnl"/>
        </w:rPr>
        <w:t>(</w:t>
      </w:r>
      <w:r w:rsidR="002720D0">
        <w:rPr>
          <w:lang w:val="es-ES_tradnl"/>
        </w:rPr>
        <w:t>Nº</w:t>
      </w:r>
      <w:r w:rsidRPr="002720D0">
        <w:rPr>
          <w:lang w:val="es-ES_tradnl"/>
        </w:rPr>
        <w:t xml:space="preserve"> 10, </w:t>
      </w:r>
      <w:r w:rsidR="00151021" w:rsidRPr="002720D0">
        <w:rPr>
          <w:lang w:val="es-ES_tradnl"/>
        </w:rPr>
        <w:t>2006</w:t>
      </w:r>
      <w:r w:rsidR="005E3F1A" w:rsidRPr="002720D0">
        <w:rPr>
          <w:lang w:val="es-ES_tradnl"/>
        </w:rPr>
        <w:t>) (Zanzí</w:t>
      </w:r>
      <w:r w:rsidR="00151021" w:rsidRPr="002720D0">
        <w:rPr>
          <w:lang w:val="es-ES_tradnl"/>
        </w:rPr>
        <w:t>bar)</w:t>
      </w:r>
    </w:p>
    <w:p w:rsidR="00151021" w:rsidRPr="002720D0" w:rsidRDefault="005E3F1A"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Inscripción </w:t>
      </w:r>
      <w:r w:rsidRPr="002720D0">
        <w:rPr>
          <w:lang w:val="es-ES_tradnl"/>
        </w:rPr>
        <w:t xml:space="preserve">de </w:t>
      </w:r>
      <w:r w:rsidR="00325617" w:rsidRPr="002720D0">
        <w:rPr>
          <w:lang w:val="es-ES_tradnl"/>
        </w:rPr>
        <w:t xml:space="preserve">Nacimientos </w:t>
      </w:r>
      <w:r w:rsidRPr="002720D0">
        <w:rPr>
          <w:lang w:val="es-ES_tradnl"/>
        </w:rPr>
        <w:t xml:space="preserve">y </w:t>
      </w:r>
      <w:r w:rsidR="00325617" w:rsidRPr="002720D0">
        <w:rPr>
          <w:lang w:val="es-ES_tradnl"/>
        </w:rPr>
        <w:t>Defunciones</w:t>
      </w:r>
      <w:r w:rsidRPr="002720D0">
        <w:rPr>
          <w:lang w:val="es-ES_tradnl"/>
        </w:rPr>
        <w:t xml:space="preserve">, </w:t>
      </w:r>
      <w:r w:rsidR="002720D0">
        <w:rPr>
          <w:lang w:val="es-ES_tradnl"/>
        </w:rPr>
        <w:t>sección</w:t>
      </w:r>
      <w:r w:rsidRPr="002720D0">
        <w:rPr>
          <w:lang w:val="es-ES_tradnl"/>
        </w:rPr>
        <w:t xml:space="preserve"> 108, E.R</w:t>
      </w:r>
      <w:r w:rsidR="00151021" w:rsidRPr="002720D0">
        <w:rPr>
          <w:lang w:val="es-ES_tradnl"/>
        </w:rPr>
        <w:t>. 2002</w:t>
      </w:r>
    </w:p>
    <w:p w:rsidR="00151021" w:rsidRPr="002720D0" w:rsidRDefault="00EA1ECE" w:rsidP="00BF070F">
      <w:pPr>
        <w:pStyle w:val="SingleTxtG"/>
        <w:ind w:left="1418" w:hanging="284"/>
        <w:jc w:val="left"/>
        <w:rPr>
          <w:lang w:val="es-ES_tradnl"/>
        </w:rPr>
      </w:pPr>
      <w:r w:rsidRPr="002720D0">
        <w:rPr>
          <w:lang w:val="es-ES_tradnl"/>
        </w:rPr>
        <w:t xml:space="preserve">Ley del </w:t>
      </w:r>
      <w:r w:rsidR="00325617" w:rsidRPr="002720D0">
        <w:rPr>
          <w:lang w:val="es-ES_tradnl"/>
        </w:rPr>
        <w:t xml:space="preserve">Niño </w:t>
      </w:r>
      <w:r w:rsidRPr="002720D0">
        <w:rPr>
          <w:lang w:val="es-ES_tradnl"/>
        </w:rPr>
        <w:t>(</w:t>
      </w:r>
      <w:r w:rsidR="002720D0">
        <w:rPr>
          <w:lang w:val="es-ES_tradnl"/>
        </w:rPr>
        <w:t>Nº</w:t>
      </w:r>
      <w:r w:rsidRPr="002720D0">
        <w:rPr>
          <w:lang w:val="es-ES_tradnl"/>
        </w:rPr>
        <w:t xml:space="preserve"> 6, </w:t>
      </w:r>
      <w:r w:rsidR="005E3F1A" w:rsidRPr="002720D0">
        <w:rPr>
          <w:lang w:val="es-ES_tradnl"/>
        </w:rPr>
        <w:t>2011</w:t>
      </w:r>
      <w:r w:rsidRPr="002720D0">
        <w:rPr>
          <w:lang w:val="es-ES_tradnl"/>
        </w:rPr>
        <w:t>)</w:t>
      </w:r>
      <w:r w:rsidR="005E3F1A" w:rsidRPr="002720D0">
        <w:rPr>
          <w:lang w:val="es-ES_tradnl"/>
        </w:rPr>
        <w:t xml:space="preserve"> (Zanzí</w:t>
      </w:r>
      <w:r w:rsidR="00151021" w:rsidRPr="002720D0">
        <w:rPr>
          <w:lang w:val="es-ES_tradnl"/>
        </w:rPr>
        <w:t>bar)</w:t>
      </w:r>
    </w:p>
    <w:p w:rsidR="00151021" w:rsidRPr="002720D0" w:rsidRDefault="005E3F1A" w:rsidP="00BF070F">
      <w:pPr>
        <w:pStyle w:val="SingleTxtG"/>
        <w:ind w:left="1418" w:hanging="284"/>
        <w:jc w:val="left"/>
        <w:rPr>
          <w:lang w:val="es-ES_tradnl"/>
        </w:rPr>
      </w:pPr>
      <w:r w:rsidRPr="002720D0">
        <w:rPr>
          <w:lang w:val="es-ES_tradnl"/>
        </w:rPr>
        <w:t xml:space="preserve">Ley de la Comisión de Derechos Humanos y Buen Gobierno, </w:t>
      </w:r>
      <w:r w:rsidR="002720D0">
        <w:rPr>
          <w:lang w:val="es-ES_tradnl"/>
        </w:rPr>
        <w:t>sección</w:t>
      </w:r>
      <w:r w:rsidRPr="002720D0">
        <w:rPr>
          <w:lang w:val="es-ES_tradnl"/>
        </w:rPr>
        <w:t xml:space="preserve"> 391, E.R. 2002</w:t>
      </w:r>
    </w:p>
    <w:p w:rsidR="00151021" w:rsidRPr="002720D0" w:rsidRDefault="00F243E0" w:rsidP="00BF070F">
      <w:pPr>
        <w:pStyle w:val="SingleTxtG"/>
        <w:ind w:left="1418" w:hanging="284"/>
        <w:jc w:val="left"/>
        <w:rPr>
          <w:lang w:val="es-ES_tradnl"/>
        </w:rPr>
      </w:pPr>
      <w:r w:rsidRPr="002720D0">
        <w:rPr>
          <w:lang w:val="es-ES_tradnl"/>
        </w:rPr>
        <w:t>Constitució</w:t>
      </w:r>
      <w:r w:rsidR="00151021" w:rsidRPr="002720D0">
        <w:rPr>
          <w:lang w:val="es-ES_tradnl"/>
        </w:rPr>
        <w:t>n</w:t>
      </w:r>
      <w:r w:rsidRPr="002720D0">
        <w:rPr>
          <w:lang w:val="es-ES_tradnl"/>
        </w:rPr>
        <w:t xml:space="preserve"> de Zanzí</w:t>
      </w:r>
      <w:r w:rsidR="00151021" w:rsidRPr="002720D0">
        <w:rPr>
          <w:lang w:val="es-ES_tradnl"/>
        </w:rPr>
        <w:t>bar (1984)</w:t>
      </w:r>
    </w:p>
    <w:p w:rsidR="00151021" w:rsidRPr="002720D0" w:rsidRDefault="00F243E0" w:rsidP="00BF070F">
      <w:pPr>
        <w:pStyle w:val="SingleTxtG"/>
        <w:ind w:left="1418" w:hanging="284"/>
        <w:jc w:val="left"/>
        <w:rPr>
          <w:lang w:val="es-ES_tradnl"/>
        </w:rPr>
      </w:pPr>
      <w:r w:rsidRPr="002720D0">
        <w:rPr>
          <w:lang w:val="es-ES_tradnl"/>
        </w:rPr>
        <w:t>Constitució</w:t>
      </w:r>
      <w:r w:rsidR="00151021" w:rsidRPr="002720D0">
        <w:rPr>
          <w:lang w:val="es-ES_tradnl"/>
        </w:rPr>
        <w:t>n</w:t>
      </w:r>
      <w:r w:rsidR="003D2ED2" w:rsidRPr="002720D0">
        <w:rPr>
          <w:lang w:val="es-ES_tradnl"/>
        </w:rPr>
        <w:t xml:space="preserve"> </w:t>
      </w:r>
      <w:r w:rsidRPr="002720D0">
        <w:rPr>
          <w:lang w:val="es-ES_tradnl"/>
        </w:rPr>
        <w:t>de la República Unida de Tanzaní</w:t>
      </w:r>
      <w:r w:rsidR="00151021" w:rsidRPr="002720D0">
        <w:rPr>
          <w:lang w:val="es-ES_tradnl"/>
        </w:rPr>
        <w:t>a (1977)</w:t>
      </w:r>
    </w:p>
    <w:p w:rsidR="00151021" w:rsidRPr="002720D0" w:rsidRDefault="00DC2CEE" w:rsidP="00BF070F">
      <w:pPr>
        <w:pStyle w:val="SingleTxtG"/>
        <w:ind w:left="1418" w:hanging="284"/>
        <w:jc w:val="left"/>
        <w:rPr>
          <w:lang w:val="es-ES_tradnl"/>
        </w:rPr>
      </w:pPr>
      <w:r w:rsidRPr="002720D0">
        <w:rPr>
          <w:lang w:val="es-ES_tradnl"/>
        </w:rPr>
        <w:t xml:space="preserve">Ley </w:t>
      </w:r>
      <w:r w:rsidR="00F243E0" w:rsidRPr="002720D0">
        <w:rPr>
          <w:lang w:val="es-ES_tradnl"/>
        </w:rPr>
        <w:t xml:space="preserve">de la </w:t>
      </w:r>
      <w:r w:rsidR="00325617" w:rsidRPr="002720D0">
        <w:rPr>
          <w:lang w:val="es-ES_tradnl"/>
        </w:rPr>
        <w:t xml:space="preserve">Quinta Enmienda </w:t>
      </w:r>
      <w:r w:rsidR="00F243E0" w:rsidRPr="002720D0">
        <w:rPr>
          <w:lang w:val="es-ES_tradnl"/>
        </w:rPr>
        <w:t>de la Constitució</w:t>
      </w:r>
      <w:r w:rsidR="00151021" w:rsidRPr="002720D0">
        <w:rPr>
          <w:lang w:val="es-ES_tradnl"/>
        </w:rPr>
        <w:t>n</w:t>
      </w:r>
      <w:r w:rsidR="00F243E0" w:rsidRPr="002720D0">
        <w:rPr>
          <w:lang w:val="es-ES_tradnl"/>
        </w:rPr>
        <w:t xml:space="preserve"> (</w:t>
      </w:r>
      <w:r w:rsidR="002720D0">
        <w:rPr>
          <w:lang w:val="es-ES_tradnl"/>
        </w:rPr>
        <w:t>Nº</w:t>
      </w:r>
      <w:r w:rsidRPr="002720D0">
        <w:rPr>
          <w:lang w:val="es-ES_tradnl"/>
        </w:rPr>
        <w:t xml:space="preserve"> 5, </w:t>
      </w:r>
      <w:r w:rsidR="00151021" w:rsidRPr="002720D0">
        <w:rPr>
          <w:lang w:val="es-ES_tradnl"/>
        </w:rPr>
        <w:t>1984</w:t>
      </w:r>
      <w:r w:rsidR="00F243E0" w:rsidRPr="002720D0">
        <w:rPr>
          <w:lang w:val="es-ES_tradnl"/>
        </w:rPr>
        <w:t>)</w:t>
      </w:r>
      <w:r w:rsidR="00151021" w:rsidRPr="002720D0">
        <w:rPr>
          <w:lang w:val="es-ES_tradnl"/>
        </w:rPr>
        <w:t xml:space="preserve"> </w:t>
      </w:r>
    </w:p>
    <w:p w:rsidR="00151021" w:rsidRPr="00AE5091" w:rsidRDefault="00DC2CEE" w:rsidP="00BF070F">
      <w:pPr>
        <w:pStyle w:val="SingleTxtG"/>
        <w:jc w:val="left"/>
        <w:rPr>
          <w:lang w:val="es-ES_tradnl"/>
        </w:rPr>
      </w:pPr>
      <w:r w:rsidRPr="00AE5091">
        <w:rPr>
          <w:lang w:val="es-ES_tradnl"/>
        </w:rPr>
        <w:t xml:space="preserve">Ley </w:t>
      </w:r>
      <w:r w:rsidR="00F243E0" w:rsidRPr="00AE5091">
        <w:rPr>
          <w:lang w:val="es-ES_tradnl"/>
        </w:rPr>
        <w:t>de la Constitució</w:t>
      </w:r>
      <w:r w:rsidR="00151021" w:rsidRPr="00AE5091">
        <w:rPr>
          <w:lang w:val="es-ES_tradnl"/>
        </w:rPr>
        <w:t>n (</w:t>
      </w:r>
      <w:r w:rsidR="00F243E0" w:rsidRPr="00AE5091">
        <w:rPr>
          <w:lang w:val="es-ES_tradnl"/>
        </w:rPr>
        <w:t>disposiciones subsidiarias, transicionales y temporales)</w:t>
      </w:r>
      <w:r w:rsidR="00151021" w:rsidRPr="00AE5091">
        <w:rPr>
          <w:lang w:val="es-ES_tradnl"/>
        </w:rPr>
        <w:t xml:space="preserve"> </w:t>
      </w:r>
      <w:r w:rsidR="00DE7F22">
        <w:rPr>
          <w:lang w:val="es-ES_tradnl"/>
        </w:rPr>
        <w:br/>
      </w:r>
      <w:r w:rsidR="00F243E0" w:rsidRPr="00AE5091">
        <w:rPr>
          <w:lang w:val="es-ES_tradnl"/>
        </w:rPr>
        <w:t>(</w:t>
      </w:r>
      <w:r w:rsidR="002720D0" w:rsidRPr="00AE5091">
        <w:rPr>
          <w:lang w:val="es-ES_tradnl"/>
        </w:rPr>
        <w:t>Nº</w:t>
      </w:r>
      <w:r w:rsidRPr="00AE5091">
        <w:rPr>
          <w:lang w:val="es-ES_tradnl"/>
        </w:rPr>
        <w:t xml:space="preserve"> 16, </w:t>
      </w:r>
      <w:r w:rsidR="00151021" w:rsidRPr="00AE5091">
        <w:rPr>
          <w:lang w:val="es-ES_tradnl"/>
        </w:rPr>
        <w:t>1984</w:t>
      </w:r>
      <w:r w:rsidR="00F243E0" w:rsidRPr="00AE5091">
        <w:rPr>
          <w:lang w:val="es-ES_tradnl"/>
        </w:rPr>
        <w:t>)</w:t>
      </w:r>
    </w:p>
    <w:p w:rsidR="00151021" w:rsidRPr="002720D0" w:rsidRDefault="00DC2CEE" w:rsidP="00BF070F">
      <w:pPr>
        <w:pStyle w:val="SingleTxtG"/>
        <w:ind w:left="1418" w:hanging="284"/>
        <w:jc w:val="left"/>
        <w:rPr>
          <w:lang w:val="es-ES_tradnl"/>
        </w:rPr>
      </w:pPr>
      <w:r w:rsidRPr="00AE5091">
        <w:rPr>
          <w:lang w:val="es-ES_tradnl"/>
        </w:rPr>
        <w:t xml:space="preserve">Ley de </w:t>
      </w:r>
      <w:r w:rsidR="00325617" w:rsidRPr="00AE5091">
        <w:rPr>
          <w:lang w:val="es-ES_tradnl"/>
        </w:rPr>
        <w:t xml:space="preserve">Tribunales </w:t>
      </w:r>
      <w:r w:rsidR="00151021" w:rsidRPr="00AE5091">
        <w:rPr>
          <w:lang w:val="es-ES_tradnl"/>
        </w:rPr>
        <w:t>(</w:t>
      </w:r>
      <w:r w:rsidR="00F243E0" w:rsidRPr="00AE5091">
        <w:rPr>
          <w:lang w:val="es-ES_tradnl"/>
        </w:rPr>
        <w:t xml:space="preserve">solución de litigios </w:t>
      </w:r>
      <w:r w:rsidRPr="00AE5091">
        <w:rPr>
          <w:lang w:val="es-ES_tradnl"/>
        </w:rPr>
        <w:t xml:space="preserve">sobre las tierras) </w:t>
      </w:r>
      <w:r w:rsidR="00151021" w:rsidRPr="00AE5091">
        <w:rPr>
          <w:lang w:val="es-ES_tradnl"/>
        </w:rPr>
        <w:t>(2002)</w:t>
      </w:r>
    </w:p>
    <w:p w:rsidR="00151021" w:rsidRPr="002720D0" w:rsidRDefault="00DC2CEE"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Prevención </w:t>
      </w:r>
      <w:r w:rsidRPr="002720D0">
        <w:rPr>
          <w:lang w:val="es-ES_tradnl"/>
        </w:rPr>
        <w:t xml:space="preserve">en </w:t>
      </w:r>
      <w:r w:rsidR="00325617" w:rsidRPr="002720D0">
        <w:rPr>
          <w:lang w:val="es-ES_tradnl"/>
        </w:rPr>
        <w:t xml:space="preserve">Materia </w:t>
      </w:r>
      <w:r w:rsidRPr="002720D0">
        <w:rPr>
          <w:lang w:val="es-ES_tradnl"/>
        </w:rPr>
        <w:t xml:space="preserve">de </w:t>
      </w:r>
      <w:r w:rsidR="00325617" w:rsidRPr="002720D0">
        <w:rPr>
          <w:lang w:val="es-ES_tradnl"/>
        </w:rPr>
        <w:t xml:space="preserve">Drogas </w:t>
      </w:r>
      <w:r w:rsidRPr="002720D0">
        <w:rPr>
          <w:lang w:val="es-ES_tradnl"/>
        </w:rPr>
        <w:t xml:space="preserve">y del </w:t>
      </w:r>
      <w:r w:rsidR="00325617" w:rsidRPr="002720D0">
        <w:rPr>
          <w:lang w:val="es-ES_tradnl"/>
        </w:rPr>
        <w:t xml:space="preserve">Tráfico </w:t>
      </w:r>
      <w:r w:rsidRPr="002720D0">
        <w:rPr>
          <w:lang w:val="es-ES_tradnl"/>
        </w:rPr>
        <w:t xml:space="preserve">de </w:t>
      </w:r>
      <w:r w:rsidR="00325617" w:rsidRPr="002720D0">
        <w:rPr>
          <w:lang w:val="es-ES_tradnl"/>
        </w:rPr>
        <w:t>Drogas</w:t>
      </w:r>
      <w:r w:rsidRPr="002720D0">
        <w:rPr>
          <w:lang w:val="es-ES_tradnl"/>
        </w:rPr>
        <w:t xml:space="preserve">, </w:t>
      </w:r>
      <w:r w:rsidR="002720D0">
        <w:rPr>
          <w:lang w:val="es-ES_tradnl"/>
        </w:rPr>
        <w:t>sección</w:t>
      </w:r>
      <w:r w:rsidRPr="002720D0">
        <w:rPr>
          <w:lang w:val="es-ES_tradnl"/>
        </w:rPr>
        <w:t xml:space="preserve"> 95, E.R. </w:t>
      </w:r>
      <w:r w:rsidR="00151021" w:rsidRPr="002720D0">
        <w:rPr>
          <w:lang w:val="es-ES_tradnl"/>
        </w:rPr>
        <w:t>2002</w:t>
      </w:r>
    </w:p>
    <w:p w:rsidR="00151021" w:rsidRPr="002720D0" w:rsidRDefault="00DC2CEE"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Educación </w:t>
      </w:r>
      <w:r w:rsidR="00151021" w:rsidRPr="002720D0">
        <w:rPr>
          <w:lang w:val="es-ES_tradnl"/>
        </w:rPr>
        <w:t xml:space="preserve">(1978), </w:t>
      </w:r>
      <w:r w:rsidR="002720D0">
        <w:rPr>
          <w:lang w:val="es-ES_tradnl"/>
        </w:rPr>
        <w:t>sección</w:t>
      </w:r>
      <w:r w:rsidR="00151021" w:rsidRPr="002720D0">
        <w:rPr>
          <w:lang w:val="es-ES_tradnl"/>
        </w:rPr>
        <w:t xml:space="preserve"> 353</w:t>
      </w:r>
      <w:r w:rsidRPr="002720D0">
        <w:rPr>
          <w:lang w:val="es-ES_tradnl"/>
        </w:rPr>
        <w:t>, E.R.</w:t>
      </w:r>
      <w:r w:rsidR="00151021" w:rsidRPr="002720D0">
        <w:rPr>
          <w:lang w:val="es-ES_tradnl"/>
        </w:rPr>
        <w:t xml:space="preserve"> 2002</w:t>
      </w:r>
    </w:p>
    <w:p w:rsidR="00151021" w:rsidRPr="002720D0" w:rsidRDefault="00DC2CEE"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Empleo </w:t>
      </w:r>
      <w:r w:rsidRPr="002720D0">
        <w:rPr>
          <w:lang w:val="es-ES_tradnl"/>
        </w:rPr>
        <w:t>(2005) (Zanzí</w:t>
      </w:r>
      <w:r w:rsidR="00151021" w:rsidRPr="002720D0">
        <w:rPr>
          <w:lang w:val="es-ES_tradnl"/>
        </w:rPr>
        <w:t>bar)</w:t>
      </w:r>
    </w:p>
    <w:p w:rsidR="00151021" w:rsidRPr="002720D0" w:rsidRDefault="00DC2CEE"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Empleo </w:t>
      </w:r>
      <w:r w:rsidR="00151021" w:rsidRPr="002720D0">
        <w:rPr>
          <w:lang w:val="es-ES_tradnl"/>
        </w:rPr>
        <w:t>y</w:t>
      </w:r>
      <w:r w:rsidRPr="002720D0">
        <w:rPr>
          <w:lang w:val="es-ES_tradnl"/>
        </w:rPr>
        <w:t xml:space="preserve"> </w:t>
      </w:r>
      <w:r w:rsidR="00325617" w:rsidRPr="002720D0">
        <w:rPr>
          <w:lang w:val="es-ES_tradnl"/>
        </w:rPr>
        <w:t xml:space="preserve">Relaciones Laborales </w:t>
      </w:r>
      <w:r w:rsidRPr="002720D0">
        <w:rPr>
          <w:lang w:val="es-ES_tradnl"/>
        </w:rPr>
        <w:t>(</w:t>
      </w:r>
      <w:r w:rsidR="002720D0">
        <w:rPr>
          <w:lang w:val="es-ES_tradnl"/>
        </w:rPr>
        <w:t>Nº</w:t>
      </w:r>
      <w:r w:rsidRPr="002720D0">
        <w:rPr>
          <w:lang w:val="es-ES_tradnl"/>
        </w:rPr>
        <w:t xml:space="preserve"> 6, </w:t>
      </w:r>
      <w:r w:rsidR="00151021" w:rsidRPr="002720D0">
        <w:rPr>
          <w:lang w:val="es-ES_tradnl"/>
        </w:rPr>
        <w:t>2004</w:t>
      </w:r>
      <w:r w:rsidRPr="002720D0">
        <w:rPr>
          <w:lang w:val="es-ES_tradnl"/>
        </w:rPr>
        <w:t>)</w:t>
      </w:r>
    </w:p>
    <w:p w:rsidR="00151021" w:rsidRPr="002720D0" w:rsidRDefault="00DC2CEE"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Alimentos </w:t>
      </w:r>
      <w:r w:rsidRPr="002720D0">
        <w:rPr>
          <w:lang w:val="es-ES_tradnl"/>
        </w:rPr>
        <w:t>(control de calidad) (</w:t>
      </w:r>
      <w:r w:rsidR="002720D0">
        <w:rPr>
          <w:lang w:val="es-ES_tradnl"/>
        </w:rPr>
        <w:t>Nº</w:t>
      </w:r>
      <w:r w:rsidRPr="002720D0">
        <w:rPr>
          <w:lang w:val="es-ES_tradnl"/>
        </w:rPr>
        <w:t xml:space="preserve"> 10, </w:t>
      </w:r>
      <w:r w:rsidR="00151021" w:rsidRPr="002720D0">
        <w:rPr>
          <w:lang w:val="es-ES_tradnl"/>
        </w:rPr>
        <w:t xml:space="preserve">1978). </w:t>
      </w:r>
    </w:p>
    <w:p w:rsidR="00151021" w:rsidRPr="002720D0" w:rsidRDefault="00DC2CEE" w:rsidP="00BF070F">
      <w:pPr>
        <w:pStyle w:val="SingleTxtG"/>
        <w:ind w:left="1418" w:hanging="284"/>
        <w:jc w:val="left"/>
        <w:rPr>
          <w:lang w:val="es-ES_tradnl"/>
        </w:rPr>
      </w:pPr>
      <w:r w:rsidRPr="002720D0">
        <w:rPr>
          <w:lang w:val="es-ES_tradnl"/>
        </w:rPr>
        <w:t xml:space="preserve">Ley </w:t>
      </w:r>
      <w:r w:rsidR="002720D0">
        <w:rPr>
          <w:lang w:val="es-ES_tradnl"/>
        </w:rPr>
        <w:t>Nº</w:t>
      </w:r>
      <w:r w:rsidRPr="002720D0">
        <w:rPr>
          <w:lang w:val="es-ES_tradnl"/>
        </w:rPr>
        <w:t xml:space="preserve"> 2 del Tribunal Superior (</w:t>
      </w:r>
      <w:r w:rsidR="002720D0">
        <w:rPr>
          <w:lang w:val="es-ES_tradnl"/>
        </w:rPr>
        <w:t>Nº</w:t>
      </w:r>
      <w:r w:rsidRPr="002720D0">
        <w:rPr>
          <w:lang w:val="es-ES_tradnl"/>
        </w:rPr>
        <w:t xml:space="preserve"> 2, 1985) (Zanzí</w:t>
      </w:r>
      <w:r w:rsidR="00151021" w:rsidRPr="002720D0">
        <w:rPr>
          <w:lang w:val="es-ES_tradnl"/>
        </w:rPr>
        <w:t>bar)</w:t>
      </w:r>
    </w:p>
    <w:p w:rsidR="00151021" w:rsidRPr="002720D0" w:rsidRDefault="00EA1ECE" w:rsidP="00BF070F">
      <w:pPr>
        <w:pStyle w:val="SingleTxtG"/>
        <w:ind w:left="1418" w:hanging="284"/>
        <w:jc w:val="left"/>
        <w:rPr>
          <w:lang w:val="es-ES_tradnl"/>
        </w:rPr>
      </w:pPr>
      <w:r w:rsidRPr="002720D0">
        <w:rPr>
          <w:lang w:val="es-ES_tradnl"/>
        </w:rPr>
        <w:t>Ley (de prevención y control) del VIH/SIDA (</w:t>
      </w:r>
      <w:r w:rsidR="002720D0">
        <w:rPr>
          <w:lang w:val="es-ES_tradnl"/>
        </w:rPr>
        <w:t>Nº</w:t>
      </w:r>
      <w:r w:rsidRPr="002720D0">
        <w:rPr>
          <w:lang w:val="es-ES_tradnl"/>
        </w:rPr>
        <w:t xml:space="preserve"> 28, </w:t>
      </w:r>
      <w:r w:rsidR="00151021" w:rsidRPr="002720D0">
        <w:rPr>
          <w:lang w:val="es-ES_tradnl"/>
        </w:rPr>
        <w:t>2008</w:t>
      </w:r>
      <w:r w:rsidRPr="002720D0">
        <w:rPr>
          <w:lang w:val="es-ES_tradnl"/>
        </w:rPr>
        <w:t>)</w:t>
      </w:r>
    </w:p>
    <w:p w:rsidR="00151021" w:rsidRPr="002720D0" w:rsidRDefault="00EA1ECE" w:rsidP="00BF070F">
      <w:pPr>
        <w:pStyle w:val="SingleTxtG"/>
        <w:ind w:left="1418" w:hanging="284"/>
        <w:jc w:val="left"/>
        <w:rPr>
          <w:lang w:val="es-ES_tradnl"/>
        </w:rPr>
      </w:pPr>
      <w:r w:rsidRPr="002720D0">
        <w:rPr>
          <w:lang w:val="es-ES_tradnl"/>
        </w:rPr>
        <w:t xml:space="preserve">Ley de </w:t>
      </w:r>
      <w:r w:rsidR="00325617" w:rsidRPr="002720D0">
        <w:rPr>
          <w:lang w:val="es-ES_tradnl"/>
        </w:rPr>
        <w:t>Servicios Judiciales</w:t>
      </w:r>
      <w:r w:rsidR="00151021" w:rsidRPr="002720D0">
        <w:rPr>
          <w:lang w:val="es-ES_tradnl"/>
        </w:rPr>
        <w:t xml:space="preserve">, </w:t>
      </w:r>
      <w:r w:rsidR="00325617">
        <w:rPr>
          <w:lang w:val="es-ES_tradnl"/>
        </w:rPr>
        <w:t xml:space="preserve">sección </w:t>
      </w:r>
      <w:r w:rsidR="00151021" w:rsidRPr="002720D0">
        <w:rPr>
          <w:lang w:val="es-ES_tradnl"/>
        </w:rPr>
        <w:t>237</w:t>
      </w:r>
      <w:r w:rsidRPr="002720D0">
        <w:rPr>
          <w:lang w:val="es-ES_tradnl"/>
        </w:rPr>
        <w:t>, E.R.</w:t>
      </w:r>
      <w:r w:rsidR="00151021" w:rsidRPr="002720D0">
        <w:rPr>
          <w:lang w:val="es-ES_tradnl"/>
        </w:rPr>
        <w:t xml:space="preserve"> 2002</w:t>
      </w:r>
    </w:p>
    <w:p w:rsidR="00151021" w:rsidRPr="002720D0" w:rsidRDefault="00EA1ECE" w:rsidP="00BF070F">
      <w:pPr>
        <w:pStyle w:val="SingleTxtG"/>
        <w:ind w:left="1418" w:hanging="284"/>
        <w:jc w:val="left"/>
        <w:rPr>
          <w:lang w:val="es-ES_tradnl"/>
        </w:rPr>
      </w:pPr>
      <w:r w:rsidRPr="002720D0">
        <w:rPr>
          <w:lang w:val="es-ES_tradnl"/>
        </w:rPr>
        <w:t xml:space="preserve">Ley </w:t>
      </w:r>
      <w:r w:rsidR="005A61D1">
        <w:rPr>
          <w:lang w:val="es-ES_tradnl"/>
        </w:rPr>
        <w:t>del T</w:t>
      </w:r>
      <w:r w:rsidRPr="002720D0">
        <w:rPr>
          <w:lang w:val="es-ES_tradnl"/>
        </w:rPr>
        <w:t xml:space="preserve">ribunal del </w:t>
      </w:r>
      <w:r w:rsidR="005A61D1">
        <w:rPr>
          <w:lang w:val="es-ES_tradnl"/>
        </w:rPr>
        <w:t xml:space="preserve">Cadí </w:t>
      </w:r>
      <w:r w:rsidRPr="002720D0">
        <w:rPr>
          <w:lang w:val="es-ES_tradnl"/>
        </w:rPr>
        <w:t>(</w:t>
      </w:r>
      <w:r w:rsidR="002720D0">
        <w:rPr>
          <w:lang w:val="es-ES_tradnl"/>
        </w:rPr>
        <w:t>Nº</w:t>
      </w:r>
      <w:r w:rsidRPr="002720D0">
        <w:rPr>
          <w:lang w:val="es-ES_tradnl"/>
        </w:rPr>
        <w:t xml:space="preserve"> 3, </w:t>
      </w:r>
      <w:r w:rsidR="00151021" w:rsidRPr="002720D0">
        <w:rPr>
          <w:lang w:val="es-ES_tradnl"/>
        </w:rPr>
        <w:t>1985</w:t>
      </w:r>
      <w:r w:rsidRPr="002720D0">
        <w:rPr>
          <w:lang w:val="es-ES_tradnl"/>
        </w:rPr>
        <w:t>)</w:t>
      </w:r>
      <w:r w:rsidR="00151021" w:rsidRPr="002720D0">
        <w:rPr>
          <w:lang w:val="es-ES_tradnl"/>
        </w:rPr>
        <w:t xml:space="preserve"> (Za</w:t>
      </w:r>
      <w:r w:rsidRPr="002720D0">
        <w:rPr>
          <w:lang w:val="es-ES_tradnl"/>
        </w:rPr>
        <w:t>nzí</w:t>
      </w:r>
      <w:r w:rsidR="00151021" w:rsidRPr="002720D0">
        <w:rPr>
          <w:lang w:val="es-ES_tradnl"/>
        </w:rPr>
        <w:t>bar)</w:t>
      </w:r>
    </w:p>
    <w:p w:rsidR="00151021" w:rsidRPr="002720D0" w:rsidRDefault="00151021" w:rsidP="00BF070F">
      <w:pPr>
        <w:pStyle w:val="SingleTxtG"/>
        <w:ind w:left="1418" w:hanging="284"/>
        <w:jc w:val="left"/>
        <w:rPr>
          <w:lang w:val="es-ES_tradnl"/>
        </w:rPr>
      </w:pPr>
      <w:r w:rsidRPr="002720D0">
        <w:rPr>
          <w:lang w:val="es-ES_tradnl"/>
        </w:rPr>
        <w:t>L</w:t>
      </w:r>
      <w:r w:rsidR="00EA1ECE" w:rsidRPr="002720D0">
        <w:rPr>
          <w:lang w:val="es-ES_tradnl"/>
        </w:rPr>
        <w:t xml:space="preserve">ey de </w:t>
      </w:r>
      <w:r w:rsidR="00325617" w:rsidRPr="002720D0">
        <w:rPr>
          <w:lang w:val="es-ES_tradnl"/>
        </w:rPr>
        <w:t xml:space="preserve">Instituciones Laborales </w:t>
      </w:r>
      <w:r w:rsidR="00EA1ECE" w:rsidRPr="002720D0">
        <w:rPr>
          <w:lang w:val="es-ES_tradnl"/>
        </w:rPr>
        <w:t>(</w:t>
      </w:r>
      <w:r w:rsidR="00325617">
        <w:rPr>
          <w:lang w:val="es-ES_tradnl"/>
        </w:rPr>
        <w:t xml:space="preserve">Nº </w:t>
      </w:r>
      <w:r w:rsidR="00EA1ECE" w:rsidRPr="002720D0">
        <w:rPr>
          <w:lang w:val="es-ES_tradnl"/>
        </w:rPr>
        <w:t>7,</w:t>
      </w:r>
      <w:r w:rsidRPr="002720D0">
        <w:rPr>
          <w:lang w:val="es-ES_tradnl"/>
        </w:rPr>
        <w:t xml:space="preserve"> 2004</w:t>
      </w:r>
      <w:r w:rsidR="00EA1ECE" w:rsidRPr="002720D0">
        <w:rPr>
          <w:lang w:val="es-ES_tradnl"/>
        </w:rPr>
        <w:t>)</w:t>
      </w:r>
    </w:p>
    <w:p w:rsidR="00151021" w:rsidRPr="002720D0" w:rsidRDefault="00151021" w:rsidP="00BF070F">
      <w:pPr>
        <w:pStyle w:val="SingleTxtG"/>
        <w:ind w:left="1418" w:hanging="284"/>
        <w:jc w:val="left"/>
        <w:rPr>
          <w:lang w:val="es-ES_tradnl"/>
        </w:rPr>
      </w:pPr>
      <w:r w:rsidRPr="002720D0">
        <w:rPr>
          <w:lang w:val="es-ES_tradnl"/>
        </w:rPr>
        <w:t>L</w:t>
      </w:r>
      <w:r w:rsidR="00EA1ECE" w:rsidRPr="002720D0">
        <w:rPr>
          <w:lang w:val="es-ES_tradnl"/>
        </w:rPr>
        <w:t xml:space="preserve">ey de </w:t>
      </w:r>
      <w:r w:rsidR="00325617" w:rsidRPr="002720D0">
        <w:rPr>
          <w:lang w:val="es-ES_tradnl"/>
        </w:rPr>
        <w:t xml:space="preserve">Relaciones Laborales </w:t>
      </w:r>
      <w:r w:rsidR="00EA1ECE" w:rsidRPr="002720D0">
        <w:rPr>
          <w:lang w:val="es-ES_tradnl"/>
        </w:rPr>
        <w:t>(</w:t>
      </w:r>
      <w:r w:rsidR="002720D0">
        <w:rPr>
          <w:lang w:val="es-ES_tradnl"/>
        </w:rPr>
        <w:t>Nº</w:t>
      </w:r>
      <w:r w:rsidR="00EA1ECE" w:rsidRPr="002720D0">
        <w:rPr>
          <w:lang w:val="es-ES_tradnl"/>
        </w:rPr>
        <w:t xml:space="preserve"> 1,</w:t>
      </w:r>
      <w:r w:rsidRPr="002720D0">
        <w:rPr>
          <w:lang w:val="es-ES_tradnl"/>
        </w:rPr>
        <w:t xml:space="preserve"> 2005</w:t>
      </w:r>
      <w:r w:rsidR="00EA1ECE" w:rsidRPr="002720D0">
        <w:rPr>
          <w:lang w:val="es-ES_tradnl"/>
        </w:rPr>
        <w:t>) (Zanzí</w:t>
      </w:r>
      <w:r w:rsidRPr="002720D0">
        <w:rPr>
          <w:lang w:val="es-ES_tradnl"/>
        </w:rPr>
        <w:t>bar)</w:t>
      </w:r>
    </w:p>
    <w:p w:rsidR="00151021" w:rsidRPr="002720D0" w:rsidRDefault="00151021" w:rsidP="00BF070F">
      <w:pPr>
        <w:pStyle w:val="SingleTxtG"/>
        <w:ind w:left="1418" w:hanging="284"/>
        <w:jc w:val="left"/>
        <w:rPr>
          <w:lang w:val="es-ES_tradnl"/>
        </w:rPr>
      </w:pPr>
      <w:r w:rsidRPr="002720D0">
        <w:rPr>
          <w:lang w:val="es-ES_tradnl"/>
        </w:rPr>
        <w:t>L</w:t>
      </w:r>
      <w:r w:rsidR="00EA1ECE" w:rsidRPr="002720D0">
        <w:rPr>
          <w:lang w:val="es-ES_tradnl"/>
        </w:rPr>
        <w:t xml:space="preserve">ey de </w:t>
      </w:r>
      <w:r w:rsidR="00325617" w:rsidRPr="002720D0">
        <w:rPr>
          <w:lang w:val="es-ES_tradnl"/>
        </w:rPr>
        <w:t xml:space="preserve">Matrimonio </w:t>
      </w:r>
      <w:r w:rsidR="00EA1ECE" w:rsidRPr="002720D0">
        <w:rPr>
          <w:lang w:val="es-ES_tradnl"/>
        </w:rPr>
        <w:t xml:space="preserve">(1971), </w:t>
      </w:r>
      <w:r w:rsidR="002720D0">
        <w:rPr>
          <w:lang w:val="es-ES_tradnl"/>
        </w:rPr>
        <w:t xml:space="preserve">sección </w:t>
      </w:r>
      <w:r w:rsidR="00EA1ECE" w:rsidRPr="002720D0">
        <w:rPr>
          <w:lang w:val="es-ES_tradnl"/>
        </w:rPr>
        <w:t>29, E.R</w:t>
      </w:r>
      <w:r w:rsidRPr="002720D0">
        <w:rPr>
          <w:lang w:val="es-ES_tradnl"/>
        </w:rPr>
        <w:t>. 2002</w:t>
      </w:r>
    </w:p>
    <w:p w:rsidR="00151021" w:rsidRPr="002720D0" w:rsidRDefault="00151021" w:rsidP="00BF070F">
      <w:pPr>
        <w:pStyle w:val="SingleTxtG"/>
        <w:ind w:left="1418" w:hanging="284"/>
        <w:jc w:val="left"/>
        <w:rPr>
          <w:lang w:val="es-ES_tradnl"/>
        </w:rPr>
      </w:pPr>
      <w:r w:rsidRPr="002720D0">
        <w:rPr>
          <w:lang w:val="es-ES_tradnl"/>
        </w:rPr>
        <w:t>L</w:t>
      </w:r>
      <w:r w:rsidR="00EA1ECE" w:rsidRPr="002720D0">
        <w:rPr>
          <w:lang w:val="es-ES_tradnl"/>
        </w:rPr>
        <w:t xml:space="preserve">ey de la </w:t>
      </w:r>
      <w:r w:rsidR="00325617" w:rsidRPr="002720D0">
        <w:rPr>
          <w:lang w:val="es-ES_tradnl"/>
        </w:rPr>
        <w:t xml:space="preserve">Infancia </w:t>
      </w:r>
      <w:r w:rsidR="00EA1ECE" w:rsidRPr="002720D0">
        <w:rPr>
          <w:lang w:val="es-ES_tradnl"/>
        </w:rPr>
        <w:t>(</w:t>
      </w:r>
      <w:r w:rsidR="002720D0">
        <w:rPr>
          <w:lang w:val="es-ES_tradnl"/>
        </w:rPr>
        <w:t>Nº</w:t>
      </w:r>
      <w:r w:rsidR="00EA1ECE" w:rsidRPr="002720D0">
        <w:rPr>
          <w:lang w:val="es-ES_tradnl"/>
        </w:rPr>
        <w:t xml:space="preserve"> 21,</w:t>
      </w:r>
      <w:r w:rsidRPr="002720D0">
        <w:rPr>
          <w:lang w:val="es-ES_tradnl"/>
        </w:rPr>
        <w:t xml:space="preserve"> 2009</w:t>
      </w:r>
      <w:r w:rsidR="00EA1ECE" w:rsidRPr="002720D0">
        <w:rPr>
          <w:lang w:val="es-ES_tradnl"/>
        </w:rPr>
        <w:t>)</w:t>
      </w:r>
      <w:r w:rsidRPr="002720D0">
        <w:rPr>
          <w:lang w:val="es-ES_tradnl"/>
        </w:rPr>
        <w:t xml:space="preserve"> </w:t>
      </w:r>
    </w:p>
    <w:p w:rsidR="00151021" w:rsidRPr="002720D0" w:rsidRDefault="0045375B" w:rsidP="00BF070F">
      <w:pPr>
        <w:pStyle w:val="SingleTxtG"/>
        <w:jc w:val="left"/>
        <w:rPr>
          <w:lang w:val="es-ES_tradnl"/>
        </w:rPr>
      </w:pPr>
      <w:r w:rsidRPr="002720D0">
        <w:rPr>
          <w:lang w:val="es-ES_tradnl"/>
        </w:rPr>
        <w:t xml:space="preserve">Disposición legislativa sobre la reforma legal (accidentes mortales y disposiciones varias), </w:t>
      </w:r>
      <w:r w:rsidR="002720D0">
        <w:rPr>
          <w:lang w:val="es-ES_tradnl"/>
        </w:rPr>
        <w:t xml:space="preserve">sección </w:t>
      </w:r>
      <w:r w:rsidRPr="002720D0">
        <w:rPr>
          <w:lang w:val="es-ES_tradnl"/>
        </w:rPr>
        <w:t>360 de las leyes revisadas de Tanzaní</w:t>
      </w:r>
      <w:r w:rsidR="00325617">
        <w:rPr>
          <w:lang w:val="es-ES_tradnl"/>
        </w:rPr>
        <w:t>a</w:t>
      </w:r>
    </w:p>
    <w:p w:rsidR="00151021" w:rsidRPr="002720D0" w:rsidRDefault="0045375B"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Juzgados </w:t>
      </w:r>
      <w:r w:rsidRPr="002720D0">
        <w:rPr>
          <w:lang w:val="es-ES_tradnl"/>
        </w:rPr>
        <w:t>(1985) (Zanzí</w:t>
      </w:r>
      <w:r w:rsidR="00151021" w:rsidRPr="002720D0">
        <w:rPr>
          <w:lang w:val="es-ES_tradnl"/>
        </w:rPr>
        <w:t>bar)</w:t>
      </w:r>
    </w:p>
    <w:p w:rsidR="00151021" w:rsidRPr="002720D0" w:rsidRDefault="0045375B"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Juzgados </w:t>
      </w:r>
      <w:r w:rsidRPr="002720D0">
        <w:rPr>
          <w:lang w:val="es-ES_tradnl"/>
        </w:rPr>
        <w:t xml:space="preserve">(1984), </w:t>
      </w:r>
      <w:r w:rsidR="002720D0">
        <w:rPr>
          <w:lang w:val="es-ES_tradnl"/>
        </w:rPr>
        <w:t xml:space="preserve">sección </w:t>
      </w:r>
      <w:r w:rsidRPr="002720D0">
        <w:rPr>
          <w:lang w:val="es-ES_tradnl"/>
        </w:rPr>
        <w:t>11, E.R</w:t>
      </w:r>
      <w:r w:rsidR="00151021" w:rsidRPr="002720D0">
        <w:rPr>
          <w:lang w:val="es-ES_tradnl"/>
        </w:rPr>
        <w:t>. 2002</w:t>
      </w:r>
    </w:p>
    <w:p w:rsidR="00151021" w:rsidRPr="002720D0" w:rsidRDefault="0045375B" w:rsidP="00BF070F">
      <w:pPr>
        <w:pStyle w:val="SingleTxtG"/>
        <w:ind w:left="1418" w:hanging="284"/>
        <w:jc w:val="left"/>
        <w:rPr>
          <w:lang w:val="es-ES_tradnl"/>
        </w:rPr>
      </w:pPr>
      <w:r w:rsidRPr="002720D0">
        <w:rPr>
          <w:lang w:val="es-ES_tradnl"/>
        </w:rPr>
        <w:t xml:space="preserve">Ley de </w:t>
      </w:r>
      <w:r w:rsidR="00325617" w:rsidRPr="002720D0">
        <w:rPr>
          <w:lang w:val="es-ES_tradnl"/>
        </w:rPr>
        <w:t>Defensa Nacional</w:t>
      </w:r>
      <w:r w:rsidRPr="002720D0">
        <w:rPr>
          <w:lang w:val="es-ES_tradnl"/>
        </w:rPr>
        <w:t xml:space="preserve">, </w:t>
      </w:r>
      <w:r w:rsidR="002720D0">
        <w:rPr>
          <w:lang w:val="es-ES_tradnl"/>
        </w:rPr>
        <w:t xml:space="preserve">sección </w:t>
      </w:r>
      <w:r w:rsidRPr="002720D0">
        <w:rPr>
          <w:lang w:val="es-ES_tradnl"/>
        </w:rPr>
        <w:t>192, E.R.</w:t>
      </w:r>
      <w:r w:rsidR="00151021" w:rsidRPr="002720D0">
        <w:rPr>
          <w:lang w:val="es-ES_tradnl"/>
        </w:rPr>
        <w:t xml:space="preserve"> 2002</w:t>
      </w:r>
    </w:p>
    <w:p w:rsidR="00151021" w:rsidRPr="002720D0" w:rsidRDefault="0045375B" w:rsidP="00BF070F">
      <w:pPr>
        <w:pStyle w:val="SingleTxtG"/>
        <w:ind w:left="1418" w:hanging="284"/>
        <w:jc w:val="left"/>
        <w:rPr>
          <w:lang w:val="es-ES_tradnl"/>
        </w:rPr>
      </w:pPr>
      <w:r w:rsidRPr="002720D0">
        <w:rPr>
          <w:lang w:val="es-ES_tradnl"/>
        </w:rPr>
        <w:t xml:space="preserve">Ley </w:t>
      </w:r>
      <w:r w:rsidR="00325617" w:rsidRPr="002720D0">
        <w:rPr>
          <w:lang w:val="es-ES_tradnl"/>
        </w:rPr>
        <w:t xml:space="preserve">Penal </w:t>
      </w:r>
      <w:r w:rsidRPr="002720D0">
        <w:rPr>
          <w:lang w:val="es-ES_tradnl"/>
        </w:rPr>
        <w:t>(2004) (Zanzí</w:t>
      </w:r>
      <w:r w:rsidR="00151021" w:rsidRPr="002720D0">
        <w:rPr>
          <w:lang w:val="es-ES_tradnl"/>
        </w:rPr>
        <w:t>bar)</w:t>
      </w:r>
    </w:p>
    <w:p w:rsidR="00151021" w:rsidRPr="002720D0" w:rsidRDefault="0045375B" w:rsidP="00BF070F">
      <w:pPr>
        <w:pStyle w:val="SingleTxtG"/>
        <w:ind w:left="1418" w:hanging="284"/>
        <w:jc w:val="left"/>
        <w:rPr>
          <w:lang w:val="es-ES_tradnl"/>
        </w:rPr>
      </w:pPr>
      <w:r w:rsidRPr="002720D0">
        <w:rPr>
          <w:lang w:val="es-ES_tradnl"/>
        </w:rPr>
        <w:t>Código P</w:t>
      </w:r>
      <w:r w:rsidR="00151021" w:rsidRPr="002720D0">
        <w:rPr>
          <w:lang w:val="es-ES_tradnl"/>
        </w:rPr>
        <w:t xml:space="preserve">enal, </w:t>
      </w:r>
      <w:r w:rsidR="00325617">
        <w:rPr>
          <w:lang w:val="es-ES_tradnl"/>
        </w:rPr>
        <w:t xml:space="preserve">sección </w:t>
      </w:r>
      <w:r w:rsidR="00151021" w:rsidRPr="002720D0">
        <w:rPr>
          <w:lang w:val="es-ES_tradnl"/>
        </w:rPr>
        <w:t>16</w:t>
      </w:r>
      <w:r w:rsidRPr="002720D0">
        <w:rPr>
          <w:lang w:val="es-ES_tradnl"/>
        </w:rPr>
        <w:t>, E.R.</w:t>
      </w:r>
      <w:r w:rsidR="00151021" w:rsidRPr="002720D0">
        <w:rPr>
          <w:lang w:val="es-ES_tradnl"/>
        </w:rPr>
        <w:t xml:space="preserve"> 2002</w:t>
      </w:r>
    </w:p>
    <w:p w:rsidR="00151021" w:rsidRPr="002720D0" w:rsidRDefault="0045375B"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Personas </w:t>
      </w:r>
      <w:r w:rsidR="00A05892" w:rsidRPr="002720D0">
        <w:rPr>
          <w:lang w:val="es-ES_tradnl"/>
        </w:rPr>
        <w:t xml:space="preserve">con </w:t>
      </w:r>
      <w:r w:rsidR="00325617" w:rsidRPr="002720D0">
        <w:rPr>
          <w:lang w:val="es-ES_tradnl"/>
        </w:rPr>
        <w:t xml:space="preserve">Discapacidad </w:t>
      </w:r>
      <w:r w:rsidRPr="002720D0">
        <w:rPr>
          <w:lang w:val="es-ES_tradnl"/>
        </w:rPr>
        <w:t>(</w:t>
      </w:r>
      <w:r w:rsidR="002720D0">
        <w:rPr>
          <w:lang w:val="es-ES_tradnl"/>
        </w:rPr>
        <w:t>Nº</w:t>
      </w:r>
      <w:r w:rsidRPr="002720D0">
        <w:rPr>
          <w:lang w:val="es-ES_tradnl"/>
        </w:rPr>
        <w:t xml:space="preserve"> 9, </w:t>
      </w:r>
      <w:r w:rsidR="00151021" w:rsidRPr="002720D0">
        <w:rPr>
          <w:lang w:val="es-ES_tradnl"/>
        </w:rPr>
        <w:t>2010</w:t>
      </w:r>
      <w:r w:rsidR="00325617">
        <w:rPr>
          <w:lang w:val="es-ES_tradnl"/>
        </w:rPr>
        <w:t>)</w:t>
      </w:r>
    </w:p>
    <w:p w:rsidR="00151021" w:rsidRPr="002720D0" w:rsidRDefault="0045375B"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Administración Regional </w:t>
      </w:r>
      <w:r w:rsidRPr="002720D0">
        <w:rPr>
          <w:lang w:val="es-ES_tradnl"/>
        </w:rPr>
        <w:t xml:space="preserve">y </w:t>
      </w:r>
      <w:r w:rsidR="00325617" w:rsidRPr="002720D0">
        <w:rPr>
          <w:lang w:val="es-ES_tradnl"/>
        </w:rPr>
        <w:t xml:space="preserve">Gobierno Local </w:t>
      </w:r>
      <w:r w:rsidR="00325617">
        <w:rPr>
          <w:lang w:val="es-ES_tradnl"/>
        </w:rPr>
        <w:t>(</w:t>
      </w:r>
      <w:r w:rsidR="00151021" w:rsidRPr="002720D0">
        <w:rPr>
          <w:lang w:val="es-ES_tradnl"/>
        </w:rPr>
        <w:t>1997)</w:t>
      </w:r>
    </w:p>
    <w:p w:rsidR="00151021" w:rsidRPr="002720D0" w:rsidRDefault="00700B69" w:rsidP="00BF070F">
      <w:pPr>
        <w:pStyle w:val="SingleTxtG"/>
        <w:ind w:left="1418" w:hanging="284"/>
        <w:jc w:val="left"/>
        <w:rPr>
          <w:lang w:val="es-ES_tradnl"/>
        </w:rPr>
      </w:pPr>
      <w:r w:rsidRPr="002720D0">
        <w:rPr>
          <w:lang w:val="es-ES_tradnl"/>
        </w:rPr>
        <w:t xml:space="preserve">Ley de </w:t>
      </w:r>
      <w:r w:rsidR="00325617" w:rsidRPr="002720D0">
        <w:rPr>
          <w:lang w:val="es-ES_tradnl"/>
        </w:rPr>
        <w:t xml:space="preserve">Refugiados </w:t>
      </w:r>
      <w:r w:rsidRPr="002720D0">
        <w:rPr>
          <w:lang w:val="es-ES_tradnl"/>
        </w:rPr>
        <w:t xml:space="preserve">(1998), </w:t>
      </w:r>
      <w:r w:rsidR="002720D0">
        <w:rPr>
          <w:lang w:val="es-ES_tradnl"/>
        </w:rPr>
        <w:t xml:space="preserve">sección </w:t>
      </w:r>
      <w:r w:rsidRPr="002720D0">
        <w:rPr>
          <w:lang w:val="es-ES_tradnl"/>
        </w:rPr>
        <w:t>37, E.R.</w:t>
      </w:r>
      <w:r w:rsidR="00151021" w:rsidRPr="002720D0">
        <w:rPr>
          <w:lang w:val="es-ES_tradnl"/>
        </w:rPr>
        <w:t xml:space="preserve"> 2002</w:t>
      </w:r>
    </w:p>
    <w:p w:rsidR="00151021" w:rsidRPr="002720D0" w:rsidRDefault="00700B69" w:rsidP="00BF070F">
      <w:pPr>
        <w:pStyle w:val="SingleTxtG"/>
        <w:jc w:val="left"/>
        <w:rPr>
          <w:lang w:val="es-ES_tradnl"/>
        </w:rPr>
      </w:pPr>
      <w:r w:rsidRPr="002720D0">
        <w:rPr>
          <w:lang w:val="es-ES_tradnl"/>
        </w:rPr>
        <w:t xml:space="preserve">Ley de </w:t>
      </w:r>
      <w:r w:rsidR="00325617" w:rsidRPr="002720D0">
        <w:rPr>
          <w:lang w:val="es-ES_tradnl"/>
        </w:rPr>
        <w:t xml:space="preserve">Protección </w:t>
      </w:r>
      <w:r w:rsidRPr="002720D0">
        <w:rPr>
          <w:lang w:val="es-ES_tradnl"/>
        </w:rPr>
        <w:t xml:space="preserve">de los </w:t>
      </w:r>
      <w:r w:rsidR="00325617" w:rsidRPr="002720D0">
        <w:rPr>
          <w:lang w:val="es-ES_tradnl"/>
        </w:rPr>
        <w:t xml:space="preserve">Niños </w:t>
      </w:r>
      <w:r w:rsidRPr="002720D0">
        <w:rPr>
          <w:lang w:val="es-ES_tradnl"/>
        </w:rPr>
        <w:t xml:space="preserve">de </w:t>
      </w:r>
      <w:r w:rsidR="00325617" w:rsidRPr="002720D0">
        <w:rPr>
          <w:lang w:val="es-ES_tradnl"/>
        </w:rPr>
        <w:t xml:space="preserve">Mujeres Solteras </w:t>
      </w:r>
      <w:r w:rsidRPr="002720D0">
        <w:rPr>
          <w:lang w:val="es-ES_tradnl"/>
        </w:rPr>
        <w:t xml:space="preserve">y </w:t>
      </w:r>
      <w:r w:rsidR="00325617" w:rsidRPr="002720D0">
        <w:rPr>
          <w:lang w:val="es-ES_tradnl"/>
        </w:rPr>
        <w:t xml:space="preserve">Hogares Monoparentales </w:t>
      </w:r>
      <w:r w:rsidR="00151021" w:rsidRPr="002720D0">
        <w:rPr>
          <w:lang w:val="es-ES_tradnl"/>
        </w:rPr>
        <w:t>(200</w:t>
      </w:r>
      <w:r w:rsidRPr="002720D0">
        <w:rPr>
          <w:lang w:val="es-ES_tradnl"/>
        </w:rPr>
        <w:t>5) (Zanzí</w:t>
      </w:r>
      <w:r w:rsidR="00151021" w:rsidRPr="002720D0">
        <w:rPr>
          <w:lang w:val="es-ES_tradnl"/>
        </w:rPr>
        <w:t>bar)</w:t>
      </w:r>
    </w:p>
    <w:p w:rsidR="00151021" w:rsidRPr="002720D0" w:rsidRDefault="00700B69" w:rsidP="00BF070F">
      <w:pPr>
        <w:pStyle w:val="SingleTxtG"/>
        <w:ind w:left="1418" w:hanging="284"/>
        <w:jc w:val="left"/>
        <w:rPr>
          <w:lang w:val="es-ES_tradnl"/>
        </w:rPr>
      </w:pPr>
      <w:r w:rsidRPr="002720D0">
        <w:rPr>
          <w:lang w:val="es-ES_tradnl"/>
        </w:rPr>
        <w:t xml:space="preserve">Ley de </w:t>
      </w:r>
      <w:r w:rsidR="00920D27" w:rsidRPr="002720D0">
        <w:rPr>
          <w:lang w:val="es-ES_tradnl"/>
        </w:rPr>
        <w:t xml:space="preserve">Protección </w:t>
      </w:r>
      <w:r w:rsidRPr="002720D0">
        <w:rPr>
          <w:lang w:val="es-ES_tradnl"/>
        </w:rPr>
        <w:t xml:space="preserve">de las </w:t>
      </w:r>
      <w:r w:rsidR="00920D27" w:rsidRPr="002720D0">
        <w:rPr>
          <w:lang w:val="es-ES_tradnl"/>
        </w:rPr>
        <w:t xml:space="preserve">Mujeres Solteras, Viudas </w:t>
      </w:r>
      <w:r w:rsidRPr="002720D0">
        <w:rPr>
          <w:lang w:val="es-ES_tradnl"/>
        </w:rPr>
        <w:t xml:space="preserve">y </w:t>
      </w:r>
      <w:r w:rsidR="00920D27" w:rsidRPr="002720D0">
        <w:rPr>
          <w:lang w:val="es-ES_tradnl"/>
        </w:rPr>
        <w:t xml:space="preserve">Divorciadas </w:t>
      </w:r>
      <w:r w:rsidRPr="002720D0">
        <w:rPr>
          <w:lang w:val="es-ES_tradnl"/>
        </w:rPr>
        <w:t>(1985) (Zanzí</w:t>
      </w:r>
      <w:r w:rsidR="00151021" w:rsidRPr="002720D0">
        <w:rPr>
          <w:lang w:val="es-ES_tradnl"/>
        </w:rPr>
        <w:t>bar)</w:t>
      </w:r>
    </w:p>
    <w:p w:rsidR="00151021" w:rsidRPr="002720D0" w:rsidRDefault="00700B69" w:rsidP="00BF070F">
      <w:pPr>
        <w:pStyle w:val="SingleTxtG"/>
        <w:ind w:left="1418" w:hanging="284"/>
        <w:jc w:val="left"/>
        <w:rPr>
          <w:lang w:val="es-ES_tradnl"/>
        </w:rPr>
      </w:pPr>
      <w:r w:rsidRPr="002720D0">
        <w:rPr>
          <w:lang w:val="es-ES_tradnl"/>
        </w:rPr>
        <w:t xml:space="preserve">Ley de </w:t>
      </w:r>
      <w:r w:rsidR="00920D27" w:rsidRPr="002720D0">
        <w:rPr>
          <w:lang w:val="es-ES_tradnl"/>
        </w:rPr>
        <w:t xml:space="preserve">Tierras Comunales </w:t>
      </w:r>
      <w:r w:rsidR="00151021" w:rsidRPr="002720D0">
        <w:rPr>
          <w:lang w:val="es-ES_tradnl"/>
        </w:rPr>
        <w:t>(1999)</w:t>
      </w:r>
    </w:p>
    <w:p w:rsidR="00151021" w:rsidRPr="002720D0" w:rsidRDefault="00700B69" w:rsidP="00BF070F">
      <w:pPr>
        <w:pStyle w:val="SingleTxtG"/>
        <w:ind w:left="1418" w:hanging="284"/>
        <w:jc w:val="left"/>
        <w:rPr>
          <w:lang w:val="es-ES_tradnl"/>
        </w:rPr>
      </w:pPr>
      <w:r w:rsidRPr="002720D0">
        <w:rPr>
          <w:lang w:val="es-ES_tradnl"/>
        </w:rPr>
        <w:t xml:space="preserve">Ley de </w:t>
      </w:r>
      <w:r w:rsidR="00920D27" w:rsidRPr="002720D0">
        <w:rPr>
          <w:lang w:val="es-ES_tradnl"/>
        </w:rPr>
        <w:t xml:space="preserve">Tribunales </w:t>
      </w:r>
      <w:r w:rsidRPr="002720D0">
        <w:rPr>
          <w:lang w:val="es-ES_tradnl"/>
        </w:rPr>
        <w:t xml:space="preserve">de </w:t>
      </w:r>
      <w:r w:rsidR="00920D27" w:rsidRPr="002720D0">
        <w:rPr>
          <w:lang w:val="es-ES_tradnl"/>
        </w:rPr>
        <w:t xml:space="preserve">Distrito </w:t>
      </w:r>
      <w:r w:rsidR="00151021" w:rsidRPr="002720D0">
        <w:rPr>
          <w:lang w:val="es-ES_tradnl"/>
        </w:rPr>
        <w:t>(1985)</w:t>
      </w:r>
    </w:p>
    <w:p w:rsidR="00151021" w:rsidRPr="002720D0" w:rsidRDefault="00D16814" w:rsidP="001D2A53">
      <w:pPr>
        <w:pStyle w:val="H23G"/>
        <w:rPr>
          <w:lang w:val="es-ES_tradnl"/>
        </w:rPr>
      </w:pPr>
      <w:r w:rsidRPr="002720D0">
        <w:rPr>
          <w:i/>
          <w:lang w:val="es-ES_tradnl"/>
        </w:rPr>
        <w:tab/>
      </w:r>
      <w:r w:rsidRPr="002720D0">
        <w:rPr>
          <w:lang w:val="es-ES_tradnl"/>
        </w:rPr>
        <w:t>b)</w:t>
      </w:r>
      <w:r w:rsidRPr="002720D0">
        <w:rPr>
          <w:lang w:val="es-ES_tradnl"/>
        </w:rPr>
        <w:tab/>
      </w:r>
      <w:r w:rsidR="0045375B" w:rsidRPr="002720D0">
        <w:rPr>
          <w:lang w:val="es-ES_tradnl"/>
        </w:rPr>
        <w:t>Otra normativa</w:t>
      </w:r>
    </w:p>
    <w:p w:rsidR="00151021" w:rsidRPr="002720D0" w:rsidRDefault="006A3B46" w:rsidP="00BF070F">
      <w:pPr>
        <w:pStyle w:val="SingleTxtG"/>
        <w:jc w:val="left"/>
        <w:rPr>
          <w:lang w:val="es-ES_tradnl"/>
        </w:rPr>
      </w:pPr>
      <w:r w:rsidRPr="002720D0">
        <w:rPr>
          <w:lang w:val="es-ES_tradnl"/>
        </w:rPr>
        <w:t xml:space="preserve">Reglamento de la </w:t>
      </w:r>
      <w:r w:rsidR="00151021" w:rsidRPr="002720D0">
        <w:rPr>
          <w:lang w:val="es-ES_tradnl"/>
        </w:rPr>
        <w:t>Com</w:t>
      </w:r>
      <w:r w:rsidRPr="002720D0">
        <w:rPr>
          <w:lang w:val="es-ES_tradnl"/>
        </w:rPr>
        <w:t xml:space="preserve">isión de Derechos Humanos y Buen Gobierno (procedimiento de denuncia) </w:t>
      </w:r>
      <w:r w:rsidR="00151021" w:rsidRPr="002720D0">
        <w:rPr>
          <w:lang w:val="es-ES_tradnl"/>
        </w:rPr>
        <w:t>(2003)</w:t>
      </w:r>
    </w:p>
    <w:p w:rsidR="00151021" w:rsidRPr="002720D0" w:rsidRDefault="006A3B46" w:rsidP="00BF070F">
      <w:pPr>
        <w:pStyle w:val="SingleTxtG"/>
        <w:jc w:val="left"/>
        <w:rPr>
          <w:lang w:val="es-ES_tradnl"/>
        </w:rPr>
      </w:pPr>
      <w:r w:rsidRPr="002720D0">
        <w:rPr>
          <w:lang w:val="es-ES_tradnl"/>
        </w:rPr>
        <w:t xml:space="preserve">Reglamento de </w:t>
      </w:r>
      <w:r w:rsidR="00EF4AC1" w:rsidRPr="002720D0">
        <w:rPr>
          <w:lang w:val="es-ES_tradnl"/>
        </w:rPr>
        <w:t xml:space="preserve">Educación </w:t>
      </w:r>
      <w:r w:rsidR="00D71BB3" w:rsidRPr="002720D0">
        <w:rPr>
          <w:lang w:val="es-ES_tradnl"/>
        </w:rPr>
        <w:t>(castigo físico</w:t>
      </w:r>
      <w:r w:rsidRPr="002720D0">
        <w:rPr>
          <w:lang w:val="es-ES_tradnl"/>
        </w:rPr>
        <w:t xml:space="preserve">) (1979), </w:t>
      </w:r>
      <w:r w:rsidRPr="00EF4AC1">
        <w:rPr>
          <w:i/>
          <w:lang w:val="es-ES_tradnl"/>
        </w:rPr>
        <w:t>Boletín Nacional</w:t>
      </w:r>
      <w:r w:rsidRPr="002720D0">
        <w:rPr>
          <w:lang w:val="es-ES_tradnl"/>
        </w:rPr>
        <w:t xml:space="preserve"> </w:t>
      </w:r>
      <w:r w:rsidR="002720D0">
        <w:rPr>
          <w:lang w:val="es-ES_tradnl"/>
        </w:rPr>
        <w:t>Nº</w:t>
      </w:r>
      <w:r w:rsidRPr="002720D0">
        <w:rPr>
          <w:lang w:val="es-ES_tradnl"/>
        </w:rPr>
        <w:t xml:space="preserve"> 294 de </w:t>
      </w:r>
      <w:r w:rsidR="00151021" w:rsidRPr="002720D0">
        <w:rPr>
          <w:lang w:val="es-ES_tradnl"/>
        </w:rPr>
        <w:t>2002</w:t>
      </w:r>
    </w:p>
    <w:p w:rsidR="00151021" w:rsidRPr="002720D0" w:rsidRDefault="00D71BB3" w:rsidP="00BF070F">
      <w:pPr>
        <w:pStyle w:val="SingleTxtG"/>
        <w:jc w:val="left"/>
        <w:rPr>
          <w:lang w:val="es-ES_tradnl"/>
        </w:rPr>
      </w:pPr>
      <w:r w:rsidRPr="002720D0">
        <w:rPr>
          <w:lang w:val="es-ES_tradnl"/>
        </w:rPr>
        <w:t xml:space="preserve">Reglamento de </w:t>
      </w:r>
      <w:r w:rsidR="00EF4AC1" w:rsidRPr="002720D0">
        <w:rPr>
          <w:lang w:val="es-ES_tradnl"/>
        </w:rPr>
        <w:t xml:space="preserve">Empleo </w:t>
      </w:r>
      <w:r w:rsidRPr="002720D0">
        <w:rPr>
          <w:lang w:val="es-ES_tradnl"/>
        </w:rPr>
        <w:t xml:space="preserve">y </w:t>
      </w:r>
      <w:r w:rsidR="00EF4AC1" w:rsidRPr="002720D0">
        <w:rPr>
          <w:lang w:val="es-ES_tradnl"/>
        </w:rPr>
        <w:t xml:space="preserve">Relaciones Laborales </w:t>
      </w:r>
      <w:r w:rsidRPr="002720D0">
        <w:rPr>
          <w:lang w:val="es-ES_tradnl"/>
        </w:rPr>
        <w:t xml:space="preserve">(código de buenas prácticas) </w:t>
      </w:r>
      <w:r w:rsidR="00151021" w:rsidRPr="002720D0">
        <w:rPr>
          <w:lang w:val="es-ES_tradnl"/>
        </w:rPr>
        <w:t xml:space="preserve">(2007) </w:t>
      </w:r>
    </w:p>
    <w:p w:rsidR="00151021" w:rsidRPr="002720D0" w:rsidRDefault="00D71BB3" w:rsidP="00BF070F">
      <w:pPr>
        <w:pStyle w:val="SingleTxtG"/>
        <w:jc w:val="left"/>
        <w:rPr>
          <w:lang w:val="es-ES_tradnl"/>
        </w:rPr>
      </w:pPr>
      <w:r w:rsidRPr="002720D0">
        <w:rPr>
          <w:lang w:val="es-ES_tradnl"/>
        </w:rPr>
        <w:t xml:space="preserve">Reglamento de </w:t>
      </w:r>
      <w:r w:rsidR="00EF4AC1" w:rsidRPr="002720D0">
        <w:rPr>
          <w:lang w:val="es-ES_tradnl"/>
        </w:rPr>
        <w:t xml:space="preserve">Alimentos </w:t>
      </w:r>
      <w:r w:rsidRPr="002720D0">
        <w:rPr>
          <w:lang w:val="es-ES_tradnl"/>
        </w:rPr>
        <w:t xml:space="preserve">(control de calidad) (sal yodada) </w:t>
      </w:r>
      <w:r w:rsidR="00151021" w:rsidRPr="002720D0">
        <w:rPr>
          <w:lang w:val="es-ES_tradnl"/>
        </w:rPr>
        <w:t>(1992)</w:t>
      </w:r>
    </w:p>
    <w:p w:rsidR="00151021" w:rsidRPr="002720D0" w:rsidRDefault="00D71BB3" w:rsidP="00BF070F">
      <w:pPr>
        <w:pStyle w:val="SingleTxtG"/>
        <w:jc w:val="left"/>
        <w:rPr>
          <w:lang w:val="es-ES_tradnl"/>
        </w:rPr>
      </w:pPr>
      <w:r w:rsidRPr="002720D0">
        <w:rPr>
          <w:lang w:val="es-ES_tradnl"/>
        </w:rPr>
        <w:t xml:space="preserve">Reglamento </w:t>
      </w:r>
      <w:r w:rsidR="00EF4AC1" w:rsidRPr="002720D0">
        <w:rPr>
          <w:lang w:val="es-ES_tradnl"/>
        </w:rPr>
        <w:t xml:space="preserve">General </w:t>
      </w:r>
      <w:r w:rsidRPr="002720D0">
        <w:rPr>
          <w:lang w:val="es-ES_tradnl"/>
        </w:rPr>
        <w:t>del Tribunal Laboral (</w:t>
      </w:r>
      <w:r w:rsidR="002720D0">
        <w:rPr>
          <w:lang w:val="es-ES_tradnl"/>
        </w:rPr>
        <w:t>Nº</w:t>
      </w:r>
      <w:r w:rsidRPr="002720D0">
        <w:rPr>
          <w:lang w:val="es-ES_tradnl"/>
        </w:rPr>
        <w:t xml:space="preserve"> 106, </w:t>
      </w:r>
      <w:r w:rsidR="00151021" w:rsidRPr="002720D0">
        <w:rPr>
          <w:lang w:val="es-ES_tradnl"/>
        </w:rPr>
        <w:t>2007</w:t>
      </w:r>
      <w:r w:rsidRPr="002720D0">
        <w:rPr>
          <w:lang w:val="es-ES_tradnl"/>
        </w:rPr>
        <w:t>)</w:t>
      </w:r>
    </w:p>
    <w:p w:rsidR="00151021" w:rsidRPr="002720D0" w:rsidRDefault="00D71BB3" w:rsidP="00BF070F">
      <w:pPr>
        <w:pStyle w:val="SingleTxtG"/>
        <w:jc w:val="left"/>
        <w:rPr>
          <w:lang w:val="es-ES_tradnl"/>
        </w:rPr>
      </w:pPr>
      <w:r w:rsidRPr="002720D0">
        <w:rPr>
          <w:lang w:val="es-ES_tradnl"/>
        </w:rPr>
        <w:t xml:space="preserve">Reglamento </w:t>
      </w:r>
      <w:r w:rsidR="00EF4AC1" w:rsidRPr="002720D0">
        <w:rPr>
          <w:lang w:val="es-ES_tradnl"/>
        </w:rPr>
        <w:t xml:space="preserve">General </w:t>
      </w:r>
      <w:r w:rsidRPr="002720D0">
        <w:rPr>
          <w:lang w:val="es-ES_tradnl"/>
        </w:rPr>
        <w:t>del Tribunal Laboral (División de Trabajo) (Centros de zona, creación) (</w:t>
      </w:r>
      <w:r w:rsidR="002720D0">
        <w:rPr>
          <w:lang w:val="es-ES_tradnl"/>
        </w:rPr>
        <w:t>Nº</w:t>
      </w:r>
      <w:r w:rsidRPr="002720D0">
        <w:rPr>
          <w:lang w:val="es-ES_tradnl"/>
        </w:rPr>
        <w:t xml:space="preserve"> </w:t>
      </w:r>
      <w:r w:rsidR="00151021" w:rsidRPr="002720D0">
        <w:rPr>
          <w:lang w:val="es-ES_tradnl"/>
        </w:rPr>
        <w:t>20</w:t>
      </w:r>
      <w:r w:rsidRPr="002720D0">
        <w:rPr>
          <w:lang w:val="es-ES_tradnl"/>
        </w:rPr>
        <w:t>9 de</w:t>
      </w:r>
      <w:r w:rsidR="009E192C" w:rsidRPr="002720D0">
        <w:rPr>
          <w:lang w:val="es-ES_tradnl"/>
        </w:rPr>
        <w:t xml:space="preserve"> 11</w:t>
      </w:r>
      <w:r w:rsidR="001D2A53">
        <w:rPr>
          <w:lang w:val="es-ES_tradnl"/>
        </w:rPr>
        <w:t xml:space="preserve"> </w:t>
      </w:r>
      <w:r w:rsidRPr="002720D0">
        <w:rPr>
          <w:lang w:val="es-ES_tradnl"/>
        </w:rPr>
        <w:t>de junio de</w:t>
      </w:r>
      <w:r w:rsidR="00151021" w:rsidRPr="002720D0">
        <w:rPr>
          <w:lang w:val="es-ES_tradnl"/>
        </w:rPr>
        <w:t xml:space="preserve"> 2010</w:t>
      </w:r>
      <w:r w:rsidRPr="002720D0">
        <w:rPr>
          <w:lang w:val="es-ES_tradnl"/>
        </w:rPr>
        <w:t>)</w:t>
      </w:r>
    </w:p>
    <w:p w:rsidR="00151021" w:rsidRPr="002720D0" w:rsidRDefault="00D71BB3" w:rsidP="00BF070F">
      <w:pPr>
        <w:pStyle w:val="SingleTxtG"/>
        <w:jc w:val="left"/>
        <w:rPr>
          <w:lang w:val="es-ES_tradnl"/>
        </w:rPr>
      </w:pPr>
      <w:r w:rsidRPr="002720D0">
        <w:rPr>
          <w:lang w:val="es-ES_tradnl"/>
        </w:rPr>
        <w:t xml:space="preserve">Reglamento </w:t>
      </w:r>
      <w:r w:rsidR="00EF4AC1" w:rsidRPr="002720D0">
        <w:rPr>
          <w:lang w:val="es-ES_tradnl"/>
        </w:rPr>
        <w:t xml:space="preserve">General </w:t>
      </w:r>
      <w:r w:rsidRPr="002720D0">
        <w:rPr>
          <w:lang w:val="es-ES_tradnl"/>
        </w:rPr>
        <w:t xml:space="preserve">de la Ley de </w:t>
      </w:r>
      <w:r w:rsidR="00812375" w:rsidRPr="002720D0">
        <w:rPr>
          <w:lang w:val="es-ES_tradnl"/>
        </w:rPr>
        <w:t xml:space="preserve">Instituciones Laborales </w:t>
      </w:r>
      <w:r w:rsidRPr="002720D0">
        <w:rPr>
          <w:lang w:val="es-ES_tradnl"/>
        </w:rPr>
        <w:t>(ética y deontología de los mediadores y árbitros) (</w:t>
      </w:r>
      <w:r w:rsidR="002720D0">
        <w:rPr>
          <w:lang w:val="es-ES_tradnl"/>
        </w:rPr>
        <w:t>Nº</w:t>
      </w:r>
      <w:r w:rsidRPr="002720D0">
        <w:rPr>
          <w:lang w:val="es-ES_tradnl"/>
        </w:rPr>
        <w:t xml:space="preserve"> 66, 2007)</w:t>
      </w:r>
    </w:p>
    <w:p w:rsidR="00151021" w:rsidRPr="002720D0" w:rsidRDefault="00D71BB3" w:rsidP="00BF070F">
      <w:pPr>
        <w:pStyle w:val="SingleTxtG"/>
        <w:jc w:val="left"/>
        <w:rPr>
          <w:lang w:val="es-ES_tradnl"/>
        </w:rPr>
      </w:pPr>
      <w:r w:rsidRPr="002720D0">
        <w:rPr>
          <w:lang w:val="es-ES_tradnl"/>
        </w:rPr>
        <w:t xml:space="preserve">Reglamento </w:t>
      </w:r>
      <w:r w:rsidR="00EF4AC1" w:rsidRPr="002720D0">
        <w:rPr>
          <w:lang w:val="es-ES_tradnl"/>
        </w:rPr>
        <w:t xml:space="preserve">General </w:t>
      </w:r>
      <w:r w:rsidRPr="002720D0">
        <w:rPr>
          <w:lang w:val="es-ES_tradnl"/>
        </w:rPr>
        <w:t xml:space="preserve">de </w:t>
      </w:r>
      <w:r w:rsidR="00EF4AC1" w:rsidRPr="002720D0">
        <w:rPr>
          <w:lang w:val="es-ES_tradnl"/>
        </w:rPr>
        <w:t xml:space="preserve">Instituciones Laborales </w:t>
      </w:r>
      <w:r w:rsidRPr="002720D0">
        <w:rPr>
          <w:lang w:val="es-ES_tradnl"/>
        </w:rPr>
        <w:t>(directrices para la mediación y el arbitraje) (</w:t>
      </w:r>
      <w:r w:rsidR="002720D0">
        <w:rPr>
          <w:lang w:val="es-ES_tradnl"/>
        </w:rPr>
        <w:t>Nº</w:t>
      </w:r>
      <w:r w:rsidRPr="002720D0">
        <w:rPr>
          <w:lang w:val="es-ES_tradnl"/>
        </w:rPr>
        <w:t xml:space="preserve"> 67, </w:t>
      </w:r>
      <w:r w:rsidR="00151021" w:rsidRPr="002720D0">
        <w:rPr>
          <w:lang w:val="es-ES_tradnl"/>
        </w:rPr>
        <w:t>2007</w:t>
      </w:r>
      <w:r w:rsidR="00AE5091">
        <w:rPr>
          <w:lang w:val="es-ES_tradnl"/>
        </w:rPr>
        <w:t>)</w:t>
      </w:r>
    </w:p>
    <w:p w:rsidR="00151021" w:rsidRPr="002720D0" w:rsidRDefault="00D71BB3" w:rsidP="00BF070F">
      <w:pPr>
        <w:pStyle w:val="SingleTxtG"/>
        <w:jc w:val="left"/>
        <w:rPr>
          <w:lang w:val="es-ES_tradnl"/>
        </w:rPr>
      </w:pPr>
      <w:r w:rsidRPr="002720D0">
        <w:rPr>
          <w:lang w:val="es-ES_tradnl"/>
        </w:rPr>
        <w:t xml:space="preserve">Reglamento </w:t>
      </w:r>
      <w:r w:rsidR="00EF4AC1" w:rsidRPr="002720D0">
        <w:rPr>
          <w:lang w:val="es-ES_tradnl"/>
        </w:rPr>
        <w:t xml:space="preserve">Minero </w:t>
      </w:r>
      <w:r w:rsidRPr="002720D0">
        <w:rPr>
          <w:lang w:val="es-ES_tradnl"/>
        </w:rPr>
        <w:t>(elaboración de sal yodada)</w:t>
      </w:r>
      <w:r w:rsidR="00151021" w:rsidRPr="002720D0">
        <w:rPr>
          <w:lang w:val="es-ES_tradnl"/>
        </w:rPr>
        <w:t xml:space="preserve"> (1994)</w:t>
      </w:r>
    </w:p>
    <w:p w:rsidR="00151021" w:rsidRPr="002720D0" w:rsidRDefault="0005727A" w:rsidP="001D2A53">
      <w:pPr>
        <w:pStyle w:val="H1G"/>
        <w:rPr>
          <w:lang w:val="es-ES_tradnl"/>
        </w:rPr>
      </w:pPr>
      <w:bookmarkStart w:id="73" w:name="_Toc313470903"/>
      <w:r w:rsidRPr="002720D0">
        <w:rPr>
          <w:lang w:val="es-ES_tradnl"/>
        </w:rPr>
        <w:tab/>
        <w:t>9.</w:t>
      </w:r>
      <w:r w:rsidR="00A640C0" w:rsidRPr="002720D0">
        <w:rPr>
          <w:lang w:val="es-ES_tradnl"/>
        </w:rPr>
        <w:t>3</w:t>
      </w:r>
      <w:r w:rsidR="00BB7FA7" w:rsidRPr="002720D0">
        <w:rPr>
          <w:lang w:val="es-ES_tradnl"/>
        </w:rPr>
        <w:tab/>
      </w:r>
      <w:r w:rsidR="00E34949" w:rsidRPr="002720D0">
        <w:rPr>
          <w:lang w:val="es-ES_tradnl"/>
        </w:rPr>
        <w:t>P</w:t>
      </w:r>
      <w:r w:rsidR="003E72DA" w:rsidRPr="002720D0">
        <w:rPr>
          <w:lang w:val="es-ES_tradnl"/>
        </w:rPr>
        <w:t>olítica</w:t>
      </w:r>
      <w:r w:rsidR="00D16814" w:rsidRPr="002720D0">
        <w:rPr>
          <w:lang w:val="es-ES_tradnl"/>
        </w:rPr>
        <w:t>s</w:t>
      </w:r>
      <w:bookmarkEnd w:id="73"/>
    </w:p>
    <w:p w:rsidR="00151021" w:rsidRPr="002720D0" w:rsidRDefault="00D71BB3" w:rsidP="00BF070F">
      <w:pPr>
        <w:pStyle w:val="SingleTxtG"/>
        <w:jc w:val="left"/>
        <w:rPr>
          <w:lang w:val="es-ES_tradnl"/>
        </w:rPr>
      </w:pPr>
      <w:r w:rsidRPr="002720D0">
        <w:rPr>
          <w:lang w:val="es-ES_tradnl"/>
        </w:rPr>
        <w:t xml:space="preserve">Política de promoción del niño (segunda edición, </w:t>
      </w:r>
      <w:r w:rsidR="00151021" w:rsidRPr="002720D0">
        <w:rPr>
          <w:lang w:val="es-ES_tradnl"/>
        </w:rPr>
        <w:t>2008)</w:t>
      </w:r>
    </w:p>
    <w:p w:rsidR="00151021" w:rsidRPr="002720D0" w:rsidRDefault="00442D77" w:rsidP="00BF070F">
      <w:pPr>
        <w:pStyle w:val="SingleTxtG"/>
        <w:jc w:val="left"/>
        <w:rPr>
          <w:lang w:val="es-ES_tradnl"/>
        </w:rPr>
      </w:pPr>
      <w:r w:rsidRPr="002720D0">
        <w:rPr>
          <w:lang w:val="es-ES_tradnl"/>
        </w:rPr>
        <w:t xml:space="preserve">Política de supervivencia, protección y desarrollo del niño </w:t>
      </w:r>
      <w:r w:rsidR="00151021" w:rsidRPr="002720D0">
        <w:rPr>
          <w:lang w:val="es-ES_tradnl"/>
        </w:rPr>
        <w:t>(2001)</w:t>
      </w:r>
    </w:p>
    <w:p w:rsidR="00151021" w:rsidRPr="002720D0" w:rsidRDefault="00442D77" w:rsidP="00BF070F">
      <w:pPr>
        <w:pStyle w:val="SingleTxtG"/>
        <w:jc w:val="left"/>
        <w:rPr>
          <w:lang w:val="es-ES_tradnl"/>
        </w:rPr>
      </w:pPr>
      <w:r w:rsidRPr="002720D0">
        <w:rPr>
          <w:lang w:val="es-ES_tradnl"/>
        </w:rPr>
        <w:t xml:space="preserve">Política de desarrollo integrado en la primera infancia (proyecto) </w:t>
      </w:r>
    </w:p>
    <w:p w:rsidR="00151021" w:rsidRPr="002720D0" w:rsidRDefault="00FC4BDD" w:rsidP="00BF070F">
      <w:pPr>
        <w:pStyle w:val="SingleTxtG"/>
        <w:jc w:val="left"/>
        <w:rPr>
          <w:lang w:val="es-ES_tradnl"/>
        </w:rPr>
      </w:pPr>
      <w:r>
        <w:rPr>
          <w:lang w:val="es-ES_tradnl"/>
        </w:rPr>
        <w:t>Polí</w:t>
      </w:r>
      <w:r w:rsidR="00442D77" w:rsidRPr="002720D0">
        <w:rPr>
          <w:lang w:val="es-ES_tradnl"/>
        </w:rPr>
        <w:t>tica nacional sobre la discapacidad</w:t>
      </w:r>
      <w:r w:rsidR="00151021" w:rsidRPr="002720D0">
        <w:rPr>
          <w:lang w:val="es-ES_tradnl"/>
        </w:rPr>
        <w:t xml:space="preserve"> (2004)</w:t>
      </w:r>
    </w:p>
    <w:p w:rsidR="00151021" w:rsidRPr="002720D0" w:rsidRDefault="00442D77" w:rsidP="00BF070F">
      <w:pPr>
        <w:pStyle w:val="SingleTxtG"/>
        <w:jc w:val="left"/>
        <w:rPr>
          <w:lang w:val="es-ES_tradnl"/>
        </w:rPr>
      </w:pPr>
      <w:r w:rsidRPr="002720D0">
        <w:rPr>
          <w:lang w:val="es-ES_tradnl"/>
        </w:rPr>
        <w:t>Política nacional de refugiados</w:t>
      </w:r>
      <w:r w:rsidR="001D2A53">
        <w:rPr>
          <w:lang w:val="es-ES_tradnl"/>
        </w:rPr>
        <w:t xml:space="preserve"> </w:t>
      </w:r>
      <w:r w:rsidR="00151021" w:rsidRPr="002720D0">
        <w:rPr>
          <w:lang w:val="es-ES_tradnl"/>
        </w:rPr>
        <w:t>(2003)</w:t>
      </w:r>
    </w:p>
    <w:p w:rsidR="00151021" w:rsidRPr="002720D0" w:rsidRDefault="00442D77" w:rsidP="00BF070F">
      <w:pPr>
        <w:pStyle w:val="SingleTxtG"/>
        <w:jc w:val="left"/>
        <w:rPr>
          <w:lang w:val="es-ES_tradnl"/>
        </w:rPr>
      </w:pPr>
      <w:r w:rsidRPr="002720D0">
        <w:rPr>
          <w:lang w:val="es-ES_tradnl"/>
        </w:rPr>
        <w:t>Política de educación de Zanzíbar</w:t>
      </w:r>
      <w:r w:rsidR="00151021" w:rsidRPr="002720D0">
        <w:rPr>
          <w:lang w:val="es-ES_tradnl"/>
        </w:rPr>
        <w:t xml:space="preserve"> (2006)</w:t>
      </w:r>
    </w:p>
    <w:p w:rsidR="00151021" w:rsidRPr="002720D0" w:rsidRDefault="00442D77" w:rsidP="00BF070F">
      <w:pPr>
        <w:pStyle w:val="SingleTxtG"/>
        <w:jc w:val="left"/>
        <w:rPr>
          <w:lang w:val="es-ES_tradnl"/>
        </w:rPr>
      </w:pPr>
      <w:r w:rsidRPr="002720D0">
        <w:rPr>
          <w:lang w:val="es-ES_tradnl"/>
        </w:rPr>
        <w:t xml:space="preserve">Política de salud de Zanzíbar </w:t>
      </w:r>
      <w:r w:rsidR="00151021" w:rsidRPr="002720D0">
        <w:rPr>
          <w:lang w:val="es-ES_tradnl"/>
        </w:rPr>
        <w:t>(2009)</w:t>
      </w:r>
    </w:p>
    <w:p w:rsidR="00151021" w:rsidRPr="002720D0" w:rsidRDefault="0005727A" w:rsidP="001D2A53">
      <w:pPr>
        <w:pStyle w:val="H1G"/>
        <w:rPr>
          <w:lang w:val="es-ES_tradnl"/>
        </w:rPr>
      </w:pPr>
      <w:bookmarkStart w:id="74" w:name="_Toc313470904"/>
      <w:r w:rsidRPr="002720D0">
        <w:rPr>
          <w:lang w:val="es-ES_tradnl"/>
        </w:rPr>
        <w:tab/>
        <w:t>9.</w:t>
      </w:r>
      <w:r w:rsidR="00A640C0" w:rsidRPr="002720D0">
        <w:rPr>
          <w:lang w:val="es-ES_tradnl"/>
        </w:rPr>
        <w:t>4</w:t>
      </w:r>
      <w:r w:rsidR="00BB7FA7" w:rsidRPr="002720D0">
        <w:rPr>
          <w:lang w:val="es-ES_tradnl"/>
        </w:rPr>
        <w:tab/>
      </w:r>
      <w:r w:rsidR="00E34949" w:rsidRPr="002720D0">
        <w:rPr>
          <w:lang w:val="es-ES_tradnl"/>
        </w:rPr>
        <w:t>C</w:t>
      </w:r>
      <w:r w:rsidR="003E72DA" w:rsidRPr="002720D0">
        <w:rPr>
          <w:lang w:val="es-ES_tradnl"/>
        </w:rPr>
        <w:t>ausa</w:t>
      </w:r>
      <w:r w:rsidR="00D16814" w:rsidRPr="002720D0">
        <w:rPr>
          <w:lang w:val="es-ES_tradnl"/>
        </w:rPr>
        <w:t>s</w:t>
      </w:r>
      <w:bookmarkEnd w:id="74"/>
    </w:p>
    <w:p w:rsidR="00151021" w:rsidRPr="002720D0" w:rsidRDefault="00442D77" w:rsidP="00BF070F">
      <w:pPr>
        <w:pStyle w:val="SingleTxtG"/>
        <w:jc w:val="left"/>
        <w:rPr>
          <w:lang w:val="es-ES_tradnl"/>
        </w:rPr>
      </w:pPr>
      <w:r w:rsidRPr="002720D0">
        <w:rPr>
          <w:i/>
          <w:lang w:val="es-ES_tradnl"/>
        </w:rPr>
        <w:t>Boniface Njohole c</w:t>
      </w:r>
      <w:r w:rsidR="00151021" w:rsidRPr="002720D0">
        <w:rPr>
          <w:i/>
          <w:lang w:val="es-ES_tradnl"/>
        </w:rPr>
        <w:t xml:space="preserve">. Reli Assets Holdings Co. </w:t>
      </w:r>
      <w:r w:rsidR="00151021" w:rsidRPr="00C45FCB">
        <w:rPr>
          <w:i/>
          <w:lang w:val="es-ES_tradnl"/>
        </w:rPr>
        <w:t>Ltd.</w:t>
      </w:r>
      <w:r w:rsidR="00151021" w:rsidRPr="002720D0">
        <w:rPr>
          <w:lang w:val="es-ES_tradnl"/>
        </w:rPr>
        <w:t xml:space="preserve">, </w:t>
      </w:r>
      <w:r w:rsidRPr="002720D0">
        <w:rPr>
          <w:lang w:val="es-ES_tradnl"/>
        </w:rPr>
        <w:t xml:space="preserve">Tribunal Superior de Tanzanía, </w:t>
      </w:r>
      <w:r w:rsidR="005857E5">
        <w:rPr>
          <w:lang w:val="es-ES_tradnl"/>
        </w:rPr>
        <w:br/>
      </w:r>
      <w:r w:rsidR="00782B12" w:rsidRPr="002720D0">
        <w:rPr>
          <w:lang w:val="es-ES_tradnl"/>
        </w:rPr>
        <w:t>Dar es Salaam</w:t>
      </w:r>
      <w:r w:rsidRPr="002720D0">
        <w:rPr>
          <w:lang w:val="es-ES_tradnl"/>
        </w:rPr>
        <w:t xml:space="preserve">, causa civil </w:t>
      </w:r>
      <w:r w:rsidR="002720D0">
        <w:rPr>
          <w:lang w:val="es-ES_tradnl"/>
        </w:rPr>
        <w:t>Nº</w:t>
      </w:r>
      <w:r w:rsidRPr="002720D0">
        <w:rPr>
          <w:lang w:val="es-ES_tradnl"/>
        </w:rPr>
        <w:t xml:space="preserve"> 68 de 2009 (pendiente ante los jueces </w:t>
      </w:r>
      <w:r w:rsidR="00151021" w:rsidRPr="002720D0">
        <w:rPr>
          <w:lang w:val="es-ES_tradnl"/>
        </w:rPr>
        <w:t xml:space="preserve">Rugaziya, Mbise </w:t>
      </w:r>
      <w:r w:rsidR="005857E5">
        <w:rPr>
          <w:lang w:val="es-ES_tradnl"/>
        </w:rPr>
        <w:br/>
      </w:r>
      <w:r w:rsidRPr="002720D0">
        <w:rPr>
          <w:lang w:val="es-ES_tradnl"/>
        </w:rPr>
        <w:t>y Juma</w:t>
      </w:r>
      <w:r w:rsidR="00151021" w:rsidRPr="002720D0">
        <w:rPr>
          <w:lang w:val="es-ES_tradnl"/>
        </w:rPr>
        <w:t>)</w:t>
      </w:r>
      <w:r w:rsidR="009E192C" w:rsidRPr="002720D0">
        <w:rPr>
          <w:lang w:val="es-ES_tradnl"/>
        </w:rPr>
        <w:t>.</w:t>
      </w:r>
    </w:p>
    <w:p w:rsidR="00151021" w:rsidRPr="002720D0" w:rsidRDefault="00442D77" w:rsidP="00BF070F">
      <w:pPr>
        <w:pStyle w:val="SingleTxtG"/>
        <w:jc w:val="left"/>
        <w:rPr>
          <w:lang w:val="es-ES_tradnl"/>
        </w:rPr>
      </w:pPr>
      <w:r w:rsidRPr="002720D0">
        <w:rPr>
          <w:i/>
          <w:lang w:val="es-ES_tradnl"/>
        </w:rPr>
        <w:t>Halima Kahema c</w:t>
      </w:r>
      <w:r w:rsidR="00151021" w:rsidRPr="002720D0">
        <w:rPr>
          <w:i/>
          <w:lang w:val="es-ES_tradnl"/>
        </w:rPr>
        <w:t>. Jayantilal G. Karia</w:t>
      </w:r>
      <w:r w:rsidR="00151021" w:rsidRPr="002720D0">
        <w:rPr>
          <w:lang w:val="es-ES_tradnl"/>
        </w:rPr>
        <w:t xml:space="preserve"> [1987] T</w:t>
      </w:r>
      <w:r w:rsidR="0009531C" w:rsidRPr="002720D0">
        <w:rPr>
          <w:lang w:val="es-ES_tradnl"/>
        </w:rPr>
        <w:t xml:space="preserve">RL </w:t>
      </w:r>
      <w:r w:rsidR="00151021" w:rsidRPr="002720D0">
        <w:rPr>
          <w:lang w:val="es-ES_tradnl"/>
        </w:rPr>
        <w:t>147.</w:t>
      </w:r>
    </w:p>
    <w:p w:rsidR="00151021" w:rsidRPr="002720D0" w:rsidRDefault="00442D77" w:rsidP="00BF070F">
      <w:pPr>
        <w:pStyle w:val="SingleTxtG"/>
        <w:jc w:val="left"/>
        <w:rPr>
          <w:lang w:val="es-ES_tradnl"/>
        </w:rPr>
      </w:pPr>
      <w:r w:rsidRPr="002720D0">
        <w:rPr>
          <w:i/>
          <w:lang w:val="es-ES_tradnl"/>
        </w:rPr>
        <w:t>Hamis Rajabu Dibagula c</w:t>
      </w:r>
      <w:r w:rsidR="00151021" w:rsidRPr="002720D0">
        <w:rPr>
          <w:i/>
          <w:lang w:val="es-ES_tradnl"/>
        </w:rPr>
        <w:t>. R.</w:t>
      </w:r>
      <w:r w:rsidRPr="002720D0">
        <w:rPr>
          <w:lang w:val="es-ES_tradnl"/>
        </w:rPr>
        <w:t xml:space="preserve"> </w:t>
      </w:r>
      <w:r w:rsidR="00151021" w:rsidRPr="002720D0">
        <w:rPr>
          <w:lang w:val="es-ES_tradnl"/>
        </w:rPr>
        <w:t>(</w:t>
      </w:r>
      <w:r w:rsidRPr="002720D0">
        <w:rPr>
          <w:lang w:val="es-ES_tradnl"/>
        </w:rPr>
        <w:t xml:space="preserve">apelación </w:t>
      </w:r>
      <w:r w:rsidR="0009531C" w:rsidRPr="002720D0">
        <w:rPr>
          <w:lang w:val="es-ES_tradnl"/>
        </w:rPr>
        <w:t>en mat</w:t>
      </w:r>
      <w:r w:rsidR="00F1107F" w:rsidRPr="002720D0">
        <w:rPr>
          <w:lang w:val="es-ES_tradnl"/>
        </w:rPr>
        <w:t>e</w:t>
      </w:r>
      <w:r w:rsidR="0009531C" w:rsidRPr="002720D0">
        <w:rPr>
          <w:lang w:val="es-ES_tradnl"/>
        </w:rPr>
        <w:t xml:space="preserve">ria </w:t>
      </w:r>
      <w:r w:rsidRPr="002720D0">
        <w:rPr>
          <w:lang w:val="es-ES_tradnl"/>
        </w:rPr>
        <w:t xml:space="preserve">penal </w:t>
      </w:r>
      <w:r w:rsidR="00F1107F" w:rsidRPr="002720D0">
        <w:rPr>
          <w:lang w:val="es-ES_tradnl"/>
        </w:rPr>
        <w:t>Nº</w:t>
      </w:r>
      <w:r w:rsidRPr="002720D0">
        <w:rPr>
          <w:lang w:val="es-ES_tradnl"/>
        </w:rPr>
        <w:t xml:space="preserve"> 53 de </w:t>
      </w:r>
      <w:r w:rsidR="009E192C" w:rsidRPr="002720D0">
        <w:rPr>
          <w:lang w:val="es-ES_tradnl"/>
        </w:rPr>
        <w:t xml:space="preserve">2001) [2003] </w:t>
      </w:r>
      <w:r w:rsidR="0009531C" w:rsidRPr="002720D0">
        <w:rPr>
          <w:lang w:val="es-ES_tradnl"/>
        </w:rPr>
        <w:t>TAT</w:t>
      </w:r>
      <w:r w:rsidRPr="002720D0">
        <w:rPr>
          <w:lang w:val="es-ES_tradnl"/>
        </w:rPr>
        <w:t xml:space="preserve"> </w:t>
      </w:r>
      <w:r w:rsidR="009E192C" w:rsidRPr="002720D0">
        <w:rPr>
          <w:lang w:val="es-ES_tradnl"/>
        </w:rPr>
        <w:t>1 (14</w:t>
      </w:r>
      <w:r w:rsidR="001D2A53">
        <w:rPr>
          <w:lang w:val="es-ES_tradnl"/>
        </w:rPr>
        <w:t xml:space="preserve"> </w:t>
      </w:r>
      <w:r w:rsidRPr="002720D0">
        <w:rPr>
          <w:lang w:val="es-ES_tradnl"/>
        </w:rPr>
        <w:t>de marzo de</w:t>
      </w:r>
      <w:r w:rsidR="00151021" w:rsidRPr="002720D0">
        <w:rPr>
          <w:lang w:val="es-ES_tradnl"/>
        </w:rPr>
        <w:t xml:space="preserve"> 2003)</w:t>
      </w:r>
      <w:r w:rsidR="009E192C" w:rsidRPr="002720D0">
        <w:rPr>
          <w:lang w:val="es-ES_tradnl"/>
        </w:rPr>
        <w:t>.</w:t>
      </w:r>
    </w:p>
    <w:p w:rsidR="00151021" w:rsidRPr="002720D0" w:rsidRDefault="00151021" w:rsidP="00BF070F">
      <w:pPr>
        <w:pStyle w:val="SingleTxtG"/>
        <w:jc w:val="left"/>
        <w:rPr>
          <w:lang w:val="es-ES_tradnl"/>
        </w:rPr>
      </w:pPr>
      <w:r w:rsidRPr="002720D0">
        <w:rPr>
          <w:i/>
          <w:lang w:val="es-ES_tradnl"/>
        </w:rPr>
        <w:t>Jul</w:t>
      </w:r>
      <w:r w:rsidR="00442D77" w:rsidRPr="002720D0">
        <w:rPr>
          <w:i/>
          <w:lang w:val="es-ES_tradnl"/>
        </w:rPr>
        <w:t>ius Ishengoma Francis Ndyanabo c</w:t>
      </w:r>
      <w:r w:rsidRPr="002720D0">
        <w:rPr>
          <w:i/>
          <w:lang w:val="es-ES_tradnl"/>
        </w:rPr>
        <w:t>. A.G.</w:t>
      </w:r>
      <w:r w:rsidRPr="002720D0">
        <w:rPr>
          <w:lang w:val="es-ES_tradnl"/>
        </w:rPr>
        <w:t>,</w:t>
      </w:r>
      <w:r w:rsidR="003D2ED2" w:rsidRPr="002720D0">
        <w:rPr>
          <w:lang w:val="es-ES_tradnl"/>
        </w:rPr>
        <w:t xml:space="preserve"> </w:t>
      </w:r>
      <w:r w:rsidR="00442D77" w:rsidRPr="002720D0">
        <w:rPr>
          <w:lang w:val="es-ES_tradnl"/>
        </w:rPr>
        <w:t xml:space="preserve">Tribunal de Apelaciones de Tanzanía en </w:t>
      </w:r>
      <w:r w:rsidR="005857E5">
        <w:rPr>
          <w:lang w:val="es-ES_tradnl"/>
        </w:rPr>
        <w:br/>
      </w:r>
      <w:r w:rsidR="00782B12" w:rsidRPr="002720D0">
        <w:rPr>
          <w:lang w:val="es-ES_tradnl"/>
        </w:rPr>
        <w:t>Dar es Salaam</w:t>
      </w:r>
      <w:r w:rsidR="00442D77" w:rsidRPr="002720D0">
        <w:rPr>
          <w:lang w:val="es-ES_tradnl"/>
        </w:rPr>
        <w:t xml:space="preserve">, apelación </w:t>
      </w:r>
      <w:r w:rsidR="0009531C" w:rsidRPr="002720D0">
        <w:rPr>
          <w:lang w:val="es-ES_tradnl"/>
        </w:rPr>
        <w:t xml:space="preserve">en materia </w:t>
      </w:r>
      <w:r w:rsidR="00442D77" w:rsidRPr="002720D0">
        <w:rPr>
          <w:lang w:val="es-ES_tradnl"/>
        </w:rPr>
        <w:t xml:space="preserve">civil </w:t>
      </w:r>
      <w:r w:rsidR="002720D0">
        <w:rPr>
          <w:lang w:val="es-ES_tradnl"/>
        </w:rPr>
        <w:t>Nº</w:t>
      </w:r>
      <w:r w:rsidR="00442D77" w:rsidRPr="002720D0">
        <w:rPr>
          <w:lang w:val="es-ES_tradnl"/>
        </w:rPr>
        <w:t xml:space="preserve"> 64 de </w:t>
      </w:r>
      <w:r w:rsidRPr="002720D0">
        <w:rPr>
          <w:lang w:val="es-ES_tradnl"/>
        </w:rPr>
        <w:t>2001 (</w:t>
      </w:r>
      <w:r w:rsidR="00442D77" w:rsidRPr="002720D0">
        <w:rPr>
          <w:lang w:val="es-ES_tradnl"/>
        </w:rPr>
        <w:t>no comunicado</w:t>
      </w:r>
      <w:r w:rsidRPr="002720D0">
        <w:rPr>
          <w:lang w:val="es-ES_tradnl"/>
        </w:rPr>
        <w:t>)</w:t>
      </w:r>
      <w:r w:rsidR="00BF070F">
        <w:rPr>
          <w:lang w:val="es-ES_tradnl"/>
        </w:rPr>
        <w:t>.</w:t>
      </w:r>
    </w:p>
    <w:p w:rsidR="00151021" w:rsidRPr="002720D0" w:rsidRDefault="00151021" w:rsidP="00BF070F">
      <w:pPr>
        <w:pStyle w:val="SingleTxtG"/>
        <w:jc w:val="left"/>
        <w:rPr>
          <w:lang w:val="es-ES_tradnl"/>
        </w:rPr>
      </w:pPr>
      <w:r w:rsidRPr="002720D0">
        <w:rPr>
          <w:i/>
          <w:lang w:val="es-ES_tradnl"/>
        </w:rPr>
        <w:t>Legal and Human Rights Centre, Lawyers Environmental Action Team &amp; National org</w:t>
      </w:r>
      <w:r w:rsidR="00442D77" w:rsidRPr="002720D0">
        <w:rPr>
          <w:i/>
          <w:lang w:val="es-ES_tradnl"/>
        </w:rPr>
        <w:t>anisation for Legal Assistance c</w:t>
      </w:r>
      <w:r w:rsidRPr="002720D0">
        <w:rPr>
          <w:i/>
          <w:lang w:val="es-ES_tradnl"/>
        </w:rPr>
        <w:t>. A.G.</w:t>
      </w:r>
      <w:r w:rsidRPr="002720D0">
        <w:rPr>
          <w:lang w:val="es-ES_tradnl"/>
        </w:rPr>
        <w:t xml:space="preserve">, </w:t>
      </w:r>
      <w:r w:rsidR="00442D77" w:rsidRPr="002720D0">
        <w:rPr>
          <w:lang w:val="es-ES_tradnl"/>
        </w:rPr>
        <w:t xml:space="preserve">Tribunal Supremo de Tanzanía en </w:t>
      </w:r>
      <w:r w:rsidR="005857E5">
        <w:rPr>
          <w:lang w:val="es-ES_tradnl"/>
        </w:rPr>
        <w:br/>
      </w:r>
      <w:r w:rsidR="00782B12" w:rsidRPr="002720D0">
        <w:rPr>
          <w:lang w:val="es-ES_tradnl"/>
        </w:rPr>
        <w:t>Dar es Salaam</w:t>
      </w:r>
      <w:r w:rsidR="00442D77" w:rsidRPr="002720D0">
        <w:rPr>
          <w:lang w:val="es-ES_tradnl"/>
        </w:rPr>
        <w:t xml:space="preserve">, causa civil </w:t>
      </w:r>
      <w:r w:rsidR="002720D0">
        <w:rPr>
          <w:lang w:val="es-ES_tradnl"/>
        </w:rPr>
        <w:t>Nº</w:t>
      </w:r>
      <w:r w:rsidR="00442D77" w:rsidRPr="002720D0">
        <w:rPr>
          <w:lang w:val="es-ES_tradnl"/>
        </w:rPr>
        <w:t xml:space="preserve"> </w:t>
      </w:r>
      <w:r w:rsidRPr="002720D0">
        <w:rPr>
          <w:lang w:val="es-ES_tradnl"/>
        </w:rPr>
        <w:t xml:space="preserve">77 </w:t>
      </w:r>
      <w:r w:rsidR="00442D77" w:rsidRPr="002720D0">
        <w:rPr>
          <w:lang w:val="es-ES_tradnl"/>
        </w:rPr>
        <w:t>de</w:t>
      </w:r>
      <w:r w:rsidRPr="002720D0">
        <w:rPr>
          <w:lang w:val="es-ES_tradnl"/>
        </w:rPr>
        <w:t xml:space="preserve"> 2005 (</w:t>
      </w:r>
      <w:r w:rsidR="00442D77" w:rsidRPr="002720D0">
        <w:rPr>
          <w:lang w:val="es-ES_tradnl"/>
        </w:rPr>
        <w:t>no comunicado</w:t>
      </w:r>
      <w:r w:rsidRPr="002720D0">
        <w:rPr>
          <w:lang w:val="es-ES_tradnl"/>
        </w:rPr>
        <w:t>)</w:t>
      </w:r>
      <w:r w:rsidR="00BF070F">
        <w:rPr>
          <w:lang w:val="es-ES_tradnl"/>
        </w:rPr>
        <w:t>.</w:t>
      </w:r>
    </w:p>
    <w:p w:rsidR="00151021" w:rsidRPr="002720D0" w:rsidRDefault="00442D77" w:rsidP="00BF070F">
      <w:pPr>
        <w:pStyle w:val="SingleTxtG"/>
        <w:jc w:val="left"/>
        <w:rPr>
          <w:lang w:val="es-ES_tradnl"/>
        </w:rPr>
      </w:pPr>
      <w:r w:rsidRPr="002720D0">
        <w:rPr>
          <w:i/>
          <w:lang w:val="es-ES_tradnl"/>
        </w:rPr>
        <w:t>Lugembe John c</w:t>
      </w:r>
      <w:r w:rsidR="00151021" w:rsidRPr="002720D0">
        <w:rPr>
          <w:i/>
          <w:lang w:val="es-ES_tradnl"/>
        </w:rPr>
        <w:t>. Milembe Nyanda</w:t>
      </w:r>
      <w:r w:rsidR="00151021" w:rsidRPr="002720D0">
        <w:rPr>
          <w:lang w:val="es-ES_tradnl"/>
        </w:rPr>
        <w:t xml:space="preserve">, </w:t>
      </w:r>
      <w:r w:rsidRPr="002720D0">
        <w:rPr>
          <w:lang w:val="es-ES_tradnl"/>
        </w:rPr>
        <w:t xml:space="preserve">Tribunal Supremo de Tanzanía en </w:t>
      </w:r>
      <w:r w:rsidR="00151021" w:rsidRPr="002720D0">
        <w:rPr>
          <w:lang w:val="es-ES_tradnl"/>
        </w:rPr>
        <w:t xml:space="preserve">Tabora, </w:t>
      </w:r>
      <w:r w:rsidRPr="002720D0">
        <w:rPr>
          <w:lang w:val="es-ES_tradnl"/>
        </w:rPr>
        <w:t xml:space="preserve">apelación </w:t>
      </w:r>
      <w:r w:rsidR="0009531C" w:rsidRPr="002720D0">
        <w:rPr>
          <w:lang w:val="es-ES_tradnl"/>
        </w:rPr>
        <w:t>en materia civil m</w:t>
      </w:r>
      <w:r w:rsidR="00151021" w:rsidRPr="002720D0">
        <w:rPr>
          <w:lang w:val="es-ES_tradnl"/>
        </w:rPr>
        <w:t xml:space="preserve">atrimonial </w:t>
      </w:r>
      <w:r w:rsidR="002720D0">
        <w:rPr>
          <w:lang w:val="es-ES_tradnl"/>
        </w:rPr>
        <w:t>Nº</w:t>
      </w:r>
      <w:r w:rsidR="0009531C" w:rsidRPr="002720D0">
        <w:rPr>
          <w:lang w:val="es-ES_tradnl"/>
        </w:rPr>
        <w:t xml:space="preserve"> 2 de</w:t>
      </w:r>
      <w:r w:rsidR="00151021" w:rsidRPr="002720D0">
        <w:rPr>
          <w:lang w:val="es-ES_tradnl"/>
        </w:rPr>
        <w:t xml:space="preserve"> 1998 (</w:t>
      </w:r>
      <w:r w:rsidR="0009531C" w:rsidRPr="002720D0">
        <w:rPr>
          <w:lang w:val="es-ES_tradnl"/>
        </w:rPr>
        <w:t>no comunicado</w:t>
      </w:r>
      <w:r w:rsidR="00151021" w:rsidRPr="002720D0">
        <w:rPr>
          <w:lang w:val="es-ES_tradnl"/>
        </w:rPr>
        <w:t>)</w:t>
      </w:r>
      <w:r w:rsidR="00BF070F">
        <w:rPr>
          <w:lang w:val="es-ES_tradnl"/>
        </w:rPr>
        <w:t>.</w:t>
      </w:r>
    </w:p>
    <w:p w:rsidR="00151021" w:rsidRPr="00B7033A" w:rsidRDefault="0009531C" w:rsidP="00BF070F">
      <w:pPr>
        <w:pStyle w:val="SingleTxtG"/>
        <w:jc w:val="left"/>
      </w:pPr>
      <w:r w:rsidRPr="00B7033A">
        <w:rPr>
          <w:i/>
        </w:rPr>
        <w:t>Pundugu c</w:t>
      </w:r>
      <w:r w:rsidR="00151021" w:rsidRPr="00B7033A">
        <w:rPr>
          <w:i/>
        </w:rPr>
        <w:t>. Samuel Huma Pundugu</w:t>
      </w:r>
      <w:r w:rsidRPr="00B7033A">
        <w:t xml:space="preserve"> [1985] TRL</w:t>
      </w:r>
      <w:r w:rsidR="00151021" w:rsidRPr="00B7033A">
        <w:t xml:space="preserve"> 7.</w:t>
      </w:r>
    </w:p>
    <w:p w:rsidR="00151021" w:rsidRPr="00B7033A" w:rsidRDefault="0009531C" w:rsidP="00BF070F">
      <w:pPr>
        <w:pStyle w:val="SingleTxtG"/>
        <w:jc w:val="left"/>
      </w:pPr>
      <w:r w:rsidRPr="00B7033A">
        <w:rPr>
          <w:i/>
        </w:rPr>
        <w:t>Ramesh Rajput c</w:t>
      </w:r>
      <w:r w:rsidR="00151021" w:rsidRPr="00B7033A">
        <w:rPr>
          <w:i/>
        </w:rPr>
        <w:t>. Mrs</w:t>
      </w:r>
      <w:r w:rsidR="00C45FCB">
        <w:rPr>
          <w:i/>
        </w:rPr>
        <w:t>.</w:t>
      </w:r>
      <w:r w:rsidR="00151021" w:rsidRPr="00B7033A">
        <w:rPr>
          <w:i/>
        </w:rPr>
        <w:t xml:space="preserve"> S. Rajput</w:t>
      </w:r>
      <w:r w:rsidRPr="00B7033A">
        <w:t xml:space="preserve"> [1988] TRL</w:t>
      </w:r>
      <w:r w:rsidR="00151021" w:rsidRPr="00B7033A">
        <w:t xml:space="preserve"> 96</w:t>
      </w:r>
      <w:r w:rsidR="00BF070F">
        <w:t>.</w:t>
      </w:r>
    </w:p>
    <w:p w:rsidR="00151021" w:rsidRPr="002720D0" w:rsidRDefault="00151021" w:rsidP="00BF070F">
      <w:pPr>
        <w:pStyle w:val="SingleTxtG"/>
        <w:jc w:val="left"/>
        <w:rPr>
          <w:lang w:val="es-ES_tradnl"/>
        </w:rPr>
      </w:pPr>
      <w:r w:rsidRPr="002720D0">
        <w:rPr>
          <w:i/>
          <w:lang w:val="es-ES_tradnl"/>
        </w:rPr>
        <w:t>Sali</w:t>
      </w:r>
      <w:r w:rsidR="0009531C" w:rsidRPr="002720D0">
        <w:rPr>
          <w:i/>
          <w:lang w:val="es-ES_tradnl"/>
        </w:rPr>
        <w:t>m Kitojo c</w:t>
      </w:r>
      <w:r w:rsidRPr="002720D0">
        <w:rPr>
          <w:i/>
          <w:lang w:val="es-ES_tradnl"/>
        </w:rPr>
        <w:t>. Vodacom (T) Ltd.</w:t>
      </w:r>
      <w:r w:rsidRPr="002720D0">
        <w:rPr>
          <w:lang w:val="es-ES_tradnl"/>
        </w:rPr>
        <w:t xml:space="preserve">, </w:t>
      </w:r>
      <w:r w:rsidR="0009531C" w:rsidRPr="002720D0">
        <w:rPr>
          <w:lang w:val="es-ES_tradnl"/>
        </w:rPr>
        <w:t xml:space="preserve">Tribunal Supremo </w:t>
      </w:r>
      <w:r w:rsidR="00F96520">
        <w:rPr>
          <w:lang w:val="es-ES_tradnl"/>
        </w:rPr>
        <w:t xml:space="preserve">de </w:t>
      </w:r>
      <w:r w:rsidR="00F96520" w:rsidRPr="00F96520">
        <w:rPr>
          <w:lang w:val="es-ES_tradnl"/>
        </w:rPr>
        <w:t xml:space="preserve">Tanzanía </w:t>
      </w:r>
      <w:r w:rsidR="0009531C" w:rsidRPr="002720D0">
        <w:rPr>
          <w:lang w:val="es-ES_tradnl"/>
        </w:rPr>
        <w:t xml:space="preserve">(Sala de lo Laboral) en </w:t>
      </w:r>
      <w:r w:rsidR="00782B12" w:rsidRPr="002720D0">
        <w:rPr>
          <w:lang w:val="es-ES_tradnl"/>
        </w:rPr>
        <w:t>Dar es Salaam</w:t>
      </w:r>
      <w:r w:rsidR="0009531C" w:rsidRPr="002720D0">
        <w:rPr>
          <w:lang w:val="es-ES_tradnl"/>
        </w:rPr>
        <w:t xml:space="preserve">, División Laboral </w:t>
      </w:r>
      <w:r w:rsidR="00EF4AC1">
        <w:rPr>
          <w:lang w:val="es-ES_tradnl"/>
        </w:rPr>
        <w:t xml:space="preserve">Nº </w:t>
      </w:r>
      <w:r w:rsidR="0009531C" w:rsidRPr="002720D0">
        <w:rPr>
          <w:lang w:val="es-ES_tradnl"/>
        </w:rPr>
        <w:t xml:space="preserve">5 de </w:t>
      </w:r>
      <w:r w:rsidRPr="002720D0">
        <w:rPr>
          <w:lang w:val="es-ES_tradnl"/>
        </w:rPr>
        <w:t>2010 (</w:t>
      </w:r>
      <w:r w:rsidR="0009531C" w:rsidRPr="002720D0">
        <w:rPr>
          <w:lang w:val="es-ES_tradnl"/>
        </w:rPr>
        <w:t>no comunicado</w:t>
      </w:r>
      <w:r w:rsidRPr="002720D0">
        <w:rPr>
          <w:lang w:val="es-ES_tradnl"/>
        </w:rPr>
        <w:t>)</w:t>
      </w:r>
      <w:r w:rsidR="00BF070F">
        <w:rPr>
          <w:lang w:val="es-ES_tradnl"/>
        </w:rPr>
        <w:t>.</w:t>
      </w:r>
    </w:p>
    <w:p w:rsidR="00151021" w:rsidRPr="002720D0" w:rsidRDefault="0009531C" w:rsidP="00BF070F">
      <w:pPr>
        <w:pStyle w:val="SingleTxtG"/>
        <w:jc w:val="left"/>
        <w:rPr>
          <w:lang w:val="es-ES_tradnl"/>
        </w:rPr>
      </w:pPr>
      <w:r w:rsidRPr="002720D0">
        <w:rPr>
          <w:i/>
          <w:lang w:val="es-ES_tradnl"/>
        </w:rPr>
        <w:t>Tanzania Railway Ltd. c. el Ministro de Trabajo, Empleo y Desarrollo de la Juventud y 2 otros</w:t>
      </w:r>
      <w:r w:rsidR="00151021" w:rsidRPr="00C45FCB">
        <w:rPr>
          <w:i/>
          <w:lang w:val="es-ES_tradnl"/>
        </w:rPr>
        <w:t>.</w:t>
      </w:r>
      <w:r w:rsidR="00151021" w:rsidRPr="002720D0">
        <w:rPr>
          <w:lang w:val="es-ES_tradnl"/>
        </w:rPr>
        <w:t xml:space="preserve"> </w:t>
      </w:r>
      <w:r w:rsidRPr="002720D0">
        <w:rPr>
          <w:lang w:val="es-ES_tradnl"/>
        </w:rPr>
        <w:t xml:space="preserve">Tribunal Supremo de Tanzanía (Sala de lo Laboral) en </w:t>
      </w:r>
      <w:r w:rsidR="00782B12" w:rsidRPr="002720D0">
        <w:rPr>
          <w:lang w:val="es-ES_tradnl"/>
        </w:rPr>
        <w:t>Dar es Salaam</w:t>
      </w:r>
      <w:r w:rsidRPr="002720D0">
        <w:rPr>
          <w:lang w:val="es-ES_tradnl"/>
        </w:rPr>
        <w:t xml:space="preserve">, demanda </w:t>
      </w:r>
      <w:r w:rsidR="002720D0">
        <w:rPr>
          <w:lang w:val="es-ES_tradnl"/>
        </w:rPr>
        <w:t>Nº</w:t>
      </w:r>
      <w:r w:rsidRPr="002720D0">
        <w:rPr>
          <w:lang w:val="es-ES_tradnl"/>
        </w:rPr>
        <w:t xml:space="preserve"> 4 de 2008 (no comunicado)</w:t>
      </w:r>
      <w:r w:rsidR="00BF070F">
        <w:rPr>
          <w:lang w:val="es-ES_tradnl"/>
        </w:rPr>
        <w:t>.</w:t>
      </w:r>
    </w:p>
    <w:p w:rsidR="00151021" w:rsidRPr="002720D0" w:rsidRDefault="00E34949" w:rsidP="001D2A53">
      <w:pPr>
        <w:pStyle w:val="H1G"/>
        <w:rPr>
          <w:lang w:val="es-ES_tradnl"/>
        </w:rPr>
      </w:pPr>
      <w:bookmarkStart w:id="75" w:name="_Toc313470905"/>
      <w:r w:rsidRPr="002720D0">
        <w:rPr>
          <w:lang w:val="es-ES_tradnl"/>
        </w:rPr>
        <w:tab/>
        <w:t>9.</w:t>
      </w:r>
      <w:r w:rsidR="00A640C0" w:rsidRPr="002720D0">
        <w:rPr>
          <w:lang w:val="es-ES_tradnl"/>
        </w:rPr>
        <w:t>5</w:t>
      </w:r>
      <w:r w:rsidRPr="002720D0">
        <w:rPr>
          <w:lang w:val="es-ES_tradnl"/>
        </w:rPr>
        <w:tab/>
      </w:r>
      <w:bookmarkEnd w:id="75"/>
      <w:r w:rsidR="003E72DA" w:rsidRPr="002720D0">
        <w:rPr>
          <w:lang w:val="es-ES_tradnl"/>
        </w:rPr>
        <w:t>Informes</w:t>
      </w:r>
    </w:p>
    <w:p w:rsidR="00151021" w:rsidRPr="002720D0" w:rsidRDefault="00151021" w:rsidP="00BF070F">
      <w:pPr>
        <w:pStyle w:val="SingleTxtG"/>
        <w:jc w:val="left"/>
        <w:rPr>
          <w:lang w:val="es-ES_tradnl"/>
        </w:rPr>
      </w:pPr>
      <w:r w:rsidRPr="002720D0">
        <w:rPr>
          <w:lang w:val="es-ES_tradnl"/>
        </w:rPr>
        <w:t xml:space="preserve">Chama cha Mapinduzi, 1983 NEC </w:t>
      </w:r>
      <w:r w:rsidRPr="002720D0">
        <w:rPr>
          <w:i/>
          <w:lang w:val="es-ES_tradnl"/>
        </w:rPr>
        <w:t>Proposals for Changes in the Constitution of the United Republic and the Constitution of the Revolutionary Government of Zanzibar</w:t>
      </w:r>
      <w:r w:rsidR="00AE5091">
        <w:rPr>
          <w:i/>
          <w:lang w:val="es-ES_tradnl"/>
        </w:rPr>
        <w:t xml:space="preserve"> </w:t>
      </w:r>
      <w:r w:rsidR="00AE5091">
        <w:rPr>
          <w:lang w:val="es-ES_tradnl"/>
        </w:rPr>
        <w:t>(</w:t>
      </w:r>
      <w:r w:rsidR="001C7E1C">
        <w:rPr>
          <w:lang w:val="es-ES_tradnl"/>
        </w:rPr>
        <w:t>"</w:t>
      </w:r>
      <w:r w:rsidR="00AE5091">
        <w:rPr>
          <w:lang w:val="es-ES_tradnl"/>
        </w:rPr>
        <w:t>Propuestas de cambios en la Constitución de la República Unida y la Constitución del Gobierno Revolucionario de Zanzíbar</w:t>
      </w:r>
      <w:r w:rsidR="001C7E1C">
        <w:rPr>
          <w:lang w:val="es-ES_tradnl"/>
        </w:rPr>
        <w:t>"</w:t>
      </w:r>
      <w:r w:rsidR="00AE5091">
        <w:rPr>
          <w:lang w:val="es-ES_tradnl"/>
        </w:rPr>
        <w:t>)</w:t>
      </w:r>
      <w:r w:rsidRPr="002720D0">
        <w:rPr>
          <w:lang w:val="es-ES_tradnl"/>
        </w:rPr>
        <w:t>, Dodoma: C.C.M. Depart</w:t>
      </w:r>
      <w:r w:rsidR="00AE5091">
        <w:rPr>
          <w:lang w:val="es-ES_tradnl"/>
        </w:rPr>
        <w:t xml:space="preserve">amento de </w:t>
      </w:r>
      <w:r w:rsidRPr="002720D0">
        <w:rPr>
          <w:lang w:val="es-ES_tradnl"/>
        </w:rPr>
        <w:t xml:space="preserve">Propaganda </w:t>
      </w:r>
      <w:r w:rsidR="00AE5091">
        <w:rPr>
          <w:lang w:val="es-ES_tradnl"/>
        </w:rPr>
        <w:t xml:space="preserve">y Movilización General, </w:t>
      </w:r>
      <w:r w:rsidRPr="002720D0">
        <w:rPr>
          <w:lang w:val="es-ES_tradnl"/>
        </w:rPr>
        <w:t>1983</w:t>
      </w:r>
      <w:r w:rsidR="00BF070F">
        <w:rPr>
          <w:lang w:val="es-ES_tradnl"/>
        </w:rPr>
        <w:t>.</w:t>
      </w:r>
    </w:p>
    <w:p w:rsidR="00151021" w:rsidRPr="002720D0" w:rsidRDefault="00AE5091" w:rsidP="00BF070F">
      <w:pPr>
        <w:pStyle w:val="SingleTxtG"/>
        <w:jc w:val="left"/>
        <w:rPr>
          <w:lang w:val="es-ES_tradnl"/>
        </w:rPr>
      </w:pPr>
      <w:r>
        <w:rPr>
          <w:lang w:val="es-ES_tradnl"/>
        </w:rPr>
        <w:t xml:space="preserve">Centro Jurídico y de Derechos Humanos y Centro de Servicios Jurídicos de Zanzíbar, </w:t>
      </w:r>
      <w:r w:rsidR="00151021" w:rsidRPr="002720D0">
        <w:rPr>
          <w:i/>
          <w:lang w:val="es-ES_tradnl"/>
        </w:rPr>
        <w:t>Tanzania Human Rights Report</w:t>
      </w:r>
      <w:r w:rsidR="00151021" w:rsidRPr="00C45FCB">
        <w:rPr>
          <w:i/>
          <w:lang w:val="es-ES_tradnl"/>
        </w:rPr>
        <w:t>,</w:t>
      </w:r>
      <w:r w:rsidR="00151021" w:rsidRPr="002720D0">
        <w:rPr>
          <w:lang w:val="es-ES_tradnl"/>
        </w:rPr>
        <w:t xml:space="preserve"> </w:t>
      </w:r>
      <w:r w:rsidR="00151021" w:rsidRPr="00AE5091">
        <w:rPr>
          <w:i/>
          <w:lang w:val="es-ES_tradnl"/>
        </w:rPr>
        <w:t>2009</w:t>
      </w:r>
      <w:r>
        <w:rPr>
          <w:lang w:val="es-ES_tradnl"/>
        </w:rPr>
        <w:t xml:space="preserve"> (</w:t>
      </w:r>
      <w:r w:rsidR="001C7E1C">
        <w:rPr>
          <w:lang w:val="es-ES_tradnl"/>
        </w:rPr>
        <w:t>"</w:t>
      </w:r>
      <w:r>
        <w:rPr>
          <w:lang w:val="es-ES_tradnl"/>
        </w:rPr>
        <w:t>Informe de derechos humanos, Tanzanía, 2009</w:t>
      </w:r>
      <w:r w:rsidR="001C7E1C">
        <w:rPr>
          <w:lang w:val="es-ES_tradnl"/>
        </w:rPr>
        <w:t>"</w:t>
      </w:r>
      <w:r>
        <w:rPr>
          <w:lang w:val="es-ES_tradnl"/>
        </w:rPr>
        <w:t xml:space="preserve">). </w:t>
      </w:r>
      <w:r w:rsidR="00782B12" w:rsidRPr="002720D0">
        <w:rPr>
          <w:lang w:val="es-ES_tradnl"/>
        </w:rPr>
        <w:t>Dar es Salaam</w:t>
      </w:r>
      <w:r w:rsidR="00151021" w:rsidRPr="002720D0">
        <w:rPr>
          <w:lang w:val="es-ES_tradnl"/>
        </w:rPr>
        <w:t xml:space="preserve">: </w:t>
      </w:r>
      <w:r>
        <w:rPr>
          <w:lang w:val="es-ES_tradnl"/>
        </w:rPr>
        <w:t>República Unida de Tanzanía</w:t>
      </w:r>
      <w:r w:rsidR="00151021" w:rsidRPr="002720D0">
        <w:rPr>
          <w:lang w:val="es-ES_tradnl"/>
        </w:rPr>
        <w:t>.</w:t>
      </w:r>
    </w:p>
    <w:p w:rsidR="00151021" w:rsidRPr="002720D0" w:rsidRDefault="00AE5091" w:rsidP="00BF070F">
      <w:pPr>
        <w:pStyle w:val="SingleTxtG"/>
        <w:jc w:val="left"/>
        <w:rPr>
          <w:lang w:val="es-ES_tradnl"/>
        </w:rPr>
      </w:pPr>
      <w:r>
        <w:rPr>
          <w:lang w:val="es-ES_tradnl"/>
        </w:rPr>
        <w:t xml:space="preserve">Centro Jurídico y de Derechos Humanos y Centro de Servicios Jurídicos de Zanzíbar, </w:t>
      </w:r>
      <w:r w:rsidR="00151021" w:rsidRPr="002720D0">
        <w:rPr>
          <w:i/>
          <w:lang w:val="es-ES_tradnl"/>
        </w:rPr>
        <w:t>Human Rights Report</w:t>
      </w:r>
      <w:r w:rsidR="00151021" w:rsidRPr="00C45FCB">
        <w:rPr>
          <w:i/>
          <w:lang w:val="es-ES_tradnl"/>
        </w:rPr>
        <w:t>,</w:t>
      </w:r>
      <w:r w:rsidR="00151021" w:rsidRPr="002720D0">
        <w:rPr>
          <w:lang w:val="es-ES_tradnl"/>
        </w:rPr>
        <w:t xml:space="preserve"> </w:t>
      </w:r>
      <w:r w:rsidR="00151021" w:rsidRPr="00AE5091">
        <w:rPr>
          <w:i/>
          <w:lang w:val="es-ES_tradnl"/>
        </w:rPr>
        <w:t>2010</w:t>
      </w:r>
      <w:r>
        <w:rPr>
          <w:lang w:val="es-ES_tradnl"/>
        </w:rPr>
        <w:t xml:space="preserve"> (</w:t>
      </w:r>
      <w:r w:rsidR="001C7E1C">
        <w:rPr>
          <w:lang w:val="es-ES_tradnl"/>
        </w:rPr>
        <w:t>"</w:t>
      </w:r>
      <w:r>
        <w:rPr>
          <w:lang w:val="es-ES_tradnl"/>
        </w:rPr>
        <w:t>Informe de derechos humanos, 2010</w:t>
      </w:r>
      <w:r w:rsidR="001C7E1C">
        <w:rPr>
          <w:lang w:val="es-ES_tradnl"/>
        </w:rPr>
        <w:t>"</w:t>
      </w:r>
      <w:r>
        <w:rPr>
          <w:lang w:val="es-ES_tradnl"/>
        </w:rPr>
        <w:t xml:space="preserve">). </w:t>
      </w:r>
      <w:r w:rsidR="00782B12" w:rsidRPr="002720D0">
        <w:rPr>
          <w:lang w:val="es-ES_tradnl"/>
        </w:rPr>
        <w:t>Dar es Salaam</w:t>
      </w:r>
      <w:r w:rsidR="00151021" w:rsidRPr="002720D0">
        <w:rPr>
          <w:lang w:val="es-ES_tradnl"/>
        </w:rPr>
        <w:t xml:space="preserve">: </w:t>
      </w:r>
      <w:r>
        <w:rPr>
          <w:lang w:val="es-ES_tradnl"/>
        </w:rPr>
        <w:t>República Unida de Tanzanía</w:t>
      </w:r>
      <w:r w:rsidR="00151021" w:rsidRPr="002720D0">
        <w:rPr>
          <w:lang w:val="es-ES_tradnl"/>
        </w:rPr>
        <w:t>.</w:t>
      </w:r>
    </w:p>
    <w:p w:rsidR="00151021" w:rsidRPr="002720D0" w:rsidRDefault="00AE5091" w:rsidP="00BF070F">
      <w:pPr>
        <w:pStyle w:val="SingleTxtG"/>
        <w:jc w:val="left"/>
        <w:rPr>
          <w:lang w:val="es-ES_tradnl"/>
        </w:rPr>
      </w:pPr>
      <w:r>
        <w:rPr>
          <w:lang w:val="es-ES_tradnl"/>
        </w:rPr>
        <w:t xml:space="preserve">Centro Jurídico y de Derechos Humanos y Centro de Servicios Jurídicos de Zanzíbar, </w:t>
      </w:r>
      <w:r w:rsidR="00151021" w:rsidRPr="002720D0">
        <w:rPr>
          <w:i/>
          <w:lang w:val="es-ES_tradnl"/>
        </w:rPr>
        <w:t>Tanzania Human Rights Report</w:t>
      </w:r>
      <w:r w:rsidR="00151021" w:rsidRPr="00C45FCB">
        <w:rPr>
          <w:i/>
          <w:lang w:val="es-ES_tradnl"/>
        </w:rPr>
        <w:t>,</w:t>
      </w:r>
      <w:r w:rsidR="00151021" w:rsidRPr="002720D0">
        <w:rPr>
          <w:lang w:val="es-ES_tradnl"/>
        </w:rPr>
        <w:t xml:space="preserve"> </w:t>
      </w:r>
      <w:r w:rsidR="00151021" w:rsidRPr="00AE5091">
        <w:rPr>
          <w:i/>
          <w:lang w:val="es-ES_tradnl"/>
        </w:rPr>
        <w:t>2011</w:t>
      </w:r>
      <w:r>
        <w:rPr>
          <w:lang w:val="es-ES_tradnl"/>
        </w:rPr>
        <w:t xml:space="preserve"> (</w:t>
      </w:r>
      <w:r w:rsidR="001C7E1C">
        <w:rPr>
          <w:lang w:val="es-ES_tradnl"/>
        </w:rPr>
        <w:t>"</w:t>
      </w:r>
      <w:r w:rsidR="007347F4">
        <w:rPr>
          <w:lang w:val="es-ES_tradnl"/>
        </w:rPr>
        <w:t>Informe de derechos humanos, Tanzanía, 2011</w:t>
      </w:r>
      <w:r w:rsidR="001C7E1C">
        <w:rPr>
          <w:lang w:val="es-ES_tradnl"/>
        </w:rPr>
        <w:t>"</w:t>
      </w:r>
      <w:r w:rsidR="007347F4">
        <w:rPr>
          <w:lang w:val="es-ES_tradnl"/>
        </w:rPr>
        <w:t xml:space="preserve">). </w:t>
      </w:r>
      <w:r w:rsidR="00782B12" w:rsidRPr="002720D0">
        <w:rPr>
          <w:lang w:val="es-ES_tradnl"/>
        </w:rPr>
        <w:t>Dar es Salaam</w:t>
      </w:r>
      <w:r w:rsidR="00151021" w:rsidRPr="002720D0">
        <w:rPr>
          <w:lang w:val="es-ES_tradnl"/>
        </w:rPr>
        <w:t xml:space="preserve">: </w:t>
      </w:r>
      <w:r>
        <w:rPr>
          <w:lang w:val="es-ES_tradnl"/>
        </w:rPr>
        <w:t>República Unida de Tanzanía</w:t>
      </w:r>
      <w:r w:rsidR="00151021" w:rsidRPr="002720D0">
        <w:rPr>
          <w:lang w:val="es-ES_tradnl"/>
        </w:rPr>
        <w:t>.</w:t>
      </w:r>
    </w:p>
    <w:p w:rsidR="00151021" w:rsidRPr="002720D0" w:rsidRDefault="00151021" w:rsidP="00BF070F">
      <w:pPr>
        <w:pStyle w:val="SingleTxtG"/>
        <w:jc w:val="left"/>
        <w:rPr>
          <w:lang w:val="es-ES_tradnl"/>
        </w:rPr>
      </w:pPr>
      <w:r w:rsidRPr="002720D0">
        <w:rPr>
          <w:lang w:val="es-ES_tradnl"/>
        </w:rPr>
        <w:t xml:space="preserve">Serikali ya Mapinduzi Zanzibar, </w:t>
      </w:r>
      <w:r w:rsidRPr="002720D0">
        <w:rPr>
          <w:i/>
          <w:lang w:val="es-ES_tradnl"/>
        </w:rPr>
        <w:t>Mapitio ya Hali Ya Uchumi ya Utekelezaji wa Mpango wa Maendeleo Zanzibar 2009/2010</w:t>
      </w:r>
      <w:r w:rsidR="007347F4">
        <w:rPr>
          <w:lang w:val="es-ES_tradnl"/>
        </w:rPr>
        <w:t>. Zanzí</w:t>
      </w:r>
      <w:r w:rsidRPr="002720D0">
        <w:rPr>
          <w:lang w:val="es-ES_tradnl"/>
        </w:rPr>
        <w:t>bar, 2010.</w:t>
      </w:r>
    </w:p>
    <w:p w:rsidR="00151021" w:rsidRPr="002720D0" w:rsidRDefault="00151021" w:rsidP="00BF070F">
      <w:pPr>
        <w:pStyle w:val="SingleTxtG"/>
        <w:jc w:val="left"/>
        <w:rPr>
          <w:lang w:val="es-ES_tradnl"/>
        </w:rPr>
      </w:pPr>
      <w:r w:rsidRPr="002720D0">
        <w:rPr>
          <w:lang w:val="es-ES_tradnl"/>
        </w:rPr>
        <w:t xml:space="preserve">Serikali ya Mapinduzi Zanzibar, </w:t>
      </w:r>
      <w:r w:rsidRPr="002720D0">
        <w:rPr>
          <w:i/>
          <w:lang w:val="es-ES_tradnl"/>
        </w:rPr>
        <w:t>Taarifa Inayowasilishwa katika Baraza la Wawakilishijuu ya Utekelezaji wa Haki za Watoto Katika Kilele cha Siku ya Mtoto wa Afrika 16 Juni, 2011</w:t>
      </w:r>
      <w:r w:rsidRPr="002720D0">
        <w:rPr>
          <w:lang w:val="es-ES_tradnl"/>
        </w:rPr>
        <w:t xml:space="preserve">. Zanzibar: Wizara ya Ustawi wa Jamii na Maendeleo ya Vijana, Wanawake na Watoto, </w:t>
      </w:r>
      <w:r w:rsidR="007347F4">
        <w:rPr>
          <w:lang w:val="es-ES_tradnl"/>
        </w:rPr>
        <w:t>junio de</w:t>
      </w:r>
      <w:r w:rsidRPr="002720D0">
        <w:rPr>
          <w:lang w:val="es-ES_tradnl"/>
        </w:rPr>
        <w:t xml:space="preserve"> 2011.</w:t>
      </w:r>
    </w:p>
    <w:p w:rsidR="00151021" w:rsidRPr="002720D0" w:rsidRDefault="00AE5091" w:rsidP="00BF070F">
      <w:pPr>
        <w:pStyle w:val="SingleTxtG"/>
        <w:jc w:val="left"/>
        <w:rPr>
          <w:lang w:val="es-ES_tradnl"/>
        </w:rPr>
      </w:pPr>
      <w:r>
        <w:rPr>
          <w:lang w:val="es-ES_tradnl"/>
        </w:rPr>
        <w:t>República Unida de Tanzanía</w:t>
      </w:r>
      <w:r w:rsidR="00151021" w:rsidRPr="002720D0">
        <w:rPr>
          <w:lang w:val="es-ES_tradnl"/>
        </w:rPr>
        <w:t xml:space="preserve">, </w:t>
      </w:r>
      <w:r w:rsidR="00151021" w:rsidRPr="0074022F">
        <w:rPr>
          <w:i/>
          <w:lang w:val="es-ES_tradnl"/>
        </w:rPr>
        <w:t>Participatory Agricultural Development and Empowerment Project (PADEP)</w:t>
      </w:r>
      <w:r w:rsidR="0074022F">
        <w:rPr>
          <w:lang w:val="es-ES_tradnl"/>
        </w:rPr>
        <w:t xml:space="preserve"> (</w:t>
      </w:r>
      <w:r w:rsidR="001C7E1C">
        <w:rPr>
          <w:lang w:val="es-ES_tradnl"/>
        </w:rPr>
        <w:t>"</w:t>
      </w:r>
      <w:r w:rsidR="0074022F">
        <w:rPr>
          <w:lang w:val="es-ES_tradnl"/>
        </w:rPr>
        <w:t>Proyecto de empoderamiento y desarrollo agrícola participativo (PADEP)</w:t>
      </w:r>
      <w:r w:rsidR="001C7E1C">
        <w:rPr>
          <w:lang w:val="es-ES_tradnl"/>
        </w:rPr>
        <w:t>"</w:t>
      </w:r>
      <w:r w:rsidR="0074022F">
        <w:rPr>
          <w:lang w:val="es-ES_tradnl"/>
        </w:rPr>
        <w:t>)</w:t>
      </w:r>
      <w:r w:rsidR="00151021" w:rsidRPr="0074022F">
        <w:rPr>
          <w:lang w:val="es-ES_tradnl"/>
        </w:rPr>
        <w:t>:</w:t>
      </w:r>
      <w:r w:rsidR="00151021" w:rsidRPr="002720D0">
        <w:rPr>
          <w:lang w:val="es-ES_tradnl"/>
        </w:rPr>
        <w:t xml:space="preserve"> </w:t>
      </w:r>
      <w:r w:rsidR="00151021" w:rsidRPr="002720D0">
        <w:rPr>
          <w:i/>
          <w:lang w:val="es-ES_tradnl"/>
        </w:rPr>
        <w:t>Resettlement Policy Framework</w:t>
      </w:r>
      <w:r w:rsidR="0074022F">
        <w:rPr>
          <w:i/>
          <w:lang w:val="es-ES_tradnl"/>
        </w:rPr>
        <w:t xml:space="preserve"> </w:t>
      </w:r>
      <w:r w:rsidR="0074022F">
        <w:rPr>
          <w:lang w:val="es-ES_tradnl"/>
        </w:rPr>
        <w:t>(</w:t>
      </w:r>
      <w:r w:rsidR="001C7E1C">
        <w:rPr>
          <w:lang w:val="es-ES_tradnl"/>
        </w:rPr>
        <w:t>"</w:t>
      </w:r>
      <w:r w:rsidR="0074022F">
        <w:rPr>
          <w:lang w:val="es-ES_tradnl"/>
        </w:rPr>
        <w:t>Marco de política de reasentamiento</w:t>
      </w:r>
      <w:r w:rsidR="001C7E1C">
        <w:rPr>
          <w:lang w:val="es-ES_tradnl"/>
        </w:rPr>
        <w:t>"</w:t>
      </w:r>
      <w:r w:rsidR="0074022F">
        <w:rPr>
          <w:lang w:val="es-ES_tradnl"/>
        </w:rPr>
        <w:t>)</w:t>
      </w:r>
      <w:r w:rsidR="00151021" w:rsidRPr="002720D0">
        <w:rPr>
          <w:lang w:val="es-ES_tradnl"/>
        </w:rPr>
        <w:t xml:space="preserve">. </w:t>
      </w:r>
      <w:r w:rsidR="00BF1D0B">
        <w:rPr>
          <w:lang w:val="es-ES_tradnl"/>
        </w:rPr>
        <w:br/>
      </w:r>
      <w:r w:rsidR="00782B12" w:rsidRPr="002720D0">
        <w:rPr>
          <w:lang w:val="es-ES_tradnl"/>
        </w:rPr>
        <w:t>Dar es Salaam</w:t>
      </w:r>
      <w:r w:rsidR="00151021" w:rsidRPr="002720D0">
        <w:rPr>
          <w:lang w:val="es-ES_tradnl"/>
        </w:rPr>
        <w:t>, Minist</w:t>
      </w:r>
      <w:r w:rsidR="0074022F">
        <w:rPr>
          <w:lang w:val="es-ES_tradnl"/>
        </w:rPr>
        <w:t xml:space="preserve">erio de </w:t>
      </w:r>
      <w:r w:rsidR="00E31B5B">
        <w:rPr>
          <w:lang w:val="es-ES_tradnl"/>
        </w:rPr>
        <w:t>Agricultura y Seguridad Alimentaria, 2003.</w:t>
      </w:r>
    </w:p>
    <w:p w:rsidR="00151021" w:rsidRPr="002720D0" w:rsidRDefault="00AE5091" w:rsidP="00BF070F">
      <w:pPr>
        <w:pStyle w:val="SingleTxtG"/>
        <w:jc w:val="left"/>
        <w:rPr>
          <w:lang w:val="es-ES_tradnl"/>
        </w:rPr>
      </w:pPr>
      <w:r>
        <w:rPr>
          <w:lang w:val="es-ES_tradnl"/>
        </w:rPr>
        <w:t>República Unida de Tanzanía</w:t>
      </w:r>
      <w:r w:rsidR="00151021" w:rsidRPr="002720D0">
        <w:rPr>
          <w:lang w:val="es-ES_tradnl"/>
        </w:rPr>
        <w:t xml:space="preserve">, </w:t>
      </w:r>
      <w:r w:rsidR="00151021" w:rsidRPr="002720D0">
        <w:rPr>
          <w:i/>
          <w:lang w:val="es-ES_tradnl"/>
        </w:rPr>
        <w:t>The Integrated Labour Force Survey of 2006</w:t>
      </w:r>
      <w:r w:rsidR="00E31B5B">
        <w:rPr>
          <w:lang w:val="es-ES_tradnl"/>
        </w:rPr>
        <w:t xml:space="preserve"> (</w:t>
      </w:r>
      <w:r w:rsidR="001C7E1C">
        <w:rPr>
          <w:lang w:val="es-ES_tradnl"/>
        </w:rPr>
        <w:t>"</w:t>
      </w:r>
      <w:r w:rsidR="00E31B5B">
        <w:rPr>
          <w:lang w:val="es-ES_tradnl"/>
        </w:rPr>
        <w:t>Encuesta integrada de la población activa de 2006</w:t>
      </w:r>
      <w:r w:rsidR="001C7E1C">
        <w:rPr>
          <w:lang w:val="es-ES_tradnl"/>
        </w:rPr>
        <w:t>"</w:t>
      </w:r>
      <w:r w:rsidR="00E31B5B">
        <w:rPr>
          <w:lang w:val="es-ES_tradnl"/>
        </w:rPr>
        <w:t>).</w:t>
      </w:r>
      <w:r w:rsidR="00151021" w:rsidRPr="002720D0">
        <w:rPr>
          <w:lang w:val="es-ES_tradnl"/>
        </w:rPr>
        <w:t xml:space="preserve"> </w:t>
      </w:r>
      <w:r w:rsidR="00782B12" w:rsidRPr="002720D0">
        <w:rPr>
          <w:lang w:val="es-ES_tradnl"/>
        </w:rPr>
        <w:t>Dar es Salaam</w:t>
      </w:r>
      <w:r w:rsidR="00151021" w:rsidRPr="002720D0">
        <w:rPr>
          <w:lang w:val="es-ES_tradnl"/>
        </w:rPr>
        <w:t>, Minist</w:t>
      </w:r>
      <w:r w:rsidR="00E31B5B">
        <w:rPr>
          <w:lang w:val="es-ES_tradnl"/>
        </w:rPr>
        <w:t xml:space="preserve">erio de Trabajo, Juventud y Deportes, </w:t>
      </w:r>
      <w:r w:rsidR="00151021" w:rsidRPr="002720D0">
        <w:rPr>
          <w:lang w:val="es-ES_tradnl"/>
        </w:rPr>
        <w:t>2007.</w:t>
      </w:r>
    </w:p>
    <w:p w:rsidR="00151021" w:rsidRPr="002720D0" w:rsidRDefault="00AE5091" w:rsidP="00BF070F">
      <w:pPr>
        <w:pStyle w:val="SingleTxtG"/>
        <w:jc w:val="left"/>
        <w:rPr>
          <w:rFonts w:eastAsia="Malgun Gothic"/>
          <w:lang w:val="es-ES_tradnl"/>
        </w:rPr>
      </w:pPr>
      <w:r>
        <w:rPr>
          <w:lang w:val="es-ES_tradnl"/>
        </w:rPr>
        <w:t>República Unida de Tanzanía</w:t>
      </w:r>
      <w:r w:rsidR="00151021" w:rsidRPr="002720D0">
        <w:rPr>
          <w:lang w:val="es-ES_tradnl"/>
        </w:rPr>
        <w:t>,</w:t>
      </w:r>
      <w:r w:rsidR="00151021" w:rsidRPr="002720D0">
        <w:rPr>
          <w:rFonts w:eastAsia="Malgun Gothic"/>
          <w:lang w:val="es-ES_tradnl"/>
        </w:rPr>
        <w:t xml:space="preserve"> </w:t>
      </w:r>
      <w:r w:rsidR="00151021" w:rsidRPr="002720D0">
        <w:rPr>
          <w:rFonts w:eastAsia="Malgun Gothic"/>
          <w:i/>
          <w:lang w:val="es-ES_tradnl"/>
        </w:rPr>
        <w:t>Basic Education Statistics in Tanzania (BEST) 2005-2009: National Data</w:t>
      </w:r>
      <w:r w:rsidR="00E31B5B">
        <w:rPr>
          <w:rFonts w:eastAsia="Malgun Gothic"/>
          <w:lang w:val="es-ES_tradnl"/>
        </w:rPr>
        <w:t xml:space="preserve"> (</w:t>
      </w:r>
      <w:r w:rsidR="00F0647A">
        <w:rPr>
          <w:lang w:val="es-ES_tradnl"/>
        </w:rPr>
        <w:t>"</w:t>
      </w:r>
      <w:r w:rsidR="00E31B5B">
        <w:rPr>
          <w:rFonts w:eastAsia="Malgun Gothic"/>
          <w:lang w:val="es-ES_tradnl"/>
        </w:rPr>
        <w:t>Estadísticas de enseñanza elemental en Tanzanía (BEST) 2005-2009: datos nacionales</w:t>
      </w:r>
      <w:r w:rsidR="00F0647A">
        <w:rPr>
          <w:lang w:val="es-ES_tradnl"/>
        </w:rPr>
        <w:t>"</w:t>
      </w:r>
      <w:r w:rsidR="00E31B5B">
        <w:rPr>
          <w:rFonts w:eastAsia="Malgun Gothic"/>
          <w:lang w:val="es-ES_tradnl"/>
        </w:rPr>
        <w:t xml:space="preserve">). </w:t>
      </w:r>
      <w:r w:rsidR="00782B12" w:rsidRPr="002720D0">
        <w:rPr>
          <w:rFonts w:eastAsia="Malgun Gothic"/>
          <w:lang w:val="es-ES_tradnl"/>
        </w:rPr>
        <w:t>Dar es Salaam</w:t>
      </w:r>
      <w:r w:rsidR="00151021" w:rsidRPr="002720D0">
        <w:rPr>
          <w:rFonts w:eastAsia="Malgun Gothic"/>
          <w:lang w:val="es-ES_tradnl"/>
        </w:rPr>
        <w:t>: Minist</w:t>
      </w:r>
      <w:r w:rsidR="00E31B5B">
        <w:rPr>
          <w:rFonts w:eastAsia="Malgun Gothic"/>
          <w:lang w:val="es-ES_tradnl"/>
        </w:rPr>
        <w:t>erio de Educación y Formació</w:t>
      </w:r>
      <w:r w:rsidR="000F7B9B">
        <w:rPr>
          <w:rFonts w:eastAsia="Malgun Gothic"/>
          <w:lang w:val="es-ES_tradnl"/>
        </w:rPr>
        <w:t>n</w:t>
      </w:r>
      <w:r w:rsidR="00E31B5B">
        <w:rPr>
          <w:rFonts w:eastAsia="Malgun Gothic"/>
          <w:lang w:val="es-ES_tradnl"/>
        </w:rPr>
        <w:t xml:space="preserve"> Profesional, julio de </w:t>
      </w:r>
      <w:r w:rsidR="00151021" w:rsidRPr="002720D0">
        <w:rPr>
          <w:rFonts w:eastAsia="Malgun Gothic"/>
          <w:lang w:val="es-ES_tradnl"/>
        </w:rPr>
        <w:t>2009.</w:t>
      </w:r>
    </w:p>
    <w:p w:rsidR="00151021" w:rsidRPr="002720D0" w:rsidRDefault="00AE5091" w:rsidP="00BF070F">
      <w:pPr>
        <w:pStyle w:val="SingleTxtG"/>
        <w:jc w:val="left"/>
        <w:rPr>
          <w:lang w:val="es-ES_tradnl"/>
        </w:rPr>
      </w:pPr>
      <w:r>
        <w:rPr>
          <w:lang w:val="es-ES_tradnl"/>
        </w:rPr>
        <w:t>República Unida de Tanzanía</w:t>
      </w:r>
      <w:r w:rsidR="00151021" w:rsidRPr="002720D0">
        <w:rPr>
          <w:lang w:val="es-ES_tradnl"/>
        </w:rPr>
        <w:t xml:space="preserve">, </w:t>
      </w:r>
      <w:r w:rsidR="00151021" w:rsidRPr="002720D0">
        <w:rPr>
          <w:i/>
          <w:lang w:val="es-ES_tradnl"/>
        </w:rPr>
        <w:t>Survey on the Street involved Children and Youth in Tanzania 2009</w:t>
      </w:r>
      <w:r w:rsidR="00151021" w:rsidRPr="002720D0">
        <w:rPr>
          <w:lang w:val="es-ES_tradnl"/>
        </w:rPr>
        <w:t xml:space="preserve"> </w:t>
      </w:r>
      <w:r w:rsidR="00E31B5B">
        <w:rPr>
          <w:lang w:val="es-ES_tradnl"/>
        </w:rPr>
        <w:t>(</w:t>
      </w:r>
      <w:r w:rsidR="00F0647A">
        <w:rPr>
          <w:lang w:val="es-ES_tradnl"/>
        </w:rPr>
        <w:t>"</w:t>
      </w:r>
      <w:r w:rsidR="00E31B5B" w:rsidRPr="0085154F">
        <w:rPr>
          <w:lang w:val="es-ES_tradnl"/>
        </w:rPr>
        <w:t xml:space="preserve">Encuesta sobre los </w:t>
      </w:r>
      <w:r w:rsidR="00E31B5B">
        <w:rPr>
          <w:lang w:val="es-ES_tradnl"/>
        </w:rPr>
        <w:t xml:space="preserve">niños y jóvenes de la calle en </w:t>
      </w:r>
      <w:r w:rsidR="00E31B5B" w:rsidRPr="0085154F">
        <w:rPr>
          <w:lang w:val="es-ES_tradnl"/>
        </w:rPr>
        <w:t>Tanzanía, 2009</w:t>
      </w:r>
      <w:r w:rsidR="00F0647A">
        <w:rPr>
          <w:lang w:val="es-ES_tradnl"/>
        </w:rPr>
        <w:t>"</w:t>
      </w:r>
      <w:r w:rsidR="000F7B9B">
        <w:rPr>
          <w:lang w:val="es-ES_tradnl"/>
        </w:rPr>
        <w:t xml:space="preserve">). </w:t>
      </w:r>
      <w:r w:rsidR="00BF1D0B">
        <w:rPr>
          <w:lang w:val="es-ES_tradnl"/>
        </w:rPr>
        <w:br/>
      </w:r>
      <w:r w:rsidR="00782B12" w:rsidRPr="002720D0">
        <w:rPr>
          <w:lang w:val="es-ES_tradnl"/>
        </w:rPr>
        <w:t>Dar es Salaam</w:t>
      </w:r>
      <w:r w:rsidR="00151021" w:rsidRPr="002720D0">
        <w:rPr>
          <w:lang w:val="es-ES_tradnl"/>
        </w:rPr>
        <w:t>: Minist</w:t>
      </w:r>
      <w:r w:rsidR="000F7B9B">
        <w:rPr>
          <w:lang w:val="es-ES_tradnl"/>
        </w:rPr>
        <w:t>erio de Desarrollo Comunitario de Asuntos de Género y del Niño/</w:t>
      </w:r>
      <w:r w:rsidR="00151021" w:rsidRPr="000F7B9B">
        <w:rPr>
          <w:i/>
          <w:lang w:val="es-ES_tradnl"/>
        </w:rPr>
        <w:t>Consortium for Street Children</w:t>
      </w:r>
      <w:r w:rsidR="00151021" w:rsidRPr="002720D0">
        <w:rPr>
          <w:lang w:val="es-ES_tradnl"/>
        </w:rPr>
        <w:t>, 31</w:t>
      </w:r>
      <w:r w:rsidR="000F7B9B">
        <w:rPr>
          <w:vertAlign w:val="superscript"/>
          <w:lang w:val="es-ES_tradnl"/>
        </w:rPr>
        <w:t xml:space="preserve"> </w:t>
      </w:r>
      <w:r w:rsidR="000F7B9B">
        <w:rPr>
          <w:lang w:val="es-ES_tradnl"/>
        </w:rPr>
        <w:t xml:space="preserve">de diciembre de </w:t>
      </w:r>
      <w:r w:rsidR="00151021" w:rsidRPr="002720D0">
        <w:rPr>
          <w:lang w:val="es-ES_tradnl"/>
        </w:rPr>
        <w:t>2009.</w:t>
      </w:r>
    </w:p>
    <w:p w:rsidR="00151021" w:rsidRPr="002720D0" w:rsidRDefault="00AE5091" w:rsidP="00BF070F">
      <w:pPr>
        <w:pStyle w:val="SingleTxtG"/>
        <w:jc w:val="left"/>
        <w:rPr>
          <w:lang w:val="es-ES_tradnl"/>
        </w:rPr>
      </w:pPr>
      <w:r>
        <w:rPr>
          <w:lang w:val="es-ES_tradnl"/>
        </w:rPr>
        <w:t>República Unida de Tanzanía</w:t>
      </w:r>
      <w:r w:rsidR="00151021" w:rsidRPr="002720D0">
        <w:rPr>
          <w:lang w:val="es-ES_tradnl"/>
        </w:rPr>
        <w:t xml:space="preserve">, </w:t>
      </w:r>
      <w:r w:rsidR="00151021" w:rsidRPr="002720D0">
        <w:rPr>
          <w:i/>
          <w:lang w:val="es-ES_tradnl"/>
        </w:rPr>
        <w:t>A Joint Report on Childhood Poverty in Tanzania: Deprivations and Disparities in Child Well-Being</w:t>
      </w:r>
      <w:r w:rsidR="000F7B9B" w:rsidRPr="00564559">
        <w:rPr>
          <w:lang w:val="es-ES_tradnl"/>
        </w:rPr>
        <w:t xml:space="preserve"> (</w:t>
      </w:r>
      <w:r w:rsidR="00F0647A">
        <w:rPr>
          <w:lang w:val="es-ES_tradnl"/>
        </w:rPr>
        <w:t>"</w:t>
      </w:r>
      <w:r w:rsidR="00B57F06">
        <w:rPr>
          <w:lang w:val="es-ES_tradnl"/>
        </w:rPr>
        <w:t>Informe conjunto sobre la p</w:t>
      </w:r>
      <w:r w:rsidR="000F7B9B" w:rsidRPr="00564559">
        <w:rPr>
          <w:lang w:val="es-ES_tradnl"/>
        </w:rPr>
        <w:t>obreza infantil en Tanzanía: privación y disparidad en el bienestar infantil</w:t>
      </w:r>
      <w:r w:rsidR="00F0647A">
        <w:rPr>
          <w:lang w:val="es-ES_tradnl"/>
        </w:rPr>
        <w:t>"</w:t>
      </w:r>
      <w:r w:rsidR="000F7B9B" w:rsidRPr="00564559">
        <w:rPr>
          <w:lang w:val="es-ES_tradnl"/>
        </w:rPr>
        <w:t>).</w:t>
      </w:r>
      <w:r w:rsidR="001D2A53">
        <w:rPr>
          <w:lang w:val="es-ES_tradnl"/>
        </w:rPr>
        <w:t xml:space="preserve"> </w:t>
      </w:r>
      <w:r w:rsidR="00782B12" w:rsidRPr="002720D0">
        <w:rPr>
          <w:lang w:val="es-ES_tradnl"/>
        </w:rPr>
        <w:t>Dar es Salaam</w:t>
      </w:r>
      <w:r w:rsidR="00151021" w:rsidRPr="002720D0">
        <w:rPr>
          <w:lang w:val="es-ES_tradnl"/>
        </w:rPr>
        <w:t xml:space="preserve">: REPOA, NBS </w:t>
      </w:r>
      <w:r w:rsidR="000F7B9B">
        <w:rPr>
          <w:lang w:val="es-ES_tradnl"/>
        </w:rPr>
        <w:t>y</w:t>
      </w:r>
      <w:r w:rsidR="00151021" w:rsidRPr="002720D0">
        <w:rPr>
          <w:lang w:val="es-ES_tradnl"/>
        </w:rPr>
        <w:t xml:space="preserve"> UNICEF, 2009.</w:t>
      </w:r>
      <w:r w:rsidR="009E192C" w:rsidRPr="002720D0">
        <w:rPr>
          <w:lang w:val="es-ES_tradnl"/>
        </w:rPr>
        <w:t xml:space="preserve"> </w:t>
      </w:r>
    </w:p>
    <w:p w:rsidR="00151021" w:rsidRPr="002720D0" w:rsidRDefault="00AE5091" w:rsidP="00BF070F">
      <w:pPr>
        <w:pStyle w:val="SingleTxtG"/>
        <w:jc w:val="left"/>
        <w:rPr>
          <w:rFonts w:eastAsia="Malgun Gothic"/>
          <w:lang w:val="es-ES_tradnl"/>
        </w:rPr>
      </w:pPr>
      <w:r>
        <w:rPr>
          <w:lang w:val="es-ES_tradnl"/>
        </w:rPr>
        <w:t>República Unida de Tanzanía</w:t>
      </w:r>
      <w:r w:rsidR="00151021" w:rsidRPr="002720D0">
        <w:rPr>
          <w:lang w:val="es-ES_tradnl"/>
        </w:rPr>
        <w:t>,</w:t>
      </w:r>
      <w:r w:rsidR="00151021" w:rsidRPr="002720D0">
        <w:rPr>
          <w:rFonts w:eastAsia="Malgun Gothic"/>
          <w:lang w:val="es-ES_tradnl"/>
        </w:rPr>
        <w:t xml:space="preserve"> </w:t>
      </w:r>
      <w:r w:rsidR="00151021" w:rsidRPr="002720D0">
        <w:rPr>
          <w:rFonts w:eastAsia="Malgun Gothic"/>
          <w:i/>
          <w:lang w:val="es-ES_tradnl"/>
        </w:rPr>
        <w:t>Basic Education Statistics in Tanzania (BEST) 2006-2010: Revised National Data</w:t>
      </w:r>
      <w:r w:rsidR="00151021" w:rsidRPr="002720D0">
        <w:rPr>
          <w:rFonts w:eastAsia="Malgun Gothic"/>
          <w:lang w:val="es-ES_tradnl"/>
        </w:rPr>
        <w:t xml:space="preserve"> </w:t>
      </w:r>
      <w:r w:rsidR="000F7B9B">
        <w:rPr>
          <w:rFonts w:eastAsia="Malgun Gothic"/>
          <w:lang w:val="es-ES_tradnl"/>
        </w:rPr>
        <w:t>(</w:t>
      </w:r>
      <w:r w:rsidR="00F0647A">
        <w:rPr>
          <w:lang w:val="es-ES_tradnl"/>
        </w:rPr>
        <w:t>"</w:t>
      </w:r>
      <w:r w:rsidR="000F7B9B">
        <w:rPr>
          <w:rFonts w:eastAsia="Malgun Gothic"/>
          <w:lang w:val="es-ES_tradnl"/>
        </w:rPr>
        <w:t>Estadísticas de enseñanza elemental en Tanzanía (BEST) 2006</w:t>
      </w:r>
      <w:r w:rsidR="00B24EC0">
        <w:rPr>
          <w:rFonts w:eastAsia="Malgun Gothic"/>
          <w:lang w:val="es-ES_tradnl"/>
        </w:rPr>
        <w:noBreakHyphen/>
      </w:r>
      <w:r w:rsidR="000F7B9B">
        <w:rPr>
          <w:rFonts w:eastAsia="Malgun Gothic"/>
          <w:lang w:val="es-ES_tradnl"/>
        </w:rPr>
        <w:t>2010: datos nacionales actualizados</w:t>
      </w:r>
      <w:r w:rsidR="00F0647A">
        <w:rPr>
          <w:lang w:val="es-ES_tradnl"/>
        </w:rPr>
        <w:t>"</w:t>
      </w:r>
      <w:r w:rsidR="000F7B9B">
        <w:rPr>
          <w:rFonts w:eastAsia="Malgun Gothic"/>
          <w:lang w:val="es-ES_tradnl"/>
        </w:rPr>
        <w:t xml:space="preserve">). </w:t>
      </w:r>
      <w:r w:rsidR="00782B12" w:rsidRPr="002720D0">
        <w:rPr>
          <w:rFonts w:eastAsia="Malgun Gothic"/>
          <w:lang w:val="es-ES_tradnl"/>
        </w:rPr>
        <w:t>Dar es Salaam</w:t>
      </w:r>
      <w:r w:rsidR="00151021" w:rsidRPr="002720D0">
        <w:rPr>
          <w:rFonts w:eastAsia="Malgun Gothic"/>
          <w:lang w:val="es-ES_tradnl"/>
        </w:rPr>
        <w:t xml:space="preserve">: </w:t>
      </w:r>
      <w:r w:rsidR="000F7B9B">
        <w:rPr>
          <w:rFonts w:eastAsia="Malgun Gothic"/>
          <w:lang w:val="es-ES_tradnl"/>
        </w:rPr>
        <w:t>Ministerio de Educación y Formación Profesional, septiembre de 2010</w:t>
      </w:r>
      <w:r w:rsidR="000F7B9B" w:rsidRPr="000F7B9B">
        <w:rPr>
          <w:rFonts w:eastAsia="Malgun Gothic"/>
          <w:lang w:val="es-ES_tradnl"/>
        </w:rPr>
        <w:t xml:space="preserve"> </w:t>
      </w:r>
    </w:p>
    <w:p w:rsidR="00151021" w:rsidRPr="002720D0" w:rsidRDefault="00AE5091" w:rsidP="00BF070F">
      <w:pPr>
        <w:pStyle w:val="SingleTxtG"/>
        <w:jc w:val="left"/>
        <w:rPr>
          <w:lang w:val="es-ES_tradnl"/>
        </w:rPr>
      </w:pPr>
      <w:r>
        <w:rPr>
          <w:lang w:val="es-ES_tradnl"/>
        </w:rPr>
        <w:t>República Unida de Tanzanía</w:t>
      </w:r>
      <w:r w:rsidR="00151021" w:rsidRPr="002720D0">
        <w:rPr>
          <w:lang w:val="es-ES_tradnl"/>
        </w:rPr>
        <w:t xml:space="preserve">, </w:t>
      </w:r>
      <w:r w:rsidR="00151021" w:rsidRPr="002720D0">
        <w:rPr>
          <w:i/>
          <w:lang w:val="es-ES_tradnl"/>
        </w:rPr>
        <w:t>Tanzania Population Projections</w:t>
      </w:r>
      <w:r w:rsidR="000F7B9B">
        <w:rPr>
          <w:lang w:val="es-ES_tradnl"/>
        </w:rPr>
        <w:t xml:space="preserve"> (</w:t>
      </w:r>
      <w:r w:rsidR="00F0647A">
        <w:rPr>
          <w:lang w:val="es-ES_tradnl"/>
        </w:rPr>
        <w:t>"</w:t>
      </w:r>
      <w:r w:rsidR="000F7B9B">
        <w:rPr>
          <w:lang w:val="es-ES_tradnl"/>
        </w:rPr>
        <w:t>Proyección de la población de Tanzanía</w:t>
      </w:r>
      <w:r w:rsidR="00F0647A">
        <w:rPr>
          <w:lang w:val="es-ES_tradnl"/>
        </w:rPr>
        <w:t>"</w:t>
      </w:r>
      <w:r w:rsidR="000F7B9B">
        <w:rPr>
          <w:lang w:val="es-ES_tradnl"/>
        </w:rPr>
        <w:t>).</w:t>
      </w:r>
      <w:r w:rsidR="00151021" w:rsidRPr="002720D0">
        <w:rPr>
          <w:lang w:val="es-ES_tradnl"/>
        </w:rPr>
        <w:t xml:space="preserve"> </w:t>
      </w:r>
      <w:r w:rsidR="00782B12" w:rsidRPr="002720D0">
        <w:rPr>
          <w:lang w:val="es-ES_tradnl"/>
        </w:rPr>
        <w:t>Dar es Salaam</w:t>
      </w:r>
      <w:r w:rsidR="00151021" w:rsidRPr="002720D0">
        <w:rPr>
          <w:lang w:val="es-ES_tradnl"/>
        </w:rPr>
        <w:t xml:space="preserve">: </w:t>
      </w:r>
      <w:r w:rsidR="000F7B9B">
        <w:rPr>
          <w:lang w:val="es-ES_tradnl"/>
        </w:rPr>
        <w:t>Oficina Nacional de Estadística</w:t>
      </w:r>
      <w:r w:rsidR="00151021" w:rsidRPr="002720D0">
        <w:rPr>
          <w:lang w:val="es-ES_tradnl"/>
        </w:rPr>
        <w:t>, 2011.</w:t>
      </w:r>
    </w:p>
    <w:p w:rsidR="00151021" w:rsidRPr="002720D0" w:rsidRDefault="00AE5091" w:rsidP="00BF070F">
      <w:pPr>
        <w:pStyle w:val="SingleTxtG"/>
        <w:jc w:val="left"/>
        <w:rPr>
          <w:lang w:val="es-ES_tradnl"/>
        </w:rPr>
      </w:pPr>
      <w:r>
        <w:rPr>
          <w:lang w:val="es-ES_tradnl"/>
        </w:rPr>
        <w:t>República Unida de Tanzanía</w:t>
      </w:r>
      <w:r w:rsidR="00151021" w:rsidRPr="002720D0">
        <w:rPr>
          <w:lang w:val="es-ES_tradnl"/>
        </w:rPr>
        <w:t xml:space="preserve">, </w:t>
      </w:r>
      <w:r w:rsidR="00151021" w:rsidRPr="008336E2">
        <w:rPr>
          <w:i/>
          <w:lang w:val="es-ES_tradnl"/>
        </w:rPr>
        <w:t>Basic</w:t>
      </w:r>
      <w:r w:rsidR="00151021" w:rsidRPr="002720D0">
        <w:rPr>
          <w:lang w:val="es-ES_tradnl"/>
        </w:rPr>
        <w:t xml:space="preserve"> </w:t>
      </w:r>
      <w:r w:rsidR="00151021" w:rsidRPr="002720D0">
        <w:rPr>
          <w:i/>
          <w:lang w:val="es-ES_tradnl"/>
        </w:rPr>
        <w:t>Education Statistics in Tanzania (BEST) 2007-2011: National Data</w:t>
      </w:r>
      <w:r w:rsidR="00151021" w:rsidRPr="002720D0">
        <w:rPr>
          <w:lang w:val="es-ES_tradnl"/>
        </w:rPr>
        <w:t xml:space="preserve"> </w:t>
      </w:r>
      <w:r w:rsidR="000F7B9B">
        <w:rPr>
          <w:lang w:val="es-ES_tradnl"/>
        </w:rPr>
        <w:t>(</w:t>
      </w:r>
      <w:r w:rsidR="00F0647A">
        <w:rPr>
          <w:lang w:val="es-ES_tradnl"/>
        </w:rPr>
        <w:t>"</w:t>
      </w:r>
      <w:r w:rsidR="000F7B9B">
        <w:rPr>
          <w:rFonts w:eastAsia="Malgun Gothic"/>
          <w:lang w:val="es-ES_tradnl"/>
        </w:rPr>
        <w:t>Estadísticas de enseñanza elemental en Tanzanía (BEST) 2007-2011: datos nacionales</w:t>
      </w:r>
      <w:r w:rsidR="00F0647A">
        <w:rPr>
          <w:lang w:val="es-ES_tradnl"/>
        </w:rPr>
        <w:t>"</w:t>
      </w:r>
      <w:r w:rsidR="000F7B9B">
        <w:rPr>
          <w:rFonts w:eastAsia="Malgun Gothic"/>
          <w:lang w:val="es-ES_tradnl"/>
        </w:rPr>
        <w:t xml:space="preserve">). </w:t>
      </w:r>
      <w:r w:rsidR="00782B12" w:rsidRPr="002720D0">
        <w:rPr>
          <w:lang w:val="es-ES_tradnl"/>
        </w:rPr>
        <w:t>Dar es Salaam</w:t>
      </w:r>
      <w:r w:rsidR="00151021" w:rsidRPr="002720D0">
        <w:rPr>
          <w:lang w:val="es-ES_tradnl"/>
        </w:rPr>
        <w:t>: Minist</w:t>
      </w:r>
      <w:r w:rsidR="000F7B9B">
        <w:rPr>
          <w:lang w:val="es-ES_tradnl"/>
        </w:rPr>
        <w:t>erio de Educación y Formación Profesional, julio de</w:t>
      </w:r>
      <w:r w:rsidR="001D2A53">
        <w:rPr>
          <w:lang w:val="es-ES_tradnl"/>
        </w:rPr>
        <w:t xml:space="preserve"> </w:t>
      </w:r>
      <w:r w:rsidR="00151021" w:rsidRPr="002720D0">
        <w:rPr>
          <w:lang w:val="es-ES_tradnl"/>
        </w:rPr>
        <w:t>2011.</w:t>
      </w:r>
    </w:p>
    <w:p w:rsidR="00151021" w:rsidRPr="002720D0" w:rsidRDefault="00AE5091" w:rsidP="00BF070F">
      <w:pPr>
        <w:pStyle w:val="SingleTxtG"/>
        <w:jc w:val="left"/>
        <w:rPr>
          <w:lang w:val="es-ES_tradnl"/>
        </w:rPr>
      </w:pPr>
      <w:r>
        <w:rPr>
          <w:lang w:val="es-ES_tradnl"/>
        </w:rPr>
        <w:t>República Unida de Tanzanía</w:t>
      </w:r>
      <w:r w:rsidR="00151021" w:rsidRPr="002720D0">
        <w:rPr>
          <w:lang w:val="es-ES_tradnl"/>
        </w:rPr>
        <w:t xml:space="preserve">, </w:t>
      </w:r>
      <w:r w:rsidR="00151021" w:rsidRPr="002720D0">
        <w:rPr>
          <w:i/>
          <w:lang w:val="es-ES_tradnl"/>
        </w:rPr>
        <w:t>Tanzania Demographic and Health Survey 2010</w:t>
      </w:r>
      <w:r w:rsidR="000F7B9B">
        <w:rPr>
          <w:lang w:val="es-ES_tradnl"/>
        </w:rPr>
        <w:t xml:space="preserve"> (</w:t>
      </w:r>
      <w:r w:rsidR="00F0647A">
        <w:rPr>
          <w:lang w:val="es-ES_tradnl"/>
        </w:rPr>
        <w:t>"</w:t>
      </w:r>
      <w:r w:rsidR="000F7B9B">
        <w:rPr>
          <w:lang w:val="es-ES_tradnl"/>
        </w:rPr>
        <w:t>Encuesta demográfica y de salud de Tanzanía, 2020</w:t>
      </w:r>
      <w:r w:rsidR="00F0647A">
        <w:rPr>
          <w:lang w:val="es-ES_tradnl"/>
        </w:rPr>
        <w:t>"</w:t>
      </w:r>
      <w:r w:rsidR="000F7B9B">
        <w:rPr>
          <w:lang w:val="es-ES_tradnl"/>
        </w:rPr>
        <w:t>).</w:t>
      </w:r>
      <w:r w:rsidR="00151021" w:rsidRPr="002720D0">
        <w:rPr>
          <w:lang w:val="es-ES_tradnl"/>
        </w:rPr>
        <w:t xml:space="preserve"> </w:t>
      </w:r>
      <w:r w:rsidR="00782B12" w:rsidRPr="002720D0">
        <w:rPr>
          <w:lang w:val="es-ES_tradnl"/>
        </w:rPr>
        <w:t>Dar es Salaam</w:t>
      </w:r>
      <w:r w:rsidR="00151021" w:rsidRPr="002720D0">
        <w:rPr>
          <w:lang w:val="es-ES_tradnl"/>
        </w:rPr>
        <w:t xml:space="preserve">: </w:t>
      </w:r>
      <w:r w:rsidR="000F7B9B">
        <w:rPr>
          <w:lang w:val="es-ES_tradnl"/>
        </w:rPr>
        <w:t>Oficina Nacional de Estadística</w:t>
      </w:r>
      <w:r w:rsidR="00151021" w:rsidRPr="002720D0">
        <w:rPr>
          <w:lang w:val="es-ES_tradnl"/>
        </w:rPr>
        <w:t xml:space="preserve">, </w:t>
      </w:r>
      <w:r w:rsidR="000F7B9B">
        <w:rPr>
          <w:lang w:val="es-ES_tradnl"/>
        </w:rPr>
        <w:t>abril de</w:t>
      </w:r>
      <w:r w:rsidR="00151021" w:rsidRPr="002720D0">
        <w:rPr>
          <w:lang w:val="es-ES_tradnl"/>
        </w:rPr>
        <w:t xml:space="preserve"> 2011.</w:t>
      </w:r>
    </w:p>
    <w:p w:rsidR="00151021" w:rsidRPr="002720D0" w:rsidRDefault="00AE5091" w:rsidP="00BF070F">
      <w:pPr>
        <w:pStyle w:val="SingleTxtG"/>
        <w:jc w:val="left"/>
        <w:rPr>
          <w:lang w:val="es-ES_tradnl"/>
        </w:rPr>
      </w:pPr>
      <w:r>
        <w:rPr>
          <w:lang w:val="es-ES_tradnl"/>
        </w:rPr>
        <w:t>República Unida de Tanzanía</w:t>
      </w:r>
      <w:r w:rsidR="00151021" w:rsidRPr="002720D0">
        <w:rPr>
          <w:lang w:val="es-ES_tradnl"/>
        </w:rPr>
        <w:t xml:space="preserve">, </w:t>
      </w:r>
      <w:r w:rsidR="00151021" w:rsidRPr="002720D0">
        <w:rPr>
          <w:i/>
          <w:lang w:val="es-ES_tradnl"/>
        </w:rPr>
        <w:t>Tanzania 2008 Disability Survey Report</w:t>
      </w:r>
      <w:r w:rsidR="001D2A53">
        <w:rPr>
          <w:lang w:val="es-ES_tradnl"/>
        </w:rPr>
        <w:t xml:space="preserve"> ("</w:t>
      </w:r>
      <w:r w:rsidR="00010D95">
        <w:rPr>
          <w:lang w:val="es-ES_tradnl"/>
        </w:rPr>
        <w:t>Memoria: Encuesta sobre la discapacidad en Tanzanía</w:t>
      </w:r>
      <w:r w:rsidR="001D2A53">
        <w:rPr>
          <w:lang w:val="es-ES_tradnl"/>
        </w:rPr>
        <w:t>, 2008"</w:t>
      </w:r>
      <w:r w:rsidR="00010D95">
        <w:rPr>
          <w:lang w:val="es-ES_tradnl"/>
        </w:rPr>
        <w:t xml:space="preserve">). </w:t>
      </w:r>
      <w:r w:rsidR="00782B12" w:rsidRPr="002720D0">
        <w:rPr>
          <w:lang w:val="es-ES_tradnl"/>
        </w:rPr>
        <w:t>Dar es Salaam</w:t>
      </w:r>
      <w:r w:rsidR="00151021" w:rsidRPr="002720D0">
        <w:rPr>
          <w:lang w:val="es-ES_tradnl"/>
        </w:rPr>
        <w:t xml:space="preserve">: </w:t>
      </w:r>
      <w:r w:rsidR="000F7B9B">
        <w:rPr>
          <w:lang w:val="es-ES_tradnl"/>
        </w:rPr>
        <w:t>Oficina Nacional de Estadística</w:t>
      </w:r>
      <w:r w:rsidR="00151021" w:rsidRPr="002720D0">
        <w:rPr>
          <w:lang w:val="es-ES_tradnl"/>
        </w:rPr>
        <w:t>/Depart</w:t>
      </w:r>
      <w:r w:rsidR="00010D95">
        <w:rPr>
          <w:lang w:val="es-ES_tradnl"/>
        </w:rPr>
        <w:t>a</w:t>
      </w:r>
      <w:r w:rsidR="00151021" w:rsidRPr="002720D0">
        <w:rPr>
          <w:lang w:val="es-ES_tradnl"/>
        </w:rPr>
        <w:t>ment</w:t>
      </w:r>
      <w:r w:rsidR="00010D95">
        <w:rPr>
          <w:lang w:val="es-ES_tradnl"/>
        </w:rPr>
        <w:t xml:space="preserve">o de Bienestar Social (Ministerio de Salud y Bienestar Social), diciembre de </w:t>
      </w:r>
      <w:r w:rsidR="00151021" w:rsidRPr="002720D0">
        <w:rPr>
          <w:lang w:val="es-ES_tradnl"/>
        </w:rPr>
        <w:t xml:space="preserve">2009. </w:t>
      </w:r>
    </w:p>
    <w:p w:rsidR="00151021" w:rsidRPr="002720D0" w:rsidRDefault="00010D95" w:rsidP="00BF070F">
      <w:pPr>
        <w:pStyle w:val="SingleTxtG"/>
        <w:jc w:val="left"/>
        <w:rPr>
          <w:lang w:val="es-ES_tradnl"/>
        </w:rPr>
      </w:pPr>
      <w:r w:rsidRPr="00B7033A">
        <w:rPr>
          <w:lang w:val="es-ES"/>
        </w:rPr>
        <w:t xml:space="preserve">República Unida de Tanzanía, </w:t>
      </w:r>
      <w:r w:rsidRPr="00B7033A">
        <w:rPr>
          <w:i/>
          <w:lang w:val="es-ES"/>
        </w:rPr>
        <w:t xml:space="preserve">Violence Against Children in Tanzania: Findings from a National Survey 2009 </w:t>
      </w:r>
      <w:r w:rsidRPr="00B7033A">
        <w:rPr>
          <w:lang w:val="es-ES"/>
        </w:rPr>
        <w:t>(</w:t>
      </w:r>
      <w:r w:rsidR="00F0647A">
        <w:rPr>
          <w:lang w:val="es-ES_tradnl"/>
        </w:rPr>
        <w:t>"</w:t>
      </w:r>
      <w:r w:rsidRPr="00B7033A">
        <w:rPr>
          <w:lang w:val="es-ES"/>
        </w:rPr>
        <w:t>Violencia contra los niños en Tanzanía: conclusiones de una encuesta nacional, 2009</w:t>
      </w:r>
      <w:r w:rsidR="00F0647A">
        <w:rPr>
          <w:lang w:val="es-ES_tradnl"/>
        </w:rPr>
        <w:t>"</w:t>
      </w:r>
      <w:r w:rsidRPr="00B7033A">
        <w:rPr>
          <w:lang w:val="es-ES"/>
        </w:rPr>
        <w:t>). Dar es Salaam: UNICEF/</w:t>
      </w:r>
      <w:r w:rsidRPr="00B7033A">
        <w:rPr>
          <w:i/>
          <w:lang w:val="es-ES"/>
        </w:rPr>
        <w:t>US Centre for Disease Control and Prevention</w:t>
      </w:r>
      <w:r w:rsidRPr="00B7033A">
        <w:rPr>
          <w:lang w:val="es-ES"/>
        </w:rPr>
        <w:t>/Universidad Muhimbili de Salud y Ciencias Afines, agosto de 2011.</w:t>
      </w:r>
    </w:p>
    <w:p w:rsidR="00151021" w:rsidRPr="002720D0" w:rsidRDefault="00010D95" w:rsidP="00BF070F">
      <w:pPr>
        <w:pStyle w:val="SingleTxtG"/>
        <w:jc w:val="left"/>
        <w:rPr>
          <w:lang w:val="es-ES_tradnl"/>
        </w:rPr>
      </w:pPr>
      <w:r w:rsidRPr="00662CEB">
        <w:rPr>
          <w:lang w:val="es-ES_tradnl"/>
        </w:rPr>
        <w:t xml:space="preserve">República Unida de Tanzanía, </w:t>
      </w:r>
      <w:r w:rsidRPr="00662CEB">
        <w:rPr>
          <w:i/>
          <w:lang w:val="es-ES_tradnl"/>
        </w:rPr>
        <w:t>Inspection Report for Children in Detention Facilities in Tanzania</w:t>
      </w:r>
      <w:r w:rsidRPr="00662CEB">
        <w:rPr>
          <w:lang w:val="es-ES_tradnl"/>
        </w:rPr>
        <w:t xml:space="preserve"> (</w:t>
      </w:r>
      <w:r w:rsidR="00F0647A">
        <w:rPr>
          <w:lang w:val="es-ES_tradnl"/>
        </w:rPr>
        <w:t>"</w:t>
      </w:r>
      <w:r w:rsidRPr="00662CEB">
        <w:rPr>
          <w:lang w:val="es-ES_tradnl"/>
        </w:rPr>
        <w:t>Informe de inspección relativo a los niños en las instalaciones de detención de Tanzanía</w:t>
      </w:r>
      <w:r w:rsidR="00F0647A">
        <w:rPr>
          <w:lang w:val="es-ES_tradnl"/>
        </w:rPr>
        <w:t>"</w:t>
      </w:r>
      <w:r w:rsidRPr="00662CEB">
        <w:rPr>
          <w:lang w:val="es-ES_tradnl"/>
        </w:rPr>
        <w:t>). Dar es Salaam, Comisión de Derechos Humanos y Buen Gobierno, junio de 2011.</w:t>
      </w:r>
    </w:p>
    <w:p w:rsidR="00151021" w:rsidRPr="002720D0" w:rsidRDefault="00AE5091" w:rsidP="00BF070F">
      <w:pPr>
        <w:pStyle w:val="SingleTxtG"/>
        <w:jc w:val="left"/>
        <w:rPr>
          <w:lang w:val="es-ES_tradnl"/>
        </w:rPr>
      </w:pPr>
      <w:r>
        <w:rPr>
          <w:lang w:val="es-ES_tradnl"/>
        </w:rPr>
        <w:t>República Unida de Tanzanía</w:t>
      </w:r>
      <w:r w:rsidR="00151021" w:rsidRPr="002720D0">
        <w:rPr>
          <w:lang w:val="es-ES_tradnl"/>
        </w:rPr>
        <w:t xml:space="preserve">, </w:t>
      </w:r>
      <w:r w:rsidR="00151021" w:rsidRPr="002720D0">
        <w:rPr>
          <w:i/>
          <w:lang w:val="es-ES_tradnl"/>
        </w:rPr>
        <w:t>Analysis of the Situation for Children in Conflict with the Law</w:t>
      </w:r>
      <w:r w:rsidR="00010D95">
        <w:rPr>
          <w:lang w:val="es-ES_tradnl"/>
        </w:rPr>
        <w:t xml:space="preserve"> (</w:t>
      </w:r>
      <w:r w:rsidR="00F0647A">
        <w:rPr>
          <w:lang w:val="es-ES_tradnl"/>
        </w:rPr>
        <w:t>"</w:t>
      </w:r>
      <w:r w:rsidR="00010D95">
        <w:rPr>
          <w:lang w:val="es-ES_tradnl"/>
        </w:rPr>
        <w:t>Análisis de la situación de los niños en conflicto con la ley</w:t>
      </w:r>
      <w:r w:rsidR="00F0647A">
        <w:rPr>
          <w:lang w:val="es-ES_tradnl"/>
        </w:rPr>
        <w:t>"</w:t>
      </w:r>
      <w:r w:rsidR="00010D95">
        <w:rPr>
          <w:lang w:val="es-ES_tradnl"/>
        </w:rPr>
        <w:t>).</w:t>
      </w:r>
      <w:r w:rsidR="00151021" w:rsidRPr="002720D0">
        <w:rPr>
          <w:lang w:val="es-ES_tradnl"/>
        </w:rPr>
        <w:t xml:space="preserve"> </w:t>
      </w:r>
      <w:r w:rsidR="00782B12" w:rsidRPr="002720D0">
        <w:rPr>
          <w:lang w:val="es-ES_tradnl"/>
        </w:rPr>
        <w:t>Dar es Salaam</w:t>
      </w:r>
      <w:r w:rsidR="00151021" w:rsidRPr="002720D0">
        <w:rPr>
          <w:lang w:val="es-ES_tradnl"/>
        </w:rPr>
        <w:t>: Minist</w:t>
      </w:r>
      <w:r w:rsidR="00010D95">
        <w:rPr>
          <w:lang w:val="es-ES_tradnl"/>
        </w:rPr>
        <w:t>erio de Asuntos Constitucionales y de Justicia/UNICEF, julio de</w:t>
      </w:r>
      <w:r w:rsidR="00151021" w:rsidRPr="002720D0">
        <w:rPr>
          <w:lang w:val="es-ES_tradnl"/>
        </w:rPr>
        <w:t xml:space="preserve"> 2011.</w:t>
      </w:r>
    </w:p>
    <w:p w:rsidR="0043130F" w:rsidRPr="00305729" w:rsidRDefault="00305729" w:rsidP="00305729">
      <w:pPr>
        <w:spacing w:before="240"/>
        <w:jc w:val="center"/>
        <w:rPr>
          <w:u w:val="single"/>
        </w:rPr>
      </w:pPr>
      <w:r>
        <w:rPr>
          <w:u w:val="single"/>
        </w:rPr>
        <w:tab/>
      </w:r>
      <w:r>
        <w:rPr>
          <w:u w:val="single"/>
        </w:rPr>
        <w:tab/>
      </w:r>
      <w:r>
        <w:rPr>
          <w:u w:val="single"/>
        </w:rPr>
        <w:tab/>
      </w:r>
    </w:p>
    <w:sectPr w:rsidR="0043130F" w:rsidRPr="00305729" w:rsidSect="0028772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94" w:rsidRDefault="00417594"/>
  </w:endnote>
  <w:endnote w:type="continuationSeparator" w:id="0">
    <w:p w:rsidR="00417594" w:rsidRDefault="00417594"/>
  </w:endnote>
  <w:endnote w:type="continuationNotice" w:id="1">
    <w:p w:rsidR="00417594" w:rsidRDefault="004175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ZapfHumnst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3A" w:rsidRPr="0028772E" w:rsidRDefault="007A7B3A" w:rsidP="0028772E">
    <w:pPr>
      <w:pStyle w:val="Footer"/>
      <w:tabs>
        <w:tab w:val="right" w:pos="9638"/>
      </w:tabs>
    </w:pPr>
    <w:r w:rsidRPr="0028772E">
      <w:rPr>
        <w:b/>
        <w:sz w:val="18"/>
      </w:rPr>
      <w:fldChar w:fldCharType="begin"/>
    </w:r>
    <w:r w:rsidRPr="0028772E">
      <w:rPr>
        <w:b/>
        <w:sz w:val="18"/>
      </w:rPr>
      <w:instrText xml:space="preserve"> </w:instrText>
    </w:r>
    <w:r>
      <w:rPr>
        <w:b/>
        <w:sz w:val="18"/>
      </w:rPr>
      <w:instrText>PAGE</w:instrText>
    </w:r>
    <w:r w:rsidRPr="0028772E">
      <w:rPr>
        <w:b/>
        <w:sz w:val="18"/>
      </w:rPr>
      <w:instrText xml:space="preserve">  \* MERGEFORMAT </w:instrText>
    </w:r>
    <w:r w:rsidRPr="0028772E">
      <w:rPr>
        <w:b/>
        <w:sz w:val="18"/>
      </w:rPr>
      <w:fldChar w:fldCharType="separate"/>
    </w:r>
    <w:r w:rsidR="00371E57">
      <w:rPr>
        <w:b/>
        <w:noProof/>
        <w:sz w:val="18"/>
      </w:rPr>
      <w:t>62</w:t>
    </w:r>
    <w:r w:rsidRPr="0028772E">
      <w:rPr>
        <w:b/>
        <w:sz w:val="18"/>
      </w:rPr>
      <w:fldChar w:fldCharType="end"/>
    </w:r>
    <w:r>
      <w:rPr>
        <w:sz w:val="18"/>
      </w:rPr>
      <w:tab/>
    </w:r>
    <w:r>
      <w:t>GE.13-48221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3A" w:rsidRPr="0028772E" w:rsidRDefault="007A7B3A" w:rsidP="0028772E">
    <w:pPr>
      <w:pStyle w:val="Footer"/>
      <w:tabs>
        <w:tab w:val="right" w:pos="9638"/>
      </w:tabs>
      <w:rPr>
        <w:b/>
        <w:sz w:val="18"/>
      </w:rPr>
    </w:pPr>
    <w:r>
      <w:t>GE.13-48221  (EXT)</w:t>
    </w:r>
    <w:r>
      <w:tab/>
    </w:r>
    <w:r w:rsidRPr="0028772E">
      <w:rPr>
        <w:b/>
        <w:sz w:val="18"/>
      </w:rPr>
      <w:fldChar w:fldCharType="begin"/>
    </w:r>
    <w:r w:rsidRPr="0028772E">
      <w:rPr>
        <w:b/>
        <w:sz w:val="18"/>
      </w:rPr>
      <w:instrText xml:space="preserve"> </w:instrText>
    </w:r>
    <w:r>
      <w:rPr>
        <w:b/>
        <w:sz w:val="18"/>
      </w:rPr>
      <w:instrText>PAGE</w:instrText>
    </w:r>
    <w:r w:rsidRPr="0028772E">
      <w:rPr>
        <w:b/>
        <w:sz w:val="18"/>
      </w:rPr>
      <w:instrText xml:space="preserve">  \* MERGEFORMAT </w:instrText>
    </w:r>
    <w:r w:rsidRPr="0028772E">
      <w:rPr>
        <w:b/>
        <w:sz w:val="18"/>
      </w:rPr>
      <w:fldChar w:fldCharType="separate"/>
    </w:r>
    <w:r w:rsidR="00371E57">
      <w:rPr>
        <w:b/>
        <w:noProof/>
        <w:sz w:val="18"/>
      </w:rPr>
      <w:t>61</w:t>
    </w:r>
    <w:r w:rsidRPr="0028772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3A" w:rsidRPr="0028772E" w:rsidRDefault="007A7B3A" w:rsidP="007A7B3A">
    <w:pPr>
      <w:tabs>
        <w:tab w:val="right" w:pos="9638"/>
      </w:tabs>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0.15pt;margin-top:651.95pt;width:85.5pt;height:18pt;z-index:1;mso-position-horizontal-relative:margin;mso-position-vertical-relative:margin" wrapcoords="-189 0 -189 20700 21600 20700 21600 0 -189 0" filled="t">
          <v:imagedata r:id="rId1" o:title="recycle_Spanish"/>
          <w10:wrap anchorx="margin" anchory="margin"/>
          <w10:anchorlock/>
        </v:shape>
      </w:pict>
    </w:r>
    <w:r>
      <w:t>GE.13-48221  (EXT)</w:t>
    </w:r>
    <w:r>
      <w:br/>
    </w:r>
    <w:r w:rsidRPr="007A7B3A">
      <w:rPr>
        <w:rFonts w:ascii="C39T30Lfz" w:hAnsi="C39T30Lfz"/>
        <w:sz w:val="56"/>
      </w:rPr>
      <w:t></w:t>
    </w:r>
    <w:r w:rsidRPr="007A7B3A">
      <w:rPr>
        <w:rFonts w:ascii="C39T30Lfz" w:hAnsi="C39T30Lfz"/>
        <w:sz w:val="56"/>
      </w:rPr>
      <w:t></w:t>
    </w:r>
    <w:r w:rsidRPr="007A7B3A">
      <w:rPr>
        <w:rFonts w:ascii="C39T30Lfz" w:hAnsi="C39T30Lfz"/>
        <w:sz w:val="56"/>
      </w:rPr>
      <w:t></w:t>
    </w:r>
    <w:r w:rsidRPr="007A7B3A">
      <w:rPr>
        <w:rFonts w:ascii="C39T30Lfz" w:hAnsi="C39T30Lfz"/>
        <w:sz w:val="56"/>
      </w:rPr>
      <w:t></w:t>
    </w:r>
    <w:r w:rsidRPr="007A7B3A">
      <w:rPr>
        <w:rFonts w:ascii="C39T30Lfz" w:hAnsi="C39T30Lfz"/>
        <w:sz w:val="56"/>
      </w:rPr>
      <w:t></w:t>
    </w:r>
    <w:r w:rsidRPr="007A7B3A">
      <w:rPr>
        <w:rFonts w:ascii="C39T30Lfz" w:hAnsi="C39T30Lfz"/>
        <w:sz w:val="56"/>
      </w:rPr>
      <w:t></w:t>
    </w:r>
    <w:r w:rsidRPr="007A7B3A">
      <w:rPr>
        <w:rFonts w:ascii="C39T30Lfz" w:hAnsi="C39T30Lfz"/>
        <w:sz w:val="56"/>
      </w:rPr>
      <w:t></w:t>
    </w:r>
    <w:r w:rsidRPr="007A7B3A">
      <w:rPr>
        <w:rFonts w:ascii="C39T30Lfz" w:hAnsi="C39T30Lfz"/>
        <w:sz w:val="56"/>
      </w:rPr>
      <w:t></w:t>
    </w:r>
    <w:r w:rsidRPr="007A7B3A">
      <w:rPr>
        <w:rFonts w:ascii="C39T30Lfz" w:hAnsi="C39T30Lfz"/>
        <w:sz w:val="56"/>
      </w:rPr>
      <w:t></w:t>
    </w:r>
    <w:r>
      <w:rPr>
        <w:rFonts w:ascii="C39T30Lfz" w:hAnsi="C39T30Lfz"/>
        <w:sz w:val="56"/>
      </w:rPr>
      <w:tab/>
    </w:r>
    <w:r>
      <w:rPr>
        <w:noProof/>
        <w:lang w:val="en-US"/>
      </w:rPr>
      <w:pict>
        <v:shape id="_x0000_s2054" type="#_x0000_t75" style="position:absolute;margin-left:433.7pt;margin-top:616.5pt;width:50.25pt;height:50.25pt;z-index:2;mso-position-horizontal-relative:margin;mso-position-vertical-relative:margin" filled="t">
          <v:imagedata r:id="rId2" o:title="3-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94" w:rsidRPr="000B175B" w:rsidRDefault="00417594" w:rsidP="000B175B">
      <w:pPr>
        <w:tabs>
          <w:tab w:val="right" w:pos="2155"/>
        </w:tabs>
        <w:spacing w:after="80"/>
        <w:ind w:left="680"/>
        <w:rPr>
          <w:u w:val="single"/>
        </w:rPr>
      </w:pPr>
      <w:r>
        <w:rPr>
          <w:u w:val="single"/>
        </w:rPr>
        <w:tab/>
      </w:r>
    </w:p>
  </w:footnote>
  <w:footnote w:type="continuationSeparator" w:id="0">
    <w:p w:rsidR="00417594" w:rsidRPr="00FC68B7" w:rsidRDefault="00417594" w:rsidP="00FC68B7">
      <w:pPr>
        <w:tabs>
          <w:tab w:val="left" w:pos="2155"/>
        </w:tabs>
        <w:spacing w:after="80"/>
        <w:ind w:left="680"/>
        <w:rPr>
          <w:u w:val="single"/>
        </w:rPr>
      </w:pPr>
      <w:r>
        <w:rPr>
          <w:u w:val="single"/>
        </w:rPr>
        <w:tab/>
      </w:r>
    </w:p>
  </w:footnote>
  <w:footnote w:type="continuationNotice" w:id="1">
    <w:p w:rsidR="00417594" w:rsidRDefault="00417594"/>
  </w:footnote>
  <w:footnote w:id="2">
    <w:p w:rsidR="007A7B3A" w:rsidRPr="00B7033A" w:rsidRDefault="007A7B3A">
      <w:pPr>
        <w:pStyle w:val="FootnoteText"/>
        <w:rPr>
          <w:lang w:val="es-ES"/>
        </w:rPr>
      </w:pPr>
      <w:r>
        <w:tab/>
      </w:r>
      <w:r w:rsidRPr="00B7033A">
        <w:rPr>
          <w:rStyle w:val="FootnoteReference"/>
          <w:sz w:val="20"/>
          <w:vertAlign w:val="baseline"/>
          <w:lang w:val="es-ES"/>
        </w:rPr>
        <w:t>*</w:t>
      </w:r>
      <w:r w:rsidRPr="00B7033A">
        <w:rPr>
          <w:sz w:val="20"/>
          <w:lang w:val="es-ES"/>
        </w:rPr>
        <w:tab/>
      </w:r>
      <w:r w:rsidRPr="00E369B9">
        <w:rPr>
          <w:snapToGrid w:val="0"/>
          <w:szCs w:val="18"/>
          <w:lang w:val="es-ES_tradnl"/>
        </w:rPr>
        <w:t>De conformidad con la información transmitida a los Estados partes acerca de la publicación de sus informes, el presente documento no fu</w:t>
      </w:r>
      <w:r>
        <w:rPr>
          <w:snapToGrid w:val="0"/>
          <w:szCs w:val="18"/>
          <w:lang w:val="es-ES_tradnl"/>
        </w:rPr>
        <w:t>e objeto de revisión editorial.</w:t>
      </w:r>
    </w:p>
  </w:footnote>
  <w:footnote w:id="3">
    <w:p w:rsidR="007A7B3A" w:rsidRPr="00A01A0C" w:rsidRDefault="007A7B3A">
      <w:pPr>
        <w:pStyle w:val="FootnoteText"/>
        <w:rPr>
          <w:sz w:val="20"/>
          <w:lang w:val="es-ES"/>
        </w:rPr>
      </w:pPr>
      <w:r w:rsidRPr="00C45FCB">
        <w:rPr>
          <w:lang w:val="es-ES"/>
        </w:rPr>
        <w:tab/>
      </w:r>
      <w:r w:rsidRPr="00A01A0C">
        <w:rPr>
          <w:rStyle w:val="FootnoteReference"/>
          <w:sz w:val="20"/>
          <w:vertAlign w:val="baseline"/>
          <w:lang w:val="es-ES"/>
        </w:rPr>
        <w:t>**</w:t>
      </w:r>
      <w:r w:rsidRPr="00A01A0C">
        <w:rPr>
          <w:lang w:val="es-ES"/>
        </w:rPr>
        <w:tab/>
      </w:r>
      <w:r w:rsidRPr="0074022F">
        <w:rPr>
          <w:szCs w:val="18"/>
          <w:lang w:val="es-ES_tradnl"/>
        </w:rPr>
        <w:t>El anexo puede consultarse en los archivos de la Secretaría.</w:t>
      </w:r>
    </w:p>
  </w:footnote>
  <w:footnote w:id="4">
    <w:p w:rsidR="007A7B3A" w:rsidRPr="00B7033A" w:rsidRDefault="007A7B3A" w:rsidP="00302275">
      <w:pPr>
        <w:pStyle w:val="FootnoteText"/>
        <w:rPr>
          <w:lang w:val="es-ES"/>
        </w:rPr>
      </w:pPr>
      <w:r w:rsidRPr="00B7033A">
        <w:rPr>
          <w:lang w:val="es-ES"/>
        </w:rPr>
        <w:tab/>
      </w:r>
      <w:r w:rsidRPr="00153B23">
        <w:rPr>
          <w:rStyle w:val="FootnoteReference"/>
        </w:rPr>
        <w:footnoteRef/>
      </w:r>
      <w:r w:rsidRPr="00B7033A">
        <w:rPr>
          <w:lang w:val="es-ES"/>
        </w:rPr>
        <w:tab/>
      </w:r>
      <w:fldSimple w:instr=" FILLIN &quot;Symbol&quot; \* MERGEFORMAT ">
        <w:r w:rsidRPr="00B7033A">
          <w:rPr>
            <w:lang w:val="es-ES"/>
          </w:rPr>
          <w:t>CRC/C/TZA/CO/2</w:t>
        </w:r>
      </w:fldSimple>
      <w:r w:rsidRPr="00B7033A">
        <w:rPr>
          <w:lang w:val="es-ES"/>
        </w:rPr>
        <w:t xml:space="preserve">, fechado el </w:t>
      </w:r>
      <w:fldSimple w:instr=" FILLIN &quot;Date&quot; \* MERGEFORMAT ">
        <w:r w:rsidRPr="00B7033A">
          <w:rPr>
            <w:lang w:val="es-ES"/>
          </w:rPr>
          <w:t>21 de junio de 2006</w:t>
        </w:r>
      </w:fldSimple>
      <w:r w:rsidRPr="00B7033A">
        <w:rPr>
          <w:lang w:val="es-ES"/>
        </w:rPr>
        <w:t xml:space="preserve"> (párr. 74).</w:t>
      </w:r>
    </w:p>
  </w:footnote>
  <w:footnote w:id="5">
    <w:p w:rsidR="007A7B3A" w:rsidRPr="00B7033A" w:rsidRDefault="007A7B3A" w:rsidP="00302275">
      <w:pPr>
        <w:pStyle w:val="FootnoteText"/>
        <w:rPr>
          <w:lang w:val="es-ES"/>
        </w:rPr>
      </w:pPr>
      <w:r w:rsidRPr="00B7033A">
        <w:rPr>
          <w:lang w:val="es-ES"/>
        </w:rPr>
        <w:tab/>
      </w:r>
      <w:r w:rsidRPr="00153B23">
        <w:rPr>
          <w:rStyle w:val="FootnoteReference"/>
        </w:rPr>
        <w:footnoteRef/>
      </w:r>
      <w:r w:rsidRPr="00B7033A">
        <w:rPr>
          <w:lang w:val="es-ES"/>
        </w:rPr>
        <w:tab/>
        <w:t>HRI/GEN/2/Rev.6.</w:t>
      </w:r>
    </w:p>
  </w:footnote>
  <w:footnote w:id="6">
    <w:p w:rsidR="007A7B3A" w:rsidRPr="00B7033A" w:rsidRDefault="007A7B3A" w:rsidP="00302275">
      <w:pPr>
        <w:pStyle w:val="FootnoteText"/>
        <w:rPr>
          <w:lang w:val="es-ES"/>
        </w:rPr>
      </w:pPr>
      <w:r w:rsidRPr="00B7033A">
        <w:rPr>
          <w:lang w:val="es-ES"/>
        </w:rPr>
        <w:tab/>
      </w:r>
      <w:r w:rsidRPr="00153B23">
        <w:rPr>
          <w:rStyle w:val="FootnoteReference"/>
        </w:rPr>
        <w:footnoteRef/>
      </w:r>
      <w:r w:rsidRPr="00B7033A">
        <w:rPr>
          <w:lang w:val="es-ES"/>
        </w:rPr>
        <w:tab/>
        <w:t>Véase CRC/C/118.</w:t>
      </w:r>
    </w:p>
  </w:footnote>
  <w:footnote w:id="7">
    <w:p w:rsidR="007A7B3A" w:rsidRPr="006F03B7" w:rsidRDefault="007A7B3A" w:rsidP="009D6096">
      <w:pPr>
        <w:pStyle w:val="FootnoteText"/>
        <w:rPr>
          <w:lang w:val="es-ES_tradnl"/>
        </w:rPr>
      </w:pPr>
      <w:r w:rsidRPr="00B7033A">
        <w:rPr>
          <w:lang w:val="es-ES"/>
        </w:rPr>
        <w:tab/>
      </w:r>
      <w:r w:rsidRPr="006F03B7">
        <w:rPr>
          <w:rStyle w:val="FootnoteReference"/>
          <w:lang w:val="es-ES_tradnl"/>
        </w:rPr>
        <w:footnoteRef/>
      </w:r>
      <w:r w:rsidRPr="006F03B7">
        <w:rPr>
          <w:lang w:val="es-ES_tradnl"/>
        </w:rPr>
        <w:tab/>
        <w:t>Ley Nº 21 de 2009. El Parlamento aprobó esta ley el 4 de noviembre de 2011.</w:t>
      </w:r>
    </w:p>
  </w:footnote>
  <w:footnote w:id="8">
    <w:p w:rsidR="007A7B3A" w:rsidRPr="006F03B7" w:rsidRDefault="007A7B3A" w:rsidP="009D6096">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Ley Nº 6 de 2011. La Cámara de Representantes de Zanzíbar aprobó esta ley el 30 de marzo de 2011.</w:t>
      </w:r>
    </w:p>
  </w:footnote>
  <w:footnote w:id="9">
    <w:p w:rsidR="007A7B3A" w:rsidRPr="00B7033A" w:rsidRDefault="007A7B3A" w:rsidP="009D6096">
      <w:pPr>
        <w:pStyle w:val="FootnoteText"/>
        <w:rPr>
          <w:lang w:val="es-ES"/>
        </w:rPr>
      </w:pPr>
      <w:r w:rsidRPr="006F03B7">
        <w:rPr>
          <w:lang w:val="es-ES_tradnl"/>
        </w:rPr>
        <w:tab/>
      </w:r>
      <w:r w:rsidRPr="006F03B7">
        <w:rPr>
          <w:rStyle w:val="FootnoteReference"/>
          <w:lang w:val="es-ES_tradnl"/>
        </w:rPr>
        <w:footnoteRef/>
      </w:r>
      <w:r w:rsidRPr="006F03B7">
        <w:rPr>
          <w:lang w:val="es-ES_tradnl"/>
        </w:rPr>
        <w:tab/>
        <w:t>Artículo 160</w:t>
      </w:r>
      <w:r>
        <w:rPr>
          <w:lang w:val="es-ES_tradnl"/>
        </w:rPr>
        <w:t>, párrafo</w:t>
      </w:r>
      <w:r w:rsidRPr="006F03B7">
        <w:rPr>
          <w:lang w:val="es-ES_tradnl"/>
        </w:rPr>
        <w:t xml:space="preserve"> 1)</w:t>
      </w:r>
      <w:r>
        <w:rPr>
          <w:lang w:val="es-ES_tradnl"/>
        </w:rPr>
        <w:t>,</w:t>
      </w:r>
      <w:r w:rsidRPr="006F03B7">
        <w:rPr>
          <w:lang w:val="es-ES_tradnl"/>
        </w:rPr>
        <w:t xml:space="preserve"> de la Ley de la Infancia (2009).</w:t>
      </w:r>
    </w:p>
  </w:footnote>
  <w:footnote w:id="10">
    <w:p w:rsidR="007A7B3A" w:rsidRPr="006F03B7" w:rsidRDefault="007A7B3A" w:rsidP="00F96520">
      <w:pPr>
        <w:pStyle w:val="FootnoteText"/>
        <w:rPr>
          <w:lang w:val="es-ES_tradnl"/>
        </w:rPr>
      </w:pPr>
      <w:r w:rsidRPr="00B7033A">
        <w:rPr>
          <w:lang w:val="es-ES"/>
        </w:rPr>
        <w:tab/>
      </w:r>
      <w:r w:rsidRPr="006F03B7">
        <w:rPr>
          <w:rStyle w:val="FootnoteReference"/>
          <w:lang w:val="es-ES_tradnl"/>
        </w:rPr>
        <w:footnoteRef/>
      </w:r>
      <w:r w:rsidRPr="006F03B7">
        <w:rPr>
          <w:lang w:val="es-ES_tradnl"/>
        </w:rPr>
        <w:tab/>
        <w:t>Ley Nº 11 de 2005.</w:t>
      </w:r>
    </w:p>
  </w:footnote>
  <w:footnote w:id="11">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Ley Nº 9 de 2010.</w:t>
      </w:r>
    </w:p>
  </w:footnote>
  <w:footnote w:id="12">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Ley Nº 6 de 2008.</w:t>
      </w:r>
    </w:p>
  </w:footnote>
  <w:footnote w:id="13">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r>
      <w:r w:rsidRPr="00A925BF">
        <w:rPr>
          <w:i/>
          <w:lang w:val="es-ES_tradnl"/>
        </w:rPr>
        <w:t>Ibid.</w:t>
      </w:r>
      <w:r w:rsidRPr="006F03B7">
        <w:rPr>
          <w:lang w:val="es-ES_tradnl"/>
        </w:rPr>
        <w:t xml:space="preserve">, </w:t>
      </w:r>
      <w:r>
        <w:rPr>
          <w:lang w:val="es-ES_tradnl"/>
        </w:rPr>
        <w:t xml:space="preserve">art. </w:t>
      </w:r>
      <w:r w:rsidRPr="006F03B7">
        <w:rPr>
          <w:lang w:val="es-ES_tradnl"/>
        </w:rPr>
        <w:t>2</w:t>
      </w:r>
      <w:r>
        <w:rPr>
          <w:lang w:val="es-ES_tradnl"/>
        </w:rPr>
        <w:t>, párr.</w:t>
      </w:r>
      <w:r w:rsidRPr="006F03B7">
        <w:rPr>
          <w:lang w:val="es-ES_tradnl"/>
        </w:rPr>
        <w:t xml:space="preserve"> 1).</w:t>
      </w:r>
    </w:p>
  </w:footnote>
  <w:footnote w:id="14">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En el artículo 4 de esta ley se relacionan las instancias de trata de personas prohibidas por la Ley de Luc</w:t>
      </w:r>
      <w:r>
        <w:rPr>
          <w:lang w:val="es-ES_tradnl"/>
        </w:rPr>
        <w:t>ha contra la Trata de Personas.</w:t>
      </w:r>
    </w:p>
  </w:footnote>
  <w:footnote w:id="15">
    <w:p w:rsidR="007A7B3A" w:rsidRPr="00B7033A" w:rsidRDefault="007A7B3A" w:rsidP="00F96520">
      <w:pPr>
        <w:pStyle w:val="FootnoteText"/>
        <w:rPr>
          <w:lang w:val="es-ES"/>
        </w:rPr>
      </w:pPr>
      <w:r w:rsidRPr="006F03B7">
        <w:rPr>
          <w:lang w:val="es-ES_tradnl"/>
        </w:rPr>
        <w:tab/>
      </w:r>
      <w:r w:rsidRPr="006F03B7">
        <w:rPr>
          <w:rStyle w:val="FootnoteReference"/>
          <w:lang w:val="es-ES_tradnl"/>
        </w:rPr>
        <w:footnoteRef/>
      </w:r>
      <w:r w:rsidRPr="006F03B7">
        <w:rPr>
          <w:lang w:val="es-ES_tradnl"/>
        </w:rPr>
        <w:tab/>
        <w:t>Ley Nº 28 de 2008.</w:t>
      </w:r>
    </w:p>
  </w:footnote>
  <w:footnote w:id="16">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r>
      <w:r w:rsidRPr="006F03B7">
        <w:rPr>
          <w:lang w:val="es-ES_tradnl"/>
        </w:rPr>
        <w:t xml:space="preserve">Véase en particular </w:t>
      </w:r>
      <w:r w:rsidRPr="006F03B7">
        <w:rPr>
          <w:i/>
          <w:lang w:val="es-ES_tradnl"/>
        </w:rPr>
        <w:t>African Child Policy Forum on Wellbeing of African Children Report, Budgeting for Children, 2010</w:t>
      </w:r>
      <w:r w:rsidRPr="006F03B7">
        <w:rPr>
          <w:lang w:val="es-ES_tradnl"/>
        </w:rPr>
        <w:t xml:space="preserve"> (</w:t>
      </w:r>
      <w:r>
        <w:rPr>
          <w:lang w:val="es-ES_tradnl"/>
        </w:rPr>
        <w:t>"</w:t>
      </w:r>
      <w:r w:rsidRPr="006F03B7">
        <w:rPr>
          <w:lang w:val="es-ES_tradnl"/>
        </w:rPr>
        <w:t>Foro sobre Política Infantil de África, Bienestar de los Niños de África, Presupuestación para la Infancia, 2010</w:t>
      </w:r>
      <w:r>
        <w:rPr>
          <w:lang w:val="es-ES_tradnl"/>
        </w:rPr>
        <w:t>"</w:t>
      </w:r>
      <w:r w:rsidRPr="006F03B7">
        <w:rPr>
          <w:lang w:val="es-ES_tradnl"/>
        </w:rPr>
        <w:t>).</w:t>
      </w:r>
    </w:p>
  </w:footnote>
  <w:footnote w:id="17">
    <w:p w:rsidR="007A7B3A" w:rsidRPr="006F03B7" w:rsidRDefault="007A7B3A" w:rsidP="00F96520">
      <w:pPr>
        <w:pStyle w:val="FootnoteText"/>
        <w:rPr>
          <w:lang w:val="es-ES_tradnl"/>
        </w:rPr>
      </w:pPr>
      <w:r w:rsidRPr="00B7033A">
        <w:rPr>
          <w:lang w:val="es-ES"/>
        </w:rPr>
        <w:tab/>
      </w:r>
      <w:r w:rsidRPr="006F03B7">
        <w:rPr>
          <w:rStyle w:val="FootnoteReference"/>
          <w:lang w:val="es-ES_tradnl"/>
        </w:rPr>
        <w:footnoteRef/>
      </w:r>
      <w:r w:rsidRPr="006F03B7">
        <w:rPr>
          <w:lang w:val="es-ES_tradnl"/>
        </w:rPr>
        <w:tab/>
        <w:t xml:space="preserve">Abreviatura de la frase en inglés, </w:t>
      </w:r>
      <w:r w:rsidRPr="006F03B7">
        <w:rPr>
          <w:i/>
          <w:lang w:val="es-ES_tradnl"/>
        </w:rPr>
        <w:t>Under 5 National Birth Registration System</w:t>
      </w:r>
      <w:r w:rsidRPr="006F03B7">
        <w:rPr>
          <w:lang w:val="es-ES_tradnl"/>
        </w:rPr>
        <w:t xml:space="preserve"> (</w:t>
      </w:r>
      <w:r>
        <w:rPr>
          <w:lang w:val="es-ES_tradnl"/>
        </w:rPr>
        <w:t>"</w:t>
      </w:r>
      <w:r w:rsidRPr="006F03B7">
        <w:rPr>
          <w:lang w:val="es-ES_tradnl"/>
        </w:rPr>
        <w:t>Sistema nacional de inscripción de nacimientos de los menores de 5 años</w:t>
      </w:r>
      <w:r>
        <w:rPr>
          <w:lang w:val="es-ES_tradnl"/>
        </w:rPr>
        <w:t>"</w:t>
      </w:r>
      <w:r w:rsidRPr="006F03B7">
        <w:rPr>
          <w:lang w:val="es-ES_tradnl"/>
        </w:rPr>
        <w:t xml:space="preserve">). Véase: República Unida de Tanzanía, </w:t>
      </w:r>
      <w:r w:rsidRPr="006F03B7">
        <w:rPr>
          <w:i/>
          <w:lang w:val="es-ES_tradnl"/>
        </w:rPr>
        <w:t>The Costed Operational Plan for the Implementation of the U5NBRS</w:t>
      </w:r>
      <w:r>
        <w:rPr>
          <w:lang w:val="es-ES_tradnl"/>
        </w:rPr>
        <w:t xml:space="preserve"> ("</w:t>
      </w:r>
      <w:r w:rsidRPr="006F03B7">
        <w:rPr>
          <w:lang w:val="es-ES_tradnl"/>
        </w:rPr>
        <w:t>Plan operacional pres</w:t>
      </w:r>
      <w:r>
        <w:rPr>
          <w:lang w:val="es-ES_tradnl"/>
        </w:rPr>
        <w:t>upuestado para la aplicación de la iniciativa</w:t>
      </w:r>
      <w:r w:rsidRPr="006F03B7">
        <w:rPr>
          <w:lang w:val="es-ES_tradnl"/>
        </w:rPr>
        <w:t xml:space="preserve"> U5NBRS</w:t>
      </w:r>
      <w:r>
        <w:rPr>
          <w:lang w:val="es-ES_tradnl"/>
        </w:rPr>
        <w:t>"</w:t>
      </w:r>
      <w:r w:rsidRPr="006F03B7">
        <w:rPr>
          <w:lang w:val="es-ES_tradnl"/>
        </w:rPr>
        <w:t>). Dar es Salaam: Ministerio de Asuntos Constitucionales y de Justicia/Organismo de Registro, Insolvencia y Administración Fiduciaria (RITA), julio de 2011.</w:t>
      </w:r>
    </w:p>
  </w:footnote>
  <w:footnote w:id="18">
    <w:p w:rsidR="007A7B3A" w:rsidRPr="00B7033A" w:rsidRDefault="007A7B3A" w:rsidP="00F96520">
      <w:pPr>
        <w:pStyle w:val="FootnoteText"/>
        <w:rPr>
          <w:lang w:val="es-ES"/>
        </w:rPr>
      </w:pPr>
      <w:r w:rsidRPr="006F03B7">
        <w:rPr>
          <w:lang w:val="es-ES_tradnl"/>
        </w:rPr>
        <w:tab/>
      </w:r>
      <w:r w:rsidRPr="006F03B7">
        <w:rPr>
          <w:rStyle w:val="FootnoteReference"/>
          <w:lang w:val="es-ES_tradnl"/>
        </w:rPr>
        <w:footnoteRef/>
      </w:r>
      <w:r w:rsidRPr="006F03B7">
        <w:rPr>
          <w:lang w:val="es-ES_tradnl"/>
        </w:rPr>
        <w:tab/>
      </w:r>
      <w:r w:rsidRPr="00A925BF">
        <w:rPr>
          <w:i/>
          <w:lang w:val="es-ES_tradnl"/>
        </w:rPr>
        <w:t>Ibid.</w:t>
      </w:r>
      <w:r w:rsidRPr="006F03B7">
        <w:rPr>
          <w:lang w:val="es-ES_tradnl"/>
        </w:rPr>
        <w:t>, pág. 3.</w:t>
      </w:r>
    </w:p>
  </w:footnote>
  <w:footnote w:id="19">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 xml:space="preserve">Entre estas ONG se cuentan el centro para niños de la calle </w:t>
      </w:r>
      <w:r w:rsidRPr="00B7033A">
        <w:rPr>
          <w:i/>
          <w:lang w:val="es-ES"/>
        </w:rPr>
        <w:t>Mkombozi Centre for Street Children</w:t>
      </w:r>
      <w:r w:rsidRPr="00B7033A">
        <w:rPr>
          <w:lang w:val="es-ES"/>
        </w:rPr>
        <w:t xml:space="preserve">, el </w:t>
      </w:r>
      <w:r w:rsidRPr="00B7033A">
        <w:rPr>
          <w:i/>
          <w:lang w:val="es-ES"/>
        </w:rPr>
        <w:t>Legal and Human Rights Centre</w:t>
      </w:r>
      <w:r w:rsidRPr="00B7033A">
        <w:rPr>
          <w:lang w:val="es-ES"/>
        </w:rPr>
        <w:t xml:space="preserve">, NOLA y el centro para niños de la calle </w:t>
      </w:r>
      <w:r w:rsidRPr="00B7033A">
        <w:rPr>
          <w:i/>
          <w:lang w:val="es-ES"/>
        </w:rPr>
        <w:t>Dogodogo Centre for Street Children</w:t>
      </w:r>
      <w:r w:rsidRPr="00B7033A">
        <w:rPr>
          <w:lang w:val="es-ES"/>
        </w:rPr>
        <w:t xml:space="preserve">, en Tanzanía continental; y </w:t>
      </w:r>
      <w:r w:rsidRPr="00B7033A">
        <w:rPr>
          <w:i/>
          <w:lang w:val="es-ES"/>
        </w:rPr>
        <w:t>ZAYEDESA, ZAFELA, ZLSC, ZACA, ZAPHA+</w:t>
      </w:r>
      <w:r w:rsidRPr="00B7033A">
        <w:rPr>
          <w:lang w:val="es-ES"/>
        </w:rPr>
        <w:t xml:space="preserve"> y el foro de la juventud </w:t>
      </w:r>
      <w:r w:rsidRPr="00B7033A">
        <w:rPr>
          <w:i/>
          <w:lang w:val="es-ES"/>
        </w:rPr>
        <w:t>Zanzibar Youth Forum</w:t>
      </w:r>
      <w:r w:rsidRPr="00B7033A">
        <w:rPr>
          <w:lang w:val="es-ES"/>
        </w:rPr>
        <w:t>, en Zanzíbar.</w:t>
      </w:r>
    </w:p>
  </w:footnote>
  <w:footnote w:id="20">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Véanse el artículo 2 de la Ley del Niño de Zanzíbar (2011) y el artículo 4, párrafo 1), de la Ley de la Infancia (2009).</w:t>
      </w:r>
    </w:p>
  </w:footnote>
  <w:footnote w:id="21">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Véanse en particular el artículo 5 de la Ley de la Infancia (2009) y la sección 6 de la Ley del Niño de Zanzíbar (2011).</w:t>
      </w:r>
    </w:p>
  </w:footnote>
  <w:footnote w:id="22">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 xml:space="preserve">Véanse en particular la sección 12 de la Constitución de Zanzíbar (1984) y la sección 13 de la Constitución de la República Unida de Tanzanía (1977). </w:t>
      </w:r>
    </w:p>
  </w:footnote>
  <w:footnote w:id="23">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Sección 29 E.R. 2002.</w:t>
      </w:r>
    </w:p>
  </w:footnote>
  <w:footnote w:id="24">
    <w:p w:rsidR="007A7B3A" w:rsidRPr="006F03B7" w:rsidRDefault="007A7B3A" w:rsidP="009D6096">
      <w:pPr>
        <w:pStyle w:val="FootnoteText"/>
        <w:rPr>
          <w:lang w:val="es-ES_tradnl"/>
        </w:rPr>
      </w:pPr>
      <w:r w:rsidRPr="00B7033A">
        <w:rPr>
          <w:lang w:val="es-ES"/>
        </w:rPr>
        <w:tab/>
      </w:r>
      <w:r w:rsidRPr="006F03B7">
        <w:rPr>
          <w:rStyle w:val="FootnoteReference"/>
          <w:lang w:val="es-ES_tradnl"/>
        </w:rPr>
        <w:footnoteRef/>
      </w:r>
      <w:r w:rsidRPr="006F03B7">
        <w:rPr>
          <w:lang w:val="es-ES_tradnl"/>
        </w:rPr>
        <w:tab/>
        <w:t>[1988] TLR 96.</w:t>
      </w:r>
    </w:p>
  </w:footnote>
  <w:footnote w:id="25">
    <w:p w:rsidR="007A7B3A" w:rsidRPr="006F03B7" w:rsidRDefault="007A7B3A" w:rsidP="009D6096">
      <w:pPr>
        <w:pStyle w:val="FootnoteText"/>
        <w:rPr>
          <w:lang w:val="es-ES_tradnl"/>
        </w:rPr>
      </w:pPr>
      <w:r w:rsidRPr="006F03B7">
        <w:rPr>
          <w:lang w:val="es-ES_tradnl"/>
        </w:rPr>
        <w:tab/>
      </w:r>
      <w:r w:rsidRPr="006F03B7">
        <w:rPr>
          <w:rStyle w:val="FootnoteReference"/>
          <w:rFonts w:eastAsia="SimHei"/>
          <w:lang w:val="es-ES_tradnl"/>
        </w:rPr>
        <w:footnoteRef/>
      </w:r>
      <w:r w:rsidRPr="006F03B7">
        <w:rPr>
          <w:lang w:val="es-ES_tradnl"/>
        </w:rPr>
        <w:tab/>
        <w:t>[1987] TLR 147.</w:t>
      </w:r>
    </w:p>
  </w:footnote>
  <w:footnote w:id="26">
    <w:p w:rsidR="007A7B3A" w:rsidRPr="006F03B7" w:rsidRDefault="007A7B3A" w:rsidP="009D6096">
      <w:pPr>
        <w:pStyle w:val="FootnoteText"/>
        <w:rPr>
          <w:lang w:val="es-ES_tradnl"/>
        </w:rPr>
      </w:pPr>
      <w:r w:rsidRPr="006F03B7">
        <w:rPr>
          <w:lang w:val="es-ES_tradnl"/>
        </w:rPr>
        <w:tab/>
      </w:r>
      <w:r w:rsidRPr="006F03B7">
        <w:rPr>
          <w:rStyle w:val="FootnoteReference"/>
          <w:rFonts w:eastAsia="SimHei"/>
          <w:lang w:val="es-ES_tradnl"/>
        </w:rPr>
        <w:footnoteRef/>
      </w:r>
      <w:r w:rsidRPr="006F03B7">
        <w:rPr>
          <w:lang w:val="es-ES_tradnl"/>
        </w:rPr>
        <w:tab/>
        <w:t>[1985] TLR 7.</w:t>
      </w:r>
    </w:p>
  </w:footnote>
  <w:footnote w:id="27">
    <w:p w:rsidR="007A7B3A" w:rsidRPr="00B7033A" w:rsidRDefault="007A7B3A" w:rsidP="009D6096">
      <w:pPr>
        <w:pStyle w:val="FootnoteText"/>
        <w:rPr>
          <w:lang w:val="es-ES"/>
        </w:rPr>
      </w:pPr>
      <w:r w:rsidRPr="006F03B7">
        <w:rPr>
          <w:lang w:val="es-ES_tradnl"/>
        </w:rPr>
        <w:tab/>
      </w:r>
      <w:r w:rsidRPr="006F03B7">
        <w:rPr>
          <w:rStyle w:val="FootnoteReference"/>
          <w:rFonts w:eastAsia="SimHei"/>
          <w:lang w:val="es-ES_tradnl"/>
        </w:rPr>
        <w:footnoteRef/>
      </w:r>
      <w:r w:rsidRPr="006F03B7">
        <w:rPr>
          <w:lang w:val="es-ES_tradnl"/>
        </w:rPr>
        <w:tab/>
        <w:t>Tribunal Supremo de Tanzanía en Dar es Salaam, apelación Nº 6 de 2001 (no comunicado).</w:t>
      </w:r>
      <w:r w:rsidRPr="00B7033A">
        <w:rPr>
          <w:lang w:val="es-ES"/>
        </w:rPr>
        <w:t xml:space="preserve"> </w:t>
      </w:r>
    </w:p>
  </w:footnote>
  <w:footnote w:id="28">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 xml:space="preserve">Véase en particular: Gobierno Revolucionario de Zanzíbar, </w:t>
      </w:r>
      <w:r w:rsidRPr="00B7033A">
        <w:rPr>
          <w:i/>
          <w:lang w:val="es-ES"/>
        </w:rPr>
        <w:t>Capturing Children</w:t>
      </w:r>
      <w:r w:rsidRPr="00C219B3">
        <w:rPr>
          <w:i/>
          <w:lang w:val="es-ES"/>
        </w:rPr>
        <w:t>'</w:t>
      </w:r>
      <w:r w:rsidRPr="00B7033A">
        <w:rPr>
          <w:i/>
          <w:lang w:val="es-ES"/>
        </w:rPr>
        <w:t>s Views on the Children</w:t>
      </w:r>
      <w:r>
        <w:rPr>
          <w:i/>
          <w:lang w:val="es-ES"/>
        </w:rPr>
        <w:t>'</w:t>
      </w:r>
      <w:r w:rsidRPr="00B7033A">
        <w:rPr>
          <w:i/>
          <w:lang w:val="es-ES"/>
        </w:rPr>
        <w:t>s Bill 2010</w:t>
      </w:r>
      <w:r w:rsidRPr="00B7033A">
        <w:rPr>
          <w:lang w:val="es-ES"/>
        </w:rPr>
        <w:t xml:space="preserve"> (</w:t>
      </w:r>
      <w:r>
        <w:rPr>
          <w:lang w:val="es-ES_tradnl"/>
        </w:rPr>
        <w:t>"</w:t>
      </w:r>
      <w:r w:rsidRPr="00B7033A">
        <w:rPr>
          <w:lang w:val="es-ES"/>
        </w:rPr>
        <w:t>Captación de las opiniones de los niños sobre el proyecto de ley del niño 2010</w:t>
      </w:r>
      <w:r>
        <w:rPr>
          <w:lang w:val="es-ES_tradnl"/>
        </w:rPr>
        <w:t>"</w:t>
      </w:r>
      <w:r w:rsidRPr="00B7033A">
        <w:rPr>
          <w:lang w:val="es-ES"/>
        </w:rPr>
        <w:t xml:space="preserve">) Zanzíbar: Ministerio de Bienestar Social y de Desarrollo de la Juventud, la Mujer y el Niño/Save the Children, 2011. Este informe se elaboró en el contexto del Programa nacional de consultas a la infancia en Zanzíbar. </w:t>
      </w:r>
    </w:p>
  </w:footnote>
  <w:footnote w:id="29">
    <w:p w:rsidR="007A7B3A" w:rsidRPr="006F03B7" w:rsidRDefault="007A7B3A" w:rsidP="009D6096">
      <w:pPr>
        <w:pStyle w:val="FootnoteText"/>
        <w:rPr>
          <w:lang w:val="es-ES_tradnl"/>
        </w:rPr>
      </w:pPr>
      <w:r w:rsidRPr="00B7033A">
        <w:rPr>
          <w:lang w:val="es-ES"/>
        </w:rPr>
        <w:tab/>
      </w:r>
      <w:r w:rsidRPr="006F03B7">
        <w:rPr>
          <w:rStyle w:val="FootnoteReference"/>
          <w:lang w:val="es-ES_tradnl"/>
        </w:rPr>
        <w:footnoteRef/>
      </w:r>
      <w:r w:rsidRPr="006F03B7">
        <w:rPr>
          <w:lang w:val="es-ES_tradnl"/>
        </w:rPr>
        <w:tab/>
        <w:t>Sección 108 E.R. 2002.</w:t>
      </w:r>
    </w:p>
  </w:footnote>
  <w:footnote w:id="30">
    <w:p w:rsidR="007A7B3A" w:rsidRPr="006F03B7" w:rsidRDefault="007A7B3A" w:rsidP="009D6096">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Artículo 6</w:t>
      </w:r>
      <w:r>
        <w:rPr>
          <w:lang w:val="es-ES_tradnl"/>
        </w:rPr>
        <w:t>, párrafo</w:t>
      </w:r>
      <w:r w:rsidRPr="006F03B7">
        <w:rPr>
          <w:lang w:val="es-ES_tradnl"/>
        </w:rPr>
        <w:t xml:space="preserve"> 1)</w:t>
      </w:r>
      <w:r>
        <w:rPr>
          <w:lang w:val="es-ES_tradnl"/>
        </w:rPr>
        <w:t>,</w:t>
      </w:r>
      <w:r w:rsidRPr="006F03B7">
        <w:rPr>
          <w:lang w:val="es-ES_tradnl"/>
        </w:rPr>
        <w:t xml:space="preserve"> de la Ley de la Infancia (2009).</w:t>
      </w:r>
    </w:p>
  </w:footnote>
  <w:footnote w:id="31">
    <w:p w:rsidR="007A7B3A" w:rsidRPr="00B7033A" w:rsidRDefault="007A7B3A" w:rsidP="009D6096">
      <w:pPr>
        <w:pStyle w:val="FootnoteText"/>
        <w:rPr>
          <w:lang w:val="es-ES"/>
        </w:rPr>
      </w:pPr>
      <w:r w:rsidRPr="006F03B7">
        <w:rPr>
          <w:lang w:val="es-ES_tradnl"/>
        </w:rPr>
        <w:tab/>
      </w:r>
      <w:r w:rsidRPr="006F03B7">
        <w:rPr>
          <w:rStyle w:val="FootnoteReference"/>
          <w:lang w:val="es-ES_tradnl"/>
        </w:rPr>
        <w:footnoteRef/>
      </w:r>
      <w:r w:rsidRPr="006F03B7">
        <w:rPr>
          <w:lang w:val="es-ES_tradnl"/>
        </w:rPr>
        <w:tab/>
      </w:r>
      <w:r w:rsidRPr="00A925BF">
        <w:rPr>
          <w:i/>
          <w:lang w:val="es-ES_tradnl"/>
        </w:rPr>
        <w:t>Ibid.</w:t>
      </w:r>
      <w:r w:rsidRPr="006F03B7">
        <w:rPr>
          <w:lang w:val="es-ES_tradnl"/>
        </w:rPr>
        <w:t xml:space="preserve">, </w:t>
      </w:r>
      <w:r>
        <w:rPr>
          <w:lang w:val="es-ES_tradnl"/>
        </w:rPr>
        <w:t xml:space="preserve">art. </w:t>
      </w:r>
      <w:r w:rsidRPr="006F03B7">
        <w:rPr>
          <w:lang w:val="es-ES_tradnl"/>
        </w:rPr>
        <w:t>6</w:t>
      </w:r>
      <w:r>
        <w:rPr>
          <w:lang w:val="es-ES_tradnl"/>
        </w:rPr>
        <w:t>, párr.</w:t>
      </w:r>
      <w:r w:rsidRPr="006F03B7">
        <w:rPr>
          <w:lang w:val="es-ES_tradnl"/>
        </w:rPr>
        <w:t xml:space="preserve"> 2); y artículo 7 de la Ley del Niño de Zanzíbar (2011).</w:t>
      </w:r>
    </w:p>
  </w:footnote>
  <w:footnote w:id="32">
    <w:p w:rsidR="007A7B3A" w:rsidRPr="006F03B7" w:rsidRDefault="007A7B3A" w:rsidP="00F96520">
      <w:pPr>
        <w:pStyle w:val="FootnoteText"/>
        <w:rPr>
          <w:lang w:val="es-ES_tradnl"/>
        </w:rPr>
      </w:pPr>
      <w:r w:rsidRPr="00B7033A">
        <w:rPr>
          <w:lang w:val="es-ES"/>
        </w:rPr>
        <w:tab/>
      </w:r>
      <w:r w:rsidRPr="006F03B7">
        <w:rPr>
          <w:rStyle w:val="FootnoteReference"/>
          <w:lang w:val="es-ES_tradnl"/>
        </w:rPr>
        <w:footnoteRef/>
      </w:r>
      <w:r w:rsidRPr="006F03B7">
        <w:rPr>
          <w:lang w:val="es-ES_tradnl"/>
        </w:rPr>
        <w:tab/>
      </w:r>
      <w:r w:rsidRPr="00A925BF">
        <w:rPr>
          <w:i/>
          <w:lang w:val="es-ES_tradnl"/>
        </w:rPr>
        <w:t>Ibid.</w:t>
      </w:r>
      <w:r w:rsidRPr="006F03B7">
        <w:rPr>
          <w:lang w:val="es-ES_tradnl"/>
        </w:rPr>
        <w:t xml:space="preserve">, </w:t>
      </w:r>
      <w:r>
        <w:rPr>
          <w:lang w:val="es-ES_tradnl"/>
        </w:rPr>
        <w:t xml:space="preserve">art. </w:t>
      </w:r>
      <w:r w:rsidRPr="006F03B7">
        <w:rPr>
          <w:lang w:val="es-ES_tradnl"/>
        </w:rPr>
        <w:t>6</w:t>
      </w:r>
      <w:r>
        <w:rPr>
          <w:lang w:val="es-ES_tradnl"/>
        </w:rPr>
        <w:t>, párr.</w:t>
      </w:r>
      <w:r w:rsidRPr="006F03B7">
        <w:rPr>
          <w:lang w:val="es-ES_tradnl"/>
        </w:rPr>
        <w:t xml:space="preserve"> 3).</w:t>
      </w:r>
    </w:p>
  </w:footnote>
  <w:footnote w:id="33">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r>
      <w:r w:rsidRPr="006F03B7">
        <w:rPr>
          <w:i/>
          <w:lang w:val="es-ES_tradnl"/>
        </w:rPr>
        <w:t>U5BRI</w:t>
      </w:r>
      <w:r w:rsidRPr="006F03B7">
        <w:rPr>
          <w:lang w:val="es-ES_tradnl"/>
        </w:rPr>
        <w:t xml:space="preserve"> es la abreviatura en inglés para la Iniciativa de inscripción de nacimientos de los menores de 5 años. </w:t>
      </w:r>
    </w:p>
  </w:footnote>
  <w:footnote w:id="34">
    <w:p w:rsidR="007A7B3A" w:rsidRPr="00B7033A" w:rsidRDefault="007A7B3A" w:rsidP="00F96520">
      <w:pPr>
        <w:pStyle w:val="FootnoteText"/>
        <w:rPr>
          <w:lang w:val="es-ES"/>
        </w:rPr>
      </w:pPr>
      <w:r w:rsidRPr="006F03B7">
        <w:rPr>
          <w:lang w:val="es-ES_tradnl"/>
        </w:rPr>
        <w:tab/>
      </w:r>
      <w:r w:rsidRPr="006F03B7">
        <w:rPr>
          <w:rStyle w:val="FootnoteReference"/>
          <w:lang w:val="es-ES_tradnl"/>
        </w:rPr>
        <w:footnoteRef/>
      </w:r>
      <w:r w:rsidRPr="006F03B7">
        <w:rPr>
          <w:lang w:val="es-ES_tradnl"/>
        </w:rPr>
        <w:tab/>
        <w:t xml:space="preserve">Véase: República Unida de Tanzanía, </w:t>
      </w:r>
      <w:r w:rsidRPr="006F03B7">
        <w:rPr>
          <w:i/>
          <w:lang w:val="es-ES_tradnl"/>
        </w:rPr>
        <w:t>The Costed Operational Plan for the Implementation of the</w:t>
      </w:r>
      <w:r>
        <w:rPr>
          <w:i/>
          <w:lang w:val="es-ES_tradnl"/>
        </w:rPr>
        <w:t> </w:t>
      </w:r>
      <w:r w:rsidRPr="006F03B7">
        <w:rPr>
          <w:i/>
          <w:lang w:val="es-ES_tradnl"/>
        </w:rPr>
        <w:t>U5NBRS</w:t>
      </w:r>
      <w:r w:rsidRPr="006F03B7">
        <w:rPr>
          <w:lang w:val="es-ES_tradnl"/>
        </w:rPr>
        <w:t xml:space="preserve"> (</w:t>
      </w:r>
      <w:r>
        <w:rPr>
          <w:lang w:val="es-ES_tradnl"/>
        </w:rPr>
        <w:t>"</w:t>
      </w:r>
      <w:r w:rsidRPr="006F03B7">
        <w:rPr>
          <w:lang w:val="es-ES_tradnl"/>
        </w:rPr>
        <w:t>Plan operacional presupuestado para la aplicación de la iniciativa U5NBRS</w:t>
      </w:r>
      <w:r>
        <w:rPr>
          <w:lang w:val="es-ES_tradnl"/>
        </w:rPr>
        <w:t>"). Dar es </w:t>
      </w:r>
      <w:r w:rsidRPr="006F03B7">
        <w:rPr>
          <w:lang w:val="es-ES_tradnl"/>
        </w:rPr>
        <w:t>Salaam: Ministerio de Asuntos Constitucionales y de Justicia/RITA, julio de 2011.</w:t>
      </w:r>
    </w:p>
  </w:footnote>
  <w:footnote w:id="35">
    <w:p w:rsidR="007A7B3A" w:rsidRPr="006F03B7" w:rsidRDefault="007A7B3A" w:rsidP="00F96520">
      <w:pPr>
        <w:pStyle w:val="FootnoteText"/>
        <w:rPr>
          <w:lang w:val="es-ES_tradnl"/>
        </w:rPr>
      </w:pPr>
      <w:r w:rsidRPr="00B7033A">
        <w:rPr>
          <w:lang w:val="es-ES"/>
        </w:rPr>
        <w:tab/>
      </w:r>
      <w:r w:rsidRPr="006F03B7">
        <w:rPr>
          <w:rStyle w:val="FootnoteReference"/>
          <w:lang w:val="es-ES_tradnl"/>
        </w:rPr>
        <w:footnoteRef/>
      </w:r>
      <w:r w:rsidRPr="006F03B7">
        <w:rPr>
          <w:lang w:val="es-ES_tradnl"/>
        </w:rPr>
        <w:tab/>
        <w:t>Artículo 4 de la Ley de Interpretación de la Legislación, sección 1 E.R. 2002. En virtud del artículo 2</w:t>
      </w:r>
      <w:r>
        <w:rPr>
          <w:lang w:val="es-ES_tradnl"/>
        </w:rPr>
        <w:t>, párrafo</w:t>
      </w:r>
      <w:r w:rsidRPr="006F03B7">
        <w:rPr>
          <w:lang w:val="es-ES_tradnl"/>
        </w:rPr>
        <w:t xml:space="preserve"> 1), esta ley es de aplicación tanto en Tanzanía continental como en Tanzanía Zanzíbar en relación con toda la legislación vigente en la República Unida de Tanzanía en su conjunto. </w:t>
      </w:r>
    </w:p>
  </w:footnote>
  <w:footnote w:id="36">
    <w:p w:rsidR="007A7B3A" w:rsidRPr="006F03B7" w:rsidRDefault="007A7B3A" w:rsidP="00F96520">
      <w:pPr>
        <w:pStyle w:val="FootnoteText"/>
        <w:rPr>
          <w:lang w:val="es-ES_tradnl"/>
        </w:rPr>
      </w:pPr>
      <w:r w:rsidRPr="00B7033A">
        <w:rPr>
          <w:lang w:val="es-ES"/>
        </w:rPr>
        <w:tab/>
      </w:r>
      <w:r w:rsidRPr="006F03B7">
        <w:rPr>
          <w:rStyle w:val="FootnoteReference"/>
          <w:lang w:val="es-ES_tradnl"/>
        </w:rPr>
        <w:footnoteRef/>
      </w:r>
      <w:r w:rsidRPr="006F03B7">
        <w:rPr>
          <w:lang w:val="es-ES_tradnl"/>
        </w:rPr>
        <w:tab/>
        <w:t>Artículo 19 de la Constitución de la República Unida de Tanzanía (1977) y artículo 19</w:t>
      </w:r>
      <w:r>
        <w:rPr>
          <w:lang w:val="es-ES_tradnl"/>
        </w:rPr>
        <w:t>, párrafo</w:t>
      </w:r>
      <w:r w:rsidRPr="006F03B7">
        <w:rPr>
          <w:lang w:val="es-ES_tradnl"/>
        </w:rPr>
        <w:t xml:space="preserve"> 1)</w:t>
      </w:r>
      <w:r>
        <w:rPr>
          <w:lang w:val="es-ES_tradnl"/>
        </w:rPr>
        <w:t>,</w:t>
      </w:r>
      <w:r w:rsidRPr="006F03B7">
        <w:rPr>
          <w:lang w:val="es-ES_tradnl"/>
        </w:rPr>
        <w:t xml:space="preserve"> de la Constitución de Zanzíbar (1984).</w:t>
      </w:r>
    </w:p>
  </w:footnote>
  <w:footnote w:id="37">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Sección 16 E.R. 2002.</w:t>
      </w:r>
    </w:p>
  </w:footnote>
  <w:footnote w:id="38">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Apelación en materia penal Nº 53 de 2001 [2003] TAT 1, 14</w:t>
      </w:r>
      <w:r>
        <w:rPr>
          <w:lang w:val="es-ES_tradnl"/>
        </w:rPr>
        <w:t xml:space="preserve"> </w:t>
      </w:r>
      <w:r w:rsidRPr="006F03B7">
        <w:rPr>
          <w:lang w:val="es-ES_tradnl"/>
        </w:rPr>
        <w:t>de marzo de 2003.</w:t>
      </w:r>
    </w:p>
  </w:footnote>
  <w:footnote w:id="39">
    <w:p w:rsidR="007A7B3A" w:rsidRPr="00B7033A" w:rsidRDefault="007A7B3A" w:rsidP="00F96520">
      <w:pPr>
        <w:pStyle w:val="FootnoteText"/>
        <w:rPr>
          <w:lang w:val="es-ES"/>
        </w:rPr>
      </w:pPr>
      <w:r w:rsidRPr="006F03B7">
        <w:rPr>
          <w:lang w:val="es-ES_tradnl"/>
        </w:rPr>
        <w:tab/>
      </w:r>
      <w:r w:rsidRPr="006F03B7">
        <w:rPr>
          <w:rStyle w:val="FootnoteReference"/>
          <w:lang w:val="es-ES_tradnl"/>
        </w:rPr>
        <w:footnoteRef/>
      </w:r>
      <w:r w:rsidRPr="006F03B7">
        <w:rPr>
          <w:lang w:val="es-ES_tradnl"/>
        </w:rPr>
        <w:tab/>
        <w:t>Artículo 20 de la Constitución de la República Unida de Tanzanía (1977).</w:t>
      </w:r>
    </w:p>
  </w:footnote>
  <w:footnote w:id="40">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 xml:space="preserve">Véanse en particular la Constitución de Zanzíbar y el Artículo 16 de la Constitución de la República Unida de Tanzanía. </w:t>
      </w:r>
    </w:p>
  </w:footnote>
  <w:footnote w:id="41">
    <w:p w:rsidR="007A7B3A" w:rsidRPr="006F03B7" w:rsidRDefault="007A7B3A" w:rsidP="00F96520">
      <w:pPr>
        <w:pStyle w:val="FootnoteText"/>
        <w:rPr>
          <w:lang w:val="es-ES_tradnl"/>
        </w:rPr>
      </w:pPr>
      <w:r w:rsidRPr="00B7033A">
        <w:rPr>
          <w:lang w:val="es-ES"/>
        </w:rPr>
        <w:tab/>
      </w:r>
      <w:r w:rsidRPr="006F03B7">
        <w:rPr>
          <w:rStyle w:val="FootnoteReference"/>
          <w:lang w:val="es-ES_tradnl"/>
        </w:rPr>
        <w:footnoteRef/>
      </w:r>
      <w:r w:rsidRPr="006F03B7">
        <w:rPr>
          <w:lang w:val="es-ES_tradnl"/>
        </w:rPr>
        <w:tab/>
        <w:t xml:space="preserve">Véase en particular el artículo 12 de la Constitución de la República Unida. </w:t>
      </w:r>
    </w:p>
  </w:footnote>
  <w:footnote w:id="42">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 xml:space="preserve">Con arreglo al párrafo 3) del artículo 13 de la Ley de la Infancia, el término </w:t>
      </w:r>
      <w:r>
        <w:rPr>
          <w:lang w:val="es-ES_tradnl"/>
        </w:rPr>
        <w:t>"</w:t>
      </w:r>
      <w:r w:rsidRPr="006F03B7">
        <w:rPr>
          <w:lang w:val="es-ES_tradnl"/>
        </w:rPr>
        <w:t>trato degradante</w:t>
      </w:r>
      <w:r>
        <w:rPr>
          <w:lang w:val="es-ES_tradnl"/>
        </w:rPr>
        <w:t>"</w:t>
      </w:r>
      <w:r w:rsidRPr="006F03B7">
        <w:rPr>
          <w:lang w:val="es-ES_tradnl"/>
        </w:rPr>
        <w:t xml:space="preserve"> según se utiliza en este artículo </w:t>
      </w:r>
      <w:r>
        <w:rPr>
          <w:lang w:val="es-ES_tradnl"/>
        </w:rPr>
        <w:t>"</w:t>
      </w:r>
      <w:r w:rsidRPr="006F03B7">
        <w:rPr>
          <w:lang w:val="es-ES_tradnl"/>
        </w:rPr>
        <w:t>significa un acto cometido contra un niño con la intención de causarle humillación o de rebajar su dignidad</w:t>
      </w:r>
      <w:r>
        <w:rPr>
          <w:lang w:val="es-ES_tradnl"/>
        </w:rPr>
        <w:t>"</w:t>
      </w:r>
      <w:r w:rsidRPr="006F03B7">
        <w:rPr>
          <w:lang w:val="es-ES_tradnl"/>
        </w:rPr>
        <w:t xml:space="preserve">. </w:t>
      </w:r>
    </w:p>
  </w:footnote>
  <w:footnote w:id="43">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 xml:space="preserve">N.G. Nº 294 de 2002. </w:t>
      </w:r>
    </w:p>
  </w:footnote>
  <w:footnote w:id="44">
    <w:p w:rsidR="007A7B3A" w:rsidRPr="00B7033A" w:rsidRDefault="007A7B3A" w:rsidP="00F96520">
      <w:pPr>
        <w:pStyle w:val="FootnoteText"/>
        <w:rPr>
          <w:lang w:val="es-ES"/>
        </w:rPr>
      </w:pPr>
      <w:r w:rsidRPr="006F03B7">
        <w:rPr>
          <w:lang w:val="es-ES_tradnl"/>
        </w:rPr>
        <w:tab/>
      </w:r>
      <w:r w:rsidRPr="006F03B7">
        <w:rPr>
          <w:rStyle w:val="FootnoteReference"/>
          <w:lang w:val="es-ES_tradnl"/>
        </w:rPr>
        <w:footnoteRef/>
      </w:r>
      <w:r w:rsidRPr="006F03B7">
        <w:rPr>
          <w:lang w:val="es-ES_tradnl"/>
        </w:rPr>
        <w:tab/>
        <w:t>Sección 353 E.R. 2002.</w:t>
      </w:r>
    </w:p>
  </w:footnote>
  <w:footnote w:id="45">
    <w:p w:rsidR="007A7B3A" w:rsidRPr="006F03B7" w:rsidRDefault="007A7B3A" w:rsidP="00F96520">
      <w:pPr>
        <w:pStyle w:val="FootnoteText"/>
        <w:rPr>
          <w:lang w:val="es-ES_tradnl"/>
        </w:rPr>
      </w:pPr>
      <w:r w:rsidRPr="006F03B7">
        <w:rPr>
          <w:lang w:val="es-ES_tradnl"/>
        </w:rPr>
        <w:tab/>
      </w:r>
      <w:r w:rsidRPr="006F03B7">
        <w:rPr>
          <w:rStyle w:val="FootnoteReference"/>
          <w:lang w:val="es-ES_tradnl"/>
        </w:rPr>
        <w:footnoteRef/>
      </w:r>
      <w:r w:rsidRPr="006F03B7">
        <w:rPr>
          <w:lang w:val="es-ES_tradnl"/>
        </w:rPr>
        <w:tab/>
        <w:t xml:space="preserve">Regla 7 del Reglamento de educación (castigo físico). </w:t>
      </w:r>
    </w:p>
  </w:footnote>
  <w:footnote w:id="46">
    <w:p w:rsidR="007A7B3A" w:rsidRPr="00564559" w:rsidRDefault="007A7B3A" w:rsidP="00F96520">
      <w:pPr>
        <w:pStyle w:val="FootnoteText"/>
        <w:rPr>
          <w:lang w:val="es-ES_tradnl"/>
        </w:rPr>
      </w:pPr>
      <w:r w:rsidRPr="00B7033A">
        <w:rPr>
          <w:lang w:val="es-ES"/>
        </w:rPr>
        <w:tab/>
      </w:r>
      <w:r w:rsidRPr="00153B23">
        <w:rPr>
          <w:rStyle w:val="FootnoteReference"/>
        </w:rPr>
        <w:footnoteRef/>
      </w:r>
      <w:r w:rsidRPr="00B7033A">
        <w:rPr>
          <w:lang w:val="es-ES"/>
        </w:rPr>
        <w:tab/>
      </w:r>
      <w:r w:rsidRPr="00564559">
        <w:rPr>
          <w:lang w:val="es-ES_tradnl"/>
        </w:rPr>
        <w:t xml:space="preserve">Artículo 9, </w:t>
      </w:r>
      <w:r>
        <w:rPr>
          <w:lang w:val="es-ES_tradnl"/>
        </w:rPr>
        <w:t xml:space="preserve">párrafos </w:t>
      </w:r>
      <w:r w:rsidRPr="00564559">
        <w:rPr>
          <w:lang w:val="es-ES_tradnl"/>
        </w:rPr>
        <w:t xml:space="preserve">1) a 4), de la Ley de la Infancia (2009) y artículo 12, </w:t>
      </w:r>
      <w:r>
        <w:rPr>
          <w:lang w:val="es-ES_tradnl"/>
        </w:rPr>
        <w:t xml:space="preserve">párrafos </w:t>
      </w:r>
      <w:r w:rsidRPr="00564559">
        <w:rPr>
          <w:lang w:val="es-ES_tradnl"/>
        </w:rPr>
        <w:t>1) a 3), de la Ley del Niño de Zanzíbar (2011).</w:t>
      </w:r>
    </w:p>
  </w:footnote>
  <w:footnote w:id="47">
    <w:p w:rsidR="007A7B3A" w:rsidRPr="00B7033A" w:rsidRDefault="007A7B3A" w:rsidP="00F96520">
      <w:pPr>
        <w:pStyle w:val="FootnoteText"/>
        <w:rPr>
          <w:lang w:val="es-ES"/>
        </w:rPr>
      </w:pPr>
      <w:r w:rsidRPr="00564559">
        <w:rPr>
          <w:lang w:val="es-ES_tradnl"/>
        </w:rPr>
        <w:tab/>
      </w:r>
      <w:r w:rsidRPr="00564559">
        <w:rPr>
          <w:rStyle w:val="FootnoteReference"/>
          <w:lang w:val="es-ES_tradnl"/>
        </w:rPr>
        <w:footnoteRef/>
      </w:r>
      <w:r w:rsidRPr="00564559">
        <w:rPr>
          <w:lang w:val="es-ES_tradnl"/>
        </w:rPr>
        <w:tab/>
        <w:t xml:space="preserve">Gobierno Revolucionario de Zanzíbar, </w:t>
      </w:r>
      <w:r w:rsidRPr="00564559">
        <w:rPr>
          <w:i/>
          <w:lang w:val="es-ES_tradnl"/>
        </w:rPr>
        <w:t>Mkakati wa Kukuza Uchumi Zanzibar</w:t>
      </w:r>
      <w:r w:rsidRPr="00564559">
        <w:rPr>
          <w:lang w:val="es-ES_tradnl"/>
        </w:rPr>
        <w:t xml:space="preserve"> (MKUZA II), Objetivo 2.6.</w:t>
      </w:r>
    </w:p>
  </w:footnote>
  <w:footnote w:id="48">
    <w:p w:rsidR="007A7B3A" w:rsidRPr="00564559" w:rsidRDefault="007A7B3A" w:rsidP="00F96520">
      <w:pPr>
        <w:pStyle w:val="FootnoteText"/>
        <w:rPr>
          <w:lang w:val="es-ES_tradnl"/>
        </w:rPr>
      </w:pPr>
      <w:r w:rsidRPr="00B7033A">
        <w:rPr>
          <w:lang w:val="es-ES"/>
        </w:rPr>
        <w:tab/>
      </w:r>
      <w:r w:rsidRPr="00564559">
        <w:rPr>
          <w:rStyle w:val="FootnoteReference"/>
          <w:lang w:val="es-ES_tradnl"/>
        </w:rPr>
        <w:footnoteRef/>
      </w:r>
      <w:r w:rsidRPr="00564559">
        <w:rPr>
          <w:lang w:val="es-ES_tradnl"/>
        </w:rPr>
        <w:tab/>
        <w:t>Artículo 9</w:t>
      </w:r>
      <w:r>
        <w:rPr>
          <w:lang w:val="es-ES_tradnl"/>
        </w:rPr>
        <w:t>, párrafo</w:t>
      </w:r>
      <w:r w:rsidRPr="00564559">
        <w:rPr>
          <w:lang w:val="es-ES_tradnl"/>
        </w:rPr>
        <w:t xml:space="preserve"> 3)</w:t>
      </w:r>
      <w:r>
        <w:rPr>
          <w:lang w:val="es-ES_tradnl"/>
        </w:rPr>
        <w:t>,</w:t>
      </w:r>
      <w:r w:rsidRPr="00564559">
        <w:rPr>
          <w:lang w:val="es-ES_tradnl"/>
        </w:rPr>
        <w:t xml:space="preserve"> de la Ley de la Infancia (2009) y artículo 12</w:t>
      </w:r>
      <w:r>
        <w:rPr>
          <w:lang w:val="es-ES_tradnl"/>
        </w:rPr>
        <w:t>, párrafo</w:t>
      </w:r>
      <w:r w:rsidRPr="00564559">
        <w:rPr>
          <w:lang w:val="es-ES_tradnl"/>
        </w:rPr>
        <w:t xml:space="preserve"> 2)</w:t>
      </w:r>
      <w:r>
        <w:rPr>
          <w:lang w:val="es-ES_tradnl"/>
        </w:rPr>
        <w:t>,</w:t>
      </w:r>
      <w:r w:rsidRPr="00564559">
        <w:rPr>
          <w:lang w:val="es-ES_tradnl"/>
        </w:rPr>
        <w:t xml:space="preserve"> de la Ley del Niño de Zanzíbar (2011).</w:t>
      </w:r>
    </w:p>
  </w:footnote>
  <w:footnote w:id="49">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Artículo 94 de la Ley de la Infancia (2009) y artículo 10</w:t>
      </w:r>
      <w:r>
        <w:rPr>
          <w:lang w:val="es-ES_tradnl"/>
        </w:rPr>
        <w:t>, párrafo</w:t>
      </w:r>
      <w:r w:rsidRPr="00564559">
        <w:rPr>
          <w:lang w:val="es-ES_tradnl"/>
        </w:rPr>
        <w:t xml:space="preserve"> 3)</w:t>
      </w:r>
      <w:r>
        <w:rPr>
          <w:lang w:val="es-ES_tradnl"/>
        </w:rPr>
        <w:t>,</w:t>
      </w:r>
      <w:r w:rsidRPr="00564559">
        <w:rPr>
          <w:lang w:val="es-ES_tradnl"/>
        </w:rPr>
        <w:t xml:space="preserve"> de la Ley del Niño de Zanzíbar (2011).</w:t>
      </w:r>
    </w:p>
  </w:footnote>
  <w:footnote w:id="50">
    <w:p w:rsidR="007A7B3A" w:rsidRPr="00B7033A" w:rsidRDefault="007A7B3A" w:rsidP="00F96520">
      <w:pPr>
        <w:pStyle w:val="FootnoteText"/>
        <w:rPr>
          <w:lang w:val="es-ES"/>
        </w:rPr>
      </w:pPr>
      <w:r w:rsidRPr="00564559">
        <w:rPr>
          <w:lang w:val="es-ES_tradnl"/>
        </w:rPr>
        <w:tab/>
      </w:r>
      <w:r w:rsidRPr="00564559">
        <w:rPr>
          <w:rStyle w:val="FootnoteReference"/>
          <w:lang w:val="es-ES_tradnl"/>
        </w:rPr>
        <w:footnoteRef/>
      </w:r>
      <w:r>
        <w:rPr>
          <w:lang w:val="es-ES_tradnl"/>
        </w:rPr>
        <w:tab/>
        <w:t>República Unid</w:t>
      </w:r>
      <w:r w:rsidRPr="00564559">
        <w:rPr>
          <w:lang w:val="es-ES_tradnl"/>
        </w:rPr>
        <w:t xml:space="preserve">a de Tanzanía, </w:t>
      </w:r>
      <w:r w:rsidRPr="00564559">
        <w:rPr>
          <w:i/>
          <w:lang w:val="es-ES_tradnl"/>
        </w:rPr>
        <w:t>A Joint Report on Childhood Poverty in Tanzania: Deprivations and Disparities in Child Well-Being</w:t>
      </w:r>
      <w:r w:rsidRPr="00564559">
        <w:rPr>
          <w:lang w:val="es-ES_tradnl"/>
        </w:rPr>
        <w:t xml:space="preserve"> (</w:t>
      </w:r>
      <w:r>
        <w:rPr>
          <w:lang w:val="es-ES_tradnl"/>
        </w:rPr>
        <w:t>"</w:t>
      </w:r>
      <w:r w:rsidRPr="00564559">
        <w:rPr>
          <w:lang w:val="es-ES_tradnl"/>
        </w:rPr>
        <w:t>Informe conjunto sobre la pobreza infantil en Tanzanía: privaciones y disparidades en el bienestar de la infancia</w:t>
      </w:r>
      <w:r>
        <w:rPr>
          <w:lang w:val="es-ES_tradnl"/>
        </w:rPr>
        <w:t>"</w:t>
      </w:r>
      <w:r w:rsidRPr="00564559">
        <w:rPr>
          <w:lang w:val="es-ES_tradnl"/>
        </w:rPr>
        <w:t>). Dar es Salaam: REPOA, NBS y UNICEF, 2009.</w:t>
      </w:r>
    </w:p>
  </w:footnote>
  <w:footnote w:id="51">
    <w:p w:rsidR="007A7B3A" w:rsidRPr="00564559" w:rsidRDefault="007A7B3A" w:rsidP="00F96520">
      <w:pPr>
        <w:pStyle w:val="FootnoteText"/>
        <w:rPr>
          <w:lang w:val="es-ES_tradnl"/>
        </w:rPr>
      </w:pPr>
      <w:r w:rsidRPr="00B7033A">
        <w:rPr>
          <w:lang w:val="es-ES"/>
        </w:rPr>
        <w:tab/>
      </w:r>
      <w:r w:rsidRPr="00564559">
        <w:rPr>
          <w:rStyle w:val="FootnoteReference"/>
          <w:lang w:val="es-ES_tradnl"/>
        </w:rPr>
        <w:footnoteRef/>
      </w:r>
      <w:r w:rsidRPr="00564559">
        <w:rPr>
          <w:lang w:val="es-ES_tradnl"/>
        </w:rPr>
        <w:tab/>
        <w:t xml:space="preserve">Artículo 9 de la Ley del Niño de Zanzíbar y artículo 26 de la Ley de la Infancia. </w:t>
      </w:r>
    </w:p>
  </w:footnote>
  <w:footnote w:id="52">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 xml:space="preserve">Artículo </w:t>
      </w:r>
      <w:r w:rsidRPr="00564559">
        <w:rPr>
          <w:rFonts w:eastAsia="Calibri"/>
          <w:lang w:val="es-ES_tradnl"/>
        </w:rPr>
        <w:t>9</w:t>
      </w:r>
      <w:r>
        <w:rPr>
          <w:rFonts w:eastAsia="Calibri"/>
          <w:lang w:val="es-ES_tradnl"/>
        </w:rPr>
        <w:t>, párrafo</w:t>
      </w:r>
      <w:r w:rsidRPr="00564559">
        <w:rPr>
          <w:rFonts w:eastAsia="Calibri"/>
          <w:lang w:val="es-ES_tradnl"/>
        </w:rPr>
        <w:t xml:space="preserve"> 4)</w:t>
      </w:r>
      <w:r>
        <w:rPr>
          <w:rFonts w:eastAsia="Calibri"/>
          <w:lang w:val="es-ES_tradnl"/>
        </w:rPr>
        <w:t>,</w:t>
      </w:r>
      <w:r w:rsidRPr="00564559">
        <w:rPr>
          <w:rFonts w:eastAsia="Calibri"/>
          <w:lang w:val="es-ES_tradnl"/>
        </w:rPr>
        <w:t xml:space="preserve"> de la Ley del Niño de Zanzíbar. </w:t>
      </w:r>
    </w:p>
  </w:footnote>
  <w:footnote w:id="53">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Artículo 125</w:t>
      </w:r>
      <w:r>
        <w:rPr>
          <w:lang w:val="es-ES_tradnl"/>
        </w:rPr>
        <w:t>, párrafo</w:t>
      </w:r>
      <w:r w:rsidRPr="00564559">
        <w:rPr>
          <w:lang w:val="es-ES_tradnl"/>
        </w:rPr>
        <w:t xml:space="preserve"> 2)</w:t>
      </w:r>
      <w:r>
        <w:rPr>
          <w:lang w:val="es-ES_tradnl"/>
        </w:rPr>
        <w:t>,</w:t>
      </w:r>
      <w:r w:rsidRPr="00564559">
        <w:rPr>
          <w:lang w:val="es-ES_tradnl"/>
        </w:rPr>
        <w:t xml:space="preserve"> de la ley y artículo 26 de la Ley de la Infancia (2009). Véase también </w:t>
      </w:r>
      <w:r w:rsidRPr="00564559">
        <w:rPr>
          <w:i/>
          <w:lang w:val="es-ES_tradnl"/>
        </w:rPr>
        <w:t>Lugembe John</w:t>
      </w:r>
      <w:r>
        <w:rPr>
          <w:i/>
          <w:lang w:val="es-ES_tradnl"/>
        </w:rPr>
        <w:t>"</w:t>
      </w:r>
      <w:r w:rsidRPr="00564559">
        <w:rPr>
          <w:i/>
          <w:lang w:val="es-ES_tradnl"/>
        </w:rPr>
        <w:t xml:space="preserve"> Milembe Nyanda</w:t>
      </w:r>
      <w:r w:rsidRPr="00564559">
        <w:rPr>
          <w:lang w:val="es-ES_tradnl"/>
        </w:rPr>
        <w:t>, Tribunal Supremo de Tanzanía en Tabora, apelación en materia civil matrimonial Nº 2 de 1998 (no comunicado).</w:t>
      </w:r>
    </w:p>
  </w:footnote>
  <w:footnote w:id="54">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Artículo 26</w:t>
      </w:r>
      <w:r>
        <w:rPr>
          <w:lang w:val="es-ES_tradnl"/>
        </w:rPr>
        <w:t>, párrafo</w:t>
      </w:r>
      <w:r w:rsidRPr="00564559">
        <w:rPr>
          <w:lang w:val="es-ES_tradnl"/>
        </w:rPr>
        <w:t xml:space="preserve"> 2)</w:t>
      </w:r>
      <w:r>
        <w:rPr>
          <w:lang w:val="es-ES_tradnl"/>
        </w:rPr>
        <w:t>,</w:t>
      </w:r>
      <w:r w:rsidRPr="00564559">
        <w:rPr>
          <w:lang w:val="es-ES_tradnl"/>
        </w:rPr>
        <w:t xml:space="preserve"> de la Ley de la Infancia. </w:t>
      </w:r>
    </w:p>
  </w:footnote>
  <w:footnote w:id="55">
    <w:p w:rsidR="007A7B3A" w:rsidRPr="00564559" w:rsidRDefault="007A7B3A" w:rsidP="00F96520">
      <w:pPr>
        <w:pStyle w:val="FootnoteText"/>
        <w:rPr>
          <w:lang w:val="es-ES_tradnl"/>
        </w:rPr>
      </w:pPr>
      <w:r w:rsidRPr="00564559">
        <w:rPr>
          <w:lang w:val="es-ES_tradnl"/>
        </w:rPr>
        <w:tab/>
      </w:r>
      <w:r w:rsidRPr="00564559">
        <w:rPr>
          <w:rStyle w:val="FootnoteReference"/>
          <w:rFonts w:eastAsia="SimHei"/>
          <w:lang w:val="es-ES_tradnl"/>
        </w:rPr>
        <w:footnoteRef/>
      </w:r>
      <w:r w:rsidRPr="00564559">
        <w:rPr>
          <w:lang w:val="es-ES_tradnl"/>
        </w:rPr>
        <w:tab/>
        <w:t>Véase el artículo 39</w:t>
      </w:r>
      <w:r>
        <w:rPr>
          <w:lang w:val="es-ES_tradnl"/>
        </w:rPr>
        <w:t>, párrafo</w:t>
      </w:r>
      <w:r w:rsidRPr="00564559">
        <w:rPr>
          <w:lang w:val="es-ES_tradnl"/>
        </w:rPr>
        <w:t xml:space="preserve"> 1)</w:t>
      </w:r>
      <w:r>
        <w:rPr>
          <w:lang w:val="es-ES_tradnl"/>
        </w:rPr>
        <w:t>,</w:t>
      </w:r>
      <w:r w:rsidRPr="00564559">
        <w:rPr>
          <w:lang w:val="es-ES_tradnl"/>
        </w:rPr>
        <w:t xml:space="preserve"> de la Ley de la Infancia. </w:t>
      </w:r>
    </w:p>
  </w:footnote>
  <w:footnote w:id="56">
    <w:p w:rsidR="007A7B3A" w:rsidRPr="00B7033A" w:rsidRDefault="007A7B3A" w:rsidP="00F96520">
      <w:pPr>
        <w:pStyle w:val="FootnoteText"/>
        <w:rPr>
          <w:lang w:val="es-ES"/>
        </w:rPr>
      </w:pPr>
      <w:r w:rsidRPr="00564559">
        <w:rPr>
          <w:lang w:val="es-ES_tradnl"/>
        </w:rPr>
        <w:tab/>
      </w:r>
      <w:r w:rsidRPr="00564559">
        <w:rPr>
          <w:rStyle w:val="FootnoteReference"/>
          <w:rFonts w:eastAsia="SimHei"/>
          <w:lang w:val="es-ES_tradnl"/>
        </w:rPr>
        <w:footnoteRef/>
      </w:r>
      <w:r w:rsidRPr="00564559">
        <w:rPr>
          <w:lang w:val="es-ES_tradnl"/>
        </w:rPr>
        <w:tab/>
      </w:r>
      <w:r w:rsidRPr="00A925BF">
        <w:rPr>
          <w:i/>
          <w:lang w:val="es-ES_tradnl"/>
        </w:rPr>
        <w:t>Ibid.</w:t>
      </w:r>
      <w:r w:rsidRPr="00564559">
        <w:rPr>
          <w:lang w:val="es-ES_tradnl"/>
        </w:rPr>
        <w:t xml:space="preserve">, </w:t>
      </w:r>
      <w:r>
        <w:rPr>
          <w:lang w:val="es-ES_tradnl"/>
        </w:rPr>
        <w:t xml:space="preserve">art. </w:t>
      </w:r>
      <w:r w:rsidRPr="00564559">
        <w:rPr>
          <w:lang w:val="es-ES_tradnl"/>
        </w:rPr>
        <w:t>39</w:t>
      </w:r>
      <w:r>
        <w:rPr>
          <w:lang w:val="es-ES_tradnl"/>
        </w:rPr>
        <w:t>, párr.</w:t>
      </w:r>
      <w:r w:rsidRPr="006F03B7">
        <w:rPr>
          <w:lang w:val="es-ES_tradnl"/>
        </w:rPr>
        <w:t xml:space="preserve"> </w:t>
      </w:r>
      <w:r w:rsidRPr="00564559">
        <w:rPr>
          <w:lang w:val="es-ES_tradnl"/>
        </w:rPr>
        <w:t>2).</w:t>
      </w:r>
    </w:p>
  </w:footnote>
  <w:footnote w:id="57">
    <w:p w:rsidR="007A7B3A" w:rsidRPr="00564559" w:rsidRDefault="007A7B3A" w:rsidP="00F96520">
      <w:pPr>
        <w:pStyle w:val="FootnoteText"/>
        <w:rPr>
          <w:lang w:val="es-ES_tradnl"/>
        </w:rPr>
      </w:pPr>
      <w:r w:rsidRPr="00B7033A">
        <w:rPr>
          <w:lang w:val="es-ES"/>
        </w:rPr>
        <w:tab/>
      </w:r>
      <w:r w:rsidRPr="00564559">
        <w:rPr>
          <w:rStyle w:val="FootnoteReference"/>
          <w:rFonts w:eastAsia="SimHei"/>
          <w:lang w:val="es-ES_tradnl"/>
        </w:rPr>
        <w:footnoteRef/>
      </w:r>
      <w:r w:rsidRPr="00564559">
        <w:rPr>
          <w:lang w:val="es-ES_tradnl"/>
        </w:rPr>
        <w:tab/>
        <w:t>Véase el artículo 125</w:t>
      </w:r>
      <w:r>
        <w:rPr>
          <w:lang w:val="es-ES_tradnl"/>
        </w:rPr>
        <w:t>, párrafo</w:t>
      </w:r>
      <w:r w:rsidRPr="00564559">
        <w:rPr>
          <w:lang w:val="es-ES_tradnl"/>
        </w:rPr>
        <w:t xml:space="preserve"> 2)</w:t>
      </w:r>
      <w:r>
        <w:rPr>
          <w:lang w:val="es-ES_tradnl"/>
        </w:rPr>
        <w:t>,</w:t>
      </w:r>
      <w:r w:rsidRPr="00564559">
        <w:rPr>
          <w:lang w:val="es-ES_tradnl"/>
        </w:rPr>
        <w:t xml:space="preserve"> de la Ley de Matrimonio. </w:t>
      </w:r>
    </w:p>
  </w:footnote>
  <w:footnote w:id="58">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Véanse en particular los artículos 28, 29, 34 y 37 de la Ley de la Infancia y los artículos 23, 24 y 25 de la Ley del Niño de Zanzíbar.</w:t>
      </w:r>
    </w:p>
  </w:footnote>
  <w:footnote w:id="59">
    <w:p w:rsidR="007A7B3A" w:rsidRPr="00564559" w:rsidRDefault="007A7B3A" w:rsidP="00564559">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Sección 37 E.R. 2002.</w:t>
      </w:r>
    </w:p>
  </w:footnote>
  <w:footnote w:id="60">
    <w:p w:rsidR="007A7B3A" w:rsidRPr="00B7033A" w:rsidRDefault="007A7B3A" w:rsidP="00564559">
      <w:pPr>
        <w:pStyle w:val="FootnoteText"/>
        <w:rPr>
          <w:lang w:val="es-ES"/>
        </w:rPr>
      </w:pPr>
      <w:r w:rsidRPr="00564559">
        <w:rPr>
          <w:lang w:val="es-ES_tradnl"/>
        </w:rPr>
        <w:tab/>
      </w:r>
      <w:r w:rsidRPr="00564559">
        <w:rPr>
          <w:rStyle w:val="FootnoteReference"/>
          <w:lang w:val="es-ES_tradnl"/>
        </w:rPr>
        <w:footnoteRef/>
      </w:r>
      <w:r w:rsidRPr="00564559">
        <w:rPr>
          <w:lang w:val="es-ES_tradnl"/>
        </w:rPr>
        <w:tab/>
        <w:t>Sección 54 E.R. 2002.</w:t>
      </w:r>
    </w:p>
  </w:footnote>
  <w:footnote w:id="61">
    <w:p w:rsidR="007A7B3A" w:rsidRPr="00564559" w:rsidRDefault="007A7B3A" w:rsidP="00F96520">
      <w:pPr>
        <w:pStyle w:val="FootnoteText"/>
        <w:rPr>
          <w:lang w:val="es-ES_tradnl"/>
        </w:rPr>
      </w:pPr>
      <w:r w:rsidRPr="00B7033A">
        <w:rPr>
          <w:lang w:val="es-ES"/>
        </w:rPr>
        <w:tab/>
      </w:r>
      <w:r w:rsidRPr="00564559">
        <w:rPr>
          <w:rStyle w:val="FootnoteReference"/>
          <w:lang w:val="es-ES_tradnl"/>
        </w:rPr>
        <w:footnoteRef/>
      </w:r>
      <w:r w:rsidRPr="00564559">
        <w:rPr>
          <w:lang w:val="es-ES_tradnl"/>
        </w:rPr>
        <w:tab/>
        <w:t>Parte IV (</w:t>
      </w:r>
      <w:r>
        <w:rPr>
          <w:lang w:val="es-ES_tradnl"/>
        </w:rPr>
        <w:t xml:space="preserve">arts. </w:t>
      </w:r>
      <w:r w:rsidRPr="00564559">
        <w:rPr>
          <w:lang w:val="es-ES_tradnl"/>
        </w:rPr>
        <w:t>27 a 33) de la Ley de la Infancia; y parte 7 (</w:t>
      </w:r>
      <w:r>
        <w:rPr>
          <w:lang w:val="es-ES_tradnl"/>
        </w:rPr>
        <w:t xml:space="preserve">arts. </w:t>
      </w:r>
      <w:r w:rsidRPr="00564559">
        <w:rPr>
          <w:lang w:val="es-ES_tradnl"/>
        </w:rPr>
        <w:t xml:space="preserve">72 a 74) de la Ley del Niño de Zanzíbar. </w:t>
      </w:r>
    </w:p>
  </w:footnote>
  <w:footnote w:id="62">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 xml:space="preserve">Artículo 75 de la Ley del Niño de Zanzíbar. </w:t>
      </w:r>
    </w:p>
  </w:footnote>
  <w:footnote w:id="63">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 xml:space="preserve">Artículos 76 a 96 de a Ley del Niño de Zanzíbar; y </w:t>
      </w:r>
      <w:r>
        <w:rPr>
          <w:lang w:val="es-ES_tradnl"/>
        </w:rPr>
        <w:t>parte</w:t>
      </w:r>
      <w:r w:rsidRPr="00564559">
        <w:rPr>
          <w:lang w:val="es-ES_tradnl"/>
        </w:rPr>
        <w:t xml:space="preserve"> VI (</w:t>
      </w:r>
      <w:r>
        <w:rPr>
          <w:lang w:val="es-ES_tradnl"/>
        </w:rPr>
        <w:t xml:space="preserve">arts. </w:t>
      </w:r>
      <w:r w:rsidRPr="00564559">
        <w:rPr>
          <w:lang w:val="es-ES_tradnl"/>
        </w:rPr>
        <w:t xml:space="preserve">52 a 76) de la Ley de la Infancia. </w:t>
      </w:r>
    </w:p>
  </w:footnote>
  <w:footnote w:id="64">
    <w:p w:rsidR="007A7B3A" w:rsidRPr="00B7033A" w:rsidRDefault="007A7B3A" w:rsidP="00F96520">
      <w:pPr>
        <w:pStyle w:val="FootnoteText"/>
        <w:rPr>
          <w:lang w:val="es-ES"/>
        </w:rPr>
      </w:pPr>
      <w:r w:rsidRPr="00564559">
        <w:rPr>
          <w:lang w:val="es-ES_tradnl"/>
        </w:rPr>
        <w:tab/>
      </w:r>
      <w:r w:rsidRPr="00564559">
        <w:rPr>
          <w:rStyle w:val="FootnoteReference"/>
          <w:lang w:val="es-ES_tradnl"/>
        </w:rPr>
        <w:footnoteRef/>
      </w:r>
      <w:r w:rsidRPr="00564559">
        <w:rPr>
          <w:lang w:val="es-ES_tradnl"/>
        </w:rPr>
        <w:tab/>
        <w:t xml:space="preserve">Artículos 133 a 146 de la Ley de la Infancia; y </w:t>
      </w:r>
      <w:r>
        <w:rPr>
          <w:lang w:val="es-ES_tradnl"/>
        </w:rPr>
        <w:t>parte</w:t>
      </w:r>
      <w:r w:rsidRPr="00564559">
        <w:rPr>
          <w:lang w:val="es-ES_tradnl"/>
        </w:rPr>
        <w:t xml:space="preserve"> 12 (</w:t>
      </w:r>
      <w:r>
        <w:rPr>
          <w:lang w:val="es-ES_tradnl"/>
        </w:rPr>
        <w:t xml:space="preserve">arts. </w:t>
      </w:r>
      <w:r w:rsidRPr="00564559">
        <w:rPr>
          <w:lang w:val="es-ES_tradnl"/>
        </w:rPr>
        <w:t>123 a 134) de la Ley del Niño de Zanzíbar.</w:t>
      </w:r>
      <w:r w:rsidRPr="00B7033A">
        <w:rPr>
          <w:lang w:val="es-ES"/>
        </w:rPr>
        <w:t xml:space="preserve"> </w:t>
      </w:r>
    </w:p>
  </w:footnote>
  <w:footnote w:id="65">
    <w:p w:rsidR="007A7B3A" w:rsidRPr="00564559" w:rsidRDefault="007A7B3A" w:rsidP="00F96520">
      <w:pPr>
        <w:pStyle w:val="FootnoteText"/>
        <w:rPr>
          <w:lang w:val="es-ES_tradnl"/>
        </w:rPr>
      </w:pPr>
      <w:r w:rsidRPr="00B7033A">
        <w:rPr>
          <w:lang w:val="es-ES"/>
        </w:rPr>
        <w:tab/>
      </w:r>
      <w:r w:rsidRPr="00564559">
        <w:rPr>
          <w:rStyle w:val="FootnoteReference"/>
          <w:lang w:val="es-ES_tradnl"/>
        </w:rPr>
        <w:footnoteRef/>
      </w:r>
      <w:r w:rsidRPr="00564559">
        <w:rPr>
          <w:lang w:val="es-ES_tradnl"/>
        </w:rPr>
        <w:tab/>
        <w:t>Artículo 124</w:t>
      </w:r>
      <w:r>
        <w:rPr>
          <w:lang w:val="es-ES_tradnl"/>
        </w:rPr>
        <w:t>, párrafo</w:t>
      </w:r>
      <w:r w:rsidRPr="00564559">
        <w:rPr>
          <w:lang w:val="es-ES_tradnl"/>
        </w:rPr>
        <w:t xml:space="preserve"> 2)</w:t>
      </w:r>
      <w:r>
        <w:rPr>
          <w:lang w:val="es-ES_tradnl"/>
        </w:rPr>
        <w:t xml:space="preserve">, </w:t>
      </w:r>
      <w:r w:rsidRPr="00564559">
        <w:rPr>
          <w:lang w:val="es-ES_tradnl"/>
        </w:rPr>
        <w:t xml:space="preserve">de la Ley del Niño de Zanzíbar. </w:t>
      </w:r>
    </w:p>
  </w:footnote>
  <w:footnote w:id="66">
    <w:p w:rsidR="007A7B3A" w:rsidRPr="00564559" w:rsidRDefault="007A7B3A" w:rsidP="00F96520">
      <w:pPr>
        <w:pStyle w:val="FootnoteText"/>
        <w:rPr>
          <w:lang w:val="es-ES_tradnl"/>
        </w:rPr>
      </w:pPr>
      <w:r w:rsidRPr="00B7033A">
        <w:rPr>
          <w:lang w:val="es-ES"/>
        </w:rPr>
        <w:tab/>
      </w:r>
      <w:r w:rsidRPr="00564559">
        <w:rPr>
          <w:rStyle w:val="FootnoteReference"/>
          <w:lang w:val="es-ES_tradnl"/>
        </w:rPr>
        <w:footnoteRef/>
      </w:r>
      <w:r w:rsidRPr="00564559">
        <w:rPr>
          <w:lang w:val="es-ES_tradnl"/>
        </w:rPr>
        <w:tab/>
        <w:t>Artículo 125</w:t>
      </w:r>
      <w:r>
        <w:rPr>
          <w:lang w:val="es-ES_tradnl"/>
        </w:rPr>
        <w:t>, párrafo</w:t>
      </w:r>
      <w:r w:rsidRPr="00564559">
        <w:rPr>
          <w:lang w:val="es-ES_tradnl"/>
        </w:rPr>
        <w:t xml:space="preserve"> 2)</w:t>
      </w:r>
      <w:r>
        <w:rPr>
          <w:lang w:val="es-ES_tradnl"/>
        </w:rPr>
        <w:t>,</w:t>
      </w:r>
      <w:r w:rsidRPr="00564559">
        <w:rPr>
          <w:lang w:val="es-ES_tradnl"/>
        </w:rPr>
        <w:t xml:space="preserve"> de la Ley del Niño de Zanzíbar. </w:t>
      </w:r>
    </w:p>
  </w:footnote>
  <w:footnote w:id="67">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r>
      <w:r w:rsidRPr="00A925BF">
        <w:rPr>
          <w:i/>
          <w:lang w:val="es-ES_tradnl"/>
        </w:rPr>
        <w:t>Ibid.</w:t>
      </w:r>
      <w:r w:rsidRPr="00564559">
        <w:rPr>
          <w:lang w:val="es-ES_tradnl"/>
        </w:rPr>
        <w:t xml:space="preserve">, </w:t>
      </w:r>
      <w:r>
        <w:rPr>
          <w:lang w:val="es-ES_tradnl"/>
        </w:rPr>
        <w:t xml:space="preserve">art. </w:t>
      </w:r>
      <w:r w:rsidRPr="00564559">
        <w:rPr>
          <w:lang w:val="es-ES_tradnl"/>
        </w:rPr>
        <w:t>125</w:t>
      </w:r>
      <w:r>
        <w:rPr>
          <w:lang w:val="es-ES_tradnl"/>
        </w:rPr>
        <w:t>, párr.</w:t>
      </w:r>
      <w:r w:rsidRPr="006F03B7">
        <w:rPr>
          <w:lang w:val="es-ES_tradnl"/>
        </w:rPr>
        <w:t xml:space="preserve"> </w:t>
      </w:r>
      <w:r w:rsidRPr="00564559">
        <w:rPr>
          <w:lang w:val="es-ES_tradnl"/>
        </w:rPr>
        <w:t>3) a).</w:t>
      </w:r>
    </w:p>
  </w:footnote>
  <w:footnote w:id="68">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r>
      <w:r w:rsidRPr="00A925BF">
        <w:rPr>
          <w:i/>
          <w:lang w:val="es-ES_tradnl"/>
        </w:rPr>
        <w:t>Ibid.</w:t>
      </w:r>
      <w:r w:rsidRPr="00564559">
        <w:rPr>
          <w:lang w:val="es-ES_tradnl"/>
        </w:rPr>
        <w:t xml:space="preserve">, </w:t>
      </w:r>
      <w:r>
        <w:rPr>
          <w:lang w:val="es-ES_tradnl"/>
        </w:rPr>
        <w:t xml:space="preserve">art. </w:t>
      </w:r>
      <w:r w:rsidRPr="00564559">
        <w:rPr>
          <w:lang w:val="es-ES_tradnl"/>
        </w:rPr>
        <w:t>125</w:t>
      </w:r>
      <w:r>
        <w:rPr>
          <w:lang w:val="es-ES_tradnl"/>
        </w:rPr>
        <w:t>, párr.</w:t>
      </w:r>
      <w:r w:rsidRPr="006F03B7">
        <w:rPr>
          <w:lang w:val="es-ES_tradnl"/>
        </w:rPr>
        <w:t xml:space="preserve"> </w:t>
      </w:r>
      <w:r w:rsidRPr="00564559">
        <w:rPr>
          <w:lang w:val="es-ES_tradnl"/>
        </w:rPr>
        <w:t>3) b).</w:t>
      </w:r>
    </w:p>
  </w:footnote>
  <w:footnote w:id="69">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Cabe la posibilidad de delegar este d</w:t>
      </w:r>
      <w:r>
        <w:rPr>
          <w:lang w:val="es-ES_tradnl"/>
        </w:rPr>
        <w:t xml:space="preserve">eber en virtud del artículo 134, párrafo </w:t>
      </w:r>
      <w:r w:rsidRPr="00564559">
        <w:rPr>
          <w:lang w:val="es-ES_tradnl"/>
        </w:rPr>
        <w:t>2)</w:t>
      </w:r>
      <w:r>
        <w:rPr>
          <w:lang w:val="es-ES_tradnl"/>
        </w:rPr>
        <w:t>,</w:t>
      </w:r>
      <w:r w:rsidRPr="00564559">
        <w:rPr>
          <w:lang w:val="es-ES_tradnl"/>
        </w:rPr>
        <w:t xml:space="preserve"> de la Ley de la Infancia. </w:t>
      </w:r>
    </w:p>
  </w:footnote>
  <w:footnote w:id="70">
    <w:p w:rsidR="007A7B3A" w:rsidRPr="00B7033A" w:rsidRDefault="007A7B3A" w:rsidP="00F96520">
      <w:pPr>
        <w:pStyle w:val="FootnoteText"/>
        <w:rPr>
          <w:lang w:val="es-ES"/>
        </w:rPr>
      </w:pPr>
      <w:r w:rsidRPr="00564559">
        <w:rPr>
          <w:lang w:val="es-ES_tradnl"/>
        </w:rPr>
        <w:tab/>
      </w:r>
      <w:r w:rsidRPr="00564559">
        <w:rPr>
          <w:rStyle w:val="FootnoteReference"/>
          <w:lang w:val="es-ES_tradnl"/>
        </w:rPr>
        <w:footnoteRef/>
      </w:r>
      <w:r w:rsidRPr="00564559">
        <w:rPr>
          <w:lang w:val="es-ES_tradnl"/>
        </w:rPr>
        <w:tab/>
        <w:t>En virtud del párrafo 4) del artículo 134 de la Ley de la Infancia, el ministro responsable del bienestar social puede reglamentar para dictar la composición, cualificaciones y cualquier otro asunto relativo al comité creado en virtud del párrafo 2).</w:t>
      </w:r>
      <w:r w:rsidRPr="00B7033A">
        <w:rPr>
          <w:lang w:val="es-ES"/>
        </w:rPr>
        <w:t xml:space="preserve"> </w:t>
      </w:r>
    </w:p>
  </w:footnote>
  <w:footnote w:id="71">
    <w:p w:rsidR="007A7B3A" w:rsidRPr="00564559" w:rsidRDefault="007A7B3A" w:rsidP="00F96520">
      <w:pPr>
        <w:pStyle w:val="FootnoteText"/>
        <w:rPr>
          <w:lang w:val="es-ES_tradnl"/>
        </w:rPr>
      </w:pPr>
      <w:r w:rsidRPr="00B7033A">
        <w:rPr>
          <w:lang w:val="es-ES"/>
        </w:rPr>
        <w:tab/>
      </w:r>
      <w:r w:rsidRPr="00564559">
        <w:rPr>
          <w:rStyle w:val="FootnoteReference"/>
          <w:lang w:val="es-ES_tradnl"/>
        </w:rPr>
        <w:footnoteRef/>
      </w:r>
      <w:r w:rsidRPr="00564559">
        <w:rPr>
          <w:lang w:val="es-ES_tradnl"/>
        </w:rPr>
        <w:tab/>
        <w:t>Artículo 128</w:t>
      </w:r>
      <w:r>
        <w:rPr>
          <w:lang w:val="es-ES_tradnl"/>
        </w:rPr>
        <w:t>, párrafo</w:t>
      </w:r>
      <w:r w:rsidRPr="00564559">
        <w:rPr>
          <w:lang w:val="es-ES_tradnl"/>
        </w:rPr>
        <w:t xml:space="preserve"> 1)</w:t>
      </w:r>
      <w:r>
        <w:rPr>
          <w:lang w:val="es-ES_tradnl"/>
        </w:rPr>
        <w:t>,</w:t>
      </w:r>
      <w:r w:rsidRPr="00564559">
        <w:rPr>
          <w:lang w:val="es-ES_tradnl"/>
        </w:rPr>
        <w:t xml:space="preserve"> de la Ley del Niño de Zanzíbar. </w:t>
      </w:r>
    </w:p>
  </w:footnote>
  <w:footnote w:id="72">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r>
      <w:r w:rsidRPr="00A925BF">
        <w:rPr>
          <w:i/>
          <w:lang w:val="es-ES_tradnl"/>
        </w:rPr>
        <w:t>Ibid.</w:t>
      </w:r>
      <w:r w:rsidRPr="00564559">
        <w:rPr>
          <w:lang w:val="es-ES_tradnl"/>
        </w:rPr>
        <w:t xml:space="preserve">, </w:t>
      </w:r>
      <w:r>
        <w:rPr>
          <w:lang w:val="es-ES_tradnl"/>
        </w:rPr>
        <w:t xml:space="preserve">art. </w:t>
      </w:r>
      <w:r w:rsidRPr="00564559">
        <w:rPr>
          <w:lang w:val="es-ES_tradnl"/>
        </w:rPr>
        <w:t>128</w:t>
      </w:r>
      <w:r>
        <w:rPr>
          <w:lang w:val="es-ES_tradnl"/>
        </w:rPr>
        <w:t>, párr.</w:t>
      </w:r>
      <w:r w:rsidRPr="006F03B7">
        <w:rPr>
          <w:lang w:val="es-ES_tradnl"/>
        </w:rPr>
        <w:t xml:space="preserve"> </w:t>
      </w:r>
      <w:r w:rsidRPr="00564559">
        <w:rPr>
          <w:lang w:val="es-ES_tradnl"/>
        </w:rPr>
        <w:t>2).</w:t>
      </w:r>
    </w:p>
  </w:footnote>
  <w:footnote w:id="73">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t xml:space="preserve">El término </w:t>
      </w:r>
      <w:r>
        <w:rPr>
          <w:lang w:val="es-ES_tradnl"/>
        </w:rPr>
        <w:t>"</w:t>
      </w:r>
      <w:r w:rsidRPr="00564559">
        <w:rPr>
          <w:lang w:val="es-ES_tradnl"/>
        </w:rPr>
        <w:t>adopción abierta</w:t>
      </w:r>
      <w:r>
        <w:rPr>
          <w:lang w:val="es-ES_tradnl"/>
        </w:rPr>
        <w:t>"</w:t>
      </w:r>
      <w:r w:rsidRPr="00564559">
        <w:rPr>
          <w:lang w:val="es-ES_tradnl"/>
        </w:rPr>
        <w:t xml:space="preserve"> según se emplea en la Ley de la Infancia se refiere a la adopción del niño por un familiar. Véase el artículo 54</w:t>
      </w:r>
      <w:r>
        <w:rPr>
          <w:lang w:val="es-ES_tradnl"/>
        </w:rPr>
        <w:t>, párrafo</w:t>
      </w:r>
      <w:r w:rsidRPr="00564559">
        <w:rPr>
          <w:lang w:val="es-ES_tradnl"/>
        </w:rPr>
        <w:t xml:space="preserve"> 3)</w:t>
      </w:r>
      <w:r>
        <w:rPr>
          <w:lang w:val="es-ES_tradnl"/>
        </w:rPr>
        <w:t>,</w:t>
      </w:r>
      <w:r w:rsidRPr="00564559">
        <w:rPr>
          <w:lang w:val="es-ES_tradnl"/>
        </w:rPr>
        <w:t xml:space="preserve"> de la Ley de la Infancia. </w:t>
      </w:r>
    </w:p>
  </w:footnote>
  <w:footnote w:id="74">
    <w:p w:rsidR="007A7B3A" w:rsidRPr="00564559" w:rsidRDefault="007A7B3A" w:rsidP="00F96520">
      <w:pPr>
        <w:pStyle w:val="FootnoteText"/>
        <w:rPr>
          <w:lang w:val="es-ES_tradnl"/>
        </w:rPr>
      </w:pPr>
      <w:r w:rsidRPr="00564559">
        <w:rPr>
          <w:lang w:val="es-ES_tradnl"/>
        </w:rPr>
        <w:tab/>
      </w:r>
      <w:r w:rsidRPr="00564559">
        <w:rPr>
          <w:rStyle w:val="FootnoteReference"/>
          <w:lang w:val="es-ES_tradnl"/>
        </w:rPr>
        <w:footnoteRef/>
      </w:r>
      <w:r w:rsidRPr="00564559">
        <w:rPr>
          <w:lang w:val="es-ES_tradnl"/>
        </w:rPr>
        <w:tab/>
      </w:r>
      <w:r w:rsidRPr="00A925BF">
        <w:rPr>
          <w:i/>
          <w:lang w:val="es-ES_tradnl"/>
        </w:rPr>
        <w:t>Ibid.</w:t>
      </w:r>
      <w:r w:rsidRPr="00564559">
        <w:rPr>
          <w:lang w:val="es-ES_tradnl"/>
        </w:rPr>
        <w:t xml:space="preserve">, </w:t>
      </w:r>
      <w:r>
        <w:rPr>
          <w:lang w:val="es-ES_tradnl"/>
        </w:rPr>
        <w:t xml:space="preserve">art. </w:t>
      </w:r>
      <w:r w:rsidRPr="00564559">
        <w:rPr>
          <w:lang w:val="es-ES_tradnl"/>
        </w:rPr>
        <w:t>56</w:t>
      </w:r>
      <w:r>
        <w:rPr>
          <w:lang w:val="es-ES_tradnl"/>
        </w:rPr>
        <w:t>, párr.</w:t>
      </w:r>
      <w:r w:rsidRPr="006F03B7">
        <w:rPr>
          <w:lang w:val="es-ES_tradnl"/>
        </w:rPr>
        <w:t xml:space="preserve"> </w:t>
      </w:r>
      <w:r w:rsidRPr="00564559">
        <w:rPr>
          <w:lang w:val="es-ES_tradnl"/>
        </w:rPr>
        <w:t>3).</w:t>
      </w:r>
    </w:p>
  </w:footnote>
  <w:footnote w:id="75">
    <w:p w:rsidR="007A7B3A" w:rsidRPr="00B7033A" w:rsidRDefault="007A7B3A" w:rsidP="00F96520">
      <w:pPr>
        <w:pStyle w:val="FootnoteText"/>
        <w:rPr>
          <w:lang w:val="es-ES"/>
        </w:rPr>
      </w:pPr>
      <w:r w:rsidRPr="00564559">
        <w:rPr>
          <w:lang w:val="es-ES_tradnl"/>
        </w:rPr>
        <w:tab/>
      </w:r>
      <w:r w:rsidRPr="00564559">
        <w:rPr>
          <w:rStyle w:val="FootnoteReference"/>
          <w:lang w:val="es-ES_tradnl"/>
        </w:rPr>
        <w:footnoteRef/>
      </w:r>
      <w:r w:rsidRPr="00564559">
        <w:rPr>
          <w:lang w:val="es-ES_tradnl"/>
        </w:rPr>
        <w:tab/>
      </w:r>
      <w:r w:rsidRPr="00A925BF">
        <w:rPr>
          <w:i/>
          <w:lang w:val="es-ES_tradnl"/>
        </w:rPr>
        <w:t>Ibid.</w:t>
      </w:r>
      <w:r w:rsidRPr="00564559">
        <w:rPr>
          <w:lang w:val="es-ES_tradnl"/>
        </w:rPr>
        <w:t xml:space="preserve">, </w:t>
      </w:r>
      <w:r>
        <w:rPr>
          <w:lang w:val="es-ES_tradnl"/>
        </w:rPr>
        <w:t xml:space="preserve">art. </w:t>
      </w:r>
      <w:r w:rsidRPr="00564559">
        <w:rPr>
          <w:lang w:val="es-ES_tradnl"/>
        </w:rPr>
        <w:t>62.</w:t>
      </w:r>
    </w:p>
  </w:footnote>
  <w:footnote w:id="76">
    <w:p w:rsidR="007A7B3A" w:rsidRPr="00B7033A" w:rsidRDefault="007A7B3A" w:rsidP="00F96520">
      <w:pPr>
        <w:pStyle w:val="FootnoteText"/>
        <w:rPr>
          <w:lang w:val="es-ES"/>
        </w:rPr>
      </w:pPr>
      <w:r w:rsidRPr="00B7033A">
        <w:rPr>
          <w:lang w:val="es-ES"/>
        </w:rPr>
        <w:tab/>
      </w:r>
      <w:r w:rsidRPr="00153B23">
        <w:rPr>
          <w:rStyle w:val="FootnoteReference"/>
        </w:rPr>
        <w:footnoteRef/>
      </w:r>
      <w:r w:rsidRPr="00564559">
        <w:rPr>
          <w:lang w:val="es-ES_tradnl"/>
        </w:rPr>
        <w:tab/>
        <w:t>Véase en particular la parte II (</w:t>
      </w:r>
      <w:r>
        <w:rPr>
          <w:lang w:val="es-ES_tradnl"/>
        </w:rPr>
        <w:t xml:space="preserve">arts. </w:t>
      </w:r>
      <w:r w:rsidRPr="00564559">
        <w:rPr>
          <w:lang w:val="es-ES_tradnl"/>
        </w:rPr>
        <w:t>4 a 8) de la Ley de Lucha contra la Trata de Personas (2008), Ley Nº 6 de 2008.</w:t>
      </w:r>
    </w:p>
  </w:footnote>
  <w:footnote w:id="77">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 xml:space="preserve">República Unida de Tanzanía, </w:t>
      </w:r>
      <w:r w:rsidRPr="00B7033A">
        <w:rPr>
          <w:i/>
          <w:lang w:val="es-ES"/>
        </w:rPr>
        <w:t xml:space="preserve">Violence Against Children in Tanzania: Findings from a National Survey 2009 </w:t>
      </w:r>
      <w:r w:rsidRPr="00B7033A">
        <w:rPr>
          <w:lang w:val="es-ES"/>
        </w:rPr>
        <w:t>(</w:t>
      </w:r>
      <w:r>
        <w:rPr>
          <w:lang w:val="es-ES_tradnl"/>
        </w:rPr>
        <w:t>"</w:t>
      </w:r>
      <w:r w:rsidRPr="00B7033A">
        <w:rPr>
          <w:lang w:val="es-ES"/>
        </w:rPr>
        <w:t>Violencia contra los niños en Tanzanía: conclusiones de una encuesta nacional, 2009</w:t>
      </w:r>
      <w:r>
        <w:rPr>
          <w:lang w:val="es-ES_tradnl"/>
        </w:rPr>
        <w:t>"</w:t>
      </w:r>
      <w:r w:rsidRPr="00B7033A">
        <w:rPr>
          <w:lang w:val="es-ES"/>
        </w:rPr>
        <w:t>). Dar es Salaam: UNICEF/</w:t>
      </w:r>
      <w:r w:rsidRPr="00B7033A">
        <w:rPr>
          <w:i/>
          <w:lang w:val="es-ES"/>
        </w:rPr>
        <w:t>US Centre for Disease Control and Prevention</w:t>
      </w:r>
      <w:r w:rsidRPr="00B7033A">
        <w:rPr>
          <w:lang w:val="es-ES"/>
        </w:rPr>
        <w:t>/Universidad Muhimbili de Salud y Ciencias Afines, agosto de 2011.</w:t>
      </w:r>
    </w:p>
  </w:footnote>
  <w:footnote w:id="78">
    <w:p w:rsidR="007A7B3A" w:rsidRPr="009D6096" w:rsidRDefault="007A7B3A" w:rsidP="00F96520">
      <w:pPr>
        <w:pStyle w:val="FootnoteText"/>
      </w:pPr>
      <w:r w:rsidRPr="00B7033A">
        <w:rPr>
          <w:lang w:val="es-ES"/>
        </w:rPr>
        <w:tab/>
      </w:r>
      <w:r w:rsidRPr="00153B23">
        <w:rPr>
          <w:rStyle w:val="FootnoteReference"/>
        </w:rPr>
        <w:footnoteRef/>
      </w:r>
      <w:r w:rsidRPr="00B7033A">
        <w:rPr>
          <w:lang w:val="es-ES"/>
        </w:rPr>
        <w:tab/>
      </w:r>
      <w:r w:rsidRPr="00564559">
        <w:rPr>
          <w:lang w:val="es-ES_tradnl"/>
        </w:rPr>
        <w:t xml:space="preserve">REPOA y otros, </w:t>
      </w:r>
      <w:r w:rsidRPr="00564559">
        <w:rPr>
          <w:i/>
          <w:lang w:val="es-ES_tradnl"/>
        </w:rPr>
        <w:t>Childhood Poverty in Tanzania: Deprivation and Disparities in Child Wellbeing</w:t>
      </w:r>
      <w:r w:rsidRPr="00564559">
        <w:rPr>
          <w:lang w:val="es-ES_tradnl"/>
        </w:rPr>
        <w:t xml:space="preserve"> (</w:t>
      </w:r>
      <w:r>
        <w:rPr>
          <w:lang w:val="es-ES_tradnl"/>
        </w:rPr>
        <w:t>"</w:t>
      </w:r>
      <w:r w:rsidRPr="00564559">
        <w:rPr>
          <w:lang w:val="es-ES_tradnl"/>
        </w:rPr>
        <w:t>Pobreza infantil en Tanzanía: privación y disparidad en el bienestar infantil</w:t>
      </w:r>
      <w:r>
        <w:rPr>
          <w:lang w:val="es-ES_tradnl"/>
        </w:rPr>
        <w:t>"</w:t>
      </w:r>
      <w:r w:rsidRPr="00564559">
        <w:rPr>
          <w:lang w:val="es-ES_tradnl"/>
        </w:rPr>
        <w:t xml:space="preserve">). </w:t>
      </w:r>
      <w:r w:rsidRPr="00F0647A">
        <w:rPr>
          <w:lang w:val="es-ES"/>
        </w:rPr>
        <w:t>DJPA Partnership (Africa) Ltd</w:t>
      </w:r>
      <w:r>
        <w:rPr>
          <w:lang w:val="es-ES"/>
        </w:rPr>
        <w:t>.</w:t>
      </w:r>
      <w:r w:rsidRPr="00F0647A">
        <w:rPr>
          <w:lang w:val="es-ES"/>
        </w:rPr>
        <w:t xml:space="preserve">, 2009, págs. </w:t>
      </w:r>
      <w:r w:rsidRPr="00B7033A">
        <w:t>23 a 27.</w:t>
      </w:r>
      <w:r w:rsidRPr="009D6096">
        <w:t xml:space="preserve"> </w:t>
      </w:r>
    </w:p>
  </w:footnote>
  <w:footnote w:id="79">
    <w:p w:rsidR="007A7B3A" w:rsidRPr="008B77C8" w:rsidRDefault="007A7B3A" w:rsidP="00F96520">
      <w:pPr>
        <w:pStyle w:val="FootnoteText"/>
        <w:rPr>
          <w:lang w:val="es-ES"/>
        </w:rPr>
      </w:pPr>
      <w:r>
        <w:tab/>
      </w:r>
      <w:r w:rsidRPr="00153B23">
        <w:rPr>
          <w:rStyle w:val="FootnoteReference"/>
        </w:rPr>
        <w:footnoteRef/>
      </w:r>
      <w:r>
        <w:tab/>
      </w:r>
      <w:r w:rsidRPr="002D502F">
        <w:rPr>
          <w:i/>
        </w:rPr>
        <w:t>African Child Policy Forum</w:t>
      </w:r>
      <w:r w:rsidRPr="009D6096">
        <w:t xml:space="preserve">, </w:t>
      </w:r>
      <w:r w:rsidRPr="002D502F">
        <w:rPr>
          <w:i/>
        </w:rPr>
        <w:t>The African Report on Child Wellbeing 2011: Budgeting for Children</w:t>
      </w:r>
      <w:r>
        <w:t xml:space="preserve">. </w:t>
      </w:r>
      <w:r w:rsidRPr="008B77C8">
        <w:rPr>
          <w:lang w:val="es-ES"/>
        </w:rPr>
        <w:t>("Informe de África sobre el bienestar infantil, 2011: la presupuestación para la infancia"). Addis Abeba: African Child Policy Forum, 2010.</w:t>
      </w:r>
    </w:p>
  </w:footnote>
  <w:footnote w:id="80">
    <w:p w:rsidR="007A7B3A" w:rsidRPr="00B7033A" w:rsidRDefault="007A7B3A" w:rsidP="00F96520">
      <w:pPr>
        <w:pStyle w:val="FootnoteText"/>
        <w:rPr>
          <w:lang w:val="es-ES"/>
        </w:rPr>
      </w:pPr>
      <w:r w:rsidRPr="008B77C8">
        <w:rPr>
          <w:lang w:val="es-ES"/>
        </w:rPr>
        <w:tab/>
      </w:r>
      <w:r w:rsidRPr="00153B23">
        <w:rPr>
          <w:rStyle w:val="FootnoteReference"/>
        </w:rPr>
        <w:footnoteRef/>
      </w:r>
      <w:r>
        <w:tab/>
      </w:r>
      <w:r w:rsidRPr="009D6096">
        <w:t>Jones, G.,</w:t>
      </w:r>
      <w:r>
        <w:t xml:space="preserve"> y otros, </w:t>
      </w:r>
      <w:r w:rsidRPr="00782B12">
        <w:rPr>
          <w:i/>
        </w:rPr>
        <w:t>How many child deaths can we prevent this year?</w:t>
      </w:r>
      <w:r w:rsidRPr="009D6096">
        <w:t xml:space="preserve"> </w:t>
      </w:r>
      <w:r w:rsidRPr="008B77C8">
        <w:t xml:space="preserve">("¿Cuántas muertes infantiles podemos evitar este año?"). </w:t>
      </w:r>
      <w:r w:rsidRPr="00B7033A">
        <w:rPr>
          <w:lang w:val="es-ES"/>
        </w:rPr>
        <w:t>Lancet, 362: 2003, págs. 65 a 71.</w:t>
      </w:r>
    </w:p>
  </w:footnote>
  <w:footnote w:id="81">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r>
      <w:r w:rsidRPr="00A925BF">
        <w:rPr>
          <w:i/>
          <w:lang w:val="es-ES"/>
        </w:rPr>
        <w:t>Ibid.</w:t>
      </w:r>
    </w:p>
  </w:footnote>
  <w:footnote w:id="82">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 xml:space="preserve">Cabe señalar que el estudio demográfico y de salud de 2010 utilizó nuevos criterios de crecimiento de la OMS que no son comparables con las antiguas pautas del </w:t>
      </w:r>
      <w:r w:rsidRPr="00B7033A">
        <w:rPr>
          <w:i/>
          <w:lang w:val="es-ES"/>
        </w:rPr>
        <w:t>National Center for Health Statistics/Centers for Disease Control/</w:t>
      </w:r>
      <w:r w:rsidRPr="00B7033A">
        <w:rPr>
          <w:lang w:val="es-ES"/>
        </w:rPr>
        <w:t>OMS (utilizados en anteriores estudios demográficos y de salud de Tanzanía, comprendido el de 2004-2005). Para fines de comparación destinada a evaluar tendencias, los datos de 2010 se volvieron a calcular utilizando la población de referencia del</w:t>
      </w:r>
      <w:r w:rsidRPr="00B7033A">
        <w:rPr>
          <w:i/>
          <w:lang w:val="es-ES"/>
        </w:rPr>
        <w:t xml:space="preserve"> National Center for Health Statistics/Centers for Disease Control/</w:t>
      </w:r>
      <w:r w:rsidRPr="00B7033A">
        <w:rPr>
          <w:lang w:val="es-ES"/>
        </w:rPr>
        <w:t xml:space="preserve">OMS; por ello, estos datos según se presentan en el gráfico 1 a continuación no serán comparables con los datos que se exponen arriba en el párrafo 157 (en particular en cuanto a la prevalencia del crecimiento retardado, el peso inferior al normal y la emaciación para el estudio demográfico y de salud de Tanzanía de 2010). </w:t>
      </w:r>
    </w:p>
  </w:footnote>
  <w:footnote w:id="83">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En aras de tomar medidas jurídicas respecto de este asunto, el Estado parte ha promulgado la legislación siguiente: la Ley de Minería de 1979 (Nº 17 de 1979). Reglamentación en virtud del artículo 104, párrafo 2): Reglamento minero (elaboración de sal yodada) (1994); la Ley de Alimentos (control de calidad) de 1978 (Nº 10 de 1978). Reglamentación en virtud</w:t>
      </w:r>
      <w:r>
        <w:rPr>
          <w:lang w:val="es-ES"/>
        </w:rPr>
        <w:t xml:space="preserve"> del artículo 16, párrafos 1) y </w:t>
      </w:r>
      <w:r w:rsidRPr="00B7033A">
        <w:rPr>
          <w:lang w:val="es-ES"/>
        </w:rPr>
        <w:t xml:space="preserve">2): Reglamento de alimentos (control de calidad, sal yodada), 1992. </w:t>
      </w:r>
    </w:p>
  </w:footnote>
  <w:footnote w:id="84">
    <w:p w:rsidR="007A7B3A" w:rsidRPr="00564559" w:rsidRDefault="007A7B3A" w:rsidP="00F96520">
      <w:pPr>
        <w:pStyle w:val="FootnoteText"/>
        <w:rPr>
          <w:lang w:val="es-ES_tradnl"/>
        </w:rPr>
      </w:pPr>
      <w:r w:rsidRPr="00B7033A">
        <w:rPr>
          <w:lang w:val="es-ES"/>
        </w:rPr>
        <w:tab/>
      </w:r>
      <w:r w:rsidRPr="00564559">
        <w:rPr>
          <w:rStyle w:val="FootnoteReference"/>
          <w:lang w:val="es-ES_tradnl"/>
        </w:rPr>
        <w:footnoteRef/>
      </w:r>
      <w:r w:rsidRPr="00564559">
        <w:rPr>
          <w:lang w:val="es-ES_tradnl"/>
        </w:rPr>
        <w:tab/>
        <w:t>Ley Nº 28 de 2008.</w:t>
      </w:r>
    </w:p>
  </w:footnote>
  <w:footnote w:id="85">
    <w:p w:rsidR="007A7B3A" w:rsidRPr="0085154F" w:rsidRDefault="007A7B3A" w:rsidP="00F96520">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t>Artículo 13</w:t>
      </w:r>
      <w:r>
        <w:rPr>
          <w:lang w:val="es-ES_tradnl"/>
        </w:rPr>
        <w:t>, párrafo</w:t>
      </w:r>
      <w:r w:rsidRPr="0085154F">
        <w:rPr>
          <w:lang w:val="es-ES_tradnl"/>
        </w:rPr>
        <w:t xml:space="preserve"> 1)</w:t>
      </w:r>
      <w:r>
        <w:rPr>
          <w:lang w:val="es-ES_tradnl"/>
        </w:rPr>
        <w:t>,</w:t>
      </w:r>
      <w:r w:rsidRPr="0085154F">
        <w:rPr>
          <w:lang w:val="es-ES_tradnl"/>
        </w:rPr>
        <w:t xml:space="preserve"> de la Ley de la Infancia y artículo 14</w:t>
      </w:r>
      <w:r>
        <w:rPr>
          <w:lang w:val="es-ES_tradnl"/>
        </w:rPr>
        <w:t>, párrafo</w:t>
      </w:r>
      <w:r w:rsidRPr="0085154F">
        <w:rPr>
          <w:lang w:val="es-ES_tradnl"/>
        </w:rPr>
        <w:t xml:space="preserve"> 1)</w:t>
      </w:r>
      <w:r>
        <w:rPr>
          <w:lang w:val="es-ES_tradnl"/>
        </w:rPr>
        <w:t>,</w:t>
      </w:r>
      <w:r w:rsidRPr="0085154F">
        <w:rPr>
          <w:lang w:val="es-ES_tradnl"/>
        </w:rPr>
        <w:t xml:space="preserve"> de la Ley del Niño de Zanzíbar. </w:t>
      </w:r>
    </w:p>
  </w:footnote>
  <w:footnote w:id="86">
    <w:p w:rsidR="007A7B3A" w:rsidRPr="0085154F" w:rsidRDefault="007A7B3A" w:rsidP="00F96520">
      <w:pPr>
        <w:pStyle w:val="FootnoteText"/>
        <w:rPr>
          <w:lang w:val="es-ES_tradnl"/>
        </w:rPr>
      </w:pPr>
      <w:r w:rsidRPr="00B7033A">
        <w:rPr>
          <w:lang w:val="es-ES"/>
        </w:rPr>
        <w:tab/>
      </w:r>
      <w:r w:rsidRPr="0085154F">
        <w:rPr>
          <w:rStyle w:val="FootnoteReference"/>
          <w:lang w:val="es-ES_tradnl"/>
        </w:rPr>
        <w:footnoteRef/>
      </w:r>
      <w:r w:rsidRPr="0085154F">
        <w:rPr>
          <w:lang w:val="es-ES_tradnl"/>
        </w:rPr>
        <w:tab/>
        <w:t>Artículo 17</w:t>
      </w:r>
      <w:r>
        <w:rPr>
          <w:lang w:val="es-ES_tradnl"/>
        </w:rPr>
        <w:t>, párrafo</w:t>
      </w:r>
      <w:r w:rsidRPr="0085154F">
        <w:rPr>
          <w:lang w:val="es-ES_tradnl"/>
        </w:rPr>
        <w:t xml:space="preserve"> 2)</w:t>
      </w:r>
      <w:r>
        <w:rPr>
          <w:lang w:val="es-ES_tradnl"/>
        </w:rPr>
        <w:t>,</w:t>
      </w:r>
      <w:r w:rsidRPr="0085154F">
        <w:rPr>
          <w:lang w:val="es-ES_tradnl"/>
        </w:rPr>
        <w:t xml:space="preserve"> de la Ley de la Infancia, 2009, y artículo 108</w:t>
      </w:r>
      <w:r>
        <w:rPr>
          <w:lang w:val="es-ES_tradnl"/>
        </w:rPr>
        <w:t>, párrafo</w:t>
      </w:r>
      <w:r w:rsidRPr="0085154F">
        <w:rPr>
          <w:lang w:val="es-ES_tradnl"/>
        </w:rPr>
        <w:t xml:space="preserve"> 2)</w:t>
      </w:r>
      <w:r>
        <w:rPr>
          <w:lang w:val="es-ES_tradnl"/>
        </w:rPr>
        <w:t>,</w:t>
      </w:r>
      <w:r w:rsidRPr="0085154F">
        <w:rPr>
          <w:lang w:val="es-ES_tradnl"/>
        </w:rPr>
        <w:t xml:space="preserve"> de la Ley del Niño de Zanzíbar, 2011.</w:t>
      </w:r>
    </w:p>
  </w:footnote>
  <w:footnote w:id="87">
    <w:p w:rsidR="007A7B3A" w:rsidRPr="0085154F" w:rsidRDefault="007A7B3A" w:rsidP="00F96520">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t>Sección 95 E.R. 2002.</w:t>
      </w:r>
    </w:p>
  </w:footnote>
  <w:footnote w:id="88">
    <w:p w:rsidR="007A7B3A" w:rsidRPr="0085154F" w:rsidRDefault="007A7B3A" w:rsidP="00F96520">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t>Artículo 144</w:t>
      </w:r>
      <w:r>
        <w:rPr>
          <w:lang w:val="es-ES_tradnl"/>
        </w:rPr>
        <w:t>, párrafo</w:t>
      </w:r>
      <w:r w:rsidRPr="0085154F">
        <w:rPr>
          <w:lang w:val="es-ES_tradnl"/>
        </w:rPr>
        <w:t xml:space="preserve"> 1)</w:t>
      </w:r>
      <w:r>
        <w:rPr>
          <w:lang w:val="es-ES_tradnl"/>
        </w:rPr>
        <w:t>,</w:t>
      </w:r>
      <w:r w:rsidRPr="0085154F">
        <w:rPr>
          <w:lang w:val="es-ES_tradnl"/>
        </w:rPr>
        <w:t xml:space="preserve"> de la Ley de la Infancia.</w:t>
      </w:r>
    </w:p>
  </w:footnote>
  <w:footnote w:id="89">
    <w:p w:rsidR="007A7B3A" w:rsidRPr="00B7033A" w:rsidRDefault="007A7B3A" w:rsidP="00F96520">
      <w:pPr>
        <w:pStyle w:val="FootnoteText"/>
        <w:rPr>
          <w:lang w:val="es-ES"/>
        </w:rPr>
      </w:pPr>
      <w:r w:rsidRPr="0085154F">
        <w:rPr>
          <w:lang w:val="es-ES_tradnl"/>
        </w:rPr>
        <w:tab/>
      </w:r>
      <w:r w:rsidRPr="0085154F">
        <w:rPr>
          <w:rStyle w:val="FootnoteReference"/>
          <w:lang w:val="es-ES_tradnl"/>
        </w:rPr>
        <w:footnoteRef/>
      </w:r>
      <w:r w:rsidRPr="0085154F">
        <w:rPr>
          <w:lang w:val="es-ES_tradnl"/>
        </w:rPr>
        <w:tab/>
        <w:t>Artículo</w:t>
      </w:r>
      <w:r>
        <w:rPr>
          <w:lang w:val="es-ES_tradnl"/>
        </w:rPr>
        <w:t xml:space="preserve"> </w:t>
      </w:r>
      <w:r w:rsidRPr="0085154F">
        <w:rPr>
          <w:lang w:val="es-ES_tradnl"/>
        </w:rPr>
        <w:t>19</w:t>
      </w:r>
      <w:r>
        <w:rPr>
          <w:lang w:val="es-ES_tradnl"/>
        </w:rPr>
        <w:t>, párrafo</w:t>
      </w:r>
      <w:r w:rsidRPr="0085154F">
        <w:rPr>
          <w:lang w:val="es-ES_tradnl"/>
        </w:rPr>
        <w:t xml:space="preserve"> 2) d)</w:t>
      </w:r>
      <w:r>
        <w:rPr>
          <w:lang w:val="es-ES_tradnl"/>
        </w:rPr>
        <w:t>,</w:t>
      </w:r>
      <w:r w:rsidRPr="0085154F">
        <w:rPr>
          <w:lang w:val="es-ES_tradnl"/>
        </w:rPr>
        <w:t xml:space="preserve"> de la Ley del Niño de Zanzíbar.</w:t>
      </w:r>
      <w:r w:rsidRPr="00B7033A">
        <w:rPr>
          <w:lang w:val="es-ES"/>
        </w:rPr>
        <w:t xml:space="preserve"> </w:t>
      </w:r>
    </w:p>
  </w:footnote>
  <w:footnote w:id="90">
    <w:p w:rsidR="007A7B3A" w:rsidRPr="0085154F" w:rsidRDefault="007A7B3A" w:rsidP="00F96520">
      <w:pPr>
        <w:pStyle w:val="FootnoteText"/>
        <w:rPr>
          <w:lang w:val="es-ES_tradnl"/>
        </w:rPr>
      </w:pPr>
      <w:r w:rsidRPr="00B7033A">
        <w:rPr>
          <w:lang w:val="es-ES"/>
        </w:rPr>
        <w:tab/>
      </w:r>
      <w:r w:rsidRPr="0085154F">
        <w:rPr>
          <w:rStyle w:val="FootnoteReference"/>
          <w:rFonts w:eastAsia="SimHei"/>
          <w:lang w:val="es-ES_tradnl"/>
        </w:rPr>
        <w:footnoteRef/>
      </w:r>
      <w:r w:rsidRPr="0085154F">
        <w:rPr>
          <w:lang w:val="es-ES_tradnl"/>
        </w:rPr>
        <w:tab/>
        <w:t xml:space="preserve">Artículo 35 de la Ley de Educación, sección 353 E.R. 2002. En virtud de la Ley de Educación de Zanzíbar de 1982, la educación gratuita y obligatoria comprende siete cursos de educación primaria y tres cursos de educación secundaria. </w:t>
      </w:r>
    </w:p>
  </w:footnote>
  <w:footnote w:id="91">
    <w:p w:rsidR="007A7B3A" w:rsidRPr="0085154F" w:rsidRDefault="007A7B3A" w:rsidP="00F96520">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t xml:space="preserve">En particular, la regla 3 de las Reglas de matriculación y asistencia obligatoria a la escuela primaria (1979) (N.G. Nº 280 de 2002) dispone que </w:t>
      </w:r>
      <w:r>
        <w:rPr>
          <w:lang w:val="es-ES_tradnl"/>
        </w:rPr>
        <w:t>"</w:t>
      </w:r>
      <w:r w:rsidRPr="0085154F">
        <w:rPr>
          <w:lang w:val="es-ES_tradnl"/>
        </w:rPr>
        <w:t>La matriculación y asistencia regular de todos los niños a la escuela primaria será obligatoria a partir de la fecha de entrada en vigor</w:t>
      </w:r>
      <w:r>
        <w:rPr>
          <w:lang w:val="es-ES_tradnl"/>
        </w:rPr>
        <w:t>,</w:t>
      </w:r>
      <w:r w:rsidRPr="0085154F">
        <w:rPr>
          <w:lang w:val="es-ES_tradnl"/>
        </w:rPr>
        <w:t xml:space="preserve"> y todos los niños que estén matriculados en cualquier escuela primaria asistirán a la escuela hasta haber concluido la educación primaria</w:t>
      </w:r>
      <w:r>
        <w:rPr>
          <w:lang w:val="es-ES_tradnl"/>
        </w:rPr>
        <w:t>"</w:t>
      </w:r>
      <w:r w:rsidRPr="0085154F">
        <w:rPr>
          <w:lang w:val="es-ES_tradnl"/>
        </w:rPr>
        <w:t xml:space="preserve">. </w:t>
      </w:r>
    </w:p>
  </w:footnote>
  <w:footnote w:id="92">
    <w:p w:rsidR="007A7B3A" w:rsidRPr="0085154F" w:rsidRDefault="007A7B3A" w:rsidP="00F96520">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r>
      <w:r w:rsidRPr="00A925BF">
        <w:rPr>
          <w:i/>
          <w:lang w:val="es-ES_tradnl"/>
        </w:rPr>
        <w:t>Ibid.</w:t>
      </w:r>
      <w:r w:rsidRPr="0085154F">
        <w:rPr>
          <w:lang w:val="es-ES_tradnl"/>
        </w:rPr>
        <w:t>, regla 6 1).</w:t>
      </w:r>
    </w:p>
  </w:footnote>
  <w:footnote w:id="93">
    <w:p w:rsidR="007A7B3A" w:rsidRPr="0085154F" w:rsidRDefault="007A7B3A" w:rsidP="00F96520">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r>
      <w:r w:rsidRPr="00A925BF">
        <w:rPr>
          <w:i/>
          <w:lang w:val="es-ES_tradnl"/>
        </w:rPr>
        <w:t>Ibid.</w:t>
      </w:r>
      <w:r w:rsidRPr="0085154F">
        <w:rPr>
          <w:lang w:val="es-ES_tradnl"/>
        </w:rPr>
        <w:t>, regla 6 2).</w:t>
      </w:r>
    </w:p>
  </w:footnote>
  <w:footnote w:id="94">
    <w:p w:rsidR="007A7B3A" w:rsidRPr="00B7033A" w:rsidRDefault="007A7B3A" w:rsidP="00F96520">
      <w:pPr>
        <w:pStyle w:val="FootnoteText"/>
        <w:rPr>
          <w:lang w:val="es-ES"/>
        </w:rPr>
      </w:pPr>
      <w:r w:rsidRPr="0085154F">
        <w:rPr>
          <w:lang w:val="es-ES_tradnl"/>
        </w:rPr>
        <w:tab/>
      </w:r>
      <w:r w:rsidRPr="0085154F">
        <w:rPr>
          <w:rStyle w:val="FootnoteReference"/>
          <w:lang w:val="es-ES_tradnl"/>
        </w:rPr>
        <w:footnoteRef/>
      </w:r>
      <w:r w:rsidRPr="0085154F">
        <w:rPr>
          <w:lang w:val="es-ES_tradnl"/>
        </w:rPr>
        <w:tab/>
        <w:t>Gobierno Revolucionario de Zanzíbar, Sera na Uratibu wa Uchangiaji wa Gharama za Elimu katika Skuli za Serikali. Mwongozo wa Kazi Na. 10, Toleo la 1999. Zanzíbar: Ministerio de Educación, 1999. Artículo 102.1</w:t>
      </w:r>
      <w:r>
        <w:rPr>
          <w:lang w:val="es-ES_tradnl"/>
        </w:rPr>
        <w:t>.ii</w:t>
      </w:r>
      <w:r w:rsidRPr="0085154F">
        <w:rPr>
          <w:lang w:val="es-ES_tradnl"/>
        </w:rPr>
        <w:t>.</w:t>
      </w:r>
    </w:p>
  </w:footnote>
  <w:footnote w:id="95">
    <w:p w:rsidR="007A7B3A" w:rsidRPr="0085154F" w:rsidRDefault="007A7B3A" w:rsidP="00D2135E">
      <w:pPr>
        <w:pStyle w:val="FootnoteText"/>
        <w:rPr>
          <w:lang w:val="es-ES_tradnl"/>
        </w:rPr>
      </w:pPr>
      <w:r w:rsidRPr="00B7033A">
        <w:rPr>
          <w:lang w:val="es-ES"/>
        </w:rPr>
        <w:tab/>
      </w:r>
      <w:r w:rsidRPr="0085154F">
        <w:rPr>
          <w:rStyle w:val="FootnoteReference"/>
          <w:lang w:val="es-ES_tradnl"/>
        </w:rPr>
        <w:footnoteRef/>
      </w:r>
      <w:r w:rsidRPr="0085154F">
        <w:rPr>
          <w:lang w:val="es-ES_tradnl"/>
        </w:rPr>
        <w:tab/>
        <w:t>Artículo 8</w:t>
      </w:r>
      <w:r>
        <w:rPr>
          <w:lang w:val="es-ES_tradnl"/>
        </w:rPr>
        <w:t>, párrafo</w:t>
      </w:r>
      <w:r w:rsidRPr="0085154F">
        <w:rPr>
          <w:lang w:val="es-ES_tradnl"/>
        </w:rPr>
        <w:t xml:space="preserve"> 1) e)</w:t>
      </w:r>
      <w:r>
        <w:rPr>
          <w:lang w:val="es-ES_tradnl"/>
        </w:rPr>
        <w:t>,</w:t>
      </w:r>
      <w:r w:rsidRPr="0085154F">
        <w:rPr>
          <w:lang w:val="es-ES_tradnl"/>
        </w:rPr>
        <w:t xml:space="preserve"> de la Ley de la Infancia (2009) y artículo 12</w:t>
      </w:r>
      <w:r>
        <w:rPr>
          <w:lang w:val="es-ES_tradnl"/>
        </w:rPr>
        <w:t>, párrafo</w:t>
      </w:r>
      <w:r w:rsidRPr="0085154F">
        <w:rPr>
          <w:lang w:val="es-ES_tradnl"/>
        </w:rPr>
        <w:t xml:space="preserve"> 1)</w:t>
      </w:r>
      <w:r>
        <w:rPr>
          <w:lang w:val="es-ES_tradnl"/>
        </w:rPr>
        <w:t>,</w:t>
      </w:r>
      <w:r w:rsidRPr="0085154F">
        <w:rPr>
          <w:lang w:val="es-ES_tradnl"/>
        </w:rPr>
        <w:t xml:space="preserve"> de la Ley del Niño de Zanzíbar. </w:t>
      </w:r>
    </w:p>
  </w:footnote>
  <w:footnote w:id="96">
    <w:p w:rsidR="007A7B3A" w:rsidRPr="00B7033A" w:rsidRDefault="007A7B3A" w:rsidP="00D2135E">
      <w:pPr>
        <w:pStyle w:val="FootnoteText"/>
        <w:rPr>
          <w:lang w:val="es-ES"/>
        </w:rPr>
      </w:pPr>
      <w:r w:rsidRPr="0085154F">
        <w:rPr>
          <w:lang w:val="es-ES_tradnl"/>
        </w:rPr>
        <w:tab/>
      </w:r>
      <w:r w:rsidRPr="0085154F">
        <w:rPr>
          <w:rStyle w:val="FootnoteReference"/>
          <w:lang w:val="es-ES_tradnl"/>
        </w:rPr>
        <w:footnoteRef/>
      </w:r>
      <w:r w:rsidRPr="0085154F">
        <w:rPr>
          <w:lang w:val="es-ES_tradnl"/>
        </w:rPr>
        <w:tab/>
        <w:t xml:space="preserve">Las anteriores directrices no obstante, el Estado parte está identificando ocho escuelas universitarias de magisterio que se ocuparán de formar a maestros de educación preescolar. Asimismo, tres universidades imparten títulos en desarrollo del niño en la primera infancia. Por otra parte, el número de maestros en formación ha ido en aumento a lo largo del </w:t>
      </w:r>
      <w:r>
        <w:rPr>
          <w:lang w:val="es-ES_tradnl"/>
        </w:rPr>
        <w:t>período</w:t>
      </w:r>
      <w:r w:rsidRPr="0085154F">
        <w:rPr>
          <w:lang w:val="es-ES_tradnl"/>
        </w:rPr>
        <w:t xml:space="preserve"> comprendido entre 2006 y 2011, según se expone en los anexos a este informe.</w:t>
      </w:r>
      <w:r w:rsidRPr="00B7033A">
        <w:rPr>
          <w:lang w:val="es-ES"/>
        </w:rPr>
        <w:t xml:space="preserve"> </w:t>
      </w:r>
    </w:p>
  </w:footnote>
  <w:footnote w:id="97">
    <w:p w:rsidR="007A7B3A" w:rsidRPr="0085154F" w:rsidRDefault="007A7B3A" w:rsidP="00D2135E">
      <w:pPr>
        <w:pStyle w:val="FootnoteText"/>
        <w:rPr>
          <w:lang w:val="es-ES_tradnl"/>
        </w:rPr>
      </w:pPr>
      <w:r w:rsidRPr="00B7033A">
        <w:rPr>
          <w:lang w:val="es-ES"/>
        </w:rPr>
        <w:tab/>
      </w:r>
      <w:r w:rsidRPr="0085154F">
        <w:rPr>
          <w:rStyle w:val="FootnoteReference"/>
          <w:lang w:val="es-ES_tradnl"/>
        </w:rPr>
        <w:footnoteRef/>
      </w:r>
      <w:r w:rsidRPr="0085154F">
        <w:rPr>
          <w:lang w:val="es-ES_tradnl"/>
        </w:rPr>
        <w:tab/>
        <w:t xml:space="preserve">Ley Nº 8 de 2006. </w:t>
      </w:r>
    </w:p>
  </w:footnote>
  <w:footnote w:id="98">
    <w:p w:rsidR="007A7B3A" w:rsidRPr="00B7033A" w:rsidRDefault="007A7B3A" w:rsidP="00153B23">
      <w:pPr>
        <w:pStyle w:val="FootnoteText"/>
        <w:rPr>
          <w:lang w:val="es-ES"/>
        </w:rPr>
      </w:pPr>
      <w:r w:rsidRPr="0085154F">
        <w:rPr>
          <w:lang w:val="es-ES_tradnl"/>
        </w:rPr>
        <w:tab/>
      </w:r>
      <w:r w:rsidRPr="0085154F">
        <w:rPr>
          <w:rStyle w:val="FootnoteReference"/>
          <w:lang w:val="es-ES_tradnl"/>
        </w:rPr>
        <w:footnoteRef/>
      </w:r>
      <w:r w:rsidRPr="0085154F">
        <w:rPr>
          <w:lang w:val="es-ES_tradnl"/>
        </w:rPr>
        <w:tab/>
        <w:t>Sección 82 E.R. 2002.</w:t>
      </w:r>
    </w:p>
  </w:footnote>
  <w:footnote w:id="99">
    <w:p w:rsidR="007A7B3A" w:rsidRPr="0085154F" w:rsidRDefault="007A7B3A" w:rsidP="0085154F">
      <w:pPr>
        <w:pStyle w:val="FootnoteText"/>
        <w:rPr>
          <w:lang w:val="es-ES_tradnl"/>
        </w:rPr>
      </w:pPr>
      <w:r w:rsidRPr="00B7033A">
        <w:rPr>
          <w:lang w:val="es-ES"/>
        </w:rPr>
        <w:tab/>
      </w:r>
      <w:r w:rsidRPr="0085154F">
        <w:rPr>
          <w:rStyle w:val="FootnoteReference"/>
          <w:lang w:val="es-ES_tradnl"/>
        </w:rPr>
        <w:footnoteRef/>
      </w:r>
      <w:r w:rsidRPr="0085154F">
        <w:rPr>
          <w:lang w:val="es-ES_tradnl"/>
        </w:rPr>
        <w:tab/>
        <w:t>Sección 192 E.R. 2002.</w:t>
      </w:r>
    </w:p>
  </w:footnote>
  <w:footnote w:id="100">
    <w:p w:rsidR="007A7B3A" w:rsidRPr="0085154F" w:rsidRDefault="007A7B3A" w:rsidP="0085154F">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t xml:space="preserve">Artículo 80 de la Ley de la Infancia y artículo 102 de la Ley del Niño de Zanzíbar. </w:t>
      </w:r>
    </w:p>
  </w:footnote>
  <w:footnote w:id="101">
    <w:p w:rsidR="007A7B3A" w:rsidRPr="0085154F" w:rsidRDefault="007A7B3A" w:rsidP="0085154F">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t xml:space="preserve">Artículo 78 de la Ley de la Infancia y artículo 99 de la Ley del Niño de Zanzíbar. </w:t>
      </w:r>
    </w:p>
  </w:footnote>
  <w:footnote w:id="102">
    <w:p w:rsidR="007A7B3A" w:rsidRPr="0085154F" w:rsidRDefault="007A7B3A" w:rsidP="00D2135E">
      <w:pPr>
        <w:pStyle w:val="FootnoteText"/>
        <w:rPr>
          <w:lang w:val="es-ES_tradnl"/>
        </w:rPr>
      </w:pPr>
      <w:r w:rsidRPr="00B7033A">
        <w:rPr>
          <w:lang w:val="es-ES"/>
        </w:rPr>
        <w:tab/>
      </w:r>
      <w:r w:rsidRPr="0085154F">
        <w:rPr>
          <w:rStyle w:val="FootnoteReference"/>
          <w:lang w:val="es-ES_tradnl"/>
        </w:rPr>
        <w:footnoteRef/>
      </w:r>
      <w:r w:rsidRPr="0085154F">
        <w:rPr>
          <w:lang w:val="es-ES_tradnl"/>
        </w:rPr>
        <w:tab/>
        <w:t>Sección 223 E.R. 2002.</w:t>
      </w:r>
    </w:p>
  </w:footnote>
  <w:footnote w:id="103">
    <w:p w:rsidR="007A7B3A" w:rsidRPr="00B7033A" w:rsidRDefault="007A7B3A" w:rsidP="00D2135E">
      <w:pPr>
        <w:pStyle w:val="FootnoteText"/>
        <w:rPr>
          <w:lang w:val="es-ES"/>
        </w:rPr>
      </w:pPr>
      <w:r>
        <w:rPr>
          <w:lang w:val="es-ES_tradnl"/>
        </w:rPr>
        <w:tab/>
      </w:r>
      <w:r w:rsidRPr="0085154F">
        <w:rPr>
          <w:rStyle w:val="FootnoteReference"/>
          <w:lang w:val="es-ES_tradnl"/>
        </w:rPr>
        <w:footnoteRef/>
      </w:r>
      <w:r w:rsidRPr="0085154F">
        <w:rPr>
          <w:lang w:val="es-ES_tradnl"/>
        </w:rPr>
        <w:tab/>
        <w:t xml:space="preserve">República Unida de Tanzanía, </w:t>
      </w:r>
      <w:r w:rsidRPr="0085154F">
        <w:rPr>
          <w:i/>
          <w:lang w:val="es-ES_tradnl"/>
        </w:rPr>
        <w:t>Survey on the Street involved Children and Youth in Tanzania 2009</w:t>
      </w:r>
      <w:r w:rsidRPr="0085154F">
        <w:rPr>
          <w:lang w:val="es-ES_tradnl"/>
        </w:rPr>
        <w:t xml:space="preserve"> (</w:t>
      </w:r>
      <w:r>
        <w:rPr>
          <w:lang w:val="es-ES_tradnl"/>
        </w:rPr>
        <w:t>"</w:t>
      </w:r>
      <w:r w:rsidRPr="0085154F">
        <w:rPr>
          <w:lang w:val="es-ES_tradnl"/>
        </w:rPr>
        <w:t xml:space="preserve">Encuesta sobre los </w:t>
      </w:r>
      <w:r>
        <w:rPr>
          <w:lang w:val="es-ES_tradnl"/>
        </w:rPr>
        <w:t xml:space="preserve">niños y jóvenes de la calle en </w:t>
      </w:r>
      <w:r w:rsidRPr="0085154F">
        <w:rPr>
          <w:lang w:val="es-ES_tradnl"/>
        </w:rPr>
        <w:t>Tanzanía, 2009</w:t>
      </w:r>
      <w:r>
        <w:rPr>
          <w:lang w:val="es-ES_tradnl"/>
        </w:rPr>
        <w:t>"</w:t>
      </w:r>
      <w:r w:rsidRPr="0085154F">
        <w:rPr>
          <w:lang w:val="es-ES_tradnl"/>
        </w:rPr>
        <w:t>), Dar es Salaam: Ministerio de Desarrollo Comunitario, de Asuntos de Género y del Niño/</w:t>
      </w:r>
      <w:r w:rsidRPr="0085154F">
        <w:rPr>
          <w:i/>
          <w:lang w:val="es-ES_tradnl"/>
        </w:rPr>
        <w:t>Consortium for Street Children</w:t>
      </w:r>
      <w:r w:rsidRPr="0085154F">
        <w:rPr>
          <w:lang w:val="es-ES_tradnl"/>
        </w:rPr>
        <w:t>, 31 de diciembre de 2009.</w:t>
      </w:r>
    </w:p>
  </w:footnote>
  <w:footnote w:id="104">
    <w:p w:rsidR="007A7B3A" w:rsidRPr="0085154F" w:rsidRDefault="007A7B3A" w:rsidP="00D2135E">
      <w:pPr>
        <w:pStyle w:val="FootnoteText"/>
        <w:rPr>
          <w:lang w:val="es-ES_tradnl"/>
        </w:rPr>
      </w:pPr>
      <w:r w:rsidRPr="00B7033A">
        <w:rPr>
          <w:lang w:val="es-ES"/>
        </w:rPr>
        <w:tab/>
      </w:r>
      <w:r w:rsidRPr="0085154F">
        <w:rPr>
          <w:rStyle w:val="FootnoteReference"/>
          <w:lang w:val="es-ES_tradnl"/>
        </w:rPr>
        <w:footnoteRef/>
      </w:r>
      <w:r w:rsidRPr="0085154F">
        <w:rPr>
          <w:lang w:val="es-ES_tradnl"/>
        </w:rPr>
        <w:tab/>
        <w:t>Ley Nº 6 de 2004.</w:t>
      </w:r>
    </w:p>
  </w:footnote>
  <w:footnote w:id="105">
    <w:p w:rsidR="007A7B3A" w:rsidRPr="0085154F" w:rsidRDefault="007A7B3A" w:rsidP="00D2135E">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t>Ley Nº 7 de 2004.</w:t>
      </w:r>
    </w:p>
  </w:footnote>
  <w:footnote w:id="106">
    <w:p w:rsidR="007A7B3A" w:rsidRPr="0085154F" w:rsidRDefault="007A7B3A" w:rsidP="00D2135E">
      <w:pPr>
        <w:pStyle w:val="FootnoteText"/>
        <w:rPr>
          <w:lang w:val="es-ES_tradnl"/>
        </w:rPr>
      </w:pPr>
      <w:r w:rsidRPr="0085154F">
        <w:rPr>
          <w:lang w:val="es-ES_tradnl"/>
        </w:rPr>
        <w:tab/>
      </w:r>
      <w:r w:rsidRPr="0085154F">
        <w:rPr>
          <w:rStyle w:val="FootnoteReference"/>
          <w:lang w:val="es-ES_tradnl"/>
        </w:rPr>
        <w:footnoteRef/>
      </w:r>
      <w:r w:rsidRPr="0085154F">
        <w:rPr>
          <w:lang w:val="es-ES_tradnl"/>
        </w:rPr>
        <w:tab/>
        <w:t>Ley Nº 1 de 2005.</w:t>
      </w:r>
    </w:p>
  </w:footnote>
  <w:footnote w:id="107">
    <w:p w:rsidR="007A7B3A" w:rsidRPr="00B7033A" w:rsidRDefault="007A7B3A" w:rsidP="00D2135E">
      <w:pPr>
        <w:pStyle w:val="FootnoteText"/>
        <w:rPr>
          <w:lang w:val="es-ES"/>
        </w:rPr>
      </w:pPr>
      <w:r w:rsidRPr="0085154F">
        <w:rPr>
          <w:lang w:val="es-ES_tradnl"/>
        </w:rPr>
        <w:tab/>
      </w:r>
      <w:r w:rsidRPr="0085154F">
        <w:rPr>
          <w:rStyle w:val="FootnoteReference"/>
          <w:lang w:val="es-ES_tradnl"/>
        </w:rPr>
        <w:footnoteRef/>
      </w:r>
      <w:r w:rsidRPr="0085154F">
        <w:rPr>
          <w:lang w:val="es-ES_tradnl"/>
        </w:rPr>
        <w:tab/>
        <w:t>L</w:t>
      </w:r>
      <w:r>
        <w:rPr>
          <w:lang w:val="es-ES_tradnl"/>
        </w:rPr>
        <w:t>e</w:t>
      </w:r>
      <w:r w:rsidRPr="0085154F">
        <w:rPr>
          <w:lang w:val="es-ES_tradnl"/>
        </w:rPr>
        <w:t>y Nº</w:t>
      </w:r>
      <w:r>
        <w:rPr>
          <w:lang w:val="es-ES_tradnl"/>
        </w:rPr>
        <w:t xml:space="preserve"> </w:t>
      </w:r>
      <w:r w:rsidRPr="0085154F">
        <w:rPr>
          <w:lang w:val="es-ES_tradnl"/>
        </w:rPr>
        <w:t>2 de 2005.</w:t>
      </w:r>
    </w:p>
  </w:footnote>
  <w:footnote w:id="108">
    <w:p w:rsidR="007A7B3A" w:rsidRPr="0085154F" w:rsidRDefault="007A7B3A" w:rsidP="00D2135E">
      <w:pPr>
        <w:pStyle w:val="FootnoteText"/>
        <w:rPr>
          <w:lang w:val="es-ES_tradnl"/>
        </w:rPr>
      </w:pPr>
      <w:r w:rsidRPr="00B7033A">
        <w:rPr>
          <w:lang w:val="es-ES"/>
        </w:rPr>
        <w:tab/>
      </w:r>
      <w:r w:rsidRPr="00153B23">
        <w:rPr>
          <w:rStyle w:val="FootnoteReference"/>
        </w:rPr>
        <w:footnoteRef/>
      </w:r>
      <w:r w:rsidRPr="00B7033A">
        <w:rPr>
          <w:lang w:val="es-ES"/>
        </w:rPr>
        <w:tab/>
      </w:r>
      <w:r w:rsidRPr="0085154F">
        <w:rPr>
          <w:lang w:val="es-ES_tradnl"/>
        </w:rPr>
        <w:t>Artículos 16 y 83 de la Ley de la Infancia.</w:t>
      </w:r>
    </w:p>
  </w:footnote>
  <w:footnote w:id="109">
    <w:p w:rsidR="007A7B3A" w:rsidRPr="00B7033A" w:rsidRDefault="007A7B3A" w:rsidP="00D2135E">
      <w:pPr>
        <w:pStyle w:val="FootnoteText"/>
        <w:rPr>
          <w:lang w:val="es-ES"/>
        </w:rPr>
      </w:pPr>
      <w:r w:rsidRPr="0085154F">
        <w:rPr>
          <w:lang w:val="es-ES_tradnl"/>
        </w:rPr>
        <w:tab/>
      </w:r>
      <w:r w:rsidRPr="0085154F">
        <w:rPr>
          <w:rStyle w:val="FootnoteReference"/>
          <w:lang w:val="es-ES_tradnl"/>
        </w:rPr>
        <w:footnoteRef/>
      </w:r>
      <w:r w:rsidRPr="0085154F">
        <w:rPr>
          <w:lang w:val="es-ES_tradnl"/>
        </w:rPr>
        <w:tab/>
        <w:t>Artículo 19 de la Ley del Niño de Zanzíbar.</w:t>
      </w:r>
      <w:r w:rsidRPr="00B7033A">
        <w:rPr>
          <w:lang w:val="es-ES"/>
        </w:rPr>
        <w:t xml:space="preserve"> </w:t>
      </w:r>
    </w:p>
  </w:footnote>
  <w:footnote w:id="110">
    <w:p w:rsidR="007A7B3A" w:rsidRPr="00662CEB" w:rsidRDefault="007A7B3A" w:rsidP="00D2135E">
      <w:pPr>
        <w:pStyle w:val="FootnoteText"/>
        <w:rPr>
          <w:lang w:val="es-ES_tradnl"/>
        </w:rPr>
      </w:pPr>
      <w:r w:rsidRPr="00B7033A">
        <w:rPr>
          <w:lang w:val="es-ES"/>
        </w:rPr>
        <w:tab/>
      </w:r>
      <w:r w:rsidRPr="00153B23">
        <w:rPr>
          <w:rStyle w:val="FootnoteReference"/>
        </w:rPr>
        <w:footnoteRef/>
      </w:r>
      <w:r w:rsidRPr="00B7033A">
        <w:rPr>
          <w:lang w:val="es-ES"/>
        </w:rPr>
        <w:tab/>
      </w:r>
      <w:r w:rsidRPr="00662CEB">
        <w:rPr>
          <w:lang w:val="es-ES_tradnl"/>
        </w:rPr>
        <w:t>Artículo 4 de la Ley de Lucha contra la Trata de Personas (2008).</w:t>
      </w:r>
    </w:p>
  </w:footnote>
  <w:footnote w:id="111">
    <w:p w:rsidR="007A7B3A" w:rsidRPr="00727D22" w:rsidRDefault="007A7B3A" w:rsidP="00662CEB">
      <w:pPr>
        <w:pStyle w:val="FootnoteText"/>
      </w:pPr>
      <w:r w:rsidRPr="00662CEB">
        <w:rPr>
          <w:lang w:val="es-ES_tradnl"/>
        </w:rPr>
        <w:tab/>
      </w:r>
      <w:r w:rsidRPr="00662CEB">
        <w:rPr>
          <w:rStyle w:val="FootnoteReference"/>
          <w:lang w:val="es-ES_tradnl"/>
        </w:rPr>
        <w:footnoteRef/>
      </w:r>
      <w:r w:rsidRPr="00727D22">
        <w:tab/>
      </w:r>
      <w:r w:rsidRPr="00727D22">
        <w:rPr>
          <w:i/>
        </w:rPr>
        <w:t>Ibid.</w:t>
      </w:r>
      <w:r w:rsidRPr="00727D22">
        <w:t>, art. 5.</w:t>
      </w:r>
    </w:p>
  </w:footnote>
  <w:footnote w:id="112">
    <w:p w:rsidR="007A7B3A" w:rsidRPr="00662CEB" w:rsidRDefault="007A7B3A" w:rsidP="00D2135E">
      <w:pPr>
        <w:pStyle w:val="FootnoteText"/>
        <w:rPr>
          <w:lang w:val="es-ES_tradnl"/>
        </w:rPr>
      </w:pPr>
      <w:r w:rsidRPr="00727D22">
        <w:tab/>
      </w:r>
      <w:r w:rsidRPr="00662CEB">
        <w:rPr>
          <w:rStyle w:val="FootnoteReference"/>
          <w:lang w:val="es-ES_tradnl"/>
        </w:rPr>
        <w:footnoteRef/>
      </w:r>
      <w:r w:rsidRPr="00727D22">
        <w:tab/>
        <w:t xml:space="preserve">African Child Policy Forum, </w:t>
      </w:r>
      <w:r w:rsidRPr="00727D22">
        <w:rPr>
          <w:i/>
        </w:rPr>
        <w:t>The African Report on Children Wellbeing 2011</w:t>
      </w:r>
      <w:r w:rsidRPr="00727D22">
        <w:t xml:space="preserve"> ("El informe de África sobre el bienestar infantil, 2011"). </w:t>
      </w:r>
      <w:r w:rsidRPr="00662CEB">
        <w:rPr>
          <w:i/>
          <w:lang w:val="es-ES_tradnl"/>
        </w:rPr>
        <w:t>Op. cit.</w:t>
      </w:r>
    </w:p>
  </w:footnote>
  <w:footnote w:id="113">
    <w:p w:rsidR="007A7B3A" w:rsidRPr="00662CEB" w:rsidRDefault="007A7B3A" w:rsidP="00662CEB">
      <w:pPr>
        <w:pStyle w:val="FootnoteText"/>
        <w:rPr>
          <w:lang w:val="es-ES_tradnl"/>
        </w:rPr>
      </w:pPr>
      <w:r w:rsidRPr="00B7033A">
        <w:rPr>
          <w:lang w:val="es-ES"/>
        </w:rPr>
        <w:tab/>
      </w:r>
      <w:r w:rsidRPr="00662CEB">
        <w:rPr>
          <w:rStyle w:val="FootnoteReference"/>
          <w:lang w:val="es-ES_tradnl"/>
        </w:rPr>
        <w:footnoteRef/>
      </w:r>
      <w:r w:rsidRPr="00662CEB">
        <w:rPr>
          <w:lang w:val="es-ES_tradnl"/>
        </w:rPr>
        <w:tab/>
        <w:t xml:space="preserve">Artículo 15 de la Ley de Lucha contra la Trata de Personas. </w:t>
      </w:r>
    </w:p>
  </w:footnote>
  <w:footnote w:id="114">
    <w:p w:rsidR="007A7B3A" w:rsidRPr="00662CEB" w:rsidRDefault="007A7B3A" w:rsidP="00662CEB">
      <w:pPr>
        <w:pStyle w:val="FootnoteText"/>
        <w:rPr>
          <w:lang w:val="es-ES_tradnl"/>
        </w:rPr>
      </w:pPr>
      <w:r w:rsidRPr="00662CEB">
        <w:rPr>
          <w:lang w:val="es-ES_tradnl"/>
        </w:rPr>
        <w:tab/>
      </w:r>
      <w:r w:rsidRPr="00662CEB">
        <w:rPr>
          <w:rStyle w:val="FootnoteReference"/>
          <w:lang w:val="es-ES_tradnl"/>
        </w:rPr>
        <w:footnoteRef/>
      </w:r>
      <w:r w:rsidRPr="00662CEB">
        <w:rPr>
          <w:lang w:val="es-ES_tradnl"/>
        </w:rPr>
        <w:tab/>
      </w:r>
      <w:r w:rsidRPr="00A925BF">
        <w:rPr>
          <w:i/>
          <w:lang w:val="es-ES_tradnl"/>
        </w:rPr>
        <w:t>Ibid.</w:t>
      </w:r>
      <w:r w:rsidRPr="00662CEB">
        <w:rPr>
          <w:lang w:val="es-ES_tradnl"/>
        </w:rPr>
        <w:t xml:space="preserve">, </w:t>
      </w:r>
      <w:r>
        <w:rPr>
          <w:lang w:val="es-ES_tradnl"/>
        </w:rPr>
        <w:t xml:space="preserve">art. </w:t>
      </w:r>
      <w:r w:rsidRPr="00662CEB">
        <w:rPr>
          <w:lang w:val="es-ES_tradnl"/>
        </w:rPr>
        <w:t>17.</w:t>
      </w:r>
    </w:p>
  </w:footnote>
  <w:footnote w:id="115">
    <w:p w:rsidR="007A7B3A" w:rsidRPr="00662CEB" w:rsidRDefault="007A7B3A" w:rsidP="00662CEB">
      <w:pPr>
        <w:pStyle w:val="FootnoteText"/>
        <w:rPr>
          <w:lang w:val="es-ES_tradnl"/>
        </w:rPr>
      </w:pPr>
      <w:r w:rsidRPr="00662CEB">
        <w:rPr>
          <w:lang w:val="es-ES_tradnl"/>
        </w:rPr>
        <w:tab/>
      </w:r>
      <w:r w:rsidRPr="00662CEB">
        <w:rPr>
          <w:rStyle w:val="FootnoteReference"/>
          <w:lang w:val="es-ES_tradnl"/>
        </w:rPr>
        <w:footnoteRef/>
      </w:r>
      <w:r w:rsidRPr="00662CEB">
        <w:rPr>
          <w:lang w:val="es-ES_tradnl"/>
        </w:rPr>
        <w:tab/>
      </w:r>
      <w:r w:rsidRPr="00A925BF">
        <w:rPr>
          <w:i/>
          <w:lang w:val="es-ES_tradnl"/>
        </w:rPr>
        <w:t>Ibid.</w:t>
      </w:r>
      <w:r w:rsidRPr="00662CEB">
        <w:rPr>
          <w:lang w:val="es-ES_tradnl"/>
        </w:rPr>
        <w:t xml:space="preserve">, </w:t>
      </w:r>
      <w:r>
        <w:rPr>
          <w:lang w:val="es-ES_tradnl"/>
        </w:rPr>
        <w:t xml:space="preserve">art. </w:t>
      </w:r>
      <w:r w:rsidRPr="00662CEB">
        <w:rPr>
          <w:lang w:val="es-ES_tradnl"/>
        </w:rPr>
        <w:t>19.</w:t>
      </w:r>
    </w:p>
  </w:footnote>
  <w:footnote w:id="116">
    <w:p w:rsidR="007A7B3A" w:rsidRPr="00662CEB" w:rsidRDefault="007A7B3A" w:rsidP="00662CEB">
      <w:pPr>
        <w:pStyle w:val="FootnoteText"/>
        <w:rPr>
          <w:lang w:val="es-ES_tradnl"/>
        </w:rPr>
      </w:pPr>
      <w:r w:rsidRPr="00662CEB">
        <w:rPr>
          <w:lang w:val="es-ES_tradnl"/>
        </w:rPr>
        <w:tab/>
      </w:r>
      <w:r w:rsidRPr="00662CEB">
        <w:rPr>
          <w:rStyle w:val="FootnoteReference"/>
          <w:lang w:val="es-ES_tradnl"/>
        </w:rPr>
        <w:footnoteRef/>
      </w:r>
      <w:r w:rsidRPr="00662CEB">
        <w:rPr>
          <w:lang w:val="es-ES_tradnl"/>
        </w:rPr>
        <w:tab/>
      </w:r>
      <w:r w:rsidRPr="00A925BF">
        <w:rPr>
          <w:i/>
          <w:lang w:val="es-ES_tradnl"/>
        </w:rPr>
        <w:t>Ibid.</w:t>
      </w:r>
      <w:r w:rsidRPr="00662CEB">
        <w:rPr>
          <w:lang w:val="es-ES_tradnl"/>
        </w:rPr>
        <w:t xml:space="preserve">, </w:t>
      </w:r>
      <w:r>
        <w:rPr>
          <w:lang w:val="es-ES_tradnl"/>
        </w:rPr>
        <w:t xml:space="preserve">art. </w:t>
      </w:r>
      <w:r w:rsidRPr="00662CEB">
        <w:rPr>
          <w:lang w:val="es-ES_tradnl"/>
        </w:rPr>
        <w:t>21.</w:t>
      </w:r>
    </w:p>
  </w:footnote>
  <w:footnote w:id="117">
    <w:p w:rsidR="007A7B3A" w:rsidRPr="00662CEB" w:rsidRDefault="007A7B3A" w:rsidP="00662CEB">
      <w:pPr>
        <w:pStyle w:val="FootnoteText"/>
        <w:rPr>
          <w:lang w:val="es-ES_tradnl"/>
        </w:rPr>
      </w:pPr>
      <w:r w:rsidRPr="00662CEB">
        <w:rPr>
          <w:lang w:val="es-ES_tradnl"/>
        </w:rPr>
        <w:tab/>
      </w:r>
      <w:r w:rsidRPr="00662CEB">
        <w:rPr>
          <w:rStyle w:val="FootnoteReference"/>
          <w:lang w:val="es-ES_tradnl"/>
        </w:rPr>
        <w:footnoteRef/>
      </w:r>
      <w:r w:rsidRPr="00662CEB">
        <w:rPr>
          <w:lang w:val="es-ES_tradnl"/>
        </w:rPr>
        <w:tab/>
      </w:r>
      <w:r w:rsidRPr="00A925BF">
        <w:rPr>
          <w:i/>
          <w:lang w:val="es-ES_tradnl"/>
        </w:rPr>
        <w:t>Ibid.</w:t>
      </w:r>
      <w:r w:rsidRPr="00662CEB">
        <w:rPr>
          <w:lang w:val="es-ES_tradnl"/>
        </w:rPr>
        <w:t xml:space="preserve">, </w:t>
      </w:r>
      <w:r>
        <w:rPr>
          <w:lang w:val="es-ES_tradnl"/>
        </w:rPr>
        <w:t xml:space="preserve">art. </w:t>
      </w:r>
      <w:r w:rsidRPr="00662CEB">
        <w:rPr>
          <w:lang w:val="es-ES_tradnl"/>
        </w:rPr>
        <w:t>23</w:t>
      </w:r>
      <w:r>
        <w:rPr>
          <w:lang w:val="es-ES_tradnl"/>
        </w:rPr>
        <w:t>.</w:t>
      </w:r>
    </w:p>
  </w:footnote>
  <w:footnote w:id="118">
    <w:p w:rsidR="007A7B3A" w:rsidRPr="00662CEB" w:rsidRDefault="007A7B3A" w:rsidP="00D2135E">
      <w:pPr>
        <w:pStyle w:val="FootnoteText"/>
        <w:rPr>
          <w:lang w:val="es-ES_tradnl"/>
        </w:rPr>
      </w:pPr>
      <w:r w:rsidRPr="00B7033A">
        <w:rPr>
          <w:lang w:val="es-ES"/>
        </w:rPr>
        <w:tab/>
      </w:r>
      <w:r w:rsidRPr="00153B23">
        <w:rPr>
          <w:rStyle w:val="FootnoteReference"/>
        </w:rPr>
        <w:footnoteRef/>
      </w:r>
      <w:r w:rsidRPr="00B7033A">
        <w:rPr>
          <w:lang w:val="es-ES"/>
        </w:rPr>
        <w:tab/>
      </w:r>
      <w:r w:rsidRPr="00662CEB">
        <w:rPr>
          <w:lang w:val="es-ES_tradnl"/>
        </w:rPr>
        <w:t>Parte IX (</w:t>
      </w:r>
      <w:r>
        <w:rPr>
          <w:lang w:val="es-ES_tradnl"/>
        </w:rPr>
        <w:t xml:space="preserve">arts. </w:t>
      </w:r>
      <w:r w:rsidRPr="00662CEB">
        <w:rPr>
          <w:lang w:val="es-ES_tradnl"/>
        </w:rPr>
        <w:t xml:space="preserve">97 a 120) de la Ley de la Infancia. </w:t>
      </w:r>
    </w:p>
  </w:footnote>
  <w:footnote w:id="119">
    <w:p w:rsidR="007A7B3A" w:rsidRPr="00B7033A" w:rsidRDefault="007A7B3A" w:rsidP="00D2135E">
      <w:pPr>
        <w:pStyle w:val="FootnoteText"/>
        <w:rPr>
          <w:lang w:val="es-ES"/>
        </w:rPr>
      </w:pPr>
      <w:r w:rsidRPr="00662CEB">
        <w:rPr>
          <w:lang w:val="es-ES_tradnl"/>
        </w:rPr>
        <w:tab/>
      </w:r>
      <w:r w:rsidRPr="00662CEB">
        <w:rPr>
          <w:rStyle w:val="FootnoteReference"/>
          <w:lang w:val="es-ES_tradnl"/>
        </w:rPr>
        <w:footnoteRef/>
      </w:r>
      <w:r w:rsidRPr="00662CEB">
        <w:rPr>
          <w:lang w:val="es-ES_tradnl"/>
        </w:rPr>
        <w:tab/>
        <w:t>Parte 5 (</w:t>
      </w:r>
      <w:r>
        <w:rPr>
          <w:lang w:val="es-ES_tradnl"/>
        </w:rPr>
        <w:t xml:space="preserve">arts. </w:t>
      </w:r>
      <w:r w:rsidRPr="00662CEB">
        <w:rPr>
          <w:lang w:val="es-ES_tradnl"/>
        </w:rPr>
        <w:t>35 a 54) de la Ley del Niño de Zanzíbar.</w:t>
      </w:r>
      <w:r w:rsidRPr="00B7033A">
        <w:rPr>
          <w:lang w:val="es-ES"/>
        </w:rPr>
        <w:t xml:space="preserve"> </w:t>
      </w:r>
    </w:p>
  </w:footnote>
  <w:footnote w:id="120">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t>Sección 58.</w:t>
      </w:r>
    </w:p>
  </w:footnote>
  <w:footnote w:id="121">
    <w:p w:rsidR="007A7B3A" w:rsidRPr="00B7033A" w:rsidRDefault="007A7B3A" w:rsidP="00F96520">
      <w:pPr>
        <w:pStyle w:val="FootnoteText"/>
        <w:rPr>
          <w:lang w:val="es-ES"/>
        </w:rPr>
      </w:pPr>
      <w:r w:rsidRPr="00B7033A">
        <w:rPr>
          <w:lang w:val="es-ES"/>
        </w:rPr>
        <w:tab/>
      </w:r>
      <w:r w:rsidRPr="00153B23">
        <w:rPr>
          <w:rStyle w:val="FootnoteReference"/>
        </w:rPr>
        <w:footnoteRef/>
      </w:r>
      <w:r w:rsidRPr="00B7033A">
        <w:rPr>
          <w:lang w:val="es-ES"/>
        </w:rPr>
        <w:tab/>
      </w:r>
      <w:r w:rsidRPr="00662CEB">
        <w:rPr>
          <w:lang w:val="es-ES_tradnl"/>
        </w:rPr>
        <w:t xml:space="preserve">República Unida de Tanzanía, </w:t>
      </w:r>
      <w:r w:rsidRPr="00662CEB">
        <w:rPr>
          <w:i/>
          <w:lang w:val="es-ES_tradnl"/>
        </w:rPr>
        <w:t>Inspection Report for Children in Detention Facilities in Tanzania</w:t>
      </w:r>
      <w:r w:rsidRPr="00662CEB">
        <w:rPr>
          <w:lang w:val="es-ES_tradnl"/>
        </w:rPr>
        <w:t xml:space="preserve"> (</w:t>
      </w:r>
      <w:r>
        <w:rPr>
          <w:lang w:val="es-ES_tradnl"/>
        </w:rPr>
        <w:t>"</w:t>
      </w:r>
      <w:r w:rsidRPr="00662CEB">
        <w:rPr>
          <w:lang w:val="es-ES_tradnl"/>
        </w:rPr>
        <w:t>Informe de inspección relativo a los niños en las instalaciones de detención de Tanzanía</w:t>
      </w:r>
      <w:r>
        <w:rPr>
          <w:lang w:val="es-ES_tradnl"/>
        </w:rPr>
        <w:t>"</w:t>
      </w:r>
      <w:r w:rsidRPr="00662CEB">
        <w:rPr>
          <w:lang w:val="es-ES_tradnl"/>
        </w:rPr>
        <w:t>). Dar</w:t>
      </w:r>
      <w:r>
        <w:rPr>
          <w:lang w:val="es-ES_tradnl"/>
        </w:rPr>
        <w:t> </w:t>
      </w:r>
      <w:r w:rsidRPr="00662CEB">
        <w:rPr>
          <w:lang w:val="es-ES_tradnl"/>
        </w:rPr>
        <w:t>es</w:t>
      </w:r>
      <w:r>
        <w:rPr>
          <w:lang w:val="es-ES_tradnl"/>
        </w:rPr>
        <w:t> </w:t>
      </w:r>
      <w:r w:rsidRPr="00662CEB">
        <w:rPr>
          <w:lang w:val="es-ES_tradnl"/>
        </w:rPr>
        <w:t>Salaam, Comisión de Derechos Humanos y Buen Gobierno, junio de 2011.</w:t>
      </w:r>
      <w:r w:rsidRPr="00B7033A">
        <w:rPr>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3A" w:rsidRPr="0028772E" w:rsidRDefault="007A7B3A">
    <w:pPr>
      <w:pStyle w:val="Header"/>
    </w:pPr>
    <w:r>
      <w:t>CRC/C/TZA/3-5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3A" w:rsidRPr="0028772E" w:rsidRDefault="007A7B3A" w:rsidP="0028772E">
    <w:pPr>
      <w:pStyle w:val="Header"/>
      <w:jc w:val="right"/>
    </w:pPr>
    <w:r>
      <w:t>CRC/C/TZA/3-5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3A" w:rsidRDefault="007A7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622199"/>
    <w:multiLevelType w:val="hybridMultilevel"/>
    <w:tmpl w:val="2BC0F462"/>
    <w:lvl w:ilvl="0" w:tplc="D36C5444">
      <w:start w:val="1"/>
      <w:numFmt w:val="decimal"/>
      <w:lvlText w:val="%1."/>
      <w:lvlJc w:val="left"/>
      <w:pPr>
        <w:tabs>
          <w:tab w:val="num" w:pos="-360"/>
        </w:tabs>
        <w:ind w:left="1494" w:hanging="360"/>
      </w:pPr>
      <w:rPr>
        <w:rFonts w:hint="default"/>
        <w:b w:val="0"/>
      </w:rPr>
    </w:lvl>
    <w:lvl w:ilvl="1" w:tplc="04090019" w:tentative="1">
      <w:start w:val="1"/>
      <w:numFmt w:val="lowerLetter"/>
      <w:lvlText w:val="%2."/>
      <w:lvlJc w:val="left"/>
      <w:pPr>
        <w:tabs>
          <w:tab w:val="num" w:pos="-91"/>
        </w:tabs>
        <w:ind w:left="-91" w:hanging="360"/>
      </w:pPr>
    </w:lvl>
    <w:lvl w:ilvl="2" w:tplc="0409001B" w:tentative="1">
      <w:start w:val="1"/>
      <w:numFmt w:val="lowerRoman"/>
      <w:lvlText w:val="%3."/>
      <w:lvlJc w:val="right"/>
      <w:pPr>
        <w:tabs>
          <w:tab w:val="num" w:pos="629"/>
        </w:tabs>
        <w:ind w:left="629" w:hanging="180"/>
      </w:pPr>
    </w:lvl>
    <w:lvl w:ilvl="3" w:tplc="0409000F" w:tentative="1">
      <w:start w:val="1"/>
      <w:numFmt w:val="decimal"/>
      <w:lvlText w:val="%4."/>
      <w:lvlJc w:val="left"/>
      <w:pPr>
        <w:tabs>
          <w:tab w:val="num" w:pos="1349"/>
        </w:tabs>
        <w:ind w:left="1349" w:hanging="360"/>
      </w:pPr>
    </w:lvl>
    <w:lvl w:ilvl="4" w:tplc="04090019" w:tentative="1">
      <w:start w:val="1"/>
      <w:numFmt w:val="lowerLetter"/>
      <w:lvlText w:val="%5."/>
      <w:lvlJc w:val="left"/>
      <w:pPr>
        <w:tabs>
          <w:tab w:val="num" w:pos="2069"/>
        </w:tabs>
        <w:ind w:left="2069" w:hanging="360"/>
      </w:pPr>
    </w:lvl>
    <w:lvl w:ilvl="5" w:tplc="0409001B" w:tentative="1">
      <w:start w:val="1"/>
      <w:numFmt w:val="lowerRoman"/>
      <w:lvlText w:val="%6."/>
      <w:lvlJc w:val="right"/>
      <w:pPr>
        <w:tabs>
          <w:tab w:val="num" w:pos="2789"/>
        </w:tabs>
        <w:ind w:left="2789" w:hanging="180"/>
      </w:pPr>
    </w:lvl>
    <w:lvl w:ilvl="6" w:tplc="0409000F" w:tentative="1">
      <w:start w:val="1"/>
      <w:numFmt w:val="decimal"/>
      <w:lvlText w:val="%7."/>
      <w:lvlJc w:val="left"/>
      <w:pPr>
        <w:tabs>
          <w:tab w:val="num" w:pos="3509"/>
        </w:tabs>
        <w:ind w:left="3509" w:hanging="360"/>
      </w:pPr>
    </w:lvl>
    <w:lvl w:ilvl="7" w:tplc="04090019" w:tentative="1">
      <w:start w:val="1"/>
      <w:numFmt w:val="lowerLetter"/>
      <w:lvlText w:val="%8."/>
      <w:lvlJc w:val="left"/>
      <w:pPr>
        <w:tabs>
          <w:tab w:val="num" w:pos="4229"/>
        </w:tabs>
        <w:ind w:left="4229" w:hanging="360"/>
      </w:pPr>
    </w:lvl>
    <w:lvl w:ilvl="8" w:tplc="0409001B" w:tentative="1">
      <w:start w:val="1"/>
      <w:numFmt w:val="lowerRoman"/>
      <w:lvlText w:val="%9."/>
      <w:lvlJc w:val="right"/>
      <w:pPr>
        <w:tabs>
          <w:tab w:val="num" w:pos="4949"/>
        </w:tabs>
        <w:ind w:left="4949" w:hanging="180"/>
      </w:pPr>
    </w:lvl>
  </w:abstractNum>
  <w:abstractNum w:abstractNumId="2">
    <w:nsid w:val="08710AC6"/>
    <w:multiLevelType w:val="hybridMultilevel"/>
    <w:tmpl w:val="42562EFC"/>
    <w:lvl w:ilvl="0" w:tplc="2A00B7BC">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08E85C39"/>
    <w:multiLevelType w:val="hybridMultilevel"/>
    <w:tmpl w:val="BD5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40E91"/>
    <w:multiLevelType w:val="hybridMultilevel"/>
    <w:tmpl w:val="56A0B91E"/>
    <w:lvl w:ilvl="0" w:tplc="45ECC202">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2573E64"/>
    <w:multiLevelType w:val="hybridMultilevel"/>
    <w:tmpl w:val="1DCEEB10"/>
    <w:lvl w:ilvl="0" w:tplc="E140FE5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1433268C"/>
    <w:multiLevelType w:val="hybridMultilevel"/>
    <w:tmpl w:val="08DC1D1E"/>
    <w:lvl w:ilvl="0" w:tplc="26EA49F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4F3931"/>
    <w:multiLevelType w:val="multilevel"/>
    <w:tmpl w:val="2BC0F462"/>
    <w:lvl w:ilvl="0">
      <w:start w:val="1"/>
      <w:numFmt w:val="decimal"/>
      <w:lvlText w:val="%1."/>
      <w:lvlJc w:val="left"/>
      <w:pPr>
        <w:tabs>
          <w:tab w:val="num" w:pos="-360"/>
        </w:tabs>
        <w:ind w:left="1494" w:hanging="360"/>
      </w:pPr>
      <w:rPr>
        <w:rFonts w:hint="default"/>
        <w:b w:val="0"/>
      </w:rPr>
    </w:lvl>
    <w:lvl w:ilvl="1">
      <w:start w:val="1"/>
      <w:numFmt w:val="lowerLetter"/>
      <w:lvlText w:val="%2."/>
      <w:lvlJc w:val="left"/>
      <w:pPr>
        <w:tabs>
          <w:tab w:val="num" w:pos="-91"/>
        </w:tabs>
        <w:ind w:left="-91" w:hanging="360"/>
      </w:pPr>
    </w:lvl>
    <w:lvl w:ilvl="2">
      <w:start w:val="1"/>
      <w:numFmt w:val="lowerRoman"/>
      <w:lvlText w:val="%3."/>
      <w:lvlJc w:val="right"/>
      <w:pPr>
        <w:tabs>
          <w:tab w:val="num" w:pos="629"/>
        </w:tabs>
        <w:ind w:left="629" w:hanging="180"/>
      </w:pPr>
    </w:lvl>
    <w:lvl w:ilvl="3">
      <w:start w:val="1"/>
      <w:numFmt w:val="decimal"/>
      <w:lvlText w:val="%4."/>
      <w:lvlJc w:val="left"/>
      <w:pPr>
        <w:tabs>
          <w:tab w:val="num" w:pos="1349"/>
        </w:tabs>
        <w:ind w:left="1349" w:hanging="360"/>
      </w:pPr>
    </w:lvl>
    <w:lvl w:ilvl="4">
      <w:start w:val="1"/>
      <w:numFmt w:val="lowerLetter"/>
      <w:lvlText w:val="%5."/>
      <w:lvlJc w:val="left"/>
      <w:pPr>
        <w:tabs>
          <w:tab w:val="num" w:pos="2069"/>
        </w:tabs>
        <w:ind w:left="2069" w:hanging="360"/>
      </w:pPr>
    </w:lvl>
    <w:lvl w:ilvl="5">
      <w:start w:val="1"/>
      <w:numFmt w:val="lowerRoman"/>
      <w:lvlText w:val="%6."/>
      <w:lvlJc w:val="right"/>
      <w:pPr>
        <w:tabs>
          <w:tab w:val="num" w:pos="2789"/>
        </w:tabs>
        <w:ind w:left="2789" w:hanging="180"/>
      </w:pPr>
    </w:lvl>
    <w:lvl w:ilvl="6">
      <w:start w:val="1"/>
      <w:numFmt w:val="decimal"/>
      <w:lvlText w:val="%7."/>
      <w:lvlJc w:val="left"/>
      <w:pPr>
        <w:tabs>
          <w:tab w:val="num" w:pos="3509"/>
        </w:tabs>
        <w:ind w:left="3509" w:hanging="360"/>
      </w:pPr>
    </w:lvl>
    <w:lvl w:ilvl="7">
      <w:start w:val="1"/>
      <w:numFmt w:val="lowerLetter"/>
      <w:lvlText w:val="%8."/>
      <w:lvlJc w:val="left"/>
      <w:pPr>
        <w:tabs>
          <w:tab w:val="num" w:pos="4229"/>
        </w:tabs>
        <w:ind w:left="4229" w:hanging="360"/>
      </w:pPr>
    </w:lvl>
    <w:lvl w:ilvl="8">
      <w:start w:val="1"/>
      <w:numFmt w:val="lowerRoman"/>
      <w:lvlText w:val="%9."/>
      <w:lvlJc w:val="right"/>
      <w:pPr>
        <w:tabs>
          <w:tab w:val="num" w:pos="4949"/>
        </w:tabs>
        <w:ind w:left="4949" w:hanging="180"/>
      </w:pPr>
    </w:lvl>
  </w:abstractNum>
  <w:abstractNum w:abstractNumId="8">
    <w:nsid w:val="1D9E00A6"/>
    <w:multiLevelType w:val="hybridMultilevel"/>
    <w:tmpl w:val="05025AB8"/>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
    <w:nsid w:val="1F9C6D14"/>
    <w:multiLevelType w:val="multilevel"/>
    <w:tmpl w:val="5308C0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BD15B4"/>
    <w:multiLevelType w:val="hybridMultilevel"/>
    <w:tmpl w:val="847C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15665"/>
    <w:multiLevelType w:val="multilevel"/>
    <w:tmpl w:val="8F0EAC50"/>
    <w:lvl w:ilvl="0">
      <w:start w:val="1"/>
      <w:numFmt w:val="decimal"/>
      <w:pStyle w:val="FRNumList2"/>
      <w:isLgl/>
      <w:suff w:val="nothing"/>
      <w:lvlText w:val=""/>
      <w:lvlJc w:val="left"/>
      <w:pPr>
        <w:ind w:left="432" w:hanging="432"/>
      </w:pPr>
    </w:lvl>
    <w:lvl w:ilvl="1">
      <w:start w:val="1"/>
      <w:numFmt w:val="decimal"/>
      <w:pStyle w:val="FRNumList3"/>
      <w:lvlText w:val="%2."/>
      <w:lvlJc w:val="left"/>
      <w:pPr>
        <w:ind w:left="360" w:hanging="360"/>
      </w:pPr>
    </w:lvl>
    <w:lvl w:ilvl="2">
      <w:start w:val="1"/>
      <w:numFmt w:val="lowerLetter"/>
      <w:pStyle w:val="FRNumList4"/>
      <w:lvlText w:val="%3."/>
      <w:lvlJc w:val="left"/>
      <w:pPr>
        <w:ind w:left="720" w:hanging="360"/>
      </w:pPr>
    </w:lvl>
    <w:lvl w:ilvl="3">
      <w:start w:val="1"/>
      <w:numFmt w:val="lowerRoman"/>
      <w:pStyle w:val="FRNumList5"/>
      <w:lvlText w:val="%4."/>
      <w:lvlJc w:val="left"/>
      <w:pPr>
        <w:ind w:left="1080" w:hanging="360"/>
      </w:pPr>
    </w:lvl>
    <w:lvl w:ilvl="4">
      <w:start w:val="1"/>
      <w:numFmt w:val="lowerLetter"/>
      <w:pStyle w:val="FRBulletList1"/>
      <w:lvlText w:val="%5)"/>
      <w:lvlJc w:val="left"/>
      <w:pPr>
        <w:ind w:left="1440" w:hanging="360"/>
      </w:pPr>
    </w:lvl>
    <w:lvl w:ilvl="5">
      <w:start w:val="1"/>
      <w:numFmt w:val="lowerRoman"/>
      <w:pStyle w:val="FRBulletList2"/>
      <w:lvlText w:val="%6)"/>
      <w:lvlJc w:val="left"/>
      <w:pPr>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64387E"/>
    <w:multiLevelType w:val="hybridMultilevel"/>
    <w:tmpl w:val="F28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52D0B"/>
    <w:multiLevelType w:val="hybridMultilevel"/>
    <w:tmpl w:val="8F1EE19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E533555"/>
    <w:multiLevelType w:val="multilevel"/>
    <w:tmpl w:val="2BC0F462"/>
    <w:lvl w:ilvl="0">
      <w:start w:val="1"/>
      <w:numFmt w:val="decimal"/>
      <w:lvlText w:val="%1."/>
      <w:lvlJc w:val="left"/>
      <w:pPr>
        <w:tabs>
          <w:tab w:val="num" w:pos="-360"/>
        </w:tabs>
        <w:ind w:left="1494" w:hanging="360"/>
      </w:pPr>
      <w:rPr>
        <w:rFonts w:hint="default"/>
        <w:b w:val="0"/>
      </w:rPr>
    </w:lvl>
    <w:lvl w:ilvl="1">
      <w:start w:val="1"/>
      <w:numFmt w:val="lowerLetter"/>
      <w:lvlText w:val="%2."/>
      <w:lvlJc w:val="left"/>
      <w:pPr>
        <w:tabs>
          <w:tab w:val="num" w:pos="-91"/>
        </w:tabs>
        <w:ind w:left="-91" w:hanging="360"/>
      </w:pPr>
    </w:lvl>
    <w:lvl w:ilvl="2">
      <w:start w:val="1"/>
      <w:numFmt w:val="lowerRoman"/>
      <w:lvlText w:val="%3."/>
      <w:lvlJc w:val="right"/>
      <w:pPr>
        <w:tabs>
          <w:tab w:val="num" w:pos="629"/>
        </w:tabs>
        <w:ind w:left="629" w:hanging="180"/>
      </w:pPr>
    </w:lvl>
    <w:lvl w:ilvl="3">
      <w:start w:val="1"/>
      <w:numFmt w:val="decimal"/>
      <w:lvlText w:val="%4."/>
      <w:lvlJc w:val="left"/>
      <w:pPr>
        <w:tabs>
          <w:tab w:val="num" w:pos="1349"/>
        </w:tabs>
        <w:ind w:left="1349" w:hanging="360"/>
      </w:pPr>
    </w:lvl>
    <w:lvl w:ilvl="4">
      <w:start w:val="1"/>
      <w:numFmt w:val="lowerLetter"/>
      <w:lvlText w:val="%5."/>
      <w:lvlJc w:val="left"/>
      <w:pPr>
        <w:tabs>
          <w:tab w:val="num" w:pos="2069"/>
        </w:tabs>
        <w:ind w:left="2069" w:hanging="360"/>
      </w:pPr>
    </w:lvl>
    <w:lvl w:ilvl="5">
      <w:start w:val="1"/>
      <w:numFmt w:val="lowerRoman"/>
      <w:lvlText w:val="%6."/>
      <w:lvlJc w:val="right"/>
      <w:pPr>
        <w:tabs>
          <w:tab w:val="num" w:pos="2789"/>
        </w:tabs>
        <w:ind w:left="2789" w:hanging="180"/>
      </w:pPr>
    </w:lvl>
    <w:lvl w:ilvl="6">
      <w:start w:val="1"/>
      <w:numFmt w:val="decimal"/>
      <w:lvlText w:val="%7."/>
      <w:lvlJc w:val="left"/>
      <w:pPr>
        <w:tabs>
          <w:tab w:val="num" w:pos="3509"/>
        </w:tabs>
        <w:ind w:left="3509" w:hanging="360"/>
      </w:pPr>
    </w:lvl>
    <w:lvl w:ilvl="7">
      <w:start w:val="1"/>
      <w:numFmt w:val="lowerLetter"/>
      <w:lvlText w:val="%8."/>
      <w:lvlJc w:val="left"/>
      <w:pPr>
        <w:tabs>
          <w:tab w:val="num" w:pos="4229"/>
        </w:tabs>
        <w:ind w:left="4229" w:hanging="360"/>
      </w:pPr>
    </w:lvl>
    <w:lvl w:ilvl="8">
      <w:start w:val="1"/>
      <w:numFmt w:val="lowerRoman"/>
      <w:lvlText w:val="%9."/>
      <w:lvlJc w:val="right"/>
      <w:pPr>
        <w:tabs>
          <w:tab w:val="num" w:pos="4949"/>
        </w:tabs>
        <w:ind w:left="4949" w:hanging="180"/>
      </w:pPr>
    </w:lvl>
  </w:abstractNum>
  <w:abstractNum w:abstractNumId="15">
    <w:nsid w:val="4087462C"/>
    <w:multiLevelType w:val="hybridMultilevel"/>
    <w:tmpl w:val="B8DAFD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5611B"/>
    <w:multiLevelType w:val="multilevel"/>
    <w:tmpl w:val="3530E812"/>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280"/>
        </w:tabs>
        <w:ind w:left="5280" w:hanging="72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7920"/>
        </w:tabs>
        <w:ind w:left="7920" w:hanging="108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60"/>
        </w:tabs>
        <w:ind w:left="10560" w:hanging="1440"/>
      </w:pPr>
      <w:rPr>
        <w:rFonts w:hint="default"/>
      </w:rPr>
    </w:lvl>
  </w:abstractNum>
  <w:abstractNum w:abstractNumId="17">
    <w:nsid w:val="42201730"/>
    <w:multiLevelType w:val="hybridMultilevel"/>
    <w:tmpl w:val="230E3DC6"/>
    <w:lvl w:ilvl="0" w:tplc="6930EF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00CE3"/>
    <w:multiLevelType w:val="multilevel"/>
    <w:tmpl w:val="DDD4B132"/>
    <w:lvl w:ilvl="0">
      <w:start w:val="1"/>
      <w:numFmt w:val="bullet"/>
      <w:lvlRestart w:val="0"/>
      <w:pStyle w:val="FRBulletList3"/>
      <w:lvlText w:val=""/>
      <w:lvlJc w:val="left"/>
      <w:pPr>
        <w:tabs>
          <w:tab w:val="num" w:pos="720"/>
        </w:tabs>
        <w:ind w:left="720" w:hanging="360"/>
      </w:pPr>
      <w:rPr>
        <w:rFonts w:ascii="Symbol" w:hAnsi="Symbol" w:hint="default"/>
      </w:rPr>
    </w:lvl>
    <w:lvl w:ilvl="1">
      <w:start w:val="1"/>
      <w:numFmt w:val="bullet"/>
      <w:lvlRestart w:val="0"/>
      <w:pStyle w:val="BodyTextIndent"/>
      <w:lvlText w:val=""/>
      <w:lvlJc w:val="left"/>
      <w:pPr>
        <w:tabs>
          <w:tab w:val="num" w:pos="1080"/>
        </w:tabs>
        <w:ind w:left="1080" w:hanging="360"/>
      </w:pPr>
      <w:rPr>
        <w:rFonts w:ascii="Symbol" w:hAnsi="Symbol" w:hint="default"/>
      </w:rPr>
    </w:lvl>
    <w:lvl w:ilvl="2">
      <w:start w:val="1"/>
      <w:numFmt w:val="bullet"/>
      <w:lvlRestart w:val="0"/>
      <w:pStyle w:val="BodyTextIndentChar"/>
      <w:lvlText w:val=""/>
      <w:lvlJc w:val="left"/>
      <w:pPr>
        <w:tabs>
          <w:tab w:val="num" w:pos="1440"/>
        </w:tabs>
        <w:ind w:left="144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45B1B23"/>
    <w:multiLevelType w:val="hybridMultilevel"/>
    <w:tmpl w:val="BFD01886"/>
    <w:lvl w:ilvl="0" w:tplc="12DAB720">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6255DB"/>
    <w:multiLevelType w:val="multilevel"/>
    <w:tmpl w:val="F5D48E86"/>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nsid w:val="48BE5572"/>
    <w:multiLevelType w:val="hybridMultilevel"/>
    <w:tmpl w:val="85929FD6"/>
    <w:lvl w:ilvl="0" w:tplc="FEAEDD90">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nsid w:val="4B1A6F57"/>
    <w:multiLevelType w:val="multilevel"/>
    <w:tmpl w:val="2BC0F462"/>
    <w:lvl w:ilvl="0">
      <w:start w:val="1"/>
      <w:numFmt w:val="decimal"/>
      <w:lvlText w:val="%1."/>
      <w:lvlJc w:val="left"/>
      <w:pPr>
        <w:tabs>
          <w:tab w:val="num" w:pos="-360"/>
        </w:tabs>
        <w:ind w:left="1494" w:hanging="360"/>
      </w:pPr>
      <w:rPr>
        <w:rFonts w:hint="default"/>
        <w:b w:val="0"/>
      </w:rPr>
    </w:lvl>
    <w:lvl w:ilvl="1">
      <w:start w:val="1"/>
      <w:numFmt w:val="lowerLetter"/>
      <w:lvlText w:val="%2."/>
      <w:lvlJc w:val="left"/>
      <w:pPr>
        <w:tabs>
          <w:tab w:val="num" w:pos="-91"/>
        </w:tabs>
        <w:ind w:left="-91" w:hanging="360"/>
      </w:pPr>
    </w:lvl>
    <w:lvl w:ilvl="2">
      <w:start w:val="1"/>
      <w:numFmt w:val="lowerRoman"/>
      <w:lvlText w:val="%3."/>
      <w:lvlJc w:val="right"/>
      <w:pPr>
        <w:tabs>
          <w:tab w:val="num" w:pos="629"/>
        </w:tabs>
        <w:ind w:left="629" w:hanging="180"/>
      </w:pPr>
    </w:lvl>
    <w:lvl w:ilvl="3">
      <w:start w:val="1"/>
      <w:numFmt w:val="decimal"/>
      <w:lvlText w:val="%4."/>
      <w:lvlJc w:val="left"/>
      <w:pPr>
        <w:tabs>
          <w:tab w:val="num" w:pos="1349"/>
        </w:tabs>
        <w:ind w:left="1349" w:hanging="360"/>
      </w:pPr>
    </w:lvl>
    <w:lvl w:ilvl="4">
      <w:start w:val="1"/>
      <w:numFmt w:val="lowerLetter"/>
      <w:lvlText w:val="%5."/>
      <w:lvlJc w:val="left"/>
      <w:pPr>
        <w:tabs>
          <w:tab w:val="num" w:pos="2069"/>
        </w:tabs>
        <w:ind w:left="2069" w:hanging="360"/>
      </w:pPr>
    </w:lvl>
    <w:lvl w:ilvl="5">
      <w:start w:val="1"/>
      <w:numFmt w:val="lowerRoman"/>
      <w:lvlText w:val="%6."/>
      <w:lvlJc w:val="right"/>
      <w:pPr>
        <w:tabs>
          <w:tab w:val="num" w:pos="2789"/>
        </w:tabs>
        <w:ind w:left="2789" w:hanging="180"/>
      </w:pPr>
    </w:lvl>
    <w:lvl w:ilvl="6">
      <w:start w:val="1"/>
      <w:numFmt w:val="decimal"/>
      <w:lvlText w:val="%7."/>
      <w:lvlJc w:val="left"/>
      <w:pPr>
        <w:tabs>
          <w:tab w:val="num" w:pos="3509"/>
        </w:tabs>
        <w:ind w:left="3509" w:hanging="360"/>
      </w:pPr>
    </w:lvl>
    <w:lvl w:ilvl="7">
      <w:start w:val="1"/>
      <w:numFmt w:val="lowerLetter"/>
      <w:lvlText w:val="%8."/>
      <w:lvlJc w:val="left"/>
      <w:pPr>
        <w:tabs>
          <w:tab w:val="num" w:pos="4229"/>
        </w:tabs>
        <w:ind w:left="4229" w:hanging="360"/>
      </w:pPr>
    </w:lvl>
    <w:lvl w:ilvl="8">
      <w:start w:val="1"/>
      <w:numFmt w:val="lowerRoman"/>
      <w:lvlText w:val="%9."/>
      <w:lvlJc w:val="right"/>
      <w:pPr>
        <w:tabs>
          <w:tab w:val="num" w:pos="4949"/>
        </w:tabs>
        <w:ind w:left="4949" w:hanging="180"/>
      </w:pPr>
    </w:lvl>
  </w:abstractNum>
  <w:abstractNum w:abstractNumId="23">
    <w:nsid w:val="4B3B5B23"/>
    <w:multiLevelType w:val="hybridMultilevel"/>
    <w:tmpl w:val="09CAC506"/>
    <w:lvl w:ilvl="0" w:tplc="08090001">
      <w:start w:val="1"/>
      <w:numFmt w:val="bullet"/>
      <w:lvlText w:val=""/>
      <w:lvlJc w:val="left"/>
      <w:pPr>
        <w:tabs>
          <w:tab w:val="num" w:pos="720"/>
        </w:tabs>
        <w:ind w:left="720" w:hanging="360"/>
      </w:pPr>
      <w:rPr>
        <w:rFonts w:ascii="Symbol" w:hAnsi="Symbol" w:hint="default"/>
        <w:b w:val="0"/>
      </w:rPr>
    </w:lvl>
    <w:lvl w:ilvl="1" w:tplc="72CA2036">
      <w:start w:val="1"/>
      <w:numFmt w:val="bullet"/>
      <w:lvlText w:val=""/>
      <w:lvlJc w:val="left"/>
      <w:pPr>
        <w:tabs>
          <w:tab w:val="num" w:pos="1440"/>
        </w:tabs>
        <w:ind w:left="1440" w:hanging="360"/>
      </w:pPr>
      <w:rPr>
        <w:rFonts w:ascii="Symbol" w:hAnsi="Symbol" w:hint="default"/>
        <w:color w:val="auto"/>
      </w:rPr>
    </w:lvl>
    <w:lvl w:ilvl="2" w:tplc="BAC259A6">
      <w:start w:val="11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E69F5"/>
    <w:multiLevelType w:val="hybridMultilevel"/>
    <w:tmpl w:val="788AB210"/>
    <w:lvl w:ilvl="0" w:tplc="377E6AD8">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5">
    <w:nsid w:val="4DF27F4F"/>
    <w:multiLevelType w:val="hybridMultilevel"/>
    <w:tmpl w:val="0180E228"/>
    <w:lvl w:ilvl="0" w:tplc="BD96C0FC">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CA12D6"/>
    <w:multiLevelType w:val="hybridMultilevel"/>
    <w:tmpl w:val="BBE4C3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253EE2"/>
    <w:multiLevelType w:val="multilevel"/>
    <w:tmpl w:val="6B32B4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6F0138"/>
    <w:multiLevelType w:val="hybridMultilevel"/>
    <w:tmpl w:val="EB304E04"/>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CD2C77"/>
    <w:multiLevelType w:val="hybridMultilevel"/>
    <w:tmpl w:val="53765BF4"/>
    <w:lvl w:ilvl="0" w:tplc="371807CA">
      <w:start w:val="1"/>
      <w:numFmt w:val="bullet"/>
      <w:lvlText w:val=""/>
      <w:lvlJc w:val="left"/>
      <w:pPr>
        <w:tabs>
          <w:tab w:val="num" w:pos="420"/>
        </w:tabs>
        <w:ind w:left="420" w:hanging="420"/>
      </w:pPr>
      <w:rPr>
        <w:rFonts w:ascii="Wingdings" w:hAnsi="Wingdings"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58487A3C"/>
    <w:multiLevelType w:val="hybridMultilevel"/>
    <w:tmpl w:val="223EF358"/>
    <w:lvl w:ilvl="0" w:tplc="FBCC63F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DA3375"/>
    <w:multiLevelType w:val="hybridMultilevel"/>
    <w:tmpl w:val="2056D30E"/>
    <w:lvl w:ilvl="0" w:tplc="C45A39D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913BC"/>
    <w:multiLevelType w:val="hybridMultilevel"/>
    <w:tmpl w:val="89D40CD8"/>
    <w:lvl w:ilvl="0" w:tplc="4F1C4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32965"/>
    <w:multiLevelType w:val="hybridMultilevel"/>
    <w:tmpl w:val="8FD8B9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B45B4C"/>
    <w:multiLevelType w:val="hybridMultilevel"/>
    <w:tmpl w:val="8904F82A"/>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F7E33D4"/>
    <w:multiLevelType w:val="hybridMultilevel"/>
    <w:tmpl w:val="1FB82776"/>
    <w:lvl w:ilvl="0" w:tplc="CD5E17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E470D2"/>
    <w:multiLevelType w:val="hybridMultilevel"/>
    <w:tmpl w:val="4B321124"/>
    <w:lvl w:ilvl="0" w:tplc="53FECA24">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nsid w:val="60113F78"/>
    <w:multiLevelType w:val="hybridMultilevel"/>
    <w:tmpl w:val="3D02F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9AE"/>
    <w:multiLevelType w:val="hybridMultilevel"/>
    <w:tmpl w:val="F6E2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47EB9"/>
    <w:multiLevelType w:val="hybridMultilevel"/>
    <w:tmpl w:val="B542494C"/>
    <w:lvl w:ilvl="0" w:tplc="77FC735A">
      <w:start w:val="1"/>
      <w:numFmt w:val="decimal"/>
      <w:lvlText w:val="(%1)"/>
      <w:lvlJc w:val="left"/>
      <w:pPr>
        <w:ind w:left="1080" w:hanging="36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CC20B95"/>
    <w:multiLevelType w:val="hybridMultilevel"/>
    <w:tmpl w:val="44BAF99C"/>
    <w:lvl w:ilvl="0" w:tplc="8A72AB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930E2"/>
    <w:multiLevelType w:val="hybridMultilevel"/>
    <w:tmpl w:val="F7F2BF0E"/>
    <w:lvl w:ilvl="0" w:tplc="FBAEF2F2">
      <w:start w:val="1"/>
      <w:numFmt w:val="lowerLetter"/>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3">
    <w:nsid w:val="75203020"/>
    <w:multiLevelType w:val="hybridMultilevel"/>
    <w:tmpl w:val="16EA97CE"/>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44">
    <w:nsid w:val="77EA1C67"/>
    <w:multiLevelType w:val="hybridMultilevel"/>
    <w:tmpl w:val="8B223E8C"/>
    <w:lvl w:ilvl="0" w:tplc="E9667B5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0F3AC9"/>
    <w:multiLevelType w:val="hybridMultilevel"/>
    <w:tmpl w:val="975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4392F"/>
    <w:multiLevelType w:val="hybridMultilevel"/>
    <w:tmpl w:val="FCB41806"/>
    <w:lvl w:ilvl="0" w:tplc="B414DDC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40"/>
  </w:num>
  <w:num w:numId="3">
    <w:abstractNumId w:val="28"/>
  </w:num>
  <w:num w:numId="4">
    <w:abstractNumId w:val="37"/>
  </w:num>
  <w:num w:numId="5">
    <w:abstractNumId w:val="29"/>
  </w:num>
  <w:num w:numId="6">
    <w:abstractNumId w:val="38"/>
  </w:num>
  <w:num w:numId="7">
    <w:abstractNumId w:val="10"/>
  </w:num>
  <w:num w:numId="8">
    <w:abstractNumId w:val="12"/>
  </w:num>
  <w:num w:numId="9">
    <w:abstractNumId w:val="3"/>
  </w:num>
  <w:num w:numId="10">
    <w:abstractNumId w:val="34"/>
  </w:num>
  <w:num w:numId="11">
    <w:abstractNumId w:val="11"/>
  </w:num>
  <w:num w:numId="12">
    <w:abstractNumId w:val="18"/>
  </w:num>
  <w:num w:numId="13">
    <w:abstractNumId w:val="13"/>
  </w:num>
  <w:num w:numId="14">
    <w:abstractNumId w:val="15"/>
  </w:num>
  <w:num w:numId="15">
    <w:abstractNumId w:val="26"/>
  </w:num>
  <w:num w:numId="16">
    <w:abstractNumId w:val="33"/>
  </w:num>
  <w:num w:numId="17">
    <w:abstractNumId w:val="30"/>
  </w:num>
  <w:num w:numId="18">
    <w:abstractNumId w:val="35"/>
  </w:num>
  <w:num w:numId="19">
    <w:abstractNumId w:val="17"/>
  </w:num>
  <w:num w:numId="20">
    <w:abstractNumId w:val="20"/>
  </w:num>
  <w:num w:numId="21">
    <w:abstractNumId w:val="32"/>
  </w:num>
  <w:num w:numId="22">
    <w:abstractNumId w:val="9"/>
  </w:num>
  <w:num w:numId="23">
    <w:abstractNumId w:val="27"/>
  </w:num>
  <w:num w:numId="24">
    <w:abstractNumId w:val="41"/>
  </w:num>
  <w:num w:numId="25">
    <w:abstractNumId w:val="8"/>
  </w:num>
  <w:num w:numId="26">
    <w:abstractNumId w:val="23"/>
  </w:num>
  <w:num w:numId="27">
    <w:abstractNumId w:val="43"/>
  </w:num>
  <w:num w:numId="28">
    <w:abstractNumId w:val="42"/>
  </w:num>
  <w:num w:numId="29">
    <w:abstractNumId w:val="39"/>
  </w:num>
  <w:num w:numId="30">
    <w:abstractNumId w:val="45"/>
  </w:num>
  <w:num w:numId="31">
    <w:abstractNumId w:val="6"/>
  </w:num>
  <w:num w:numId="32">
    <w:abstractNumId w:val="19"/>
  </w:num>
  <w:num w:numId="33">
    <w:abstractNumId w:val="44"/>
  </w:num>
  <w:num w:numId="34">
    <w:abstractNumId w:val="21"/>
  </w:num>
  <w:num w:numId="35">
    <w:abstractNumId w:val="24"/>
  </w:num>
  <w:num w:numId="36">
    <w:abstractNumId w:val="46"/>
  </w:num>
  <w:num w:numId="37">
    <w:abstractNumId w:val="5"/>
  </w:num>
  <w:num w:numId="38">
    <w:abstractNumId w:val="36"/>
  </w:num>
  <w:num w:numId="39">
    <w:abstractNumId w:val="25"/>
  </w:num>
  <w:num w:numId="40">
    <w:abstractNumId w:val="31"/>
  </w:num>
  <w:num w:numId="41">
    <w:abstractNumId w:val="1"/>
  </w:num>
  <w:num w:numId="42">
    <w:abstractNumId w:val="4"/>
  </w:num>
  <w:num w:numId="43">
    <w:abstractNumId w:val="16"/>
  </w:num>
  <w:num w:numId="44">
    <w:abstractNumId w:val="22"/>
  </w:num>
  <w:num w:numId="45">
    <w:abstractNumId w:val="2"/>
  </w:num>
  <w:num w:numId="46">
    <w:abstractNumId w:val="14"/>
  </w:num>
  <w:num w:numId="4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72E"/>
    <w:rsid w:val="00003A0F"/>
    <w:rsid w:val="00003BDF"/>
    <w:rsid w:val="00010840"/>
    <w:rsid w:val="00010D95"/>
    <w:rsid w:val="00012A65"/>
    <w:rsid w:val="00012B57"/>
    <w:rsid w:val="000135C6"/>
    <w:rsid w:val="00013EDB"/>
    <w:rsid w:val="00014CDA"/>
    <w:rsid w:val="00015E9C"/>
    <w:rsid w:val="00016C75"/>
    <w:rsid w:val="00016E3B"/>
    <w:rsid w:val="00020315"/>
    <w:rsid w:val="0002256C"/>
    <w:rsid w:val="00022914"/>
    <w:rsid w:val="000231E3"/>
    <w:rsid w:val="000248DE"/>
    <w:rsid w:val="00024CE7"/>
    <w:rsid w:val="00025AD7"/>
    <w:rsid w:val="000275E5"/>
    <w:rsid w:val="00027837"/>
    <w:rsid w:val="000327D8"/>
    <w:rsid w:val="00032F3E"/>
    <w:rsid w:val="00034271"/>
    <w:rsid w:val="00035412"/>
    <w:rsid w:val="00036993"/>
    <w:rsid w:val="00036F81"/>
    <w:rsid w:val="00042443"/>
    <w:rsid w:val="00042A7D"/>
    <w:rsid w:val="0004452E"/>
    <w:rsid w:val="00046631"/>
    <w:rsid w:val="00046754"/>
    <w:rsid w:val="00047C70"/>
    <w:rsid w:val="00050326"/>
    <w:rsid w:val="00050F6B"/>
    <w:rsid w:val="00051F3C"/>
    <w:rsid w:val="00055C5C"/>
    <w:rsid w:val="0005611D"/>
    <w:rsid w:val="00056568"/>
    <w:rsid w:val="00056EB2"/>
    <w:rsid w:val="0005727A"/>
    <w:rsid w:val="000575EE"/>
    <w:rsid w:val="00062918"/>
    <w:rsid w:val="00067D5C"/>
    <w:rsid w:val="0007162E"/>
    <w:rsid w:val="00071877"/>
    <w:rsid w:val="00072C8C"/>
    <w:rsid w:val="00076E3F"/>
    <w:rsid w:val="00077AF6"/>
    <w:rsid w:val="00080A5F"/>
    <w:rsid w:val="00082CAA"/>
    <w:rsid w:val="00084E2A"/>
    <w:rsid w:val="00085173"/>
    <w:rsid w:val="00086170"/>
    <w:rsid w:val="00090ADC"/>
    <w:rsid w:val="00091419"/>
    <w:rsid w:val="0009143F"/>
    <w:rsid w:val="00092079"/>
    <w:rsid w:val="000931C0"/>
    <w:rsid w:val="0009388C"/>
    <w:rsid w:val="00093A4F"/>
    <w:rsid w:val="0009531C"/>
    <w:rsid w:val="000A1F30"/>
    <w:rsid w:val="000A5CE5"/>
    <w:rsid w:val="000A6D2B"/>
    <w:rsid w:val="000B0954"/>
    <w:rsid w:val="000B0BB0"/>
    <w:rsid w:val="000B175B"/>
    <w:rsid w:val="000B1C65"/>
    <w:rsid w:val="000B3A0F"/>
    <w:rsid w:val="000B45CA"/>
    <w:rsid w:val="000B5BC6"/>
    <w:rsid w:val="000C00AA"/>
    <w:rsid w:val="000C11CF"/>
    <w:rsid w:val="000C1D0D"/>
    <w:rsid w:val="000C24AB"/>
    <w:rsid w:val="000C44A8"/>
    <w:rsid w:val="000C4D4A"/>
    <w:rsid w:val="000C7059"/>
    <w:rsid w:val="000D007C"/>
    <w:rsid w:val="000D1C91"/>
    <w:rsid w:val="000D2EF8"/>
    <w:rsid w:val="000D57C7"/>
    <w:rsid w:val="000D5F41"/>
    <w:rsid w:val="000E0415"/>
    <w:rsid w:val="000E08BA"/>
    <w:rsid w:val="000E0FF7"/>
    <w:rsid w:val="000E1A60"/>
    <w:rsid w:val="000E4E20"/>
    <w:rsid w:val="000F2145"/>
    <w:rsid w:val="000F6B87"/>
    <w:rsid w:val="000F7B9B"/>
    <w:rsid w:val="000F7C77"/>
    <w:rsid w:val="001002DC"/>
    <w:rsid w:val="00107C2F"/>
    <w:rsid w:val="00110184"/>
    <w:rsid w:val="001102D6"/>
    <w:rsid w:val="00110CF7"/>
    <w:rsid w:val="00111048"/>
    <w:rsid w:val="00114893"/>
    <w:rsid w:val="00115314"/>
    <w:rsid w:val="00115C85"/>
    <w:rsid w:val="00116DC9"/>
    <w:rsid w:val="001202D8"/>
    <w:rsid w:val="001222CC"/>
    <w:rsid w:val="00122FAE"/>
    <w:rsid w:val="001251D0"/>
    <w:rsid w:val="001253BA"/>
    <w:rsid w:val="00125A79"/>
    <w:rsid w:val="00126832"/>
    <w:rsid w:val="00130669"/>
    <w:rsid w:val="00134896"/>
    <w:rsid w:val="00134CEF"/>
    <w:rsid w:val="001412F8"/>
    <w:rsid w:val="001418B0"/>
    <w:rsid w:val="001419C1"/>
    <w:rsid w:val="00142306"/>
    <w:rsid w:val="001425F9"/>
    <w:rsid w:val="00145C0B"/>
    <w:rsid w:val="001464F7"/>
    <w:rsid w:val="00146A18"/>
    <w:rsid w:val="00150AD7"/>
    <w:rsid w:val="00150DFD"/>
    <w:rsid w:val="00151021"/>
    <w:rsid w:val="00151F51"/>
    <w:rsid w:val="00152221"/>
    <w:rsid w:val="00153B23"/>
    <w:rsid w:val="00153CC5"/>
    <w:rsid w:val="00157118"/>
    <w:rsid w:val="0015725A"/>
    <w:rsid w:val="00157681"/>
    <w:rsid w:val="00157C97"/>
    <w:rsid w:val="00163A77"/>
    <w:rsid w:val="0016417F"/>
    <w:rsid w:val="00166B10"/>
    <w:rsid w:val="00172EF0"/>
    <w:rsid w:val="00175063"/>
    <w:rsid w:val="001815B1"/>
    <w:rsid w:val="00184159"/>
    <w:rsid w:val="0018485C"/>
    <w:rsid w:val="00184970"/>
    <w:rsid w:val="00185705"/>
    <w:rsid w:val="00193497"/>
    <w:rsid w:val="00195176"/>
    <w:rsid w:val="0019701A"/>
    <w:rsid w:val="00197F5E"/>
    <w:rsid w:val="001A021C"/>
    <w:rsid w:val="001A1749"/>
    <w:rsid w:val="001A1C18"/>
    <w:rsid w:val="001A4720"/>
    <w:rsid w:val="001B3AC7"/>
    <w:rsid w:val="001B4B04"/>
    <w:rsid w:val="001B5B6C"/>
    <w:rsid w:val="001B751C"/>
    <w:rsid w:val="001C06BE"/>
    <w:rsid w:val="001C0E5F"/>
    <w:rsid w:val="001C1FD5"/>
    <w:rsid w:val="001C65EF"/>
    <w:rsid w:val="001C6663"/>
    <w:rsid w:val="001C7895"/>
    <w:rsid w:val="001C7E1C"/>
    <w:rsid w:val="001D26DF"/>
    <w:rsid w:val="001D2A53"/>
    <w:rsid w:val="001D2FDC"/>
    <w:rsid w:val="001D4995"/>
    <w:rsid w:val="001D4A06"/>
    <w:rsid w:val="001D4BE1"/>
    <w:rsid w:val="001D4FDE"/>
    <w:rsid w:val="001E023C"/>
    <w:rsid w:val="001E02B2"/>
    <w:rsid w:val="001E06D8"/>
    <w:rsid w:val="001E0B14"/>
    <w:rsid w:val="001E3807"/>
    <w:rsid w:val="001E3B23"/>
    <w:rsid w:val="001E73B3"/>
    <w:rsid w:val="001F07AF"/>
    <w:rsid w:val="00200211"/>
    <w:rsid w:val="00202947"/>
    <w:rsid w:val="00203441"/>
    <w:rsid w:val="002041A2"/>
    <w:rsid w:val="00205EDE"/>
    <w:rsid w:val="00206FF2"/>
    <w:rsid w:val="00211E0B"/>
    <w:rsid w:val="00215777"/>
    <w:rsid w:val="002172E8"/>
    <w:rsid w:val="00221EA8"/>
    <w:rsid w:val="00223CBB"/>
    <w:rsid w:val="00224560"/>
    <w:rsid w:val="0022475E"/>
    <w:rsid w:val="002262B8"/>
    <w:rsid w:val="002263BF"/>
    <w:rsid w:val="00227A7F"/>
    <w:rsid w:val="00230454"/>
    <w:rsid w:val="00231E18"/>
    <w:rsid w:val="00233066"/>
    <w:rsid w:val="00235B32"/>
    <w:rsid w:val="0023756B"/>
    <w:rsid w:val="00237785"/>
    <w:rsid w:val="00241466"/>
    <w:rsid w:val="002439BC"/>
    <w:rsid w:val="00244F58"/>
    <w:rsid w:val="0024663D"/>
    <w:rsid w:val="002472F1"/>
    <w:rsid w:val="0024759E"/>
    <w:rsid w:val="00251D32"/>
    <w:rsid w:val="00252659"/>
    <w:rsid w:val="002544AD"/>
    <w:rsid w:val="002547A4"/>
    <w:rsid w:val="00255107"/>
    <w:rsid w:val="00256095"/>
    <w:rsid w:val="00256405"/>
    <w:rsid w:val="00257F70"/>
    <w:rsid w:val="00262E28"/>
    <w:rsid w:val="002642F1"/>
    <w:rsid w:val="002649D7"/>
    <w:rsid w:val="00265C28"/>
    <w:rsid w:val="002675DA"/>
    <w:rsid w:val="002706BA"/>
    <w:rsid w:val="002720D0"/>
    <w:rsid w:val="00274260"/>
    <w:rsid w:val="00281830"/>
    <w:rsid w:val="00285844"/>
    <w:rsid w:val="002871C8"/>
    <w:rsid w:val="0028772E"/>
    <w:rsid w:val="00291D46"/>
    <w:rsid w:val="00292525"/>
    <w:rsid w:val="00292BD0"/>
    <w:rsid w:val="00294ABC"/>
    <w:rsid w:val="002A43BD"/>
    <w:rsid w:val="002B1C79"/>
    <w:rsid w:val="002B44B6"/>
    <w:rsid w:val="002B4DA2"/>
    <w:rsid w:val="002B6A70"/>
    <w:rsid w:val="002B77B5"/>
    <w:rsid w:val="002C05E6"/>
    <w:rsid w:val="002C0DCF"/>
    <w:rsid w:val="002C0E55"/>
    <w:rsid w:val="002C1A07"/>
    <w:rsid w:val="002C5052"/>
    <w:rsid w:val="002C5649"/>
    <w:rsid w:val="002C79B0"/>
    <w:rsid w:val="002C7E2A"/>
    <w:rsid w:val="002D1DD2"/>
    <w:rsid w:val="002D27EB"/>
    <w:rsid w:val="002D3107"/>
    <w:rsid w:val="002D3A2F"/>
    <w:rsid w:val="002D4E0A"/>
    <w:rsid w:val="002D502F"/>
    <w:rsid w:val="002D6D67"/>
    <w:rsid w:val="002D7D2A"/>
    <w:rsid w:val="002E0F75"/>
    <w:rsid w:val="002E2F19"/>
    <w:rsid w:val="002E3FEB"/>
    <w:rsid w:val="002E4C90"/>
    <w:rsid w:val="002E581B"/>
    <w:rsid w:val="002E6C33"/>
    <w:rsid w:val="002F257C"/>
    <w:rsid w:val="002F34AC"/>
    <w:rsid w:val="002F3C15"/>
    <w:rsid w:val="003006C8"/>
    <w:rsid w:val="00302275"/>
    <w:rsid w:val="00303AFB"/>
    <w:rsid w:val="00304518"/>
    <w:rsid w:val="00305729"/>
    <w:rsid w:val="00306BCA"/>
    <w:rsid w:val="003107FA"/>
    <w:rsid w:val="00310A54"/>
    <w:rsid w:val="00310ABF"/>
    <w:rsid w:val="00313F71"/>
    <w:rsid w:val="003142D4"/>
    <w:rsid w:val="00315B47"/>
    <w:rsid w:val="003168D4"/>
    <w:rsid w:val="00317A6F"/>
    <w:rsid w:val="00320390"/>
    <w:rsid w:val="00320A1F"/>
    <w:rsid w:val="00321693"/>
    <w:rsid w:val="00321F22"/>
    <w:rsid w:val="0032231A"/>
    <w:rsid w:val="003229D8"/>
    <w:rsid w:val="00323974"/>
    <w:rsid w:val="00325617"/>
    <w:rsid w:val="003261CE"/>
    <w:rsid w:val="00330F0E"/>
    <w:rsid w:val="00331555"/>
    <w:rsid w:val="00332869"/>
    <w:rsid w:val="00332A88"/>
    <w:rsid w:val="00333008"/>
    <w:rsid w:val="00334678"/>
    <w:rsid w:val="00334A68"/>
    <w:rsid w:val="00335363"/>
    <w:rsid w:val="003354AA"/>
    <w:rsid w:val="00336125"/>
    <w:rsid w:val="003379ED"/>
    <w:rsid w:val="00340540"/>
    <w:rsid w:val="003407DC"/>
    <w:rsid w:val="00340924"/>
    <w:rsid w:val="00344114"/>
    <w:rsid w:val="00346C62"/>
    <w:rsid w:val="00352E15"/>
    <w:rsid w:val="00355C90"/>
    <w:rsid w:val="00355E2D"/>
    <w:rsid w:val="003576A2"/>
    <w:rsid w:val="00357748"/>
    <w:rsid w:val="00357ABE"/>
    <w:rsid w:val="00364DCF"/>
    <w:rsid w:val="003665AB"/>
    <w:rsid w:val="00370AC3"/>
    <w:rsid w:val="003714E4"/>
    <w:rsid w:val="00371E57"/>
    <w:rsid w:val="003738F4"/>
    <w:rsid w:val="00377FE1"/>
    <w:rsid w:val="00382246"/>
    <w:rsid w:val="003848A8"/>
    <w:rsid w:val="003862B6"/>
    <w:rsid w:val="003905C4"/>
    <w:rsid w:val="00391F8E"/>
    <w:rsid w:val="0039277A"/>
    <w:rsid w:val="003942D9"/>
    <w:rsid w:val="003959FE"/>
    <w:rsid w:val="003972E0"/>
    <w:rsid w:val="003A03BB"/>
    <w:rsid w:val="003A0B14"/>
    <w:rsid w:val="003A1A5F"/>
    <w:rsid w:val="003A5DEB"/>
    <w:rsid w:val="003B04ED"/>
    <w:rsid w:val="003B16D4"/>
    <w:rsid w:val="003B1A94"/>
    <w:rsid w:val="003B1D9C"/>
    <w:rsid w:val="003B6225"/>
    <w:rsid w:val="003C09A1"/>
    <w:rsid w:val="003C2CC4"/>
    <w:rsid w:val="003C43B8"/>
    <w:rsid w:val="003C45D5"/>
    <w:rsid w:val="003C72B0"/>
    <w:rsid w:val="003D13A3"/>
    <w:rsid w:val="003D2ED2"/>
    <w:rsid w:val="003D32F6"/>
    <w:rsid w:val="003D3B43"/>
    <w:rsid w:val="003D4B23"/>
    <w:rsid w:val="003D4E24"/>
    <w:rsid w:val="003D6F26"/>
    <w:rsid w:val="003E1629"/>
    <w:rsid w:val="003E346C"/>
    <w:rsid w:val="003E37FE"/>
    <w:rsid w:val="003E67BD"/>
    <w:rsid w:val="003E72DA"/>
    <w:rsid w:val="003F20D4"/>
    <w:rsid w:val="003F3482"/>
    <w:rsid w:val="003F6B89"/>
    <w:rsid w:val="003F6C96"/>
    <w:rsid w:val="004001C7"/>
    <w:rsid w:val="004023E6"/>
    <w:rsid w:val="004076C1"/>
    <w:rsid w:val="00410691"/>
    <w:rsid w:val="0041069F"/>
    <w:rsid w:val="00410BB5"/>
    <w:rsid w:val="004120C0"/>
    <w:rsid w:val="004151DB"/>
    <w:rsid w:val="00416078"/>
    <w:rsid w:val="00417594"/>
    <w:rsid w:val="00422971"/>
    <w:rsid w:val="0042327F"/>
    <w:rsid w:val="0042358A"/>
    <w:rsid w:val="00424D98"/>
    <w:rsid w:val="0042521E"/>
    <w:rsid w:val="00425364"/>
    <w:rsid w:val="00425939"/>
    <w:rsid w:val="0043130F"/>
    <w:rsid w:val="004318CF"/>
    <w:rsid w:val="004325CB"/>
    <w:rsid w:val="00432665"/>
    <w:rsid w:val="00434213"/>
    <w:rsid w:val="004369D4"/>
    <w:rsid w:val="00441159"/>
    <w:rsid w:val="0044243E"/>
    <w:rsid w:val="00442D77"/>
    <w:rsid w:val="00444122"/>
    <w:rsid w:val="00445FB6"/>
    <w:rsid w:val="00446DE4"/>
    <w:rsid w:val="004473C4"/>
    <w:rsid w:val="00447412"/>
    <w:rsid w:val="0045162B"/>
    <w:rsid w:val="00453576"/>
    <w:rsid w:val="0045375B"/>
    <w:rsid w:val="0045429F"/>
    <w:rsid w:val="004549F0"/>
    <w:rsid w:val="004570BA"/>
    <w:rsid w:val="00457212"/>
    <w:rsid w:val="00457E9F"/>
    <w:rsid w:val="0046223F"/>
    <w:rsid w:val="00463AD8"/>
    <w:rsid w:val="004664F9"/>
    <w:rsid w:val="00472A6B"/>
    <w:rsid w:val="00473FF8"/>
    <w:rsid w:val="0047630A"/>
    <w:rsid w:val="00476501"/>
    <w:rsid w:val="004775FF"/>
    <w:rsid w:val="0048128A"/>
    <w:rsid w:val="0048307A"/>
    <w:rsid w:val="00485EE7"/>
    <w:rsid w:val="004879F5"/>
    <w:rsid w:val="00490FA9"/>
    <w:rsid w:val="00491CFB"/>
    <w:rsid w:val="004922B7"/>
    <w:rsid w:val="00493086"/>
    <w:rsid w:val="00494796"/>
    <w:rsid w:val="00496F04"/>
    <w:rsid w:val="004A3E79"/>
    <w:rsid w:val="004A427C"/>
    <w:rsid w:val="004A5FE6"/>
    <w:rsid w:val="004A6A66"/>
    <w:rsid w:val="004A6D1B"/>
    <w:rsid w:val="004B00AB"/>
    <w:rsid w:val="004B0C1A"/>
    <w:rsid w:val="004B1B61"/>
    <w:rsid w:val="004B43F1"/>
    <w:rsid w:val="004B71A8"/>
    <w:rsid w:val="004B77FE"/>
    <w:rsid w:val="004C0F08"/>
    <w:rsid w:val="004C22EB"/>
    <w:rsid w:val="004C256C"/>
    <w:rsid w:val="004C4C24"/>
    <w:rsid w:val="004C69C4"/>
    <w:rsid w:val="004D0F20"/>
    <w:rsid w:val="004D0FB8"/>
    <w:rsid w:val="004D477D"/>
    <w:rsid w:val="004E166B"/>
    <w:rsid w:val="004E2E54"/>
    <w:rsid w:val="004E323F"/>
    <w:rsid w:val="004E3DE1"/>
    <w:rsid w:val="004E3DF3"/>
    <w:rsid w:val="004E42E9"/>
    <w:rsid w:val="004E4394"/>
    <w:rsid w:val="004E5B2C"/>
    <w:rsid w:val="004E5B3D"/>
    <w:rsid w:val="004E6EE9"/>
    <w:rsid w:val="004E7F2B"/>
    <w:rsid w:val="004F185E"/>
    <w:rsid w:val="004F2108"/>
    <w:rsid w:val="004F2F1C"/>
    <w:rsid w:val="004F55C2"/>
    <w:rsid w:val="004F563D"/>
    <w:rsid w:val="004F6364"/>
    <w:rsid w:val="005017AB"/>
    <w:rsid w:val="00501D1D"/>
    <w:rsid w:val="005031B8"/>
    <w:rsid w:val="00504CE5"/>
    <w:rsid w:val="00504FFF"/>
    <w:rsid w:val="00510859"/>
    <w:rsid w:val="00512720"/>
    <w:rsid w:val="005147C2"/>
    <w:rsid w:val="00516CF1"/>
    <w:rsid w:val="00516E50"/>
    <w:rsid w:val="005175B6"/>
    <w:rsid w:val="00520045"/>
    <w:rsid w:val="0052120E"/>
    <w:rsid w:val="005231F9"/>
    <w:rsid w:val="0052346B"/>
    <w:rsid w:val="0052398A"/>
    <w:rsid w:val="00530A09"/>
    <w:rsid w:val="00531862"/>
    <w:rsid w:val="00533821"/>
    <w:rsid w:val="00535652"/>
    <w:rsid w:val="005356E1"/>
    <w:rsid w:val="0053760B"/>
    <w:rsid w:val="00540390"/>
    <w:rsid w:val="00540C2F"/>
    <w:rsid w:val="00541C57"/>
    <w:rsid w:val="005420F2"/>
    <w:rsid w:val="00545F2C"/>
    <w:rsid w:val="0054697B"/>
    <w:rsid w:val="00550442"/>
    <w:rsid w:val="00552396"/>
    <w:rsid w:val="005540D9"/>
    <w:rsid w:val="00556697"/>
    <w:rsid w:val="00560BF2"/>
    <w:rsid w:val="00564378"/>
    <w:rsid w:val="00564559"/>
    <w:rsid w:val="005659A1"/>
    <w:rsid w:val="00571011"/>
    <w:rsid w:val="00571F8B"/>
    <w:rsid w:val="0057212E"/>
    <w:rsid w:val="005726F4"/>
    <w:rsid w:val="00572A8A"/>
    <w:rsid w:val="00574C4C"/>
    <w:rsid w:val="00581F55"/>
    <w:rsid w:val="005833B5"/>
    <w:rsid w:val="00585664"/>
    <w:rsid w:val="005857E5"/>
    <w:rsid w:val="00586395"/>
    <w:rsid w:val="00586446"/>
    <w:rsid w:val="00586B45"/>
    <w:rsid w:val="00590067"/>
    <w:rsid w:val="005905A5"/>
    <w:rsid w:val="005944AA"/>
    <w:rsid w:val="00596103"/>
    <w:rsid w:val="0059618F"/>
    <w:rsid w:val="00596A49"/>
    <w:rsid w:val="005A0450"/>
    <w:rsid w:val="005A0EB2"/>
    <w:rsid w:val="005A11AC"/>
    <w:rsid w:val="005A274D"/>
    <w:rsid w:val="005A30AA"/>
    <w:rsid w:val="005A4A89"/>
    <w:rsid w:val="005A54B6"/>
    <w:rsid w:val="005A5989"/>
    <w:rsid w:val="005A61D1"/>
    <w:rsid w:val="005A6677"/>
    <w:rsid w:val="005B0317"/>
    <w:rsid w:val="005B05EB"/>
    <w:rsid w:val="005B1DA7"/>
    <w:rsid w:val="005B2150"/>
    <w:rsid w:val="005B38F0"/>
    <w:rsid w:val="005B3DB3"/>
    <w:rsid w:val="005B66C3"/>
    <w:rsid w:val="005B7A04"/>
    <w:rsid w:val="005C0081"/>
    <w:rsid w:val="005C0FDB"/>
    <w:rsid w:val="005C2AF4"/>
    <w:rsid w:val="005C50EF"/>
    <w:rsid w:val="005C575F"/>
    <w:rsid w:val="005C7C6B"/>
    <w:rsid w:val="005D08D7"/>
    <w:rsid w:val="005D0EA8"/>
    <w:rsid w:val="005D305E"/>
    <w:rsid w:val="005D708A"/>
    <w:rsid w:val="005E298C"/>
    <w:rsid w:val="005E3F1A"/>
    <w:rsid w:val="005E70A2"/>
    <w:rsid w:val="005F1116"/>
    <w:rsid w:val="005F2495"/>
    <w:rsid w:val="005F4AA0"/>
    <w:rsid w:val="005F71CB"/>
    <w:rsid w:val="00600EFF"/>
    <w:rsid w:val="0060183A"/>
    <w:rsid w:val="00601DCF"/>
    <w:rsid w:val="00602DCA"/>
    <w:rsid w:val="006051B8"/>
    <w:rsid w:val="00605CAE"/>
    <w:rsid w:val="00611FC4"/>
    <w:rsid w:val="00612835"/>
    <w:rsid w:val="006128BC"/>
    <w:rsid w:val="0061329B"/>
    <w:rsid w:val="006158EC"/>
    <w:rsid w:val="00616177"/>
    <w:rsid w:val="006176FB"/>
    <w:rsid w:val="00617EE4"/>
    <w:rsid w:val="00622E97"/>
    <w:rsid w:val="00626CDD"/>
    <w:rsid w:val="006315CE"/>
    <w:rsid w:val="006340C3"/>
    <w:rsid w:val="0063575C"/>
    <w:rsid w:val="00640702"/>
    <w:rsid w:val="00640B26"/>
    <w:rsid w:val="00641C86"/>
    <w:rsid w:val="00643847"/>
    <w:rsid w:val="0064490E"/>
    <w:rsid w:val="00646E5E"/>
    <w:rsid w:val="006517B8"/>
    <w:rsid w:val="00651AE8"/>
    <w:rsid w:val="0065208D"/>
    <w:rsid w:val="006538BA"/>
    <w:rsid w:val="00654B55"/>
    <w:rsid w:val="006560C7"/>
    <w:rsid w:val="00656BAB"/>
    <w:rsid w:val="00657D5A"/>
    <w:rsid w:val="00662055"/>
    <w:rsid w:val="00662CEB"/>
    <w:rsid w:val="006630A1"/>
    <w:rsid w:val="00663FDF"/>
    <w:rsid w:val="006644A7"/>
    <w:rsid w:val="006646E5"/>
    <w:rsid w:val="00667EED"/>
    <w:rsid w:val="006729F5"/>
    <w:rsid w:val="00674235"/>
    <w:rsid w:val="00674E0C"/>
    <w:rsid w:val="00675B7D"/>
    <w:rsid w:val="00676534"/>
    <w:rsid w:val="00676A15"/>
    <w:rsid w:val="00676B88"/>
    <w:rsid w:val="00676F06"/>
    <w:rsid w:val="006820A4"/>
    <w:rsid w:val="00682D97"/>
    <w:rsid w:val="006858BF"/>
    <w:rsid w:val="006862BF"/>
    <w:rsid w:val="00696793"/>
    <w:rsid w:val="006A0CCD"/>
    <w:rsid w:val="006A3B46"/>
    <w:rsid w:val="006A433B"/>
    <w:rsid w:val="006A456D"/>
    <w:rsid w:val="006A4D8A"/>
    <w:rsid w:val="006A7392"/>
    <w:rsid w:val="006B19C5"/>
    <w:rsid w:val="006B4D70"/>
    <w:rsid w:val="006B678C"/>
    <w:rsid w:val="006C0D34"/>
    <w:rsid w:val="006C17AE"/>
    <w:rsid w:val="006C680F"/>
    <w:rsid w:val="006D191E"/>
    <w:rsid w:val="006D2A4A"/>
    <w:rsid w:val="006D2C8A"/>
    <w:rsid w:val="006D2FAC"/>
    <w:rsid w:val="006D303B"/>
    <w:rsid w:val="006D385D"/>
    <w:rsid w:val="006D46DD"/>
    <w:rsid w:val="006D5C06"/>
    <w:rsid w:val="006D5D1F"/>
    <w:rsid w:val="006D7A91"/>
    <w:rsid w:val="006E0E0E"/>
    <w:rsid w:val="006E2389"/>
    <w:rsid w:val="006E5081"/>
    <w:rsid w:val="006E564B"/>
    <w:rsid w:val="006E6377"/>
    <w:rsid w:val="006E6B09"/>
    <w:rsid w:val="006F002D"/>
    <w:rsid w:val="006F03B7"/>
    <w:rsid w:val="006F03E1"/>
    <w:rsid w:val="006F05DE"/>
    <w:rsid w:val="006F1B1E"/>
    <w:rsid w:val="006F1C6A"/>
    <w:rsid w:val="006F1F61"/>
    <w:rsid w:val="006F3547"/>
    <w:rsid w:val="006F37F0"/>
    <w:rsid w:val="006F4CE8"/>
    <w:rsid w:val="006F533F"/>
    <w:rsid w:val="006F535D"/>
    <w:rsid w:val="006F74D7"/>
    <w:rsid w:val="00700B69"/>
    <w:rsid w:val="00703BC8"/>
    <w:rsid w:val="00710621"/>
    <w:rsid w:val="00714228"/>
    <w:rsid w:val="00716215"/>
    <w:rsid w:val="00717056"/>
    <w:rsid w:val="007202A1"/>
    <w:rsid w:val="00720316"/>
    <w:rsid w:val="00720626"/>
    <w:rsid w:val="00720AD8"/>
    <w:rsid w:val="00723CA7"/>
    <w:rsid w:val="00724C7A"/>
    <w:rsid w:val="0072632A"/>
    <w:rsid w:val="00726510"/>
    <w:rsid w:val="0072709B"/>
    <w:rsid w:val="00727D22"/>
    <w:rsid w:val="00732C7A"/>
    <w:rsid w:val="00732D4C"/>
    <w:rsid w:val="0073472C"/>
    <w:rsid w:val="007347F4"/>
    <w:rsid w:val="00735233"/>
    <w:rsid w:val="00735C5B"/>
    <w:rsid w:val="0073698A"/>
    <w:rsid w:val="00737087"/>
    <w:rsid w:val="007373C2"/>
    <w:rsid w:val="00737C6D"/>
    <w:rsid w:val="0074022F"/>
    <w:rsid w:val="00740AA5"/>
    <w:rsid w:val="007438DB"/>
    <w:rsid w:val="0074475C"/>
    <w:rsid w:val="00744ED6"/>
    <w:rsid w:val="00746526"/>
    <w:rsid w:val="00746B93"/>
    <w:rsid w:val="00752037"/>
    <w:rsid w:val="007531CC"/>
    <w:rsid w:val="00753534"/>
    <w:rsid w:val="007541AF"/>
    <w:rsid w:val="00754FE2"/>
    <w:rsid w:val="00762CBA"/>
    <w:rsid w:val="007638FB"/>
    <w:rsid w:val="007648E1"/>
    <w:rsid w:val="00770895"/>
    <w:rsid w:val="0077542C"/>
    <w:rsid w:val="00782B12"/>
    <w:rsid w:val="00786C54"/>
    <w:rsid w:val="00786EBC"/>
    <w:rsid w:val="0078795C"/>
    <w:rsid w:val="007926F3"/>
    <w:rsid w:val="00793489"/>
    <w:rsid w:val="00793D29"/>
    <w:rsid w:val="007947DC"/>
    <w:rsid w:val="00795922"/>
    <w:rsid w:val="00795B8C"/>
    <w:rsid w:val="00796188"/>
    <w:rsid w:val="007A152B"/>
    <w:rsid w:val="007A260F"/>
    <w:rsid w:val="007A3437"/>
    <w:rsid w:val="007A3553"/>
    <w:rsid w:val="007A38BC"/>
    <w:rsid w:val="007A512B"/>
    <w:rsid w:val="007A6038"/>
    <w:rsid w:val="007A7175"/>
    <w:rsid w:val="007A7B3A"/>
    <w:rsid w:val="007B0088"/>
    <w:rsid w:val="007B0216"/>
    <w:rsid w:val="007B1051"/>
    <w:rsid w:val="007B2AB5"/>
    <w:rsid w:val="007B4441"/>
    <w:rsid w:val="007B6132"/>
    <w:rsid w:val="007B6BA5"/>
    <w:rsid w:val="007B7274"/>
    <w:rsid w:val="007C08C7"/>
    <w:rsid w:val="007C1EDC"/>
    <w:rsid w:val="007C3390"/>
    <w:rsid w:val="007C3A33"/>
    <w:rsid w:val="007C4F4B"/>
    <w:rsid w:val="007D5937"/>
    <w:rsid w:val="007E09D4"/>
    <w:rsid w:val="007E2D5D"/>
    <w:rsid w:val="007E3456"/>
    <w:rsid w:val="007E7026"/>
    <w:rsid w:val="007F021D"/>
    <w:rsid w:val="007F073F"/>
    <w:rsid w:val="007F3143"/>
    <w:rsid w:val="007F3712"/>
    <w:rsid w:val="007F5DC7"/>
    <w:rsid w:val="007F6611"/>
    <w:rsid w:val="007F73C5"/>
    <w:rsid w:val="007F7AAA"/>
    <w:rsid w:val="008003AD"/>
    <w:rsid w:val="0080079E"/>
    <w:rsid w:val="00804BE1"/>
    <w:rsid w:val="00804BFF"/>
    <w:rsid w:val="00805C33"/>
    <w:rsid w:val="00806010"/>
    <w:rsid w:val="00806F3F"/>
    <w:rsid w:val="00811733"/>
    <w:rsid w:val="00812375"/>
    <w:rsid w:val="00812A5E"/>
    <w:rsid w:val="008144A4"/>
    <w:rsid w:val="00814EF8"/>
    <w:rsid w:val="00815474"/>
    <w:rsid w:val="0081703B"/>
    <w:rsid w:val="008175E9"/>
    <w:rsid w:val="0082070D"/>
    <w:rsid w:val="008217A9"/>
    <w:rsid w:val="00821A46"/>
    <w:rsid w:val="00821D66"/>
    <w:rsid w:val="008242D7"/>
    <w:rsid w:val="00826D7A"/>
    <w:rsid w:val="0082715D"/>
    <w:rsid w:val="0083134C"/>
    <w:rsid w:val="00832546"/>
    <w:rsid w:val="00833233"/>
    <w:rsid w:val="008336E2"/>
    <w:rsid w:val="00834FB9"/>
    <w:rsid w:val="00836392"/>
    <w:rsid w:val="00836628"/>
    <w:rsid w:val="008370A8"/>
    <w:rsid w:val="008412B7"/>
    <w:rsid w:val="0084572B"/>
    <w:rsid w:val="00846C77"/>
    <w:rsid w:val="008478C8"/>
    <w:rsid w:val="008507B9"/>
    <w:rsid w:val="0085154F"/>
    <w:rsid w:val="008520CA"/>
    <w:rsid w:val="00852635"/>
    <w:rsid w:val="00852772"/>
    <w:rsid w:val="00853740"/>
    <w:rsid w:val="00853E90"/>
    <w:rsid w:val="00856503"/>
    <w:rsid w:val="0086028D"/>
    <w:rsid w:val="00860881"/>
    <w:rsid w:val="008629DB"/>
    <w:rsid w:val="00863AB5"/>
    <w:rsid w:val="0087029E"/>
    <w:rsid w:val="00871FD5"/>
    <w:rsid w:val="008735C2"/>
    <w:rsid w:val="00875BC3"/>
    <w:rsid w:val="0087606D"/>
    <w:rsid w:val="008821D8"/>
    <w:rsid w:val="00882211"/>
    <w:rsid w:val="008832FB"/>
    <w:rsid w:val="008835D4"/>
    <w:rsid w:val="00883E1F"/>
    <w:rsid w:val="00884975"/>
    <w:rsid w:val="00884D5F"/>
    <w:rsid w:val="00885759"/>
    <w:rsid w:val="008861F4"/>
    <w:rsid w:val="008862A6"/>
    <w:rsid w:val="008918B8"/>
    <w:rsid w:val="00891CDD"/>
    <w:rsid w:val="00892901"/>
    <w:rsid w:val="008945F9"/>
    <w:rsid w:val="00896C79"/>
    <w:rsid w:val="008979B1"/>
    <w:rsid w:val="008A0313"/>
    <w:rsid w:val="008A0A63"/>
    <w:rsid w:val="008A66BA"/>
    <w:rsid w:val="008A6B25"/>
    <w:rsid w:val="008A6C4F"/>
    <w:rsid w:val="008B0EBB"/>
    <w:rsid w:val="008B312A"/>
    <w:rsid w:val="008B3B84"/>
    <w:rsid w:val="008B402F"/>
    <w:rsid w:val="008B47FF"/>
    <w:rsid w:val="008B56F7"/>
    <w:rsid w:val="008B582A"/>
    <w:rsid w:val="008B5980"/>
    <w:rsid w:val="008B59DE"/>
    <w:rsid w:val="008B642D"/>
    <w:rsid w:val="008B6687"/>
    <w:rsid w:val="008B77C8"/>
    <w:rsid w:val="008C0B27"/>
    <w:rsid w:val="008C2F7E"/>
    <w:rsid w:val="008C4EA8"/>
    <w:rsid w:val="008C6181"/>
    <w:rsid w:val="008C6F2B"/>
    <w:rsid w:val="008D1F43"/>
    <w:rsid w:val="008D2940"/>
    <w:rsid w:val="008D3288"/>
    <w:rsid w:val="008D458E"/>
    <w:rsid w:val="008D6920"/>
    <w:rsid w:val="008E02EC"/>
    <w:rsid w:val="008E0E46"/>
    <w:rsid w:val="008E166D"/>
    <w:rsid w:val="008E1F40"/>
    <w:rsid w:val="008E41AA"/>
    <w:rsid w:val="008F084C"/>
    <w:rsid w:val="008F0AAC"/>
    <w:rsid w:val="008F0DEF"/>
    <w:rsid w:val="008F2226"/>
    <w:rsid w:val="008F32C3"/>
    <w:rsid w:val="008F4B90"/>
    <w:rsid w:val="008F5407"/>
    <w:rsid w:val="0090090D"/>
    <w:rsid w:val="00902801"/>
    <w:rsid w:val="00904050"/>
    <w:rsid w:val="00906E3A"/>
    <w:rsid w:val="00907CC9"/>
    <w:rsid w:val="00912E0F"/>
    <w:rsid w:val="00914E22"/>
    <w:rsid w:val="00914E2E"/>
    <w:rsid w:val="00916EDE"/>
    <w:rsid w:val="00920D27"/>
    <w:rsid w:val="009212BB"/>
    <w:rsid w:val="009218ED"/>
    <w:rsid w:val="009225B4"/>
    <w:rsid w:val="009227EC"/>
    <w:rsid w:val="00927980"/>
    <w:rsid w:val="00932525"/>
    <w:rsid w:val="00942BE3"/>
    <w:rsid w:val="00943188"/>
    <w:rsid w:val="0094513E"/>
    <w:rsid w:val="009502F0"/>
    <w:rsid w:val="00950B30"/>
    <w:rsid w:val="0095271D"/>
    <w:rsid w:val="009565B0"/>
    <w:rsid w:val="0095782E"/>
    <w:rsid w:val="00960A18"/>
    <w:rsid w:val="009619A4"/>
    <w:rsid w:val="00963CBA"/>
    <w:rsid w:val="009663B4"/>
    <w:rsid w:val="009676D2"/>
    <w:rsid w:val="009729A3"/>
    <w:rsid w:val="00973F0D"/>
    <w:rsid w:val="00975855"/>
    <w:rsid w:val="00975AEA"/>
    <w:rsid w:val="00976816"/>
    <w:rsid w:val="00977488"/>
    <w:rsid w:val="00977ABB"/>
    <w:rsid w:val="00980930"/>
    <w:rsid w:val="00980F20"/>
    <w:rsid w:val="009831ED"/>
    <w:rsid w:val="009861DC"/>
    <w:rsid w:val="00991260"/>
    <w:rsid w:val="00991261"/>
    <w:rsid w:val="0099220D"/>
    <w:rsid w:val="00993321"/>
    <w:rsid w:val="0099447E"/>
    <w:rsid w:val="0099460A"/>
    <w:rsid w:val="00994CF1"/>
    <w:rsid w:val="00995FF7"/>
    <w:rsid w:val="009960B8"/>
    <w:rsid w:val="009A1FC4"/>
    <w:rsid w:val="009A30F3"/>
    <w:rsid w:val="009A4465"/>
    <w:rsid w:val="009A44D1"/>
    <w:rsid w:val="009A5634"/>
    <w:rsid w:val="009A62F9"/>
    <w:rsid w:val="009B4A45"/>
    <w:rsid w:val="009B5E14"/>
    <w:rsid w:val="009B68C9"/>
    <w:rsid w:val="009C1386"/>
    <w:rsid w:val="009C1BCC"/>
    <w:rsid w:val="009C1F47"/>
    <w:rsid w:val="009C6D93"/>
    <w:rsid w:val="009C7467"/>
    <w:rsid w:val="009D0099"/>
    <w:rsid w:val="009D2254"/>
    <w:rsid w:val="009D2B27"/>
    <w:rsid w:val="009D2D2F"/>
    <w:rsid w:val="009D2E22"/>
    <w:rsid w:val="009D30FF"/>
    <w:rsid w:val="009D4B89"/>
    <w:rsid w:val="009D56B2"/>
    <w:rsid w:val="009D6096"/>
    <w:rsid w:val="009D67C2"/>
    <w:rsid w:val="009D7D39"/>
    <w:rsid w:val="009E192C"/>
    <w:rsid w:val="009E2366"/>
    <w:rsid w:val="009E34D2"/>
    <w:rsid w:val="009E67CD"/>
    <w:rsid w:val="009E7D8D"/>
    <w:rsid w:val="009F1F9A"/>
    <w:rsid w:val="009F3715"/>
    <w:rsid w:val="009F3826"/>
    <w:rsid w:val="009F3B27"/>
    <w:rsid w:val="009F3E16"/>
    <w:rsid w:val="009F418B"/>
    <w:rsid w:val="009F4A38"/>
    <w:rsid w:val="009F4AA7"/>
    <w:rsid w:val="009F57CF"/>
    <w:rsid w:val="009F6B69"/>
    <w:rsid w:val="00A00402"/>
    <w:rsid w:val="00A00C03"/>
    <w:rsid w:val="00A01A0C"/>
    <w:rsid w:val="00A049F5"/>
    <w:rsid w:val="00A04EF2"/>
    <w:rsid w:val="00A05892"/>
    <w:rsid w:val="00A1193D"/>
    <w:rsid w:val="00A1427D"/>
    <w:rsid w:val="00A22638"/>
    <w:rsid w:val="00A22AEF"/>
    <w:rsid w:val="00A22DC4"/>
    <w:rsid w:val="00A269E3"/>
    <w:rsid w:val="00A271A8"/>
    <w:rsid w:val="00A3333B"/>
    <w:rsid w:val="00A365ED"/>
    <w:rsid w:val="00A377BB"/>
    <w:rsid w:val="00A4169E"/>
    <w:rsid w:val="00A41D68"/>
    <w:rsid w:val="00A44E2B"/>
    <w:rsid w:val="00A45B93"/>
    <w:rsid w:val="00A45ED5"/>
    <w:rsid w:val="00A47161"/>
    <w:rsid w:val="00A4745D"/>
    <w:rsid w:val="00A47563"/>
    <w:rsid w:val="00A527E3"/>
    <w:rsid w:val="00A54AF1"/>
    <w:rsid w:val="00A56681"/>
    <w:rsid w:val="00A57AED"/>
    <w:rsid w:val="00A60395"/>
    <w:rsid w:val="00A640C0"/>
    <w:rsid w:val="00A65425"/>
    <w:rsid w:val="00A65E59"/>
    <w:rsid w:val="00A7068F"/>
    <w:rsid w:val="00A72F22"/>
    <w:rsid w:val="00A74717"/>
    <w:rsid w:val="00A748A6"/>
    <w:rsid w:val="00A74BF4"/>
    <w:rsid w:val="00A753B6"/>
    <w:rsid w:val="00A84EAC"/>
    <w:rsid w:val="00A879A4"/>
    <w:rsid w:val="00A912B5"/>
    <w:rsid w:val="00A924BC"/>
    <w:rsid w:val="00A925BF"/>
    <w:rsid w:val="00A9322B"/>
    <w:rsid w:val="00A93711"/>
    <w:rsid w:val="00A96717"/>
    <w:rsid w:val="00A973C9"/>
    <w:rsid w:val="00AA0DD7"/>
    <w:rsid w:val="00AA2613"/>
    <w:rsid w:val="00AA6541"/>
    <w:rsid w:val="00AB04D7"/>
    <w:rsid w:val="00AB5DFF"/>
    <w:rsid w:val="00AB5F7C"/>
    <w:rsid w:val="00AB6426"/>
    <w:rsid w:val="00AC095C"/>
    <w:rsid w:val="00AC273B"/>
    <w:rsid w:val="00AC4522"/>
    <w:rsid w:val="00AC57AF"/>
    <w:rsid w:val="00AD3761"/>
    <w:rsid w:val="00AD3A5D"/>
    <w:rsid w:val="00AD3ABD"/>
    <w:rsid w:val="00AD46D9"/>
    <w:rsid w:val="00AD50F0"/>
    <w:rsid w:val="00AD73D8"/>
    <w:rsid w:val="00AD793A"/>
    <w:rsid w:val="00AE23FF"/>
    <w:rsid w:val="00AE291E"/>
    <w:rsid w:val="00AE4A08"/>
    <w:rsid w:val="00AE5091"/>
    <w:rsid w:val="00AF1C0C"/>
    <w:rsid w:val="00AF1CE1"/>
    <w:rsid w:val="00AF4B7C"/>
    <w:rsid w:val="00AF55B0"/>
    <w:rsid w:val="00AF6D51"/>
    <w:rsid w:val="00AF77A9"/>
    <w:rsid w:val="00B00760"/>
    <w:rsid w:val="00B023E0"/>
    <w:rsid w:val="00B034BE"/>
    <w:rsid w:val="00B037BE"/>
    <w:rsid w:val="00B03C5B"/>
    <w:rsid w:val="00B0454C"/>
    <w:rsid w:val="00B057BF"/>
    <w:rsid w:val="00B05C7F"/>
    <w:rsid w:val="00B077EB"/>
    <w:rsid w:val="00B0796E"/>
    <w:rsid w:val="00B10F8C"/>
    <w:rsid w:val="00B11255"/>
    <w:rsid w:val="00B11C81"/>
    <w:rsid w:val="00B14BE0"/>
    <w:rsid w:val="00B14CA8"/>
    <w:rsid w:val="00B160B7"/>
    <w:rsid w:val="00B16754"/>
    <w:rsid w:val="00B20E84"/>
    <w:rsid w:val="00B21A8E"/>
    <w:rsid w:val="00B22838"/>
    <w:rsid w:val="00B23A6F"/>
    <w:rsid w:val="00B24EC0"/>
    <w:rsid w:val="00B25211"/>
    <w:rsid w:val="00B25C6D"/>
    <w:rsid w:val="00B2614F"/>
    <w:rsid w:val="00B30179"/>
    <w:rsid w:val="00B31889"/>
    <w:rsid w:val="00B31A29"/>
    <w:rsid w:val="00B325AD"/>
    <w:rsid w:val="00B3298B"/>
    <w:rsid w:val="00B3317B"/>
    <w:rsid w:val="00B33DED"/>
    <w:rsid w:val="00B368E6"/>
    <w:rsid w:val="00B51BE6"/>
    <w:rsid w:val="00B5226D"/>
    <w:rsid w:val="00B53294"/>
    <w:rsid w:val="00B54390"/>
    <w:rsid w:val="00B55A92"/>
    <w:rsid w:val="00B5607E"/>
    <w:rsid w:val="00B569B1"/>
    <w:rsid w:val="00B57358"/>
    <w:rsid w:val="00B57608"/>
    <w:rsid w:val="00B57F06"/>
    <w:rsid w:val="00B64E41"/>
    <w:rsid w:val="00B7033A"/>
    <w:rsid w:val="00B7203A"/>
    <w:rsid w:val="00B72B1C"/>
    <w:rsid w:val="00B73448"/>
    <w:rsid w:val="00B75326"/>
    <w:rsid w:val="00B75AF4"/>
    <w:rsid w:val="00B75D73"/>
    <w:rsid w:val="00B76FC9"/>
    <w:rsid w:val="00B77705"/>
    <w:rsid w:val="00B807C7"/>
    <w:rsid w:val="00B8102B"/>
    <w:rsid w:val="00B81E12"/>
    <w:rsid w:val="00B8321C"/>
    <w:rsid w:val="00B84828"/>
    <w:rsid w:val="00B84DF5"/>
    <w:rsid w:val="00B86234"/>
    <w:rsid w:val="00B865E5"/>
    <w:rsid w:val="00B877B3"/>
    <w:rsid w:val="00B9003B"/>
    <w:rsid w:val="00B9302E"/>
    <w:rsid w:val="00B93068"/>
    <w:rsid w:val="00B93F35"/>
    <w:rsid w:val="00B9432A"/>
    <w:rsid w:val="00B94C52"/>
    <w:rsid w:val="00B962C7"/>
    <w:rsid w:val="00BA1222"/>
    <w:rsid w:val="00BA1A90"/>
    <w:rsid w:val="00BA1E0A"/>
    <w:rsid w:val="00BA6985"/>
    <w:rsid w:val="00BA7ADD"/>
    <w:rsid w:val="00BA7EDD"/>
    <w:rsid w:val="00BB3EA8"/>
    <w:rsid w:val="00BB5947"/>
    <w:rsid w:val="00BB7E7C"/>
    <w:rsid w:val="00BB7FA7"/>
    <w:rsid w:val="00BC01D5"/>
    <w:rsid w:val="00BC07C0"/>
    <w:rsid w:val="00BC2A14"/>
    <w:rsid w:val="00BC3487"/>
    <w:rsid w:val="00BC74E9"/>
    <w:rsid w:val="00BD01A4"/>
    <w:rsid w:val="00BD0F4C"/>
    <w:rsid w:val="00BD1F73"/>
    <w:rsid w:val="00BD1FD6"/>
    <w:rsid w:val="00BD2D79"/>
    <w:rsid w:val="00BD48F2"/>
    <w:rsid w:val="00BD7506"/>
    <w:rsid w:val="00BE0431"/>
    <w:rsid w:val="00BE0AFA"/>
    <w:rsid w:val="00BE356C"/>
    <w:rsid w:val="00BE618E"/>
    <w:rsid w:val="00BE7728"/>
    <w:rsid w:val="00BE78CB"/>
    <w:rsid w:val="00BF070F"/>
    <w:rsid w:val="00BF1D0B"/>
    <w:rsid w:val="00BF3550"/>
    <w:rsid w:val="00BF4DFE"/>
    <w:rsid w:val="00BF646C"/>
    <w:rsid w:val="00C00D82"/>
    <w:rsid w:val="00C01E72"/>
    <w:rsid w:val="00C02F4B"/>
    <w:rsid w:val="00C04BD0"/>
    <w:rsid w:val="00C0689E"/>
    <w:rsid w:val="00C12407"/>
    <w:rsid w:val="00C1302C"/>
    <w:rsid w:val="00C13BB2"/>
    <w:rsid w:val="00C13D83"/>
    <w:rsid w:val="00C15733"/>
    <w:rsid w:val="00C16543"/>
    <w:rsid w:val="00C16B0A"/>
    <w:rsid w:val="00C1794F"/>
    <w:rsid w:val="00C219B3"/>
    <w:rsid w:val="00C22F72"/>
    <w:rsid w:val="00C23DB1"/>
    <w:rsid w:val="00C24458"/>
    <w:rsid w:val="00C257CF"/>
    <w:rsid w:val="00C3124D"/>
    <w:rsid w:val="00C3128B"/>
    <w:rsid w:val="00C32892"/>
    <w:rsid w:val="00C3317B"/>
    <w:rsid w:val="00C33669"/>
    <w:rsid w:val="00C35EC5"/>
    <w:rsid w:val="00C4168E"/>
    <w:rsid w:val="00C41C0E"/>
    <w:rsid w:val="00C45636"/>
    <w:rsid w:val="00C45F16"/>
    <w:rsid w:val="00C45FCB"/>
    <w:rsid w:val="00C463DD"/>
    <w:rsid w:val="00C47FE3"/>
    <w:rsid w:val="00C50F4A"/>
    <w:rsid w:val="00C51A75"/>
    <w:rsid w:val="00C6157C"/>
    <w:rsid w:val="00C624B1"/>
    <w:rsid w:val="00C645B4"/>
    <w:rsid w:val="00C65617"/>
    <w:rsid w:val="00C6586F"/>
    <w:rsid w:val="00C70DE8"/>
    <w:rsid w:val="00C722AE"/>
    <w:rsid w:val="00C725B0"/>
    <w:rsid w:val="00C7366E"/>
    <w:rsid w:val="00C74171"/>
    <w:rsid w:val="00C745C3"/>
    <w:rsid w:val="00C76ED0"/>
    <w:rsid w:val="00C8031F"/>
    <w:rsid w:val="00C8353C"/>
    <w:rsid w:val="00C8398E"/>
    <w:rsid w:val="00C8747D"/>
    <w:rsid w:val="00C912F6"/>
    <w:rsid w:val="00C95A89"/>
    <w:rsid w:val="00C95D7C"/>
    <w:rsid w:val="00CA1B5D"/>
    <w:rsid w:val="00CA209A"/>
    <w:rsid w:val="00CA2FBC"/>
    <w:rsid w:val="00CA4A26"/>
    <w:rsid w:val="00CA4BB6"/>
    <w:rsid w:val="00CA5B27"/>
    <w:rsid w:val="00CA6164"/>
    <w:rsid w:val="00CA6BC8"/>
    <w:rsid w:val="00CB072E"/>
    <w:rsid w:val="00CB0852"/>
    <w:rsid w:val="00CB1674"/>
    <w:rsid w:val="00CB237E"/>
    <w:rsid w:val="00CB3E61"/>
    <w:rsid w:val="00CB5555"/>
    <w:rsid w:val="00CB68E1"/>
    <w:rsid w:val="00CB6CC3"/>
    <w:rsid w:val="00CB72B8"/>
    <w:rsid w:val="00CC0168"/>
    <w:rsid w:val="00CD2BFE"/>
    <w:rsid w:val="00CD3DE7"/>
    <w:rsid w:val="00CD4485"/>
    <w:rsid w:val="00CD490A"/>
    <w:rsid w:val="00CE18FD"/>
    <w:rsid w:val="00CE2D8A"/>
    <w:rsid w:val="00CE4A8F"/>
    <w:rsid w:val="00CE784C"/>
    <w:rsid w:val="00CE7F1D"/>
    <w:rsid w:val="00CF6E13"/>
    <w:rsid w:val="00D011DA"/>
    <w:rsid w:val="00D01606"/>
    <w:rsid w:val="00D05700"/>
    <w:rsid w:val="00D05DEE"/>
    <w:rsid w:val="00D07003"/>
    <w:rsid w:val="00D10951"/>
    <w:rsid w:val="00D10DC9"/>
    <w:rsid w:val="00D129D6"/>
    <w:rsid w:val="00D12DF0"/>
    <w:rsid w:val="00D1395A"/>
    <w:rsid w:val="00D14580"/>
    <w:rsid w:val="00D166D6"/>
    <w:rsid w:val="00D16814"/>
    <w:rsid w:val="00D16A93"/>
    <w:rsid w:val="00D17F3B"/>
    <w:rsid w:val="00D2013F"/>
    <w:rsid w:val="00D2031B"/>
    <w:rsid w:val="00D2135E"/>
    <w:rsid w:val="00D21832"/>
    <w:rsid w:val="00D25FE2"/>
    <w:rsid w:val="00D31811"/>
    <w:rsid w:val="00D326A2"/>
    <w:rsid w:val="00D33B69"/>
    <w:rsid w:val="00D412AC"/>
    <w:rsid w:val="00D421F1"/>
    <w:rsid w:val="00D42B69"/>
    <w:rsid w:val="00D43252"/>
    <w:rsid w:val="00D43EDD"/>
    <w:rsid w:val="00D44102"/>
    <w:rsid w:val="00D447A7"/>
    <w:rsid w:val="00D47CF2"/>
    <w:rsid w:val="00D47DC9"/>
    <w:rsid w:val="00D50B8B"/>
    <w:rsid w:val="00D52B0E"/>
    <w:rsid w:val="00D535ED"/>
    <w:rsid w:val="00D54FD0"/>
    <w:rsid w:val="00D562EC"/>
    <w:rsid w:val="00D61F55"/>
    <w:rsid w:val="00D62405"/>
    <w:rsid w:val="00D62FC4"/>
    <w:rsid w:val="00D63073"/>
    <w:rsid w:val="00D637F2"/>
    <w:rsid w:val="00D63ABF"/>
    <w:rsid w:val="00D6615E"/>
    <w:rsid w:val="00D71BB3"/>
    <w:rsid w:val="00D73477"/>
    <w:rsid w:val="00D73A7E"/>
    <w:rsid w:val="00D73C16"/>
    <w:rsid w:val="00D73F62"/>
    <w:rsid w:val="00D74E66"/>
    <w:rsid w:val="00D7725E"/>
    <w:rsid w:val="00D77E77"/>
    <w:rsid w:val="00D80C9E"/>
    <w:rsid w:val="00D86AD5"/>
    <w:rsid w:val="00D86C77"/>
    <w:rsid w:val="00D90CE7"/>
    <w:rsid w:val="00D93A5F"/>
    <w:rsid w:val="00D978C6"/>
    <w:rsid w:val="00DA34A3"/>
    <w:rsid w:val="00DA4873"/>
    <w:rsid w:val="00DA67AD"/>
    <w:rsid w:val="00DA7356"/>
    <w:rsid w:val="00DB05E9"/>
    <w:rsid w:val="00DB1E37"/>
    <w:rsid w:val="00DB3FF0"/>
    <w:rsid w:val="00DB4442"/>
    <w:rsid w:val="00DB66AB"/>
    <w:rsid w:val="00DC2CEE"/>
    <w:rsid w:val="00DC3BA9"/>
    <w:rsid w:val="00DC42A2"/>
    <w:rsid w:val="00DC4FA0"/>
    <w:rsid w:val="00DD0C6E"/>
    <w:rsid w:val="00DD15C3"/>
    <w:rsid w:val="00DD192A"/>
    <w:rsid w:val="00DD2272"/>
    <w:rsid w:val="00DD319E"/>
    <w:rsid w:val="00DD36A5"/>
    <w:rsid w:val="00DD5906"/>
    <w:rsid w:val="00DD7F63"/>
    <w:rsid w:val="00DE4047"/>
    <w:rsid w:val="00DE702A"/>
    <w:rsid w:val="00DE7F22"/>
    <w:rsid w:val="00E02713"/>
    <w:rsid w:val="00E03CFF"/>
    <w:rsid w:val="00E055ED"/>
    <w:rsid w:val="00E0680E"/>
    <w:rsid w:val="00E06EF2"/>
    <w:rsid w:val="00E07A2A"/>
    <w:rsid w:val="00E07A7E"/>
    <w:rsid w:val="00E101BD"/>
    <w:rsid w:val="00E10FD3"/>
    <w:rsid w:val="00E1208B"/>
    <w:rsid w:val="00E130AB"/>
    <w:rsid w:val="00E16009"/>
    <w:rsid w:val="00E17328"/>
    <w:rsid w:val="00E214E3"/>
    <w:rsid w:val="00E225F7"/>
    <w:rsid w:val="00E3018C"/>
    <w:rsid w:val="00E31B5B"/>
    <w:rsid w:val="00E322E2"/>
    <w:rsid w:val="00E331FD"/>
    <w:rsid w:val="00E34173"/>
    <w:rsid w:val="00E34949"/>
    <w:rsid w:val="00E3685E"/>
    <w:rsid w:val="00E378B6"/>
    <w:rsid w:val="00E424B1"/>
    <w:rsid w:val="00E4266B"/>
    <w:rsid w:val="00E432A8"/>
    <w:rsid w:val="00E43E4A"/>
    <w:rsid w:val="00E44E59"/>
    <w:rsid w:val="00E46C77"/>
    <w:rsid w:val="00E47BEF"/>
    <w:rsid w:val="00E47F78"/>
    <w:rsid w:val="00E5048B"/>
    <w:rsid w:val="00E50AC7"/>
    <w:rsid w:val="00E54451"/>
    <w:rsid w:val="00E5644E"/>
    <w:rsid w:val="00E602A1"/>
    <w:rsid w:val="00E65583"/>
    <w:rsid w:val="00E65E59"/>
    <w:rsid w:val="00E7260F"/>
    <w:rsid w:val="00E7281D"/>
    <w:rsid w:val="00E74C4F"/>
    <w:rsid w:val="00E774F9"/>
    <w:rsid w:val="00E80BBD"/>
    <w:rsid w:val="00E82A94"/>
    <w:rsid w:val="00E830F6"/>
    <w:rsid w:val="00E831D4"/>
    <w:rsid w:val="00E83EAF"/>
    <w:rsid w:val="00E87A11"/>
    <w:rsid w:val="00E904AD"/>
    <w:rsid w:val="00E91BB8"/>
    <w:rsid w:val="00E9388A"/>
    <w:rsid w:val="00E944F3"/>
    <w:rsid w:val="00E96169"/>
    <w:rsid w:val="00E9634D"/>
    <w:rsid w:val="00E9637A"/>
    <w:rsid w:val="00E9640A"/>
    <w:rsid w:val="00E96630"/>
    <w:rsid w:val="00E96DB6"/>
    <w:rsid w:val="00E9708A"/>
    <w:rsid w:val="00E97A3E"/>
    <w:rsid w:val="00E97C49"/>
    <w:rsid w:val="00EA17D5"/>
    <w:rsid w:val="00EA1ECE"/>
    <w:rsid w:val="00EA3D32"/>
    <w:rsid w:val="00EA46D9"/>
    <w:rsid w:val="00EA74CA"/>
    <w:rsid w:val="00EA7DD2"/>
    <w:rsid w:val="00EB0C66"/>
    <w:rsid w:val="00EB3953"/>
    <w:rsid w:val="00EB6A6A"/>
    <w:rsid w:val="00EC0EA1"/>
    <w:rsid w:val="00EC15FB"/>
    <w:rsid w:val="00EC349E"/>
    <w:rsid w:val="00EC3EA1"/>
    <w:rsid w:val="00EC5256"/>
    <w:rsid w:val="00ED1AFD"/>
    <w:rsid w:val="00ED1D97"/>
    <w:rsid w:val="00ED5043"/>
    <w:rsid w:val="00ED7182"/>
    <w:rsid w:val="00ED7A2A"/>
    <w:rsid w:val="00EE2796"/>
    <w:rsid w:val="00EE52D6"/>
    <w:rsid w:val="00EE54AE"/>
    <w:rsid w:val="00EE581B"/>
    <w:rsid w:val="00EF0B4B"/>
    <w:rsid w:val="00EF0BE2"/>
    <w:rsid w:val="00EF122B"/>
    <w:rsid w:val="00EF1D7F"/>
    <w:rsid w:val="00EF4AC1"/>
    <w:rsid w:val="00EF532F"/>
    <w:rsid w:val="00EF58AE"/>
    <w:rsid w:val="00EF64E0"/>
    <w:rsid w:val="00EF746E"/>
    <w:rsid w:val="00EF7A3C"/>
    <w:rsid w:val="00EF7EFA"/>
    <w:rsid w:val="00F00345"/>
    <w:rsid w:val="00F00895"/>
    <w:rsid w:val="00F024DC"/>
    <w:rsid w:val="00F036AB"/>
    <w:rsid w:val="00F0377B"/>
    <w:rsid w:val="00F0647A"/>
    <w:rsid w:val="00F07FB4"/>
    <w:rsid w:val="00F1107F"/>
    <w:rsid w:val="00F12B09"/>
    <w:rsid w:val="00F2137B"/>
    <w:rsid w:val="00F2309E"/>
    <w:rsid w:val="00F243E0"/>
    <w:rsid w:val="00F2471A"/>
    <w:rsid w:val="00F2636C"/>
    <w:rsid w:val="00F2690D"/>
    <w:rsid w:val="00F26FD4"/>
    <w:rsid w:val="00F30696"/>
    <w:rsid w:val="00F30876"/>
    <w:rsid w:val="00F308FB"/>
    <w:rsid w:val="00F3277D"/>
    <w:rsid w:val="00F37CE1"/>
    <w:rsid w:val="00F40E75"/>
    <w:rsid w:val="00F41C42"/>
    <w:rsid w:val="00F46CA6"/>
    <w:rsid w:val="00F50AEE"/>
    <w:rsid w:val="00F50D83"/>
    <w:rsid w:val="00F50F8D"/>
    <w:rsid w:val="00F53CF2"/>
    <w:rsid w:val="00F554CE"/>
    <w:rsid w:val="00F55CD6"/>
    <w:rsid w:val="00F55E14"/>
    <w:rsid w:val="00F55E50"/>
    <w:rsid w:val="00F629B4"/>
    <w:rsid w:val="00F63128"/>
    <w:rsid w:val="00F640F0"/>
    <w:rsid w:val="00F6492C"/>
    <w:rsid w:val="00F7135F"/>
    <w:rsid w:val="00F738C9"/>
    <w:rsid w:val="00F739CB"/>
    <w:rsid w:val="00F76BB6"/>
    <w:rsid w:val="00F77E6C"/>
    <w:rsid w:val="00F8109E"/>
    <w:rsid w:val="00F8247D"/>
    <w:rsid w:val="00F834D7"/>
    <w:rsid w:val="00F83F63"/>
    <w:rsid w:val="00F85DC1"/>
    <w:rsid w:val="00F8716D"/>
    <w:rsid w:val="00F917E5"/>
    <w:rsid w:val="00F929E6"/>
    <w:rsid w:val="00F931ED"/>
    <w:rsid w:val="00F96520"/>
    <w:rsid w:val="00F96614"/>
    <w:rsid w:val="00F974F4"/>
    <w:rsid w:val="00FA1375"/>
    <w:rsid w:val="00FA1FE5"/>
    <w:rsid w:val="00FA261F"/>
    <w:rsid w:val="00FA4BBB"/>
    <w:rsid w:val="00FA5C56"/>
    <w:rsid w:val="00FA7AFA"/>
    <w:rsid w:val="00FB2AA5"/>
    <w:rsid w:val="00FB311E"/>
    <w:rsid w:val="00FB48C3"/>
    <w:rsid w:val="00FB6441"/>
    <w:rsid w:val="00FB64AE"/>
    <w:rsid w:val="00FB65F1"/>
    <w:rsid w:val="00FB6FC2"/>
    <w:rsid w:val="00FC111D"/>
    <w:rsid w:val="00FC1701"/>
    <w:rsid w:val="00FC1895"/>
    <w:rsid w:val="00FC24FC"/>
    <w:rsid w:val="00FC3109"/>
    <w:rsid w:val="00FC4508"/>
    <w:rsid w:val="00FC4BDD"/>
    <w:rsid w:val="00FC5FB8"/>
    <w:rsid w:val="00FC68B7"/>
    <w:rsid w:val="00FD142E"/>
    <w:rsid w:val="00FD1438"/>
    <w:rsid w:val="00FD2389"/>
    <w:rsid w:val="00FD37F3"/>
    <w:rsid w:val="00FD3ADB"/>
    <w:rsid w:val="00FD5B18"/>
    <w:rsid w:val="00FE027F"/>
    <w:rsid w:val="00FE3F13"/>
    <w:rsid w:val="00FE4482"/>
    <w:rsid w:val="00FE6B09"/>
    <w:rsid w:val="00FE78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rPr>
      <w:lang/>
    </w:rPr>
  </w:style>
  <w:style w:type="paragraph" w:styleId="Heading2">
    <w:name w:val="heading 2"/>
    <w:basedOn w:val="Normal"/>
    <w:next w:val="Normal"/>
    <w:link w:val="Heading2Char"/>
    <w:qFormat/>
    <w:rsid w:val="00B75D73"/>
    <w:pPr>
      <w:spacing w:line="240" w:lineRule="auto"/>
      <w:outlineLvl w:val="1"/>
    </w:pPr>
    <w:rPr>
      <w:lang/>
    </w:rPr>
  </w:style>
  <w:style w:type="paragraph" w:styleId="Heading3">
    <w:name w:val="heading 3"/>
    <w:basedOn w:val="Normal"/>
    <w:next w:val="Normal"/>
    <w:link w:val="Heading3Char"/>
    <w:qFormat/>
    <w:rsid w:val="00B75D73"/>
    <w:pPr>
      <w:spacing w:line="240" w:lineRule="auto"/>
      <w:outlineLvl w:val="2"/>
    </w:pPr>
    <w:rPr>
      <w:lang/>
    </w:rPr>
  </w:style>
  <w:style w:type="paragraph" w:styleId="Heading4">
    <w:name w:val="heading 4"/>
    <w:basedOn w:val="Normal"/>
    <w:next w:val="Normal"/>
    <w:link w:val="Heading4Char"/>
    <w:qFormat/>
    <w:rsid w:val="00B75D73"/>
    <w:pPr>
      <w:spacing w:line="240" w:lineRule="auto"/>
      <w:outlineLvl w:val="3"/>
    </w:pPr>
    <w:rPr>
      <w:lang/>
    </w:rPr>
  </w:style>
  <w:style w:type="paragraph" w:styleId="Heading5">
    <w:name w:val="heading 5"/>
    <w:basedOn w:val="Normal"/>
    <w:next w:val="Normal"/>
    <w:link w:val="Heading5Char"/>
    <w:qFormat/>
    <w:rsid w:val="00B75D73"/>
    <w:pPr>
      <w:spacing w:line="240" w:lineRule="auto"/>
      <w:outlineLvl w:val="4"/>
    </w:pPr>
    <w:rPr>
      <w:lang/>
    </w:r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Footnote Text Char1,Footnote Text Char Char,Footnote Text Char1 Char Char,Footnote Text Char Char Char Char,Footnote Text Char Char1,Footnote Text Char Char1 Char,stile 1,Footnote,Footnote1,Footnote2,Footnote3,Footnote4,Footnot"/>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740AA5"/>
    <w:rPr>
      <w:lang w:eastAsia="en-US"/>
    </w:rPr>
  </w:style>
  <w:style w:type="character" w:customStyle="1" w:styleId="Heading2Char">
    <w:name w:val="Heading 2 Char"/>
    <w:link w:val="Heading2"/>
    <w:rsid w:val="00151021"/>
    <w:rPr>
      <w:lang w:eastAsia="en-US"/>
    </w:rPr>
  </w:style>
  <w:style w:type="paragraph" w:customStyle="1" w:styleId="BaseStyleBody">
    <w:name w:val="BaseStyle Body"/>
    <w:rsid w:val="00151021"/>
    <w:pPr>
      <w:jc w:val="both"/>
    </w:pPr>
    <w:rPr>
      <w:sz w:val="22"/>
    </w:rPr>
  </w:style>
  <w:style w:type="character" w:customStyle="1" w:styleId="Heading3Char">
    <w:name w:val="Heading 3 Char"/>
    <w:link w:val="Heading3"/>
    <w:rsid w:val="00151021"/>
    <w:rPr>
      <w:lang w:eastAsia="en-US"/>
    </w:rPr>
  </w:style>
  <w:style w:type="character" w:customStyle="1" w:styleId="Heading4Char">
    <w:name w:val="Heading 4 Char"/>
    <w:link w:val="Heading4"/>
    <w:rsid w:val="00151021"/>
    <w:rPr>
      <w:lang w:eastAsia="en-US"/>
    </w:rPr>
  </w:style>
  <w:style w:type="character" w:customStyle="1" w:styleId="Heading5Char">
    <w:name w:val="Heading 5 Char"/>
    <w:link w:val="Heading5"/>
    <w:rsid w:val="00151021"/>
    <w:rPr>
      <w:lang w:eastAsia="en-US"/>
    </w:rPr>
  </w:style>
  <w:style w:type="paragraph" w:styleId="ListParagraph">
    <w:name w:val="List Paragraph"/>
    <w:basedOn w:val="Normal"/>
    <w:qFormat/>
    <w:rsid w:val="00151021"/>
    <w:pPr>
      <w:suppressAutoHyphens w:val="0"/>
      <w:spacing w:after="200" w:line="276" w:lineRule="auto"/>
      <w:ind w:left="720"/>
      <w:contextualSpacing/>
    </w:pPr>
    <w:rPr>
      <w:rFonts w:ascii="Calibri" w:eastAsia="SimSun" w:hAnsi="Calibri"/>
      <w:sz w:val="22"/>
      <w:szCs w:val="22"/>
      <w:lang w:val="en-US"/>
    </w:rPr>
  </w:style>
  <w:style w:type="paragraph" w:styleId="NormalIndent">
    <w:name w:val="Normal Indent"/>
    <w:basedOn w:val="Normal"/>
    <w:rsid w:val="00151021"/>
    <w:pPr>
      <w:suppressAutoHyphens w:val="0"/>
      <w:spacing w:line="240" w:lineRule="auto"/>
      <w:ind w:left="720"/>
    </w:pPr>
    <w:rPr>
      <w:lang w:val="en-US"/>
    </w:rPr>
  </w:style>
  <w:style w:type="paragraph" w:customStyle="1" w:styleId="STPHead12">
    <w:name w:val="STPHead12"/>
    <w:basedOn w:val="Heading2"/>
    <w:next w:val="NormalIndent"/>
    <w:autoRedefine/>
    <w:qFormat/>
    <w:rsid w:val="00151021"/>
    <w:pPr>
      <w:keepNext/>
      <w:suppressAutoHyphens w:val="0"/>
      <w:spacing w:before="120" w:after="120"/>
      <w:ind w:firstLineChars="300" w:firstLine="720"/>
      <w:contextualSpacing/>
      <w:jc w:val="both"/>
    </w:pPr>
    <w:rPr>
      <w:bCs/>
      <w:iCs/>
      <w:sz w:val="24"/>
      <w:szCs w:val="24"/>
      <w:lang w:val="en-US"/>
    </w:rPr>
  </w:style>
  <w:style w:type="paragraph" w:styleId="TOC1">
    <w:name w:val="toc 1"/>
    <w:basedOn w:val="Normal"/>
    <w:next w:val="Normal"/>
    <w:autoRedefine/>
    <w:rsid w:val="00151021"/>
    <w:pPr>
      <w:tabs>
        <w:tab w:val="left" w:pos="238"/>
        <w:tab w:val="right" w:leader="dot" w:pos="8640"/>
      </w:tabs>
      <w:suppressAutoHyphens w:val="0"/>
      <w:spacing w:line="240" w:lineRule="auto"/>
      <w:jc w:val="both"/>
    </w:pPr>
    <w:rPr>
      <w:rFonts w:ascii="Calibri" w:hAnsi="Calibri" w:cs="Calibri"/>
      <w:bCs/>
      <w:noProof/>
      <w:kern w:val="44"/>
      <w:sz w:val="22"/>
      <w:szCs w:val="22"/>
    </w:rPr>
  </w:style>
  <w:style w:type="paragraph" w:customStyle="1" w:styleId="BodyA">
    <w:name w:val="Body A"/>
    <w:rsid w:val="00151021"/>
    <w:rPr>
      <w:rFonts w:ascii="Helvetica" w:eastAsia="ヒラギノ角ゴ Pro W3" w:hAnsi="Helvetica"/>
      <w:color w:val="000000"/>
      <w:sz w:val="24"/>
    </w:rPr>
  </w:style>
  <w:style w:type="character" w:customStyle="1" w:styleId="FooterChar">
    <w:name w:val="Footer Char"/>
    <w:aliases w:val="3_G Char"/>
    <w:link w:val="Footer"/>
    <w:rsid w:val="00151021"/>
    <w:rPr>
      <w:sz w:val="16"/>
      <w:lang w:eastAsia="en-US"/>
    </w:rPr>
  </w:style>
  <w:style w:type="paragraph" w:styleId="BodyText">
    <w:name w:val="Body Text"/>
    <w:basedOn w:val="Normal"/>
    <w:link w:val="BodyTextChar"/>
    <w:rsid w:val="00151021"/>
    <w:pPr>
      <w:suppressAutoHyphens w:val="0"/>
      <w:spacing w:line="240" w:lineRule="auto"/>
    </w:pPr>
    <w:rPr>
      <w:rFonts w:eastAsia="SimSun"/>
      <w:b/>
      <w:lang w:val="en-US"/>
    </w:rPr>
  </w:style>
  <w:style w:type="character" w:customStyle="1" w:styleId="BodyTextChar">
    <w:name w:val="Body Text Char"/>
    <w:link w:val="BodyText"/>
    <w:rsid w:val="00151021"/>
    <w:rPr>
      <w:rFonts w:eastAsia="SimSun"/>
      <w:b/>
      <w:lang w:val="en-US" w:eastAsia="en-US"/>
    </w:rPr>
  </w:style>
  <w:style w:type="character" w:customStyle="1" w:styleId="FootnoteTextChar">
    <w:name w:val="Footnote Text Char"/>
    <w:aliases w:val="5_G Char,f Char,Footnote Text Char1 Char1,Footnote Text Char Char Char1,Footnote Text Char1 Char Char Char1,Footnote Text Char Char Char Char Char1,Footnote Text Char Char1 Char2,Footnote Text Char Char1 Char Char,stile 1 Char"/>
    <w:link w:val="FootnoteText"/>
    <w:rsid w:val="00151021"/>
    <w:rPr>
      <w:sz w:val="18"/>
      <w:lang w:eastAsia="en-US"/>
    </w:rPr>
  </w:style>
  <w:style w:type="paragraph" w:customStyle="1" w:styleId="text">
    <w:name w:val="text"/>
    <w:basedOn w:val="BodyText"/>
    <w:qFormat/>
    <w:rsid w:val="00151021"/>
    <w:pPr>
      <w:spacing w:after="120" w:line="360" w:lineRule="auto"/>
      <w:jc w:val="both"/>
    </w:pPr>
    <w:rPr>
      <w:rFonts w:eastAsia="Calibri"/>
      <w:b w:val="0"/>
      <w:sz w:val="24"/>
      <w:szCs w:val="24"/>
    </w:rPr>
  </w:style>
  <w:style w:type="paragraph" w:styleId="NoSpacing">
    <w:name w:val="No Spacing"/>
    <w:qFormat/>
    <w:rsid w:val="00151021"/>
    <w:rPr>
      <w:rFonts w:ascii="Calibri" w:eastAsia="Calibri" w:hAnsi="Calibri"/>
      <w:sz w:val="22"/>
      <w:szCs w:val="22"/>
      <w:lang w:val="fr-FR"/>
    </w:rPr>
  </w:style>
  <w:style w:type="paragraph" w:styleId="BodyText3">
    <w:name w:val="Body Text 3"/>
    <w:basedOn w:val="Normal"/>
    <w:link w:val="BodyText3Char"/>
    <w:rsid w:val="00151021"/>
    <w:pPr>
      <w:suppressAutoHyphens w:val="0"/>
      <w:spacing w:after="120" w:line="276" w:lineRule="auto"/>
    </w:pPr>
    <w:rPr>
      <w:rFonts w:ascii="Calibri" w:eastAsia="SimSun" w:hAnsi="Calibri"/>
      <w:sz w:val="16"/>
      <w:szCs w:val="16"/>
      <w:lang w:val="en-US"/>
    </w:rPr>
  </w:style>
  <w:style w:type="character" w:customStyle="1" w:styleId="BodyText3Char">
    <w:name w:val="Body Text 3 Char"/>
    <w:link w:val="BodyText3"/>
    <w:rsid w:val="00151021"/>
    <w:rPr>
      <w:rFonts w:ascii="Calibri" w:eastAsia="SimSun" w:hAnsi="Calibri"/>
      <w:sz w:val="16"/>
      <w:szCs w:val="16"/>
      <w:lang w:val="en-US" w:eastAsia="en-US"/>
    </w:rPr>
  </w:style>
  <w:style w:type="character" w:customStyle="1" w:styleId="a">
    <w:name w:val="a"/>
    <w:basedOn w:val="DefaultParagraphFont"/>
    <w:rsid w:val="00151021"/>
  </w:style>
  <w:style w:type="character" w:customStyle="1" w:styleId="l6">
    <w:name w:val="l6"/>
    <w:basedOn w:val="DefaultParagraphFont"/>
    <w:rsid w:val="00151021"/>
  </w:style>
  <w:style w:type="character" w:customStyle="1" w:styleId="l11">
    <w:name w:val="l11"/>
    <w:basedOn w:val="DefaultParagraphFont"/>
    <w:rsid w:val="00151021"/>
  </w:style>
  <w:style w:type="character" w:customStyle="1" w:styleId="l10">
    <w:name w:val="l10"/>
    <w:basedOn w:val="DefaultParagraphFont"/>
    <w:rsid w:val="00151021"/>
  </w:style>
  <w:style w:type="character" w:customStyle="1" w:styleId="l8">
    <w:name w:val="l8"/>
    <w:basedOn w:val="DefaultParagraphFont"/>
    <w:rsid w:val="00151021"/>
  </w:style>
  <w:style w:type="character" w:customStyle="1" w:styleId="l7">
    <w:name w:val="l7"/>
    <w:basedOn w:val="DefaultParagraphFont"/>
    <w:rsid w:val="00151021"/>
  </w:style>
  <w:style w:type="character" w:customStyle="1" w:styleId="l9">
    <w:name w:val="l9"/>
    <w:basedOn w:val="DefaultParagraphFont"/>
    <w:rsid w:val="00151021"/>
  </w:style>
  <w:style w:type="character" w:customStyle="1" w:styleId="l12">
    <w:name w:val="l12"/>
    <w:basedOn w:val="DefaultParagraphFont"/>
    <w:rsid w:val="00151021"/>
  </w:style>
  <w:style w:type="character" w:customStyle="1" w:styleId="l">
    <w:name w:val="l"/>
    <w:basedOn w:val="DefaultParagraphFont"/>
    <w:rsid w:val="00151021"/>
  </w:style>
  <w:style w:type="paragraph" w:customStyle="1" w:styleId="BaseStyleHeaderTable">
    <w:name w:val="BaseStyle Header/Table"/>
    <w:basedOn w:val="BaseStyleBody"/>
    <w:rsid w:val="00151021"/>
    <w:rPr>
      <w:rFonts w:ascii="ZapfHumnst BT" w:hAnsi="ZapfHumnst BT"/>
    </w:rPr>
  </w:style>
  <w:style w:type="paragraph" w:customStyle="1" w:styleId="ChapterAuthors">
    <w:name w:val="Chapter Authors"/>
    <w:basedOn w:val="BaseStyleBody"/>
    <w:rsid w:val="00151021"/>
    <w:pPr>
      <w:spacing w:after="220"/>
      <w:jc w:val="center"/>
    </w:pPr>
    <w:rPr>
      <w:i/>
    </w:rPr>
  </w:style>
  <w:style w:type="paragraph" w:customStyle="1" w:styleId="TitlePagePubDate">
    <w:name w:val="Title Page: Pub. Date"/>
    <w:basedOn w:val="BaseStyleHeaderTable"/>
    <w:rsid w:val="00151021"/>
    <w:pPr>
      <w:jc w:val="center"/>
    </w:pPr>
    <w:rPr>
      <w:sz w:val="24"/>
    </w:rPr>
  </w:style>
  <w:style w:type="paragraph" w:customStyle="1" w:styleId="TitlePageTitle">
    <w:name w:val="Title Page: Title"/>
    <w:basedOn w:val="BaseStyleHeaderTable"/>
    <w:rsid w:val="00151021"/>
    <w:pPr>
      <w:jc w:val="center"/>
    </w:pPr>
    <w:rPr>
      <w:b/>
      <w:sz w:val="60"/>
    </w:rPr>
  </w:style>
  <w:style w:type="paragraph" w:customStyle="1" w:styleId="ChapterTitle">
    <w:name w:val="Chapter Title"/>
    <w:basedOn w:val="BaseStyleHeaderTable"/>
    <w:next w:val="Normal"/>
    <w:rsid w:val="00151021"/>
    <w:pPr>
      <w:jc w:val="left"/>
    </w:pPr>
    <w:rPr>
      <w:b/>
      <w:sz w:val="32"/>
    </w:rPr>
  </w:style>
  <w:style w:type="character" w:customStyle="1" w:styleId="HeaderChar">
    <w:name w:val="Header Char"/>
    <w:aliases w:val="6_G Char"/>
    <w:link w:val="Header"/>
    <w:rsid w:val="00151021"/>
    <w:rPr>
      <w:b/>
      <w:sz w:val="18"/>
      <w:lang w:eastAsia="en-US"/>
    </w:rPr>
  </w:style>
  <w:style w:type="paragraph" w:customStyle="1" w:styleId="FooterEvenPage">
    <w:name w:val="Footer: Even Page"/>
    <w:basedOn w:val="BaseStyleHeaderTable"/>
    <w:rsid w:val="00151021"/>
    <w:pPr>
      <w:ind w:left="-1008"/>
    </w:pPr>
    <w:rPr>
      <w:sz w:val="16"/>
    </w:rPr>
  </w:style>
  <w:style w:type="paragraph" w:customStyle="1" w:styleId="SummaryofFindingsHeader">
    <w:name w:val="Summary of Findings: Header"/>
    <w:basedOn w:val="BaseStyleHeaderTable"/>
    <w:rsid w:val="00151021"/>
    <w:pPr>
      <w:pBdr>
        <w:bottom w:val="single" w:sz="4" w:space="1" w:color="auto"/>
      </w:pBdr>
      <w:spacing w:after="220"/>
    </w:pPr>
    <w:rPr>
      <w:b/>
      <w:smallCaps/>
      <w:sz w:val="24"/>
    </w:rPr>
  </w:style>
  <w:style w:type="paragraph" w:customStyle="1" w:styleId="Paragraph">
    <w:name w:val="Paragraph"/>
    <w:basedOn w:val="BaseStyleBody"/>
    <w:rsid w:val="00151021"/>
    <w:pPr>
      <w:spacing w:after="220"/>
      <w:ind w:firstLine="720"/>
    </w:pPr>
  </w:style>
  <w:style w:type="paragraph" w:customStyle="1" w:styleId="BulletList">
    <w:name w:val="Bullet List"/>
    <w:basedOn w:val="BaseStyleBody"/>
    <w:rsid w:val="00151021"/>
    <w:pPr>
      <w:tabs>
        <w:tab w:val="num" w:pos="1080"/>
      </w:tabs>
      <w:ind w:left="1080" w:hanging="360"/>
    </w:pPr>
  </w:style>
  <w:style w:type="paragraph" w:customStyle="1" w:styleId="FooterOddPage">
    <w:name w:val="Footer: Odd Page"/>
    <w:basedOn w:val="BaseStyleHeaderTable"/>
    <w:rsid w:val="00151021"/>
    <w:pPr>
      <w:ind w:right="-1008"/>
      <w:jc w:val="right"/>
    </w:pPr>
    <w:rPr>
      <w:sz w:val="16"/>
    </w:rPr>
  </w:style>
  <w:style w:type="paragraph" w:customStyle="1" w:styleId="FRNumList0">
    <w:name w:val="FRNumList0"/>
    <w:basedOn w:val="BaseStyleBody"/>
    <w:next w:val="FRNumList1"/>
    <w:rsid w:val="00151021"/>
    <w:pPr>
      <w:keepNext/>
      <w:numPr>
        <w:numId w:val="9"/>
      </w:numPr>
    </w:pPr>
    <w:rPr>
      <w:sz w:val="2"/>
    </w:rPr>
  </w:style>
  <w:style w:type="paragraph" w:customStyle="1" w:styleId="FRNumList1">
    <w:name w:val="FRNumList1"/>
    <w:basedOn w:val="BaseStyleBody"/>
    <w:next w:val="FRNumList2"/>
    <w:rsid w:val="00151021"/>
    <w:pPr>
      <w:numPr>
        <w:ilvl w:val="1"/>
        <w:numId w:val="9"/>
      </w:numPr>
      <w:spacing w:after="220"/>
    </w:pPr>
  </w:style>
  <w:style w:type="paragraph" w:customStyle="1" w:styleId="FRNumList2">
    <w:name w:val="FRNumList2"/>
    <w:basedOn w:val="FRNumList1"/>
    <w:rsid w:val="00151021"/>
    <w:pPr>
      <w:numPr>
        <w:ilvl w:val="0"/>
        <w:numId w:val="11"/>
      </w:numPr>
      <w:ind w:left="720" w:hanging="360"/>
    </w:pPr>
  </w:style>
  <w:style w:type="paragraph" w:customStyle="1" w:styleId="FRNumList3">
    <w:name w:val="FRNumList3"/>
    <w:basedOn w:val="FRNumList2"/>
    <w:rsid w:val="00151021"/>
    <w:pPr>
      <w:numPr>
        <w:ilvl w:val="1"/>
      </w:numPr>
      <w:ind w:left="1080"/>
    </w:pPr>
  </w:style>
  <w:style w:type="paragraph" w:customStyle="1" w:styleId="FRNumList4">
    <w:name w:val="FRNumList4"/>
    <w:basedOn w:val="FRNumList3"/>
    <w:rsid w:val="00151021"/>
    <w:pPr>
      <w:numPr>
        <w:ilvl w:val="2"/>
      </w:numPr>
      <w:ind w:left="1440"/>
    </w:pPr>
  </w:style>
  <w:style w:type="paragraph" w:customStyle="1" w:styleId="FRNumList5">
    <w:name w:val="FRNumList5"/>
    <w:basedOn w:val="FRNumList4"/>
    <w:rsid w:val="00151021"/>
    <w:pPr>
      <w:numPr>
        <w:ilvl w:val="3"/>
      </w:numPr>
      <w:ind w:left="1800"/>
    </w:pPr>
  </w:style>
  <w:style w:type="paragraph" w:customStyle="1" w:styleId="FRBulletList1">
    <w:name w:val="FRBulletList1"/>
    <w:basedOn w:val="BaseStyleBody"/>
    <w:rsid w:val="00151021"/>
    <w:pPr>
      <w:numPr>
        <w:ilvl w:val="4"/>
        <w:numId w:val="11"/>
      </w:numPr>
      <w:tabs>
        <w:tab w:val="num" w:pos="720"/>
      </w:tabs>
      <w:spacing w:after="220"/>
      <w:ind w:left="720"/>
    </w:pPr>
  </w:style>
  <w:style w:type="paragraph" w:customStyle="1" w:styleId="FRBulletList2">
    <w:name w:val="FRBulletList2"/>
    <w:basedOn w:val="BaseStyleBody"/>
    <w:rsid w:val="00151021"/>
    <w:pPr>
      <w:numPr>
        <w:ilvl w:val="5"/>
        <w:numId w:val="11"/>
      </w:numPr>
      <w:tabs>
        <w:tab w:val="num" w:pos="1080"/>
      </w:tabs>
      <w:spacing w:after="220"/>
      <w:ind w:left="1080"/>
    </w:pPr>
  </w:style>
  <w:style w:type="paragraph" w:customStyle="1" w:styleId="FRBulletList3">
    <w:name w:val="FRBulletList3"/>
    <w:basedOn w:val="FRBulletList2"/>
    <w:rsid w:val="00151021"/>
    <w:pPr>
      <w:numPr>
        <w:ilvl w:val="0"/>
        <w:numId w:val="12"/>
      </w:numPr>
      <w:tabs>
        <w:tab w:val="clear" w:pos="720"/>
        <w:tab w:val="num" w:pos="1440"/>
      </w:tabs>
      <w:ind w:left="1440"/>
    </w:pPr>
  </w:style>
  <w:style w:type="paragraph" w:styleId="BodyTextIndent">
    <w:name w:val="Body Text Indent"/>
    <w:basedOn w:val="Normal"/>
    <w:link w:val="BodyTextIndentChar"/>
    <w:rsid w:val="00151021"/>
    <w:pPr>
      <w:numPr>
        <w:ilvl w:val="1"/>
        <w:numId w:val="12"/>
      </w:numPr>
      <w:tabs>
        <w:tab w:val="clear" w:pos="1080"/>
      </w:tabs>
      <w:suppressAutoHyphens w:val="0"/>
      <w:spacing w:line="240" w:lineRule="auto"/>
      <w:ind w:left="60" w:firstLine="0"/>
      <w:jc w:val="both"/>
    </w:pPr>
    <w:rPr>
      <w:rFonts w:eastAsia="SimSun"/>
      <w:szCs w:val="24"/>
      <w:lang w:val="en-US"/>
    </w:rPr>
  </w:style>
  <w:style w:type="character" w:customStyle="1" w:styleId="BodyTextIndentChar">
    <w:name w:val="Body Text Indent Char"/>
    <w:link w:val="BodyTextIndent"/>
    <w:rsid w:val="00151021"/>
    <w:rPr>
      <w:rFonts w:eastAsia="SimSun"/>
      <w:szCs w:val="24"/>
      <w:lang w:val="en-US" w:eastAsia="en-US"/>
    </w:rPr>
  </w:style>
  <w:style w:type="paragraph" w:customStyle="1" w:styleId="TableMarkToTOC">
    <w:name w:val="TableMarkToTOC"/>
    <w:basedOn w:val="BaseStyleHeaderTable"/>
    <w:next w:val="BaseStyleHeaderTable"/>
    <w:rsid w:val="00151021"/>
    <w:rPr>
      <w:sz w:val="18"/>
      <w:u w:val="single"/>
    </w:rPr>
  </w:style>
  <w:style w:type="paragraph" w:customStyle="1" w:styleId="References">
    <w:name w:val="References"/>
    <w:basedOn w:val="BaseStyleBody"/>
    <w:rsid w:val="00151021"/>
    <w:pPr>
      <w:spacing w:after="220"/>
    </w:pPr>
  </w:style>
  <w:style w:type="paragraph" w:customStyle="1" w:styleId="title">
    <w:name w:val="title"/>
    <w:basedOn w:val="Normal"/>
    <w:rsid w:val="00151021"/>
    <w:pPr>
      <w:suppressAutoHyphens w:val="0"/>
      <w:spacing w:line="240" w:lineRule="auto"/>
      <w:jc w:val="center"/>
    </w:pPr>
    <w:rPr>
      <w:rFonts w:ascii="Arial" w:hAnsi="Arial"/>
      <w:b/>
      <w:bCs/>
      <w:snapToGrid w:val="0"/>
      <w:sz w:val="28"/>
      <w:lang w:val="en-US"/>
    </w:rPr>
  </w:style>
  <w:style w:type="character" w:customStyle="1" w:styleId="CharChar4">
    <w:name w:val=" Char Char4"/>
    <w:rsid w:val="00151021"/>
    <w:rPr>
      <w:rFonts w:ascii="Times New Roman" w:eastAsia="Times New Roman" w:hAnsi="Times New Roman"/>
      <w:sz w:val="24"/>
      <w:szCs w:val="24"/>
    </w:rPr>
  </w:style>
  <w:style w:type="paragraph" w:styleId="BodyText2">
    <w:name w:val="Body Text 2"/>
    <w:basedOn w:val="Normal"/>
    <w:link w:val="BodyText2Char"/>
    <w:rsid w:val="00151021"/>
    <w:pPr>
      <w:suppressAutoHyphens w:val="0"/>
      <w:spacing w:line="240" w:lineRule="auto"/>
    </w:pPr>
    <w:rPr>
      <w:rFonts w:ascii="Arial" w:eastAsia="SimSun" w:hAnsi="Arial"/>
      <w:szCs w:val="24"/>
      <w:lang w:val="en-US"/>
    </w:rPr>
  </w:style>
  <w:style w:type="character" w:customStyle="1" w:styleId="BodyText2Char">
    <w:name w:val="Body Text 2 Char"/>
    <w:link w:val="BodyText2"/>
    <w:rsid w:val="00151021"/>
    <w:rPr>
      <w:rFonts w:ascii="Arial" w:eastAsia="SimSun" w:hAnsi="Arial" w:cs="Arial"/>
      <w:szCs w:val="24"/>
      <w:lang w:val="en-US" w:eastAsia="en-US"/>
    </w:rPr>
  </w:style>
  <w:style w:type="paragraph" w:styleId="Subtitle">
    <w:name w:val="Subtitle"/>
    <w:basedOn w:val="Normal"/>
    <w:link w:val="SubtitleChar"/>
    <w:qFormat/>
    <w:rsid w:val="00151021"/>
    <w:pPr>
      <w:suppressAutoHyphens w:val="0"/>
      <w:spacing w:line="240" w:lineRule="auto"/>
      <w:jc w:val="center"/>
    </w:pPr>
    <w:rPr>
      <w:rFonts w:eastAsia="SimSun"/>
      <w:b/>
      <w:bCs/>
      <w:sz w:val="22"/>
      <w:szCs w:val="24"/>
      <w:lang w:val="en-US"/>
    </w:rPr>
  </w:style>
  <w:style w:type="character" w:customStyle="1" w:styleId="SubtitleChar">
    <w:name w:val="Subtitle Char"/>
    <w:link w:val="Subtitle"/>
    <w:rsid w:val="00151021"/>
    <w:rPr>
      <w:rFonts w:eastAsia="SimSun"/>
      <w:b/>
      <w:bCs/>
      <w:sz w:val="22"/>
      <w:szCs w:val="24"/>
      <w:lang w:val="en-US" w:eastAsia="en-US"/>
    </w:rPr>
  </w:style>
  <w:style w:type="character" w:styleId="CommentReference">
    <w:name w:val="annotation reference"/>
    <w:rsid w:val="00151021"/>
    <w:rPr>
      <w:sz w:val="16"/>
      <w:szCs w:val="16"/>
    </w:rPr>
  </w:style>
  <w:style w:type="paragraph" w:styleId="CommentText">
    <w:name w:val="annotation text"/>
    <w:aliases w:val=" Char,Char"/>
    <w:basedOn w:val="Normal"/>
    <w:link w:val="CommentTextChar"/>
    <w:rsid w:val="00151021"/>
    <w:pPr>
      <w:suppressAutoHyphens w:val="0"/>
      <w:spacing w:line="240" w:lineRule="auto"/>
      <w:jc w:val="both"/>
    </w:pPr>
    <w:rPr>
      <w:rFonts w:eastAsia="SimSun"/>
      <w:lang w:val="en-US"/>
    </w:rPr>
  </w:style>
  <w:style w:type="character" w:customStyle="1" w:styleId="CommentTextChar">
    <w:name w:val="Comment Text Char"/>
    <w:aliases w:val=" Char Char,Char Char"/>
    <w:link w:val="CommentText"/>
    <w:rsid w:val="00151021"/>
    <w:rPr>
      <w:rFonts w:eastAsia="SimSun"/>
      <w:lang w:val="en-US" w:eastAsia="en-US"/>
    </w:rPr>
  </w:style>
  <w:style w:type="paragraph" w:styleId="CommentSubject">
    <w:name w:val="annotation subject"/>
    <w:basedOn w:val="CommentText"/>
    <w:next w:val="CommentText"/>
    <w:link w:val="CommentSubjectChar"/>
    <w:rsid w:val="00151021"/>
    <w:rPr>
      <w:b/>
      <w:bCs/>
    </w:rPr>
  </w:style>
  <w:style w:type="character" w:customStyle="1" w:styleId="CommentSubjectChar">
    <w:name w:val="Comment Subject Char"/>
    <w:link w:val="CommentSubject"/>
    <w:rsid w:val="00151021"/>
    <w:rPr>
      <w:rFonts w:eastAsia="SimSun"/>
      <w:b/>
      <w:bCs/>
      <w:lang w:val="en-US" w:eastAsia="en-US"/>
    </w:rPr>
  </w:style>
  <w:style w:type="paragraph" w:styleId="BalloonText">
    <w:name w:val="Balloon Text"/>
    <w:basedOn w:val="Normal"/>
    <w:link w:val="BalloonTextChar"/>
    <w:rsid w:val="00151021"/>
    <w:pPr>
      <w:suppressAutoHyphens w:val="0"/>
      <w:spacing w:line="240" w:lineRule="auto"/>
      <w:jc w:val="both"/>
    </w:pPr>
    <w:rPr>
      <w:rFonts w:ascii="Tahoma" w:eastAsia="SimSun" w:hAnsi="Tahoma"/>
      <w:sz w:val="16"/>
      <w:szCs w:val="16"/>
      <w:lang w:val="en-US"/>
    </w:rPr>
  </w:style>
  <w:style w:type="character" w:customStyle="1" w:styleId="BalloonTextChar">
    <w:name w:val="Balloon Text Char"/>
    <w:link w:val="BalloonText"/>
    <w:rsid w:val="00151021"/>
    <w:rPr>
      <w:rFonts w:ascii="Tahoma" w:eastAsia="SimSun" w:hAnsi="Tahoma" w:cs="Tahoma"/>
      <w:sz w:val="16"/>
      <w:szCs w:val="16"/>
      <w:lang w:val="en-US" w:eastAsia="en-US"/>
    </w:rPr>
  </w:style>
  <w:style w:type="paragraph" w:customStyle="1" w:styleId="paragraph0">
    <w:name w:val="paragraph"/>
    <w:basedOn w:val="Normal"/>
    <w:rsid w:val="00151021"/>
    <w:pPr>
      <w:suppressAutoHyphens w:val="0"/>
      <w:spacing w:line="240" w:lineRule="auto"/>
    </w:pPr>
    <w:rPr>
      <w:rFonts w:eastAsia="Calibri"/>
      <w:sz w:val="24"/>
      <w:szCs w:val="24"/>
      <w:lang w:val="en-US"/>
    </w:rPr>
  </w:style>
  <w:style w:type="paragraph" w:styleId="Revision">
    <w:name w:val="Revision"/>
    <w:hidden/>
    <w:semiHidden/>
    <w:rsid w:val="00151021"/>
    <w:rPr>
      <w:sz w:val="22"/>
      <w:szCs w:val="24"/>
    </w:rPr>
  </w:style>
  <w:style w:type="character" w:customStyle="1" w:styleId="FootnoteTextChar1Char">
    <w:name w:val="Footnote Text Char1 Char"/>
    <w:aliases w:val="Footnote Text Char Char Char,Footnote Text Char1 Char Char Char,Footnote Text Char Char Char Char Char,Footnote Text Char Char1 Char1,Footnote Text Char Char1 Char Char Char"/>
    <w:semiHidden/>
    <w:rsid w:val="00151021"/>
    <w:rPr>
      <w:rFonts w:ascii="Garamond" w:hAnsi="Garamond"/>
      <w:b/>
      <w:bCs/>
      <w:sz w:val="16"/>
      <w:lang w:val="en-US" w:eastAsia="en-US" w:bidi="ar-SA"/>
    </w:rPr>
  </w:style>
  <w:style w:type="paragraph" w:styleId="NormalWeb">
    <w:name w:val="Normal (Web)"/>
    <w:basedOn w:val="Normal"/>
    <w:uiPriority w:val="99"/>
    <w:unhideWhenUsed/>
    <w:rsid w:val="00151021"/>
    <w:pPr>
      <w:suppressAutoHyphens w:val="0"/>
      <w:spacing w:before="100" w:beforeAutospacing="1" w:after="100" w:afterAutospacing="1" w:line="240" w:lineRule="auto"/>
    </w:pPr>
    <w:rPr>
      <w:sz w:val="24"/>
      <w:szCs w:val="24"/>
      <w:lang w:val="en-US"/>
    </w:rPr>
  </w:style>
  <w:style w:type="character" w:customStyle="1" w:styleId="mw-headline">
    <w:name w:val="mw-headline"/>
    <w:basedOn w:val="DefaultParagraphFont"/>
    <w:rsid w:val="00151021"/>
  </w:style>
  <w:style w:type="paragraph" w:customStyle="1" w:styleId="CharChar1CharCharCharCharCharCharCharCharCharCharCharCharChar">
    <w:name w:val=" Char Char1 Char Char Char Char Char Char Char Char Char Char Char Char Char"/>
    <w:basedOn w:val="Normal"/>
    <w:rsid w:val="00151021"/>
    <w:pPr>
      <w:suppressAutoHyphens w:val="0"/>
      <w:spacing w:after="160" w:line="240" w:lineRule="exact"/>
    </w:pPr>
    <w:rPr>
      <w:rFonts w:ascii="Arial" w:hAnsi="Arial" w:cs="Arial"/>
      <w:lang w:val="en-US"/>
    </w:rPr>
  </w:style>
  <w:style w:type="character" w:customStyle="1" w:styleId="CharacterStyle2">
    <w:name w:val="Character Style 2"/>
    <w:uiPriority w:val="99"/>
    <w:rsid w:val="00151021"/>
    <w:rPr>
      <w:rFonts w:ascii="Tahoma" w:hAnsi="Tahoma" w:cs="Tahoma"/>
      <w:sz w:val="28"/>
      <w:szCs w:val="28"/>
    </w:rPr>
  </w:style>
  <w:style w:type="character" w:customStyle="1" w:styleId="FontStyle31">
    <w:name w:val="Font Style31"/>
    <w:rsid w:val="00151021"/>
    <w:rPr>
      <w:rFonts w:ascii="Tahoma" w:hAnsi="Tahoma" w:cs="Tahoma"/>
      <w:lang w:bidi="hi-IN"/>
    </w:rPr>
  </w:style>
  <w:style w:type="paragraph" w:customStyle="1" w:styleId="Default">
    <w:name w:val="Default"/>
    <w:rsid w:val="00151021"/>
    <w:pPr>
      <w:autoSpaceDE w:val="0"/>
      <w:autoSpaceDN w:val="0"/>
      <w:adjustRightInd w:val="0"/>
    </w:pPr>
    <w:rPr>
      <w:rFonts w:ascii="Calibri" w:eastAsia="SimSun" w:hAnsi="Calibri" w:cs="Calibri"/>
      <w:color w:val="000000"/>
      <w:sz w:val="24"/>
      <w:szCs w:val="24"/>
    </w:rPr>
  </w:style>
  <w:style w:type="paragraph" w:styleId="DocumentMap">
    <w:name w:val="Document Map"/>
    <w:basedOn w:val="Normal"/>
    <w:link w:val="DocumentMapChar"/>
    <w:rsid w:val="00184970"/>
    <w:rPr>
      <w:rFonts w:ascii="Lucida Grande" w:hAnsi="Lucida Grande"/>
      <w:sz w:val="24"/>
      <w:szCs w:val="24"/>
    </w:rPr>
  </w:style>
  <w:style w:type="character" w:customStyle="1" w:styleId="DocumentMapChar">
    <w:name w:val="Document Map Char"/>
    <w:link w:val="DocumentMap"/>
    <w:rsid w:val="00184970"/>
    <w:rPr>
      <w:rFonts w:ascii="Lucida Grande" w:hAnsi="Lucida Grande" w:cs="Lucida Grande"/>
      <w:sz w:val="24"/>
      <w:szCs w:val="24"/>
      <w:lang w:val="en-GB" w:eastAsia="en-US"/>
    </w:rPr>
  </w:style>
  <w:style w:type="paragraph" w:customStyle="1" w:styleId="Prrafodelista">
    <w:name w:val="Párrafo de lista"/>
    <w:basedOn w:val="Normal"/>
    <w:qFormat/>
    <w:rsid w:val="00D31811"/>
    <w:pPr>
      <w:suppressAutoHyphens w:val="0"/>
      <w:spacing w:line="240" w:lineRule="auto"/>
      <w:ind w:left="720"/>
      <w:contextualSpacing/>
    </w:pPr>
    <w:rPr>
      <w:rFonts w:ascii="Cambria" w:eastAsia="MS Mincho" w:hAnsi="Cambria"/>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646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access-ods.un.org/access.nsf/Get?Open&amp;DS=A/RES/61/106&amp;Lang=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58</TotalTime>
  <Pages>1</Pages>
  <Words>46311</Words>
  <Characters>263978</Characters>
  <Application>Microsoft Office Outlook</Application>
  <DocSecurity>4</DocSecurity>
  <Lines>2199</Lines>
  <Paragraphs>619</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309670</CharactersWithSpaces>
  <SharedDoc>false</SharedDoc>
  <HLinks>
    <vt:vector size="6" baseType="variant">
      <vt:variant>
        <vt:i4>1900555</vt:i4>
      </vt:variant>
      <vt:variant>
        <vt:i4>0</vt:i4>
      </vt:variant>
      <vt:variant>
        <vt:i4>0</vt:i4>
      </vt:variant>
      <vt:variant>
        <vt:i4>5</vt:i4>
      </vt:variant>
      <vt:variant>
        <vt:lpwstr>http://daccess-ods.un.org/access.nsf/Get?Open&amp;DS=A/RES/61/106&amp;Lang=E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cp:lastModifiedBy>DCM</cp:lastModifiedBy>
  <cp:revision>6</cp:revision>
  <cp:lastPrinted>2014-05-13T09:34:00Z</cp:lastPrinted>
  <dcterms:created xsi:type="dcterms:W3CDTF">2014-05-13T08:56:00Z</dcterms:created>
  <dcterms:modified xsi:type="dcterms:W3CDTF">2014-05-13T15:31:00Z</dcterms:modified>
</cp:coreProperties>
</file>