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RPr="002E247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20D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2E247C" w:rsidRDefault="00A20D17" w:rsidP="00A20D17">
            <w:pPr>
              <w:jc w:val="right"/>
              <w:rPr>
                <w:lang w:val="en-US"/>
              </w:rPr>
            </w:pPr>
            <w:r w:rsidRPr="002E247C">
              <w:rPr>
                <w:sz w:val="40"/>
                <w:lang w:val="en-US"/>
              </w:rPr>
              <w:t>CCPR</w:t>
            </w:r>
            <w:r w:rsidRPr="002E247C">
              <w:rPr>
                <w:lang w:val="en-US"/>
              </w:rPr>
              <w:t>/C/BLZ/CO/1/Add.1</w:t>
            </w:r>
          </w:p>
        </w:tc>
      </w:tr>
      <w:tr w:rsidR="002D5AAC" w:rsidRPr="002E247C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E247C" w:rsidRDefault="00A20D17" w:rsidP="00BC3629">
            <w:pPr>
              <w:spacing w:before="240"/>
              <w:rPr>
                <w:lang w:val="en-US"/>
              </w:rPr>
            </w:pPr>
            <w:r w:rsidRPr="002E247C">
              <w:rPr>
                <w:lang w:val="en-US"/>
              </w:rPr>
              <w:t>Distr.: General</w:t>
            </w:r>
          </w:p>
          <w:p w:rsidR="00A20D17" w:rsidRPr="002E247C" w:rsidRDefault="00A20D17" w:rsidP="00A20D17">
            <w:pPr>
              <w:spacing w:line="240" w:lineRule="exact"/>
              <w:rPr>
                <w:lang w:val="en-US"/>
              </w:rPr>
            </w:pPr>
            <w:r w:rsidRPr="002E247C">
              <w:rPr>
                <w:lang w:val="en-US"/>
              </w:rPr>
              <w:t>11 December 2018</w:t>
            </w:r>
          </w:p>
          <w:p w:rsidR="00A20D17" w:rsidRPr="002E247C" w:rsidRDefault="00A20D17" w:rsidP="00A20D17">
            <w:pPr>
              <w:spacing w:line="240" w:lineRule="exact"/>
              <w:rPr>
                <w:lang w:val="en-US"/>
              </w:rPr>
            </w:pPr>
            <w:r w:rsidRPr="002E247C">
              <w:rPr>
                <w:lang w:val="en-US"/>
              </w:rPr>
              <w:t>Russian</w:t>
            </w:r>
          </w:p>
          <w:p w:rsidR="00A20D17" w:rsidRPr="002E247C" w:rsidRDefault="00A20D17" w:rsidP="00A20D17">
            <w:pPr>
              <w:spacing w:line="240" w:lineRule="exact"/>
              <w:rPr>
                <w:lang w:val="en-US"/>
              </w:rPr>
            </w:pPr>
            <w:r w:rsidRPr="002E247C">
              <w:rPr>
                <w:lang w:val="en-US"/>
              </w:rPr>
              <w:t>Original: English</w:t>
            </w:r>
          </w:p>
        </w:tc>
      </w:tr>
    </w:tbl>
    <w:p w:rsidR="00A20D17" w:rsidRPr="00A20D17" w:rsidRDefault="00A20D17" w:rsidP="00A20D17">
      <w:pPr>
        <w:spacing w:before="120"/>
        <w:rPr>
          <w:b/>
          <w:bCs/>
          <w:sz w:val="24"/>
          <w:szCs w:val="24"/>
        </w:rPr>
      </w:pPr>
      <w:r w:rsidRPr="00A20D17">
        <w:rPr>
          <w:b/>
          <w:bCs/>
          <w:sz w:val="24"/>
          <w:szCs w:val="24"/>
        </w:rPr>
        <w:t>Комитет по правам человека</w:t>
      </w:r>
    </w:p>
    <w:p w:rsidR="00A20D17" w:rsidRPr="00F113F0" w:rsidRDefault="00A20D17" w:rsidP="00A20D17">
      <w:pPr>
        <w:pStyle w:val="HCh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Заключительные замечания по первоначальному докладу Белиза</w:t>
      </w:r>
      <w:r w:rsidRPr="007C717D">
        <w:rPr>
          <w:b w:val="0"/>
          <w:bCs/>
          <w:sz w:val="20"/>
          <w:szCs w:val="14"/>
          <w:lang w:val="ru-RU"/>
        </w:rPr>
        <w:footnoteReference w:customMarkFollows="1" w:id="1"/>
        <w:t>*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Комитет рассмотрел первоначальный доклад Белиза (CCPR/C/BLZ/1) на своих 3540-м и 3541-м заседаниях (CCPR/C/SR.3540 и 3541), состоявшихся 15 и 16 октября 2018 года. На своем 3559</w:t>
      </w:r>
      <w:r w:rsidRPr="006B45FD">
        <w:rPr>
          <w:lang w:val="ru-RU"/>
        </w:rPr>
        <w:t>-</w:t>
      </w:r>
      <w:r>
        <w:rPr>
          <w:lang w:val="ru-RU"/>
        </w:rPr>
        <w:t>м заседании, состоявшемся 29 октября 2018 года, он принял настоящие заключительные замечания.</w:t>
      </w:r>
    </w:p>
    <w:p w:rsidR="00A20D17" w:rsidRPr="00F113F0" w:rsidRDefault="00A20D17" w:rsidP="00A20D17">
      <w:pPr>
        <w:pStyle w:val="H1G"/>
        <w:suppressAutoHyphens/>
        <w:rPr>
          <w:lang w:val="ru-RU"/>
        </w:rPr>
      </w:pPr>
      <w:r>
        <w:rPr>
          <w:lang w:val="ru-RU"/>
        </w:rPr>
        <w:tab/>
        <w:t>A.</w:t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Комитет приветствует представление, хотя и с запозданием, первоначального доклада Белиза и содержащуюся в нем информацию. Он выражает признательность за предоставленную возможность провести, после принятия в 2013 году предыдущих заключительных замечаний Комитета в отсутствие доклада (CCPR/C/BLZ/CO/1), конструктивный диалог с делегацией государства-участника в отношении мер, принятых государством-участником по осуществлению положений Пакта после его вступления в силу в 1996 году. Комитет признателен государству-участнику за его</w:t>
      </w:r>
      <w:r w:rsidR="00C15E2D">
        <w:rPr>
          <w:lang w:val="en-US"/>
        </w:rPr>
        <w:t> </w:t>
      </w:r>
      <w:r>
        <w:rPr>
          <w:lang w:val="ru-RU"/>
        </w:rPr>
        <w:t>письменные ответы (CCPR/C/BLZ/Q/1/Add.2) на перечень вопросов (CCPR/C/BLZ/Q/1/Add.1), которые были дополнены устными ответами делегации.</w:t>
      </w:r>
    </w:p>
    <w:p w:rsidR="00A20D17" w:rsidRPr="00F113F0" w:rsidRDefault="00A20D17" w:rsidP="00A20D17">
      <w:pPr>
        <w:pStyle w:val="H1G"/>
        <w:suppressAutoHyphens/>
        <w:rPr>
          <w:lang w:val="ru-RU"/>
        </w:rPr>
      </w:pPr>
      <w:r>
        <w:rPr>
          <w:lang w:val="ru-RU"/>
        </w:rPr>
        <w:tab/>
        <w:t>B.</w:t>
      </w:r>
      <w:r>
        <w:rPr>
          <w:lang w:val="ru-RU"/>
        </w:rPr>
        <w:tab/>
      </w:r>
      <w:r>
        <w:rPr>
          <w:bCs/>
          <w:lang w:val="ru-RU"/>
        </w:rPr>
        <w:t>Позитивные аспекты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Комитет приветствует принятые государством-участником следующие правовые, институциональные и политические меры:</w:t>
      </w:r>
    </w:p>
    <w:p w:rsidR="00A20D17" w:rsidRPr="00F113F0" w:rsidRDefault="00A20D17" w:rsidP="00C15E2D">
      <w:pPr>
        <w:pStyle w:val="SingleTxtG"/>
        <w:suppressAutoHyphens/>
        <w:ind w:firstLine="567"/>
        <w:rPr>
          <w:lang w:val="ru-RU"/>
        </w:rPr>
      </w:pPr>
      <w:r>
        <w:rPr>
          <w:lang w:val="ru-RU"/>
        </w:rPr>
        <w:tab/>
        <w:t>a)</w:t>
      </w:r>
      <w:r>
        <w:rPr>
          <w:lang w:val="ru-RU"/>
        </w:rPr>
        <w:tab/>
        <w:t>создание подразделения по борьбе с торговлей людьми в Департаменте полиции Белиза в 2018 году;</w:t>
      </w:r>
    </w:p>
    <w:p w:rsidR="00A20D17" w:rsidRPr="00F113F0" w:rsidRDefault="00A20D17" w:rsidP="00C15E2D">
      <w:pPr>
        <w:pStyle w:val="SingleTxtG"/>
        <w:suppressAutoHyphens/>
        <w:ind w:firstLine="567"/>
        <w:rPr>
          <w:lang w:val="ru-RU"/>
        </w:rPr>
      </w:pPr>
      <w:r>
        <w:rPr>
          <w:lang w:val="ru-RU"/>
        </w:rPr>
        <w:tab/>
        <w:t>b)</w:t>
      </w:r>
      <w:r>
        <w:rPr>
          <w:lang w:val="ru-RU"/>
        </w:rPr>
        <w:tab/>
        <w:t xml:space="preserve">реализацию проекта </w:t>
      </w:r>
      <w:r w:rsidR="00C15E2D">
        <w:rPr>
          <w:lang w:val="ru-RU"/>
        </w:rPr>
        <w:t>«</w:t>
      </w:r>
      <w:r>
        <w:rPr>
          <w:lang w:val="ru-RU"/>
        </w:rPr>
        <w:t>Женщины в политике</w:t>
      </w:r>
      <w:r w:rsidR="00C15E2D">
        <w:rPr>
          <w:lang w:val="ru-RU"/>
        </w:rPr>
        <w:t>»</w:t>
      </w:r>
      <w:r>
        <w:rPr>
          <w:lang w:val="ru-RU"/>
        </w:rPr>
        <w:t>, направленного на расширение участия женщин в политической жизни;</w:t>
      </w:r>
    </w:p>
    <w:p w:rsidR="00A20D17" w:rsidRPr="00F113F0" w:rsidRDefault="00A20D17" w:rsidP="00C15E2D">
      <w:pPr>
        <w:pStyle w:val="SingleTxtG"/>
        <w:suppressAutoHyphens/>
        <w:ind w:firstLine="567"/>
        <w:rPr>
          <w:lang w:val="ru-RU"/>
        </w:rPr>
      </w:pPr>
      <w:r>
        <w:rPr>
          <w:lang w:val="ru-RU"/>
        </w:rPr>
        <w:tab/>
        <w:t>c)</w:t>
      </w:r>
      <w:r>
        <w:rPr>
          <w:lang w:val="ru-RU"/>
        </w:rPr>
        <w:tab/>
        <w:t>учреждение Национального комитета по гендерным вопросам и проблеме гендерного насилия и окружных комитетов по вопросам гендерного насилия для решения гендерных вопросов на комплексной основе;</w:t>
      </w:r>
    </w:p>
    <w:p w:rsidR="00A20D17" w:rsidRPr="00F113F0" w:rsidRDefault="00A20D17" w:rsidP="00C15E2D">
      <w:pPr>
        <w:pStyle w:val="SingleTxtG"/>
        <w:suppressAutoHyphens/>
        <w:ind w:firstLine="567"/>
        <w:rPr>
          <w:lang w:val="ru-RU"/>
        </w:rPr>
      </w:pPr>
      <w:r>
        <w:rPr>
          <w:lang w:val="ru-RU"/>
        </w:rPr>
        <w:tab/>
        <w:t>d)</w:t>
      </w:r>
      <w:r>
        <w:rPr>
          <w:lang w:val="ru-RU"/>
        </w:rPr>
        <w:tab/>
        <w:t>установление процедурных сроков в Уголовно-процессуальном кодексе, принятом в 2016 году, направленных на сокращение задержек в системе правосудия.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Комитет приветствует тот факт, что государство-участник ратифицировало следующие международные договоры или присоединилось к ним:</w:t>
      </w:r>
    </w:p>
    <w:p w:rsidR="00A20D17" w:rsidRPr="00F113F0" w:rsidRDefault="00A20D17" w:rsidP="00C15E2D">
      <w:pPr>
        <w:pStyle w:val="SingleTxtG"/>
        <w:suppressAutoHyphens/>
        <w:ind w:firstLine="567"/>
        <w:rPr>
          <w:lang w:val="ru-RU"/>
        </w:rPr>
      </w:pPr>
      <w:r>
        <w:rPr>
          <w:lang w:val="ru-RU"/>
        </w:rPr>
        <w:lastRenderedPageBreak/>
        <w:tab/>
        <w:t>a)</w:t>
      </w:r>
      <w:r>
        <w:rPr>
          <w:lang w:val="ru-RU"/>
        </w:rPr>
        <w:tab/>
        <w:t>Международный пакт об экономических, социальных и культурных правах, 9 марта 2015 года;</w:t>
      </w:r>
    </w:p>
    <w:p w:rsidR="00A20D17" w:rsidRPr="00F113F0" w:rsidRDefault="00A20D17" w:rsidP="00C15E2D">
      <w:pPr>
        <w:pStyle w:val="SingleTxtG"/>
        <w:suppressAutoHyphens/>
        <w:ind w:firstLine="567"/>
        <w:rPr>
          <w:lang w:val="ru-RU"/>
        </w:rPr>
      </w:pPr>
      <w:r>
        <w:rPr>
          <w:lang w:val="ru-RU"/>
        </w:rPr>
        <w:tab/>
        <w:t>b)</w:t>
      </w:r>
      <w:r>
        <w:rPr>
          <w:lang w:val="ru-RU"/>
        </w:rPr>
        <w:tab/>
        <w:t>Международную конвенцию для защиты всех лиц от насильственных исчезновений, 14 августа 2015 года;</w:t>
      </w:r>
    </w:p>
    <w:p w:rsidR="00A20D17" w:rsidRPr="00F113F0" w:rsidRDefault="00A20D17" w:rsidP="00C15E2D">
      <w:pPr>
        <w:pStyle w:val="SingleTxtG"/>
        <w:suppressAutoHyphens/>
        <w:ind w:firstLine="567"/>
        <w:rPr>
          <w:lang w:val="ru-RU"/>
        </w:rPr>
      </w:pPr>
      <w:r>
        <w:rPr>
          <w:lang w:val="ru-RU"/>
        </w:rPr>
        <w:tab/>
        <w:t>c)</w:t>
      </w:r>
      <w:r>
        <w:rPr>
          <w:lang w:val="ru-RU"/>
        </w:rPr>
        <w:tab/>
        <w:t>Факультативный протокол к Конвенции против пыток и других жестоких, бесчеловечных или унижающих достоинство видов обращения и наказания, 4 сентября 2015 года.</w:t>
      </w:r>
    </w:p>
    <w:p w:rsidR="00A20D17" w:rsidRPr="00F113F0" w:rsidRDefault="00A20D17" w:rsidP="00A20D17">
      <w:pPr>
        <w:pStyle w:val="H1G"/>
        <w:suppressAutoHyphens/>
        <w:rPr>
          <w:lang w:val="ru-RU"/>
        </w:rPr>
      </w:pPr>
      <w:r>
        <w:rPr>
          <w:lang w:val="ru-RU"/>
        </w:rPr>
        <w:tab/>
        <w:t>C.</w:t>
      </w:r>
      <w:r>
        <w:rPr>
          <w:lang w:val="ru-RU"/>
        </w:rPr>
        <w:tab/>
      </w:r>
      <w:r>
        <w:rPr>
          <w:bCs/>
          <w:lang w:val="ru-RU"/>
        </w:rPr>
        <w:t>Основные вопросы, вызывающие обеспокоенность, и</w:t>
      </w:r>
      <w:r w:rsidR="00C15E2D">
        <w:rPr>
          <w:bCs/>
          <w:lang w:val="en-US"/>
        </w:rPr>
        <w:t> </w:t>
      </w:r>
      <w:r>
        <w:rPr>
          <w:bCs/>
          <w:lang w:val="ru-RU"/>
        </w:rPr>
        <w:t>рекомендации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Применение Пакта во внутреннем праве и конституционная основа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Отмечая, что положения Пакта были интегрированы в национальное законодательство путем включения в Конституцию и целый ряд внутренних законов, Комитет по-прежнему обеспокоен (CCPR/C/BLZ/CO/1, пункт 10) по поводу весьма ограниченного числа примеров дел, в которых бы в судах использовались положения Пакта. Он также обеспокоен тем, что в соответствии с разделом 3 Конституции основные права и свободы могут ограничиваться в связи с защитой общественных интересов и что применяемый Верховным судом Белиза критерий для уравновешивания всех основополагающих прав с интересами государства создает вопросы совместимости с Пактом, поскольку ряд прав, закрепленных в Пакте ни при каких обстоятельствах не должны ограничиваться или могут ограничиваться при четко определенных условиях, предусмотренных в Пакте (статья 2).</w:t>
      </w:r>
    </w:p>
    <w:p w:rsidR="00A20D17" w:rsidRPr="008559CD" w:rsidRDefault="00A20D17" w:rsidP="00A20D17">
      <w:pPr>
        <w:pStyle w:val="SingleTxtG"/>
        <w:suppressAutoHyphens/>
        <w:rPr>
          <w:b/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 w:rsidRPr="008559CD">
        <w:rPr>
          <w:b/>
          <w:lang w:val="ru-RU"/>
        </w:rPr>
        <w:t>Государству-участнику следует: а) предпринять все необходимые шаги с целью гарантировать, чтобы положения Пакта имели полное юридическое действие в его отечественной правовой системе, с тем чтобы они могли применяться и чтобы на них можно было ссылаться в отечественных судах; b)</w:t>
      </w:r>
      <w:r w:rsidR="00170592">
        <w:rPr>
          <w:b/>
          <w:lang w:val="ru-RU"/>
        </w:rPr>
        <w:t> </w:t>
      </w:r>
      <w:r w:rsidRPr="008559CD">
        <w:rPr>
          <w:b/>
          <w:lang w:val="ru-RU"/>
        </w:rPr>
        <w:t xml:space="preserve">осуществлять комплексную, доступную и регулярно обновляемую программу специализированной подготовки по Пакту для судей, прокуроров и адвокатов, с тем чтобы они применяли и толковали внутреннее законодательство в свете положений Пакта; </w:t>
      </w:r>
      <w:r w:rsidRPr="008559CD">
        <w:rPr>
          <w:b/>
          <w:bCs/>
          <w:lang w:val="ru-RU"/>
        </w:rPr>
        <w:t>и с) пересмотреть свое конституционное законодательство, с тем чтобы защищаемые Пактом</w:t>
      </w:r>
      <w:r w:rsidRPr="008559CD">
        <w:rPr>
          <w:b/>
          <w:lang w:val="ru-RU"/>
        </w:rPr>
        <w:t xml:space="preserve"> </w:t>
      </w:r>
      <w:r w:rsidRPr="008559CD">
        <w:rPr>
          <w:b/>
          <w:bCs/>
          <w:lang w:val="ru-RU"/>
        </w:rPr>
        <w:t>права не ограничивались более</w:t>
      </w:r>
      <w:r w:rsidR="008559CD" w:rsidRPr="008559CD">
        <w:rPr>
          <w:b/>
          <w:bCs/>
          <w:lang w:val="ru-RU"/>
        </w:rPr>
        <w:t>,</w:t>
      </w:r>
      <w:r w:rsidRPr="008559CD">
        <w:rPr>
          <w:b/>
          <w:bCs/>
          <w:lang w:val="ru-RU"/>
        </w:rPr>
        <w:t xml:space="preserve"> чем это предусмотрено в Пакте.</w:t>
      </w:r>
      <w:r w:rsidRPr="008559CD">
        <w:rPr>
          <w:b/>
          <w:lang w:val="ru-RU"/>
        </w:rPr>
        <w:t xml:space="preserve"> 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Оговорки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r w:rsidRPr="00C15E2D">
        <w:rPr>
          <w:spacing w:val="-4"/>
          <w:lang w:val="ru-RU"/>
        </w:rPr>
        <w:t>Комитет вновь выражает свою обеспокоенность (CCPR/C/BLZ/CO/1, пункты 6</w:t>
      </w:r>
      <w:r w:rsidR="00C15E2D" w:rsidRPr="002E247C">
        <w:rPr>
          <w:spacing w:val="-4"/>
          <w:lang w:val="ru-RU"/>
        </w:rPr>
        <w:t>–</w:t>
      </w:r>
      <w:r w:rsidRPr="00C15E2D">
        <w:rPr>
          <w:spacing w:val="-4"/>
          <w:lang w:val="ru-RU"/>
        </w:rPr>
        <w:t xml:space="preserve">8) </w:t>
      </w:r>
      <w:r>
        <w:rPr>
          <w:lang w:val="ru-RU"/>
        </w:rPr>
        <w:t>по поводу оговорки государства-участника к пункту 2 статьи 12 и пунктам 3 d) и 6 статьи 14 и их несовместимости с предметом и целью Пакта. Он особенно обеспокоен тем, что: а) оговорка государства-участника к пункту 2 статьи 12 на основании того, что национальные интересы оправдывают нормативное положение, в соответствии с которым выезжающие за границу лица должны представлять справку об отсутствии налоговой задолженности, на практике несоразмерно ограничивает свободу передвижения; и b) оговорки государства-участника к пунктам 3 d) и 6 статьи 14 ставят под угрозу интересы правосудия (статьи 2, 12 и 14).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 изучить возможность снятия оговорок к пункту 2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статьи 12 и исключить любые практические препятствия для свободы передвижения.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С учетом замечания общего порядка Комитета № 32 (2007) о праве на равенство перед судами и трибуналами и на справе</w:t>
      </w:r>
      <w:r w:rsidR="008559CD">
        <w:rPr>
          <w:b/>
          <w:bCs/>
          <w:lang w:val="ru-RU"/>
        </w:rPr>
        <w:t>дливое судебное разбирательство</w:t>
      </w:r>
      <w:r>
        <w:rPr>
          <w:b/>
          <w:bCs/>
          <w:lang w:val="ru-RU"/>
        </w:rPr>
        <w:t xml:space="preserve"> государству-участнику следует рассмотреть вопрос о снятии своей оговорки к пунктам 3 d) и 6 статьи 14, с тем обеспечить интересы правосудия.</w:t>
      </w:r>
      <w:r>
        <w:rPr>
          <w:lang w:val="ru-RU"/>
        </w:rPr>
        <w:t xml:space="preserve"> 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Национальные правозащитные учреждения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 xml:space="preserve">Отмечая наличие государственных органов, занимающихся вопросами защиты прав человека, таких как Национальный комитет по делам семьи и детей и </w:t>
      </w:r>
      <w:r>
        <w:rPr>
          <w:lang w:val="ru-RU"/>
        </w:rPr>
        <w:lastRenderedPageBreak/>
        <w:t xml:space="preserve">Национальная комиссия по делам женщин, а также информацию о подготовке технико-экономического обоснования относительно учреждения национального правозащитного учреждения по правам человека, Комитет вновь выражает свою обеспокоенность (CCPR/C/BLZ/CO/1, пункт 9) в отношении того, что государство-участник еще не создало такого учреждения в соответствии с принципами, касающимися статуса национальных учреждений, занимающихся поощрением и защитой прав человека (Парижские принципы). Комитет приветствует увеличение бюджетных ассигнований для Управления Омбудсмена Белиза, однако обеспокоен тем, что Управление по-прежнему не располагает достаточными людскими и финансовыми ресурсами для выполнения своих задач (статья 2). 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>
        <w:rPr>
          <w:b/>
          <w:bCs/>
          <w:lang w:val="ru-RU"/>
        </w:rPr>
        <w:t xml:space="preserve">Государству-участнику следует активизировать усилия по: a) созданию национального правозащитного учреждения с мандатом по защите всего комплекса прав человека, которое будет полностью соответствовать Парижским принципам и функционировать независимо, </w:t>
      </w:r>
      <w:proofErr w:type="spellStart"/>
      <w:r>
        <w:rPr>
          <w:b/>
          <w:bCs/>
          <w:lang w:val="ru-RU"/>
        </w:rPr>
        <w:t>транспарентно</w:t>
      </w:r>
      <w:proofErr w:type="spellEnd"/>
      <w:r>
        <w:rPr>
          <w:b/>
          <w:bCs/>
          <w:lang w:val="ru-RU"/>
        </w:rPr>
        <w:t xml:space="preserve"> и эффективно в целях поощрения и защиты прав человека;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 b) обеспечению Управления омбудсмена финансовыми и людскими ресурсами, которые были бы достаточными для эффективного выполнения его мандата.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Нормативно-правовая основа борьбы с дискриминацией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Комитет отмечает, что принцип недискри</w:t>
      </w:r>
      <w:r w:rsidR="00262AD7">
        <w:rPr>
          <w:lang w:val="ru-RU"/>
        </w:rPr>
        <w:t>минации закреплен в Конституции</w:t>
      </w:r>
      <w:r>
        <w:rPr>
          <w:lang w:val="ru-RU"/>
        </w:rPr>
        <w:t xml:space="preserve"> и что был инициирован процесс по обеспечению всеобъемлющей недискриминации посредством разработки законопроекта о борьбе с дискриминацией. Вместе с тем он с сожалением констатирует, что действующая нормативно-правовая основа: а)</w:t>
      </w:r>
      <w:r w:rsidR="00262AD7">
        <w:rPr>
          <w:lang w:val="ru-RU"/>
        </w:rPr>
        <w:t> </w:t>
      </w:r>
      <w:r>
        <w:rPr>
          <w:lang w:val="ru-RU"/>
        </w:rPr>
        <w:t>не</w:t>
      </w:r>
      <w:r w:rsidR="00262AD7">
        <w:rPr>
          <w:lang w:val="ru-RU"/>
        </w:rPr>
        <w:t> </w:t>
      </w:r>
      <w:r>
        <w:rPr>
          <w:lang w:val="ru-RU"/>
        </w:rPr>
        <w:t>охватывает в полной мере все запрещенные признаки, указанные в ст</w:t>
      </w:r>
      <w:r w:rsidR="00D61F65">
        <w:rPr>
          <w:lang w:val="ru-RU"/>
        </w:rPr>
        <w:t>атьях 2 и 26 Пакта, в частности</w:t>
      </w:r>
      <w:r>
        <w:rPr>
          <w:lang w:val="ru-RU"/>
        </w:rPr>
        <w:t xml:space="preserve"> язык, религию, убеждения, социальное происхождение, имущественное положение, место рождения, сексуальную ориентацию и </w:t>
      </w:r>
      <w:proofErr w:type="gramStart"/>
      <w:r>
        <w:rPr>
          <w:lang w:val="ru-RU"/>
        </w:rPr>
        <w:t>гендерную идентичность</w:t>
      </w:r>
      <w:proofErr w:type="gramEnd"/>
      <w:r>
        <w:rPr>
          <w:lang w:val="ru-RU"/>
        </w:rPr>
        <w:t xml:space="preserve"> и иной статус; и b) не предусматривает для потерпевших эффективных гражданских и административных средств правовой защиты (статьи 2 и 26).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Комитет также выражает свою озабоченность по поводу пункта 1 статьи 5 Закона об иммиграции (2000), который запрещает въезд на территорию государства-участника определенным категориям иностранцев по признаку состояния их здоровья, инвалидности, сексуальной ориентации или иного статуса, в том числе лицам с</w:t>
      </w:r>
      <w:r w:rsidRPr="003C0333">
        <w:rPr>
          <w:lang w:val="ru-RU"/>
        </w:rPr>
        <w:t xml:space="preserve"> </w:t>
      </w:r>
      <w:r>
        <w:rPr>
          <w:lang w:val="ru-RU"/>
        </w:rPr>
        <w:t>психическими или</w:t>
      </w:r>
      <w:r w:rsidRPr="003C0333">
        <w:rPr>
          <w:lang w:val="ru-RU"/>
        </w:rPr>
        <w:t xml:space="preserve"> </w:t>
      </w:r>
      <w:r>
        <w:rPr>
          <w:lang w:val="ru-RU"/>
        </w:rPr>
        <w:t>психосоциальными расстройствам</w:t>
      </w:r>
      <w:r w:rsidR="00D61F65">
        <w:rPr>
          <w:lang w:val="ru-RU"/>
        </w:rPr>
        <w:t>и</w:t>
      </w:r>
      <w:r>
        <w:rPr>
          <w:lang w:val="ru-RU"/>
        </w:rPr>
        <w:t xml:space="preserve"> и лицам, определенным иммиграционными властями как </w:t>
      </w:r>
      <w:r w:rsidR="00C15E2D">
        <w:rPr>
          <w:lang w:val="ru-RU"/>
        </w:rPr>
        <w:t>«</w:t>
      </w:r>
      <w:r>
        <w:rPr>
          <w:lang w:val="ru-RU"/>
        </w:rPr>
        <w:t>гомосексуалисты</w:t>
      </w:r>
      <w:r w:rsidR="00C15E2D">
        <w:rPr>
          <w:lang w:val="ru-RU"/>
        </w:rPr>
        <w:t>»</w:t>
      </w:r>
      <w:r>
        <w:rPr>
          <w:lang w:val="ru-RU"/>
        </w:rPr>
        <w:t xml:space="preserve"> или проститу</w:t>
      </w:r>
      <w:r w:rsidR="00D61F65">
        <w:rPr>
          <w:lang w:val="ru-RU"/>
        </w:rPr>
        <w:t>т</w:t>
      </w:r>
      <w:r>
        <w:rPr>
          <w:lang w:val="ru-RU"/>
        </w:rPr>
        <w:t>ки (статьи 2 и 26).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следует: а) принять всеобъемлющее гражданское и административное законодательство о борьбе с дискриминацией, которое содержало бы определение прямой и косвенной дискриминации, в том числе в частной сфере, и включало открытый перечень оснований для дискриминации, в частности по признаку языка, религиозных убеждений, сексуальной ориентации и гендерной идентичности;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b) предусмотреть доступ для всех жертв дискриминации к эффективным и надлежащим средствам правовой защиты;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</w:t>
      </w:r>
      <w:r w:rsidR="00D61F65">
        <w:rPr>
          <w:b/>
          <w:bCs/>
          <w:lang w:val="ru-RU"/>
        </w:rPr>
        <w:t> </w:t>
      </w:r>
      <w:r>
        <w:rPr>
          <w:b/>
          <w:bCs/>
          <w:lang w:val="ru-RU"/>
        </w:rPr>
        <w:t>с)</w:t>
      </w:r>
      <w:r w:rsidR="00262AD7">
        <w:rPr>
          <w:b/>
          <w:bCs/>
          <w:lang w:val="ru-RU"/>
        </w:rPr>
        <w:t> </w:t>
      </w:r>
      <w:r>
        <w:rPr>
          <w:b/>
          <w:bCs/>
          <w:lang w:val="ru-RU"/>
        </w:rPr>
        <w:t>пересмотреть пункт 1 статьи 5 Закона об иммиграции (2000) и обеспечить, чтобы все лица, которым было отказано во въезде по таким дискриминационным признакам, имели доступ к эффективным средствам правовой защиты.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Дискриминация по признакам сексуальной ориентации и гендерной идентичности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 xml:space="preserve">Комитет приветствует решение Верховного суда по делу </w:t>
      </w:r>
      <w:proofErr w:type="spellStart"/>
      <w:r>
        <w:rPr>
          <w:i/>
          <w:iCs/>
          <w:lang w:val="ru-RU"/>
        </w:rPr>
        <w:t>Калеб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Ороско</w:t>
      </w:r>
      <w:proofErr w:type="spellEnd"/>
      <w:r>
        <w:rPr>
          <w:i/>
          <w:iCs/>
          <w:lang w:val="ru-RU"/>
        </w:rPr>
        <w:t xml:space="preserve"> против Генерального прокурора Белиза и др. </w:t>
      </w:r>
      <w:r>
        <w:rPr>
          <w:lang w:val="ru-RU"/>
        </w:rPr>
        <w:t xml:space="preserve">(2016), в котором Суд признал </w:t>
      </w:r>
      <w:proofErr w:type="spellStart"/>
      <w:r>
        <w:rPr>
          <w:lang w:val="ru-RU"/>
        </w:rPr>
        <w:t>неконституционность</w:t>
      </w:r>
      <w:proofErr w:type="spellEnd"/>
      <w:r>
        <w:rPr>
          <w:lang w:val="ru-RU"/>
        </w:rPr>
        <w:t xml:space="preserve"> и дискриминационный характер статьи 53 Уголовного кодекса, устанавливающей уголовную ответственность за однополые сексуальные отношения между взрослыми лицами по их взаимному согласию. Вместе с тем он по-прежнему обеспокоен сообщениями о том, что лесбиянки, </w:t>
      </w:r>
      <w:proofErr w:type="spellStart"/>
      <w:r>
        <w:rPr>
          <w:lang w:val="ru-RU"/>
        </w:rPr>
        <w:t>геи</w:t>
      </w:r>
      <w:proofErr w:type="spellEnd"/>
      <w:r>
        <w:rPr>
          <w:lang w:val="ru-RU"/>
        </w:rPr>
        <w:t xml:space="preserve">, бисексуалы, трансгендеры и </w:t>
      </w:r>
      <w:r w:rsidR="00262AD7">
        <w:rPr>
          <w:lang w:val="ru-RU"/>
        </w:rPr>
        <w:t xml:space="preserve">интерсексуалы </w:t>
      </w:r>
      <w:r>
        <w:rPr>
          <w:lang w:val="ru-RU"/>
        </w:rPr>
        <w:t>стигматизируются и подвергаются фактической дискриминации в пользовании комплексом прав по причине их сексуальной ориентации и гендерной идентичности. Комитет выражает особую озабоченность в связи с сообщениями о: а)</w:t>
      </w:r>
      <w:r w:rsidR="00D61F65">
        <w:rPr>
          <w:lang w:val="ru-RU"/>
        </w:rPr>
        <w:t> </w:t>
      </w:r>
      <w:r>
        <w:rPr>
          <w:lang w:val="ru-RU"/>
        </w:rPr>
        <w:t xml:space="preserve">ненавистнических высказываниях в средствах массовой информации в отношении </w:t>
      </w:r>
      <w:r>
        <w:rPr>
          <w:lang w:val="ru-RU"/>
        </w:rPr>
        <w:lastRenderedPageBreak/>
        <w:t>лесбиянок, гомосексуалистов, бисексуалов, транссексуалов и интерсексуалов при полной безнаказанности; и b) насилием, притеснениями и злоупотреблениями властью со стороны сотрудников полиции в отношении лесбиянок, гомосексуалистов, бисексуалов, транссексуалов и интерсексуалов, и что такое положение дел усугубляется отсутствием эффективных расследований таких обвинений и отсутствием документов в соответствующих базах данных (статьи 2,</w:t>
      </w:r>
      <w:r w:rsidRPr="004A5AC6">
        <w:rPr>
          <w:lang w:val="ru-RU"/>
        </w:rPr>
        <w:t xml:space="preserve"> </w:t>
      </w:r>
      <w:r>
        <w:rPr>
          <w:lang w:val="ru-RU"/>
        </w:rPr>
        <w:t>7,</w:t>
      </w:r>
      <w:r w:rsidRPr="004A5AC6">
        <w:rPr>
          <w:lang w:val="ru-RU"/>
        </w:rPr>
        <w:t xml:space="preserve"> </w:t>
      </w:r>
      <w:r>
        <w:rPr>
          <w:lang w:val="ru-RU"/>
        </w:rPr>
        <w:t>9, 20 и 26).</w:t>
      </w:r>
      <w:bookmarkStart w:id="0" w:name="_Hlk531444476"/>
      <w:bookmarkEnd w:id="0"/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следует: а) отменить статью 53 Уголовного кодекса, а также отменить уголовную ответственность за однополые сексуальные отношения по обоюдному согласию между взрослыми партнерами;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b) в явной форме отвергать всякого рода социальную стигматизацию, дискриминацию и насилие в отношении людей по признакам их сексуальной ориентации или гендерной идентичности и принимать меры по борьбе с ненавистническими высказываниями со стороны государственных органов или частных лиц в отношении лесбиянок, гомосексуалистов, бисексуалов, транссексуалов и интерсексуалов;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с) устранить любые препятствия на пути осуществления своих прав лесбиянками, </w:t>
      </w:r>
      <w:proofErr w:type="spellStart"/>
      <w:r>
        <w:rPr>
          <w:b/>
          <w:bCs/>
          <w:lang w:val="ru-RU"/>
        </w:rPr>
        <w:t>геями</w:t>
      </w:r>
      <w:proofErr w:type="spellEnd"/>
      <w:r>
        <w:rPr>
          <w:b/>
          <w:bCs/>
          <w:lang w:val="ru-RU"/>
        </w:rPr>
        <w:t xml:space="preserve">, бисексуалами, трансгендерами и </w:t>
      </w:r>
      <w:r w:rsidR="00262AD7" w:rsidRPr="00262AD7">
        <w:rPr>
          <w:b/>
          <w:bCs/>
          <w:lang w:val="ru-RU"/>
        </w:rPr>
        <w:t>интерсексуал</w:t>
      </w:r>
      <w:r w:rsidR="00262AD7">
        <w:rPr>
          <w:b/>
          <w:bCs/>
          <w:lang w:val="ru-RU"/>
        </w:rPr>
        <w:t>ами</w:t>
      </w:r>
      <w:r w:rsidRPr="00262AD7">
        <w:rPr>
          <w:b/>
          <w:bCs/>
          <w:lang w:val="ru-RU"/>
        </w:rPr>
        <w:t>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d) способствовать доступу к правосудию жертв преследований, насилия и злоупотреблений со стороны полиции, в том числе путем укрепления доверия между лесбиянками, гомосексуалистами, бисексуалами, транссексуалами и интерсексуалами и представителями государственных органов и увеличения объема финансовых и людских ресурсов, выделяемых органам по рассмотрению жалоб, такими как Отдел по вопросам профессиональной этики;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 e)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обеспечить расследование, преследование и наказание любого акта насилия, продиктованного сексуальной ориентацией или гендерной идентичностью жертвы, и обеспечить сист</w:t>
      </w:r>
      <w:r w:rsidR="00D61F65">
        <w:rPr>
          <w:b/>
          <w:bCs/>
          <w:lang w:val="ru-RU"/>
        </w:rPr>
        <w:t>емный сбор данных о таких актах.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Гендерное равенство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Комитет отмечает проект поправок к Закону о народном представительстве, которые предусматривают систему квот для расширения представленности женщин в Национальной ассамблее, но в то же время вновь выражает обеспокоенность в отношении по-прежнему низкой доли женщин в общественной и политической жизни, особенно на руководящих должностях. Кроме того, он выражает озабоченность по поводу того, что уровень безработицы среди женщин в три раза выше чем среди мужчин и что сохраняется разрыв в заработной плате мужчин и женщин (статьи 2, 3, 25 и 26).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 активизировать свои усилия с целью: а)</w:t>
      </w:r>
      <w:r w:rsidR="00D61F65">
        <w:rPr>
          <w:b/>
          <w:bCs/>
          <w:lang w:val="ru-RU"/>
        </w:rPr>
        <w:t> </w:t>
      </w:r>
      <w:r>
        <w:rPr>
          <w:b/>
          <w:bCs/>
          <w:lang w:val="ru-RU"/>
        </w:rPr>
        <w:t>достижение равной представленности женщин в политической и общественной жизни, в том числе посредством принятия временных специальных мер, таких как введение квот, а также в рабочей силе;</w:t>
      </w:r>
      <w:r w:rsidR="00596C97">
        <w:rPr>
          <w:b/>
          <w:lang w:val="ru-RU"/>
        </w:rPr>
        <w:t xml:space="preserve"> и </w:t>
      </w:r>
      <w:r>
        <w:rPr>
          <w:b/>
          <w:bCs/>
          <w:lang w:val="ru-RU"/>
        </w:rPr>
        <w:t>b)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принять эффективные меры с целью сокращения разрыва в оплате труда женщин и мужчин.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Гендерное насилие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>Приветствуя усилия государства-участника по борьбе с гендерным насилием, Комитет выражает обеспокоенность сообщениями о сохранении этого явления, включая насилие в семье, изнасилования и увеличение числа случаев убийства женщин. В частности, он выражает сожаление в связи с: а) небольшим числом заявлений о таких фактах и завершенных судебных дел, а также факторами, которые порождают и усугубляют такие явления, в том числе сохранением социальной стигматизации и страха преследования, что способствует безнаказанности виновных и затрудняет получение жертвами помощи, защиты и возмещения ущерба; и</w:t>
      </w:r>
      <w:r w:rsidR="00D61F65">
        <w:rPr>
          <w:lang w:val="ru-RU"/>
        </w:rPr>
        <w:t> </w:t>
      </w:r>
      <w:r>
        <w:rPr>
          <w:lang w:val="ru-RU"/>
        </w:rPr>
        <w:t>b)</w:t>
      </w:r>
      <w:r w:rsidR="00D61F65">
        <w:rPr>
          <w:lang w:val="ru-RU"/>
        </w:rPr>
        <w:t> </w:t>
      </w:r>
      <w:r>
        <w:rPr>
          <w:lang w:val="ru-RU"/>
        </w:rPr>
        <w:t>отсутствием достаточного числа приютов и ресурсов для оказания помощи жертвам (статьи 2, 3, 6, 7 и 26).</w:t>
      </w:r>
    </w:p>
    <w:p w:rsidR="00A20D17" w:rsidRPr="00262AD7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</w:r>
      <w:r w:rsidRPr="00262AD7">
        <w:rPr>
          <w:b/>
          <w:lang w:val="ru-RU"/>
        </w:rPr>
        <w:t xml:space="preserve">Государству-участнику следует продолжать и наращивать свои усилия по предотвращению и пресечению актов насилия в отношении женщин, в том числе путем укрепления институтов, отвечающих за соблюдение действующих законодательных норм. </w:t>
      </w:r>
      <w:r w:rsidRPr="00262AD7">
        <w:rPr>
          <w:b/>
          <w:bCs/>
          <w:lang w:val="ru-RU"/>
        </w:rPr>
        <w:t xml:space="preserve">С этой целью ему следует: а) эффективно расследовать </w:t>
      </w:r>
      <w:r w:rsidRPr="00262AD7">
        <w:rPr>
          <w:b/>
          <w:bCs/>
          <w:lang w:val="ru-RU"/>
        </w:rPr>
        <w:lastRenderedPageBreak/>
        <w:t>все случаи насилия в отношении женщин и девочек, привлекать правонарушителей к суду и в случае установления вины подвергать их наказаниям, соразмерным тяжести совершенных преступлений;</w:t>
      </w:r>
      <w:r w:rsidRPr="00262AD7">
        <w:rPr>
          <w:b/>
          <w:lang w:val="ru-RU"/>
        </w:rPr>
        <w:t xml:space="preserve"> </w:t>
      </w:r>
      <w:r w:rsidRPr="00262AD7">
        <w:rPr>
          <w:b/>
          <w:bCs/>
          <w:lang w:val="ru-RU"/>
        </w:rPr>
        <w:t>b)</w:t>
      </w:r>
      <w:r w:rsidR="00262AD7">
        <w:rPr>
          <w:b/>
          <w:bCs/>
          <w:lang w:val="ru-RU"/>
        </w:rPr>
        <w:t> </w:t>
      </w:r>
      <w:r w:rsidRPr="00262AD7">
        <w:rPr>
          <w:b/>
          <w:bCs/>
          <w:lang w:val="ru-RU"/>
        </w:rPr>
        <w:t>активизировать меры по</w:t>
      </w:r>
      <w:r w:rsidR="00D61F65" w:rsidRPr="00262AD7">
        <w:rPr>
          <w:b/>
          <w:bCs/>
          <w:lang w:val="ru-RU"/>
        </w:rPr>
        <w:t xml:space="preserve"> </w:t>
      </w:r>
      <w:r w:rsidRPr="00262AD7">
        <w:rPr>
          <w:b/>
          <w:bCs/>
          <w:lang w:val="ru-RU"/>
        </w:rPr>
        <w:t>поощрению и облегчению доступа жертв к правосудию и средствам защиты;</w:t>
      </w:r>
      <w:r w:rsidRPr="00262AD7">
        <w:rPr>
          <w:b/>
          <w:lang w:val="ru-RU"/>
        </w:rPr>
        <w:t xml:space="preserve"> </w:t>
      </w:r>
      <w:r w:rsidRPr="00262AD7">
        <w:rPr>
          <w:b/>
          <w:bCs/>
          <w:lang w:val="ru-RU"/>
        </w:rPr>
        <w:t>c) продолжать повышать качество исследований и методов сбора данных и систем, таких как система наблюдения за гендерным насилием, в целях определения масштабов этой проблемы, ее причин и последствий для женщин;</w:t>
      </w:r>
      <w:r w:rsidRPr="00262AD7">
        <w:rPr>
          <w:b/>
          <w:lang w:val="ru-RU"/>
        </w:rPr>
        <w:t xml:space="preserve"> </w:t>
      </w:r>
      <w:r w:rsidRPr="00262AD7">
        <w:rPr>
          <w:b/>
          <w:bCs/>
          <w:lang w:val="ru-RU"/>
        </w:rPr>
        <w:t>d) ускорить осуществление Национального плана действий по борьбе с гендерным насилием, 2017–2020 годы;</w:t>
      </w:r>
      <w:r w:rsidRPr="00262AD7">
        <w:rPr>
          <w:b/>
          <w:lang w:val="ru-RU"/>
        </w:rPr>
        <w:t xml:space="preserve"> </w:t>
      </w:r>
      <w:r w:rsidRPr="00262AD7">
        <w:rPr>
          <w:b/>
          <w:bCs/>
          <w:lang w:val="ru-RU"/>
        </w:rPr>
        <w:t>и е) обеспечить наличие необходимого числа приютов, имеющих надлежащие и достаточные ресурсы для оказания эффективной помощи жертвам.</w:t>
      </w:r>
      <w:r w:rsidRPr="00262AD7">
        <w:rPr>
          <w:b/>
          <w:lang w:val="ru-RU"/>
        </w:rPr>
        <w:t xml:space="preserve"> 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Добровольное прерывание беременности и материнская смертность</w:t>
      </w:r>
      <w:r>
        <w:rPr>
          <w:lang w:val="ru-RU"/>
        </w:rPr>
        <w:t xml:space="preserve"> 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>Комитет обеспокоен тем, что статья 112 Уголовного кодекса предусматривает уголовную ответственность за добровольное прерывание беременности, за исключением тех случаев, когда два врача удостоверяют, что сохранение беременности сопряжено с риском для жизни или вредом для физического или психического здоровья беременной женщины, или в тех случаях, когда имеется опасность</w:t>
      </w:r>
      <w:r w:rsidRPr="00F113F0">
        <w:rPr>
          <w:lang w:val="ru-RU"/>
        </w:rPr>
        <w:t xml:space="preserve"> </w:t>
      </w:r>
      <w:r>
        <w:rPr>
          <w:lang w:val="ru-RU"/>
        </w:rPr>
        <w:t xml:space="preserve">того, что ребенок родится с </w:t>
      </w:r>
      <w:r w:rsidR="00C15E2D">
        <w:rPr>
          <w:lang w:val="ru-RU"/>
        </w:rPr>
        <w:t>«</w:t>
      </w:r>
      <w:r>
        <w:rPr>
          <w:lang w:val="ru-RU"/>
        </w:rPr>
        <w:t>отклонениями</w:t>
      </w:r>
      <w:r w:rsidR="00C15E2D">
        <w:rPr>
          <w:lang w:val="ru-RU"/>
        </w:rPr>
        <w:t>»</w:t>
      </w:r>
      <w:r>
        <w:rPr>
          <w:lang w:val="ru-RU"/>
        </w:rPr>
        <w:t xml:space="preserve">. Он обеспокоен тем, что предусмотренные в этом законодательстве ограничения, которые применяются в государстве-участнике, вынуждает женщин и девочек прибегать к небезопасным абортам, которые ставят под угрозу их жизнь и здоровье. Он выражает сожаление в связи с отсутствием информации от государства-участника об уровне материнской смертности, связанной с небезопасными абортами, и мерах по снижению такой смертности (статьи 3, 6, 7, 17, 24 и 26). 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следует: a) пересмотреть свое законодательство, с</w:t>
      </w:r>
      <w:r w:rsidR="00D61F65">
        <w:rPr>
          <w:b/>
          <w:bCs/>
          <w:lang w:val="ru-RU"/>
        </w:rPr>
        <w:t> </w:t>
      </w:r>
      <w:r>
        <w:rPr>
          <w:b/>
          <w:bCs/>
          <w:lang w:val="ru-RU"/>
        </w:rPr>
        <w:t>тем чтобы гарантировать безопасный, законный и эффективный доступ к абортам, в случае когда жизнь или здоровье беременной женщины или девочки находится под угрозой и когда вынашивание беременности до срока причинит беременной женщине или девочке существенную боль или страдание, особенно в тех случаях, когда беременность наступила в резул</w:t>
      </w:r>
      <w:r w:rsidR="00B93B72">
        <w:rPr>
          <w:b/>
          <w:bCs/>
          <w:lang w:val="ru-RU"/>
        </w:rPr>
        <w:t>ьтате изнасилования или инцеста</w:t>
      </w:r>
      <w:r>
        <w:rPr>
          <w:b/>
          <w:bCs/>
          <w:lang w:val="ru-RU"/>
        </w:rPr>
        <w:t xml:space="preserve"> или речь идет о нежизнеспособности плода;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b) устранить препятствия, такие как необходимость направления от двух врачей, которые лишают женщин и девочек эффективного доступа к безопасным и законным абортам;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c)</w:t>
      </w:r>
      <w:r w:rsidR="00D61F65">
        <w:rPr>
          <w:b/>
          <w:bCs/>
          <w:lang w:val="ru-RU"/>
        </w:rPr>
        <w:t> </w:t>
      </w:r>
      <w:r>
        <w:rPr>
          <w:b/>
          <w:bCs/>
          <w:lang w:val="ru-RU"/>
        </w:rPr>
        <w:t>обеспечить, чтобы женщины и девушки, прибегающие к аборту, и помогающие им врачи не привлекались к уголовной ответственности, так как это может вынуждать женщин и девушек прибегать к небезопасным методам прерывания беременности;</w:t>
      </w:r>
      <w:r>
        <w:rPr>
          <w:lang w:val="ru-RU"/>
        </w:rPr>
        <w:t xml:space="preserve"> </w:t>
      </w:r>
      <w:r w:rsidR="002E247C">
        <w:rPr>
          <w:b/>
          <w:bCs/>
          <w:lang w:val="ru-RU"/>
        </w:rPr>
        <w:t xml:space="preserve">и </w:t>
      </w:r>
      <w:r w:rsidR="002E247C">
        <w:rPr>
          <w:b/>
          <w:bCs/>
          <w:lang w:val="en-US"/>
        </w:rPr>
        <w:t>d</w:t>
      </w:r>
      <w:r>
        <w:rPr>
          <w:b/>
          <w:bCs/>
          <w:lang w:val="ru-RU"/>
        </w:rPr>
        <w:t>) обеспечить полный доступ к услугам по охране сексуального и репродуктивного здоровья и просвещению для повышения осведомленности женщин, мужчин и подростков на всей территории страны.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Смертная казнь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  <w:t>Отмечая, что с 1985 года государство-участник соблюдает де-факто мораторий на применение смертной казни, и пояснения делегации в отношении причин сохранения смертной казни, таких как поддержка со стороны населения, Комитет выражает свою обеспокоенность в связи с тем, что такое наказание сохраняется в законодательстве (статья 6).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следует: а) ввести официальный мораторий на смертную казнь с целью ее отмены;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b) рассмотреть возможность присоединения ко второму Факультативному протоколу к Пакту, направленному на отмену смертной казни;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c) пока смертная казнь не будет отменена, провести комплексный обзор соответствующего законодательства для обеспечения того, чтобы смертная казнь не могла назначаться в нарушение положений Пакта;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</w:t>
      </w:r>
      <w:r w:rsidR="00D61F65">
        <w:rPr>
          <w:b/>
          <w:bCs/>
          <w:lang w:val="ru-RU"/>
        </w:rPr>
        <w:t> </w:t>
      </w:r>
      <w:r>
        <w:rPr>
          <w:b/>
          <w:bCs/>
          <w:lang w:val="ru-RU"/>
        </w:rPr>
        <w:t>d)</w:t>
      </w:r>
      <w:r w:rsidR="00D61F65">
        <w:rPr>
          <w:b/>
          <w:bCs/>
          <w:lang w:val="ru-RU"/>
        </w:rPr>
        <w:t> </w:t>
      </w:r>
      <w:r>
        <w:rPr>
          <w:b/>
          <w:bCs/>
          <w:lang w:val="ru-RU"/>
        </w:rPr>
        <w:t>рассмотреть соответствующие информационные меры по мобилизации общественного мнения в поддержку отмены смертной казни.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Обязательство по защите права на жизнь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  <w:t>Комитет принимает к сведению усилия государства-участника по судебному преследованию за убийства и покушения на убийство, в частности поправки к Закону о присяжных и Закону о доказательствах, однако по-прежнему испытывает озабоченность по поводу увеличения числа убийств и низкого числа уголовных дел, возбужденных по фактам таких преступлений в государстве-участнике. Ссылаясь на свое замечание общего порядка № 31 (2004) о характере общего юридического обязательства, налагаемого на государства</w:t>
      </w:r>
      <w:r w:rsidR="000E5261">
        <w:rPr>
          <w:lang w:val="ru-RU"/>
        </w:rPr>
        <w:t xml:space="preserve"> – у</w:t>
      </w:r>
      <w:r>
        <w:rPr>
          <w:lang w:val="ru-RU"/>
        </w:rPr>
        <w:t>частник</w:t>
      </w:r>
      <w:r w:rsidR="00BF3344">
        <w:rPr>
          <w:lang w:val="ru-RU"/>
        </w:rPr>
        <w:t>и</w:t>
      </w:r>
      <w:r>
        <w:rPr>
          <w:lang w:val="ru-RU"/>
        </w:rPr>
        <w:t xml:space="preserve"> Пакта, Комитет вновь заявляет о том, что позитивные обязательства государств-участников по обеспечению соблюдения предусмотренных Пактом прав могут быть выполнены полностью только в том случае, если будет также обеспечена защита индивидуумов от актов, совершаемых частными лицами или негосударственными образованиями, которые подрывают осуществление предусмотренных Пактом прав (статьи 2 и 6).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 активизировать свои усилия по эффективной защите права на жизнь своих граждан, в частности</w:t>
      </w:r>
      <w:r w:rsidR="009C1EF4">
        <w:rPr>
          <w:b/>
          <w:bCs/>
          <w:lang w:val="ru-RU"/>
        </w:rPr>
        <w:t>,</w:t>
      </w:r>
      <w:r>
        <w:rPr>
          <w:b/>
          <w:bCs/>
          <w:lang w:val="ru-RU"/>
        </w:rPr>
        <w:t xml:space="preserve"> путем: а)</w:t>
      </w:r>
      <w:r w:rsidR="00D61F65">
        <w:rPr>
          <w:b/>
          <w:bCs/>
          <w:lang w:val="ru-RU"/>
        </w:rPr>
        <w:t> </w:t>
      </w:r>
      <w:r>
        <w:rPr>
          <w:b/>
          <w:bCs/>
          <w:lang w:val="ru-RU"/>
        </w:rPr>
        <w:t>укрепления финансовых и кадровых ресурсов полиции и судебных ведомств;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b) осуществления поправок к Закону о присяжных и Закону о доказательствах;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</w:t>
      </w:r>
      <w:r w:rsidR="00870945">
        <w:rPr>
          <w:b/>
          <w:bCs/>
          <w:lang w:val="ru-RU"/>
        </w:rPr>
        <w:t> </w:t>
      </w:r>
      <w:r>
        <w:rPr>
          <w:b/>
          <w:bCs/>
          <w:lang w:val="ru-RU"/>
        </w:rPr>
        <w:t>с) проведения оперативных, эффективных и тщательных расследований, с тем чтобы осудить всех тех, кто несет ответственность за убийства или покушение на убийство.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Чрезмерное применение силы правоохранительными органами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  <w:t>Принимая к сведению представленную информацию об организации регулярных учебных курсов для сотрудников Береговой охраны, Департамента полиции Белиза и Сил обороны Белиза по недопущению чрезмерного применения силы и огнестрельного оружия, Комитет вновь выражает свою обеспокоенность в связи с сообщениями о чрезмерном применении силы и огнестрельного оружия сотрудниками правоохранительных органов, в частности сотрудниками полиции, в</w:t>
      </w:r>
      <w:r w:rsidR="00D31E08">
        <w:rPr>
          <w:lang w:val="ru-RU"/>
        </w:rPr>
        <w:t> </w:t>
      </w:r>
      <w:r>
        <w:rPr>
          <w:lang w:val="ru-RU"/>
        </w:rPr>
        <w:t>том числе в отношении несовершеннолетних. Он приветствует информацию о том, что Независимая комиссия по рассмотрению жалоб будет полностью готова приступить к работе в начале 2019 отделений и что в настоящее время помещения Отдела по вопросам профессиональной этики физически находятся отдельно от полицейских участков. Вместе с тем он выражает обеспокоенность в связи с сообщениями о недоверии в отношении беспристрастности Отдела по вопросам профессиональной этики, а также по поводу отсутствия ресурсов, необходимых для надлежащего выполнения этим органом своих функций (статья 6).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следует: а) активизировать усилия по борьбе с чрезмерным применением силы сотрудниками правоохранительных органов;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b)</w:t>
      </w:r>
      <w:r w:rsidR="00D61F65">
        <w:rPr>
          <w:b/>
          <w:bCs/>
          <w:lang w:val="ru-RU"/>
        </w:rPr>
        <w:t> </w:t>
      </w:r>
      <w:r>
        <w:rPr>
          <w:b/>
          <w:bCs/>
          <w:lang w:val="ru-RU"/>
        </w:rPr>
        <w:t>обеспечить, чтобы Правила применения силы и практика их применения в полной мере соответствовали международным стандартам, включая Пакт и Основные принципы применения силы и огнестрельного оружия должностными лицами по поддержанию правопорядка, а также чтобы сотрудники правоохранительных органов и органов безопасности проходили подготовку по этим стандартам и соблюдали их на практике;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с) обеспечить, чтобы по предполагаемым фактам жестокого обращения или чрезмерного применения силы, включая применение смертоносной силы сотрудниками правоохранительных органов, автоматически проводились оперативные расследования, а жертвам предоставлялись эффективные средства правовой защиты;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 d) активизировать свои усилия, с тем чтобы Независимая комиссия по рассмотрению жалоб могла исполнять свои функции в полном объеме, и</w:t>
      </w:r>
      <w:r w:rsidR="00B40E09">
        <w:rPr>
          <w:b/>
          <w:bCs/>
          <w:lang w:val="ru-RU"/>
        </w:rPr>
        <w:t> </w:t>
      </w:r>
      <w:r>
        <w:rPr>
          <w:b/>
          <w:bCs/>
          <w:lang w:val="ru-RU"/>
        </w:rPr>
        <w:t>обеспечить независимость, беспристрастность и достаточное финансирование Отдела по вопросам профессиональной этики в целях укрепления доверительного отношения к нему со стороны потенциальных заявителей.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Пытки и жестокое обращение</w:t>
      </w:r>
      <w:r>
        <w:rPr>
          <w:lang w:val="ru-RU"/>
        </w:rPr>
        <w:t xml:space="preserve"> 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  <w:t xml:space="preserve">Принимая к сведению создание межведомственного комитета для осуществления рекомендаций Подкомитета по предупреждению пыток и других </w:t>
      </w:r>
      <w:r>
        <w:rPr>
          <w:lang w:val="ru-RU"/>
        </w:rPr>
        <w:lastRenderedPageBreak/>
        <w:t xml:space="preserve">жестоких, бесчеловечных или унижающих достоинство видов обращения и наказания, и необходимость определения преступления пытки в первоочередном порядке, Комитет вновь выражает обеспокоенность в связи с тем, что статьи 79–95 Уголовного кодекса под заголовком </w:t>
      </w:r>
      <w:r w:rsidR="00C15E2D">
        <w:rPr>
          <w:lang w:val="ru-RU"/>
        </w:rPr>
        <w:t>«</w:t>
      </w:r>
      <w:r>
        <w:rPr>
          <w:lang w:val="ru-RU"/>
        </w:rPr>
        <w:t>Преступное нанесение вреда физическому лицу</w:t>
      </w:r>
      <w:r w:rsidR="00C15E2D">
        <w:rPr>
          <w:lang w:val="ru-RU"/>
        </w:rPr>
        <w:t>»</w:t>
      </w:r>
      <w:r>
        <w:rPr>
          <w:lang w:val="ru-RU"/>
        </w:rPr>
        <w:t xml:space="preserve"> по</w:t>
      </w:r>
      <w:r w:rsidR="00FC5696">
        <w:rPr>
          <w:lang w:val="ru-RU"/>
        </w:rPr>
        <w:noBreakHyphen/>
      </w:r>
      <w:r>
        <w:rPr>
          <w:lang w:val="ru-RU"/>
        </w:rPr>
        <w:t>прежнему не содержат определения пытки. Кроме того, он высказывает озабоченность по поводу утверждений о применении пыток и жестокого обращения в местах содержания под стражей, в том числе для содержания несовершеннолетних, и</w:t>
      </w:r>
      <w:r w:rsidR="00FC5696">
        <w:rPr>
          <w:lang w:val="ru-RU"/>
        </w:rPr>
        <w:t> </w:t>
      </w:r>
      <w:r>
        <w:rPr>
          <w:lang w:val="ru-RU"/>
        </w:rPr>
        <w:t>выражает сожаление по поводу отсутствия информации о количестве жалоб на акты пыток и жестокого обращение, совершенные сотрудниками правоохранительных органов (статья 7).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 обновить свою законодательную базу по борьбе с пытками, с тем чтобы привести определение преступления пытки в полное соответствие с положениями Пакта и принятыми международными стандартами и гарантировать запрет на использование признаний, полученных путем принуждения, и заявить о неприемлемости доказательств, полученных с применением пыток</w:t>
      </w:r>
      <w:r w:rsidR="00285FE2">
        <w:rPr>
          <w:b/>
          <w:bCs/>
          <w:lang w:val="ru-RU"/>
        </w:rPr>
        <w:t>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b) активизировать усилия по предупреждению пыток и жестокого обращения и обеспечить, чтобы всем подобным случаям проводилось оперативное, независимое и тщательное расследование, виновные привлекались к ответственности, а жертвам предоставлялось полное возмещение ущерба и, в</w:t>
      </w:r>
      <w:r w:rsidR="0042450B">
        <w:rPr>
          <w:b/>
          <w:bCs/>
          <w:lang w:val="ru-RU"/>
        </w:rPr>
        <w:t> </w:t>
      </w:r>
      <w:r>
        <w:rPr>
          <w:b/>
          <w:bCs/>
          <w:lang w:val="ru-RU"/>
        </w:rPr>
        <w:t>частности, услуги по реабилитации;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с) облегчить доступ жертв к независимым и эффективным механизмам подачи жалоб в отношении применения пыток;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d)</w:t>
      </w:r>
      <w:r w:rsidR="00D61F65">
        <w:rPr>
          <w:b/>
          <w:bCs/>
          <w:lang w:val="ru-RU"/>
        </w:rPr>
        <w:t> </w:t>
      </w:r>
      <w:r>
        <w:rPr>
          <w:b/>
          <w:bCs/>
          <w:lang w:val="ru-RU"/>
        </w:rPr>
        <w:t>наладить сбор данных о фактах пыток и жестокого обращения, судебных преследованиях и вынесенных обвинительных приговорах и назначенных наказаниях, а обнародовать такую информацию;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 e)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обеспечить, чтобы по предполагаемым фактам применении пыток и неправомерного обращении со стороны сотрудников правоохранительных органов проводились тщательные расследования, виновные преследовались в судебном порядке и в случае установления их вины получали надлежащее наказание, а жертвам возмещался нанесенный ущерб и</w:t>
      </w:r>
      <w:r w:rsidR="00285FE2">
        <w:rPr>
          <w:b/>
          <w:bCs/>
          <w:lang w:val="ru-RU"/>
        </w:rPr>
        <w:t>,</w:t>
      </w:r>
      <w:r>
        <w:rPr>
          <w:b/>
          <w:bCs/>
          <w:lang w:val="ru-RU"/>
        </w:rPr>
        <w:t xml:space="preserve"> в частности</w:t>
      </w:r>
      <w:r w:rsidR="00285FE2">
        <w:rPr>
          <w:b/>
          <w:bCs/>
          <w:lang w:val="ru-RU"/>
        </w:rPr>
        <w:t>,</w:t>
      </w:r>
      <w:r>
        <w:rPr>
          <w:b/>
          <w:bCs/>
          <w:lang w:val="ru-RU"/>
        </w:rPr>
        <w:t xml:space="preserve"> предлагались реабилитационные меры</w:t>
      </w:r>
      <w:r w:rsidR="00285FE2">
        <w:rPr>
          <w:b/>
          <w:bCs/>
          <w:lang w:val="ru-RU"/>
        </w:rPr>
        <w:t>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Условия содержания под стражей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  <w:t xml:space="preserve">Комитет принимает к сведению заявление делегации о том, что Центральная тюрьма Белиза не переполнена и что Тюремные правила отражают положения Минимальных стандартных правил Организации Объединенных Наций в отношении обращения с заключенными (Правила Нельсона </w:t>
      </w:r>
      <w:proofErr w:type="spellStart"/>
      <w:r>
        <w:rPr>
          <w:lang w:val="ru-RU"/>
        </w:rPr>
        <w:t>Манделы</w:t>
      </w:r>
      <w:proofErr w:type="spellEnd"/>
      <w:r>
        <w:rPr>
          <w:lang w:val="ru-RU"/>
        </w:rPr>
        <w:t>). Вместе с тем Комитет выражает озабоченность по поводу заслуживающих доверия сообщений, в том числе от омбудсмена, в отношении: а) плохих услови</w:t>
      </w:r>
      <w:r w:rsidR="004B41EF">
        <w:rPr>
          <w:lang w:val="ru-RU"/>
        </w:rPr>
        <w:t>й</w:t>
      </w:r>
      <w:r>
        <w:rPr>
          <w:lang w:val="ru-RU"/>
        </w:rPr>
        <w:t xml:space="preserve"> содержания заключенных, включая переполненность тюрем, плохое питание, отсутствие надлежащего доступа к воде, плохих санитарных условий и отсутствия медицинской помощи; b) насилия среди заключенных; и с) использования наказания в виде изоляции на срок до 28 суток в тесном штрафном карцере без освещения и вентиляции за дисциплинарные нарушения заключенных. Отмечая информацию о том, что судьи Верховного суда ежегодно посещают пенитенциарные учреждения, Комитет по-прежнему обеспокоен сообщениями о недостаточной возможности инспектирующих судей в плане приема, расследования и представления </w:t>
      </w:r>
      <w:proofErr w:type="gramStart"/>
      <w:r>
        <w:rPr>
          <w:lang w:val="ru-RU"/>
        </w:rPr>
        <w:t>жалоб</w:t>
      </w:r>
      <w:proofErr w:type="gramEnd"/>
      <w:r>
        <w:rPr>
          <w:lang w:val="ru-RU"/>
        </w:rPr>
        <w:t xml:space="preserve"> заключенных (статьи 7 и 10). 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следует: a) принять все необходимые меры для улучшения условий содержания заключенных и обращения с ними;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b)</w:t>
      </w:r>
      <w:r w:rsidR="00D61F65">
        <w:rPr>
          <w:b/>
          <w:bCs/>
          <w:lang w:val="ru-RU"/>
        </w:rPr>
        <w:t> </w:t>
      </w:r>
      <w:r>
        <w:rPr>
          <w:b/>
          <w:bCs/>
          <w:lang w:val="ru-RU"/>
        </w:rPr>
        <w:t>обеспечить, чтобы положения Тюремных правил толковались и применялись с целью повышения минимальных стандартов для заключенных в Белизе, включая центральную тюрьму Белиза;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с) обеспечить наличие достаточного числа инспектирующих судей для регулярного посещения заключенных и принятия жалоб от них;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 d) оперативно и тщательно расследовать случаи нарушения прав заключенных, привлекать виновных к ответственности и назначать соразмерные наказания, а также предоставлять эффективные средства правовой защиты и полное возмещение жертвам, включая надлежащую компенсацию.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Произвольное содержание под стражей и содержание в досудебном порядке</w:t>
      </w:r>
      <w:r>
        <w:rPr>
          <w:lang w:val="ru-RU"/>
        </w:rPr>
        <w:t xml:space="preserve"> 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  <w:t>Комитет с удовлетворением отмечает принятие в январе 2016 года Уголовно-процессуальных норм, в которых установлены сроки производства по новым уголовным делам, с тем чтобы свести к минимуму задержки. Комитет выражает обеспокоенность в связи с сообщениями о фактах произвольных арестов и задержания на более чем 48 часов без предъявления обвинения, а также использовании задержания в качестве средства запугивания. Он также обеспокоен большим количеством лиц, находящихся в предварительном заключении, в частности лиц, обвиняемых в убийстве, и лиц, находящихся в предварительном заключении до семи лет, и выражает сожаление в связи с тем, что статья 162 Уголовно-процессуального закона не была изменена, с тем чтобы срок содержания под стражей до суда засчитывался в срок приговора (статьи 9, 10 и 14).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</w:r>
      <w:r>
        <w:rPr>
          <w:b/>
          <w:bCs/>
          <w:lang w:val="ru-RU"/>
        </w:rPr>
        <w:t>В свете замечания общего порядка Комитета № 35 (2014) в отношении свободы и личной неприкосновенности государству-участнику следует принять все необходимые меры, чтобы: а) обеспечить соблюдение на практике Уголовно-процессуальных правил 2016 и чтобы лица,  арестованные или задержанные по уголовному обвинению, доставлялись к судье или к другому должностному лицу, наделенному законом правом осуществлять судебную власть, в течение не более 48 часов, в целях обеспечения судебного контроля за содержанием их под стражей;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b) по всем случаям произвольного задержания проводились расследования с привлечением виновных к дисциплинарной и/или судебной ответственности;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 c) лишение свободы не использовалось в качестве средства запугивания.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Государству-участнику надлежит также принять меры для улучшения положения лиц, содержащихся под стражей до суда на протяжении многих лет, и пересмотреть свое законодательство</w:t>
      </w:r>
      <w:r w:rsidR="004B41EF">
        <w:rPr>
          <w:b/>
          <w:bCs/>
          <w:lang w:val="ru-RU"/>
        </w:rPr>
        <w:t>, с тем</w:t>
      </w:r>
      <w:r>
        <w:rPr>
          <w:b/>
          <w:bCs/>
          <w:lang w:val="ru-RU"/>
        </w:rPr>
        <w:t xml:space="preserve"> чтобы срок содержания под стражей до суда засчитывался в срок лишения свободы по приговору.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Отправление правосудия и справедливое судебное разбирательство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  <w:t>Комитет принимает к сведению информацию, представленную в заявлении относительно укрепления потенциала Государственной прокуратуры, однако вновь выражает свою обеспокоенность (CCPR/C/BLZ/CO/1, пункт 20) по поводу выделения недостаточных ресурсов судебным органам и чрезмерных задержек в отправлении правосудия, особенно в отношении обвиняемых в убийстве. Комитет также выражает сожаление в связи с тем, что законодательство государства-участника ограничивает предоставление бесплатной юридической помощи преступлениями, наказуемыми смертной казнью, и не предоставляет на систематической основе юридической помощи обвиняемым, в частности несовершеннолетним, которым грозит лишение свободы (статьи 9 и 14).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</w:r>
      <w:proofErr w:type="gramStart"/>
      <w:r>
        <w:rPr>
          <w:b/>
          <w:bCs/>
          <w:lang w:val="ru-RU"/>
        </w:rPr>
        <w:t>С</w:t>
      </w:r>
      <w:proofErr w:type="gramEnd"/>
      <w:r>
        <w:rPr>
          <w:b/>
          <w:bCs/>
          <w:lang w:val="ru-RU"/>
        </w:rPr>
        <w:t xml:space="preserve"> учетом замечания общего порядка Комитета № 32 государству-участнику надлежит выделить дополнительные бюджетные ресурсы на цели отправления правосудия в максимально возможной степени в целях сокращения чрезмерных задержек в производстве, особенно по уголовным делам.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Несмотря на его оговорку по пункту 3</w:t>
      </w:r>
      <w:r w:rsidR="00D61F6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d) статьи 14, государству-участнику следует обеспечить в максимально возможной степени право на юридическую защиту лицам, обвиняемым в совершении уголовного преступления, во всех случаях, когда этого требуют интересы правосудия.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Оно должно гарантировать правовую и другую необходимую помощь при подготовке и осуществлении их защиты.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  <w:t xml:space="preserve">Комитет обеспокоен тем, что дети в возрасте 12 и 14 лет могут привлекаться к уголовной ответственности в тех случаях, когда они считаются достаточно взрослыми, чтобы понять характер и последствия совершенного ими преступления (статьи 9 и 14). 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37.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 повысить минимальный возраст наступления уголовной ответственности в соответствии с международными стандартами.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Торговля людьми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38.</w:t>
      </w:r>
      <w:r>
        <w:rPr>
          <w:lang w:val="ru-RU"/>
        </w:rPr>
        <w:tab/>
        <w:t>Комитет вновь выражает свою обеспокоенность (CCPR/C/BLZ/CO/1, пункт 17) в отношении: а) распространенности случаев торговли людьми, прежде всего женщинами и детьми, для целей экономической</w:t>
      </w:r>
      <w:r w:rsidR="00D61F65">
        <w:rPr>
          <w:lang w:val="ru-RU"/>
        </w:rPr>
        <w:t xml:space="preserve"> и сексуальной эксплуатации; b) </w:t>
      </w:r>
      <w:r>
        <w:rPr>
          <w:lang w:val="ru-RU"/>
        </w:rPr>
        <w:t>неэффективности осуществления Закон о запрещении торговли людьми (2013) на фоне крайне низкого числа судебных дел и вынесенных обвинительных приговоров за совершение преступления торговли людьми, а также мягких санкций против лиц, занимающихся торговлей людьми, в том числе штрафов; и с) низкого уровня выявления жертв. Он выражает особую обеспокоенность в связи с заслуживающими доверия сообщениями о терпимости должностных лиц к преступлениям, связанным с торговлей людьми, их соучастии в таких преступлениях и безнаказанности за их совершение (статьи 3, 7, 8 и 24).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39.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следует: а) строго придерживаться своей внутренней нормативно-правовой базы в отношении торговли людьми, в</w:t>
      </w:r>
      <w:r w:rsidR="00EA3CA7">
        <w:rPr>
          <w:b/>
          <w:bCs/>
          <w:lang w:val="ru-RU"/>
        </w:rPr>
        <w:t> </w:t>
      </w:r>
      <w:r>
        <w:rPr>
          <w:b/>
          <w:bCs/>
          <w:lang w:val="ru-RU"/>
        </w:rPr>
        <w:t>частности положений Закона о борьбе с торговлей людьми (2013);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b) выделять достаточные финансовые, людские и технические ресурсы для Группы по борьбе с торговлей людьми</w:t>
      </w:r>
      <w:r>
        <w:rPr>
          <w:lang w:val="ru-RU"/>
        </w:rPr>
        <w:t xml:space="preserve">; </w:t>
      </w:r>
      <w:r>
        <w:rPr>
          <w:b/>
          <w:bCs/>
          <w:lang w:val="ru-RU"/>
        </w:rPr>
        <w:t>с) обеспечить, чтобы по предполагаем фактам торговли людьми проводились расследования, виновные привлекались к судебной ответственности и получали надлежащие наказания в случае вынесения обвинительных приговоров, особенно в тех случаях, когда изобличенный преступник является сотрудником правоохранительных органов;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</w:t>
      </w:r>
      <w:r w:rsidR="00D61F65">
        <w:rPr>
          <w:b/>
          <w:bCs/>
          <w:lang w:val="ru-RU"/>
        </w:rPr>
        <w:t> </w:t>
      </w:r>
      <w:r>
        <w:rPr>
          <w:b/>
          <w:bCs/>
          <w:lang w:val="ru-RU"/>
        </w:rPr>
        <w:t>d)</w:t>
      </w:r>
      <w:r w:rsidR="00D61F65">
        <w:rPr>
          <w:b/>
          <w:bCs/>
          <w:lang w:val="ru-RU"/>
        </w:rPr>
        <w:t> </w:t>
      </w:r>
      <w:r>
        <w:rPr>
          <w:b/>
          <w:bCs/>
          <w:lang w:val="ru-RU"/>
        </w:rPr>
        <w:t>активизировать свои усилия в целях выявления жертв и предоставления им эффективных средств правовой защиты, надлежащей защиты и помощи, в том числе за счет организации убежищ и приютов.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Беженцы, просители убежища и мигранты</w:t>
      </w:r>
      <w:r>
        <w:rPr>
          <w:lang w:val="ru-RU"/>
        </w:rPr>
        <w:t xml:space="preserve"> 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40.</w:t>
      </w:r>
      <w:r>
        <w:rPr>
          <w:lang w:val="ru-RU"/>
        </w:rPr>
        <w:tab/>
        <w:t xml:space="preserve">Комитет приветствует возобновление деятельности Комитета по определению статуса беженца в 2015 году и Департамент по делам беженцев </w:t>
      </w:r>
      <w:r w:rsidR="00EA3CA7">
        <w:rPr>
          <w:lang w:val="ru-RU"/>
        </w:rPr>
        <w:t>–</w:t>
      </w:r>
      <w:r>
        <w:rPr>
          <w:lang w:val="ru-RU"/>
        </w:rPr>
        <w:t xml:space="preserve"> в 2016 году. Вместе с тем он обеспокоен: а) крайне ограниченным числом лиц, получивших статус беженца в период с 2015 года; и b) ситуацией, когда большое число лиц, рекомендованных Комитетом по определению статуса беженца для признания в качестве беженцев с 2015 года, по-прежнему ожидают окончательного утверждения их статуса министром по делам иммиграции. Кроме того, особую обеспокоенность у Комитета вызывает строгое выполнение статьи 8 (1) Закона о беженцах (пересмотренного в 2000 году), которая предусматривает крайне короткий срок подачи ходатайства на предоставление убежища, составляющий 14 дней с момента въезда на территорию страны, без каких-либо исключений, даже для жертв пыток и торговли людьми, лиц, получивших серьезные психологические травмы и несопровождаемых несовершеннолетних детей. Комитет обеспокоен тем, что на сегодняшний день соблюдение 14-дневного срока для подачи ходатайства ставит просителей убежища перед риском задержания и выдворения (статьи 7, 9 и 13).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41.</w:t>
      </w:r>
      <w:r>
        <w:rPr>
          <w:lang w:val="ru-RU"/>
        </w:rPr>
        <w:tab/>
        <w:t>Комитет также обеспокоен криминализацией нелегальной иммиграции в соответствии с Законом об иммиграции (2000) и сообщениями о фактах бессрочного содержания под стражей незаконных иммигрантов, включая совместное содержание под стражей несовершеннолетних и осужденных преступников в плохих условиях. Он</w:t>
      </w:r>
      <w:r w:rsidR="00D61F65">
        <w:rPr>
          <w:lang w:val="ru-RU"/>
        </w:rPr>
        <w:t> </w:t>
      </w:r>
      <w:r>
        <w:rPr>
          <w:lang w:val="ru-RU"/>
        </w:rPr>
        <w:t>также обеспокоен тем, что Закон об иммиграции предусматривает немедленное выдворение, приказ покинуть страну в течение 60 дней, а также приказ о высылке нелегальных иммигрантов без права на обжалование таких приказов (статьи 7, 9, 10 и</w:t>
      </w:r>
      <w:r w:rsidR="0062033F">
        <w:rPr>
          <w:lang w:val="ru-RU"/>
        </w:rPr>
        <w:t> </w:t>
      </w:r>
      <w:r>
        <w:rPr>
          <w:lang w:val="ru-RU"/>
        </w:rPr>
        <w:t xml:space="preserve">13). 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42.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следует: а) предоставить Комитету по определению статуса беженца и  Департаменту по делам беженцев достаточные ресурсы для выполнения ими своих функций надлежащим образом и сократить количество нерассмотренных ходатайств о предоставлении убежища;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b) принять все меры для обеспечения оперативного и справедливого процесса вынесения судебных решений, в том числе посредством утверждения без каких-либо задержек всех дел, одобренных Комитетом по определению статуса беженца;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с) отменить статью</w:t>
      </w:r>
      <w:r w:rsidR="00D61F65">
        <w:rPr>
          <w:b/>
          <w:bCs/>
          <w:lang w:val="ru-RU"/>
        </w:rPr>
        <w:t> </w:t>
      </w:r>
      <w:r>
        <w:rPr>
          <w:b/>
          <w:bCs/>
          <w:lang w:val="ru-RU"/>
        </w:rPr>
        <w:t>8</w:t>
      </w:r>
      <w:r w:rsidR="00D61F65">
        <w:rPr>
          <w:b/>
          <w:bCs/>
          <w:lang w:val="ru-RU"/>
        </w:rPr>
        <w:t> </w:t>
      </w:r>
      <w:r>
        <w:rPr>
          <w:b/>
          <w:bCs/>
          <w:lang w:val="ru-RU"/>
        </w:rPr>
        <w:t xml:space="preserve">(1) Закона о беженцах, одновременно с этим воздерживаясь от </w:t>
      </w:r>
      <w:r>
        <w:rPr>
          <w:b/>
          <w:bCs/>
          <w:lang w:val="ru-RU"/>
        </w:rPr>
        <w:lastRenderedPageBreak/>
        <w:t>задержания и депортации лиц, которые утверждают, что боятся вернуться в страну происхождения без предварительного предоставления им доступа к надлежащему рассмотрению существа их жалобы;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 d) привести свое законодательство и практику в отношении задержания иммигрантов в соответствие со статьями 9 и 10 Пакта с учетом принятого Комитетом замечания общего порядка № 35, в том числе путем обеспечения того, чтобы задержанные иммигранты, в тех случаях, когда их содержание под стражей является оправданным, разумным, необходимым и соразмерным, содержались отдельно от осужденных преступников.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Права ребенка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43.</w:t>
      </w:r>
      <w:r>
        <w:rPr>
          <w:lang w:val="ru-RU"/>
        </w:rPr>
        <w:tab/>
        <w:t>Комитет приветствует усилия государства-участника по обеспечению регистрации рождения всех детей, вместе с тем по-прежнему выражая обеспокоенность сообщениями о трудности получения доступа к услугам регистрации в отдаленных районах. Отмечая осуществление нормативных актов, запрещающих применение телесных наказаний в школах, Комитет также вновь высказывает сожаление (CCPR/C/BLZ/CO/1, пункт 18) по поводу того, что телесные наказания по</w:t>
      </w:r>
      <w:r w:rsidR="0062033F">
        <w:rPr>
          <w:lang w:val="ru-RU"/>
        </w:rPr>
        <w:noBreakHyphen/>
      </w:r>
      <w:r>
        <w:rPr>
          <w:lang w:val="ru-RU"/>
        </w:rPr>
        <w:t>прежнему допускаются в семье, альтернативных и дневных детских учреждениях и в пенитенциарных учреждениях для несовершеннолетних (статьи 7, 16 и 24).</w:t>
      </w:r>
    </w:p>
    <w:p w:rsidR="00A20D17" w:rsidRPr="00F113F0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44.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следует: а) продолжать свои усилия по универсализации  регистрации рождений, особенно в сельских и отдаленных районах, в том числе посредством использования мобильных регистрационных подразделений;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b) принять все необходимые меры, чтобы положить конец телесным наказаниям во всех условиях, в том числе путем отмены положений Уголовного кодекса, которые допускают применение телесных наказаний</w:t>
      </w:r>
      <w:r>
        <w:rPr>
          <w:lang w:val="ru-RU"/>
        </w:rPr>
        <w:t xml:space="preserve">; </w:t>
      </w:r>
      <w:r>
        <w:rPr>
          <w:b/>
          <w:bCs/>
          <w:lang w:val="ru-RU"/>
        </w:rPr>
        <w:t>и</w:t>
      </w:r>
      <w:r w:rsidR="0042450B">
        <w:rPr>
          <w:b/>
          <w:bCs/>
          <w:lang w:val="ru-RU"/>
        </w:rPr>
        <w:t> </w:t>
      </w:r>
      <w:r>
        <w:rPr>
          <w:b/>
          <w:bCs/>
          <w:lang w:val="ru-RU"/>
        </w:rPr>
        <w:t>с)</w:t>
      </w:r>
      <w:r w:rsidR="0042450B">
        <w:rPr>
          <w:b/>
          <w:bCs/>
          <w:lang w:val="ru-RU"/>
        </w:rPr>
        <w:t> </w:t>
      </w:r>
      <w:r>
        <w:rPr>
          <w:b/>
          <w:bCs/>
          <w:lang w:val="ru-RU"/>
        </w:rPr>
        <w:t>провести информационно-просветительские кампании о негативных последствиях телесных наказаний.</w:t>
      </w:r>
    </w:p>
    <w:p w:rsidR="00A20D17" w:rsidRPr="00F113F0" w:rsidRDefault="00A20D17" w:rsidP="00A20D17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Права коренных народов</w:t>
      </w:r>
      <w:r>
        <w:rPr>
          <w:lang w:val="ru-RU"/>
        </w:rPr>
        <w:t xml:space="preserve"> 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45.</w:t>
      </w:r>
      <w:r>
        <w:rPr>
          <w:lang w:val="ru-RU"/>
        </w:rPr>
        <w:tab/>
        <w:t xml:space="preserve">Комитет обеспокоен тем, что, несмотря на постановление об обоюдном согласии, вынесенное Карибским судом 22 апреля 2015 года по делу </w:t>
      </w:r>
      <w:r>
        <w:rPr>
          <w:i/>
          <w:iCs/>
          <w:lang w:val="ru-RU"/>
        </w:rPr>
        <w:t>Альянс лидеров майя и др. против Генерального атторнея Белиза</w:t>
      </w:r>
      <w:r>
        <w:rPr>
          <w:lang w:val="ru-RU"/>
        </w:rPr>
        <w:t>, вопрос о признании традиционных прав на землю коренных народов майя остается открытым. Он также вновь заявляет о своей озабоченности (CCPR/C/BLZ/CO/1, пункт 25) сообщениями о контрактах и концессионных соглашениях на эксплуатацию ресурсов на традиционных землях, которые были заключены без проведения предварительных консультаций с коренными народами майя (статья 27).</w:t>
      </w:r>
    </w:p>
    <w:p w:rsidR="00A20D17" w:rsidRPr="0062033F" w:rsidRDefault="00A20D17" w:rsidP="00A20D17">
      <w:pPr>
        <w:pStyle w:val="SingleTxtG"/>
        <w:suppressAutoHyphens/>
        <w:rPr>
          <w:b/>
          <w:bCs/>
          <w:lang w:val="ru-RU"/>
        </w:rPr>
      </w:pPr>
      <w:r>
        <w:rPr>
          <w:lang w:val="ru-RU"/>
        </w:rPr>
        <w:t>46.</w:t>
      </w:r>
      <w:r>
        <w:rPr>
          <w:lang w:val="ru-RU"/>
        </w:rPr>
        <w:tab/>
      </w:r>
      <w:r w:rsidRPr="0062033F">
        <w:rPr>
          <w:b/>
          <w:lang w:val="ru-RU"/>
        </w:rPr>
        <w:t xml:space="preserve">Государству-участнику следует соблюдать постановление об обоюдном согласии, вынесенное Карибским судом, и признать и обеспечить защиту прав коренных народов майя на владение землей. </w:t>
      </w:r>
      <w:r w:rsidRPr="0062033F">
        <w:rPr>
          <w:b/>
          <w:bCs/>
          <w:lang w:val="ru-RU"/>
        </w:rPr>
        <w:t>Государству-участнику следует также гарантировать в законодательном порядке и на практике проведение реальных добросовестных консультаций с коренными народами майя, занимающих традиционные земли, до заключения концессионных соглашений, с</w:t>
      </w:r>
      <w:r w:rsidR="0062033F">
        <w:rPr>
          <w:b/>
          <w:bCs/>
          <w:lang w:val="ru-RU"/>
        </w:rPr>
        <w:t> </w:t>
      </w:r>
      <w:r w:rsidRPr="0062033F">
        <w:rPr>
          <w:b/>
          <w:bCs/>
          <w:lang w:val="ru-RU"/>
        </w:rPr>
        <w:t>целью получения их свободного, предварительного и осознанного согласия.</w:t>
      </w:r>
    </w:p>
    <w:p w:rsidR="00A20D17" w:rsidRPr="00F113F0" w:rsidRDefault="00A20D17" w:rsidP="00A20D17">
      <w:pPr>
        <w:pStyle w:val="H1G"/>
        <w:suppressAutoHyphens/>
        <w:rPr>
          <w:lang w:val="ru-RU"/>
        </w:rPr>
      </w:pPr>
      <w:r>
        <w:rPr>
          <w:lang w:val="ru-RU"/>
        </w:rPr>
        <w:tab/>
        <w:t>D.</w:t>
      </w:r>
      <w:r>
        <w:rPr>
          <w:lang w:val="ru-RU"/>
        </w:rPr>
        <w:tab/>
      </w:r>
      <w:r>
        <w:rPr>
          <w:bCs/>
          <w:lang w:val="ru-RU"/>
        </w:rPr>
        <w:t>Распространение информации и последующая деятельность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47.</w:t>
      </w:r>
      <w:r>
        <w:rPr>
          <w:lang w:val="ru-RU"/>
        </w:rPr>
        <w:tab/>
        <w:t>Государству-участнику следует произвести широкое распространение Пакта, своего первого периодического доклада, письменных ответов на перечень вопросов Комитета и настоящих заключительных замечаний с целью повышения осведомленности о правах, закрепленных в Пакте, среди судебных, законодательных и административных ведомств, гражданского общества и действующих в стране неправительственных организаций и широкой общественности.</w:t>
      </w:r>
    </w:p>
    <w:p w:rsidR="00A20D17" w:rsidRPr="00F113F0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48.</w:t>
      </w:r>
      <w:r>
        <w:rPr>
          <w:lang w:val="ru-RU"/>
        </w:rPr>
        <w:tab/>
        <w:t xml:space="preserve">В соответствии с пунктом 5 правила 71 правил процедуры Комитета государству-участнику предлагается предоставить к 2 ноября 2020 года информацию об осуществлении рекомендаций, вынесенных Комитетом в пунктах 15 </w:t>
      </w:r>
      <w:r>
        <w:rPr>
          <w:lang w:val="ru-RU"/>
        </w:rPr>
        <w:lastRenderedPageBreak/>
        <w:t>(дискриминация по признакам сексуальной ориентации и гендерной идентичности), 25 (</w:t>
      </w:r>
      <w:r w:rsidR="006A77E5">
        <w:rPr>
          <w:lang w:val="ru-RU"/>
        </w:rPr>
        <w:t>обязанность защищать право на жизнь</w:t>
      </w:r>
      <w:r>
        <w:rPr>
          <w:lang w:val="ru-RU"/>
        </w:rPr>
        <w:t xml:space="preserve">) и </w:t>
      </w:r>
      <w:r w:rsidR="00D37258">
        <w:rPr>
          <w:lang w:val="ru-RU"/>
        </w:rPr>
        <w:t>42</w:t>
      </w:r>
      <w:r>
        <w:rPr>
          <w:lang w:val="ru-RU"/>
        </w:rPr>
        <w:t xml:space="preserve"> (</w:t>
      </w:r>
      <w:r w:rsidR="006A77E5">
        <w:rPr>
          <w:lang w:val="ru-RU"/>
        </w:rPr>
        <w:t>беженцы, просители убежища и мигранты</w:t>
      </w:r>
      <w:r>
        <w:rPr>
          <w:lang w:val="ru-RU"/>
        </w:rPr>
        <w:t>) выше.</w:t>
      </w:r>
    </w:p>
    <w:p w:rsidR="00381C24" w:rsidRDefault="00A20D17" w:rsidP="00A20D17">
      <w:pPr>
        <w:pStyle w:val="SingleTxtG"/>
        <w:suppressAutoHyphens/>
        <w:rPr>
          <w:lang w:val="ru-RU"/>
        </w:rPr>
      </w:pPr>
      <w:r>
        <w:rPr>
          <w:lang w:val="ru-RU"/>
        </w:rPr>
        <w:t>49.</w:t>
      </w:r>
      <w:r>
        <w:rPr>
          <w:lang w:val="ru-RU"/>
        </w:rPr>
        <w:tab/>
        <w:t>Комитет просит государство-участник представить свой следующий периодический доклад к 2 ноября 2022 года и включить в него конкретную обновленную информацию о выполнении рекомендаций, содержащихся в настоящих заключительных замечаниях и Пакте в целом. Комитет также просит государство-участник при подготовке сво</w:t>
      </w:r>
      <w:bookmarkStart w:id="1" w:name="_GoBack"/>
      <w:bookmarkEnd w:id="1"/>
      <w:r>
        <w:rPr>
          <w:lang w:val="ru-RU"/>
        </w:rPr>
        <w:t>его доклада провести широкие консультации с представителями гражданского общества и действующих в стране неправительственных организаций. В соответствии с резолюцией 68/268 Генеральной Ассамблеи объем доклада не должен превышать 21 200 слов. В качестве альтернативы Комитет предлагает государству-участнику к 2 ноября 2019 года дать согласие на использование его упрощенной процедуры представления докладов, в соответствии с которой Комитет препровождает государству-участнику перечень вопросов до представления им периодического доклада. Ответы государства-участника на этот перечень вопросов будут представлять собой следующий периодический доклад, подготовленный согласно статье 40 Пакта.</w:t>
      </w:r>
    </w:p>
    <w:p w:rsidR="00A20D17" w:rsidRPr="00A20D17" w:rsidRDefault="00A20D17" w:rsidP="00A20D1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0D17" w:rsidRPr="00A20D17" w:rsidSect="00A20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BE" w:rsidRPr="00A312BC" w:rsidRDefault="00C03CBE" w:rsidP="00A312BC"/>
  </w:endnote>
  <w:endnote w:type="continuationSeparator" w:id="0">
    <w:p w:rsidR="00C03CBE" w:rsidRPr="00A312BC" w:rsidRDefault="00C03C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17" w:rsidRPr="00A20D17" w:rsidRDefault="00A20D17">
    <w:pPr>
      <w:pStyle w:val="a8"/>
    </w:pPr>
    <w:r w:rsidRPr="00A20D17">
      <w:rPr>
        <w:b/>
        <w:sz w:val="18"/>
      </w:rPr>
      <w:fldChar w:fldCharType="begin"/>
    </w:r>
    <w:r w:rsidRPr="00A20D17">
      <w:rPr>
        <w:b/>
        <w:sz w:val="18"/>
      </w:rPr>
      <w:instrText xml:space="preserve"> PAGE  \* MERGEFORMAT </w:instrText>
    </w:r>
    <w:r w:rsidRPr="00A20D17">
      <w:rPr>
        <w:b/>
        <w:sz w:val="18"/>
      </w:rPr>
      <w:fldChar w:fldCharType="separate"/>
    </w:r>
    <w:r w:rsidR="00BF17A1">
      <w:rPr>
        <w:b/>
        <w:noProof/>
        <w:sz w:val="18"/>
      </w:rPr>
      <w:t>10</w:t>
    </w:r>
    <w:r w:rsidRPr="00A20D17">
      <w:rPr>
        <w:b/>
        <w:sz w:val="18"/>
      </w:rPr>
      <w:fldChar w:fldCharType="end"/>
    </w:r>
    <w:r>
      <w:rPr>
        <w:b/>
        <w:sz w:val="18"/>
      </w:rPr>
      <w:tab/>
    </w:r>
    <w:r>
      <w:t>GE.18-21559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17" w:rsidRPr="00A20D17" w:rsidRDefault="00A20D17" w:rsidP="00A20D17">
    <w:pPr>
      <w:pStyle w:val="a8"/>
      <w:tabs>
        <w:tab w:val="clear" w:pos="9639"/>
        <w:tab w:val="right" w:pos="9638"/>
      </w:tabs>
      <w:rPr>
        <w:b/>
        <w:sz w:val="18"/>
      </w:rPr>
    </w:pPr>
    <w:r>
      <w:t>GE.18-21559</w:t>
    </w:r>
    <w:r>
      <w:tab/>
    </w:r>
    <w:r w:rsidRPr="00A20D17">
      <w:rPr>
        <w:b/>
        <w:sz w:val="18"/>
      </w:rPr>
      <w:fldChar w:fldCharType="begin"/>
    </w:r>
    <w:r w:rsidRPr="00A20D17">
      <w:rPr>
        <w:b/>
        <w:sz w:val="18"/>
      </w:rPr>
      <w:instrText xml:space="preserve"> PAGE  \* MERGEFORMAT </w:instrText>
    </w:r>
    <w:r w:rsidRPr="00A20D17">
      <w:rPr>
        <w:b/>
        <w:sz w:val="18"/>
      </w:rPr>
      <w:fldChar w:fldCharType="separate"/>
    </w:r>
    <w:r w:rsidR="00BF17A1">
      <w:rPr>
        <w:b/>
        <w:noProof/>
        <w:sz w:val="18"/>
      </w:rPr>
      <w:t>11</w:t>
    </w:r>
    <w:r w:rsidRPr="00A20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20D17" w:rsidRDefault="00A20D17" w:rsidP="00A20D17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21559  (</w:t>
    </w:r>
    <w:proofErr w:type="gramEnd"/>
    <w:r>
      <w:t>R)</w:t>
    </w:r>
    <w:r w:rsidR="00C15E2D">
      <w:t xml:space="preserve">  </w:t>
    </w:r>
    <w:r w:rsidR="00264998">
      <w:rPr>
        <w:lang w:val="en-US"/>
      </w:rPr>
      <w:t>201218  26</w:t>
    </w:r>
    <w:r w:rsidR="00C15E2D">
      <w:rPr>
        <w:lang w:val="en-US"/>
      </w:rPr>
      <w:t>1218</w:t>
    </w:r>
    <w:r>
      <w:br/>
    </w:r>
    <w:r w:rsidRPr="00A20D17">
      <w:rPr>
        <w:rFonts w:ascii="C39T30Lfz" w:hAnsi="C39T30Lfz"/>
        <w:kern w:val="14"/>
        <w:sz w:val="56"/>
      </w:rPr>
      <w:t></w:t>
    </w:r>
    <w:r w:rsidRPr="00A20D17">
      <w:rPr>
        <w:rFonts w:ascii="C39T30Lfz" w:hAnsi="C39T30Lfz"/>
        <w:kern w:val="14"/>
        <w:sz w:val="56"/>
      </w:rPr>
      <w:t></w:t>
    </w:r>
    <w:r w:rsidRPr="00A20D17">
      <w:rPr>
        <w:rFonts w:ascii="C39T30Lfz" w:hAnsi="C39T30Lfz"/>
        <w:kern w:val="14"/>
        <w:sz w:val="56"/>
      </w:rPr>
      <w:t></w:t>
    </w:r>
    <w:r w:rsidRPr="00A20D17">
      <w:rPr>
        <w:rFonts w:ascii="C39T30Lfz" w:hAnsi="C39T30Lfz"/>
        <w:kern w:val="14"/>
        <w:sz w:val="56"/>
      </w:rPr>
      <w:t></w:t>
    </w:r>
    <w:r w:rsidRPr="00A20D17">
      <w:rPr>
        <w:rFonts w:ascii="C39T30Lfz" w:hAnsi="C39T30Lfz"/>
        <w:kern w:val="14"/>
        <w:sz w:val="56"/>
      </w:rPr>
      <w:t></w:t>
    </w:r>
    <w:r w:rsidRPr="00A20D17">
      <w:rPr>
        <w:rFonts w:ascii="C39T30Lfz" w:hAnsi="C39T30Lfz"/>
        <w:kern w:val="14"/>
        <w:sz w:val="56"/>
      </w:rPr>
      <w:t></w:t>
    </w:r>
    <w:r w:rsidRPr="00A20D17">
      <w:rPr>
        <w:rFonts w:ascii="C39T30Lfz" w:hAnsi="C39T30Lfz"/>
        <w:kern w:val="14"/>
        <w:sz w:val="56"/>
      </w:rPr>
      <w:t></w:t>
    </w:r>
    <w:r w:rsidRPr="00A20D17">
      <w:rPr>
        <w:rFonts w:ascii="C39T30Lfz" w:hAnsi="C39T30Lfz"/>
        <w:kern w:val="14"/>
        <w:sz w:val="56"/>
      </w:rPr>
      <w:t></w:t>
    </w:r>
    <w:r w:rsidRPr="00A20D17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BLZ/CO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BLZ/CO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BE" w:rsidRPr="001075E9" w:rsidRDefault="00C03C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03CBE" w:rsidRDefault="00C03C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20D17" w:rsidRPr="00F113F0" w:rsidRDefault="00A20D17" w:rsidP="00A20D17">
      <w:pPr>
        <w:pStyle w:val="ad"/>
      </w:pPr>
      <w:r>
        <w:tab/>
        <w:t>*</w:t>
      </w:r>
      <w:r>
        <w:tab/>
        <w:t>Приняты Комитетом на его 124-й сессии (8 октября – 2 ноября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17" w:rsidRPr="00A20D17" w:rsidRDefault="00A20D17">
    <w:pPr>
      <w:pStyle w:val="a5"/>
    </w:pPr>
    <w:fldSimple w:instr=" TITLE  \* MERGEFORMAT ">
      <w:r w:rsidR="00BF17A1">
        <w:t>CCPR/C/BLZ/CO/1/Add.1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17" w:rsidRPr="00A20D17" w:rsidRDefault="00A20D17" w:rsidP="00A20D17">
    <w:pPr>
      <w:pStyle w:val="a5"/>
      <w:jc w:val="right"/>
    </w:pPr>
    <w:fldSimple w:instr=" TITLE  \* MERGEFORMAT ">
      <w:r w:rsidR="00BF17A1">
        <w:t>CCPR/C/BLZ/CO/1/Add.1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2D" w:rsidRDefault="00C15E2D" w:rsidP="00C15E2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BE"/>
    <w:rsid w:val="00033EE1"/>
    <w:rsid w:val="00042B72"/>
    <w:rsid w:val="00045848"/>
    <w:rsid w:val="000558BD"/>
    <w:rsid w:val="000B57E7"/>
    <w:rsid w:val="000B6373"/>
    <w:rsid w:val="000E5261"/>
    <w:rsid w:val="000F09DF"/>
    <w:rsid w:val="000F61B2"/>
    <w:rsid w:val="001075E9"/>
    <w:rsid w:val="00170592"/>
    <w:rsid w:val="00180183"/>
    <w:rsid w:val="0018024D"/>
    <w:rsid w:val="0018649F"/>
    <w:rsid w:val="00196324"/>
    <w:rsid w:val="00196389"/>
    <w:rsid w:val="001B3EF6"/>
    <w:rsid w:val="001C7A89"/>
    <w:rsid w:val="00200FB7"/>
    <w:rsid w:val="00262AD7"/>
    <w:rsid w:val="00264998"/>
    <w:rsid w:val="00285FE2"/>
    <w:rsid w:val="00297F26"/>
    <w:rsid w:val="002A2EFC"/>
    <w:rsid w:val="002C0E18"/>
    <w:rsid w:val="002D5A6B"/>
    <w:rsid w:val="002D5AAC"/>
    <w:rsid w:val="002E247C"/>
    <w:rsid w:val="002E5052"/>
    <w:rsid w:val="002E5067"/>
    <w:rsid w:val="002F405F"/>
    <w:rsid w:val="002F4488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3B4596"/>
    <w:rsid w:val="00407B78"/>
    <w:rsid w:val="00424203"/>
    <w:rsid w:val="0042450B"/>
    <w:rsid w:val="00452493"/>
    <w:rsid w:val="00454E07"/>
    <w:rsid w:val="00472C5C"/>
    <w:rsid w:val="00472C7C"/>
    <w:rsid w:val="004969B2"/>
    <w:rsid w:val="004B41EF"/>
    <w:rsid w:val="0050108D"/>
    <w:rsid w:val="0051053A"/>
    <w:rsid w:val="00513081"/>
    <w:rsid w:val="00517901"/>
    <w:rsid w:val="00517FC0"/>
    <w:rsid w:val="00526683"/>
    <w:rsid w:val="005709E0"/>
    <w:rsid w:val="00572E19"/>
    <w:rsid w:val="0059394A"/>
    <w:rsid w:val="005961C8"/>
    <w:rsid w:val="00596C97"/>
    <w:rsid w:val="005D7914"/>
    <w:rsid w:val="005E2B41"/>
    <w:rsid w:val="005F0B42"/>
    <w:rsid w:val="0062033F"/>
    <w:rsid w:val="00666B97"/>
    <w:rsid w:val="00681A10"/>
    <w:rsid w:val="0068304D"/>
    <w:rsid w:val="006A1ED8"/>
    <w:rsid w:val="006A77E5"/>
    <w:rsid w:val="006C2031"/>
    <w:rsid w:val="006D461A"/>
    <w:rsid w:val="006F35EE"/>
    <w:rsid w:val="007021FF"/>
    <w:rsid w:val="00712895"/>
    <w:rsid w:val="00757357"/>
    <w:rsid w:val="00791B9D"/>
    <w:rsid w:val="00794D9C"/>
    <w:rsid w:val="00825F8D"/>
    <w:rsid w:val="00834B71"/>
    <w:rsid w:val="008559CD"/>
    <w:rsid w:val="0086445C"/>
    <w:rsid w:val="00870945"/>
    <w:rsid w:val="008935EA"/>
    <w:rsid w:val="00894693"/>
    <w:rsid w:val="008A08D7"/>
    <w:rsid w:val="008B6909"/>
    <w:rsid w:val="00906890"/>
    <w:rsid w:val="00911BE4"/>
    <w:rsid w:val="00951972"/>
    <w:rsid w:val="009608F3"/>
    <w:rsid w:val="00987984"/>
    <w:rsid w:val="009918E2"/>
    <w:rsid w:val="009A24AC"/>
    <w:rsid w:val="009A524A"/>
    <w:rsid w:val="009C1EF4"/>
    <w:rsid w:val="00A14DA8"/>
    <w:rsid w:val="00A20D17"/>
    <w:rsid w:val="00A30A97"/>
    <w:rsid w:val="00A312BC"/>
    <w:rsid w:val="00A34D07"/>
    <w:rsid w:val="00A84021"/>
    <w:rsid w:val="00A84D35"/>
    <w:rsid w:val="00A917B3"/>
    <w:rsid w:val="00AB4B51"/>
    <w:rsid w:val="00AD6F87"/>
    <w:rsid w:val="00AF7F07"/>
    <w:rsid w:val="00B10CC7"/>
    <w:rsid w:val="00B136DB"/>
    <w:rsid w:val="00B40E09"/>
    <w:rsid w:val="00B539E7"/>
    <w:rsid w:val="00B62458"/>
    <w:rsid w:val="00B93B72"/>
    <w:rsid w:val="00BC18B2"/>
    <w:rsid w:val="00BC3629"/>
    <w:rsid w:val="00BD33EE"/>
    <w:rsid w:val="00BF17A1"/>
    <w:rsid w:val="00BF1A04"/>
    <w:rsid w:val="00BF3344"/>
    <w:rsid w:val="00C0177C"/>
    <w:rsid w:val="00C03CBE"/>
    <w:rsid w:val="00C106D6"/>
    <w:rsid w:val="00C15E2D"/>
    <w:rsid w:val="00C46D5A"/>
    <w:rsid w:val="00C60F0C"/>
    <w:rsid w:val="00C805C9"/>
    <w:rsid w:val="00C92939"/>
    <w:rsid w:val="00CA1679"/>
    <w:rsid w:val="00CB151C"/>
    <w:rsid w:val="00CE5A1A"/>
    <w:rsid w:val="00CF55F6"/>
    <w:rsid w:val="00D31E08"/>
    <w:rsid w:val="00D33D63"/>
    <w:rsid w:val="00D37258"/>
    <w:rsid w:val="00D47B6D"/>
    <w:rsid w:val="00D61F65"/>
    <w:rsid w:val="00D90028"/>
    <w:rsid w:val="00D90138"/>
    <w:rsid w:val="00D9090B"/>
    <w:rsid w:val="00D92825"/>
    <w:rsid w:val="00DD78D1"/>
    <w:rsid w:val="00DE32CD"/>
    <w:rsid w:val="00DF71B9"/>
    <w:rsid w:val="00E005F7"/>
    <w:rsid w:val="00E06BEE"/>
    <w:rsid w:val="00E46656"/>
    <w:rsid w:val="00E73F76"/>
    <w:rsid w:val="00EA2C9F"/>
    <w:rsid w:val="00EA3CA7"/>
    <w:rsid w:val="00EA420E"/>
    <w:rsid w:val="00ED0BDA"/>
    <w:rsid w:val="00EF1360"/>
    <w:rsid w:val="00EF3220"/>
    <w:rsid w:val="00F43903"/>
    <w:rsid w:val="00F94155"/>
    <w:rsid w:val="00F9783F"/>
    <w:rsid w:val="00FC5696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137BCD"/>
  <w15:docId w15:val="{D972985F-9893-4AD5-91BC-C29DFEC0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005F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AD6F8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AD6F8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D6F8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R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AD6F8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AD6F87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qFormat/>
    <w:rsid w:val="00A20D17"/>
    <w:pPr>
      <w:keepNext/>
      <w:keepLines/>
      <w:tabs>
        <w:tab w:val="right" w:pos="851"/>
      </w:tabs>
      <w:suppressAutoHyphens w:val="0"/>
      <w:spacing w:before="360" w:after="240" w:line="300" w:lineRule="exact"/>
      <w:ind w:left="1134" w:right="1134" w:hanging="1134"/>
    </w:pPr>
    <w:rPr>
      <w:rFonts w:eastAsia="SimSun" w:cs="Times New Roman"/>
      <w:b/>
      <w:sz w:val="28"/>
      <w:szCs w:val="20"/>
      <w:lang w:val="en-GB" w:eastAsia="zh-CN"/>
    </w:rPr>
  </w:style>
  <w:style w:type="paragraph" w:customStyle="1" w:styleId="H1G">
    <w:name w:val="_ H_1_G"/>
    <w:basedOn w:val="a"/>
    <w:next w:val="a"/>
    <w:qFormat/>
    <w:rsid w:val="00A20D17"/>
    <w:pPr>
      <w:keepNext/>
      <w:keepLines/>
      <w:tabs>
        <w:tab w:val="right" w:pos="851"/>
      </w:tabs>
      <w:suppressAutoHyphens w:val="0"/>
      <w:spacing w:before="360" w:after="240" w:line="270" w:lineRule="exact"/>
      <w:ind w:left="1134" w:right="1134" w:hanging="1134"/>
    </w:pPr>
    <w:rPr>
      <w:rFonts w:eastAsia="SimSun" w:cs="Times New Roman"/>
      <w:b/>
      <w:sz w:val="24"/>
      <w:szCs w:val="20"/>
      <w:lang w:val="en-GB" w:eastAsia="zh-CN"/>
    </w:rPr>
  </w:style>
  <w:style w:type="paragraph" w:customStyle="1" w:styleId="H23G">
    <w:name w:val="_ H_2/3_G"/>
    <w:basedOn w:val="a"/>
    <w:next w:val="a"/>
    <w:qFormat/>
    <w:rsid w:val="00A20D17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 w:cs="Times New Roman"/>
      <w:b/>
      <w:szCs w:val="20"/>
      <w:lang w:val="en-GB" w:eastAsia="zh-CN"/>
    </w:rPr>
  </w:style>
  <w:style w:type="paragraph" w:customStyle="1" w:styleId="SingleTxtG">
    <w:name w:val="_ Single Txt_G"/>
    <w:basedOn w:val="a"/>
    <w:qFormat/>
    <w:rsid w:val="00A20D17"/>
    <w:pPr>
      <w:suppressAutoHyphens w:val="0"/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11</Pages>
  <Words>4666</Words>
  <Characters>31864</Characters>
  <Application>Microsoft Office Word</Application>
  <DocSecurity>0</DocSecurity>
  <Lines>544</Lines>
  <Paragraphs>88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CCPR/C/BLZ/CO/1/Add.1</vt:lpstr>
      <vt:lpstr>A/</vt:lpstr>
      <vt:lpstr>A/</vt:lpstr>
    </vt:vector>
  </TitlesOfParts>
  <Company>DCM</Company>
  <LinksUpToDate>false</LinksUpToDate>
  <CharactersWithSpaces>36513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CCPR/C/BLZ/CO/1/Add.1</dc:title>
  <dc:subject/>
  <dc:creator>SHUVALOVA Natalia</dc:creator>
  <cp:keywords/>
  <cp:lastModifiedBy>Ekaterina Salynskaya</cp:lastModifiedBy>
  <cp:revision>3</cp:revision>
  <cp:lastPrinted>2018-12-26T08:56:00Z</cp:lastPrinted>
  <dcterms:created xsi:type="dcterms:W3CDTF">2018-12-26T08:56:00Z</dcterms:created>
  <dcterms:modified xsi:type="dcterms:W3CDTF">2018-12-26T08:56:00Z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