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755175">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755175" w:rsidP="00755175">
            <w:pPr>
              <w:jc w:val="right"/>
            </w:pPr>
            <w:r w:rsidRPr="00755175">
              <w:rPr>
                <w:sz w:val="40"/>
              </w:rPr>
              <w:t>CAT</w:t>
            </w:r>
            <w:r>
              <w:t>/C/KGZ/CO/2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755175" w:rsidRDefault="00755175" w:rsidP="00A56EA8">
            <w:pPr>
              <w:spacing w:before="240"/>
            </w:pPr>
            <w:r>
              <w:t>Distr. générale</w:t>
            </w:r>
          </w:p>
          <w:p w:rsidR="00755175" w:rsidRDefault="00755175" w:rsidP="00755175">
            <w:pPr>
              <w:spacing w:line="240" w:lineRule="exact"/>
            </w:pPr>
            <w:r>
              <w:t>20 décembre 2013</w:t>
            </w:r>
          </w:p>
          <w:p w:rsidR="00755175" w:rsidRDefault="00755175" w:rsidP="00755175">
            <w:pPr>
              <w:spacing w:line="240" w:lineRule="exact"/>
            </w:pPr>
            <w:r>
              <w:t>Français</w:t>
            </w:r>
          </w:p>
          <w:p w:rsidR="00297B00" w:rsidRPr="00DB58B5" w:rsidRDefault="00755175" w:rsidP="00755175">
            <w:pPr>
              <w:spacing w:line="240" w:lineRule="exact"/>
            </w:pPr>
            <w:r>
              <w:t>Original: anglais</w:t>
            </w:r>
          </w:p>
        </w:tc>
      </w:tr>
    </w:tbl>
    <w:p w:rsidR="00755175" w:rsidRDefault="00755175" w:rsidP="00755175">
      <w:pPr>
        <w:spacing w:before="120"/>
        <w:rPr>
          <w:b/>
          <w:sz w:val="24"/>
          <w:szCs w:val="24"/>
          <w:lang w:val="en-GB"/>
        </w:rPr>
      </w:pPr>
      <w:r w:rsidRPr="00755175">
        <w:rPr>
          <w:b/>
          <w:sz w:val="24"/>
          <w:szCs w:val="24"/>
          <w:lang w:val="en-GB"/>
        </w:rPr>
        <w:t>Comité contre la torture</w:t>
      </w:r>
    </w:p>
    <w:p w:rsidR="00755175" w:rsidRDefault="00755175" w:rsidP="00755175">
      <w:pPr>
        <w:pStyle w:val="HChG"/>
      </w:pPr>
      <w:r>
        <w:tab/>
      </w:r>
      <w:r>
        <w:tab/>
      </w:r>
      <w:r w:rsidRPr="00F36053">
        <w:t xml:space="preserve">Observations finales concernant </w:t>
      </w:r>
      <w:r>
        <w:t xml:space="preserve">le deuxième </w:t>
      </w:r>
      <w:r w:rsidRPr="00F36053">
        <w:t>rapport périodique</w:t>
      </w:r>
      <w:r>
        <w:t xml:space="preserve"> du </w:t>
      </w:r>
      <w:r w:rsidRPr="00771B7E">
        <w:t>Kirghizistan</w:t>
      </w:r>
      <w:r w:rsidRPr="00755175">
        <w:rPr>
          <w:rStyle w:val="FootnoteReference"/>
          <w:b w:val="0"/>
          <w:sz w:val="20"/>
          <w:vertAlign w:val="baseline"/>
        </w:rPr>
        <w:footnoteReference w:customMarkFollows="1" w:id="2"/>
        <w:t>*</w:t>
      </w:r>
    </w:p>
    <w:p w:rsidR="00755175" w:rsidRPr="005E54BA" w:rsidRDefault="00755175" w:rsidP="00D3637A">
      <w:pPr>
        <w:pStyle w:val="SingleTxtG"/>
        <w:ind w:firstLine="567"/>
      </w:pPr>
      <w:r w:rsidRPr="00335AD1">
        <w:t>Le Comité contre la torture a examiné le deuxième rapport périodique du Kirghizistan (CAT/C/KGZ/2) à ses 1192</w:t>
      </w:r>
      <w:r w:rsidRPr="00335AD1">
        <w:rPr>
          <w:vertAlign w:val="superscript"/>
        </w:rPr>
        <w:t>e</w:t>
      </w:r>
      <w:r w:rsidR="008861B8">
        <w:rPr>
          <w:vertAlign w:val="superscript"/>
        </w:rPr>
        <w:t xml:space="preserve"> </w:t>
      </w:r>
      <w:r w:rsidR="008861B8">
        <w:t>e</w:t>
      </w:r>
      <w:r w:rsidRPr="00335AD1">
        <w:t>t 1195</w:t>
      </w:r>
      <w:r w:rsidRPr="00335AD1">
        <w:rPr>
          <w:vertAlign w:val="superscript"/>
        </w:rPr>
        <w:t>e</w:t>
      </w:r>
      <w:r w:rsidR="00131967">
        <w:t> </w:t>
      </w:r>
      <w:r>
        <w:t>séances</w:t>
      </w:r>
      <w:r w:rsidRPr="00335AD1">
        <w:t>, les 12</w:t>
      </w:r>
      <w:r w:rsidR="00131967">
        <w:t> </w:t>
      </w:r>
      <w:r w:rsidRPr="00335AD1">
        <w:t>et 13</w:t>
      </w:r>
      <w:r>
        <w:t> n</w:t>
      </w:r>
      <w:r w:rsidRPr="00335AD1">
        <w:t>ovembre 2013 (CAT/C/SR.1192 et</w:t>
      </w:r>
      <w:r w:rsidR="008861B8">
        <w:t xml:space="preserve"> </w:t>
      </w:r>
      <w:r w:rsidRPr="00335AD1">
        <w:t>1195), et a adopté</w:t>
      </w:r>
      <w:r>
        <w:t xml:space="preserve">, </w:t>
      </w:r>
      <w:r w:rsidRPr="00335AD1">
        <w:t>à sa 1205</w:t>
      </w:r>
      <w:r w:rsidRPr="00335AD1">
        <w:rPr>
          <w:vertAlign w:val="superscript"/>
        </w:rPr>
        <w:t>e</w:t>
      </w:r>
      <w:r w:rsidRPr="00335AD1">
        <w:t xml:space="preserve"> séance</w:t>
      </w:r>
      <w:r w:rsidR="008B2E82">
        <w:t xml:space="preserve"> </w:t>
      </w:r>
      <w:r w:rsidR="008B2E82" w:rsidRPr="00335AD1">
        <w:t>(CAT/C/SR.1205)</w:t>
      </w:r>
      <w:r>
        <w:t>,</w:t>
      </w:r>
      <w:r w:rsidRPr="00335AD1">
        <w:t xml:space="preserve"> le</w:t>
      </w:r>
      <w:r>
        <w:t>s</w:t>
      </w:r>
      <w:r w:rsidRPr="00335AD1">
        <w:t xml:space="preserve"> observations finales </w:t>
      </w:r>
      <w:r>
        <w:t>ci-après</w:t>
      </w:r>
      <w:r w:rsidRPr="00335AD1">
        <w:t>.</w:t>
      </w:r>
    </w:p>
    <w:p w:rsidR="00755175" w:rsidRPr="001F786F" w:rsidRDefault="00755175" w:rsidP="008861B8">
      <w:pPr>
        <w:pStyle w:val="H1G"/>
        <w:rPr>
          <w:rFonts w:eastAsia="Malgun Gothic"/>
        </w:rPr>
      </w:pPr>
      <w:r>
        <w:rPr>
          <w:rFonts w:eastAsia="Malgun Gothic"/>
        </w:rPr>
        <w:tab/>
        <w:t>A.</w:t>
      </w:r>
      <w:r>
        <w:rPr>
          <w:rFonts w:eastAsia="Malgun Gothic"/>
        </w:rPr>
        <w:tab/>
      </w:r>
      <w:r w:rsidRPr="001F786F">
        <w:rPr>
          <w:rFonts w:eastAsia="Malgun Gothic"/>
        </w:rPr>
        <w:t>Introduction</w:t>
      </w:r>
    </w:p>
    <w:p w:rsidR="00755175" w:rsidRPr="001F786F" w:rsidRDefault="00755175" w:rsidP="00755175">
      <w:pPr>
        <w:pStyle w:val="ParNoG"/>
      </w:pPr>
      <w:r>
        <w:t>Le Comité accueille avec satisfaction le deuxième rapport périodique</w:t>
      </w:r>
      <w:r w:rsidRPr="001F786F">
        <w:t xml:space="preserve"> </w:t>
      </w:r>
      <w:r w:rsidRPr="00335AD1">
        <w:t>du Kirghizistan</w:t>
      </w:r>
      <w:r w:rsidRPr="001F786F">
        <w:t xml:space="preserve">, </w:t>
      </w:r>
      <w:r w:rsidR="00D3637A">
        <w:t xml:space="preserve">établi </w:t>
      </w:r>
      <w:r>
        <w:t xml:space="preserve">en réponse à la liste </w:t>
      </w:r>
      <w:r w:rsidR="00D3637A">
        <w:t xml:space="preserve">préalable de </w:t>
      </w:r>
      <w:r>
        <w:t xml:space="preserve">points à traiter </w:t>
      </w:r>
      <w:r w:rsidRPr="001F786F">
        <w:t xml:space="preserve">(CAT/C/KGZ/Q/2). </w:t>
      </w:r>
      <w:r>
        <w:t>Il</w:t>
      </w:r>
      <w:r w:rsidR="00D3637A">
        <w:t> </w:t>
      </w:r>
      <w:r>
        <w:t>regrette toutefois que ce document ait été soumis avec dix ans de retard</w:t>
      </w:r>
      <w:r w:rsidRPr="001F786F">
        <w:t xml:space="preserve">, </w:t>
      </w:r>
      <w:r>
        <w:t>ce qui l’a empêché de</w:t>
      </w:r>
      <w:r w:rsidRPr="001F786F">
        <w:t xml:space="preserve"> </w:t>
      </w:r>
      <w:r>
        <w:t xml:space="preserve">procéder à une analyse de la mise en œuvre de la Convention </w:t>
      </w:r>
      <w:r w:rsidRPr="00A1124E">
        <w:t>contre la torture et autres peines ou traitements cruels, inhumains ou dégradants</w:t>
      </w:r>
      <w:r w:rsidRPr="001F786F">
        <w:t xml:space="preserve"> </w:t>
      </w:r>
      <w:r>
        <w:t>dans l’État partie</w:t>
      </w:r>
      <w:r w:rsidRPr="001F786F">
        <w:t xml:space="preserve"> </w:t>
      </w:r>
      <w:r>
        <w:t xml:space="preserve">depuis l’examen </w:t>
      </w:r>
      <w:r w:rsidR="00187FA8">
        <w:t xml:space="preserve">du </w:t>
      </w:r>
      <w:r>
        <w:t>rapport initial, en</w:t>
      </w:r>
      <w:r w:rsidR="00187FA8">
        <w:t> </w:t>
      </w:r>
      <w:r w:rsidRPr="001F786F">
        <w:t>1999.</w:t>
      </w:r>
    </w:p>
    <w:p w:rsidR="00755175" w:rsidRPr="001F786F" w:rsidRDefault="00755175" w:rsidP="00755175">
      <w:pPr>
        <w:pStyle w:val="ParNoG"/>
      </w:pPr>
      <w:r w:rsidRPr="004E2A7C">
        <w:t>Le Comité note avec satisfaction que l</w:t>
      </w:r>
      <w:r>
        <w:t>’</w:t>
      </w:r>
      <w:r w:rsidRPr="004E2A7C">
        <w:t>État partie a envoyé une délé</w:t>
      </w:r>
      <w:r>
        <w:t>gation de haut niveau</w:t>
      </w:r>
      <w:r w:rsidRPr="004E2A7C">
        <w:t xml:space="preserve"> et se </w:t>
      </w:r>
      <w:r>
        <w:t xml:space="preserve">félicite </w:t>
      </w:r>
      <w:r w:rsidRPr="004E2A7C">
        <w:t>d</w:t>
      </w:r>
      <w:r>
        <w:t>’</w:t>
      </w:r>
      <w:r w:rsidRPr="004E2A7C">
        <w:t xml:space="preserve">avoir pu engager un dialogue constructif </w:t>
      </w:r>
      <w:r>
        <w:t>sur</w:t>
      </w:r>
      <w:r w:rsidR="001E19C7">
        <w:t xml:space="preserve"> de nombreuses questions</w:t>
      </w:r>
      <w:r w:rsidRPr="004E2A7C">
        <w:t xml:space="preserve"> </w:t>
      </w:r>
      <w:r>
        <w:t>relevant de</w:t>
      </w:r>
      <w:r w:rsidRPr="004E2A7C">
        <w:t xml:space="preserve"> la Convention.</w:t>
      </w:r>
    </w:p>
    <w:p w:rsidR="00755175" w:rsidRPr="001F786F" w:rsidRDefault="00755175" w:rsidP="00446F99">
      <w:pPr>
        <w:pStyle w:val="H1G"/>
        <w:rPr>
          <w:rFonts w:eastAsia="Malgun Gothic"/>
        </w:rPr>
      </w:pPr>
      <w:r>
        <w:rPr>
          <w:rFonts w:eastAsia="Malgun Gothic"/>
        </w:rPr>
        <w:tab/>
      </w:r>
      <w:r w:rsidRPr="001F786F">
        <w:rPr>
          <w:rFonts w:eastAsia="Malgun Gothic"/>
        </w:rPr>
        <w:t>B.</w:t>
      </w:r>
      <w:r w:rsidRPr="001F786F">
        <w:rPr>
          <w:rFonts w:eastAsia="Malgun Gothic"/>
          <w:lang w:eastAsia="ko-KR"/>
        </w:rPr>
        <w:tab/>
      </w:r>
      <w:r>
        <w:rPr>
          <w:rFonts w:eastAsia="Malgun Gothic"/>
        </w:rPr>
        <w:t>A</w:t>
      </w:r>
      <w:r w:rsidRPr="001F786F">
        <w:rPr>
          <w:rFonts w:eastAsia="Malgun Gothic"/>
        </w:rPr>
        <w:t>spects</w:t>
      </w:r>
      <w:r>
        <w:rPr>
          <w:rFonts w:eastAsia="Malgun Gothic"/>
        </w:rPr>
        <w:t xml:space="preserve"> positifs</w:t>
      </w:r>
    </w:p>
    <w:p w:rsidR="00755175" w:rsidRDefault="00755175" w:rsidP="00FE6B9E">
      <w:pPr>
        <w:pStyle w:val="ParNoG"/>
        <w:keepNext/>
        <w:rPr>
          <w:lang w:eastAsia="zh-CN"/>
        </w:rPr>
      </w:pPr>
      <w:r w:rsidRPr="004E2A7C">
        <w:t>Le Comité</w:t>
      </w:r>
      <w:r w:rsidR="00446F99">
        <w:t xml:space="preserve"> note avec satisfaction que</w:t>
      </w:r>
      <w:r>
        <w:t>, depuis l’examen du rapport initial,</w:t>
      </w:r>
      <w:r w:rsidRPr="004E2A7C">
        <w:t xml:space="preserve"> </w:t>
      </w:r>
      <w:r w:rsidR="00446F99" w:rsidRPr="004E2A7C">
        <w:t>l</w:t>
      </w:r>
      <w:r w:rsidR="00446F99">
        <w:t>’</w:t>
      </w:r>
      <w:r w:rsidR="00446F99" w:rsidRPr="004E2A7C">
        <w:t>État partie</w:t>
      </w:r>
      <w:r w:rsidR="00FE6B9E">
        <w:t xml:space="preserve"> </w:t>
      </w:r>
      <w:r w:rsidRPr="004E2A7C">
        <w:t xml:space="preserve">a ratifié les instruments internationaux </w:t>
      </w:r>
      <w:r>
        <w:t>ci-après</w:t>
      </w:r>
      <w:r w:rsidRPr="004E2A7C">
        <w:t xml:space="preserve"> ou y a adhéré:</w:t>
      </w:r>
    </w:p>
    <w:p w:rsidR="00B95C9B" w:rsidRDefault="00755175" w:rsidP="00B95C9B">
      <w:pPr>
        <w:pStyle w:val="SingleTxtG"/>
        <w:ind w:firstLine="567"/>
        <w:rPr>
          <w:rFonts w:eastAsia="Batang"/>
        </w:rPr>
      </w:pPr>
      <w:r w:rsidRPr="001F786F">
        <w:rPr>
          <w:rFonts w:eastAsia="Batang"/>
        </w:rPr>
        <w:t>a)</w:t>
      </w:r>
      <w:r w:rsidRPr="001F786F">
        <w:rPr>
          <w:rFonts w:eastAsia="Batang"/>
        </w:rPr>
        <w:tab/>
      </w:r>
      <w:r>
        <w:rPr>
          <w:rFonts w:eastAsia="Batang"/>
        </w:rPr>
        <w:t>Le</w:t>
      </w:r>
      <w:r w:rsidRPr="001F786F">
        <w:rPr>
          <w:rFonts w:eastAsia="Batang"/>
        </w:rPr>
        <w:t xml:space="preserve"> </w:t>
      </w:r>
      <w:r w:rsidRPr="00AB7D4C">
        <w:rPr>
          <w:rFonts w:eastAsia="Batang"/>
        </w:rPr>
        <w:t>Protocole facultatif à la Convention sur l</w:t>
      </w:r>
      <w:r>
        <w:rPr>
          <w:rFonts w:eastAsia="Batang"/>
        </w:rPr>
        <w:t>’</w:t>
      </w:r>
      <w:r w:rsidRPr="00AB7D4C">
        <w:rPr>
          <w:rFonts w:eastAsia="Batang"/>
        </w:rPr>
        <w:t>élimination de toutes les formes de discrimination à l</w:t>
      </w:r>
      <w:r>
        <w:rPr>
          <w:rFonts w:eastAsia="Batang"/>
        </w:rPr>
        <w:t>’</w:t>
      </w:r>
      <w:r w:rsidRPr="00AB7D4C">
        <w:rPr>
          <w:rFonts w:eastAsia="Batang"/>
        </w:rPr>
        <w:t>égard des femmes</w:t>
      </w:r>
      <w:r>
        <w:rPr>
          <w:rFonts w:eastAsia="Batang"/>
        </w:rPr>
        <w:t xml:space="preserve"> (22 juillet</w:t>
      </w:r>
      <w:r w:rsidRPr="001F786F">
        <w:rPr>
          <w:rFonts w:eastAsia="Batang"/>
        </w:rPr>
        <w:t xml:space="preserve"> 2002);</w:t>
      </w:r>
    </w:p>
    <w:p w:rsidR="00B95C9B" w:rsidRDefault="00755175" w:rsidP="00B95C9B">
      <w:pPr>
        <w:pStyle w:val="SingleTxtG"/>
        <w:ind w:firstLine="567"/>
        <w:rPr>
          <w:rFonts w:eastAsia="Batang"/>
        </w:rPr>
      </w:pPr>
      <w:r w:rsidRPr="001F786F">
        <w:rPr>
          <w:rFonts w:eastAsia="Batang"/>
        </w:rPr>
        <w:t>b)</w:t>
      </w:r>
      <w:r w:rsidRPr="001F786F">
        <w:rPr>
          <w:rFonts w:eastAsia="Batang"/>
        </w:rPr>
        <w:tab/>
      </w:r>
      <w:r>
        <w:rPr>
          <w:rFonts w:eastAsia="Batang"/>
        </w:rPr>
        <w:t>Le</w:t>
      </w:r>
      <w:r w:rsidRPr="001F786F">
        <w:rPr>
          <w:rFonts w:eastAsia="Batang"/>
        </w:rPr>
        <w:t xml:space="preserve"> </w:t>
      </w:r>
      <w:r w:rsidRPr="00AB7D4C">
        <w:rPr>
          <w:rFonts w:eastAsia="Batang"/>
        </w:rPr>
        <w:t>Protocole facultatif à la Convention relative aux droits de l</w:t>
      </w:r>
      <w:r>
        <w:rPr>
          <w:rFonts w:eastAsia="Batang"/>
        </w:rPr>
        <w:t>’</w:t>
      </w:r>
      <w:r w:rsidRPr="00AB7D4C">
        <w:rPr>
          <w:rFonts w:eastAsia="Batang"/>
        </w:rPr>
        <w:t>enfant, concernant la vente d</w:t>
      </w:r>
      <w:r>
        <w:rPr>
          <w:rFonts w:eastAsia="Batang"/>
        </w:rPr>
        <w:t>’</w:t>
      </w:r>
      <w:r w:rsidRPr="00AB7D4C">
        <w:rPr>
          <w:rFonts w:eastAsia="Batang"/>
        </w:rPr>
        <w:t xml:space="preserve">enfants, la prostitution des enfants et la pornographie mettant en scène des enfants (12 février 2003) </w:t>
      </w:r>
      <w:r w:rsidRPr="00C65B15">
        <w:rPr>
          <w:rFonts w:eastAsia="Batang"/>
        </w:rPr>
        <w:t>et le</w:t>
      </w:r>
      <w:r w:rsidRPr="00AB7D4C">
        <w:rPr>
          <w:rFonts w:eastAsia="Batang"/>
        </w:rPr>
        <w:t xml:space="preserve"> </w:t>
      </w:r>
      <w:r w:rsidRPr="00AB7D4C">
        <w:rPr>
          <w:rFonts w:eastAsia="Batang"/>
          <w:lang w:val="fr-FR"/>
        </w:rPr>
        <w:t>Protocole facultatif à la Convention relative aux droits de l</w:t>
      </w:r>
      <w:r>
        <w:rPr>
          <w:rFonts w:eastAsia="Batang"/>
          <w:lang w:val="fr-FR"/>
        </w:rPr>
        <w:t>’</w:t>
      </w:r>
      <w:r w:rsidRPr="00AB7D4C">
        <w:rPr>
          <w:rFonts w:eastAsia="Batang"/>
          <w:lang w:val="fr-FR"/>
        </w:rPr>
        <w:t>enfant, concernant l</w:t>
      </w:r>
      <w:r>
        <w:rPr>
          <w:rFonts w:eastAsia="Batang"/>
          <w:lang w:val="fr-FR"/>
        </w:rPr>
        <w:t>’</w:t>
      </w:r>
      <w:r w:rsidRPr="00AB7D4C">
        <w:rPr>
          <w:rFonts w:eastAsia="Batang"/>
          <w:lang w:val="fr-FR"/>
        </w:rPr>
        <w:t>implication d</w:t>
      </w:r>
      <w:r>
        <w:rPr>
          <w:rFonts w:eastAsia="Batang"/>
          <w:lang w:val="fr-FR"/>
        </w:rPr>
        <w:t>’</w:t>
      </w:r>
      <w:r w:rsidRPr="00AB7D4C">
        <w:rPr>
          <w:rFonts w:eastAsia="Batang"/>
          <w:lang w:val="fr-FR"/>
        </w:rPr>
        <w:t xml:space="preserve">enfants dans les conflits armés </w:t>
      </w:r>
      <w:r w:rsidRPr="001F786F">
        <w:rPr>
          <w:rFonts w:eastAsia="Batang"/>
        </w:rPr>
        <w:t>(13</w:t>
      </w:r>
      <w:r w:rsidR="00B95C9B">
        <w:rPr>
          <w:rFonts w:eastAsia="Batang"/>
        </w:rPr>
        <w:t> </w:t>
      </w:r>
      <w:r>
        <w:rPr>
          <w:rFonts w:eastAsia="Batang"/>
        </w:rPr>
        <w:t>août</w:t>
      </w:r>
      <w:r w:rsidRPr="001F786F">
        <w:rPr>
          <w:rFonts w:eastAsia="Batang"/>
        </w:rPr>
        <w:t xml:space="preserve"> 2003</w:t>
      </w:r>
      <w:r>
        <w:rPr>
          <w:rFonts w:eastAsia="Batang"/>
        </w:rPr>
        <w:t>)</w:t>
      </w:r>
      <w:r w:rsidRPr="001F786F">
        <w:rPr>
          <w:rFonts w:eastAsia="Batang"/>
        </w:rPr>
        <w:t>;</w:t>
      </w:r>
    </w:p>
    <w:p w:rsidR="00B95C9B" w:rsidRDefault="00755175" w:rsidP="00B95C9B">
      <w:pPr>
        <w:pStyle w:val="SingleTxtG"/>
        <w:ind w:firstLine="567"/>
        <w:rPr>
          <w:rFonts w:eastAsia="Batang"/>
        </w:rPr>
      </w:pPr>
      <w:r w:rsidRPr="001F786F">
        <w:rPr>
          <w:rFonts w:eastAsia="Batang"/>
        </w:rPr>
        <w:t>c)</w:t>
      </w:r>
      <w:r w:rsidRPr="001F786F">
        <w:rPr>
          <w:rFonts w:eastAsia="Batang"/>
        </w:rPr>
        <w:tab/>
      </w:r>
      <w:r>
        <w:rPr>
          <w:rFonts w:eastAsia="Batang"/>
        </w:rPr>
        <w:t>La</w:t>
      </w:r>
      <w:r w:rsidRPr="001F786F">
        <w:rPr>
          <w:rFonts w:eastAsia="Batang"/>
        </w:rPr>
        <w:t xml:space="preserve"> </w:t>
      </w:r>
      <w:r w:rsidRPr="00AB7D4C">
        <w:rPr>
          <w:rFonts w:eastAsia="Batang"/>
        </w:rPr>
        <w:t>Convention internationale sur la protection des droits de tous les travailleurs migrants et des membres de leur famille</w:t>
      </w:r>
      <w:r>
        <w:rPr>
          <w:rFonts w:eastAsia="Batang"/>
        </w:rPr>
        <w:t xml:space="preserve"> </w:t>
      </w:r>
      <w:r w:rsidRPr="001F786F">
        <w:rPr>
          <w:rFonts w:eastAsia="Batang"/>
        </w:rPr>
        <w:t>(</w:t>
      </w:r>
      <w:r>
        <w:rPr>
          <w:rFonts w:eastAsia="Batang"/>
        </w:rPr>
        <w:t>29 septembre</w:t>
      </w:r>
      <w:r w:rsidRPr="001F786F">
        <w:rPr>
          <w:rFonts w:eastAsia="Batang"/>
        </w:rPr>
        <w:t xml:space="preserve"> 2003);</w:t>
      </w:r>
    </w:p>
    <w:p w:rsidR="007A22ED" w:rsidRDefault="00755175" w:rsidP="007A22ED">
      <w:pPr>
        <w:pStyle w:val="SingleTxtG"/>
        <w:ind w:firstLine="567"/>
        <w:rPr>
          <w:rFonts w:eastAsia="Batang"/>
        </w:rPr>
      </w:pPr>
      <w:r w:rsidRPr="001F786F">
        <w:rPr>
          <w:rFonts w:eastAsia="Batang"/>
        </w:rPr>
        <w:t>d)</w:t>
      </w:r>
      <w:r w:rsidRPr="001F786F">
        <w:rPr>
          <w:rFonts w:eastAsia="Batang"/>
        </w:rPr>
        <w:tab/>
      </w:r>
      <w:r>
        <w:rPr>
          <w:rFonts w:eastAsia="Batang"/>
        </w:rPr>
        <w:t>Le</w:t>
      </w:r>
      <w:r w:rsidRPr="001F786F">
        <w:rPr>
          <w:rFonts w:eastAsia="Batang"/>
        </w:rPr>
        <w:t xml:space="preserve"> </w:t>
      </w:r>
      <w:r w:rsidRPr="00AB7D4C">
        <w:rPr>
          <w:rFonts w:eastAsia="Batang"/>
        </w:rPr>
        <w:t>Protocole facultatif se rapportant à la Convention contre la torture et autres peines ou traitements cruels, inhumains ou dégradants</w:t>
      </w:r>
      <w:r>
        <w:rPr>
          <w:rFonts w:eastAsia="Batang"/>
        </w:rPr>
        <w:t xml:space="preserve"> (29 décembre 2008);</w:t>
      </w:r>
    </w:p>
    <w:p w:rsidR="00755175" w:rsidRPr="001F786F" w:rsidRDefault="00755175" w:rsidP="007A22ED">
      <w:pPr>
        <w:pStyle w:val="SingleTxtG"/>
        <w:ind w:firstLine="567"/>
        <w:rPr>
          <w:rFonts w:eastAsia="Batang"/>
        </w:rPr>
      </w:pPr>
      <w:r w:rsidRPr="001F786F">
        <w:rPr>
          <w:rFonts w:eastAsia="Batang"/>
        </w:rPr>
        <w:t>e)</w:t>
      </w:r>
      <w:r w:rsidRPr="001F786F">
        <w:rPr>
          <w:rFonts w:eastAsia="Batang"/>
        </w:rPr>
        <w:tab/>
      </w:r>
      <w:r>
        <w:rPr>
          <w:rFonts w:eastAsia="Batang"/>
        </w:rPr>
        <w:t>Le</w:t>
      </w:r>
      <w:r w:rsidRPr="001F786F">
        <w:rPr>
          <w:rFonts w:eastAsia="Batang"/>
        </w:rPr>
        <w:t xml:space="preserve"> </w:t>
      </w:r>
      <w:r w:rsidRPr="00AB7D4C">
        <w:rPr>
          <w:rFonts w:eastAsia="Batang"/>
        </w:rPr>
        <w:t xml:space="preserve">deuxième Protocole facultatif se rapportant au Pacte international relatif aux droits civils et politiques, visant à abolir la peine de mort </w:t>
      </w:r>
      <w:r>
        <w:rPr>
          <w:rFonts w:eastAsia="Batang"/>
        </w:rPr>
        <w:t xml:space="preserve">(6 décembre </w:t>
      </w:r>
      <w:r w:rsidRPr="001F786F">
        <w:rPr>
          <w:rFonts w:eastAsia="Batang"/>
        </w:rPr>
        <w:t>2010).</w:t>
      </w:r>
    </w:p>
    <w:p w:rsidR="00755175" w:rsidRPr="001F786F" w:rsidRDefault="00755175" w:rsidP="001B19DA">
      <w:pPr>
        <w:pStyle w:val="ParNoG"/>
        <w:keepNext/>
      </w:pPr>
      <w:r w:rsidRPr="004E2A7C">
        <w:t xml:space="preserve">Le Comité prend acte des efforts </w:t>
      </w:r>
      <w:r w:rsidR="001B19DA">
        <w:t xml:space="preserve">de </w:t>
      </w:r>
      <w:r w:rsidRPr="004E2A7C">
        <w:t>l</w:t>
      </w:r>
      <w:r>
        <w:t>’</w:t>
      </w:r>
      <w:r w:rsidRPr="004E2A7C">
        <w:t>État partie pour réformer sa législation, ses politiques et ses procédure</w:t>
      </w:r>
      <w:r>
        <w:t>s, notamment</w:t>
      </w:r>
      <w:r w:rsidR="001B19DA">
        <w:t xml:space="preserve"> de</w:t>
      </w:r>
      <w:r>
        <w:t>:</w:t>
      </w:r>
    </w:p>
    <w:p w:rsidR="001B19DA" w:rsidRDefault="00755175" w:rsidP="001B19DA">
      <w:pPr>
        <w:pStyle w:val="SingleTxtG"/>
        <w:ind w:firstLine="567"/>
        <w:rPr>
          <w:rFonts w:eastAsia="Batang"/>
        </w:rPr>
      </w:pPr>
      <w:r w:rsidRPr="001F786F">
        <w:rPr>
          <w:rFonts w:eastAsia="Batang"/>
        </w:rPr>
        <w:t>a)</w:t>
      </w:r>
      <w:r w:rsidRPr="001F786F">
        <w:rPr>
          <w:rFonts w:eastAsia="Batang"/>
        </w:rPr>
        <w:tab/>
      </w:r>
      <w:r>
        <w:rPr>
          <w:rFonts w:eastAsia="Batang"/>
        </w:rPr>
        <w:t>L’a</w:t>
      </w:r>
      <w:r w:rsidRPr="001F786F">
        <w:rPr>
          <w:rFonts w:eastAsia="Batang"/>
        </w:rPr>
        <w:t xml:space="preserve">doption </w:t>
      </w:r>
      <w:r>
        <w:rPr>
          <w:rFonts w:eastAsia="Batang"/>
        </w:rPr>
        <w:t>de la nouvelle Constitution, e</w:t>
      </w:r>
      <w:r w:rsidRPr="001F786F">
        <w:rPr>
          <w:rFonts w:eastAsia="Batang"/>
        </w:rPr>
        <w:t>n 2011;</w:t>
      </w:r>
    </w:p>
    <w:p w:rsidR="00B86167" w:rsidRDefault="00755175" w:rsidP="00B86167">
      <w:pPr>
        <w:pStyle w:val="SingleTxtG"/>
        <w:ind w:firstLine="567"/>
        <w:rPr>
          <w:rFonts w:eastAsia="Batang"/>
        </w:rPr>
      </w:pPr>
      <w:r w:rsidRPr="001F786F">
        <w:rPr>
          <w:rFonts w:eastAsia="Batang"/>
        </w:rPr>
        <w:t>b)</w:t>
      </w:r>
      <w:r w:rsidRPr="001F786F">
        <w:rPr>
          <w:rFonts w:eastAsia="Batang"/>
        </w:rPr>
        <w:tab/>
      </w:r>
      <w:r>
        <w:rPr>
          <w:rFonts w:eastAsia="Batang"/>
        </w:rPr>
        <w:t>L</w:t>
      </w:r>
      <w:r w:rsidR="001B19DA">
        <w:rPr>
          <w:rFonts w:eastAsia="Batang"/>
        </w:rPr>
        <w:t>a modification</w:t>
      </w:r>
      <w:r>
        <w:rPr>
          <w:rFonts w:eastAsia="Batang"/>
        </w:rPr>
        <w:t xml:space="preserve"> </w:t>
      </w:r>
      <w:r w:rsidR="001B19DA">
        <w:rPr>
          <w:rFonts w:eastAsia="Batang"/>
        </w:rPr>
        <w:t>d</w:t>
      </w:r>
      <w:r>
        <w:rPr>
          <w:rFonts w:eastAsia="Batang"/>
        </w:rPr>
        <w:t>u</w:t>
      </w:r>
      <w:r w:rsidRPr="001F786F">
        <w:rPr>
          <w:rFonts w:eastAsia="Batang"/>
        </w:rPr>
        <w:t xml:space="preserve"> Code </w:t>
      </w:r>
      <w:r>
        <w:rPr>
          <w:rFonts w:eastAsia="Batang"/>
        </w:rPr>
        <w:t>pénal, e</w:t>
      </w:r>
      <w:r w:rsidRPr="001F786F">
        <w:rPr>
          <w:rFonts w:eastAsia="Batang"/>
        </w:rPr>
        <w:t>n</w:t>
      </w:r>
      <w:r w:rsidR="001B19DA">
        <w:rPr>
          <w:rFonts w:eastAsia="Batang"/>
        </w:rPr>
        <w:t> </w:t>
      </w:r>
      <w:r w:rsidRPr="001F786F">
        <w:rPr>
          <w:rFonts w:eastAsia="Batang"/>
        </w:rPr>
        <w:t>2012</w:t>
      </w:r>
      <w:r>
        <w:rPr>
          <w:rFonts w:eastAsia="Batang"/>
        </w:rPr>
        <w:t>,</w:t>
      </w:r>
      <w:r w:rsidRPr="001F786F">
        <w:rPr>
          <w:rFonts w:eastAsia="Batang"/>
        </w:rPr>
        <w:t xml:space="preserve"> </w:t>
      </w:r>
      <w:r>
        <w:rPr>
          <w:rFonts w:eastAsia="Batang"/>
        </w:rPr>
        <w:t xml:space="preserve">et </w:t>
      </w:r>
      <w:r w:rsidR="001B19DA">
        <w:rPr>
          <w:rFonts w:eastAsia="Batang"/>
        </w:rPr>
        <w:t>d</w:t>
      </w:r>
      <w:r>
        <w:rPr>
          <w:rFonts w:eastAsia="Batang"/>
        </w:rPr>
        <w:t>u</w:t>
      </w:r>
      <w:r w:rsidRPr="001F786F">
        <w:rPr>
          <w:rFonts w:eastAsia="Batang"/>
        </w:rPr>
        <w:t xml:space="preserve"> Code </w:t>
      </w:r>
      <w:r>
        <w:rPr>
          <w:rFonts w:eastAsia="Batang"/>
        </w:rPr>
        <w:t>de procédure pénale, e</w:t>
      </w:r>
      <w:r w:rsidRPr="001F786F">
        <w:rPr>
          <w:rFonts w:eastAsia="Batang"/>
        </w:rPr>
        <w:t>n</w:t>
      </w:r>
      <w:r w:rsidR="001B19DA">
        <w:rPr>
          <w:rFonts w:eastAsia="Batang"/>
        </w:rPr>
        <w:t> </w:t>
      </w:r>
      <w:r w:rsidRPr="001F786F">
        <w:rPr>
          <w:rFonts w:eastAsia="Batang"/>
        </w:rPr>
        <w:t>2011;</w:t>
      </w:r>
    </w:p>
    <w:p w:rsidR="00687150" w:rsidRDefault="00755175" w:rsidP="00687150">
      <w:pPr>
        <w:pStyle w:val="SingleTxtG"/>
        <w:ind w:firstLine="567"/>
        <w:rPr>
          <w:rFonts w:eastAsia="Batang"/>
        </w:rPr>
      </w:pPr>
      <w:r w:rsidRPr="001F786F">
        <w:rPr>
          <w:rFonts w:eastAsia="Batang"/>
        </w:rPr>
        <w:t>c)</w:t>
      </w:r>
      <w:r w:rsidRPr="001F786F">
        <w:rPr>
          <w:rFonts w:eastAsia="Batang"/>
        </w:rPr>
        <w:tab/>
      </w:r>
      <w:r>
        <w:rPr>
          <w:rFonts w:eastAsia="Batang"/>
        </w:rPr>
        <w:t>L’a</w:t>
      </w:r>
      <w:r w:rsidRPr="001F786F">
        <w:rPr>
          <w:rFonts w:eastAsia="Batang"/>
        </w:rPr>
        <w:t xml:space="preserve">doption </w:t>
      </w:r>
      <w:r>
        <w:rPr>
          <w:rFonts w:eastAsia="Batang"/>
        </w:rPr>
        <w:t>de</w:t>
      </w:r>
      <w:r w:rsidRPr="001F786F">
        <w:rPr>
          <w:rFonts w:eastAsia="Batang"/>
        </w:rPr>
        <w:t xml:space="preserve"> </w:t>
      </w:r>
      <w:r>
        <w:rPr>
          <w:rFonts w:eastAsia="Batang"/>
        </w:rPr>
        <w:t>trois</w:t>
      </w:r>
      <w:r w:rsidRPr="001F786F">
        <w:rPr>
          <w:rFonts w:eastAsia="Batang"/>
        </w:rPr>
        <w:t xml:space="preserve"> </w:t>
      </w:r>
      <w:r>
        <w:rPr>
          <w:rFonts w:eastAsia="Batang"/>
        </w:rPr>
        <w:t>décrets</w:t>
      </w:r>
      <w:r w:rsidRPr="001F786F">
        <w:rPr>
          <w:rFonts w:eastAsia="Batang"/>
        </w:rPr>
        <w:t xml:space="preserve"> </w:t>
      </w:r>
      <w:r>
        <w:rPr>
          <w:rFonts w:eastAsia="Batang"/>
        </w:rPr>
        <w:t>(</w:t>
      </w:r>
      <w:r w:rsidR="00774F13" w:rsidRPr="00774F13">
        <w:rPr>
          <w:rFonts w:eastAsia="MS Mincho"/>
        </w:rPr>
        <w:t>n</w:t>
      </w:r>
      <w:r w:rsidR="00774F13" w:rsidRPr="00774F13">
        <w:rPr>
          <w:rFonts w:eastAsia="MS Mincho"/>
          <w:vertAlign w:val="superscript"/>
        </w:rPr>
        <w:t>o</w:t>
      </w:r>
      <w:r w:rsidR="00774F13">
        <w:rPr>
          <w:rFonts w:eastAsia="MS Mincho"/>
          <w:vertAlign w:val="superscript"/>
        </w:rPr>
        <w:t>s</w:t>
      </w:r>
      <w:r w:rsidR="00774F13">
        <w:rPr>
          <w:rFonts w:eastAsia="Batang"/>
        </w:rPr>
        <w:t> </w:t>
      </w:r>
      <w:r w:rsidRPr="001F786F">
        <w:rPr>
          <w:rFonts w:eastAsia="Batang"/>
        </w:rPr>
        <w:t xml:space="preserve">40, 70 </w:t>
      </w:r>
      <w:r>
        <w:rPr>
          <w:rFonts w:eastAsia="Batang"/>
        </w:rPr>
        <w:t>et</w:t>
      </w:r>
      <w:r w:rsidR="00774F13">
        <w:rPr>
          <w:rFonts w:eastAsia="Batang"/>
        </w:rPr>
        <w:t> </w:t>
      </w:r>
      <w:r w:rsidRPr="001F786F">
        <w:rPr>
          <w:rFonts w:eastAsia="Batang"/>
        </w:rPr>
        <w:t>75</w:t>
      </w:r>
      <w:r>
        <w:rPr>
          <w:rFonts w:eastAsia="Batang"/>
        </w:rPr>
        <w:t xml:space="preserve">) </w:t>
      </w:r>
      <w:r>
        <w:t>par le Bureau du Procureur général</w:t>
      </w:r>
      <w:r w:rsidR="00774F13">
        <w:rPr>
          <w:rFonts w:eastAsia="Batang"/>
        </w:rPr>
        <w:t>, en </w:t>
      </w:r>
      <w:r>
        <w:rPr>
          <w:rFonts w:eastAsia="Batang"/>
        </w:rPr>
        <w:t>2011;</w:t>
      </w:r>
    </w:p>
    <w:p w:rsidR="00755175" w:rsidRPr="001F786F" w:rsidRDefault="00755175" w:rsidP="00687150">
      <w:pPr>
        <w:pStyle w:val="SingleTxtG"/>
        <w:ind w:firstLine="567"/>
        <w:rPr>
          <w:rFonts w:eastAsia="Batang"/>
        </w:rPr>
      </w:pPr>
      <w:r w:rsidRPr="001F786F">
        <w:rPr>
          <w:rFonts w:eastAsia="Batang"/>
        </w:rPr>
        <w:t>d)</w:t>
      </w:r>
      <w:r w:rsidRPr="001F786F">
        <w:rPr>
          <w:rFonts w:eastAsia="Batang"/>
        </w:rPr>
        <w:tab/>
      </w:r>
      <w:r>
        <w:rPr>
          <w:rFonts w:eastAsia="Batang"/>
        </w:rPr>
        <w:t>L’a</w:t>
      </w:r>
      <w:r w:rsidRPr="001F786F">
        <w:rPr>
          <w:rFonts w:eastAsia="Batang"/>
        </w:rPr>
        <w:t xml:space="preserve">bolition </w:t>
      </w:r>
      <w:r>
        <w:rPr>
          <w:rFonts w:eastAsia="Batang"/>
        </w:rPr>
        <w:t>de la peine capitale, en</w:t>
      </w:r>
      <w:r w:rsidRPr="001F786F">
        <w:rPr>
          <w:rFonts w:eastAsia="Batang"/>
        </w:rPr>
        <w:t xml:space="preserve"> 2007.</w:t>
      </w:r>
    </w:p>
    <w:p w:rsidR="00755175" w:rsidRPr="001F786F" w:rsidRDefault="00755175" w:rsidP="001372F2">
      <w:pPr>
        <w:pStyle w:val="H1G"/>
        <w:rPr>
          <w:rFonts w:eastAsia="Malgun Gothic"/>
        </w:rPr>
      </w:pPr>
      <w:r>
        <w:rPr>
          <w:rFonts w:eastAsia="Malgun Gothic"/>
        </w:rPr>
        <w:tab/>
      </w:r>
      <w:r w:rsidRPr="001F786F">
        <w:rPr>
          <w:rFonts w:eastAsia="Malgun Gothic"/>
        </w:rPr>
        <w:t>C.</w:t>
      </w:r>
      <w:r w:rsidRPr="001F786F">
        <w:rPr>
          <w:rFonts w:eastAsia="Malgun Gothic"/>
        </w:rPr>
        <w:tab/>
      </w:r>
      <w:r w:rsidRPr="004E2A7C">
        <w:t>Principaux sujets de préoccupation et recommandations</w:t>
      </w:r>
    </w:p>
    <w:p w:rsidR="00755175" w:rsidRPr="001F786F" w:rsidRDefault="00755175" w:rsidP="001372F2">
      <w:pPr>
        <w:pStyle w:val="H23G"/>
        <w:rPr>
          <w:rFonts w:eastAsia="Malgun Gothic"/>
        </w:rPr>
      </w:pPr>
      <w:r w:rsidRPr="001F786F">
        <w:rPr>
          <w:rFonts w:eastAsia="Malgun Gothic"/>
        </w:rPr>
        <w:tab/>
      </w:r>
      <w:r w:rsidRPr="001F786F">
        <w:rPr>
          <w:rFonts w:eastAsia="Malgun Gothic"/>
        </w:rPr>
        <w:tab/>
      </w:r>
      <w:r w:rsidRPr="00121B45">
        <w:rPr>
          <w:rFonts w:eastAsia="Malgun Gothic"/>
        </w:rPr>
        <w:t>Absence d</w:t>
      </w:r>
      <w:r>
        <w:rPr>
          <w:rFonts w:eastAsia="Malgun Gothic"/>
        </w:rPr>
        <w:t>’</w:t>
      </w:r>
      <w:r w:rsidRPr="00121B45">
        <w:rPr>
          <w:rFonts w:eastAsia="Malgun Gothic"/>
        </w:rPr>
        <w:t xml:space="preserve">enquête sur la pratique courante de la torture et </w:t>
      </w:r>
      <w:r>
        <w:rPr>
          <w:rFonts w:eastAsia="Malgun Gothic"/>
        </w:rPr>
        <w:t>des mauvais traitements et impunité des auteurs de tels actes</w:t>
      </w:r>
    </w:p>
    <w:p w:rsidR="00755175" w:rsidRPr="001F786F" w:rsidRDefault="00755175" w:rsidP="00755175">
      <w:pPr>
        <w:pStyle w:val="ParNoG"/>
      </w:pPr>
      <w:r w:rsidRPr="00701271">
        <w:t xml:space="preserve">Le Comité est profondément préoccupé par la pratique </w:t>
      </w:r>
      <w:r>
        <w:t>persistante</w:t>
      </w:r>
      <w:r w:rsidRPr="00701271">
        <w:t xml:space="preserve"> et </w:t>
      </w:r>
      <w:r>
        <w:t>répandue consistant</w:t>
      </w:r>
      <w:r w:rsidRPr="00701271">
        <w:t xml:space="preserve"> </w:t>
      </w:r>
      <w:r>
        <w:t>à</w:t>
      </w:r>
      <w:r w:rsidRPr="00701271">
        <w:t xml:space="preserve"> </w:t>
      </w:r>
      <w:r>
        <w:t xml:space="preserve">infliger des actes de </w:t>
      </w:r>
      <w:r w:rsidRPr="00701271">
        <w:t>torture</w:t>
      </w:r>
      <w:r>
        <w:t xml:space="preserve"> et d</w:t>
      </w:r>
      <w:r w:rsidRPr="00701271">
        <w:t xml:space="preserve">es mauvais traitements </w:t>
      </w:r>
      <w:r>
        <w:t xml:space="preserve">à </w:t>
      </w:r>
      <w:r w:rsidRPr="00701271">
        <w:t>des personnes privées de liberté, en particulier pendant la garde à vue</w:t>
      </w:r>
      <w:r>
        <w:t>,</w:t>
      </w:r>
      <w:r w:rsidRPr="00701271">
        <w:t xml:space="preserve"> pour </w:t>
      </w:r>
      <w:r>
        <w:t>leur extorquer</w:t>
      </w:r>
      <w:r w:rsidRPr="00701271">
        <w:t xml:space="preserve"> des aveux. </w:t>
      </w:r>
      <w:r w:rsidRPr="00AB7D4C">
        <w:t>Cette</w:t>
      </w:r>
      <w:r w:rsidR="00D034BC">
        <w:t> </w:t>
      </w:r>
      <w:r w:rsidRPr="00AB7D4C">
        <w:t>situation a également été constatée par</w:t>
      </w:r>
      <w:r>
        <w:t xml:space="preserve"> le</w:t>
      </w:r>
      <w:r w:rsidRPr="00701271">
        <w:t xml:space="preserve"> </w:t>
      </w:r>
      <w:r w:rsidRPr="00AB7D4C">
        <w:rPr>
          <w:lang w:val="fr-FR"/>
        </w:rPr>
        <w:t>Rapporteur spécial sur la torture et autres peines ou traitements cruels, inhumains ou dégradants</w:t>
      </w:r>
      <w:r w:rsidRPr="00701271">
        <w:t xml:space="preserve"> (A/HRC/1</w:t>
      </w:r>
      <w:r>
        <w:t>9/61/Add.2, par.</w:t>
      </w:r>
      <w:r w:rsidR="00D034BC">
        <w:t> </w:t>
      </w:r>
      <w:r>
        <w:t>37 et</w:t>
      </w:r>
      <w:r w:rsidR="00D034BC">
        <w:t> </w:t>
      </w:r>
      <w:r>
        <w:t>suiv.) e</w:t>
      </w:r>
      <w:r w:rsidRPr="00701271">
        <w:t xml:space="preserve">t </w:t>
      </w:r>
      <w:r>
        <w:t>par</w:t>
      </w:r>
      <w:r w:rsidRPr="00701271">
        <w:t xml:space="preserve"> la Haut-Commissaire des Nations Unies aux droits de l</w:t>
      </w:r>
      <w:r>
        <w:t>’</w:t>
      </w:r>
      <w:r w:rsidRPr="00701271">
        <w:t>homme (</w:t>
      </w:r>
      <w:r w:rsidRPr="00AB7D4C">
        <w:t>A/HRC/20/12, par.</w:t>
      </w:r>
      <w:r w:rsidR="00D034BC">
        <w:t> </w:t>
      </w:r>
      <w:r w:rsidRPr="00AB7D4C">
        <w:t>40 et</w:t>
      </w:r>
      <w:r w:rsidR="00D034BC">
        <w:t> </w:t>
      </w:r>
      <w:r w:rsidRPr="00AB7D4C">
        <w:t>41)</w:t>
      </w:r>
      <w:r w:rsidRPr="00701271">
        <w:t xml:space="preserve">. </w:t>
      </w:r>
      <w:r>
        <w:t>L</w:t>
      </w:r>
      <w:r w:rsidRPr="00701271">
        <w:t xml:space="preserve">a délégation kirghize a reconnu que la torture </w:t>
      </w:r>
      <w:r>
        <w:t>était</w:t>
      </w:r>
      <w:r w:rsidRPr="00701271">
        <w:t xml:space="preserve"> pratiquée dans le pays</w:t>
      </w:r>
      <w:r w:rsidR="00241AA7">
        <w:t xml:space="preserve"> et a fait part de la détermination des autorités à </w:t>
      </w:r>
      <w:r w:rsidRPr="00701271">
        <w:t>combattre</w:t>
      </w:r>
      <w:r w:rsidR="00241AA7">
        <w:t xml:space="preserve"> ce phénomène</w:t>
      </w:r>
      <w:r w:rsidRPr="00701271">
        <w:t xml:space="preserve">, </w:t>
      </w:r>
      <w:r>
        <w:t xml:space="preserve">mais </w:t>
      </w:r>
      <w:r w:rsidRPr="00701271">
        <w:t xml:space="preserve">le Comité reste </w:t>
      </w:r>
      <w:r>
        <w:t>vivement</w:t>
      </w:r>
      <w:r w:rsidRPr="00701271">
        <w:t xml:space="preserve"> préoccupé par l</w:t>
      </w:r>
      <w:r>
        <w:t>’</w:t>
      </w:r>
      <w:r w:rsidRPr="00701271">
        <w:t xml:space="preserve">écart important entre le cadre législatif et son application </w:t>
      </w:r>
      <w:r>
        <w:t xml:space="preserve">dans la </w:t>
      </w:r>
      <w:r w:rsidRPr="00701271">
        <w:t xml:space="preserve">pratique, </w:t>
      </w:r>
      <w:r>
        <w:t>dont</w:t>
      </w:r>
      <w:r w:rsidRPr="00701271">
        <w:t xml:space="preserve"> témoigne en partie l</w:t>
      </w:r>
      <w:r>
        <w:t>’</w:t>
      </w:r>
      <w:r w:rsidRPr="00701271">
        <w:t>absence</w:t>
      </w:r>
      <w:r>
        <w:t xml:space="preserve">, </w:t>
      </w:r>
      <w:r w:rsidRPr="00484A4F">
        <w:rPr>
          <w:lang w:val="fr-FR"/>
        </w:rPr>
        <w:t>pendant la période considérée</w:t>
      </w:r>
      <w:r>
        <w:rPr>
          <w:lang w:val="fr-FR"/>
        </w:rPr>
        <w:t>,</w:t>
      </w:r>
      <w:r w:rsidRPr="00701271">
        <w:t xml:space="preserve"> de cas </w:t>
      </w:r>
      <w:r>
        <w:t>d’agents de l’État</w:t>
      </w:r>
      <w:r w:rsidRPr="00701271">
        <w:t xml:space="preserve"> poursuivis</w:t>
      </w:r>
      <w:r>
        <w:t xml:space="preserve"> </w:t>
      </w:r>
      <w:r w:rsidRPr="00701271">
        <w:t>pour torture</w:t>
      </w:r>
      <w:r>
        <w:t>, reconnus coupables</w:t>
      </w:r>
      <w:r w:rsidRPr="00701271">
        <w:t xml:space="preserve"> et condamnés à </w:t>
      </w:r>
      <w:r>
        <w:t>une peine d’emprisonnement</w:t>
      </w:r>
      <w:r w:rsidR="007218A8">
        <w:t xml:space="preserve"> (art. </w:t>
      </w:r>
      <w:r w:rsidRPr="00701271">
        <w:t>2, 4, 12 et</w:t>
      </w:r>
      <w:r w:rsidR="007218A8">
        <w:t> </w:t>
      </w:r>
      <w:r w:rsidRPr="00701271">
        <w:t>16).</w:t>
      </w:r>
    </w:p>
    <w:p w:rsidR="00755175" w:rsidRPr="001F786F" w:rsidRDefault="00755175" w:rsidP="00755175">
      <w:pPr>
        <w:pStyle w:val="ParNoG"/>
      </w:pPr>
      <w:r w:rsidRPr="0086664C">
        <w:t xml:space="preserve">Le Comité est </w:t>
      </w:r>
      <w:r>
        <w:t>profondément</w:t>
      </w:r>
      <w:r w:rsidRPr="0086664C">
        <w:t xml:space="preserve"> préoccupé </w:t>
      </w:r>
      <w:r>
        <w:t>par l</w:t>
      </w:r>
      <w:r w:rsidR="007E7CD0">
        <w:t xml:space="preserve">es manquements répétés de </w:t>
      </w:r>
      <w:r w:rsidRPr="0086664C">
        <w:t>l</w:t>
      </w:r>
      <w:r>
        <w:t>’</w:t>
      </w:r>
      <w:r w:rsidRPr="0086664C">
        <w:t>État partie</w:t>
      </w:r>
      <w:r w:rsidR="007E7CD0">
        <w:t xml:space="preserve"> à son obligation de mener sans délai des </w:t>
      </w:r>
      <w:r>
        <w:t>enquêtes</w:t>
      </w:r>
      <w:r w:rsidRPr="0086664C">
        <w:t xml:space="preserve"> impartiales et approfondies sur les nombreuses allégations de torture et de mauvais traitements et </w:t>
      </w:r>
      <w:r w:rsidR="00271E1D">
        <w:t xml:space="preserve">de </w:t>
      </w:r>
      <w:r w:rsidRPr="0086664C">
        <w:t>poursuivre les auteurs présumés</w:t>
      </w:r>
      <w:r>
        <w:t xml:space="preserve"> de </w:t>
      </w:r>
      <w:r w:rsidR="00271E1D">
        <w:t>tels</w:t>
      </w:r>
      <w:r>
        <w:t xml:space="preserve"> actes</w:t>
      </w:r>
      <w:r w:rsidRPr="0086664C">
        <w:t xml:space="preserve">, </w:t>
      </w:r>
      <w:r w:rsidRPr="00047087">
        <w:rPr>
          <w:lang w:val="fr-FR"/>
        </w:rPr>
        <w:t xml:space="preserve">situation qui fait que le nombre de violations signalées est nettement inférieur à la réalité et que les </w:t>
      </w:r>
      <w:r>
        <w:rPr>
          <w:lang w:val="fr-FR"/>
        </w:rPr>
        <w:t xml:space="preserve">agents de l’État </w:t>
      </w:r>
      <w:r w:rsidRPr="00047087">
        <w:rPr>
          <w:lang w:val="fr-FR"/>
        </w:rPr>
        <w:t>responsables jouissent de l</w:t>
      </w:r>
      <w:r>
        <w:rPr>
          <w:lang w:val="fr-FR"/>
        </w:rPr>
        <w:t>’</w:t>
      </w:r>
      <w:r w:rsidRPr="00047087">
        <w:rPr>
          <w:lang w:val="fr-FR"/>
        </w:rPr>
        <w:t>impunité</w:t>
      </w:r>
      <w:r w:rsidR="00271E1D">
        <w:t xml:space="preserve"> (art. </w:t>
      </w:r>
      <w:r w:rsidRPr="0086664C">
        <w:t>2, 11, 12, 13 et</w:t>
      </w:r>
      <w:r w:rsidR="00271E1D">
        <w:t> </w:t>
      </w:r>
      <w:r w:rsidRPr="0086664C">
        <w:t>16).</w:t>
      </w:r>
    </w:p>
    <w:p w:rsidR="00755175" w:rsidRPr="001F786F" w:rsidRDefault="00755175" w:rsidP="00102103">
      <w:pPr>
        <w:pStyle w:val="SingleTxtG"/>
        <w:keepNext/>
        <w:rPr>
          <w:rFonts w:eastAsia="Malgun Gothic"/>
        </w:rPr>
      </w:pPr>
      <w:r w:rsidRPr="00706AD0">
        <w:rPr>
          <w:rFonts w:eastAsia="Malgun Gothic"/>
        </w:rPr>
        <w:t>En particulier, le Comité est préoccupé par:</w:t>
      </w:r>
    </w:p>
    <w:p w:rsidR="00A72BF2" w:rsidRDefault="00755175" w:rsidP="00A72BF2">
      <w:pPr>
        <w:pStyle w:val="SingleTxtG"/>
        <w:ind w:firstLine="567"/>
        <w:rPr>
          <w:rFonts w:eastAsia="Batang"/>
        </w:rPr>
      </w:pPr>
      <w:r w:rsidRPr="001F786F">
        <w:rPr>
          <w:rFonts w:eastAsia="Batang"/>
        </w:rPr>
        <w:t>a)</w:t>
      </w:r>
      <w:r w:rsidRPr="001F786F">
        <w:rPr>
          <w:rFonts w:eastAsia="Batang"/>
        </w:rPr>
        <w:tab/>
      </w:r>
      <w:r w:rsidRPr="00A05FE4">
        <w:rPr>
          <w:rFonts w:eastAsia="Batang"/>
        </w:rPr>
        <w:t>L</w:t>
      </w:r>
      <w:r>
        <w:rPr>
          <w:rFonts w:eastAsia="Batang"/>
        </w:rPr>
        <w:t>’</w:t>
      </w:r>
      <w:r w:rsidRPr="00A05FE4">
        <w:rPr>
          <w:rFonts w:eastAsia="Batang"/>
        </w:rPr>
        <w:t xml:space="preserve">absence </w:t>
      </w:r>
      <w:r>
        <w:rPr>
          <w:rFonts w:eastAsia="Batang"/>
        </w:rPr>
        <w:t>de</w:t>
      </w:r>
      <w:r w:rsidRPr="00A05FE4">
        <w:rPr>
          <w:rFonts w:eastAsia="Batang"/>
        </w:rPr>
        <w:t xml:space="preserve"> mécanisme indépendant et efficace </w:t>
      </w:r>
      <w:r>
        <w:rPr>
          <w:rFonts w:eastAsia="Batang"/>
        </w:rPr>
        <w:t>pour</w:t>
      </w:r>
      <w:r w:rsidRPr="00A05FE4">
        <w:rPr>
          <w:rFonts w:eastAsia="Batang"/>
        </w:rPr>
        <w:t xml:space="preserve"> recevoir les plaintes et mener des enquêtes impartiales et </w:t>
      </w:r>
      <w:r>
        <w:rPr>
          <w:rFonts w:eastAsia="Batang"/>
        </w:rPr>
        <w:t>exhaustives</w:t>
      </w:r>
      <w:r w:rsidRPr="00A05FE4">
        <w:rPr>
          <w:rFonts w:eastAsia="Batang"/>
        </w:rPr>
        <w:t xml:space="preserve"> sur les allégations de torture. </w:t>
      </w:r>
      <w:r>
        <w:rPr>
          <w:rFonts w:eastAsia="Batang"/>
        </w:rPr>
        <w:t xml:space="preserve">Il semble que </w:t>
      </w:r>
      <w:r w:rsidRPr="00047087">
        <w:rPr>
          <w:lang w:val="fr-FR"/>
        </w:rPr>
        <w:t>de graves conflits d</w:t>
      </w:r>
      <w:r>
        <w:rPr>
          <w:lang w:val="fr-FR"/>
        </w:rPr>
        <w:t>’</w:t>
      </w:r>
      <w:r w:rsidRPr="00047087">
        <w:rPr>
          <w:lang w:val="fr-FR"/>
        </w:rPr>
        <w:t>intérêts empêchent les mécanismes de plainte existants de mener des enquêtes efficaces et impartiales sur les allégations dont ils sont saisis</w:t>
      </w:r>
      <w:r w:rsidRPr="00A05FE4">
        <w:rPr>
          <w:rFonts w:eastAsia="Batang"/>
        </w:rPr>
        <w:t>;</w:t>
      </w:r>
    </w:p>
    <w:p w:rsidR="00F1425D" w:rsidRDefault="00755175" w:rsidP="00F1425D">
      <w:pPr>
        <w:pStyle w:val="SingleTxtG"/>
        <w:ind w:firstLine="567"/>
        <w:rPr>
          <w:rFonts w:eastAsia="Batang"/>
        </w:rPr>
      </w:pPr>
      <w:r w:rsidRPr="001F786F">
        <w:rPr>
          <w:rFonts w:eastAsia="Batang"/>
        </w:rPr>
        <w:t>b)</w:t>
      </w:r>
      <w:r w:rsidRPr="001F786F">
        <w:rPr>
          <w:rFonts w:eastAsia="Batang"/>
        </w:rPr>
        <w:tab/>
      </w:r>
      <w:r w:rsidRPr="00A16884">
        <w:rPr>
          <w:rFonts w:eastAsia="Batang"/>
        </w:rPr>
        <w:t xml:space="preserve">Les obstacles </w:t>
      </w:r>
      <w:r w:rsidRPr="00724B4A">
        <w:rPr>
          <w:rFonts w:eastAsia="Batang"/>
        </w:rPr>
        <w:t>au stade préalable à l</w:t>
      </w:r>
      <w:r>
        <w:rPr>
          <w:rFonts w:eastAsia="Batang"/>
        </w:rPr>
        <w:t>’</w:t>
      </w:r>
      <w:r w:rsidRPr="00724B4A">
        <w:rPr>
          <w:rFonts w:eastAsia="Batang"/>
        </w:rPr>
        <w:t>enquête</w:t>
      </w:r>
      <w:r w:rsidRPr="00A16884">
        <w:rPr>
          <w:rFonts w:eastAsia="Batang"/>
        </w:rPr>
        <w:t xml:space="preserve">, </w:t>
      </w:r>
      <w:r w:rsidR="00796859">
        <w:rPr>
          <w:rFonts w:eastAsia="Batang"/>
        </w:rPr>
        <w:t xml:space="preserve">liés </w:t>
      </w:r>
      <w:r w:rsidRPr="00A16884">
        <w:rPr>
          <w:rFonts w:eastAsia="Batang"/>
        </w:rPr>
        <w:t>en particulier</w:t>
      </w:r>
      <w:r>
        <w:rPr>
          <w:rFonts w:eastAsia="Batang"/>
        </w:rPr>
        <w:t xml:space="preserve"> </w:t>
      </w:r>
      <w:r w:rsidR="00796859">
        <w:rPr>
          <w:rFonts w:eastAsia="Batang"/>
        </w:rPr>
        <w:t xml:space="preserve">au fait que </w:t>
      </w:r>
      <w:r>
        <w:rPr>
          <w:rFonts w:eastAsia="Batang"/>
        </w:rPr>
        <w:t>les examens médico-légaux</w:t>
      </w:r>
      <w:r w:rsidRPr="00A16884">
        <w:rPr>
          <w:rFonts w:eastAsia="Batang"/>
        </w:rPr>
        <w:t>, dans de nombreux cas</w:t>
      </w:r>
      <w:r w:rsidR="00796859">
        <w:rPr>
          <w:rFonts w:eastAsia="Batang"/>
        </w:rPr>
        <w:t>,</w:t>
      </w:r>
      <w:r w:rsidRPr="00A16884">
        <w:rPr>
          <w:rFonts w:eastAsia="Batang"/>
        </w:rPr>
        <w:t xml:space="preserve"> </w:t>
      </w:r>
      <w:r>
        <w:rPr>
          <w:rFonts w:eastAsia="Batang"/>
        </w:rPr>
        <w:t>n’interviennent pas</w:t>
      </w:r>
      <w:r w:rsidRPr="00A16884">
        <w:rPr>
          <w:rFonts w:eastAsia="Batang"/>
        </w:rPr>
        <w:t xml:space="preserve"> rapidement </w:t>
      </w:r>
      <w:r>
        <w:rPr>
          <w:rFonts w:eastAsia="Batang"/>
        </w:rPr>
        <w:t>après l</w:t>
      </w:r>
      <w:r w:rsidRPr="00A16884">
        <w:rPr>
          <w:rFonts w:eastAsia="Batang"/>
        </w:rPr>
        <w:t>es all</w:t>
      </w:r>
      <w:r>
        <w:rPr>
          <w:rFonts w:eastAsia="Batang"/>
        </w:rPr>
        <w:t>égations de mauvais traitements et</w:t>
      </w:r>
      <w:r w:rsidRPr="00A16884">
        <w:rPr>
          <w:rFonts w:eastAsia="Batang"/>
        </w:rPr>
        <w:t xml:space="preserve"> sont </w:t>
      </w:r>
      <w:r>
        <w:rPr>
          <w:rFonts w:eastAsia="Batang"/>
        </w:rPr>
        <w:t>pratiqués</w:t>
      </w:r>
      <w:r w:rsidRPr="00A16884">
        <w:rPr>
          <w:rFonts w:eastAsia="Batang"/>
        </w:rPr>
        <w:t xml:space="preserve"> par des professionnels de la santé </w:t>
      </w:r>
      <w:r w:rsidR="00796859">
        <w:rPr>
          <w:rFonts w:eastAsia="Batang"/>
        </w:rPr>
        <w:t>non indépendants</w:t>
      </w:r>
      <w:r>
        <w:rPr>
          <w:rFonts w:eastAsia="Batang"/>
        </w:rPr>
        <w:t xml:space="preserve"> et/</w:t>
      </w:r>
      <w:r w:rsidRPr="00A16884">
        <w:rPr>
          <w:rFonts w:eastAsia="Batang"/>
        </w:rPr>
        <w:t xml:space="preserve">ou </w:t>
      </w:r>
      <w:r>
        <w:rPr>
          <w:rFonts w:eastAsia="Batang"/>
        </w:rPr>
        <w:t>en présence d’autres</w:t>
      </w:r>
      <w:r w:rsidRPr="00A16884">
        <w:rPr>
          <w:rFonts w:eastAsia="Batang"/>
        </w:rPr>
        <w:t xml:space="preserve"> fonctionnaires, </w:t>
      </w:r>
      <w:r w:rsidR="00796859">
        <w:rPr>
          <w:rFonts w:eastAsia="Batang"/>
        </w:rPr>
        <w:t xml:space="preserve">en conséquence de quoi </w:t>
      </w:r>
      <w:r>
        <w:rPr>
          <w:rFonts w:eastAsia="Batang"/>
        </w:rPr>
        <w:t>le</w:t>
      </w:r>
      <w:r w:rsidRPr="00A16884">
        <w:rPr>
          <w:rFonts w:eastAsia="Batang"/>
        </w:rPr>
        <w:t xml:space="preserve"> personnel médical </w:t>
      </w:r>
      <w:r>
        <w:rPr>
          <w:rFonts w:eastAsia="Batang"/>
        </w:rPr>
        <w:t>n’enregistre pas</w:t>
      </w:r>
      <w:r w:rsidRPr="00A16884">
        <w:rPr>
          <w:rFonts w:eastAsia="Batang"/>
        </w:rPr>
        <w:t xml:space="preserve"> de manière adéquate </w:t>
      </w:r>
      <w:r>
        <w:rPr>
          <w:rFonts w:eastAsia="Batang"/>
        </w:rPr>
        <w:t>les blessures des détenus</w:t>
      </w:r>
      <w:r w:rsidRPr="00A16884">
        <w:rPr>
          <w:rFonts w:eastAsia="Batang"/>
        </w:rPr>
        <w:t xml:space="preserve"> et</w:t>
      </w:r>
      <w:r w:rsidR="00796859">
        <w:rPr>
          <w:rFonts w:eastAsia="Batang"/>
        </w:rPr>
        <w:t xml:space="preserve"> </w:t>
      </w:r>
      <w:r w:rsidRPr="00A16884">
        <w:rPr>
          <w:rFonts w:eastAsia="Batang"/>
        </w:rPr>
        <w:t xml:space="preserve">les </w:t>
      </w:r>
      <w:r w:rsidR="00796859">
        <w:rPr>
          <w:rFonts w:eastAsia="Batang"/>
        </w:rPr>
        <w:t xml:space="preserve">autorités </w:t>
      </w:r>
      <w:r>
        <w:rPr>
          <w:rFonts w:eastAsia="Batang"/>
        </w:rPr>
        <w:t xml:space="preserve">n’ouvrent </w:t>
      </w:r>
      <w:r w:rsidR="00796859">
        <w:rPr>
          <w:rFonts w:eastAsia="Batang"/>
        </w:rPr>
        <w:t xml:space="preserve">donc </w:t>
      </w:r>
      <w:r>
        <w:rPr>
          <w:rFonts w:eastAsia="Batang"/>
        </w:rPr>
        <w:t>pas d’enquête officielle</w:t>
      </w:r>
      <w:r w:rsidRPr="00A16884">
        <w:rPr>
          <w:rFonts w:eastAsia="Batang"/>
        </w:rPr>
        <w:t xml:space="preserve"> sur les allégations de torture, faute de preuves;</w:t>
      </w:r>
    </w:p>
    <w:p w:rsidR="00F1425D" w:rsidRDefault="00755175" w:rsidP="00F1425D">
      <w:pPr>
        <w:pStyle w:val="SingleTxtG"/>
        <w:ind w:firstLine="567"/>
        <w:rPr>
          <w:rFonts w:eastAsia="Batang"/>
        </w:rPr>
      </w:pPr>
      <w:r w:rsidRPr="001F786F">
        <w:rPr>
          <w:rFonts w:eastAsia="Batang"/>
        </w:rPr>
        <w:t>c)</w:t>
      </w:r>
      <w:r w:rsidRPr="001F786F">
        <w:rPr>
          <w:rFonts w:eastAsia="Batang"/>
        </w:rPr>
        <w:tab/>
      </w:r>
      <w:r w:rsidRPr="00B272F3">
        <w:rPr>
          <w:rFonts w:eastAsia="Batang"/>
        </w:rPr>
        <w:t xml:space="preserve">La pratique </w:t>
      </w:r>
      <w:r>
        <w:rPr>
          <w:rFonts w:eastAsia="Batang"/>
        </w:rPr>
        <w:t>d</w:t>
      </w:r>
      <w:r w:rsidRPr="00B272F3">
        <w:rPr>
          <w:rFonts w:eastAsia="Batang"/>
        </w:rPr>
        <w:t xml:space="preserve">es enquêteurs </w:t>
      </w:r>
      <w:r>
        <w:rPr>
          <w:rFonts w:eastAsia="Batang"/>
        </w:rPr>
        <w:t>consistant à accorder davantage de crédit aux</w:t>
      </w:r>
      <w:r w:rsidRPr="00B272F3">
        <w:rPr>
          <w:rFonts w:eastAsia="Batang"/>
        </w:rPr>
        <w:t xml:space="preserve"> témoignages de</w:t>
      </w:r>
      <w:r>
        <w:rPr>
          <w:rFonts w:eastAsia="Batang"/>
        </w:rPr>
        <w:t>s</w:t>
      </w:r>
      <w:r w:rsidRPr="00B272F3">
        <w:rPr>
          <w:rFonts w:eastAsia="Batang"/>
        </w:rPr>
        <w:t xml:space="preserve"> personnes </w:t>
      </w:r>
      <w:r w:rsidR="00F1425D">
        <w:rPr>
          <w:rFonts w:eastAsia="Batang"/>
        </w:rPr>
        <w:t>soupçonnées d’</w:t>
      </w:r>
      <w:r w:rsidRPr="00B272F3">
        <w:rPr>
          <w:rFonts w:eastAsia="Batang"/>
        </w:rPr>
        <w:t xml:space="preserve">actes de torture </w:t>
      </w:r>
      <w:r>
        <w:rPr>
          <w:rFonts w:eastAsia="Batang"/>
        </w:rPr>
        <w:t>qu’à</w:t>
      </w:r>
      <w:r w:rsidRPr="00B272F3">
        <w:rPr>
          <w:rFonts w:eastAsia="Batang"/>
        </w:rPr>
        <w:t xml:space="preserve"> ceux des plaignants, et </w:t>
      </w:r>
      <w:r>
        <w:rPr>
          <w:rFonts w:eastAsia="Batang"/>
        </w:rPr>
        <w:t>à</w:t>
      </w:r>
      <w:r w:rsidRPr="00B272F3">
        <w:rPr>
          <w:rFonts w:eastAsia="Batang"/>
        </w:rPr>
        <w:t xml:space="preserve"> rejeter </w:t>
      </w:r>
      <w:r w:rsidR="00F1425D">
        <w:rPr>
          <w:rFonts w:eastAsia="Batang"/>
        </w:rPr>
        <w:t>sommairement les plaintes</w:t>
      </w:r>
      <w:r w:rsidRPr="00B272F3">
        <w:rPr>
          <w:rFonts w:eastAsia="Batang"/>
        </w:rPr>
        <w:t>;</w:t>
      </w:r>
    </w:p>
    <w:p w:rsidR="00755175" w:rsidRPr="001F786F" w:rsidRDefault="00F1425D" w:rsidP="00F1425D">
      <w:pPr>
        <w:pStyle w:val="SingleTxtG"/>
        <w:ind w:firstLine="567"/>
        <w:rPr>
          <w:rFonts w:eastAsia="Batang"/>
        </w:rPr>
      </w:pPr>
      <w:r>
        <w:rPr>
          <w:rFonts w:eastAsia="Batang"/>
        </w:rPr>
        <w:t>d</w:t>
      </w:r>
      <w:r w:rsidR="00755175" w:rsidRPr="001F786F">
        <w:rPr>
          <w:rFonts w:eastAsia="Batang"/>
        </w:rPr>
        <w:t>)</w:t>
      </w:r>
      <w:r w:rsidR="00755175" w:rsidRPr="001F786F">
        <w:rPr>
          <w:rFonts w:eastAsia="Batang"/>
        </w:rPr>
        <w:tab/>
      </w:r>
      <w:r w:rsidR="00755175">
        <w:rPr>
          <w:rFonts w:eastAsia="Batang"/>
        </w:rPr>
        <w:t xml:space="preserve">L’absence d’enquête efficace </w:t>
      </w:r>
      <w:r w:rsidR="00002884">
        <w:rPr>
          <w:rFonts w:eastAsia="Batang"/>
        </w:rPr>
        <w:t xml:space="preserve">des autorités judiciaires </w:t>
      </w:r>
      <w:r w:rsidR="00755175" w:rsidRPr="00EF3DA9">
        <w:rPr>
          <w:rFonts w:eastAsia="Batang"/>
        </w:rPr>
        <w:t xml:space="preserve">sur les allégations de torture </w:t>
      </w:r>
      <w:r w:rsidR="00755175">
        <w:rPr>
          <w:rFonts w:eastAsia="Batang"/>
        </w:rPr>
        <w:t>formulées</w:t>
      </w:r>
      <w:r w:rsidR="00755175" w:rsidRPr="00EF3DA9">
        <w:rPr>
          <w:rFonts w:eastAsia="Batang"/>
        </w:rPr>
        <w:t xml:space="preserve"> par les prévenus et leurs avocats au tribunal. D</w:t>
      </w:r>
      <w:r w:rsidR="00755175">
        <w:rPr>
          <w:rFonts w:eastAsia="Batang"/>
        </w:rPr>
        <w:t>’après d</w:t>
      </w:r>
      <w:r w:rsidR="00755175" w:rsidRPr="00EF3DA9">
        <w:rPr>
          <w:rFonts w:eastAsia="Batang"/>
        </w:rPr>
        <w:t>iverses sources</w:t>
      </w:r>
      <w:r w:rsidR="00755175">
        <w:rPr>
          <w:rFonts w:eastAsia="Batang"/>
        </w:rPr>
        <w:t>,</w:t>
      </w:r>
      <w:r w:rsidR="00755175" w:rsidRPr="00EF3DA9">
        <w:rPr>
          <w:rFonts w:eastAsia="Batang"/>
        </w:rPr>
        <w:t xml:space="preserve"> les juges </w:t>
      </w:r>
      <w:r w:rsidR="00002884">
        <w:rPr>
          <w:rFonts w:eastAsia="Batang"/>
        </w:rPr>
        <w:t xml:space="preserve">ne tiennent </w:t>
      </w:r>
      <w:r w:rsidR="00755175">
        <w:rPr>
          <w:rFonts w:eastAsia="Batang"/>
        </w:rPr>
        <w:t xml:space="preserve">généralement </w:t>
      </w:r>
      <w:r w:rsidR="00E12DF2">
        <w:rPr>
          <w:rFonts w:eastAsia="Batang"/>
        </w:rPr>
        <w:t>pas compte</w:t>
      </w:r>
      <w:r w:rsidR="00002884">
        <w:rPr>
          <w:rFonts w:eastAsia="Batang"/>
        </w:rPr>
        <w:t xml:space="preserve"> des </w:t>
      </w:r>
      <w:r w:rsidR="00755175" w:rsidRPr="00EF3DA9">
        <w:rPr>
          <w:rFonts w:eastAsia="Batang"/>
        </w:rPr>
        <w:t>information</w:t>
      </w:r>
      <w:r w:rsidR="00755175">
        <w:rPr>
          <w:rFonts w:eastAsia="Batang"/>
        </w:rPr>
        <w:t>s</w:t>
      </w:r>
      <w:r w:rsidR="00755175" w:rsidRPr="00EF3DA9">
        <w:rPr>
          <w:rFonts w:eastAsia="Batang"/>
        </w:rPr>
        <w:t xml:space="preserve"> </w:t>
      </w:r>
      <w:r w:rsidR="00755175">
        <w:rPr>
          <w:rFonts w:eastAsia="Batang"/>
        </w:rPr>
        <w:t>faisant état du recours à la</w:t>
      </w:r>
      <w:r w:rsidR="00755175" w:rsidRPr="00EF3DA9">
        <w:rPr>
          <w:rFonts w:eastAsia="Batang"/>
        </w:rPr>
        <w:t xml:space="preserve"> torture, y compris </w:t>
      </w:r>
      <w:r w:rsidR="00002884">
        <w:rPr>
          <w:rFonts w:eastAsia="Batang"/>
        </w:rPr>
        <w:t>d</w:t>
      </w:r>
      <w:r w:rsidR="00755175" w:rsidRPr="00EF3DA9">
        <w:rPr>
          <w:rFonts w:eastAsia="Batang"/>
        </w:rPr>
        <w:t>es rapports médicaux indépendants.</w:t>
      </w:r>
    </w:p>
    <w:p w:rsidR="00755175" w:rsidRPr="006A278C" w:rsidRDefault="00755175" w:rsidP="006A278C">
      <w:pPr>
        <w:pStyle w:val="SingleTxtG"/>
        <w:rPr>
          <w:rFonts w:eastAsia="Malgun Gothic"/>
          <w:b/>
        </w:rPr>
      </w:pPr>
      <w:r w:rsidRPr="006A278C">
        <w:rPr>
          <w:rFonts w:eastAsia="SimSun"/>
          <w:b/>
          <w:lang w:eastAsia="zh-CN"/>
        </w:rPr>
        <w:t xml:space="preserve">L’État partie devrait de toute urgence prendre des mesures immédiates et efficaces pour prévenir les actes de torture et les mauvais traitements dans tout le pays, </w:t>
      </w:r>
      <w:r w:rsidRPr="006A278C">
        <w:rPr>
          <w:b/>
        </w:rPr>
        <w:t xml:space="preserve">notamment en mettant en œuvre des politiques visant à </w:t>
      </w:r>
      <w:r w:rsidRPr="006A278C">
        <w:rPr>
          <w:rFonts w:eastAsia="SimSun"/>
          <w:b/>
          <w:lang w:eastAsia="zh-CN"/>
        </w:rPr>
        <w:t xml:space="preserve">mettre fin à l’impunité dont jouissent les auteurs d’actes de torture et de mauvais traitements et à </w:t>
      </w:r>
      <w:r w:rsidRPr="006A278C">
        <w:rPr>
          <w:b/>
        </w:rPr>
        <w:t>garantir que des enquêtes impartiales et efficaces soient menées sans délai</w:t>
      </w:r>
      <w:r w:rsidRPr="006A278C">
        <w:rPr>
          <w:rFonts w:eastAsia="SimSun"/>
          <w:b/>
          <w:lang w:eastAsia="zh-CN"/>
        </w:rPr>
        <w:t xml:space="preserve"> sur toutes les allégations de torture et de mauvais traitements, que les responsables présumés soient poursuivis et que des peines appropriées soient prononcées contre les personnes reconnues coupables. L’État partie devrait:</w:t>
      </w:r>
    </w:p>
    <w:p w:rsidR="00755175" w:rsidRPr="006A278C" w:rsidRDefault="00755175" w:rsidP="006A278C">
      <w:pPr>
        <w:pStyle w:val="SingleTxtG"/>
        <w:ind w:firstLine="567"/>
        <w:rPr>
          <w:rFonts w:eastAsia="Malgun Gothic"/>
          <w:b/>
        </w:rPr>
      </w:pPr>
      <w:r w:rsidRPr="006A278C">
        <w:rPr>
          <w:rFonts w:eastAsia="Malgun Gothic"/>
          <w:b/>
        </w:rPr>
        <w:t>a)</w:t>
      </w:r>
      <w:r w:rsidRPr="006A278C">
        <w:rPr>
          <w:rFonts w:eastAsia="Malgun Gothic"/>
          <w:b/>
        </w:rPr>
        <w:tab/>
      </w:r>
      <w:r w:rsidRPr="006A278C">
        <w:rPr>
          <w:b/>
          <w:lang w:val="fr-FR"/>
        </w:rPr>
        <w:t>Condamner publiquement et catégoriquement la pratique de la torture sous toutes ses formes, en faisant clairement savoir que quiconque ordonne, commet ou encourage de tels actes, y consent ou s’en rend complice encourt des poursuites et des sanctions pénales</w:t>
      </w:r>
      <w:r w:rsidRPr="006A278C">
        <w:rPr>
          <w:rFonts w:eastAsia="Malgun Gothic"/>
          <w:b/>
        </w:rPr>
        <w:t>;</w:t>
      </w:r>
    </w:p>
    <w:p w:rsidR="006203C7" w:rsidRPr="006203C7" w:rsidRDefault="00755175" w:rsidP="006203C7">
      <w:pPr>
        <w:pStyle w:val="SingleTxtG"/>
        <w:ind w:firstLine="567"/>
        <w:rPr>
          <w:rFonts w:eastAsia="Malgun Gothic"/>
          <w:b/>
        </w:rPr>
      </w:pPr>
      <w:r w:rsidRPr="006203C7">
        <w:rPr>
          <w:rFonts w:eastAsia="Malgun Gothic"/>
          <w:b/>
        </w:rPr>
        <w:t>b)</w:t>
      </w:r>
      <w:r w:rsidRPr="006203C7">
        <w:rPr>
          <w:rFonts w:eastAsia="Malgun Gothic"/>
          <w:b/>
        </w:rPr>
        <w:tab/>
        <w:t xml:space="preserve">Mettre en place un mécanisme indépendant et efficace pour </w:t>
      </w:r>
      <w:r w:rsidRPr="006203C7">
        <w:rPr>
          <w:b/>
          <w:lang w:val="fr-FR"/>
        </w:rPr>
        <w:t>permettre aux victimes d’actes de torture et de mauvais traitements de saisir plus facilement les autorités</w:t>
      </w:r>
      <w:r w:rsidRPr="006203C7">
        <w:rPr>
          <w:rFonts w:eastAsia="Malgun Gothic"/>
          <w:b/>
        </w:rPr>
        <w:t>, et faire le nécessaire pour que des mécanismes de plainte soient disponibles et pour empêcher concrètement que les plaignants fassent l’objet de mauvais traitements ou d’actes d’intimidation en raison de leur plainte ou de leur témoignage;</w:t>
      </w:r>
    </w:p>
    <w:p w:rsidR="00D27297" w:rsidRPr="00D27297" w:rsidRDefault="00755175" w:rsidP="00D27297">
      <w:pPr>
        <w:pStyle w:val="SingleTxtG"/>
        <w:ind w:firstLine="567"/>
        <w:rPr>
          <w:rFonts w:eastAsia="Malgun Gothic"/>
          <w:b/>
        </w:rPr>
      </w:pPr>
      <w:r w:rsidRPr="00D27297">
        <w:rPr>
          <w:rFonts w:eastAsia="Malgun Gothic"/>
          <w:b/>
        </w:rPr>
        <w:t>c)</w:t>
      </w:r>
      <w:r w:rsidRPr="00D27297">
        <w:rPr>
          <w:rFonts w:eastAsia="Malgun Gothic"/>
          <w:b/>
        </w:rPr>
        <w:tab/>
        <w:t xml:space="preserve">Faire </w:t>
      </w:r>
      <w:r w:rsidR="00F67F97" w:rsidRPr="00D27297">
        <w:rPr>
          <w:rFonts w:eastAsia="Malgun Gothic"/>
          <w:b/>
        </w:rPr>
        <w:t xml:space="preserve">en sorte </w:t>
      </w:r>
      <w:r w:rsidRPr="00D27297">
        <w:rPr>
          <w:rFonts w:eastAsia="Malgun Gothic"/>
          <w:b/>
        </w:rPr>
        <w:t>que tous les professionnels de la santé qui constatent des traces de torture et de mauvais traitements soient juridiquement tenus de consigner ces marques de violence, conformément au Manuel pour enquêter efficacement sur la torture et autres peines ou traitements cruels, inhumains ou dégradants (Protocole</w:t>
      </w:r>
      <w:r w:rsidR="006845FF" w:rsidRPr="00D27297">
        <w:rPr>
          <w:rFonts w:eastAsia="Malgun Gothic"/>
          <w:b/>
        </w:rPr>
        <w:t> </w:t>
      </w:r>
      <w:r w:rsidRPr="00D27297">
        <w:rPr>
          <w:rFonts w:eastAsia="Malgun Gothic"/>
          <w:b/>
        </w:rPr>
        <w:t>d’Istanbul), que toutes les personnes privées de liberté puissent accéder rapidement, à leur demande, à un médecin-enquêteur qualifié et indépendant et que tous les examens médicaux soient réalisés en privé; envisager également de transférer la responsabilité de la supervision du personnel médical des lieux de détention au</w:t>
      </w:r>
      <w:r w:rsidR="003114BA" w:rsidRPr="00D27297">
        <w:rPr>
          <w:rFonts w:eastAsia="Malgun Gothic"/>
          <w:b/>
        </w:rPr>
        <w:t> </w:t>
      </w:r>
      <w:r w:rsidRPr="00D27297">
        <w:rPr>
          <w:rFonts w:eastAsia="Malgun Gothic"/>
          <w:b/>
        </w:rPr>
        <w:t>Ministère de la santé;</w:t>
      </w:r>
    </w:p>
    <w:p w:rsidR="00755175" w:rsidRPr="00D27297" w:rsidRDefault="00755175" w:rsidP="00D27297">
      <w:pPr>
        <w:pStyle w:val="SingleTxtG"/>
        <w:ind w:firstLine="567"/>
        <w:rPr>
          <w:rFonts w:eastAsia="Malgun Gothic"/>
          <w:b/>
        </w:rPr>
      </w:pPr>
      <w:r w:rsidRPr="00D27297">
        <w:rPr>
          <w:rFonts w:eastAsia="Malgun Gothic"/>
          <w:b/>
        </w:rPr>
        <w:t>d)</w:t>
      </w:r>
      <w:r w:rsidRPr="00D27297">
        <w:rPr>
          <w:rFonts w:eastAsia="Malgun Gothic"/>
          <w:b/>
        </w:rPr>
        <w:tab/>
        <w:t xml:space="preserve">Veiller à ce que les enquêtes sur les allégations de torture ne soient pas menées par la police ni sous </w:t>
      </w:r>
      <w:r w:rsidR="00133B00">
        <w:rPr>
          <w:rFonts w:eastAsia="Malgun Gothic"/>
          <w:b/>
        </w:rPr>
        <w:t xml:space="preserve">son </w:t>
      </w:r>
      <w:r w:rsidRPr="00D27297">
        <w:rPr>
          <w:rFonts w:eastAsia="Malgun Gothic"/>
          <w:b/>
        </w:rPr>
        <w:t xml:space="preserve">autorité, mais par un organisme indépendant, que les enquêtes préliminaires sur les plaintes </w:t>
      </w:r>
      <w:r w:rsidR="00133B00">
        <w:rPr>
          <w:rFonts w:eastAsia="Malgun Gothic"/>
          <w:b/>
        </w:rPr>
        <w:t xml:space="preserve">pour </w:t>
      </w:r>
      <w:r w:rsidRPr="00D27297">
        <w:rPr>
          <w:rFonts w:eastAsia="Malgun Gothic"/>
          <w:b/>
        </w:rPr>
        <w:t xml:space="preserve">torture </w:t>
      </w:r>
      <w:r w:rsidR="00133B00">
        <w:rPr>
          <w:rFonts w:eastAsia="Malgun Gothic"/>
          <w:b/>
        </w:rPr>
        <w:t xml:space="preserve">soient </w:t>
      </w:r>
      <w:r w:rsidRPr="00D27297">
        <w:rPr>
          <w:rFonts w:eastAsia="Malgun Gothic"/>
          <w:b/>
        </w:rPr>
        <w:t>ouvertes et menées à bien sans délai après réception de la plainte, et que des enquêtes officielles soient ouvertes dans tous les cas où il existe des motifs raisonnables de penser que des actes de torture ont été commis; veiller également à ce que les agents de l’État présumés responsables de violations de la Convention soient suspendus de leurs fonctions au cours de ces enquêtes.</w:t>
      </w:r>
    </w:p>
    <w:p w:rsidR="00755175" w:rsidRPr="001F786F" w:rsidRDefault="00755175" w:rsidP="00755175">
      <w:pPr>
        <w:pStyle w:val="ParNoG"/>
      </w:pPr>
      <w:r w:rsidRPr="00AD4D7F">
        <w:t xml:space="preserve">Le Comité reste </w:t>
      </w:r>
      <w:r>
        <w:t>profondément préoccupé par la réponse apportée par l’</w:t>
      </w:r>
      <w:r w:rsidRPr="00AD4D7F">
        <w:t xml:space="preserve">État partie </w:t>
      </w:r>
      <w:r>
        <w:t>aux</w:t>
      </w:r>
      <w:r w:rsidRPr="00AD4D7F">
        <w:t xml:space="preserve"> allégations de torture dans </w:t>
      </w:r>
      <w:r w:rsidR="004939B2">
        <w:t xml:space="preserve">les affaires portées </w:t>
      </w:r>
      <w:r w:rsidRPr="00AD4D7F">
        <w:t>à l</w:t>
      </w:r>
      <w:r>
        <w:t>’</w:t>
      </w:r>
      <w:r w:rsidRPr="00AD4D7F">
        <w:t>attention du Comité</w:t>
      </w:r>
      <w:r>
        <w:t>, et notamment par le fait que le</w:t>
      </w:r>
      <w:r w:rsidRPr="00AD4D7F">
        <w:t>s autorités de l</w:t>
      </w:r>
      <w:r>
        <w:t>’</w:t>
      </w:r>
      <w:r w:rsidRPr="00AD4D7F">
        <w:t xml:space="preserve">État partie </w:t>
      </w:r>
      <w:r>
        <w:t xml:space="preserve">aient refusé </w:t>
      </w:r>
      <w:r w:rsidRPr="00AD4D7F">
        <w:t xml:space="preserve">de mener des enquêtes approfondies sur </w:t>
      </w:r>
      <w:r>
        <w:t>de</w:t>
      </w:r>
      <w:r w:rsidRPr="00AD4D7F">
        <w:t xml:space="preserve"> nombreuses allégations de torture au motif que </w:t>
      </w:r>
      <w:r>
        <w:t xml:space="preserve">les enquêtes </w:t>
      </w:r>
      <w:r w:rsidRPr="00AD4D7F">
        <w:t>préliminaire</w:t>
      </w:r>
      <w:r>
        <w:t>s n’avaient révélé aucun élément susceptible de justifier</w:t>
      </w:r>
      <w:r w:rsidRPr="00AD4D7F">
        <w:t xml:space="preserve"> l</w:t>
      </w:r>
      <w:r>
        <w:t>’</w:t>
      </w:r>
      <w:r w:rsidRPr="00AD4D7F">
        <w:t>ouverture d</w:t>
      </w:r>
      <w:r>
        <w:t>’</w:t>
      </w:r>
      <w:r w:rsidRPr="00AD4D7F">
        <w:t xml:space="preserve">une enquête </w:t>
      </w:r>
      <w:r>
        <w:t>exhaustive</w:t>
      </w:r>
      <w:r w:rsidRPr="00AD4D7F">
        <w:t>. Le</w:t>
      </w:r>
      <w:r w:rsidR="00EF544F">
        <w:t> </w:t>
      </w:r>
      <w:r w:rsidRPr="00AD4D7F">
        <w:t xml:space="preserve">Comité est </w:t>
      </w:r>
      <w:r>
        <w:t>vivement préoccupé par le cas d’</w:t>
      </w:r>
      <w:r w:rsidRPr="00AD4D7F">
        <w:t>Azimjan</w:t>
      </w:r>
      <w:r w:rsidR="00231A1A">
        <w:t> </w:t>
      </w:r>
      <w:r w:rsidRPr="00AD4D7F">
        <w:t>Askarov</w:t>
      </w:r>
      <w:r>
        <w:t xml:space="preserve">, </w:t>
      </w:r>
      <w:r w:rsidRPr="00AB7D4C">
        <w:t>défenseur des droits de l</w:t>
      </w:r>
      <w:r>
        <w:t>’</w:t>
      </w:r>
      <w:r w:rsidRPr="00AB7D4C">
        <w:t xml:space="preserve">homme de souche ouzbèke </w:t>
      </w:r>
      <w:r w:rsidRPr="00AD4D7F">
        <w:t xml:space="preserve">poursuivi </w:t>
      </w:r>
      <w:r>
        <w:t>au pénal</w:t>
      </w:r>
      <w:r w:rsidRPr="00AD4D7F">
        <w:t xml:space="preserve"> </w:t>
      </w:r>
      <w:r>
        <w:t>pour</w:t>
      </w:r>
      <w:r w:rsidRPr="00AD4D7F">
        <w:t xml:space="preserve"> </w:t>
      </w:r>
      <w:r>
        <w:t>le décès</w:t>
      </w:r>
      <w:r w:rsidRPr="00AD4D7F">
        <w:t xml:space="preserve"> d</w:t>
      </w:r>
      <w:r>
        <w:t>’</w:t>
      </w:r>
      <w:r w:rsidRPr="00AD4D7F">
        <w:t xml:space="preserve">un agent de police </w:t>
      </w:r>
      <w:r>
        <w:t>dans le sud du Kirghizistan en j</w:t>
      </w:r>
      <w:r w:rsidRPr="00AD4D7F">
        <w:t>uin 2010</w:t>
      </w:r>
      <w:r>
        <w:t xml:space="preserve">, </w:t>
      </w:r>
      <w:r w:rsidR="00B032BA">
        <w:t xml:space="preserve">sur lequel </w:t>
      </w:r>
      <w:r w:rsidRPr="00AD4D7F">
        <w:t>plusieurs rapporteurs spéciaux</w:t>
      </w:r>
      <w:r>
        <w:t>, notamment</w:t>
      </w:r>
      <w:r w:rsidRPr="00AD4D7F">
        <w:t xml:space="preserve"> le </w:t>
      </w:r>
      <w:r w:rsidRPr="00AB7D4C">
        <w:t>Rapporteur spécial sur la situation des défenseurs des droits de l</w:t>
      </w:r>
      <w:r>
        <w:t>’</w:t>
      </w:r>
      <w:r w:rsidRPr="00AB7D4C">
        <w:t>homme</w:t>
      </w:r>
      <w:r w:rsidR="00B032BA">
        <w:t xml:space="preserve">, ont appelé l’attention </w:t>
      </w:r>
      <w:r>
        <w:t>(</w:t>
      </w:r>
      <w:r w:rsidRPr="00AD4D7F">
        <w:t>A/HRC/22/47/Add.4</w:t>
      </w:r>
      <w:r>
        <w:t xml:space="preserve">, </w:t>
      </w:r>
      <w:r w:rsidRPr="00AD4D7F">
        <w:t>par</w:t>
      </w:r>
      <w:r>
        <w:t>. 248</w:t>
      </w:r>
      <w:r w:rsidRPr="00AD4D7F">
        <w:t>;</w:t>
      </w:r>
      <w:r>
        <w:t xml:space="preserve"> </w:t>
      </w:r>
      <w:r w:rsidRPr="00AD4D7F">
        <w:t>A/HRC/19/55/Add.2</w:t>
      </w:r>
      <w:r>
        <w:t xml:space="preserve">, </w:t>
      </w:r>
      <w:r w:rsidRPr="00AD4D7F">
        <w:t>par</w:t>
      </w:r>
      <w:r>
        <w:t>. </w:t>
      </w:r>
      <w:r w:rsidRPr="00AD4D7F">
        <w:t>212</w:t>
      </w:r>
      <w:r>
        <w:t>.). M. </w:t>
      </w:r>
      <w:r w:rsidRPr="00AD4D7F">
        <w:t xml:space="preserve">Askarov a affirmé </w:t>
      </w:r>
      <w:r>
        <w:t>qu’il avait</w:t>
      </w:r>
      <w:r w:rsidRPr="00AD4D7F">
        <w:t xml:space="preserve"> été roué de coups par la police à de nombreuses</w:t>
      </w:r>
      <w:r>
        <w:t xml:space="preserve"> reprises, dès son placement en</w:t>
      </w:r>
      <w:r w:rsidRPr="00AD4D7F">
        <w:t xml:space="preserve"> </w:t>
      </w:r>
      <w:r>
        <w:t>garde à vue</w:t>
      </w:r>
      <w:r w:rsidRPr="00AD4D7F">
        <w:t xml:space="preserve"> et pendant toute la durée de la procédure pénale </w:t>
      </w:r>
      <w:r>
        <w:t xml:space="preserve">dont il avait fait l’objet, </w:t>
      </w:r>
      <w:r w:rsidRPr="00AD4D7F">
        <w:t>et qu</w:t>
      </w:r>
      <w:r>
        <w:t>’</w:t>
      </w:r>
      <w:r w:rsidRPr="00AD4D7F">
        <w:t>il a</w:t>
      </w:r>
      <w:r>
        <w:t>vait</w:t>
      </w:r>
      <w:r w:rsidRPr="00AD4D7F">
        <w:t xml:space="preserve"> été </w:t>
      </w:r>
      <w:r>
        <w:t>victime de</w:t>
      </w:r>
      <w:r w:rsidR="00B032BA">
        <w:t xml:space="preserve"> violations répétées de</w:t>
      </w:r>
      <w:r w:rsidRPr="00AD4D7F">
        <w:t xml:space="preserve"> garanties </w:t>
      </w:r>
      <w:r>
        <w:t>de procédure</w:t>
      </w:r>
      <w:r w:rsidRPr="00AD4D7F">
        <w:t xml:space="preserve"> telles que l</w:t>
      </w:r>
      <w:r>
        <w:t>’</w:t>
      </w:r>
      <w:r w:rsidRPr="00AD4D7F">
        <w:t>accès rapide à un avocat et à</w:t>
      </w:r>
      <w:r>
        <w:t xml:space="preserve"> </w:t>
      </w:r>
      <w:r w:rsidRPr="00AD4D7F">
        <w:t xml:space="preserve">un examen médical indépendant </w:t>
      </w:r>
      <w:r>
        <w:t xml:space="preserve">et </w:t>
      </w:r>
      <w:r w:rsidRPr="00AD4D7F">
        <w:t>efficace</w:t>
      </w:r>
      <w:r>
        <w:t>. Le</w:t>
      </w:r>
      <w:r w:rsidR="00B032BA">
        <w:t> </w:t>
      </w:r>
      <w:r>
        <w:t>Comité note que d</w:t>
      </w:r>
      <w:r w:rsidRPr="00AD4D7F">
        <w:t xml:space="preserve">es examens médico-légaux </w:t>
      </w:r>
      <w:r w:rsidR="00B032BA">
        <w:t xml:space="preserve">tendent à corroborer </w:t>
      </w:r>
      <w:r>
        <w:t xml:space="preserve">les allégations </w:t>
      </w:r>
      <w:r w:rsidRPr="00AD4D7F">
        <w:t>de torture en garde à vue</w:t>
      </w:r>
      <w:r>
        <w:t xml:space="preserve"> de M.</w:t>
      </w:r>
      <w:r w:rsidR="00B032BA">
        <w:t> </w:t>
      </w:r>
      <w:r>
        <w:t xml:space="preserve">Askarov </w:t>
      </w:r>
      <w:r w:rsidR="00B032BA">
        <w:t xml:space="preserve">en confirmant que les actes subis ont entraîné notamment </w:t>
      </w:r>
      <w:r>
        <w:t>une</w:t>
      </w:r>
      <w:r w:rsidRPr="00AD4D7F">
        <w:t xml:space="preserve"> perte </w:t>
      </w:r>
      <w:r>
        <w:t xml:space="preserve">de vision persistante, une </w:t>
      </w:r>
      <w:r w:rsidRPr="00AD4D7F">
        <w:t>lésion cérébrale traumatique</w:t>
      </w:r>
      <w:r>
        <w:t xml:space="preserve"> </w:t>
      </w:r>
      <w:r w:rsidRPr="00AD4D7F">
        <w:t xml:space="preserve">et </w:t>
      </w:r>
      <w:r>
        <w:t xml:space="preserve">une </w:t>
      </w:r>
      <w:r w:rsidRPr="00AD4D7F">
        <w:t>lésion de la moelle</w:t>
      </w:r>
      <w:r>
        <w:t xml:space="preserve"> épinière. D’après les i</w:t>
      </w:r>
      <w:r w:rsidRPr="00AD4D7F">
        <w:t xml:space="preserve">nformations </w:t>
      </w:r>
      <w:r>
        <w:t>dont</w:t>
      </w:r>
      <w:r w:rsidRPr="00AD4D7F">
        <w:t xml:space="preserve"> </w:t>
      </w:r>
      <w:r>
        <w:t>dispose</w:t>
      </w:r>
      <w:r w:rsidR="00B032BA">
        <w:t xml:space="preserve"> le Comité</w:t>
      </w:r>
      <w:r>
        <w:t xml:space="preserve">, </w:t>
      </w:r>
      <w:r w:rsidRPr="00AD4D7F">
        <w:t xml:space="preserve">les plaintes </w:t>
      </w:r>
      <w:r>
        <w:t xml:space="preserve">pour torture </w:t>
      </w:r>
      <w:r w:rsidR="00B0006E">
        <w:t xml:space="preserve">de </w:t>
      </w:r>
      <w:r>
        <w:t>M. </w:t>
      </w:r>
      <w:r w:rsidRPr="00AD4D7F">
        <w:t xml:space="preserve">Askarov ont été </w:t>
      </w:r>
      <w:r w:rsidR="00B0006E">
        <w:t xml:space="preserve">soumises </w:t>
      </w:r>
      <w:r w:rsidRPr="00AD4D7F">
        <w:t xml:space="preserve">à de nombreuses reprises </w:t>
      </w:r>
      <w:r>
        <w:t>au B</w:t>
      </w:r>
      <w:r w:rsidRPr="00AD4D7F">
        <w:t>ureau du Procureur</w:t>
      </w:r>
      <w:r>
        <w:t xml:space="preserve">, ainsi </w:t>
      </w:r>
      <w:r w:rsidR="00B0006E">
        <w:t xml:space="preserve">qu’au </w:t>
      </w:r>
      <w:r w:rsidRPr="00033F69">
        <w:t xml:space="preserve">Bureau du </w:t>
      </w:r>
      <w:r w:rsidRPr="00AB7D4C">
        <w:t xml:space="preserve">Médiateur </w:t>
      </w:r>
      <w:r>
        <w:t xml:space="preserve">du Kirghizistan, </w:t>
      </w:r>
      <w:r w:rsidRPr="00AD4D7F">
        <w:t xml:space="preserve">et </w:t>
      </w:r>
      <w:r>
        <w:t>au</w:t>
      </w:r>
      <w:r w:rsidR="00B0006E">
        <w:t xml:space="preserve"> </w:t>
      </w:r>
      <w:r w:rsidRPr="00AD4D7F">
        <w:t>tribunal de district</w:t>
      </w:r>
      <w:r w:rsidR="00D92EF9">
        <w:t xml:space="preserve"> de Bazar</w:t>
      </w:r>
      <w:r w:rsidR="00D92EF9">
        <w:noBreakHyphen/>
      </w:r>
      <w:r>
        <w:t xml:space="preserve">Korgon, </w:t>
      </w:r>
      <w:r w:rsidR="00D92EF9">
        <w:t xml:space="preserve">à la cour </w:t>
      </w:r>
      <w:r w:rsidRPr="00033F69">
        <w:t>d</w:t>
      </w:r>
      <w:r>
        <w:t>’</w:t>
      </w:r>
      <w:r w:rsidRPr="00033F69">
        <w:t>appel</w:t>
      </w:r>
      <w:r w:rsidRPr="00AD4D7F">
        <w:t xml:space="preserve"> et </w:t>
      </w:r>
      <w:r w:rsidR="00D92EF9">
        <w:t xml:space="preserve">à la </w:t>
      </w:r>
      <w:r w:rsidRPr="00AD4D7F">
        <w:t>Cour suprême</w:t>
      </w:r>
      <w:r>
        <w:t xml:space="preserve">. </w:t>
      </w:r>
      <w:r w:rsidRPr="00AD4D7F">
        <w:t>À</w:t>
      </w:r>
      <w:r w:rsidR="00A8025A">
        <w:t> </w:t>
      </w:r>
      <w:r w:rsidRPr="00AD4D7F">
        <w:t>ce jour</w:t>
      </w:r>
      <w:r>
        <w:t xml:space="preserve">, </w:t>
      </w:r>
      <w:r w:rsidRPr="00AD4D7F">
        <w:t>cependant, les autorités de l</w:t>
      </w:r>
      <w:r>
        <w:t>’</w:t>
      </w:r>
      <w:r w:rsidRPr="00AD4D7F">
        <w:t xml:space="preserve">État partie </w:t>
      </w:r>
      <w:r>
        <w:t>refusent toujours</w:t>
      </w:r>
      <w:r w:rsidRPr="00AD4D7F">
        <w:t xml:space="preserve"> d</w:t>
      </w:r>
      <w:r>
        <w:t>’</w:t>
      </w:r>
      <w:r w:rsidRPr="00AD4D7F">
        <w:t xml:space="preserve">ouvrir une enquête approfondie sur </w:t>
      </w:r>
      <w:r w:rsidR="00A8025A">
        <w:t>l</w:t>
      </w:r>
      <w:r w:rsidRPr="00AD4D7F">
        <w:t xml:space="preserve">es </w:t>
      </w:r>
      <w:r>
        <w:t>griefs</w:t>
      </w:r>
      <w:r w:rsidR="00A8025A">
        <w:t xml:space="preserve"> de M. Askarov, </w:t>
      </w:r>
      <w:r w:rsidRPr="00AD4D7F">
        <w:t>s</w:t>
      </w:r>
      <w:r>
        <w:t>’</w:t>
      </w:r>
      <w:r w:rsidRPr="00AD4D7F">
        <w:t xml:space="preserve">appuyant sur </w:t>
      </w:r>
      <w:r>
        <w:t xml:space="preserve">des </w:t>
      </w:r>
      <w:r w:rsidRPr="00AD4D7F">
        <w:t xml:space="preserve">déclarations </w:t>
      </w:r>
      <w:r w:rsidR="00A8025A">
        <w:t xml:space="preserve">qu’il a </w:t>
      </w:r>
      <w:r w:rsidRPr="00AD4D7F">
        <w:t xml:space="preserve">faites </w:t>
      </w:r>
      <w:r w:rsidR="00A8025A">
        <w:t>en garde à vue</w:t>
      </w:r>
      <w:r>
        <w:t>, sous la contrainte d’après lui, selon lesquelles</w:t>
      </w:r>
      <w:r w:rsidRPr="00AD4D7F">
        <w:t xml:space="preserve"> il n</w:t>
      </w:r>
      <w:r>
        <w:t>’</w:t>
      </w:r>
      <w:r w:rsidRPr="00AD4D7F">
        <w:t xml:space="preserve">avait </w:t>
      </w:r>
      <w:r>
        <w:t xml:space="preserve">aucun motif de plainte. </w:t>
      </w:r>
      <w:r w:rsidRPr="00033F69">
        <w:t>Le Comité croit comprendre</w:t>
      </w:r>
      <w:r w:rsidRPr="00AD4D7F">
        <w:t xml:space="preserve"> que l</w:t>
      </w:r>
      <w:r>
        <w:t>’</w:t>
      </w:r>
      <w:r w:rsidRPr="00AD4D7F">
        <w:t xml:space="preserve">État partie </w:t>
      </w:r>
      <w:r>
        <w:t>envisage actuellement la possib</w:t>
      </w:r>
      <w:r w:rsidR="00A8025A">
        <w:t>ilité d’un complément d’enquête</w:t>
      </w:r>
      <w:r>
        <w:t>. Il</w:t>
      </w:r>
      <w:r w:rsidRPr="00AD4D7F">
        <w:t xml:space="preserve"> </w:t>
      </w:r>
      <w:r>
        <w:t>s’inquiète de ce que</w:t>
      </w:r>
      <w:r w:rsidRPr="00AD4D7F">
        <w:t xml:space="preserve"> l</w:t>
      </w:r>
      <w:r>
        <w:t>’</w:t>
      </w:r>
      <w:r w:rsidRPr="00AD4D7F">
        <w:t xml:space="preserve">État partie </w:t>
      </w:r>
      <w:r>
        <w:t xml:space="preserve">ait refusé </w:t>
      </w:r>
      <w:r w:rsidRPr="00AD4D7F">
        <w:t>de mener des enquêtes approfondies sur les allégations de torture concernant d</w:t>
      </w:r>
      <w:r>
        <w:t>’</w:t>
      </w:r>
      <w:r w:rsidRPr="00AD4D7F">
        <w:t xml:space="preserve">autres cas </w:t>
      </w:r>
      <w:r>
        <w:t>évoqués</w:t>
      </w:r>
      <w:r w:rsidRPr="00AD4D7F">
        <w:t xml:space="preserve"> lors de l</w:t>
      </w:r>
      <w:r>
        <w:t>’</w:t>
      </w:r>
      <w:r w:rsidRPr="00AD4D7F">
        <w:t>examen</w:t>
      </w:r>
      <w:r>
        <w:t>, notamment celui</w:t>
      </w:r>
      <w:r w:rsidRPr="00AD4D7F">
        <w:t xml:space="preserve"> de Nargiza Turdieva et </w:t>
      </w:r>
      <w:r>
        <w:t xml:space="preserve">de </w:t>
      </w:r>
      <w:r w:rsidR="006A0D5B">
        <w:t>Dilmurat </w:t>
      </w:r>
      <w:r w:rsidRPr="00AD4D7F">
        <w:t>Khaidarov</w:t>
      </w:r>
      <w:r>
        <w:t xml:space="preserve"> (</w:t>
      </w:r>
      <w:r w:rsidRPr="00AD4D7F">
        <w:t>art.</w:t>
      </w:r>
      <w:r w:rsidR="006A0D5B">
        <w:t> </w:t>
      </w:r>
      <w:r w:rsidRPr="00AD4D7F">
        <w:t>2, 12</w:t>
      </w:r>
      <w:r>
        <w:t xml:space="preserve">, </w:t>
      </w:r>
      <w:r w:rsidRPr="00AD4D7F">
        <w:t>13 et</w:t>
      </w:r>
      <w:r w:rsidR="006A0D5B">
        <w:t> </w:t>
      </w:r>
      <w:r w:rsidRPr="00AD4D7F">
        <w:t>16</w:t>
      </w:r>
      <w:r>
        <w:t>)</w:t>
      </w:r>
      <w:r w:rsidRPr="00AD4D7F">
        <w:t>.</w:t>
      </w:r>
    </w:p>
    <w:p w:rsidR="00755175" w:rsidRPr="00A8025A" w:rsidRDefault="00755175" w:rsidP="00A8025A">
      <w:pPr>
        <w:pStyle w:val="SingleTxtG"/>
        <w:rPr>
          <w:rFonts w:eastAsia="Malgun Gothic"/>
          <w:b/>
        </w:rPr>
      </w:pPr>
      <w:r w:rsidRPr="00A8025A">
        <w:rPr>
          <w:rFonts w:eastAsia="Malgun Gothic"/>
          <w:b/>
        </w:rPr>
        <w:t>L’État part</w:t>
      </w:r>
      <w:r w:rsidR="00246429">
        <w:rPr>
          <w:rFonts w:eastAsia="Malgun Gothic"/>
          <w:b/>
        </w:rPr>
        <w:t xml:space="preserve">ie devrait de toute urgence: a) ouvrir </w:t>
      </w:r>
      <w:r w:rsidRPr="00A8025A">
        <w:rPr>
          <w:rFonts w:eastAsia="Malgun Gothic"/>
          <w:b/>
        </w:rPr>
        <w:t>une enquête approfondie, efficace et indépendante sur les allégations de torture formulées par Azimjan</w:t>
      </w:r>
      <w:r w:rsidR="00246429">
        <w:rPr>
          <w:rFonts w:eastAsia="Malgun Gothic"/>
          <w:b/>
        </w:rPr>
        <w:t> </w:t>
      </w:r>
      <w:r w:rsidRPr="00A8025A">
        <w:rPr>
          <w:rFonts w:eastAsia="Malgun Gothic"/>
          <w:b/>
        </w:rPr>
        <w:t>Askarov; b)</w:t>
      </w:r>
      <w:r w:rsidR="00246429">
        <w:rPr>
          <w:rFonts w:eastAsia="Malgun Gothic"/>
          <w:b/>
        </w:rPr>
        <w:t> </w:t>
      </w:r>
      <w:r w:rsidRPr="00A8025A">
        <w:rPr>
          <w:rFonts w:eastAsia="Malgun Gothic"/>
          <w:b/>
        </w:rPr>
        <w:t>veiller</w:t>
      </w:r>
      <w:r w:rsidR="003B3B42">
        <w:rPr>
          <w:rFonts w:eastAsia="Malgun Gothic"/>
          <w:b/>
        </w:rPr>
        <w:t> </w:t>
      </w:r>
      <w:r w:rsidRPr="00A8025A">
        <w:rPr>
          <w:rFonts w:eastAsia="Malgun Gothic"/>
          <w:b/>
        </w:rPr>
        <w:t>à ce qu’Azimjan Askarov bénéficie de soins médicaux adaptés et c)</w:t>
      </w:r>
      <w:r w:rsidR="00246429">
        <w:rPr>
          <w:rFonts w:eastAsia="Malgun Gothic"/>
          <w:b/>
        </w:rPr>
        <w:t> </w:t>
      </w:r>
      <w:r w:rsidRPr="00A8025A">
        <w:rPr>
          <w:rFonts w:eastAsia="Malgun Gothic"/>
          <w:b/>
        </w:rPr>
        <w:t>réexaminer les motifs de son maintien en détention à la lum</w:t>
      </w:r>
      <w:r w:rsidR="003B3B42">
        <w:rPr>
          <w:rFonts w:eastAsia="Malgun Gothic"/>
          <w:b/>
        </w:rPr>
        <w:t>ière de ses allégations. L’État </w:t>
      </w:r>
      <w:r w:rsidRPr="00A8025A">
        <w:rPr>
          <w:rFonts w:eastAsia="Malgun Gothic"/>
          <w:b/>
        </w:rPr>
        <w:t>partie devrait également veiller à ce que les allégations de torture formulées par Nargiza</w:t>
      </w:r>
      <w:r w:rsidR="003B3B42">
        <w:rPr>
          <w:rFonts w:eastAsia="Malgun Gothic"/>
          <w:b/>
        </w:rPr>
        <w:t> </w:t>
      </w:r>
      <w:r w:rsidRPr="00A8025A">
        <w:rPr>
          <w:rFonts w:eastAsia="Malgun Gothic"/>
          <w:b/>
        </w:rPr>
        <w:t>Turdieva et Dilmurat Khaidarov donnent lieu à une enquête exhaustive, impartiale et efficace.</w:t>
      </w:r>
    </w:p>
    <w:p w:rsidR="00755175" w:rsidRDefault="00755175" w:rsidP="00755175">
      <w:pPr>
        <w:pStyle w:val="ParNoG"/>
      </w:pPr>
      <w:r w:rsidRPr="00B337C0">
        <w:t>Le Comité reste pr</w:t>
      </w:r>
      <w:r>
        <w:t>éoccupé par l’absence d’enquête</w:t>
      </w:r>
      <w:r w:rsidRPr="00B337C0">
        <w:t xml:space="preserve"> </w:t>
      </w:r>
      <w:r>
        <w:t>approfondie et efficace</w:t>
      </w:r>
      <w:r w:rsidRPr="00B337C0">
        <w:t xml:space="preserve"> sur les nombreuses allégations selon lesquelles des membres des </w:t>
      </w:r>
      <w:r w:rsidR="002E6C81">
        <w:t xml:space="preserve">forces de </w:t>
      </w:r>
      <w:r w:rsidRPr="00AB7D4C">
        <w:t>l</w:t>
      </w:r>
      <w:r>
        <w:t>’</w:t>
      </w:r>
      <w:r w:rsidRPr="00AB7D4C">
        <w:t>ordre</w:t>
      </w:r>
      <w:r>
        <w:t xml:space="preserve"> </w:t>
      </w:r>
      <w:r w:rsidR="002E6C81">
        <w:t xml:space="preserve">auraient commis des </w:t>
      </w:r>
      <w:r w:rsidRPr="00B337C0">
        <w:t>actes de torture et de</w:t>
      </w:r>
      <w:r w:rsidR="002E6C81">
        <w:t>s</w:t>
      </w:r>
      <w:r w:rsidRPr="00B337C0">
        <w:t xml:space="preserve"> mauvais traitements, </w:t>
      </w:r>
      <w:r w:rsidR="002E6C81">
        <w:t xml:space="preserve">procédé à des </w:t>
      </w:r>
      <w:r w:rsidRPr="00B337C0">
        <w:t xml:space="preserve">détentions arbitraires et </w:t>
      </w:r>
      <w:r w:rsidR="002E6C81">
        <w:t xml:space="preserve">fait un usage </w:t>
      </w:r>
      <w:r w:rsidRPr="00B337C0">
        <w:t xml:space="preserve">excessif </w:t>
      </w:r>
      <w:r w:rsidR="002E6C81">
        <w:t>de</w:t>
      </w:r>
      <w:r w:rsidRPr="00B337C0">
        <w:t xml:space="preserve"> la force pendant et après les violences interethniques </w:t>
      </w:r>
      <w:r>
        <w:t>survenues dans le sud du Kirghizistan en j</w:t>
      </w:r>
      <w:r w:rsidRPr="00B337C0">
        <w:t xml:space="preserve">uin 2010. </w:t>
      </w:r>
      <w:r>
        <w:t>Il</w:t>
      </w:r>
      <w:r w:rsidRPr="00B337C0">
        <w:t xml:space="preserve"> </w:t>
      </w:r>
      <w:r>
        <w:t>s’inquiète d</w:t>
      </w:r>
      <w:r w:rsidRPr="00B337C0">
        <w:t xml:space="preserve">es informations </w:t>
      </w:r>
      <w:r>
        <w:t>indiquant que</w:t>
      </w:r>
      <w:r w:rsidRPr="00B337C0">
        <w:t xml:space="preserve"> les enquêtes, les poursuites, les condamnations et les sanctions </w:t>
      </w:r>
      <w:r>
        <w:t>liées</w:t>
      </w:r>
      <w:r w:rsidRPr="00B337C0">
        <w:t xml:space="preserve"> </w:t>
      </w:r>
      <w:r>
        <w:t>aux</w:t>
      </w:r>
      <w:r w:rsidRPr="00B337C0">
        <w:t xml:space="preserve"> événements de </w:t>
      </w:r>
      <w:r>
        <w:t xml:space="preserve">juin </w:t>
      </w:r>
      <w:r w:rsidRPr="00B337C0">
        <w:t>2010 ont été principalement dirigé</w:t>
      </w:r>
      <w:r>
        <w:t>e</w:t>
      </w:r>
      <w:r w:rsidRPr="00B337C0">
        <w:t>s contre des personnes d</w:t>
      </w:r>
      <w:r>
        <w:t>’</w:t>
      </w:r>
      <w:r w:rsidRPr="00B337C0">
        <w:t xml:space="preserve">origine ouzbèke, </w:t>
      </w:r>
      <w:r>
        <w:t>comme l’ont relevé certaines</w:t>
      </w:r>
      <w:r w:rsidRPr="00B337C0">
        <w:t xml:space="preserve"> sources, </w:t>
      </w:r>
      <w:r>
        <w:t>notamment</w:t>
      </w:r>
      <w:r w:rsidRPr="00B337C0">
        <w:t xml:space="preserve"> le Comité pour l</w:t>
      </w:r>
      <w:r>
        <w:t>’</w:t>
      </w:r>
      <w:r w:rsidRPr="00B337C0">
        <w:t>élimination de la discrimination raciale, en</w:t>
      </w:r>
      <w:r w:rsidR="002F3F55">
        <w:t> </w:t>
      </w:r>
      <w:r w:rsidRPr="00B337C0">
        <w:t>2013 (CERD</w:t>
      </w:r>
      <w:r>
        <w:t>/</w:t>
      </w:r>
      <w:r w:rsidRPr="00B337C0">
        <w:t>C/KGZ/CO/5</w:t>
      </w:r>
      <w:r w:rsidR="002F3F55">
        <w:noBreakHyphen/>
      </w:r>
      <w:r w:rsidRPr="00B337C0">
        <w:t>7, par.</w:t>
      </w:r>
      <w:r w:rsidR="002F3F55">
        <w:t> </w:t>
      </w:r>
      <w:r w:rsidRPr="00B337C0">
        <w:t>6</w:t>
      </w:r>
      <w:r w:rsidR="002F3F55">
        <w:t xml:space="preserve"> et </w:t>
      </w:r>
      <w:r w:rsidRPr="00B337C0">
        <w:t xml:space="preserve">7). </w:t>
      </w:r>
      <w:r>
        <w:t>Il</w:t>
      </w:r>
      <w:r w:rsidRPr="00B337C0">
        <w:t xml:space="preserve"> regrette en outre </w:t>
      </w:r>
      <w:r>
        <w:t>que l’État partie n’ait pas communiqué</w:t>
      </w:r>
      <w:r w:rsidRPr="00B337C0">
        <w:t xml:space="preserve"> d</w:t>
      </w:r>
      <w:r>
        <w:t>’</w:t>
      </w:r>
      <w:r w:rsidRPr="00B337C0">
        <w:t xml:space="preserve">informations sur </w:t>
      </w:r>
      <w:r>
        <w:t>l’issue du réexamen de 995 </w:t>
      </w:r>
      <w:r w:rsidRPr="00B337C0">
        <w:t xml:space="preserve">affaires </w:t>
      </w:r>
      <w:r>
        <w:t>pénales</w:t>
      </w:r>
      <w:r w:rsidRPr="00B337C0">
        <w:t xml:space="preserve"> </w:t>
      </w:r>
      <w:r>
        <w:t>liées</w:t>
      </w:r>
      <w:r w:rsidRPr="00B337C0">
        <w:t xml:space="preserve"> </w:t>
      </w:r>
      <w:r>
        <w:t>aux</w:t>
      </w:r>
      <w:r w:rsidRPr="00B337C0">
        <w:t xml:space="preserve"> v</w:t>
      </w:r>
      <w:r>
        <w:t>iolences de j</w:t>
      </w:r>
      <w:r w:rsidRPr="00B337C0">
        <w:t>uin 2010</w:t>
      </w:r>
      <w:r>
        <w:t xml:space="preserve"> (art. 4, 12, 13 et 16)</w:t>
      </w:r>
      <w:r w:rsidRPr="00B337C0">
        <w:t>.</w:t>
      </w:r>
    </w:p>
    <w:p w:rsidR="00755175" w:rsidRPr="000821DD" w:rsidRDefault="00755175" w:rsidP="000821DD">
      <w:pPr>
        <w:pStyle w:val="SingleTxtG"/>
        <w:keepNext/>
        <w:rPr>
          <w:rFonts w:eastAsia="Malgun Gothic"/>
          <w:b/>
        </w:rPr>
      </w:pPr>
      <w:r w:rsidRPr="000821DD">
        <w:rPr>
          <w:rFonts w:eastAsia="Malgun Gothic"/>
          <w:b/>
        </w:rPr>
        <w:t xml:space="preserve">L’État partie devrait prendre des mesures efficaces afin que toutes les allégations d’actes de torture ou de mauvais traitements </w:t>
      </w:r>
      <w:r w:rsidR="00E51CA3">
        <w:rPr>
          <w:rFonts w:eastAsia="Malgun Gothic"/>
          <w:b/>
        </w:rPr>
        <w:t xml:space="preserve">commis par </w:t>
      </w:r>
      <w:r w:rsidRPr="000821DD">
        <w:rPr>
          <w:rFonts w:eastAsia="Malgun Gothic"/>
          <w:b/>
        </w:rPr>
        <w:t xml:space="preserve">des membres des </w:t>
      </w:r>
      <w:r w:rsidR="00E51CA3">
        <w:rPr>
          <w:rFonts w:eastAsia="Malgun Gothic"/>
          <w:b/>
        </w:rPr>
        <w:t xml:space="preserve">forces </w:t>
      </w:r>
      <w:r w:rsidRPr="000821DD">
        <w:rPr>
          <w:rFonts w:eastAsia="Malgun Gothic"/>
          <w:b/>
        </w:rPr>
        <w:t xml:space="preserve">de sécurité ou </w:t>
      </w:r>
      <w:r w:rsidR="00E51CA3">
        <w:rPr>
          <w:rFonts w:eastAsia="Malgun Gothic"/>
          <w:b/>
        </w:rPr>
        <w:t xml:space="preserve">des services </w:t>
      </w:r>
      <w:r w:rsidRPr="000821DD">
        <w:rPr>
          <w:rFonts w:eastAsia="Malgun Gothic"/>
          <w:b/>
        </w:rPr>
        <w:t>de maintien de l’ordre dans le contexte des violences de juin 2010 donnent lieu à des enquêtes approfondies et impartiales et que les responsables présumés soient poursuivis. En particulier, l’État partie devrait veiller à ce que:</w:t>
      </w:r>
    </w:p>
    <w:p w:rsidR="00755175" w:rsidRPr="004D70F4" w:rsidRDefault="00755175" w:rsidP="00C71853">
      <w:pPr>
        <w:pStyle w:val="SingleTxtG"/>
        <w:ind w:firstLine="567"/>
        <w:rPr>
          <w:rFonts w:eastAsia="Malgun Gothic"/>
          <w:b/>
        </w:rPr>
      </w:pPr>
      <w:r w:rsidRPr="004D70F4">
        <w:rPr>
          <w:rFonts w:eastAsia="Malgun Gothic"/>
          <w:b/>
        </w:rPr>
        <w:t>a)</w:t>
      </w:r>
      <w:r w:rsidRPr="004D70F4">
        <w:rPr>
          <w:rFonts w:eastAsia="Malgun Gothic"/>
          <w:b/>
        </w:rPr>
        <w:tab/>
        <w:t xml:space="preserve">Un réexamen approfondi et impartial des 995 affaires pénales liées aux violences de juin 2010 soit réalisé, et, le cas échéant, les procédures soient rouvertes dans les cas où il apparaît que les allégations de torture n’ont pas </w:t>
      </w:r>
      <w:r w:rsidR="004D70F4">
        <w:rPr>
          <w:rFonts w:eastAsia="Malgun Gothic"/>
          <w:b/>
        </w:rPr>
        <w:t xml:space="preserve">fait l’objet d’enquêtes exhaustives </w:t>
      </w:r>
      <w:r w:rsidRPr="004D70F4">
        <w:rPr>
          <w:rFonts w:eastAsia="Malgun Gothic"/>
          <w:b/>
        </w:rPr>
        <w:t>ou que des violations graves du droit à une procédure régulière ont été commises;</w:t>
      </w:r>
    </w:p>
    <w:p w:rsidR="00CA3618" w:rsidRPr="00CA3618" w:rsidRDefault="00755175" w:rsidP="00CA3618">
      <w:pPr>
        <w:pStyle w:val="SingleTxtG"/>
        <w:ind w:firstLine="567"/>
        <w:rPr>
          <w:rFonts w:eastAsia="Malgun Gothic"/>
          <w:b/>
        </w:rPr>
      </w:pPr>
      <w:r w:rsidRPr="00CA3618">
        <w:rPr>
          <w:rFonts w:eastAsia="Malgun Gothic"/>
          <w:b/>
        </w:rPr>
        <w:t>b)</w:t>
      </w:r>
      <w:r w:rsidRPr="00CA3618">
        <w:rPr>
          <w:rFonts w:eastAsia="Malgun Gothic"/>
          <w:b/>
        </w:rPr>
        <w:tab/>
        <w:t xml:space="preserve">Les membres des </w:t>
      </w:r>
      <w:r w:rsidR="0067087E" w:rsidRPr="00CA3618">
        <w:rPr>
          <w:rFonts w:eastAsia="Malgun Gothic"/>
          <w:b/>
        </w:rPr>
        <w:t xml:space="preserve">forces </w:t>
      </w:r>
      <w:r w:rsidRPr="00CA3618">
        <w:rPr>
          <w:rFonts w:eastAsia="Malgun Gothic"/>
          <w:b/>
        </w:rPr>
        <w:t xml:space="preserve">de sécurité ou </w:t>
      </w:r>
      <w:r w:rsidR="0067087E" w:rsidRPr="00CA3618">
        <w:rPr>
          <w:rFonts w:eastAsia="Malgun Gothic"/>
          <w:b/>
        </w:rPr>
        <w:t xml:space="preserve">des services </w:t>
      </w:r>
      <w:r w:rsidRPr="00CA3618">
        <w:rPr>
          <w:rFonts w:eastAsia="Malgun Gothic"/>
          <w:b/>
        </w:rPr>
        <w:t>de maintien de l’ordre dont il est établi qu’ils sont responsables d’actes de torture et de mauvais traitements soient soumis à des sanctions disciplinaires et/ou pénales;</w:t>
      </w:r>
    </w:p>
    <w:p w:rsidR="00755175" w:rsidRPr="00485AA2" w:rsidRDefault="00755175" w:rsidP="00CA3618">
      <w:pPr>
        <w:pStyle w:val="SingleTxtG"/>
        <w:ind w:firstLine="567"/>
        <w:rPr>
          <w:rFonts w:eastAsia="Malgun Gothic"/>
          <w:b/>
        </w:rPr>
      </w:pPr>
      <w:r w:rsidRPr="00485AA2">
        <w:rPr>
          <w:rFonts w:eastAsia="Malgun Gothic"/>
          <w:b/>
        </w:rPr>
        <w:t>c)</w:t>
      </w:r>
      <w:r w:rsidRPr="00485AA2">
        <w:rPr>
          <w:rFonts w:eastAsia="Malgun Gothic"/>
          <w:b/>
        </w:rPr>
        <w:tab/>
        <w:t>Les allégations indiquant qu’un agent de l’État, quel qu’il soit, a commis ou ordonné des actes de torture ou des mauvais traitements à l’égard d’Ouzbeks de souche, ou y</w:t>
      </w:r>
      <w:r w:rsidR="00F220E9">
        <w:rPr>
          <w:rFonts w:eastAsia="Malgun Gothic"/>
          <w:b/>
        </w:rPr>
        <w:t> </w:t>
      </w:r>
      <w:r w:rsidRPr="00485AA2">
        <w:rPr>
          <w:rFonts w:eastAsia="Malgun Gothic"/>
          <w:b/>
        </w:rPr>
        <w:t>a consenti, donnent lieu à des enquêtes exhaustives et efficaces et, le cas échéant, à des poursuites.</w:t>
      </w:r>
    </w:p>
    <w:p w:rsidR="00755175" w:rsidRPr="001F786F" w:rsidRDefault="00755175" w:rsidP="00F220E9">
      <w:pPr>
        <w:pStyle w:val="H23G"/>
        <w:rPr>
          <w:rFonts w:eastAsia="Malgun Gothic"/>
        </w:rPr>
      </w:pPr>
      <w:r w:rsidRPr="001F786F">
        <w:rPr>
          <w:rFonts w:eastAsia="Malgun Gothic"/>
        </w:rPr>
        <w:tab/>
      </w:r>
      <w:r w:rsidRPr="001F786F">
        <w:rPr>
          <w:rFonts w:eastAsia="Malgun Gothic"/>
        </w:rPr>
        <w:tab/>
      </w:r>
      <w:r w:rsidRPr="004E2A7C">
        <w:t>Garanties juridiques fondamentales</w:t>
      </w:r>
    </w:p>
    <w:p w:rsidR="00755175" w:rsidRPr="001F786F" w:rsidRDefault="00755175" w:rsidP="00755175">
      <w:pPr>
        <w:pStyle w:val="ParNoG"/>
        <w:rPr>
          <w:shd w:val="pct15" w:color="auto" w:fill="FFFFFF"/>
        </w:rPr>
      </w:pPr>
      <w:r w:rsidRPr="002F6FFC">
        <w:t xml:space="preserve">Le Comité </w:t>
      </w:r>
      <w:r>
        <w:t>est vivement préoccupé par</w:t>
      </w:r>
      <w:r w:rsidRPr="002F6FFC">
        <w:t xml:space="preserve"> </w:t>
      </w:r>
      <w:r>
        <w:t>le fait que</w:t>
      </w:r>
      <w:r w:rsidRPr="002F6FFC">
        <w:t xml:space="preserve"> l</w:t>
      </w:r>
      <w:r>
        <w:t>’</w:t>
      </w:r>
      <w:r w:rsidRPr="002F6FFC">
        <w:t xml:space="preserve">État partie </w:t>
      </w:r>
      <w:r>
        <w:t>n’assure pas</w:t>
      </w:r>
      <w:r w:rsidRPr="002F6FFC">
        <w:t xml:space="preserve"> à toutes les personnes privées de liberté, en particulier </w:t>
      </w:r>
      <w:r>
        <w:t>celles</w:t>
      </w:r>
      <w:r w:rsidRPr="002F6FFC">
        <w:t xml:space="preserve"> en </w:t>
      </w:r>
      <w:r w:rsidRPr="00390275">
        <w:t>détention provisoire</w:t>
      </w:r>
      <w:r w:rsidRPr="002F6FFC">
        <w:t xml:space="preserve">, </w:t>
      </w:r>
      <w:r>
        <w:t xml:space="preserve">le respect de </w:t>
      </w:r>
      <w:r w:rsidRPr="002F6FFC">
        <w:t>toutes les garanties juridiques fond</w:t>
      </w:r>
      <w:r>
        <w:t xml:space="preserve">amentales décrites dans </w:t>
      </w:r>
      <w:r w:rsidRPr="00AC45B9">
        <w:t>l</w:t>
      </w:r>
      <w:r>
        <w:t>’</w:t>
      </w:r>
      <w:r w:rsidRPr="00AC45B9">
        <w:t xml:space="preserve">Observation générale </w:t>
      </w:r>
      <w:r w:rsidR="0019307E">
        <w:rPr>
          <w:rFonts w:eastAsia="MS Mincho"/>
        </w:rPr>
        <w:t>n</w:t>
      </w:r>
      <w:r w:rsidR="0019307E">
        <w:rPr>
          <w:rFonts w:eastAsia="MS Mincho"/>
          <w:vertAlign w:val="superscript"/>
        </w:rPr>
        <w:t>o</w:t>
      </w:r>
      <w:r w:rsidR="0019307E">
        <w:t> </w:t>
      </w:r>
      <w:r w:rsidRPr="00AC45B9">
        <w:t xml:space="preserve">2 </w:t>
      </w:r>
      <w:r w:rsidRPr="004854AE">
        <w:t>(200</w:t>
      </w:r>
      <w:r w:rsidR="0019307E">
        <w:t>7</w:t>
      </w:r>
      <w:r w:rsidRPr="00AB7D4C">
        <w:t>)</w:t>
      </w:r>
      <w:r>
        <w:t xml:space="preserve"> </w:t>
      </w:r>
      <w:r w:rsidRPr="00AC45B9">
        <w:t>du Comité relative à l</w:t>
      </w:r>
      <w:r>
        <w:t>’</w:t>
      </w:r>
      <w:r w:rsidRPr="00AC45B9">
        <w:t>application</w:t>
      </w:r>
      <w:r>
        <w:t xml:space="preserve"> de l’article </w:t>
      </w:r>
      <w:r w:rsidRPr="00AC45B9">
        <w:t>2 par les États parties</w:t>
      </w:r>
      <w:r>
        <w:t xml:space="preserve"> (par. </w:t>
      </w:r>
      <w:r w:rsidRPr="002F6FFC">
        <w:t>13</w:t>
      </w:r>
      <w:r w:rsidR="0019307E">
        <w:t xml:space="preserve"> et </w:t>
      </w:r>
      <w:r w:rsidRPr="002F6FFC">
        <w:t xml:space="preserve">14) dès le début de la privation de liberté. </w:t>
      </w:r>
      <w:r>
        <w:t>Il</w:t>
      </w:r>
      <w:r w:rsidRPr="002F6FFC">
        <w:t xml:space="preserve"> </w:t>
      </w:r>
      <w:r>
        <w:t>s’inquiète en particulier d</w:t>
      </w:r>
      <w:r w:rsidRPr="002F6FFC">
        <w:t xml:space="preserve">es informations </w:t>
      </w:r>
      <w:r>
        <w:t>indiquant que</w:t>
      </w:r>
      <w:r w:rsidRPr="002F6FFC">
        <w:t xml:space="preserve"> les détenus </w:t>
      </w:r>
      <w:r>
        <w:t>se voient</w:t>
      </w:r>
      <w:r w:rsidRPr="002F6FFC">
        <w:t xml:space="preserve"> fréquemment refuser </w:t>
      </w:r>
      <w:r>
        <w:t>la possibilité de consulter</w:t>
      </w:r>
      <w:r w:rsidRPr="002F6FFC">
        <w:t xml:space="preserve"> un avocat </w:t>
      </w:r>
      <w:r>
        <w:t>indépendant de leur choix, que d</w:t>
      </w:r>
      <w:r w:rsidRPr="002F6FFC">
        <w:t xml:space="preserve">es </w:t>
      </w:r>
      <w:r>
        <w:t>policiers</w:t>
      </w:r>
      <w:r w:rsidRPr="002F6FFC">
        <w:t xml:space="preserve"> </w:t>
      </w:r>
      <w:r w:rsidRPr="004854AE">
        <w:t xml:space="preserve">extorquent des aveux </w:t>
      </w:r>
      <w:r>
        <w:t>juste après</w:t>
      </w:r>
      <w:r w:rsidRPr="00F63FCB">
        <w:t xml:space="preserve"> l</w:t>
      </w:r>
      <w:r>
        <w:t>’</w:t>
      </w:r>
      <w:r w:rsidRPr="00F63FCB">
        <w:t>arrestation, avant le placement officiel en garde à vue ou en détention</w:t>
      </w:r>
      <w:r w:rsidRPr="002F6FFC">
        <w:t xml:space="preserve">, et que </w:t>
      </w:r>
      <w:r w:rsidRPr="00F63FCB">
        <w:t>les avocats, dans la pratique</w:t>
      </w:r>
      <w:r>
        <w:t>,</w:t>
      </w:r>
      <w:r w:rsidRPr="002F6FFC">
        <w:t xml:space="preserve"> doivent obtenir une autorisation spéciale </w:t>
      </w:r>
      <w:r w:rsidRPr="00F63FCB">
        <w:t xml:space="preserve">des </w:t>
      </w:r>
      <w:r>
        <w:t>enquêteurs</w:t>
      </w:r>
      <w:r w:rsidRPr="002F6FFC">
        <w:t xml:space="preserve"> </w:t>
      </w:r>
      <w:r>
        <w:t xml:space="preserve">pour </w:t>
      </w:r>
      <w:r w:rsidRPr="00F63FCB">
        <w:t>avoir accès</w:t>
      </w:r>
      <w:r w:rsidRPr="002F6FFC">
        <w:t xml:space="preserve"> à leurs clients (art.</w:t>
      </w:r>
      <w:r w:rsidR="00935BBC">
        <w:t> </w:t>
      </w:r>
      <w:r w:rsidRPr="002F6FFC">
        <w:t>2, 11, 12, 13, 15 et</w:t>
      </w:r>
      <w:r w:rsidR="00935BBC">
        <w:t> </w:t>
      </w:r>
      <w:r w:rsidRPr="002F6FFC">
        <w:t>16).</w:t>
      </w:r>
    </w:p>
    <w:p w:rsidR="00755175" w:rsidRPr="00935BBC" w:rsidRDefault="00755175" w:rsidP="00935BBC">
      <w:pPr>
        <w:pStyle w:val="SingleTxtG"/>
        <w:keepNext/>
        <w:rPr>
          <w:rFonts w:eastAsia="Malgun Gothic"/>
          <w:b/>
        </w:rPr>
      </w:pPr>
      <w:r w:rsidRPr="00935BBC">
        <w:rPr>
          <w:rFonts w:eastAsia="Malgun Gothic"/>
          <w:b/>
        </w:rPr>
        <w:t>L’État partie devrait veiller à ce que:</w:t>
      </w:r>
    </w:p>
    <w:p w:rsidR="00755175" w:rsidRPr="0019307E" w:rsidRDefault="00755175" w:rsidP="0019307E">
      <w:pPr>
        <w:pStyle w:val="SingleTxtG"/>
        <w:ind w:firstLine="567"/>
        <w:rPr>
          <w:rFonts w:eastAsia="Malgun Gothic"/>
          <w:b/>
        </w:rPr>
      </w:pPr>
      <w:r w:rsidRPr="0019307E">
        <w:rPr>
          <w:rFonts w:eastAsia="Malgun Gothic"/>
          <w:b/>
        </w:rPr>
        <w:t>a)</w:t>
      </w:r>
      <w:r w:rsidRPr="0019307E">
        <w:rPr>
          <w:rFonts w:eastAsia="Malgun Gothic"/>
          <w:b/>
        </w:rPr>
        <w:tab/>
        <w:t xml:space="preserve">Toutes les personnes privées de liberté bénéficient, en droit et dans la pratique, de toutes les garanties juridiques fondamentales dès le début de la privation de liberté, et notamment à ce qu’elles puissent consulter </w:t>
      </w:r>
      <w:r w:rsidR="006A5DCD" w:rsidRPr="0019307E">
        <w:rPr>
          <w:rFonts w:eastAsia="Malgun Gothic"/>
          <w:b/>
        </w:rPr>
        <w:t xml:space="preserve">rapidement </w:t>
      </w:r>
      <w:r w:rsidRPr="0019307E">
        <w:rPr>
          <w:rFonts w:eastAsia="Malgun Gothic"/>
          <w:b/>
        </w:rPr>
        <w:t xml:space="preserve">un avocat de leur choix, demander à être examinées par un médecin indépendant, contacter des membres de leur famille, être informées sans délai de leurs droits et des faits qui leur sont reprochés et être présentées à un juge dans les </w:t>
      </w:r>
      <w:proofErr w:type="spellStart"/>
      <w:r w:rsidR="00E12DF2">
        <w:rPr>
          <w:rFonts w:eastAsia="Malgun Gothic"/>
          <w:b/>
        </w:rPr>
        <w:t>quarante</w:t>
      </w:r>
      <w:r w:rsidR="00E12DF2">
        <w:rPr>
          <w:rFonts w:eastAsia="Malgun Gothic"/>
          <w:b/>
        </w:rPr>
        <w:noBreakHyphen/>
        <w:t>huit</w:t>
      </w:r>
      <w:proofErr w:type="spellEnd"/>
      <w:r w:rsidRPr="0019307E">
        <w:rPr>
          <w:rFonts w:eastAsia="Malgun Gothic"/>
          <w:b/>
        </w:rPr>
        <w:t> heures suivant la privation de</w:t>
      </w:r>
      <w:r w:rsidR="006A5DCD">
        <w:rPr>
          <w:rFonts w:eastAsia="Malgun Gothic"/>
          <w:b/>
        </w:rPr>
        <w:t> </w:t>
      </w:r>
      <w:r w:rsidRPr="0019307E">
        <w:rPr>
          <w:rFonts w:eastAsia="Malgun Gothic"/>
          <w:b/>
        </w:rPr>
        <w:t>liberté;</w:t>
      </w:r>
    </w:p>
    <w:p w:rsidR="00755175" w:rsidRPr="006A5DCD" w:rsidRDefault="00755175" w:rsidP="006A5DCD">
      <w:pPr>
        <w:pStyle w:val="SingleTxtG"/>
        <w:ind w:firstLine="567"/>
        <w:rPr>
          <w:rFonts w:eastAsia="Malgun Gothic"/>
          <w:b/>
        </w:rPr>
      </w:pPr>
      <w:r w:rsidRPr="006A5DCD">
        <w:rPr>
          <w:rFonts w:eastAsia="Malgun Gothic"/>
          <w:b/>
        </w:rPr>
        <w:t>b)</w:t>
      </w:r>
      <w:r w:rsidRPr="006A5DCD">
        <w:rPr>
          <w:rFonts w:eastAsia="Malgun Gothic"/>
          <w:b/>
        </w:rPr>
        <w:tab/>
        <w:t xml:space="preserve">Toutes les personnes privées de liberté puissent </w:t>
      </w:r>
      <w:r w:rsidRPr="006A5DCD">
        <w:rPr>
          <w:rFonts w:eastAsia="Malgun Gothic"/>
          <w:b/>
          <w:lang w:val="fr-FR"/>
        </w:rPr>
        <w:t xml:space="preserve">bénéficier </w:t>
      </w:r>
      <w:r w:rsidR="006A5DCD" w:rsidRPr="006A5DCD">
        <w:rPr>
          <w:rFonts w:eastAsia="Malgun Gothic"/>
          <w:b/>
        </w:rPr>
        <w:t xml:space="preserve">rapidement </w:t>
      </w:r>
      <w:r w:rsidRPr="006A5DCD">
        <w:rPr>
          <w:rFonts w:eastAsia="Malgun Gothic"/>
          <w:b/>
          <w:lang w:val="fr-FR"/>
        </w:rPr>
        <w:t>de l’assistance d’un avocat indépendant</w:t>
      </w:r>
      <w:r w:rsidRPr="006A5DCD">
        <w:rPr>
          <w:rFonts w:eastAsia="Malgun Gothic"/>
          <w:b/>
        </w:rPr>
        <w:t xml:space="preserve"> et s’entretenir en privé avec leur conseil;</w:t>
      </w:r>
    </w:p>
    <w:p w:rsidR="00755175" w:rsidRPr="006A5DCD" w:rsidRDefault="00755175" w:rsidP="006A5DCD">
      <w:pPr>
        <w:pStyle w:val="SingleTxtG"/>
        <w:ind w:firstLine="567"/>
        <w:rPr>
          <w:rFonts w:eastAsia="Malgun Gothic"/>
          <w:b/>
        </w:rPr>
      </w:pPr>
      <w:r w:rsidRPr="006A5DCD">
        <w:rPr>
          <w:rFonts w:eastAsia="Malgun Gothic"/>
          <w:b/>
        </w:rPr>
        <w:t>c)</w:t>
      </w:r>
      <w:r w:rsidRPr="006A5DCD">
        <w:rPr>
          <w:rFonts w:eastAsia="Malgun Gothic"/>
          <w:b/>
        </w:rPr>
        <w:tab/>
        <w:t xml:space="preserve">Tous les détenus, y compris les mineurs, soient inscrits sur un registre central des personnes privées de liberté, dans lequel les informations pertinentes au regard des garanties fondamentales soient immédiatement enregistrées et qui puisse être consulté par les avocats et les membres de la famille des personnes détenues et, le cas échéant, par d’autres personnes; que les garanties prévues pour les personnes privées de liberté soient respectées, notamment que les agents de l’État se conforment aux obligations qui leur incombent en ce qui concerne l’enregistrement des informations, et que tout agent de l’État </w:t>
      </w:r>
      <w:r w:rsidR="00935BBC">
        <w:rPr>
          <w:rFonts w:eastAsia="Malgun Gothic"/>
          <w:b/>
        </w:rPr>
        <w:t xml:space="preserve">privant un détenu des </w:t>
      </w:r>
      <w:r w:rsidRPr="006A5DCD">
        <w:rPr>
          <w:rFonts w:eastAsia="Malgun Gothic"/>
          <w:b/>
        </w:rPr>
        <w:t>garanties juridiques fondamentales fasse l’objet de mesures disciplinaires ou de poursuites pénales.</w:t>
      </w:r>
    </w:p>
    <w:p w:rsidR="00755175" w:rsidRPr="001F786F" w:rsidRDefault="00755175" w:rsidP="00935BBC">
      <w:pPr>
        <w:pStyle w:val="H23G"/>
        <w:rPr>
          <w:rFonts w:eastAsia="Malgun Gothic"/>
        </w:rPr>
      </w:pPr>
      <w:r>
        <w:rPr>
          <w:rFonts w:eastAsia="Malgun Gothic"/>
        </w:rPr>
        <w:tab/>
      </w:r>
      <w:r>
        <w:rPr>
          <w:rFonts w:eastAsia="Malgun Gothic"/>
        </w:rPr>
        <w:tab/>
      </w:r>
      <w:r>
        <w:t>Définition et incrimination de la torture</w:t>
      </w:r>
    </w:p>
    <w:p w:rsidR="00755175" w:rsidRPr="001F786F" w:rsidRDefault="00755175" w:rsidP="00755175">
      <w:pPr>
        <w:pStyle w:val="ParNoG"/>
        <w:rPr>
          <w:rFonts w:eastAsia="SimSun"/>
          <w:shd w:val="pct15" w:color="auto" w:fill="FFFFFF"/>
          <w:lang w:eastAsia="zh-CN"/>
        </w:rPr>
      </w:pPr>
      <w:r>
        <w:t>L</w:t>
      </w:r>
      <w:r w:rsidRPr="00955020">
        <w:t xml:space="preserve">e Comité </w:t>
      </w:r>
      <w:r>
        <w:t>accueille avec satisfaction</w:t>
      </w:r>
      <w:r w:rsidRPr="00955020">
        <w:t xml:space="preserve"> la récente modification </w:t>
      </w:r>
      <w:r>
        <w:t xml:space="preserve">de </w:t>
      </w:r>
      <w:r w:rsidRPr="00955020">
        <w:t>la définition de la torture</w:t>
      </w:r>
      <w:r>
        <w:t xml:space="preserve"> dans le</w:t>
      </w:r>
      <w:r w:rsidRPr="00955020">
        <w:t xml:space="preserve"> Code </w:t>
      </w:r>
      <w:r>
        <w:t>pénal</w:t>
      </w:r>
      <w:r w:rsidRPr="00955020">
        <w:t xml:space="preserve">, </w:t>
      </w:r>
      <w:r>
        <w:t>mais il</w:t>
      </w:r>
      <w:r w:rsidRPr="00955020">
        <w:t xml:space="preserve"> regrette que la définition de la torture </w:t>
      </w:r>
      <w:r>
        <w:t>figurant actuellement au paragraphe 1 de</w:t>
      </w:r>
      <w:r w:rsidRPr="00955020">
        <w:t xml:space="preserve"> l</w:t>
      </w:r>
      <w:r>
        <w:t>’</w:t>
      </w:r>
      <w:r w:rsidRPr="00955020">
        <w:t>article 305 du</w:t>
      </w:r>
      <w:r>
        <w:t>dit</w:t>
      </w:r>
      <w:r w:rsidR="005A4FCE">
        <w:t xml:space="preserve"> c</w:t>
      </w:r>
      <w:r w:rsidRPr="00955020">
        <w:t xml:space="preserve">ode limite la responsabilité pénale </w:t>
      </w:r>
      <w:r w:rsidRPr="00F13028">
        <w:t>aux agents de l</w:t>
      </w:r>
      <w:r>
        <w:t>’</w:t>
      </w:r>
      <w:r w:rsidRPr="00F13028">
        <w:t>État</w:t>
      </w:r>
      <w:r w:rsidRPr="00955020">
        <w:t xml:space="preserve">, </w:t>
      </w:r>
      <w:r w:rsidRPr="00F13028">
        <w:t>excluant d</w:t>
      </w:r>
      <w:r>
        <w:t>’</w:t>
      </w:r>
      <w:r w:rsidRPr="00F13028">
        <w:t>autres personnes agissant à titre officiel</w:t>
      </w:r>
      <w:r w:rsidRPr="00955020">
        <w:t xml:space="preserve">. </w:t>
      </w:r>
      <w:r>
        <w:t>Il</w:t>
      </w:r>
      <w:r w:rsidRPr="00955020">
        <w:t xml:space="preserve"> regrette </w:t>
      </w:r>
      <w:r>
        <w:t xml:space="preserve">également </w:t>
      </w:r>
      <w:r w:rsidRPr="00955020">
        <w:t>que l</w:t>
      </w:r>
      <w:r>
        <w:t>’</w:t>
      </w:r>
      <w:r w:rsidRPr="00955020">
        <w:t xml:space="preserve">infraction </w:t>
      </w:r>
      <w:r w:rsidRPr="00F13028">
        <w:t>spécifique</w:t>
      </w:r>
      <w:r w:rsidRPr="00955020">
        <w:t xml:space="preserve"> de torture </w:t>
      </w:r>
      <w:r>
        <w:t>ne soit</w:t>
      </w:r>
      <w:r w:rsidRPr="00955020">
        <w:t xml:space="preserve"> pas </w:t>
      </w:r>
      <w:r w:rsidRPr="00AB7D4C">
        <w:t>passible de peines appropriées, conformément aux dispositions de la Convention</w:t>
      </w:r>
      <w:r w:rsidRPr="00955020">
        <w:t xml:space="preserve">. </w:t>
      </w:r>
      <w:r>
        <w:t>Il</w:t>
      </w:r>
      <w:r w:rsidRPr="00955020">
        <w:t xml:space="preserve"> </w:t>
      </w:r>
      <w:r>
        <w:t>s’inquiète aussi</w:t>
      </w:r>
      <w:r w:rsidRPr="00955020">
        <w:t xml:space="preserve"> </w:t>
      </w:r>
      <w:r>
        <w:t>du</w:t>
      </w:r>
      <w:r w:rsidRPr="00955020">
        <w:t xml:space="preserve"> délai de prescription applicable à l</w:t>
      </w:r>
      <w:r>
        <w:t>’</w:t>
      </w:r>
      <w:r w:rsidRPr="00955020">
        <w:t>infraction de torture dans le droit interne</w:t>
      </w:r>
      <w:r>
        <w:t>, qui</w:t>
      </w:r>
      <w:r w:rsidRPr="00955020">
        <w:t xml:space="preserve"> </w:t>
      </w:r>
      <w:r>
        <w:t>risque de</w:t>
      </w:r>
      <w:r w:rsidRPr="00955020">
        <w:t xml:space="preserve"> </w:t>
      </w:r>
      <w:r>
        <w:t>faire obstacle aux enquêtes</w:t>
      </w:r>
      <w:r w:rsidR="005A4FCE">
        <w:t>,</w:t>
      </w:r>
      <w:r>
        <w:t xml:space="preserve"> aux poursuites </w:t>
      </w:r>
      <w:r w:rsidR="005A4FCE">
        <w:t xml:space="preserve">et aux condamnations </w:t>
      </w:r>
      <w:r>
        <w:t xml:space="preserve">concernant </w:t>
      </w:r>
      <w:r w:rsidR="005A4FCE">
        <w:t xml:space="preserve">ce type d’actes, dont l’interdiction revêt un caractère absolu </w:t>
      </w:r>
      <w:r w:rsidRPr="00955020">
        <w:t>(art.</w:t>
      </w:r>
      <w:r w:rsidR="005A4FCE">
        <w:t> </w:t>
      </w:r>
      <w:r w:rsidRPr="00955020">
        <w:t>1, 2 et</w:t>
      </w:r>
      <w:r w:rsidR="00CA79B6">
        <w:t> </w:t>
      </w:r>
      <w:r w:rsidRPr="00955020">
        <w:t>4).</w:t>
      </w:r>
    </w:p>
    <w:p w:rsidR="00755175" w:rsidRPr="006E761A" w:rsidRDefault="00755175" w:rsidP="006E761A">
      <w:pPr>
        <w:pStyle w:val="SingleTxtG"/>
        <w:rPr>
          <w:rFonts w:eastAsia="Malgun Gothic"/>
          <w:b/>
        </w:rPr>
      </w:pPr>
      <w:r w:rsidRPr="006E761A">
        <w:rPr>
          <w:rFonts w:eastAsia="Malgun Gothic"/>
          <w:b/>
        </w:rPr>
        <w:t>L’État partie devrait poursuivre ses efforts pour mettre sa législation nationale en conformité avec la Convention, notamment en faisant le nécessaire pour que la définition de la torture figurant au paragraphe 1 de l’article 305 du Code pénal reprenne tous les éléments énoncés dans l’article premier de la Convention et que les actes de torture soient passibles de peines appropriées prenant en considération la</w:t>
      </w:r>
      <w:r w:rsidR="008B3694">
        <w:rPr>
          <w:rFonts w:eastAsia="Malgun Gothic"/>
          <w:b/>
        </w:rPr>
        <w:t> </w:t>
      </w:r>
      <w:r w:rsidRPr="006E761A">
        <w:rPr>
          <w:rFonts w:eastAsia="Malgun Gothic"/>
          <w:b/>
        </w:rPr>
        <w:t>gravité de ces infractions, conformément aux dispositions du paragraphe</w:t>
      </w:r>
      <w:r w:rsidR="008B3694">
        <w:rPr>
          <w:rFonts w:eastAsia="Malgun Gothic"/>
          <w:b/>
        </w:rPr>
        <w:t> </w:t>
      </w:r>
      <w:r w:rsidRPr="006E761A">
        <w:rPr>
          <w:rFonts w:eastAsia="Malgun Gothic"/>
          <w:b/>
        </w:rPr>
        <w:t>2 de l’article</w:t>
      </w:r>
      <w:r w:rsidR="008B3694">
        <w:rPr>
          <w:rFonts w:eastAsia="Malgun Gothic"/>
          <w:b/>
        </w:rPr>
        <w:t> </w:t>
      </w:r>
      <w:r w:rsidRPr="006E761A">
        <w:rPr>
          <w:rFonts w:eastAsia="Malgun Gothic"/>
          <w:b/>
        </w:rPr>
        <w:t>4 de la Convention. En outre, l’État partie devrait prendre des mesures pour que l’interdiction de la torture soit absolue et que les actes de torture soient imprescriptibles.</w:t>
      </w:r>
    </w:p>
    <w:p w:rsidR="00755175" w:rsidRPr="001F786F" w:rsidRDefault="00755175" w:rsidP="008B3694">
      <w:pPr>
        <w:pStyle w:val="H23G"/>
        <w:rPr>
          <w:rFonts w:eastAsia="Malgun Gothic"/>
        </w:rPr>
      </w:pPr>
      <w:r>
        <w:rPr>
          <w:rFonts w:eastAsia="Malgun Gothic"/>
        </w:rPr>
        <w:tab/>
      </w:r>
      <w:r>
        <w:rPr>
          <w:rFonts w:eastAsia="Malgun Gothic"/>
        </w:rPr>
        <w:tab/>
      </w:r>
      <w:r w:rsidRPr="00BC05CE">
        <w:t>Place de la Convention dans l</w:t>
      </w:r>
      <w:r>
        <w:t>’</w:t>
      </w:r>
      <w:r w:rsidRPr="00BC05CE">
        <w:t>ordre juridique interne</w:t>
      </w:r>
    </w:p>
    <w:p w:rsidR="00755175" w:rsidRPr="001F786F" w:rsidRDefault="00755175" w:rsidP="00755175">
      <w:pPr>
        <w:pStyle w:val="ParNoG"/>
        <w:rPr>
          <w:lang w:eastAsia="ko-KR"/>
        </w:rPr>
      </w:pPr>
      <w:r>
        <w:t>L</w:t>
      </w:r>
      <w:r w:rsidRPr="000B7456">
        <w:t xml:space="preserve">e Comité </w:t>
      </w:r>
      <w:r>
        <w:t>salue le</w:t>
      </w:r>
      <w:r w:rsidRPr="000B7456">
        <w:t xml:space="preserve"> fait que les </w:t>
      </w:r>
      <w:r w:rsidR="00101D81">
        <w:t xml:space="preserve">instruments </w:t>
      </w:r>
      <w:r w:rsidRPr="000B7456">
        <w:t>internationaux so</w:t>
      </w:r>
      <w:r>
        <w:t>ie</w:t>
      </w:r>
      <w:r w:rsidRPr="000B7456">
        <w:t>nt directement applicables dans l</w:t>
      </w:r>
      <w:r>
        <w:t>’</w:t>
      </w:r>
      <w:r w:rsidRPr="000B7456">
        <w:t>Ét</w:t>
      </w:r>
      <w:r>
        <w:t>at partie en vertu de l’article </w:t>
      </w:r>
      <w:r w:rsidRPr="000B7456">
        <w:t xml:space="preserve">6 de la Constitution, </w:t>
      </w:r>
      <w:r>
        <w:t xml:space="preserve">mais il </w:t>
      </w:r>
      <w:r w:rsidRPr="000B7456">
        <w:t>note avec préoccupation que la Convention n</w:t>
      </w:r>
      <w:r>
        <w:t>’</w:t>
      </w:r>
      <w:r w:rsidRPr="000B7456">
        <w:t>a jamais été invoquée directement devant les tribunaux nationaux (CAT/C/KGZ/2, par. 14) (art. 2 et 10).</w:t>
      </w:r>
    </w:p>
    <w:p w:rsidR="00755175" w:rsidRPr="006C68BA" w:rsidRDefault="00755175" w:rsidP="006C68BA">
      <w:pPr>
        <w:pStyle w:val="SingleTxtG"/>
        <w:rPr>
          <w:rFonts w:eastAsia="SimSun"/>
          <w:b/>
          <w:lang w:eastAsia="zh-CN"/>
        </w:rPr>
      </w:pPr>
      <w:r w:rsidRPr="006C68BA">
        <w:rPr>
          <w:rFonts w:eastAsia="SimSun"/>
          <w:b/>
          <w:lang w:eastAsia="zh-CN"/>
        </w:rPr>
        <w:t xml:space="preserve">L’État partie devrait prendre les mesures requises pour garantir l’applicabilité de fait des dispositions de la Convention dans son ordre juridique interne, notamment en faisant en sorte que les </w:t>
      </w:r>
      <w:r w:rsidR="0099263D">
        <w:rPr>
          <w:rFonts w:eastAsia="SimSun"/>
          <w:b/>
          <w:lang w:eastAsia="zh-CN"/>
        </w:rPr>
        <w:t xml:space="preserve">membres </w:t>
      </w:r>
      <w:r w:rsidR="00A24A41">
        <w:rPr>
          <w:rFonts w:eastAsia="SimSun"/>
          <w:b/>
          <w:lang w:eastAsia="zh-CN"/>
        </w:rPr>
        <w:t xml:space="preserve">de l’appareil judiciaire et des forces de l’ordre soient formés aux </w:t>
      </w:r>
      <w:r w:rsidR="00D61AB6">
        <w:rPr>
          <w:rFonts w:eastAsia="SimSun"/>
          <w:b/>
          <w:lang w:eastAsia="zh-CN"/>
        </w:rPr>
        <w:t>dispositions de la Convention.</w:t>
      </w:r>
    </w:p>
    <w:p w:rsidR="00755175" w:rsidRPr="001F786F" w:rsidRDefault="00755175" w:rsidP="00D61AB6">
      <w:pPr>
        <w:pStyle w:val="H23G"/>
        <w:rPr>
          <w:rFonts w:eastAsia="Malgun Gothic"/>
        </w:rPr>
      </w:pPr>
      <w:r>
        <w:rPr>
          <w:rFonts w:eastAsia="Malgun Gothic"/>
          <w:lang w:eastAsia="ko-KR"/>
        </w:rPr>
        <w:tab/>
      </w:r>
      <w:r>
        <w:rPr>
          <w:rFonts w:eastAsia="Malgun Gothic"/>
          <w:lang w:eastAsia="ko-KR"/>
        </w:rPr>
        <w:tab/>
        <w:t>Indépenda</w:t>
      </w:r>
      <w:r w:rsidRPr="001F786F">
        <w:rPr>
          <w:rFonts w:eastAsia="Malgun Gothic"/>
          <w:lang w:eastAsia="ko-KR"/>
        </w:rPr>
        <w:t xml:space="preserve">nce </w:t>
      </w:r>
      <w:r>
        <w:rPr>
          <w:rFonts w:eastAsia="Malgun Gothic"/>
          <w:lang w:eastAsia="ko-KR"/>
        </w:rPr>
        <w:t>du pouvoir judiciaire</w:t>
      </w:r>
    </w:p>
    <w:p w:rsidR="00755175" w:rsidRPr="001F786F" w:rsidRDefault="00755175" w:rsidP="00755175">
      <w:pPr>
        <w:pStyle w:val="ParNoG"/>
      </w:pPr>
      <w:r w:rsidRPr="004E2A7C">
        <w:t xml:space="preserve">Le Comité </w:t>
      </w:r>
      <w:r>
        <w:t>prend acte d</w:t>
      </w:r>
      <w:r w:rsidRPr="00B275A6">
        <w:t>es efforts déployés par l</w:t>
      </w:r>
      <w:r>
        <w:t>’</w:t>
      </w:r>
      <w:r w:rsidRPr="00B275A6">
        <w:t>État partie pour garantir l</w:t>
      </w:r>
      <w:r>
        <w:t>’</w:t>
      </w:r>
      <w:r w:rsidRPr="00B275A6">
        <w:t xml:space="preserve">indépendance des juges, </w:t>
      </w:r>
      <w:r>
        <w:t>mais il</w:t>
      </w:r>
      <w:r w:rsidRPr="00B275A6">
        <w:t xml:space="preserve"> reste préoccupé par </w:t>
      </w:r>
      <w:r>
        <w:t>l</w:t>
      </w:r>
      <w:r w:rsidR="000B1B97">
        <w:t xml:space="preserve">es informations faisant état d’un manque </w:t>
      </w:r>
      <w:r w:rsidRPr="00B275A6">
        <w:t>d</w:t>
      </w:r>
      <w:r>
        <w:t>’</w:t>
      </w:r>
      <w:r w:rsidRPr="00B275A6">
        <w:t xml:space="preserve">indépendance du pouvoir judiciaire, </w:t>
      </w:r>
      <w:r>
        <w:t xml:space="preserve">et </w:t>
      </w:r>
      <w:r w:rsidRPr="00B275A6">
        <w:t xml:space="preserve">en particulier </w:t>
      </w:r>
      <w:r>
        <w:t>par le processus</w:t>
      </w:r>
      <w:r w:rsidRPr="00B275A6">
        <w:t xml:space="preserve"> de sélection </w:t>
      </w:r>
      <w:r w:rsidR="000B1B97">
        <w:t xml:space="preserve">et </w:t>
      </w:r>
      <w:r w:rsidRPr="00B275A6">
        <w:t xml:space="preserve">la </w:t>
      </w:r>
      <w:r w:rsidRPr="00AB7D4C">
        <w:t>procédure d</w:t>
      </w:r>
      <w:r>
        <w:t>’</w:t>
      </w:r>
      <w:r w:rsidRPr="00AB7D4C">
        <w:t>assermentation</w:t>
      </w:r>
      <w:r w:rsidRPr="00A01CFE">
        <w:t xml:space="preserve"> </w:t>
      </w:r>
      <w:r w:rsidR="000B1B97">
        <w:t xml:space="preserve">des juges, le réexamen de leurs fonctions tous les sept ans, </w:t>
      </w:r>
      <w:r>
        <w:t>la faiblesse de leur rémunération et le caractère précaire de leur statut</w:t>
      </w:r>
      <w:r w:rsidRPr="00B275A6">
        <w:t xml:space="preserve">, </w:t>
      </w:r>
      <w:r w:rsidR="000B1B97">
        <w:t xml:space="preserve">qui sont </w:t>
      </w:r>
      <w:r>
        <w:t>autant de facteurs</w:t>
      </w:r>
      <w:r w:rsidRPr="00B275A6">
        <w:t xml:space="preserve"> </w:t>
      </w:r>
      <w:r>
        <w:t>propices</w:t>
      </w:r>
      <w:r w:rsidRPr="00B275A6">
        <w:t xml:space="preserve"> à la corruption. Il est également profondément préoccupé par les informations </w:t>
      </w:r>
      <w:r>
        <w:t xml:space="preserve">indiquant </w:t>
      </w:r>
      <w:r w:rsidRPr="00B275A6">
        <w:t xml:space="preserve">que la corruption </w:t>
      </w:r>
      <w:r>
        <w:t>au sein du</w:t>
      </w:r>
      <w:r w:rsidRPr="00B275A6">
        <w:t xml:space="preserve"> système judiciaire contribue à un climat d</w:t>
      </w:r>
      <w:r>
        <w:t>’</w:t>
      </w:r>
      <w:r w:rsidR="002E01C5">
        <w:t>impunité (art. </w:t>
      </w:r>
      <w:r w:rsidRPr="00B275A6">
        <w:t>2).</w:t>
      </w:r>
    </w:p>
    <w:p w:rsidR="00755175" w:rsidRPr="00507E3A" w:rsidRDefault="00755175" w:rsidP="005924EF">
      <w:pPr>
        <w:pStyle w:val="SingleTxtG"/>
        <w:rPr>
          <w:rFonts w:eastAsia="Malgun Gothic"/>
          <w:b/>
          <w:spacing w:val="-2"/>
        </w:rPr>
      </w:pPr>
      <w:r w:rsidRPr="00507E3A">
        <w:rPr>
          <w:rFonts w:eastAsia="Malgun Gothic"/>
          <w:b/>
          <w:spacing w:val="-2"/>
        </w:rPr>
        <w:t>L’État partie devrait renforcer l’indépendance et l’impartialité des magistrats afin</w:t>
      </w:r>
      <w:r w:rsidR="00507E3A">
        <w:rPr>
          <w:rFonts w:eastAsia="Malgun Gothic"/>
          <w:b/>
          <w:spacing w:val="-2"/>
        </w:rPr>
        <w:t xml:space="preserve"> </w:t>
      </w:r>
      <w:r w:rsidRPr="00507E3A">
        <w:rPr>
          <w:rFonts w:eastAsia="Malgun Gothic"/>
          <w:b/>
          <w:spacing w:val="-2"/>
        </w:rPr>
        <w:t>que ceux</w:t>
      </w:r>
      <w:r w:rsidR="000E075D" w:rsidRPr="00507E3A">
        <w:rPr>
          <w:rFonts w:eastAsia="Malgun Gothic"/>
          <w:b/>
          <w:spacing w:val="-2"/>
        </w:rPr>
        <w:noBreakHyphen/>
      </w:r>
      <w:r w:rsidRPr="00507E3A">
        <w:rPr>
          <w:rFonts w:eastAsia="Malgun Gothic"/>
          <w:b/>
          <w:spacing w:val="-2"/>
        </w:rPr>
        <w:t>ci puissent assumer leurs fonctions de façon conforme aux normes internationales, en particulier aux Principes fondamentaux relatifs à l’indépendance de la magistrature, notamment en garantissant l’inamovibilité des juges. Il</w:t>
      </w:r>
      <w:r w:rsidR="00757714" w:rsidRPr="00507E3A">
        <w:rPr>
          <w:rFonts w:eastAsia="Malgun Gothic"/>
          <w:b/>
          <w:spacing w:val="-2"/>
        </w:rPr>
        <w:t> </w:t>
      </w:r>
      <w:r w:rsidRPr="00507E3A">
        <w:rPr>
          <w:rFonts w:eastAsia="Malgun Gothic"/>
          <w:b/>
          <w:spacing w:val="-2"/>
        </w:rPr>
        <w:t>devrait</w:t>
      </w:r>
      <w:r w:rsidR="00757714" w:rsidRPr="00507E3A">
        <w:rPr>
          <w:rFonts w:eastAsia="Malgun Gothic"/>
          <w:b/>
          <w:spacing w:val="-2"/>
        </w:rPr>
        <w:t> </w:t>
      </w:r>
      <w:r w:rsidRPr="00507E3A">
        <w:rPr>
          <w:rFonts w:eastAsia="Malgun Gothic"/>
          <w:b/>
          <w:spacing w:val="-2"/>
        </w:rPr>
        <w:t>mettre en œuvre les recommandations concernant le Kirghizistan formulées par le Rapporteur spécial sur l’indépendance des juges et des avocats (E/CN.4/2006/52/Add.3).</w:t>
      </w:r>
    </w:p>
    <w:p w:rsidR="00755175" w:rsidRPr="001F786F" w:rsidRDefault="00755175" w:rsidP="00165124">
      <w:pPr>
        <w:pStyle w:val="H23G"/>
        <w:rPr>
          <w:rFonts w:eastAsia="Malgun Gothic"/>
          <w:shd w:val="clear" w:color="auto" w:fill="FFFFFF"/>
        </w:rPr>
      </w:pPr>
      <w:r w:rsidRPr="001F786F">
        <w:rPr>
          <w:rFonts w:eastAsia="Malgun Gothic"/>
          <w:shd w:val="clear" w:color="auto" w:fill="FFFFFF"/>
        </w:rPr>
        <w:tab/>
      </w:r>
      <w:r w:rsidRPr="001F786F">
        <w:rPr>
          <w:rFonts w:eastAsia="Malgun Gothic"/>
          <w:shd w:val="clear" w:color="auto" w:fill="FFFFFF"/>
        </w:rPr>
        <w:tab/>
      </w:r>
      <w:r>
        <w:t>Aveux obtenus par la contrainte</w:t>
      </w:r>
    </w:p>
    <w:p w:rsidR="00755175" w:rsidRPr="001F786F" w:rsidRDefault="00755175" w:rsidP="00755175">
      <w:pPr>
        <w:pStyle w:val="ParNoG"/>
        <w:rPr>
          <w:lang w:eastAsia="ko-KR"/>
        </w:rPr>
      </w:pPr>
      <w:r w:rsidRPr="00A374A3">
        <w:rPr>
          <w:rFonts w:eastAsia="Malgun Gothic"/>
        </w:rPr>
        <w:t xml:space="preserve">Le Comité est </w:t>
      </w:r>
      <w:r>
        <w:rPr>
          <w:rFonts w:eastAsia="Malgun Gothic"/>
        </w:rPr>
        <w:t>profondément</w:t>
      </w:r>
      <w:r w:rsidRPr="00A374A3">
        <w:rPr>
          <w:rFonts w:eastAsia="Malgun Gothic"/>
        </w:rPr>
        <w:t xml:space="preserve"> préoccupé par </w:t>
      </w:r>
      <w:r>
        <w:rPr>
          <w:rFonts w:eastAsia="Malgun Gothic"/>
        </w:rPr>
        <w:t>les informations</w:t>
      </w:r>
      <w:r w:rsidRPr="00A374A3">
        <w:rPr>
          <w:rFonts w:eastAsia="Malgun Gothic"/>
        </w:rPr>
        <w:t xml:space="preserve"> nombreuses</w:t>
      </w:r>
      <w:r>
        <w:rPr>
          <w:rFonts w:eastAsia="Malgun Gothic"/>
        </w:rPr>
        <w:t xml:space="preserve">, </w:t>
      </w:r>
      <w:r w:rsidRPr="00A374A3">
        <w:rPr>
          <w:rFonts w:eastAsia="Malgun Gothic"/>
        </w:rPr>
        <w:t xml:space="preserve">cohérentes et crédibles </w:t>
      </w:r>
      <w:r>
        <w:t>selon lesquelles il est fréquent que des aveux</w:t>
      </w:r>
      <w:r w:rsidRPr="004E2A7C">
        <w:t xml:space="preserve"> obtenus par la contrainte </w:t>
      </w:r>
      <w:r>
        <w:t>soient retenus à titre de</w:t>
      </w:r>
      <w:r w:rsidRPr="004E2A7C">
        <w:t xml:space="preserve"> preuve</w:t>
      </w:r>
      <w:r>
        <w:t>s</w:t>
      </w:r>
      <w:r w:rsidRPr="004E2A7C">
        <w:t xml:space="preserve"> </w:t>
      </w:r>
      <w:r>
        <w:t xml:space="preserve">par </w:t>
      </w:r>
      <w:r w:rsidRPr="004E2A7C">
        <w:t>les tribunaux</w:t>
      </w:r>
      <w:r>
        <w:rPr>
          <w:rFonts w:eastAsia="Malgun Gothic"/>
        </w:rPr>
        <w:t>. Il note</w:t>
      </w:r>
      <w:r w:rsidRPr="00A374A3">
        <w:rPr>
          <w:rFonts w:eastAsia="Malgun Gothic"/>
        </w:rPr>
        <w:t xml:space="preserve"> que l</w:t>
      </w:r>
      <w:r>
        <w:rPr>
          <w:rFonts w:eastAsia="Malgun Gothic"/>
        </w:rPr>
        <w:t>’</w:t>
      </w:r>
      <w:r w:rsidRPr="00A374A3">
        <w:rPr>
          <w:rFonts w:eastAsia="Malgun Gothic"/>
        </w:rPr>
        <w:t>utilisation de preuves obtenues par des moyens illicites est interdite par la loi</w:t>
      </w:r>
      <w:r>
        <w:rPr>
          <w:rFonts w:eastAsia="Malgun Gothic"/>
        </w:rPr>
        <w:t xml:space="preserve"> mais </w:t>
      </w:r>
      <w:r w:rsidRPr="00A374A3">
        <w:rPr>
          <w:rFonts w:eastAsia="Malgun Gothic"/>
        </w:rPr>
        <w:t xml:space="preserve">il </w:t>
      </w:r>
      <w:r>
        <w:rPr>
          <w:rFonts w:eastAsia="Malgun Gothic"/>
        </w:rPr>
        <w:t>s’inquiète vivement de ce que</w:t>
      </w:r>
      <w:r w:rsidR="00004661">
        <w:rPr>
          <w:rFonts w:eastAsia="Malgun Gothic"/>
        </w:rPr>
        <w:t xml:space="preserve">, dans la pratique, les aveux occupent une place importante dans le </w:t>
      </w:r>
      <w:r w:rsidRPr="00A374A3">
        <w:rPr>
          <w:rFonts w:eastAsia="Malgun Gothic"/>
        </w:rPr>
        <w:t>système de justice pénale</w:t>
      </w:r>
      <w:r>
        <w:rPr>
          <w:rFonts w:eastAsia="Malgun Gothic"/>
        </w:rPr>
        <w:t>. Il</w:t>
      </w:r>
      <w:r w:rsidR="00004661">
        <w:rPr>
          <w:rFonts w:eastAsia="Malgun Gothic"/>
        </w:rPr>
        <w:t> </w:t>
      </w:r>
      <w:r w:rsidRPr="00A374A3">
        <w:rPr>
          <w:rFonts w:eastAsia="Malgun Gothic"/>
        </w:rPr>
        <w:t>est</w:t>
      </w:r>
      <w:r w:rsidR="00004661">
        <w:rPr>
          <w:rFonts w:eastAsia="Malgun Gothic"/>
        </w:rPr>
        <w:t> </w:t>
      </w:r>
      <w:r w:rsidRPr="00A374A3">
        <w:rPr>
          <w:rFonts w:eastAsia="Malgun Gothic"/>
        </w:rPr>
        <w:t xml:space="preserve">en outre préoccupé par les informations </w:t>
      </w:r>
      <w:r>
        <w:rPr>
          <w:rFonts w:eastAsia="Malgun Gothic"/>
        </w:rPr>
        <w:t>selon lesquelles</w:t>
      </w:r>
      <w:r w:rsidRPr="00A374A3">
        <w:rPr>
          <w:rFonts w:eastAsia="Malgun Gothic"/>
        </w:rPr>
        <w:t xml:space="preserve"> les juges </w:t>
      </w:r>
      <w:r>
        <w:rPr>
          <w:rFonts w:eastAsia="Malgun Gothic"/>
        </w:rPr>
        <w:t>refusent souvent</w:t>
      </w:r>
      <w:r w:rsidRPr="00A374A3">
        <w:rPr>
          <w:rFonts w:eastAsia="Malgun Gothic"/>
        </w:rPr>
        <w:t xml:space="preserve"> </w:t>
      </w:r>
      <w:r>
        <w:rPr>
          <w:rFonts w:eastAsia="Malgun Gothic"/>
        </w:rPr>
        <w:t xml:space="preserve">de </w:t>
      </w:r>
      <w:r w:rsidRPr="00E425F3">
        <w:rPr>
          <w:rFonts w:eastAsia="Malgun Gothic"/>
        </w:rPr>
        <w:t>donner suite aux</w:t>
      </w:r>
      <w:r w:rsidRPr="00A374A3">
        <w:rPr>
          <w:rFonts w:eastAsia="Malgun Gothic"/>
        </w:rPr>
        <w:t xml:space="preserve"> allégations </w:t>
      </w:r>
      <w:r>
        <w:rPr>
          <w:rFonts w:eastAsia="Malgun Gothic"/>
        </w:rPr>
        <w:t>formulées</w:t>
      </w:r>
      <w:r w:rsidRPr="00A374A3">
        <w:rPr>
          <w:rFonts w:eastAsia="Malgun Gothic"/>
        </w:rPr>
        <w:t xml:space="preserve"> par les </w:t>
      </w:r>
      <w:r>
        <w:rPr>
          <w:rFonts w:eastAsia="Malgun Gothic"/>
        </w:rPr>
        <w:t>accusés devant le</w:t>
      </w:r>
      <w:r w:rsidRPr="00A374A3">
        <w:rPr>
          <w:rFonts w:eastAsia="Malgun Gothic"/>
        </w:rPr>
        <w:t xml:space="preserve"> tribunal</w:t>
      </w:r>
      <w:r>
        <w:rPr>
          <w:rFonts w:eastAsia="Malgun Gothic"/>
        </w:rPr>
        <w:t xml:space="preserve">, </w:t>
      </w:r>
      <w:r w:rsidRPr="00A374A3">
        <w:rPr>
          <w:rFonts w:eastAsia="Malgun Gothic"/>
        </w:rPr>
        <w:t xml:space="preserve">ou </w:t>
      </w:r>
      <w:r>
        <w:rPr>
          <w:rFonts w:eastAsia="Malgun Gothic"/>
        </w:rPr>
        <w:t>d’autoriser</w:t>
      </w:r>
      <w:r w:rsidRPr="00A374A3">
        <w:rPr>
          <w:rFonts w:eastAsia="Malgun Gothic"/>
        </w:rPr>
        <w:t xml:space="preserve"> l</w:t>
      </w:r>
      <w:r>
        <w:rPr>
          <w:rFonts w:eastAsia="Malgun Gothic"/>
        </w:rPr>
        <w:t>’</w:t>
      </w:r>
      <w:r w:rsidRPr="00A374A3">
        <w:rPr>
          <w:rFonts w:eastAsia="Malgun Gothic"/>
        </w:rPr>
        <w:t xml:space="preserve">introduction </w:t>
      </w:r>
      <w:r>
        <w:rPr>
          <w:rFonts w:eastAsia="Malgun Gothic"/>
        </w:rPr>
        <w:t>à titre de preuve de</w:t>
      </w:r>
      <w:r w:rsidRPr="00A374A3">
        <w:rPr>
          <w:rFonts w:eastAsia="Malgun Gothic"/>
        </w:rPr>
        <w:t xml:space="preserve"> rapports médicaux indépendants </w:t>
      </w:r>
      <w:r>
        <w:rPr>
          <w:rFonts w:eastAsia="Malgun Gothic"/>
        </w:rPr>
        <w:t>tendant</w:t>
      </w:r>
      <w:r w:rsidRPr="00A374A3">
        <w:rPr>
          <w:rFonts w:eastAsia="Malgun Gothic"/>
        </w:rPr>
        <w:t xml:space="preserve"> à confirmer les </w:t>
      </w:r>
      <w:r>
        <w:rPr>
          <w:rFonts w:eastAsia="Malgun Gothic"/>
        </w:rPr>
        <w:t>griefs d’</w:t>
      </w:r>
      <w:r w:rsidRPr="00A374A3">
        <w:rPr>
          <w:rFonts w:eastAsia="Malgun Gothic"/>
        </w:rPr>
        <w:t>accusé</w:t>
      </w:r>
      <w:r>
        <w:rPr>
          <w:rFonts w:eastAsia="Malgun Gothic"/>
        </w:rPr>
        <w:t>s affirmant qu’on les a torturés pour leur extorquer</w:t>
      </w:r>
      <w:r w:rsidRPr="00A374A3">
        <w:rPr>
          <w:rFonts w:eastAsia="Malgun Gothic"/>
        </w:rPr>
        <w:t xml:space="preserve"> </w:t>
      </w:r>
      <w:r>
        <w:rPr>
          <w:rFonts w:eastAsia="Malgun Gothic"/>
        </w:rPr>
        <w:t xml:space="preserve">des aveux. </w:t>
      </w:r>
      <w:r w:rsidRPr="00A374A3">
        <w:rPr>
          <w:rFonts w:eastAsia="Malgun Gothic"/>
        </w:rPr>
        <w:t xml:space="preserve">Le Comité regrette </w:t>
      </w:r>
      <w:r>
        <w:rPr>
          <w:rFonts w:eastAsia="Malgun Gothic"/>
        </w:rPr>
        <w:t>que</w:t>
      </w:r>
      <w:r w:rsidRPr="00A374A3">
        <w:rPr>
          <w:rFonts w:eastAsia="Malgun Gothic"/>
        </w:rPr>
        <w:t xml:space="preserve"> l</w:t>
      </w:r>
      <w:r>
        <w:rPr>
          <w:rFonts w:eastAsia="Malgun Gothic"/>
        </w:rPr>
        <w:t>’</w:t>
      </w:r>
      <w:r w:rsidRPr="00A374A3">
        <w:rPr>
          <w:rFonts w:eastAsia="Malgun Gothic"/>
        </w:rPr>
        <w:t xml:space="preserve">État partie </w:t>
      </w:r>
      <w:r>
        <w:rPr>
          <w:rFonts w:eastAsia="Malgun Gothic"/>
        </w:rPr>
        <w:t xml:space="preserve">n’ait pas fourni d’informations </w:t>
      </w:r>
      <w:r w:rsidRPr="00A374A3">
        <w:rPr>
          <w:rFonts w:eastAsia="Malgun Gothic"/>
        </w:rPr>
        <w:t xml:space="preserve">sur </w:t>
      </w:r>
      <w:r>
        <w:rPr>
          <w:rFonts w:eastAsia="Malgun Gothic"/>
        </w:rPr>
        <w:t>des</w:t>
      </w:r>
      <w:r w:rsidRPr="00A374A3">
        <w:rPr>
          <w:rFonts w:eastAsia="Malgun Gothic"/>
        </w:rPr>
        <w:t xml:space="preserve"> </w:t>
      </w:r>
      <w:r>
        <w:rPr>
          <w:rFonts w:eastAsia="Malgun Gothic"/>
        </w:rPr>
        <w:t>affaires dans lesquelles des juges ou d</w:t>
      </w:r>
      <w:r w:rsidRPr="00A374A3">
        <w:rPr>
          <w:rFonts w:eastAsia="Malgun Gothic"/>
        </w:rPr>
        <w:t xml:space="preserve">es procureurs </w:t>
      </w:r>
      <w:r>
        <w:rPr>
          <w:rFonts w:eastAsia="Malgun Gothic"/>
        </w:rPr>
        <w:t>auraient</w:t>
      </w:r>
      <w:r w:rsidRPr="00A374A3">
        <w:rPr>
          <w:rFonts w:eastAsia="Malgun Gothic"/>
        </w:rPr>
        <w:t xml:space="preserve"> </w:t>
      </w:r>
      <w:r>
        <w:rPr>
          <w:rFonts w:eastAsia="Malgun Gothic"/>
        </w:rPr>
        <w:t>ordonné l’ouverture d’enquêtes</w:t>
      </w:r>
      <w:r w:rsidRPr="00A374A3">
        <w:rPr>
          <w:rFonts w:eastAsia="Malgun Gothic"/>
        </w:rPr>
        <w:t xml:space="preserve"> sur des allégations de torture </w:t>
      </w:r>
      <w:r>
        <w:rPr>
          <w:rFonts w:eastAsia="Malgun Gothic"/>
        </w:rPr>
        <w:t>formulées par d</w:t>
      </w:r>
      <w:r w:rsidRPr="00A374A3">
        <w:rPr>
          <w:rFonts w:eastAsia="Malgun Gothic"/>
        </w:rPr>
        <w:t xml:space="preserve">es </w:t>
      </w:r>
      <w:r>
        <w:rPr>
          <w:rFonts w:eastAsia="Malgun Gothic"/>
        </w:rPr>
        <w:t>accusés</w:t>
      </w:r>
      <w:r w:rsidRPr="00A374A3">
        <w:rPr>
          <w:rFonts w:eastAsia="Malgun Gothic"/>
        </w:rPr>
        <w:t xml:space="preserve"> devant le tribunal</w:t>
      </w:r>
      <w:r>
        <w:rPr>
          <w:rFonts w:eastAsia="Malgun Gothic"/>
        </w:rPr>
        <w:t xml:space="preserve">, </w:t>
      </w:r>
      <w:r w:rsidRPr="00A374A3">
        <w:rPr>
          <w:rFonts w:eastAsia="Malgun Gothic"/>
        </w:rPr>
        <w:t xml:space="preserve">et </w:t>
      </w:r>
      <w:r>
        <w:rPr>
          <w:rFonts w:eastAsia="Malgun Gothic"/>
        </w:rPr>
        <w:t xml:space="preserve">il </w:t>
      </w:r>
      <w:r w:rsidRPr="00A374A3">
        <w:rPr>
          <w:rFonts w:eastAsia="Malgun Gothic"/>
        </w:rPr>
        <w:t>s</w:t>
      </w:r>
      <w:r>
        <w:rPr>
          <w:rFonts w:eastAsia="Malgun Gothic"/>
        </w:rPr>
        <w:t>’</w:t>
      </w:r>
      <w:r w:rsidRPr="00A374A3">
        <w:rPr>
          <w:rFonts w:eastAsia="Malgun Gothic"/>
        </w:rPr>
        <w:t xml:space="preserve">inquiète </w:t>
      </w:r>
      <w:r>
        <w:rPr>
          <w:rFonts w:eastAsia="Malgun Gothic"/>
        </w:rPr>
        <w:t>de ce qu’aucun agent de l’État n’ait</w:t>
      </w:r>
      <w:r w:rsidRPr="00A374A3">
        <w:rPr>
          <w:rFonts w:eastAsia="Malgun Gothic"/>
        </w:rPr>
        <w:t xml:space="preserve"> été poursuivi et </w:t>
      </w:r>
      <w:r>
        <w:rPr>
          <w:rFonts w:eastAsia="Malgun Gothic"/>
        </w:rPr>
        <w:t>sanctionné</w:t>
      </w:r>
      <w:r w:rsidRPr="00A374A3">
        <w:rPr>
          <w:rFonts w:eastAsia="Malgun Gothic"/>
        </w:rPr>
        <w:t xml:space="preserve"> pour torture</w:t>
      </w:r>
      <w:r>
        <w:rPr>
          <w:rFonts w:eastAsia="Malgun Gothic"/>
        </w:rPr>
        <w:t xml:space="preserve">, </w:t>
      </w:r>
      <w:r w:rsidRPr="00E425F3">
        <w:rPr>
          <w:rFonts w:eastAsia="Malgun Gothic"/>
        </w:rPr>
        <w:t xml:space="preserve">même dans le seul cas porté à son attention dans lequel </w:t>
      </w:r>
      <w:r>
        <w:rPr>
          <w:rFonts w:eastAsia="Malgun Gothic"/>
        </w:rPr>
        <w:t xml:space="preserve">un tribunal a </w:t>
      </w:r>
      <w:r w:rsidR="00004661">
        <w:rPr>
          <w:rFonts w:eastAsia="Malgun Gothic"/>
        </w:rPr>
        <w:t xml:space="preserve">refusé d’admettre comme </w:t>
      </w:r>
      <w:r>
        <w:rPr>
          <w:rFonts w:eastAsia="Malgun Gothic"/>
        </w:rPr>
        <w:t xml:space="preserve">preuve </w:t>
      </w:r>
      <w:r w:rsidRPr="00AB7D4C">
        <w:rPr>
          <w:rFonts w:eastAsia="Malgun Gothic"/>
        </w:rPr>
        <w:t xml:space="preserve">des aveux obtenus </w:t>
      </w:r>
      <w:r w:rsidRPr="00E425F3">
        <w:rPr>
          <w:rFonts w:eastAsia="Malgun Gothic"/>
        </w:rPr>
        <w:t>par la torture</w:t>
      </w:r>
      <w:r w:rsidR="00004661">
        <w:rPr>
          <w:rFonts w:eastAsia="Malgun Gothic"/>
        </w:rPr>
        <w:t xml:space="preserve">, qui est le cas </w:t>
      </w:r>
      <w:r w:rsidRPr="007A4CDD">
        <w:rPr>
          <w:rFonts w:eastAsia="Malgun Gothic"/>
        </w:rPr>
        <w:t>de Farrukh</w:t>
      </w:r>
      <w:r w:rsidR="00004661">
        <w:rPr>
          <w:rFonts w:eastAsia="Malgun Gothic"/>
        </w:rPr>
        <w:t> </w:t>
      </w:r>
      <w:r w:rsidRPr="007A4CDD">
        <w:rPr>
          <w:rFonts w:eastAsia="Malgun Gothic"/>
        </w:rPr>
        <w:t xml:space="preserve">Gapiurov, </w:t>
      </w:r>
      <w:r>
        <w:rPr>
          <w:rFonts w:eastAsia="Malgun Gothic"/>
        </w:rPr>
        <w:t>poursuivi pour participation aux</w:t>
      </w:r>
      <w:r w:rsidRPr="007A4CDD">
        <w:rPr>
          <w:rFonts w:eastAsia="Malgun Gothic"/>
        </w:rPr>
        <w:t xml:space="preserve"> violences de</w:t>
      </w:r>
      <w:r w:rsidR="00004661">
        <w:rPr>
          <w:rFonts w:eastAsia="Malgun Gothic"/>
        </w:rPr>
        <w:t> </w:t>
      </w:r>
      <w:r w:rsidRPr="007A4CDD">
        <w:rPr>
          <w:rFonts w:eastAsia="Malgun Gothic"/>
        </w:rPr>
        <w:t>juin 2010</w:t>
      </w:r>
      <w:r w:rsidR="00004661">
        <w:rPr>
          <w:rFonts w:eastAsia="Malgun Gothic"/>
        </w:rPr>
        <w:t xml:space="preserve"> et acquitté </w:t>
      </w:r>
      <w:r w:rsidRPr="007A4CDD">
        <w:rPr>
          <w:rFonts w:eastAsia="Malgun Gothic"/>
        </w:rPr>
        <w:t>par le tribunal municipal d</w:t>
      </w:r>
      <w:r>
        <w:rPr>
          <w:rFonts w:eastAsia="Malgun Gothic"/>
        </w:rPr>
        <w:t>’Osh</w:t>
      </w:r>
      <w:r w:rsidR="00004661">
        <w:rPr>
          <w:rFonts w:eastAsia="Malgun Gothic"/>
        </w:rPr>
        <w:t xml:space="preserve"> </w:t>
      </w:r>
      <w:r w:rsidRPr="007A4CDD">
        <w:rPr>
          <w:rFonts w:eastAsia="Malgun Gothic"/>
        </w:rPr>
        <w:t>(art.</w:t>
      </w:r>
      <w:r w:rsidR="00004661">
        <w:rPr>
          <w:rFonts w:eastAsia="Malgun Gothic"/>
        </w:rPr>
        <w:t> </w:t>
      </w:r>
      <w:r w:rsidRPr="007A4CDD">
        <w:rPr>
          <w:rFonts w:eastAsia="Malgun Gothic"/>
        </w:rPr>
        <w:t>2 et</w:t>
      </w:r>
      <w:r w:rsidR="00004661">
        <w:rPr>
          <w:rFonts w:eastAsia="Malgun Gothic"/>
        </w:rPr>
        <w:t> </w:t>
      </w:r>
      <w:r w:rsidRPr="007A4CDD">
        <w:rPr>
          <w:rFonts w:eastAsia="Malgun Gothic"/>
        </w:rPr>
        <w:t>15).</w:t>
      </w:r>
    </w:p>
    <w:p w:rsidR="00755175" w:rsidRPr="007168D5" w:rsidRDefault="00755175" w:rsidP="00B713FF">
      <w:pPr>
        <w:pStyle w:val="SingleTxtG"/>
        <w:keepNext/>
        <w:spacing w:after="100" w:line="236" w:lineRule="exact"/>
        <w:rPr>
          <w:rFonts w:eastAsia="Malgun Gothic"/>
          <w:b/>
        </w:rPr>
      </w:pPr>
      <w:r w:rsidRPr="007168D5">
        <w:rPr>
          <w:rFonts w:eastAsia="Malgun Gothic"/>
          <w:b/>
        </w:rPr>
        <w:t xml:space="preserve">Le Comité </w:t>
      </w:r>
      <w:r w:rsidR="007168D5">
        <w:rPr>
          <w:rFonts w:eastAsia="Malgun Gothic"/>
          <w:b/>
        </w:rPr>
        <w:t xml:space="preserve">invite instamment </w:t>
      </w:r>
      <w:r w:rsidRPr="007168D5">
        <w:rPr>
          <w:rFonts w:eastAsia="Malgun Gothic"/>
          <w:b/>
        </w:rPr>
        <w:t>l’État partie à:</w:t>
      </w:r>
    </w:p>
    <w:p w:rsidR="00755175" w:rsidRPr="007168D5" w:rsidRDefault="00755175" w:rsidP="00B713FF">
      <w:pPr>
        <w:pStyle w:val="SingleTxtG"/>
        <w:spacing w:after="100" w:line="236" w:lineRule="exact"/>
        <w:ind w:firstLine="567"/>
        <w:rPr>
          <w:rFonts w:eastAsia="Malgun Gothic"/>
          <w:b/>
        </w:rPr>
      </w:pPr>
      <w:r w:rsidRPr="007168D5">
        <w:rPr>
          <w:rFonts w:eastAsia="Malgun Gothic"/>
          <w:b/>
        </w:rPr>
        <w:t>a)</w:t>
      </w:r>
      <w:r w:rsidR="007E2F6F">
        <w:rPr>
          <w:rFonts w:eastAsia="Malgun Gothic"/>
          <w:b/>
        </w:rPr>
        <w:tab/>
      </w:r>
      <w:r w:rsidRPr="007168D5">
        <w:rPr>
          <w:rFonts w:eastAsia="Malgun Gothic"/>
          <w:b/>
        </w:rPr>
        <w:t>Adopter des dispositions législatives interdisant expressément l’utilisation de preuves obtenues par la torture, conformément à l’article</w:t>
      </w:r>
      <w:r w:rsidR="00991CC0">
        <w:rPr>
          <w:rFonts w:eastAsia="Malgun Gothic"/>
          <w:b/>
        </w:rPr>
        <w:t> </w:t>
      </w:r>
      <w:r w:rsidRPr="007168D5">
        <w:rPr>
          <w:rFonts w:eastAsia="Malgun Gothic"/>
          <w:b/>
        </w:rPr>
        <w:t xml:space="preserve">15 de la Convention, et </w:t>
      </w:r>
      <w:r w:rsidR="004358C3">
        <w:rPr>
          <w:rFonts w:eastAsia="Malgun Gothic"/>
          <w:b/>
        </w:rPr>
        <w:t xml:space="preserve">garantir </w:t>
      </w:r>
      <w:r w:rsidRPr="007168D5">
        <w:rPr>
          <w:rFonts w:eastAsia="Malgun Gothic"/>
          <w:b/>
        </w:rPr>
        <w:t>leur mise en œuvre;</w:t>
      </w:r>
    </w:p>
    <w:p w:rsidR="00755175" w:rsidRPr="004358C3" w:rsidRDefault="00755175" w:rsidP="00B713FF">
      <w:pPr>
        <w:pStyle w:val="SingleTxtG"/>
        <w:spacing w:after="100" w:line="236" w:lineRule="exact"/>
        <w:ind w:firstLine="567"/>
        <w:rPr>
          <w:rFonts w:eastAsia="Malgun Gothic"/>
          <w:b/>
        </w:rPr>
      </w:pPr>
      <w:r w:rsidRPr="004358C3">
        <w:rPr>
          <w:rFonts w:eastAsia="Malgun Gothic"/>
          <w:b/>
        </w:rPr>
        <w:t>b)</w:t>
      </w:r>
      <w:r w:rsidR="00A13AB5">
        <w:rPr>
          <w:rFonts w:eastAsia="Malgun Gothic"/>
          <w:b/>
        </w:rPr>
        <w:tab/>
      </w:r>
      <w:r w:rsidRPr="00B713FF">
        <w:rPr>
          <w:rFonts w:eastAsia="Malgun Gothic"/>
          <w:b/>
          <w:spacing w:val="-2"/>
        </w:rPr>
        <w:t xml:space="preserve">Veiller à ce que les juges et les procureurs ouvrent une enquête et prennent d’office d’autres mesures correctives appropriées chaque fois qu’un accusé ou son avocat présente des éléments permettant raisonnablement de penser que des aveux ont été obtenus par </w:t>
      </w:r>
      <w:r w:rsidR="00A13AB5" w:rsidRPr="00B713FF">
        <w:rPr>
          <w:rFonts w:eastAsia="Malgun Gothic"/>
          <w:b/>
          <w:spacing w:val="-2"/>
        </w:rPr>
        <w:t xml:space="preserve">la </w:t>
      </w:r>
      <w:r w:rsidRPr="00B713FF">
        <w:rPr>
          <w:rFonts w:eastAsia="Malgun Gothic"/>
          <w:b/>
          <w:spacing w:val="-2"/>
        </w:rPr>
        <w:t>torture ou des mauvais traitements, et veiller à ce que les auteurs de telles violences soient poursuivis et sanctionnés, y compris dans le cas de</w:t>
      </w:r>
      <w:r w:rsidR="00A13AB5" w:rsidRPr="00B713FF">
        <w:rPr>
          <w:rFonts w:eastAsia="Malgun Gothic"/>
          <w:b/>
          <w:spacing w:val="-2"/>
        </w:rPr>
        <w:t> </w:t>
      </w:r>
      <w:r w:rsidRPr="00B713FF">
        <w:rPr>
          <w:rFonts w:eastAsia="Malgun Gothic"/>
          <w:b/>
          <w:spacing w:val="-2"/>
        </w:rPr>
        <w:t>Farrukh</w:t>
      </w:r>
      <w:r w:rsidR="00A13AB5" w:rsidRPr="00B713FF">
        <w:rPr>
          <w:rFonts w:eastAsia="Malgun Gothic"/>
          <w:b/>
          <w:spacing w:val="-2"/>
        </w:rPr>
        <w:t> </w:t>
      </w:r>
      <w:r w:rsidRPr="00B713FF">
        <w:rPr>
          <w:rFonts w:eastAsia="Malgun Gothic"/>
          <w:b/>
          <w:spacing w:val="-2"/>
        </w:rPr>
        <w:t>Gapiurov</w:t>
      </w:r>
      <w:r w:rsidRPr="004358C3">
        <w:rPr>
          <w:rFonts w:eastAsia="Malgun Gothic"/>
          <w:b/>
        </w:rPr>
        <w:t>;</w:t>
      </w:r>
    </w:p>
    <w:p w:rsidR="00755175" w:rsidRPr="00A13AB5" w:rsidRDefault="00755175" w:rsidP="00B713FF">
      <w:pPr>
        <w:pStyle w:val="SingleTxtG"/>
        <w:spacing w:after="100" w:line="236" w:lineRule="exact"/>
        <w:ind w:firstLine="567"/>
        <w:rPr>
          <w:rFonts w:eastAsia="Malgun Gothic"/>
          <w:b/>
        </w:rPr>
      </w:pPr>
      <w:r w:rsidRPr="00A13AB5">
        <w:rPr>
          <w:rFonts w:eastAsia="Malgun Gothic"/>
          <w:b/>
        </w:rPr>
        <w:t>c)</w:t>
      </w:r>
      <w:r w:rsidR="006548E6">
        <w:rPr>
          <w:rFonts w:eastAsia="Malgun Gothic"/>
          <w:b/>
        </w:rPr>
        <w:tab/>
      </w:r>
      <w:r w:rsidRPr="00A13AB5">
        <w:rPr>
          <w:rFonts w:eastAsia="Malgun Gothic"/>
          <w:b/>
        </w:rPr>
        <w:t xml:space="preserve">Faire le nécessaire pour que les résultats </w:t>
      </w:r>
      <w:r w:rsidR="008C6F12">
        <w:rPr>
          <w:rFonts w:eastAsia="Malgun Gothic"/>
          <w:b/>
        </w:rPr>
        <w:t>d’</w:t>
      </w:r>
      <w:r w:rsidRPr="00A13AB5">
        <w:rPr>
          <w:rFonts w:eastAsia="Malgun Gothic"/>
          <w:b/>
        </w:rPr>
        <w:t xml:space="preserve">examens médico-légaux indépendants </w:t>
      </w:r>
      <w:r w:rsidR="008C6F12">
        <w:rPr>
          <w:rFonts w:eastAsia="Malgun Gothic"/>
          <w:b/>
        </w:rPr>
        <w:t xml:space="preserve">produits par les </w:t>
      </w:r>
      <w:r w:rsidRPr="00A13AB5">
        <w:rPr>
          <w:rFonts w:eastAsia="Malgun Gothic"/>
          <w:b/>
        </w:rPr>
        <w:t>accusés qui affirment avoir été torturés soient considérés comme recevables à titre de preuve dans le cadre des procédures judiciaires et qu’une force probante égale à celle accordée aux rapports des professionnels de la santé employés par l’État leur soit reconnue, le cas échéant.</w:t>
      </w:r>
    </w:p>
    <w:p w:rsidR="00755175" w:rsidRPr="001F786F" w:rsidRDefault="00755175" w:rsidP="00B713FF">
      <w:pPr>
        <w:pStyle w:val="H23G"/>
        <w:spacing w:after="100" w:line="236" w:lineRule="exact"/>
        <w:rPr>
          <w:rFonts w:eastAsia="Malgun Gothic"/>
          <w:lang w:eastAsia="ko-KR"/>
        </w:rPr>
      </w:pPr>
      <w:r>
        <w:rPr>
          <w:rFonts w:eastAsia="Malgun Gothic"/>
          <w:lang w:eastAsia="ko-KR"/>
        </w:rPr>
        <w:tab/>
      </w:r>
      <w:r>
        <w:rPr>
          <w:rFonts w:eastAsia="Malgun Gothic"/>
          <w:lang w:eastAsia="ko-KR"/>
        </w:rPr>
        <w:tab/>
      </w:r>
      <w:r>
        <w:t>Institution nationale</w:t>
      </w:r>
      <w:r w:rsidRPr="00B60205">
        <w:t xml:space="preserve"> des droits de l</w:t>
      </w:r>
      <w:r>
        <w:t>’</w:t>
      </w:r>
      <w:r w:rsidRPr="00B60205">
        <w:t>homme</w:t>
      </w:r>
    </w:p>
    <w:p w:rsidR="00755175" w:rsidRPr="001F786F" w:rsidRDefault="00755175" w:rsidP="00B713FF">
      <w:pPr>
        <w:pStyle w:val="ParNoG"/>
        <w:spacing w:after="100" w:line="236" w:lineRule="exact"/>
        <w:rPr>
          <w:lang w:eastAsia="ko-KR"/>
        </w:rPr>
      </w:pPr>
      <w:r w:rsidRPr="00E50405">
        <w:t xml:space="preserve">Le Comité </w:t>
      </w:r>
      <w:r>
        <w:t>constate avec inquiétude</w:t>
      </w:r>
      <w:r w:rsidRPr="00E50405">
        <w:t xml:space="preserve"> que l</w:t>
      </w:r>
      <w:r>
        <w:t>’</w:t>
      </w:r>
      <w:r w:rsidRPr="00E50405">
        <w:t xml:space="preserve">organisation et les </w:t>
      </w:r>
      <w:r>
        <w:t>attributions</w:t>
      </w:r>
      <w:r w:rsidRPr="00E50405">
        <w:t xml:space="preserve"> du Bureau </w:t>
      </w:r>
      <w:r>
        <w:t>du Médiateur</w:t>
      </w:r>
      <w:r w:rsidRPr="00E50405">
        <w:t xml:space="preserve"> ne sont pas conformes aux </w:t>
      </w:r>
      <w:r w:rsidRPr="00AB7D4C">
        <w:t>Principes concernant le statut des institutions nationales pour la promotion et la protection des droits de l</w:t>
      </w:r>
      <w:r>
        <w:t>’</w:t>
      </w:r>
      <w:r w:rsidRPr="00AB7D4C">
        <w:t>homme (Principes de Paris)</w:t>
      </w:r>
      <w:r>
        <w:t>,</w:t>
      </w:r>
      <w:r w:rsidRPr="00E50405">
        <w:t xml:space="preserve"> </w:t>
      </w:r>
      <w:r>
        <w:t>notamment</w:t>
      </w:r>
      <w:r w:rsidRPr="00E50405">
        <w:t xml:space="preserve"> </w:t>
      </w:r>
      <w:r>
        <w:t xml:space="preserve">pour ce qui est </w:t>
      </w:r>
      <w:r w:rsidR="00417E0B">
        <w:t xml:space="preserve">de la procédure </w:t>
      </w:r>
      <w:r w:rsidRPr="00E50405">
        <w:t xml:space="preserve">de sélection </w:t>
      </w:r>
      <w:r>
        <w:t>du</w:t>
      </w:r>
      <w:r w:rsidRPr="00E50405">
        <w:t xml:space="preserve"> Médiateur</w:t>
      </w:r>
      <w:r>
        <w:t xml:space="preserve">, </w:t>
      </w:r>
      <w:r w:rsidR="00417E0B">
        <w:t xml:space="preserve">de la durée de son mandat et de son degré </w:t>
      </w:r>
      <w:r w:rsidRPr="008316C1">
        <w:t>d</w:t>
      </w:r>
      <w:r>
        <w:t>’</w:t>
      </w:r>
      <w:r w:rsidRPr="008316C1">
        <w:t>indépendance</w:t>
      </w:r>
      <w:r>
        <w:t xml:space="preserve">. Le Comité regrette que la loi </w:t>
      </w:r>
      <w:r w:rsidR="00417E0B">
        <w:t xml:space="preserve">sur le </w:t>
      </w:r>
      <w:r>
        <w:t>M</w:t>
      </w:r>
      <w:r w:rsidRPr="00E50405">
        <w:t>édiateur (</w:t>
      </w:r>
      <w:r w:rsidRPr="008316C1">
        <w:rPr>
          <w:i/>
        </w:rPr>
        <w:t>Akyikatchy</w:t>
      </w:r>
      <w:r w:rsidRPr="00E50405">
        <w:t>)</w:t>
      </w:r>
      <w:r>
        <w:t xml:space="preserve"> prévoie</w:t>
      </w:r>
      <w:r w:rsidRPr="00E50405">
        <w:t xml:space="preserve"> </w:t>
      </w:r>
      <w:r>
        <w:t>la possibilité de révoquer le Médiateur</w:t>
      </w:r>
      <w:r w:rsidRPr="00E50405">
        <w:t xml:space="preserve"> si </w:t>
      </w:r>
      <w:r>
        <w:t>son</w:t>
      </w:r>
      <w:r w:rsidRPr="00E50405">
        <w:t xml:space="preserve"> rapport annuel n</w:t>
      </w:r>
      <w:r>
        <w:t>’</w:t>
      </w:r>
      <w:r w:rsidRPr="00E50405">
        <w:t xml:space="preserve">est pas </w:t>
      </w:r>
      <w:r>
        <w:t xml:space="preserve">approuvé </w:t>
      </w:r>
      <w:r w:rsidRPr="00E50405">
        <w:t>(</w:t>
      </w:r>
      <w:r w:rsidRPr="00AB7D4C">
        <w:t>CAT/C/KGZ/2, par.</w:t>
      </w:r>
      <w:r w:rsidR="00417E0B">
        <w:t> 64</w:t>
      </w:r>
      <w:r w:rsidRPr="00E50405">
        <w:t xml:space="preserve">). </w:t>
      </w:r>
      <w:r w:rsidR="00417E0B">
        <w:t xml:space="preserve">Il </w:t>
      </w:r>
      <w:r w:rsidRPr="00E50405">
        <w:t>note que l</w:t>
      </w:r>
      <w:r>
        <w:t>’</w:t>
      </w:r>
      <w:r w:rsidRPr="00E50405">
        <w:t>État partie envisage d</w:t>
      </w:r>
      <w:r>
        <w:t>’</w:t>
      </w:r>
      <w:r w:rsidRPr="00E50405">
        <w:t xml:space="preserve">adopter un projet de loi visant à renforcer le Bureau </w:t>
      </w:r>
      <w:r>
        <w:t>du Médiateur</w:t>
      </w:r>
      <w:r w:rsidRPr="00E50405">
        <w:t xml:space="preserve"> (art.</w:t>
      </w:r>
      <w:r w:rsidR="00417E0B">
        <w:t> </w:t>
      </w:r>
      <w:r w:rsidRPr="00E50405">
        <w:t xml:space="preserve">2, 11 </w:t>
      </w:r>
      <w:r w:rsidRPr="00417E0B">
        <w:t>et</w:t>
      </w:r>
      <w:r w:rsidR="00BF31F8">
        <w:t> </w:t>
      </w:r>
      <w:r w:rsidRPr="00417E0B">
        <w:t>13</w:t>
      </w:r>
      <w:r w:rsidRPr="00E50405">
        <w:t>).</w:t>
      </w:r>
    </w:p>
    <w:p w:rsidR="00755175" w:rsidRPr="00B23CF4" w:rsidRDefault="00755175" w:rsidP="00B713FF">
      <w:pPr>
        <w:pStyle w:val="SingleTxtG"/>
        <w:spacing w:after="100" w:line="236" w:lineRule="exact"/>
        <w:rPr>
          <w:rFonts w:eastAsia="Malgun Gothic"/>
          <w:b/>
        </w:rPr>
      </w:pPr>
      <w:r w:rsidRPr="00B23CF4">
        <w:rPr>
          <w:rFonts w:eastAsia="Malgun Gothic"/>
          <w:b/>
        </w:rPr>
        <w:t xml:space="preserve">L’État partie devrait </w:t>
      </w:r>
      <w:r w:rsidR="000800DC">
        <w:rPr>
          <w:rFonts w:eastAsia="Malgun Gothic"/>
          <w:b/>
        </w:rPr>
        <w:t xml:space="preserve">mettre le </w:t>
      </w:r>
      <w:r w:rsidRPr="00B23CF4">
        <w:rPr>
          <w:rFonts w:eastAsia="Malgun Gothic"/>
          <w:b/>
        </w:rPr>
        <w:t xml:space="preserve">Bureau du Médiateur </w:t>
      </w:r>
      <w:r w:rsidR="000800DC">
        <w:rPr>
          <w:rFonts w:eastAsia="Malgun Gothic"/>
          <w:b/>
        </w:rPr>
        <w:t xml:space="preserve">en conformité </w:t>
      </w:r>
      <w:r w:rsidRPr="00B23CF4">
        <w:rPr>
          <w:rFonts w:eastAsia="Malgun Gothic"/>
          <w:b/>
        </w:rPr>
        <w:t>avec les Principes de Paris, notamment en garantissant son indépendance, et le doter des ressources nécessaires à son bon fonctionnement.</w:t>
      </w:r>
    </w:p>
    <w:p w:rsidR="00755175" w:rsidRPr="00F7596B" w:rsidRDefault="00755175" w:rsidP="00B713FF">
      <w:pPr>
        <w:pStyle w:val="H23G"/>
        <w:spacing w:after="100" w:line="236" w:lineRule="exact"/>
        <w:rPr>
          <w:rFonts w:eastAsia="Malgun Gothic"/>
          <w:shd w:val="clear" w:color="auto" w:fill="FFFFFF"/>
          <w:lang w:eastAsia="ko-KR"/>
        </w:rPr>
      </w:pPr>
      <w:r w:rsidRPr="001F786F">
        <w:rPr>
          <w:rFonts w:eastAsia="Malgun Gothic"/>
          <w:lang w:eastAsia="ko-KR"/>
        </w:rPr>
        <w:tab/>
      </w:r>
      <w:r w:rsidRPr="001F786F">
        <w:rPr>
          <w:rFonts w:eastAsia="Malgun Gothic"/>
          <w:lang w:eastAsia="ko-KR"/>
        </w:rPr>
        <w:tab/>
      </w:r>
      <w:r>
        <w:t>M</w:t>
      </w:r>
      <w:r w:rsidRPr="001F0BB7">
        <w:t xml:space="preserve">écanisme national de prévention </w:t>
      </w:r>
    </w:p>
    <w:p w:rsidR="00755175" w:rsidRDefault="00755175" w:rsidP="00B713FF">
      <w:pPr>
        <w:pStyle w:val="ParNoG"/>
        <w:spacing w:after="100" w:line="236" w:lineRule="exact"/>
      </w:pPr>
      <w:r>
        <w:t>L</w:t>
      </w:r>
      <w:r w:rsidRPr="001346FB">
        <w:t xml:space="preserve">e Comité </w:t>
      </w:r>
      <w:r>
        <w:t>accueille favorablement</w:t>
      </w:r>
      <w:r w:rsidRPr="001346FB">
        <w:t xml:space="preserve"> la création du </w:t>
      </w:r>
      <w:r w:rsidRPr="00AB7D4C">
        <w:t>Centre national de la République kirghize pour la prévention de la torture</w:t>
      </w:r>
      <w:r w:rsidRPr="001346FB">
        <w:t xml:space="preserve">, </w:t>
      </w:r>
      <w:r>
        <w:t>mais il</w:t>
      </w:r>
      <w:r w:rsidRPr="001346FB">
        <w:t xml:space="preserve"> </w:t>
      </w:r>
      <w:r w:rsidR="00770080">
        <w:t xml:space="preserve">note avec préoccupation </w:t>
      </w:r>
      <w:r>
        <w:t>que les</w:t>
      </w:r>
      <w:r w:rsidRPr="001346FB">
        <w:t xml:space="preserve"> activités </w:t>
      </w:r>
      <w:r>
        <w:t>de ce centre en tant que</w:t>
      </w:r>
      <w:r w:rsidRPr="001346FB">
        <w:t xml:space="preserve"> mécanisme national de prévention </w:t>
      </w:r>
      <w:r w:rsidR="00770080">
        <w:t xml:space="preserve">n’ont </w:t>
      </w:r>
      <w:r>
        <w:t>pas encore débuté</w:t>
      </w:r>
      <w:r w:rsidRPr="001346FB">
        <w:t xml:space="preserve">, </w:t>
      </w:r>
      <w:r>
        <w:t>essentiellement en raison de l’insuffisance de son</w:t>
      </w:r>
      <w:r w:rsidR="00770080">
        <w:t xml:space="preserve"> budget (art. </w:t>
      </w:r>
      <w:r w:rsidRPr="001346FB">
        <w:t>16).</w:t>
      </w:r>
    </w:p>
    <w:p w:rsidR="00755175" w:rsidRPr="00AA7383" w:rsidRDefault="00755175" w:rsidP="00B713FF">
      <w:pPr>
        <w:pStyle w:val="SingleTxtG"/>
        <w:spacing w:after="100" w:line="236" w:lineRule="exact"/>
        <w:rPr>
          <w:b/>
        </w:rPr>
      </w:pPr>
      <w:r w:rsidRPr="00AA7383">
        <w:rPr>
          <w:b/>
        </w:rPr>
        <w:t>L’État partie devrait veiller à ce que: a)</w:t>
      </w:r>
      <w:r w:rsidR="00AA7383">
        <w:rPr>
          <w:b/>
        </w:rPr>
        <w:t> </w:t>
      </w:r>
      <w:r w:rsidRPr="00AA7383">
        <w:rPr>
          <w:b/>
        </w:rPr>
        <w:t>le Centre national pour la prévention de la torture dispose des ressources financières, humaines et matérielles nécessaires pour s’acquitter de son mandat de manière indépendante et efficace; b)</w:t>
      </w:r>
      <w:r w:rsidR="00AA7383">
        <w:rPr>
          <w:b/>
        </w:rPr>
        <w:t> </w:t>
      </w:r>
      <w:r w:rsidRPr="00AA7383">
        <w:rPr>
          <w:b/>
        </w:rPr>
        <w:t>toutes les personnes participant à l’administration des lieux de détention soient informées des droits des membres du Centre national pour la prévention de la torture.</w:t>
      </w:r>
    </w:p>
    <w:p w:rsidR="00755175" w:rsidRPr="001F786F" w:rsidRDefault="00755175" w:rsidP="00B713FF">
      <w:pPr>
        <w:pStyle w:val="H23G"/>
        <w:spacing w:after="100" w:line="236" w:lineRule="exact"/>
        <w:rPr>
          <w:rFonts w:eastAsia="Malgun Gothic"/>
        </w:rPr>
      </w:pPr>
      <w:r w:rsidRPr="001F786F">
        <w:rPr>
          <w:rFonts w:eastAsia="Malgun Gothic"/>
        </w:rPr>
        <w:tab/>
      </w:r>
      <w:r w:rsidRPr="001F786F">
        <w:rPr>
          <w:rFonts w:eastAsia="Malgun Gothic"/>
        </w:rPr>
        <w:tab/>
      </w:r>
      <w:r>
        <w:rPr>
          <w:rFonts w:eastAsia="Malgun Gothic"/>
        </w:rPr>
        <w:t>Défenseurs des droits de l’homme</w:t>
      </w:r>
    </w:p>
    <w:p w:rsidR="00755175" w:rsidRDefault="00755175" w:rsidP="00B713FF">
      <w:pPr>
        <w:pStyle w:val="ParNoG"/>
        <w:spacing w:after="100" w:line="236" w:lineRule="exact"/>
      </w:pPr>
      <w:r>
        <w:t>Le Comité se déclare profondément préoccupé par les nombreuses informations faisant état d’actes d’intimidation, de représailles et de menaces à l’égard de défenseurs des droits de l’homme, de journalistes et d’avocats, ainsi que par l’absence de renseignements sur les enquêtes m</w:t>
      </w:r>
      <w:r w:rsidR="00410369">
        <w:t>enées sur ces allégations (art. </w:t>
      </w:r>
      <w:r>
        <w:t>2, 12 et</w:t>
      </w:r>
      <w:r w:rsidR="00410369">
        <w:t> </w:t>
      </w:r>
      <w:r>
        <w:t>16).</w:t>
      </w:r>
    </w:p>
    <w:p w:rsidR="00755175" w:rsidRDefault="00755175" w:rsidP="00430A25">
      <w:pPr>
        <w:pStyle w:val="SingleTxtG"/>
        <w:keepNext/>
        <w:spacing w:after="100" w:line="236" w:lineRule="exact"/>
      </w:pPr>
      <w:r>
        <w:t>En particulier, le Comité est préoccupé par:</w:t>
      </w:r>
    </w:p>
    <w:p w:rsidR="00C53613" w:rsidRDefault="00755175" w:rsidP="00B713FF">
      <w:pPr>
        <w:pStyle w:val="SingleTxtG"/>
        <w:spacing w:after="100" w:line="236" w:lineRule="exact"/>
        <w:ind w:firstLine="567"/>
      </w:pPr>
      <w:r>
        <w:t>a)</w:t>
      </w:r>
      <w:r w:rsidR="00C53613">
        <w:tab/>
        <w:t>L</w:t>
      </w:r>
      <w:r>
        <w:t xml:space="preserve">es informations selon lesquelles des défenseurs des droits de l’homme </w:t>
      </w:r>
      <w:r w:rsidR="00C53613">
        <w:t xml:space="preserve">auraient </w:t>
      </w:r>
      <w:r>
        <w:t>été arrêtés et inculpés d’infractions pénales, en représailles pour leurs activités, et les nombreuses violations des garanties d’une procédure régulière signalé</w:t>
      </w:r>
      <w:r w:rsidR="00C53613">
        <w:t>e</w:t>
      </w:r>
      <w:r>
        <w:t>s, y</w:t>
      </w:r>
      <w:r w:rsidR="00C53613">
        <w:t> </w:t>
      </w:r>
      <w:r>
        <w:t xml:space="preserve">compris </w:t>
      </w:r>
      <w:r w:rsidR="00C53613">
        <w:t xml:space="preserve">dans </w:t>
      </w:r>
      <w:r>
        <w:t>l’affaire d’Azimjan</w:t>
      </w:r>
      <w:r w:rsidR="00C53613">
        <w:t> </w:t>
      </w:r>
      <w:r>
        <w:t>Askarov;</w:t>
      </w:r>
    </w:p>
    <w:p w:rsidR="0061727D" w:rsidRDefault="00755175" w:rsidP="0061727D">
      <w:pPr>
        <w:pStyle w:val="SingleTxtG"/>
        <w:ind w:firstLine="567"/>
      </w:pPr>
      <w:r>
        <w:t>b)</w:t>
      </w:r>
      <w:r w:rsidR="00C53613">
        <w:tab/>
      </w:r>
      <w:r>
        <w:t xml:space="preserve">L’absence d’intervention de l’État partie pour prévenir et réprimer les agressions physiques perpétrées contre des avocats, tant à l’intérieur qu’à l’extérieur des tribunaux, comme dans le cas de </w:t>
      </w:r>
      <w:r w:rsidRPr="00AB7D4C">
        <w:t>Tatyana Tomina</w:t>
      </w:r>
      <w:r>
        <w:t xml:space="preserve">, qui a </w:t>
      </w:r>
      <w:r w:rsidR="00B16127">
        <w:t xml:space="preserve">été victime </w:t>
      </w:r>
      <w:r>
        <w:t xml:space="preserve">d’agressions violentes rapportées par le Rapporteur spécial sur la situation des défenseurs des droits de l’homme (A/HRC/19/55/Add.2, par. 211). </w:t>
      </w:r>
      <w:r w:rsidR="00B16127">
        <w:t>M</w:t>
      </w:r>
      <w:r w:rsidR="00B16127" w:rsidRPr="00D91DA2">
        <w:rPr>
          <w:vertAlign w:val="superscript"/>
        </w:rPr>
        <w:t>me</w:t>
      </w:r>
      <w:r w:rsidR="00B16127">
        <w:t> </w:t>
      </w:r>
      <w:r>
        <w:t>Tomina aurait été battue à nouveau le</w:t>
      </w:r>
      <w:r w:rsidR="00B16127">
        <w:t> </w:t>
      </w:r>
      <w:r>
        <w:t xml:space="preserve">2 avril 2013, de même qu’un autre avocat, </w:t>
      </w:r>
      <w:r w:rsidRPr="00AB7D4C">
        <w:t>Ulugbek Usmanov</w:t>
      </w:r>
      <w:r>
        <w:t>, à l’intérieur de la Cour suprême;</w:t>
      </w:r>
    </w:p>
    <w:p w:rsidR="00755175" w:rsidRPr="001F786F" w:rsidRDefault="00755175" w:rsidP="0061727D">
      <w:pPr>
        <w:pStyle w:val="SingleTxtG"/>
        <w:ind w:firstLine="567"/>
        <w:rPr>
          <w:rFonts w:eastAsia="Batang"/>
        </w:rPr>
      </w:pPr>
      <w:r>
        <w:t>c)</w:t>
      </w:r>
      <w:r w:rsidR="0061727D">
        <w:tab/>
      </w:r>
      <w:r>
        <w:t xml:space="preserve">Plusieurs projets de loi troublants en cours d’examen au Parlement, notamment un texte qui donnerait aux autorités toute latitude pour intervenir dans les affaires internes des organisations non gouvernementales nationales et internationales et pour suspendre leurs activités ou y mettre fin pour de vagues raisons administratives, ainsi qu’un autre projet de loi qui modifierait la définition du crime de trahison de telle manière </w:t>
      </w:r>
      <w:r w:rsidR="00A84DC8">
        <w:t xml:space="preserve">que la société civile pourrait être dissuadée de communiquer des </w:t>
      </w:r>
      <w:r>
        <w:t xml:space="preserve">informations sur la situation des droits de l’homme </w:t>
      </w:r>
      <w:r w:rsidR="00A84DC8">
        <w:t>aux organismes internationaux</w:t>
      </w:r>
      <w:r>
        <w:t>.</w:t>
      </w:r>
    </w:p>
    <w:p w:rsidR="00755175" w:rsidRPr="00A84DC8" w:rsidRDefault="00755175" w:rsidP="00A84DC8">
      <w:pPr>
        <w:pStyle w:val="SingleTxtG"/>
        <w:keepNext/>
        <w:rPr>
          <w:rFonts w:eastAsia="Malgun Gothic"/>
          <w:b/>
        </w:rPr>
      </w:pPr>
      <w:r w:rsidRPr="00A84DC8">
        <w:rPr>
          <w:rFonts w:eastAsia="Malgun Gothic"/>
          <w:b/>
        </w:rPr>
        <w:t>Comme il s’y est engagé dans le cadre de l’Examen périodique universel (A/HRC/15/2, par</w:t>
      </w:r>
      <w:r w:rsidR="00A84DC8">
        <w:rPr>
          <w:rFonts w:eastAsia="Malgun Gothic"/>
          <w:b/>
        </w:rPr>
        <w:t> </w:t>
      </w:r>
      <w:r w:rsidRPr="00A84DC8">
        <w:rPr>
          <w:rFonts w:eastAsia="Malgun Gothic"/>
          <w:b/>
        </w:rPr>
        <w:t>76.57 et</w:t>
      </w:r>
      <w:r w:rsidR="00A84DC8">
        <w:rPr>
          <w:rFonts w:eastAsia="Malgun Gothic"/>
          <w:b/>
        </w:rPr>
        <w:t> </w:t>
      </w:r>
      <w:r w:rsidRPr="00A84DC8">
        <w:rPr>
          <w:rFonts w:eastAsia="Malgun Gothic"/>
          <w:b/>
        </w:rPr>
        <w:t>76.74), l’État partie devrait:</w:t>
      </w:r>
    </w:p>
    <w:p w:rsidR="00A84DC8" w:rsidRPr="00A84DC8" w:rsidRDefault="00755175" w:rsidP="00A84DC8">
      <w:pPr>
        <w:pStyle w:val="SingleTxtG"/>
        <w:ind w:firstLine="567"/>
        <w:rPr>
          <w:rFonts w:eastAsia="Malgun Gothic"/>
          <w:b/>
        </w:rPr>
      </w:pPr>
      <w:r w:rsidRPr="00A84DC8">
        <w:rPr>
          <w:rFonts w:eastAsia="Malgun Gothic"/>
          <w:b/>
        </w:rPr>
        <w:t>a)</w:t>
      </w:r>
      <w:r w:rsidR="00A84DC8" w:rsidRPr="00A84DC8">
        <w:rPr>
          <w:rFonts w:eastAsia="Malgun Gothic"/>
          <w:b/>
        </w:rPr>
        <w:tab/>
      </w:r>
      <w:r w:rsidRPr="00A84DC8">
        <w:rPr>
          <w:rFonts w:eastAsia="Malgun Gothic"/>
          <w:b/>
        </w:rPr>
        <w:t>Prendre toutes les mesures nécessaires pour que les défenseurs des droits de l’homme et les avocats indépendants soient protégés contre les actes d’intimidation ou de violence liés à leurs activités;</w:t>
      </w:r>
    </w:p>
    <w:p w:rsidR="00D85CA1" w:rsidRPr="00D85CA1" w:rsidRDefault="00755175" w:rsidP="00D85CA1">
      <w:pPr>
        <w:pStyle w:val="SingleTxtG"/>
        <w:ind w:firstLine="567"/>
        <w:rPr>
          <w:rFonts w:eastAsia="Malgun Gothic"/>
          <w:b/>
        </w:rPr>
      </w:pPr>
      <w:r w:rsidRPr="00D85CA1">
        <w:rPr>
          <w:rFonts w:eastAsia="Malgun Gothic"/>
          <w:b/>
        </w:rPr>
        <w:t>b)</w:t>
      </w:r>
      <w:r w:rsidR="00A84DC8" w:rsidRPr="00D85CA1">
        <w:rPr>
          <w:rFonts w:eastAsia="Malgun Gothic"/>
          <w:b/>
        </w:rPr>
        <w:tab/>
      </w:r>
      <w:r w:rsidRPr="00A94C9F">
        <w:rPr>
          <w:rFonts w:eastAsia="Malgun Gothic"/>
          <w:b/>
          <w:spacing w:val="-2"/>
        </w:rPr>
        <w:t>Faire en sorte qu’une enquête impartiale et approfondie soit menée sans délai sur toutes les allégations faisant état de harcèlement, de torture ou de mauvais traitements à l’égard de défenseurs des droi</w:t>
      </w:r>
      <w:r w:rsidR="001F7FD4" w:rsidRPr="00A94C9F">
        <w:rPr>
          <w:rFonts w:eastAsia="Malgun Gothic"/>
          <w:b/>
          <w:spacing w:val="-2"/>
        </w:rPr>
        <w:t>ts de l’homme, y </w:t>
      </w:r>
      <w:r w:rsidRPr="00A94C9F">
        <w:rPr>
          <w:rFonts w:eastAsia="Malgun Gothic"/>
          <w:b/>
          <w:spacing w:val="-2"/>
        </w:rPr>
        <w:t>compris Azimjan</w:t>
      </w:r>
      <w:r w:rsidR="001F7FD4" w:rsidRPr="00A94C9F">
        <w:rPr>
          <w:rFonts w:eastAsia="Malgun Gothic"/>
          <w:b/>
          <w:spacing w:val="-2"/>
        </w:rPr>
        <w:t> </w:t>
      </w:r>
      <w:r w:rsidRPr="00A94C9F">
        <w:rPr>
          <w:rFonts w:eastAsia="Malgun Gothic"/>
          <w:b/>
          <w:spacing w:val="-2"/>
        </w:rPr>
        <w:t>Askarov, Tatyana</w:t>
      </w:r>
      <w:r w:rsidR="001F7FD4" w:rsidRPr="00A94C9F">
        <w:rPr>
          <w:rFonts w:eastAsia="Malgun Gothic"/>
          <w:b/>
          <w:spacing w:val="-2"/>
        </w:rPr>
        <w:t> </w:t>
      </w:r>
      <w:r w:rsidRPr="00A94C9F">
        <w:rPr>
          <w:rFonts w:eastAsia="Malgun Gothic"/>
          <w:b/>
          <w:spacing w:val="-2"/>
        </w:rPr>
        <w:t>Tomina et Ulugbek</w:t>
      </w:r>
      <w:r w:rsidR="001F7FD4" w:rsidRPr="00A94C9F">
        <w:rPr>
          <w:rFonts w:eastAsia="Malgun Gothic"/>
          <w:b/>
          <w:spacing w:val="-2"/>
        </w:rPr>
        <w:t> </w:t>
      </w:r>
      <w:r w:rsidRPr="00A94C9F">
        <w:rPr>
          <w:rFonts w:eastAsia="Malgun Gothic"/>
          <w:b/>
          <w:spacing w:val="-2"/>
        </w:rPr>
        <w:t>Usmanov, et que les auteurs de ces actes soient poursuivis en justice et condamnés à des peines appropriées;</w:t>
      </w:r>
    </w:p>
    <w:p w:rsidR="00755175" w:rsidRPr="00D85CA1" w:rsidRDefault="00755175" w:rsidP="00D85CA1">
      <w:pPr>
        <w:pStyle w:val="SingleTxtG"/>
        <w:ind w:firstLine="567"/>
        <w:rPr>
          <w:rFonts w:eastAsia="Malgun Gothic"/>
          <w:b/>
        </w:rPr>
      </w:pPr>
      <w:r w:rsidRPr="00D85CA1">
        <w:rPr>
          <w:rFonts w:eastAsia="Malgun Gothic"/>
          <w:b/>
        </w:rPr>
        <w:t>c)</w:t>
      </w:r>
      <w:r w:rsidR="00D85CA1" w:rsidRPr="00D85CA1">
        <w:rPr>
          <w:rFonts w:eastAsia="Malgun Gothic"/>
          <w:b/>
        </w:rPr>
        <w:tab/>
      </w:r>
      <w:r w:rsidRPr="00D85CA1">
        <w:rPr>
          <w:rFonts w:eastAsia="Malgun Gothic"/>
          <w:b/>
        </w:rPr>
        <w:t>Envisager d’accepter la demande de visite du Rapporteur spécial sur la situation des défenseurs des droits de l’homme (A/HRC/22/47/Add.4, par.</w:t>
      </w:r>
      <w:r w:rsidR="00D85CA1">
        <w:rPr>
          <w:rFonts w:eastAsia="Malgun Gothic"/>
          <w:b/>
        </w:rPr>
        <w:t> </w:t>
      </w:r>
      <w:r w:rsidRPr="00D85CA1">
        <w:rPr>
          <w:rFonts w:eastAsia="Malgun Gothic"/>
          <w:b/>
        </w:rPr>
        <w:t>250);</w:t>
      </w:r>
    </w:p>
    <w:p w:rsidR="00755175" w:rsidRPr="00D85CA1" w:rsidRDefault="00755175" w:rsidP="00D85CA1">
      <w:pPr>
        <w:pStyle w:val="SingleTxtG"/>
        <w:ind w:firstLine="567"/>
        <w:rPr>
          <w:rFonts w:eastAsia="Malgun Gothic"/>
          <w:b/>
        </w:rPr>
      </w:pPr>
      <w:r w:rsidRPr="00D85CA1">
        <w:rPr>
          <w:rFonts w:eastAsia="Malgun Gothic"/>
          <w:b/>
        </w:rPr>
        <w:t>d)</w:t>
      </w:r>
      <w:r w:rsidR="00D85CA1" w:rsidRPr="00D85CA1">
        <w:rPr>
          <w:rFonts w:eastAsia="Malgun Gothic"/>
          <w:b/>
        </w:rPr>
        <w:tab/>
      </w:r>
      <w:r w:rsidRPr="00D85CA1">
        <w:rPr>
          <w:rFonts w:eastAsia="Malgun Gothic"/>
          <w:b/>
        </w:rPr>
        <w:t>S’abstenir de promulguer des lois qui empêcheraient les défenseurs des droits de l’homme de mener leurs activités, conformément aux dispositions de la Déclaration sur le droit et la responsabilité des individus, groupes et organes de la société de promouvoir et de protéger les droits de l’homme et les libertés fondamentales universellement reconnus, et veiller à ce qu’aucun individu ou groupe ne fasse l’objet de poursuites en représailles de sa coopération avec les Nations Unies ou avec d’autres organismes internationaux, régionaux ou nationaux compétents en matière de droits de l’homme.</w:t>
      </w:r>
    </w:p>
    <w:p w:rsidR="00755175" w:rsidRPr="00894102" w:rsidRDefault="00755175" w:rsidP="00441AEA">
      <w:pPr>
        <w:pStyle w:val="H23G"/>
        <w:rPr>
          <w:rFonts w:eastAsia="Malgun Gothic"/>
        </w:rPr>
      </w:pPr>
      <w:r w:rsidRPr="00894102">
        <w:rPr>
          <w:rFonts w:eastAsia="Malgun Gothic"/>
        </w:rPr>
        <w:tab/>
      </w:r>
      <w:r w:rsidRPr="00894102">
        <w:rPr>
          <w:rFonts w:eastAsia="Malgun Gothic"/>
        </w:rPr>
        <w:tab/>
      </w:r>
      <w:r>
        <w:rPr>
          <w:rFonts w:eastAsia="Malgun Gothic"/>
        </w:rPr>
        <w:t>Décès en détention</w:t>
      </w:r>
    </w:p>
    <w:p w:rsidR="00755175" w:rsidRPr="00B713FF" w:rsidRDefault="00755175" w:rsidP="00755175">
      <w:pPr>
        <w:pStyle w:val="ParNoG"/>
        <w:rPr>
          <w:spacing w:val="-1"/>
        </w:rPr>
      </w:pPr>
      <w:r w:rsidRPr="00B713FF">
        <w:rPr>
          <w:spacing w:val="-1"/>
        </w:rPr>
        <w:t xml:space="preserve">Le Comité est profondément préoccupé par les informations faisant état de décès </w:t>
      </w:r>
      <w:r w:rsidR="00B713FF" w:rsidRPr="00B713FF">
        <w:rPr>
          <w:spacing w:val="-1"/>
        </w:rPr>
        <w:t xml:space="preserve">pendant la </w:t>
      </w:r>
      <w:r w:rsidRPr="00B713FF">
        <w:rPr>
          <w:spacing w:val="-1"/>
        </w:rPr>
        <w:t xml:space="preserve">garde à vue ou immédiatement après la libération, et par le fait que les autorités n’enquêtent pas sur ces affaires </w:t>
      </w:r>
      <w:r w:rsidR="00B713FF" w:rsidRPr="00B713FF">
        <w:rPr>
          <w:spacing w:val="-1"/>
        </w:rPr>
        <w:t xml:space="preserve">malgré l’existence de </w:t>
      </w:r>
      <w:r w:rsidRPr="00B713FF">
        <w:rPr>
          <w:spacing w:val="-1"/>
        </w:rPr>
        <w:t>rapports médicaux dans lesquels les traces de coups sont consignées, comme dans le cas de Bektemir Akunov (A/HRC/7/3/</w:t>
      </w:r>
      <w:r w:rsidR="00B713FF" w:rsidRPr="00B713FF">
        <w:rPr>
          <w:spacing w:val="-1"/>
        </w:rPr>
        <w:t xml:space="preserve"> </w:t>
      </w:r>
      <w:r w:rsidRPr="00B713FF">
        <w:rPr>
          <w:spacing w:val="-1"/>
        </w:rPr>
        <w:t>Add.1, par. 121), et dans celui de trois Ouzbeks évoqués dans le rapport de la Haut</w:t>
      </w:r>
      <w:r w:rsidR="00B713FF" w:rsidRPr="00B713FF">
        <w:rPr>
          <w:spacing w:val="-1"/>
        </w:rPr>
        <w:noBreakHyphen/>
      </w:r>
      <w:r w:rsidRPr="00B713FF">
        <w:rPr>
          <w:spacing w:val="-1"/>
        </w:rPr>
        <w:t>Commissaire des Nations Unies aux droits de l’homme (</w:t>
      </w:r>
      <w:r w:rsidR="00B713FF" w:rsidRPr="00B713FF">
        <w:rPr>
          <w:spacing w:val="-1"/>
        </w:rPr>
        <w:t>A/HRC/20/12, par. 39</w:t>
      </w:r>
      <w:r w:rsidRPr="00B713FF">
        <w:rPr>
          <w:spacing w:val="-1"/>
        </w:rPr>
        <w:t>). Le</w:t>
      </w:r>
      <w:r w:rsidR="00B713FF" w:rsidRPr="00B713FF">
        <w:rPr>
          <w:spacing w:val="-1"/>
        </w:rPr>
        <w:t> </w:t>
      </w:r>
      <w:r w:rsidRPr="00B713FF">
        <w:rPr>
          <w:spacing w:val="-1"/>
        </w:rPr>
        <w:t>Comité prend note de la préoccupation exprimée par le Rapporteur spécial sur la question de la torture, qui a indiqué que les enquêtes indépendantes sur les décès en garde à vue étaient l’exception, et non la règle, au Kirghizistan, et que la police soumettait souvent les proches des victimes à des pressions pour les amener à r</w:t>
      </w:r>
      <w:r w:rsidR="00B713FF" w:rsidRPr="00B713FF">
        <w:rPr>
          <w:spacing w:val="-1"/>
        </w:rPr>
        <w:t>etirer leur plainte</w:t>
      </w:r>
      <w:r w:rsidRPr="00B713FF">
        <w:rPr>
          <w:spacing w:val="-1"/>
        </w:rPr>
        <w:t xml:space="preserve"> ou à accepter un règlement permettant la clôture de l’affaire. Le Comité regrette que l’État partie n’ait pas donné suite aux constatations formulées par le Comité des droits de l’homme sur le cas de décès en détention ayant fait l’objet de la communication</w:t>
      </w:r>
      <w:r w:rsidR="00B713FF" w:rsidRPr="00B713FF">
        <w:rPr>
          <w:spacing w:val="-1"/>
        </w:rPr>
        <w:t xml:space="preserve"> </w:t>
      </w:r>
      <w:r w:rsidR="00B713FF" w:rsidRPr="00B713FF">
        <w:rPr>
          <w:rFonts w:eastAsia="MS Mincho"/>
          <w:spacing w:val="-1"/>
        </w:rPr>
        <w:t>n</w:t>
      </w:r>
      <w:r w:rsidR="00B713FF" w:rsidRPr="00B713FF">
        <w:rPr>
          <w:rFonts w:eastAsia="MS Mincho"/>
          <w:spacing w:val="-1"/>
          <w:vertAlign w:val="superscript"/>
        </w:rPr>
        <w:t>o</w:t>
      </w:r>
      <w:r w:rsidR="00B713FF" w:rsidRPr="00B713FF">
        <w:rPr>
          <w:spacing w:val="-1"/>
        </w:rPr>
        <w:t> </w:t>
      </w:r>
      <w:r w:rsidRPr="00B713FF">
        <w:rPr>
          <w:spacing w:val="-1"/>
        </w:rPr>
        <w:t>1756/2008 (art.</w:t>
      </w:r>
      <w:r w:rsidR="00B713FF" w:rsidRPr="00B713FF">
        <w:rPr>
          <w:spacing w:val="-1"/>
        </w:rPr>
        <w:t> </w:t>
      </w:r>
      <w:r w:rsidRPr="00B713FF">
        <w:rPr>
          <w:spacing w:val="-1"/>
        </w:rPr>
        <w:t>2, 11, 12 et</w:t>
      </w:r>
      <w:r w:rsidR="00B713FF">
        <w:rPr>
          <w:spacing w:val="-1"/>
        </w:rPr>
        <w:t> </w:t>
      </w:r>
      <w:r w:rsidRPr="00B713FF">
        <w:rPr>
          <w:spacing w:val="-1"/>
        </w:rPr>
        <w:t>16).</w:t>
      </w:r>
    </w:p>
    <w:p w:rsidR="00755175" w:rsidRPr="00B7670F" w:rsidRDefault="006C5022" w:rsidP="006C5022">
      <w:pPr>
        <w:pStyle w:val="H23G"/>
        <w:rPr>
          <w:rFonts w:eastAsia="Malgun Gothic"/>
        </w:rPr>
      </w:pPr>
      <w:r>
        <w:rPr>
          <w:rFonts w:eastAsia="Malgun Gothic"/>
        </w:rPr>
        <w:tab/>
      </w:r>
      <w:r>
        <w:rPr>
          <w:rFonts w:eastAsia="Malgun Gothic"/>
        </w:rPr>
        <w:tab/>
      </w:r>
      <w:r w:rsidR="00755175" w:rsidRPr="00B7670F">
        <w:rPr>
          <w:rFonts w:eastAsia="Malgun Gothic"/>
        </w:rPr>
        <w:t xml:space="preserve">Le Comité </w:t>
      </w:r>
      <w:r>
        <w:rPr>
          <w:rFonts w:eastAsia="Malgun Gothic"/>
        </w:rPr>
        <w:t xml:space="preserve">invite instamment </w:t>
      </w:r>
      <w:r w:rsidR="00755175" w:rsidRPr="00B7670F">
        <w:rPr>
          <w:rFonts w:eastAsia="Malgun Gothic"/>
        </w:rPr>
        <w:t>l</w:t>
      </w:r>
      <w:r w:rsidR="00755175">
        <w:rPr>
          <w:rFonts w:eastAsia="Malgun Gothic"/>
        </w:rPr>
        <w:t>’</w:t>
      </w:r>
      <w:r w:rsidR="00755175" w:rsidRPr="00B7670F">
        <w:rPr>
          <w:rFonts w:eastAsia="Malgun Gothic"/>
        </w:rPr>
        <w:t>État partie à:</w:t>
      </w:r>
    </w:p>
    <w:p w:rsidR="00755175" w:rsidRPr="009A1A4A" w:rsidRDefault="00755175" w:rsidP="009A1A4A">
      <w:pPr>
        <w:pStyle w:val="SingleTxtG"/>
        <w:ind w:firstLine="567"/>
        <w:rPr>
          <w:rFonts w:eastAsia="Malgun Gothic"/>
          <w:b/>
        </w:rPr>
      </w:pPr>
      <w:r w:rsidRPr="009A1A4A">
        <w:rPr>
          <w:rFonts w:eastAsia="Malgun Gothic"/>
          <w:b/>
        </w:rPr>
        <w:t>a)</w:t>
      </w:r>
      <w:r w:rsidR="009A1A4A" w:rsidRPr="009A1A4A">
        <w:rPr>
          <w:rFonts w:eastAsia="Malgun Gothic"/>
          <w:b/>
        </w:rPr>
        <w:tab/>
      </w:r>
      <w:r w:rsidRPr="009A1A4A">
        <w:rPr>
          <w:rFonts w:eastAsia="Malgun Gothic"/>
          <w:b/>
        </w:rPr>
        <w:t>Mener sans délai une enquête approfondie et impartiale sur tous les cas de décès en détention, traduire en justice les responsables d’actes de torture, de mauvais traitements ou de négligence délibérée et les condamner à des peines appropriées;</w:t>
      </w:r>
    </w:p>
    <w:p w:rsidR="00755175" w:rsidRPr="00B7670F" w:rsidRDefault="00755175" w:rsidP="00A94C9F">
      <w:pPr>
        <w:pStyle w:val="SingleTxtG"/>
        <w:ind w:firstLine="567"/>
        <w:rPr>
          <w:rFonts w:eastAsia="Malgun Gothic"/>
        </w:rPr>
      </w:pPr>
      <w:r w:rsidRPr="00C64F39">
        <w:rPr>
          <w:rFonts w:eastAsia="Malgun Gothic"/>
          <w:b/>
        </w:rPr>
        <w:t>b)</w:t>
      </w:r>
      <w:r w:rsidR="00A94C9F">
        <w:rPr>
          <w:rFonts w:eastAsia="Malgun Gothic"/>
        </w:rPr>
        <w:tab/>
      </w:r>
      <w:r w:rsidRPr="00A94C9F">
        <w:rPr>
          <w:b/>
          <w:lang w:val="fr-FR"/>
        </w:rPr>
        <w:t xml:space="preserve">Veiller à ce que tous les cas de décès en détention donnent lieu à un examen médico-légal indépendant, autoriser les membres de la famille du défunt à demander une autopsie indépendante et </w:t>
      </w:r>
      <w:r w:rsidR="00A94C9F">
        <w:rPr>
          <w:b/>
          <w:lang w:val="fr-FR"/>
        </w:rPr>
        <w:t xml:space="preserve">faire en sorte </w:t>
      </w:r>
      <w:r w:rsidRPr="00A94C9F">
        <w:rPr>
          <w:b/>
          <w:lang w:val="fr-FR"/>
        </w:rPr>
        <w:t>que les tribunaux acceptent les résultats des autopsies indépendantes comme éléments de preuve dans les procédures pénales et civiles</w:t>
      </w:r>
      <w:r w:rsidRPr="00A94C9F">
        <w:rPr>
          <w:rFonts w:eastAsia="Malgun Gothic"/>
          <w:b/>
        </w:rPr>
        <w:t>.</w:t>
      </w:r>
    </w:p>
    <w:p w:rsidR="00755175" w:rsidRPr="001F786F" w:rsidRDefault="00755175" w:rsidP="00A94C9F">
      <w:pPr>
        <w:pStyle w:val="H23G"/>
        <w:rPr>
          <w:rFonts w:eastAsia="Malgun Gothic"/>
        </w:rPr>
      </w:pPr>
      <w:r>
        <w:rPr>
          <w:rFonts w:eastAsia="Malgun Gothic"/>
        </w:rPr>
        <w:tab/>
      </w:r>
      <w:r>
        <w:rPr>
          <w:rFonts w:eastAsia="Malgun Gothic"/>
        </w:rPr>
        <w:tab/>
        <w:t>Cas de v</w:t>
      </w:r>
      <w:r w:rsidRPr="001F786F">
        <w:rPr>
          <w:rFonts w:eastAsia="Malgun Gothic"/>
        </w:rPr>
        <w:t xml:space="preserve">iolence </w:t>
      </w:r>
      <w:r>
        <w:rPr>
          <w:rFonts w:eastAsia="Malgun Gothic"/>
        </w:rPr>
        <w:t>à l’égard des femmes</w:t>
      </w:r>
      <w:r w:rsidRPr="001F786F">
        <w:rPr>
          <w:rFonts w:eastAsia="Malgun Gothic"/>
        </w:rPr>
        <w:t xml:space="preserve">, </w:t>
      </w:r>
      <w:r>
        <w:rPr>
          <w:rFonts w:eastAsia="Malgun Gothic"/>
        </w:rPr>
        <w:t>y</w:t>
      </w:r>
      <w:r w:rsidR="00A94C9F">
        <w:rPr>
          <w:rFonts w:eastAsia="Malgun Gothic"/>
        </w:rPr>
        <w:t> </w:t>
      </w:r>
      <w:r>
        <w:rPr>
          <w:rFonts w:eastAsia="Malgun Gothic"/>
        </w:rPr>
        <w:t xml:space="preserve">compris </w:t>
      </w:r>
      <w:r w:rsidR="00A94C9F">
        <w:rPr>
          <w:rFonts w:eastAsia="Malgun Gothic"/>
        </w:rPr>
        <w:t xml:space="preserve">le </w:t>
      </w:r>
      <w:r>
        <w:rPr>
          <w:rFonts w:eastAsia="Malgun Gothic"/>
        </w:rPr>
        <w:t xml:space="preserve">viol et </w:t>
      </w:r>
      <w:r w:rsidR="00A94C9F">
        <w:rPr>
          <w:rFonts w:eastAsia="Malgun Gothic"/>
        </w:rPr>
        <w:t xml:space="preserve">le </w:t>
      </w:r>
      <w:r>
        <w:rPr>
          <w:rFonts w:eastAsia="Malgun Gothic"/>
        </w:rPr>
        <w:t>rapt nuptial</w:t>
      </w:r>
    </w:p>
    <w:p w:rsidR="00755175" w:rsidRPr="001F786F" w:rsidRDefault="00755175" w:rsidP="00755175">
      <w:pPr>
        <w:pStyle w:val="ParNoG"/>
        <w:rPr>
          <w:lang w:eastAsia="ko-KR"/>
        </w:rPr>
      </w:pPr>
      <w:bookmarkStart w:id="0" w:name="_Toc369967858"/>
      <w:r>
        <w:t>Le Comité prend note d</w:t>
      </w:r>
      <w:r w:rsidRPr="008931FE">
        <w:t xml:space="preserve">es diverses </w:t>
      </w:r>
      <w:r w:rsidR="00F37EC4">
        <w:t xml:space="preserve">mesures </w:t>
      </w:r>
      <w:r>
        <w:t xml:space="preserve">prises </w:t>
      </w:r>
      <w:r w:rsidRPr="008931FE">
        <w:t xml:space="preserve">par les autorités pour lutter contre la violence </w:t>
      </w:r>
      <w:r>
        <w:t>à l’égard d</w:t>
      </w:r>
      <w:r w:rsidRPr="008931FE">
        <w:t xml:space="preserve">es femmes, </w:t>
      </w:r>
      <w:r>
        <w:t xml:space="preserve">mais il </w:t>
      </w:r>
      <w:r w:rsidRPr="008931FE">
        <w:t>demeure préoccupé par</w:t>
      </w:r>
      <w:r>
        <w:t>:</w:t>
      </w:r>
      <w:r w:rsidRPr="008931FE">
        <w:t xml:space="preserve"> a)</w:t>
      </w:r>
      <w:r w:rsidR="00F37EC4">
        <w:t> </w:t>
      </w:r>
      <w:r w:rsidRPr="008931FE">
        <w:t xml:space="preserve">les </w:t>
      </w:r>
      <w:r>
        <w:t>informations faisant état</w:t>
      </w:r>
      <w:r w:rsidRPr="008931FE">
        <w:t xml:space="preserve"> de </w:t>
      </w:r>
      <w:r>
        <w:t xml:space="preserve">la </w:t>
      </w:r>
      <w:r w:rsidRPr="008931FE">
        <w:t>violence généralisée</w:t>
      </w:r>
      <w:r w:rsidR="00F37EC4">
        <w:t xml:space="preserve"> (</w:t>
      </w:r>
      <w:r w:rsidRPr="008931FE">
        <w:t xml:space="preserve">violence </w:t>
      </w:r>
      <w:r>
        <w:t>familiale</w:t>
      </w:r>
      <w:r w:rsidRPr="008931FE">
        <w:t xml:space="preserve">, traite et </w:t>
      </w:r>
      <w:r>
        <w:t>rapt nuptial</w:t>
      </w:r>
      <w:r w:rsidR="00F37EC4">
        <w:t xml:space="preserve"> notamment)</w:t>
      </w:r>
      <w:r w:rsidRPr="008931FE">
        <w:t xml:space="preserve"> </w:t>
      </w:r>
      <w:r>
        <w:t xml:space="preserve">dont les femmes sont victimes; </w:t>
      </w:r>
      <w:r w:rsidRPr="008931FE">
        <w:t>b)</w:t>
      </w:r>
      <w:r w:rsidR="00F37EC4">
        <w:t> </w:t>
      </w:r>
      <w:r>
        <w:t xml:space="preserve">le fait qu’aucune </w:t>
      </w:r>
      <w:r w:rsidRPr="008931FE">
        <w:t xml:space="preserve">information </w:t>
      </w:r>
      <w:r>
        <w:t>ne lui ait été communiquée</w:t>
      </w:r>
      <w:r w:rsidRPr="008931FE">
        <w:t xml:space="preserve"> sur les poursuites </w:t>
      </w:r>
      <w:r>
        <w:t xml:space="preserve">engagées </w:t>
      </w:r>
      <w:r w:rsidRPr="008931FE">
        <w:t>pour ce type de violence</w:t>
      </w:r>
      <w:r>
        <w:t xml:space="preserve">. Il regrette que les dispositions législatives </w:t>
      </w:r>
      <w:r w:rsidRPr="008931FE">
        <w:t xml:space="preserve">en vigueur interdisant la violence familiale et </w:t>
      </w:r>
      <w:r>
        <w:t>le rapt nuptial</w:t>
      </w:r>
      <w:r w:rsidRPr="008931FE">
        <w:t xml:space="preserve"> </w:t>
      </w:r>
      <w:r>
        <w:t>ne soient</w:t>
      </w:r>
      <w:r w:rsidRPr="008931FE">
        <w:t xml:space="preserve"> pas appliqué</w:t>
      </w:r>
      <w:r>
        <w:t>es</w:t>
      </w:r>
      <w:r w:rsidRPr="008931FE">
        <w:t xml:space="preserve"> dans la pratique, </w:t>
      </w:r>
      <w:r>
        <w:t>essentiellement</w:t>
      </w:r>
      <w:r w:rsidRPr="008931FE">
        <w:t xml:space="preserve"> </w:t>
      </w:r>
      <w:r w:rsidR="00F37EC4">
        <w:t xml:space="preserve">faute de </w:t>
      </w:r>
      <w:r>
        <w:t>volonté</w:t>
      </w:r>
      <w:r w:rsidRPr="008931FE">
        <w:t xml:space="preserve"> politique et </w:t>
      </w:r>
      <w:r w:rsidR="00F37EC4">
        <w:t xml:space="preserve">d’une </w:t>
      </w:r>
      <w:r w:rsidRPr="008931FE">
        <w:t xml:space="preserve">formation appropriée </w:t>
      </w:r>
      <w:r>
        <w:t>des</w:t>
      </w:r>
      <w:r w:rsidRPr="008931FE">
        <w:t xml:space="preserve"> </w:t>
      </w:r>
      <w:r>
        <w:t>membres des forces de l’ordre et de l’appareil judiciaire (art. </w:t>
      </w:r>
      <w:r w:rsidRPr="008931FE">
        <w:t>2, 12, 13, 14 et 16</w:t>
      </w:r>
      <w:r>
        <w:t>)</w:t>
      </w:r>
      <w:r w:rsidRPr="008931FE">
        <w:t>.</w:t>
      </w:r>
    </w:p>
    <w:bookmarkEnd w:id="0"/>
    <w:p w:rsidR="00755175" w:rsidRPr="00F37EC4" w:rsidRDefault="00755175" w:rsidP="00F37EC4">
      <w:pPr>
        <w:pStyle w:val="SingleTxtG"/>
        <w:keepNext/>
        <w:rPr>
          <w:rFonts w:eastAsia="Malgun Gothic"/>
        </w:rPr>
      </w:pPr>
      <w:r w:rsidRPr="00F37EC4">
        <w:rPr>
          <w:rFonts w:eastAsia="Malgun Gothic"/>
          <w:b/>
        </w:rPr>
        <w:t>L’État partie devrait:</w:t>
      </w:r>
    </w:p>
    <w:p w:rsidR="00755175" w:rsidRPr="00F37EC4" w:rsidRDefault="00755175" w:rsidP="00F37EC4">
      <w:pPr>
        <w:pStyle w:val="SingleTxtG"/>
        <w:ind w:firstLine="567"/>
        <w:rPr>
          <w:rFonts w:eastAsia="Malgun Gothic"/>
          <w:b/>
        </w:rPr>
      </w:pPr>
      <w:r w:rsidRPr="00F37EC4">
        <w:rPr>
          <w:rFonts w:eastAsia="Malgun Gothic"/>
          <w:b/>
        </w:rPr>
        <w:t>a)</w:t>
      </w:r>
      <w:r w:rsidR="00F37EC4" w:rsidRPr="00F37EC4">
        <w:rPr>
          <w:rFonts w:eastAsia="Malgun Gothic"/>
          <w:b/>
        </w:rPr>
        <w:tab/>
      </w:r>
      <w:r w:rsidRPr="00F37EC4">
        <w:rPr>
          <w:rFonts w:eastAsia="Malgun Gothic"/>
          <w:b/>
        </w:rPr>
        <w:t>Lutter efficacement contre la violence à l’égard des femmes, notamment en enquêtant sans délai sur les plaintes relatives à ce type de violence, y compris la violence familiale et le rapt nuptial, et engager des poursuites pénales contre les auteurs et les complices d’enlèvements, même si aucune plainte n’est déposée;</w:t>
      </w:r>
    </w:p>
    <w:p w:rsidR="00755175" w:rsidRPr="00B7232C" w:rsidRDefault="00755175" w:rsidP="00B7232C">
      <w:pPr>
        <w:pStyle w:val="SingleTxtG"/>
        <w:ind w:firstLine="567"/>
        <w:rPr>
          <w:rFonts w:eastAsia="Malgun Gothic"/>
          <w:b/>
        </w:rPr>
      </w:pPr>
      <w:r w:rsidRPr="00B7232C">
        <w:rPr>
          <w:rFonts w:eastAsia="Malgun Gothic"/>
          <w:b/>
        </w:rPr>
        <w:t>b)</w:t>
      </w:r>
      <w:r w:rsidR="00B7232C">
        <w:rPr>
          <w:rFonts w:eastAsia="Malgun Gothic"/>
          <w:b/>
        </w:rPr>
        <w:tab/>
      </w:r>
      <w:r w:rsidRPr="00B7232C">
        <w:rPr>
          <w:rFonts w:eastAsia="Malgun Gothic"/>
          <w:b/>
        </w:rPr>
        <w:t>Protéger les victimes de violence familiale, notamment en mettant en place des lieux d’accueil adaptés dans tout le pays;</w:t>
      </w:r>
    </w:p>
    <w:p w:rsidR="00755175" w:rsidRPr="00B7232C" w:rsidRDefault="00B7232C" w:rsidP="00B7232C">
      <w:pPr>
        <w:pStyle w:val="SingleTxtG"/>
        <w:ind w:firstLine="567"/>
        <w:rPr>
          <w:rFonts w:eastAsia="Malgun Gothic"/>
        </w:rPr>
      </w:pPr>
      <w:r>
        <w:rPr>
          <w:rFonts w:eastAsia="Malgun Gothic"/>
          <w:b/>
        </w:rPr>
        <w:t>c)</w:t>
      </w:r>
      <w:r>
        <w:rPr>
          <w:rFonts w:eastAsia="Malgun Gothic"/>
          <w:b/>
        </w:rPr>
        <w:tab/>
      </w:r>
      <w:r w:rsidR="00755175" w:rsidRPr="00B7232C">
        <w:rPr>
          <w:rFonts w:eastAsia="Malgun Gothic"/>
          <w:b/>
        </w:rPr>
        <w:t xml:space="preserve">Renforcer les campagnes </w:t>
      </w:r>
      <w:r w:rsidR="00765816">
        <w:rPr>
          <w:rFonts w:eastAsia="Malgun Gothic"/>
          <w:b/>
        </w:rPr>
        <w:t xml:space="preserve">visant à </w:t>
      </w:r>
      <w:r w:rsidR="00755175" w:rsidRPr="00B7232C">
        <w:rPr>
          <w:rFonts w:eastAsia="Malgun Gothic"/>
          <w:b/>
        </w:rPr>
        <w:t>sensibiliser la population à ces problèmes.</w:t>
      </w:r>
    </w:p>
    <w:p w:rsidR="00755175" w:rsidRPr="001F786F" w:rsidRDefault="00755175" w:rsidP="00765816">
      <w:pPr>
        <w:pStyle w:val="H23G"/>
        <w:rPr>
          <w:rFonts w:eastAsia="Malgun Gothic"/>
        </w:rPr>
      </w:pPr>
      <w:r w:rsidRPr="001F786F">
        <w:rPr>
          <w:rFonts w:eastAsia="Malgun Gothic"/>
        </w:rPr>
        <w:tab/>
      </w:r>
      <w:r w:rsidRPr="001F786F">
        <w:rPr>
          <w:rFonts w:eastAsia="Malgun Gothic"/>
        </w:rPr>
        <w:tab/>
      </w:r>
      <w:r w:rsidR="003570FD">
        <w:rPr>
          <w:rFonts w:eastAsia="Malgun Gothic"/>
        </w:rPr>
        <w:t>M</w:t>
      </w:r>
      <w:r>
        <w:rPr>
          <w:rFonts w:eastAsia="Malgun Gothic"/>
        </w:rPr>
        <w:t xml:space="preserve">auvais traitements et </w:t>
      </w:r>
      <w:r w:rsidR="003570FD">
        <w:rPr>
          <w:rFonts w:eastAsia="Malgun Gothic"/>
        </w:rPr>
        <w:t xml:space="preserve">actes </w:t>
      </w:r>
      <w:r>
        <w:rPr>
          <w:rFonts w:eastAsia="Malgun Gothic"/>
        </w:rPr>
        <w:t>de torture liés à l’orientation sexuelle et au genre</w:t>
      </w:r>
    </w:p>
    <w:p w:rsidR="00755175" w:rsidRPr="001F786F" w:rsidRDefault="00755175" w:rsidP="00755175">
      <w:pPr>
        <w:pStyle w:val="ParNoG"/>
      </w:pPr>
      <w:r w:rsidRPr="001675EF">
        <w:t>Le Comité est préoccupé par</w:t>
      </w:r>
      <w:r>
        <w:t>:</w:t>
      </w:r>
      <w:r w:rsidRPr="001675EF">
        <w:t xml:space="preserve"> a)</w:t>
      </w:r>
      <w:r w:rsidR="003570FD">
        <w:t> </w:t>
      </w:r>
      <w:r w:rsidRPr="001675EF">
        <w:t xml:space="preserve">les </w:t>
      </w:r>
      <w:r>
        <w:t>informations indiquant que des policiers se rendent coupables d’actes de harcèlement</w:t>
      </w:r>
      <w:r w:rsidRPr="001675EF">
        <w:t xml:space="preserve">, </w:t>
      </w:r>
      <w:r>
        <w:t>d’</w:t>
      </w:r>
      <w:r w:rsidRPr="001675EF">
        <w:t xml:space="preserve">arrestations arbitraires, </w:t>
      </w:r>
      <w:r>
        <w:t>de mauvais traitements et d’actes de</w:t>
      </w:r>
      <w:r w:rsidRPr="001675EF">
        <w:t xml:space="preserve"> torture, y compris </w:t>
      </w:r>
      <w:r>
        <w:t>d’actes de</w:t>
      </w:r>
      <w:r w:rsidRPr="001675EF">
        <w:t xml:space="preserve"> violence sexuelle, </w:t>
      </w:r>
      <w:r>
        <w:t>à l’égard de</w:t>
      </w:r>
      <w:r w:rsidRPr="001675EF">
        <w:t xml:space="preserve"> personnes </w:t>
      </w:r>
      <w:r>
        <w:t>en raison</w:t>
      </w:r>
      <w:r w:rsidRPr="001675EF">
        <w:t xml:space="preserve"> de</w:t>
      </w:r>
      <w:r>
        <w:t xml:space="preserve"> leur orientation sexuelle ou de leur identité de genre, notamment des personnes</w:t>
      </w:r>
      <w:r w:rsidRPr="001675EF">
        <w:t xml:space="preserve"> lesbiennes, gays,</w:t>
      </w:r>
      <w:r>
        <w:t xml:space="preserve"> bisexuelles et transgenres (LGBT); </w:t>
      </w:r>
      <w:r w:rsidRPr="001675EF">
        <w:t>b)</w:t>
      </w:r>
      <w:r w:rsidR="003570FD">
        <w:t> </w:t>
      </w:r>
      <w:r>
        <w:t>le fait, plus</w:t>
      </w:r>
      <w:r w:rsidRPr="001675EF">
        <w:t xml:space="preserve"> général</w:t>
      </w:r>
      <w:r>
        <w:t>ement, que l</w:t>
      </w:r>
      <w:r w:rsidRPr="001675EF">
        <w:t xml:space="preserve">es autorités </w:t>
      </w:r>
      <w:r>
        <w:t>n’enquêtent pas</w:t>
      </w:r>
      <w:r w:rsidRPr="001675EF">
        <w:t xml:space="preserve"> sur les allégations </w:t>
      </w:r>
      <w:r>
        <w:t xml:space="preserve">faisant état </w:t>
      </w:r>
      <w:r w:rsidRPr="001675EF">
        <w:t xml:space="preserve">de violences sexuelles commises par des </w:t>
      </w:r>
      <w:r>
        <w:t>agents de l’État</w:t>
      </w:r>
      <w:r w:rsidRPr="001675EF">
        <w:t xml:space="preserve">, </w:t>
      </w:r>
      <w:r>
        <w:t>ne</w:t>
      </w:r>
      <w:r w:rsidRPr="001675EF">
        <w:t xml:space="preserve"> </w:t>
      </w:r>
      <w:r>
        <w:t>sanctionnent pas</w:t>
      </w:r>
      <w:r w:rsidRPr="001675EF">
        <w:t xml:space="preserve"> les auteurs de </w:t>
      </w:r>
      <w:r>
        <w:t>telles</w:t>
      </w:r>
      <w:r w:rsidRPr="001675EF">
        <w:t xml:space="preserve"> violences et </w:t>
      </w:r>
      <w:r>
        <w:t>n’offrent pas</w:t>
      </w:r>
      <w:r w:rsidRPr="001675EF">
        <w:t xml:space="preserve"> des recours </w:t>
      </w:r>
      <w:r>
        <w:t>utiles</w:t>
      </w:r>
      <w:r w:rsidRPr="001675EF">
        <w:t xml:space="preserve"> </w:t>
      </w:r>
      <w:r>
        <w:t>aux</w:t>
      </w:r>
      <w:r w:rsidRPr="001675EF">
        <w:t xml:space="preserve"> victimes, comme dans le cas de </w:t>
      </w:r>
      <w:r w:rsidR="003570FD">
        <w:t>M</w:t>
      </w:r>
      <w:r w:rsidR="003570FD" w:rsidRPr="00D91DA2">
        <w:rPr>
          <w:vertAlign w:val="superscript"/>
        </w:rPr>
        <w:t>me</w:t>
      </w:r>
      <w:r w:rsidR="003570FD">
        <w:t> </w:t>
      </w:r>
      <w:r w:rsidRPr="001675EF">
        <w:t>Zulhumor</w:t>
      </w:r>
      <w:r w:rsidR="003570FD">
        <w:t> </w:t>
      </w:r>
      <w:r w:rsidRPr="001675EF">
        <w:t xml:space="preserve">Tohtonazarova. </w:t>
      </w:r>
      <w:r>
        <w:t>I</w:t>
      </w:r>
      <w:r w:rsidRPr="001675EF">
        <w:t>l</w:t>
      </w:r>
      <w:r w:rsidR="003570FD">
        <w:t> </w:t>
      </w:r>
      <w:r>
        <w:t>s’inquiète en outre</w:t>
      </w:r>
      <w:r w:rsidRPr="001675EF">
        <w:t xml:space="preserve"> </w:t>
      </w:r>
      <w:r>
        <w:t>de ce que</w:t>
      </w:r>
      <w:r w:rsidRPr="001675EF">
        <w:t xml:space="preserve"> les enquêtes sur les </w:t>
      </w:r>
      <w:r>
        <w:t>allégations</w:t>
      </w:r>
      <w:r w:rsidRPr="001675EF">
        <w:t xml:space="preserve"> de viols et </w:t>
      </w:r>
      <w:r w:rsidR="003570FD">
        <w:t xml:space="preserve">d’actes </w:t>
      </w:r>
      <w:r w:rsidRPr="001675EF">
        <w:t xml:space="preserve">de violence sexuelle </w:t>
      </w:r>
      <w:r>
        <w:t xml:space="preserve">commis </w:t>
      </w:r>
      <w:r w:rsidRPr="001675EF">
        <w:t xml:space="preserve">pendant et après les violences </w:t>
      </w:r>
      <w:r>
        <w:t>de</w:t>
      </w:r>
      <w:r w:rsidR="003570FD">
        <w:t> </w:t>
      </w:r>
      <w:r>
        <w:t>j</w:t>
      </w:r>
      <w:r w:rsidRPr="001675EF">
        <w:t>uin 2010 (art.</w:t>
      </w:r>
      <w:r w:rsidR="003570FD">
        <w:t> </w:t>
      </w:r>
      <w:r w:rsidRPr="001675EF">
        <w:t>2, 11 et</w:t>
      </w:r>
      <w:r w:rsidR="003570FD">
        <w:t> </w:t>
      </w:r>
      <w:r w:rsidRPr="001675EF">
        <w:t>16)</w:t>
      </w:r>
      <w:r>
        <w:t xml:space="preserve"> ont peu progressé</w:t>
      </w:r>
      <w:r w:rsidRPr="001675EF">
        <w:t>.</w:t>
      </w:r>
    </w:p>
    <w:p w:rsidR="00755175" w:rsidRPr="003570FD" w:rsidRDefault="00755175" w:rsidP="003570FD">
      <w:pPr>
        <w:pStyle w:val="SingleTxtG"/>
        <w:rPr>
          <w:rFonts w:eastAsia="Malgun Gothic"/>
          <w:b/>
        </w:rPr>
      </w:pPr>
      <w:r w:rsidRPr="003570FD">
        <w:rPr>
          <w:rFonts w:eastAsia="Malgun Gothic"/>
          <w:b/>
        </w:rPr>
        <w:t>L’État partie devrait faire le nécessaire pour que des enquêtes impartiales et approfondies soient menées sans délai sur toutes les allégations faisant état de mauvais traitements et d’actes de torture commis par des policiers et des membres du personnel pénitentiaire à l’égard de personnes LGBT ou d’autres personnes en raison de leur orientation sexuelle ou de leur identité de genre, et que les auteurs de tels actes soient poursuivis et condamnés à des peines appropriées.</w:t>
      </w:r>
    </w:p>
    <w:p w:rsidR="00755175" w:rsidRPr="001F786F" w:rsidRDefault="00755175" w:rsidP="00E1520D">
      <w:pPr>
        <w:pStyle w:val="H23G"/>
        <w:rPr>
          <w:rFonts w:eastAsia="Malgun Gothic"/>
        </w:rPr>
      </w:pPr>
      <w:r>
        <w:rPr>
          <w:rFonts w:eastAsia="Malgun Gothic"/>
        </w:rPr>
        <w:tab/>
      </w:r>
      <w:r>
        <w:rPr>
          <w:rFonts w:eastAsia="Malgun Gothic"/>
        </w:rPr>
        <w:tab/>
        <w:t>Conditions de dé</w:t>
      </w:r>
      <w:r w:rsidRPr="001F786F">
        <w:rPr>
          <w:rFonts w:eastAsia="Malgun Gothic"/>
        </w:rPr>
        <w:t>tention</w:t>
      </w:r>
    </w:p>
    <w:p w:rsidR="00755175" w:rsidRPr="001F786F" w:rsidRDefault="00755175" w:rsidP="00755175">
      <w:pPr>
        <w:pStyle w:val="ParNoG"/>
        <w:rPr>
          <w:lang w:eastAsia="ko-KR"/>
        </w:rPr>
      </w:pPr>
      <w:r>
        <w:t>L</w:t>
      </w:r>
      <w:r w:rsidRPr="000800E9">
        <w:t xml:space="preserve">e Comité </w:t>
      </w:r>
      <w:r>
        <w:t>note que</w:t>
      </w:r>
      <w:r w:rsidRPr="000800E9">
        <w:t xml:space="preserve"> </w:t>
      </w:r>
      <w:r>
        <w:t>des</w:t>
      </w:r>
      <w:r w:rsidRPr="000800E9">
        <w:t xml:space="preserve"> améliorations mineures </w:t>
      </w:r>
      <w:r>
        <w:t>ont été apportées à</w:t>
      </w:r>
      <w:r w:rsidRPr="000800E9">
        <w:t xml:space="preserve"> certains centres de déten</w:t>
      </w:r>
      <w:r>
        <w:t xml:space="preserve">tion, </w:t>
      </w:r>
      <w:r w:rsidRPr="00C974F8">
        <w:t xml:space="preserve">tant </w:t>
      </w:r>
      <w:r w:rsidR="00640D50">
        <w:t xml:space="preserve">avec </w:t>
      </w:r>
      <w:r w:rsidRPr="00C974F8">
        <w:t>l</w:t>
      </w:r>
      <w:r>
        <w:t>’</w:t>
      </w:r>
      <w:r w:rsidRPr="00C974F8">
        <w:t>assistance d</w:t>
      </w:r>
      <w:r>
        <w:t>’</w:t>
      </w:r>
      <w:r w:rsidRPr="00C974F8">
        <w:t xml:space="preserve">organisations internationales </w:t>
      </w:r>
      <w:r w:rsidR="00640D50">
        <w:t xml:space="preserve">que dans le cadre de </w:t>
      </w:r>
      <w:r w:rsidRPr="00C974F8">
        <w:t xml:space="preserve">programmes </w:t>
      </w:r>
      <w:r>
        <w:t>publics nationaux</w:t>
      </w:r>
      <w:r w:rsidRPr="000800E9">
        <w:t xml:space="preserve">, </w:t>
      </w:r>
      <w:r>
        <w:t xml:space="preserve">mais il </w:t>
      </w:r>
      <w:r w:rsidRPr="000800E9">
        <w:t xml:space="preserve">est préoccupé par </w:t>
      </w:r>
      <w:r>
        <w:t>les</w:t>
      </w:r>
      <w:r w:rsidRPr="000800E9">
        <w:t xml:space="preserve"> conditions de vie extrêmement dures </w:t>
      </w:r>
      <w:r>
        <w:t xml:space="preserve">qui prévalent </w:t>
      </w:r>
      <w:r w:rsidRPr="000800E9">
        <w:t xml:space="preserve">dans les lieux de </w:t>
      </w:r>
      <w:r>
        <w:t xml:space="preserve">privation de liberté, notamment par </w:t>
      </w:r>
      <w:r w:rsidRPr="000800E9">
        <w:t xml:space="preserve">la surpopulation carcérale, </w:t>
      </w:r>
      <w:r w:rsidR="00640D50">
        <w:t xml:space="preserve">le manque de </w:t>
      </w:r>
      <w:r w:rsidRPr="000800E9">
        <w:t xml:space="preserve">nourriture et </w:t>
      </w:r>
      <w:r>
        <w:t>d’</w:t>
      </w:r>
      <w:r w:rsidRPr="000800E9">
        <w:t>eau</w:t>
      </w:r>
      <w:r>
        <w:t xml:space="preserve"> potable</w:t>
      </w:r>
      <w:r w:rsidRPr="000800E9">
        <w:t xml:space="preserve">, </w:t>
      </w:r>
      <w:r>
        <w:t>l’absence</w:t>
      </w:r>
      <w:r w:rsidRPr="000800E9">
        <w:t xml:space="preserve"> de ventilation, </w:t>
      </w:r>
      <w:r>
        <w:t>le</w:t>
      </w:r>
      <w:r w:rsidRPr="000800E9">
        <w:t xml:space="preserve"> manque d</w:t>
      </w:r>
      <w:r>
        <w:t>’</w:t>
      </w:r>
      <w:r w:rsidRPr="000800E9">
        <w:t xml:space="preserve">hygiène, </w:t>
      </w:r>
      <w:r>
        <w:t>la prévalence de la tuberculose</w:t>
      </w:r>
      <w:r w:rsidRPr="000800E9">
        <w:t xml:space="preserve"> et </w:t>
      </w:r>
      <w:r>
        <w:t>la médiocrité des</w:t>
      </w:r>
      <w:r w:rsidR="00640D50">
        <w:t xml:space="preserve"> soins de santé. Il </w:t>
      </w:r>
      <w:r>
        <w:t>s’inquiète également d</w:t>
      </w:r>
      <w:r w:rsidRPr="000800E9">
        <w:t xml:space="preserve">es conditions </w:t>
      </w:r>
      <w:r>
        <w:t xml:space="preserve">de détention </w:t>
      </w:r>
      <w:r w:rsidRPr="000800E9">
        <w:t xml:space="preserve">déplorables des </w:t>
      </w:r>
      <w:r>
        <w:t>prisonniers</w:t>
      </w:r>
      <w:r w:rsidRPr="000800E9">
        <w:t xml:space="preserve"> condamnés à la réclusion à perpétuité (A/HRC/19/61/Add.2, par.</w:t>
      </w:r>
      <w:r w:rsidR="00640D50">
        <w:t> </w:t>
      </w:r>
      <w:r w:rsidRPr="000800E9">
        <w:t>69) (art.</w:t>
      </w:r>
      <w:r w:rsidR="00640D50">
        <w:t> </w:t>
      </w:r>
      <w:r w:rsidRPr="000800E9">
        <w:t>11 et</w:t>
      </w:r>
      <w:r w:rsidR="00640D50">
        <w:t> </w:t>
      </w:r>
      <w:r w:rsidRPr="000800E9">
        <w:t>16).</w:t>
      </w:r>
    </w:p>
    <w:p w:rsidR="00755175" w:rsidRPr="002D2B28" w:rsidRDefault="00755175" w:rsidP="002D2B28">
      <w:pPr>
        <w:pStyle w:val="SingleTxtG"/>
        <w:rPr>
          <w:rFonts w:eastAsia="Malgun Gothic"/>
          <w:b/>
        </w:rPr>
      </w:pPr>
      <w:r w:rsidRPr="002D2B28">
        <w:rPr>
          <w:rFonts w:eastAsia="Malgun Gothic"/>
          <w:b/>
        </w:rPr>
        <w:t>L’État partie devrait redoubler d’efforts pour améliorer les conditions de vie dans les l</w:t>
      </w:r>
      <w:r w:rsidR="00852BF1">
        <w:rPr>
          <w:rFonts w:eastAsia="Malgun Gothic"/>
          <w:b/>
        </w:rPr>
        <w:t>ieux de privation de liberté, y </w:t>
      </w:r>
      <w:r w:rsidRPr="002D2B28">
        <w:rPr>
          <w:rFonts w:eastAsia="Malgun Gothic"/>
          <w:b/>
        </w:rPr>
        <w:t xml:space="preserve">compris </w:t>
      </w:r>
      <w:r w:rsidR="00852BF1">
        <w:rPr>
          <w:rFonts w:eastAsia="Malgun Gothic"/>
          <w:b/>
        </w:rPr>
        <w:t xml:space="preserve">ceux </w:t>
      </w:r>
      <w:r w:rsidRPr="002D2B28">
        <w:rPr>
          <w:rFonts w:eastAsia="Malgun Gothic"/>
          <w:b/>
        </w:rPr>
        <w:t xml:space="preserve">où sont </w:t>
      </w:r>
      <w:r w:rsidR="00852BF1">
        <w:rPr>
          <w:rFonts w:eastAsia="Malgun Gothic"/>
          <w:b/>
        </w:rPr>
        <w:t xml:space="preserve">détenus </w:t>
      </w:r>
      <w:r w:rsidRPr="002D2B28">
        <w:rPr>
          <w:rFonts w:eastAsia="Malgun Gothic"/>
          <w:b/>
        </w:rPr>
        <w:t xml:space="preserve">les condamnés à perpétuité, </w:t>
      </w:r>
      <w:r w:rsidR="00852BF1">
        <w:rPr>
          <w:rFonts w:eastAsia="Malgun Gothic"/>
          <w:b/>
        </w:rPr>
        <w:t xml:space="preserve">en les mettant </w:t>
      </w:r>
      <w:r w:rsidRPr="002D2B28">
        <w:rPr>
          <w:rFonts w:eastAsia="Malgun Gothic"/>
          <w:b/>
        </w:rPr>
        <w:t xml:space="preserve">en conformité avec les normes internationales, notamment </w:t>
      </w:r>
      <w:r w:rsidR="00852BF1">
        <w:rPr>
          <w:rFonts w:eastAsia="Malgun Gothic"/>
          <w:b/>
        </w:rPr>
        <w:t xml:space="preserve">avec </w:t>
      </w:r>
      <w:r w:rsidRPr="002D2B28">
        <w:rPr>
          <w:rFonts w:eastAsia="Malgun Gothic"/>
          <w:b/>
        </w:rPr>
        <w:t>l’Ensemble de règles minima pour le traitement des détenus (résolutions 663 C (XXIV) et 2076 (LXII) du Conseil économique et social) .</w:t>
      </w:r>
    </w:p>
    <w:p w:rsidR="00755175" w:rsidRPr="001F786F" w:rsidRDefault="00755175" w:rsidP="009C0CD2">
      <w:pPr>
        <w:pStyle w:val="H23G"/>
        <w:rPr>
          <w:rFonts w:eastAsia="Malgun Gothic"/>
          <w:shd w:val="clear" w:color="auto" w:fill="FFFFFF"/>
        </w:rPr>
      </w:pPr>
      <w:r w:rsidRPr="001F786F">
        <w:rPr>
          <w:rFonts w:eastAsia="Malgun Gothic"/>
          <w:shd w:val="clear" w:color="auto" w:fill="FFFFFF"/>
        </w:rPr>
        <w:tab/>
      </w:r>
      <w:r w:rsidRPr="001F786F">
        <w:rPr>
          <w:rFonts w:eastAsia="Malgun Gothic"/>
          <w:shd w:val="clear" w:color="auto" w:fill="FFFFFF"/>
        </w:rPr>
        <w:tab/>
      </w:r>
      <w:r w:rsidR="00691F2B">
        <w:rPr>
          <w:rFonts w:eastAsia="Malgun Gothic"/>
          <w:shd w:val="clear" w:color="auto" w:fill="FFFFFF"/>
        </w:rPr>
        <w:t xml:space="preserve">Violence à l’égard des </w:t>
      </w:r>
      <w:r>
        <w:rPr>
          <w:rFonts w:eastAsia="Malgun Gothic"/>
          <w:shd w:val="clear" w:color="auto" w:fill="FFFFFF"/>
        </w:rPr>
        <w:t>enfants</w:t>
      </w:r>
    </w:p>
    <w:p w:rsidR="00755175" w:rsidRDefault="00755175" w:rsidP="00755175">
      <w:pPr>
        <w:pStyle w:val="ParNoG"/>
      </w:pPr>
      <w:r>
        <w:t xml:space="preserve">Bien que la législation interdise d’infliger des châtiments corporels aux enfants dans les écoles, dans le système pénal et dans certaines structures d’accueil, le Comité est préoccupé par les allégations selon lesquelles </w:t>
      </w:r>
      <w:r w:rsidR="00691F2B">
        <w:t xml:space="preserve">de nombreux </w:t>
      </w:r>
      <w:r>
        <w:t>enfants sont victimes de violence, de mauvais traitements ou de négligence dans le milieu familial et dans certaines structures d’accueil (art.</w:t>
      </w:r>
      <w:r w:rsidR="00691F2B">
        <w:t> </w:t>
      </w:r>
      <w:r>
        <w:t>16).</w:t>
      </w:r>
    </w:p>
    <w:p w:rsidR="00755175" w:rsidRPr="00691F2B" w:rsidRDefault="00755175" w:rsidP="00691F2B">
      <w:pPr>
        <w:pStyle w:val="SingleTxtG"/>
        <w:rPr>
          <w:rFonts w:eastAsia="Malgun Gothic"/>
          <w:b/>
        </w:rPr>
      </w:pPr>
      <w:r w:rsidRPr="00691F2B">
        <w:rPr>
          <w:b/>
        </w:rPr>
        <w:t>L’État partie devrait interdire expressément le</w:t>
      </w:r>
      <w:r w:rsidR="00691F2B">
        <w:rPr>
          <w:b/>
        </w:rPr>
        <w:t>s</w:t>
      </w:r>
      <w:r w:rsidRPr="00691F2B">
        <w:rPr>
          <w:b/>
        </w:rPr>
        <w:t xml:space="preserve"> châtiments corporels </w:t>
      </w:r>
      <w:r w:rsidR="00691F2B">
        <w:rPr>
          <w:b/>
        </w:rPr>
        <w:t xml:space="preserve">envers </w:t>
      </w:r>
      <w:r w:rsidRPr="00691F2B">
        <w:rPr>
          <w:b/>
        </w:rPr>
        <w:t xml:space="preserve">les enfants dans tous les contextes, y compris à la maison, dans les institutions et dans les structures </w:t>
      </w:r>
      <w:r w:rsidRPr="00691F2B">
        <w:rPr>
          <w:b/>
          <w:lang w:val="fr-FR"/>
        </w:rPr>
        <w:t>de protection de remplacement</w:t>
      </w:r>
      <w:r w:rsidRPr="00691F2B">
        <w:rPr>
          <w:b/>
        </w:rPr>
        <w:t>, et prendre des mesures de sensibilisation et d’information à l’intention du grand public.</w:t>
      </w:r>
    </w:p>
    <w:p w:rsidR="00755175" w:rsidRPr="00E50DD2" w:rsidRDefault="00755175" w:rsidP="00691F2B">
      <w:pPr>
        <w:pStyle w:val="H23G"/>
        <w:rPr>
          <w:rFonts w:eastAsia="Malgun Gothic"/>
          <w:shd w:val="clear" w:color="auto" w:fill="FFFF00"/>
          <w:lang w:eastAsia="ko-KR"/>
        </w:rPr>
      </w:pPr>
      <w:r w:rsidRPr="001F786F">
        <w:rPr>
          <w:rFonts w:eastAsia="Malgun Gothic"/>
          <w:lang w:eastAsia="ko-KR"/>
        </w:rPr>
        <w:tab/>
      </w:r>
      <w:r w:rsidRPr="001F786F">
        <w:rPr>
          <w:rFonts w:eastAsia="Malgun Gothic"/>
          <w:lang w:eastAsia="ko-KR"/>
        </w:rPr>
        <w:tab/>
      </w:r>
      <w:r w:rsidRPr="00E50DD2">
        <w:rPr>
          <w:rFonts w:eastAsia="Malgun Gothic"/>
          <w:lang w:eastAsia="ko-KR"/>
        </w:rPr>
        <w:t>Réparation, y compris indemnisation et moyens de réadaptation</w:t>
      </w:r>
    </w:p>
    <w:p w:rsidR="00755175" w:rsidRPr="001F786F" w:rsidRDefault="00755175" w:rsidP="00755175">
      <w:pPr>
        <w:pStyle w:val="ParNoG"/>
      </w:pPr>
      <w:r w:rsidRPr="00915FCA">
        <w:t>Le Comité</w:t>
      </w:r>
      <w:r>
        <w:t xml:space="preserve"> note</w:t>
      </w:r>
      <w:r w:rsidRPr="00915FCA">
        <w:t xml:space="preserve"> que la législation nationale</w:t>
      </w:r>
      <w:r>
        <w:t xml:space="preserve"> garantit le droit</w:t>
      </w:r>
      <w:r w:rsidRPr="00915FCA">
        <w:t xml:space="preserve"> des victimes à la </w:t>
      </w:r>
      <w:r w:rsidRPr="00E50DD2">
        <w:rPr>
          <w:rFonts w:eastAsia="Malgun Gothic"/>
          <w:lang w:eastAsia="ko-KR"/>
        </w:rPr>
        <w:t>réadaptation</w:t>
      </w:r>
      <w:r>
        <w:rPr>
          <w:rFonts w:eastAsia="Malgun Gothic"/>
          <w:lang w:eastAsia="ko-KR"/>
        </w:rPr>
        <w:t xml:space="preserve"> </w:t>
      </w:r>
      <w:r w:rsidRPr="00915FCA">
        <w:t xml:space="preserve">et </w:t>
      </w:r>
      <w:r>
        <w:t xml:space="preserve">à </w:t>
      </w:r>
      <w:r w:rsidRPr="00915FCA">
        <w:t>l</w:t>
      </w:r>
      <w:r>
        <w:t>’</w:t>
      </w:r>
      <w:r w:rsidRPr="00915FCA">
        <w:t xml:space="preserve">indemnisation </w:t>
      </w:r>
      <w:r>
        <w:t>(</w:t>
      </w:r>
      <w:r w:rsidRPr="00AB7D4C">
        <w:t>CAT/C/KGZ/2, par.</w:t>
      </w:r>
      <w:r w:rsidR="00691F2B">
        <w:t> </w:t>
      </w:r>
      <w:r w:rsidRPr="00AB7D4C">
        <w:t>219</w:t>
      </w:r>
      <w:r w:rsidRPr="00915FCA">
        <w:t xml:space="preserve"> </w:t>
      </w:r>
      <w:r w:rsidRPr="00691F2B">
        <w:t>et suiv</w:t>
      </w:r>
      <w:r w:rsidRPr="00AB7D4C">
        <w:rPr>
          <w:i/>
        </w:rPr>
        <w:t>.</w:t>
      </w:r>
      <w:r>
        <w:t>), mais il</w:t>
      </w:r>
      <w:r w:rsidRPr="00915FCA">
        <w:t xml:space="preserve"> </w:t>
      </w:r>
      <w:r>
        <w:t>constate avec préoccupation</w:t>
      </w:r>
      <w:r w:rsidRPr="00915FCA">
        <w:t xml:space="preserve"> que l</w:t>
      </w:r>
      <w:r>
        <w:t>’</w:t>
      </w:r>
      <w:r w:rsidRPr="00915FCA">
        <w:t xml:space="preserve">État partie </w:t>
      </w:r>
      <w:r w:rsidR="00691F2B">
        <w:t xml:space="preserve">n’accorde pas </w:t>
      </w:r>
      <w:r>
        <w:t>de</w:t>
      </w:r>
      <w:r w:rsidRPr="00915FCA">
        <w:t xml:space="preserve"> réparation</w:t>
      </w:r>
      <w:r>
        <w:t>, y</w:t>
      </w:r>
      <w:r w:rsidR="00691F2B">
        <w:t> </w:t>
      </w:r>
      <w:r>
        <w:t xml:space="preserve">compris </w:t>
      </w:r>
      <w:r w:rsidR="00691F2B">
        <w:t xml:space="preserve">une </w:t>
      </w:r>
      <w:r w:rsidRPr="00915FCA">
        <w:t xml:space="preserve">indemnisation et </w:t>
      </w:r>
      <w:r>
        <w:t>de</w:t>
      </w:r>
      <w:r w:rsidR="00691F2B">
        <w:t>s</w:t>
      </w:r>
      <w:r>
        <w:t xml:space="preserve"> moyens de réadaptation, </w:t>
      </w:r>
      <w:r w:rsidRPr="00915FCA">
        <w:t>aux victimes de torture et de mauvais traitements</w:t>
      </w:r>
      <w:r w:rsidR="00691F2B">
        <w:t>. Le </w:t>
      </w:r>
      <w:r>
        <w:t>Comité regrette</w:t>
      </w:r>
      <w:r w:rsidRPr="00915FCA">
        <w:t>:</w:t>
      </w:r>
      <w:r>
        <w:t xml:space="preserve"> </w:t>
      </w:r>
      <w:r w:rsidRPr="00915FCA">
        <w:t>a)</w:t>
      </w:r>
      <w:r w:rsidR="00691F2B">
        <w:t> </w:t>
      </w:r>
      <w:r>
        <w:t xml:space="preserve">que </w:t>
      </w:r>
      <w:r w:rsidRPr="00915FCA">
        <w:t>l</w:t>
      </w:r>
      <w:r>
        <w:t>’</w:t>
      </w:r>
      <w:r w:rsidRPr="00915FCA">
        <w:t xml:space="preserve">article 417 du Code de procédure pénale </w:t>
      </w:r>
      <w:r w:rsidRPr="007A4D54">
        <w:t>empêche les victimes de demander réparation auprès d</w:t>
      </w:r>
      <w:r>
        <w:t>’</w:t>
      </w:r>
      <w:r w:rsidRPr="007A4D54">
        <w:t>un tribunal civil tant que les auteurs n</w:t>
      </w:r>
      <w:r>
        <w:t>’</w:t>
      </w:r>
      <w:r w:rsidRPr="007A4D54">
        <w:t>ont pas été condamnés par un tribunal pénal</w:t>
      </w:r>
      <w:r>
        <w:t xml:space="preserve">; </w:t>
      </w:r>
      <w:r w:rsidRPr="00915FCA">
        <w:t>b</w:t>
      </w:r>
      <w:r>
        <w:t>)</w:t>
      </w:r>
      <w:r w:rsidR="00691F2B">
        <w:t> </w:t>
      </w:r>
      <w:r>
        <w:t>que</w:t>
      </w:r>
      <w:r w:rsidRPr="00915FCA">
        <w:t xml:space="preserve"> l</w:t>
      </w:r>
      <w:r>
        <w:t>’</w:t>
      </w:r>
      <w:r w:rsidRPr="00915FCA">
        <w:t xml:space="preserve">État partie </w:t>
      </w:r>
      <w:r>
        <w:t>n’ait pas donné suite aux</w:t>
      </w:r>
      <w:r w:rsidRPr="00915FCA">
        <w:t xml:space="preserve"> constatations </w:t>
      </w:r>
      <w:r>
        <w:t>formulées par le</w:t>
      </w:r>
      <w:r w:rsidRPr="00915FCA">
        <w:t xml:space="preserve"> Comité des droits </w:t>
      </w:r>
      <w:r>
        <w:t xml:space="preserve">de l’homme </w:t>
      </w:r>
      <w:r w:rsidR="00691F2B">
        <w:t xml:space="preserve">concernant </w:t>
      </w:r>
      <w:r w:rsidRPr="00915FCA">
        <w:t xml:space="preserve">plusieurs affaires </w:t>
      </w:r>
      <w:r>
        <w:t>de</w:t>
      </w:r>
      <w:r w:rsidRPr="00915FCA">
        <w:t xml:space="preserve"> torture et </w:t>
      </w:r>
      <w:r>
        <w:t>de</w:t>
      </w:r>
      <w:r w:rsidRPr="00915FCA">
        <w:t xml:space="preserve"> mauvais traitements</w:t>
      </w:r>
      <w:r>
        <w:t>, bien que</w:t>
      </w:r>
      <w:r w:rsidRPr="00915FCA">
        <w:t xml:space="preserve"> </w:t>
      </w:r>
      <w:r>
        <w:t xml:space="preserve">le paragraphe 2 de </w:t>
      </w:r>
      <w:r w:rsidRPr="00915FCA">
        <w:t>l</w:t>
      </w:r>
      <w:r>
        <w:t>’</w:t>
      </w:r>
      <w:r w:rsidRPr="00915FCA">
        <w:t>article</w:t>
      </w:r>
      <w:r w:rsidR="0082511C">
        <w:t> </w:t>
      </w:r>
      <w:r w:rsidRPr="00915FCA">
        <w:t>41</w:t>
      </w:r>
      <w:r>
        <w:t xml:space="preserve"> </w:t>
      </w:r>
      <w:r w:rsidRPr="00915FCA">
        <w:t xml:space="preserve">de la Constitution </w:t>
      </w:r>
      <w:r>
        <w:t>prévoie</w:t>
      </w:r>
      <w:r w:rsidRPr="00915FCA">
        <w:t xml:space="preserve"> </w:t>
      </w:r>
      <w:r>
        <w:t xml:space="preserve">l’octroi </w:t>
      </w:r>
      <w:r>
        <w:rPr>
          <w:lang w:eastAsia="ko-KR"/>
        </w:rPr>
        <w:t>d’une réparation dans le cas</w:t>
      </w:r>
      <w:r w:rsidRPr="00915FCA">
        <w:t xml:space="preserve"> </w:t>
      </w:r>
      <w:r>
        <w:t xml:space="preserve">où </w:t>
      </w:r>
      <w:r w:rsidRPr="00915FCA">
        <w:t xml:space="preserve">un organisme international </w:t>
      </w:r>
      <w:r>
        <w:t xml:space="preserve">constate </w:t>
      </w:r>
      <w:r w:rsidRPr="00915FCA">
        <w:t>une violation</w:t>
      </w:r>
      <w:r>
        <w:t xml:space="preserve">; </w:t>
      </w:r>
      <w:r w:rsidRPr="00915FCA">
        <w:t>c</w:t>
      </w:r>
      <w:r>
        <w:t>)</w:t>
      </w:r>
      <w:r w:rsidR="00691F2B">
        <w:t> </w:t>
      </w:r>
      <w:r>
        <w:t>qu’il n’existe pas</w:t>
      </w:r>
      <w:r w:rsidRPr="00915FCA">
        <w:t xml:space="preserve"> de services spécialisés de réadaptation </w:t>
      </w:r>
      <w:r>
        <w:t>financés</w:t>
      </w:r>
      <w:r w:rsidRPr="00915FCA">
        <w:t xml:space="preserve"> par l</w:t>
      </w:r>
      <w:r>
        <w:t>’</w:t>
      </w:r>
      <w:r w:rsidRPr="00915FCA">
        <w:t>État pour les victimes de torture</w:t>
      </w:r>
      <w:r>
        <w:t xml:space="preserve">, </w:t>
      </w:r>
      <w:r w:rsidR="0082511C">
        <w:t xml:space="preserve">en conséquence de quoi </w:t>
      </w:r>
      <w:r w:rsidRPr="00915FCA">
        <w:t xml:space="preserve">tous </w:t>
      </w:r>
      <w:r>
        <w:t xml:space="preserve">les moyens de </w:t>
      </w:r>
      <w:r w:rsidRPr="00915FCA">
        <w:t>réadaptation disponibles dans l</w:t>
      </w:r>
      <w:r>
        <w:t>’</w:t>
      </w:r>
      <w:r w:rsidRPr="00915FCA">
        <w:t xml:space="preserve">État partie </w:t>
      </w:r>
      <w:r>
        <w:t>sont</w:t>
      </w:r>
      <w:r w:rsidRPr="00915FCA">
        <w:t xml:space="preserve"> </w:t>
      </w:r>
      <w:r>
        <w:t>fournis</w:t>
      </w:r>
      <w:r w:rsidRPr="00915FCA">
        <w:t xml:space="preserve"> par une organisation </w:t>
      </w:r>
      <w:r>
        <w:t>non gouvernementale dépendant de</w:t>
      </w:r>
      <w:r w:rsidRPr="00915FCA">
        <w:t xml:space="preserve"> financement</w:t>
      </w:r>
      <w:r>
        <w:t>s</w:t>
      </w:r>
      <w:r w:rsidRPr="00915FCA">
        <w:t xml:space="preserve"> extérieur</w:t>
      </w:r>
      <w:r>
        <w:t>s (</w:t>
      </w:r>
      <w:r w:rsidRPr="00915FCA">
        <w:t>art.</w:t>
      </w:r>
      <w:r w:rsidR="003874D1">
        <w:t> </w:t>
      </w:r>
      <w:r w:rsidRPr="00915FCA">
        <w:t>14</w:t>
      </w:r>
      <w:r>
        <w:t>).</w:t>
      </w:r>
    </w:p>
    <w:p w:rsidR="00755175" w:rsidRPr="003874D1" w:rsidRDefault="00755175" w:rsidP="003874D1">
      <w:pPr>
        <w:pStyle w:val="SingleTxtG"/>
        <w:keepNext/>
        <w:rPr>
          <w:rFonts w:eastAsia="Malgun Gothic"/>
          <w:b/>
          <w:lang w:eastAsia="ko-KR"/>
        </w:rPr>
      </w:pPr>
      <w:r w:rsidRPr="003874D1">
        <w:rPr>
          <w:rFonts w:eastAsia="Malgun Gothic"/>
          <w:b/>
          <w:lang w:eastAsia="ko-KR"/>
        </w:rPr>
        <w:t xml:space="preserve">Compte tenu de l’Observation générale </w:t>
      </w:r>
      <w:r w:rsidR="008B6D4D" w:rsidRPr="008B6D4D">
        <w:rPr>
          <w:rFonts w:eastAsia="MS Mincho"/>
          <w:b/>
          <w:lang w:eastAsia="ko-KR"/>
        </w:rPr>
        <w:t>n</w:t>
      </w:r>
      <w:r w:rsidR="008B6D4D" w:rsidRPr="008B6D4D">
        <w:rPr>
          <w:rFonts w:eastAsia="MS Mincho"/>
          <w:b/>
          <w:vertAlign w:val="superscript"/>
          <w:lang w:eastAsia="ko-KR"/>
        </w:rPr>
        <w:t>o</w:t>
      </w:r>
      <w:r w:rsidR="008B6D4D" w:rsidRPr="008B6D4D">
        <w:rPr>
          <w:rFonts w:eastAsia="MS Mincho"/>
          <w:b/>
          <w:lang w:eastAsia="ko-KR"/>
        </w:rPr>
        <w:t> </w:t>
      </w:r>
      <w:r w:rsidRPr="003874D1">
        <w:rPr>
          <w:rFonts w:eastAsia="Malgun Gothic"/>
          <w:b/>
          <w:lang w:eastAsia="ko-KR"/>
        </w:rPr>
        <w:t xml:space="preserve">3 (2012) du Comité relative à l’application de l’article 14 par les États parties, l’État partie devrait garantir </w:t>
      </w:r>
      <w:r w:rsidRPr="003874D1">
        <w:rPr>
          <w:rFonts w:eastAsia="Malgun Gothic"/>
          <w:b/>
          <w:i/>
          <w:lang w:eastAsia="ko-KR"/>
        </w:rPr>
        <w:t>de jure</w:t>
      </w:r>
      <w:r w:rsidRPr="003874D1">
        <w:rPr>
          <w:rFonts w:eastAsia="Malgun Gothic"/>
          <w:b/>
          <w:lang w:eastAsia="ko-KR"/>
        </w:rPr>
        <w:t xml:space="preserve"> et </w:t>
      </w:r>
      <w:r w:rsidRPr="00C74607">
        <w:rPr>
          <w:rFonts w:eastAsia="Malgun Gothic"/>
          <w:b/>
          <w:lang w:eastAsia="ko-KR"/>
        </w:rPr>
        <w:t>de</w:t>
      </w:r>
      <w:r w:rsidR="00C74607">
        <w:rPr>
          <w:rFonts w:eastAsia="Malgun Gothic"/>
          <w:b/>
          <w:lang w:eastAsia="ko-KR"/>
        </w:rPr>
        <w:t> </w:t>
      </w:r>
      <w:r w:rsidRPr="00C74607">
        <w:rPr>
          <w:rFonts w:eastAsia="Malgun Gothic"/>
          <w:b/>
          <w:lang w:eastAsia="ko-KR"/>
        </w:rPr>
        <w:t>facto</w:t>
      </w:r>
      <w:r w:rsidRPr="003874D1">
        <w:rPr>
          <w:rFonts w:eastAsia="Malgun Gothic"/>
          <w:b/>
          <w:lang w:eastAsia="ko-KR"/>
        </w:rPr>
        <w:t xml:space="preserve"> l’accès à des dispositifs de réparation rapides et efficaces pour toutes les victimes de torture et de mauvais traitements, en:</w:t>
      </w:r>
    </w:p>
    <w:p w:rsidR="00755175" w:rsidRPr="00C74607" w:rsidRDefault="00755175" w:rsidP="00C74607">
      <w:pPr>
        <w:pStyle w:val="SingleTxtG"/>
        <w:ind w:firstLine="567"/>
        <w:rPr>
          <w:rFonts w:eastAsia="Malgun Gothic"/>
          <w:b/>
          <w:lang w:eastAsia="ko-KR"/>
        </w:rPr>
      </w:pPr>
      <w:r w:rsidRPr="00C74607">
        <w:rPr>
          <w:rFonts w:eastAsia="Malgun Gothic"/>
          <w:b/>
          <w:lang w:eastAsia="ko-KR"/>
        </w:rPr>
        <w:t>a)</w:t>
      </w:r>
      <w:r w:rsidR="00C74607" w:rsidRPr="00C74607">
        <w:rPr>
          <w:rFonts w:eastAsia="Malgun Gothic"/>
          <w:b/>
          <w:lang w:eastAsia="ko-KR"/>
        </w:rPr>
        <w:tab/>
      </w:r>
      <w:r w:rsidRPr="00C74607">
        <w:rPr>
          <w:rFonts w:eastAsia="Malgun Gothic"/>
          <w:b/>
          <w:lang w:eastAsia="ko-KR"/>
        </w:rPr>
        <w:t>Adoptant et appliquant des dispositions législatives et des politiques prévoyant expressément le droit à un recours et à réparation des victimes de torture et de mauvais traitements;</w:t>
      </w:r>
    </w:p>
    <w:p w:rsidR="00755175" w:rsidRPr="00C74607" w:rsidRDefault="00755175" w:rsidP="00C74607">
      <w:pPr>
        <w:pStyle w:val="SingleTxtG"/>
        <w:ind w:firstLine="567"/>
        <w:rPr>
          <w:rFonts w:eastAsia="Malgun Gothic"/>
          <w:b/>
          <w:lang w:eastAsia="ko-KR"/>
        </w:rPr>
      </w:pPr>
      <w:r w:rsidRPr="00C74607">
        <w:rPr>
          <w:rFonts w:eastAsia="Malgun Gothic"/>
          <w:b/>
          <w:lang w:eastAsia="ko-KR"/>
        </w:rPr>
        <w:t>b)</w:t>
      </w:r>
      <w:r w:rsidR="00C74607">
        <w:rPr>
          <w:rFonts w:eastAsia="Malgun Gothic"/>
          <w:b/>
          <w:lang w:eastAsia="ko-KR"/>
        </w:rPr>
        <w:tab/>
      </w:r>
      <w:r w:rsidRPr="00C74607">
        <w:rPr>
          <w:rFonts w:eastAsia="Malgun Gothic"/>
          <w:b/>
          <w:lang w:eastAsia="ko-KR"/>
        </w:rPr>
        <w:t xml:space="preserve">Faisant le nécessaire pour que soient mis en place dans le pays des services et des programmes de réadaptation efficaces, </w:t>
      </w:r>
      <w:r w:rsidR="001F0A79">
        <w:rPr>
          <w:rFonts w:eastAsia="Malgun Gothic"/>
          <w:b/>
          <w:lang w:eastAsia="ko-KR"/>
        </w:rPr>
        <w:t xml:space="preserve">qui soient </w:t>
      </w:r>
      <w:r w:rsidRPr="00C74607">
        <w:rPr>
          <w:rFonts w:eastAsia="Malgun Gothic"/>
          <w:b/>
          <w:lang w:eastAsia="ko-KR"/>
        </w:rPr>
        <w:t>accessibles à toutes les victimes sans discrimination</w:t>
      </w:r>
      <w:r w:rsidR="007B654E">
        <w:rPr>
          <w:rFonts w:eastAsia="Malgun Gothic"/>
          <w:b/>
          <w:lang w:eastAsia="ko-KR"/>
        </w:rPr>
        <w:t xml:space="preserve">, </w:t>
      </w:r>
      <w:r w:rsidRPr="00C74607">
        <w:rPr>
          <w:rFonts w:eastAsia="Malgun Gothic"/>
          <w:b/>
          <w:lang w:eastAsia="ko-KR"/>
        </w:rPr>
        <w:t xml:space="preserve">qu’elles aient </w:t>
      </w:r>
      <w:r w:rsidR="007B654E">
        <w:rPr>
          <w:rFonts w:eastAsia="Malgun Gothic"/>
          <w:b/>
          <w:lang w:eastAsia="ko-KR"/>
        </w:rPr>
        <w:t xml:space="preserve">ou non exercé </w:t>
      </w:r>
      <w:r w:rsidRPr="00C74607">
        <w:rPr>
          <w:rFonts w:eastAsia="Malgun Gothic"/>
          <w:b/>
          <w:lang w:eastAsia="ko-KR"/>
        </w:rPr>
        <w:t>au préalable une action en</w:t>
      </w:r>
      <w:r w:rsidR="001F0A79">
        <w:rPr>
          <w:rFonts w:eastAsia="Malgun Gothic"/>
          <w:b/>
          <w:lang w:eastAsia="ko-KR"/>
        </w:rPr>
        <w:t> </w:t>
      </w:r>
      <w:r w:rsidRPr="00C74607">
        <w:rPr>
          <w:rFonts w:eastAsia="Malgun Gothic"/>
          <w:b/>
          <w:lang w:eastAsia="ko-KR"/>
        </w:rPr>
        <w:t>justice;</w:t>
      </w:r>
    </w:p>
    <w:p w:rsidR="00755175" w:rsidRPr="00081C85" w:rsidRDefault="00755175" w:rsidP="00081C85">
      <w:pPr>
        <w:pStyle w:val="SingleTxtG"/>
        <w:ind w:firstLine="567"/>
        <w:rPr>
          <w:rFonts w:eastAsia="Malgun Gothic"/>
          <w:b/>
          <w:lang w:eastAsia="ko-KR"/>
        </w:rPr>
      </w:pPr>
      <w:r w:rsidRPr="00081C85">
        <w:rPr>
          <w:rFonts w:eastAsia="Malgun Gothic"/>
          <w:b/>
          <w:lang w:eastAsia="ko-KR"/>
        </w:rPr>
        <w:t>c)</w:t>
      </w:r>
      <w:r w:rsidR="00081C85">
        <w:rPr>
          <w:rFonts w:eastAsia="Malgun Gothic"/>
          <w:b/>
          <w:lang w:eastAsia="ko-KR"/>
        </w:rPr>
        <w:tab/>
      </w:r>
      <w:r w:rsidRPr="00081C85">
        <w:rPr>
          <w:rFonts w:eastAsia="Malgun Gothic"/>
          <w:b/>
          <w:lang w:eastAsia="ko-KR"/>
        </w:rPr>
        <w:t>Prenant les mesures requises pour protéger la sécurité et l’intégrité personnelle des victimes et familles de victimes qui cherchent à obtenir réparation ou à bénéficier de services de réadaptation;</w:t>
      </w:r>
    </w:p>
    <w:p w:rsidR="00755175" w:rsidRPr="00023ED9" w:rsidRDefault="00755175" w:rsidP="00023ED9">
      <w:pPr>
        <w:pStyle w:val="SingleTxtG"/>
        <w:ind w:firstLine="567"/>
        <w:rPr>
          <w:rFonts w:eastAsia="Malgun Gothic"/>
          <w:b/>
        </w:rPr>
      </w:pPr>
      <w:r w:rsidRPr="00023ED9">
        <w:rPr>
          <w:rFonts w:eastAsia="Malgun Gothic"/>
          <w:b/>
          <w:lang w:eastAsia="ko-KR"/>
        </w:rPr>
        <w:t>d)</w:t>
      </w:r>
      <w:r w:rsidR="00023ED9">
        <w:rPr>
          <w:rFonts w:eastAsia="Malgun Gothic"/>
          <w:b/>
          <w:lang w:eastAsia="ko-KR"/>
        </w:rPr>
        <w:tab/>
      </w:r>
      <w:r w:rsidRPr="00023ED9">
        <w:rPr>
          <w:rFonts w:eastAsia="Malgun Gothic"/>
          <w:b/>
          <w:lang w:eastAsia="ko-KR"/>
        </w:rPr>
        <w:t>Donnant suite aux constatations du Comité des droits de l’homme relatives au droit à réparation des victimes de torture.</w:t>
      </w:r>
    </w:p>
    <w:p w:rsidR="00755175" w:rsidRPr="001F786F" w:rsidRDefault="00755175" w:rsidP="008B6D4D">
      <w:pPr>
        <w:pStyle w:val="H23G"/>
        <w:rPr>
          <w:rFonts w:eastAsia="Malgun Gothic"/>
          <w:shd w:val="clear" w:color="auto" w:fill="FFFFFF"/>
        </w:rPr>
      </w:pPr>
      <w:r w:rsidRPr="001F786F">
        <w:rPr>
          <w:rFonts w:eastAsia="Malgun Gothic"/>
          <w:shd w:val="clear" w:color="auto" w:fill="FFFFFF"/>
          <w:lang w:eastAsia="ko-KR"/>
        </w:rPr>
        <w:tab/>
      </w:r>
      <w:r w:rsidRPr="001F786F">
        <w:rPr>
          <w:rFonts w:eastAsia="Malgun Gothic"/>
          <w:shd w:val="clear" w:color="auto" w:fill="FFFFFF"/>
          <w:lang w:eastAsia="ko-KR"/>
        </w:rPr>
        <w:tab/>
      </w:r>
      <w:r>
        <w:rPr>
          <w:rFonts w:eastAsia="Malgun Gothic"/>
          <w:shd w:val="clear" w:color="auto" w:fill="FFFFFF"/>
        </w:rPr>
        <w:t>Réfugié</w:t>
      </w:r>
      <w:r w:rsidRPr="001F786F">
        <w:rPr>
          <w:rFonts w:eastAsia="Malgun Gothic"/>
          <w:shd w:val="clear" w:color="auto" w:fill="FFFFFF"/>
        </w:rPr>
        <w:t xml:space="preserve">s </w:t>
      </w:r>
      <w:r>
        <w:rPr>
          <w:rFonts w:eastAsia="Malgun Gothic"/>
          <w:shd w:val="clear" w:color="auto" w:fill="FFFFFF"/>
        </w:rPr>
        <w:t>et</w:t>
      </w:r>
      <w:r w:rsidRPr="001F786F">
        <w:rPr>
          <w:rFonts w:eastAsia="Malgun Gothic"/>
          <w:shd w:val="clear" w:color="auto" w:fill="FFFFFF"/>
        </w:rPr>
        <w:t xml:space="preserve"> </w:t>
      </w:r>
      <w:r>
        <w:rPr>
          <w:rFonts w:eastAsia="Malgun Gothic"/>
          <w:shd w:val="clear" w:color="auto" w:fill="FFFFFF"/>
        </w:rPr>
        <w:t>demandeurs d’asile</w:t>
      </w:r>
    </w:p>
    <w:p w:rsidR="00755175" w:rsidRDefault="00755175" w:rsidP="00755175">
      <w:pPr>
        <w:pStyle w:val="ParNoG"/>
      </w:pPr>
      <w:r>
        <w:t>Le Comité prend acte des avancées réalisées dans ce domaine, notamment de la modification, en</w:t>
      </w:r>
      <w:r w:rsidR="008B6D4D">
        <w:t> </w:t>
      </w:r>
      <w:r>
        <w:t xml:space="preserve">2012, de la loi </w:t>
      </w:r>
      <w:r w:rsidR="00092D0E">
        <w:t xml:space="preserve">sur les </w:t>
      </w:r>
      <w:r>
        <w:t xml:space="preserve">réfugiés, mais il se déclare préoccupé par les informations indiquant que plusieurs réfugiés et demandeurs d’asile </w:t>
      </w:r>
      <w:r w:rsidR="00092D0E">
        <w:t xml:space="preserve">originaires </w:t>
      </w:r>
      <w:r>
        <w:t>d’un pays voisin ont été r</w:t>
      </w:r>
      <w:r w:rsidR="00092D0E">
        <w:t>envoyés de force ou secrètement</w:t>
      </w:r>
      <w:r>
        <w:t xml:space="preserve">, et que les réfugiés demeurent exposés au risque d’être refoulés ou </w:t>
      </w:r>
      <w:r w:rsidR="00092D0E">
        <w:t xml:space="preserve">d’être </w:t>
      </w:r>
      <w:r>
        <w:t>enlevés par les services de sécurité du pays voisin, qui agissent parfois en coopération avec leurs homologues kirghizes. Le Comité des droits de l’homme a estimé que le Kirghizistan, en extradant vers l’Ouzbékistan quatre Ouzbeks reconnus comme réfugiés par le Haut</w:t>
      </w:r>
      <w:r w:rsidR="00844B42">
        <w:noBreakHyphen/>
      </w:r>
      <w:r>
        <w:t xml:space="preserve">Commissariat des Nations Unies pour les réfugiés, avait violé leur droit de ne pas être soumis à la torture (communications </w:t>
      </w:r>
      <w:r w:rsidR="00844B42">
        <w:rPr>
          <w:rFonts w:eastAsia="MS Mincho"/>
        </w:rPr>
        <w:t>n</w:t>
      </w:r>
      <w:r w:rsidR="00844B42">
        <w:rPr>
          <w:rFonts w:eastAsia="MS Mincho"/>
          <w:vertAlign w:val="superscript"/>
        </w:rPr>
        <w:t>o</w:t>
      </w:r>
      <w:r w:rsidR="00844B42">
        <w:t> </w:t>
      </w:r>
      <w:r>
        <w:t xml:space="preserve">1461/2006, 1462/2006, 1476/2006 et 1477/2006). Le Comité partage en outre la préoccupation exprimée par le Comité pour l’élimination de la discrimination raciale au sujet des </w:t>
      </w:r>
      <w:r w:rsidRPr="00AB7D4C">
        <w:t>informations selon lesquelles des Ouïghours et des Ouzbeks de l</w:t>
      </w:r>
      <w:r>
        <w:t>’</w:t>
      </w:r>
      <w:r w:rsidRPr="00AB7D4C">
        <w:t>étranger seraient traités de façon discriminatoire dans les procédures d</w:t>
      </w:r>
      <w:r>
        <w:t>’</w:t>
      </w:r>
      <w:r w:rsidRPr="00AB7D4C">
        <w:t>enregistrement et de reconnaissance du statut de réfugié, ce qui leur ferait courir le risque d</w:t>
      </w:r>
      <w:r>
        <w:t>’</w:t>
      </w:r>
      <w:r w:rsidRPr="00AB7D4C">
        <w:t>être harcelés par la police et d</w:t>
      </w:r>
      <w:r>
        <w:t>’</w:t>
      </w:r>
      <w:r w:rsidRPr="00AB7D4C">
        <w:t>être re</w:t>
      </w:r>
      <w:r w:rsidR="00F843EC">
        <w:t>foulés (CERD/C/KGZ/CO/5-7, par. </w:t>
      </w:r>
      <w:r w:rsidRPr="00AB7D4C">
        <w:t>17</w:t>
      </w:r>
      <w:r w:rsidR="00F843EC">
        <w:t>) (art. </w:t>
      </w:r>
      <w:r>
        <w:t>3).</w:t>
      </w:r>
    </w:p>
    <w:p w:rsidR="00755175" w:rsidRPr="008F2BE9" w:rsidRDefault="00755175" w:rsidP="008F2BE9">
      <w:pPr>
        <w:pStyle w:val="SingleTxtG"/>
        <w:rPr>
          <w:b/>
        </w:rPr>
      </w:pPr>
      <w:r w:rsidRPr="008F2BE9">
        <w:rPr>
          <w:b/>
        </w:rPr>
        <w:t>L’État partie devrait prendre toutes les mesures nécessaires pour garantir le principe de non-refoulement, notamment en mettant ses procédures et pratiques actuelles en conformité avec l’article 3 de la Convention, et pour faire en sorte que des mécanismes judiciaires appropriés soient disponibles pour le réexamen des décisions, que toute personne faisant l’objet d’une demande d’extradition dispose de moyens de défense suffisants et qu’il existe des dispositifs efficaces pour suivre la situation de l’intéressé après son retour.</w:t>
      </w:r>
    </w:p>
    <w:p w:rsidR="00755175" w:rsidRPr="001F786F" w:rsidRDefault="00755175" w:rsidP="00AE58F0">
      <w:pPr>
        <w:pStyle w:val="H23G"/>
        <w:rPr>
          <w:rFonts w:eastAsia="Malgun Gothic"/>
          <w:shd w:val="clear" w:color="auto" w:fill="FFFFFF"/>
        </w:rPr>
      </w:pPr>
      <w:r w:rsidRPr="001F786F">
        <w:rPr>
          <w:rFonts w:eastAsia="Malgun Gothic"/>
          <w:lang w:eastAsia="ko-KR"/>
        </w:rPr>
        <w:tab/>
      </w:r>
      <w:r w:rsidRPr="001F786F">
        <w:rPr>
          <w:rFonts w:eastAsia="Malgun Gothic"/>
          <w:lang w:eastAsia="ko-KR"/>
        </w:rPr>
        <w:tab/>
      </w:r>
      <w:r>
        <w:rPr>
          <w:rFonts w:eastAsia="Malgun Gothic"/>
          <w:shd w:val="clear" w:color="auto" w:fill="FFFFFF"/>
        </w:rPr>
        <w:t>Formation</w:t>
      </w:r>
    </w:p>
    <w:p w:rsidR="00755175" w:rsidRDefault="00755175" w:rsidP="00755175">
      <w:pPr>
        <w:pStyle w:val="ParNoG"/>
      </w:pPr>
      <w:r>
        <w:t>Le Comité prend note des différents programmes de formation aux droits de l’homme à l’intention des agents de l’État et des juges, mais il regrette: a)</w:t>
      </w:r>
      <w:r w:rsidR="00AE58F0">
        <w:t> </w:t>
      </w:r>
      <w:r>
        <w:t>l’insuffisance de la formation pratique aux dispositions de la Convention dispensée aux membres des forces de l’ordre et de l’appareil judiciaire; b)</w:t>
      </w:r>
      <w:r w:rsidR="00AE58F0">
        <w:t> </w:t>
      </w:r>
      <w:r>
        <w:t>l’absence de formation spécifique visant à permettre au personnel médical qui s’occupe des détenus de déceler les signes de torture et de mauvais traitements; c)</w:t>
      </w:r>
      <w:r w:rsidR="00AE58F0">
        <w:t> </w:t>
      </w:r>
      <w:r>
        <w:t xml:space="preserve">l’absence d’information </w:t>
      </w:r>
      <w:r w:rsidR="008979B7">
        <w:t xml:space="preserve">concernant l’incidence </w:t>
      </w:r>
      <w:r>
        <w:t>sur les répercussions des programmes de formation existants sur la prévention des actes de torture ou des mauvais traitements (art.</w:t>
      </w:r>
      <w:r w:rsidR="008F65BB">
        <w:t> </w:t>
      </w:r>
      <w:r>
        <w:t>10).</w:t>
      </w:r>
    </w:p>
    <w:p w:rsidR="00755175" w:rsidRPr="008979B7" w:rsidRDefault="00755175" w:rsidP="008979B7">
      <w:pPr>
        <w:pStyle w:val="SingleTxtG"/>
        <w:keepNext/>
        <w:rPr>
          <w:b/>
        </w:rPr>
      </w:pPr>
      <w:r w:rsidRPr="008979B7">
        <w:rPr>
          <w:b/>
        </w:rPr>
        <w:t>L’État partie devrait:</w:t>
      </w:r>
    </w:p>
    <w:p w:rsidR="00755175" w:rsidRPr="008979B7" w:rsidRDefault="00755175" w:rsidP="008979B7">
      <w:pPr>
        <w:pStyle w:val="SingleTxtG"/>
        <w:ind w:firstLine="567"/>
        <w:rPr>
          <w:b/>
        </w:rPr>
      </w:pPr>
      <w:r w:rsidRPr="008979B7">
        <w:rPr>
          <w:b/>
        </w:rPr>
        <w:t>a)</w:t>
      </w:r>
      <w:r w:rsidR="008979B7">
        <w:rPr>
          <w:b/>
        </w:rPr>
        <w:tab/>
      </w:r>
      <w:r w:rsidRPr="008979B7">
        <w:rPr>
          <w:b/>
        </w:rPr>
        <w:t>Renforcer</w:t>
      </w:r>
      <w:r w:rsidR="00EE4F00">
        <w:rPr>
          <w:b/>
        </w:rPr>
        <w:t xml:space="preserve"> </w:t>
      </w:r>
      <w:r w:rsidRPr="008979B7">
        <w:rPr>
          <w:b/>
        </w:rPr>
        <w:t xml:space="preserve">les programmes de formation </w:t>
      </w:r>
      <w:r w:rsidR="00EE4F00">
        <w:rPr>
          <w:b/>
        </w:rPr>
        <w:t xml:space="preserve">relatifs à </w:t>
      </w:r>
      <w:r w:rsidRPr="008979B7">
        <w:rPr>
          <w:b/>
        </w:rPr>
        <w:t xml:space="preserve">l’interdiction absolue de la torture et aux obligations </w:t>
      </w:r>
      <w:r w:rsidR="00EE4F00">
        <w:rPr>
          <w:b/>
        </w:rPr>
        <w:t xml:space="preserve">découlant </w:t>
      </w:r>
      <w:r w:rsidRPr="008979B7">
        <w:rPr>
          <w:b/>
        </w:rPr>
        <w:t>de la Convention</w:t>
      </w:r>
      <w:r w:rsidR="00EE4F00">
        <w:rPr>
          <w:b/>
        </w:rPr>
        <w:t xml:space="preserve">, </w:t>
      </w:r>
      <w:r w:rsidR="00EE4F00" w:rsidRPr="008979B7">
        <w:rPr>
          <w:b/>
        </w:rPr>
        <w:t>en appliquant une démarche soucieuse des questions de genre</w:t>
      </w:r>
      <w:r w:rsidR="00EE4F00">
        <w:rPr>
          <w:b/>
        </w:rPr>
        <w:t xml:space="preserve">, à l’intention de </w:t>
      </w:r>
      <w:r w:rsidRPr="008979B7">
        <w:rPr>
          <w:b/>
        </w:rPr>
        <w:t>tous les personnels intervenant dans la garde à vue, la détention, les interrogatoires et le traitement des détenus ainsi qu’aux membres de l’appareil judiciaire;</w:t>
      </w:r>
    </w:p>
    <w:p w:rsidR="00755175" w:rsidRPr="00EE4F00" w:rsidRDefault="00755175" w:rsidP="00EE4F00">
      <w:pPr>
        <w:pStyle w:val="SingleTxtG"/>
        <w:ind w:firstLine="567"/>
        <w:rPr>
          <w:rFonts w:eastAsia="Malgun Gothic"/>
          <w:b/>
          <w:bCs/>
        </w:rPr>
      </w:pPr>
      <w:r w:rsidRPr="00EE4F00">
        <w:rPr>
          <w:b/>
        </w:rPr>
        <w:t>b)</w:t>
      </w:r>
      <w:r w:rsidR="00EE4F00">
        <w:rPr>
          <w:b/>
        </w:rPr>
        <w:tab/>
      </w:r>
      <w:r w:rsidRPr="00EE4F00">
        <w:rPr>
          <w:b/>
        </w:rPr>
        <w:t xml:space="preserve">Dispenser à tous les personnels concernés, en particulier au personnel médical, une formation </w:t>
      </w:r>
      <w:r w:rsidR="004F7584">
        <w:rPr>
          <w:b/>
        </w:rPr>
        <w:t xml:space="preserve">concernant la détection des </w:t>
      </w:r>
      <w:r w:rsidRPr="00EE4F00">
        <w:rPr>
          <w:b/>
        </w:rPr>
        <w:t xml:space="preserve">signes de torture et de mauvais traitements et </w:t>
      </w:r>
      <w:r w:rsidR="004F7584">
        <w:rPr>
          <w:b/>
        </w:rPr>
        <w:t xml:space="preserve">l’utilisation du </w:t>
      </w:r>
      <w:r w:rsidRPr="00EE4F00">
        <w:rPr>
          <w:b/>
        </w:rPr>
        <w:t>Protocole</w:t>
      </w:r>
      <w:r w:rsidR="003422C7">
        <w:rPr>
          <w:b/>
        </w:rPr>
        <w:t> </w:t>
      </w:r>
      <w:r w:rsidRPr="00EE4F00">
        <w:rPr>
          <w:b/>
        </w:rPr>
        <w:t>d’Istanbul.</w:t>
      </w:r>
    </w:p>
    <w:p w:rsidR="00755175" w:rsidRPr="001F786F" w:rsidRDefault="00755175" w:rsidP="003422C7">
      <w:pPr>
        <w:pStyle w:val="H23G"/>
        <w:rPr>
          <w:rFonts w:eastAsia="Malgun Gothic"/>
        </w:rPr>
      </w:pPr>
      <w:r w:rsidRPr="001F786F">
        <w:rPr>
          <w:rFonts w:eastAsia="Malgun Gothic"/>
        </w:rPr>
        <w:tab/>
      </w:r>
      <w:r w:rsidRPr="001F786F">
        <w:rPr>
          <w:rFonts w:eastAsia="Malgun Gothic"/>
        </w:rPr>
        <w:tab/>
      </w:r>
      <w:r>
        <w:rPr>
          <w:rFonts w:eastAsia="Malgun Gothic"/>
        </w:rPr>
        <w:t>Absence de données</w:t>
      </w:r>
    </w:p>
    <w:p w:rsidR="00755175" w:rsidRDefault="00755175" w:rsidP="00755175">
      <w:pPr>
        <w:pStyle w:val="ParNoG"/>
      </w:pPr>
      <w:r w:rsidRPr="00EE6954">
        <w:t xml:space="preserve">Le Comité regrette </w:t>
      </w:r>
      <w:r>
        <w:t>l’absence</w:t>
      </w:r>
      <w:r w:rsidRPr="00EE6954">
        <w:t xml:space="preserve"> de données détaillées ou ventilées sur </w:t>
      </w:r>
      <w:r w:rsidR="009703EF">
        <w:t xml:space="preserve">le respect </w:t>
      </w:r>
      <w:r>
        <w:t>par l’État partie d</w:t>
      </w:r>
      <w:r w:rsidRPr="00EE6954">
        <w:t xml:space="preserve">es obligations </w:t>
      </w:r>
      <w:r w:rsidR="009703EF">
        <w:t>qui lui incombent</w:t>
      </w:r>
      <w:r w:rsidRPr="00EE6954">
        <w:t xml:space="preserve"> en vertu de la Convention (art.</w:t>
      </w:r>
      <w:r w:rsidR="009703EF">
        <w:t> </w:t>
      </w:r>
      <w:r w:rsidRPr="00EE6954">
        <w:t>2, 12, 13 et</w:t>
      </w:r>
      <w:r w:rsidR="009703EF">
        <w:t> </w:t>
      </w:r>
      <w:r w:rsidRPr="00EE6954">
        <w:t>19).</w:t>
      </w:r>
    </w:p>
    <w:p w:rsidR="00755175" w:rsidRPr="00BD1F21" w:rsidRDefault="00755175" w:rsidP="00BD1F21">
      <w:pPr>
        <w:pStyle w:val="SingleTxtG"/>
        <w:rPr>
          <w:rFonts w:eastAsia="Malgun Gothic"/>
          <w:b/>
        </w:rPr>
      </w:pPr>
      <w:r w:rsidRPr="00BD1F21">
        <w:rPr>
          <w:b/>
        </w:rPr>
        <w:t>L’État partie devrait rassembler et adresser au Comité des données statistiques pertinentes pour le suivi de la mise en œuvre de la Convention au niveau national, précisant le type d’organes qui participent à ce suivi, ventilées notamment par sexe, appartenance ethnique, âge, type d’infraction et lieu géographique, ainsi que des informations sur les plaintes, les enquêtes, les poursuites et les condamnations dans des affaires de torture et de mauvais traitements, de décès en détention, de traite, de violence familiale et de violences sexuelles, et sur l’issue de ces plaintes et affaires, notamment en ce qui concerne l’indemnisation et la réadaptation des victimes.</w:t>
      </w:r>
    </w:p>
    <w:p w:rsidR="00755175" w:rsidRPr="001F786F" w:rsidRDefault="00480B1A" w:rsidP="00755175">
      <w:pPr>
        <w:pStyle w:val="ParNoG"/>
      </w:pPr>
      <w:r>
        <w:t xml:space="preserve">Le </w:t>
      </w:r>
      <w:r w:rsidR="00755175" w:rsidRPr="00CD4C6A">
        <w:t>Comité recommande à l</w:t>
      </w:r>
      <w:r w:rsidR="00755175">
        <w:t>’</w:t>
      </w:r>
      <w:r w:rsidR="00755175" w:rsidRPr="00CD4C6A">
        <w:t>État partie d</w:t>
      </w:r>
      <w:r w:rsidR="00755175">
        <w:t>’</w:t>
      </w:r>
      <w:r w:rsidR="00755175" w:rsidRPr="00CD4C6A">
        <w:t>envisager de faire les dé</w:t>
      </w:r>
      <w:r w:rsidR="00890B6E">
        <w:t>clarations prévues aux articles </w:t>
      </w:r>
      <w:r w:rsidR="00755175" w:rsidRPr="00CD4C6A">
        <w:t>21 et</w:t>
      </w:r>
      <w:r w:rsidR="00890B6E">
        <w:t> </w:t>
      </w:r>
      <w:r w:rsidR="00755175" w:rsidRPr="00CD4C6A">
        <w:t>22 de la Convention.</w:t>
      </w:r>
    </w:p>
    <w:p w:rsidR="00755175" w:rsidRPr="00EB447D" w:rsidRDefault="00755175" w:rsidP="00755175">
      <w:pPr>
        <w:pStyle w:val="ParNoG"/>
        <w:rPr>
          <w:lang w:val="fr-FR"/>
        </w:rPr>
      </w:pPr>
      <w:r w:rsidRPr="00AB7D4C">
        <w:t>Le Comité invite l</w:t>
      </w:r>
      <w:r>
        <w:t>’</w:t>
      </w:r>
      <w:r w:rsidRPr="00AB7D4C">
        <w:t>État partie à ratifier les instruments des Nations Unies relatifs aux droits de l</w:t>
      </w:r>
      <w:r>
        <w:t>’</w:t>
      </w:r>
      <w:r w:rsidRPr="00AB7D4C">
        <w:t>homme auxquels il n</w:t>
      </w:r>
      <w:r>
        <w:t>’</w:t>
      </w:r>
      <w:r w:rsidRPr="00AB7D4C">
        <w:t>est pas encore partie</w:t>
      </w:r>
      <w:r w:rsidRPr="001F786F">
        <w:t xml:space="preserve">, </w:t>
      </w:r>
      <w:r w:rsidRPr="00EB447D">
        <w:t xml:space="preserve">en particulier la </w:t>
      </w:r>
      <w:r w:rsidRPr="005E41A6">
        <w:t xml:space="preserve">Convention internationale pour la protection de toutes les personnes contre les disparitions </w:t>
      </w:r>
      <w:r w:rsidRPr="00EB447D">
        <w:t xml:space="preserve">forcées et la </w:t>
      </w:r>
      <w:r w:rsidRPr="00EB447D">
        <w:rPr>
          <w:lang w:val="fr-FR"/>
        </w:rPr>
        <w:t>Convention relative aux d</w:t>
      </w:r>
      <w:r>
        <w:rPr>
          <w:lang w:val="fr-FR"/>
        </w:rPr>
        <w:t>roits des personnes handicapées</w:t>
      </w:r>
      <w:r w:rsidRPr="00EB447D">
        <w:t>.</w:t>
      </w:r>
    </w:p>
    <w:p w:rsidR="00755175" w:rsidRDefault="00755175" w:rsidP="00755175">
      <w:pPr>
        <w:pStyle w:val="ParNoG"/>
      </w:pPr>
      <w:r w:rsidRPr="00AB7D4C">
        <w:t>L</w:t>
      </w:r>
      <w:r>
        <w:t>’</w:t>
      </w:r>
      <w:r w:rsidRPr="00AB7D4C">
        <w:t>État partie est invité à diffuser largement le rapport soumis au Comité ainsi que les présentes observations finales, dans les langues voulues, par le biais des sites Web officiels, des médias et des organisations non gouvernementales.</w:t>
      </w:r>
    </w:p>
    <w:p w:rsidR="00755175" w:rsidRPr="00B603DD" w:rsidRDefault="00755175" w:rsidP="00755175">
      <w:pPr>
        <w:pStyle w:val="ParNoG"/>
      </w:pPr>
      <w:r w:rsidRPr="00AB7D4C">
        <w:t>Le Comité demande à l</w:t>
      </w:r>
      <w:r>
        <w:t>’</w:t>
      </w:r>
      <w:r w:rsidRPr="00AB7D4C">
        <w:t>État partie de lui faire parvenir</w:t>
      </w:r>
      <w:r w:rsidRPr="00B603DD">
        <w:t>, le 23 novembre 2014 au plus tard</w:t>
      </w:r>
      <w:r w:rsidRPr="00AB7D4C">
        <w:t>, des renseignements sur la suite donnée aux recommandations figurant aux paragraphes</w:t>
      </w:r>
      <w:r w:rsidR="00575226">
        <w:t> </w:t>
      </w:r>
      <w:r w:rsidRPr="00AB7D4C">
        <w:t>7, 8, 10 et</w:t>
      </w:r>
      <w:r w:rsidR="00575226">
        <w:t> </w:t>
      </w:r>
      <w:r w:rsidRPr="00AB7D4C">
        <w:t xml:space="preserve">14 du présent document </w:t>
      </w:r>
      <w:r w:rsidR="00575226">
        <w:t xml:space="preserve">et </w:t>
      </w:r>
      <w:r w:rsidRPr="008C7123">
        <w:t>l</w:t>
      </w:r>
      <w:r>
        <w:t>’</w:t>
      </w:r>
      <w:r w:rsidRPr="008C7123">
        <w:t xml:space="preserve">engageant </w:t>
      </w:r>
      <w:r w:rsidRPr="00E9764E">
        <w:t>à</w:t>
      </w:r>
      <w:r>
        <w:t>:</w:t>
      </w:r>
      <w:r w:rsidRPr="00E9764E">
        <w:t xml:space="preserve"> a)</w:t>
      </w:r>
      <w:r w:rsidR="00575226">
        <w:t> </w:t>
      </w:r>
      <w:r w:rsidRPr="00E9764E">
        <w:t>faire respecter les garanties juridiques fondamentales</w:t>
      </w:r>
      <w:r w:rsidRPr="008C7123">
        <w:t>; b)</w:t>
      </w:r>
      <w:r w:rsidR="00575226">
        <w:t> </w:t>
      </w:r>
      <w:r>
        <w:t xml:space="preserve">mener sans délai des enquêtes impartiales et </w:t>
      </w:r>
      <w:r w:rsidRPr="008C7123">
        <w:t>efficaces; c)</w:t>
      </w:r>
      <w:r w:rsidR="00575226">
        <w:t> </w:t>
      </w:r>
      <w:r>
        <w:t>interdire l’utilisation à titre de preuve d’éléments obtenus par la torture</w:t>
      </w:r>
      <w:r w:rsidRPr="00AB7D4C">
        <w:t>.</w:t>
      </w:r>
    </w:p>
    <w:p w:rsidR="00755175" w:rsidRPr="00C451B9" w:rsidRDefault="00755175" w:rsidP="00755175">
      <w:pPr>
        <w:pStyle w:val="ParNoG"/>
      </w:pPr>
      <w:r w:rsidRPr="00AB7D4C">
        <w:t>L</w:t>
      </w:r>
      <w:r>
        <w:t>’</w:t>
      </w:r>
      <w:r w:rsidRPr="00AB7D4C">
        <w:t>État partie est invité à soumettre son prochain rapport périodique, qui sera le troisième, le</w:t>
      </w:r>
      <w:r w:rsidR="00711BCB">
        <w:t> </w:t>
      </w:r>
      <w:r w:rsidRPr="00AB7D4C">
        <w:t>23</w:t>
      </w:r>
      <w:r w:rsidR="00711BCB">
        <w:t> </w:t>
      </w:r>
      <w:r w:rsidRPr="00AB7D4C">
        <w:t xml:space="preserve">novembre 2017 au plus tard. </w:t>
      </w:r>
      <w:r>
        <w:t>À</w:t>
      </w:r>
      <w:r w:rsidR="0039586E">
        <w:t> </w:t>
      </w:r>
      <w:r>
        <w:t>cette fin, le Comité lui soumettra en temps voulu une liste préalable de points à traiter, puisque l’État partie a accepté d’établir son rapport conformément à la procédure facultative.</w:t>
      </w:r>
    </w:p>
    <w:p w:rsidR="00FF1DBD" w:rsidRPr="00C64AB4" w:rsidRDefault="00C64AB4" w:rsidP="00C64AB4">
      <w:pPr>
        <w:pStyle w:val="SingleTxtG"/>
        <w:spacing w:before="240" w:after="0"/>
        <w:jc w:val="center"/>
        <w:rPr>
          <w:u w:val="single"/>
        </w:rPr>
      </w:pPr>
      <w:r>
        <w:rPr>
          <w:u w:val="single"/>
        </w:rPr>
        <w:tab/>
      </w:r>
      <w:r>
        <w:rPr>
          <w:u w:val="single"/>
        </w:rPr>
        <w:tab/>
      </w:r>
      <w:r>
        <w:rPr>
          <w:u w:val="single"/>
        </w:rPr>
        <w:tab/>
      </w:r>
    </w:p>
    <w:sectPr w:rsidR="00FF1DBD" w:rsidRPr="00C64AB4" w:rsidSect="0075517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08" w:rsidRDefault="00C62008"/>
  </w:endnote>
  <w:endnote w:type="continuationSeparator" w:id="0">
    <w:p w:rsidR="00C62008" w:rsidRDefault="00C62008"/>
  </w:endnote>
  <w:endnote w:type="continuationNotice" w:id="1">
    <w:p w:rsidR="00C62008" w:rsidRPr="004A69CB" w:rsidRDefault="00C62008"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08" w:rsidRPr="00755175" w:rsidRDefault="00C62008" w:rsidP="00755175">
    <w:pPr>
      <w:pStyle w:val="Footer"/>
      <w:tabs>
        <w:tab w:val="right" w:pos="9638"/>
      </w:tabs>
    </w:pPr>
    <w:r w:rsidRPr="00755175">
      <w:rPr>
        <w:b/>
        <w:sz w:val="18"/>
      </w:rPr>
      <w:fldChar w:fldCharType="begin"/>
    </w:r>
    <w:r w:rsidRPr="00755175">
      <w:rPr>
        <w:b/>
        <w:sz w:val="18"/>
      </w:rPr>
      <w:instrText xml:space="preserve"> PAGE  \* MERGEFORMAT </w:instrText>
    </w:r>
    <w:r w:rsidRPr="00755175">
      <w:rPr>
        <w:b/>
        <w:sz w:val="18"/>
      </w:rPr>
      <w:fldChar w:fldCharType="separate"/>
    </w:r>
    <w:r>
      <w:rPr>
        <w:b/>
        <w:noProof/>
        <w:sz w:val="18"/>
      </w:rPr>
      <w:t>12</w:t>
    </w:r>
    <w:r w:rsidRPr="00755175">
      <w:rPr>
        <w:b/>
        <w:sz w:val="18"/>
      </w:rPr>
      <w:fldChar w:fldCharType="end"/>
    </w:r>
    <w:r>
      <w:rPr>
        <w:b/>
        <w:sz w:val="18"/>
      </w:rPr>
      <w:tab/>
    </w:r>
    <w:r>
      <w:t>GE.13-49872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08" w:rsidRPr="00755175" w:rsidRDefault="00C62008" w:rsidP="00755175">
    <w:pPr>
      <w:pStyle w:val="Footer"/>
      <w:tabs>
        <w:tab w:val="right" w:pos="9638"/>
      </w:tabs>
      <w:rPr>
        <w:b/>
        <w:sz w:val="18"/>
      </w:rPr>
    </w:pPr>
    <w:r>
      <w:t>GE.13-49872</w:t>
    </w:r>
    <w:r>
      <w:tab/>
    </w:r>
    <w:r w:rsidRPr="00755175">
      <w:rPr>
        <w:b/>
        <w:sz w:val="18"/>
      </w:rPr>
      <w:fldChar w:fldCharType="begin"/>
    </w:r>
    <w:r w:rsidRPr="00755175">
      <w:rPr>
        <w:b/>
        <w:sz w:val="18"/>
      </w:rPr>
      <w:instrText xml:space="preserve"> PAGE  \* MERGEFORMAT </w:instrText>
    </w:r>
    <w:r w:rsidRPr="00755175">
      <w:rPr>
        <w:b/>
        <w:sz w:val="18"/>
      </w:rPr>
      <w:fldChar w:fldCharType="separate"/>
    </w:r>
    <w:r>
      <w:rPr>
        <w:b/>
        <w:noProof/>
        <w:sz w:val="18"/>
      </w:rPr>
      <w:t>11</w:t>
    </w:r>
    <w:r w:rsidRPr="0075517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08" w:rsidRPr="00755175" w:rsidRDefault="00C62008" w:rsidP="00755175">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13-49872  (F)    070214    110214</w:t>
    </w:r>
    <w:r>
      <w:rPr>
        <w:sz w:val="20"/>
      </w:rPr>
      <w:br/>
    </w:r>
    <w:r w:rsidRPr="00755175">
      <w:rPr>
        <w:rFonts w:ascii="C39T30Lfz" w:hAnsi="C39T30Lfz"/>
        <w:sz w:val="56"/>
      </w:rPr>
      <w:t></w:t>
    </w:r>
    <w:r w:rsidRPr="00755175">
      <w:rPr>
        <w:rFonts w:ascii="C39T30Lfz" w:hAnsi="C39T30Lfz"/>
        <w:sz w:val="56"/>
      </w:rPr>
      <w:t></w:t>
    </w:r>
    <w:r w:rsidRPr="00755175">
      <w:rPr>
        <w:rFonts w:ascii="C39T30Lfz" w:hAnsi="C39T30Lfz"/>
        <w:sz w:val="56"/>
      </w:rPr>
      <w:t></w:t>
    </w:r>
    <w:r w:rsidRPr="00755175">
      <w:rPr>
        <w:rFonts w:ascii="C39T30Lfz" w:hAnsi="C39T30Lfz"/>
        <w:sz w:val="56"/>
      </w:rPr>
      <w:t></w:t>
    </w:r>
    <w:r w:rsidRPr="00755175">
      <w:rPr>
        <w:rFonts w:ascii="C39T30Lfz" w:hAnsi="C39T30Lfz"/>
        <w:sz w:val="56"/>
      </w:rPr>
      <w:t></w:t>
    </w:r>
    <w:r w:rsidRPr="00755175">
      <w:rPr>
        <w:rFonts w:ascii="C39T30Lfz" w:hAnsi="C39T30Lfz"/>
        <w:sz w:val="56"/>
      </w:rPr>
      <w:t></w:t>
    </w:r>
    <w:r w:rsidRPr="00755175">
      <w:rPr>
        <w:rFonts w:ascii="C39T30Lfz" w:hAnsi="C39T30Lfz"/>
        <w:sz w:val="56"/>
      </w:rPr>
      <w:t></w:t>
    </w:r>
    <w:r w:rsidRPr="00755175">
      <w:rPr>
        <w:rFonts w:ascii="C39T30Lfz" w:hAnsi="C39T30Lfz"/>
        <w:sz w:val="56"/>
      </w:rPr>
      <w:t></w:t>
    </w:r>
    <w:r w:rsidRPr="00755175">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08" w:rsidRPr="00D27D5E" w:rsidRDefault="00C62008" w:rsidP="00D27D5E">
      <w:pPr>
        <w:tabs>
          <w:tab w:val="right" w:pos="2155"/>
        </w:tabs>
        <w:spacing w:after="80"/>
        <w:ind w:left="680"/>
        <w:rPr>
          <w:u w:val="single"/>
        </w:rPr>
      </w:pPr>
      <w:r>
        <w:rPr>
          <w:u w:val="single"/>
        </w:rPr>
        <w:tab/>
      </w:r>
    </w:p>
  </w:footnote>
  <w:footnote w:type="continuationSeparator" w:id="0">
    <w:p w:rsidR="00C62008" w:rsidRPr="00A103C4" w:rsidRDefault="00C62008" w:rsidP="00A103C4">
      <w:pPr>
        <w:tabs>
          <w:tab w:val="right" w:pos="2155"/>
        </w:tabs>
        <w:spacing w:after="80"/>
        <w:ind w:left="680"/>
        <w:rPr>
          <w:u w:val="single"/>
        </w:rPr>
      </w:pPr>
      <w:r w:rsidRPr="00A103C4">
        <w:rPr>
          <w:u w:val="single"/>
        </w:rPr>
        <w:tab/>
      </w:r>
    </w:p>
  </w:footnote>
  <w:footnote w:type="continuationNotice" w:id="1">
    <w:p w:rsidR="00C62008" w:rsidRPr="004A69CB" w:rsidRDefault="00C62008" w:rsidP="004A69CB">
      <w:pPr>
        <w:spacing w:line="240" w:lineRule="auto"/>
        <w:rPr>
          <w:sz w:val="2"/>
          <w:szCs w:val="2"/>
        </w:rPr>
      </w:pPr>
    </w:p>
  </w:footnote>
  <w:footnote w:id="2">
    <w:p w:rsidR="00C62008" w:rsidRPr="00755175" w:rsidRDefault="00C62008">
      <w:pPr>
        <w:pStyle w:val="FootnoteText"/>
      </w:pPr>
      <w:r>
        <w:tab/>
      </w:r>
      <w:r w:rsidRPr="00755175">
        <w:rPr>
          <w:rStyle w:val="FootnoteReference"/>
          <w:sz w:val="20"/>
          <w:vertAlign w:val="baseline"/>
        </w:rPr>
        <w:t>*</w:t>
      </w:r>
      <w:r>
        <w:rPr>
          <w:sz w:val="20"/>
        </w:rPr>
        <w:tab/>
      </w:r>
      <w:r>
        <w:t>Adoptées par le Comité à sa</w:t>
      </w:r>
      <w:r w:rsidRPr="003646A8">
        <w:rPr>
          <w:szCs w:val="18"/>
        </w:rPr>
        <w:t xml:space="preserve"> </w:t>
      </w:r>
      <w:r>
        <w:rPr>
          <w:szCs w:val="18"/>
        </w:rPr>
        <w:t>cinquante et unième session (28 octobre-22 novembre</w:t>
      </w:r>
      <w:r w:rsidRPr="003646A8">
        <w:rPr>
          <w:szCs w:val="18"/>
        </w:rPr>
        <w:t xml:space="preserv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08" w:rsidRPr="00755175" w:rsidRDefault="00C62008">
    <w:pPr>
      <w:pStyle w:val="Header"/>
    </w:pPr>
    <w:r>
      <w:t>CAT/C/KGZ/CO/2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008" w:rsidRPr="00755175" w:rsidRDefault="00C62008" w:rsidP="00755175">
    <w:pPr>
      <w:pStyle w:val="Header"/>
      <w:jc w:val="right"/>
    </w:pPr>
    <w:r>
      <w:t>CAT/C/KGZ/CO/2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Hyperlink"/>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F7F0CA0"/>
    <w:multiLevelType w:val="hybridMultilevel"/>
    <w:tmpl w:val="6278FDAA"/>
    <w:lvl w:ilvl="0" w:tplc="EC74B562">
      <w:start w:val="1"/>
      <w:numFmt w:val="decimal"/>
      <w:lvlText w:val="%1."/>
      <w:lvlJc w:val="left"/>
      <w:pPr>
        <w:ind w:left="149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3F49C6"/>
    <w:multiLevelType w:val="singleLevel"/>
    <w:tmpl w:val="720CB540"/>
    <w:lvl w:ilvl="0">
      <w:start w:val="1"/>
      <w:numFmt w:val="lowerRoman"/>
      <w:lvlText w:val="(%1)"/>
      <w:lvlJc w:val="right"/>
      <w:pPr>
        <w:tabs>
          <w:tab w:val="num" w:pos="2160"/>
        </w:tabs>
        <w:ind w:left="2160" w:hanging="516"/>
      </w:pPr>
    </w:lvl>
  </w:abstractNum>
  <w:abstractNum w:abstractNumId="21">
    <w:nsid w:val="302A75A7"/>
    <w:multiLevelType w:val="singleLevel"/>
    <w:tmpl w:val="3496DD40"/>
    <w:lvl w:ilvl="0">
      <w:start w:val="1"/>
      <w:numFmt w:val="decimal"/>
      <w:lvlText w:val="(%1)"/>
      <w:lvlJc w:val="left"/>
      <w:pPr>
        <w:tabs>
          <w:tab w:val="num" w:pos="1440"/>
        </w:tabs>
        <w:ind w:left="1440" w:hanging="720"/>
      </w:pPr>
    </w:lvl>
  </w:abstractNum>
  <w:abstractNum w:abstractNumId="2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6255761"/>
    <w:multiLevelType w:val="singleLevel"/>
    <w:tmpl w:val="0409000F"/>
    <w:lvl w:ilvl="0">
      <w:start w:val="1"/>
      <w:numFmt w:val="decimal"/>
      <w:lvlText w:val="%1."/>
      <w:lvlJc w:val="left"/>
      <w:pPr>
        <w:tabs>
          <w:tab w:val="num" w:pos="360"/>
        </w:tabs>
        <w:ind w:left="360" w:hanging="360"/>
      </w:pPr>
    </w:lvl>
  </w:abstractNum>
  <w:abstractNum w:abstractNumId="24">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ACF4EB2"/>
    <w:multiLevelType w:val="hybridMultilevel"/>
    <w:tmpl w:val="3F2CCC0E"/>
    <w:lvl w:ilvl="0" w:tplc="78607ACC">
      <w:start w:val="1"/>
      <w:numFmt w:val="bullet"/>
      <w:pStyle w:val="XLarge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7">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0221049"/>
    <w:multiLevelType w:val="singleLevel"/>
    <w:tmpl w:val="04D4B0C4"/>
    <w:lvl w:ilvl="0">
      <w:start w:val="1"/>
      <w:numFmt w:val="decimal"/>
      <w:lvlText w:val="%1."/>
      <w:lvlJc w:val="left"/>
      <w:pPr>
        <w:tabs>
          <w:tab w:val="num" w:pos="360"/>
        </w:tabs>
        <w:ind w:left="360" w:hanging="360"/>
      </w:pPr>
    </w:lvl>
  </w:abstractNum>
  <w:abstractNum w:abstractNumId="29">
    <w:nsid w:val="452D144C"/>
    <w:multiLevelType w:val="singleLevel"/>
    <w:tmpl w:val="7C4C0A7C"/>
    <w:lvl w:ilvl="0">
      <w:start w:val="1"/>
      <w:numFmt w:val="decimal"/>
      <w:lvlText w:val="(%1)"/>
      <w:lvlJc w:val="left"/>
      <w:pPr>
        <w:tabs>
          <w:tab w:val="num" w:pos="720"/>
        </w:tabs>
        <w:ind w:left="720" w:hanging="720"/>
      </w:pPr>
    </w:lvl>
  </w:abstractNum>
  <w:abstractNum w:abstractNumId="3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3">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EFA2598"/>
    <w:multiLevelType w:val="singleLevel"/>
    <w:tmpl w:val="0409000F"/>
    <w:lvl w:ilvl="0">
      <w:start w:val="1"/>
      <w:numFmt w:val="decimal"/>
      <w:lvlText w:val="%1."/>
      <w:lvlJc w:val="left"/>
      <w:pPr>
        <w:tabs>
          <w:tab w:val="num" w:pos="360"/>
        </w:tabs>
        <w:ind w:left="360" w:hanging="360"/>
      </w:pPr>
    </w:lvl>
  </w:abstractNum>
  <w:abstractNum w:abstractNumId="3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8">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D15DFE"/>
    <w:multiLevelType w:val="singleLevel"/>
    <w:tmpl w:val="475E6D3C"/>
    <w:lvl w:ilvl="0">
      <w:start w:val="1"/>
      <w:numFmt w:val="decimal"/>
      <w:lvlText w:val="%1."/>
      <w:lvlJc w:val="left"/>
      <w:pPr>
        <w:tabs>
          <w:tab w:val="num" w:pos="360"/>
        </w:tabs>
        <w:ind w:left="360" w:hanging="360"/>
      </w:pPr>
    </w:lvl>
  </w:abstractNum>
  <w:abstractNum w:abstractNumId="40">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ACA643D"/>
    <w:multiLevelType w:val="singleLevel"/>
    <w:tmpl w:val="0409000F"/>
    <w:lvl w:ilvl="0">
      <w:start w:val="1"/>
      <w:numFmt w:val="decimal"/>
      <w:lvlText w:val="%1."/>
      <w:lvlJc w:val="left"/>
      <w:pPr>
        <w:tabs>
          <w:tab w:val="num" w:pos="360"/>
        </w:tabs>
        <w:ind w:left="360" w:hanging="360"/>
      </w:pPr>
    </w:lvl>
  </w:abstractNum>
  <w:abstractNum w:abstractNumId="43">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6">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25"/>
  </w:num>
  <w:num w:numId="3">
    <w:abstractNumId w:val="14"/>
  </w:num>
  <w:num w:numId="4">
    <w:abstractNumId w:val="45"/>
  </w:num>
  <w:num w:numId="5">
    <w:abstractNumId w:val="20"/>
  </w:num>
  <w:num w:numId="6">
    <w:abstractNumId w:val="11"/>
  </w:num>
  <w:num w:numId="7">
    <w:abstractNumId w:val="23"/>
  </w:num>
  <w:num w:numId="8">
    <w:abstractNumId w:val="28"/>
  </w:num>
  <w:num w:numId="9">
    <w:abstractNumId w:val="42"/>
  </w:num>
  <w:num w:numId="10">
    <w:abstractNumId w:val="34"/>
  </w:num>
  <w:num w:numId="11">
    <w:abstractNumId w:val="46"/>
  </w:num>
  <w:num w:numId="12">
    <w:abstractNumId w:val="32"/>
  </w:num>
  <w:num w:numId="13">
    <w:abstractNumId w:val="39"/>
  </w:num>
  <w:num w:numId="14">
    <w:abstractNumId w:val="26"/>
  </w:num>
  <w:num w:numId="15">
    <w:abstractNumId w:val="1"/>
  </w:num>
  <w:num w:numId="16">
    <w:abstractNumId w:val="0"/>
  </w:num>
  <w:num w:numId="17">
    <w:abstractNumId w:val="21"/>
  </w:num>
  <w:num w:numId="18">
    <w:abstractNumId w:val="10"/>
  </w:num>
  <w:num w:numId="19">
    <w:abstractNumId w:val="15"/>
  </w:num>
  <w:num w:numId="20">
    <w:abstractNumId w:val="12"/>
  </w:num>
  <w:num w:numId="21">
    <w:abstractNumId w:val="29"/>
  </w:num>
  <w:num w:numId="22">
    <w:abstractNumId w:val="37"/>
  </w:num>
  <w:num w:numId="23">
    <w:abstractNumId w:val="2"/>
  </w:num>
  <w:num w:numId="24">
    <w:abstractNumId w:val="3"/>
  </w:num>
  <w:num w:numId="25">
    <w:abstractNumId w:val="8"/>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44"/>
  </w:num>
  <w:num w:numId="33">
    <w:abstractNumId w:val="31"/>
  </w:num>
  <w:num w:numId="34">
    <w:abstractNumId w:val="41"/>
  </w:num>
  <w:num w:numId="35">
    <w:abstractNumId w:val="16"/>
  </w:num>
  <w:num w:numId="36">
    <w:abstractNumId w:val="27"/>
  </w:num>
  <w:num w:numId="37">
    <w:abstractNumId w:val="36"/>
  </w:num>
  <w:num w:numId="38">
    <w:abstractNumId w:val="24"/>
  </w:num>
  <w:num w:numId="39">
    <w:abstractNumId w:val="38"/>
  </w:num>
  <w:num w:numId="40">
    <w:abstractNumId w:val="33"/>
  </w:num>
  <w:num w:numId="41">
    <w:abstractNumId w:val="30"/>
  </w:num>
  <w:num w:numId="42">
    <w:abstractNumId w:val="19"/>
  </w:num>
  <w:num w:numId="43">
    <w:abstractNumId w:val="35"/>
  </w:num>
  <w:num w:numId="44">
    <w:abstractNumId w:val="22"/>
  </w:num>
  <w:num w:numId="45">
    <w:abstractNumId w:val="17"/>
  </w:num>
  <w:num w:numId="46">
    <w:abstractNumId w:val="43"/>
  </w:num>
  <w:num w:numId="47">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13DE"/>
    <w:rsid w:val="00002884"/>
    <w:rsid w:val="00004661"/>
    <w:rsid w:val="00016AC5"/>
    <w:rsid w:val="00023ED9"/>
    <w:rsid w:val="000800DC"/>
    <w:rsid w:val="00081C85"/>
    <w:rsid w:val="000821DD"/>
    <w:rsid w:val="00092D0E"/>
    <w:rsid w:val="000B1B97"/>
    <w:rsid w:val="000E075D"/>
    <w:rsid w:val="000F41F2"/>
    <w:rsid w:val="00101D81"/>
    <w:rsid w:val="00102103"/>
    <w:rsid w:val="00131967"/>
    <w:rsid w:val="00133B00"/>
    <w:rsid w:val="001372F2"/>
    <w:rsid w:val="00160540"/>
    <w:rsid w:val="00165124"/>
    <w:rsid w:val="00187FA8"/>
    <w:rsid w:val="00192EEB"/>
    <w:rsid w:val="0019307E"/>
    <w:rsid w:val="001A20FB"/>
    <w:rsid w:val="001B19DA"/>
    <w:rsid w:val="001D7F8A"/>
    <w:rsid w:val="001E19C7"/>
    <w:rsid w:val="001E3FEB"/>
    <w:rsid w:val="001E4A02"/>
    <w:rsid w:val="001F0A79"/>
    <w:rsid w:val="001F7FD4"/>
    <w:rsid w:val="00225A8C"/>
    <w:rsid w:val="00231A1A"/>
    <w:rsid w:val="00241AA7"/>
    <w:rsid w:val="00246429"/>
    <w:rsid w:val="002659F1"/>
    <w:rsid w:val="00271E1D"/>
    <w:rsid w:val="00287E79"/>
    <w:rsid w:val="002928F9"/>
    <w:rsid w:val="00297B00"/>
    <w:rsid w:val="002A5D07"/>
    <w:rsid w:val="002D2B28"/>
    <w:rsid w:val="002E01C5"/>
    <w:rsid w:val="002E0C1D"/>
    <w:rsid w:val="002E6C81"/>
    <w:rsid w:val="002F3F55"/>
    <w:rsid w:val="003016B7"/>
    <w:rsid w:val="003114BA"/>
    <w:rsid w:val="00311ADA"/>
    <w:rsid w:val="00320AAA"/>
    <w:rsid w:val="003422C7"/>
    <w:rsid w:val="003515AA"/>
    <w:rsid w:val="003536BF"/>
    <w:rsid w:val="003570FD"/>
    <w:rsid w:val="00374106"/>
    <w:rsid w:val="003874D1"/>
    <w:rsid w:val="0039586E"/>
    <w:rsid w:val="003976D5"/>
    <w:rsid w:val="003B3B42"/>
    <w:rsid w:val="003D4E3D"/>
    <w:rsid w:val="003D6C68"/>
    <w:rsid w:val="004038AF"/>
    <w:rsid w:val="00410369"/>
    <w:rsid w:val="004130B6"/>
    <w:rsid w:val="004159D0"/>
    <w:rsid w:val="00417E0B"/>
    <w:rsid w:val="00430A25"/>
    <w:rsid w:val="004358C3"/>
    <w:rsid w:val="00441AEA"/>
    <w:rsid w:val="00446F99"/>
    <w:rsid w:val="00455D94"/>
    <w:rsid w:val="00475B94"/>
    <w:rsid w:val="00480B1A"/>
    <w:rsid w:val="00485AA2"/>
    <w:rsid w:val="004939B2"/>
    <w:rsid w:val="004A69CB"/>
    <w:rsid w:val="004C5B95"/>
    <w:rsid w:val="004D70F4"/>
    <w:rsid w:val="004F4B54"/>
    <w:rsid w:val="004F7584"/>
    <w:rsid w:val="00507E3A"/>
    <w:rsid w:val="00525DBB"/>
    <w:rsid w:val="00543D5E"/>
    <w:rsid w:val="005610B3"/>
    <w:rsid w:val="00571F41"/>
    <w:rsid w:val="00575226"/>
    <w:rsid w:val="005924EF"/>
    <w:rsid w:val="005A4FCE"/>
    <w:rsid w:val="005D0661"/>
    <w:rsid w:val="005E0932"/>
    <w:rsid w:val="005E5D1F"/>
    <w:rsid w:val="00611D43"/>
    <w:rsid w:val="00612D48"/>
    <w:rsid w:val="00616B45"/>
    <w:rsid w:val="0061727D"/>
    <w:rsid w:val="006203C7"/>
    <w:rsid w:val="00630D9B"/>
    <w:rsid w:val="00631953"/>
    <w:rsid w:val="00640D50"/>
    <w:rsid w:val="006439EC"/>
    <w:rsid w:val="006548E6"/>
    <w:rsid w:val="006647E0"/>
    <w:rsid w:val="0067087E"/>
    <w:rsid w:val="006845FF"/>
    <w:rsid w:val="00687150"/>
    <w:rsid w:val="00691F2B"/>
    <w:rsid w:val="006A0844"/>
    <w:rsid w:val="006A0D5B"/>
    <w:rsid w:val="006A278C"/>
    <w:rsid w:val="006A5DCD"/>
    <w:rsid w:val="006B132B"/>
    <w:rsid w:val="006B4590"/>
    <w:rsid w:val="006C340C"/>
    <w:rsid w:val="006C5022"/>
    <w:rsid w:val="006C68BA"/>
    <w:rsid w:val="006D29CB"/>
    <w:rsid w:val="006E761A"/>
    <w:rsid w:val="0070347C"/>
    <w:rsid w:val="00711BCB"/>
    <w:rsid w:val="007168D5"/>
    <w:rsid w:val="007176C1"/>
    <w:rsid w:val="007218A8"/>
    <w:rsid w:val="00755175"/>
    <w:rsid w:val="00757714"/>
    <w:rsid w:val="00765816"/>
    <w:rsid w:val="00770080"/>
    <w:rsid w:val="00774F13"/>
    <w:rsid w:val="00796859"/>
    <w:rsid w:val="007A22ED"/>
    <w:rsid w:val="007B0499"/>
    <w:rsid w:val="007B654E"/>
    <w:rsid w:val="007E2F6F"/>
    <w:rsid w:val="007E7CD0"/>
    <w:rsid w:val="007F3FA0"/>
    <w:rsid w:val="007F55CB"/>
    <w:rsid w:val="00812FCC"/>
    <w:rsid w:val="0082511C"/>
    <w:rsid w:val="00844750"/>
    <w:rsid w:val="00844B42"/>
    <w:rsid w:val="008464C8"/>
    <w:rsid w:val="00852BF1"/>
    <w:rsid w:val="008861B8"/>
    <w:rsid w:val="00890B6E"/>
    <w:rsid w:val="008979B7"/>
    <w:rsid w:val="008B2E82"/>
    <w:rsid w:val="008B3694"/>
    <w:rsid w:val="008B44C4"/>
    <w:rsid w:val="008B6D4D"/>
    <w:rsid w:val="008C0AF2"/>
    <w:rsid w:val="008C13DE"/>
    <w:rsid w:val="008C410E"/>
    <w:rsid w:val="008C6F12"/>
    <w:rsid w:val="008E675E"/>
    <w:rsid w:val="008E7FAE"/>
    <w:rsid w:val="008F2BE9"/>
    <w:rsid w:val="008F65BB"/>
    <w:rsid w:val="00911BF7"/>
    <w:rsid w:val="00935BBC"/>
    <w:rsid w:val="009703EF"/>
    <w:rsid w:val="00977EC8"/>
    <w:rsid w:val="00991CC0"/>
    <w:rsid w:val="0099263D"/>
    <w:rsid w:val="009A1A4A"/>
    <w:rsid w:val="009C0CD2"/>
    <w:rsid w:val="009D3A8C"/>
    <w:rsid w:val="009E7956"/>
    <w:rsid w:val="00A103C4"/>
    <w:rsid w:val="00A13AB5"/>
    <w:rsid w:val="00A2309E"/>
    <w:rsid w:val="00A2492E"/>
    <w:rsid w:val="00A24A41"/>
    <w:rsid w:val="00A50390"/>
    <w:rsid w:val="00A56EA8"/>
    <w:rsid w:val="00A72BF2"/>
    <w:rsid w:val="00A74C57"/>
    <w:rsid w:val="00A8025A"/>
    <w:rsid w:val="00A84DC8"/>
    <w:rsid w:val="00A94C9F"/>
    <w:rsid w:val="00AA7383"/>
    <w:rsid w:val="00AC67A1"/>
    <w:rsid w:val="00AC7977"/>
    <w:rsid w:val="00AE352C"/>
    <w:rsid w:val="00AE58F0"/>
    <w:rsid w:val="00B0006E"/>
    <w:rsid w:val="00B032BA"/>
    <w:rsid w:val="00B16127"/>
    <w:rsid w:val="00B23CF4"/>
    <w:rsid w:val="00B32E2D"/>
    <w:rsid w:val="00B61990"/>
    <w:rsid w:val="00B63A55"/>
    <w:rsid w:val="00B713FF"/>
    <w:rsid w:val="00B7232C"/>
    <w:rsid w:val="00B74FB5"/>
    <w:rsid w:val="00B77C99"/>
    <w:rsid w:val="00B81442"/>
    <w:rsid w:val="00B86167"/>
    <w:rsid w:val="00B95C9B"/>
    <w:rsid w:val="00BA31B5"/>
    <w:rsid w:val="00BC554A"/>
    <w:rsid w:val="00BD1F21"/>
    <w:rsid w:val="00BF0556"/>
    <w:rsid w:val="00BF31F8"/>
    <w:rsid w:val="00C005F9"/>
    <w:rsid w:val="00C1562D"/>
    <w:rsid w:val="00C261F8"/>
    <w:rsid w:val="00C27CBE"/>
    <w:rsid w:val="00C33100"/>
    <w:rsid w:val="00C42566"/>
    <w:rsid w:val="00C53613"/>
    <w:rsid w:val="00C62008"/>
    <w:rsid w:val="00C64AB4"/>
    <w:rsid w:val="00C64F39"/>
    <w:rsid w:val="00C71853"/>
    <w:rsid w:val="00C74607"/>
    <w:rsid w:val="00CA3618"/>
    <w:rsid w:val="00CA79B6"/>
    <w:rsid w:val="00CA7CAA"/>
    <w:rsid w:val="00CC672D"/>
    <w:rsid w:val="00CD1A71"/>
    <w:rsid w:val="00CD1FBB"/>
    <w:rsid w:val="00D016B5"/>
    <w:rsid w:val="00D034BC"/>
    <w:rsid w:val="00D034F1"/>
    <w:rsid w:val="00D27297"/>
    <w:rsid w:val="00D27D5E"/>
    <w:rsid w:val="00D3637A"/>
    <w:rsid w:val="00D61AB6"/>
    <w:rsid w:val="00D85CA1"/>
    <w:rsid w:val="00D92EF9"/>
    <w:rsid w:val="00DB4FBC"/>
    <w:rsid w:val="00DE6D90"/>
    <w:rsid w:val="00DF002F"/>
    <w:rsid w:val="00E01507"/>
    <w:rsid w:val="00E0244D"/>
    <w:rsid w:val="00E12DF2"/>
    <w:rsid w:val="00E1520D"/>
    <w:rsid w:val="00E332B9"/>
    <w:rsid w:val="00E51CA3"/>
    <w:rsid w:val="00E559F9"/>
    <w:rsid w:val="00E754A4"/>
    <w:rsid w:val="00E81E94"/>
    <w:rsid w:val="00E82607"/>
    <w:rsid w:val="00EE1A0D"/>
    <w:rsid w:val="00EE4F00"/>
    <w:rsid w:val="00EF544F"/>
    <w:rsid w:val="00F1425D"/>
    <w:rsid w:val="00F220E9"/>
    <w:rsid w:val="00F37EC4"/>
    <w:rsid w:val="00F67F97"/>
    <w:rsid w:val="00F843EC"/>
    <w:rsid w:val="00F95A12"/>
    <w:rsid w:val="00FA5A79"/>
    <w:rsid w:val="00FB0BFE"/>
    <w:rsid w:val="00FB4C51"/>
    <w:rsid w:val="00FE2E4F"/>
    <w:rsid w:val="00FE6B9E"/>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link w:val="SingleTxtGChar1"/>
    <w:rsid w:val="00CA7CAA"/>
    <w:pPr>
      <w:spacing w:after="120"/>
      <w:ind w:left="1134" w:right="1134"/>
      <w:jc w:val="both"/>
    </w:pPr>
  </w:style>
  <w:style w:type="character" w:customStyle="1" w:styleId="SingleTxtGChar1">
    <w:name w:val="_ Single Txt_G Char1"/>
    <w:link w:val="SingleTxtG"/>
    <w:rsid w:val="00755175"/>
    <w:rPr>
      <w:lang w:val="fr-CH" w:eastAsia="en-US" w:bidi="ar-SA"/>
    </w:rPr>
  </w:style>
  <w:style w:type="character" w:styleId="FootnoteReference">
    <w:name w:val="footnote reference"/>
    <w:aliases w:val="4_G,Footnote,Footnotes refss,Style 10,ftref,16 Point,Superscript 6 Point,Footnote number,Endnote Text1,Rimando nota a pièdi pagina1,Footnote symbol,Знак сноски 1"/>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755175"/>
    <w:rPr>
      <w:b/>
      <w:lang w:val="fr-CH" w:eastAsia="en-US" w:bidi="ar-SA"/>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12</Pages>
  <Words>6674</Words>
  <Characters>34307</Characters>
  <Application>Microsoft Office Outlook</Application>
  <DocSecurity>4</DocSecurity>
  <Lines>562</Lines>
  <Paragraphs>54</Paragraphs>
  <ScaleCrop>false</ScaleCrop>
  <HeadingPairs>
    <vt:vector size="2" baseType="variant">
      <vt:variant>
        <vt:lpstr>Titre</vt:lpstr>
      </vt:variant>
      <vt:variant>
        <vt:i4>1</vt:i4>
      </vt:variant>
    </vt:vector>
  </HeadingPairs>
  <TitlesOfParts>
    <vt:vector size="1" baseType="lpstr">
      <vt:lpstr>CAT/C/KGZ/CO/2</vt:lpstr>
    </vt:vector>
  </TitlesOfParts>
  <Company>CSD</Company>
  <LinksUpToDate>false</LinksUpToDate>
  <CharactersWithSpaces>40927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CAT/C/KGZ/CO/2</dc:title>
  <dc:subject>CAT</dc:subject>
  <dc:creator>NROSSI</dc:creator>
  <cp:keywords/>
  <dc:description/>
  <cp:lastModifiedBy>NR</cp:lastModifiedBy>
  <cp:revision>2</cp:revision>
  <cp:lastPrinted>2014-02-11T06:38:00Z</cp:lastPrinted>
  <dcterms:created xsi:type="dcterms:W3CDTF">2014-02-11T08:46:00Z</dcterms:created>
  <dcterms:modified xsi:type="dcterms:W3CDTF">2014-02-11T08:46:00Z</dcterms:modified>
</cp:coreProperties>
</file>