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BD3EF0" w:rsidP="0032003F">
            <w:pPr>
              <w:bidi w:val="0"/>
              <w:spacing w:after="20"/>
              <w:jc w:val="left"/>
              <w:rPr>
                <w:szCs w:val="20"/>
              </w:rPr>
            </w:pPr>
            <w:r w:rsidRPr="00BD3EF0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/C/17/D/33/2015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32003F" w:rsidP="0032003F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32003F" w:rsidRDefault="0032003F" w:rsidP="003200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22 June 2017</w:t>
            </w:r>
          </w:p>
          <w:p w:rsidR="0032003F" w:rsidRDefault="0032003F" w:rsidP="003200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32003F" w:rsidRPr="00A54442" w:rsidRDefault="0032003F" w:rsidP="003200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32003F" w:rsidRPr="000F2249" w:rsidRDefault="0032003F" w:rsidP="000F2249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0F2249">
        <w:rPr>
          <w:rFonts w:hint="cs"/>
          <w:b/>
          <w:bCs/>
          <w:sz w:val="26"/>
          <w:szCs w:val="36"/>
          <w:rtl/>
        </w:rPr>
        <w:t>اللجنة المعنية ب</w:t>
      </w:r>
      <w:r w:rsidRPr="000F2249">
        <w:rPr>
          <w:b/>
          <w:bCs/>
          <w:sz w:val="26"/>
          <w:szCs w:val="36"/>
          <w:rtl/>
        </w:rPr>
        <w:t>حقوق الأشخاص ذوي الإعاقة</w:t>
      </w:r>
    </w:p>
    <w:p w:rsidR="0032003F" w:rsidRPr="003826AD" w:rsidRDefault="0032003F" w:rsidP="000F2249">
      <w:pPr>
        <w:pStyle w:val="HChGA"/>
        <w:rPr>
          <w:rtl/>
        </w:rPr>
      </w:pPr>
      <w:r w:rsidRPr="003826AD">
        <w:rPr>
          <w:rtl/>
        </w:rPr>
        <w:tab/>
      </w:r>
      <w:r w:rsidRPr="003826AD">
        <w:rPr>
          <w:rtl/>
        </w:rPr>
        <w:tab/>
        <w:t>قرار اعتمدته اللجنة بموجب البروتوكول الاختياري بشأن البلاغ رقم </w:t>
      </w:r>
      <w:r>
        <w:rPr>
          <w:rFonts w:hint="cs"/>
          <w:rtl/>
        </w:rPr>
        <w:t>33</w:t>
      </w:r>
      <w:r w:rsidRPr="003826AD">
        <w:rPr>
          <w:rtl/>
        </w:rPr>
        <w:t>/2015</w:t>
      </w:r>
      <w:r w:rsidRPr="0086583F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86583F">
        <w:rPr>
          <w:rStyle w:val="FootnoteReference"/>
          <w:rFonts w:hint="cs"/>
          <w:b/>
          <w:bCs w:val="0"/>
          <w:sz w:val="20"/>
          <w:vertAlign w:val="baseline"/>
          <w:rtl/>
        </w:rPr>
        <w:t xml:space="preserve"> </w:t>
      </w:r>
      <w:r w:rsidRPr="0086583F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</w:p>
    <w:p w:rsidR="0032003F" w:rsidRPr="003826AD" w:rsidRDefault="0032003F" w:rsidP="00523394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23394">
        <w:rPr>
          <w:rFonts w:hint="cs"/>
          <w:i/>
          <w:iCs/>
          <w:rtl/>
        </w:rPr>
        <w:t>ال</w:t>
      </w:r>
      <w:r w:rsidRPr="00523394">
        <w:rPr>
          <w:i/>
          <w:iCs/>
          <w:rtl/>
        </w:rPr>
        <w:t>مقدم من</w:t>
      </w:r>
      <w:r w:rsidRPr="00523394">
        <w:rPr>
          <w:rFonts w:hint="cs"/>
          <w:rtl/>
        </w:rPr>
        <w:t>:</w:t>
      </w:r>
      <w:r w:rsidRPr="003826AD">
        <w:rPr>
          <w:iCs/>
          <w:rtl/>
        </w:rPr>
        <w:tab/>
      </w:r>
      <w:r>
        <w:rPr>
          <w:rtl/>
        </w:rPr>
        <w:t xml:space="preserve">ماريو </w:t>
      </w:r>
      <w:proofErr w:type="spellStart"/>
      <w:r>
        <w:rPr>
          <w:rtl/>
        </w:rPr>
        <w:t>خيسوس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رودريغيز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أرياس</w:t>
      </w:r>
      <w:proofErr w:type="spellEnd"/>
    </w:p>
    <w:p w:rsidR="0032003F" w:rsidRPr="003826AD" w:rsidRDefault="0032003F" w:rsidP="00523394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23394">
        <w:rPr>
          <w:i/>
          <w:iCs/>
          <w:rtl/>
        </w:rPr>
        <w:t>الشخص المدعى أنه ضحية</w:t>
      </w:r>
      <w:r w:rsidRPr="003826AD">
        <w:rPr>
          <w:rFonts w:hint="cs"/>
          <w:rtl/>
        </w:rPr>
        <w:t>:</w:t>
      </w:r>
      <w:r w:rsidRPr="003826AD">
        <w:rPr>
          <w:rtl/>
        </w:rPr>
        <w:tab/>
        <w:t>صاحب البلاغ</w:t>
      </w:r>
    </w:p>
    <w:p w:rsidR="0032003F" w:rsidRPr="003826AD" w:rsidRDefault="0032003F" w:rsidP="00523394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23394">
        <w:rPr>
          <w:i/>
          <w:iCs/>
          <w:rtl/>
        </w:rPr>
        <w:t>الدولة الطرف</w:t>
      </w:r>
      <w:r w:rsidRPr="003826AD">
        <w:rPr>
          <w:rFonts w:hint="cs"/>
          <w:rtl/>
        </w:rPr>
        <w:t>:</w:t>
      </w:r>
      <w:r w:rsidRPr="003826AD">
        <w:rPr>
          <w:rtl/>
        </w:rPr>
        <w:tab/>
      </w:r>
      <w:r>
        <w:rPr>
          <w:rFonts w:hint="cs"/>
          <w:rtl/>
        </w:rPr>
        <w:t>إسبانيا</w:t>
      </w:r>
    </w:p>
    <w:p w:rsidR="0032003F" w:rsidRPr="003826AD" w:rsidRDefault="0032003F" w:rsidP="00523394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23394">
        <w:rPr>
          <w:i/>
          <w:iCs/>
          <w:rtl/>
        </w:rPr>
        <w:t>تاريخ تقديم البلاغ</w:t>
      </w:r>
      <w:r w:rsidRPr="003826AD">
        <w:rPr>
          <w:rFonts w:hint="cs"/>
          <w:rtl/>
        </w:rPr>
        <w:t>:</w:t>
      </w:r>
      <w:r w:rsidRPr="003826AD">
        <w:rPr>
          <w:rtl/>
        </w:rPr>
        <w:tab/>
      </w:r>
      <w:r>
        <w:rPr>
          <w:rFonts w:hint="cs"/>
          <w:rtl/>
        </w:rPr>
        <w:t>15</w:t>
      </w:r>
      <w:r w:rsidRPr="003826AD">
        <w:rPr>
          <w:rtl/>
        </w:rPr>
        <w:t xml:space="preserve"> </w:t>
      </w:r>
      <w:r>
        <w:rPr>
          <w:rFonts w:hint="cs"/>
          <w:rtl/>
        </w:rPr>
        <w:t xml:space="preserve">تموز/يوليه </w:t>
      </w:r>
      <w:r>
        <w:rPr>
          <w:rtl/>
        </w:rPr>
        <w:t xml:space="preserve">2015 </w:t>
      </w:r>
    </w:p>
    <w:p w:rsidR="0032003F" w:rsidRPr="00523394" w:rsidRDefault="0032003F" w:rsidP="00523394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spacing w:val="-4"/>
          <w:rtl/>
        </w:rPr>
      </w:pPr>
      <w:r w:rsidRPr="00523394">
        <w:rPr>
          <w:i/>
          <w:iCs/>
          <w:spacing w:val="-4"/>
          <w:rtl/>
        </w:rPr>
        <w:t>الموضوع</w:t>
      </w:r>
      <w:r w:rsidRPr="00523394">
        <w:rPr>
          <w:rFonts w:hint="cs"/>
          <w:spacing w:val="-4"/>
          <w:rtl/>
        </w:rPr>
        <w:t>:</w:t>
      </w:r>
      <w:r w:rsidRPr="00523394">
        <w:rPr>
          <w:spacing w:val="-4"/>
          <w:rtl/>
        </w:rPr>
        <w:tab/>
      </w:r>
      <w:r w:rsidRPr="00523394">
        <w:rPr>
          <w:rFonts w:hint="cs"/>
          <w:spacing w:val="-4"/>
          <w:rtl/>
        </w:rPr>
        <w:t xml:space="preserve">إمكانية </w:t>
      </w:r>
      <w:r w:rsidRPr="00523394">
        <w:rPr>
          <w:spacing w:val="-4"/>
          <w:rtl/>
        </w:rPr>
        <w:t xml:space="preserve">حصول </w:t>
      </w:r>
      <w:r w:rsidRPr="00523394">
        <w:rPr>
          <w:rFonts w:hint="cs"/>
          <w:spacing w:val="-4"/>
          <w:rtl/>
        </w:rPr>
        <w:t xml:space="preserve">شخص ذي إعاقة </w:t>
      </w:r>
      <w:r w:rsidRPr="00523394">
        <w:rPr>
          <w:spacing w:val="-4"/>
          <w:rtl/>
        </w:rPr>
        <w:t xml:space="preserve">على سكن اجتماعي </w:t>
      </w:r>
    </w:p>
    <w:p w:rsidR="0032003F" w:rsidRPr="003826AD" w:rsidRDefault="00B512A5" w:rsidP="00523394">
      <w:pPr>
        <w:pStyle w:val="SingleTxtGA"/>
        <w:rPr>
          <w:rtl/>
        </w:rPr>
      </w:pPr>
      <w:r>
        <w:rPr>
          <w:rtl/>
        </w:rPr>
        <w:tab/>
      </w:r>
      <w:r w:rsidR="0032003F">
        <w:rPr>
          <w:rFonts w:hint="cs"/>
          <w:rtl/>
        </w:rPr>
        <w:t xml:space="preserve">قررت </w:t>
      </w:r>
      <w:r w:rsidR="0032003F">
        <w:rPr>
          <w:rtl/>
        </w:rPr>
        <w:t>اللجنة المعنية بحقوق الأشخاص ذوي الإعاقة</w:t>
      </w:r>
      <w:r w:rsidR="0032003F">
        <w:rPr>
          <w:rFonts w:hint="cs"/>
          <w:rtl/>
        </w:rPr>
        <w:t>، في اجتماعها</w:t>
      </w:r>
      <w:r w:rsidR="0032003F">
        <w:rPr>
          <w:rtl/>
        </w:rPr>
        <w:t xml:space="preserve"> المعقود في ٢٤ آذار/مارس ٢٠١٧، وقف النظر في البلاغ</w:t>
      </w:r>
      <w:r w:rsidR="0032003F">
        <w:rPr>
          <w:rFonts w:hint="cs"/>
          <w:rtl/>
        </w:rPr>
        <w:t xml:space="preserve"> رقم </w:t>
      </w:r>
      <w:r w:rsidR="0032003F" w:rsidRPr="009237C1">
        <w:rPr>
          <w:rtl/>
        </w:rPr>
        <w:t>33/2015</w:t>
      </w:r>
      <w:r w:rsidR="0032003F">
        <w:rPr>
          <w:rFonts w:hint="cs"/>
          <w:rtl/>
        </w:rPr>
        <w:t xml:space="preserve">، بما أن </w:t>
      </w:r>
      <w:r w:rsidR="0032003F">
        <w:rPr>
          <w:rtl/>
        </w:rPr>
        <w:t xml:space="preserve">الدولة الطرف </w:t>
      </w:r>
      <w:r w:rsidR="0032003F">
        <w:rPr>
          <w:rFonts w:hint="cs"/>
          <w:rtl/>
        </w:rPr>
        <w:t>قد سوَّت</w:t>
      </w:r>
      <w:r w:rsidR="0032003F">
        <w:rPr>
          <w:rtl/>
        </w:rPr>
        <w:t xml:space="preserve"> حالة سكن صاحب البلاغ</w:t>
      </w:r>
      <w:r w:rsidR="0032003F">
        <w:rPr>
          <w:rFonts w:hint="cs"/>
          <w:rtl/>
        </w:rPr>
        <w:t>، وفقا</w:t>
      </w:r>
      <w:r w:rsidR="00D57975">
        <w:rPr>
          <w:rFonts w:hint="cs"/>
          <w:rtl/>
        </w:rPr>
        <w:t>ً</w:t>
      </w:r>
      <w:r w:rsidR="0032003F">
        <w:rPr>
          <w:rtl/>
        </w:rPr>
        <w:t xml:space="preserve"> </w:t>
      </w:r>
      <w:r w:rsidR="0032003F">
        <w:rPr>
          <w:rFonts w:hint="cs"/>
          <w:rtl/>
        </w:rPr>
        <w:t xml:space="preserve">لالتماسه </w:t>
      </w:r>
      <w:r w:rsidR="0032003F">
        <w:rPr>
          <w:rtl/>
        </w:rPr>
        <w:t>الأول</w:t>
      </w:r>
      <w:r w:rsidR="0032003F">
        <w:rPr>
          <w:rFonts w:hint="cs"/>
          <w:rtl/>
        </w:rPr>
        <w:t>،</w:t>
      </w:r>
      <w:r w:rsidR="0032003F" w:rsidRPr="002B030D">
        <w:rPr>
          <w:rFonts w:hint="cs"/>
          <w:rtl/>
        </w:rPr>
        <w:t xml:space="preserve"> </w:t>
      </w:r>
      <w:r w:rsidR="0032003F">
        <w:rPr>
          <w:rFonts w:hint="cs"/>
          <w:rtl/>
        </w:rPr>
        <w:t xml:space="preserve">وذلك بناءً </w:t>
      </w:r>
      <w:r>
        <w:rPr>
          <w:rFonts w:hint="cs"/>
          <w:rtl/>
        </w:rPr>
        <w:t xml:space="preserve">على </w:t>
      </w:r>
      <w:r w:rsidR="0032003F">
        <w:rPr>
          <w:rFonts w:hint="cs"/>
          <w:rtl/>
        </w:rPr>
        <w:t>القرار الذي اتخذته اللجنة في</w:t>
      </w:r>
      <w:r w:rsidR="0032003F">
        <w:rPr>
          <w:rtl/>
        </w:rPr>
        <w:t xml:space="preserve"> كانون الثاني/ي</w:t>
      </w:r>
      <w:bookmarkStart w:id="0" w:name="_GoBack"/>
      <w:bookmarkEnd w:id="0"/>
      <w:r w:rsidR="0032003F">
        <w:rPr>
          <w:rtl/>
        </w:rPr>
        <w:t>ناير ٢٠١٧</w:t>
      </w:r>
      <w:r w:rsidR="0032003F">
        <w:rPr>
          <w:rFonts w:hint="cs"/>
          <w:rtl/>
        </w:rPr>
        <w:t>.</w:t>
      </w:r>
      <w:r w:rsidR="0032003F" w:rsidRPr="002B030D">
        <w:rPr>
          <w:rtl/>
        </w:rPr>
        <w:t xml:space="preserve"> </w:t>
      </w:r>
      <w:r w:rsidR="0032003F">
        <w:rPr>
          <w:rFonts w:hint="cs"/>
          <w:rtl/>
        </w:rPr>
        <w:t>ومن ثم</w:t>
      </w:r>
      <w:r w:rsidR="0032003F">
        <w:rPr>
          <w:rtl/>
        </w:rPr>
        <w:t>، لم يعد صاحب البلاغ معرضا</w:t>
      </w:r>
      <w:r w:rsidR="0084195E">
        <w:rPr>
          <w:rFonts w:hint="cs"/>
          <w:rtl/>
        </w:rPr>
        <w:t>ً</w:t>
      </w:r>
      <w:r w:rsidR="0032003F">
        <w:rPr>
          <w:rtl/>
        </w:rPr>
        <w:t xml:space="preserve"> لخطر </w:t>
      </w:r>
      <w:r w:rsidR="0032003F">
        <w:rPr>
          <w:rFonts w:hint="cs"/>
          <w:rtl/>
        </w:rPr>
        <w:t>الإخلاء، وقد توصل هو</w:t>
      </w:r>
      <w:r w:rsidR="0032003F">
        <w:rPr>
          <w:rtl/>
        </w:rPr>
        <w:t xml:space="preserve"> والدولة الطرف إلى اتفاق بشأن المسألة الموضوعية المثارة في البلاغ</w:t>
      </w:r>
      <w:r w:rsidR="0086583F">
        <w:rPr>
          <w:rFonts w:hint="cs"/>
          <w:rtl/>
        </w:rPr>
        <w:t>.</w:t>
      </w:r>
    </w:p>
    <w:p w:rsidR="0032003F" w:rsidRPr="00FC3556" w:rsidRDefault="0032003F" w:rsidP="0032003F">
      <w:pPr>
        <w:pStyle w:val="SingleTxtGA"/>
        <w:jc w:val="center"/>
        <w:rPr>
          <w:u w:val="single"/>
          <w:rtl/>
          <w:lang w:bidi="ar-LB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32003F" w:rsidRPr="00FC3556" w:rsidSect="00BD3E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B5" w:rsidRPr="002901D9" w:rsidRDefault="00A25AB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A25AB5" w:rsidRDefault="00A25AB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F0" w:rsidRPr="0032003F" w:rsidRDefault="0032003F" w:rsidP="0032003F">
    <w:pPr>
      <w:pStyle w:val="Footer"/>
      <w:tabs>
        <w:tab w:val="right" w:pos="9598"/>
      </w:tabs>
      <w:rPr>
        <w:sz w:val="17"/>
      </w:rPr>
    </w:pPr>
    <w:r>
      <w:rPr>
        <w:sz w:val="17"/>
      </w:rPr>
      <w:t>GE.17-10402</w:t>
    </w:r>
    <w:r>
      <w:rPr>
        <w:sz w:val="17"/>
      </w:rPr>
      <w:tab/>
    </w:r>
    <w:r w:rsidRPr="0032003F">
      <w:rPr>
        <w:b/>
        <w:sz w:val="18"/>
      </w:rPr>
      <w:fldChar w:fldCharType="begin"/>
    </w:r>
    <w:r w:rsidRPr="0032003F">
      <w:rPr>
        <w:b/>
        <w:sz w:val="18"/>
      </w:rPr>
      <w:instrText xml:space="preserve"> PAGE  \* MERGEFORMAT </w:instrText>
    </w:r>
    <w:r w:rsidRPr="0032003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2003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32003F" w:rsidRDefault="0032003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2003F">
      <w:rPr>
        <w:b/>
        <w:sz w:val="18"/>
        <w:lang w:val="en-US"/>
      </w:rPr>
      <w:fldChar w:fldCharType="begin"/>
    </w:r>
    <w:r w:rsidRPr="0032003F">
      <w:rPr>
        <w:b/>
        <w:sz w:val="18"/>
        <w:lang w:val="en-US"/>
      </w:rPr>
      <w:instrText xml:space="preserve"> PAGE  \* MERGEFORMAT </w:instrText>
    </w:r>
    <w:r w:rsidRPr="0032003F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32003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GE.17-10402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39" w:rsidRDefault="00BD3EF0" w:rsidP="0054149D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GE.1710-402</w:t>
    </w:r>
    <w:r w:rsidR="0011443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134A05B3" wp14:editId="19C9549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439" w:rsidRPr="007A0286">
      <w:rPr>
        <w:sz w:val="20"/>
        <w:szCs w:val="20"/>
      </w:rPr>
      <w:t>(A)</w:t>
    </w:r>
  </w:p>
  <w:p w:rsidR="00BD3EF0" w:rsidRPr="00BD3EF0" w:rsidRDefault="00BD3EF0" w:rsidP="00BD3EF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B5" w:rsidRDefault="00A25AB5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A25AB5" w:rsidRDefault="00A25AB5" w:rsidP="00656392">
      <w:pPr>
        <w:spacing w:line="240" w:lineRule="auto"/>
      </w:pPr>
      <w:r>
        <w:continuationSeparator/>
      </w:r>
    </w:p>
  </w:footnote>
  <w:footnote w:id="1">
    <w:p w:rsidR="0032003F" w:rsidRPr="00BD1316" w:rsidRDefault="0032003F" w:rsidP="0032003F">
      <w:pPr>
        <w:pStyle w:val="FootnoteText1"/>
        <w:rPr>
          <w:lang w:bidi="ar-LB"/>
        </w:rPr>
      </w:pPr>
      <w:r w:rsidRPr="00BD1316">
        <w:rPr>
          <w:rtl/>
          <w:lang w:bidi="ar-LB"/>
        </w:rPr>
        <w:t>*</w:t>
      </w:r>
      <w:r w:rsidRPr="00BD1316">
        <w:rPr>
          <w:rtl/>
          <w:lang w:bidi="ar-LB"/>
        </w:rPr>
        <w:tab/>
        <w:t xml:space="preserve">قرار اعتمدته اللجنة </w:t>
      </w:r>
      <w:r>
        <w:rPr>
          <w:rtl/>
        </w:rPr>
        <w:t xml:space="preserve">في دورتها السابعة عشرة (٢٠ آذار/مارس </w:t>
      </w:r>
      <w:r>
        <w:rPr>
          <w:rFonts w:hint="cs"/>
          <w:rtl/>
        </w:rPr>
        <w:t xml:space="preserve">- 12 </w:t>
      </w:r>
      <w:r>
        <w:rPr>
          <w:rtl/>
        </w:rPr>
        <w:t>نيسان/أبريل ٢٠١٧)</w:t>
      </w:r>
      <w:r>
        <w:t>.</w:t>
      </w:r>
    </w:p>
  </w:footnote>
  <w:footnote w:id="2">
    <w:p w:rsidR="0032003F" w:rsidRPr="00BD1316" w:rsidRDefault="0032003F" w:rsidP="0032003F">
      <w:pPr>
        <w:pStyle w:val="FootnoteText1"/>
        <w:rPr>
          <w:spacing w:val="-2"/>
          <w:lang w:bidi="ar-LB"/>
        </w:rPr>
      </w:pPr>
      <w:r w:rsidRPr="00BD1316">
        <w:rPr>
          <w:rtl/>
          <w:lang w:bidi="ar-LB"/>
        </w:rPr>
        <w:t>**</w:t>
      </w:r>
      <w:r w:rsidRPr="00BD1316">
        <w:rPr>
          <w:rtl/>
          <w:lang w:bidi="ar-LB"/>
        </w:rPr>
        <w:tab/>
      </w:r>
      <w:r w:rsidRPr="00BD1316">
        <w:rPr>
          <w:spacing w:val="-2"/>
          <w:rtl/>
          <w:lang w:bidi="ar-LB"/>
        </w:rPr>
        <w:t xml:space="preserve">شارك في دراسة هذا البلاغ أعضاء اللجنة التالية أسماؤهم: أحمد السيف، </w:t>
      </w:r>
      <w:proofErr w:type="spellStart"/>
      <w:r w:rsidRPr="00BD1316">
        <w:rPr>
          <w:spacing w:val="-2"/>
          <w:rtl/>
          <w:lang w:bidi="ar-LB"/>
        </w:rPr>
        <w:t>ودانلامي</w:t>
      </w:r>
      <w:proofErr w:type="spellEnd"/>
      <w:r w:rsidRPr="00BD1316">
        <w:rPr>
          <w:spacing w:val="-2"/>
          <w:rtl/>
          <w:lang w:bidi="ar-LB"/>
        </w:rPr>
        <w:t xml:space="preserve"> عمر </w:t>
      </w:r>
      <w:proofErr w:type="spellStart"/>
      <w:r w:rsidRPr="00BD1316">
        <w:rPr>
          <w:spacing w:val="-2"/>
          <w:rtl/>
          <w:lang w:bidi="ar-LB"/>
        </w:rPr>
        <w:t>باشارو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ومونثيان</w:t>
      </w:r>
      <w:proofErr w:type="spellEnd"/>
      <w:r w:rsidRPr="00BD1316">
        <w:rPr>
          <w:spacing w:val="-2"/>
          <w:rtl/>
          <w:lang w:bidi="ar-LB"/>
        </w:rPr>
        <w:t xml:space="preserve"> بونتان، وعماد الدين شاكر، </w:t>
      </w:r>
      <w:proofErr w:type="spellStart"/>
      <w:r w:rsidRPr="00BD1316">
        <w:rPr>
          <w:spacing w:val="-2"/>
          <w:rtl/>
          <w:lang w:bidi="ar-LB"/>
        </w:rPr>
        <w:t>وتيريزيا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ديغينير</w:t>
      </w:r>
      <w:proofErr w:type="spellEnd"/>
      <w:r w:rsidRPr="00BD1316">
        <w:rPr>
          <w:spacing w:val="-2"/>
          <w:rtl/>
          <w:lang w:bidi="ar-LB"/>
        </w:rPr>
        <w:t xml:space="preserve">، ويون </w:t>
      </w:r>
      <w:proofErr w:type="spellStart"/>
      <w:r w:rsidRPr="00BD1316">
        <w:rPr>
          <w:spacing w:val="-2"/>
          <w:rtl/>
          <w:lang w:bidi="ar-LB"/>
        </w:rPr>
        <w:t>إيشيكاوا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وسامويل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نجوغونا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كابوي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وهيونغ</w:t>
      </w:r>
      <w:proofErr w:type="spellEnd"/>
      <w:r w:rsidRPr="00BD1316">
        <w:rPr>
          <w:spacing w:val="-2"/>
          <w:rtl/>
          <w:lang w:bidi="ar-LB"/>
        </w:rPr>
        <w:t xml:space="preserve"> شيك كيم، وستيك </w:t>
      </w:r>
      <w:proofErr w:type="spellStart"/>
      <w:r w:rsidRPr="00BD1316">
        <w:rPr>
          <w:spacing w:val="-2"/>
          <w:rtl/>
          <w:lang w:bidi="ar-LB"/>
        </w:rPr>
        <w:t>لانغفاد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ولاسلو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غابور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لوفاسي</w:t>
      </w:r>
      <w:proofErr w:type="spellEnd"/>
      <w:r w:rsidRPr="00BD1316">
        <w:rPr>
          <w:spacing w:val="-2"/>
          <w:rtl/>
          <w:lang w:bidi="ar-LB"/>
        </w:rPr>
        <w:t xml:space="preserve">، وروبير </w:t>
      </w:r>
      <w:proofErr w:type="spellStart"/>
      <w:r w:rsidRPr="00BD1316">
        <w:rPr>
          <w:spacing w:val="-2"/>
          <w:rtl/>
          <w:lang w:bidi="ar-LB"/>
        </w:rPr>
        <w:t>جروج</w:t>
      </w:r>
      <w:proofErr w:type="spellEnd"/>
      <w:r w:rsidRPr="00BD1316">
        <w:rPr>
          <w:spacing w:val="-2"/>
          <w:rtl/>
          <w:lang w:bidi="ar-LB"/>
        </w:rPr>
        <w:t xml:space="preserve"> مارتن، ومارتن </w:t>
      </w:r>
      <w:proofErr w:type="spellStart"/>
      <w:r w:rsidRPr="00BD1316">
        <w:rPr>
          <w:spacing w:val="-2"/>
          <w:rtl/>
          <w:lang w:bidi="ar-LB"/>
        </w:rPr>
        <w:t>بابو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مويسيغوا</w:t>
      </w:r>
      <w:proofErr w:type="spellEnd"/>
      <w:r w:rsidRPr="00BD1316">
        <w:rPr>
          <w:spacing w:val="-2"/>
          <w:rtl/>
          <w:lang w:bidi="ar-LB"/>
        </w:rPr>
        <w:t xml:space="preserve">، وكارلوس ألبرتو بارا </w:t>
      </w:r>
      <w:proofErr w:type="spellStart"/>
      <w:r w:rsidRPr="00BD1316">
        <w:rPr>
          <w:spacing w:val="-2"/>
          <w:rtl/>
          <w:lang w:bidi="ar-LB"/>
        </w:rPr>
        <w:t>دوسان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وكومارافيل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بيانياندي</w:t>
      </w:r>
      <w:proofErr w:type="spellEnd"/>
      <w:r w:rsidRPr="00BD1316">
        <w:rPr>
          <w:spacing w:val="-2"/>
          <w:rtl/>
          <w:lang w:bidi="ar-LB"/>
        </w:rPr>
        <w:t xml:space="preserve">، وفاليري </w:t>
      </w:r>
      <w:proofErr w:type="spellStart"/>
      <w:r w:rsidRPr="00BD1316">
        <w:rPr>
          <w:spacing w:val="-2"/>
          <w:rtl/>
          <w:lang w:bidi="ar-LB"/>
        </w:rPr>
        <w:t>نيكيتيتش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روخليديف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وجوناس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روسكوس</w:t>
      </w:r>
      <w:proofErr w:type="spellEnd"/>
      <w:r w:rsidRPr="00BD1316">
        <w:rPr>
          <w:spacing w:val="-2"/>
          <w:rtl/>
          <w:lang w:bidi="ar-LB"/>
        </w:rPr>
        <w:t xml:space="preserve">، </w:t>
      </w:r>
      <w:proofErr w:type="spellStart"/>
      <w:r w:rsidRPr="00BD1316">
        <w:rPr>
          <w:spacing w:val="-2"/>
          <w:rtl/>
          <w:lang w:bidi="ar-LB"/>
        </w:rPr>
        <w:t>وداميان</w:t>
      </w:r>
      <w:proofErr w:type="spellEnd"/>
      <w:r w:rsidRPr="00BD1316">
        <w:rPr>
          <w:spacing w:val="-2"/>
          <w:rtl/>
          <w:lang w:bidi="ar-LB"/>
        </w:rPr>
        <w:t xml:space="preserve"> </w:t>
      </w:r>
      <w:proofErr w:type="spellStart"/>
      <w:r w:rsidRPr="00BD1316">
        <w:rPr>
          <w:spacing w:val="-2"/>
          <w:rtl/>
          <w:lang w:bidi="ar-LB"/>
        </w:rPr>
        <w:t>تاتيتش</w:t>
      </w:r>
      <w:proofErr w:type="spellEnd"/>
      <w:r w:rsidRPr="00BD1316">
        <w:rPr>
          <w:spacing w:val="-2"/>
          <w:rtl/>
          <w:lang w:bidi="ar-LB"/>
        </w:rPr>
        <w:t xml:space="preserve">، وليانغ </w:t>
      </w:r>
      <w:proofErr w:type="spellStart"/>
      <w:r w:rsidRPr="00BD1316">
        <w:rPr>
          <w:spacing w:val="-2"/>
          <w:rtl/>
          <w:lang w:bidi="ar-LB"/>
        </w:rPr>
        <w:t>يو</w:t>
      </w:r>
      <w:proofErr w:type="spellEnd"/>
      <w:r w:rsidRPr="00BD1316">
        <w:rPr>
          <w:spacing w:val="-2"/>
          <w:rtl/>
          <w:lang w:bidi="ar-L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F0" w:rsidRPr="0032003F" w:rsidRDefault="0032003F" w:rsidP="0032003F">
    <w:pPr>
      <w:pStyle w:val="Header"/>
      <w:jc w:val="right"/>
    </w:pPr>
    <w:r w:rsidRPr="0032003F">
      <w:t>CRPD/C/17/D/33/2015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F0" w:rsidRPr="0032003F" w:rsidRDefault="0032003F" w:rsidP="0032003F">
    <w:pPr>
      <w:pStyle w:val="Header"/>
      <w:jc w:val="left"/>
    </w:pPr>
    <w:r w:rsidRPr="0032003F">
      <w:t>CRPD/C/17/D/33/2015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AB5"/>
    <w:rsid w:val="000076D5"/>
    <w:rsid w:val="00043663"/>
    <w:rsid w:val="000505CF"/>
    <w:rsid w:val="000D701C"/>
    <w:rsid w:val="000E2A71"/>
    <w:rsid w:val="000F2249"/>
    <w:rsid w:val="00114439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003F"/>
    <w:rsid w:val="003260FF"/>
    <w:rsid w:val="00343D95"/>
    <w:rsid w:val="00374341"/>
    <w:rsid w:val="003D1062"/>
    <w:rsid w:val="00420D7B"/>
    <w:rsid w:val="00450B21"/>
    <w:rsid w:val="00453B63"/>
    <w:rsid w:val="00455780"/>
    <w:rsid w:val="00476CEF"/>
    <w:rsid w:val="004B0A1C"/>
    <w:rsid w:val="004D298E"/>
    <w:rsid w:val="00517BC9"/>
    <w:rsid w:val="00523394"/>
    <w:rsid w:val="0054149D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541BA"/>
    <w:rsid w:val="0078071A"/>
    <w:rsid w:val="0084195E"/>
    <w:rsid w:val="00852A9A"/>
    <w:rsid w:val="0086583F"/>
    <w:rsid w:val="008F49E1"/>
    <w:rsid w:val="0090370F"/>
    <w:rsid w:val="009269D2"/>
    <w:rsid w:val="00942135"/>
    <w:rsid w:val="009521B0"/>
    <w:rsid w:val="009A7E9F"/>
    <w:rsid w:val="009E5018"/>
    <w:rsid w:val="00A00659"/>
    <w:rsid w:val="00A12B37"/>
    <w:rsid w:val="00A25AB5"/>
    <w:rsid w:val="00A50EC0"/>
    <w:rsid w:val="00A54442"/>
    <w:rsid w:val="00AA3959"/>
    <w:rsid w:val="00AB6758"/>
    <w:rsid w:val="00B13763"/>
    <w:rsid w:val="00B477A4"/>
    <w:rsid w:val="00B512A5"/>
    <w:rsid w:val="00B54045"/>
    <w:rsid w:val="00B803C5"/>
    <w:rsid w:val="00BD3EF0"/>
    <w:rsid w:val="00BD7CD7"/>
    <w:rsid w:val="00C438D7"/>
    <w:rsid w:val="00C53FE8"/>
    <w:rsid w:val="00C81B50"/>
    <w:rsid w:val="00CD1801"/>
    <w:rsid w:val="00D10EF1"/>
    <w:rsid w:val="00D42810"/>
    <w:rsid w:val="00D57975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81AAC90-C5D3-46A2-9D95-2290152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7F81-C84E-4B24-B7C5-71708C8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CRPD/C/17/D/33/2015</vt:lpstr>
    </vt:vector>
  </TitlesOfParts>
  <Company>DCM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CRPD/C/17/D/33/2015</dc:title>
  <dc:subject>GE.1710402A</dc:subject>
  <dc:creator>bah/FZ</dc:creator>
  <cp:keywords>ODS no.1717274</cp:keywords>
  <dc:description>Distr.: General
22 June 2017
Original: Spanish</dc:description>
  <cp:lastModifiedBy>Gamal MAHMOUD</cp:lastModifiedBy>
  <cp:revision>2</cp:revision>
  <dcterms:created xsi:type="dcterms:W3CDTF">2017-10-04T09:40:00Z</dcterms:created>
  <dcterms:modified xsi:type="dcterms:W3CDTF">2017-10-04T09:40:00Z</dcterms:modified>
</cp:coreProperties>
</file>